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32ED3" w14:textId="77777777" w:rsidR="00B52BC2" w:rsidRPr="00792946" w:rsidRDefault="00B52BC2" w:rsidP="00790676">
      <w:pPr>
        <w:spacing w:after="0" w:line="360" w:lineRule="auto"/>
        <w:jc w:val="center"/>
        <w:rPr>
          <w:rFonts w:ascii="Palatino Linotype" w:eastAsia="Times New Roman" w:hAnsi="Palatino Linotype" w:cs="Times New Roman"/>
          <w:b/>
          <w:sz w:val="20"/>
          <w:szCs w:val="20"/>
          <w:lang w:eastAsia="it-IT"/>
        </w:rPr>
      </w:pPr>
      <w:bookmarkStart w:id="0" w:name="_GoBack"/>
      <w:r w:rsidRPr="00790676">
        <w:rPr>
          <w:rFonts w:ascii="Palatino Linotype" w:eastAsia="Times New Roman" w:hAnsi="Palatino Linotype" w:cs="Times New Roman"/>
          <w:b/>
          <w:sz w:val="28"/>
          <w:szCs w:val="28"/>
          <w:lang w:eastAsia="it-IT"/>
        </w:rPr>
        <w:t>L’</w:t>
      </w:r>
      <w:r w:rsidR="003D2DA3" w:rsidRPr="00790676">
        <w:rPr>
          <w:rFonts w:ascii="Palatino Linotype" w:eastAsia="Times New Roman" w:hAnsi="Palatino Linotype" w:cs="Times New Roman"/>
          <w:b/>
          <w:sz w:val="28"/>
          <w:szCs w:val="28"/>
          <w:lang w:eastAsia="it-IT"/>
        </w:rPr>
        <w:t>a</w:t>
      </w:r>
      <w:r w:rsidRPr="00790676">
        <w:rPr>
          <w:rFonts w:ascii="Palatino Linotype" w:eastAsia="Times New Roman" w:hAnsi="Palatino Linotype" w:cs="Times New Roman"/>
          <w:b/>
          <w:sz w:val="28"/>
          <w:szCs w:val="28"/>
          <w:lang w:eastAsia="it-IT"/>
        </w:rPr>
        <w:t xml:space="preserve">vvalimento: il difficile equilibrio tra </w:t>
      </w:r>
      <w:r w:rsidR="004E1736" w:rsidRPr="00790676">
        <w:rPr>
          <w:rFonts w:ascii="Palatino Linotype" w:eastAsia="Times New Roman" w:hAnsi="Palatino Linotype" w:cs="Times New Roman"/>
          <w:b/>
          <w:sz w:val="28"/>
          <w:szCs w:val="28"/>
          <w:lang w:eastAsia="it-IT"/>
        </w:rPr>
        <w:t xml:space="preserve">la </w:t>
      </w:r>
      <w:r w:rsidRPr="00790676">
        <w:rPr>
          <w:rFonts w:ascii="Palatino Linotype" w:eastAsia="Times New Roman" w:hAnsi="Palatino Linotype" w:cs="Times New Roman"/>
          <w:b/>
          <w:sz w:val="28"/>
          <w:szCs w:val="28"/>
          <w:lang w:eastAsia="it-IT"/>
        </w:rPr>
        <w:t>logica ‘economica’ e</w:t>
      </w:r>
      <w:r w:rsidR="004E1736" w:rsidRPr="00790676">
        <w:rPr>
          <w:rFonts w:ascii="Palatino Linotype" w:eastAsia="Times New Roman" w:hAnsi="Palatino Linotype" w:cs="Times New Roman"/>
          <w:b/>
          <w:sz w:val="28"/>
          <w:szCs w:val="28"/>
          <w:lang w:eastAsia="it-IT"/>
        </w:rPr>
        <w:t>d</w:t>
      </w:r>
      <w:r w:rsidRPr="00790676">
        <w:rPr>
          <w:rFonts w:ascii="Palatino Linotype" w:eastAsia="Times New Roman" w:hAnsi="Palatino Linotype" w:cs="Times New Roman"/>
          <w:b/>
          <w:sz w:val="28"/>
          <w:szCs w:val="28"/>
          <w:lang w:eastAsia="it-IT"/>
        </w:rPr>
        <w:t xml:space="preserve"> il triangolo negoziale tra concorrente ausiliata, impresa ausiliaria e stazione appaltante, alla luce delle pronunce dell’Adunanza </w:t>
      </w:r>
      <w:r w:rsidR="00D0458A" w:rsidRPr="00790676">
        <w:rPr>
          <w:rFonts w:ascii="Palatino Linotype" w:eastAsia="Times New Roman" w:hAnsi="Palatino Linotype" w:cs="Times New Roman"/>
          <w:b/>
          <w:sz w:val="28"/>
          <w:szCs w:val="28"/>
          <w:lang w:eastAsia="it-IT"/>
        </w:rPr>
        <w:t>p</w:t>
      </w:r>
      <w:r w:rsidR="004E1736" w:rsidRPr="00790676">
        <w:rPr>
          <w:rFonts w:ascii="Palatino Linotype" w:eastAsia="Times New Roman" w:hAnsi="Palatino Linotype" w:cs="Times New Roman"/>
          <w:b/>
          <w:sz w:val="28"/>
          <w:szCs w:val="28"/>
          <w:lang w:eastAsia="it-IT"/>
        </w:rPr>
        <w:t>lenaria</w:t>
      </w:r>
      <w:bookmarkEnd w:id="0"/>
      <w:r w:rsidR="00A33DD5" w:rsidRPr="00792946">
        <w:rPr>
          <w:rStyle w:val="Rimandonotaapidipagina"/>
          <w:rFonts w:ascii="Palatino Linotype" w:eastAsia="Times New Roman" w:hAnsi="Palatino Linotype" w:cs="Times New Roman"/>
          <w:b/>
          <w:sz w:val="20"/>
          <w:szCs w:val="20"/>
          <w:lang w:eastAsia="it-IT"/>
        </w:rPr>
        <w:footnoteReference w:id="1"/>
      </w:r>
      <w:r w:rsidR="00DD6083" w:rsidRPr="00792946">
        <w:rPr>
          <w:rFonts w:ascii="Palatino Linotype" w:eastAsia="Times New Roman" w:hAnsi="Palatino Linotype" w:cs="Times New Roman"/>
          <w:b/>
          <w:sz w:val="20"/>
          <w:szCs w:val="20"/>
          <w:lang w:eastAsia="it-IT"/>
        </w:rPr>
        <w:t>.</w:t>
      </w:r>
    </w:p>
    <w:p w14:paraId="31080369" w14:textId="77777777" w:rsidR="00B52BC2" w:rsidRDefault="00B52BC2" w:rsidP="00347275">
      <w:pPr>
        <w:spacing w:after="0" w:line="360" w:lineRule="auto"/>
        <w:ind w:firstLine="851"/>
        <w:jc w:val="both"/>
        <w:rPr>
          <w:rFonts w:ascii="Palatino Linotype" w:eastAsia="Times New Roman" w:hAnsi="Palatino Linotype" w:cs="Times New Roman"/>
          <w:sz w:val="20"/>
          <w:szCs w:val="20"/>
          <w:lang w:eastAsia="it-IT"/>
        </w:rPr>
      </w:pPr>
    </w:p>
    <w:p w14:paraId="1B7793CF" w14:textId="77777777" w:rsidR="007F2DE0" w:rsidRPr="00792946" w:rsidRDefault="007F2DE0" w:rsidP="00347275">
      <w:pPr>
        <w:spacing w:after="0" w:line="360" w:lineRule="auto"/>
        <w:ind w:firstLine="851"/>
        <w:jc w:val="both"/>
        <w:rPr>
          <w:rFonts w:ascii="Palatino Linotype" w:eastAsia="Times New Roman" w:hAnsi="Palatino Linotype" w:cs="Times New Roman"/>
          <w:sz w:val="20"/>
          <w:szCs w:val="20"/>
          <w:lang w:eastAsia="it-IT"/>
        </w:rPr>
      </w:pPr>
    </w:p>
    <w:p w14:paraId="556E3CAC" w14:textId="77777777" w:rsidR="00A46F10" w:rsidRPr="00792946" w:rsidRDefault="00B62BE0" w:rsidP="00347275">
      <w:pPr>
        <w:numPr>
          <w:ilvl w:val="0"/>
          <w:numId w:val="7"/>
        </w:numPr>
        <w:spacing w:after="0" w:line="360" w:lineRule="auto"/>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b/>
          <w:sz w:val="20"/>
          <w:szCs w:val="20"/>
          <w:lang w:eastAsia="it-IT"/>
        </w:rPr>
        <w:t>L</w:t>
      </w:r>
      <w:r w:rsidR="00B444D5" w:rsidRPr="00792946">
        <w:rPr>
          <w:rFonts w:ascii="Palatino Linotype" w:eastAsia="Times New Roman" w:hAnsi="Palatino Linotype" w:cs="Times New Roman"/>
          <w:b/>
          <w:sz w:val="20"/>
          <w:szCs w:val="20"/>
          <w:lang w:eastAsia="it-IT"/>
        </w:rPr>
        <w:t>’el</w:t>
      </w:r>
      <w:r w:rsidRPr="00792946">
        <w:rPr>
          <w:rFonts w:ascii="Palatino Linotype" w:eastAsia="Times New Roman" w:hAnsi="Palatino Linotype" w:cs="Times New Roman"/>
          <w:b/>
          <w:sz w:val="20"/>
          <w:szCs w:val="20"/>
          <w:lang w:eastAsia="it-IT"/>
        </w:rPr>
        <w:t>a</w:t>
      </w:r>
      <w:r w:rsidR="00B444D5" w:rsidRPr="00792946">
        <w:rPr>
          <w:rFonts w:ascii="Palatino Linotype" w:eastAsia="Times New Roman" w:hAnsi="Palatino Linotype" w:cs="Times New Roman"/>
          <w:b/>
          <w:sz w:val="20"/>
          <w:szCs w:val="20"/>
          <w:lang w:eastAsia="it-IT"/>
        </w:rPr>
        <w:t>bora</w:t>
      </w:r>
      <w:r w:rsidRPr="00792946">
        <w:rPr>
          <w:rFonts w:ascii="Palatino Linotype" w:eastAsia="Times New Roman" w:hAnsi="Palatino Linotype" w:cs="Times New Roman"/>
          <w:b/>
          <w:sz w:val="20"/>
          <w:szCs w:val="20"/>
          <w:lang w:eastAsia="it-IT"/>
        </w:rPr>
        <w:t xml:space="preserve">zione </w:t>
      </w:r>
      <w:r w:rsidR="00B444D5" w:rsidRPr="00792946">
        <w:rPr>
          <w:rFonts w:ascii="Palatino Linotype" w:eastAsia="Times New Roman" w:hAnsi="Palatino Linotype" w:cs="Times New Roman"/>
          <w:b/>
          <w:sz w:val="20"/>
          <w:szCs w:val="20"/>
          <w:lang w:eastAsia="it-IT"/>
        </w:rPr>
        <w:t xml:space="preserve">dogmatica </w:t>
      </w:r>
      <w:r w:rsidRPr="00792946">
        <w:rPr>
          <w:rFonts w:ascii="Palatino Linotype" w:eastAsia="Times New Roman" w:hAnsi="Palatino Linotype" w:cs="Times New Roman"/>
          <w:b/>
          <w:sz w:val="20"/>
          <w:szCs w:val="20"/>
          <w:lang w:eastAsia="it-IT"/>
        </w:rPr>
        <w:t xml:space="preserve">generale dell’Adunanza plenaria </w:t>
      </w:r>
      <w:r w:rsidR="008F62AE" w:rsidRPr="00792946">
        <w:rPr>
          <w:rFonts w:ascii="Palatino Linotype" w:eastAsia="Times New Roman" w:hAnsi="Palatino Linotype" w:cs="Times New Roman"/>
          <w:b/>
          <w:sz w:val="20"/>
          <w:szCs w:val="20"/>
          <w:lang w:eastAsia="it-IT"/>
        </w:rPr>
        <w:t>sull’</w:t>
      </w:r>
      <w:r w:rsidR="005848DA" w:rsidRPr="00792946">
        <w:rPr>
          <w:rFonts w:ascii="Palatino Linotype" w:eastAsia="Times New Roman" w:hAnsi="Palatino Linotype" w:cs="Times New Roman"/>
          <w:b/>
          <w:sz w:val="20"/>
          <w:szCs w:val="20"/>
          <w:lang w:eastAsia="it-IT"/>
        </w:rPr>
        <w:t>avvalimento.</w:t>
      </w:r>
    </w:p>
    <w:p w14:paraId="011A6F79" w14:textId="77777777" w:rsidR="00B52BC2" w:rsidRPr="00792946" w:rsidRDefault="008F62AE"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L’istituto dell</w:t>
      </w:r>
      <w:r w:rsidR="00B52BC2" w:rsidRPr="00792946">
        <w:rPr>
          <w:rFonts w:ascii="Palatino Linotype" w:eastAsia="Times New Roman" w:hAnsi="Palatino Linotype" w:cs="Times New Roman"/>
          <w:sz w:val="20"/>
          <w:szCs w:val="20"/>
          <w:lang w:eastAsia="it-IT"/>
        </w:rPr>
        <w:t>’avvalimento</w:t>
      </w:r>
      <w:r w:rsidR="00C07AAE" w:rsidRPr="00792946">
        <w:rPr>
          <w:rStyle w:val="Rimandonotaapidipagina"/>
          <w:rFonts w:ascii="Palatino Linotype" w:eastAsia="Times New Roman" w:hAnsi="Palatino Linotype" w:cs="Times New Roman"/>
          <w:sz w:val="20"/>
          <w:szCs w:val="20"/>
          <w:lang w:eastAsia="it-IT"/>
        </w:rPr>
        <w:footnoteReference w:id="2"/>
      </w:r>
      <w:r w:rsidR="00B52BC2" w:rsidRPr="00792946">
        <w:rPr>
          <w:rFonts w:ascii="Palatino Linotype" w:eastAsia="Times New Roman" w:hAnsi="Palatino Linotype" w:cs="Times New Roman"/>
          <w:sz w:val="20"/>
          <w:szCs w:val="20"/>
          <w:lang w:eastAsia="it-IT"/>
        </w:rPr>
        <w:t xml:space="preserve"> è </w:t>
      </w:r>
      <w:r w:rsidR="007F2DE0">
        <w:rPr>
          <w:rFonts w:ascii="Palatino Linotype" w:eastAsia="Times New Roman" w:hAnsi="Palatino Linotype" w:cs="Times New Roman"/>
          <w:sz w:val="20"/>
          <w:szCs w:val="20"/>
          <w:lang w:eastAsia="it-IT"/>
        </w:rPr>
        <w:t>norm</w:t>
      </w:r>
      <w:r w:rsidRPr="00792946">
        <w:rPr>
          <w:rFonts w:ascii="Palatino Linotype" w:eastAsia="Times New Roman" w:hAnsi="Palatino Linotype" w:cs="Times New Roman"/>
          <w:sz w:val="20"/>
          <w:szCs w:val="20"/>
          <w:lang w:eastAsia="it-IT"/>
        </w:rPr>
        <w:t xml:space="preserve">ato </w:t>
      </w:r>
      <w:r w:rsidR="00B52BC2" w:rsidRPr="00792946">
        <w:rPr>
          <w:rFonts w:ascii="Palatino Linotype" w:eastAsia="Times New Roman" w:hAnsi="Palatino Linotype" w:cs="Times New Roman"/>
          <w:sz w:val="20"/>
          <w:szCs w:val="20"/>
          <w:lang w:eastAsia="it-IT"/>
        </w:rPr>
        <w:t>all’art. 89 del codice dei contratti</w:t>
      </w:r>
      <w:r w:rsidR="00DB5406">
        <w:rPr>
          <w:rFonts w:ascii="Palatino Linotype" w:eastAsia="Times New Roman" w:hAnsi="Palatino Linotype" w:cs="Times New Roman"/>
          <w:sz w:val="20"/>
          <w:szCs w:val="20"/>
          <w:lang w:eastAsia="it-IT"/>
        </w:rPr>
        <w:t xml:space="preserve"> di cui al D.lgs. </w:t>
      </w:r>
      <w:r w:rsidR="00CF2154" w:rsidRPr="00792946">
        <w:rPr>
          <w:rFonts w:ascii="Palatino Linotype" w:eastAsia="Times New Roman" w:hAnsi="Palatino Linotype" w:cs="Times New Roman"/>
          <w:sz w:val="20"/>
          <w:szCs w:val="20"/>
          <w:lang w:eastAsia="it-IT"/>
        </w:rPr>
        <w:t>50/2016</w:t>
      </w:r>
      <w:r w:rsidR="00B52BC2" w:rsidRPr="00792946">
        <w:rPr>
          <w:rFonts w:ascii="Palatino Linotype" w:eastAsia="Times New Roman" w:hAnsi="Palatino Linotype" w:cs="Times New Roman"/>
          <w:sz w:val="20"/>
          <w:szCs w:val="20"/>
          <w:lang w:eastAsia="it-IT"/>
        </w:rPr>
        <w:t xml:space="preserve">, </w:t>
      </w:r>
      <w:r w:rsidR="007F2DE0">
        <w:rPr>
          <w:rFonts w:ascii="Palatino Linotype" w:eastAsia="Times New Roman" w:hAnsi="Palatino Linotype" w:cs="Times New Roman"/>
          <w:sz w:val="20"/>
          <w:szCs w:val="20"/>
          <w:lang w:eastAsia="it-IT"/>
        </w:rPr>
        <w:t>con</w:t>
      </w:r>
      <w:r w:rsidRPr="00792946">
        <w:rPr>
          <w:rFonts w:ascii="Palatino Linotype" w:eastAsia="Times New Roman" w:hAnsi="Palatino Linotype" w:cs="Times New Roman"/>
          <w:sz w:val="20"/>
          <w:szCs w:val="20"/>
          <w:lang w:eastAsia="it-IT"/>
        </w:rPr>
        <w:t xml:space="preserve"> una</w:t>
      </w:r>
      <w:r w:rsidR="00B73170" w:rsidRPr="00792946">
        <w:rPr>
          <w:rFonts w:ascii="Palatino Linotype" w:eastAsia="Times New Roman" w:hAnsi="Palatino Linotype" w:cs="Times New Roman"/>
          <w:sz w:val="20"/>
          <w:szCs w:val="20"/>
          <w:lang w:eastAsia="it-IT"/>
        </w:rPr>
        <w:t xml:space="preserve"> </w:t>
      </w:r>
      <w:r w:rsidR="007F2DE0">
        <w:rPr>
          <w:rFonts w:ascii="Palatino Linotype" w:eastAsia="Times New Roman" w:hAnsi="Palatino Linotype" w:cs="Times New Roman"/>
          <w:sz w:val="20"/>
          <w:szCs w:val="20"/>
          <w:lang w:eastAsia="it-IT"/>
        </w:rPr>
        <w:t xml:space="preserve">disciplina </w:t>
      </w:r>
      <w:r w:rsidRPr="00792946">
        <w:rPr>
          <w:rFonts w:ascii="Palatino Linotype" w:eastAsia="Times New Roman" w:hAnsi="Palatino Linotype" w:cs="Times New Roman"/>
          <w:sz w:val="20"/>
          <w:szCs w:val="20"/>
          <w:lang w:eastAsia="it-IT"/>
        </w:rPr>
        <w:t>che</w:t>
      </w:r>
      <w:r w:rsidR="00B52BC2" w:rsidRPr="00792946">
        <w:rPr>
          <w:rFonts w:ascii="Palatino Linotype" w:eastAsia="Times New Roman" w:hAnsi="Palatino Linotype" w:cs="Times New Roman"/>
          <w:sz w:val="20"/>
          <w:szCs w:val="20"/>
          <w:lang w:eastAsia="it-IT"/>
        </w:rPr>
        <w:t xml:space="preserve">, molto sinteticamente, </w:t>
      </w:r>
      <w:r w:rsidRPr="00792946">
        <w:rPr>
          <w:rFonts w:ascii="Palatino Linotype" w:eastAsia="Times New Roman" w:hAnsi="Palatino Linotype" w:cs="Times New Roman"/>
          <w:sz w:val="20"/>
          <w:szCs w:val="20"/>
          <w:lang w:eastAsia="it-IT"/>
        </w:rPr>
        <w:t xml:space="preserve">è </w:t>
      </w:r>
      <w:r w:rsidR="00752499" w:rsidRPr="00792946">
        <w:rPr>
          <w:rFonts w:ascii="Palatino Linotype" w:eastAsia="Times New Roman" w:hAnsi="Palatino Linotype" w:cs="Times New Roman"/>
          <w:sz w:val="20"/>
          <w:szCs w:val="20"/>
          <w:lang w:eastAsia="it-IT"/>
        </w:rPr>
        <w:t>l</w:t>
      </w:r>
      <w:r w:rsidR="00B73170" w:rsidRPr="00792946">
        <w:rPr>
          <w:rFonts w:ascii="Palatino Linotype" w:eastAsia="Times New Roman" w:hAnsi="Palatino Linotype" w:cs="Times New Roman"/>
          <w:sz w:val="20"/>
          <w:szCs w:val="20"/>
          <w:lang w:eastAsia="it-IT"/>
        </w:rPr>
        <w:t>a</w:t>
      </w:r>
      <w:r w:rsidR="00B52BC2" w:rsidRPr="00792946">
        <w:rPr>
          <w:rFonts w:ascii="Palatino Linotype" w:eastAsia="Times New Roman" w:hAnsi="Palatino Linotype" w:cs="Times New Roman"/>
          <w:sz w:val="20"/>
          <w:szCs w:val="20"/>
          <w:lang w:eastAsia="it-IT"/>
        </w:rPr>
        <w:t xml:space="preserve"> seguent</w:t>
      </w:r>
      <w:r w:rsidR="00B73170" w:rsidRPr="00792946">
        <w:rPr>
          <w:rFonts w:ascii="Palatino Linotype" w:eastAsia="Times New Roman" w:hAnsi="Palatino Linotype" w:cs="Times New Roman"/>
          <w:sz w:val="20"/>
          <w:szCs w:val="20"/>
          <w:lang w:eastAsia="it-IT"/>
        </w:rPr>
        <w:t>e</w:t>
      </w:r>
      <w:r w:rsidR="00B52BC2" w:rsidRPr="00792946">
        <w:rPr>
          <w:rFonts w:ascii="Palatino Linotype" w:eastAsia="Times New Roman" w:hAnsi="Palatino Linotype" w:cs="Times New Roman"/>
          <w:sz w:val="20"/>
          <w:szCs w:val="20"/>
          <w:lang w:eastAsia="it-IT"/>
        </w:rPr>
        <w:t>:</w:t>
      </w:r>
    </w:p>
    <w:p w14:paraId="6E333864" w14:textId="77777777" w:rsidR="00B52BC2" w:rsidRPr="00792946" w:rsidRDefault="00B52BC2" w:rsidP="00347275">
      <w:pPr>
        <w:spacing w:after="0" w:line="360" w:lineRule="auto"/>
        <w:ind w:firstLine="708"/>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“l’operatore economico, singolo o in raggruppamento di cui all’</w:t>
      </w:r>
      <w:hyperlink r:id="rId8" w:anchor="045" w:history="1">
        <w:r w:rsidRPr="00792946">
          <w:rPr>
            <w:rFonts w:ascii="Palatino Linotype" w:eastAsia="Times New Roman" w:hAnsi="Palatino Linotype" w:cs="Times New Roman"/>
            <w:sz w:val="20"/>
            <w:szCs w:val="20"/>
            <w:lang w:eastAsia="it-IT"/>
          </w:rPr>
          <w:t>art. 45</w:t>
        </w:r>
      </w:hyperlink>
      <w:r w:rsidRPr="00792946">
        <w:rPr>
          <w:rFonts w:ascii="Palatino Linotype" w:eastAsia="Times New Roman" w:hAnsi="Palatino Linotype" w:cs="Times New Roman"/>
          <w:sz w:val="20"/>
          <w:szCs w:val="20"/>
          <w:lang w:eastAsia="it-IT"/>
        </w:rPr>
        <w:t>, per un determinato appalto, può soddisfare la richiesta relativa al possesso dei requisiti di carattere economico, finanziario, tecnico e professionale di cui all’</w:t>
      </w:r>
      <w:hyperlink r:id="rId9" w:anchor="083" w:history="1">
        <w:r w:rsidRPr="00792946">
          <w:rPr>
            <w:rFonts w:ascii="Palatino Linotype" w:eastAsia="Times New Roman" w:hAnsi="Palatino Linotype" w:cs="Times New Roman"/>
            <w:sz w:val="20"/>
            <w:szCs w:val="20"/>
            <w:lang w:eastAsia="it-IT"/>
          </w:rPr>
          <w:t>art. 83, comma 1, lett. b) e c)</w:t>
        </w:r>
      </w:hyperlink>
      <w:r w:rsidRPr="00792946">
        <w:rPr>
          <w:rFonts w:ascii="Palatino Linotype" w:eastAsia="Times New Roman" w:hAnsi="Palatino Linotype" w:cs="Times New Roman"/>
          <w:sz w:val="20"/>
          <w:szCs w:val="20"/>
          <w:lang w:eastAsia="it-IT"/>
        </w:rPr>
        <w:t>, necessari per partecipare ad una procedura di gara, e, in ogni caso, con esclusione dei requisiti di cui all’</w:t>
      </w:r>
      <w:hyperlink r:id="rId10" w:anchor="080" w:history="1">
        <w:r w:rsidRPr="00792946">
          <w:rPr>
            <w:rFonts w:ascii="Palatino Linotype" w:eastAsia="Times New Roman" w:hAnsi="Palatino Linotype" w:cs="Times New Roman"/>
            <w:sz w:val="20"/>
            <w:szCs w:val="20"/>
            <w:lang w:eastAsia="it-IT"/>
          </w:rPr>
          <w:t>art. 80</w:t>
        </w:r>
      </w:hyperlink>
      <w:r w:rsidRPr="00792946">
        <w:rPr>
          <w:rFonts w:ascii="Palatino Linotype" w:eastAsia="Times New Roman" w:hAnsi="Palatino Linotype" w:cs="Times New Roman"/>
          <w:sz w:val="20"/>
          <w:szCs w:val="20"/>
          <w:lang w:eastAsia="it-IT"/>
        </w:rPr>
        <w:t>, avvalendosi delle capacità di altri soggetti, anche partecipanti al raggruppamento, a prescindere dalla natura giuridica dei suoi legami con questi ultimi”</w:t>
      </w:r>
      <w:r w:rsidR="00174562" w:rsidRPr="00792946">
        <w:rPr>
          <w:rFonts w:ascii="Palatino Linotype" w:eastAsia="Times New Roman" w:hAnsi="Palatino Linotype" w:cs="Times New Roman"/>
          <w:sz w:val="20"/>
          <w:szCs w:val="20"/>
          <w:lang w:eastAsia="it-IT"/>
        </w:rPr>
        <w:t xml:space="preserve"> (comma 1)</w:t>
      </w:r>
      <w:r w:rsidRPr="00792946">
        <w:rPr>
          <w:rFonts w:ascii="Palatino Linotype" w:eastAsia="Times New Roman" w:hAnsi="Palatino Linotype" w:cs="Times New Roman"/>
          <w:sz w:val="20"/>
          <w:szCs w:val="20"/>
          <w:lang w:eastAsia="it-IT"/>
        </w:rPr>
        <w:t>;</w:t>
      </w:r>
    </w:p>
    <w:p w14:paraId="3E074074" w14:textId="77777777" w:rsidR="00B52BC2" w:rsidRPr="00792946" w:rsidRDefault="00B52BC2" w:rsidP="00347275">
      <w:pPr>
        <w:spacing w:after="0" w:line="360" w:lineRule="auto"/>
        <w:ind w:firstLine="708"/>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tale soggetto, detto impresa ausiliaria, “si obbliga verso il concorrente e verso la stazione appaltante a mettere a disposizione per tutta la durata dell’appalto le risorse necessarie di cui è carente il concorrente”</w:t>
      </w:r>
      <w:r w:rsidR="00174562" w:rsidRPr="00792946">
        <w:rPr>
          <w:rFonts w:ascii="Palatino Linotype" w:eastAsia="Times New Roman" w:hAnsi="Palatino Linotype" w:cs="Times New Roman"/>
          <w:sz w:val="20"/>
          <w:szCs w:val="20"/>
          <w:lang w:eastAsia="it-IT"/>
        </w:rPr>
        <w:t xml:space="preserve"> (comma 1)</w:t>
      </w:r>
      <w:r w:rsidRPr="00792946">
        <w:rPr>
          <w:rFonts w:ascii="Palatino Linotype" w:eastAsia="Times New Roman" w:hAnsi="Palatino Linotype" w:cs="Times New Roman"/>
          <w:sz w:val="20"/>
          <w:szCs w:val="20"/>
          <w:lang w:eastAsia="it-IT"/>
        </w:rPr>
        <w:t>;</w:t>
      </w:r>
    </w:p>
    <w:p w14:paraId="3740655A" w14:textId="77777777" w:rsidR="00B52BC2" w:rsidRPr="00792946" w:rsidRDefault="00B52BC2" w:rsidP="00347275">
      <w:pPr>
        <w:spacing w:after="0" w:line="360" w:lineRule="auto"/>
        <w:ind w:firstLine="708"/>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“il concorrente e l’impresa ausiliaria sono responsabili in solido nei confronti della stazione appaltante in relazione alle prestazioni oggetto del contratto” (comma 5);</w:t>
      </w:r>
    </w:p>
    <w:p w14:paraId="3C7D04EA" w14:textId="77777777" w:rsidR="00B52BC2" w:rsidRPr="00792946" w:rsidRDefault="00B52BC2" w:rsidP="00347275">
      <w:pPr>
        <w:spacing w:after="0" w:line="360" w:lineRule="auto"/>
        <w:ind w:firstLine="708"/>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“il contratto è in ogni caso eseguito dall</w:t>
      </w:r>
      <w:r w:rsidR="000E12E3"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impresa che partecipa alla gara” (comma 8).</w:t>
      </w:r>
    </w:p>
    <w:p w14:paraId="233248F8" w14:textId="77777777" w:rsidR="00853CD9" w:rsidRPr="00792946" w:rsidRDefault="00B73170"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N</w:t>
      </w:r>
      <w:r w:rsidR="00C23408" w:rsidRPr="00792946">
        <w:rPr>
          <w:rFonts w:ascii="Palatino Linotype" w:eastAsia="Times New Roman" w:hAnsi="Palatino Linotype" w:cs="Times New Roman"/>
          <w:sz w:val="20"/>
          <w:szCs w:val="20"/>
          <w:lang w:eastAsia="it-IT"/>
        </w:rPr>
        <w:t xml:space="preserve">el </w:t>
      </w:r>
      <w:r w:rsidR="00D66BE9">
        <w:rPr>
          <w:rFonts w:ascii="Palatino Linotype" w:eastAsia="Times New Roman" w:hAnsi="Palatino Linotype" w:cs="Times New Roman"/>
          <w:sz w:val="20"/>
          <w:szCs w:val="20"/>
          <w:lang w:eastAsia="it-IT"/>
        </w:rPr>
        <w:t>quadr</w:t>
      </w:r>
      <w:r w:rsidR="00C23408" w:rsidRPr="00792946">
        <w:rPr>
          <w:rFonts w:ascii="Palatino Linotype" w:eastAsia="Times New Roman" w:hAnsi="Palatino Linotype" w:cs="Times New Roman"/>
          <w:sz w:val="20"/>
          <w:szCs w:val="20"/>
          <w:lang w:eastAsia="it-IT"/>
        </w:rPr>
        <w:t xml:space="preserve">o </w:t>
      </w:r>
      <w:r w:rsidR="000A381C" w:rsidRPr="00792946">
        <w:rPr>
          <w:rFonts w:ascii="Palatino Linotype" w:eastAsia="Times New Roman" w:hAnsi="Palatino Linotype" w:cs="Times New Roman"/>
          <w:sz w:val="20"/>
          <w:szCs w:val="20"/>
          <w:lang w:eastAsia="it-IT"/>
        </w:rPr>
        <w:t xml:space="preserve">normativo </w:t>
      </w:r>
      <w:r w:rsidR="00C23408" w:rsidRPr="00792946">
        <w:rPr>
          <w:rFonts w:ascii="Palatino Linotype" w:eastAsia="Times New Roman" w:hAnsi="Palatino Linotype" w:cs="Times New Roman"/>
          <w:sz w:val="20"/>
          <w:szCs w:val="20"/>
          <w:lang w:eastAsia="it-IT"/>
        </w:rPr>
        <w:t>dato, l’impresa ausiliaria</w:t>
      </w:r>
      <w:r w:rsidR="00F27070" w:rsidRPr="00792946">
        <w:rPr>
          <w:rFonts w:ascii="Palatino Linotype" w:eastAsia="Times New Roman" w:hAnsi="Palatino Linotype" w:cs="Times New Roman"/>
          <w:sz w:val="20"/>
          <w:szCs w:val="20"/>
          <w:lang w:eastAsia="it-IT"/>
        </w:rPr>
        <w:t xml:space="preserve"> </w:t>
      </w:r>
      <w:r w:rsidR="00C23408" w:rsidRPr="00792946">
        <w:rPr>
          <w:rFonts w:ascii="Palatino Linotype" w:eastAsia="Times New Roman" w:hAnsi="Palatino Linotype" w:cs="Times New Roman"/>
          <w:sz w:val="20"/>
          <w:szCs w:val="20"/>
          <w:lang w:eastAsia="it-IT"/>
        </w:rPr>
        <w:t>rimane estranea all</w:t>
      </w:r>
      <w:r w:rsidR="000A381C" w:rsidRPr="00792946">
        <w:rPr>
          <w:rFonts w:ascii="Palatino Linotype" w:eastAsia="Times New Roman" w:hAnsi="Palatino Linotype" w:cs="Times New Roman"/>
          <w:sz w:val="20"/>
          <w:szCs w:val="20"/>
          <w:lang w:eastAsia="it-IT"/>
        </w:rPr>
        <w:t>a vicenda dell’aggiudicazione e</w:t>
      </w:r>
      <w:r w:rsidR="00C23408" w:rsidRPr="00792946">
        <w:rPr>
          <w:rFonts w:ascii="Palatino Linotype" w:eastAsia="Times New Roman" w:hAnsi="Palatino Linotype" w:cs="Times New Roman"/>
          <w:sz w:val="20"/>
          <w:szCs w:val="20"/>
          <w:lang w:eastAsia="it-IT"/>
        </w:rPr>
        <w:t>d</w:t>
      </w:r>
      <w:r w:rsidR="000A381C" w:rsidRPr="00792946">
        <w:rPr>
          <w:rFonts w:ascii="Palatino Linotype" w:eastAsia="Times New Roman" w:hAnsi="Palatino Linotype" w:cs="Times New Roman"/>
          <w:sz w:val="20"/>
          <w:szCs w:val="20"/>
          <w:lang w:eastAsia="it-IT"/>
        </w:rPr>
        <w:t xml:space="preserve"> a</w:t>
      </w:r>
      <w:r w:rsidR="00C23408" w:rsidRPr="00792946">
        <w:rPr>
          <w:rFonts w:ascii="Palatino Linotype" w:eastAsia="Times New Roman" w:hAnsi="Palatino Linotype" w:cs="Times New Roman"/>
          <w:sz w:val="20"/>
          <w:szCs w:val="20"/>
          <w:lang w:eastAsia="it-IT"/>
        </w:rPr>
        <w:t xml:space="preserve">l conseguente contratto di appalto, </w:t>
      </w:r>
      <w:r w:rsidRPr="00792946">
        <w:rPr>
          <w:rFonts w:ascii="Palatino Linotype" w:eastAsia="Times New Roman" w:hAnsi="Palatino Linotype" w:cs="Times New Roman"/>
          <w:sz w:val="20"/>
          <w:szCs w:val="20"/>
          <w:lang w:eastAsia="it-IT"/>
        </w:rPr>
        <w:t>sebben</w:t>
      </w:r>
      <w:r w:rsidR="00C23408" w:rsidRPr="00792946">
        <w:rPr>
          <w:rFonts w:ascii="Palatino Linotype" w:eastAsia="Times New Roman" w:hAnsi="Palatino Linotype" w:cs="Times New Roman"/>
          <w:sz w:val="20"/>
          <w:szCs w:val="20"/>
          <w:lang w:eastAsia="it-IT"/>
        </w:rPr>
        <w:t>e la legge fissi una forma di responsabilità solidale</w:t>
      </w:r>
      <w:r w:rsidR="007F2DE0">
        <w:rPr>
          <w:rFonts w:ascii="Palatino Linotype" w:eastAsia="Times New Roman" w:hAnsi="Palatino Linotype" w:cs="Times New Roman"/>
          <w:sz w:val="20"/>
          <w:szCs w:val="20"/>
          <w:lang w:eastAsia="it-IT"/>
        </w:rPr>
        <w:t>,</w:t>
      </w:r>
      <w:r w:rsidR="00C23408" w:rsidRPr="00792946">
        <w:rPr>
          <w:rFonts w:ascii="Palatino Linotype" w:eastAsia="Times New Roman" w:hAnsi="Palatino Linotype" w:cs="Times New Roman"/>
          <w:sz w:val="20"/>
          <w:szCs w:val="20"/>
          <w:lang w:eastAsia="it-IT"/>
        </w:rPr>
        <w:t xml:space="preserve"> che viene assunta in adempimento del contratto di avvalimento e</w:t>
      </w:r>
      <w:r w:rsidR="00F27070" w:rsidRPr="00792946">
        <w:rPr>
          <w:rFonts w:ascii="Palatino Linotype" w:eastAsia="Times New Roman" w:hAnsi="Palatino Linotype" w:cs="Times New Roman"/>
          <w:sz w:val="20"/>
          <w:szCs w:val="20"/>
          <w:lang w:eastAsia="it-IT"/>
        </w:rPr>
        <w:t xml:space="preserve"> che,</w:t>
      </w:r>
      <w:r w:rsidR="00C23408" w:rsidRPr="00792946">
        <w:rPr>
          <w:rFonts w:ascii="Palatino Linotype" w:eastAsia="Times New Roman" w:hAnsi="Palatino Linotype" w:cs="Times New Roman"/>
          <w:sz w:val="20"/>
          <w:szCs w:val="20"/>
          <w:lang w:eastAsia="it-IT"/>
        </w:rPr>
        <w:t xml:space="preserve"> al tempo stesso</w:t>
      </w:r>
      <w:r w:rsidR="00F27070" w:rsidRPr="00792946">
        <w:rPr>
          <w:rFonts w:ascii="Palatino Linotype" w:eastAsia="Times New Roman" w:hAnsi="Palatino Linotype" w:cs="Times New Roman"/>
          <w:sz w:val="20"/>
          <w:szCs w:val="20"/>
          <w:lang w:eastAsia="it-IT"/>
        </w:rPr>
        <w:t>,</w:t>
      </w:r>
      <w:r w:rsidR="00C23408" w:rsidRPr="00792946">
        <w:rPr>
          <w:rFonts w:ascii="Palatino Linotype" w:eastAsia="Times New Roman" w:hAnsi="Palatino Linotype" w:cs="Times New Roman"/>
          <w:sz w:val="20"/>
          <w:szCs w:val="20"/>
          <w:lang w:eastAsia="it-IT"/>
        </w:rPr>
        <w:t xml:space="preserve"> è la riprova d</w:t>
      </w:r>
      <w:r w:rsidR="0020414D" w:rsidRPr="00792946">
        <w:rPr>
          <w:rFonts w:ascii="Palatino Linotype" w:eastAsia="Times New Roman" w:hAnsi="Palatino Linotype" w:cs="Times New Roman"/>
          <w:sz w:val="20"/>
          <w:szCs w:val="20"/>
          <w:lang w:eastAsia="it-IT"/>
        </w:rPr>
        <w:t>ell</w:t>
      </w:r>
      <w:r w:rsidR="00C23408" w:rsidRPr="00792946">
        <w:rPr>
          <w:rFonts w:ascii="Palatino Linotype" w:eastAsia="Times New Roman" w:hAnsi="Palatino Linotype" w:cs="Times New Roman"/>
          <w:sz w:val="20"/>
          <w:szCs w:val="20"/>
          <w:lang w:eastAsia="it-IT"/>
        </w:rPr>
        <w:t>a soggettività separata e distinta</w:t>
      </w:r>
      <w:r w:rsidR="0020414D" w:rsidRPr="00792946">
        <w:rPr>
          <w:rFonts w:ascii="Palatino Linotype" w:eastAsia="Times New Roman" w:hAnsi="Palatino Linotype" w:cs="Times New Roman"/>
          <w:sz w:val="20"/>
          <w:szCs w:val="20"/>
          <w:lang w:eastAsia="it-IT"/>
        </w:rPr>
        <w:t xml:space="preserve"> dell’ausiliario rispetto all’ausiliato</w:t>
      </w:r>
      <w:r w:rsidR="00C23408" w:rsidRPr="00792946">
        <w:rPr>
          <w:rFonts w:ascii="Palatino Linotype" w:eastAsia="Times New Roman" w:hAnsi="Palatino Linotype" w:cs="Times New Roman"/>
          <w:sz w:val="20"/>
          <w:szCs w:val="20"/>
          <w:lang w:eastAsia="it-IT"/>
        </w:rPr>
        <w:t>.</w:t>
      </w:r>
    </w:p>
    <w:p w14:paraId="5B262244" w14:textId="77777777" w:rsidR="00C23408" w:rsidRPr="00792946" w:rsidRDefault="00E7218A"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Ta</w:t>
      </w:r>
      <w:r w:rsidR="00C23408" w:rsidRPr="00792946">
        <w:rPr>
          <w:rFonts w:ascii="Palatino Linotype" w:eastAsia="Times New Roman" w:hAnsi="Palatino Linotype" w:cs="Times New Roman"/>
          <w:sz w:val="20"/>
          <w:szCs w:val="20"/>
          <w:lang w:eastAsia="it-IT"/>
        </w:rPr>
        <w:t>l</w:t>
      </w:r>
      <w:r w:rsidRPr="00792946">
        <w:rPr>
          <w:rFonts w:ascii="Palatino Linotype" w:eastAsia="Times New Roman" w:hAnsi="Palatino Linotype" w:cs="Times New Roman"/>
          <w:sz w:val="20"/>
          <w:szCs w:val="20"/>
          <w:lang w:eastAsia="it-IT"/>
        </w:rPr>
        <w:t>e</w:t>
      </w:r>
      <w:r w:rsidR="00C23408" w:rsidRPr="00792946">
        <w:rPr>
          <w:rFonts w:ascii="Palatino Linotype" w:eastAsia="Times New Roman" w:hAnsi="Palatino Linotype" w:cs="Times New Roman"/>
          <w:sz w:val="20"/>
          <w:szCs w:val="20"/>
          <w:lang w:eastAsia="it-IT"/>
        </w:rPr>
        <w:t xml:space="preserve"> contratto</w:t>
      </w:r>
      <w:r w:rsidR="0020414D" w:rsidRPr="00792946">
        <w:rPr>
          <w:rFonts w:ascii="Palatino Linotype" w:eastAsia="Times New Roman" w:hAnsi="Palatino Linotype" w:cs="Times New Roman"/>
          <w:sz w:val="20"/>
          <w:szCs w:val="20"/>
          <w:lang w:eastAsia="it-IT"/>
        </w:rPr>
        <w:t xml:space="preserve"> ha</w:t>
      </w:r>
      <w:r w:rsidR="00C23408" w:rsidRPr="00792946">
        <w:rPr>
          <w:rFonts w:ascii="Palatino Linotype" w:eastAsia="Times New Roman" w:hAnsi="Palatino Linotype" w:cs="Times New Roman"/>
          <w:sz w:val="20"/>
          <w:szCs w:val="20"/>
          <w:lang w:eastAsia="it-IT"/>
        </w:rPr>
        <w:t xml:space="preserve"> </w:t>
      </w:r>
      <w:r w:rsidR="00451D2E">
        <w:rPr>
          <w:rFonts w:ascii="Palatino Linotype" w:eastAsia="Times New Roman" w:hAnsi="Palatino Linotype" w:cs="Times New Roman"/>
          <w:sz w:val="20"/>
          <w:szCs w:val="20"/>
          <w:lang w:eastAsia="it-IT"/>
        </w:rPr>
        <w:t>per</w:t>
      </w:r>
      <w:r w:rsidR="00C23408" w:rsidRPr="00792946">
        <w:rPr>
          <w:rFonts w:ascii="Palatino Linotype" w:eastAsia="Times New Roman" w:hAnsi="Palatino Linotype" w:cs="Times New Roman"/>
          <w:sz w:val="20"/>
          <w:szCs w:val="20"/>
          <w:lang w:eastAsia="it-IT"/>
        </w:rPr>
        <w:t xml:space="preserve"> contenuto la promessa dell’obbligazione </w:t>
      </w:r>
      <w:r w:rsidR="00F27070" w:rsidRPr="00792946">
        <w:rPr>
          <w:rFonts w:ascii="Palatino Linotype" w:eastAsia="Times New Roman" w:hAnsi="Palatino Linotype" w:cs="Times New Roman"/>
          <w:sz w:val="20"/>
          <w:szCs w:val="20"/>
          <w:lang w:eastAsia="it-IT"/>
        </w:rPr>
        <w:t xml:space="preserve">– </w:t>
      </w:r>
      <w:r w:rsidR="00C23408" w:rsidRPr="00792946">
        <w:rPr>
          <w:rFonts w:ascii="Palatino Linotype" w:eastAsia="Times New Roman" w:hAnsi="Palatino Linotype" w:cs="Times New Roman"/>
          <w:sz w:val="20"/>
          <w:szCs w:val="20"/>
          <w:lang w:eastAsia="it-IT"/>
        </w:rPr>
        <w:t>o fatto</w:t>
      </w:r>
      <w:r w:rsidR="00F27070" w:rsidRPr="00792946">
        <w:rPr>
          <w:rFonts w:ascii="Palatino Linotype" w:eastAsia="Times New Roman" w:hAnsi="Palatino Linotype" w:cs="Times New Roman"/>
          <w:sz w:val="20"/>
          <w:szCs w:val="20"/>
          <w:lang w:eastAsia="it-IT"/>
        </w:rPr>
        <w:t xml:space="preserve"> –</w:t>
      </w:r>
      <w:r w:rsidR="00C23408" w:rsidRPr="00792946">
        <w:rPr>
          <w:rFonts w:ascii="Palatino Linotype" w:eastAsia="Times New Roman" w:hAnsi="Palatino Linotype" w:cs="Times New Roman"/>
          <w:sz w:val="20"/>
          <w:szCs w:val="20"/>
          <w:lang w:eastAsia="it-IT"/>
        </w:rPr>
        <w:t xml:space="preserve"> del terzo (art. 1381 c.c.) e la dichiarazione </w:t>
      </w:r>
      <w:r w:rsidR="00F27070" w:rsidRPr="00792946">
        <w:rPr>
          <w:rFonts w:ascii="Palatino Linotype" w:eastAsia="Times New Roman" w:hAnsi="Palatino Linotype" w:cs="Times New Roman"/>
          <w:sz w:val="20"/>
          <w:szCs w:val="20"/>
          <w:lang w:eastAsia="it-IT"/>
        </w:rPr>
        <w:t xml:space="preserve">d’impegno </w:t>
      </w:r>
      <w:r w:rsidR="00C23408" w:rsidRPr="00792946">
        <w:rPr>
          <w:rFonts w:ascii="Palatino Linotype" w:eastAsia="Times New Roman" w:hAnsi="Palatino Linotype" w:cs="Times New Roman"/>
          <w:sz w:val="20"/>
          <w:szCs w:val="20"/>
          <w:lang w:eastAsia="it-IT"/>
        </w:rPr>
        <w:t xml:space="preserve">dell’ausiliario verso la stazione appaltante ne </w:t>
      </w:r>
      <w:r w:rsidR="00C23408" w:rsidRPr="00792946">
        <w:rPr>
          <w:rFonts w:ascii="Palatino Linotype" w:eastAsia="Times New Roman" w:hAnsi="Palatino Linotype" w:cs="Times New Roman"/>
          <w:sz w:val="20"/>
          <w:szCs w:val="20"/>
          <w:lang w:eastAsia="it-IT"/>
        </w:rPr>
        <w:lastRenderedPageBreak/>
        <w:t>costituisce l’esecuzione; senza tale dichiarazione</w:t>
      </w:r>
      <w:r w:rsidR="0020414D" w:rsidRPr="00792946">
        <w:rPr>
          <w:rFonts w:ascii="Palatino Linotype" w:eastAsia="Times New Roman" w:hAnsi="Palatino Linotype" w:cs="Times New Roman"/>
          <w:sz w:val="20"/>
          <w:szCs w:val="20"/>
          <w:lang w:eastAsia="it-IT"/>
        </w:rPr>
        <w:t>,</w:t>
      </w:r>
      <w:r w:rsidR="00C23408" w:rsidRPr="00792946">
        <w:rPr>
          <w:rFonts w:ascii="Palatino Linotype" w:eastAsia="Times New Roman" w:hAnsi="Palatino Linotype" w:cs="Times New Roman"/>
          <w:sz w:val="20"/>
          <w:szCs w:val="20"/>
          <w:lang w:eastAsia="it-IT"/>
        </w:rPr>
        <w:t xml:space="preserve"> la stazione appaltante </w:t>
      </w:r>
      <w:r w:rsidRPr="00792946">
        <w:rPr>
          <w:rFonts w:ascii="Palatino Linotype" w:eastAsia="Times New Roman" w:hAnsi="Palatino Linotype" w:cs="Times New Roman"/>
          <w:sz w:val="20"/>
          <w:szCs w:val="20"/>
          <w:lang w:eastAsia="it-IT"/>
        </w:rPr>
        <w:t>non potrebbe</w:t>
      </w:r>
      <w:r w:rsidR="00C23408" w:rsidRPr="00792946">
        <w:rPr>
          <w:rFonts w:ascii="Palatino Linotype" w:eastAsia="Times New Roman" w:hAnsi="Palatino Linotype" w:cs="Times New Roman"/>
          <w:sz w:val="20"/>
          <w:szCs w:val="20"/>
          <w:lang w:eastAsia="it-IT"/>
        </w:rPr>
        <w:t xml:space="preserve"> pretendere il coinvolgimento dell’ausiliaria nell’esecuzione del contratto</w:t>
      </w:r>
      <w:r w:rsidR="00451D2E">
        <w:rPr>
          <w:rFonts w:ascii="Palatino Linotype" w:eastAsia="Times New Roman" w:hAnsi="Palatino Linotype" w:cs="Times New Roman"/>
          <w:sz w:val="20"/>
          <w:szCs w:val="20"/>
          <w:lang w:eastAsia="it-IT"/>
        </w:rPr>
        <w:t>,</w:t>
      </w:r>
      <w:r w:rsidR="00C23408" w:rsidRPr="00792946">
        <w:rPr>
          <w:rFonts w:ascii="Palatino Linotype" w:eastAsia="Times New Roman" w:hAnsi="Palatino Linotype" w:cs="Times New Roman"/>
          <w:sz w:val="20"/>
          <w:szCs w:val="20"/>
          <w:lang w:eastAsia="it-IT"/>
        </w:rPr>
        <w:t xml:space="preserve"> attraverso la messa a disposizione dei mezzi e delle qualifiche e men che meno </w:t>
      </w:r>
      <w:r w:rsidR="00451D2E">
        <w:rPr>
          <w:rFonts w:ascii="Palatino Linotype" w:eastAsia="Times New Roman" w:hAnsi="Palatino Linotype" w:cs="Times New Roman"/>
          <w:sz w:val="20"/>
          <w:szCs w:val="20"/>
          <w:lang w:eastAsia="it-IT"/>
        </w:rPr>
        <w:t>opere</w:t>
      </w:r>
      <w:r w:rsidR="00C23408" w:rsidRPr="00792946">
        <w:rPr>
          <w:rFonts w:ascii="Palatino Linotype" w:eastAsia="Times New Roman" w:hAnsi="Palatino Linotype" w:cs="Times New Roman"/>
          <w:sz w:val="20"/>
          <w:szCs w:val="20"/>
          <w:lang w:eastAsia="it-IT"/>
        </w:rPr>
        <w:t>re</w:t>
      </w:r>
      <w:r w:rsidR="00451D2E">
        <w:rPr>
          <w:rFonts w:ascii="Palatino Linotype" w:eastAsia="Times New Roman" w:hAnsi="Palatino Linotype" w:cs="Times New Roman"/>
          <w:sz w:val="20"/>
          <w:szCs w:val="20"/>
          <w:lang w:eastAsia="it-IT"/>
        </w:rPr>
        <w:t xml:space="preserve">bbe la responsabilità solidale. </w:t>
      </w:r>
      <w:r w:rsidR="00C23408" w:rsidRPr="00792946">
        <w:rPr>
          <w:rFonts w:ascii="Palatino Linotype" w:eastAsia="Times New Roman" w:hAnsi="Palatino Linotype" w:cs="Times New Roman"/>
          <w:sz w:val="20"/>
          <w:szCs w:val="20"/>
          <w:lang w:eastAsia="it-IT"/>
        </w:rPr>
        <w:t>La dichiarazione dell’ausiliaria costituisce il punto di contatto giuridico tra la fase negoziale e</w:t>
      </w:r>
      <w:r w:rsidRPr="00792946">
        <w:rPr>
          <w:rFonts w:ascii="Palatino Linotype" w:eastAsia="Times New Roman" w:hAnsi="Palatino Linotype" w:cs="Times New Roman"/>
          <w:sz w:val="20"/>
          <w:szCs w:val="20"/>
          <w:lang w:eastAsia="it-IT"/>
        </w:rPr>
        <w:t>d</w:t>
      </w:r>
      <w:r w:rsidR="00C23408" w:rsidRPr="00792946">
        <w:rPr>
          <w:rFonts w:ascii="Palatino Linotype" w:eastAsia="Times New Roman" w:hAnsi="Palatino Linotype" w:cs="Times New Roman"/>
          <w:sz w:val="20"/>
          <w:szCs w:val="20"/>
          <w:lang w:eastAsia="it-IT"/>
        </w:rPr>
        <w:t xml:space="preserve"> il subprocedimento dell’avvalimento che si apre nella fase dell’offerta di gara</w:t>
      </w:r>
      <w:r w:rsidR="00F27070" w:rsidRPr="00792946">
        <w:rPr>
          <w:rStyle w:val="Rimandonotaapidipagina"/>
          <w:rFonts w:ascii="Palatino Linotype" w:eastAsia="Times New Roman" w:hAnsi="Palatino Linotype" w:cs="Times New Roman"/>
          <w:sz w:val="20"/>
          <w:szCs w:val="20"/>
          <w:lang w:eastAsia="it-IT"/>
        </w:rPr>
        <w:footnoteReference w:id="3"/>
      </w:r>
      <w:r w:rsidR="00C23408" w:rsidRPr="00792946">
        <w:rPr>
          <w:rFonts w:ascii="Palatino Linotype" w:eastAsia="Times New Roman" w:hAnsi="Palatino Linotype" w:cs="Times New Roman"/>
          <w:sz w:val="20"/>
          <w:szCs w:val="20"/>
          <w:lang w:eastAsia="it-IT"/>
        </w:rPr>
        <w:t xml:space="preserve">. </w:t>
      </w:r>
    </w:p>
    <w:p w14:paraId="60FD722D" w14:textId="77777777" w:rsidR="00C429EB" w:rsidRPr="00792946" w:rsidRDefault="00F27070"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L’</w:t>
      </w:r>
      <w:r w:rsidR="00C23BE9" w:rsidRPr="00792946">
        <w:rPr>
          <w:rFonts w:ascii="Palatino Linotype" w:eastAsia="Times New Roman" w:hAnsi="Palatino Linotype" w:cs="Times New Roman"/>
          <w:sz w:val="20"/>
          <w:szCs w:val="20"/>
          <w:lang w:eastAsia="it-IT"/>
        </w:rPr>
        <w:t xml:space="preserve">istituto </w:t>
      </w:r>
      <w:r w:rsidRPr="00792946">
        <w:rPr>
          <w:rFonts w:ascii="Palatino Linotype" w:eastAsia="Times New Roman" w:hAnsi="Palatino Linotype" w:cs="Times New Roman"/>
          <w:sz w:val="20"/>
          <w:szCs w:val="20"/>
          <w:lang w:eastAsia="it-IT"/>
        </w:rPr>
        <w:t xml:space="preserve">è un precipitato </w:t>
      </w:r>
      <w:r w:rsidR="00C23BE9" w:rsidRPr="00792946">
        <w:rPr>
          <w:rFonts w:ascii="Palatino Linotype" w:eastAsia="Times New Roman" w:hAnsi="Palatino Linotype" w:cs="Times New Roman"/>
          <w:sz w:val="20"/>
          <w:szCs w:val="20"/>
          <w:lang w:eastAsia="it-IT"/>
        </w:rPr>
        <w:t>del</w:t>
      </w:r>
      <w:r w:rsidRPr="00792946">
        <w:rPr>
          <w:rFonts w:ascii="Palatino Linotype" w:eastAsia="Times New Roman" w:hAnsi="Palatino Linotype" w:cs="Times New Roman"/>
          <w:sz w:val="20"/>
          <w:szCs w:val="20"/>
          <w:lang w:eastAsia="it-IT"/>
        </w:rPr>
        <w:t xml:space="preserve"> dirit</w:t>
      </w:r>
      <w:r w:rsidR="00C23BE9" w:rsidRPr="00792946">
        <w:rPr>
          <w:rFonts w:ascii="Palatino Linotype" w:eastAsia="Times New Roman" w:hAnsi="Palatino Linotype" w:cs="Times New Roman"/>
          <w:sz w:val="20"/>
          <w:szCs w:val="20"/>
          <w:lang w:eastAsia="it-IT"/>
        </w:rPr>
        <w:t xml:space="preserve">to dell’Unione </w:t>
      </w:r>
      <w:r w:rsidR="00E31626" w:rsidRPr="00792946">
        <w:rPr>
          <w:rFonts w:ascii="Palatino Linotype" w:eastAsia="Times New Roman" w:hAnsi="Palatino Linotype" w:cs="Times New Roman"/>
          <w:sz w:val="20"/>
          <w:szCs w:val="20"/>
          <w:lang w:eastAsia="it-IT"/>
        </w:rPr>
        <w:t>e</w:t>
      </w:r>
      <w:r w:rsidR="00C23BE9" w:rsidRPr="00792946">
        <w:rPr>
          <w:rFonts w:ascii="Palatino Linotype" w:eastAsia="Times New Roman" w:hAnsi="Palatino Linotype" w:cs="Times New Roman"/>
          <w:sz w:val="20"/>
          <w:szCs w:val="20"/>
          <w:lang w:eastAsia="it-IT"/>
        </w:rPr>
        <w:t>uropea</w:t>
      </w:r>
      <w:r w:rsidR="000C6FE0" w:rsidRPr="00792946">
        <w:rPr>
          <w:rStyle w:val="Rimandonotaapidipagina"/>
          <w:rFonts w:ascii="Palatino Linotype" w:eastAsia="Times New Roman" w:hAnsi="Palatino Linotype" w:cs="Times New Roman"/>
          <w:sz w:val="20"/>
          <w:szCs w:val="20"/>
          <w:lang w:eastAsia="it-IT"/>
        </w:rPr>
        <w:footnoteReference w:id="4"/>
      </w:r>
      <w:r w:rsidR="0020414D" w:rsidRPr="00792946">
        <w:rPr>
          <w:rFonts w:ascii="Palatino Linotype" w:eastAsia="Times New Roman" w:hAnsi="Palatino Linotype" w:cs="Times New Roman"/>
          <w:sz w:val="20"/>
          <w:szCs w:val="20"/>
          <w:lang w:eastAsia="it-IT"/>
        </w:rPr>
        <w:t>,</w:t>
      </w:r>
      <w:r w:rsidR="00C23BE9"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 xml:space="preserve">la </w:t>
      </w:r>
      <w:r w:rsidR="0020414D" w:rsidRPr="00792946">
        <w:rPr>
          <w:rFonts w:ascii="Palatino Linotype" w:eastAsia="Times New Roman" w:hAnsi="Palatino Linotype" w:cs="Times New Roman"/>
          <w:sz w:val="20"/>
          <w:szCs w:val="20"/>
          <w:lang w:eastAsia="it-IT"/>
        </w:rPr>
        <w:t>cui</w:t>
      </w:r>
      <w:r w:rsidRPr="00792946">
        <w:rPr>
          <w:rFonts w:ascii="Palatino Linotype" w:eastAsia="Times New Roman" w:hAnsi="Palatino Linotype" w:cs="Times New Roman"/>
          <w:sz w:val="20"/>
          <w:szCs w:val="20"/>
          <w:lang w:eastAsia="it-IT"/>
        </w:rPr>
        <w:t xml:space="preserve"> </w:t>
      </w:r>
      <w:r w:rsidR="003D2DA3" w:rsidRPr="00792946">
        <w:rPr>
          <w:rFonts w:ascii="Palatino Linotype" w:eastAsia="Times New Roman" w:hAnsi="Palatino Linotype" w:cs="Times New Roman"/>
          <w:sz w:val="20"/>
          <w:szCs w:val="20"/>
          <w:lang w:eastAsia="it-IT"/>
        </w:rPr>
        <w:t xml:space="preserve">logica </w:t>
      </w:r>
      <w:r w:rsidR="00B73170" w:rsidRPr="00792946">
        <w:rPr>
          <w:rFonts w:ascii="Palatino Linotype" w:eastAsia="Times New Roman" w:hAnsi="Palatino Linotype" w:cs="Times New Roman"/>
          <w:sz w:val="20"/>
          <w:szCs w:val="20"/>
          <w:lang w:eastAsia="it-IT"/>
        </w:rPr>
        <w:t xml:space="preserve">pro-concorrenziale, </w:t>
      </w:r>
      <w:r w:rsidR="00C429EB" w:rsidRPr="00792946">
        <w:rPr>
          <w:rFonts w:ascii="Palatino Linotype" w:eastAsia="Times New Roman" w:hAnsi="Palatino Linotype" w:cs="Times New Roman"/>
          <w:sz w:val="20"/>
          <w:szCs w:val="20"/>
          <w:lang w:eastAsia="it-IT"/>
        </w:rPr>
        <w:t xml:space="preserve">individuata </w:t>
      </w:r>
      <w:r w:rsidR="003D2DA3" w:rsidRPr="00792946">
        <w:rPr>
          <w:rFonts w:ascii="Palatino Linotype" w:eastAsia="Times New Roman" w:hAnsi="Palatino Linotype" w:cs="Times New Roman"/>
          <w:sz w:val="20"/>
          <w:szCs w:val="20"/>
          <w:lang w:eastAsia="it-IT"/>
        </w:rPr>
        <w:t xml:space="preserve">dall’Adunanza </w:t>
      </w:r>
      <w:r w:rsidR="00D0458A" w:rsidRPr="00792946">
        <w:rPr>
          <w:rFonts w:ascii="Palatino Linotype" w:eastAsia="Times New Roman" w:hAnsi="Palatino Linotype" w:cs="Times New Roman"/>
          <w:sz w:val="20"/>
          <w:szCs w:val="20"/>
          <w:lang w:eastAsia="it-IT"/>
        </w:rPr>
        <w:t>p</w:t>
      </w:r>
      <w:r w:rsidR="003D2DA3" w:rsidRPr="00792946">
        <w:rPr>
          <w:rFonts w:ascii="Palatino Linotype" w:eastAsia="Times New Roman" w:hAnsi="Palatino Linotype" w:cs="Times New Roman"/>
          <w:sz w:val="20"/>
          <w:szCs w:val="20"/>
          <w:lang w:eastAsia="it-IT"/>
        </w:rPr>
        <w:t>lenaria del Consiglio di Stato</w:t>
      </w:r>
      <w:r w:rsidR="003D2DA3" w:rsidRPr="00792946">
        <w:rPr>
          <w:rStyle w:val="Rimandonotaapidipagina"/>
          <w:rFonts w:ascii="Palatino Linotype" w:eastAsia="Times New Roman" w:hAnsi="Palatino Linotype" w:cs="Times New Roman"/>
          <w:sz w:val="20"/>
          <w:szCs w:val="20"/>
          <w:lang w:eastAsia="it-IT"/>
        </w:rPr>
        <w:footnoteReference w:id="5"/>
      </w:r>
      <w:r w:rsidR="008E423F" w:rsidRPr="00792946">
        <w:rPr>
          <w:rFonts w:ascii="Palatino Linotype" w:eastAsia="Times New Roman" w:hAnsi="Palatino Linotype" w:cs="Times New Roman"/>
          <w:sz w:val="20"/>
          <w:szCs w:val="20"/>
          <w:lang w:eastAsia="it-IT"/>
        </w:rPr>
        <w:t xml:space="preserve"> mediante il richiamo </w:t>
      </w:r>
      <w:r w:rsidR="00451D2E">
        <w:rPr>
          <w:rFonts w:ascii="Palatino Linotype" w:eastAsia="Times New Roman" w:hAnsi="Palatino Linotype" w:cs="Times New Roman"/>
          <w:sz w:val="20"/>
          <w:szCs w:val="20"/>
          <w:lang w:eastAsia="it-IT"/>
        </w:rPr>
        <w:t>a precise</w:t>
      </w:r>
      <w:r w:rsidR="00E31626" w:rsidRPr="00792946">
        <w:rPr>
          <w:rFonts w:ascii="Palatino Linotype" w:eastAsia="Times New Roman" w:hAnsi="Palatino Linotype" w:cs="Times New Roman"/>
          <w:sz w:val="20"/>
          <w:szCs w:val="20"/>
          <w:lang w:eastAsia="it-IT"/>
        </w:rPr>
        <w:t xml:space="preserve"> </w:t>
      </w:r>
      <w:r w:rsidR="008E423F" w:rsidRPr="00792946">
        <w:rPr>
          <w:rFonts w:ascii="Palatino Linotype" w:eastAsia="Times New Roman" w:hAnsi="Palatino Linotype" w:cs="Times New Roman"/>
          <w:sz w:val="20"/>
          <w:szCs w:val="20"/>
          <w:lang w:eastAsia="it-IT"/>
        </w:rPr>
        <w:t xml:space="preserve">pronunce della Corte di </w:t>
      </w:r>
      <w:r w:rsidR="00E31626" w:rsidRPr="00792946">
        <w:rPr>
          <w:rFonts w:ascii="Palatino Linotype" w:eastAsia="Times New Roman" w:hAnsi="Palatino Linotype" w:cs="Times New Roman"/>
          <w:sz w:val="20"/>
          <w:szCs w:val="20"/>
          <w:lang w:eastAsia="it-IT"/>
        </w:rPr>
        <w:t>g</w:t>
      </w:r>
      <w:r w:rsidR="008E423F" w:rsidRPr="00792946">
        <w:rPr>
          <w:rFonts w:ascii="Palatino Linotype" w:eastAsia="Times New Roman" w:hAnsi="Palatino Linotype" w:cs="Times New Roman"/>
          <w:sz w:val="20"/>
          <w:szCs w:val="20"/>
          <w:lang w:eastAsia="it-IT"/>
        </w:rPr>
        <w:t>iustizia</w:t>
      </w:r>
      <w:r w:rsidRPr="00792946">
        <w:rPr>
          <w:rFonts w:ascii="Palatino Linotype" w:eastAsia="Times New Roman" w:hAnsi="Palatino Linotype" w:cs="Times New Roman"/>
          <w:sz w:val="20"/>
          <w:szCs w:val="20"/>
          <w:lang w:eastAsia="it-IT"/>
        </w:rPr>
        <w:t>,</w:t>
      </w:r>
      <w:r w:rsidR="00E31626"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mira a</w:t>
      </w:r>
      <w:r w:rsidR="003D2DA3" w:rsidRPr="00792946">
        <w:rPr>
          <w:rFonts w:ascii="Palatino Linotype" w:eastAsia="Times New Roman" w:hAnsi="Palatino Linotype" w:cs="Times New Roman"/>
          <w:sz w:val="20"/>
          <w:szCs w:val="20"/>
          <w:lang w:eastAsia="it-IT"/>
        </w:rPr>
        <w:t xml:space="preserve"> </w:t>
      </w:r>
      <w:r w:rsidR="00C429EB" w:rsidRPr="00792946">
        <w:rPr>
          <w:rFonts w:ascii="Palatino Linotype" w:eastAsia="Times New Roman" w:hAnsi="Palatino Linotype" w:cs="Times New Roman"/>
          <w:sz w:val="20"/>
          <w:szCs w:val="20"/>
          <w:lang w:eastAsia="it-IT"/>
        </w:rPr>
        <w:t xml:space="preserve">realizzare l’apertura </w:t>
      </w:r>
      <w:r w:rsidR="0020414D" w:rsidRPr="00792946">
        <w:rPr>
          <w:rFonts w:ascii="Palatino Linotype" w:eastAsia="Times New Roman" w:hAnsi="Palatino Linotype" w:cs="Times New Roman"/>
          <w:sz w:val="20"/>
          <w:szCs w:val="20"/>
          <w:lang w:eastAsia="it-IT"/>
        </w:rPr>
        <w:t xml:space="preserve">più ampia possibile del mercato </w:t>
      </w:r>
      <w:r w:rsidR="00C429EB" w:rsidRPr="00792946">
        <w:rPr>
          <w:rFonts w:ascii="Palatino Linotype" w:eastAsia="Times New Roman" w:hAnsi="Palatino Linotype" w:cs="Times New Roman"/>
          <w:sz w:val="20"/>
          <w:szCs w:val="20"/>
          <w:lang w:eastAsia="it-IT"/>
        </w:rPr>
        <w:t>degli appalti pubblici, facilitando in particolare l’accesso delle piccole e medie imprese, cui tende la direttiva 2004/2018, al considerando 32</w:t>
      </w:r>
      <w:r w:rsidR="00C429EB" w:rsidRPr="00792946">
        <w:rPr>
          <w:rStyle w:val="Rimandonotaapidipagina"/>
          <w:rFonts w:ascii="Palatino Linotype" w:eastAsia="Times New Roman" w:hAnsi="Palatino Linotype" w:cs="Times New Roman"/>
          <w:sz w:val="20"/>
          <w:szCs w:val="20"/>
          <w:lang w:eastAsia="it-IT"/>
        </w:rPr>
        <w:footnoteReference w:id="6"/>
      </w:r>
      <w:r w:rsidR="00C429EB" w:rsidRPr="00792946">
        <w:rPr>
          <w:rFonts w:ascii="Palatino Linotype" w:eastAsia="Times New Roman" w:hAnsi="Palatino Linotype" w:cs="Times New Roman"/>
          <w:sz w:val="20"/>
          <w:szCs w:val="20"/>
          <w:lang w:eastAsia="it-IT"/>
        </w:rPr>
        <w:t>.</w:t>
      </w:r>
    </w:p>
    <w:p w14:paraId="761222A1" w14:textId="77777777" w:rsidR="00C429EB" w:rsidRPr="00792946" w:rsidRDefault="00DD37EB"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Sul piano dell’ordinamento interno, i</w:t>
      </w:r>
      <w:r w:rsidR="0020414D" w:rsidRPr="00792946">
        <w:rPr>
          <w:rFonts w:ascii="Palatino Linotype" w:eastAsia="Times New Roman" w:hAnsi="Palatino Linotype" w:cs="Times New Roman"/>
          <w:sz w:val="20"/>
          <w:szCs w:val="20"/>
          <w:lang w:eastAsia="it-IT"/>
        </w:rPr>
        <w:t>l perseguimento di t</w:t>
      </w:r>
      <w:r w:rsidR="00C429EB" w:rsidRPr="00792946">
        <w:rPr>
          <w:rFonts w:ascii="Palatino Linotype" w:eastAsia="Times New Roman" w:hAnsi="Palatino Linotype" w:cs="Times New Roman"/>
          <w:sz w:val="20"/>
          <w:szCs w:val="20"/>
          <w:lang w:eastAsia="it-IT"/>
        </w:rPr>
        <w:t>ale obiettivo</w:t>
      </w:r>
      <w:r w:rsidR="0020414D" w:rsidRPr="00792946">
        <w:rPr>
          <w:rFonts w:ascii="Palatino Linotype" w:eastAsia="Times New Roman" w:hAnsi="Palatino Linotype" w:cs="Times New Roman"/>
          <w:sz w:val="20"/>
          <w:szCs w:val="20"/>
          <w:lang w:eastAsia="it-IT"/>
        </w:rPr>
        <w:t xml:space="preserve">, </w:t>
      </w:r>
      <w:r w:rsidR="00E7218A" w:rsidRPr="00792946">
        <w:rPr>
          <w:rFonts w:ascii="Palatino Linotype" w:eastAsia="Times New Roman" w:hAnsi="Palatino Linotype" w:cs="Times New Roman"/>
          <w:sz w:val="20"/>
          <w:szCs w:val="20"/>
          <w:lang w:eastAsia="it-IT"/>
        </w:rPr>
        <w:t xml:space="preserve">parimenti </w:t>
      </w:r>
      <w:r w:rsidR="00FC0734" w:rsidRPr="00792946">
        <w:rPr>
          <w:rFonts w:ascii="Palatino Linotype" w:eastAsia="Times New Roman" w:hAnsi="Palatino Linotype" w:cs="Times New Roman"/>
          <w:sz w:val="20"/>
          <w:szCs w:val="20"/>
          <w:lang w:eastAsia="it-IT"/>
        </w:rPr>
        <w:t>ascriv</w:t>
      </w:r>
      <w:r w:rsidR="00E7218A" w:rsidRPr="00792946">
        <w:rPr>
          <w:rFonts w:ascii="Palatino Linotype" w:eastAsia="Times New Roman" w:hAnsi="Palatino Linotype" w:cs="Times New Roman"/>
          <w:sz w:val="20"/>
          <w:szCs w:val="20"/>
          <w:lang w:eastAsia="it-IT"/>
        </w:rPr>
        <w:t>ibile</w:t>
      </w:r>
      <w:r w:rsidR="0020414D" w:rsidRPr="00792946">
        <w:rPr>
          <w:rFonts w:ascii="Palatino Linotype" w:eastAsia="Times New Roman" w:hAnsi="Palatino Linotype" w:cs="Times New Roman"/>
          <w:sz w:val="20"/>
          <w:szCs w:val="20"/>
          <w:lang w:eastAsia="it-IT"/>
        </w:rPr>
        <w:t xml:space="preserve"> </w:t>
      </w:r>
      <w:r w:rsidR="00C429EB" w:rsidRPr="00792946">
        <w:rPr>
          <w:rFonts w:ascii="Palatino Linotype" w:eastAsia="Times New Roman" w:hAnsi="Palatino Linotype" w:cs="Times New Roman"/>
          <w:sz w:val="20"/>
          <w:szCs w:val="20"/>
          <w:lang w:eastAsia="it-IT"/>
        </w:rPr>
        <w:t xml:space="preserve">a vantaggio </w:t>
      </w:r>
      <w:r w:rsidR="008E423F" w:rsidRPr="00792946">
        <w:rPr>
          <w:rFonts w:ascii="Palatino Linotype" w:eastAsia="Times New Roman" w:hAnsi="Palatino Linotype" w:cs="Times New Roman"/>
          <w:sz w:val="20"/>
          <w:szCs w:val="20"/>
          <w:lang w:eastAsia="it-IT"/>
        </w:rPr>
        <w:t>degli operatori economici</w:t>
      </w:r>
      <w:r w:rsidR="0020414D" w:rsidRPr="00792946">
        <w:rPr>
          <w:rFonts w:ascii="Palatino Linotype" w:eastAsia="Times New Roman" w:hAnsi="Palatino Linotype" w:cs="Times New Roman"/>
          <w:sz w:val="20"/>
          <w:szCs w:val="20"/>
          <w:lang w:eastAsia="it-IT"/>
        </w:rPr>
        <w:t xml:space="preserve"> e</w:t>
      </w:r>
      <w:r w:rsidR="008E423F" w:rsidRPr="00792946">
        <w:rPr>
          <w:rFonts w:ascii="Palatino Linotype" w:eastAsia="Times New Roman" w:hAnsi="Palatino Linotype" w:cs="Times New Roman"/>
          <w:sz w:val="20"/>
          <w:szCs w:val="20"/>
          <w:lang w:eastAsia="it-IT"/>
        </w:rPr>
        <w:t xml:space="preserve"> delle amministrazioni aggiudicatrici</w:t>
      </w:r>
      <w:r w:rsidR="008E423F" w:rsidRPr="00792946">
        <w:rPr>
          <w:rStyle w:val="Rimandonotaapidipagina"/>
          <w:rFonts w:ascii="Palatino Linotype" w:eastAsia="Times New Roman" w:hAnsi="Palatino Linotype" w:cs="Times New Roman"/>
          <w:sz w:val="20"/>
          <w:szCs w:val="20"/>
          <w:lang w:eastAsia="it-IT"/>
        </w:rPr>
        <w:footnoteReference w:id="7"/>
      </w:r>
      <w:r w:rsidR="0020414D"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genera</w:t>
      </w:r>
      <w:r w:rsidR="002958A9" w:rsidRPr="00792946">
        <w:rPr>
          <w:rFonts w:ascii="Palatino Linotype" w:eastAsia="Times New Roman" w:hAnsi="Palatino Linotype" w:cs="Times New Roman"/>
          <w:sz w:val="20"/>
          <w:szCs w:val="20"/>
          <w:lang w:eastAsia="it-IT"/>
        </w:rPr>
        <w:t xml:space="preserve"> un triplice </w:t>
      </w:r>
      <w:r w:rsidR="00E7218A" w:rsidRPr="00792946">
        <w:rPr>
          <w:rFonts w:ascii="Palatino Linotype" w:eastAsia="Times New Roman" w:hAnsi="Palatino Linotype" w:cs="Times New Roman"/>
          <w:sz w:val="20"/>
          <w:szCs w:val="20"/>
          <w:lang w:eastAsia="it-IT"/>
        </w:rPr>
        <w:t xml:space="preserve">ordine di </w:t>
      </w:r>
      <w:r w:rsidR="002958A9" w:rsidRPr="00792946">
        <w:rPr>
          <w:rFonts w:ascii="Palatino Linotype" w:eastAsia="Times New Roman" w:hAnsi="Palatino Linotype" w:cs="Times New Roman"/>
          <w:sz w:val="20"/>
          <w:szCs w:val="20"/>
          <w:lang w:eastAsia="it-IT"/>
        </w:rPr>
        <w:t>obblig</w:t>
      </w:r>
      <w:r w:rsidR="00E7218A" w:rsidRPr="00792946">
        <w:rPr>
          <w:rFonts w:ascii="Palatino Linotype" w:eastAsia="Times New Roman" w:hAnsi="Palatino Linotype" w:cs="Times New Roman"/>
          <w:sz w:val="20"/>
          <w:szCs w:val="20"/>
          <w:lang w:eastAsia="it-IT"/>
        </w:rPr>
        <w:t>hi</w:t>
      </w:r>
      <w:r w:rsidR="002958A9" w:rsidRPr="00792946">
        <w:rPr>
          <w:rFonts w:ascii="Palatino Linotype" w:eastAsia="Times New Roman" w:hAnsi="Palatino Linotype" w:cs="Times New Roman"/>
          <w:sz w:val="20"/>
          <w:szCs w:val="20"/>
          <w:lang w:eastAsia="it-IT"/>
        </w:rPr>
        <w:t>:</w:t>
      </w:r>
    </w:p>
    <w:p w14:paraId="30C7651D" w14:textId="77777777" w:rsidR="00A678EA" w:rsidRPr="00792946" w:rsidRDefault="00A678EA" w:rsidP="00347275">
      <w:pPr>
        <w:spacing w:after="0" w:line="360" w:lineRule="auto"/>
        <w:ind w:firstLine="708"/>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sulla pubblica amministrazione, nel senso di non introdurre in via discrezionale vincoli e limiti ulteriori e diversi;</w:t>
      </w:r>
    </w:p>
    <w:p w14:paraId="6C7ECF4A" w14:textId="77777777" w:rsidR="00A678EA" w:rsidRPr="00792946" w:rsidRDefault="00A678EA" w:rsidP="00347275">
      <w:pPr>
        <w:spacing w:after="0" w:line="360" w:lineRule="auto"/>
        <w:ind w:firstLine="708"/>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 sul giudice, nel senso di interpretare le categorie del diritto nazionale </w:t>
      </w:r>
      <w:r w:rsidR="00FC0734" w:rsidRPr="00792946">
        <w:rPr>
          <w:rFonts w:ascii="Palatino Linotype" w:eastAsia="Times New Roman" w:hAnsi="Palatino Linotype" w:cs="Times New Roman"/>
          <w:sz w:val="20"/>
          <w:szCs w:val="20"/>
          <w:lang w:eastAsia="it-IT"/>
        </w:rPr>
        <w:t xml:space="preserve">in modo conforme al diritto europeo </w:t>
      </w:r>
      <w:r w:rsidRPr="00792946">
        <w:rPr>
          <w:rFonts w:ascii="Palatino Linotype" w:eastAsia="Times New Roman" w:hAnsi="Palatino Linotype" w:cs="Times New Roman"/>
          <w:sz w:val="20"/>
          <w:szCs w:val="20"/>
          <w:lang w:eastAsia="it-IT"/>
        </w:rPr>
        <w:t>e di disapplicare la normativa interna in contrasto;</w:t>
      </w:r>
    </w:p>
    <w:p w14:paraId="57E34E34" w14:textId="77777777" w:rsidR="00A30C57" w:rsidRPr="00792946" w:rsidRDefault="00A30C57" w:rsidP="00347275">
      <w:pPr>
        <w:spacing w:after="0" w:line="360" w:lineRule="auto"/>
        <w:ind w:firstLine="708"/>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 sul legislatore nazionale, </w:t>
      </w:r>
      <w:r w:rsidR="005848DA" w:rsidRPr="00792946">
        <w:rPr>
          <w:rFonts w:ascii="Palatino Linotype" w:eastAsia="Times New Roman" w:hAnsi="Palatino Linotype" w:cs="Times New Roman"/>
          <w:sz w:val="20"/>
          <w:szCs w:val="20"/>
          <w:lang w:eastAsia="it-IT"/>
        </w:rPr>
        <w:t xml:space="preserve">nel senso di </w:t>
      </w:r>
      <w:r w:rsidR="00451D2E">
        <w:rPr>
          <w:rFonts w:ascii="Palatino Linotype" w:eastAsia="Times New Roman" w:hAnsi="Palatino Linotype" w:cs="Times New Roman"/>
          <w:sz w:val="20"/>
          <w:szCs w:val="20"/>
          <w:lang w:eastAsia="it-IT"/>
        </w:rPr>
        <w:t>appor</w:t>
      </w:r>
      <w:r w:rsidR="005848DA" w:rsidRPr="00792946">
        <w:rPr>
          <w:rFonts w:ascii="Palatino Linotype" w:eastAsia="Times New Roman" w:hAnsi="Palatino Linotype" w:cs="Times New Roman"/>
          <w:sz w:val="20"/>
          <w:szCs w:val="20"/>
          <w:lang w:eastAsia="it-IT"/>
        </w:rPr>
        <w:t>re</w:t>
      </w:r>
      <w:r w:rsidRPr="00792946">
        <w:rPr>
          <w:rFonts w:ascii="Palatino Linotype" w:eastAsia="Times New Roman" w:hAnsi="Palatino Linotype" w:cs="Times New Roman"/>
          <w:sz w:val="20"/>
          <w:szCs w:val="20"/>
          <w:lang w:eastAsia="it-IT"/>
        </w:rPr>
        <w:t xml:space="preserve"> solo in </w:t>
      </w:r>
      <w:r w:rsidR="00BA1D97"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casi eccezionali</w:t>
      </w:r>
      <w:r w:rsidR="00BA1D97"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vincoli e limiti normativi alla generale possibilità per</w:t>
      </w:r>
      <w:r w:rsidR="00451D2E">
        <w:rPr>
          <w:rFonts w:ascii="Palatino Linotype" w:eastAsia="Times New Roman" w:hAnsi="Palatino Linotype" w:cs="Times New Roman"/>
          <w:sz w:val="20"/>
          <w:szCs w:val="20"/>
          <w:lang w:eastAsia="it-IT"/>
        </w:rPr>
        <w:t xml:space="preserve"> gli operatori economici di far</w:t>
      </w:r>
      <w:r w:rsidRPr="00792946">
        <w:rPr>
          <w:rFonts w:ascii="Palatino Linotype" w:eastAsia="Times New Roman" w:hAnsi="Palatino Linotype" w:cs="Times New Roman"/>
          <w:sz w:val="20"/>
          <w:szCs w:val="20"/>
          <w:lang w:eastAsia="it-IT"/>
        </w:rPr>
        <w:t xml:space="preserve"> affidamento sulle capacità altr</w:t>
      </w:r>
      <w:r w:rsidR="00451D2E">
        <w:rPr>
          <w:rFonts w:ascii="Palatino Linotype" w:eastAsia="Times New Roman" w:hAnsi="Palatino Linotype" w:cs="Times New Roman"/>
          <w:sz w:val="20"/>
          <w:szCs w:val="20"/>
          <w:lang w:eastAsia="it-IT"/>
        </w:rPr>
        <w:t>u</w:t>
      </w:r>
      <w:r w:rsidRPr="00792946">
        <w:rPr>
          <w:rFonts w:ascii="Palatino Linotype" w:eastAsia="Times New Roman" w:hAnsi="Palatino Linotype" w:cs="Times New Roman"/>
          <w:sz w:val="20"/>
          <w:szCs w:val="20"/>
          <w:lang w:eastAsia="it-IT"/>
        </w:rPr>
        <w:t>i ai fini della partecipazione ad una gara pubblica d’appalto o concessione</w:t>
      </w:r>
      <w:r w:rsidRPr="00792946">
        <w:rPr>
          <w:rStyle w:val="Rimandonotaapidipagina"/>
          <w:rFonts w:ascii="Palatino Linotype" w:eastAsia="Times New Roman" w:hAnsi="Palatino Linotype" w:cs="Times New Roman"/>
          <w:sz w:val="20"/>
          <w:szCs w:val="20"/>
          <w:lang w:eastAsia="it-IT"/>
        </w:rPr>
        <w:footnoteReference w:id="8"/>
      </w:r>
      <w:r w:rsidR="00A678EA" w:rsidRPr="00792946">
        <w:rPr>
          <w:rFonts w:ascii="Palatino Linotype" w:eastAsia="Times New Roman" w:hAnsi="Palatino Linotype" w:cs="Times New Roman"/>
          <w:sz w:val="20"/>
          <w:szCs w:val="20"/>
          <w:lang w:eastAsia="it-IT"/>
        </w:rPr>
        <w:t>.</w:t>
      </w:r>
    </w:p>
    <w:p w14:paraId="463C18B3" w14:textId="77777777" w:rsidR="0076326B" w:rsidRPr="00792946" w:rsidRDefault="00FC0734"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Detti</w:t>
      </w:r>
      <w:r w:rsidR="00A678EA" w:rsidRPr="00792946">
        <w:rPr>
          <w:rFonts w:ascii="Palatino Linotype" w:eastAsia="Times New Roman" w:hAnsi="Palatino Linotype" w:cs="Times New Roman"/>
          <w:sz w:val="20"/>
          <w:szCs w:val="20"/>
          <w:lang w:eastAsia="it-IT"/>
        </w:rPr>
        <w:t xml:space="preserve"> </w:t>
      </w:r>
      <w:r w:rsidR="00BA1D97" w:rsidRPr="00792946">
        <w:rPr>
          <w:rFonts w:ascii="Palatino Linotype" w:eastAsia="Times New Roman" w:hAnsi="Palatino Linotype" w:cs="Times New Roman"/>
          <w:sz w:val="20"/>
          <w:szCs w:val="20"/>
          <w:lang w:eastAsia="it-IT"/>
        </w:rPr>
        <w:t>“</w:t>
      </w:r>
      <w:r w:rsidR="00A678EA" w:rsidRPr="00792946">
        <w:rPr>
          <w:rFonts w:ascii="Palatino Linotype" w:eastAsia="Times New Roman" w:hAnsi="Palatino Linotype" w:cs="Times New Roman"/>
          <w:sz w:val="20"/>
          <w:szCs w:val="20"/>
          <w:lang w:eastAsia="it-IT"/>
        </w:rPr>
        <w:t>casi eccezionali</w:t>
      </w:r>
      <w:r w:rsidR="00DA3C53" w:rsidRPr="00792946">
        <w:rPr>
          <w:rFonts w:ascii="Palatino Linotype" w:eastAsia="Times New Roman" w:hAnsi="Palatino Linotype" w:cs="Times New Roman"/>
          <w:sz w:val="20"/>
          <w:szCs w:val="20"/>
          <w:lang w:eastAsia="it-IT"/>
        </w:rPr>
        <w:t>”</w:t>
      </w:r>
      <w:r w:rsidR="00A678EA" w:rsidRPr="00792946">
        <w:rPr>
          <w:rFonts w:ascii="Palatino Linotype" w:eastAsia="Times New Roman" w:hAnsi="Palatino Linotype" w:cs="Times New Roman"/>
          <w:sz w:val="20"/>
          <w:szCs w:val="20"/>
          <w:lang w:eastAsia="it-IT"/>
        </w:rPr>
        <w:t xml:space="preserve"> </w:t>
      </w:r>
      <w:r w:rsidR="00900038">
        <w:rPr>
          <w:rFonts w:ascii="Palatino Linotype" w:eastAsia="Times New Roman" w:hAnsi="Palatino Linotype" w:cs="Times New Roman"/>
          <w:sz w:val="20"/>
          <w:szCs w:val="20"/>
          <w:lang w:eastAsia="it-IT"/>
        </w:rPr>
        <w:t>sono ricondotti</w:t>
      </w:r>
      <w:r w:rsidR="00DA3C53" w:rsidRPr="00792946">
        <w:rPr>
          <w:rFonts w:ascii="Palatino Linotype" w:eastAsia="Times New Roman" w:hAnsi="Palatino Linotype" w:cs="Times New Roman"/>
          <w:sz w:val="20"/>
          <w:szCs w:val="20"/>
          <w:lang w:eastAsia="it-IT"/>
        </w:rPr>
        <w:t xml:space="preserve"> da</w:t>
      </w:r>
      <w:r w:rsidR="00A678EA" w:rsidRPr="00792946">
        <w:rPr>
          <w:rFonts w:ascii="Palatino Linotype" w:eastAsia="Times New Roman" w:hAnsi="Palatino Linotype" w:cs="Times New Roman"/>
          <w:sz w:val="20"/>
          <w:szCs w:val="20"/>
          <w:lang w:eastAsia="it-IT"/>
        </w:rPr>
        <w:t xml:space="preserve">lla giurisprudenza dell’Adunanza </w:t>
      </w:r>
      <w:r w:rsidR="00D0458A" w:rsidRPr="00792946">
        <w:rPr>
          <w:rFonts w:ascii="Palatino Linotype" w:eastAsia="Times New Roman" w:hAnsi="Palatino Linotype" w:cs="Times New Roman"/>
          <w:sz w:val="20"/>
          <w:szCs w:val="20"/>
          <w:lang w:eastAsia="it-IT"/>
        </w:rPr>
        <w:t>p</w:t>
      </w:r>
      <w:r w:rsidR="00A678EA" w:rsidRPr="00792946">
        <w:rPr>
          <w:rFonts w:ascii="Palatino Linotype" w:eastAsia="Times New Roman" w:hAnsi="Palatino Linotype" w:cs="Times New Roman"/>
          <w:sz w:val="20"/>
          <w:szCs w:val="20"/>
          <w:lang w:eastAsia="it-IT"/>
        </w:rPr>
        <w:t xml:space="preserve">lenaria </w:t>
      </w:r>
      <w:r w:rsidR="008A0292" w:rsidRPr="00792946">
        <w:rPr>
          <w:rFonts w:ascii="Palatino Linotype" w:eastAsia="Times New Roman" w:hAnsi="Palatino Linotype" w:cs="Times New Roman"/>
          <w:sz w:val="20"/>
          <w:szCs w:val="20"/>
          <w:lang w:eastAsia="it-IT"/>
        </w:rPr>
        <w:t>a</w:t>
      </w:r>
      <w:r w:rsidR="00A678EA" w:rsidRPr="00792946">
        <w:rPr>
          <w:rFonts w:ascii="Palatino Linotype" w:eastAsia="Times New Roman" w:hAnsi="Palatino Linotype" w:cs="Times New Roman"/>
          <w:sz w:val="20"/>
          <w:szCs w:val="20"/>
          <w:lang w:eastAsia="it-IT"/>
        </w:rPr>
        <w:t>ll</w:t>
      </w:r>
      <w:r w:rsidR="00BA1D97" w:rsidRPr="00792946">
        <w:rPr>
          <w:rFonts w:ascii="Palatino Linotype" w:eastAsia="Times New Roman" w:hAnsi="Palatino Linotype" w:cs="Times New Roman"/>
          <w:sz w:val="20"/>
          <w:szCs w:val="20"/>
          <w:lang w:eastAsia="it-IT"/>
        </w:rPr>
        <w:t>a</w:t>
      </w:r>
      <w:r w:rsidR="00A678EA" w:rsidRPr="00792946">
        <w:rPr>
          <w:rFonts w:ascii="Palatino Linotype" w:eastAsia="Times New Roman" w:hAnsi="Palatino Linotype" w:cs="Times New Roman"/>
          <w:sz w:val="20"/>
          <w:szCs w:val="20"/>
          <w:lang w:eastAsia="it-IT"/>
        </w:rPr>
        <w:t xml:space="preserve"> salvaguard</w:t>
      </w:r>
      <w:r w:rsidR="00643C47" w:rsidRPr="00792946">
        <w:rPr>
          <w:rFonts w:ascii="Palatino Linotype" w:eastAsia="Times New Roman" w:hAnsi="Palatino Linotype" w:cs="Times New Roman"/>
          <w:sz w:val="20"/>
          <w:szCs w:val="20"/>
          <w:lang w:eastAsia="it-IT"/>
        </w:rPr>
        <w:t>i</w:t>
      </w:r>
      <w:r w:rsidR="00A678EA" w:rsidRPr="00792946">
        <w:rPr>
          <w:rFonts w:ascii="Palatino Linotype" w:eastAsia="Times New Roman" w:hAnsi="Palatino Linotype" w:cs="Times New Roman"/>
          <w:sz w:val="20"/>
          <w:szCs w:val="20"/>
          <w:lang w:eastAsia="it-IT"/>
        </w:rPr>
        <w:t>a</w:t>
      </w:r>
      <w:r w:rsidR="00643C47" w:rsidRPr="00792946">
        <w:rPr>
          <w:rFonts w:ascii="Palatino Linotype" w:eastAsia="Times New Roman" w:hAnsi="Palatino Linotype" w:cs="Times New Roman"/>
          <w:sz w:val="20"/>
          <w:szCs w:val="20"/>
          <w:lang w:eastAsia="it-IT"/>
        </w:rPr>
        <w:t xml:space="preserve"> dei princìpi d’</w:t>
      </w:r>
      <w:r w:rsidR="00A678EA" w:rsidRPr="00792946">
        <w:rPr>
          <w:rFonts w:ascii="Palatino Linotype" w:eastAsia="Times New Roman" w:hAnsi="Palatino Linotype" w:cs="Times New Roman"/>
          <w:sz w:val="20"/>
          <w:szCs w:val="20"/>
          <w:lang w:eastAsia="it-IT"/>
        </w:rPr>
        <w:t>imparzialità, pubblicità e trasparenza dell’azione amministrativa</w:t>
      </w:r>
      <w:r w:rsidR="00A678EA" w:rsidRPr="00792946">
        <w:rPr>
          <w:rStyle w:val="Rimandonotaapidipagina"/>
          <w:rFonts w:ascii="Palatino Linotype" w:eastAsia="Times New Roman" w:hAnsi="Palatino Linotype" w:cs="Times New Roman"/>
          <w:sz w:val="20"/>
          <w:szCs w:val="20"/>
          <w:lang w:eastAsia="it-IT"/>
        </w:rPr>
        <w:footnoteReference w:id="9"/>
      </w:r>
      <w:r w:rsidR="00E7218A" w:rsidRPr="00792946">
        <w:rPr>
          <w:rFonts w:ascii="Palatino Linotype" w:eastAsia="Times New Roman" w:hAnsi="Palatino Linotype" w:cs="Times New Roman"/>
          <w:sz w:val="20"/>
          <w:szCs w:val="20"/>
          <w:lang w:eastAsia="it-IT"/>
        </w:rPr>
        <w:t>, nonché</w:t>
      </w:r>
      <w:r w:rsidR="00643C47" w:rsidRPr="00792946">
        <w:rPr>
          <w:rFonts w:ascii="Palatino Linotype" w:eastAsia="Times New Roman" w:hAnsi="Palatino Linotype" w:cs="Times New Roman"/>
          <w:sz w:val="20"/>
          <w:szCs w:val="20"/>
          <w:lang w:eastAsia="it-IT"/>
        </w:rPr>
        <w:t xml:space="preserve"> </w:t>
      </w:r>
      <w:r w:rsidR="00304E62">
        <w:rPr>
          <w:rFonts w:ascii="Palatino Linotype" w:eastAsia="Times New Roman" w:hAnsi="Palatino Linotype" w:cs="Times New Roman"/>
          <w:sz w:val="20"/>
          <w:szCs w:val="20"/>
          <w:lang w:eastAsia="it-IT"/>
        </w:rPr>
        <w:t>nel</w:t>
      </w:r>
      <w:r w:rsidR="00E7218A" w:rsidRPr="00792946">
        <w:rPr>
          <w:rFonts w:ascii="Palatino Linotype" w:eastAsia="Times New Roman" w:hAnsi="Palatino Linotype" w:cs="Times New Roman"/>
          <w:sz w:val="20"/>
          <w:szCs w:val="20"/>
          <w:lang w:eastAsia="it-IT"/>
        </w:rPr>
        <w:t xml:space="preserve"> </w:t>
      </w:r>
      <w:r w:rsidR="00643C47" w:rsidRPr="00792946">
        <w:rPr>
          <w:rFonts w:ascii="Palatino Linotype" w:eastAsia="Times New Roman" w:hAnsi="Palatino Linotype" w:cs="Times New Roman"/>
          <w:sz w:val="20"/>
          <w:szCs w:val="20"/>
          <w:lang w:eastAsia="it-IT"/>
        </w:rPr>
        <w:t>contrast</w:t>
      </w:r>
      <w:r w:rsidR="00304E62">
        <w:rPr>
          <w:rFonts w:ascii="Palatino Linotype" w:eastAsia="Times New Roman" w:hAnsi="Palatino Linotype" w:cs="Times New Roman"/>
          <w:sz w:val="20"/>
          <w:szCs w:val="20"/>
          <w:lang w:eastAsia="it-IT"/>
        </w:rPr>
        <w:t>o</w:t>
      </w:r>
      <w:r w:rsidR="00451D2E">
        <w:rPr>
          <w:rFonts w:ascii="Palatino Linotype" w:eastAsia="Times New Roman" w:hAnsi="Palatino Linotype" w:cs="Times New Roman"/>
          <w:sz w:val="20"/>
          <w:szCs w:val="20"/>
          <w:lang w:eastAsia="it-IT"/>
        </w:rPr>
        <w:t xml:space="preserve"> </w:t>
      </w:r>
      <w:r w:rsidR="00304E62">
        <w:rPr>
          <w:rFonts w:ascii="Palatino Linotype" w:eastAsia="Times New Roman" w:hAnsi="Palatino Linotype" w:cs="Times New Roman"/>
          <w:sz w:val="20"/>
          <w:szCs w:val="20"/>
          <w:lang w:eastAsia="it-IT"/>
        </w:rPr>
        <w:t>de</w:t>
      </w:r>
      <w:r w:rsidR="0076326B" w:rsidRPr="00792946">
        <w:rPr>
          <w:rFonts w:ascii="Palatino Linotype" w:eastAsia="Times New Roman" w:hAnsi="Palatino Linotype" w:cs="Times New Roman"/>
          <w:sz w:val="20"/>
          <w:szCs w:val="20"/>
          <w:lang w:eastAsia="it-IT"/>
        </w:rPr>
        <w:t xml:space="preserve">l </w:t>
      </w:r>
      <w:r w:rsidR="005D0355" w:rsidRPr="00792946">
        <w:rPr>
          <w:rFonts w:ascii="Palatino Linotype" w:eastAsia="Times New Roman" w:hAnsi="Palatino Linotype" w:cs="Times New Roman"/>
          <w:sz w:val="20"/>
          <w:szCs w:val="20"/>
          <w:lang w:eastAsia="it-IT"/>
        </w:rPr>
        <w:t xml:space="preserve">fenomeno </w:t>
      </w:r>
      <w:r w:rsidR="00643C47" w:rsidRPr="00792946">
        <w:rPr>
          <w:rFonts w:ascii="Palatino Linotype" w:eastAsia="Times New Roman" w:hAnsi="Palatino Linotype" w:cs="Times New Roman"/>
          <w:sz w:val="20"/>
          <w:szCs w:val="20"/>
          <w:lang w:eastAsia="it-IT"/>
        </w:rPr>
        <w:t xml:space="preserve">del c.d. </w:t>
      </w:r>
      <w:r w:rsidR="000E12E3" w:rsidRPr="00792946">
        <w:rPr>
          <w:rFonts w:ascii="Palatino Linotype" w:eastAsia="Times New Roman" w:hAnsi="Palatino Linotype" w:cs="Times New Roman"/>
          <w:sz w:val="20"/>
          <w:szCs w:val="20"/>
          <w:lang w:eastAsia="it-IT"/>
        </w:rPr>
        <w:t>‘</w:t>
      </w:r>
      <w:r w:rsidR="00643C47" w:rsidRPr="00792946">
        <w:rPr>
          <w:rFonts w:ascii="Palatino Linotype" w:eastAsia="Times New Roman" w:hAnsi="Palatino Linotype" w:cs="Times New Roman"/>
          <w:sz w:val="20"/>
          <w:szCs w:val="20"/>
          <w:lang w:eastAsia="it-IT"/>
        </w:rPr>
        <w:t>avvalificio</w:t>
      </w:r>
      <w:r w:rsidR="000E12E3" w:rsidRPr="00792946">
        <w:rPr>
          <w:rFonts w:ascii="Palatino Linotype" w:eastAsia="Times New Roman" w:hAnsi="Palatino Linotype" w:cs="Times New Roman"/>
          <w:sz w:val="20"/>
          <w:szCs w:val="20"/>
          <w:lang w:eastAsia="it-IT"/>
        </w:rPr>
        <w:t>’</w:t>
      </w:r>
      <w:r w:rsidR="00ED0099" w:rsidRPr="00792946">
        <w:rPr>
          <w:rFonts w:ascii="Palatino Linotype" w:eastAsia="Times New Roman" w:hAnsi="Palatino Linotype" w:cs="Times New Roman"/>
          <w:sz w:val="20"/>
          <w:szCs w:val="20"/>
          <w:lang w:eastAsia="it-IT"/>
        </w:rPr>
        <w:t>,</w:t>
      </w:r>
      <w:r w:rsidR="00643C47" w:rsidRPr="00792946">
        <w:rPr>
          <w:rFonts w:ascii="Palatino Linotype" w:eastAsia="Times New Roman" w:hAnsi="Palatino Linotype" w:cs="Times New Roman"/>
          <w:sz w:val="20"/>
          <w:szCs w:val="20"/>
          <w:lang w:eastAsia="it-IT"/>
        </w:rPr>
        <w:t xml:space="preserve"> </w:t>
      </w:r>
      <w:r w:rsidR="00E7218A" w:rsidRPr="00792946">
        <w:rPr>
          <w:rFonts w:ascii="Palatino Linotype" w:eastAsia="Times New Roman" w:hAnsi="Palatino Linotype" w:cs="Times New Roman"/>
          <w:sz w:val="20"/>
          <w:szCs w:val="20"/>
          <w:lang w:eastAsia="it-IT"/>
        </w:rPr>
        <w:t>per</w:t>
      </w:r>
      <w:r w:rsidR="005D0355" w:rsidRPr="00792946">
        <w:rPr>
          <w:rFonts w:ascii="Palatino Linotype" w:eastAsia="Times New Roman" w:hAnsi="Palatino Linotype" w:cs="Times New Roman"/>
          <w:sz w:val="20"/>
          <w:szCs w:val="20"/>
          <w:lang w:eastAsia="it-IT"/>
        </w:rPr>
        <w:t xml:space="preserve"> cui un’impresa oper</w:t>
      </w:r>
      <w:r w:rsidR="00643C47" w:rsidRPr="00792946">
        <w:rPr>
          <w:rFonts w:ascii="Palatino Linotype" w:eastAsia="Times New Roman" w:hAnsi="Palatino Linotype" w:cs="Times New Roman"/>
          <w:sz w:val="20"/>
          <w:szCs w:val="20"/>
          <w:lang w:eastAsia="it-IT"/>
        </w:rPr>
        <w:t>a</w:t>
      </w:r>
      <w:r w:rsidR="005D0355" w:rsidRPr="00792946">
        <w:rPr>
          <w:rFonts w:ascii="Palatino Linotype" w:eastAsia="Times New Roman" w:hAnsi="Palatino Linotype" w:cs="Times New Roman"/>
          <w:sz w:val="20"/>
          <w:szCs w:val="20"/>
          <w:lang w:eastAsia="it-IT"/>
        </w:rPr>
        <w:t xml:space="preserve"> sul mercato </w:t>
      </w:r>
      <w:r w:rsidR="003E6D8C" w:rsidRPr="00792946">
        <w:rPr>
          <w:rFonts w:ascii="Palatino Linotype" w:eastAsia="Times New Roman" w:hAnsi="Palatino Linotype" w:cs="Times New Roman"/>
          <w:sz w:val="20"/>
          <w:szCs w:val="20"/>
          <w:lang w:eastAsia="it-IT"/>
        </w:rPr>
        <w:t xml:space="preserve">esclusivamente </w:t>
      </w:r>
      <w:r w:rsidR="005D0355" w:rsidRPr="00792946">
        <w:rPr>
          <w:rFonts w:ascii="Palatino Linotype" w:eastAsia="Times New Roman" w:hAnsi="Palatino Linotype" w:cs="Times New Roman"/>
          <w:sz w:val="20"/>
          <w:szCs w:val="20"/>
          <w:lang w:eastAsia="it-IT"/>
        </w:rPr>
        <w:t>utilizza</w:t>
      </w:r>
      <w:r w:rsidR="00BA1D97" w:rsidRPr="00792946">
        <w:rPr>
          <w:rFonts w:ascii="Palatino Linotype" w:eastAsia="Times New Roman" w:hAnsi="Palatino Linotype" w:cs="Times New Roman"/>
          <w:sz w:val="20"/>
          <w:szCs w:val="20"/>
          <w:lang w:eastAsia="it-IT"/>
        </w:rPr>
        <w:t>ndo</w:t>
      </w:r>
      <w:r w:rsidR="005D0355" w:rsidRPr="00792946">
        <w:rPr>
          <w:rFonts w:ascii="Palatino Linotype" w:eastAsia="Times New Roman" w:hAnsi="Palatino Linotype" w:cs="Times New Roman"/>
          <w:sz w:val="20"/>
          <w:szCs w:val="20"/>
          <w:lang w:eastAsia="it-IT"/>
        </w:rPr>
        <w:t xml:space="preserve"> la capacità </w:t>
      </w:r>
      <w:r w:rsidR="00BA1D97" w:rsidRPr="00792946">
        <w:rPr>
          <w:rFonts w:ascii="Palatino Linotype" w:eastAsia="Times New Roman" w:hAnsi="Palatino Linotype" w:cs="Times New Roman"/>
          <w:sz w:val="20"/>
          <w:szCs w:val="20"/>
          <w:lang w:eastAsia="it-IT"/>
        </w:rPr>
        <w:t>tecnico-</w:t>
      </w:r>
      <w:r w:rsidR="005D0355" w:rsidRPr="00792946">
        <w:rPr>
          <w:rFonts w:ascii="Palatino Linotype" w:eastAsia="Times New Roman" w:hAnsi="Palatino Linotype" w:cs="Times New Roman"/>
          <w:sz w:val="20"/>
          <w:szCs w:val="20"/>
          <w:lang w:eastAsia="it-IT"/>
        </w:rPr>
        <w:t>economica di altre imprese</w:t>
      </w:r>
      <w:r w:rsidR="0076326B" w:rsidRPr="00792946">
        <w:rPr>
          <w:rStyle w:val="Rimandonotaapidipagina"/>
          <w:rFonts w:ascii="Palatino Linotype" w:eastAsia="Times New Roman" w:hAnsi="Palatino Linotype" w:cs="Times New Roman"/>
          <w:sz w:val="20"/>
          <w:szCs w:val="20"/>
          <w:lang w:eastAsia="it-IT"/>
        </w:rPr>
        <w:footnoteReference w:id="10"/>
      </w:r>
      <w:r w:rsidR="005D0355" w:rsidRPr="00792946">
        <w:rPr>
          <w:rFonts w:ascii="Palatino Linotype" w:eastAsia="Times New Roman" w:hAnsi="Palatino Linotype" w:cs="Times New Roman"/>
          <w:sz w:val="20"/>
          <w:szCs w:val="20"/>
          <w:lang w:eastAsia="it-IT"/>
        </w:rPr>
        <w:t>.</w:t>
      </w:r>
    </w:p>
    <w:p w14:paraId="0A8C75E1" w14:textId="77777777" w:rsidR="00FA3F1F" w:rsidRPr="00792946" w:rsidRDefault="00A57762"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lastRenderedPageBreak/>
        <w:t xml:space="preserve">Del resto, </w:t>
      </w:r>
      <w:r w:rsidRPr="00792946">
        <w:rPr>
          <w:rFonts w:ascii="Palatino Linotype" w:eastAsia="Times New Roman" w:hAnsi="Palatino Linotype" w:cs="Times New Roman"/>
          <w:iCs/>
          <w:sz w:val="20"/>
          <w:szCs w:val="20"/>
          <w:lang w:eastAsia="it-IT"/>
        </w:rPr>
        <w:t>l</w:t>
      </w:r>
      <w:r w:rsidR="00FA3F1F" w:rsidRPr="00792946">
        <w:rPr>
          <w:rFonts w:ascii="Palatino Linotype" w:eastAsia="Times New Roman" w:hAnsi="Palatino Linotype" w:cs="Times New Roman"/>
          <w:sz w:val="20"/>
          <w:szCs w:val="20"/>
          <w:lang w:eastAsia="it-IT"/>
        </w:rPr>
        <w:t>a</w:t>
      </w:r>
      <w:r w:rsidR="004A5425" w:rsidRPr="00792946">
        <w:rPr>
          <w:rFonts w:ascii="Palatino Linotype" w:eastAsia="Times New Roman" w:hAnsi="Palatino Linotype" w:cs="Times New Roman"/>
          <w:iCs/>
          <w:sz w:val="20"/>
          <w:szCs w:val="20"/>
          <w:lang w:eastAsia="it-IT"/>
        </w:rPr>
        <w:t xml:space="preserve"> partecipazione alle gare di un “concorrente virtuale costituito solo da una segreteria di coordinamento delle attività altrui” o di un “operatore con vocazione statutaria ed aziendale completamente estranea rispetto alla tipologia di appalto da aggiudicare”</w:t>
      </w:r>
      <w:r w:rsidR="00FA3F1F" w:rsidRPr="00792946">
        <w:rPr>
          <w:rFonts w:ascii="Palatino Linotype" w:eastAsia="Times New Roman" w:hAnsi="Palatino Linotype" w:cs="Times New Roman"/>
          <w:sz w:val="20"/>
          <w:szCs w:val="20"/>
          <w:lang w:eastAsia="it-IT"/>
        </w:rPr>
        <w:t xml:space="preserve"> </w:t>
      </w:r>
      <w:r w:rsidR="004A5425" w:rsidRPr="00792946">
        <w:rPr>
          <w:rFonts w:ascii="Palatino Linotype" w:eastAsia="Times New Roman" w:hAnsi="Palatino Linotype" w:cs="Times New Roman"/>
          <w:sz w:val="20"/>
          <w:szCs w:val="20"/>
          <w:lang w:eastAsia="it-IT"/>
        </w:rPr>
        <w:t xml:space="preserve">eluderebbe la </w:t>
      </w:r>
      <w:r w:rsidR="00FA3F1F" w:rsidRPr="00792946">
        <w:rPr>
          <w:rFonts w:ascii="Palatino Linotype" w:eastAsia="Times New Roman" w:hAnsi="Palatino Linotype" w:cs="Times New Roman"/>
          <w:sz w:val="20"/>
          <w:szCs w:val="20"/>
          <w:lang w:eastAsia="it-IT"/>
        </w:rPr>
        <w:t>causa tipica dell’avvalimento</w:t>
      </w:r>
      <w:r w:rsidR="00FA3F1F" w:rsidRPr="00792946">
        <w:rPr>
          <w:rStyle w:val="Rimandonotaapidipagina"/>
          <w:rFonts w:ascii="Palatino Linotype" w:eastAsia="Times New Roman" w:hAnsi="Palatino Linotype" w:cs="Times New Roman"/>
          <w:sz w:val="20"/>
          <w:szCs w:val="20"/>
          <w:lang w:eastAsia="it-IT"/>
        </w:rPr>
        <w:footnoteReference w:id="11"/>
      </w:r>
      <w:r w:rsidR="00FA3F1F" w:rsidRPr="00792946">
        <w:rPr>
          <w:rFonts w:ascii="Palatino Linotype" w:eastAsia="Times New Roman" w:hAnsi="Palatino Linotype" w:cs="Times New Roman"/>
          <w:sz w:val="20"/>
          <w:szCs w:val="20"/>
          <w:lang w:eastAsia="it-IT"/>
        </w:rPr>
        <w:t xml:space="preserve">, che </w:t>
      </w:r>
      <w:r w:rsidR="00145131" w:rsidRPr="00792946">
        <w:rPr>
          <w:rFonts w:ascii="Palatino Linotype" w:eastAsia="Times New Roman" w:hAnsi="Palatino Linotype" w:cs="Times New Roman"/>
          <w:sz w:val="20"/>
          <w:szCs w:val="20"/>
          <w:lang w:eastAsia="it-IT"/>
        </w:rPr>
        <w:t>consiste</w:t>
      </w:r>
      <w:r w:rsidR="00FA3F1F" w:rsidRPr="00792946">
        <w:rPr>
          <w:rFonts w:ascii="Palatino Linotype" w:eastAsia="Times New Roman" w:hAnsi="Palatino Linotype" w:cs="Times New Roman"/>
          <w:sz w:val="20"/>
          <w:szCs w:val="20"/>
          <w:lang w:eastAsia="it-IT"/>
        </w:rPr>
        <w:t xml:space="preserve"> </w:t>
      </w:r>
      <w:r w:rsidR="00145131" w:rsidRPr="00792946">
        <w:rPr>
          <w:rFonts w:ascii="Palatino Linotype" w:eastAsia="Times New Roman" w:hAnsi="Palatino Linotype" w:cs="Times New Roman"/>
          <w:sz w:val="20"/>
          <w:szCs w:val="20"/>
          <w:lang w:eastAsia="it-IT"/>
        </w:rPr>
        <w:t>nell’</w:t>
      </w:r>
      <w:r w:rsidR="00FA3F1F" w:rsidRPr="00792946">
        <w:rPr>
          <w:rFonts w:ascii="Palatino Linotype" w:eastAsia="Times New Roman" w:hAnsi="Palatino Linotype" w:cs="Times New Roman"/>
          <w:iCs/>
          <w:sz w:val="20"/>
          <w:szCs w:val="20"/>
          <w:lang w:eastAsia="it-IT"/>
        </w:rPr>
        <w:t xml:space="preserve">integrare </w:t>
      </w:r>
      <w:r w:rsidR="004A5425" w:rsidRPr="00792946">
        <w:rPr>
          <w:rFonts w:ascii="Palatino Linotype" w:eastAsia="Times New Roman" w:hAnsi="Palatino Linotype" w:cs="Times New Roman"/>
          <w:iCs/>
          <w:sz w:val="20"/>
          <w:szCs w:val="20"/>
          <w:lang w:eastAsia="it-IT"/>
        </w:rPr>
        <w:t xml:space="preserve">dall’esterno </w:t>
      </w:r>
      <w:r w:rsidR="00145131" w:rsidRPr="00792946">
        <w:rPr>
          <w:rFonts w:ascii="Palatino Linotype" w:eastAsia="Times New Roman" w:hAnsi="Palatino Linotype" w:cs="Times New Roman"/>
          <w:iCs/>
          <w:sz w:val="20"/>
          <w:szCs w:val="20"/>
          <w:lang w:eastAsia="it-IT"/>
        </w:rPr>
        <w:t xml:space="preserve">i requisiti di </w:t>
      </w:r>
      <w:r w:rsidR="00FA3F1F" w:rsidRPr="00792946">
        <w:rPr>
          <w:rFonts w:ascii="Palatino Linotype" w:eastAsia="Times New Roman" w:hAnsi="Palatino Linotype" w:cs="Times New Roman"/>
          <w:iCs/>
          <w:sz w:val="20"/>
          <w:szCs w:val="20"/>
          <w:lang w:eastAsia="it-IT"/>
        </w:rPr>
        <w:t>un’organizzazione aziendale realmente esistente ed operante nel segmento di mercato proprio</w:t>
      </w:r>
      <w:r w:rsidRPr="00792946">
        <w:rPr>
          <w:rFonts w:ascii="Palatino Linotype" w:eastAsia="Times New Roman" w:hAnsi="Palatino Linotype" w:cs="Times New Roman"/>
          <w:iCs/>
          <w:sz w:val="20"/>
          <w:szCs w:val="20"/>
          <w:lang w:eastAsia="it-IT"/>
        </w:rPr>
        <w:t xml:space="preserve"> dell’appalto posto a gara, non </w:t>
      </w:r>
      <w:r w:rsidR="00FA3F1F" w:rsidRPr="00792946">
        <w:rPr>
          <w:rFonts w:ascii="Palatino Linotype" w:eastAsia="Times New Roman" w:hAnsi="Palatino Linotype" w:cs="Times New Roman"/>
          <w:iCs/>
          <w:sz w:val="20"/>
          <w:szCs w:val="20"/>
          <w:lang w:eastAsia="it-IT"/>
        </w:rPr>
        <w:t xml:space="preserve">può essere elusa </w:t>
      </w:r>
      <w:r w:rsidR="00ED0099" w:rsidRPr="00792946">
        <w:rPr>
          <w:rFonts w:ascii="Palatino Linotype" w:eastAsia="Times New Roman" w:hAnsi="Palatino Linotype" w:cs="Times New Roman"/>
          <w:iCs/>
          <w:sz w:val="20"/>
          <w:szCs w:val="20"/>
          <w:lang w:eastAsia="it-IT"/>
        </w:rPr>
        <w:t>attraverso</w:t>
      </w:r>
      <w:r w:rsidR="00FA3F1F" w:rsidRPr="00792946">
        <w:rPr>
          <w:rStyle w:val="Rimandonotaapidipagina"/>
          <w:rFonts w:ascii="Palatino Linotype" w:eastAsia="Times New Roman" w:hAnsi="Palatino Linotype" w:cs="Times New Roman"/>
          <w:iCs/>
          <w:sz w:val="20"/>
          <w:szCs w:val="20"/>
          <w:lang w:eastAsia="it-IT"/>
        </w:rPr>
        <w:footnoteReference w:id="12"/>
      </w:r>
      <w:r w:rsidR="00FA3F1F" w:rsidRPr="00792946">
        <w:rPr>
          <w:rFonts w:ascii="Palatino Linotype" w:eastAsia="Times New Roman" w:hAnsi="Palatino Linotype" w:cs="Times New Roman"/>
          <w:sz w:val="20"/>
          <w:szCs w:val="20"/>
          <w:lang w:eastAsia="it-IT"/>
        </w:rPr>
        <w:t>.</w:t>
      </w:r>
    </w:p>
    <w:p w14:paraId="4992ECF7" w14:textId="77777777" w:rsidR="00C564BF" w:rsidRPr="00792946" w:rsidRDefault="00145131"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D</w:t>
      </w:r>
      <w:r w:rsidR="007E6B53">
        <w:rPr>
          <w:rFonts w:ascii="Palatino Linotype" w:eastAsia="Times New Roman" w:hAnsi="Palatino Linotype" w:cs="Times New Roman"/>
          <w:sz w:val="20"/>
          <w:szCs w:val="20"/>
          <w:lang w:eastAsia="it-IT"/>
        </w:rPr>
        <w:t>onde</w:t>
      </w:r>
      <w:r w:rsidRPr="00792946">
        <w:rPr>
          <w:rFonts w:ascii="Palatino Linotype" w:eastAsia="Times New Roman" w:hAnsi="Palatino Linotype" w:cs="Times New Roman"/>
          <w:sz w:val="20"/>
          <w:szCs w:val="20"/>
          <w:lang w:eastAsia="it-IT"/>
        </w:rPr>
        <w:t xml:space="preserve"> </w:t>
      </w:r>
      <w:r w:rsidR="00900038">
        <w:rPr>
          <w:rFonts w:ascii="Palatino Linotype" w:eastAsia="Times New Roman" w:hAnsi="Palatino Linotype" w:cs="Times New Roman"/>
          <w:sz w:val="20"/>
          <w:szCs w:val="20"/>
          <w:lang w:eastAsia="it-IT"/>
        </w:rPr>
        <w:t>l’esigenza</w:t>
      </w:r>
      <w:r w:rsidR="007E6B53"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di sottoporre a</w:t>
      </w:r>
      <w:r w:rsidR="00433E6C">
        <w:rPr>
          <w:rFonts w:ascii="Palatino Linotype" w:eastAsia="Times New Roman" w:hAnsi="Palatino Linotype" w:cs="Times New Roman"/>
          <w:sz w:val="20"/>
          <w:szCs w:val="20"/>
          <w:lang w:eastAsia="it-IT"/>
        </w:rPr>
        <w:t>l</w:t>
      </w:r>
      <w:r w:rsidRPr="00792946">
        <w:rPr>
          <w:rFonts w:ascii="Palatino Linotype" w:eastAsia="Times New Roman" w:hAnsi="Palatino Linotype" w:cs="Times New Roman"/>
          <w:sz w:val="20"/>
          <w:szCs w:val="20"/>
          <w:lang w:eastAsia="it-IT"/>
        </w:rPr>
        <w:t xml:space="preserve"> controllo </w:t>
      </w:r>
      <w:r w:rsidR="00433E6C">
        <w:rPr>
          <w:rFonts w:ascii="Palatino Linotype" w:eastAsia="Times New Roman" w:hAnsi="Palatino Linotype" w:cs="Times New Roman"/>
          <w:sz w:val="20"/>
          <w:szCs w:val="20"/>
          <w:lang w:eastAsia="it-IT"/>
        </w:rPr>
        <w:t xml:space="preserve">causale </w:t>
      </w:r>
      <w:r w:rsidR="00FA7870">
        <w:rPr>
          <w:rFonts w:ascii="Palatino Linotype" w:eastAsia="Times New Roman" w:hAnsi="Palatino Linotype" w:cs="Times New Roman"/>
          <w:sz w:val="20"/>
          <w:szCs w:val="20"/>
          <w:lang w:eastAsia="it-IT"/>
        </w:rPr>
        <w:t xml:space="preserve">di conformità </w:t>
      </w:r>
      <w:r w:rsidRPr="00792946">
        <w:rPr>
          <w:rFonts w:ascii="Palatino Linotype" w:eastAsia="Times New Roman" w:hAnsi="Palatino Linotype" w:cs="Times New Roman"/>
          <w:sz w:val="20"/>
          <w:szCs w:val="20"/>
          <w:lang w:eastAsia="it-IT"/>
        </w:rPr>
        <w:t xml:space="preserve">le </w:t>
      </w:r>
      <w:r w:rsidR="005E3824">
        <w:rPr>
          <w:rFonts w:ascii="Palatino Linotype" w:eastAsia="Times New Roman" w:hAnsi="Palatino Linotype" w:cs="Times New Roman"/>
          <w:sz w:val="20"/>
          <w:szCs w:val="20"/>
          <w:lang w:eastAsia="it-IT"/>
        </w:rPr>
        <w:t>svariat</w:t>
      </w:r>
      <w:r w:rsidRPr="00792946">
        <w:rPr>
          <w:rFonts w:ascii="Palatino Linotype" w:eastAsia="Times New Roman" w:hAnsi="Palatino Linotype" w:cs="Times New Roman"/>
          <w:sz w:val="20"/>
          <w:szCs w:val="20"/>
          <w:lang w:eastAsia="it-IT"/>
        </w:rPr>
        <w:t>e figure di avvalimento che</w:t>
      </w:r>
      <w:r w:rsidR="00FA7870">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nella pratica</w:t>
      </w:r>
      <w:r w:rsidR="00FA7870">
        <w:rPr>
          <w:rFonts w:ascii="Palatino Linotype" w:eastAsia="Times New Roman" w:hAnsi="Palatino Linotype" w:cs="Times New Roman"/>
          <w:sz w:val="20"/>
          <w:szCs w:val="20"/>
          <w:lang w:eastAsia="it-IT"/>
        </w:rPr>
        <w:t xml:space="preserve"> quotidiana,</w:t>
      </w:r>
      <w:r w:rsidRPr="00792946">
        <w:rPr>
          <w:rFonts w:ascii="Palatino Linotype" w:eastAsia="Times New Roman" w:hAnsi="Palatino Linotype" w:cs="Times New Roman"/>
          <w:sz w:val="20"/>
          <w:szCs w:val="20"/>
          <w:lang w:eastAsia="it-IT"/>
        </w:rPr>
        <w:t xml:space="preserve"> </w:t>
      </w:r>
      <w:r w:rsidR="00A57762" w:rsidRPr="00792946">
        <w:rPr>
          <w:rFonts w:ascii="Palatino Linotype" w:eastAsia="Times New Roman" w:hAnsi="Palatino Linotype" w:cs="Times New Roman"/>
          <w:sz w:val="20"/>
          <w:szCs w:val="20"/>
          <w:lang w:eastAsia="it-IT"/>
        </w:rPr>
        <w:t>s</w:t>
      </w:r>
      <w:r w:rsidRPr="00792946">
        <w:rPr>
          <w:rFonts w:ascii="Palatino Linotype" w:eastAsia="Times New Roman" w:hAnsi="Palatino Linotype" w:cs="Times New Roman"/>
          <w:sz w:val="20"/>
          <w:szCs w:val="20"/>
          <w:lang w:eastAsia="it-IT"/>
        </w:rPr>
        <w:t>i</w:t>
      </w:r>
      <w:r w:rsidR="00A57762" w:rsidRPr="00792946">
        <w:rPr>
          <w:rFonts w:ascii="Palatino Linotype" w:eastAsia="Times New Roman" w:hAnsi="Palatino Linotype" w:cs="Times New Roman"/>
          <w:sz w:val="20"/>
          <w:szCs w:val="20"/>
          <w:lang w:eastAsia="it-IT"/>
        </w:rPr>
        <w:t xml:space="preserve"> so</w:t>
      </w:r>
      <w:r w:rsidRPr="00792946">
        <w:rPr>
          <w:rFonts w:ascii="Palatino Linotype" w:eastAsia="Times New Roman" w:hAnsi="Palatino Linotype" w:cs="Times New Roman"/>
          <w:sz w:val="20"/>
          <w:szCs w:val="20"/>
          <w:lang w:eastAsia="it-IT"/>
        </w:rPr>
        <w:t>n</w:t>
      </w:r>
      <w:r w:rsidR="00A57762" w:rsidRPr="00792946">
        <w:rPr>
          <w:rFonts w:ascii="Palatino Linotype" w:eastAsia="Times New Roman" w:hAnsi="Palatino Linotype" w:cs="Times New Roman"/>
          <w:sz w:val="20"/>
          <w:szCs w:val="20"/>
          <w:lang w:eastAsia="it-IT"/>
        </w:rPr>
        <w:t>o</w:t>
      </w:r>
      <w:r w:rsidRPr="00792946">
        <w:rPr>
          <w:rFonts w:ascii="Palatino Linotype" w:eastAsia="Times New Roman" w:hAnsi="Palatino Linotype" w:cs="Times New Roman"/>
          <w:sz w:val="20"/>
          <w:szCs w:val="20"/>
          <w:lang w:eastAsia="it-IT"/>
        </w:rPr>
        <w:t xml:space="preserve"> </w:t>
      </w:r>
      <w:r w:rsidR="00A57762" w:rsidRPr="00792946">
        <w:rPr>
          <w:rFonts w:ascii="Palatino Linotype" w:eastAsia="Times New Roman" w:hAnsi="Palatino Linotype" w:cs="Times New Roman"/>
          <w:sz w:val="20"/>
          <w:szCs w:val="20"/>
          <w:lang w:eastAsia="it-IT"/>
        </w:rPr>
        <w:t xml:space="preserve">via via </w:t>
      </w:r>
      <w:r w:rsidR="00C564BF" w:rsidRPr="00792946">
        <w:rPr>
          <w:rFonts w:ascii="Palatino Linotype" w:eastAsia="Times New Roman" w:hAnsi="Palatino Linotype" w:cs="Times New Roman"/>
          <w:sz w:val="20"/>
          <w:szCs w:val="20"/>
          <w:lang w:eastAsia="it-IT"/>
        </w:rPr>
        <w:t>aggiunt</w:t>
      </w:r>
      <w:r w:rsidR="00A57762" w:rsidRPr="00792946">
        <w:rPr>
          <w:rFonts w:ascii="Palatino Linotype" w:eastAsia="Times New Roman" w:hAnsi="Palatino Linotype" w:cs="Times New Roman"/>
          <w:sz w:val="20"/>
          <w:szCs w:val="20"/>
          <w:lang w:eastAsia="it-IT"/>
        </w:rPr>
        <w:t>e</w:t>
      </w:r>
      <w:r w:rsidR="00C564BF" w:rsidRPr="00792946">
        <w:rPr>
          <w:rFonts w:ascii="Palatino Linotype" w:eastAsia="Times New Roman" w:hAnsi="Palatino Linotype" w:cs="Times New Roman"/>
          <w:sz w:val="20"/>
          <w:szCs w:val="20"/>
          <w:lang w:eastAsia="it-IT"/>
        </w:rPr>
        <w:t xml:space="preserve"> a</w:t>
      </w:r>
      <w:r w:rsidRPr="00792946">
        <w:rPr>
          <w:rFonts w:ascii="Palatino Linotype" w:eastAsia="Times New Roman" w:hAnsi="Palatino Linotype" w:cs="Times New Roman"/>
          <w:sz w:val="20"/>
          <w:szCs w:val="20"/>
          <w:lang w:eastAsia="it-IT"/>
        </w:rPr>
        <w:t xml:space="preserve"> que</w:t>
      </w:r>
      <w:r w:rsidR="00C564BF" w:rsidRPr="00792946">
        <w:rPr>
          <w:rFonts w:ascii="Palatino Linotype" w:eastAsia="Times New Roman" w:hAnsi="Palatino Linotype" w:cs="Times New Roman"/>
          <w:sz w:val="20"/>
          <w:szCs w:val="20"/>
          <w:lang w:eastAsia="it-IT"/>
        </w:rPr>
        <w:t>lle classiche</w:t>
      </w:r>
      <w:r w:rsidRPr="00792946">
        <w:rPr>
          <w:rFonts w:ascii="Palatino Linotype" w:eastAsia="Times New Roman" w:hAnsi="Palatino Linotype" w:cs="Times New Roman"/>
          <w:sz w:val="20"/>
          <w:szCs w:val="20"/>
          <w:lang w:eastAsia="it-IT"/>
        </w:rPr>
        <w:t>,</w:t>
      </w:r>
      <w:r w:rsidR="00C564BF" w:rsidRPr="00792946">
        <w:rPr>
          <w:rFonts w:ascii="Palatino Linotype" w:eastAsia="Times New Roman" w:hAnsi="Palatino Linotype" w:cs="Times New Roman"/>
          <w:sz w:val="20"/>
          <w:szCs w:val="20"/>
          <w:lang w:eastAsia="it-IT"/>
        </w:rPr>
        <w:t xml:space="preserve"> fondate sul contenuto del contratto</w:t>
      </w:r>
      <w:r w:rsidRPr="00792946">
        <w:rPr>
          <w:rFonts w:ascii="Palatino Linotype" w:eastAsia="Times New Roman" w:hAnsi="Palatino Linotype" w:cs="Times New Roman"/>
          <w:sz w:val="20"/>
          <w:szCs w:val="20"/>
          <w:lang w:eastAsia="it-IT"/>
        </w:rPr>
        <w:t>:</w:t>
      </w:r>
      <w:r w:rsidR="00C564BF" w:rsidRPr="00792946">
        <w:rPr>
          <w:rFonts w:ascii="Palatino Linotype" w:eastAsia="Times New Roman" w:hAnsi="Palatino Linotype" w:cs="Times New Roman"/>
          <w:sz w:val="20"/>
          <w:szCs w:val="20"/>
          <w:lang w:eastAsia="it-IT"/>
        </w:rPr>
        <w:t xml:space="preserve"> avvalimento ‘operativo’ (per i requisiti tecnico-professionali) e ‘di garanzia’</w:t>
      </w:r>
      <w:r w:rsidR="00C564BF" w:rsidRPr="00792946">
        <w:rPr>
          <w:rStyle w:val="Rimandonotaapidipagina"/>
          <w:rFonts w:ascii="Palatino Linotype" w:eastAsia="Times New Roman" w:hAnsi="Palatino Linotype" w:cs="Times New Roman"/>
          <w:sz w:val="20"/>
          <w:szCs w:val="20"/>
          <w:lang w:eastAsia="it-IT"/>
        </w:rPr>
        <w:footnoteReference w:id="13"/>
      </w:r>
      <w:r w:rsidR="00C564BF" w:rsidRPr="00792946">
        <w:rPr>
          <w:rFonts w:ascii="Palatino Linotype" w:eastAsia="Times New Roman" w:hAnsi="Palatino Linotype" w:cs="Times New Roman"/>
          <w:sz w:val="20"/>
          <w:szCs w:val="20"/>
          <w:lang w:eastAsia="it-IT"/>
        </w:rPr>
        <w:t xml:space="preserve"> (per </w:t>
      </w:r>
      <w:r w:rsidR="00433E6C">
        <w:rPr>
          <w:rFonts w:ascii="Palatino Linotype" w:eastAsia="Times New Roman" w:hAnsi="Palatino Linotype" w:cs="Times New Roman"/>
          <w:sz w:val="20"/>
          <w:szCs w:val="20"/>
          <w:lang w:eastAsia="it-IT"/>
        </w:rPr>
        <w:t xml:space="preserve">la </w:t>
      </w:r>
      <w:r w:rsidR="00433E6C" w:rsidRPr="00433E6C">
        <w:rPr>
          <w:rFonts w:ascii="Palatino Linotype" w:eastAsia="Times New Roman" w:hAnsi="Palatino Linotype" w:cs="Times New Roman"/>
          <w:sz w:val="20"/>
          <w:szCs w:val="20"/>
          <w:lang w:eastAsia="it-IT"/>
        </w:rPr>
        <w:t>solidità finanziaria e professionale</w:t>
      </w:r>
      <w:r w:rsidR="00FA7870">
        <w:rPr>
          <w:rFonts w:ascii="Palatino Linotype" w:eastAsia="Times New Roman" w:hAnsi="Palatino Linotype" w:cs="Times New Roman"/>
          <w:sz w:val="20"/>
          <w:szCs w:val="20"/>
          <w:lang w:eastAsia="it-IT"/>
        </w:rPr>
        <w:t>); avvalimento</w:t>
      </w:r>
      <w:r w:rsidR="00C564BF" w:rsidRPr="00792946">
        <w:rPr>
          <w:rFonts w:ascii="Palatino Linotype" w:eastAsia="Times New Roman" w:hAnsi="Palatino Linotype" w:cs="Times New Roman"/>
          <w:sz w:val="20"/>
          <w:szCs w:val="20"/>
          <w:lang w:eastAsia="it-IT"/>
        </w:rPr>
        <w:t xml:space="preserve"> ‘occasionale’ (per una singola gara) e ‘stabile’ (per un</w:t>
      </w:r>
      <w:r w:rsidR="0001380F">
        <w:rPr>
          <w:rFonts w:ascii="Palatino Linotype" w:eastAsia="Times New Roman" w:hAnsi="Palatino Linotype" w:cs="Times New Roman"/>
          <w:sz w:val="20"/>
          <w:szCs w:val="20"/>
          <w:lang w:eastAsia="it-IT"/>
        </w:rPr>
        <w:t>a</w:t>
      </w:r>
      <w:r w:rsidR="00C564BF" w:rsidRPr="00792946">
        <w:rPr>
          <w:rFonts w:ascii="Palatino Linotype" w:eastAsia="Times New Roman" w:hAnsi="Palatino Linotype" w:cs="Times New Roman"/>
          <w:sz w:val="20"/>
          <w:szCs w:val="20"/>
          <w:lang w:eastAsia="it-IT"/>
        </w:rPr>
        <w:t xml:space="preserve"> </w:t>
      </w:r>
      <w:r w:rsidR="0001380F">
        <w:rPr>
          <w:rFonts w:ascii="Palatino Linotype" w:eastAsia="Times New Roman" w:hAnsi="Palatino Linotype" w:cs="Times New Roman"/>
          <w:sz w:val="20"/>
          <w:szCs w:val="20"/>
          <w:lang w:eastAsia="it-IT"/>
        </w:rPr>
        <w:t xml:space="preserve">pluralità </w:t>
      </w:r>
      <w:r w:rsidR="00C564BF" w:rsidRPr="00792946">
        <w:rPr>
          <w:rFonts w:ascii="Palatino Linotype" w:eastAsia="Times New Roman" w:hAnsi="Palatino Linotype" w:cs="Times New Roman"/>
          <w:sz w:val="20"/>
          <w:szCs w:val="20"/>
          <w:lang w:eastAsia="it-IT"/>
        </w:rPr>
        <w:t>di gare)</w:t>
      </w:r>
      <w:r w:rsidRPr="00792946">
        <w:rPr>
          <w:rFonts w:ascii="Palatino Linotype" w:eastAsia="Times New Roman" w:hAnsi="Palatino Linotype" w:cs="Times New Roman"/>
          <w:sz w:val="20"/>
          <w:szCs w:val="20"/>
          <w:lang w:eastAsia="it-IT"/>
        </w:rPr>
        <w:t>.</w:t>
      </w:r>
    </w:p>
    <w:p w14:paraId="24998A5C" w14:textId="77777777" w:rsidR="00C564BF" w:rsidRPr="00792946" w:rsidRDefault="00AF3838"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La più parte d</w:t>
      </w:r>
      <w:r w:rsidR="0001380F">
        <w:rPr>
          <w:rFonts w:ascii="Palatino Linotype" w:eastAsia="Times New Roman" w:hAnsi="Palatino Linotype" w:cs="Times New Roman"/>
          <w:sz w:val="20"/>
          <w:szCs w:val="20"/>
          <w:lang w:eastAsia="it-IT"/>
        </w:rPr>
        <w:t>i quest</w:t>
      </w:r>
      <w:r w:rsidRPr="00792946">
        <w:rPr>
          <w:rFonts w:ascii="Palatino Linotype" w:eastAsia="Times New Roman" w:hAnsi="Palatino Linotype" w:cs="Times New Roman"/>
          <w:sz w:val="20"/>
          <w:szCs w:val="20"/>
          <w:lang w:eastAsia="it-IT"/>
        </w:rPr>
        <w:t>e nuove figure</w:t>
      </w:r>
      <w:r w:rsidR="00145131" w:rsidRPr="00792946">
        <w:rPr>
          <w:rFonts w:ascii="Palatino Linotype" w:eastAsia="Times New Roman" w:hAnsi="Palatino Linotype" w:cs="Times New Roman"/>
          <w:sz w:val="20"/>
          <w:szCs w:val="20"/>
          <w:lang w:eastAsia="it-IT"/>
        </w:rPr>
        <w:t xml:space="preserve"> ha superato il controllo</w:t>
      </w:r>
      <w:r w:rsidR="0001380F">
        <w:rPr>
          <w:rFonts w:ascii="Palatino Linotype" w:eastAsia="Times New Roman" w:hAnsi="Palatino Linotype" w:cs="Times New Roman"/>
          <w:sz w:val="20"/>
          <w:szCs w:val="20"/>
          <w:lang w:eastAsia="it-IT"/>
        </w:rPr>
        <w:t>,</w:t>
      </w:r>
      <w:r w:rsidR="00145131" w:rsidRPr="00792946">
        <w:rPr>
          <w:rFonts w:ascii="Palatino Linotype" w:eastAsia="Times New Roman" w:hAnsi="Palatino Linotype" w:cs="Times New Roman"/>
          <w:sz w:val="20"/>
          <w:szCs w:val="20"/>
          <w:lang w:eastAsia="it-IT"/>
        </w:rPr>
        <w:t xml:space="preserve"> e ci si riferisce a</w:t>
      </w:r>
      <w:r w:rsidRPr="00792946">
        <w:rPr>
          <w:rFonts w:ascii="Palatino Linotype" w:eastAsia="Times New Roman" w:hAnsi="Palatino Linotype" w:cs="Times New Roman"/>
          <w:sz w:val="20"/>
          <w:szCs w:val="20"/>
          <w:lang w:eastAsia="it-IT"/>
        </w:rPr>
        <w:t xml:space="preserve">lle forme </w:t>
      </w:r>
      <w:r w:rsidR="00145131" w:rsidRPr="00792946">
        <w:rPr>
          <w:rFonts w:ascii="Palatino Linotype" w:eastAsia="Times New Roman" w:hAnsi="Palatino Linotype" w:cs="Times New Roman"/>
          <w:sz w:val="20"/>
          <w:szCs w:val="20"/>
          <w:lang w:eastAsia="it-IT"/>
        </w:rPr>
        <w:t>d</w:t>
      </w:r>
      <w:r w:rsidR="0001380F">
        <w:rPr>
          <w:rFonts w:ascii="Palatino Linotype" w:eastAsia="Times New Roman" w:hAnsi="Palatino Linotype" w:cs="Times New Roman"/>
          <w:sz w:val="20"/>
          <w:szCs w:val="20"/>
          <w:lang w:eastAsia="it-IT"/>
        </w:rPr>
        <w:t xml:space="preserve">i </w:t>
      </w:r>
      <w:r w:rsidR="00145131" w:rsidRPr="00792946">
        <w:rPr>
          <w:rFonts w:ascii="Palatino Linotype" w:eastAsia="Times New Roman" w:hAnsi="Palatino Linotype" w:cs="Times New Roman"/>
          <w:sz w:val="20"/>
          <w:szCs w:val="20"/>
          <w:lang w:eastAsia="it-IT"/>
        </w:rPr>
        <w:t>avvalimento</w:t>
      </w:r>
      <w:r w:rsidR="00C564BF" w:rsidRPr="00792946">
        <w:rPr>
          <w:rFonts w:ascii="Palatino Linotype" w:eastAsia="Times New Roman" w:hAnsi="Palatino Linotype" w:cs="Times New Roman"/>
          <w:sz w:val="20"/>
          <w:szCs w:val="20"/>
          <w:lang w:eastAsia="it-IT"/>
        </w:rPr>
        <w:t xml:space="preserve"> ‘plurimo’</w:t>
      </w:r>
      <w:r w:rsidR="00C564BF" w:rsidRPr="00792946">
        <w:rPr>
          <w:rStyle w:val="Rimandonotaapidipagina"/>
          <w:rFonts w:ascii="Palatino Linotype" w:eastAsia="Times New Roman" w:hAnsi="Palatino Linotype" w:cs="Times New Roman"/>
          <w:sz w:val="20"/>
          <w:szCs w:val="20"/>
          <w:lang w:eastAsia="it-IT"/>
        </w:rPr>
        <w:footnoteReference w:id="14"/>
      </w:r>
      <w:r w:rsidR="00C564BF" w:rsidRPr="00792946">
        <w:rPr>
          <w:rFonts w:ascii="Palatino Linotype" w:eastAsia="Times New Roman" w:hAnsi="Palatino Linotype" w:cs="Times New Roman"/>
          <w:sz w:val="20"/>
          <w:szCs w:val="20"/>
          <w:lang w:eastAsia="it-IT"/>
        </w:rPr>
        <w:t xml:space="preserve"> (in cui l’ausiliato si avvale di più </w:t>
      </w:r>
      <w:r w:rsidRPr="00792946">
        <w:rPr>
          <w:rFonts w:ascii="Palatino Linotype" w:eastAsia="Times New Roman" w:hAnsi="Palatino Linotype" w:cs="Times New Roman"/>
          <w:sz w:val="20"/>
          <w:szCs w:val="20"/>
          <w:lang w:eastAsia="it-IT"/>
        </w:rPr>
        <w:t>ausiliari</w:t>
      </w:r>
      <w:r w:rsidR="00C564BF" w:rsidRPr="00792946">
        <w:rPr>
          <w:rFonts w:ascii="Palatino Linotype" w:eastAsia="Times New Roman" w:hAnsi="Palatino Linotype" w:cs="Times New Roman"/>
          <w:sz w:val="20"/>
          <w:szCs w:val="20"/>
          <w:lang w:eastAsia="it-IT"/>
        </w:rPr>
        <w:t>), ‘frazionato’</w:t>
      </w:r>
      <w:r w:rsidR="00C564BF" w:rsidRPr="00792946">
        <w:rPr>
          <w:rStyle w:val="Rimandonotaapidipagina"/>
          <w:rFonts w:ascii="Palatino Linotype" w:eastAsia="Times New Roman" w:hAnsi="Palatino Linotype" w:cs="Times New Roman"/>
          <w:sz w:val="20"/>
          <w:szCs w:val="20"/>
          <w:lang w:eastAsia="it-IT"/>
        </w:rPr>
        <w:footnoteReference w:id="15"/>
      </w:r>
      <w:r w:rsidR="00C564BF" w:rsidRPr="00792946">
        <w:rPr>
          <w:rFonts w:ascii="Palatino Linotype" w:eastAsia="Times New Roman" w:hAnsi="Palatino Linotype" w:cs="Times New Roman"/>
          <w:sz w:val="20"/>
          <w:szCs w:val="20"/>
          <w:lang w:eastAsia="it-IT"/>
        </w:rPr>
        <w:t xml:space="preserve"> (in cui </w:t>
      </w:r>
      <w:r w:rsidR="0001380F">
        <w:rPr>
          <w:rFonts w:ascii="Palatino Linotype" w:eastAsia="Times New Roman" w:hAnsi="Palatino Linotype" w:cs="Times New Roman"/>
          <w:sz w:val="20"/>
          <w:szCs w:val="20"/>
          <w:lang w:eastAsia="it-IT"/>
        </w:rPr>
        <w:t xml:space="preserve">né </w:t>
      </w:r>
      <w:r w:rsidR="00C564BF" w:rsidRPr="00792946">
        <w:rPr>
          <w:rFonts w:ascii="Palatino Linotype" w:eastAsia="Times New Roman" w:hAnsi="Palatino Linotype" w:cs="Times New Roman"/>
          <w:sz w:val="20"/>
          <w:szCs w:val="20"/>
          <w:lang w:eastAsia="it-IT"/>
        </w:rPr>
        <w:t>l’ausiliato</w:t>
      </w:r>
      <w:r w:rsidR="0001380F">
        <w:rPr>
          <w:rFonts w:ascii="Palatino Linotype" w:eastAsia="Times New Roman" w:hAnsi="Palatino Linotype" w:cs="Times New Roman"/>
          <w:sz w:val="20"/>
          <w:szCs w:val="20"/>
          <w:lang w:eastAsia="it-IT"/>
        </w:rPr>
        <w:t>,</w:t>
      </w:r>
      <w:r w:rsidR="00C564BF" w:rsidRPr="00792946">
        <w:rPr>
          <w:rFonts w:ascii="Palatino Linotype" w:eastAsia="Times New Roman" w:hAnsi="Palatino Linotype" w:cs="Times New Roman"/>
          <w:sz w:val="20"/>
          <w:szCs w:val="20"/>
          <w:lang w:eastAsia="it-IT"/>
        </w:rPr>
        <w:t xml:space="preserve"> </w:t>
      </w:r>
      <w:r w:rsidR="0001380F">
        <w:rPr>
          <w:rFonts w:ascii="Palatino Linotype" w:eastAsia="Times New Roman" w:hAnsi="Palatino Linotype" w:cs="Times New Roman"/>
          <w:sz w:val="20"/>
          <w:szCs w:val="20"/>
          <w:lang w:eastAsia="it-IT"/>
        </w:rPr>
        <w:t>né l’</w:t>
      </w:r>
      <w:r w:rsidR="00C564BF" w:rsidRPr="00792946">
        <w:rPr>
          <w:rFonts w:ascii="Palatino Linotype" w:eastAsia="Times New Roman" w:hAnsi="Palatino Linotype" w:cs="Times New Roman"/>
          <w:sz w:val="20"/>
          <w:szCs w:val="20"/>
          <w:lang w:eastAsia="it-IT"/>
        </w:rPr>
        <w:t>ausiliario posse</w:t>
      </w:r>
      <w:r w:rsidR="0001380F">
        <w:rPr>
          <w:rFonts w:ascii="Palatino Linotype" w:eastAsia="Times New Roman" w:hAnsi="Palatino Linotype" w:cs="Times New Roman"/>
          <w:sz w:val="20"/>
          <w:szCs w:val="20"/>
          <w:lang w:eastAsia="it-IT"/>
        </w:rPr>
        <w:t>ggono</w:t>
      </w:r>
      <w:r w:rsidR="00C564BF" w:rsidRPr="00792946">
        <w:rPr>
          <w:rFonts w:ascii="Palatino Linotype" w:eastAsia="Times New Roman" w:hAnsi="Palatino Linotype" w:cs="Times New Roman"/>
          <w:sz w:val="20"/>
          <w:szCs w:val="20"/>
          <w:lang w:eastAsia="it-IT"/>
        </w:rPr>
        <w:t xml:space="preserve"> da sol</w:t>
      </w:r>
      <w:r w:rsidR="0001380F">
        <w:rPr>
          <w:rFonts w:ascii="Palatino Linotype" w:eastAsia="Times New Roman" w:hAnsi="Palatino Linotype" w:cs="Times New Roman"/>
          <w:sz w:val="20"/>
          <w:szCs w:val="20"/>
          <w:lang w:eastAsia="it-IT"/>
        </w:rPr>
        <w:t>i</w:t>
      </w:r>
      <w:r w:rsidR="00C564BF" w:rsidRPr="00792946">
        <w:rPr>
          <w:rFonts w:ascii="Palatino Linotype" w:eastAsia="Times New Roman" w:hAnsi="Palatino Linotype" w:cs="Times New Roman"/>
          <w:sz w:val="20"/>
          <w:szCs w:val="20"/>
          <w:lang w:eastAsia="it-IT"/>
        </w:rPr>
        <w:t xml:space="preserve"> il requisito di partecipazione</w:t>
      </w:r>
      <w:r w:rsidRPr="00792946">
        <w:rPr>
          <w:rFonts w:ascii="Palatino Linotype" w:eastAsia="Times New Roman" w:hAnsi="Palatino Linotype" w:cs="Times New Roman"/>
          <w:sz w:val="20"/>
          <w:szCs w:val="20"/>
          <w:lang w:eastAsia="it-IT"/>
        </w:rPr>
        <w:t>, che si raggiunge</w:t>
      </w:r>
      <w:r w:rsidR="00C564BF" w:rsidRPr="00792946">
        <w:rPr>
          <w:rFonts w:ascii="Palatino Linotype" w:eastAsia="Times New Roman" w:hAnsi="Palatino Linotype" w:cs="Times New Roman"/>
          <w:sz w:val="20"/>
          <w:szCs w:val="20"/>
          <w:lang w:eastAsia="it-IT"/>
        </w:rPr>
        <w:t xml:space="preserve"> cumulando </w:t>
      </w:r>
      <w:r w:rsidRPr="00792946">
        <w:rPr>
          <w:rFonts w:ascii="Palatino Linotype" w:eastAsia="Times New Roman" w:hAnsi="Palatino Linotype" w:cs="Times New Roman"/>
          <w:sz w:val="20"/>
          <w:szCs w:val="20"/>
          <w:lang w:eastAsia="it-IT"/>
        </w:rPr>
        <w:t>i requisit</w:t>
      </w:r>
      <w:r w:rsidR="00C564BF" w:rsidRPr="00792946">
        <w:rPr>
          <w:rFonts w:ascii="Palatino Linotype" w:eastAsia="Times New Roman" w:hAnsi="Palatino Linotype" w:cs="Times New Roman"/>
          <w:sz w:val="20"/>
          <w:szCs w:val="20"/>
          <w:lang w:eastAsia="it-IT"/>
        </w:rPr>
        <w:t xml:space="preserve">i di entrambi), ‘interno’ </w:t>
      </w:r>
      <w:r w:rsidR="00C564BF" w:rsidRPr="00792946">
        <w:rPr>
          <w:rFonts w:ascii="Palatino Linotype" w:eastAsia="Times New Roman" w:hAnsi="Palatino Linotype" w:cs="Times New Roman"/>
          <w:iCs/>
          <w:sz w:val="20"/>
          <w:szCs w:val="20"/>
          <w:lang w:eastAsia="it-IT"/>
        </w:rPr>
        <w:t>od ‘infragruppo’</w:t>
      </w:r>
      <w:r w:rsidR="00C564BF" w:rsidRPr="00792946">
        <w:rPr>
          <w:rStyle w:val="Rimandonotaapidipagina"/>
          <w:rFonts w:ascii="Palatino Linotype" w:eastAsia="Times New Roman" w:hAnsi="Palatino Linotype" w:cs="Times New Roman"/>
          <w:iCs/>
          <w:sz w:val="20"/>
          <w:szCs w:val="20"/>
          <w:lang w:eastAsia="it-IT"/>
        </w:rPr>
        <w:footnoteReference w:id="16"/>
      </w:r>
      <w:r w:rsidR="00C564BF" w:rsidRPr="00792946">
        <w:rPr>
          <w:rFonts w:ascii="Palatino Linotype" w:eastAsia="Times New Roman" w:hAnsi="Palatino Linotype" w:cs="Times New Roman"/>
          <w:iCs/>
          <w:sz w:val="20"/>
          <w:szCs w:val="20"/>
          <w:lang w:eastAsia="it-IT"/>
        </w:rPr>
        <w:t xml:space="preserve"> (in cui l’ausiliario è anche mandante o mandatario del raggruppamento dell’ausiliat</w:t>
      </w:r>
      <w:r w:rsidR="0001380F">
        <w:rPr>
          <w:rFonts w:ascii="Palatino Linotype" w:eastAsia="Times New Roman" w:hAnsi="Palatino Linotype" w:cs="Times New Roman"/>
          <w:iCs/>
          <w:sz w:val="20"/>
          <w:szCs w:val="20"/>
          <w:lang w:eastAsia="it-IT"/>
        </w:rPr>
        <w:t>o</w:t>
      </w:r>
      <w:r w:rsidR="00C564BF" w:rsidRPr="00792946">
        <w:rPr>
          <w:rFonts w:ascii="Palatino Linotype" w:eastAsia="Times New Roman" w:hAnsi="Palatino Linotype" w:cs="Times New Roman"/>
          <w:iCs/>
          <w:sz w:val="20"/>
          <w:szCs w:val="20"/>
          <w:lang w:eastAsia="it-IT"/>
        </w:rPr>
        <w:t>)</w:t>
      </w:r>
      <w:r w:rsidR="00C564BF" w:rsidRPr="00792946">
        <w:rPr>
          <w:rFonts w:ascii="Palatino Linotype" w:eastAsia="Times New Roman" w:hAnsi="Palatino Linotype" w:cs="Times New Roman"/>
          <w:sz w:val="20"/>
          <w:szCs w:val="20"/>
          <w:lang w:eastAsia="it-IT"/>
        </w:rPr>
        <w:t>, ‘interno, plurimo ed incrociato’</w:t>
      </w:r>
      <w:r w:rsidR="00C564BF" w:rsidRPr="00792946">
        <w:rPr>
          <w:rFonts w:ascii="Palatino Linotype" w:hAnsi="Palatino Linotype" w:cs="Times New Roman"/>
          <w:sz w:val="20"/>
          <w:szCs w:val="20"/>
          <w:vertAlign w:val="superscript"/>
        </w:rPr>
        <w:footnoteReference w:id="17"/>
      </w:r>
      <w:r w:rsidR="00C564BF" w:rsidRPr="00792946">
        <w:rPr>
          <w:rFonts w:ascii="Palatino Linotype" w:eastAsia="Times New Roman" w:hAnsi="Palatino Linotype" w:cs="Times New Roman"/>
          <w:sz w:val="20"/>
          <w:szCs w:val="20"/>
          <w:lang w:eastAsia="it-IT"/>
        </w:rPr>
        <w:t xml:space="preserve"> (in cui </w:t>
      </w:r>
      <w:r w:rsidRPr="00792946">
        <w:rPr>
          <w:rFonts w:ascii="Palatino Linotype" w:eastAsia="Times New Roman" w:hAnsi="Palatino Linotype" w:cs="Times New Roman"/>
          <w:sz w:val="20"/>
          <w:szCs w:val="20"/>
          <w:lang w:eastAsia="it-IT"/>
        </w:rPr>
        <w:t>un</w:t>
      </w:r>
      <w:r w:rsidR="0001380F">
        <w:rPr>
          <w:rFonts w:ascii="Palatino Linotype" w:eastAsia="Times New Roman" w:hAnsi="Palatino Linotype" w:cs="Times New Roman"/>
          <w:sz w:val="20"/>
          <w:szCs w:val="20"/>
          <w:lang w:eastAsia="it-IT"/>
        </w:rPr>
        <w:t>o</w:t>
      </w:r>
      <w:r w:rsidR="00C564BF" w:rsidRPr="00792946">
        <w:rPr>
          <w:rFonts w:ascii="Palatino Linotype" w:eastAsia="Times New Roman" w:hAnsi="Palatino Linotype" w:cs="Times New Roman"/>
          <w:sz w:val="20"/>
          <w:szCs w:val="20"/>
          <w:lang w:eastAsia="it-IT"/>
        </w:rPr>
        <w:t xml:space="preserve"> stess</w:t>
      </w:r>
      <w:r w:rsidR="0001380F">
        <w:rPr>
          <w:rFonts w:ascii="Palatino Linotype" w:eastAsia="Times New Roman" w:hAnsi="Palatino Linotype" w:cs="Times New Roman"/>
          <w:sz w:val="20"/>
          <w:szCs w:val="20"/>
          <w:lang w:eastAsia="it-IT"/>
        </w:rPr>
        <w:t>o</w:t>
      </w:r>
      <w:r w:rsidR="00C564BF" w:rsidRPr="00792946">
        <w:rPr>
          <w:rFonts w:ascii="Palatino Linotype" w:eastAsia="Times New Roman" w:hAnsi="Palatino Linotype" w:cs="Times New Roman"/>
          <w:sz w:val="20"/>
          <w:szCs w:val="20"/>
          <w:lang w:eastAsia="it-IT"/>
        </w:rPr>
        <w:t xml:space="preserve"> ausiliari</w:t>
      </w:r>
      <w:r w:rsidR="0001380F">
        <w:rPr>
          <w:rFonts w:ascii="Palatino Linotype" w:eastAsia="Times New Roman" w:hAnsi="Palatino Linotype" w:cs="Times New Roman"/>
          <w:sz w:val="20"/>
          <w:szCs w:val="20"/>
          <w:lang w:eastAsia="it-IT"/>
        </w:rPr>
        <w:t>o</w:t>
      </w:r>
      <w:r w:rsidR="00C564BF" w:rsidRPr="00792946">
        <w:rPr>
          <w:rFonts w:ascii="Palatino Linotype" w:eastAsia="Times New Roman" w:hAnsi="Palatino Linotype" w:cs="Times New Roman"/>
          <w:sz w:val="20"/>
          <w:szCs w:val="20"/>
          <w:lang w:eastAsia="it-IT"/>
        </w:rPr>
        <w:t xml:space="preserve"> presta una </w:t>
      </w:r>
      <w:r w:rsidRPr="00792946">
        <w:rPr>
          <w:rFonts w:ascii="Palatino Linotype" w:eastAsia="Times New Roman" w:hAnsi="Palatino Linotype" w:cs="Times New Roman"/>
          <w:sz w:val="20"/>
          <w:szCs w:val="20"/>
          <w:lang w:eastAsia="it-IT"/>
        </w:rPr>
        <w:t xml:space="preserve">diversa </w:t>
      </w:r>
      <w:r w:rsidR="00C564BF" w:rsidRPr="00792946">
        <w:rPr>
          <w:rFonts w:ascii="Palatino Linotype" w:eastAsia="Times New Roman" w:hAnsi="Palatino Linotype" w:cs="Times New Roman"/>
          <w:sz w:val="20"/>
          <w:szCs w:val="20"/>
          <w:lang w:eastAsia="it-IT"/>
        </w:rPr>
        <w:t xml:space="preserve">frazione del proprio requisito a </w:t>
      </w:r>
      <w:r w:rsidRPr="00792946">
        <w:rPr>
          <w:rFonts w:ascii="Palatino Linotype" w:eastAsia="Times New Roman" w:hAnsi="Palatino Linotype" w:cs="Times New Roman"/>
          <w:sz w:val="20"/>
          <w:szCs w:val="20"/>
          <w:lang w:eastAsia="it-IT"/>
        </w:rPr>
        <w:t>più</w:t>
      </w:r>
      <w:r w:rsidR="00C564BF" w:rsidRPr="00792946">
        <w:rPr>
          <w:rFonts w:ascii="Palatino Linotype" w:eastAsia="Times New Roman" w:hAnsi="Palatino Linotype" w:cs="Times New Roman"/>
          <w:sz w:val="20"/>
          <w:szCs w:val="20"/>
          <w:lang w:eastAsia="it-IT"/>
        </w:rPr>
        <w:t xml:space="preserve"> mandanti dello stesso </w:t>
      </w:r>
      <w:r w:rsidRPr="00792946">
        <w:rPr>
          <w:rFonts w:ascii="Palatino Linotype" w:eastAsia="Times New Roman" w:hAnsi="Palatino Linotype" w:cs="Times New Roman"/>
          <w:iCs/>
          <w:sz w:val="20"/>
          <w:szCs w:val="20"/>
          <w:lang w:eastAsia="it-IT"/>
        </w:rPr>
        <w:t xml:space="preserve">raggruppamento </w:t>
      </w:r>
      <w:r w:rsidR="00C564BF" w:rsidRPr="00792946">
        <w:rPr>
          <w:rFonts w:ascii="Palatino Linotype" w:eastAsia="Times New Roman" w:hAnsi="Palatino Linotype" w:cs="Times New Roman"/>
          <w:sz w:val="20"/>
          <w:szCs w:val="20"/>
          <w:lang w:eastAsia="it-IT"/>
        </w:rPr>
        <w:t>in gara)</w:t>
      </w:r>
      <w:r w:rsidRPr="00792946">
        <w:rPr>
          <w:rFonts w:ascii="Palatino Linotype" w:eastAsia="Times New Roman" w:hAnsi="Palatino Linotype" w:cs="Times New Roman"/>
          <w:sz w:val="20"/>
          <w:szCs w:val="20"/>
          <w:lang w:eastAsia="it-IT"/>
        </w:rPr>
        <w:t>.</w:t>
      </w:r>
    </w:p>
    <w:p w14:paraId="315DC1F7" w14:textId="77777777" w:rsidR="00C564BF" w:rsidRPr="00792946" w:rsidRDefault="00145131"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M</w:t>
      </w:r>
      <w:r w:rsidR="00C564BF" w:rsidRPr="00792946">
        <w:rPr>
          <w:rFonts w:ascii="Palatino Linotype" w:eastAsia="Times New Roman" w:hAnsi="Palatino Linotype" w:cs="Times New Roman"/>
          <w:sz w:val="20"/>
          <w:szCs w:val="20"/>
          <w:lang w:eastAsia="it-IT"/>
        </w:rPr>
        <w:t>a</w:t>
      </w:r>
      <w:r w:rsidR="00D66BE9">
        <w:rPr>
          <w:rFonts w:ascii="Palatino Linotype" w:eastAsia="Times New Roman" w:hAnsi="Palatino Linotype" w:cs="Times New Roman"/>
          <w:sz w:val="20"/>
          <w:szCs w:val="20"/>
          <w:lang w:eastAsia="it-IT"/>
        </w:rPr>
        <w:t>,</w:t>
      </w:r>
      <w:r w:rsidR="00C564BF"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 xml:space="preserve">in </w:t>
      </w:r>
      <w:r w:rsidR="00C564BF" w:rsidRPr="00792946">
        <w:rPr>
          <w:rFonts w:ascii="Palatino Linotype" w:eastAsia="Times New Roman" w:hAnsi="Palatino Linotype" w:cs="Times New Roman"/>
          <w:sz w:val="20"/>
          <w:szCs w:val="20"/>
          <w:lang w:eastAsia="it-IT"/>
        </w:rPr>
        <w:t>talaltr</w:t>
      </w:r>
      <w:r w:rsidRPr="00792946">
        <w:rPr>
          <w:rFonts w:ascii="Palatino Linotype" w:eastAsia="Times New Roman" w:hAnsi="Palatino Linotype" w:cs="Times New Roman"/>
          <w:sz w:val="20"/>
          <w:szCs w:val="20"/>
          <w:lang w:eastAsia="it-IT"/>
        </w:rPr>
        <w:t xml:space="preserve">i casi, </w:t>
      </w:r>
      <w:r w:rsidR="00D66BE9">
        <w:rPr>
          <w:rFonts w:ascii="Palatino Linotype" w:eastAsia="Times New Roman" w:hAnsi="Palatino Linotype" w:cs="Times New Roman"/>
          <w:sz w:val="20"/>
          <w:szCs w:val="20"/>
          <w:lang w:eastAsia="it-IT"/>
        </w:rPr>
        <w:t>la valutazione</w:t>
      </w:r>
      <w:r w:rsidRPr="00792946">
        <w:rPr>
          <w:rFonts w:ascii="Palatino Linotype" w:eastAsia="Times New Roman" w:hAnsi="Palatino Linotype" w:cs="Times New Roman"/>
          <w:sz w:val="20"/>
          <w:szCs w:val="20"/>
          <w:lang w:eastAsia="it-IT"/>
        </w:rPr>
        <w:t xml:space="preserve"> </w:t>
      </w:r>
      <w:r w:rsidR="0001380F">
        <w:rPr>
          <w:rFonts w:ascii="Palatino Linotype" w:eastAsia="Times New Roman" w:hAnsi="Palatino Linotype" w:cs="Times New Roman"/>
          <w:sz w:val="20"/>
          <w:szCs w:val="20"/>
          <w:lang w:eastAsia="it-IT"/>
        </w:rPr>
        <w:t>è stat</w:t>
      </w:r>
      <w:r w:rsidR="00D66BE9">
        <w:rPr>
          <w:rFonts w:ascii="Palatino Linotype" w:eastAsia="Times New Roman" w:hAnsi="Palatino Linotype" w:cs="Times New Roman"/>
          <w:sz w:val="20"/>
          <w:szCs w:val="20"/>
          <w:lang w:eastAsia="it-IT"/>
        </w:rPr>
        <w:t>a</w:t>
      </w:r>
      <w:r w:rsidR="0001380F">
        <w:rPr>
          <w:rFonts w:ascii="Palatino Linotype" w:eastAsia="Times New Roman" w:hAnsi="Palatino Linotype" w:cs="Times New Roman"/>
          <w:sz w:val="20"/>
          <w:szCs w:val="20"/>
          <w:lang w:eastAsia="it-IT"/>
        </w:rPr>
        <w:t xml:space="preserve"> di</w:t>
      </w:r>
      <w:r w:rsidRPr="00792946">
        <w:rPr>
          <w:rFonts w:ascii="Palatino Linotype" w:eastAsia="Times New Roman" w:hAnsi="Palatino Linotype" w:cs="Times New Roman"/>
          <w:sz w:val="20"/>
          <w:szCs w:val="20"/>
          <w:lang w:eastAsia="it-IT"/>
        </w:rPr>
        <w:t xml:space="preserve"> </w:t>
      </w:r>
      <w:r w:rsidR="00D66BE9">
        <w:rPr>
          <w:rFonts w:ascii="Palatino Linotype" w:eastAsia="Times New Roman" w:hAnsi="Palatino Linotype" w:cs="Times New Roman"/>
          <w:sz w:val="20"/>
          <w:szCs w:val="20"/>
          <w:lang w:eastAsia="it-IT"/>
        </w:rPr>
        <w:t xml:space="preserve">segno </w:t>
      </w:r>
      <w:r w:rsidRPr="00792946">
        <w:rPr>
          <w:rFonts w:ascii="Palatino Linotype" w:eastAsia="Times New Roman" w:hAnsi="Palatino Linotype" w:cs="Times New Roman"/>
          <w:sz w:val="20"/>
          <w:szCs w:val="20"/>
          <w:lang w:eastAsia="it-IT"/>
        </w:rPr>
        <w:t xml:space="preserve">negativo, </w:t>
      </w:r>
      <w:r w:rsidR="00C564BF" w:rsidRPr="00792946">
        <w:rPr>
          <w:rFonts w:ascii="Palatino Linotype" w:eastAsia="Times New Roman" w:hAnsi="Palatino Linotype" w:cs="Times New Roman"/>
          <w:sz w:val="20"/>
          <w:szCs w:val="20"/>
          <w:lang w:eastAsia="it-IT"/>
        </w:rPr>
        <w:t xml:space="preserve">come </w:t>
      </w:r>
      <w:r w:rsidRPr="00792946">
        <w:rPr>
          <w:rFonts w:ascii="Palatino Linotype" w:eastAsia="Times New Roman" w:hAnsi="Palatino Linotype" w:cs="Times New Roman"/>
          <w:sz w:val="20"/>
          <w:szCs w:val="20"/>
          <w:lang w:eastAsia="it-IT"/>
        </w:rPr>
        <w:t xml:space="preserve">per </w:t>
      </w:r>
      <w:r w:rsidR="00C564BF" w:rsidRPr="00792946">
        <w:rPr>
          <w:rFonts w:ascii="Palatino Linotype" w:eastAsia="Times New Roman" w:hAnsi="Palatino Linotype" w:cs="Times New Roman"/>
          <w:sz w:val="20"/>
          <w:szCs w:val="20"/>
          <w:lang w:eastAsia="it-IT"/>
        </w:rPr>
        <w:t>l’avvalimento ‘a cascata’</w:t>
      </w:r>
      <w:r w:rsidR="007B4D15" w:rsidRPr="00792946">
        <w:rPr>
          <w:rStyle w:val="Rimandonotaapidipagina"/>
          <w:rFonts w:ascii="Palatino Linotype" w:eastAsia="Times New Roman" w:hAnsi="Palatino Linotype" w:cs="Times New Roman"/>
          <w:sz w:val="20"/>
          <w:szCs w:val="20"/>
          <w:lang w:eastAsia="it-IT"/>
        </w:rPr>
        <w:footnoteReference w:id="18"/>
      </w:r>
      <w:r w:rsidR="001832FD" w:rsidRPr="00792946">
        <w:rPr>
          <w:rFonts w:ascii="Palatino Linotype" w:eastAsia="Times New Roman" w:hAnsi="Palatino Linotype" w:cs="Times New Roman"/>
          <w:sz w:val="20"/>
          <w:szCs w:val="20"/>
          <w:lang w:eastAsia="it-IT"/>
        </w:rPr>
        <w:t xml:space="preserve"> (in cui l’ausiliario, per integrare il possesso dei requisiti prestati al concorrente, si avvale a sua volta di un proprio ausiliario)</w:t>
      </w:r>
      <w:r w:rsidR="00C564BF" w:rsidRPr="00792946">
        <w:rPr>
          <w:rFonts w:ascii="Palatino Linotype" w:eastAsia="Times New Roman" w:hAnsi="Palatino Linotype" w:cs="Times New Roman"/>
          <w:sz w:val="20"/>
          <w:szCs w:val="20"/>
          <w:lang w:eastAsia="it-IT"/>
        </w:rPr>
        <w:t xml:space="preserve">, espressamente vietato  </w:t>
      </w:r>
      <w:r w:rsidR="001832FD" w:rsidRPr="00792946">
        <w:rPr>
          <w:rFonts w:ascii="Palatino Linotype" w:eastAsia="Times New Roman" w:hAnsi="Palatino Linotype" w:cs="Times New Roman"/>
          <w:iCs/>
          <w:sz w:val="20"/>
          <w:szCs w:val="20"/>
          <w:lang w:eastAsia="it-IT"/>
        </w:rPr>
        <w:t>dall’art. 89, comma 6, del D.lgs. 50/2016</w:t>
      </w:r>
      <w:r w:rsidR="0001380F">
        <w:rPr>
          <w:rFonts w:ascii="Palatino Linotype" w:eastAsia="Times New Roman" w:hAnsi="Palatino Linotype" w:cs="Times New Roman"/>
          <w:iCs/>
          <w:sz w:val="20"/>
          <w:szCs w:val="20"/>
          <w:lang w:eastAsia="it-IT"/>
        </w:rPr>
        <w:t>,</w:t>
      </w:r>
      <w:r w:rsidR="001832FD" w:rsidRPr="00792946">
        <w:rPr>
          <w:rFonts w:ascii="Palatino Linotype" w:eastAsia="Times New Roman" w:hAnsi="Palatino Linotype" w:cs="Times New Roman"/>
          <w:sz w:val="20"/>
          <w:szCs w:val="20"/>
          <w:lang w:eastAsia="it-IT"/>
        </w:rPr>
        <w:t xml:space="preserve"> </w:t>
      </w:r>
      <w:r w:rsidR="0001380F">
        <w:rPr>
          <w:rFonts w:ascii="Palatino Linotype" w:eastAsia="Times New Roman" w:hAnsi="Palatino Linotype" w:cs="Times New Roman"/>
          <w:sz w:val="20"/>
          <w:szCs w:val="20"/>
          <w:lang w:eastAsia="it-IT"/>
        </w:rPr>
        <w:t>o</w:t>
      </w:r>
      <w:r w:rsidR="001832FD"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 xml:space="preserve">per </w:t>
      </w:r>
      <w:r w:rsidR="001832FD" w:rsidRPr="00792946">
        <w:rPr>
          <w:rFonts w:ascii="Palatino Linotype" w:eastAsia="Times New Roman" w:hAnsi="Palatino Linotype" w:cs="Times New Roman"/>
          <w:sz w:val="20"/>
          <w:szCs w:val="20"/>
          <w:lang w:eastAsia="it-IT"/>
        </w:rPr>
        <w:t xml:space="preserve">l’avvalimento </w:t>
      </w:r>
      <w:r w:rsidR="00C564BF" w:rsidRPr="00792946">
        <w:rPr>
          <w:rFonts w:ascii="Palatino Linotype" w:eastAsia="Times New Roman" w:hAnsi="Palatino Linotype" w:cs="Times New Roman"/>
          <w:sz w:val="20"/>
          <w:szCs w:val="20"/>
          <w:lang w:eastAsia="it-IT"/>
        </w:rPr>
        <w:t>‘</w:t>
      </w:r>
      <w:r w:rsidR="00C564BF" w:rsidRPr="00792946">
        <w:rPr>
          <w:rFonts w:ascii="Palatino Linotype" w:eastAsia="Times New Roman" w:hAnsi="Palatino Linotype" w:cs="Times New Roman"/>
          <w:iCs/>
          <w:sz w:val="20"/>
          <w:szCs w:val="20"/>
          <w:lang w:eastAsia="it-IT"/>
        </w:rPr>
        <w:t>sovrabbondante</w:t>
      </w:r>
      <w:r w:rsidR="00C564BF" w:rsidRPr="00792946">
        <w:rPr>
          <w:rFonts w:ascii="Palatino Linotype" w:eastAsia="Times New Roman" w:hAnsi="Palatino Linotype" w:cs="Times New Roman"/>
          <w:sz w:val="20"/>
          <w:szCs w:val="20"/>
          <w:lang w:eastAsia="it-IT"/>
        </w:rPr>
        <w:t>’</w:t>
      </w:r>
      <w:r w:rsidR="00C564BF" w:rsidRPr="00792946">
        <w:rPr>
          <w:rStyle w:val="Rimandonotaapidipagina"/>
          <w:rFonts w:ascii="Palatino Linotype" w:eastAsia="Times New Roman" w:hAnsi="Palatino Linotype" w:cs="Times New Roman"/>
          <w:sz w:val="20"/>
          <w:szCs w:val="20"/>
          <w:lang w:eastAsia="it-IT"/>
        </w:rPr>
        <w:footnoteReference w:id="19"/>
      </w:r>
      <w:r w:rsidR="00C564BF" w:rsidRPr="00792946">
        <w:rPr>
          <w:rFonts w:ascii="Palatino Linotype" w:eastAsia="Times New Roman" w:hAnsi="Palatino Linotype" w:cs="Times New Roman"/>
          <w:sz w:val="20"/>
          <w:szCs w:val="20"/>
          <w:lang w:eastAsia="it-IT"/>
        </w:rPr>
        <w:t xml:space="preserve"> (in cui l’operatore economico</w:t>
      </w:r>
      <w:r w:rsidR="0001380F">
        <w:rPr>
          <w:rFonts w:ascii="Palatino Linotype" w:eastAsia="Times New Roman" w:hAnsi="Palatino Linotype" w:cs="Times New Roman"/>
          <w:sz w:val="20"/>
          <w:szCs w:val="20"/>
          <w:lang w:eastAsia="it-IT"/>
        </w:rPr>
        <w:t>,</w:t>
      </w:r>
      <w:r w:rsidR="00AF3838" w:rsidRPr="00792946">
        <w:rPr>
          <w:rFonts w:ascii="Palatino Linotype" w:eastAsia="Times New Roman" w:hAnsi="Palatino Linotype" w:cs="Times New Roman"/>
          <w:sz w:val="20"/>
          <w:szCs w:val="20"/>
          <w:lang w:eastAsia="it-IT"/>
        </w:rPr>
        <w:t xml:space="preserve"> </w:t>
      </w:r>
      <w:r w:rsidR="0001380F">
        <w:rPr>
          <w:rFonts w:ascii="Palatino Linotype" w:eastAsia="Times New Roman" w:hAnsi="Palatino Linotype" w:cs="Times New Roman"/>
          <w:sz w:val="20"/>
          <w:szCs w:val="20"/>
          <w:lang w:eastAsia="it-IT"/>
        </w:rPr>
        <w:t xml:space="preserve">dopo aver </w:t>
      </w:r>
      <w:r w:rsidR="00C564BF" w:rsidRPr="00792946">
        <w:rPr>
          <w:rFonts w:ascii="Palatino Linotype" w:eastAsia="Times New Roman" w:hAnsi="Palatino Linotype" w:cs="Times New Roman"/>
          <w:sz w:val="20"/>
          <w:szCs w:val="20"/>
          <w:lang w:eastAsia="it-IT"/>
        </w:rPr>
        <w:t>partecipa</w:t>
      </w:r>
      <w:r w:rsidR="0001380F">
        <w:rPr>
          <w:rFonts w:ascii="Palatino Linotype" w:eastAsia="Times New Roman" w:hAnsi="Palatino Linotype" w:cs="Times New Roman"/>
          <w:sz w:val="20"/>
          <w:szCs w:val="20"/>
          <w:lang w:eastAsia="it-IT"/>
        </w:rPr>
        <w:t>to alla gara</w:t>
      </w:r>
      <w:r w:rsidR="00AF3838" w:rsidRPr="00792946">
        <w:rPr>
          <w:rFonts w:ascii="Palatino Linotype" w:eastAsia="Times New Roman" w:hAnsi="Palatino Linotype" w:cs="Times New Roman"/>
          <w:sz w:val="20"/>
          <w:szCs w:val="20"/>
          <w:lang w:eastAsia="it-IT"/>
        </w:rPr>
        <w:t xml:space="preserve"> </w:t>
      </w:r>
      <w:r w:rsidR="00C564BF" w:rsidRPr="00792946">
        <w:rPr>
          <w:rFonts w:ascii="Palatino Linotype" w:eastAsia="Times New Roman" w:hAnsi="Palatino Linotype" w:cs="Times New Roman"/>
          <w:sz w:val="20"/>
          <w:szCs w:val="20"/>
          <w:lang w:eastAsia="it-IT"/>
        </w:rPr>
        <w:t>avvalendosi della capacità altrui,</w:t>
      </w:r>
      <w:r w:rsidR="00C564BF" w:rsidRPr="00792946">
        <w:rPr>
          <w:rFonts w:ascii="Palatino Linotype" w:eastAsia="Times New Roman" w:hAnsi="Palatino Linotype" w:cs="Times New Roman"/>
          <w:iCs/>
          <w:sz w:val="20"/>
          <w:szCs w:val="20"/>
          <w:lang w:eastAsia="it-IT"/>
        </w:rPr>
        <w:t xml:space="preserve"> in corso od all’esito di questa, manifesta l’intenzione di soddisfare in proprio </w:t>
      </w:r>
      <w:r w:rsidR="00AF3838" w:rsidRPr="00792946">
        <w:rPr>
          <w:rFonts w:ascii="Palatino Linotype" w:eastAsia="Times New Roman" w:hAnsi="Palatino Linotype" w:cs="Times New Roman"/>
          <w:iCs/>
          <w:sz w:val="20"/>
          <w:szCs w:val="20"/>
          <w:lang w:eastAsia="it-IT"/>
        </w:rPr>
        <w:t>il</w:t>
      </w:r>
      <w:r w:rsidR="00C564BF" w:rsidRPr="00792946">
        <w:rPr>
          <w:rFonts w:ascii="Palatino Linotype" w:eastAsia="Times New Roman" w:hAnsi="Palatino Linotype" w:cs="Times New Roman"/>
          <w:iCs/>
          <w:sz w:val="20"/>
          <w:szCs w:val="20"/>
          <w:lang w:eastAsia="it-IT"/>
        </w:rPr>
        <w:t xml:space="preserve"> requisit</w:t>
      </w:r>
      <w:r w:rsidR="00AF3838" w:rsidRPr="00792946">
        <w:rPr>
          <w:rFonts w:ascii="Palatino Linotype" w:eastAsia="Times New Roman" w:hAnsi="Palatino Linotype" w:cs="Times New Roman"/>
          <w:iCs/>
          <w:sz w:val="20"/>
          <w:szCs w:val="20"/>
          <w:lang w:eastAsia="it-IT"/>
        </w:rPr>
        <w:t>o, in ragione del fatto</w:t>
      </w:r>
      <w:r w:rsidR="00C564BF" w:rsidRPr="00792946">
        <w:rPr>
          <w:rFonts w:ascii="Palatino Linotype" w:eastAsia="Times New Roman" w:hAnsi="Palatino Linotype" w:cs="Times New Roman"/>
          <w:iCs/>
          <w:sz w:val="20"/>
          <w:szCs w:val="20"/>
          <w:lang w:eastAsia="it-IT"/>
        </w:rPr>
        <w:t xml:space="preserve"> </w:t>
      </w:r>
      <w:r w:rsidR="00AF3838" w:rsidRPr="00792946">
        <w:rPr>
          <w:rFonts w:ascii="Palatino Linotype" w:eastAsia="Times New Roman" w:hAnsi="Palatino Linotype" w:cs="Times New Roman"/>
          <w:iCs/>
          <w:sz w:val="20"/>
          <w:szCs w:val="20"/>
          <w:lang w:eastAsia="it-IT"/>
        </w:rPr>
        <w:t xml:space="preserve">che sin dall’inizio </w:t>
      </w:r>
      <w:r w:rsidR="00C564BF" w:rsidRPr="00792946">
        <w:rPr>
          <w:rFonts w:ascii="Palatino Linotype" w:eastAsia="Times New Roman" w:hAnsi="Palatino Linotype" w:cs="Times New Roman"/>
          <w:iCs/>
          <w:sz w:val="20"/>
          <w:szCs w:val="20"/>
          <w:lang w:eastAsia="it-IT"/>
        </w:rPr>
        <w:t xml:space="preserve">avrebbe potuto fare a meno dell’avvalimento), </w:t>
      </w:r>
      <w:r w:rsidR="00AF3838" w:rsidRPr="00792946">
        <w:rPr>
          <w:rFonts w:ascii="Palatino Linotype" w:eastAsia="Times New Roman" w:hAnsi="Palatino Linotype" w:cs="Times New Roman"/>
          <w:iCs/>
          <w:sz w:val="20"/>
          <w:szCs w:val="20"/>
          <w:lang w:eastAsia="it-IT"/>
        </w:rPr>
        <w:t>che</w:t>
      </w:r>
      <w:r w:rsidRPr="00792946">
        <w:rPr>
          <w:rFonts w:ascii="Palatino Linotype" w:eastAsia="Times New Roman" w:hAnsi="Palatino Linotype" w:cs="Times New Roman"/>
          <w:iCs/>
          <w:sz w:val="20"/>
          <w:szCs w:val="20"/>
          <w:lang w:eastAsia="it-IT"/>
        </w:rPr>
        <w:t xml:space="preserve"> </w:t>
      </w:r>
      <w:r w:rsidR="00AF3838" w:rsidRPr="00792946">
        <w:rPr>
          <w:rFonts w:ascii="Palatino Linotype" w:eastAsia="Times New Roman" w:hAnsi="Palatino Linotype" w:cs="Times New Roman"/>
          <w:iCs/>
          <w:sz w:val="20"/>
          <w:szCs w:val="20"/>
          <w:lang w:eastAsia="it-IT"/>
        </w:rPr>
        <w:t xml:space="preserve">viola </w:t>
      </w:r>
      <w:r w:rsidR="00C564BF" w:rsidRPr="00792946">
        <w:rPr>
          <w:rFonts w:ascii="Palatino Linotype" w:eastAsia="Times New Roman" w:hAnsi="Palatino Linotype" w:cs="Times New Roman"/>
          <w:iCs/>
          <w:sz w:val="20"/>
          <w:szCs w:val="20"/>
          <w:lang w:eastAsia="it-IT"/>
        </w:rPr>
        <w:t xml:space="preserve">i princìpi di auto-responsabilità del dichiarante e di </w:t>
      </w:r>
      <w:r w:rsidR="00C564BF" w:rsidRPr="00792946">
        <w:rPr>
          <w:rFonts w:ascii="Palatino Linotype" w:eastAsia="Times New Roman" w:hAnsi="Palatino Linotype" w:cs="Times New Roman"/>
          <w:i/>
          <w:iCs/>
          <w:sz w:val="20"/>
          <w:szCs w:val="20"/>
          <w:lang w:eastAsia="it-IT"/>
        </w:rPr>
        <w:t>par condicio</w:t>
      </w:r>
      <w:r w:rsidR="00C564BF" w:rsidRPr="00792946">
        <w:rPr>
          <w:rFonts w:ascii="Palatino Linotype" w:eastAsia="Times New Roman" w:hAnsi="Palatino Linotype" w:cs="Times New Roman"/>
          <w:iCs/>
          <w:sz w:val="20"/>
          <w:szCs w:val="20"/>
          <w:lang w:eastAsia="it-IT"/>
        </w:rPr>
        <w:t xml:space="preserve"> fra i concorrenti, </w:t>
      </w:r>
      <w:r w:rsidR="00AF3838" w:rsidRPr="00792946">
        <w:rPr>
          <w:rFonts w:ascii="Palatino Linotype" w:eastAsia="Times New Roman" w:hAnsi="Palatino Linotype" w:cs="Times New Roman"/>
          <w:iCs/>
          <w:sz w:val="20"/>
          <w:szCs w:val="20"/>
          <w:lang w:eastAsia="it-IT"/>
        </w:rPr>
        <w:t>secondo cui,</w:t>
      </w:r>
      <w:r w:rsidR="00C564BF" w:rsidRPr="00792946">
        <w:rPr>
          <w:rFonts w:ascii="Palatino Linotype" w:eastAsia="Times New Roman" w:hAnsi="Palatino Linotype" w:cs="Times New Roman"/>
          <w:iCs/>
          <w:sz w:val="20"/>
          <w:szCs w:val="20"/>
          <w:lang w:eastAsia="it-IT"/>
        </w:rPr>
        <w:t xml:space="preserve"> </w:t>
      </w:r>
      <w:r w:rsidR="0001380F">
        <w:rPr>
          <w:rFonts w:ascii="Palatino Linotype" w:eastAsia="Times New Roman" w:hAnsi="Palatino Linotype" w:cs="Times New Roman"/>
          <w:iCs/>
          <w:sz w:val="20"/>
          <w:szCs w:val="20"/>
          <w:lang w:eastAsia="it-IT"/>
        </w:rPr>
        <w:t>quel che</w:t>
      </w:r>
      <w:r w:rsidR="00C564BF" w:rsidRPr="00792946">
        <w:rPr>
          <w:rFonts w:ascii="Palatino Linotype" w:eastAsia="Times New Roman" w:hAnsi="Palatino Linotype" w:cs="Times New Roman"/>
          <w:iCs/>
          <w:sz w:val="20"/>
          <w:szCs w:val="20"/>
          <w:lang w:eastAsia="it-IT"/>
        </w:rPr>
        <w:t xml:space="preserve"> assumere rilievo</w:t>
      </w:r>
      <w:r w:rsidR="00AF3838" w:rsidRPr="00792946">
        <w:rPr>
          <w:rFonts w:ascii="Palatino Linotype" w:eastAsia="Times New Roman" w:hAnsi="Palatino Linotype" w:cs="Times New Roman"/>
          <w:iCs/>
          <w:sz w:val="20"/>
          <w:szCs w:val="20"/>
          <w:lang w:eastAsia="it-IT"/>
        </w:rPr>
        <w:t>,</w:t>
      </w:r>
      <w:r w:rsidR="00C564BF" w:rsidRPr="00792946">
        <w:rPr>
          <w:rFonts w:ascii="Palatino Linotype" w:eastAsia="Times New Roman" w:hAnsi="Palatino Linotype" w:cs="Times New Roman"/>
          <w:iCs/>
          <w:sz w:val="20"/>
          <w:szCs w:val="20"/>
          <w:lang w:eastAsia="it-IT"/>
        </w:rPr>
        <w:t xml:space="preserve"> non è l’astratto possesso del requisito, bensì la concreta spendita di questo</w:t>
      </w:r>
      <w:r w:rsidR="00C564BF" w:rsidRPr="00792946">
        <w:rPr>
          <w:rFonts w:ascii="Palatino Linotype" w:eastAsia="Times New Roman" w:hAnsi="Palatino Linotype" w:cs="Times New Roman"/>
          <w:sz w:val="20"/>
          <w:szCs w:val="20"/>
          <w:lang w:eastAsia="it-IT"/>
        </w:rPr>
        <w:t>.</w:t>
      </w:r>
    </w:p>
    <w:p w14:paraId="74E6F2B3" w14:textId="77777777" w:rsidR="0076326B" w:rsidRPr="00792946" w:rsidRDefault="00FA3F1F"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Tra </w:t>
      </w:r>
      <w:r w:rsidR="00643C47" w:rsidRPr="00792946">
        <w:rPr>
          <w:rFonts w:ascii="Palatino Linotype" w:eastAsia="Times New Roman" w:hAnsi="Palatino Linotype" w:cs="Times New Roman"/>
          <w:sz w:val="20"/>
          <w:szCs w:val="20"/>
          <w:lang w:eastAsia="it-IT"/>
        </w:rPr>
        <w:t>i contratti d’impresa</w:t>
      </w:r>
      <w:r w:rsidR="005D0355" w:rsidRPr="00792946">
        <w:rPr>
          <w:rStyle w:val="Rimandonotaapidipagina"/>
          <w:rFonts w:ascii="Palatino Linotype" w:eastAsia="Times New Roman" w:hAnsi="Palatino Linotype" w:cs="Times New Roman"/>
          <w:sz w:val="20"/>
          <w:szCs w:val="20"/>
          <w:lang w:eastAsia="it-IT"/>
        </w:rPr>
        <w:footnoteReference w:id="20"/>
      </w:r>
      <w:r w:rsidR="0020414D" w:rsidRPr="00792946">
        <w:rPr>
          <w:rFonts w:ascii="Palatino Linotype" w:eastAsia="Times New Roman" w:hAnsi="Palatino Linotype" w:cs="Times New Roman"/>
          <w:sz w:val="20"/>
          <w:szCs w:val="20"/>
          <w:lang w:eastAsia="it-IT"/>
        </w:rPr>
        <w:t>, l</w:t>
      </w:r>
      <w:r w:rsidR="00B05298" w:rsidRPr="00792946">
        <w:rPr>
          <w:rFonts w:ascii="Palatino Linotype" w:eastAsia="Times New Roman" w:hAnsi="Palatino Linotype" w:cs="Times New Roman"/>
          <w:sz w:val="20"/>
          <w:szCs w:val="20"/>
          <w:lang w:eastAsia="it-IT"/>
        </w:rPr>
        <w:t xml:space="preserve">’avvalimento non </w:t>
      </w:r>
      <w:r w:rsidR="00D66BE9">
        <w:rPr>
          <w:rFonts w:ascii="Palatino Linotype" w:eastAsia="Times New Roman" w:hAnsi="Palatino Linotype" w:cs="Times New Roman"/>
          <w:sz w:val="20"/>
          <w:szCs w:val="20"/>
          <w:lang w:eastAsia="it-IT"/>
        </w:rPr>
        <w:t>è</w:t>
      </w:r>
      <w:r w:rsidR="00B05298" w:rsidRPr="00792946">
        <w:rPr>
          <w:rFonts w:ascii="Palatino Linotype" w:eastAsia="Times New Roman" w:hAnsi="Palatino Linotype" w:cs="Times New Roman"/>
          <w:sz w:val="20"/>
          <w:szCs w:val="20"/>
          <w:lang w:eastAsia="it-IT"/>
        </w:rPr>
        <w:t xml:space="preserve"> l’unico strumento </w:t>
      </w:r>
      <w:r w:rsidRPr="00792946">
        <w:rPr>
          <w:rFonts w:ascii="Palatino Linotype" w:eastAsia="Times New Roman" w:hAnsi="Palatino Linotype" w:cs="Times New Roman"/>
          <w:sz w:val="20"/>
          <w:szCs w:val="20"/>
          <w:lang w:eastAsia="it-IT"/>
        </w:rPr>
        <w:t>utile a</w:t>
      </w:r>
      <w:r w:rsidR="00B05298" w:rsidRPr="00792946">
        <w:rPr>
          <w:rFonts w:ascii="Palatino Linotype" w:eastAsia="Times New Roman" w:hAnsi="Palatino Linotype" w:cs="Times New Roman"/>
          <w:sz w:val="20"/>
          <w:szCs w:val="20"/>
          <w:lang w:eastAsia="it-IT"/>
        </w:rPr>
        <w:t xml:space="preserve"> </w:t>
      </w:r>
      <w:r w:rsidR="00AA1119" w:rsidRPr="00792946">
        <w:rPr>
          <w:rFonts w:ascii="Palatino Linotype" w:eastAsia="Times New Roman" w:hAnsi="Palatino Linotype" w:cs="Times New Roman"/>
          <w:sz w:val="20"/>
          <w:szCs w:val="20"/>
          <w:lang w:eastAsia="it-IT"/>
        </w:rPr>
        <w:t>consegui</w:t>
      </w:r>
      <w:r w:rsidR="00B05298" w:rsidRPr="00792946">
        <w:rPr>
          <w:rFonts w:ascii="Palatino Linotype" w:eastAsia="Times New Roman" w:hAnsi="Palatino Linotype" w:cs="Times New Roman"/>
          <w:sz w:val="20"/>
          <w:szCs w:val="20"/>
          <w:lang w:eastAsia="it-IT"/>
        </w:rPr>
        <w:t xml:space="preserve">re </w:t>
      </w:r>
      <w:r w:rsidR="00AA1119" w:rsidRPr="00792946">
        <w:rPr>
          <w:rFonts w:ascii="Palatino Linotype" w:eastAsia="Times New Roman" w:hAnsi="Palatino Linotype" w:cs="Times New Roman"/>
          <w:sz w:val="20"/>
          <w:szCs w:val="20"/>
          <w:lang w:eastAsia="it-IT"/>
        </w:rPr>
        <w:t>il</w:t>
      </w:r>
      <w:r w:rsidR="00B05298" w:rsidRPr="00792946">
        <w:rPr>
          <w:rFonts w:ascii="Palatino Linotype" w:eastAsia="Times New Roman" w:hAnsi="Palatino Linotype" w:cs="Times New Roman"/>
          <w:sz w:val="20"/>
          <w:szCs w:val="20"/>
          <w:lang w:eastAsia="it-IT"/>
        </w:rPr>
        <w:t xml:space="preserve"> risultato economico</w:t>
      </w:r>
      <w:r w:rsidR="00AA1119" w:rsidRPr="00792946">
        <w:rPr>
          <w:rFonts w:ascii="Palatino Linotype" w:eastAsia="Times New Roman" w:hAnsi="Palatino Linotype" w:cs="Times New Roman"/>
          <w:sz w:val="20"/>
          <w:szCs w:val="20"/>
          <w:lang w:eastAsia="it-IT"/>
        </w:rPr>
        <w:t xml:space="preserve"> </w:t>
      </w:r>
      <w:r w:rsidR="007B4D15" w:rsidRPr="00792946">
        <w:rPr>
          <w:rFonts w:ascii="Palatino Linotype" w:eastAsia="Times New Roman" w:hAnsi="Palatino Linotype" w:cs="Times New Roman"/>
          <w:sz w:val="20"/>
          <w:szCs w:val="20"/>
          <w:lang w:eastAsia="it-IT"/>
        </w:rPr>
        <w:t>di ampliare</w:t>
      </w:r>
      <w:r w:rsidR="00B65D7A" w:rsidRPr="00792946">
        <w:rPr>
          <w:rFonts w:ascii="Palatino Linotype" w:eastAsia="Times New Roman" w:hAnsi="Palatino Linotype" w:cs="Times New Roman"/>
          <w:sz w:val="20"/>
          <w:szCs w:val="20"/>
          <w:lang w:eastAsia="it-IT"/>
        </w:rPr>
        <w:t>,</w:t>
      </w:r>
      <w:r w:rsidR="00AB6CF3" w:rsidRPr="00792946">
        <w:rPr>
          <w:rFonts w:ascii="Palatino Linotype" w:eastAsia="Times New Roman" w:hAnsi="Palatino Linotype" w:cs="Times New Roman"/>
          <w:sz w:val="20"/>
          <w:szCs w:val="20"/>
          <w:lang w:eastAsia="it-IT"/>
        </w:rPr>
        <w:t xml:space="preserve"> </w:t>
      </w:r>
      <w:r w:rsidR="00B65D7A" w:rsidRPr="00792946">
        <w:rPr>
          <w:rFonts w:ascii="Palatino Linotype" w:eastAsia="Times New Roman" w:hAnsi="Palatino Linotype" w:cs="Times New Roman"/>
          <w:sz w:val="20"/>
          <w:szCs w:val="20"/>
          <w:lang w:eastAsia="it-IT"/>
        </w:rPr>
        <w:t xml:space="preserve">tramite </w:t>
      </w:r>
      <w:r w:rsidR="00AB6CF3" w:rsidRPr="00792946">
        <w:rPr>
          <w:rFonts w:ascii="Palatino Linotype" w:eastAsia="Times New Roman" w:hAnsi="Palatino Linotype" w:cs="Times New Roman"/>
          <w:sz w:val="20"/>
          <w:szCs w:val="20"/>
          <w:lang w:eastAsia="it-IT"/>
        </w:rPr>
        <w:t>un apporto esterno</w:t>
      </w:r>
      <w:r w:rsidR="00B65D7A" w:rsidRPr="00792946">
        <w:rPr>
          <w:rFonts w:ascii="Palatino Linotype" w:eastAsia="Times New Roman" w:hAnsi="Palatino Linotype" w:cs="Times New Roman"/>
          <w:sz w:val="20"/>
          <w:szCs w:val="20"/>
          <w:lang w:eastAsia="it-IT"/>
        </w:rPr>
        <w:t>,</w:t>
      </w:r>
      <w:r w:rsidR="007B4D15" w:rsidRPr="00792946">
        <w:rPr>
          <w:rFonts w:ascii="Palatino Linotype" w:eastAsia="Times New Roman" w:hAnsi="Palatino Linotype" w:cs="Times New Roman"/>
          <w:sz w:val="20"/>
          <w:szCs w:val="20"/>
          <w:lang w:eastAsia="it-IT"/>
        </w:rPr>
        <w:t xml:space="preserve"> </w:t>
      </w:r>
      <w:r w:rsidR="00AB6CF3" w:rsidRPr="00792946">
        <w:rPr>
          <w:rFonts w:ascii="Palatino Linotype" w:eastAsia="Times New Roman" w:hAnsi="Palatino Linotype" w:cs="Times New Roman"/>
          <w:sz w:val="20"/>
          <w:szCs w:val="20"/>
          <w:lang w:eastAsia="it-IT"/>
        </w:rPr>
        <w:t>la capacità</w:t>
      </w:r>
      <w:r w:rsidR="007B4D15" w:rsidRPr="00792946">
        <w:rPr>
          <w:rFonts w:ascii="Palatino Linotype" w:eastAsia="Times New Roman" w:hAnsi="Palatino Linotype" w:cs="Times New Roman"/>
          <w:sz w:val="20"/>
          <w:szCs w:val="20"/>
          <w:lang w:eastAsia="it-IT"/>
        </w:rPr>
        <w:t xml:space="preserve"> operat</w:t>
      </w:r>
      <w:r w:rsidR="00B65D7A" w:rsidRPr="00792946">
        <w:rPr>
          <w:rFonts w:ascii="Palatino Linotype" w:eastAsia="Times New Roman" w:hAnsi="Palatino Linotype" w:cs="Times New Roman"/>
          <w:sz w:val="20"/>
          <w:szCs w:val="20"/>
          <w:lang w:eastAsia="it-IT"/>
        </w:rPr>
        <w:t>iva di un imprenditore</w:t>
      </w:r>
      <w:r w:rsidR="00AB6CF3"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o, comunque, un</w:t>
      </w:r>
      <w:r w:rsidR="00ED0099" w:rsidRPr="00792946">
        <w:rPr>
          <w:rFonts w:ascii="Palatino Linotype" w:eastAsia="Times New Roman" w:hAnsi="Palatino Linotype" w:cs="Times New Roman"/>
          <w:sz w:val="20"/>
          <w:szCs w:val="20"/>
          <w:lang w:eastAsia="it-IT"/>
        </w:rPr>
        <w:t xml:space="preserve"> risultat</w:t>
      </w:r>
      <w:r w:rsidRPr="00792946">
        <w:rPr>
          <w:rFonts w:ascii="Palatino Linotype" w:eastAsia="Times New Roman" w:hAnsi="Palatino Linotype" w:cs="Times New Roman"/>
          <w:sz w:val="20"/>
          <w:szCs w:val="20"/>
          <w:lang w:eastAsia="it-IT"/>
        </w:rPr>
        <w:t>o molto simile</w:t>
      </w:r>
      <w:r w:rsidR="00ED0099"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s</w:t>
      </w:r>
      <w:r w:rsidR="00B05298" w:rsidRPr="00792946">
        <w:rPr>
          <w:rFonts w:ascii="Palatino Linotype" w:eastAsia="Times New Roman" w:hAnsi="Palatino Linotype" w:cs="Times New Roman"/>
          <w:sz w:val="20"/>
          <w:szCs w:val="20"/>
          <w:lang w:eastAsia="it-IT"/>
        </w:rPr>
        <w:t>i</w:t>
      </w:r>
      <w:r w:rsidRPr="00792946">
        <w:rPr>
          <w:rFonts w:ascii="Palatino Linotype" w:eastAsia="Times New Roman" w:hAnsi="Palatino Linotype" w:cs="Times New Roman"/>
          <w:sz w:val="20"/>
          <w:szCs w:val="20"/>
          <w:lang w:eastAsia="it-IT"/>
        </w:rPr>
        <w:t xml:space="preserve"> pe</w:t>
      </w:r>
      <w:r w:rsidR="00B65D7A" w:rsidRPr="00792946">
        <w:rPr>
          <w:rFonts w:ascii="Palatino Linotype" w:eastAsia="Times New Roman" w:hAnsi="Palatino Linotype" w:cs="Times New Roman"/>
          <w:sz w:val="20"/>
          <w:szCs w:val="20"/>
          <w:lang w:eastAsia="it-IT"/>
        </w:rPr>
        <w:t>n</w:t>
      </w:r>
      <w:r w:rsidRPr="00792946">
        <w:rPr>
          <w:rFonts w:ascii="Palatino Linotype" w:eastAsia="Times New Roman" w:hAnsi="Palatino Linotype" w:cs="Times New Roman"/>
          <w:sz w:val="20"/>
          <w:szCs w:val="20"/>
          <w:lang w:eastAsia="it-IT"/>
        </w:rPr>
        <w:t>si a</w:t>
      </w:r>
      <w:r w:rsidR="00B05298" w:rsidRPr="00792946">
        <w:rPr>
          <w:rFonts w:ascii="Palatino Linotype" w:eastAsia="Times New Roman" w:hAnsi="Palatino Linotype" w:cs="Times New Roman"/>
          <w:sz w:val="20"/>
          <w:szCs w:val="20"/>
          <w:lang w:eastAsia="it-IT"/>
        </w:rPr>
        <w:t xml:space="preserve">l </w:t>
      </w:r>
      <w:r w:rsidR="0076326B" w:rsidRPr="00792946">
        <w:rPr>
          <w:rFonts w:ascii="Palatino Linotype" w:eastAsia="Times New Roman" w:hAnsi="Palatino Linotype" w:cs="Times New Roman"/>
          <w:sz w:val="20"/>
          <w:szCs w:val="20"/>
          <w:lang w:eastAsia="it-IT"/>
        </w:rPr>
        <w:t xml:space="preserve">noleggio, </w:t>
      </w:r>
      <w:r w:rsidRPr="00792946">
        <w:rPr>
          <w:rFonts w:ascii="Palatino Linotype" w:eastAsia="Times New Roman" w:hAnsi="Palatino Linotype" w:cs="Times New Roman"/>
          <w:sz w:val="20"/>
          <w:szCs w:val="20"/>
          <w:lang w:eastAsia="it-IT"/>
        </w:rPr>
        <w:t>al</w:t>
      </w:r>
      <w:r w:rsidR="00B05298" w:rsidRPr="00792946">
        <w:rPr>
          <w:rFonts w:ascii="Palatino Linotype" w:eastAsia="Times New Roman" w:hAnsi="Palatino Linotype" w:cs="Times New Roman"/>
          <w:sz w:val="20"/>
          <w:szCs w:val="20"/>
          <w:lang w:eastAsia="it-IT"/>
        </w:rPr>
        <w:t>l’</w:t>
      </w:r>
      <w:r w:rsidR="0076326B" w:rsidRPr="00792946">
        <w:rPr>
          <w:rFonts w:ascii="Palatino Linotype" w:eastAsia="Times New Roman" w:hAnsi="Palatino Linotype" w:cs="Times New Roman"/>
          <w:sz w:val="20"/>
          <w:szCs w:val="20"/>
          <w:lang w:eastAsia="it-IT"/>
        </w:rPr>
        <w:t xml:space="preserve">affitto, </w:t>
      </w:r>
      <w:r w:rsidRPr="00792946">
        <w:rPr>
          <w:rFonts w:ascii="Palatino Linotype" w:eastAsia="Times New Roman" w:hAnsi="Palatino Linotype" w:cs="Times New Roman"/>
          <w:sz w:val="20"/>
          <w:szCs w:val="20"/>
          <w:lang w:eastAsia="it-IT"/>
        </w:rPr>
        <w:t>a</w:t>
      </w:r>
      <w:r w:rsidR="00B05298" w:rsidRPr="00792946">
        <w:rPr>
          <w:rFonts w:ascii="Palatino Linotype" w:eastAsia="Times New Roman" w:hAnsi="Palatino Linotype" w:cs="Times New Roman"/>
          <w:sz w:val="20"/>
          <w:szCs w:val="20"/>
          <w:lang w:eastAsia="it-IT"/>
        </w:rPr>
        <w:t xml:space="preserve">l </w:t>
      </w:r>
      <w:r w:rsidR="0076326B" w:rsidRPr="00792946">
        <w:rPr>
          <w:rFonts w:ascii="Palatino Linotype" w:eastAsia="Times New Roman" w:hAnsi="Palatino Linotype" w:cs="Times New Roman"/>
          <w:sz w:val="20"/>
          <w:szCs w:val="20"/>
          <w:lang w:eastAsia="it-IT"/>
        </w:rPr>
        <w:t xml:space="preserve">consorzio, </w:t>
      </w:r>
      <w:r w:rsidRPr="00792946">
        <w:rPr>
          <w:rFonts w:ascii="Palatino Linotype" w:eastAsia="Times New Roman" w:hAnsi="Palatino Linotype" w:cs="Times New Roman"/>
          <w:sz w:val="20"/>
          <w:szCs w:val="20"/>
          <w:lang w:eastAsia="it-IT"/>
        </w:rPr>
        <w:t>a</w:t>
      </w:r>
      <w:r w:rsidR="00B05298" w:rsidRPr="00792946">
        <w:rPr>
          <w:rFonts w:ascii="Palatino Linotype" w:eastAsia="Times New Roman" w:hAnsi="Palatino Linotype" w:cs="Times New Roman"/>
          <w:sz w:val="20"/>
          <w:szCs w:val="20"/>
          <w:lang w:eastAsia="it-IT"/>
        </w:rPr>
        <w:t xml:space="preserve">l </w:t>
      </w:r>
      <w:r w:rsidR="0076326B" w:rsidRPr="00792946">
        <w:rPr>
          <w:rFonts w:ascii="Palatino Linotype" w:eastAsia="Times New Roman" w:hAnsi="Palatino Linotype" w:cs="Times New Roman"/>
          <w:sz w:val="20"/>
          <w:szCs w:val="20"/>
          <w:lang w:eastAsia="it-IT"/>
        </w:rPr>
        <w:t xml:space="preserve">gruppo societario, </w:t>
      </w:r>
      <w:r w:rsidRPr="00792946">
        <w:rPr>
          <w:rFonts w:ascii="Palatino Linotype" w:eastAsia="Times New Roman" w:hAnsi="Palatino Linotype" w:cs="Times New Roman"/>
          <w:sz w:val="20"/>
          <w:szCs w:val="20"/>
          <w:lang w:eastAsia="it-IT"/>
        </w:rPr>
        <w:t>a</w:t>
      </w:r>
      <w:r w:rsidR="00B05298" w:rsidRPr="00792946">
        <w:rPr>
          <w:rFonts w:ascii="Palatino Linotype" w:eastAsia="Times New Roman" w:hAnsi="Palatino Linotype" w:cs="Times New Roman"/>
          <w:sz w:val="20"/>
          <w:szCs w:val="20"/>
          <w:lang w:eastAsia="it-IT"/>
        </w:rPr>
        <w:t xml:space="preserve">l </w:t>
      </w:r>
      <w:r w:rsidR="0076326B" w:rsidRPr="00792946">
        <w:rPr>
          <w:rFonts w:ascii="Palatino Linotype" w:eastAsia="Times New Roman" w:hAnsi="Palatino Linotype" w:cs="Times New Roman"/>
          <w:sz w:val="20"/>
          <w:szCs w:val="20"/>
          <w:lang w:eastAsia="it-IT"/>
        </w:rPr>
        <w:t xml:space="preserve">subappalto, </w:t>
      </w:r>
      <w:r w:rsidRPr="00792946">
        <w:rPr>
          <w:rFonts w:ascii="Palatino Linotype" w:eastAsia="Times New Roman" w:hAnsi="Palatino Linotype" w:cs="Times New Roman"/>
          <w:sz w:val="20"/>
          <w:szCs w:val="20"/>
          <w:lang w:eastAsia="it-IT"/>
        </w:rPr>
        <w:t>al</w:t>
      </w:r>
      <w:r w:rsidR="00B05298" w:rsidRPr="00792946">
        <w:rPr>
          <w:rFonts w:ascii="Palatino Linotype" w:eastAsia="Times New Roman" w:hAnsi="Palatino Linotype" w:cs="Times New Roman"/>
          <w:sz w:val="20"/>
          <w:szCs w:val="20"/>
          <w:lang w:eastAsia="it-IT"/>
        </w:rPr>
        <w:t xml:space="preserve">la </w:t>
      </w:r>
      <w:r w:rsidR="0076326B" w:rsidRPr="00792946">
        <w:rPr>
          <w:rFonts w:ascii="Palatino Linotype" w:eastAsia="Times New Roman" w:hAnsi="Palatino Linotype" w:cs="Times New Roman"/>
          <w:sz w:val="20"/>
          <w:szCs w:val="20"/>
          <w:lang w:eastAsia="it-IT"/>
        </w:rPr>
        <w:t>cessione di ramo d’</w:t>
      </w:r>
      <w:r w:rsidR="00B05298" w:rsidRPr="00792946">
        <w:rPr>
          <w:rFonts w:ascii="Palatino Linotype" w:eastAsia="Times New Roman" w:hAnsi="Palatino Linotype" w:cs="Times New Roman"/>
          <w:sz w:val="20"/>
          <w:szCs w:val="20"/>
          <w:lang w:eastAsia="it-IT"/>
        </w:rPr>
        <w:t>azienda e così via.</w:t>
      </w:r>
    </w:p>
    <w:p w14:paraId="5AF9B24A" w14:textId="77777777" w:rsidR="00831D9A" w:rsidRPr="00792946" w:rsidRDefault="00240490"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La </w:t>
      </w:r>
      <w:r w:rsidR="00AA1119" w:rsidRPr="00792946">
        <w:rPr>
          <w:rFonts w:ascii="Palatino Linotype" w:eastAsia="Times New Roman" w:hAnsi="Palatino Linotype" w:cs="Times New Roman"/>
          <w:sz w:val="20"/>
          <w:szCs w:val="20"/>
          <w:lang w:eastAsia="it-IT"/>
        </w:rPr>
        <w:t xml:space="preserve">forma di negoziazione </w:t>
      </w:r>
      <w:r w:rsidR="00B65D44" w:rsidRPr="00792946">
        <w:rPr>
          <w:rFonts w:ascii="Palatino Linotype" w:eastAsia="Times New Roman" w:hAnsi="Palatino Linotype" w:cs="Times New Roman"/>
          <w:sz w:val="20"/>
          <w:szCs w:val="20"/>
          <w:lang w:eastAsia="it-IT"/>
        </w:rPr>
        <w:t xml:space="preserve">più </w:t>
      </w:r>
      <w:r w:rsidR="00ED0099" w:rsidRPr="00792946">
        <w:rPr>
          <w:rFonts w:ascii="Palatino Linotype" w:eastAsia="Times New Roman" w:hAnsi="Palatino Linotype" w:cs="Times New Roman"/>
          <w:sz w:val="20"/>
          <w:szCs w:val="20"/>
          <w:lang w:eastAsia="it-IT"/>
        </w:rPr>
        <w:t xml:space="preserve">nota e </w:t>
      </w:r>
      <w:r w:rsidR="00B65D44" w:rsidRPr="00792946">
        <w:rPr>
          <w:rFonts w:ascii="Palatino Linotype" w:eastAsia="Times New Roman" w:hAnsi="Palatino Linotype" w:cs="Times New Roman"/>
          <w:sz w:val="20"/>
          <w:szCs w:val="20"/>
          <w:lang w:eastAsia="it-IT"/>
        </w:rPr>
        <w:t xml:space="preserve">tralaticia è certamente </w:t>
      </w:r>
      <w:r w:rsidR="0001380F">
        <w:rPr>
          <w:rFonts w:ascii="Palatino Linotype" w:eastAsia="Times New Roman" w:hAnsi="Palatino Linotype" w:cs="Times New Roman"/>
          <w:sz w:val="20"/>
          <w:szCs w:val="20"/>
          <w:lang w:eastAsia="it-IT"/>
        </w:rPr>
        <w:t>i</w:t>
      </w:r>
      <w:r w:rsidRPr="00792946">
        <w:rPr>
          <w:rFonts w:ascii="Palatino Linotype" w:eastAsia="Times New Roman" w:hAnsi="Palatino Linotype" w:cs="Times New Roman"/>
          <w:sz w:val="20"/>
          <w:szCs w:val="20"/>
          <w:lang w:eastAsia="it-IT"/>
        </w:rPr>
        <w:t>l subappalto</w:t>
      </w:r>
      <w:r w:rsidR="00C07AAE" w:rsidRPr="00792946">
        <w:rPr>
          <w:rStyle w:val="Rimandonotaapidipagina"/>
          <w:rFonts w:ascii="Palatino Linotype" w:eastAsia="Times New Roman" w:hAnsi="Palatino Linotype" w:cs="Times New Roman"/>
          <w:sz w:val="20"/>
          <w:szCs w:val="20"/>
          <w:lang w:eastAsia="it-IT"/>
        </w:rPr>
        <w:footnoteReference w:id="21"/>
      </w:r>
      <w:r w:rsidRPr="00792946">
        <w:rPr>
          <w:rFonts w:ascii="Palatino Linotype" w:eastAsia="Times New Roman" w:hAnsi="Palatino Linotype" w:cs="Times New Roman"/>
          <w:sz w:val="20"/>
          <w:szCs w:val="20"/>
          <w:lang w:eastAsia="it-IT"/>
        </w:rPr>
        <w:t xml:space="preserve">, </w:t>
      </w:r>
      <w:r w:rsidR="00416D67" w:rsidRPr="00792946">
        <w:rPr>
          <w:rFonts w:ascii="Palatino Linotype" w:eastAsia="Times New Roman" w:hAnsi="Palatino Linotype" w:cs="Times New Roman"/>
          <w:sz w:val="20"/>
          <w:szCs w:val="20"/>
          <w:lang w:eastAsia="it-IT"/>
        </w:rPr>
        <w:t>definito dall’art. 105, comma 2, del codice dei contratti pubblici, come “il contratto con il quale l’appaltatore affida a terzi l’esecuzione di parte delle prestazioni o lavorazioni oggetto del contratto di appalto” e c</w:t>
      </w:r>
      <w:r w:rsidRPr="00792946">
        <w:rPr>
          <w:rFonts w:ascii="Palatino Linotype" w:eastAsia="Times New Roman" w:hAnsi="Palatino Linotype" w:cs="Times New Roman"/>
          <w:sz w:val="20"/>
          <w:szCs w:val="20"/>
          <w:lang w:eastAsia="it-IT"/>
        </w:rPr>
        <w:t>he si distingue dall’avvalimento</w:t>
      </w:r>
      <w:r w:rsidR="00B65D7A"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w:t>
      </w:r>
      <w:r w:rsidR="00137A9A" w:rsidRPr="00792946">
        <w:rPr>
          <w:rFonts w:ascii="Palatino Linotype" w:eastAsia="Times New Roman" w:hAnsi="Palatino Linotype" w:cs="Times New Roman"/>
          <w:sz w:val="20"/>
          <w:szCs w:val="20"/>
          <w:lang w:eastAsia="it-IT"/>
        </w:rPr>
        <w:t xml:space="preserve">sia perché </w:t>
      </w:r>
      <w:r w:rsidRPr="00792946">
        <w:rPr>
          <w:rFonts w:ascii="Palatino Linotype" w:eastAsia="Times New Roman" w:hAnsi="Palatino Linotype" w:cs="Times New Roman"/>
          <w:sz w:val="20"/>
          <w:szCs w:val="20"/>
          <w:lang w:eastAsia="it-IT"/>
        </w:rPr>
        <w:t xml:space="preserve">il rapporto tra </w:t>
      </w:r>
      <w:r w:rsidR="00137A9A" w:rsidRPr="00792946">
        <w:rPr>
          <w:rFonts w:ascii="Palatino Linotype" w:eastAsia="Times New Roman" w:hAnsi="Palatino Linotype" w:cs="Times New Roman"/>
          <w:sz w:val="20"/>
          <w:szCs w:val="20"/>
          <w:lang w:eastAsia="it-IT"/>
        </w:rPr>
        <w:t xml:space="preserve">le </w:t>
      </w:r>
      <w:r w:rsidR="008C2E11" w:rsidRPr="00792946">
        <w:rPr>
          <w:rFonts w:ascii="Palatino Linotype" w:eastAsia="Times New Roman" w:hAnsi="Palatino Linotype" w:cs="Times New Roman"/>
          <w:sz w:val="20"/>
          <w:szCs w:val="20"/>
          <w:lang w:eastAsia="it-IT"/>
        </w:rPr>
        <w:t xml:space="preserve">imprese </w:t>
      </w:r>
      <w:r w:rsidR="00137A9A" w:rsidRPr="00792946">
        <w:rPr>
          <w:rFonts w:ascii="Palatino Linotype" w:eastAsia="Times New Roman" w:hAnsi="Palatino Linotype" w:cs="Times New Roman"/>
          <w:sz w:val="20"/>
          <w:szCs w:val="20"/>
          <w:lang w:eastAsia="it-IT"/>
        </w:rPr>
        <w:t>sorge</w:t>
      </w:r>
      <w:r w:rsidR="00416D67" w:rsidRPr="00792946">
        <w:rPr>
          <w:rFonts w:ascii="Palatino Linotype" w:eastAsia="Times New Roman" w:hAnsi="Palatino Linotype" w:cs="Times New Roman"/>
          <w:sz w:val="20"/>
          <w:szCs w:val="20"/>
          <w:lang w:eastAsia="it-IT"/>
        </w:rPr>
        <w:t>, di regola,</w:t>
      </w:r>
      <w:r w:rsidRPr="00792946">
        <w:rPr>
          <w:rFonts w:ascii="Palatino Linotype" w:eastAsia="Times New Roman" w:hAnsi="Palatino Linotype" w:cs="Times New Roman"/>
          <w:sz w:val="20"/>
          <w:szCs w:val="20"/>
          <w:lang w:eastAsia="it-IT"/>
        </w:rPr>
        <w:t xml:space="preserve"> </w:t>
      </w:r>
      <w:r w:rsidR="008C2E11" w:rsidRPr="00792946">
        <w:rPr>
          <w:rFonts w:ascii="Palatino Linotype" w:eastAsia="Times New Roman" w:hAnsi="Palatino Linotype" w:cs="Times New Roman"/>
          <w:sz w:val="20"/>
          <w:szCs w:val="20"/>
          <w:lang w:eastAsia="it-IT"/>
        </w:rPr>
        <w:t xml:space="preserve">a valle della gara, </w:t>
      </w:r>
      <w:r w:rsidR="00416D67" w:rsidRPr="00792946">
        <w:rPr>
          <w:rFonts w:ascii="Palatino Linotype" w:eastAsia="Times New Roman" w:hAnsi="Palatino Linotype" w:cs="Times New Roman"/>
          <w:sz w:val="20"/>
          <w:szCs w:val="20"/>
          <w:lang w:eastAsia="it-IT"/>
        </w:rPr>
        <w:t xml:space="preserve">ossia </w:t>
      </w:r>
      <w:r w:rsidRPr="00792946">
        <w:rPr>
          <w:rFonts w:ascii="Palatino Linotype" w:eastAsia="Times New Roman" w:hAnsi="Palatino Linotype" w:cs="Times New Roman"/>
          <w:sz w:val="20"/>
          <w:szCs w:val="20"/>
          <w:lang w:eastAsia="it-IT"/>
        </w:rPr>
        <w:t>nella fase dell’esecuzione dell’appalto</w:t>
      </w:r>
      <w:r w:rsidR="008C2E11" w:rsidRPr="00792946">
        <w:rPr>
          <w:rFonts w:ascii="Palatino Linotype" w:eastAsia="Times New Roman" w:hAnsi="Palatino Linotype" w:cs="Times New Roman"/>
          <w:sz w:val="20"/>
          <w:szCs w:val="20"/>
          <w:lang w:eastAsia="it-IT"/>
        </w:rPr>
        <w:t xml:space="preserve">, sia perché il subappaltatore non assume </w:t>
      </w:r>
      <w:r w:rsidR="00C25220" w:rsidRPr="00792946">
        <w:rPr>
          <w:rFonts w:ascii="Palatino Linotype" w:eastAsia="Times New Roman" w:hAnsi="Palatino Linotype" w:cs="Times New Roman"/>
          <w:sz w:val="20"/>
          <w:szCs w:val="20"/>
          <w:lang w:eastAsia="it-IT"/>
        </w:rPr>
        <w:t>obbligh</w:t>
      </w:r>
      <w:r w:rsidR="008C2E11" w:rsidRPr="00792946">
        <w:rPr>
          <w:rFonts w:ascii="Palatino Linotype" w:eastAsia="Times New Roman" w:hAnsi="Palatino Linotype" w:cs="Times New Roman"/>
          <w:sz w:val="20"/>
          <w:szCs w:val="20"/>
          <w:lang w:eastAsia="it-IT"/>
        </w:rPr>
        <w:t>i di risultato con la stazione appaltante</w:t>
      </w:r>
      <w:r w:rsidRPr="00792946">
        <w:rPr>
          <w:rFonts w:ascii="Palatino Linotype" w:eastAsia="Times New Roman" w:hAnsi="Palatino Linotype" w:cs="Times New Roman"/>
          <w:sz w:val="20"/>
          <w:szCs w:val="20"/>
          <w:lang w:eastAsia="it-IT"/>
        </w:rPr>
        <w:t>.</w:t>
      </w:r>
    </w:p>
    <w:p w14:paraId="3839A510" w14:textId="77777777" w:rsidR="00240490" w:rsidRPr="00792946" w:rsidRDefault="00240490"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Quest</w:t>
      </w:r>
      <w:r w:rsidR="00416D67" w:rsidRPr="00792946">
        <w:rPr>
          <w:rFonts w:ascii="Palatino Linotype" w:eastAsia="Times New Roman" w:hAnsi="Palatino Linotype" w:cs="Times New Roman"/>
          <w:sz w:val="20"/>
          <w:szCs w:val="20"/>
          <w:lang w:eastAsia="it-IT"/>
        </w:rPr>
        <w:t xml:space="preserve">i </w:t>
      </w:r>
      <w:r w:rsidRPr="00792946">
        <w:rPr>
          <w:rFonts w:ascii="Palatino Linotype" w:eastAsia="Times New Roman" w:hAnsi="Palatino Linotype" w:cs="Times New Roman"/>
          <w:sz w:val="20"/>
          <w:szCs w:val="20"/>
          <w:lang w:eastAsia="it-IT"/>
        </w:rPr>
        <w:t>aspett</w:t>
      </w:r>
      <w:r w:rsidR="00416D67" w:rsidRPr="00792946">
        <w:rPr>
          <w:rFonts w:ascii="Palatino Linotype" w:eastAsia="Times New Roman" w:hAnsi="Palatino Linotype" w:cs="Times New Roman"/>
          <w:sz w:val="20"/>
          <w:szCs w:val="20"/>
          <w:lang w:eastAsia="it-IT"/>
        </w:rPr>
        <w:t>i</w:t>
      </w:r>
      <w:r w:rsidRPr="00792946">
        <w:rPr>
          <w:rFonts w:ascii="Palatino Linotype" w:eastAsia="Times New Roman" w:hAnsi="Palatino Linotype" w:cs="Times New Roman"/>
          <w:sz w:val="20"/>
          <w:szCs w:val="20"/>
          <w:lang w:eastAsia="it-IT"/>
        </w:rPr>
        <w:t xml:space="preserve"> </w:t>
      </w:r>
      <w:r w:rsidR="00416D67" w:rsidRPr="00792946">
        <w:rPr>
          <w:rFonts w:ascii="Palatino Linotype" w:eastAsia="Times New Roman" w:hAnsi="Palatino Linotype" w:cs="Times New Roman"/>
          <w:sz w:val="20"/>
          <w:szCs w:val="20"/>
          <w:lang w:eastAsia="it-IT"/>
        </w:rPr>
        <w:t>sono</w:t>
      </w:r>
      <w:r w:rsidRPr="00792946">
        <w:rPr>
          <w:rFonts w:ascii="Palatino Linotype" w:eastAsia="Times New Roman" w:hAnsi="Palatino Linotype" w:cs="Times New Roman"/>
          <w:sz w:val="20"/>
          <w:szCs w:val="20"/>
          <w:lang w:eastAsia="it-IT"/>
        </w:rPr>
        <w:t xml:space="preserve"> </w:t>
      </w:r>
      <w:r w:rsidR="002A1AF2" w:rsidRPr="00792946">
        <w:rPr>
          <w:rFonts w:ascii="Palatino Linotype" w:eastAsia="Times New Roman" w:hAnsi="Palatino Linotype" w:cs="Times New Roman"/>
          <w:sz w:val="20"/>
          <w:szCs w:val="20"/>
          <w:lang w:eastAsia="it-IT"/>
        </w:rPr>
        <w:t xml:space="preserve">stati </w:t>
      </w:r>
      <w:r w:rsidRPr="00792946">
        <w:rPr>
          <w:rFonts w:ascii="Palatino Linotype" w:eastAsia="Times New Roman" w:hAnsi="Palatino Linotype" w:cs="Times New Roman"/>
          <w:sz w:val="20"/>
          <w:szCs w:val="20"/>
          <w:lang w:eastAsia="it-IT"/>
        </w:rPr>
        <w:t>chiarit</w:t>
      </w:r>
      <w:r w:rsidR="00416D67" w:rsidRPr="00792946">
        <w:rPr>
          <w:rFonts w:ascii="Palatino Linotype" w:eastAsia="Times New Roman" w:hAnsi="Palatino Linotype" w:cs="Times New Roman"/>
          <w:sz w:val="20"/>
          <w:szCs w:val="20"/>
          <w:lang w:eastAsia="it-IT"/>
        </w:rPr>
        <w:t>i</w:t>
      </w:r>
      <w:r w:rsidRPr="00792946">
        <w:rPr>
          <w:rFonts w:ascii="Palatino Linotype" w:eastAsia="Times New Roman" w:hAnsi="Palatino Linotype" w:cs="Times New Roman"/>
          <w:sz w:val="20"/>
          <w:szCs w:val="20"/>
          <w:lang w:eastAsia="it-IT"/>
        </w:rPr>
        <w:t xml:space="preserve"> dall’Adunanza plenaria</w:t>
      </w:r>
      <w:r w:rsidR="00013B77" w:rsidRPr="00792946">
        <w:rPr>
          <w:rStyle w:val="Rimandonotaapidipagina"/>
          <w:rFonts w:ascii="Palatino Linotype" w:eastAsia="Times New Roman" w:hAnsi="Palatino Linotype" w:cs="Times New Roman"/>
          <w:sz w:val="20"/>
          <w:szCs w:val="20"/>
          <w:lang w:eastAsia="it-IT"/>
        </w:rPr>
        <w:footnoteReference w:id="22"/>
      </w:r>
      <w:r w:rsidRPr="00792946">
        <w:rPr>
          <w:rFonts w:ascii="Palatino Linotype" w:eastAsia="Times New Roman" w:hAnsi="Palatino Linotype" w:cs="Times New Roman"/>
          <w:sz w:val="20"/>
          <w:szCs w:val="20"/>
          <w:lang w:eastAsia="it-IT"/>
        </w:rPr>
        <w:t>, allor</w:t>
      </w:r>
      <w:r w:rsidR="004E2065" w:rsidRPr="00792946">
        <w:rPr>
          <w:rFonts w:ascii="Palatino Linotype" w:eastAsia="Times New Roman" w:hAnsi="Palatino Linotype" w:cs="Times New Roman"/>
          <w:sz w:val="20"/>
          <w:szCs w:val="20"/>
          <w:lang w:eastAsia="it-IT"/>
        </w:rPr>
        <w:t>ché</w:t>
      </w:r>
      <w:r w:rsidRPr="00792946">
        <w:rPr>
          <w:rFonts w:ascii="Palatino Linotype" w:eastAsia="Times New Roman" w:hAnsi="Palatino Linotype" w:cs="Times New Roman"/>
          <w:sz w:val="20"/>
          <w:szCs w:val="20"/>
          <w:lang w:eastAsia="it-IT"/>
        </w:rPr>
        <w:t xml:space="preserve"> ha stabilito il principio di diritto secondo cui </w:t>
      </w:r>
      <w:r w:rsidR="002A1AF2" w:rsidRPr="00792946">
        <w:rPr>
          <w:rFonts w:ascii="Palatino Linotype" w:eastAsia="Times New Roman" w:hAnsi="Palatino Linotype" w:cs="Times New Roman"/>
          <w:sz w:val="20"/>
          <w:szCs w:val="20"/>
          <w:lang w:eastAsia="it-IT"/>
        </w:rPr>
        <w:t>non è obbligatori</w:t>
      </w:r>
      <w:r w:rsidR="00B65D7A" w:rsidRPr="00792946">
        <w:rPr>
          <w:rFonts w:ascii="Palatino Linotype" w:eastAsia="Times New Roman" w:hAnsi="Palatino Linotype" w:cs="Times New Roman"/>
          <w:sz w:val="20"/>
          <w:szCs w:val="20"/>
          <w:lang w:eastAsia="it-IT"/>
        </w:rPr>
        <w:t>o</w:t>
      </w:r>
      <w:r w:rsidR="002A1AF2" w:rsidRPr="00792946">
        <w:rPr>
          <w:rFonts w:ascii="Palatino Linotype" w:eastAsia="Times New Roman" w:hAnsi="Palatino Linotype" w:cs="Times New Roman"/>
          <w:sz w:val="20"/>
          <w:szCs w:val="20"/>
          <w:lang w:eastAsia="it-IT"/>
        </w:rPr>
        <w:t xml:space="preserve"> </w:t>
      </w:r>
      <w:r w:rsidR="0020414D" w:rsidRPr="00792946">
        <w:rPr>
          <w:rFonts w:ascii="Palatino Linotype" w:eastAsia="Times New Roman" w:hAnsi="Palatino Linotype" w:cs="Times New Roman"/>
          <w:sz w:val="20"/>
          <w:szCs w:val="20"/>
          <w:lang w:eastAsia="it-IT"/>
        </w:rPr>
        <w:t>indica</w:t>
      </w:r>
      <w:r w:rsidR="002A1AF2" w:rsidRPr="00792946">
        <w:rPr>
          <w:rFonts w:ascii="Palatino Linotype" w:eastAsia="Times New Roman" w:hAnsi="Palatino Linotype" w:cs="Times New Roman"/>
          <w:sz w:val="20"/>
          <w:szCs w:val="20"/>
          <w:lang w:eastAsia="it-IT"/>
        </w:rPr>
        <w:t>r</w:t>
      </w:r>
      <w:r w:rsidR="0020414D" w:rsidRPr="00792946">
        <w:rPr>
          <w:rFonts w:ascii="Palatino Linotype" w:eastAsia="Times New Roman" w:hAnsi="Palatino Linotype" w:cs="Times New Roman"/>
          <w:sz w:val="20"/>
          <w:szCs w:val="20"/>
          <w:lang w:eastAsia="it-IT"/>
        </w:rPr>
        <w:t xml:space="preserve">e </w:t>
      </w:r>
      <w:r w:rsidR="002A1AF2" w:rsidRPr="00792946">
        <w:rPr>
          <w:rFonts w:ascii="Palatino Linotype" w:eastAsia="Times New Roman" w:hAnsi="Palatino Linotype" w:cs="Times New Roman"/>
          <w:sz w:val="20"/>
          <w:szCs w:val="20"/>
          <w:lang w:eastAsia="it-IT"/>
        </w:rPr>
        <w:t>i</w:t>
      </w:r>
      <w:r w:rsidR="0020414D" w:rsidRPr="00792946">
        <w:rPr>
          <w:rFonts w:ascii="Palatino Linotype" w:eastAsia="Times New Roman" w:hAnsi="Palatino Linotype" w:cs="Times New Roman"/>
          <w:sz w:val="20"/>
          <w:szCs w:val="20"/>
          <w:lang w:eastAsia="it-IT"/>
        </w:rPr>
        <w:t>l nominativo del subappaltatore</w:t>
      </w:r>
      <w:r w:rsidR="004E2065" w:rsidRPr="00792946">
        <w:rPr>
          <w:rFonts w:ascii="Palatino Linotype" w:eastAsia="Times New Roman" w:hAnsi="Palatino Linotype" w:cs="Times New Roman"/>
          <w:sz w:val="20"/>
          <w:szCs w:val="20"/>
          <w:lang w:eastAsia="it-IT"/>
        </w:rPr>
        <w:t xml:space="preserve"> </w:t>
      </w:r>
      <w:r w:rsidR="002A1AF2" w:rsidRPr="00792946">
        <w:rPr>
          <w:rFonts w:ascii="Palatino Linotype" w:eastAsia="Times New Roman" w:hAnsi="Palatino Linotype" w:cs="Times New Roman"/>
          <w:sz w:val="20"/>
          <w:szCs w:val="20"/>
          <w:lang w:eastAsia="it-IT"/>
        </w:rPr>
        <w:t>al momento</w:t>
      </w:r>
      <w:r w:rsidR="0020414D" w:rsidRPr="00792946">
        <w:rPr>
          <w:rFonts w:ascii="Palatino Linotype" w:eastAsia="Times New Roman" w:hAnsi="Palatino Linotype" w:cs="Times New Roman"/>
          <w:sz w:val="20"/>
          <w:szCs w:val="20"/>
          <w:lang w:eastAsia="it-IT"/>
        </w:rPr>
        <w:t xml:space="preserve"> d</w:t>
      </w:r>
      <w:r w:rsidR="002A1AF2" w:rsidRPr="00792946">
        <w:rPr>
          <w:rFonts w:ascii="Palatino Linotype" w:eastAsia="Times New Roman" w:hAnsi="Palatino Linotype" w:cs="Times New Roman"/>
          <w:sz w:val="20"/>
          <w:szCs w:val="20"/>
          <w:lang w:eastAsia="it-IT"/>
        </w:rPr>
        <w:t>ella</w:t>
      </w:r>
      <w:r w:rsidR="0020414D" w:rsidRPr="00792946">
        <w:rPr>
          <w:rFonts w:ascii="Palatino Linotype" w:eastAsia="Times New Roman" w:hAnsi="Palatino Linotype" w:cs="Times New Roman"/>
          <w:sz w:val="20"/>
          <w:szCs w:val="20"/>
          <w:lang w:eastAsia="it-IT"/>
        </w:rPr>
        <w:t xml:space="preserve"> presentazione dell’offerta</w:t>
      </w:r>
      <w:r w:rsidRPr="00792946">
        <w:rPr>
          <w:rFonts w:ascii="Palatino Linotype" w:eastAsia="Times New Roman" w:hAnsi="Palatino Linotype" w:cs="Times New Roman"/>
          <w:sz w:val="20"/>
          <w:szCs w:val="20"/>
          <w:lang w:eastAsia="it-IT"/>
        </w:rPr>
        <w:t xml:space="preserve">, neppure </w:t>
      </w:r>
      <w:r w:rsidR="004E2065" w:rsidRPr="00792946">
        <w:rPr>
          <w:rFonts w:ascii="Palatino Linotype" w:eastAsia="Times New Roman" w:hAnsi="Palatino Linotype" w:cs="Times New Roman"/>
          <w:sz w:val="20"/>
          <w:szCs w:val="20"/>
          <w:lang w:eastAsia="it-IT"/>
        </w:rPr>
        <w:t>quando</w:t>
      </w:r>
      <w:r w:rsidRPr="00792946">
        <w:rPr>
          <w:rFonts w:ascii="Palatino Linotype" w:eastAsia="Times New Roman" w:hAnsi="Palatino Linotype" w:cs="Times New Roman"/>
          <w:sz w:val="20"/>
          <w:szCs w:val="20"/>
          <w:lang w:eastAsia="it-IT"/>
        </w:rPr>
        <w:t xml:space="preserve"> </w:t>
      </w:r>
      <w:r w:rsidR="0001380F">
        <w:rPr>
          <w:rFonts w:ascii="Palatino Linotype" w:eastAsia="Times New Roman" w:hAnsi="Palatino Linotype" w:cs="Times New Roman"/>
          <w:sz w:val="20"/>
          <w:szCs w:val="20"/>
          <w:lang w:eastAsia="it-IT"/>
        </w:rPr>
        <w:t>co</w:t>
      </w:r>
      <w:r w:rsidR="0020414D" w:rsidRPr="00792946">
        <w:rPr>
          <w:rFonts w:ascii="Palatino Linotype" w:eastAsia="Times New Roman" w:hAnsi="Palatino Linotype" w:cs="Times New Roman"/>
          <w:sz w:val="20"/>
          <w:szCs w:val="20"/>
          <w:lang w:eastAsia="it-IT"/>
        </w:rPr>
        <w:t>st</w:t>
      </w:r>
      <w:r w:rsidR="0001380F">
        <w:rPr>
          <w:rFonts w:ascii="Palatino Linotype" w:eastAsia="Times New Roman" w:hAnsi="Palatino Linotype" w:cs="Times New Roman"/>
          <w:sz w:val="20"/>
          <w:szCs w:val="20"/>
          <w:lang w:eastAsia="it-IT"/>
        </w:rPr>
        <w:t>u</w:t>
      </w:r>
      <w:r w:rsidR="0020414D" w:rsidRPr="00792946">
        <w:rPr>
          <w:rFonts w:ascii="Palatino Linotype" w:eastAsia="Times New Roman" w:hAnsi="Palatino Linotype" w:cs="Times New Roman"/>
          <w:sz w:val="20"/>
          <w:szCs w:val="20"/>
          <w:lang w:eastAsia="it-IT"/>
        </w:rPr>
        <w:t>i</w:t>
      </w:r>
      <w:r w:rsidR="00654E04" w:rsidRPr="00792946">
        <w:rPr>
          <w:rFonts w:ascii="Palatino Linotype" w:eastAsia="Times New Roman" w:hAnsi="Palatino Linotype" w:cs="Times New Roman"/>
          <w:sz w:val="20"/>
          <w:szCs w:val="20"/>
          <w:lang w:eastAsia="it-IT"/>
        </w:rPr>
        <w:t xml:space="preserve"> </w:t>
      </w:r>
      <w:r w:rsidR="0001380F">
        <w:rPr>
          <w:rFonts w:ascii="Palatino Linotype" w:eastAsia="Times New Roman" w:hAnsi="Palatino Linotype" w:cs="Times New Roman"/>
          <w:sz w:val="20"/>
          <w:szCs w:val="20"/>
          <w:lang w:eastAsia="it-IT"/>
        </w:rPr>
        <w:t>poss</w:t>
      </w:r>
      <w:r w:rsidRPr="00792946">
        <w:rPr>
          <w:rFonts w:ascii="Palatino Linotype" w:eastAsia="Times New Roman" w:hAnsi="Palatino Linotype" w:cs="Times New Roman"/>
          <w:sz w:val="20"/>
          <w:szCs w:val="20"/>
          <w:lang w:eastAsia="it-IT"/>
        </w:rPr>
        <w:t>e</w:t>
      </w:r>
      <w:r w:rsidR="0001380F">
        <w:rPr>
          <w:rFonts w:ascii="Palatino Linotype" w:eastAsia="Times New Roman" w:hAnsi="Palatino Linotype" w:cs="Times New Roman"/>
          <w:sz w:val="20"/>
          <w:szCs w:val="20"/>
          <w:lang w:eastAsia="it-IT"/>
        </w:rPr>
        <w:t>gg</w:t>
      </w:r>
      <w:r w:rsidR="00654E04" w:rsidRPr="00792946">
        <w:rPr>
          <w:rFonts w:ascii="Palatino Linotype" w:eastAsia="Times New Roman" w:hAnsi="Palatino Linotype" w:cs="Times New Roman"/>
          <w:sz w:val="20"/>
          <w:szCs w:val="20"/>
          <w:lang w:eastAsia="it-IT"/>
        </w:rPr>
        <w:t>a</w:t>
      </w:r>
      <w:r w:rsidR="0001380F" w:rsidRPr="00792946">
        <w:rPr>
          <w:rFonts w:ascii="Palatino Linotype" w:eastAsia="Times New Roman" w:hAnsi="Palatino Linotype" w:cs="Times New Roman"/>
          <w:sz w:val="20"/>
          <w:szCs w:val="20"/>
          <w:lang w:eastAsia="it-IT"/>
        </w:rPr>
        <w:t>, in luogo del concorrente</w:t>
      </w:r>
      <w:r w:rsidR="0001380F">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la qualificazione nelle categorie scorporabili </w:t>
      </w:r>
      <w:r w:rsidR="00654E04" w:rsidRPr="00792946">
        <w:rPr>
          <w:rFonts w:ascii="Palatino Linotype" w:eastAsia="Times New Roman" w:hAnsi="Palatino Linotype" w:cs="Times New Roman"/>
          <w:sz w:val="20"/>
          <w:szCs w:val="20"/>
          <w:lang w:eastAsia="it-IT"/>
        </w:rPr>
        <w:t>di cui</w:t>
      </w:r>
      <w:r w:rsidRPr="00792946">
        <w:rPr>
          <w:rFonts w:ascii="Palatino Linotype" w:eastAsia="Times New Roman" w:hAnsi="Palatino Linotype" w:cs="Times New Roman"/>
          <w:sz w:val="20"/>
          <w:szCs w:val="20"/>
          <w:lang w:eastAsia="it-IT"/>
        </w:rPr>
        <w:t xml:space="preserve"> all’art.</w:t>
      </w:r>
      <w:r w:rsidR="004E2065"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107, comma 2, del D.P.R. 207</w:t>
      </w:r>
      <w:r w:rsidR="00614211" w:rsidRPr="00792946">
        <w:rPr>
          <w:rFonts w:ascii="Palatino Linotype" w:eastAsia="Times New Roman" w:hAnsi="Palatino Linotype" w:cs="Times New Roman"/>
          <w:sz w:val="20"/>
          <w:szCs w:val="20"/>
          <w:lang w:eastAsia="it-IT"/>
        </w:rPr>
        <w:t>/2010</w:t>
      </w:r>
      <w:r w:rsidRPr="00792946">
        <w:rPr>
          <w:rFonts w:ascii="Palatino Linotype" w:eastAsia="Times New Roman" w:hAnsi="Palatino Linotype" w:cs="Times New Roman"/>
          <w:sz w:val="20"/>
          <w:szCs w:val="20"/>
          <w:lang w:eastAsia="it-IT"/>
        </w:rPr>
        <w:t>.</w:t>
      </w:r>
    </w:p>
    <w:p w14:paraId="167E2B09" w14:textId="77777777" w:rsidR="00137A9A" w:rsidRPr="00792946" w:rsidRDefault="00013B77"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L</w:t>
      </w:r>
      <w:r w:rsidR="00137A9A" w:rsidRPr="00792946">
        <w:rPr>
          <w:rFonts w:ascii="Palatino Linotype" w:eastAsia="Times New Roman" w:hAnsi="Palatino Linotype" w:cs="Times New Roman"/>
          <w:sz w:val="20"/>
          <w:szCs w:val="20"/>
          <w:lang w:eastAsia="it-IT"/>
        </w:rPr>
        <w:t xml:space="preserve">a decisione </w:t>
      </w:r>
      <w:r w:rsidRPr="00792946">
        <w:rPr>
          <w:rFonts w:ascii="Palatino Linotype" w:eastAsia="Times New Roman" w:hAnsi="Palatino Linotype" w:cs="Times New Roman"/>
          <w:sz w:val="20"/>
          <w:szCs w:val="20"/>
          <w:lang w:eastAsia="it-IT"/>
        </w:rPr>
        <w:t>ha</w:t>
      </w:r>
      <w:r w:rsidR="00137A9A" w:rsidRPr="00792946">
        <w:rPr>
          <w:rFonts w:ascii="Palatino Linotype" w:eastAsia="Times New Roman" w:hAnsi="Palatino Linotype" w:cs="Times New Roman"/>
          <w:sz w:val="20"/>
          <w:szCs w:val="20"/>
          <w:lang w:eastAsia="it-IT"/>
        </w:rPr>
        <w:t xml:space="preserve"> opportunamente </w:t>
      </w:r>
      <w:r w:rsidRPr="00792946">
        <w:rPr>
          <w:rFonts w:ascii="Palatino Linotype" w:eastAsia="Times New Roman" w:hAnsi="Palatino Linotype" w:cs="Times New Roman"/>
          <w:sz w:val="20"/>
          <w:szCs w:val="20"/>
          <w:lang w:eastAsia="it-IT"/>
        </w:rPr>
        <w:t>not</w:t>
      </w:r>
      <w:r w:rsidR="00137A9A" w:rsidRPr="00792946">
        <w:rPr>
          <w:rFonts w:ascii="Palatino Linotype" w:eastAsia="Times New Roman" w:hAnsi="Palatino Linotype" w:cs="Times New Roman"/>
          <w:sz w:val="20"/>
          <w:szCs w:val="20"/>
          <w:lang w:eastAsia="it-IT"/>
        </w:rPr>
        <w:t>ato c</w:t>
      </w:r>
      <w:r w:rsidR="00C25220" w:rsidRPr="00792946">
        <w:rPr>
          <w:rFonts w:ascii="Palatino Linotype" w:eastAsia="Times New Roman" w:hAnsi="Palatino Linotype" w:cs="Times New Roman"/>
          <w:sz w:val="20"/>
          <w:szCs w:val="20"/>
          <w:lang w:eastAsia="it-IT"/>
        </w:rPr>
        <w:t>om</w:t>
      </w:r>
      <w:r w:rsidR="00137A9A" w:rsidRPr="00792946">
        <w:rPr>
          <w:rFonts w:ascii="Palatino Linotype" w:eastAsia="Times New Roman" w:hAnsi="Palatino Linotype" w:cs="Times New Roman"/>
          <w:sz w:val="20"/>
          <w:szCs w:val="20"/>
          <w:lang w:eastAsia="it-IT"/>
        </w:rPr>
        <w:t xml:space="preserve">e la tesi </w:t>
      </w:r>
      <w:r w:rsidR="00654E04" w:rsidRPr="00792946">
        <w:rPr>
          <w:rFonts w:ascii="Palatino Linotype" w:eastAsia="Times New Roman" w:hAnsi="Palatino Linotype" w:cs="Times New Roman"/>
          <w:sz w:val="20"/>
          <w:szCs w:val="20"/>
          <w:lang w:eastAsia="it-IT"/>
        </w:rPr>
        <w:t>opposta</w:t>
      </w:r>
      <w:r w:rsidR="00137A9A" w:rsidRPr="00792946">
        <w:rPr>
          <w:rFonts w:ascii="Palatino Linotype" w:eastAsia="Times New Roman" w:hAnsi="Palatino Linotype" w:cs="Times New Roman"/>
          <w:sz w:val="20"/>
          <w:szCs w:val="20"/>
          <w:lang w:eastAsia="it-IT"/>
        </w:rPr>
        <w:t xml:space="preserve"> comporterebbe</w:t>
      </w:r>
      <w:r w:rsidR="00C25220" w:rsidRPr="00792946">
        <w:rPr>
          <w:rFonts w:ascii="Palatino Linotype" w:eastAsia="Times New Roman" w:hAnsi="Palatino Linotype" w:cs="Times New Roman"/>
          <w:sz w:val="20"/>
          <w:szCs w:val="20"/>
          <w:lang w:eastAsia="it-IT"/>
        </w:rPr>
        <w:t xml:space="preserve"> </w:t>
      </w:r>
      <w:r w:rsidR="00D66BE9">
        <w:rPr>
          <w:rFonts w:ascii="Palatino Linotype" w:eastAsia="Times New Roman" w:hAnsi="Palatino Linotype" w:cs="Times New Roman"/>
          <w:sz w:val="20"/>
          <w:szCs w:val="20"/>
          <w:lang w:eastAsia="it-IT"/>
        </w:rPr>
        <w:t>l</w:t>
      </w:r>
      <w:r w:rsidR="00137A9A" w:rsidRPr="00792946">
        <w:rPr>
          <w:rFonts w:ascii="Palatino Linotype" w:eastAsia="Times New Roman" w:hAnsi="Palatino Linotype" w:cs="Times New Roman"/>
          <w:sz w:val="20"/>
          <w:szCs w:val="20"/>
          <w:lang w:eastAsia="it-IT"/>
        </w:rPr>
        <w:t xml:space="preserve">a confusione </w:t>
      </w:r>
      <w:r w:rsidR="0001380F">
        <w:rPr>
          <w:rFonts w:ascii="Palatino Linotype" w:eastAsia="Times New Roman" w:hAnsi="Palatino Linotype" w:cs="Times New Roman"/>
          <w:sz w:val="20"/>
          <w:szCs w:val="20"/>
          <w:lang w:eastAsia="it-IT"/>
        </w:rPr>
        <w:t xml:space="preserve">del </w:t>
      </w:r>
      <w:r w:rsidR="0001380F" w:rsidRPr="00792946">
        <w:rPr>
          <w:rFonts w:ascii="Palatino Linotype" w:eastAsia="Times New Roman" w:hAnsi="Palatino Linotype" w:cs="Times New Roman"/>
          <w:sz w:val="20"/>
          <w:szCs w:val="20"/>
          <w:lang w:eastAsia="it-IT"/>
        </w:rPr>
        <w:t xml:space="preserve">subappalto </w:t>
      </w:r>
      <w:r w:rsidR="00D66BE9">
        <w:rPr>
          <w:rFonts w:ascii="Palatino Linotype" w:eastAsia="Times New Roman" w:hAnsi="Palatino Linotype" w:cs="Times New Roman"/>
          <w:sz w:val="20"/>
          <w:szCs w:val="20"/>
          <w:lang w:eastAsia="it-IT"/>
        </w:rPr>
        <w:t>nel</w:t>
      </w:r>
      <w:r w:rsidR="0001380F">
        <w:rPr>
          <w:rFonts w:ascii="Palatino Linotype" w:eastAsia="Times New Roman" w:hAnsi="Palatino Linotype" w:cs="Times New Roman"/>
          <w:sz w:val="20"/>
          <w:szCs w:val="20"/>
          <w:lang w:eastAsia="it-IT"/>
        </w:rPr>
        <w:t>l’avvalimento</w:t>
      </w:r>
      <w:r w:rsidR="00137A9A" w:rsidRPr="00792946">
        <w:rPr>
          <w:rFonts w:ascii="Palatino Linotype" w:eastAsia="Times New Roman" w:hAnsi="Palatino Linotype" w:cs="Times New Roman"/>
          <w:sz w:val="20"/>
          <w:szCs w:val="20"/>
          <w:lang w:eastAsia="it-IT"/>
        </w:rPr>
        <w:t>, nella misura in cui attra</w:t>
      </w:r>
      <w:r w:rsidR="00C25220" w:rsidRPr="00792946">
        <w:rPr>
          <w:rFonts w:ascii="Palatino Linotype" w:eastAsia="Times New Roman" w:hAnsi="Palatino Linotype" w:cs="Times New Roman"/>
          <w:sz w:val="20"/>
          <w:szCs w:val="20"/>
          <w:lang w:eastAsia="it-IT"/>
        </w:rPr>
        <w:t>rrebb</w:t>
      </w:r>
      <w:r w:rsidR="00137A9A" w:rsidRPr="00792946">
        <w:rPr>
          <w:rFonts w:ascii="Palatino Linotype" w:eastAsia="Times New Roman" w:hAnsi="Palatino Linotype" w:cs="Times New Roman"/>
          <w:sz w:val="20"/>
          <w:szCs w:val="20"/>
          <w:lang w:eastAsia="it-IT"/>
        </w:rPr>
        <w:t xml:space="preserve">e il rapporto </w:t>
      </w:r>
      <w:r w:rsidR="00654E04" w:rsidRPr="00792946">
        <w:rPr>
          <w:rFonts w:ascii="Palatino Linotype" w:eastAsia="Times New Roman" w:hAnsi="Palatino Linotype" w:cs="Times New Roman"/>
          <w:sz w:val="20"/>
          <w:szCs w:val="20"/>
          <w:lang w:eastAsia="it-IT"/>
        </w:rPr>
        <w:t>tra</w:t>
      </w:r>
      <w:r w:rsidR="00137A9A" w:rsidRPr="00792946">
        <w:rPr>
          <w:rFonts w:ascii="Palatino Linotype" w:eastAsia="Times New Roman" w:hAnsi="Palatino Linotype" w:cs="Times New Roman"/>
          <w:sz w:val="20"/>
          <w:szCs w:val="20"/>
          <w:lang w:eastAsia="it-IT"/>
        </w:rPr>
        <w:t xml:space="preserve"> l</w:t>
      </w:r>
      <w:r w:rsidR="00654E04" w:rsidRPr="00792946">
        <w:rPr>
          <w:rFonts w:ascii="Palatino Linotype" w:eastAsia="Times New Roman" w:hAnsi="Palatino Linotype" w:cs="Times New Roman"/>
          <w:sz w:val="20"/>
          <w:szCs w:val="20"/>
          <w:lang w:eastAsia="it-IT"/>
        </w:rPr>
        <w:t xml:space="preserve">e </w:t>
      </w:r>
      <w:r w:rsidR="00137A9A" w:rsidRPr="00792946">
        <w:rPr>
          <w:rFonts w:ascii="Palatino Linotype" w:eastAsia="Times New Roman" w:hAnsi="Palatino Linotype" w:cs="Times New Roman"/>
          <w:sz w:val="20"/>
          <w:szCs w:val="20"/>
          <w:lang w:eastAsia="it-IT"/>
        </w:rPr>
        <w:t>imprese nella fase d</w:t>
      </w:r>
      <w:r w:rsidR="002A1AF2" w:rsidRPr="00792946">
        <w:rPr>
          <w:rFonts w:ascii="Palatino Linotype" w:eastAsia="Times New Roman" w:hAnsi="Palatino Linotype" w:cs="Times New Roman"/>
          <w:sz w:val="20"/>
          <w:szCs w:val="20"/>
          <w:lang w:eastAsia="it-IT"/>
        </w:rPr>
        <w:t>i</w:t>
      </w:r>
      <w:r w:rsidR="0001380F">
        <w:rPr>
          <w:rFonts w:ascii="Palatino Linotype" w:eastAsia="Times New Roman" w:hAnsi="Palatino Linotype" w:cs="Times New Roman"/>
          <w:sz w:val="20"/>
          <w:szCs w:val="20"/>
          <w:lang w:eastAsia="it-IT"/>
        </w:rPr>
        <w:t xml:space="preserve"> gara</w:t>
      </w:r>
      <w:r w:rsidR="00137A9A" w:rsidRPr="00792946">
        <w:rPr>
          <w:rFonts w:ascii="Palatino Linotype" w:eastAsia="Times New Roman" w:hAnsi="Palatino Linotype" w:cs="Times New Roman"/>
          <w:sz w:val="20"/>
          <w:szCs w:val="20"/>
          <w:lang w:eastAsia="it-IT"/>
        </w:rPr>
        <w:t xml:space="preserve"> anziché in quella d</w:t>
      </w:r>
      <w:r w:rsidR="002A1AF2" w:rsidRPr="00792946">
        <w:rPr>
          <w:rFonts w:ascii="Palatino Linotype" w:eastAsia="Times New Roman" w:hAnsi="Palatino Linotype" w:cs="Times New Roman"/>
          <w:sz w:val="20"/>
          <w:szCs w:val="20"/>
          <w:lang w:eastAsia="it-IT"/>
        </w:rPr>
        <w:t xml:space="preserve">i </w:t>
      </w:r>
      <w:r w:rsidR="00137A9A" w:rsidRPr="00792946">
        <w:rPr>
          <w:rFonts w:ascii="Palatino Linotype" w:eastAsia="Times New Roman" w:hAnsi="Palatino Linotype" w:cs="Times New Roman"/>
          <w:sz w:val="20"/>
          <w:szCs w:val="20"/>
          <w:lang w:eastAsia="it-IT"/>
        </w:rPr>
        <w:t xml:space="preserve">esecuzione dell’appalto, </w:t>
      </w:r>
      <w:r w:rsidR="002A1AF2" w:rsidRPr="00792946">
        <w:rPr>
          <w:rFonts w:ascii="Palatino Linotype" w:eastAsia="Times New Roman" w:hAnsi="Palatino Linotype" w:cs="Times New Roman"/>
          <w:sz w:val="20"/>
          <w:szCs w:val="20"/>
          <w:lang w:eastAsia="it-IT"/>
        </w:rPr>
        <w:t>così</w:t>
      </w:r>
      <w:r w:rsidR="00137A9A" w:rsidRPr="00792946">
        <w:rPr>
          <w:rFonts w:ascii="Palatino Linotype" w:eastAsia="Times New Roman" w:hAnsi="Palatino Linotype" w:cs="Times New Roman"/>
          <w:sz w:val="20"/>
          <w:szCs w:val="20"/>
          <w:lang w:eastAsia="it-IT"/>
        </w:rPr>
        <w:t xml:space="preserve"> assimilando due istituti che presentano presupposti, finalità e regolazioni diverse</w:t>
      </w:r>
      <w:r w:rsidRPr="00792946">
        <w:rPr>
          <w:rFonts w:ascii="Palatino Linotype" w:eastAsia="Times New Roman" w:hAnsi="Palatino Linotype" w:cs="Times New Roman"/>
          <w:sz w:val="20"/>
          <w:szCs w:val="20"/>
          <w:lang w:eastAsia="it-IT"/>
        </w:rPr>
        <w:t xml:space="preserve"> e che non</w:t>
      </w:r>
      <w:r w:rsidR="00137A9A" w:rsidRPr="00792946">
        <w:rPr>
          <w:rFonts w:ascii="Palatino Linotype" w:eastAsia="Times New Roman" w:hAnsi="Palatino Linotype" w:cs="Times New Roman"/>
          <w:sz w:val="20"/>
          <w:szCs w:val="20"/>
          <w:lang w:eastAsia="it-IT"/>
        </w:rPr>
        <w:t xml:space="preserve"> crea</w:t>
      </w:r>
      <w:r w:rsidRPr="00792946">
        <w:rPr>
          <w:rFonts w:ascii="Palatino Linotype" w:eastAsia="Times New Roman" w:hAnsi="Palatino Linotype" w:cs="Times New Roman"/>
          <w:sz w:val="20"/>
          <w:szCs w:val="20"/>
          <w:lang w:eastAsia="it-IT"/>
        </w:rPr>
        <w:t>no</w:t>
      </w:r>
      <w:r w:rsidR="00137A9A" w:rsidRPr="00792946">
        <w:rPr>
          <w:rFonts w:ascii="Palatino Linotype" w:eastAsia="Times New Roman" w:hAnsi="Palatino Linotype" w:cs="Times New Roman"/>
          <w:sz w:val="20"/>
          <w:szCs w:val="20"/>
          <w:lang w:eastAsia="it-IT"/>
        </w:rPr>
        <w:t xml:space="preserve"> il medesimo vincolo</w:t>
      </w:r>
      <w:r w:rsidRPr="00792946">
        <w:rPr>
          <w:rFonts w:ascii="Palatino Linotype" w:eastAsia="Times New Roman" w:hAnsi="Palatino Linotype" w:cs="Times New Roman"/>
          <w:sz w:val="20"/>
          <w:szCs w:val="20"/>
          <w:lang w:eastAsia="it-IT"/>
        </w:rPr>
        <w:t>, non</w:t>
      </w:r>
      <w:r w:rsidR="00137A9A" w:rsidRPr="00792946">
        <w:rPr>
          <w:rFonts w:ascii="Palatino Linotype" w:eastAsia="Times New Roman" w:hAnsi="Palatino Linotype" w:cs="Times New Roman"/>
          <w:sz w:val="20"/>
          <w:szCs w:val="20"/>
          <w:lang w:eastAsia="it-IT"/>
        </w:rPr>
        <w:t xml:space="preserve"> assicura</w:t>
      </w:r>
      <w:r w:rsidRPr="00792946">
        <w:rPr>
          <w:rFonts w:ascii="Palatino Linotype" w:eastAsia="Times New Roman" w:hAnsi="Palatino Linotype" w:cs="Times New Roman"/>
          <w:sz w:val="20"/>
          <w:szCs w:val="20"/>
          <w:lang w:eastAsia="it-IT"/>
        </w:rPr>
        <w:t>ndo</w:t>
      </w:r>
      <w:r w:rsidR="00137A9A" w:rsidRPr="00792946">
        <w:rPr>
          <w:rFonts w:ascii="Palatino Linotype" w:eastAsia="Times New Roman" w:hAnsi="Palatino Linotype" w:cs="Times New Roman"/>
          <w:sz w:val="20"/>
          <w:szCs w:val="20"/>
          <w:lang w:eastAsia="it-IT"/>
        </w:rPr>
        <w:t xml:space="preserve"> alla stazione appaltante le </w:t>
      </w:r>
      <w:r w:rsidRPr="00792946">
        <w:rPr>
          <w:rFonts w:ascii="Palatino Linotype" w:eastAsia="Times New Roman" w:hAnsi="Palatino Linotype" w:cs="Times New Roman"/>
          <w:sz w:val="20"/>
          <w:szCs w:val="20"/>
          <w:lang w:eastAsia="it-IT"/>
        </w:rPr>
        <w:t>identich</w:t>
      </w:r>
      <w:r w:rsidR="00137A9A" w:rsidRPr="00792946">
        <w:rPr>
          <w:rFonts w:ascii="Palatino Linotype" w:eastAsia="Times New Roman" w:hAnsi="Palatino Linotype" w:cs="Times New Roman"/>
          <w:sz w:val="20"/>
          <w:szCs w:val="20"/>
          <w:lang w:eastAsia="it-IT"/>
        </w:rPr>
        <w:t>e garanzie contrattuali.</w:t>
      </w:r>
      <w:r w:rsidR="0001380F">
        <w:rPr>
          <w:rFonts w:ascii="Palatino Linotype" w:eastAsia="Times New Roman" w:hAnsi="Palatino Linotype" w:cs="Times New Roman"/>
          <w:sz w:val="20"/>
          <w:szCs w:val="20"/>
          <w:lang w:eastAsia="it-IT"/>
        </w:rPr>
        <w:t xml:space="preserve"> </w:t>
      </w:r>
      <w:r w:rsidR="0020414D" w:rsidRPr="00792946">
        <w:rPr>
          <w:rFonts w:ascii="Palatino Linotype" w:eastAsia="Times New Roman" w:hAnsi="Palatino Linotype" w:cs="Times New Roman"/>
          <w:sz w:val="20"/>
          <w:szCs w:val="20"/>
          <w:lang w:eastAsia="it-IT"/>
        </w:rPr>
        <w:t xml:space="preserve">Ciò </w:t>
      </w:r>
      <w:r w:rsidR="00816929" w:rsidRPr="00792946">
        <w:rPr>
          <w:rFonts w:ascii="Palatino Linotype" w:eastAsia="Times New Roman" w:hAnsi="Palatino Linotype" w:cs="Times New Roman"/>
          <w:sz w:val="20"/>
          <w:szCs w:val="20"/>
          <w:lang w:eastAsia="it-IT"/>
        </w:rPr>
        <w:t>introdur</w:t>
      </w:r>
      <w:r w:rsidR="0020414D" w:rsidRPr="00792946">
        <w:rPr>
          <w:rFonts w:ascii="Palatino Linotype" w:eastAsia="Times New Roman" w:hAnsi="Palatino Linotype" w:cs="Times New Roman"/>
          <w:sz w:val="20"/>
          <w:szCs w:val="20"/>
          <w:lang w:eastAsia="it-IT"/>
        </w:rPr>
        <w:t>rebbe</w:t>
      </w:r>
      <w:r w:rsidR="00137A9A" w:rsidRPr="00792946">
        <w:rPr>
          <w:rFonts w:ascii="Palatino Linotype" w:eastAsia="Times New Roman" w:hAnsi="Palatino Linotype" w:cs="Times New Roman"/>
          <w:sz w:val="20"/>
          <w:szCs w:val="20"/>
          <w:lang w:eastAsia="it-IT"/>
        </w:rPr>
        <w:t>, i</w:t>
      </w:r>
      <w:r w:rsidR="00816929" w:rsidRPr="00792946">
        <w:rPr>
          <w:rFonts w:ascii="Palatino Linotype" w:eastAsia="Times New Roman" w:hAnsi="Palatino Linotype" w:cs="Times New Roman"/>
          <w:sz w:val="20"/>
          <w:szCs w:val="20"/>
          <w:lang w:eastAsia="it-IT"/>
        </w:rPr>
        <w:t>noltre</w:t>
      </w:r>
      <w:r w:rsidR="002727D6" w:rsidRPr="00792946">
        <w:rPr>
          <w:rFonts w:ascii="Palatino Linotype" w:eastAsia="Times New Roman" w:hAnsi="Palatino Linotype" w:cs="Times New Roman"/>
          <w:sz w:val="20"/>
          <w:szCs w:val="20"/>
          <w:lang w:eastAsia="it-IT"/>
        </w:rPr>
        <w:t>,</w:t>
      </w:r>
      <w:r w:rsidR="00137A9A" w:rsidRPr="00792946">
        <w:rPr>
          <w:rFonts w:ascii="Palatino Linotype" w:eastAsia="Times New Roman" w:hAnsi="Palatino Linotype" w:cs="Times New Roman"/>
          <w:sz w:val="20"/>
          <w:szCs w:val="20"/>
          <w:lang w:eastAsia="it-IT"/>
        </w:rPr>
        <w:t xml:space="preserve"> </w:t>
      </w:r>
      <w:r w:rsidR="002727D6" w:rsidRPr="00792946">
        <w:rPr>
          <w:rFonts w:ascii="Palatino Linotype" w:eastAsia="Times New Roman" w:hAnsi="Palatino Linotype" w:cs="Times New Roman"/>
          <w:sz w:val="20"/>
          <w:szCs w:val="20"/>
          <w:lang w:eastAsia="it-IT"/>
        </w:rPr>
        <w:t xml:space="preserve">un meccanismo </w:t>
      </w:r>
      <w:r w:rsidR="00137A9A" w:rsidRPr="00792946">
        <w:rPr>
          <w:rFonts w:ascii="Palatino Linotype" w:eastAsia="Times New Roman" w:hAnsi="Palatino Linotype" w:cs="Times New Roman"/>
          <w:sz w:val="20"/>
          <w:szCs w:val="20"/>
          <w:lang w:eastAsia="it-IT"/>
        </w:rPr>
        <w:t xml:space="preserve">distorsivo </w:t>
      </w:r>
      <w:r w:rsidR="0020414D" w:rsidRPr="00792946">
        <w:rPr>
          <w:rFonts w:ascii="Palatino Linotype" w:eastAsia="Times New Roman" w:hAnsi="Palatino Linotype" w:cs="Times New Roman"/>
          <w:sz w:val="20"/>
          <w:szCs w:val="20"/>
          <w:lang w:eastAsia="it-IT"/>
        </w:rPr>
        <w:t>su</w:t>
      </w:r>
      <w:r w:rsidR="00137A9A" w:rsidRPr="00792946">
        <w:rPr>
          <w:rFonts w:ascii="Palatino Linotype" w:eastAsia="Times New Roman" w:hAnsi="Palatino Linotype" w:cs="Times New Roman"/>
          <w:sz w:val="20"/>
          <w:szCs w:val="20"/>
          <w:lang w:eastAsia="it-IT"/>
        </w:rPr>
        <w:t>l mercato dei lavori pubblici, costringe</w:t>
      </w:r>
      <w:r w:rsidR="00C25220" w:rsidRPr="00792946">
        <w:rPr>
          <w:rFonts w:ascii="Palatino Linotype" w:eastAsia="Times New Roman" w:hAnsi="Palatino Linotype" w:cs="Times New Roman"/>
          <w:sz w:val="20"/>
          <w:szCs w:val="20"/>
          <w:lang w:eastAsia="it-IT"/>
        </w:rPr>
        <w:t>ndo</w:t>
      </w:r>
      <w:r w:rsidR="00137A9A" w:rsidRPr="00792946">
        <w:rPr>
          <w:rFonts w:ascii="Palatino Linotype" w:eastAsia="Times New Roman" w:hAnsi="Palatino Linotype" w:cs="Times New Roman"/>
          <w:sz w:val="20"/>
          <w:szCs w:val="20"/>
          <w:lang w:eastAsia="it-IT"/>
        </w:rPr>
        <w:t xml:space="preserve"> l</w:t>
      </w:r>
      <w:r w:rsidR="002727D6" w:rsidRPr="00792946">
        <w:rPr>
          <w:rFonts w:ascii="Palatino Linotype" w:eastAsia="Times New Roman" w:hAnsi="Palatino Linotype" w:cs="Times New Roman"/>
          <w:sz w:val="20"/>
          <w:szCs w:val="20"/>
          <w:lang w:eastAsia="it-IT"/>
        </w:rPr>
        <w:t xml:space="preserve">e </w:t>
      </w:r>
      <w:r w:rsidR="00137A9A" w:rsidRPr="00792946">
        <w:rPr>
          <w:rFonts w:ascii="Palatino Linotype" w:eastAsia="Times New Roman" w:hAnsi="Palatino Linotype" w:cs="Times New Roman"/>
          <w:sz w:val="20"/>
          <w:szCs w:val="20"/>
          <w:lang w:eastAsia="it-IT"/>
        </w:rPr>
        <w:t>impres</w:t>
      </w:r>
      <w:r w:rsidR="002727D6" w:rsidRPr="00792946">
        <w:rPr>
          <w:rFonts w:ascii="Palatino Linotype" w:eastAsia="Times New Roman" w:hAnsi="Palatino Linotype" w:cs="Times New Roman"/>
          <w:sz w:val="20"/>
          <w:szCs w:val="20"/>
          <w:lang w:eastAsia="it-IT"/>
        </w:rPr>
        <w:t>e</w:t>
      </w:r>
      <w:r w:rsidR="00137A9A" w:rsidRPr="00792946">
        <w:rPr>
          <w:rFonts w:ascii="Palatino Linotype" w:eastAsia="Times New Roman" w:hAnsi="Palatino Linotype" w:cs="Times New Roman"/>
          <w:sz w:val="20"/>
          <w:szCs w:val="20"/>
          <w:lang w:eastAsia="it-IT"/>
        </w:rPr>
        <w:t xml:space="preserve"> concorrent</w:t>
      </w:r>
      <w:r w:rsidR="002727D6" w:rsidRPr="00792946">
        <w:rPr>
          <w:rFonts w:ascii="Palatino Linotype" w:eastAsia="Times New Roman" w:hAnsi="Palatino Linotype" w:cs="Times New Roman"/>
          <w:sz w:val="20"/>
          <w:szCs w:val="20"/>
          <w:lang w:eastAsia="it-IT"/>
        </w:rPr>
        <w:t>i</w:t>
      </w:r>
      <w:r w:rsidR="00137A9A" w:rsidRPr="00792946">
        <w:rPr>
          <w:rFonts w:ascii="Palatino Linotype" w:eastAsia="Times New Roman" w:hAnsi="Palatino Linotype" w:cs="Times New Roman"/>
          <w:sz w:val="20"/>
          <w:szCs w:val="20"/>
          <w:lang w:eastAsia="it-IT"/>
        </w:rPr>
        <w:t xml:space="preserve"> a scegliere </w:t>
      </w:r>
      <w:r w:rsidR="002727D6" w:rsidRPr="00792946">
        <w:rPr>
          <w:rFonts w:ascii="Palatino Linotype" w:eastAsia="Times New Roman" w:hAnsi="Palatino Linotype" w:cs="Times New Roman"/>
          <w:sz w:val="20"/>
          <w:szCs w:val="20"/>
          <w:lang w:eastAsia="it-IT"/>
        </w:rPr>
        <w:t>l’</w:t>
      </w:r>
      <w:r w:rsidR="00C25220" w:rsidRPr="00792946">
        <w:rPr>
          <w:rFonts w:ascii="Palatino Linotype" w:eastAsia="Times New Roman" w:hAnsi="Palatino Linotype" w:cs="Times New Roman"/>
          <w:sz w:val="20"/>
          <w:szCs w:val="20"/>
          <w:lang w:eastAsia="it-IT"/>
        </w:rPr>
        <w:t>impresa subappaltatrice</w:t>
      </w:r>
      <w:r w:rsidR="00137A9A" w:rsidRPr="00792946">
        <w:rPr>
          <w:rFonts w:ascii="Palatino Linotype" w:eastAsia="Times New Roman" w:hAnsi="Palatino Linotype" w:cs="Times New Roman"/>
          <w:sz w:val="20"/>
          <w:szCs w:val="20"/>
          <w:lang w:eastAsia="it-IT"/>
        </w:rPr>
        <w:t xml:space="preserve"> </w:t>
      </w:r>
      <w:r w:rsidR="00B65D7A" w:rsidRPr="00792946">
        <w:rPr>
          <w:rFonts w:ascii="Palatino Linotype" w:eastAsia="Times New Roman" w:hAnsi="Palatino Linotype" w:cs="Times New Roman"/>
          <w:sz w:val="20"/>
          <w:szCs w:val="20"/>
          <w:lang w:eastAsia="it-IT"/>
        </w:rPr>
        <w:t>sin</w:t>
      </w:r>
      <w:r w:rsidR="00137A9A" w:rsidRPr="00792946">
        <w:rPr>
          <w:rFonts w:ascii="Palatino Linotype" w:eastAsia="Times New Roman" w:hAnsi="Palatino Linotype" w:cs="Times New Roman"/>
          <w:sz w:val="20"/>
          <w:szCs w:val="20"/>
          <w:lang w:eastAsia="it-IT"/>
        </w:rPr>
        <w:t xml:space="preserve"> </w:t>
      </w:r>
      <w:r w:rsidR="00B65D7A" w:rsidRPr="00792946">
        <w:rPr>
          <w:rFonts w:ascii="Palatino Linotype" w:eastAsia="Times New Roman" w:hAnsi="Palatino Linotype" w:cs="Times New Roman"/>
          <w:sz w:val="20"/>
          <w:szCs w:val="20"/>
          <w:lang w:eastAsia="it-IT"/>
        </w:rPr>
        <w:t>da</w:t>
      </w:r>
      <w:r w:rsidR="00137A9A" w:rsidRPr="00792946">
        <w:rPr>
          <w:rFonts w:ascii="Palatino Linotype" w:eastAsia="Times New Roman" w:hAnsi="Palatino Linotype" w:cs="Times New Roman"/>
          <w:sz w:val="20"/>
          <w:szCs w:val="20"/>
          <w:lang w:eastAsia="it-IT"/>
        </w:rPr>
        <w:t>l</w:t>
      </w:r>
      <w:r w:rsidR="00B65D7A" w:rsidRPr="00792946">
        <w:rPr>
          <w:rFonts w:ascii="Palatino Linotype" w:eastAsia="Times New Roman" w:hAnsi="Palatino Linotype" w:cs="Times New Roman"/>
          <w:sz w:val="20"/>
          <w:szCs w:val="20"/>
          <w:lang w:eastAsia="it-IT"/>
        </w:rPr>
        <w:t xml:space="preserve"> momento </w:t>
      </w:r>
      <w:r w:rsidR="00137A9A" w:rsidRPr="00792946">
        <w:rPr>
          <w:rFonts w:ascii="Palatino Linotype" w:eastAsia="Times New Roman" w:hAnsi="Palatino Linotype" w:cs="Times New Roman"/>
          <w:sz w:val="20"/>
          <w:szCs w:val="20"/>
          <w:lang w:eastAsia="it-IT"/>
        </w:rPr>
        <w:t>dell</w:t>
      </w:r>
      <w:r w:rsidR="00B65D7A" w:rsidRPr="00792946">
        <w:rPr>
          <w:rFonts w:ascii="Palatino Linotype" w:eastAsia="Times New Roman" w:hAnsi="Palatino Linotype" w:cs="Times New Roman"/>
          <w:sz w:val="20"/>
          <w:szCs w:val="20"/>
          <w:lang w:eastAsia="it-IT"/>
        </w:rPr>
        <w:t>’offert</w:t>
      </w:r>
      <w:r w:rsidR="00137A9A" w:rsidRPr="00792946">
        <w:rPr>
          <w:rFonts w:ascii="Palatino Linotype" w:eastAsia="Times New Roman" w:hAnsi="Palatino Linotype" w:cs="Times New Roman"/>
          <w:sz w:val="20"/>
          <w:szCs w:val="20"/>
          <w:lang w:eastAsia="it-IT"/>
        </w:rPr>
        <w:t>a, mediante l’imposizione di un onere partecipativo del tutto sproporzionato e gravoso.</w:t>
      </w:r>
    </w:p>
    <w:p w14:paraId="0145B20B" w14:textId="1AFB3636" w:rsidR="00C25220" w:rsidRPr="00792946" w:rsidRDefault="00C25220"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Un</w:t>
      </w:r>
      <w:r w:rsidR="00E5571F">
        <w:rPr>
          <w:rFonts w:ascii="Palatino Linotype" w:eastAsia="Times New Roman" w:hAnsi="Palatino Linotype" w:cs="Times New Roman"/>
          <w:sz w:val="20"/>
          <w:szCs w:val="20"/>
          <w:lang w:eastAsia="it-IT"/>
        </w:rPr>
        <w:t>o</w:t>
      </w:r>
      <w:r w:rsidRPr="00792946">
        <w:rPr>
          <w:rFonts w:ascii="Palatino Linotype" w:eastAsia="Times New Roman" w:hAnsi="Palatino Linotype" w:cs="Times New Roman"/>
          <w:sz w:val="20"/>
          <w:szCs w:val="20"/>
          <w:lang w:eastAsia="it-IT"/>
        </w:rPr>
        <w:t xml:space="preserve"> strumento </w:t>
      </w:r>
      <w:r w:rsidR="002024D1" w:rsidRPr="00792946">
        <w:rPr>
          <w:rFonts w:ascii="Palatino Linotype" w:eastAsia="Times New Roman" w:hAnsi="Palatino Linotype" w:cs="Times New Roman"/>
          <w:sz w:val="20"/>
          <w:szCs w:val="20"/>
          <w:lang w:eastAsia="it-IT"/>
        </w:rPr>
        <w:t xml:space="preserve">associativo </w:t>
      </w:r>
      <w:r w:rsidRPr="00792946">
        <w:rPr>
          <w:rFonts w:ascii="Palatino Linotype" w:eastAsia="Times New Roman" w:hAnsi="Palatino Linotype" w:cs="Times New Roman"/>
          <w:sz w:val="20"/>
          <w:szCs w:val="20"/>
          <w:lang w:eastAsia="it-IT"/>
        </w:rPr>
        <w:t>a cavallo tra il diritto civile e quello speciale degli appalti è il consorzio.</w:t>
      </w:r>
    </w:p>
    <w:p w14:paraId="69CC0531" w14:textId="77777777" w:rsidR="00583237" w:rsidRPr="00792946" w:rsidRDefault="00583237"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Esiste una marcata differenza tra consorzio ordinario di cui agli artt. 2602 </w:t>
      </w:r>
      <w:r w:rsidR="00614211" w:rsidRPr="00792946">
        <w:rPr>
          <w:rFonts w:ascii="Palatino Linotype" w:eastAsia="Times New Roman" w:hAnsi="Palatino Linotype" w:cs="Times New Roman"/>
          <w:sz w:val="20"/>
          <w:szCs w:val="20"/>
          <w:lang w:eastAsia="it-IT"/>
        </w:rPr>
        <w:t xml:space="preserve">c.c. </w:t>
      </w:r>
      <w:r w:rsidRPr="00792946">
        <w:rPr>
          <w:rFonts w:ascii="Palatino Linotype" w:eastAsia="Times New Roman" w:hAnsi="Palatino Linotype" w:cs="Times New Roman"/>
          <w:sz w:val="20"/>
          <w:szCs w:val="20"/>
          <w:lang w:eastAsia="it-IT"/>
        </w:rPr>
        <w:t>e s</w:t>
      </w:r>
      <w:r w:rsidR="000E12E3" w:rsidRPr="00792946">
        <w:rPr>
          <w:rFonts w:ascii="Palatino Linotype" w:eastAsia="Times New Roman" w:hAnsi="Palatino Linotype" w:cs="Times New Roman"/>
          <w:sz w:val="20"/>
          <w:szCs w:val="20"/>
          <w:lang w:eastAsia="it-IT"/>
        </w:rPr>
        <w:t>egg</w:t>
      </w:r>
      <w:r w:rsidRPr="00792946">
        <w:rPr>
          <w:rFonts w:ascii="Palatino Linotype" w:eastAsia="Times New Roman" w:hAnsi="Palatino Linotype" w:cs="Times New Roman"/>
          <w:sz w:val="20"/>
          <w:szCs w:val="20"/>
          <w:lang w:eastAsia="it-IT"/>
        </w:rPr>
        <w:t>. e consorzio stabile di cui all’ art. 45, comma 2, lett. c)</w:t>
      </w:r>
      <w:r w:rsidR="00614211"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del D.lgs. 50/2016, </w:t>
      </w:r>
      <w:r w:rsidR="00F57BC8" w:rsidRPr="00792946">
        <w:rPr>
          <w:rFonts w:ascii="Palatino Linotype" w:eastAsia="Times New Roman" w:hAnsi="Palatino Linotype" w:cs="Times New Roman"/>
          <w:sz w:val="20"/>
          <w:szCs w:val="20"/>
          <w:lang w:eastAsia="it-IT"/>
        </w:rPr>
        <w:t xml:space="preserve">ben </w:t>
      </w:r>
      <w:r w:rsidRPr="00792946">
        <w:rPr>
          <w:rFonts w:ascii="Palatino Linotype" w:eastAsia="Times New Roman" w:hAnsi="Palatino Linotype" w:cs="Times New Roman"/>
          <w:sz w:val="20"/>
          <w:szCs w:val="20"/>
          <w:lang w:eastAsia="it-IT"/>
        </w:rPr>
        <w:t>posta in luce dall’Adunanza plenaria</w:t>
      </w:r>
      <w:r w:rsidRPr="00792946">
        <w:rPr>
          <w:rStyle w:val="Rimandonotaapidipagina"/>
          <w:rFonts w:ascii="Palatino Linotype" w:eastAsia="Times New Roman" w:hAnsi="Palatino Linotype" w:cs="Times New Roman"/>
          <w:sz w:val="20"/>
          <w:szCs w:val="20"/>
          <w:lang w:eastAsia="it-IT"/>
        </w:rPr>
        <w:footnoteReference w:id="23"/>
      </w:r>
      <w:r w:rsidRPr="00792946">
        <w:rPr>
          <w:rFonts w:ascii="Palatino Linotype" w:eastAsia="Times New Roman" w:hAnsi="Palatino Linotype" w:cs="Times New Roman"/>
          <w:sz w:val="20"/>
          <w:szCs w:val="20"/>
          <w:lang w:eastAsia="it-IT"/>
        </w:rPr>
        <w:t>.</w:t>
      </w:r>
    </w:p>
    <w:p w14:paraId="52F027A8" w14:textId="77777777" w:rsidR="007B26A8" w:rsidRPr="00792946" w:rsidRDefault="00583237"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Il </w:t>
      </w:r>
      <w:r w:rsidR="007B26A8" w:rsidRPr="00792946">
        <w:rPr>
          <w:rFonts w:ascii="Palatino Linotype" w:eastAsia="Times New Roman" w:hAnsi="Palatino Linotype" w:cs="Times New Roman"/>
          <w:sz w:val="20"/>
          <w:szCs w:val="20"/>
          <w:lang w:eastAsia="it-IT"/>
        </w:rPr>
        <w:t>consorzio ordinario</w:t>
      </w:r>
      <w:r w:rsidRPr="00792946">
        <w:rPr>
          <w:rFonts w:ascii="Palatino Linotype" w:eastAsia="Times New Roman" w:hAnsi="Palatino Linotype" w:cs="Times New Roman"/>
          <w:sz w:val="20"/>
          <w:szCs w:val="20"/>
          <w:lang w:eastAsia="it-IT"/>
        </w:rPr>
        <w:t>, pur essendo un autonomo centro di rapporti giuridici, non comporta l’assorbimento delle aziende consorziate in un organismo unitario costituente un’impresa collettiva, né esercita autonomamente e direttamente attività imprenditoriale, limita</w:t>
      </w:r>
      <w:r w:rsidR="00B65D7A" w:rsidRPr="00792946">
        <w:rPr>
          <w:rFonts w:ascii="Palatino Linotype" w:eastAsia="Times New Roman" w:hAnsi="Palatino Linotype" w:cs="Times New Roman"/>
          <w:sz w:val="20"/>
          <w:szCs w:val="20"/>
          <w:lang w:eastAsia="it-IT"/>
        </w:rPr>
        <w:t>ndosi</w:t>
      </w:r>
      <w:r w:rsidRPr="00792946">
        <w:rPr>
          <w:rFonts w:ascii="Palatino Linotype" w:eastAsia="Times New Roman" w:hAnsi="Palatino Linotype" w:cs="Times New Roman"/>
          <w:sz w:val="20"/>
          <w:szCs w:val="20"/>
          <w:lang w:eastAsia="it-IT"/>
        </w:rPr>
        <w:t xml:space="preserve"> a disciplinare e coordinare, attraverso un’organizzazione comune, le az</w:t>
      </w:r>
      <w:r w:rsidR="002727D6" w:rsidRPr="00792946">
        <w:rPr>
          <w:rFonts w:ascii="Palatino Linotype" w:eastAsia="Times New Roman" w:hAnsi="Palatino Linotype" w:cs="Times New Roman"/>
          <w:sz w:val="20"/>
          <w:szCs w:val="20"/>
          <w:lang w:eastAsia="it-IT"/>
        </w:rPr>
        <w:t>ioni degli imprenditori riuniti; e</w:t>
      </w:r>
      <w:r w:rsidR="007B26A8" w:rsidRPr="00792946">
        <w:rPr>
          <w:rFonts w:ascii="Palatino Linotype" w:eastAsia="Times New Roman" w:hAnsi="Palatino Linotype" w:cs="Times New Roman"/>
          <w:sz w:val="20"/>
          <w:szCs w:val="20"/>
          <w:lang w:eastAsia="it-IT"/>
        </w:rPr>
        <w:t xml:space="preserve"> </w:t>
      </w:r>
      <w:r w:rsidR="002727D6" w:rsidRPr="00792946">
        <w:rPr>
          <w:rFonts w:ascii="Palatino Linotype" w:eastAsia="Times New Roman" w:hAnsi="Palatino Linotype" w:cs="Times New Roman"/>
          <w:sz w:val="20"/>
          <w:szCs w:val="20"/>
          <w:lang w:eastAsia="it-IT"/>
        </w:rPr>
        <w:t>questo pure</w:t>
      </w:r>
      <w:r w:rsidRPr="00792946">
        <w:rPr>
          <w:rFonts w:ascii="Palatino Linotype" w:eastAsia="Times New Roman" w:hAnsi="Palatino Linotype" w:cs="Times New Roman"/>
          <w:sz w:val="20"/>
          <w:szCs w:val="20"/>
          <w:lang w:eastAsia="it-IT"/>
        </w:rPr>
        <w:t xml:space="preserve"> </w:t>
      </w:r>
      <w:r w:rsidR="007B26A8" w:rsidRPr="00792946">
        <w:rPr>
          <w:rFonts w:ascii="Palatino Linotype" w:eastAsia="Times New Roman" w:hAnsi="Palatino Linotype" w:cs="Times New Roman"/>
          <w:sz w:val="20"/>
          <w:szCs w:val="20"/>
          <w:lang w:eastAsia="it-IT"/>
        </w:rPr>
        <w:t>ne</w:t>
      </w:r>
      <w:r w:rsidRPr="00792946">
        <w:rPr>
          <w:rFonts w:ascii="Palatino Linotype" w:eastAsia="Times New Roman" w:hAnsi="Palatino Linotype" w:cs="Times New Roman"/>
          <w:sz w:val="20"/>
          <w:szCs w:val="20"/>
          <w:lang w:eastAsia="it-IT"/>
        </w:rPr>
        <w:t xml:space="preserve">l consorzio </w:t>
      </w:r>
      <w:r w:rsidR="007B26A8" w:rsidRPr="00792946">
        <w:rPr>
          <w:rFonts w:ascii="Palatino Linotype" w:eastAsia="Times New Roman" w:hAnsi="Palatino Linotype" w:cs="Times New Roman"/>
          <w:sz w:val="20"/>
          <w:szCs w:val="20"/>
          <w:lang w:eastAsia="it-IT"/>
        </w:rPr>
        <w:t xml:space="preserve">ordinario </w:t>
      </w:r>
      <w:r w:rsidRPr="00792946">
        <w:rPr>
          <w:rFonts w:ascii="Palatino Linotype" w:eastAsia="Times New Roman" w:hAnsi="Palatino Linotype" w:cs="Times New Roman"/>
          <w:sz w:val="20"/>
          <w:szCs w:val="20"/>
          <w:lang w:eastAsia="it-IT"/>
        </w:rPr>
        <w:t>con attività esterna, dove la struttura organizzativa provvede all’espletamento in comune di una o alcune funzioni (ad esempio, l’acquisto di beni strumentali o di materie prime, la distribuzione, la pubblicità, etc</w:t>
      </w:r>
      <w:r w:rsidR="003E6D8C"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w:t>
      </w:r>
    </w:p>
    <w:p w14:paraId="622E2AD3" w14:textId="77777777" w:rsidR="00583237" w:rsidRPr="00792946" w:rsidRDefault="00583237"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Ne discende</w:t>
      </w:r>
      <w:r w:rsidR="00CF7E1E" w:rsidRPr="00792946">
        <w:rPr>
          <w:rFonts w:ascii="Palatino Linotype" w:eastAsia="Times New Roman" w:hAnsi="Palatino Linotype" w:cs="Times New Roman"/>
          <w:sz w:val="20"/>
          <w:szCs w:val="20"/>
          <w:lang w:eastAsia="it-IT"/>
        </w:rPr>
        <w:t xml:space="preserve"> che</w:t>
      </w:r>
      <w:r w:rsidRPr="00792946">
        <w:rPr>
          <w:rFonts w:ascii="Palatino Linotype" w:eastAsia="Times New Roman" w:hAnsi="Palatino Linotype" w:cs="Times New Roman"/>
          <w:sz w:val="20"/>
          <w:szCs w:val="20"/>
          <w:lang w:eastAsia="it-IT"/>
        </w:rPr>
        <w:t xml:space="preserve">, ai fini della disciplina </w:t>
      </w:r>
      <w:r w:rsidR="002A1AF2" w:rsidRPr="00792946">
        <w:rPr>
          <w:rFonts w:ascii="Palatino Linotype" w:eastAsia="Times New Roman" w:hAnsi="Palatino Linotype" w:cs="Times New Roman"/>
          <w:sz w:val="20"/>
          <w:szCs w:val="20"/>
          <w:lang w:eastAsia="it-IT"/>
        </w:rPr>
        <w:t>su</w:t>
      </w:r>
      <w:r w:rsidRPr="00792946">
        <w:rPr>
          <w:rFonts w:ascii="Palatino Linotype" w:eastAsia="Times New Roman" w:hAnsi="Palatino Linotype" w:cs="Times New Roman"/>
          <w:sz w:val="20"/>
          <w:szCs w:val="20"/>
          <w:lang w:eastAsia="it-IT"/>
        </w:rPr>
        <w:t xml:space="preserve">i contratti pubblici, il consorzio ordinario </w:t>
      </w:r>
      <w:r w:rsidR="000C759B" w:rsidRPr="00792946">
        <w:rPr>
          <w:rFonts w:ascii="Palatino Linotype" w:eastAsia="Times New Roman" w:hAnsi="Palatino Linotype" w:cs="Times New Roman"/>
          <w:sz w:val="20"/>
          <w:szCs w:val="20"/>
          <w:lang w:eastAsia="it-IT"/>
        </w:rPr>
        <w:t>si considera</w:t>
      </w:r>
      <w:r w:rsidRPr="00792946">
        <w:rPr>
          <w:rFonts w:ascii="Palatino Linotype" w:eastAsia="Times New Roman" w:hAnsi="Palatino Linotype" w:cs="Times New Roman"/>
          <w:sz w:val="20"/>
          <w:szCs w:val="20"/>
          <w:lang w:eastAsia="it-IT"/>
        </w:rPr>
        <w:t xml:space="preserve"> </w:t>
      </w:r>
      <w:r w:rsidR="00771452" w:rsidRPr="00792946">
        <w:rPr>
          <w:rFonts w:ascii="Palatino Linotype" w:eastAsia="Times New Roman" w:hAnsi="Palatino Linotype" w:cs="Times New Roman"/>
          <w:sz w:val="20"/>
          <w:szCs w:val="20"/>
          <w:lang w:eastAsia="it-IT"/>
        </w:rPr>
        <w:t xml:space="preserve">alla stregua di </w:t>
      </w:r>
      <w:r w:rsidRPr="00792946">
        <w:rPr>
          <w:rFonts w:ascii="Palatino Linotype" w:eastAsia="Times New Roman" w:hAnsi="Palatino Linotype" w:cs="Times New Roman"/>
          <w:sz w:val="20"/>
          <w:szCs w:val="20"/>
          <w:lang w:eastAsia="it-IT"/>
        </w:rPr>
        <w:t>un soggetto con identità plurisoggettiva, che opera in qualità di mandatario delle imprese della compagine.</w:t>
      </w:r>
    </w:p>
    <w:p w14:paraId="202DD5D8" w14:textId="77777777" w:rsidR="00583237" w:rsidRPr="00792946" w:rsidRDefault="00583237"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Viceversa, </w:t>
      </w:r>
      <w:r w:rsidR="002727D6" w:rsidRPr="00792946">
        <w:rPr>
          <w:rFonts w:ascii="Palatino Linotype" w:eastAsia="Times New Roman" w:hAnsi="Palatino Linotype" w:cs="Times New Roman"/>
          <w:sz w:val="20"/>
          <w:szCs w:val="20"/>
          <w:lang w:eastAsia="it-IT"/>
        </w:rPr>
        <w:t>ne</w:t>
      </w:r>
      <w:r w:rsidR="00D66BE9">
        <w:rPr>
          <w:rFonts w:ascii="Palatino Linotype" w:eastAsia="Times New Roman" w:hAnsi="Palatino Linotype" w:cs="Times New Roman"/>
          <w:sz w:val="20"/>
          <w:szCs w:val="20"/>
          <w:lang w:eastAsia="it-IT"/>
        </w:rPr>
        <w:t>l</w:t>
      </w:r>
      <w:r w:rsidRPr="00792946">
        <w:rPr>
          <w:rFonts w:ascii="Palatino Linotype" w:eastAsia="Times New Roman" w:hAnsi="Palatino Linotype" w:cs="Times New Roman"/>
          <w:sz w:val="20"/>
          <w:szCs w:val="20"/>
          <w:lang w:eastAsia="it-IT"/>
        </w:rPr>
        <w:t xml:space="preserve"> consorzi</w:t>
      </w:r>
      <w:r w:rsidR="00D66BE9">
        <w:rPr>
          <w:rFonts w:ascii="Palatino Linotype" w:eastAsia="Times New Roman" w:hAnsi="Palatino Linotype" w:cs="Times New Roman"/>
          <w:sz w:val="20"/>
          <w:szCs w:val="20"/>
          <w:lang w:eastAsia="it-IT"/>
        </w:rPr>
        <w:t>o</w:t>
      </w:r>
      <w:r w:rsidRPr="00792946">
        <w:rPr>
          <w:rFonts w:ascii="Palatino Linotype" w:eastAsia="Times New Roman" w:hAnsi="Palatino Linotype" w:cs="Times New Roman"/>
          <w:sz w:val="20"/>
          <w:szCs w:val="20"/>
          <w:lang w:eastAsia="it-IT"/>
        </w:rPr>
        <w:t xml:space="preserve"> stabil</w:t>
      </w:r>
      <w:r w:rsidR="00D66BE9">
        <w:rPr>
          <w:rFonts w:ascii="Palatino Linotype" w:eastAsia="Times New Roman" w:hAnsi="Palatino Linotype" w:cs="Times New Roman"/>
          <w:sz w:val="20"/>
          <w:szCs w:val="20"/>
          <w:lang w:eastAsia="it-IT"/>
        </w:rPr>
        <w:t>e</w:t>
      </w:r>
      <w:r w:rsidR="002727D6" w:rsidRPr="00792946">
        <w:rPr>
          <w:rFonts w:ascii="Palatino Linotype" w:eastAsia="Times New Roman" w:hAnsi="Palatino Linotype" w:cs="Times New Roman"/>
          <w:sz w:val="20"/>
          <w:szCs w:val="20"/>
          <w:lang w:eastAsia="it-IT"/>
        </w:rPr>
        <w:t xml:space="preserve"> i</w:t>
      </w:r>
      <w:r w:rsidRPr="00792946">
        <w:rPr>
          <w:rFonts w:ascii="Palatino Linotype" w:eastAsia="Times New Roman" w:hAnsi="Palatino Linotype" w:cs="Times New Roman"/>
          <w:sz w:val="20"/>
          <w:szCs w:val="20"/>
          <w:lang w:eastAsia="it-IT"/>
        </w:rPr>
        <w:t xml:space="preserve"> partecipanti danno vita ad una </w:t>
      </w:r>
      <w:r w:rsidR="00B65D7A" w:rsidRPr="00792946">
        <w:rPr>
          <w:rFonts w:ascii="Palatino Linotype" w:eastAsia="Times New Roman" w:hAnsi="Palatino Linotype" w:cs="Times New Roman"/>
          <w:sz w:val="20"/>
          <w:szCs w:val="20"/>
          <w:lang w:eastAsia="it-IT"/>
        </w:rPr>
        <w:t>permanent</w:t>
      </w:r>
      <w:r w:rsidRPr="00792946">
        <w:rPr>
          <w:rFonts w:ascii="Palatino Linotype" w:eastAsia="Times New Roman" w:hAnsi="Palatino Linotype" w:cs="Times New Roman"/>
          <w:sz w:val="20"/>
          <w:szCs w:val="20"/>
          <w:lang w:eastAsia="it-IT"/>
        </w:rPr>
        <w:t>e struttura d</w:t>
      </w:r>
      <w:r w:rsidR="00B65D7A"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impr</w:t>
      </w:r>
      <w:r w:rsidR="00771452" w:rsidRPr="00792946">
        <w:rPr>
          <w:rFonts w:ascii="Palatino Linotype" w:eastAsia="Times New Roman" w:hAnsi="Palatino Linotype" w:cs="Times New Roman"/>
          <w:sz w:val="20"/>
          <w:szCs w:val="20"/>
          <w:lang w:eastAsia="it-IT"/>
        </w:rPr>
        <w:t xml:space="preserve">esa collettiva, la quale, oltre </w:t>
      </w:r>
      <w:r w:rsidRPr="00792946">
        <w:rPr>
          <w:rFonts w:ascii="Palatino Linotype" w:eastAsia="Times New Roman" w:hAnsi="Palatino Linotype" w:cs="Times New Roman"/>
          <w:sz w:val="20"/>
          <w:szCs w:val="20"/>
          <w:lang w:eastAsia="it-IT"/>
        </w:rPr>
        <w:t>a</w:t>
      </w:r>
      <w:r w:rsidR="0001380F">
        <w:rPr>
          <w:rFonts w:ascii="Palatino Linotype" w:eastAsia="Times New Roman" w:hAnsi="Palatino Linotype" w:cs="Times New Roman"/>
          <w:sz w:val="20"/>
          <w:szCs w:val="20"/>
          <w:lang w:eastAsia="it-IT"/>
        </w:rPr>
        <w:t>d</w:t>
      </w:r>
      <w:r w:rsidRPr="00792946">
        <w:rPr>
          <w:rFonts w:ascii="Palatino Linotype" w:eastAsia="Times New Roman" w:hAnsi="Palatino Linotype" w:cs="Times New Roman"/>
          <w:sz w:val="20"/>
          <w:szCs w:val="20"/>
          <w:lang w:eastAsia="it-IT"/>
        </w:rPr>
        <w:t xml:space="preserve"> a</w:t>
      </w:r>
      <w:r w:rsidR="0001380F">
        <w:rPr>
          <w:rFonts w:ascii="Palatino Linotype" w:eastAsia="Times New Roman" w:hAnsi="Palatino Linotype" w:cs="Times New Roman"/>
          <w:sz w:val="20"/>
          <w:szCs w:val="20"/>
          <w:lang w:eastAsia="it-IT"/>
        </w:rPr>
        <w:t>ve</w:t>
      </w:r>
      <w:r w:rsidRPr="00792946">
        <w:rPr>
          <w:rFonts w:ascii="Palatino Linotype" w:eastAsia="Times New Roman" w:hAnsi="Palatino Linotype" w:cs="Times New Roman"/>
          <w:sz w:val="20"/>
          <w:szCs w:val="20"/>
          <w:lang w:eastAsia="it-IT"/>
        </w:rPr>
        <w:t>re una soggettività giuridica</w:t>
      </w:r>
      <w:r w:rsidR="00B65D7A" w:rsidRPr="00792946">
        <w:rPr>
          <w:rFonts w:ascii="Palatino Linotype" w:eastAsia="Times New Roman" w:hAnsi="Palatino Linotype" w:cs="Times New Roman"/>
          <w:sz w:val="20"/>
          <w:szCs w:val="20"/>
          <w:lang w:eastAsia="it-IT"/>
        </w:rPr>
        <w:t xml:space="preserve"> ed u</w:t>
      </w:r>
      <w:r w:rsidRPr="00792946">
        <w:rPr>
          <w:rFonts w:ascii="Palatino Linotype" w:eastAsia="Times New Roman" w:hAnsi="Palatino Linotype" w:cs="Times New Roman"/>
          <w:sz w:val="20"/>
          <w:szCs w:val="20"/>
          <w:lang w:eastAsia="it-IT"/>
        </w:rPr>
        <w:t>n</w:t>
      </w:r>
      <w:r w:rsidR="00B65D7A"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autonomia anche patrimoniale, rimane distinta rispetto alle </w:t>
      </w:r>
      <w:r w:rsidR="0001380F" w:rsidRPr="00792946">
        <w:rPr>
          <w:rFonts w:ascii="Palatino Linotype" w:eastAsia="Times New Roman" w:hAnsi="Palatino Linotype" w:cs="Times New Roman"/>
          <w:sz w:val="20"/>
          <w:szCs w:val="20"/>
          <w:lang w:eastAsia="it-IT"/>
        </w:rPr>
        <w:t>singol</w:t>
      </w:r>
      <w:r w:rsidR="0001380F">
        <w:rPr>
          <w:rFonts w:ascii="Palatino Linotype" w:eastAsia="Times New Roman" w:hAnsi="Palatino Linotype" w:cs="Times New Roman"/>
          <w:sz w:val="20"/>
          <w:szCs w:val="20"/>
          <w:lang w:eastAsia="it-IT"/>
        </w:rPr>
        <w:t>e</w:t>
      </w:r>
      <w:r w:rsidR="0001380F"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 xml:space="preserve">aziende ed è </w:t>
      </w:r>
      <w:r w:rsidR="00B65D7A" w:rsidRPr="00792946">
        <w:rPr>
          <w:rFonts w:ascii="Palatino Linotype" w:eastAsia="Times New Roman" w:hAnsi="Palatino Linotype" w:cs="Times New Roman"/>
          <w:sz w:val="20"/>
          <w:szCs w:val="20"/>
          <w:lang w:eastAsia="it-IT"/>
        </w:rPr>
        <w:t>organizz</w:t>
      </w:r>
      <w:r w:rsidRPr="00792946">
        <w:rPr>
          <w:rFonts w:ascii="Palatino Linotype" w:eastAsia="Times New Roman" w:hAnsi="Palatino Linotype" w:cs="Times New Roman"/>
          <w:sz w:val="20"/>
          <w:szCs w:val="20"/>
          <w:lang w:eastAsia="it-IT"/>
        </w:rPr>
        <w:t>ata</w:t>
      </w:r>
      <w:r w:rsidR="00FA3F1F" w:rsidRPr="00792946">
        <w:rPr>
          <w:rFonts w:ascii="Palatino Linotype" w:eastAsia="Times New Roman" w:hAnsi="Palatino Linotype" w:cs="Times New Roman"/>
          <w:sz w:val="20"/>
          <w:szCs w:val="20"/>
          <w:lang w:eastAsia="it-IT"/>
        </w:rPr>
        <w:t xml:space="preserve"> per eseguire </w:t>
      </w:r>
      <w:r w:rsidR="00B65D7A" w:rsidRPr="00792946">
        <w:rPr>
          <w:rFonts w:ascii="Palatino Linotype" w:eastAsia="Times New Roman" w:hAnsi="Palatino Linotype" w:cs="Times New Roman"/>
          <w:sz w:val="20"/>
          <w:szCs w:val="20"/>
          <w:lang w:eastAsia="it-IT"/>
        </w:rPr>
        <w:t>anche in proprio (ossia senza l’ausilio necessario delle strutture imprenditoriali delle consorziate), quale azienda consortile, le prestazioni affidatele a mezzo del contratto</w:t>
      </w:r>
      <w:r w:rsidR="00D45F05" w:rsidRPr="00792946">
        <w:rPr>
          <w:rStyle w:val="Rimandonotaapidipagina"/>
          <w:rFonts w:ascii="Palatino Linotype" w:eastAsia="Times New Roman" w:hAnsi="Palatino Linotype" w:cs="Times New Roman"/>
          <w:sz w:val="20"/>
          <w:szCs w:val="20"/>
          <w:lang w:eastAsia="it-IT"/>
        </w:rPr>
        <w:footnoteReference w:id="24"/>
      </w:r>
      <w:r w:rsidRPr="00792946">
        <w:rPr>
          <w:rFonts w:ascii="Palatino Linotype" w:eastAsia="Times New Roman" w:hAnsi="Palatino Linotype" w:cs="Times New Roman"/>
          <w:sz w:val="20"/>
          <w:szCs w:val="20"/>
          <w:lang w:eastAsia="it-IT"/>
        </w:rPr>
        <w:t>.</w:t>
      </w:r>
    </w:p>
    <w:p w14:paraId="1971763E" w14:textId="27175942" w:rsidR="00583237" w:rsidRPr="00792946" w:rsidRDefault="00CC2651"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La peculiare struttura del consorzio stabile giustifica </w:t>
      </w:r>
      <w:r w:rsidR="00B65D7A" w:rsidRPr="00792946">
        <w:rPr>
          <w:rFonts w:ascii="Palatino Linotype" w:eastAsia="Times New Roman" w:hAnsi="Palatino Linotype" w:cs="Times New Roman"/>
          <w:sz w:val="20"/>
          <w:szCs w:val="20"/>
          <w:lang w:eastAsia="it-IT"/>
        </w:rPr>
        <w:t xml:space="preserve">da un lato </w:t>
      </w:r>
      <w:r w:rsidR="00583237" w:rsidRPr="00792946">
        <w:rPr>
          <w:rFonts w:ascii="Palatino Linotype" w:eastAsia="Times New Roman" w:hAnsi="Palatino Linotype" w:cs="Times New Roman"/>
          <w:sz w:val="20"/>
          <w:szCs w:val="20"/>
          <w:lang w:eastAsia="it-IT"/>
        </w:rPr>
        <w:t xml:space="preserve">la </w:t>
      </w:r>
      <w:r w:rsidR="00B65D7A" w:rsidRPr="00792946">
        <w:rPr>
          <w:rFonts w:ascii="Palatino Linotype" w:eastAsia="Times New Roman" w:hAnsi="Palatino Linotype" w:cs="Times New Roman"/>
          <w:sz w:val="20"/>
          <w:szCs w:val="20"/>
          <w:lang w:eastAsia="it-IT"/>
        </w:rPr>
        <w:t>possibilità d</w:t>
      </w:r>
      <w:r w:rsidR="0001380F">
        <w:rPr>
          <w:rFonts w:ascii="Palatino Linotype" w:eastAsia="Times New Roman" w:hAnsi="Palatino Linotype" w:cs="Times New Roman"/>
          <w:sz w:val="20"/>
          <w:szCs w:val="20"/>
          <w:lang w:eastAsia="it-IT"/>
        </w:rPr>
        <w:t>ella</w:t>
      </w:r>
      <w:r w:rsidR="00B65D7A" w:rsidRPr="00792946">
        <w:rPr>
          <w:rFonts w:ascii="Palatino Linotype" w:eastAsia="Times New Roman" w:hAnsi="Palatino Linotype" w:cs="Times New Roman"/>
          <w:sz w:val="20"/>
          <w:szCs w:val="20"/>
          <w:lang w:eastAsia="it-IT"/>
        </w:rPr>
        <w:t xml:space="preserve"> </w:t>
      </w:r>
      <w:r w:rsidR="00583237" w:rsidRPr="00792946">
        <w:rPr>
          <w:rFonts w:ascii="Palatino Linotype" w:eastAsia="Times New Roman" w:hAnsi="Palatino Linotype" w:cs="Times New Roman"/>
          <w:sz w:val="20"/>
          <w:szCs w:val="20"/>
          <w:lang w:eastAsia="it-IT"/>
        </w:rPr>
        <w:t xml:space="preserve">contemporanea partecipazione alla medesima gara del consorzio stabile e della consorziata, </w:t>
      </w:r>
      <w:r w:rsidRPr="00792946">
        <w:rPr>
          <w:rFonts w:ascii="Palatino Linotype" w:eastAsia="Times New Roman" w:hAnsi="Palatino Linotype" w:cs="Times New Roman"/>
          <w:sz w:val="20"/>
          <w:szCs w:val="20"/>
          <w:lang w:eastAsia="it-IT"/>
        </w:rPr>
        <w:t>purché</w:t>
      </w:r>
      <w:r w:rsidR="00583237" w:rsidRPr="00792946">
        <w:rPr>
          <w:rFonts w:ascii="Palatino Linotype" w:eastAsia="Times New Roman" w:hAnsi="Palatino Linotype" w:cs="Times New Roman"/>
          <w:sz w:val="20"/>
          <w:szCs w:val="20"/>
          <w:lang w:eastAsia="it-IT"/>
        </w:rPr>
        <w:t xml:space="preserve"> quest’ultima non sia stata designata per l’esecuzione del contratto e non abbia concordato la presentazione dell’offerta</w:t>
      </w:r>
      <w:r w:rsidR="00F57BC8" w:rsidRPr="00792946">
        <w:rPr>
          <w:rStyle w:val="Rimandonotaapidipagina"/>
          <w:rFonts w:ascii="Palatino Linotype" w:eastAsia="Times New Roman" w:hAnsi="Palatino Linotype" w:cs="Times New Roman"/>
          <w:sz w:val="20"/>
          <w:szCs w:val="20"/>
          <w:lang w:eastAsia="it-IT"/>
        </w:rPr>
        <w:footnoteReference w:id="25"/>
      </w:r>
      <w:r w:rsidRPr="00792946">
        <w:rPr>
          <w:rFonts w:ascii="Palatino Linotype" w:eastAsia="Times New Roman" w:hAnsi="Palatino Linotype" w:cs="Times New Roman"/>
          <w:sz w:val="20"/>
          <w:szCs w:val="20"/>
          <w:lang w:eastAsia="it-IT"/>
        </w:rPr>
        <w:t xml:space="preserve"> e</w:t>
      </w:r>
      <w:r w:rsidR="00B65D7A" w:rsidRPr="00792946">
        <w:rPr>
          <w:rFonts w:ascii="Palatino Linotype" w:eastAsia="Times New Roman" w:hAnsi="Palatino Linotype" w:cs="Times New Roman"/>
          <w:sz w:val="20"/>
          <w:szCs w:val="20"/>
          <w:lang w:eastAsia="it-IT"/>
        </w:rPr>
        <w:t xml:space="preserve">, dall’altro, </w:t>
      </w:r>
      <w:r w:rsidR="00583237" w:rsidRPr="00792946">
        <w:rPr>
          <w:rFonts w:ascii="Palatino Linotype" w:eastAsia="Times New Roman" w:hAnsi="Palatino Linotype" w:cs="Times New Roman"/>
          <w:sz w:val="20"/>
          <w:szCs w:val="20"/>
          <w:lang w:eastAsia="it-IT"/>
        </w:rPr>
        <w:t xml:space="preserve">il meccanismo di qualificazione </w:t>
      </w:r>
      <w:r w:rsidR="000E12E3" w:rsidRPr="00792946">
        <w:rPr>
          <w:rFonts w:ascii="Palatino Linotype" w:eastAsia="Times New Roman" w:hAnsi="Palatino Linotype" w:cs="Times New Roman"/>
          <w:sz w:val="20"/>
          <w:szCs w:val="20"/>
          <w:lang w:eastAsia="it-IT"/>
        </w:rPr>
        <w:t>‘</w:t>
      </w:r>
      <w:r w:rsidR="00583237" w:rsidRPr="00792946">
        <w:rPr>
          <w:rFonts w:ascii="Palatino Linotype" w:eastAsia="Times New Roman" w:hAnsi="Palatino Linotype" w:cs="Times New Roman"/>
          <w:sz w:val="20"/>
          <w:szCs w:val="20"/>
          <w:lang w:eastAsia="it-IT"/>
        </w:rPr>
        <w:t>alla rinfusa</w:t>
      </w:r>
      <w:r w:rsidR="000E12E3" w:rsidRPr="00792946">
        <w:rPr>
          <w:rFonts w:ascii="Palatino Linotype" w:eastAsia="Times New Roman" w:hAnsi="Palatino Linotype" w:cs="Times New Roman"/>
          <w:sz w:val="20"/>
          <w:szCs w:val="20"/>
          <w:lang w:eastAsia="it-IT"/>
        </w:rPr>
        <w:t>’</w:t>
      </w:r>
      <w:r w:rsidR="00FB1278">
        <w:rPr>
          <w:rFonts w:ascii="Palatino Linotype" w:eastAsia="Times New Roman" w:hAnsi="Palatino Linotype" w:cs="Times New Roman"/>
          <w:sz w:val="20"/>
          <w:szCs w:val="20"/>
          <w:lang w:eastAsia="it-IT"/>
        </w:rPr>
        <w:t>,</w:t>
      </w:r>
      <w:r w:rsidR="00583237" w:rsidRPr="00792946">
        <w:rPr>
          <w:rFonts w:ascii="Palatino Linotype" w:eastAsia="Times New Roman" w:hAnsi="Palatino Linotype" w:cs="Times New Roman"/>
          <w:sz w:val="20"/>
          <w:szCs w:val="20"/>
          <w:lang w:eastAsia="it-IT"/>
        </w:rPr>
        <w:t xml:space="preserve"> di cui all’art. 31, comma 1, del D.</w:t>
      </w:r>
      <w:r w:rsidR="00771452" w:rsidRPr="00792946">
        <w:rPr>
          <w:rFonts w:ascii="Palatino Linotype" w:eastAsia="Times New Roman" w:hAnsi="Palatino Linotype" w:cs="Times New Roman"/>
          <w:sz w:val="20"/>
          <w:szCs w:val="20"/>
          <w:lang w:eastAsia="it-IT"/>
        </w:rPr>
        <w:t>l</w:t>
      </w:r>
      <w:r w:rsidR="00583237" w:rsidRPr="00792946">
        <w:rPr>
          <w:rFonts w:ascii="Palatino Linotype" w:eastAsia="Times New Roman" w:hAnsi="Palatino Linotype" w:cs="Times New Roman"/>
          <w:sz w:val="20"/>
          <w:szCs w:val="20"/>
          <w:lang w:eastAsia="it-IT"/>
        </w:rPr>
        <w:t>gs. 56</w:t>
      </w:r>
      <w:r w:rsidR="00894E23" w:rsidRPr="00792946">
        <w:rPr>
          <w:rFonts w:ascii="Palatino Linotype" w:eastAsia="Times New Roman" w:hAnsi="Palatino Linotype" w:cs="Times New Roman"/>
          <w:sz w:val="20"/>
          <w:szCs w:val="20"/>
          <w:lang w:eastAsia="it-IT"/>
        </w:rPr>
        <w:t>/2017</w:t>
      </w:r>
      <w:r w:rsidR="003E6D8C" w:rsidRPr="00792946">
        <w:rPr>
          <w:rFonts w:ascii="Palatino Linotype" w:eastAsia="Times New Roman" w:hAnsi="Palatino Linotype" w:cs="Times New Roman"/>
          <w:sz w:val="20"/>
          <w:szCs w:val="20"/>
          <w:lang w:eastAsia="it-IT"/>
        </w:rPr>
        <w:t>,</w:t>
      </w:r>
      <w:r w:rsidR="00583237" w:rsidRPr="00792946">
        <w:rPr>
          <w:rFonts w:ascii="Palatino Linotype" w:eastAsia="Times New Roman" w:hAnsi="Palatino Linotype" w:cs="Times New Roman"/>
          <w:sz w:val="20"/>
          <w:szCs w:val="20"/>
          <w:lang w:eastAsia="it-IT"/>
        </w:rPr>
        <w:t xml:space="preserve"> </w:t>
      </w:r>
      <w:r w:rsidR="00FA3F1F" w:rsidRPr="00792946">
        <w:rPr>
          <w:rFonts w:ascii="Palatino Linotype" w:eastAsia="Times New Roman" w:hAnsi="Palatino Linotype" w:cs="Times New Roman"/>
          <w:sz w:val="20"/>
          <w:szCs w:val="20"/>
          <w:lang w:eastAsia="it-IT"/>
        </w:rPr>
        <w:t>per cui</w:t>
      </w:r>
      <w:r w:rsidR="00583237" w:rsidRPr="00792946">
        <w:rPr>
          <w:rFonts w:ascii="Palatino Linotype" w:eastAsia="Times New Roman" w:hAnsi="Palatino Linotype" w:cs="Times New Roman"/>
          <w:sz w:val="20"/>
          <w:szCs w:val="20"/>
          <w:lang w:eastAsia="it-IT"/>
        </w:rPr>
        <w:t xml:space="preserve"> la “</w:t>
      </w:r>
      <w:r w:rsidR="00583237" w:rsidRPr="00792946">
        <w:rPr>
          <w:rFonts w:ascii="Palatino Linotype" w:eastAsia="Times New Roman" w:hAnsi="Palatino Linotype" w:cs="Times New Roman"/>
          <w:iCs/>
          <w:sz w:val="20"/>
          <w:szCs w:val="20"/>
          <w:lang w:eastAsia="it-IT"/>
        </w:rPr>
        <w:t>disponibilità delle attrezzature e dei mezzi d’opera” e “l’organico medio annuo</w:t>
      </w:r>
      <w:r w:rsidR="00583237"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so</w:t>
      </w:r>
      <w:r w:rsidR="00583237" w:rsidRPr="00792946">
        <w:rPr>
          <w:rFonts w:ascii="Palatino Linotype" w:eastAsia="Times New Roman" w:hAnsi="Palatino Linotype" w:cs="Times New Roman"/>
          <w:sz w:val="20"/>
          <w:szCs w:val="20"/>
          <w:lang w:eastAsia="it-IT"/>
        </w:rPr>
        <w:t>no “</w:t>
      </w:r>
      <w:r w:rsidR="00583237" w:rsidRPr="00792946">
        <w:rPr>
          <w:rFonts w:ascii="Palatino Linotype" w:eastAsia="Times New Roman" w:hAnsi="Palatino Linotype" w:cs="Times New Roman"/>
          <w:iCs/>
          <w:sz w:val="20"/>
          <w:szCs w:val="20"/>
          <w:lang w:eastAsia="it-IT"/>
        </w:rPr>
        <w:t>computati cumulativamente in capo al consorzio</w:t>
      </w:r>
      <w:r w:rsidR="00771452" w:rsidRPr="00792946">
        <w:rPr>
          <w:rFonts w:ascii="Palatino Linotype" w:eastAsia="Times New Roman" w:hAnsi="Palatino Linotype" w:cs="Times New Roman"/>
          <w:iCs/>
          <w:sz w:val="20"/>
          <w:szCs w:val="20"/>
          <w:lang w:eastAsia="it-IT"/>
        </w:rPr>
        <w:t>,</w:t>
      </w:r>
      <w:r w:rsidR="00583237" w:rsidRPr="00792946">
        <w:rPr>
          <w:rFonts w:ascii="Palatino Linotype" w:eastAsia="Times New Roman" w:hAnsi="Palatino Linotype" w:cs="Times New Roman"/>
          <w:iCs/>
          <w:sz w:val="20"/>
          <w:szCs w:val="20"/>
          <w:lang w:eastAsia="it-IT"/>
        </w:rPr>
        <w:t xml:space="preserve"> ancorché posseduti dalle singole imprese consorziate</w:t>
      </w:r>
      <w:r w:rsidR="00583237" w:rsidRPr="00792946">
        <w:rPr>
          <w:rFonts w:ascii="Palatino Linotype" w:eastAsia="Times New Roman" w:hAnsi="Palatino Linotype" w:cs="Times New Roman"/>
          <w:sz w:val="20"/>
          <w:szCs w:val="20"/>
          <w:lang w:eastAsia="it-IT"/>
        </w:rPr>
        <w:t>”.</w:t>
      </w:r>
    </w:p>
    <w:p w14:paraId="30D1F9E6" w14:textId="77777777" w:rsidR="00583237" w:rsidRPr="00792946" w:rsidRDefault="00CC2651"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Dunque, s</w:t>
      </w:r>
      <w:r w:rsidR="00583237" w:rsidRPr="00792946">
        <w:rPr>
          <w:rFonts w:ascii="Palatino Linotype" w:eastAsia="Times New Roman" w:hAnsi="Palatino Linotype" w:cs="Times New Roman"/>
          <w:sz w:val="20"/>
          <w:szCs w:val="20"/>
          <w:lang w:eastAsia="it-IT"/>
        </w:rPr>
        <w:t xml:space="preserve">olo le consorziate designate per </w:t>
      </w:r>
      <w:r w:rsidR="00B65D7A" w:rsidRPr="00792946">
        <w:rPr>
          <w:rFonts w:ascii="Palatino Linotype" w:eastAsia="Times New Roman" w:hAnsi="Palatino Linotype" w:cs="Times New Roman"/>
          <w:sz w:val="20"/>
          <w:szCs w:val="20"/>
          <w:lang w:eastAsia="it-IT"/>
        </w:rPr>
        <w:t>eseguir</w:t>
      </w:r>
      <w:r w:rsidR="00583237" w:rsidRPr="00792946">
        <w:rPr>
          <w:rFonts w:ascii="Palatino Linotype" w:eastAsia="Times New Roman" w:hAnsi="Palatino Linotype" w:cs="Times New Roman"/>
          <w:sz w:val="20"/>
          <w:szCs w:val="20"/>
          <w:lang w:eastAsia="it-IT"/>
        </w:rPr>
        <w:t>e</w:t>
      </w:r>
      <w:r w:rsidR="00B65D7A" w:rsidRPr="00792946">
        <w:rPr>
          <w:rFonts w:ascii="Palatino Linotype" w:eastAsia="Times New Roman" w:hAnsi="Palatino Linotype" w:cs="Times New Roman"/>
          <w:sz w:val="20"/>
          <w:szCs w:val="20"/>
          <w:lang w:eastAsia="it-IT"/>
        </w:rPr>
        <w:t xml:space="preserve"> i</w:t>
      </w:r>
      <w:r w:rsidR="00583237" w:rsidRPr="00792946">
        <w:rPr>
          <w:rFonts w:ascii="Palatino Linotype" w:eastAsia="Times New Roman" w:hAnsi="Palatino Linotype" w:cs="Times New Roman"/>
          <w:sz w:val="20"/>
          <w:szCs w:val="20"/>
          <w:lang w:eastAsia="it-IT"/>
        </w:rPr>
        <w:t xml:space="preserve"> lavori partecipano alla gara concordano l’offerta</w:t>
      </w:r>
      <w:r w:rsidR="00B65D7A" w:rsidRPr="00792946">
        <w:rPr>
          <w:rFonts w:ascii="Palatino Linotype" w:eastAsia="Times New Roman" w:hAnsi="Palatino Linotype" w:cs="Times New Roman"/>
          <w:sz w:val="20"/>
          <w:szCs w:val="20"/>
          <w:lang w:eastAsia="it-IT"/>
        </w:rPr>
        <w:t xml:space="preserve"> ed</w:t>
      </w:r>
      <w:r w:rsidR="00583237" w:rsidRPr="00792946">
        <w:rPr>
          <w:rFonts w:ascii="Palatino Linotype" w:eastAsia="Times New Roman" w:hAnsi="Palatino Linotype" w:cs="Times New Roman"/>
          <w:sz w:val="20"/>
          <w:szCs w:val="20"/>
          <w:lang w:eastAsia="it-IT"/>
        </w:rPr>
        <w:t xml:space="preserve"> assum</w:t>
      </w:r>
      <w:r w:rsidR="00B65D7A" w:rsidRPr="00792946">
        <w:rPr>
          <w:rFonts w:ascii="Palatino Linotype" w:eastAsia="Times New Roman" w:hAnsi="Palatino Linotype" w:cs="Times New Roman"/>
          <w:sz w:val="20"/>
          <w:szCs w:val="20"/>
          <w:lang w:eastAsia="it-IT"/>
        </w:rPr>
        <w:t>o</w:t>
      </w:r>
      <w:r w:rsidR="00583237" w:rsidRPr="00792946">
        <w:rPr>
          <w:rFonts w:ascii="Palatino Linotype" w:eastAsia="Times New Roman" w:hAnsi="Palatino Linotype" w:cs="Times New Roman"/>
          <w:sz w:val="20"/>
          <w:szCs w:val="20"/>
          <w:lang w:eastAsia="it-IT"/>
        </w:rPr>
        <w:t xml:space="preserve">no </w:t>
      </w:r>
      <w:r w:rsidR="00B65D7A" w:rsidRPr="00792946">
        <w:rPr>
          <w:rFonts w:ascii="Palatino Linotype" w:eastAsia="Times New Roman" w:hAnsi="Palatino Linotype" w:cs="Times New Roman"/>
          <w:sz w:val="20"/>
          <w:szCs w:val="20"/>
          <w:lang w:eastAsia="it-IT"/>
        </w:rPr>
        <w:t>l</w:t>
      </w:r>
      <w:r w:rsidR="00583237" w:rsidRPr="00792946">
        <w:rPr>
          <w:rFonts w:ascii="Palatino Linotype" w:eastAsia="Times New Roman" w:hAnsi="Palatino Linotype" w:cs="Times New Roman"/>
          <w:sz w:val="20"/>
          <w:szCs w:val="20"/>
          <w:lang w:eastAsia="it-IT"/>
        </w:rPr>
        <w:t>a responsabilità in solido con il consorzio stabile nei confronti della stazione appaltante (art. 47</w:t>
      </w:r>
      <w:r w:rsidR="00771452" w:rsidRPr="00792946">
        <w:rPr>
          <w:rFonts w:ascii="Palatino Linotype" w:eastAsia="Times New Roman" w:hAnsi="Palatino Linotype" w:cs="Times New Roman"/>
          <w:sz w:val="20"/>
          <w:szCs w:val="20"/>
          <w:lang w:eastAsia="it-IT"/>
        </w:rPr>
        <w:t>,</w:t>
      </w:r>
      <w:r w:rsidR="00583237" w:rsidRPr="00792946">
        <w:rPr>
          <w:rFonts w:ascii="Palatino Linotype" w:eastAsia="Times New Roman" w:hAnsi="Palatino Linotype" w:cs="Times New Roman"/>
          <w:sz w:val="20"/>
          <w:szCs w:val="20"/>
          <w:lang w:eastAsia="it-IT"/>
        </w:rPr>
        <w:t xml:space="preserve"> comma 2</w:t>
      </w:r>
      <w:r w:rsidR="00771452" w:rsidRPr="00792946">
        <w:rPr>
          <w:rFonts w:ascii="Palatino Linotype" w:eastAsia="Times New Roman" w:hAnsi="Palatino Linotype" w:cs="Times New Roman"/>
          <w:sz w:val="20"/>
          <w:szCs w:val="20"/>
          <w:lang w:eastAsia="it-IT"/>
        </w:rPr>
        <w:t>,</w:t>
      </w:r>
      <w:r w:rsidR="00583237" w:rsidRPr="00792946">
        <w:rPr>
          <w:rFonts w:ascii="Palatino Linotype" w:eastAsia="Times New Roman" w:hAnsi="Palatino Linotype" w:cs="Times New Roman"/>
          <w:sz w:val="20"/>
          <w:szCs w:val="20"/>
          <w:lang w:eastAsia="it-IT"/>
        </w:rPr>
        <w:t xml:space="preserve"> del codice dei contratti</w:t>
      </w:r>
      <w:r w:rsidR="00771452" w:rsidRPr="00792946">
        <w:rPr>
          <w:rFonts w:ascii="Palatino Linotype" w:eastAsia="Times New Roman" w:hAnsi="Palatino Linotype" w:cs="Times New Roman"/>
          <w:sz w:val="20"/>
          <w:szCs w:val="20"/>
          <w:lang w:eastAsia="it-IT"/>
        </w:rPr>
        <w:t xml:space="preserve"> pubblici</w:t>
      </w:r>
      <w:r w:rsidR="00583237" w:rsidRPr="00792946">
        <w:rPr>
          <w:rFonts w:ascii="Palatino Linotype" w:eastAsia="Times New Roman" w:hAnsi="Palatino Linotype" w:cs="Times New Roman"/>
          <w:sz w:val="20"/>
          <w:szCs w:val="20"/>
          <w:lang w:eastAsia="it-IT"/>
        </w:rPr>
        <w:t>)</w:t>
      </w:r>
      <w:r w:rsidR="00771452" w:rsidRPr="00792946">
        <w:rPr>
          <w:rFonts w:ascii="Palatino Linotype" w:eastAsia="Times New Roman" w:hAnsi="Palatino Linotype" w:cs="Times New Roman"/>
          <w:sz w:val="20"/>
          <w:szCs w:val="20"/>
          <w:lang w:eastAsia="it-IT"/>
        </w:rPr>
        <w:t>;</w:t>
      </w:r>
      <w:r w:rsidR="00583237" w:rsidRPr="00792946">
        <w:rPr>
          <w:rFonts w:ascii="Palatino Linotype" w:eastAsia="Times New Roman" w:hAnsi="Palatino Linotype" w:cs="Times New Roman"/>
          <w:sz w:val="20"/>
          <w:szCs w:val="20"/>
          <w:lang w:eastAsia="it-IT"/>
        </w:rPr>
        <w:t xml:space="preserve"> </w:t>
      </w:r>
      <w:r w:rsidR="00771452" w:rsidRPr="00792946">
        <w:rPr>
          <w:rFonts w:ascii="Palatino Linotype" w:eastAsia="Times New Roman" w:hAnsi="Palatino Linotype" w:cs="Times New Roman"/>
          <w:sz w:val="20"/>
          <w:szCs w:val="20"/>
          <w:lang w:eastAsia="it-IT"/>
        </w:rPr>
        <w:t>p</w:t>
      </w:r>
      <w:r w:rsidR="00583237" w:rsidRPr="00792946">
        <w:rPr>
          <w:rFonts w:ascii="Palatino Linotype" w:eastAsia="Times New Roman" w:hAnsi="Palatino Linotype" w:cs="Times New Roman"/>
          <w:sz w:val="20"/>
          <w:szCs w:val="20"/>
          <w:lang w:eastAsia="it-IT"/>
        </w:rPr>
        <w:t>er le altre</w:t>
      </w:r>
      <w:r w:rsidR="00771452" w:rsidRPr="00792946">
        <w:rPr>
          <w:rFonts w:ascii="Palatino Linotype" w:eastAsia="Times New Roman" w:hAnsi="Palatino Linotype" w:cs="Times New Roman"/>
          <w:sz w:val="20"/>
          <w:szCs w:val="20"/>
          <w:lang w:eastAsia="it-IT"/>
        </w:rPr>
        <w:t>,</w:t>
      </w:r>
      <w:r w:rsidR="00583237" w:rsidRPr="00792946">
        <w:rPr>
          <w:rFonts w:ascii="Palatino Linotype" w:eastAsia="Times New Roman" w:hAnsi="Palatino Linotype" w:cs="Times New Roman"/>
          <w:sz w:val="20"/>
          <w:szCs w:val="20"/>
          <w:lang w:eastAsia="it-IT"/>
        </w:rPr>
        <w:t xml:space="preserve"> il consorz</w:t>
      </w:r>
      <w:r w:rsidR="00FA3F1F" w:rsidRPr="00792946">
        <w:rPr>
          <w:rFonts w:ascii="Palatino Linotype" w:eastAsia="Times New Roman" w:hAnsi="Palatino Linotype" w:cs="Times New Roman"/>
          <w:sz w:val="20"/>
          <w:szCs w:val="20"/>
          <w:lang w:eastAsia="it-IT"/>
        </w:rPr>
        <w:t>io si limita a mutuare</w:t>
      </w:r>
      <w:r w:rsidR="00583237" w:rsidRPr="00792946">
        <w:rPr>
          <w:rFonts w:ascii="Palatino Linotype" w:eastAsia="Times New Roman" w:hAnsi="Palatino Linotype" w:cs="Times New Roman"/>
          <w:sz w:val="20"/>
          <w:szCs w:val="20"/>
          <w:lang w:eastAsia="it-IT"/>
        </w:rPr>
        <w:t xml:space="preserve"> </w:t>
      </w:r>
      <w:r w:rsidR="00583237" w:rsidRPr="00792946">
        <w:rPr>
          <w:rFonts w:ascii="Palatino Linotype" w:eastAsia="Times New Roman" w:hAnsi="Palatino Linotype" w:cs="Times New Roman"/>
          <w:i/>
          <w:iCs/>
          <w:sz w:val="20"/>
          <w:szCs w:val="20"/>
          <w:lang w:eastAsia="it-IT"/>
        </w:rPr>
        <w:t>ex lege</w:t>
      </w:r>
      <w:r w:rsidR="00583237" w:rsidRPr="00792946">
        <w:rPr>
          <w:rFonts w:ascii="Palatino Linotype" w:eastAsia="Times New Roman" w:hAnsi="Palatino Linotype" w:cs="Times New Roman"/>
          <w:sz w:val="20"/>
          <w:szCs w:val="20"/>
          <w:lang w:eastAsia="it-IT"/>
        </w:rPr>
        <w:t xml:space="preserve"> i requisiti oggettivi, </w:t>
      </w:r>
      <w:r w:rsidR="00FA3F1F" w:rsidRPr="00792946">
        <w:rPr>
          <w:rFonts w:ascii="Palatino Linotype" w:eastAsia="Times New Roman" w:hAnsi="Palatino Linotype" w:cs="Times New Roman"/>
          <w:sz w:val="20"/>
          <w:szCs w:val="20"/>
          <w:lang w:eastAsia="it-IT"/>
        </w:rPr>
        <w:t>senza che da ciò discenda alcun</w:t>
      </w:r>
      <w:r w:rsidR="00583237" w:rsidRPr="00792946">
        <w:rPr>
          <w:rFonts w:ascii="Palatino Linotype" w:eastAsia="Times New Roman" w:hAnsi="Palatino Linotype" w:cs="Times New Roman"/>
          <w:sz w:val="20"/>
          <w:szCs w:val="20"/>
          <w:lang w:eastAsia="it-IT"/>
        </w:rPr>
        <w:t xml:space="preserve"> vincolo di responsabilità solidale per l’eventuale mancata o</w:t>
      </w:r>
      <w:r w:rsidR="00FA3F1F" w:rsidRPr="00792946">
        <w:rPr>
          <w:rFonts w:ascii="Palatino Linotype" w:eastAsia="Times New Roman" w:hAnsi="Palatino Linotype" w:cs="Times New Roman"/>
          <w:sz w:val="20"/>
          <w:szCs w:val="20"/>
          <w:lang w:eastAsia="it-IT"/>
        </w:rPr>
        <w:t>d</w:t>
      </w:r>
      <w:r w:rsidR="00583237" w:rsidRPr="00792946">
        <w:rPr>
          <w:rFonts w:ascii="Palatino Linotype" w:eastAsia="Times New Roman" w:hAnsi="Palatino Linotype" w:cs="Times New Roman"/>
          <w:sz w:val="20"/>
          <w:szCs w:val="20"/>
          <w:lang w:eastAsia="it-IT"/>
        </w:rPr>
        <w:t xml:space="preserve"> erronea esecuzione dell’appalto.</w:t>
      </w:r>
    </w:p>
    <w:p w14:paraId="026CAA13" w14:textId="77777777" w:rsidR="00583237" w:rsidRPr="00792946" w:rsidRDefault="00CC2651"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Questo</w:t>
      </w:r>
      <w:r w:rsidR="00583237" w:rsidRPr="00792946">
        <w:rPr>
          <w:rFonts w:ascii="Palatino Linotype" w:eastAsia="Times New Roman" w:hAnsi="Palatino Linotype" w:cs="Times New Roman"/>
          <w:sz w:val="20"/>
          <w:szCs w:val="20"/>
          <w:lang w:eastAsia="it-IT"/>
        </w:rPr>
        <w:t xml:space="preserve"> rapporto </w:t>
      </w:r>
      <w:r w:rsidR="00771452" w:rsidRPr="00792946">
        <w:rPr>
          <w:rFonts w:ascii="Palatino Linotype" w:eastAsia="Times New Roman" w:hAnsi="Palatino Linotype" w:cs="Times New Roman"/>
          <w:sz w:val="20"/>
          <w:szCs w:val="20"/>
          <w:lang w:eastAsia="it-IT"/>
        </w:rPr>
        <w:t xml:space="preserve">è </w:t>
      </w:r>
      <w:r w:rsidR="00583237" w:rsidRPr="00792946">
        <w:rPr>
          <w:rFonts w:ascii="Palatino Linotype" w:eastAsia="Times New Roman" w:hAnsi="Palatino Linotype" w:cs="Times New Roman"/>
          <w:sz w:val="20"/>
          <w:szCs w:val="20"/>
          <w:lang w:eastAsia="it-IT"/>
        </w:rPr>
        <w:t xml:space="preserve">molto </w:t>
      </w:r>
      <w:r w:rsidR="005344FF" w:rsidRPr="00792946">
        <w:rPr>
          <w:rFonts w:ascii="Palatino Linotype" w:eastAsia="Times New Roman" w:hAnsi="Palatino Linotype" w:cs="Times New Roman"/>
          <w:sz w:val="20"/>
          <w:szCs w:val="20"/>
          <w:lang w:eastAsia="it-IT"/>
        </w:rPr>
        <w:t>affine</w:t>
      </w:r>
      <w:r w:rsidR="00583237" w:rsidRPr="00792946">
        <w:rPr>
          <w:rFonts w:ascii="Palatino Linotype" w:eastAsia="Times New Roman" w:hAnsi="Palatino Linotype" w:cs="Times New Roman"/>
          <w:sz w:val="20"/>
          <w:szCs w:val="20"/>
          <w:lang w:eastAsia="it-IT"/>
        </w:rPr>
        <w:t xml:space="preserve"> all’avvalimento, anche se, per certi versi, </w:t>
      </w:r>
      <w:r w:rsidR="00996478" w:rsidRPr="00792946">
        <w:rPr>
          <w:rFonts w:ascii="Palatino Linotype" w:eastAsia="Times New Roman" w:hAnsi="Palatino Linotype" w:cs="Times New Roman"/>
          <w:sz w:val="20"/>
          <w:szCs w:val="20"/>
          <w:lang w:eastAsia="it-IT"/>
        </w:rPr>
        <w:t xml:space="preserve">è </w:t>
      </w:r>
      <w:r w:rsidR="00583237" w:rsidRPr="00792946">
        <w:rPr>
          <w:rFonts w:ascii="Palatino Linotype" w:eastAsia="Times New Roman" w:hAnsi="Palatino Linotype" w:cs="Times New Roman"/>
          <w:sz w:val="20"/>
          <w:szCs w:val="20"/>
          <w:lang w:eastAsia="it-IT"/>
        </w:rPr>
        <w:t>meno intenso: da una parte, infatti, il consorziato</w:t>
      </w:r>
      <w:r w:rsidR="00EB0588" w:rsidRPr="00792946">
        <w:rPr>
          <w:rFonts w:ascii="Palatino Linotype" w:eastAsia="Times New Roman" w:hAnsi="Palatino Linotype" w:cs="Times New Roman"/>
          <w:sz w:val="20"/>
          <w:szCs w:val="20"/>
          <w:lang w:eastAsia="it-IT"/>
        </w:rPr>
        <w:t>, similmente all’ausiliario</w:t>
      </w:r>
      <w:r w:rsidR="00FA3F1F" w:rsidRPr="00792946">
        <w:rPr>
          <w:rFonts w:ascii="Palatino Linotype" w:eastAsia="Times New Roman" w:hAnsi="Palatino Linotype" w:cs="Times New Roman"/>
          <w:sz w:val="20"/>
          <w:szCs w:val="20"/>
          <w:lang w:eastAsia="it-IT"/>
        </w:rPr>
        <w:t xml:space="preserve">, </w:t>
      </w:r>
      <w:r w:rsidR="00FB1278" w:rsidRPr="00792946">
        <w:rPr>
          <w:rFonts w:ascii="Palatino Linotype" w:eastAsia="Times New Roman" w:hAnsi="Palatino Linotype" w:cs="Times New Roman"/>
          <w:sz w:val="20"/>
          <w:szCs w:val="20"/>
          <w:lang w:eastAsia="it-IT"/>
        </w:rPr>
        <w:t>presta i requisiti senza partecipare all’offerta</w:t>
      </w:r>
      <w:r w:rsidR="00FB1278">
        <w:rPr>
          <w:rFonts w:ascii="Palatino Linotype" w:eastAsia="Times New Roman" w:hAnsi="Palatino Linotype" w:cs="Times New Roman"/>
          <w:sz w:val="20"/>
          <w:szCs w:val="20"/>
          <w:lang w:eastAsia="it-IT"/>
        </w:rPr>
        <w:t>,</w:t>
      </w:r>
      <w:r w:rsidR="00FB1278" w:rsidRPr="00792946">
        <w:rPr>
          <w:rFonts w:ascii="Palatino Linotype" w:eastAsia="Times New Roman" w:hAnsi="Palatino Linotype" w:cs="Times New Roman"/>
          <w:sz w:val="20"/>
          <w:szCs w:val="20"/>
          <w:lang w:eastAsia="it-IT"/>
        </w:rPr>
        <w:t xml:space="preserve"> </w:t>
      </w:r>
      <w:r w:rsidR="00FA3F1F" w:rsidRPr="00792946">
        <w:rPr>
          <w:rFonts w:ascii="Palatino Linotype" w:eastAsia="Times New Roman" w:hAnsi="Palatino Linotype" w:cs="Times New Roman"/>
          <w:sz w:val="20"/>
          <w:szCs w:val="20"/>
          <w:lang w:eastAsia="it-IT"/>
        </w:rPr>
        <w:t xml:space="preserve">ma </w:t>
      </w:r>
      <w:r w:rsidR="00583237" w:rsidRPr="00792946">
        <w:rPr>
          <w:rFonts w:ascii="Palatino Linotype" w:eastAsia="Times New Roman" w:hAnsi="Palatino Linotype" w:cs="Times New Roman"/>
          <w:sz w:val="20"/>
          <w:szCs w:val="20"/>
          <w:lang w:eastAsia="it-IT"/>
        </w:rPr>
        <w:t>senza bisogno di dichiarazioni</w:t>
      </w:r>
      <w:r w:rsidR="00771452" w:rsidRPr="00792946">
        <w:rPr>
          <w:rFonts w:ascii="Palatino Linotype" w:eastAsia="Times New Roman" w:hAnsi="Palatino Linotype" w:cs="Times New Roman"/>
          <w:sz w:val="20"/>
          <w:szCs w:val="20"/>
          <w:lang w:eastAsia="it-IT"/>
        </w:rPr>
        <w:t>;</w:t>
      </w:r>
      <w:r w:rsidR="00583237" w:rsidRPr="00792946">
        <w:rPr>
          <w:rFonts w:ascii="Palatino Linotype" w:eastAsia="Times New Roman" w:hAnsi="Palatino Linotype" w:cs="Times New Roman"/>
          <w:sz w:val="20"/>
          <w:szCs w:val="20"/>
          <w:lang w:eastAsia="it-IT"/>
        </w:rPr>
        <w:t xml:space="preserve"> dall’altra</w:t>
      </w:r>
      <w:r w:rsidR="00EB0588" w:rsidRPr="00792946">
        <w:rPr>
          <w:rFonts w:ascii="Palatino Linotype" w:eastAsia="Times New Roman" w:hAnsi="Palatino Linotype" w:cs="Times New Roman"/>
          <w:sz w:val="20"/>
          <w:szCs w:val="20"/>
          <w:lang w:eastAsia="it-IT"/>
        </w:rPr>
        <w:t>, pur facendo ciò, diversamente dall’ausiliario</w:t>
      </w:r>
      <w:r w:rsidR="00583237" w:rsidRPr="00792946">
        <w:rPr>
          <w:rFonts w:ascii="Palatino Linotype" w:eastAsia="Times New Roman" w:hAnsi="Palatino Linotype" w:cs="Times New Roman"/>
          <w:sz w:val="20"/>
          <w:szCs w:val="20"/>
          <w:lang w:eastAsia="it-IT"/>
        </w:rPr>
        <w:t xml:space="preserve">, </w:t>
      </w:r>
      <w:r w:rsidR="005344FF" w:rsidRPr="00792946">
        <w:rPr>
          <w:rFonts w:ascii="Palatino Linotype" w:eastAsia="Times New Roman" w:hAnsi="Palatino Linotype" w:cs="Times New Roman"/>
          <w:sz w:val="20"/>
          <w:szCs w:val="20"/>
          <w:lang w:eastAsia="it-IT"/>
        </w:rPr>
        <w:t>rimane esente da responsabilità</w:t>
      </w:r>
      <w:r w:rsidR="00EB0588" w:rsidRPr="00792946">
        <w:rPr>
          <w:rFonts w:ascii="Palatino Linotype" w:eastAsia="Times New Roman" w:hAnsi="Palatino Linotype" w:cs="Times New Roman"/>
          <w:sz w:val="20"/>
          <w:szCs w:val="20"/>
          <w:lang w:eastAsia="it-IT"/>
        </w:rPr>
        <w:t>.</w:t>
      </w:r>
    </w:p>
    <w:p w14:paraId="1DC55340" w14:textId="77777777" w:rsidR="00583237" w:rsidRPr="00792946" w:rsidRDefault="00CC2651"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Non a caso, il consorzio stabile </w:t>
      </w:r>
      <w:r w:rsidR="008C0D84" w:rsidRPr="00792946">
        <w:rPr>
          <w:rFonts w:ascii="Palatino Linotype" w:eastAsia="Times New Roman" w:hAnsi="Palatino Linotype" w:cs="Times New Roman"/>
          <w:sz w:val="20"/>
          <w:szCs w:val="20"/>
          <w:lang w:eastAsia="it-IT"/>
        </w:rPr>
        <w:t xml:space="preserve">viene definito dall’Adunanza plenaria </w:t>
      </w:r>
      <w:r w:rsidR="00EB0588" w:rsidRPr="00792946">
        <w:rPr>
          <w:rFonts w:ascii="Palatino Linotype" w:eastAsia="Times New Roman" w:hAnsi="Palatino Linotype" w:cs="Times New Roman"/>
          <w:sz w:val="20"/>
          <w:szCs w:val="20"/>
          <w:lang w:eastAsia="it-IT"/>
        </w:rPr>
        <w:t xml:space="preserve">come </w:t>
      </w:r>
      <w:r w:rsidR="008C0D84" w:rsidRPr="00792946">
        <w:rPr>
          <w:rFonts w:ascii="Palatino Linotype" w:eastAsia="Times New Roman" w:hAnsi="Palatino Linotype" w:cs="Times New Roman"/>
          <w:sz w:val="20"/>
          <w:szCs w:val="20"/>
          <w:lang w:eastAsia="it-IT"/>
        </w:rPr>
        <w:t>“</w:t>
      </w:r>
      <w:r w:rsidR="00771452" w:rsidRPr="00792946">
        <w:rPr>
          <w:rFonts w:ascii="Palatino Linotype" w:eastAsia="Times New Roman" w:hAnsi="Palatino Linotype" w:cs="Times New Roman"/>
          <w:sz w:val="20"/>
          <w:szCs w:val="20"/>
          <w:lang w:eastAsia="it-IT"/>
        </w:rPr>
        <w:t>u</w:t>
      </w:r>
      <w:r w:rsidR="00583237" w:rsidRPr="00792946">
        <w:rPr>
          <w:rFonts w:ascii="Palatino Linotype" w:eastAsia="Times New Roman" w:hAnsi="Palatino Linotype" w:cs="Times New Roman"/>
          <w:sz w:val="20"/>
          <w:szCs w:val="20"/>
          <w:lang w:eastAsia="it-IT"/>
        </w:rPr>
        <w:t>na forma di avvalimento attenuata dall’assenza di responsabilità</w:t>
      </w:r>
      <w:r w:rsidR="008C0D84" w:rsidRPr="00792946">
        <w:rPr>
          <w:rFonts w:ascii="Palatino Linotype" w:eastAsia="Times New Roman" w:hAnsi="Palatino Linotype" w:cs="Times New Roman"/>
          <w:sz w:val="20"/>
          <w:szCs w:val="20"/>
          <w:lang w:eastAsia="it-IT"/>
        </w:rPr>
        <w:t>”.</w:t>
      </w:r>
    </w:p>
    <w:p w14:paraId="36178882" w14:textId="77777777" w:rsidR="005848DA" w:rsidRPr="00792946" w:rsidRDefault="005848DA" w:rsidP="00347275">
      <w:pPr>
        <w:spacing w:after="0" w:line="360" w:lineRule="auto"/>
        <w:ind w:firstLine="851"/>
        <w:jc w:val="both"/>
        <w:rPr>
          <w:rFonts w:ascii="Palatino Linotype" w:eastAsia="Times New Roman" w:hAnsi="Palatino Linotype" w:cs="Times New Roman"/>
          <w:sz w:val="20"/>
          <w:szCs w:val="20"/>
          <w:lang w:eastAsia="it-IT"/>
        </w:rPr>
      </w:pPr>
    </w:p>
    <w:p w14:paraId="3FDCADEE" w14:textId="77777777" w:rsidR="005848DA" w:rsidRPr="00792946" w:rsidRDefault="00B62BE0" w:rsidP="00347275">
      <w:pPr>
        <w:numPr>
          <w:ilvl w:val="0"/>
          <w:numId w:val="6"/>
        </w:numPr>
        <w:spacing w:after="0" w:line="360" w:lineRule="auto"/>
        <w:jc w:val="both"/>
        <w:rPr>
          <w:rFonts w:ascii="Palatino Linotype" w:eastAsia="Times New Roman" w:hAnsi="Palatino Linotype" w:cs="Times New Roman"/>
          <w:b/>
          <w:sz w:val="20"/>
          <w:szCs w:val="20"/>
          <w:lang w:eastAsia="it-IT"/>
        </w:rPr>
      </w:pPr>
      <w:r w:rsidRPr="00792946">
        <w:rPr>
          <w:rFonts w:ascii="Palatino Linotype" w:eastAsia="Times New Roman" w:hAnsi="Palatino Linotype" w:cs="Times New Roman"/>
          <w:b/>
          <w:sz w:val="20"/>
          <w:szCs w:val="20"/>
          <w:lang w:eastAsia="it-IT"/>
        </w:rPr>
        <w:t>Gli arresti specifici dell’Adunanza plenaria in materia di avvalimento.</w:t>
      </w:r>
    </w:p>
    <w:p w14:paraId="100960FA" w14:textId="77777777" w:rsidR="00EB0262" w:rsidRPr="00792946" w:rsidRDefault="005848DA" w:rsidP="00347275">
      <w:pPr>
        <w:numPr>
          <w:ilvl w:val="1"/>
          <w:numId w:val="6"/>
        </w:numPr>
        <w:spacing w:after="0" w:line="360" w:lineRule="auto"/>
        <w:jc w:val="both"/>
        <w:rPr>
          <w:rFonts w:ascii="Palatino Linotype" w:eastAsia="Times New Roman" w:hAnsi="Palatino Linotype" w:cs="Times New Roman"/>
          <w:b/>
          <w:sz w:val="20"/>
          <w:szCs w:val="20"/>
          <w:lang w:eastAsia="it-IT"/>
        </w:rPr>
      </w:pPr>
      <w:r w:rsidRPr="00792946">
        <w:rPr>
          <w:rFonts w:ascii="Palatino Linotype" w:eastAsia="Times New Roman" w:hAnsi="Palatino Linotype" w:cs="Times New Roman"/>
          <w:b/>
          <w:sz w:val="20"/>
          <w:szCs w:val="20"/>
          <w:lang w:eastAsia="it-IT"/>
        </w:rPr>
        <w:t xml:space="preserve"> </w:t>
      </w:r>
      <w:r w:rsidR="007B0C2D" w:rsidRPr="00792946">
        <w:rPr>
          <w:rFonts w:ascii="Palatino Linotype" w:eastAsia="Times New Roman" w:hAnsi="Palatino Linotype" w:cs="Times New Roman"/>
          <w:b/>
          <w:sz w:val="20"/>
          <w:szCs w:val="20"/>
          <w:lang w:eastAsia="it-IT"/>
        </w:rPr>
        <w:t>I</w:t>
      </w:r>
      <w:r w:rsidR="00E15FF7" w:rsidRPr="00792946">
        <w:rPr>
          <w:rFonts w:ascii="Palatino Linotype" w:eastAsia="Times New Roman" w:hAnsi="Palatino Linotype" w:cs="Times New Roman"/>
          <w:b/>
          <w:sz w:val="20"/>
          <w:szCs w:val="20"/>
          <w:lang w:eastAsia="it-IT"/>
        </w:rPr>
        <w:t>l</w:t>
      </w:r>
      <w:r w:rsidR="00AB15AD" w:rsidRPr="00792946">
        <w:rPr>
          <w:rFonts w:ascii="Palatino Linotype" w:eastAsia="Times New Roman" w:hAnsi="Palatino Linotype" w:cs="Times New Roman"/>
          <w:b/>
          <w:sz w:val="20"/>
          <w:szCs w:val="20"/>
          <w:lang w:eastAsia="it-IT"/>
        </w:rPr>
        <w:t xml:space="preserve"> possesso</w:t>
      </w:r>
      <w:r w:rsidR="00A46F10" w:rsidRPr="00792946">
        <w:rPr>
          <w:rFonts w:ascii="Palatino Linotype" w:eastAsia="Times New Roman" w:hAnsi="Palatino Linotype" w:cs="Times New Roman"/>
          <w:b/>
          <w:sz w:val="20"/>
          <w:szCs w:val="20"/>
          <w:lang w:eastAsia="it-IT"/>
        </w:rPr>
        <w:t xml:space="preserve"> dei requisiti di partecipazione</w:t>
      </w:r>
      <w:r w:rsidR="00937480" w:rsidRPr="00792946">
        <w:rPr>
          <w:rFonts w:ascii="Palatino Linotype" w:eastAsia="Times New Roman" w:hAnsi="Palatino Linotype" w:cs="Times New Roman"/>
          <w:b/>
          <w:sz w:val="20"/>
          <w:szCs w:val="20"/>
          <w:lang w:eastAsia="it-IT"/>
        </w:rPr>
        <w:t xml:space="preserve"> </w:t>
      </w:r>
      <w:r w:rsidR="00AE79A4" w:rsidRPr="00792946">
        <w:rPr>
          <w:rFonts w:ascii="Palatino Linotype" w:eastAsia="Times New Roman" w:hAnsi="Palatino Linotype" w:cs="Times New Roman"/>
          <w:b/>
          <w:sz w:val="20"/>
          <w:szCs w:val="20"/>
          <w:lang w:eastAsia="it-IT"/>
        </w:rPr>
        <w:t>in capo a</w:t>
      </w:r>
      <w:r w:rsidR="00937480" w:rsidRPr="00792946">
        <w:rPr>
          <w:rFonts w:ascii="Palatino Linotype" w:eastAsia="Times New Roman" w:hAnsi="Palatino Linotype" w:cs="Times New Roman"/>
          <w:b/>
          <w:sz w:val="20"/>
          <w:szCs w:val="20"/>
          <w:lang w:eastAsia="it-IT"/>
        </w:rPr>
        <w:t>ll’ausiliari</w:t>
      </w:r>
      <w:r w:rsidR="00AE79A4" w:rsidRPr="00792946">
        <w:rPr>
          <w:rFonts w:ascii="Palatino Linotype" w:eastAsia="Times New Roman" w:hAnsi="Palatino Linotype" w:cs="Times New Roman"/>
          <w:b/>
          <w:sz w:val="20"/>
          <w:szCs w:val="20"/>
          <w:lang w:eastAsia="it-IT"/>
        </w:rPr>
        <w:t>o</w:t>
      </w:r>
      <w:r w:rsidR="00A46F10" w:rsidRPr="00792946">
        <w:rPr>
          <w:rFonts w:ascii="Palatino Linotype" w:eastAsia="Times New Roman" w:hAnsi="Palatino Linotype" w:cs="Times New Roman"/>
          <w:b/>
          <w:sz w:val="20"/>
          <w:szCs w:val="20"/>
          <w:lang w:eastAsia="it-IT"/>
        </w:rPr>
        <w:t>.</w:t>
      </w:r>
    </w:p>
    <w:p w14:paraId="52D9FE4F" w14:textId="77777777" w:rsidR="00972B75" w:rsidRPr="00792946" w:rsidRDefault="00972B75" w:rsidP="00347275">
      <w:pPr>
        <w:spacing w:after="0" w:line="360" w:lineRule="auto"/>
        <w:ind w:firstLine="708"/>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Il tema del possesso dei requisiti di partecipazione dell’impresa ausiliaria </w:t>
      </w:r>
      <w:r w:rsidR="00CD4D9A" w:rsidRPr="00792946">
        <w:rPr>
          <w:rFonts w:ascii="Palatino Linotype" w:eastAsia="Times New Roman" w:hAnsi="Palatino Linotype" w:cs="Times New Roman"/>
          <w:sz w:val="20"/>
          <w:szCs w:val="20"/>
          <w:lang w:eastAsia="it-IT"/>
        </w:rPr>
        <w:t>è</w:t>
      </w:r>
      <w:r w:rsidRPr="00792946">
        <w:rPr>
          <w:rFonts w:ascii="Palatino Linotype" w:eastAsia="Times New Roman" w:hAnsi="Palatino Linotype" w:cs="Times New Roman"/>
          <w:sz w:val="20"/>
          <w:szCs w:val="20"/>
          <w:lang w:eastAsia="it-IT"/>
        </w:rPr>
        <w:t xml:space="preserve"> affrontato </w:t>
      </w:r>
      <w:r w:rsidR="00CD4D9A" w:rsidRPr="00792946">
        <w:rPr>
          <w:rFonts w:ascii="Palatino Linotype" w:eastAsia="Times New Roman" w:hAnsi="Palatino Linotype" w:cs="Times New Roman"/>
          <w:i/>
          <w:sz w:val="20"/>
          <w:szCs w:val="20"/>
          <w:lang w:eastAsia="it-IT"/>
        </w:rPr>
        <w:t>ex professo</w:t>
      </w:r>
      <w:r w:rsidR="00CD4D9A" w:rsidRPr="00792946">
        <w:rPr>
          <w:rFonts w:ascii="Palatino Linotype" w:eastAsia="Times New Roman" w:hAnsi="Palatino Linotype" w:cs="Times New Roman"/>
          <w:sz w:val="20"/>
          <w:szCs w:val="20"/>
          <w:lang w:eastAsia="it-IT"/>
        </w:rPr>
        <w:t xml:space="preserve"> </w:t>
      </w:r>
      <w:r w:rsidR="005C129E" w:rsidRPr="00792946">
        <w:rPr>
          <w:rFonts w:ascii="Palatino Linotype" w:eastAsia="Times New Roman" w:hAnsi="Palatino Linotype" w:cs="Times New Roman"/>
          <w:sz w:val="20"/>
          <w:szCs w:val="20"/>
          <w:lang w:eastAsia="it-IT"/>
        </w:rPr>
        <w:t>in</w:t>
      </w:r>
      <w:r w:rsidRPr="00792946">
        <w:rPr>
          <w:rFonts w:ascii="Palatino Linotype" w:eastAsia="Times New Roman" w:hAnsi="Palatino Linotype" w:cs="Times New Roman"/>
          <w:sz w:val="20"/>
          <w:szCs w:val="20"/>
          <w:lang w:eastAsia="it-IT"/>
        </w:rPr>
        <w:t xml:space="preserve"> due pronunce dell’Adunanza plenaria</w:t>
      </w:r>
      <w:r w:rsidR="00933AC8"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una precedente ed una successiva all’entrata in vigore dell’art. 89, comma 3, del D.lgs. 50/2016</w:t>
      </w:r>
      <w:r w:rsidR="00CD4D9A"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che</w:t>
      </w:r>
      <w:r w:rsidR="00CD2EDF" w:rsidRPr="00792946">
        <w:rPr>
          <w:rFonts w:ascii="Palatino Linotype" w:eastAsia="Times New Roman" w:hAnsi="Palatino Linotype" w:cs="Times New Roman"/>
          <w:sz w:val="20"/>
          <w:szCs w:val="20"/>
          <w:lang w:eastAsia="it-IT"/>
        </w:rPr>
        <w:t xml:space="preserve"> </w:t>
      </w:r>
      <w:r w:rsidR="00AE279B" w:rsidRPr="00792946">
        <w:rPr>
          <w:rFonts w:ascii="Palatino Linotype" w:eastAsia="Times New Roman" w:hAnsi="Palatino Linotype" w:cs="Times New Roman"/>
          <w:sz w:val="20"/>
          <w:szCs w:val="20"/>
          <w:lang w:eastAsia="it-IT"/>
        </w:rPr>
        <w:t xml:space="preserve">ha </w:t>
      </w:r>
      <w:r w:rsidR="00CD2EDF" w:rsidRPr="00792946">
        <w:rPr>
          <w:rFonts w:ascii="Palatino Linotype" w:eastAsia="Times New Roman" w:hAnsi="Palatino Linotype" w:cs="Times New Roman"/>
          <w:sz w:val="20"/>
          <w:szCs w:val="20"/>
          <w:lang w:eastAsia="it-IT"/>
        </w:rPr>
        <w:t>introdot</w:t>
      </w:r>
      <w:r w:rsidR="00AE279B" w:rsidRPr="00792946">
        <w:rPr>
          <w:rFonts w:ascii="Palatino Linotype" w:eastAsia="Times New Roman" w:hAnsi="Palatino Linotype" w:cs="Times New Roman"/>
          <w:sz w:val="20"/>
          <w:szCs w:val="20"/>
          <w:lang w:eastAsia="it-IT"/>
        </w:rPr>
        <w:t>t</w:t>
      </w:r>
      <w:r w:rsidRPr="00792946">
        <w:rPr>
          <w:rFonts w:ascii="Palatino Linotype" w:eastAsia="Times New Roman" w:hAnsi="Palatino Linotype" w:cs="Times New Roman"/>
          <w:sz w:val="20"/>
          <w:szCs w:val="20"/>
          <w:lang w:eastAsia="it-IT"/>
        </w:rPr>
        <w:t>o l’obbligo per la stazione appaltante d’imporre “all’operatore economico di sostituire i soggetti che non soddisfano un pertinente criterio di selezione o per i quali sussistono motivi obbligatori di esclusione”.</w:t>
      </w:r>
    </w:p>
    <w:p w14:paraId="0FFDEBFA" w14:textId="77777777" w:rsidR="005B29BC" w:rsidRPr="00792946" w:rsidRDefault="00972B75"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La prima decisione </w:t>
      </w:r>
      <w:r w:rsidR="005C129E" w:rsidRPr="00792946">
        <w:rPr>
          <w:rFonts w:ascii="Palatino Linotype" w:eastAsia="Times New Roman" w:hAnsi="Palatino Linotype" w:cs="Times New Roman"/>
          <w:sz w:val="20"/>
          <w:szCs w:val="20"/>
          <w:lang w:eastAsia="it-IT"/>
        </w:rPr>
        <w:t>rigu</w:t>
      </w:r>
      <w:r w:rsidR="009C6371" w:rsidRPr="00792946">
        <w:rPr>
          <w:rFonts w:ascii="Palatino Linotype" w:eastAsia="Times New Roman" w:hAnsi="Palatino Linotype" w:cs="Times New Roman"/>
          <w:sz w:val="20"/>
          <w:szCs w:val="20"/>
          <w:lang w:eastAsia="it-IT"/>
        </w:rPr>
        <w:t>a</w:t>
      </w:r>
      <w:r w:rsidR="005C129E" w:rsidRPr="00792946">
        <w:rPr>
          <w:rFonts w:ascii="Palatino Linotype" w:eastAsia="Times New Roman" w:hAnsi="Palatino Linotype" w:cs="Times New Roman"/>
          <w:sz w:val="20"/>
          <w:szCs w:val="20"/>
          <w:lang w:eastAsia="it-IT"/>
        </w:rPr>
        <w:t>r</w:t>
      </w:r>
      <w:r w:rsidR="009C6371" w:rsidRPr="00792946">
        <w:rPr>
          <w:rFonts w:ascii="Palatino Linotype" w:eastAsia="Times New Roman" w:hAnsi="Palatino Linotype" w:cs="Times New Roman"/>
          <w:sz w:val="20"/>
          <w:szCs w:val="20"/>
          <w:lang w:eastAsia="it-IT"/>
        </w:rPr>
        <w:t>d</w:t>
      </w:r>
      <w:r w:rsidR="005C129E" w:rsidRPr="00792946">
        <w:rPr>
          <w:rFonts w:ascii="Palatino Linotype" w:eastAsia="Times New Roman" w:hAnsi="Palatino Linotype" w:cs="Times New Roman"/>
          <w:sz w:val="20"/>
          <w:szCs w:val="20"/>
          <w:lang w:eastAsia="it-IT"/>
        </w:rPr>
        <w:t>a</w:t>
      </w:r>
      <w:r w:rsidR="005B29BC" w:rsidRPr="00792946">
        <w:rPr>
          <w:rFonts w:ascii="Palatino Linotype" w:eastAsia="Times New Roman" w:hAnsi="Palatino Linotype" w:cs="Times New Roman"/>
          <w:sz w:val="20"/>
          <w:szCs w:val="20"/>
          <w:lang w:eastAsia="it-IT"/>
        </w:rPr>
        <w:t xml:space="preserve"> </w:t>
      </w:r>
      <w:r w:rsidR="002B624E" w:rsidRPr="00792946">
        <w:rPr>
          <w:rFonts w:ascii="Palatino Linotype" w:eastAsia="Times New Roman" w:hAnsi="Palatino Linotype" w:cs="Times New Roman"/>
          <w:sz w:val="20"/>
          <w:szCs w:val="20"/>
          <w:lang w:eastAsia="it-IT"/>
        </w:rPr>
        <w:t>una fattispecie in cui</w:t>
      </w:r>
      <w:r w:rsidR="00CD4D9A" w:rsidRPr="00792946">
        <w:rPr>
          <w:rFonts w:ascii="Palatino Linotype" w:eastAsia="Times New Roman" w:hAnsi="Palatino Linotype" w:cs="Times New Roman"/>
          <w:sz w:val="20"/>
          <w:szCs w:val="20"/>
          <w:lang w:eastAsia="it-IT"/>
        </w:rPr>
        <w:t xml:space="preserve"> la mandataria di un RTI</w:t>
      </w:r>
      <w:r w:rsidR="002B624E" w:rsidRPr="00792946">
        <w:rPr>
          <w:rFonts w:ascii="Palatino Linotype" w:eastAsia="Times New Roman" w:hAnsi="Palatino Linotype" w:cs="Times New Roman"/>
          <w:sz w:val="20"/>
          <w:szCs w:val="20"/>
          <w:lang w:eastAsia="it-IT"/>
        </w:rPr>
        <w:t xml:space="preserve">, </w:t>
      </w:r>
      <w:r w:rsidR="00933AC8" w:rsidRPr="00792946">
        <w:rPr>
          <w:rFonts w:ascii="Palatino Linotype" w:eastAsia="Times New Roman" w:hAnsi="Palatino Linotype" w:cs="Times New Roman"/>
          <w:sz w:val="20"/>
          <w:szCs w:val="20"/>
          <w:lang w:eastAsia="it-IT"/>
        </w:rPr>
        <w:t xml:space="preserve">in corso di gara e </w:t>
      </w:r>
      <w:r w:rsidR="002B624E" w:rsidRPr="00792946">
        <w:rPr>
          <w:rFonts w:ascii="Palatino Linotype" w:eastAsia="Times New Roman" w:hAnsi="Palatino Linotype" w:cs="Times New Roman"/>
          <w:sz w:val="20"/>
          <w:szCs w:val="20"/>
          <w:lang w:eastAsia="it-IT"/>
        </w:rPr>
        <w:t xml:space="preserve">per un breve periodo, </w:t>
      </w:r>
      <w:r w:rsidR="009D4A8D">
        <w:rPr>
          <w:rFonts w:ascii="Palatino Linotype" w:eastAsia="Times New Roman" w:hAnsi="Palatino Linotype" w:cs="Times New Roman"/>
          <w:sz w:val="20"/>
          <w:szCs w:val="20"/>
          <w:lang w:eastAsia="it-IT"/>
        </w:rPr>
        <w:t>è</w:t>
      </w:r>
      <w:r w:rsidR="005B29BC" w:rsidRPr="00792946">
        <w:rPr>
          <w:rFonts w:ascii="Palatino Linotype" w:eastAsia="Times New Roman" w:hAnsi="Palatino Linotype" w:cs="Times New Roman"/>
          <w:sz w:val="20"/>
          <w:szCs w:val="20"/>
          <w:lang w:eastAsia="it-IT"/>
        </w:rPr>
        <w:t xml:space="preserve"> rimasta priva dell’attestazione di qualificazione nell</w:t>
      </w:r>
      <w:r w:rsidR="002B624E" w:rsidRPr="00792946">
        <w:rPr>
          <w:rFonts w:ascii="Palatino Linotype" w:eastAsia="Times New Roman" w:hAnsi="Palatino Linotype" w:cs="Times New Roman"/>
          <w:sz w:val="20"/>
          <w:szCs w:val="20"/>
          <w:lang w:eastAsia="it-IT"/>
        </w:rPr>
        <w:t>a</w:t>
      </w:r>
      <w:r w:rsidR="005B29BC" w:rsidRPr="00792946">
        <w:rPr>
          <w:rFonts w:ascii="Palatino Linotype" w:eastAsia="Times New Roman" w:hAnsi="Palatino Linotype" w:cs="Times New Roman"/>
          <w:sz w:val="20"/>
          <w:szCs w:val="20"/>
          <w:lang w:eastAsia="it-IT"/>
        </w:rPr>
        <w:t xml:space="preserve"> categori</w:t>
      </w:r>
      <w:r w:rsidR="002B624E" w:rsidRPr="00792946">
        <w:rPr>
          <w:rFonts w:ascii="Palatino Linotype" w:eastAsia="Times New Roman" w:hAnsi="Palatino Linotype" w:cs="Times New Roman"/>
          <w:sz w:val="20"/>
          <w:szCs w:val="20"/>
          <w:lang w:eastAsia="it-IT"/>
        </w:rPr>
        <w:t>a</w:t>
      </w:r>
      <w:r w:rsidR="005B29BC" w:rsidRPr="00792946">
        <w:rPr>
          <w:rFonts w:ascii="Palatino Linotype" w:eastAsia="Times New Roman" w:hAnsi="Palatino Linotype" w:cs="Times New Roman"/>
          <w:sz w:val="20"/>
          <w:szCs w:val="20"/>
          <w:lang w:eastAsia="it-IT"/>
        </w:rPr>
        <w:t xml:space="preserve"> OG1, </w:t>
      </w:r>
      <w:r w:rsidR="00AE79A4" w:rsidRPr="00792946">
        <w:rPr>
          <w:rFonts w:ascii="Palatino Linotype" w:eastAsia="Times New Roman" w:hAnsi="Palatino Linotype" w:cs="Times New Roman"/>
          <w:sz w:val="20"/>
          <w:szCs w:val="20"/>
          <w:lang w:eastAsia="it-IT"/>
        </w:rPr>
        <w:t>esse</w:t>
      </w:r>
      <w:r w:rsidR="009C6371" w:rsidRPr="00792946">
        <w:rPr>
          <w:rFonts w:ascii="Palatino Linotype" w:eastAsia="Times New Roman" w:hAnsi="Palatino Linotype" w:cs="Times New Roman"/>
          <w:sz w:val="20"/>
          <w:szCs w:val="20"/>
          <w:lang w:eastAsia="it-IT"/>
        </w:rPr>
        <w:t>ndo</w:t>
      </w:r>
      <w:r w:rsidR="00AE79A4" w:rsidRPr="00792946">
        <w:rPr>
          <w:rFonts w:ascii="Palatino Linotype" w:eastAsia="Times New Roman" w:hAnsi="Palatino Linotype" w:cs="Times New Roman"/>
          <w:sz w:val="20"/>
          <w:szCs w:val="20"/>
          <w:lang w:eastAsia="it-IT"/>
        </w:rPr>
        <w:t xml:space="preserve">si </w:t>
      </w:r>
      <w:r w:rsidR="005B29BC" w:rsidRPr="00792946">
        <w:rPr>
          <w:rFonts w:ascii="Palatino Linotype" w:eastAsia="Times New Roman" w:hAnsi="Palatino Linotype" w:cs="Times New Roman"/>
          <w:sz w:val="20"/>
          <w:szCs w:val="20"/>
          <w:lang w:eastAsia="it-IT"/>
        </w:rPr>
        <w:t>avval</w:t>
      </w:r>
      <w:r w:rsidR="00AE79A4" w:rsidRPr="00792946">
        <w:rPr>
          <w:rFonts w:ascii="Palatino Linotype" w:eastAsia="Times New Roman" w:hAnsi="Palatino Linotype" w:cs="Times New Roman"/>
          <w:sz w:val="20"/>
          <w:szCs w:val="20"/>
          <w:lang w:eastAsia="it-IT"/>
        </w:rPr>
        <w:t>sa</w:t>
      </w:r>
      <w:r w:rsidR="005B29BC" w:rsidRPr="00792946">
        <w:rPr>
          <w:rFonts w:ascii="Palatino Linotype" w:eastAsia="Times New Roman" w:hAnsi="Palatino Linotype" w:cs="Times New Roman"/>
          <w:sz w:val="20"/>
          <w:szCs w:val="20"/>
          <w:lang w:eastAsia="it-IT"/>
        </w:rPr>
        <w:t xml:space="preserve"> di un’impresa che non </w:t>
      </w:r>
      <w:r w:rsidR="009D4A8D">
        <w:rPr>
          <w:rFonts w:ascii="Palatino Linotype" w:eastAsia="Times New Roman" w:hAnsi="Palatino Linotype" w:cs="Times New Roman"/>
          <w:sz w:val="20"/>
          <w:szCs w:val="20"/>
          <w:lang w:eastAsia="it-IT"/>
        </w:rPr>
        <w:t>h</w:t>
      </w:r>
      <w:r w:rsidR="005B29BC" w:rsidRPr="00792946">
        <w:rPr>
          <w:rFonts w:ascii="Palatino Linotype" w:eastAsia="Times New Roman" w:hAnsi="Palatino Linotype" w:cs="Times New Roman"/>
          <w:sz w:val="20"/>
          <w:szCs w:val="20"/>
          <w:lang w:eastAsia="it-IT"/>
        </w:rPr>
        <w:t>a pro</w:t>
      </w:r>
      <w:r w:rsidR="002B624E" w:rsidRPr="00792946">
        <w:rPr>
          <w:rFonts w:ascii="Palatino Linotype" w:eastAsia="Times New Roman" w:hAnsi="Palatino Linotype" w:cs="Times New Roman"/>
          <w:sz w:val="20"/>
          <w:szCs w:val="20"/>
          <w:lang w:eastAsia="it-IT"/>
        </w:rPr>
        <w:t>c</w:t>
      </w:r>
      <w:r w:rsidR="005B29BC" w:rsidRPr="00792946">
        <w:rPr>
          <w:rFonts w:ascii="Palatino Linotype" w:eastAsia="Times New Roman" w:hAnsi="Palatino Linotype" w:cs="Times New Roman"/>
          <w:sz w:val="20"/>
          <w:szCs w:val="20"/>
          <w:lang w:eastAsia="it-IT"/>
        </w:rPr>
        <w:t>eduto</w:t>
      </w:r>
      <w:r w:rsidR="005C129E" w:rsidRPr="00792946">
        <w:rPr>
          <w:rFonts w:ascii="Palatino Linotype" w:eastAsia="Times New Roman" w:hAnsi="Palatino Linotype" w:cs="Times New Roman"/>
          <w:sz w:val="20"/>
          <w:szCs w:val="20"/>
          <w:lang w:eastAsia="it-IT"/>
        </w:rPr>
        <w:t xml:space="preserve"> per tempo</w:t>
      </w:r>
      <w:r w:rsidR="005B29BC" w:rsidRPr="00792946">
        <w:rPr>
          <w:rFonts w:ascii="Palatino Linotype" w:eastAsia="Times New Roman" w:hAnsi="Palatino Linotype" w:cs="Times New Roman"/>
          <w:sz w:val="20"/>
          <w:szCs w:val="20"/>
          <w:lang w:eastAsia="it-IT"/>
        </w:rPr>
        <w:t xml:space="preserve"> al</w:t>
      </w:r>
      <w:r w:rsidR="005C129E" w:rsidRPr="00792946">
        <w:rPr>
          <w:rFonts w:ascii="Palatino Linotype" w:eastAsia="Times New Roman" w:hAnsi="Palatino Linotype" w:cs="Times New Roman"/>
          <w:sz w:val="20"/>
          <w:szCs w:val="20"/>
          <w:lang w:eastAsia="it-IT"/>
        </w:rPr>
        <w:t xml:space="preserve"> rinnovo </w:t>
      </w:r>
      <w:r w:rsidR="005B29BC" w:rsidRPr="00792946">
        <w:rPr>
          <w:rFonts w:ascii="Palatino Linotype" w:eastAsia="Times New Roman" w:hAnsi="Palatino Linotype" w:cs="Times New Roman"/>
          <w:sz w:val="20"/>
          <w:szCs w:val="20"/>
          <w:lang w:eastAsia="it-IT"/>
        </w:rPr>
        <w:t>triennale</w:t>
      </w:r>
      <w:r w:rsidR="00CD4D9A" w:rsidRPr="00792946">
        <w:rPr>
          <w:rFonts w:ascii="Palatino Linotype" w:eastAsia="Times New Roman" w:hAnsi="Palatino Linotype" w:cs="Times New Roman"/>
          <w:sz w:val="20"/>
          <w:szCs w:val="20"/>
          <w:lang w:eastAsia="it-IT"/>
        </w:rPr>
        <w:t xml:space="preserve"> della stessa</w:t>
      </w:r>
      <w:r w:rsidR="005B29BC" w:rsidRPr="00792946">
        <w:rPr>
          <w:rFonts w:ascii="Palatino Linotype" w:eastAsia="Times New Roman" w:hAnsi="Palatino Linotype" w:cs="Times New Roman"/>
          <w:sz w:val="20"/>
          <w:szCs w:val="20"/>
          <w:lang w:eastAsia="it-IT"/>
        </w:rPr>
        <w:t>.</w:t>
      </w:r>
      <w:r w:rsidR="002B624E" w:rsidRPr="00792946">
        <w:rPr>
          <w:rFonts w:ascii="Palatino Linotype" w:eastAsia="Times New Roman" w:hAnsi="Palatino Linotype" w:cs="Times New Roman"/>
          <w:sz w:val="20"/>
          <w:szCs w:val="20"/>
          <w:lang w:eastAsia="it-IT"/>
        </w:rPr>
        <w:t xml:space="preserve"> Di conseguenza, per lo stesso </w:t>
      </w:r>
      <w:r w:rsidR="005C129E" w:rsidRPr="00792946">
        <w:rPr>
          <w:rFonts w:ascii="Palatino Linotype" w:eastAsia="Times New Roman" w:hAnsi="Palatino Linotype" w:cs="Times New Roman"/>
          <w:sz w:val="20"/>
          <w:szCs w:val="20"/>
          <w:lang w:eastAsia="it-IT"/>
        </w:rPr>
        <w:t>periodo</w:t>
      </w:r>
      <w:r w:rsidR="002B624E" w:rsidRPr="00792946">
        <w:rPr>
          <w:rFonts w:ascii="Palatino Linotype" w:eastAsia="Times New Roman" w:hAnsi="Palatino Linotype" w:cs="Times New Roman"/>
          <w:sz w:val="20"/>
          <w:szCs w:val="20"/>
          <w:lang w:eastAsia="it-IT"/>
        </w:rPr>
        <w:t xml:space="preserve">, </w:t>
      </w:r>
      <w:r w:rsidR="005B29BC" w:rsidRPr="00792946">
        <w:rPr>
          <w:rFonts w:ascii="Palatino Linotype" w:eastAsia="Times New Roman" w:hAnsi="Palatino Linotype" w:cs="Times New Roman"/>
          <w:sz w:val="20"/>
          <w:szCs w:val="20"/>
          <w:lang w:eastAsia="it-IT"/>
        </w:rPr>
        <w:t xml:space="preserve">la mandataria </w:t>
      </w:r>
      <w:r w:rsidR="009D4A8D">
        <w:rPr>
          <w:rFonts w:ascii="Palatino Linotype" w:eastAsia="Times New Roman" w:hAnsi="Palatino Linotype" w:cs="Times New Roman"/>
          <w:sz w:val="20"/>
          <w:szCs w:val="20"/>
          <w:lang w:eastAsia="it-IT"/>
        </w:rPr>
        <w:t>è</w:t>
      </w:r>
      <w:r w:rsidR="005B29BC" w:rsidRPr="00792946">
        <w:rPr>
          <w:rFonts w:ascii="Palatino Linotype" w:eastAsia="Times New Roman" w:hAnsi="Palatino Linotype" w:cs="Times New Roman"/>
          <w:sz w:val="20"/>
          <w:szCs w:val="20"/>
          <w:lang w:eastAsia="it-IT"/>
        </w:rPr>
        <w:t xml:space="preserve"> rimasta priva della qualificazione richiesta</w:t>
      </w:r>
      <w:r w:rsidR="002B624E" w:rsidRPr="00792946">
        <w:rPr>
          <w:rFonts w:ascii="Palatino Linotype" w:eastAsia="Times New Roman" w:hAnsi="Palatino Linotype" w:cs="Times New Roman"/>
          <w:sz w:val="20"/>
          <w:szCs w:val="20"/>
          <w:lang w:eastAsia="it-IT"/>
        </w:rPr>
        <w:t xml:space="preserve">, anche se il requisito </w:t>
      </w:r>
      <w:r w:rsidR="009D4A8D">
        <w:rPr>
          <w:rFonts w:ascii="Palatino Linotype" w:eastAsia="Times New Roman" w:hAnsi="Palatino Linotype" w:cs="Times New Roman"/>
          <w:sz w:val="20"/>
          <w:szCs w:val="20"/>
          <w:lang w:eastAsia="it-IT"/>
        </w:rPr>
        <w:t>è stato</w:t>
      </w:r>
      <w:r w:rsidR="002B624E" w:rsidRPr="00792946">
        <w:rPr>
          <w:rFonts w:ascii="Palatino Linotype" w:eastAsia="Times New Roman" w:hAnsi="Palatino Linotype" w:cs="Times New Roman"/>
          <w:sz w:val="20"/>
          <w:szCs w:val="20"/>
          <w:lang w:eastAsia="it-IT"/>
        </w:rPr>
        <w:t xml:space="preserve"> certamente presente al momento della domanda di partecipazione alla gara e dell’aggiudicazione.</w:t>
      </w:r>
    </w:p>
    <w:p w14:paraId="1B52900B" w14:textId="77777777" w:rsidR="005B29BC" w:rsidRPr="00792946" w:rsidRDefault="002B624E"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Sul punto</w:t>
      </w:r>
      <w:r w:rsidR="005B29BC" w:rsidRPr="00792946">
        <w:rPr>
          <w:rFonts w:ascii="Palatino Linotype" w:eastAsia="Times New Roman" w:hAnsi="Palatino Linotype" w:cs="Times New Roman"/>
          <w:sz w:val="20"/>
          <w:szCs w:val="20"/>
          <w:lang w:eastAsia="it-IT"/>
        </w:rPr>
        <w:t>, l’Adunanza Plenaria</w:t>
      </w:r>
      <w:r w:rsidR="00972B75" w:rsidRPr="00792946">
        <w:rPr>
          <w:rStyle w:val="Rimandonotaapidipagina"/>
          <w:rFonts w:ascii="Palatino Linotype" w:eastAsia="Times New Roman" w:hAnsi="Palatino Linotype" w:cs="Times New Roman"/>
          <w:sz w:val="20"/>
          <w:szCs w:val="20"/>
          <w:lang w:eastAsia="it-IT"/>
        </w:rPr>
        <w:footnoteReference w:id="26"/>
      </w:r>
      <w:r w:rsidR="005B29BC" w:rsidRPr="00792946">
        <w:rPr>
          <w:rFonts w:ascii="Palatino Linotype" w:eastAsia="Times New Roman" w:hAnsi="Palatino Linotype" w:cs="Times New Roman"/>
          <w:sz w:val="20"/>
          <w:szCs w:val="20"/>
          <w:lang w:eastAsia="it-IT"/>
        </w:rPr>
        <w:t xml:space="preserve"> ribadi</w:t>
      </w:r>
      <w:r w:rsidR="00933AC8" w:rsidRPr="00792946">
        <w:rPr>
          <w:rFonts w:ascii="Palatino Linotype" w:eastAsia="Times New Roman" w:hAnsi="Palatino Linotype" w:cs="Times New Roman"/>
          <w:sz w:val="20"/>
          <w:szCs w:val="20"/>
          <w:lang w:eastAsia="it-IT"/>
        </w:rPr>
        <w:t>sce</w:t>
      </w:r>
      <w:r w:rsidR="00F84DFB" w:rsidRPr="00792946">
        <w:rPr>
          <w:rFonts w:ascii="Palatino Linotype" w:eastAsia="Times New Roman" w:hAnsi="Palatino Linotype" w:cs="Times New Roman"/>
          <w:sz w:val="20"/>
          <w:szCs w:val="20"/>
          <w:lang w:eastAsia="it-IT"/>
        </w:rPr>
        <w:t xml:space="preserve"> </w:t>
      </w:r>
      <w:r w:rsidR="00CD4D9A" w:rsidRPr="00792946">
        <w:rPr>
          <w:rFonts w:ascii="Palatino Linotype" w:eastAsia="Times New Roman" w:hAnsi="Palatino Linotype" w:cs="Times New Roman"/>
          <w:sz w:val="20"/>
          <w:szCs w:val="20"/>
          <w:lang w:eastAsia="it-IT"/>
        </w:rPr>
        <w:t xml:space="preserve">il proprio </w:t>
      </w:r>
      <w:r w:rsidR="00F84DFB" w:rsidRPr="00792946">
        <w:rPr>
          <w:rFonts w:ascii="Palatino Linotype" w:eastAsia="Times New Roman" w:hAnsi="Palatino Linotype" w:cs="Times New Roman"/>
          <w:sz w:val="20"/>
          <w:szCs w:val="20"/>
          <w:lang w:eastAsia="it-IT"/>
        </w:rPr>
        <w:t>orientamento</w:t>
      </w:r>
      <w:r w:rsidR="005B29BC" w:rsidRPr="00792946">
        <w:rPr>
          <w:rFonts w:ascii="Palatino Linotype" w:eastAsia="Times New Roman" w:hAnsi="Palatino Linotype" w:cs="Times New Roman"/>
          <w:sz w:val="20"/>
          <w:szCs w:val="20"/>
          <w:lang w:eastAsia="it-IT"/>
        </w:rPr>
        <w:t xml:space="preserve"> </w:t>
      </w:r>
      <w:r w:rsidR="00933AC8" w:rsidRPr="00792946">
        <w:rPr>
          <w:rFonts w:ascii="Palatino Linotype" w:eastAsia="Times New Roman" w:hAnsi="Palatino Linotype" w:cs="Times New Roman"/>
          <w:sz w:val="20"/>
          <w:szCs w:val="20"/>
          <w:lang w:eastAsia="it-IT"/>
        </w:rPr>
        <w:t>consolidato</w:t>
      </w:r>
      <w:r w:rsidR="00CD4D9A" w:rsidRPr="00792946">
        <w:rPr>
          <w:rFonts w:ascii="Palatino Linotype" w:eastAsia="Times New Roman" w:hAnsi="Palatino Linotype" w:cs="Times New Roman"/>
          <w:sz w:val="20"/>
          <w:szCs w:val="20"/>
          <w:lang w:eastAsia="it-IT"/>
        </w:rPr>
        <w:t>,</w:t>
      </w:r>
      <w:r w:rsidR="00972B75" w:rsidRPr="00792946">
        <w:rPr>
          <w:rFonts w:ascii="Palatino Linotype" w:eastAsia="Times New Roman" w:hAnsi="Palatino Linotype" w:cs="Times New Roman"/>
          <w:sz w:val="20"/>
          <w:szCs w:val="20"/>
          <w:lang w:eastAsia="it-IT"/>
        </w:rPr>
        <w:t xml:space="preserve"> </w:t>
      </w:r>
      <w:r w:rsidR="005B29BC" w:rsidRPr="00792946">
        <w:rPr>
          <w:rFonts w:ascii="Palatino Linotype" w:eastAsia="Times New Roman" w:hAnsi="Palatino Linotype" w:cs="Times New Roman"/>
          <w:sz w:val="20"/>
          <w:szCs w:val="20"/>
          <w:lang w:eastAsia="it-IT"/>
        </w:rPr>
        <w:t xml:space="preserve">secondo cui il possesso dei requisiti di ammissione </w:t>
      </w:r>
      <w:r w:rsidR="00CD4D9A" w:rsidRPr="00792946">
        <w:rPr>
          <w:rFonts w:ascii="Palatino Linotype" w:eastAsia="Times New Roman" w:hAnsi="Palatino Linotype" w:cs="Times New Roman"/>
          <w:sz w:val="20"/>
          <w:szCs w:val="20"/>
          <w:lang w:eastAsia="it-IT"/>
        </w:rPr>
        <w:t>“</w:t>
      </w:r>
      <w:r w:rsidR="005B29BC" w:rsidRPr="00792946">
        <w:rPr>
          <w:rFonts w:ascii="Palatino Linotype" w:eastAsia="Times New Roman" w:hAnsi="Palatino Linotype" w:cs="Times New Roman"/>
          <w:sz w:val="20"/>
          <w:szCs w:val="20"/>
          <w:lang w:eastAsia="it-IT"/>
        </w:rPr>
        <w:t>s</w:t>
      </w:r>
      <w:r w:rsidR="00F84DFB" w:rsidRPr="00792946">
        <w:rPr>
          <w:rFonts w:ascii="Palatino Linotype" w:eastAsia="Times New Roman" w:hAnsi="Palatino Linotype" w:cs="Times New Roman"/>
          <w:sz w:val="20"/>
          <w:szCs w:val="20"/>
          <w:lang w:eastAsia="it-IT"/>
        </w:rPr>
        <w:t>’</w:t>
      </w:r>
      <w:r w:rsidR="005B29BC" w:rsidRPr="00792946">
        <w:rPr>
          <w:rFonts w:ascii="Palatino Linotype" w:eastAsia="Times New Roman" w:hAnsi="Palatino Linotype" w:cs="Times New Roman"/>
          <w:sz w:val="20"/>
          <w:szCs w:val="20"/>
          <w:lang w:eastAsia="it-IT"/>
        </w:rPr>
        <w:t>impone a partire dall</w:t>
      </w:r>
      <w:r w:rsidR="00AE79A4" w:rsidRPr="00792946">
        <w:rPr>
          <w:rFonts w:ascii="Palatino Linotype" w:eastAsia="Times New Roman" w:hAnsi="Palatino Linotype" w:cs="Times New Roman"/>
          <w:sz w:val="20"/>
          <w:szCs w:val="20"/>
          <w:lang w:eastAsia="it-IT"/>
        </w:rPr>
        <w:t>a</w:t>
      </w:r>
      <w:r w:rsidR="005B29BC" w:rsidRPr="00792946">
        <w:rPr>
          <w:rFonts w:ascii="Palatino Linotype" w:eastAsia="Times New Roman" w:hAnsi="Palatino Linotype" w:cs="Times New Roman"/>
          <w:sz w:val="20"/>
          <w:szCs w:val="20"/>
          <w:lang w:eastAsia="it-IT"/>
        </w:rPr>
        <w:t xml:space="preserve"> presentazione della domanda di partecipazione e per tutta la durata della procedura</w:t>
      </w:r>
      <w:r w:rsidR="00CD4D9A" w:rsidRPr="00792946">
        <w:rPr>
          <w:rFonts w:ascii="Palatino Linotype" w:eastAsia="Times New Roman" w:hAnsi="Palatino Linotype" w:cs="Times New Roman"/>
          <w:sz w:val="20"/>
          <w:szCs w:val="20"/>
          <w:lang w:eastAsia="it-IT"/>
        </w:rPr>
        <w:t>”</w:t>
      </w:r>
      <w:r w:rsidR="005C129E" w:rsidRPr="00792946">
        <w:rPr>
          <w:rFonts w:ascii="Palatino Linotype" w:eastAsia="Times New Roman" w:hAnsi="Palatino Linotype" w:cs="Times New Roman"/>
          <w:sz w:val="20"/>
          <w:szCs w:val="20"/>
          <w:lang w:eastAsia="it-IT"/>
        </w:rPr>
        <w:t>, a prescindere dall’indicazione, da parte del legislatore, di specifiche fasi espressamente dedicate alla sua verifica; e ciò</w:t>
      </w:r>
      <w:r w:rsidR="00CD4D9A" w:rsidRPr="00792946">
        <w:rPr>
          <w:rFonts w:ascii="Palatino Linotype" w:eastAsia="Times New Roman" w:hAnsi="Palatino Linotype" w:cs="Times New Roman"/>
          <w:sz w:val="20"/>
          <w:szCs w:val="20"/>
          <w:lang w:eastAsia="it-IT"/>
        </w:rPr>
        <w:t>,</w:t>
      </w:r>
      <w:r w:rsidR="005C129E" w:rsidRPr="00792946">
        <w:rPr>
          <w:rFonts w:ascii="Palatino Linotype" w:eastAsia="Times New Roman" w:hAnsi="Palatino Linotype" w:cs="Times New Roman"/>
          <w:sz w:val="20"/>
          <w:szCs w:val="20"/>
          <w:lang w:eastAsia="it-IT"/>
        </w:rPr>
        <w:t xml:space="preserve"> non in virtù di un astratto e vacuo formalismo, ma a tutela dell’interesse costante dell’amministrazione ad interloquire con operatori permanente</w:t>
      </w:r>
      <w:r w:rsidR="00CD4D9A" w:rsidRPr="00792946">
        <w:rPr>
          <w:rFonts w:ascii="Palatino Linotype" w:eastAsia="Times New Roman" w:hAnsi="Palatino Linotype" w:cs="Times New Roman"/>
          <w:sz w:val="20"/>
          <w:szCs w:val="20"/>
          <w:lang w:eastAsia="it-IT"/>
        </w:rPr>
        <w:t>mente</w:t>
      </w:r>
      <w:r w:rsidR="005C129E" w:rsidRPr="00792946">
        <w:rPr>
          <w:rFonts w:ascii="Palatino Linotype" w:eastAsia="Times New Roman" w:hAnsi="Palatino Linotype" w:cs="Times New Roman"/>
          <w:sz w:val="20"/>
          <w:szCs w:val="20"/>
          <w:lang w:eastAsia="it-IT"/>
        </w:rPr>
        <w:t xml:space="preserve"> affidabili, capaci e qualificati</w:t>
      </w:r>
      <w:r w:rsidR="00F84DFB" w:rsidRPr="00792946">
        <w:rPr>
          <w:rStyle w:val="Rimandonotaapidipagina"/>
          <w:rFonts w:ascii="Palatino Linotype" w:eastAsia="Times New Roman" w:hAnsi="Palatino Linotype" w:cs="Times New Roman"/>
          <w:sz w:val="20"/>
          <w:szCs w:val="20"/>
          <w:lang w:eastAsia="it-IT"/>
        </w:rPr>
        <w:footnoteReference w:id="27"/>
      </w:r>
      <w:r w:rsidR="005B29BC" w:rsidRPr="00792946">
        <w:rPr>
          <w:rFonts w:ascii="Palatino Linotype" w:eastAsia="Times New Roman" w:hAnsi="Palatino Linotype" w:cs="Times New Roman"/>
          <w:sz w:val="20"/>
          <w:szCs w:val="20"/>
          <w:lang w:eastAsia="it-IT"/>
        </w:rPr>
        <w:t>.</w:t>
      </w:r>
    </w:p>
    <w:p w14:paraId="496CAEA4" w14:textId="77777777" w:rsidR="005B29BC" w:rsidRPr="00792946" w:rsidRDefault="005B29BC"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Tale onere non solo è del tutto ragionevole, ma è altresì non sproporzionato, </w:t>
      </w:r>
      <w:r w:rsidR="00CD4D9A" w:rsidRPr="00792946">
        <w:rPr>
          <w:rFonts w:ascii="Palatino Linotype" w:eastAsia="Times New Roman" w:hAnsi="Palatino Linotype" w:cs="Times New Roman"/>
          <w:sz w:val="20"/>
          <w:szCs w:val="20"/>
          <w:lang w:eastAsia="it-IT"/>
        </w:rPr>
        <w:t>pot</w:t>
      </w:r>
      <w:r w:rsidRPr="00792946">
        <w:rPr>
          <w:rFonts w:ascii="Palatino Linotype" w:eastAsia="Times New Roman" w:hAnsi="Palatino Linotype" w:cs="Times New Roman"/>
          <w:sz w:val="20"/>
          <w:szCs w:val="20"/>
          <w:lang w:eastAsia="it-IT"/>
        </w:rPr>
        <w:t>endo</w:t>
      </w:r>
      <w:r w:rsidR="00CD4D9A" w:rsidRPr="00792946">
        <w:rPr>
          <w:rFonts w:ascii="Palatino Linotype" w:eastAsia="Times New Roman" w:hAnsi="Palatino Linotype" w:cs="Times New Roman"/>
          <w:sz w:val="20"/>
          <w:szCs w:val="20"/>
          <w:lang w:eastAsia="it-IT"/>
        </w:rPr>
        <w:t>si</w:t>
      </w:r>
      <w:r w:rsidRPr="00792946">
        <w:rPr>
          <w:rFonts w:ascii="Palatino Linotype" w:eastAsia="Times New Roman" w:hAnsi="Palatino Linotype" w:cs="Times New Roman"/>
          <w:sz w:val="20"/>
          <w:szCs w:val="20"/>
          <w:lang w:eastAsia="it-IT"/>
        </w:rPr>
        <w:t xml:space="preserve"> assolv</w:t>
      </w:r>
      <w:r w:rsidR="00CD4D9A" w:rsidRPr="00792946">
        <w:rPr>
          <w:rFonts w:ascii="Palatino Linotype" w:eastAsia="Times New Roman" w:hAnsi="Palatino Linotype" w:cs="Times New Roman"/>
          <w:sz w:val="20"/>
          <w:szCs w:val="20"/>
          <w:lang w:eastAsia="it-IT"/>
        </w:rPr>
        <w:t>er</w:t>
      </w:r>
      <w:r w:rsidRPr="00792946">
        <w:rPr>
          <w:rFonts w:ascii="Palatino Linotype" w:eastAsia="Times New Roman" w:hAnsi="Palatino Linotype" w:cs="Times New Roman"/>
          <w:sz w:val="20"/>
          <w:szCs w:val="20"/>
          <w:lang w:eastAsia="it-IT"/>
        </w:rPr>
        <w:t xml:space="preserve">e </w:t>
      </w:r>
      <w:r w:rsidR="005B0223" w:rsidRPr="00792946">
        <w:rPr>
          <w:rFonts w:ascii="Palatino Linotype" w:eastAsia="Times New Roman" w:hAnsi="Palatino Linotype" w:cs="Times New Roman"/>
          <w:sz w:val="20"/>
          <w:szCs w:val="20"/>
          <w:lang w:eastAsia="it-IT"/>
        </w:rPr>
        <w:t>co</w:t>
      </w:r>
      <w:r w:rsidR="00CD4D9A" w:rsidRPr="00792946">
        <w:rPr>
          <w:rFonts w:ascii="Palatino Linotype" w:eastAsia="Times New Roman" w:hAnsi="Palatino Linotype" w:cs="Times New Roman"/>
          <w:sz w:val="20"/>
          <w:szCs w:val="20"/>
          <w:lang w:eastAsia="it-IT"/>
        </w:rPr>
        <w:t xml:space="preserve">n </w:t>
      </w:r>
      <w:r w:rsidRPr="00792946">
        <w:rPr>
          <w:rFonts w:ascii="Palatino Linotype" w:eastAsia="Times New Roman" w:hAnsi="Palatino Linotype" w:cs="Times New Roman"/>
          <w:sz w:val="20"/>
          <w:szCs w:val="20"/>
          <w:lang w:eastAsia="it-IT"/>
        </w:rPr>
        <w:t>l’</w:t>
      </w:r>
      <w:r w:rsidR="005B0223" w:rsidRPr="00792946">
        <w:rPr>
          <w:rFonts w:ascii="Palatino Linotype" w:eastAsia="Times New Roman" w:hAnsi="Palatino Linotype" w:cs="Times New Roman"/>
          <w:sz w:val="20"/>
          <w:szCs w:val="20"/>
          <w:lang w:eastAsia="it-IT"/>
        </w:rPr>
        <w:t>ordinaria diligenza</w:t>
      </w:r>
      <w:r w:rsidRPr="00792946">
        <w:rPr>
          <w:rFonts w:ascii="Palatino Linotype" w:eastAsia="Times New Roman" w:hAnsi="Palatino Linotype" w:cs="Times New Roman"/>
          <w:sz w:val="20"/>
          <w:szCs w:val="20"/>
          <w:lang w:eastAsia="it-IT"/>
        </w:rPr>
        <w:t xml:space="preserve"> che gli operatori devono tenere </w:t>
      </w:r>
      <w:r w:rsidR="005B619B" w:rsidRPr="00792946">
        <w:rPr>
          <w:rFonts w:ascii="Palatino Linotype" w:eastAsia="Times New Roman" w:hAnsi="Palatino Linotype" w:cs="Times New Roman"/>
          <w:sz w:val="20"/>
          <w:szCs w:val="20"/>
          <w:lang w:eastAsia="it-IT"/>
        </w:rPr>
        <w:t xml:space="preserve">per concorrere in modo </w:t>
      </w:r>
      <w:r w:rsidRPr="00792946">
        <w:rPr>
          <w:rFonts w:ascii="Palatino Linotype" w:eastAsia="Times New Roman" w:hAnsi="Palatino Linotype" w:cs="Times New Roman"/>
          <w:sz w:val="20"/>
          <w:szCs w:val="20"/>
          <w:lang w:eastAsia="it-IT"/>
        </w:rPr>
        <w:t>corrett</w:t>
      </w:r>
      <w:r w:rsidR="005B619B" w:rsidRPr="00792946">
        <w:rPr>
          <w:rFonts w:ascii="Palatino Linotype" w:eastAsia="Times New Roman" w:hAnsi="Palatino Linotype" w:cs="Times New Roman"/>
          <w:sz w:val="20"/>
          <w:szCs w:val="20"/>
          <w:lang w:eastAsia="it-IT"/>
        </w:rPr>
        <w:t>o</w:t>
      </w:r>
      <w:r w:rsidRPr="00792946">
        <w:rPr>
          <w:rFonts w:ascii="Palatino Linotype" w:eastAsia="Times New Roman" w:hAnsi="Palatino Linotype" w:cs="Times New Roman"/>
          <w:sz w:val="20"/>
          <w:szCs w:val="20"/>
          <w:lang w:eastAsia="it-IT"/>
        </w:rPr>
        <w:t xml:space="preserve"> </w:t>
      </w:r>
      <w:r w:rsidR="005B619B" w:rsidRPr="00792946">
        <w:rPr>
          <w:rFonts w:ascii="Palatino Linotype" w:eastAsia="Times New Roman" w:hAnsi="Palatino Linotype" w:cs="Times New Roman"/>
          <w:sz w:val="20"/>
          <w:szCs w:val="20"/>
          <w:lang w:eastAsia="it-IT"/>
        </w:rPr>
        <w:t>su</w:t>
      </w:r>
      <w:r w:rsidRPr="00792946">
        <w:rPr>
          <w:rFonts w:ascii="Palatino Linotype" w:eastAsia="Times New Roman" w:hAnsi="Palatino Linotype" w:cs="Times New Roman"/>
          <w:sz w:val="20"/>
          <w:szCs w:val="20"/>
          <w:lang w:eastAsia="it-IT"/>
        </w:rPr>
        <w:t xml:space="preserve">l </w:t>
      </w:r>
      <w:r w:rsidR="005B0223" w:rsidRPr="00792946">
        <w:rPr>
          <w:rFonts w:ascii="Palatino Linotype" w:eastAsia="Times New Roman" w:hAnsi="Palatino Linotype" w:cs="Times New Roman"/>
          <w:sz w:val="20"/>
          <w:szCs w:val="20"/>
          <w:lang w:eastAsia="it-IT"/>
        </w:rPr>
        <w:t xml:space="preserve">mercato </w:t>
      </w:r>
      <w:r w:rsidRPr="00792946">
        <w:rPr>
          <w:rFonts w:ascii="Palatino Linotype" w:eastAsia="Times New Roman" w:hAnsi="Palatino Linotype" w:cs="Times New Roman"/>
          <w:sz w:val="20"/>
          <w:szCs w:val="20"/>
          <w:lang w:eastAsia="it-IT"/>
        </w:rPr>
        <w:t>degli appalti pubblici.</w:t>
      </w:r>
    </w:p>
    <w:p w14:paraId="6974AFB4" w14:textId="77777777" w:rsidR="005B29BC" w:rsidRPr="00792946" w:rsidRDefault="009C6371"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Al contrario</w:t>
      </w:r>
      <w:r w:rsidR="005B29BC" w:rsidRPr="00792946">
        <w:rPr>
          <w:rFonts w:ascii="Palatino Linotype" w:eastAsia="Times New Roman" w:hAnsi="Palatino Linotype" w:cs="Times New Roman"/>
          <w:sz w:val="20"/>
          <w:szCs w:val="20"/>
          <w:lang w:eastAsia="it-IT"/>
        </w:rPr>
        <w:t xml:space="preserve">, la segmentazione della procedura </w:t>
      </w:r>
      <w:r w:rsidR="00CD4D9A" w:rsidRPr="00792946">
        <w:rPr>
          <w:rFonts w:ascii="Palatino Linotype" w:eastAsia="Times New Roman" w:hAnsi="Palatino Linotype" w:cs="Times New Roman"/>
          <w:sz w:val="20"/>
          <w:szCs w:val="20"/>
          <w:lang w:eastAsia="it-IT"/>
        </w:rPr>
        <w:t xml:space="preserve">di gara </w:t>
      </w:r>
      <w:r w:rsidR="005B29BC" w:rsidRPr="00792946">
        <w:rPr>
          <w:rFonts w:ascii="Palatino Linotype" w:eastAsia="Times New Roman" w:hAnsi="Palatino Linotype" w:cs="Times New Roman"/>
          <w:sz w:val="20"/>
          <w:szCs w:val="20"/>
          <w:lang w:eastAsia="it-IT"/>
        </w:rPr>
        <w:t>in momenti in cui la perdita dei requisiti si pales</w:t>
      </w:r>
      <w:r w:rsidR="008352D2" w:rsidRPr="00792946">
        <w:rPr>
          <w:rFonts w:ascii="Palatino Linotype" w:eastAsia="Times New Roman" w:hAnsi="Palatino Linotype" w:cs="Times New Roman"/>
          <w:sz w:val="20"/>
          <w:szCs w:val="20"/>
          <w:lang w:eastAsia="it-IT"/>
        </w:rPr>
        <w:t>a,</w:t>
      </w:r>
      <w:r w:rsidR="005B29BC" w:rsidRPr="00792946">
        <w:rPr>
          <w:rFonts w:ascii="Palatino Linotype" w:eastAsia="Times New Roman" w:hAnsi="Palatino Linotype" w:cs="Times New Roman"/>
          <w:sz w:val="20"/>
          <w:szCs w:val="20"/>
          <w:lang w:eastAsia="it-IT"/>
        </w:rPr>
        <w:t xml:space="preserve"> alternativamente</w:t>
      </w:r>
      <w:r w:rsidR="008352D2" w:rsidRPr="00792946">
        <w:rPr>
          <w:rFonts w:ascii="Palatino Linotype" w:eastAsia="Times New Roman" w:hAnsi="Palatino Linotype" w:cs="Times New Roman"/>
          <w:sz w:val="20"/>
          <w:szCs w:val="20"/>
          <w:lang w:eastAsia="it-IT"/>
        </w:rPr>
        <w:t>,</w:t>
      </w:r>
      <w:r w:rsidR="005B29BC" w:rsidRPr="00792946">
        <w:rPr>
          <w:rFonts w:ascii="Palatino Linotype" w:eastAsia="Times New Roman" w:hAnsi="Palatino Linotype" w:cs="Times New Roman"/>
          <w:sz w:val="20"/>
          <w:szCs w:val="20"/>
          <w:lang w:eastAsia="it-IT"/>
        </w:rPr>
        <w:t xml:space="preserve"> </w:t>
      </w:r>
      <w:r w:rsidR="008352D2" w:rsidRPr="00792946">
        <w:rPr>
          <w:rFonts w:ascii="Palatino Linotype" w:eastAsia="Times New Roman" w:hAnsi="Palatino Linotype" w:cs="Times New Roman"/>
          <w:sz w:val="20"/>
          <w:szCs w:val="20"/>
          <w:lang w:eastAsia="it-IT"/>
        </w:rPr>
        <w:t>‘</w:t>
      </w:r>
      <w:r w:rsidR="005B29BC" w:rsidRPr="00792946">
        <w:rPr>
          <w:rFonts w:ascii="Palatino Linotype" w:eastAsia="Times New Roman" w:hAnsi="Palatino Linotype" w:cs="Times New Roman"/>
          <w:sz w:val="20"/>
          <w:szCs w:val="20"/>
          <w:lang w:eastAsia="it-IT"/>
        </w:rPr>
        <w:t>rilevante</w:t>
      </w:r>
      <w:r w:rsidR="008352D2" w:rsidRPr="00792946">
        <w:rPr>
          <w:rFonts w:ascii="Palatino Linotype" w:eastAsia="Times New Roman" w:hAnsi="Palatino Linotype" w:cs="Times New Roman"/>
          <w:sz w:val="20"/>
          <w:szCs w:val="20"/>
          <w:lang w:eastAsia="it-IT"/>
        </w:rPr>
        <w:t>’</w:t>
      </w:r>
      <w:r w:rsidR="005B29BC" w:rsidRPr="00792946">
        <w:rPr>
          <w:rFonts w:ascii="Palatino Linotype" w:eastAsia="Times New Roman" w:hAnsi="Palatino Linotype" w:cs="Times New Roman"/>
          <w:sz w:val="20"/>
          <w:szCs w:val="20"/>
          <w:lang w:eastAsia="it-IT"/>
        </w:rPr>
        <w:t xml:space="preserve"> o </w:t>
      </w:r>
      <w:r w:rsidR="008352D2" w:rsidRPr="00792946">
        <w:rPr>
          <w:rFonts w:ascii="Palatino Linotype" w:eastAsia="Times New Roman" w:hAnsi="Palatino Linotype" w:cs="Times New Roman"/>
          <w:sz w:val="20"/>
          <w:szCs w:val="20"/>
          <w:lang w:eastAsia="it-IT"/>
        </w:rPr>
        <w:t>‘ir</w:t>
      </w:r>
      <w:r w:rsidR="005B29BC" w:rsidRPr="00792946">
        <w:rPr>
          <w:rFonts w:ascii="Palatino Linotype" w:eastAsia="Times New Roman" w:hAnsi="Palatino Linotype" w:cs="Times New Roman"/>
          <w:sz w:val="20"/>
          <w:szCs w:val="20"/>
          <w:lang w:eastAsia="it-IT"/>
        </w:rPr>
        <w:t>rilevante</w:t>
      </w:r>
      <w:r w:rsidR="008352D2" w:rsidRPr="00792946">
        <w:rPr>
          <w:rFonts w:ascii="Palatino Linotype" w:eastAsia="Times New Roman" w:hAnsi="Palatino Linotype" w:cs="Times New Roman"/>
          <w:sz w:val="20"/>
          <w:szCs w:val="20"/>
          <w:lang w:eastAsia="it-IT"/>
        </w:rPr>
        <w:t>’</w:t>
      </w:r>
      <w:r w:rsidR="005B29BC" w:rsidRPr="00792946">
        <w:rPr>
          <w:rFonts w:ascii="Palatino Linotype" w:eastAsia="Times New Roman" w:hAnsi="Palatino Linotype" w:cs="Times New Roman"/>
          <w:sz w:val="20"/>
          <w:szCs w:val="20"/>
          <w:lang w:eastAsia="it-IT"/>
        </w:rPr>
        <w:t xml:space="preserve">, </w:t>
      </w:r>
      <w:r w:rsidR="00CD4D9A" w:rsidRPr="00792946">
        <w:rPr>
          <w:rFonts w:ascii="Palatino Linotype" w:eastAsia="Times New Roman" w:hAnsi="Palatino Linotype" w:cs="Times New Roman"/>
          <w:sz w:val="20"/>
          <w:szCs w:val="20"/>
          <w:lang w:eastAsia="it-IT"/>
        </w:rPr>
        <w:t>da</w:t>
      </w:r>
      <w:r w:rsidR="005B29BC" w:rsidRPr="00792946">
        <w:rPr>
          <w:rFonts w:ascii="Palatino Linotype" w:eastAsia="Times New Roman" w:hAnsi="Palatino Linotype" w:cs="Times New Roman"/>
          <w:sz w:val="20"/>
          <w:szCs w:val="20"/>
          <w:lang w:eastAsia="it-IT"/>
        </w:rPr>
        <w:t xml:space="preserve">rebbe </w:t>
      </w:r>
      <w:r w:rsidR="00CD4D9A" w:rsidRPr="00792946">
        <w:rPr>
          <w:rFonts w:ascii="Palatino Linotype" w:eastAsia="Times New Roman" w:hAnsi="Palatino Linotype" w:cs="Times New Roman"/>
          <w:sz w:val="20"/>
          <w:szCs w:val="20"/>
          <w:lang w:eastAsia="it-IT"/>
        </w:rPr>
        <w:t>luogo a</w:t>
      </w:r>
      <w:r w:rsidR="009D4A8D">
        <w:rPr>
          <w:rFonts w:ascii="Palatino Linotype" w:eastAsia="Times New Roman" w:hAnsi="Palatino Linotype" w:cs="Times New Roman"/>
          <w:sz w:val="20"/>
          <w:szCs w:val="20"/>
          <w:lang w:eastAsia="it-IT"/>
        </w:rPr>
        <w:t>d un</w:t>
      </w:r>
      <w:r w:rsidR="005B29BC" w:rsidRPr="00792946">
        <w:rPr>
          <w:rFonts w:ascii="Palatino Linotype" w:eastAsia="Times New Roman" w:hAnsi="Palatino Linotype" w:cs="Times New Roman"/>
          <w:sz w:val="20"/>
          <w:szCs w:val="20"/>
          <w:lang w:eastAsia="it-IT"/>
        </w:rPr>
        <w:t xml:space="preserve">’assoluta aleatorietà circa l’esatta individuazione dei momenti </w:t>
      </w:r>
      <w:r w:rsidR="008352D2" w:rsidRPr="00792946">
        <w:rPr>
          <w:rFonts w:ascii="Palatino Linotype" w:eastAsia="Times New Roman" w:hAnsi="Palatino Linotype" w:cs="Times New Roman"/>
          <w:sz w:val="20"/>
          <w:szCs w:val="20"/>
          <w:lang w:eastAsia="it-IT"/>
        </w:rPr>
        <w:t>‘</w:t>
      </w:r>
      <w:r w:rsidR="005B29BC" w:rsidRPr="00792946">
        <w:rPr>
          <w:rFonts w:ascii="Palatino Linotype" w:eastAsia="Times New Roman" w:hAnsi="Palatino Linotype" w:cs="Times New Roman"/>
          <w:sz w:val="20"/>
          <w:szCs w:val="20"/>
          <w:lang w:eastAsia="it-IT"/>
        </w:rPr>
        <w:t>rilevanti</w:t>
      </w:r>
      <w:r w:rsidR="008352D2" w:rsidRPr="00792946">
        <w:rPr>
          <w:rFonts w:ascii="Palatino Linotype" w:eastAsia="Times New Roman" w:hAnsi="Palatino Linotype" w:cs="Times New Roman"/>
          <w:sz w:val="20"/>
          <w:szCs w:val="20"/>
          <w:lang w:eastAsia="it-IT"/>
        </w:rPr>
        <w:t>’</w:t>
      </w:r>
      <w:r w:rsidR="005B29BC" w:rsidRPr="00792946">
        <w:rPr>
          <w:rFonts w:ascii="Palatino Linotype" w:eastAsia="Times New Roman" w:hAnsi="Palatino Linotype" w:cs="Times New Roman"/>
          <w:sz w:val="20"/>
          <w:szCs w:val="20"/>
          <w:lang w:eastAsia="it-IT"/>
        </w:rPr>
        <w:t>.</w:t>
      </w:r>
    </w:p>
    <w:p w14:paraId="3C857C56" w14:textId="77777777" w:rsidR="005B29BC" w:rsidRPr="00792946" w:rsidRDefault="00CD4D9A"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La</w:t>
      </w:r>
      <w:r w:rsidR="005B0223" w:rsidRPr="00792946">
        <w:rPr>
          <w:rFonts w:ascii="Palatino Linotype" w:eastAsia="Times New Roman" w:hAnsi="Palatino Linotype" w:cs="Times New Roman"/>
          <w:sz w:val="20"/>
          <w:szCs w:val="20"/>
          <w:lang w:eastAsia="it-IT"/>
        </w:rPr>
        <w:t xml:space="preserve"> </w:t>
      </w:r>
      <w:r w:rsidR="008D46A0" w:rsidRPr="00792946">
        <w:rPr>
          <w:rFonts w:ascii="Palatino Linotype" w:eastAsia="Times New Roman" w:hAnsi="Palatino Linotype" w:cs="Times New Roman"/>
          <w:sz w:val="20"/>
          <w:szCs w:val="20"/>
          <w:lang w:eastAsia="it-IT"/>
        </w:rPr>
        <w:t>conclus</w:t>
      </w:r>
      <w:r w:rsidR="00F558BC" w:rsidRPr="00792946">
        <w:rPr>
          <w:rFonts w:ascii="Palatino Linotype" w:eastAsia="Times New Roman" w:hAnsi="Palatino Linotype" w:cs="Times New Roman"/>
          <w:sz w:val="20"/>
          <w:szCs w:val="20"/>
          <w:lang w:eastAsia="it-IT"/>
        </w:rPr>
        <w:t>ione</w:t>
      </w:r>
      <w:r w:rsidR="005B29BC" w:rsidRPr="00792946">
        <w:rPr>
          <w:rFonts w:ascii="Palatino Linotype" w:eastAsia="Times New Roman" w:hAnsi="Palatino Linotype" w:cs="Times New Roman"/>
          <w:sz w:val="20"/>
          <w:szCs w:val="20"/>
          <w:lang w:eastAsia="it-IT"/>
        </w:rPr>
        <w:t xml:space="preserve"> </w:t>
      </w:r>
      <w:r w:rsidR="00F558BC" w:rsidRPr="00792946">
        <w:rPr>
          <w:rFonts w:ascii="Palatino Linotype" w:eastAsia="Times New Roman" w:hAnsi="Palatino Linotype" w:cs="Times New Roman"/>
          <w:sz w:val="20"/>
          <w:szCs w:val="20"/>
          <w:lang w:eastAsia="it-IT"/>
        </w:rPr>
        <w:t>non cambia</w:t>
      </w:r>
      <w:r w:rsidR="00D83EE9">
        <w:rPr>
          <w:rFonts w:ascii="Palatino Linotype" w:eastAsia="Times New Roman" w:hAnsi="Palatino Linotype" w:cs="Times New Roman"/>
          <w:sz w:val="20"/>
          <w:szCs w:val="20"/>
          <w:lang w:eastAsia="it-IT"/>
        </w:rPr>
        <w:t>,</w:t>
      </w:r>
      <w:r w:rsidR="00F558BC" w:rsidRPr="00792946">
        <w:rPr>
          <w:rFonts w:ascii="Palatino Linotype" w:eastAsia="Times New Roman" w:hAnsi="Palatino Linotype" w:cs="Times New Roman"/>
          <w:sz w:val="20"/>
          <w:szCs w:val="20"/>
          <w:lang w:eastAsia="it-IT"/>
        </w:rPr>
        <w:t xml:space="preserve"> </w:t>
      </w:r>
      <w:r w:rsidR="00933AC8" w:rsidRPr="00792946">
        <w:rPr>
          <w:rFonts w:ascii="Palatino Linotype" w:eastAsia="Times New Roman" w:hAnsi="Palatino Linotype" w:cs="Times New Roman"/>
          <w:sz w:val="20"/>
          <w:szCs w:val="20"/>
          <w:lang w:eastAsia="it-IT"/>
        </w:rPr>
        <w:t>se</w:t>
      </w:r>
      <w:r w:rsidR="005B29BC" w:rsidRPr="00792946">
        <w:rPr>
          <w:rFonts w:ascii="Palatino Linotype" w:eastAsia="Times New Roman" w:hAnsi="Palatino Linotype" w:cs="Times New Roman"/>
          <w:sz w:val="20"/>
          <w:szCs w:val="20"/>
          <w:lang w:eastAsia="it-IT"/>
        </w:rPr>
        <w:t xml:space="preserve"> </w:t>
      </w:r>
      <w:r w:rsidR="008D46A0" w:rsidRPr="00792946">
        <w:rPr>
          <w:rFonts w:ascii="Palatino Linotype" w:eastAsia="Times New Roman" w:hAnsi="Palatino Linotype" w:cs="Times New Roman"/>
          <w:sz w:val="20"/>
          <w:szCs w:val="20"/>
          <w:lang w:eastAsia="it-IT"/>
        </w:rPr>
        <w:t>la perdita</w:t>
      </w:r>
      <w:r w:rsidR="005B29BC" w:rsidRPr="00792946">
        <w:rPr>
          <w:rFonts w:ascii="Palatino Linotype" w:eastAsia="Times New Roman" w:hAnsi="Palatino Linotype" w:cs="Times New Roman"/>
          <w:sz w:val="20"/>
          <w:szCs w:val="20"/>
          <w:lang w:eastAsia="it-IT"/>
        </w:rPr>
        <w:t xml:space="preserve"> dei requisiti riguard</w:t>
      </w:r>
      <w:r w:rsidR="00D83EE9">
        <w:rPr>
          <w:rFonts w:ascii="Palatino Linotype" w:eastAsia="Times New Roman" w:hAnsi="Palatino Linotype" w:cs="Times New Roman"/>
          <w:sz w:val="20"/>
          <w:szCs w:val="20"/>
          <w:lang w:eastAsia="it-IT"/>
        </w:rPr>
        <w:t>i</w:t>
      </w:r>
      <w:r w:rsidR="005B29BC" w:rsidRPr="00792946">
        <w:rPr>
          <w:rFonts w:ascii="Palatino Linotype" w:eastAsia="Times New Roman" w:hAnsi="Palatino Linotype" w:cs="Times New Roman"/>
          <w:sz w:val="20"/>
          <w:szCs w:val="20"/>
          <w:lang w:eastAsia="it-IT"/>
        </w:rPr>
        <w:t xml:space="preserve"> </w:t>
      </w:r>
      <w:r w:rsidR="008D46A0" w:rsidRPr="00792946">
        <w:rPr>
          <w:rFonts w:ascii="Palatino Linotype" w:eastAsia="Times New Roman" w:hAnsi="Palatino Linotype" w:cs="Times New Roman"/>
          <w:sz w:val="20"/>
          <w:szCs w:val="20"/>
          <w:lang w:eastAsia="it-IT"/>
        </w:rPr>
        <w:t xml:space="preserve">un </w:t>
      </w:r>
      <w:r w:rsidR="005B29BC" w:rsidRPr="00792946">
        <w:rPr>
          <w:rFonts w:ascii="Palatino Linotype" w:eastAsia="Times New Roman" w:hAnsi="Palatino Linotype" w:cs="Times New Roman"/>
          <w:sz w:val="20"/>
          <w:szCs w:val="20"/>
          <w:lang w:eastAsia="it-IT"/>
        </w:rPr>
        <w:t xml:space="preserve">ausiliario, </w:t>
      </w:r>
      <w:r w:rsidR="005B0223" w:rsidRPr="00792946">
        <w:rPr>
          <w:rFonts w:ascii="Palatino Linotype" w:eastAsia="Times New Roman" w:hAnsi="Palatino Linotype" w:cs="Times New Roman"/>
          <w:sz w:val="20"/>
          <w:szCs w:val="20"/>
          <w:lang w:eastAsia="it-IT"/>
        </w:rPr>
        <w:t xml:space="preserve">gravando </w:t>
      </w:r>
      <w:r w:rsidR="00933AC8" w:rsidRPr="00792946">
        <w:rPr>
          <w:rFonts w:ascii="Palatino Linotype" w:eastAsia="Times New Roman" w:hAnsi="Palatino Linotype" w:cs="Times New Roman"/>
          <w:sz w:val="20"/>
          <w:szCs w:val="20"/>
          <w:lang w:eastAsia="it-IT"/>
        </w:rPr>
        <w:t xml:space="preserve">comunque </w:t>
      </w:r>
      <w:r w:rsidR="00AE79A4" w:rsidRPr="00792946">
        <w:rPr>
          <w:rFonts w:ascii="Palatino Linotype" w:eastAsia="Times New Roman" w:hAnsi="Palatino Linotype" w:cs="Times New Roman"/>
          <w:sz w:val="20"/>
          <w:szCs w:val="20"/>
          <w:lang w:eastAsia="it-IT"/>
        </w:rPr>
        <w:t>sul concorrente l’obbligo di</w:t>
      </w:r>
      <w:r w:rsidR="005B29BC" w:rsidRPr="00792946">
        <w:rPr>
          <w:rFonts w:ascii="Palatino Linotype" w:eastAsia="Times New Roman" w:hAnsi="Palatino Linotype" w:cs="Times New Roman"/>
          <w:sz w:val="20"/>
          <w:szCs w:val="20"/>
          <w:lang w:eastAsia="it-IT"/>
        </w:rPr>
        <w:t xml:space="preserve"> dimostrare il possesso</w:t>
      </w:r>
      <w:r w:rsidR="008352D2" w:rsidRPr="00792946">
        <w:rPr>
          <w:rFonts w:ascii="Palatino Linotype" w:eastAsia="Times New Roman" w:hAnsi="Palatino Linotype" w:cs="Times New Roman"/>
          <w:sz w:val="20"/>
          <w:szCs w:val="20"/>
          <w:lang w:eastAsia="it-IT"/>
        </w:rPr>
        <w:t xml:space="preserve"> d</w:t>
      </w:r>
      <w:r w:rsidR="00937480" w:rsidRPr="00792946">
        <w:rPr>
          <w:rFonts w:ascii="Palatino Linotype" w:eastAsia="Times New Roman" w:hAnsi="Palatino Linotype" w:cs="Times New Roman"/>
          <w:sz w:val="20"/>
          <w:szCs w:val="20"/>
          <w:lang w:eastAsia="it-IT"/>
        </w:rPr>
        <w:t>e</w:t>
      </w:r>
      <w:r w:rsidR="008352D2" w:rsidRPr="00792946">
        <w:rPr>
          <w:rFonts w:ascii="Palatino Linotype" w:eastAsia="Times New Roman" w:hAnsi="Palatino Linotype" w:cs="Times New Roman"/>
          <w:sz w:val="20"/>
          <w:szCs w:val="20"/>
          <w:lang w:eastAsia="it-IT"/>
        </w:rPr>
        <w:t xml:space="preserve">i </w:t>
      </w:r>
      <w:r w:rsidR="00AE79A4" w:rsidRPr="00792946">
        <w:rPr>
          <w:rFonts w:ascii="Palatino Linotype" w:eastAsia="Times New Roman" w:hAnsi="Palatino Linotype" w:cs="Times New Roman"/>
          <w:sz w:val="20"/>
          <w:szCs w:val="20"/>
          <w:lang w:eastAsia="it-IT"/>
        </w:rPr>
        <w:t>requisiti, da chiunque posseduti,</w:t>
      </w:r>
      <w:r w:rsidR="00F558BC" w:rsidRPr="00792946">
        <w:rPr>
          <w:rFonts w:ascii="Palatino Linotype" w:eastAsia="Times New Roman" w:hAnsi="Palatino Linotype" w:cs="Times New Roman"/>
          <w:sz w:val="20"/>
          <w:szCs w:val="20"/>
          <w:lang w:eastAsia="it-IT"/>
        </w:rPr>
        <w:t xml:space="preserve"> </w:t>
      </w:r>
      <w:r w:rsidR="005B29BC" w:rsidRPr="00792946">
        <w:rPr>
          <w:rFonts w:ascii="Palatino Linotype" w:eastAsia="Times New Roman" w:hAnsi="Palatino Linotype" w:cs="Times New Roman"/>
          <w:sz w:val="20"/>
          <w:szCs w:val="20"/>
          <w:lang w:eastAsia="it-IT"/>
        </w:rPr>
        <w:t>per tutta la durata della procedura.</w:t>
      </w:r>
    </w:p>
    <w:p w14:paraId="67FFB0F4" w14:textId="77777777" w:rsidR="005B29BC" w:rsidRPr="00792946" w:rsidRDefault="005B29BC"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Va pertanto escluso chi si avvale di </w:t>
      </w:r>
      <w:r w:rsidR="005B0223" w:rsidRPr="00792946">
        <w:rPr>
          <w:rFonts w:ascii="Palatino Linotype" w:eastAsia="Times New Roman" w:hAnsi="Palatino Linotype" w:cs="Times New Roman"/>
          <w:sz w:val="20"/>
          <w:szCs w:val="20"/>
          <w:lang w:eastAsia="it-IT"/>
        </w:rPr>
        <w:t>un</w:t>
      </w:r>
      <w:r w:rsidRPr="00792946">
        <w:rPr>
          <w:rFonts w:ascii="Palatino Linotype" w:eastAsia="Times New Roman" w:hAnsi="Palatino Linotype" w:cs="Times New Roman"/>
          <w:sz w:val="20"/>
          <w:szCs w:val="20"/>
          <w:lang w:eastAsia="it-IT"/>
        </w:rPr>
        <w:t xml:space="preserve"> ausiliario privo del titolo.</w:t>
      </w:r>
    </w:p>
    <w:p w14:paraId="573465F1" w14:textId="77777777" w:rsidR="00EC7AFC" w:rsidRPr="00792946" w:rsidRDefault="00A46F10"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L</w:t>
      </w:r>
      <w:r w:rsidR="003C6AFA" w:rsidRPr="00792946">
        <w:rPr>
          <w:rFonts w:ascii="Palatino Linotype" w:eastAsia="Times New Roman" w:hAnsi="Palatino Linotype" w:cs="Times New Roman"/>
          <w:sz w:val="20"/>
          <w:szCs w:val="20"/>
          <w:lang w:eastAsia="it-IT"/>
        </w:rPr>
        <w:t xml:space="preserve">a </w:t>
      </w:r>
      <w:r w:rsidRPr="00792946">
        <w:rPr>
          <w:rFonts w:ascii="Palatino Linotype" w:eastAsia="Times New Roman" w:hAnsi="Palatino Linotype" w:cs="Times New Roman"/>
          <w:sz w:val="20"/>
          <w:szCs w:val="20"/>
          <w:lang w:eastAsia="it-IT"/>
        </w:rPr>
        <w:t>problematica della perduranza dei requisiti</w:t>
      </w:r>
      <w:r w:rsidR="003C6AFA" w:rsidRPr="00792946">
        <w:rPr>
          <w:rFonts w:ascii="Palatino Linotype" w:eastAsia="Times New Roman" w:hAnsi="Palatino Linotype" w:cs="Times New Roman"/>
          <w:sz w:val="20"/>
          <w:szCs w:val="20"/>
          <w:lang w:eastAsia="it-IT"/>
        </w:rPr>
        <w:t xml:space="preserve"> </w:t>
      </w:r>
      <w:r w:rsidR="00972A81" w:rsidRPr="00792946">
        <w:rPr>
          <w:rFonts w:ascii="Palatino Linotype" w:eastAsia="Times New Roman" w:hAnsi="Palatino Linotype" w:cs="Times New Roman"/>
          <w:sz w:val="20"/>
          <w:szCs w:val="20"/>
          <w:lang w:eastAsia="it-IT"/>
        </w:rPr>
        <w:t xml:space="preserve">in capo all’ausiliario </w:t>
      </w:r>
      <w:r w:rsidRPr="00792946">
        <w:rPr>
          <w:rFonts w:ascii="Palatino Linotype" w:eastAsia="Times New Roman" w:hAnsi="Palatino Linotype" w:cs="Times New Roman"/>
          <w:sz w:val="20"/>
          <w:szCs w:val="20"/>
          <w:lang w:eastAsia="it-IT"/>
        </w:rPr>
        <w:t>è stata nuovamente affrontata dal</w:t>
      </w:r>
      <w:r w:rsidR="003C6AFA" w:rsidRPr="00792946">
        <w:rPr>
          <w:rFonts w:ascii="Palatino Linotype" w:eastAsia="Times New Roman" w:hAnsi="Palatino Linotype" w:cs="Times New Roman"/>
          <w:sz w:val="20"/>
          <w:szCs w:val="20"/>
          <w:lang w:eastAsia="it-IT"/>
        </w:rPr>
        <w:t>l’Adunanza plenaria</w:t>
      </w:r>
      <w:r w:rsidR="00D23EB0" w:rsidRPr="00792946">
        <w:rPr>
          <w:rStyle w:val="Rimandonotaapidipagina"/>
          <w:rFonts w:ascii="Palatino Linotype" w:eastAsia="Times New Roman" w:hAnsi="Palatino Linotype" w:cs="Times New Roman"/>
          <w:sz w:val="20"/>
          <w:szCs w:val="20"/>
          <w:lang w:eastAsia="it-IT"/>
        </w:rPr>
        <w:footnoteReference w:id="28"/>
      </w:r>
      <w:r w:rsidR="00EC7AFC" w:rsidRPr="00792946">
        <w:rPr>
          <w:rFonts w:ascii="Palatino Linotype" w:eastAsia="Times New Roman" w:hAnsi="Palatino Linotype" w:cs="Times New Roman"/>
          <w:sz w:val="20"/>
          <w:szCs w:val="20"/>
          <w:lang w:eastAsia="it-IT"/>
        </w:rPr>
        <w:t xml:space="preserve">, in occasione della vicenda di </w:t>
      </w:r>
      <w:r w:rsidR="00B851DD" w:rsidRPr="00792946">
        <w:rPr>
          <w:rFonts w:ascii="Palatino Linotype" w:eastAsia="Times New Roman" w:hAnsi="Palatino Linotype" w:cs="Times New Roman"/>
          <w:sz w:val="20"/>
          <w:szCs w:val="20"/>
          <w:lang w:eastAsia="it-IT"/>
        </w:rPr>
        <w:t>un consorzio stabile</w:t>
      </w:r>
      <w:r w:rsidR="00CD4D9A" w:rsidRPr="00792946">
        <w:rPr>
          <w:rFonts w:ascii="Palatino Linotype" w:eastAsia="Times New Roman" w:hAnsi="Palatino Linotype" w:cs="Times New Roman"/>
          <w:sz w:val="20"/>
          <w:szCs w:val="20"/>
          <w:lang w:eastAsia="it-IT"/>
        </w:rPr>
        <w:t>,</w:t>
      </w:r>
      <w:r w:rsidR="00B851DD" w:rsidRPr="00792946">
        <w:rPr>
          <w:rFonts w:ascii="Palatino Linotype" w:eastAsia="Times New Roman" w:hAnsi="Palatino Linotype" w:cs="Times New Roman"/>
          <w:sz w:val="20"/>
          <w:szCs w:val="20"/>
          <w:lang w:eastAsia="it-IT"/>
        </w:rPr>
        <w:t xml:space="preserve"> </w:t>
      </w:r>
      <w:r w:rsidR="00EC7AFC" w:rsidRPr="00792946">
        <w:rPr>
          <w:rFonts w:ascii="Palatino Linotype" w:eastAsia="Times New Roman" w:hAnsi="Palatino Linotype" w:cs="Times New Roman"/>
          <w:sz w:val="20"/>
          <w:szCs w:val="20"/>
          <w:lang w:eastAsia="it-IT"/>
        </w:rPr>
        <w:t>escluso da</w:t>
      </w:r>
      <w:r w:rsidR="008D46A0" w:rsidRPr="00792946">
        <w:rPr>
          <w:rFonts w:ascii="Palatino Linotype" w:eastAsia="Times New Roman" w:hAnsi="Palatino Linotype" w:cs="Times New Roman"/>
          <w:sz w:val="20"/>
          <w:szCs w:val="20"/>
          <w:lang w:eastAsia="it-IT"/>
        </w:rPr>
        <w:t xml:space="preserve"> un</w:t>
      </w:r>
      <w:r w:rsidR="00EC7AFC" w:rsidRPr="00792946">
        <w:rPr>
          <w:rFonts w:ascii="Palatino Linotype" w:eastAsia="Times New Roman" w:hAnsi="Palatino Linotype" w:cs="Times New Roman"/>
          <w:sz w:val="20"/>
          <w:szCs w:val="20"/>
          <w:lang w:eastAsia="it-IT"/>
        </w:rPr>
        <w:t>a g</w:t>
      </w:r>
      <w:r w:rsidR="00CD4D9A" w:rsidRPr="00792946">
        <w:rPr>
          <w:rFonts w:ascii="Palatino Linotype" w:eastAsia="Times New Roman" w:hAnsi="Palatino Linotype" w:cs="Times New Roman"/>
          <w:sz w:val="20"/>
          <w:szCs w:val="20"/>
          <w:lang w:eastAsia="it-IT"/>
        </w:rPr>
        <w:t>ara per l’affidamento di lavori</w:t>
      </w:r>
      <w:r w:rsidR="00EC7AFC" w:rsidRPr="00792946">
        <w:rPr>
          <w:rFonts w:ascii="Palatino Linotype" w:eastAsia="Times New Roman" w:hAnsi="Palatino Linotype" w:cs="Times New Roman"/>
          <w:sz w:val="20"/>
          <w:szCs w:val="20"/>
          <w:lang w:eastAsia="it-IT"/>
        </w:rPr>
        <w:t xml:space="preserve"> per aver</w:t>
      </w:r>
      <w:r w:rsidR="005261A9" w:rsidRPr="00792946">
        <w:rPr>
          <w:rFonts w:ascii="Palatino Linotype" w:eastAsia="Times New Roman" w:hAnsi="Palatino Linotype" w:cs="Times New Roman"/>
          <w:sz w:val="20"/>
          <w:szCs w:val="20"/>
          <w:lang w:eastAsia="it-IT"/>
        </w:rPr>
        <w:t>e</w:t>
      </w:r>
      <w:r w:rsidR="00EC7AFC" w:rsidRPr="00792946">
        <w:rPr>
          <w:rFonts w:ascii="Palatino Linotype" w:eastAsia="Times New Roman" w:hAnsi="Palatino Linotype" w:cs="Times New Roman"/>
          <w:sz w:val="20"/>
          <w:szCs w:val="20"/>
          <w:lang w:eastAsia="it-IT"/>
        </w:rPr>
        <w:t xml:space="preserve"> perso, per un certo lasso di tempo, l’attestazione di qualificazione SOA per la categoria OS35, possedut</w:t>
      </w:r>
      <w:r w:rsidR="005261A9" w:rsidRPr="00792946">
        <w:rPr>
          <w:rFonts w:ascii="Palatino Linotype" w:eastAsia="Times New Roman" w:hAnsi="Palatino Linotype" w:cs="Times New Roman"/>
          <w:sz w:val="20"/>
          <w:szCs w:val="20"/>
          <w:lang w:eastAsia="it-IT"/>
        </w:rPr>
        <w:t>a</w:t>
      </w:r>
      <w:r w:rsidR="00EC7AFC" w:rsidRPr="00792946">
        <w:rPr>
          <w:rFonts w:ascii="Palatino Linotype" w:eastAsia="Times New Roman" w:hAnsi="Palatino Linotype" w:cs="Times New Roman"/>
          <w:sz w:val="20"/>
          <w:szCs w:val="20"/>
          <w:lang w:eastAsia="it-IT"/>
        </w:rPr>
        <w:t xml:space="preserve"> </w:t>
      </w:r>
      <w:r w:rsidR="008D46A0" w:rsidRPr="00792946">
        <w:rPr>
          <w:rFonts w:ascii="Palatino Linotype" w:eastAsia="Times New Roman" w:hAnsi="Palatino Linotype" w:cs="Times New Roman"/>
          <w:sz w:val="20"/>
          <w:szCs w:val="20"/>
          <w:lang w:eastAsia="it-IT"/>
        </w:rPr>
        <w:t>mediante</w:t>
      </w:r>
      <w:r w:rsidR="00EC7AFC" w:rsidRPr="00792946">
        <w:rPr>
          <w:rFonts w:ascii="Palatino Linotype" w:eastAsia="Times New Roman" w:hAnsi="Palatino Linotype" w:cs="Times New Roman"/>
          <w:sz w:val="20"/>
          <w:szCs w:val="20"/>
          <w:lang w:eastAsia="it-IT"/>
        </w:rPr>
        <w:t xml:space="preserve"> </w:t>
      </w:r>
      <w:r w:rsidR="00FC0456" w:rsidRPr="00792946">
        <w:rPr>
          <w:rFonts w:ascii="Palatino Linotype" w:eastAsia="Times New Roman" w:hAnsi="Palatino Linotype" w:cs="Times New Roman"/>
          <w:sz w:val="20"/>
          <w:szCs w:val="20"/>
          <w:lang w:eastAsia="it-IT"/>
        </w:rPr>
        <w:t xml:space="preserve">cumulo </w:t>
      </w:r>
      <w:r w:rsidR="00EC7AFC" w:rsidRPr="00792946">
        <w:rPr>
          <w:rFonts w:ascii="Palatino Linotype" w:eastAsia="Times New Roman" w:hAnsi="Palatino Linotype" w:cs="Times New Roman"/>
          <w:sz w:val="20"/>
          <w:szCs w:val="20"/>
          <w:lang w:eastAsia="it-IT"/>
        </w:rPr>
        <w:t xml:space="preserve">‘alla rinfusa’, </w:t>
      </w:r>
      <w:r w:rsidR="008D46A0" w:rsidRPr="00792946">
        <w:rPr>
          <w:rFonts w:ascii="Palatino Linotype" w:eastAsia="Times New Roman" w:hAnsi="Palatino Linotype" w:cs="Times New Roman"/>
          <w:sz w:val="20"/>
          <w:szCs w:val="20"/>
          <w:lang w:eastAsia="it-IT"/>
        </w:rPr>
        <w:t xml:space="preserve">per il </w:t>
      </w:r>
      <w:r w:rsidR="00EC7AFC" w:rsidRPr="00792946">
        <w:rPr>
          <w:rFonts w:ascii="Palatino Linotype" w:eastAsia="Times New Roman" w:hAnsi="Palatino Linotype" w:cs="Times New Roman"/>
          <w:sz w:val="20"/>
          <w:szCs w:val="20"/>
          <w:lang w:eastAsia="it-IT"/>
        </w:rPr>
        <w:t xml:space="preserve">tramite </w:t>
      </w:r>
      <w:r w:rsidR="008D46A0" w:rsidRPr="00792946">
        <w:rPr>
          <w:rFonts w:ascii="Palatino Linotype" w:eastAsia="Times New Roman" w:hAnsi="Palatino Linotype" w:cs="Times New Roman"/>
          <w:sz w:val="20"/>
          <w:szCs w:val="20"/>
          <w:lang w:eastAsia="it-IT"/>
        </w:rPr>
        <w:t xml:space="preserve">di </w:t>
      </w:r>
      <w:r w:rsidR="00EC7AFC" w:rsidRPr="00792946">
        <w:rPr>
          <w:rFonts w:ascii="Palatino Linotype" w:eastAsia="Times New Roman" w:hAnsi="Palatino Linotype" w:cs="Times New Roman"/>
          <w:sz w:val="20"/>
          <w:szCs w:val="20"/>
          <w:lang w:eastAsia="it-IT"/>
        </w:rPr>
        <w:t>una consorziata non designata per l’esecuzione dei lavori, la quale, a sua volta, la derivava da un rapporto di avvalimento con un terzo soggetto.</w:t>
      </w:r>
    </w:p>
    <w:p w14:paraId="1037BE92" w14:textId="77777777" w:rsidR="005B29BC" w:rsidRPr="00792946" w:rsidRDefault="00D83EE9" w:rsidP="00347275">
      <w:pPr>
        <w:spacing w:after="0" w:line="360" w:lineRule="auto"/>
        <w:ind w:firstLine="851"/>
        <w:jc w:val="both"/>
        <w:rPr>
          <w:rFonts w:ascii="Palatino Linotype" w:eastAsia="Times New Roman" w:hAnsi="Palatino Linotype" w:cs="Times New Roman"/>
          <w:sz w:val="20"/>
          <w:szCs w:val="20"/>
          <w:lang w:eastAsia="it-IT"/>
        </w:rPr>
      </w:pPr>
      <w:r>
        <w:rPr>
          <w:rFonts w:ascii="Palatino Linotype" w:eastAsia="Times New Roman" w:hAnsi="Palatino Linotype" w:cs="Times New Roman"/>
          <w:sz w:val="20"/>
          <w:szCs w:val="20"/>
          <w:lang w:eastAsia="it-IT"/>
        </w:rPr>
        <w:t>Di</w:t>
      </w:r>
      <w:r w:rsidR="005261A9" w:rsidRPr="00792946">
        <w:rPr>
          <w:rFonts w:ascii="Palatino Linotype" w:eastAsia="Times New Roman" w:hAnsi="Palatino Linotype" w:cs="Times New Roman"/>
          <w:sz w:val="20"/>
          <w:szCs w:val="20"/>
          <w:lang w:eastAsia="it-IT"/>
        </w:rPr>
        <w:t xml:space="preserve">fatti, </w:t>
      </w:r>
      <w:r>
        <w:rPr>
          <w:rFonts w:ascii="Palatino Linotype" w:eastAsia="Times New Roman" w:hAnsi="Palatino Linotype" w:cs="Times New Roman"/>
          <w:sz w:val="20"/>
          <w:szCs w:val="20"/>
          <w:lang w:eastAsia="it-IT"/>
        </w:rPr>
        <w:t>i</w:t>
      </w:r>
      <w:r w:rsidR="005261A9" w:rsidRPr="00792946">
        <w:rPr>
          <w:rFonts w:ascii="Palatino Linotype" w:eastAsia="Times New Roman" w:hAnsi="Palatino Linotype" w:cs="Times New Roman"/>
          <w:sz w:val="20"/>
          <w:szCs w:val="20"/>
          <w:lang w:eastAsia="it-IT"/>
        </w:rPr>
        <w:t>n</w:t>
      </w:r>
      <w:r>
        <w:rPr>
          <w:rFonts w:ascii="Palatino Linotype" w:eastAsia="Times New Roman" w:hAnsi="Palatino Linotype" w:cs="Times New Roman"/>
          <w:sz w:val="20"/>
          <w:szCs w:val="20"/>
          <w:lang w:eastAsia="it-IT"/>
        </w:rPr>
        <w:t xml:space="preserve"> </w:t>
      </w:r>
      <w:r w:rsidR="00EC7AFC" w:rsidRPr="00792946">
        <w:rPr>
          <w:rFonts w:ascii="Palatino Linotype" w:eastAsia="Times New Roman" w:hAnsi="Palatino Linotype" w:cs="Times New Roman"/>
          <w:sz w:val="20"/>
          <w:szCs w:val="20"/>
          <w:lang w:eastAsia="it-IT"/>
        </w:rPr>
        <w:t>corso d</w:t>
      </w:r>
      <w:r>
        <w:rPr>
          <w:rFonts w:ascii="Palatino Linotype" w:eastAsia="Times New Roman" w:hAnsi="Palatino Linotype" w:cs="Times New Roman"/>
          <w:sz w:val="20"/>
          <w:szCs w:val="20"/>
          <w:lang w:eastAsia="it-IT"/>
        </w:rPr>
        <w:t>i</w:t>
      </w:r>
      <w:r w:rsidR="00EC7AFC" w:rsidRPr="00792946">
        <w:rPr>
          <w:rFonts w:ascii="Palatino Linotype" w:eastAsia="Times New Roman" w:hAnsi="Palatino Linotype" w:cs="Times New Roman"/>
          <w:sz w:val="20"/>
          <w:szCs w:val="20"/>
          <w:lang w:eastAsia="it-IT"/>
        </w:rPr>
        <w:t xml:space="preserve"> gara, la partecipazione della predetta consorziata </w:t>
      </w:r>
      <w:r>
        <w:rPr>
          <w:rFonts w:ascii="Palatino Linotype" w:eastAsia="Times New Roman" w:hAnsi="Palatino Linotype" w:cs="Times New Roman"/>
          <w:sz w:val="20"/>
          <w:szCs w:val="20"/>
          <w:lang w:eastAsia="it-IT"/>
        </w:rPr>
        <w:t>è</w:t>
      </w:r>
      <w:r w:rsidR="00EC7AFC" w:rsidRPr="00792946">
        <w:rPr>
          <w:rFonts w:ascii="Palatino Linotype" w:eastAsia="Times New Roman" w:hAnsi="Palatino Linotype" w:cs="Times New Roman"/>
          <w:sz w:val="20"/>
          <w:szCs w:val="20"/>
          <w:lang w:eastAsia="it-IT"/>
        </w:rPr>
        <w:t xml:space="preserve"> venuta meno ed </w:t>
      </w:r>
      <w:r>
        <w:rPr>
          <w:rFonts w:ascii="Palatino Linotype" w:eastAsia="Times New Roman" w:hAnsi="Palatino Linotype" w:cs="Times New Roman"/>
          <w:sz w:val="20"/>
          <w:szCs w:val="20"/>
          <w:lang w:eastAsia="it-IT"/>
        </w:rPr>
        <w:t>è</w:t>
      </w:r>
      <w:r w:rsidR="00EC7AFC" w:rsidRPr="00792946">
        <w:rPr>
          <w:rFonts w:ascii="Palatino Linotype" w:eastAsia="Times New Roman" w:hAnsi="Palatino Linotype" w:cs="Times New Roman"/>
          <w:sz w:val="20"/>
          <w:szCs w:val="20"/>
          <w:lang w:eastAsia="it-IT"/>
        </w:rPr>
        <w:t xml:space="preserve"> stato necessario procedere alla sua sostituzione</w:t>
      </w:r>
      <w:r w:rsidR="00B851DD" w:rsidRPr="00792946">
        <w:rPr>
          <w:rFonts w:ascii="Palatino Linotype" w:eastAsia="Times New Roman" w:hAnsi="Palatino Linotype" w:cs="Times New Roman"/>
          <w:sz w:val="20"/>
          <w:szCs w:val="20"/>
          <w:lang w:eastAsia="it-IT"/>
        </w:rPr>
        <w:t xml:space="preserve">; </w:t>
      </w:r>
      <w:r w:rsidR="00BF32E3" w:rsidRPr="00792946">
        <w:rPr>
          <w:rFonts w:ascii="Palatino Linotype" w:eastAsia="Times New Roman" w:hAnsi="Palatino Linotype" w:cs="Times New Roman"/>
          <w:sz w:val="20"/>
          <w:szCs w:val="20"/>
          <w:lang w:eastAsia="it-IT"/>
        </w:rPr>
        <w:t>di risulta</w:t>
      </w:r>
      <w:r w:rsidR="00EC7AFC" w:rsidRPr="00792946">
        <w:rPr>
          <w:rFonts w:ascii="Palatino Linotype" w:eastAsia="Times New Roman" w:hAnsi="Palatino Linotype" w:cs="Times New Roman"/>
          <w:sz w:val="20"/>
          <w:szCs w:val="20"/>
          <w:lang w:eastAsia="it-IT"/>
        </w:rPr>
        <w:t>, fino a</w:t>
      </w:r>
      <w:r w:rsidR="00BF32E3" w:rsidRPr="00792946">
        <w:rPr>
          <w:rFonts w:ascii="Palatino Linotype" w:eastAsia="Times New Roman" w:hAnsi="Palatino Linotype" w:cs="Times New Roman"/>
          <w:sz w:val="20"/>
          <w:szCs w:val="20"/>
          <w:lang w:eastAsia="it-IT"/>
        </w:rPr>
        <w:t>l</w:t>
      </w:r>
      <w:r w:rsidR="00933AC8" w:rsidRPr="00792946">
        <w:rPr>
          <w:rFonts w:ascii="Palatino Linotype" w:eastAsia="Times New Roman" w:hAnsi="Palatino Linotype" w:cs="Times New Roman"/>
          <w:sz w:val="20"/>
          <w:szCs w:val="20"/>
          <w:lang w:eastAsia="it-IT"/>
        </w:rPr>
        <w:t xml:space="preserve"> que</w:t>
      </w:r>
      <w:r w:rsidR="00BF32E3" w:rsidRPr="00792946">
        <w:rPr>
          <w:rFonts w:ascii="Palatino Linotype" w:eastAsia="Times New Roman" w:hAnsi="Palatino Linotype" w:cs="Times New Roman"/>
          <w:sz w:val="20"/>
          <w:szCs w:val="20"/>
          <w:lang w:eastAsia="it-IT"/>
        </w:rPr>
        <w:t>l</w:t>
      </w:r>
      <w:r w:rsidR="00933AC8" w:rsidRPr="00792946">
        <w:rPr>
          <w:rFonts w:ascii="Palatino Linotype" w:eastAsia="Times New Roman" w:hAnsi="Palatino Linotype" w:cs="Times New Roman"/>
          <w:sz w:val="20"/>
          <w:szCs w:val="20"/>
          <w:lang w:eastAsia="it-IT"/>
        </w:rPr>
        <w:t xml:space="preserve"> momento</w:t>
      </w:r>
      <w:r w:rsidR="00972A81" w:rsidRPr="00792946">
        <w:rPr>
          <w:rFonts w:ascii="Palatino Linotype" w:eastAsia="Times New Roman" w:hAnsi="Palatino Linotype" w:cs="Times New Roman"/>
          <w:sz w:val="20"/>
          <w:szCs w:val="20"/>
          <w:lang w:eastAsia="it-IT"/>
        </w:rPr>
        <w:t>,</w:t>
      </w:r>
      <w:r w:rsidR="00EC7AFC" w:rsidRPr="00792946">
        <w:rPr>
          <w:rFonts w:ascii="Palatino Linotype" w:eastAsia="Times New Roman" w:hAnsi="Palatino Linotype" w:cs="Times New Roman"/>
          <w:sz w:val="20"/>
          <w:szCs w:val="20"/>
          <w:lang w:eastAsia="it-IT"/>
        </w:rPr>
        <w:t xml:space="preserve"> </w:t>
      </w:r>
      <w:r w:rsidR="00F71A2E" w:rsidRPr="00792946">
        <w:rPr>
          <w:rFonts w:ascii="Palatino Linotype" w:eastAsia="Times New Roman" w:hAnsi="Palatino Linotype" w:cs="Times New Roman"/>
          <w:sz w:val="20"/>
          <w:szCs w:val="20"/>
          <w:lang w:eastAsia="it-IT"/>
        </w:rPr>
        <w:t xml:space="preserve">il requisito </w:t>
      </w:r>
      <w:r>
        <w:rPr>
          <w:rFonts w:ascii="Palatino Linotype" w:eastAsia="Times New Roman" w:hAnsi="Palatino Linotype" w:cs="Times New Roman"/>
          <w:sz w:val="20"/>
          <w:szCs w:val="20"/>
          <w:lang w:eastAsia="it-IT"/>
        </w:rPr>
        <w:t>è</w:t>
      </w:r>
      <w:r w:rsidR="00BF32E3" w:rsidRPr="00792946">
        <w:rPr>
          <w:rFonts w:ascii="Palatino Linotype" w:eastAsia="Times New Roman" w:hAnsi="Palatino Linotype" w:cs="Times New Roman"/>
          <w:sz w:val="20"/>
          <w:szCs w:val="20"/>
          <w:lang w:eastAsia="it-IT"/>
        </w:rPr>
        <w:t xml:space="preserve"> venuto meno </w:t>
      </w:r>
      <w:r w:rsidR="00F71A2E" w:rsidRPr="00792946">
        <w:rPr>
          <w:rFonts w:ascii="Palatino Linotype" w:eastAsia="Times New Roman" w:hAnsi="Palatino Linotype" w:cs="Times New Roman"/>
          <w:sz w:val="20"/>
          <w:szCs w:val="20"/>
          <w:lang w:eastAsia="it-IT"/>
        </w:rPr>
        <w:t xml:space="preserve">anche </w:t>
      </w:r>
      <w:r w:rsidR="00BF32E3" w:rsidRPr="00792946">
        <w:rPr>
          <w:rFonts w:ascii="Palatino Linotype" w:eastAsia="Times New Roman" w:hAnsi="Palatino Linotype" w:cs="Times New Roman"/>
          <w:sz w:val="20"/>
          <w:szCs w:val="20"/>
          <w:lang w:eastAsia="it-IT"/>
        </w:rPr>
        <w:t>in capo al concorrente</w:t>
      </w:r>
      <w:r w:rsidR="00EC7AFC" w:rsidRPr="00792946">
        <w:rPr>
          <w:rFonts w:ascii="Palatino Linotype" w:eastAsia="Times New Roman" w:hAnsi="Palatino Linotype" w:cs="Times New Roman"/>
          <w:sz w:val="20"/>
          <w:szCs w:val="20"/>
          <w:lang w:eastAsia="it-IT"/>
        </w:rPr>
        <w:t>.</w:t>
      </w:r>
    </w:p>
    <w:p w14:paraId="4596AFB8" w14:textId="77777777" w:rsidR="00304E62" w:rsidRDefault="00304E62" w:rsidP="00304E62">
      <w:pPr>
        <w:spacing w:after="0" w:line="360" w:lineRule="auto"/>
        <w:ind w:firstLine="851"/>
        <w:jc w:val="both"/>
        <w:rPr>
          <w:rFonts w:ascii="Palatino Linotype" w:eastAsia="Times New Roman" w:hAnsi="Palatino Linotype" w:cs="Times New Roman"/>
          <w:sz w:val="20"/>
          <w:szCs w:val="20"/>
          <w:lang w:eastAsia="it-IT"/>
        </w:rPr>
      </w:pPr>
      <w:r>
        <w:rPr>
          <w:rFonts w:ascii="Palatino Linotype" w:eastAsia="Times New Roman" w:hAnsi="Palatino Linotype" w:cs="Times New Roman"/>
          <w:sz w:val="20"/>
          <w:szCs w:val="20"/>
          <w:lang w:eastAsia="it-IT"/>
        </w:rPr>
        <w:t>Pe</w:t>
      </w:r>
      <w:r w:rsidR="00B833D0">
        <w:rPr>
          <w:rFonts w:ascii="Palatino Linotype" w:eastAsia="Times New Roman" w:hAnsi="Palatino Linotype" w:cs="Times New Roman"/>
          <w:sz w:val="20"/>
          <w:szCs w:val="20"/>
          <w:lang w:eastAsia="it-IT"/>
        </w:rPr>
        <w:t>r</w:t>
      </w:r>
      <w:r>
        <w:rPr>
          <w:rFonts w:ascii="Palatino Linotype" w:eastAsia="Times New Roman" w:hAnsi="Palatino Linotype" w:cs="Times New Roman"/>
          <w:sz w:val="20"/>
          <w:szCs w:val="20"/>
          <w:lang w:eastAsia="it-IT"/>
        </w:rPr>
        <w:t xml:space="preserve"> rispondere al quesito</w:t>
      </w:r>
      <w:r w:rsidR="005261A9" w:rsidRPr="00792946">
        <w:rPr>
          <w:rFonts w:ascii="Palatino Linotype" w:eastAsia="Times New Roman" w:hAnsi="Palatino Linotype" w:cs="Times New Roman"/>
          <w:sz w:val="20"/>
          <w:szCs w:val="20"/>
          <w:lang w:eastAsia="it-IT"/>
        </w:rPr>
        <w:t>, l</w:t>
      </w:r>
      <w:r w:rsidR="00B851DD" w:rsidRPr="00792946">
        <w:rPr>
          <w:rFonts w:ascii="Palatino Linotype" w:eastAsia="Times New Roman" w:hAnsi="Palatino Linotype" w:cs="Times New Roman"/>
          <w:sz w:val="20"/>
          <w:szCs w:val="20"/>
          <w:lang w:eastAsia="it-IT"/>
        </w:rPr>
        <w:t>’Adunanza plenaria</w:t>
      </w:r>
      <w:r w:rsidR="00781679" w:rsidRPr="00792946">
        <w:rPr>
          <w:rFonts w:ascii="Palatino Linotype" w:eastAsia="Times New Roman" w:hAnsi="Palatino Linotype" w:cs="Times New Roman"/>
          <w:sz w:val="20"/>
          <w:szCs w:val="20"/>
          <w:lang w:eastAsia="it-IT"/>
        </w:rPr>
        <w:t xml:space="preserve"> si preoccupa</w:t>
      </w:r>
      <w:r w:rsidR="00B851DD" w:rsidRPr="00792946">
        <w:rPr>
          <w:rFonts w:ascii="Palatino Linotype" w:eastAsia="Times New Roman" w:hAnsi="Palatino Linotype" w:cs="Times New Roman"/>
          <w:sz w:val="20"/>
          <w:szCs w:val="20"/>
          <w:lang w:eastAsia="it-IT"/>
        </w:rPr>
        <w:t xml:space="preserve"> </w:t>
      </w:r>
      <w:r w:rsidR="00781679" w:rsidRPr="00792946">
        <w:rPr>
          <w:rFonts w:ascii="Palatino Linotype" w:eastAsia="Times New Roman" w:hAnsi="Palatino Linotype" w:cs="Times New Roman"/>
          <w:sz w:val="20"/>
          <w:szCs w:val="20"/>
          <w:lang w:eastAsia="it-IT"/>
        </w:rPr>
        <w:t>in</w:t>
      </w:r>
      <w:r w:rsidR="005261A9" w:rsidRPr="00792946">
        <w:rPr>
          <w:rFonts w:ascii="Palatino Linotype" w:eastAsia="Times New Roman" w:hAnsi="Palatino Linotype" w:cs="Times New Roman"/>
          <w:sz w:val="20"/>
          <w:szCs w:val="20"/>
          <w:lang w:eastAsia="it-IT"/>
        </w:rPr>
        <w:t xml:space="preserve">nanzitutto </w:t>
      </w:r>
      <w:r w:rsidR="002843B1" w:rsidRPr="00792946">
        <w:rPr>
          <w:rFonts w:ascii="Palatino Linotype" w:eastAsia="Times New Roman" w:hAnsi="Palatino Linotype" w:cs="Times New Roman"/>
          <w:sz w:val="20"/>
          <w:szCs w:val="20"/>
          <w:lang w:eastAsia="it-IT"/>
        </w:rPr>
        <w:t xml:space="preserve">di </w:t>
      </w:r>
      <w:r>
        <w:rPr>
          <w:rFonts w:ascii="Palatino Linotype" w:eastAsia="Times New Roman" w:hAnsi="Palatino Linotype" w:cs="Times New Roman"/>
          <w:sz w:val="20"/>
          <w:szCs w:val="20"/>
          <w:lang w:eastAsia="it-IT"/>
        </w:rPr>
        <w:t>defini</w:t>
      </w:r>
      <w:r w:rsidR="002843B1" w:rsidRPr="00792946">
        <w:rPr>
          <w:rFonts w:ascii="Palatino Linotype" w:eastAsia="Times New Roman" w:hAnsi="Palatino Linotype" w:cs="Times New Roman"/>
          <w:sz w:val="20"/>
          <w:szCs w:val="20"/>
          <w:lang w:eastAsia="it-IT"/>
        </w:rPr>
        <w:t>re</w:t>
      </w:r>
      <w:r>
        <w:rPr>
          <w:rFonts w:ascii="Palatino Linotype" w:eastAsia="Times New Roman" w:hAnsi="Palatino Linotype" w:cs="Times New Roman"/>
          <w:sz w:val="20"/>
          <w:szCs w:val="20"/>
          <w:lang w:eastAsia="it-IT"/>
        </w:rPr>
        <w:t>, ri</w:t>
      </w:r>
      <w:r w:rsidR="00BC3474">
        <w:rPr>
          <w:rFonts w:ascii="Palatino Linotype" w:eastAsia="Times New Roman" w:hAnsi="Palatino Linotype" w:cs="Times New Roman"/>
          <w:sz w:val="20"/>
          <w:szCs w:val="20"/>
          <w:lang w:eastAsia="it-IT"/>
        </w:rPr>
        <w:t>guard</w:t>
      </w:r>
      <w:r>
        <w:rPr>
          <w:rFonts w:ascii="Palatino Linotype" w:eastAsia="Times New Roman" w:hAnsi="Palatino Linotype" w:cs="Times New Roman"/>
          <w:sz w:val="20"/>
          <w:szCs w:val="20"/>
          <w:lang w:eastAsia="it-IT"/>
        </w:rPr>
        <w:t>o alla gara in corso,</w:t>
      </w:r>
      <w:r w:rsidR="00781679" w:rsidRPr="00792946">
        <w:rPr>
          <w:rFonts w:ascii="Palatino Linotype" w:eastAsia="Times New Roman" w:hAnsi="Palatino Linotype" w:cs="Times New Roman"/>
          <w:sz w:val="20"/>
          <w:szCs w:val="20"/>
          <w:lang w:eastAsia="it-IT"/>
        </w:rPr>
        <w:t xml:space="preserve"> </w:t>
      </w:r>
      <w:r w:rsidR="008D46A0" w:rsidRPr="00792946">
        <w:rPr>
          <w:rFonts w:ascii="Palatino Linotype" w:eastAsia="Times New Roman" w:hAnsi="Palatino Linotype" w:cs="Times New Roman"/>
          <w:sz w:val="20"/>
          <w:szCs w:val="20"/>
          <w:lang w:eastAsia="it-IT"/>
        </w:rPr>
        <w:t xml:space="preserve">la </w:t>
      </w:r>
      <w:r w:rsidR="0017402D" w:rsidRPr="00792946">
        <w:rPr>
          <w:rFonts w:ascii="Palatino Linotype" w:eastAsia="Times New Roman" w:hAnsi="Palatino Linotype" w:cs="Times New Roman"/>
          <w:sz w:val="20"/>
          <w:szCs w:val="20"/>
          <w:lang w:eastAsia="it-IT"/>
        </w:rPr>
        <w:t xml:space="preserve">posizione </w:t>
      </w:r>
      <w:r w:rsidR="00BC3474">
        <w:rPr>
          <w:rFonts w:ascii="Palatino Linotype" w:eastAsia="Times New Roman" w:hAnsi="Palatino Linotype" w:cs="Times New Roman"/>
          <w:sz w:val="20"/>
          <w:szCs w:val="20"/>
          <w:lang w:eastAsia="it-IT"/>
        </w:rPr>
        <w:t xml:space="preserve">giuridica </w:t>
      </w:r>
      <w:r w:rsidR="0017402D" w:rsidRPr="00792946">
        <w:rPr>
          <w:rFonts w:ascii="Palatino Linotype" w:eastAsia="Times New Roman" w:hAnsi="Palatino Linotype" w:cs="Times New Roman"/>
          <w:sz w:val="20"/>
          <w:szCs w:val="20"/>
          <w:lang w:eastAsia="it-IT"/>
        </w:rPr>
        <w:t xml:space="preserve">della </w:t>
      </w:r>
      <w:r w:rsidR="00294903" w:rsidRPr="00792946">
        <w:rPr>
          <w:rFonts w:ascii="Palatino Linotype" w:eastAsia="Times New Roman" w:hAnsi="Palatino Linotype" w:cs="Times New Roman"/>
          <w:sz w:val="20"/>
          <w:szCs w:val="20"/>
          <w:lang w:eastAsia="it-IT"/>
        </w:rPr>
        <w:t xml:space="preserve">consorziata non designata ai fini dell’esecuzione dei lavori, </w:t>
      </w:r>
      <w:r w:rsidR="00B851DD" w:rsidRPr="00792946">
        <w:rPr>
          <w:rFonts w:ascii="Palatino Linotype" w:eastAsia="Times New Roman" w:hAnsi="Palatino Linotype" w:cs="Times New Roman"/>
          <w:sz w:val="20"/>
          <w:szCs w:val="20"/>
          <w:lang w:eastAsia="it-IT"/>
        </w:rPr>
        <w:t xml:space="preserve">ma </w:t>
      </w:r>
      <w:r w:rsidR="00294903" w:rsidRPr="00792946">
        <w:rPr>
          <w:rFonts w:ascii="Palatino Linotype" w:eastAsia="Times New Roman" w:hAnsi="Palatino Linotype" w:cs="Times New Roman"/>
          <w:sz w:val="20"/>
          <w:szCs w:val="20"/>
          <w:lang w:eastAsia="it-IT"/>
        </w:rPr>
        <w:t xml:space="preserve">da cui il consorzio ritrae la propria qualificazione in applicazione del meccanismo del </w:t>
      </w:r>
      <w:r w:rsidR="00A46F10" w:rsidRPr="00792946">
        <w:rPr>
          <w:rFonts w:ascii="Palatino Linotype" w:eastAsia="Times New Roman" w:hAnsi="Palatino Linotype" w:cs="Times New Roman"/>
          <w:sz w:val="20"/>
          <w:szCs w:val="20"/>
          <w:lang w:eastAsia="it-IT"/>
        </w:rPr>
        <w:t>‘</w:t>
      </w:r>
      <w:r w:rsidR="00294903" w:rsidRPr="00792946">
        <w:rPr>
          <w:rFonts w:ascii="Palatino Linotype" w:eastAsia="Times New Roman" w:hAnsi="Palatino Linotype" w:cs="Times New Roman"/>
          <w:sz w:val="20"/>
          <w:szCs w:val="20"/>
          <w:lang w:eastAsia="it-IT"/>
        </w:rPr>
        <w:t>cumulo alla rinfusa</w:t>
      </w:r>
      <w:r w:rsidR="00A46F10" w:rsidRPr="00792946">
        <w:rPr>
          <w:rFonts w:ascii="Palatino Linotype" w:eastAsia="Times New Roman" w:hAnsi="Palatino Linotype" w:cs="Times New Roman"/>
          <w:sz w:val="20"/>
          <w:szCs w:val="20"/>
          <w:lang w:eastAsia="it-IT"/>
        </w:rPr>
        <w:t>’</w:t>
      </w:r>
      <w:r>
        <w:rPr>
          <w:rFonts w:ascii="Palatino Linotype" w:eastAsia="Times New Roman" w:hAnsi="Palatino Linotype" w:cs="Times New Roman"/>
          <w:sz w:val="20"/>
          <w:szCs w:val="20"/>
          <w:lang w:eastAsia="it-IT"/>
        </w:rPr>
        <w:t>.</w:t>
      </w:r>
    </w:p>
    <w:p w14:paraId="40E00707" w14:textId="77777777" w:rsidR="00876122" w:rsidRDefault="00BC3474" w:rsidP="00304E62">
      <w:pPr>
        <w:spacing w:after="0" w:line="360" w:lineRule="auto"/>
        <w:ind w:firstLine="851"/>
        <w:jc w:val="both"/>
        <w:rPr>
          <w:rFonts w:ascii="Palatino Linotype" w:eastAsia="Times New Roman" w:hAnsi="Palatino Linotype" w:cs="Times New Roman"/>
          <w:sz w:val="20"/>
          <w:szCs w:val="20"/>
          <w:lang w:eastAsia="it-IT"/>
        </w:rPr>
      </w:pPr>
      <w:r>
        <w:rPr>
          <w:rFonts w:ascii="Palatino Linotype" w:eastAsia="Times New Roman" w:hAnsi="Palatino Linotype" w:cs="Times New Roman"/>
          <w:sz w:val="20"/>
          <w:szCs w:val="20"/>
          <w:lang w:eastAsia="it-IT"/>
        </w:rPr>
        <w:t>Dett</w:t>
      </w:r>
      <w:r w:rsidR="00304E62">
        <w:rPr>
          <w:rFonts w:ascii="Palatino Linotype" w:eastAsia="Times New Roman" w:hAnsi="Palatino Linotype" w:cs="Times New Roman"/>
          <w:sz w:val="20"/>
          <w:szCs w:val="20"/>
          <w:lang w:eastAsia="it-IT"/>
        </w:rPr>
        <w:t>a condizione è quella di un’impresa che</w:t>
      </w:r>
      <w:r w:rsidR="00876122">
        <w:rPr>
          <w:rFonts w:ascii="Palatino Linotype" w:eastAsia="Times New Roman" w:hAnsi="Palatino Linotype" w:cs="Times New Roman"/>
          <w:sz w:val="20"/>
          <w:szCs w:val="20"/>
          <w:lang w:eastAsia="it-IT"/>
        </w:rPr>
        <w:t>, pur fornendo i requisiti all’impresa concorrente,</w:t>
      </w:r>
      <w:r w:rsidR="00304E62">
        <w:rPr>
          <w:rFonts w:ascii="Palatino Linotype" w:eastAsia="Times New Roman" w:hAnsi="Palatino Linotype" w:cs="Times New Roman"/>
          <w:sz w:val="20"/>
          <w:szCs w:val="20"/>
          <w:lang w:eastAsia="it-IT"/>
        </w:rPr>
        <w:t xml:space="preserve"> non</w:t>
      </w:r>
      <w:r w:rsidR="00304E62" w:rsidRPr="00304E62">
        <w:rPr>
          <w:rFonts w:ascii="Palatino Linotype" w:eastAsia="Times New Roman" w:hAnsi="Palatino Linotype" w:cs="Times New Roman"/>
          <w:sz w:val="20"/>
          <w:szCs w:val="20"/>
          <w:lang w:eastAsia="it-IT"/>
        </w:rPr>
        <w:t xml:space="preserve"> partecipa</w:t>
      </w:r>
      <w:r w:rsidR="00304E62">
        <w:rPr>
          <w:rFonts w:ascii="Palatino Linotype" w:eastAsia="Times New Roman" w:hAnsi="Palatino Linotype" w:cs="Times New Roman"/>
          <w:sz w:val="20"/>
          <w:szCs w:val="20"/>
          <w:lang w:eastAsia="it-IT"/>
        </w:rPr>
        <w:t xml:space="preserve"> </w:t>
      </w:r>
      <w:r w:rsidR="00304E62" w:rsidRPr="00304E62">
        <w:rPr>
          <w:rFonts w:ascii="Palatino Linotype" w:eastAsia="Times New Roman" w:hAnsi="Palatino Linotype" w:cs="Times New Roman"/>
          <w:sz w:val="20"/>
          <w:szCs w:val="20"/>
          <w:lang w:eastAsia="it-IT"/>
        </w:rPr>
        <w:t>alla gara</w:t>
      </w:r>
      <w:r w:rsidR="00876122">
        <w:rPr>
          <w:rFonts w:ascii="Palatino Linotype" w:eastAsia="Times New Roman" w:hAnsi="Palatino Linotype" w:cs="Times New Roman"/>
          <w:sz w:val="20"/>
          <w:szCs w:val="20"/>
          <w:lang w:eastAsia="it-IT"/>
        </w:rPr>
        <w:t>,</w:t>
      </w:r>
      <w:r w:rsidR="00304E62" w:rsidRPr="00304E62">
        <w:rPr>
          <w:rFonts w:ascii="Palatino Linotype" w:eastAsia="Times New Roman" w:hAnsi="Palatino Linotype" w:cs="Times New Roman"/>
          <w:sz w:val="20"/>
          <w:szCs w:val="20"/>
          <w:lang w:eastAsia="it-IT"/>
        </w:rPr>
        <w:t xml:space="preserve"> </w:t>
      </w:r>
      <w:r w:rsidR="00876122">
        <w:rPr>
          <w:rFonts w:ascii="Palatino Linotype" w:eastAsia="Times New Roman" w:hAnsi="Palatino Linotype" w:cs="Times New Roman"/>
          <w:sz w:val="20"/>
          <w:szCs w:val="20"/>
          <w:lang w:eastAsia="it-IT"/>
        </w:rPr>
        <w:t>né concorda con questa</w:t>
      </w:r>
      <w:r w:rsidR="00304E62" w:rsidRPr="00304E62">
        <w:rPr>
          <w:rFonts w:ascii="Palatino Linotype" w:eastAsia="Times New Roman" w:hAnsi="Palatino Linotype" w:cs="Times New Roman"/>
          <w:sz w:val="20"/>
          <w:szCs w:val="20"/>
          <w:lang w:eastAsia="it-IT"/>
        </w:rPr>
        <w:t xml:space="preserve"> l’offerta</w:t>
      </w:r>
      <w:r w:rsidR="00876122">
        <w:rPr>
          <w:rFonts w:ascii="Palatino Linotype" w:eastAsia="Times New Roman" w:hAnsi="Palatino Linotype" w:cs="Times New Roman"/>
          <w:sz w:val="20"/>
          <w:szCs w:val="20"/>
          <w:lang w:eastAsia="it-IT"/>
        </w:rPr>
        <w:t>.</w:t>
      </w:r>
    </w:p>
    <w:p w14:paraId="6D7A6192" w14:textId="77777777" w:rsidR="00304E62" w:rsidRDefault="00876122" w:rsidP="00304E62">
      <w:pPr>
        <w:spacing w:after="0" w:line="360" w:lineRule="auto"/>
        <w:ind w:firstLine="851"/>
        <w:jc w:val="both"/>
        <w:rPr>
          <w:rFonts w:ascii="Palatino Linotype" w:eastAsia="Times New Roman" w:hAnsi="Palatino Linotype" w:cs="Times New Roman"/>
          <w:sz w:val="20"/>
          <w:szCs w:val="20"/>
          <w:lang w:eastAsia="it-IT"/>
        </w:rPr>
      </w:pPr>
      <w:r>
        <w:rPr>
          <w:rFonts w:ascii="Palatino Linotype" w:eastAsia="Times New Roman" w:hAnsi="Palatino Linotype" w:cs="Times New Roman"/>
          <w:sz w:val="20"/>
          <w:szCs w:val="20"/>
          <w:lang w:eastAsia="it-IT"/>
        </w:rPr>
        <w:t xml:space="preserve">Essa è pertanto </w:t>
      </w:r>
      <w:r w:rsidRPr="00792946">
        <w:rPr>
          <w:rFonts w:ascii="Palatino Linotype" w:eastAsia="Times New Roman" w:hAnsi="Palatino Linotype" w:cs="Times New Roman"/>
          <w:sz w:val="20"/>
          <w:szCs w:val="20"/>
          <w:lang w:eastAsia="it-IT"/>
        </w:rPr>
        <w:t>equiparabile a</w:t>
      </w:r>
      <w:r w:rsidR="00BC3474">
        <w:rPr>
          <w:rFonts w:ascii="Palatino Linotype" w:eastAsia="Times New Roman" w:hAnsi="Palatino Linotype" w:cs="Times New Roman"/>
          <w:sz w:val="20"/>
          <w:szCs w:val="20"/>
          <w:lang w:eastAsia="it-IT"/>
        </w:rPr>
        <w:t>lla</w:t>
      </w:r>
      <w:r w:rsidRPr="00792946">
        <w:rPr>
          <w:rFonts w:ascii="Palatino Linotype" w:eastAsia="Times New Roman" w:hAnsi="Palatino Linotype" w:cs="Times New Roman"/>
          <w:sz w:val="20"/>
          <w:szCs w:val="20"/>
          <w:lang w:eastAsia="it-IT"/>
        </w:rPr>
        <w:t xml:space="preserve"> </w:t>
      </w:r>
      <w:r w:rsidR="00BC3474">
        <w:rPr>
          <w:rFonts w:ascii="Palatino Linotype" w:eastAsia="Times New Roman" w:hAnsi="Palatino Linotype" w:cs="Times New Roman"/>
          <w:sz w:val="20"/>
          <w:szCs w:val="20"/>
          <w:lang w:eastAsia="it-IT"/>
        </w:rPr>
        <w:t>figura dell’</w:t>
      </w:r>
      <w:r w:rsidRPr="00792946">
        <w:rPr>
          <w:rFonts w:ascii="Palatino Linotype" w:eastAsia="Times New Roman" w:hAnsi="Palatino Linotype" w:cs="Times New Roman"/>
          <w:sz w:val="20"/>
          <w:szCs w:val="20"/>
          <w:lang w:eastAsia="it-IT"/>
        </w:rPr>
        <w:t>ausiliario</w:t>
      </w:r>
      <w:r>
        <w:rPr>
          <w:rFonts w:ascii="Palatino Linotype" w:eastAsia="Times New Roman" w:hAnsi="Palatino Linotype" w:cs="Times New Roman"/>
          <w:sz w:val="20"/>
          <w:szCs w:val="20"/>
          <w:lang w:eastAsia="it-IT"/>
        </w:rPr>
        <w:t xml:space="preserve">, </w:t>
      </w:r>
      <w:r w:rsidR="00BC3474">
        <w:rPr>
          <w:rFonts w:ascii="Palatino Linotype" w:eastAsia="Times New Roman" w:hAnsi="Palatino Linotype" w:cs="Times New Roman"/>
          <w:sz w:val="20"/>
          <w:szCs w:val="20"/>
          <w:lang w:eastAsia="it-IT"/>
        </w:rPr>
        <w:t>da cui si differenzia per il fatto</w:t>
      </w:r>
      <w:r>
        <w:rPr>
          <w:rFonts w:ascii="Palatino Linotype" w:eastAsia="Times New Roman" w:hAnsi="Palatino Linotype" w:cs="Times New Roman"/>
          <w:sz w:val="20"/>
          <w:szCs w:val="20"/>
          <w:lang w:eastAsia="it-IT"/>
        </w:rPr>
        <w:t xml:space="preserve"> </w:t>
      </w:r>
      <w:r w:rsidR="001B0441">
        <w:rPr>
          <w:rFonts w:ascii="Palatino Linotype" w:eastAsia="Times New Roman" w:hAnsi="Palatino Linotype" w:cs="Times New Roman"/>
          <w:sz w:val="20"/>
          <w:szCs w:val="20"/>
          <w:lang w:eastAsia="it-IT"/>
        </w:rPr>
        <w:t xml:space="preserve">di </w:t>
      </w:r>
      <w:r w:rsidR="00BC3474">
        <w:rPr>
          <w:rFonts w:ascii="Palatino Linotype" w:eastAsia="Times New Roman" w:hAnsi="Palatino Linotype" w:cs="Times New Roman"/>
          <w:sz w:val="20"/>
          <w:szCs w:val="20"/>
          <w:lang w:eastAsia="it-IT"/>
        </w:rPr>
        <w:t>essere affrancata</w:t>
      </w:r>
      <w:r>
        <w:rPr>
          <w:rFonts w:ascii="Palatino Linotype" w:eastAsia="Times New Roman" w:hAnsi="Palatino Linotype" w:cs="Times New Roman"/>
          <w:sz w:val="20"/>
          <w:szCs w:val="20"/>
          <w:lang w:eastAsia="it-IT"/>
        </w:rPr>
        <w:t xml:space="preserve"> </w:t>
      </w:r>
      <w:r w:rsidR="00BC3474">
        <w:rPr>
          <w:rFonts w:ascii="Palatino Linotype" w:eastAsia="Times New Roman" w:hAnsi="Palatino Linotype" w:cs="Times New Roman"/>
          <w:sz w:val="20"/>
          <w:szCs w:val="20"/>
          <w:lang w:eastAsia="it-IT"/>
        </w:rPr>
        <w:t xml:space="preserve">dalla </w:t>
      </w:r>
      <w:r>
        <w:rPr>
          <w:rFonts w:ascii="Palatino Linotype" w:eastAsia="Times New Roman" w:hAnsi="Palatino Linotype" w:cs="Times New Roman"/>
          <w:sz w:val="20"/>
          <w:szCs w:val="20"/>
          <w:lang w:eastAsia="it-IT"/>
        </w:rPr>
        <w:t>responsabilità</w:t>
      </w:r>
      <w:r w:rsidRPr="00876122">
        <w:rPr>
          <w:rFonts w:ascii="Palatino Linotype" w:eastAsia="Times New Roman" w:hAnsi="Palatino Linotype" w:cs="Times New Roman"/>
          <w:sz w:val="20"/>
          <w:szCs w:val="20"/>
          <w:lang w:eastAsia="it-IT"/>
        </w:rPr>
        <w:t xml:space="preserve"> </w:t>
      </w:r>
      <w:r w:rsidR="00BC3474">
        <w:rPr>
          <w:rFonts w:ascii="Palatino Linotype" w:eastAsia="Times New Roman" w:hAnsi="Palatino Linotype" w:cs="Times New Roman"/>
          <w:sz w:val="20"/>
          <w:szCs w:val="20"/>
          <w:lang w:eastAsia="it-IT"/>
        </w:rPr>
        <w:t>solidale</w:t>
      </w:r>
      <w:r w:rsidR="00BC3474" w:rsidRPr="00304E62">
        <w:rPr>
          <w:rFonts w:ascii="Palatino Linotype" w:eastAsia="Times New Roman" w:hAnsi="Palatino Linotype" w:cs="Times New Roman"/>
          <w:sz w:val="20"/>
          <w:szCs w:val="20"/>
          <w:lang w:eastAsia="it-IT"/>
        </w:rPr>
        <w:t xml:space="preserve"> </w:t>
      </w:r>
      <w:r w:rsidRPr="00304E62">
        <w:rPr>
          <w:rFonts w:ascii="Palatino Linotype" w:eastAsia="Times New Roman" w:hAnsi="Palatino Linotype" w:cs="Times New Roman"/>
          <w:sz w:val="20"/>
          <w:szCs w:val="20"/>
          <w:lang w:eastAsia="it-IT"/>
        </w:rPr>
        <w:t xml:space="preserve">nei confronti della stazione appaltante </w:t>
      </w:r>
      <w:r>
        <w:rPr>
          <w:rFonts w:ascii="Palatino Linotype" w:eastAsia="Times New Roman" w:hAnsi="Palatino Linotype" w:cs="Times New Roman"/>
          <w:sz w:val="20"/>
          <w:szCs w:val="20"/>
          <w:lang w:eastAsia="it-IT"/>
        </w:rPr>
        <w:t>per la corretta</w:t>
      </w:r>
      <w:r w:rsidR="00304E62" w:rsidRPr="00304E62">
        <w:rPr>
          <w:rFonts w:ascii="Palatino Linotype" w:eastAsia="Times New Roman" w:hAnsi="Palatino Linotype" w:cs="Times New Roman"/>
          <w:sz w:val="20"/>
          <w:szCs w:val="20"/>
          <w:lang w:eastAsia="it-IT"/>
        </w:rPr>
        <w:t xml:space="preserve"> esecuzione dell’appalto</w:t>
      </w:r>
      <w:r>
        <w:rPr>
          <w:rFonts w:ascii="Palatino Linotype" w:eastAsia="Times New Roman" w:hAnsi="Palatino Linotype" w:cs="Times New Roman"/>
          <w:sz w:val="20"/>
          <w:szCs w:val="20"/>
          <w:lang w:eastAsia="it-IT"/>
        </w:rPr>
        <w:t>.</w:t>
      </w:r>
    </w:p>
    <w:p w14:paraId="0AFE0991" w14:textId="77777777" w:rsidR="00294903" w:rsidRPr="00792946" w:rsidRDefault="0017402D"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Deve quindi farsi </w:t>
      </w:r>
      <w:r w:rsidR="00BF32E3" w:rsidRPr="00792946">
        <w:rPr>
          <w:rFonts w:ascii="Palatino Linotype" w:eastAsia="Times New Roman" w:hAnsi="Palatino Linotype" w:cs="Times New Roman"/>
          <w:sz w:val="20"/>
          <w:szCs w:val="20"/>
          <w:lang w:eastAsia="it-IT"/>
        </w:rPr>
        <w:t>applicazione analogica del</w:t>
      </w:r>
      <w:r w:rsidR="00294903" w:rsidRPr="00792946">
        <w:rPr>
          <w:rFonts w:ascii="Palatino Linotype" w:eastAsia="Times New Roman" w:hAnsi="Palatino Linotype" w:cs="Times New Roman"/>
          <w:sz w:val="20"/>
          <w:szCs w:val="20"/>
          <w:lang w:eastAsia="it-IT"/>
        </w:rPr>
        <w:t>l’art. 89, co</w:t>
      </w:r>
      <w:r w:rsidR="00A46F10" w:rsidRPr="00792946">
        <w:rPr>
          <w:rFonts w:ascii="Palatino Linotype" w:eastAsia="Times New Roman" w:hAnsi="Palatino Linotype" w:cs="Times New Roman"/>
          <w:sz w:val="20"/>
          <w:szCs w:val="20"/>
          <w:lang w:eastAsia="it-IT"/>
        </w:rPr>
        <w:t>mma</w:t>
      </w:r>
      <w:r w:rsidR="00294903" w:rsidRPr="00792946">
        <w:rPr>
          <w:rFonts w:ascii="Palatino Linotype" w:eastAsia="Times New Roman" w:hAnsi="Palatino Linotype" w:cs="Times New Roman"/>
          <w:sz w:val="20"/>
          <w:szCs w:val="20"/>
          <w:lang w:eastAsia="it-IT"/>
        </w:rPr>
        <w:t xml:space="preserve"> 3, d</w:t>
      </w:r>
      <w:r w:rsidR="00B851DD" w:rsidRPr="00792946">
        <w:rPr>
          <w:rFonts w:ascii="Palatino Linotype" w:eastAsia="Times New Roman" w:hAnsi="Palatino Linotype" w:cs="Times New Roman"/>
          <w:sz w:val="20"/>
          <w:szCs w:val="20"/>
          <w:lang w:eastAsia="it-IT"/>
        </w:rPr>
        <w:t>el D</w:t>
      </w:r>
      <w:r w:rsidR="00294903" w:rsidRPr="00792946">
        <w:rPr>
          <w:rFonts w:ascii="Palatino Linotype" w:eastAsia="Times New Roman" w:hAnsi="Palatino Linotype" w:cs="Times New Roman"/>
          <w:sz w:val="20"/>
          <w:szCs w:val="20"/>
          <w:lang w:eastAsia="it-IT"/>
        </w:rPr>
        <w:t xml:space="preserve">.lgs. 50/2016, </w:t>
      </w:r>
      <w:r w:rsidR="00972A81" w:rsidRPr="00792946">
        <w:rPr>
          <w:rFonts w:ascii="Palatino Linotype" w:eastAsia="Times New Roman" w:hAnsi="Palatino Linotype" w:cs="Times New Roman"/>
          <w:sz w:val="20"/>
          <w:szCs w:val="20"/>
          <w:lang w:eastAsia="it-IT"/>
        </w:rPr>
        <w:t xml:space="preserve">che </w:t>
      </w:r>
      <w:r w:rsidR="008D46A0" w:rsidRPr="00792946">
        <w:rPr>
          <w:rFonts w:ascii="Palatino Linotype" w:eastAsia="Times New Roman" w:hAnsi="Palatino Linotype" w:cs="Times New Roman"/>
          <w:sz w:val="20"/>
          <w:szCs w:val="20"/>
          <w:lang w:eastAsia="it-IT"/>
        </w:rPr>
        <w:t>permet</w:t>
      </w:r>
      <w:r w:rsidR="00972A81" w:rsidRPr="00792946">
        <w:rPr>
          <w:rFonts w:ascii="Palatino Linotype" w:eastAsia="Times New Roman" w:hAnsi="Palatino Linotype" w:cs="Times New Roman"/>
          <w:sz w:val="20"/>
          <w:szCs w:val="20"/>
          <w:lang w:eastAsia="it-IT"/>
        </w:rPr>
        <w:t xml:space="preserve">te </w:t>
      </w:r>
      <w:r w:rsidR="00294903" w:rsidRPr="00792946">
        <w:rPr>
          <w:rFonts w:ascii="Palatino Linotype" w:eastAsia="Times New Roman" w:hAnsi="Palatino Linotype" w:cs="Times New Roman"/>
          <w:sz w:val="20"/>
          <w:szCs w:val="20"/>
          <w:lang w:eastAsia="it-IT"/>
        </w:rPr>
        <w:t>la sostituzione dell</w:t>
      </w:r>
      <w:r w:rsidR="00972A81" w:rsidRPr="00792946">
        <w:rPr>
          <w:rFonts w:ascii="Palatino Linotype" w:eastAsia="Times New Roman" w:hAnsi="Palatino Linotype" w:cs="Times New Roman"/>
          <w:sz w:val="20"/>
          <w:szCs w:val="20"/>
          <w:lang w:eastAsia="it-IT"/>
        </w:rPr>
        <w:t>’</w:t>
      </w:r>
      <w:r w:rsidR="00294903" w:rsidRPr="00792946">
        <w:rPr>
          <w:rFonts w:ascii="Palatino Linotype" w:eastAsia="Times New Roman" w:hAnsi="Palatino Linotype" w:cs="Times New Roman"/>
          <w:sz w:val="20"/>
          <w:szCs w:val="20"/>
          <w:lang w:eastAsia="it-IT"/>
        </w:rPr>
        <w:t>a</w:t>
      </w:r>
      <w:r w:rsidR="00972A81" w:rsidRPr="00792946">
        <w:rPr>
          <w:rFonts w:ascii="Palatino Linotype" w:eastAsia="Times New Roman" w:hAnsi="Palatino Linotype" w:cs="Times New Roman"/>
          <w:sz w:val="20"/>
          <w:szCs w:val="20"/>
          <w:lang w:eastAsia="it-IT"/>
        </w:rPr>
        <w:t>usiliario</w:t>
      </w:r>
      <w:r w:rsidR="00294903" w:rsidRPr="00792946">
        <w:rPr>
          <w:rFonts w:ascii="Palatino Linotype" w:eastAsia="Times New Roman" w:hAnsi="Palatino Linotype" w:cs="Times New Roman"/>
          <w:sz w:val="20"/>
          <w:szCs w:val="20"/>
          <w:lang w:eastAsia="it-IT"/>
        </w:rPr>
        <w:t>.</w:t>
      </w:r>
    </w:p>
    <w:p w14:paraId="4EC1A5F7" w14:textId="77777777" w:rsidR="00294903" w:rsidRPr="00792946" w:rsidRDefault="00781679"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L</w:t>
      </w:r>
      <w:r w:rsidR="00972A81" w:rsidRPr="00792946">
        <w:rPr>
          <w:rFonts w:ascii="Palatino Linotype" w:eastAsia="Times New Roman" w:hAnsi="Palatino Linotype" w:cs="Times New Roman"/>
          <w:sz w:val="20"/>
          <w:szCs w:val="20"/>
          <w:lang w:eastAsia="it-IT"/>
        </w:rPr>
        <w:t>’</w:t>
      </w:r>
      <w:r w:rsidR="00294903" w:rsidRPr="00792946">
        <w:rPr>
          <w:rFonts w:ascii="Palatino Linotype" w:eastAsia="Times New Roman" w:hAnsi="Palatino Linotype" w:cs="Times New Roman"/>
          <w:sz w:val="20"/>
          <w:szCs w:val="20"/>
          <w:lang w:eastAsia="it-IT"/>
        </w:rPr>
        <w:t xml:space="preserve">interpretazione </w:t>
      </w:r>
      <w:r w:rsidR="00972A81" w:rsidRPr="00792946">
        <w:rPr>
          <w:rFonts w:ascii="Palatino Linotype" w:eastAsia="Times New Roman" w:hAnsi="Palatino Linotype" w:cs="Times New Roman"/>
          <w:sz w:val="20"/>
          <w:szCs w:val="20"/>
          <w:lang w:eastAsia="it-IT"/>
        </w:rPr>
        <w:t xml:space="preserve">assunta </w:t>
      </w:r>
      <w:r w:rsidR="00B75B3E" w:rsidRPr="00792946">
        <w:rPr>
          <w:rFonts w:ascii="Palatino Linotype" w:eastAsia="Times New Roman" w:hAnsi="Palatino Linotype" w:cs="Times New Roman"/>
          <w:sz w:val="20"/>
          <w:szCs w:val="20"/>
          <w:lang w:eastAsia="it-IT"/>
        </w:rPr>
        <w:t xml:space="preserve">non </w:t>
      </w:r>
      <w:r w:rsidR="00294903" w:rsidRPr="00792946">
        <w:rPr>
          <w:rFonts w:ascii="Palatino Linotype" w:eastAsia="Times New Roman" w:hAnsi="Palatino Linotype" w:cs="Times New Roman"/>
          <w:sz w:val="20"/>
          <w:szCs w:val="20"/>
          <w:lang w:eastAsia="it-IT"/>
        </w:rPr>
        <w:t>mina i princ</w:t>
      </w:r>
      <w:r w:rsidR="0017402D" w:rsidRPr="00792946">
        <w:rPr>
          <w:rFonts w:ascii="Palatino Linotype" w:eastAsia="Times New Roman" w:hAnsi="Palatino Linotype" w:cs="Times New Roman"/>
          <w:sz w:val="20"/>
          <w:szCs w:val="20"/>
          <w:lang w:eastAsia="it-IT"/>
        </w:rPr>
        <w:t>ì</w:t>
      </w:r>
      <w:r w:rsidR="00294903" w:rsidRPr="00792946">
        <w:rPr>
          <w:rFonts w:ascii="Palatino Linotype" w:eastAsia="Times New Roman" w:hAnsi="Palatino Linotype" w:cs="Times New Roman"/>
          <w:sz w:val="20"/>
          <w:szCs w:val="20"/>
          <w:lang w:eastAsia="it-IT"/>
        </w:rPr>
        <w:t>pi di necessaria continuità nel possesso dei requisiti</w:t>
      </w:r>
      <w:r w:rsidRPr="00792946">
        <w:rPr>
          <w:rFonts w:ascii="Palatino Linotype" w:eastAsia="Times New Roman" w:hAnsi="Palatino Linotype" w:cs="Times New Roman"/>
          <w:sz w:val="20"/>
          <w:szCs w:val="20"/>
          <w:lang w:eastAsia="it-IT"/>
        </w:rPr>
        <w:t xml:space="preserve"> </w:t>
      </w:r>
      <w:r w:rsidR="0017402D" w:rsidRPr="00792946">
        <w:rPr>
          <w:rFonts w:ascii="Palatino Linotype" w:eastAsia="Times New Roman" w:hAnsi="Palatino Linotype" w:cs="Times New Roman"/>
          <w:sz w:val="20"/>
          <w:szCs w:val="20"/>
          <w:lang w:eastAsia="it-IT"/>
        </w:rPr>
        <w:t>fino al termine dei lavori e</w:t>
      </w:r>
      <w:r w:rsidR="00294903" w:rsidRPr="00792946">
        <w:rPr>
          <w:rFonts w:ascii="Palatino Linotype" w:eastAsia="Times New Roman" w:hAnsi="Palatino Linotype" w:cs="Times New Roman"/>
          <w:sz w:val="20"/>
          <w:szCs w:val="20"/>
          <w:lang w:eastAsia="it-IT"/>
        </w:rPr>
        <w:t xml:space="preserve"> d</w:t>
      </w:r>
      <w:r w:rsidR="0017402D" w:rsidRPr="00792946">
        <w:rPr>
          <w:rFonts w:ascii="Palatino Linotype" w:eastAsia="Times New Roman" w:hAnsi="Palatino Linotype" w:cs="Times New Roman"/>
          <w:sz w:val="20"/>
          <w:szCs w:val="20"/>
          <w:lang w:eastAsia="it-IT"/>
        </w:rPr>
        <w:t xml:space="preserve">i </w:t>
      </w:r>
      <w:r w:rsidR="00294903" w:rsidRPr="00792946">
        <w:rPr>
          <w:rFonts w:ascii="Palatino Linotype" w:eastAsia="Times New Roman" w:hAnsi="Palatino Linotype" w:cs="Times New Roman"/>
          <w:sz w:val="20"/>
          <w:szCs w:val="20"/>
          <w:lang w:eastAsia="it-IT"/>
        </w:rPr>
        <w:t>immodificabilità soggettiva del concorrente</w:t>
      </w:r>
      <w:r w:rsidR="0017402D" w:rsidRPr="00792946">
        <w:rPr>
          <w:rFonts w:ascii="Palatino Linotype" w:eastAsia="Times New Roman" w:hAnsi="Palatino Linotype" w:cs="Times New Roman"/>
          <w:sz w:val="20"/>
          <w:szCs w:val="20"/>
          <w:lang w:eastAsia="it-IT"/>
        </w:rPr>
        <w:t xml:space="preserve"> predicati dall’Adunanza plenaria </w:t>
      </w:r>
      <w:r w:rsidR="00D83EE9">
        <w:rPr>
          <w:rFonts w:ascii="Palatino Linotype" w:eastAsia="Times New Roman" w:hAnsi="Palatino Linotype" w:cs="Times New Roman"/>
          <w:sz w:val="20"/>
          <w:szCs w:val="20"/>
          <w:lang w:eastAsia="it-IT"/>
        </w:rPr>
        <w:t>d</w:t>
      </w:r>
      <w:r w:rsidR="0017402D" w:rsidRPr="00792946">
        <w:rPr>
          <w:rFonts w:ascii="Palatino Linotype" w:eastAsia="Times New Roman" w:hAnsi="Palatino Linotype" w:cs="Times New Roman"/>
          <w:sz w:val="20"/>
          <w:szCs w:val="20"/>
          <w:lang w:eastAsia="it-IT"/>
        </w:rPr>
        <w:t>el 2015</w:t>
      </w:r>
      <w:r w:rsidR="00294903" w:rsidRPr="00792946">
        <w:rPr>
          <w:rFonts w:ascii="Palatino Linotype" w:eastAsia="Times New Roman" w:hAnsi="Palatino Linotype" w:cs="Times New Roman"/>
          <w:sz w:val="20"/>
          <w:szCs w:val="20"/>
          <w:lang w:eastAsia="it-IT"/>
        </w:rPr>
        <w:t xml:space="preserve">, </w:t>
      </w:r>
      <w:r w:rsidR="0017402D" w:rsidRPr="00792946">
        <w:rPr>
          <w:rFonts w:ascii="Palatino Linotype" w:eastAsia="Times New Roman" w:hAnsi="Palatino Linotype" w:cs="Times New Roman"/>
          <w:sz w:val="20"/>
          <w:szCs w:val="20"/>
          <w:lang w:eastAsia="it-IT"/>
        </w:rPr>
        <w:t>risulta</w:t>
      </w:r>
      <w:r w:rsidR="008D46A0" w:rsidRPr="00792946">
        <w:rPr>
          <w:rFonts w:ascii="Palatino Linotype" w:eastAsia="Times New Roman" w:hAnsi="Palatino Linotype" w:cs="Times New Roman"/>
          <w:sz w:val="20"/>
          <w:szCs w:val="20"/>
          <w:lang w:eastAsia="it-IT"/>
        </w:rPr>
        <w:t xml:space="preserve">ndo </w:t>
      </w:r>
      <w:r w:rsidRPr="00792946">
        <w:rPr>
          <w:rFonts w:ascii="Palatino Linotype" w:eastAsia="Times New Roman" w:hAnsi="Palatino Linotype" w:cs="Times New Roman"/>
          <w:sz w:val="20"/>
          <w:szCs w:val="20"/>
          <w:lang w:eastAsia="it-IT"/>
        </w:rPr>
        <w:t>gli st</w:t>
      </w:r>
      <w:r w:rsidR="008D46A0" w:rsidRPr="00792946">
        <w:rPr>
          <w:rFonts w:ascii="Palatino Linotype" w:eastAsia="Times New Roman" w:hAnsi="Palatino Linotype" w:cs="Times New Roman"/>
          <w:sz w:val="20"/>
          <w:szCs w:val="20"/>
          <w:lang w:eastAsia="it-IT"/>
        </w:rPr>
        <w:t>essi</w:t>
      </w:r>
      <w:r w:rsidR="00294903" w:rsidRPr="00792946">
        <w:rPr>
          <w:rFonts w:ascii="Palatino Linotype" w:eastAsia="Times New Roman" w:hAnsi="Palatino Linotype" w:cs="Times New Roman"/>
          <w:sz w:val="20"/>
          <w:szCs w:val="20"/>
          <w:lang w:eastAsia="it-IT"/>
        </w:rPr>
        <w:t xml:space="preserve"> derogat</w:t>
      </w:r>
      <w:r w:rsidR="008D46A0" w:rsidRPr="00792946">
        <w:rPr>
          <w:rFonts w:ascii="Palatino Linotype" w:eastAsia="Times New Roman" w:hAnsi="Palatino Linotype" w:cs="Times New Roman"/>
          <w:sz w:val="20"/>
          <w:szCs w:val="20"/>
          <w:lang w:eastAsia="it-IT"/>
        </w:rPr>
        <w:t>i</w:t>
      </w:r>
      <w:r w:rsidR="00294903" w:rsidRPr="00792946">
        <w:rPr>
          <w:rFonts w:ascii="Palatino Linotype" w:eastAsia="Times New Roman" w:hAnsi="Palatino Linotype" w:cs="Times New Roman"/>
          <w:sz w:val="20"/>
          <w:szCs w:val="20"/>
          <w:lang w:eastAsia="it-IT"/>
        </w:rPr>
        <w:t xml:space="preserve"> </w:t>
      </w:r>
      <w:r w:rsidR="00D83EE9">
        <w:rPr>
          <w:rFonts w:ascii="Palatino Linotype" w:eastAsia="Times New Roman" w:hAnsi="Palatino Linotype" w:cs="Times New Roman"/>
          <w:sz w:val="20"/>
          <w:szCs w:val="20"/>
          <w:lang w:eastAsia="it-IT"/>
        </w:rPr>
        <w:t xml:space="preserve">per tale aspetto, </w:t>
      </w:r>
      <w:r w:rsidR="00294903" w:rsidRPr="00792946">
        <w:rPr>
          <w:rFonts w:ascii="Palatino Linotype" w:eastAsia="Times New Roman" w:hAnsi="Palatino Linotype" w:cs="Times New Roman"/>
          <w:sz w:val="20"/>
          <w:szCs w:val="20"/>
          <w:lang w:eastAsia="it-IT"/>
        </w:rPr>
        <w:t xml:space="preserve">dall’art. 63 della direttiva </w:t>
      </w:r>
      <w:r w:rsidR="007B0C2D" w:rsidRPr="00792946">
        <w:rPr>
          <w:rFonts w:ascii="Palatino Linotype" w:eastAsia="Times New Roman" w:hAnsi="Palatino Linotype" w:cs="Times New Roman"/>
          <w:sz w:val="20"/>
          <w:szCs w:val="20"/>
          <w:lang w:eastAsia="it-IT"/>
        </w:rPr>
        <w:t>24/</w:t>
      </w:r>
      <w:r w:rsidR="00294903" w:rsidRPr="00792946">
        <w:rPr>
          <w:rFonts w:ascii="Palatino Linotype" w:eastAsia="Times New Roman" w:hAnsi="Palatino Linotype" w:cs="Times New Roman"/>
          <w:sz w:val="20"/>
          <w:szCs w:val="20"/>
          <w:lang w:eastAsia="it-IT"/>
        </w:rPr>
        <w:t xml:space="preserve">2014, </w:t>
      </w:r>
      <w:r w:rsidR="008D46A0" w:rsidRPr="00792946">
        <w:rPr>
          <w:rFonts w:ascii="Palatino Linotype" w:eastAsia="Times New Roman" w:hAnsi="Palatino Linotype" w:cs="Times New Roman"/>
          <w:sz w:val="20"/>
          <w:szCs w:val="20"/>
          <w:lang w:eastAsia="it-IT"/>
        </w:rPr>
        <w:t>che</w:t>
      </w:r>
      <w:r w:rsidR="00294903" w:rsidRPr="00792946">
        <w:rPr>
          <w:rFonts w:ascii="Palatino Linotype" w:eastAsia="Times New Roman" w:hAnsi="Palatino Linotype" w:cs="Times New Roman"/>
          <w:sz w:val="20"/>
          <w:szCs w:val="20"/>
          <w:lang w:eastAsia="it-IT"/>
        </w:rPr>
        <w:t xml:space="preserve"> impone </w:t>
      </w:r>
      <w:r w:rsidR="008D46A0" w:rsidRPr="00792946">
        <w:rPr>
          <w:rFonts w:ascii="Palatino Linotype" w:eastAsia="Times New Roman" w:hAnsi="Palatino Linotype" w:cs="Times New Roman"/>
          <w:sz w:val="20"/>
          <w:szCs w:val="20"/>
          <w:lang w:eastAsia="it-IT"/>
        </w:rPr>
        <w:t>la sostituzione</w:t>
      </w:r>
      <w:r w:rsidR="00E8394E" w:rsidRPr="00792946">
        <w:rPr>
          <w:rFonts w:ascii="Palatino Linotype" w:eastAsia="Times New Roman" w:hAnsi="Palatino Linotype" w:cs="Times New Roman"/>
          <w:sz w:val="20"/>
          <w:szCs w:val="20"/>
          <w:lang w:eastAsia="it-IT"/>
        </w:rPr>
        <w:t xml:space="preserve"> </w:t>
      </w:r>
      <w:r w:rsidR="008D46A0" w:rsidRPr="00792946">
        <w:rPr>
          <w:rFonts w:ascii="Palatino Linotype" w:eastAsia="Times New Roman" w:hAnsi="Palatino Linotype" w:cs="Times New Roman"/>
          <w:sz w:val="20"/>
          <w:szCs w:val="20"/>
          <w:lang w:eastAsia="it-IT"/>
        </w:rPr>
        <w:t>de</w:t>
      </w:r>
      <w:r w:rsidR="00294903" w:rsidRPr="00792946">
        <w:rPr>
          <w:rFonts w:ascii="Palatino Linotype" w:eastAsia="Times New Roman" w:hAnsi="Palatino Linotype" w:cs="Times New Roman"/>
          <w:sz w:val="20"/>
          <w:szCs w:val="20"/>
          <w:lang w:eastAsia="it-IT"/>
        </w:rPr>
        <w:t>l soggetto a</w:t>
      </w:r>
      <w:r w:rsidR="0017402D" w:rsidRPr="00792946">
        <w:rPr>
          <w:rFonts w:ascii="Palatino Linotype" w:eastAsia="Times New Roman" w:hAnsi="Palatino Linotype" w:cs="Times New Roman"/>
          <w:sz w:val="20"/>
          <w:szCs w:val="20"/>
          <w:lang w:eastAsia="it-IT"/>
        </w:rPr>
        <w:t>usiliari</w:t>
      </w:r>
      <w:r w:rsidR="00294903" w:rsidRPr="00792946">
        <w:rPr>
          <w:rFonts w:ascii="Palatino Linotype" w:eastAsia="Times New Roman" w:hAnsi="Palatino Linotype" w:cs="Times New Roman"/>
          <w:sz w:val="20"/>
          <w:szCs w:val="20"/>
          <w:lang w:eastAsia="it-IT"/>
        </w:rPr>
        <w:t xml:space="preserve">o </w:t>
      </w:r>
      <w:r w:rsidR="008D46A0" w:rsidRPr="00792946">
        <w:rPr>
          <w:rFonts w:ascii="Palatino Linotype" w:eastAsia="Times New Roman" w:hAnsi="Palatino Linotype" w:cs="Times New Roman"/>
          <w:sz w:val="20"/>
          <w:szCs w:val="20"/>
          <w:lang w:eastAsia="it-IT"/>
        </w:rPr>
        <w:t xml:space="preserve">che </w:t>
      </w:r>
      <w:r w:rsidR="00E8394E" w:rsidRPr="00792946">
        <w:rPr>
          <w:rFonts w:ascii="Palatino Linotype" w:eastAsia="Times New Roman" w:hAnsi="Palatino Linotype" w:cs="Times New Roman"/>
          <w:sz w:val="20"/>
          <w:szCs w:val="20"/>
          <w:lang w:eastAsia="it-IT"/>
        </w:rPr>
        <w:t xml:space="preserve">perda i requisiti </w:t>
      </w:r>
      <w:r w:rsidR="00294903" w:rsidRPr="00792946">
        <w:rPr>
          <w:rFonts w:ascii="Palatino Linotype" w:eastAsia="Times New Roman" w:hAnsi="Palatino Linotype" w:cs="Times New Roman"/>
          <w:sz w:val="20"/>
          <w:szCs w:val="20"/>
          <w:lang w:eastAsia="it-IT"/>
        </w:rPr>
        <w:t>nelle more del procedimento di gara o durante l’esecuzione del contratto.</w:t>
      </w:r>
    </w:p>
    <w:p w14:paraId="7608C799" w14:textId="77777777" w:rsidR="005B29BC" w:rsidRPr="00792946" w:rsidRDefault="00294903"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La sostituzione è </w:t>
      </w:r>
      <w:r w:rsidR="00E8394E" w:rsidRPr="00792946">
        <w:rPr>
          <w:rFonts w:ascii="Palatino Linotype" w:eastAsia="Times New Roman" w:hAnsi="Palatino Linotype" w:cs="Times New Roman"/>
          <w:sz w:val="20"/>
          <w:szCs w:val="20"/>
          <w:lang w:eastAsia="it-IT"/>
        </w:rPr>
        <w:t>per l’</w:t>
      </w:r>
      <w:r w:rsidRPr="00792946">
        <w:rPr>
          <w:rFonts w:ascii="Palatino Linotype" w:eastAsia="Times New Roman" w:hAnsi="Palatino Linotype" w:cs="Times New Roman"/>
          <w:sz w:val="20"/>
          <w:szCs w:val="20"/>
          <w:lang w:eastAsia="it-IT"/>
        </w:rPr>
        <w:t xml:space="preserve">appunto </w:t>
      </w:r>
      <w:r w:rsidR="007B0C2D" w:rsidRPr="00792946">
        <w:rPr>
          <w:rFonts w:ascii="Palatino Linotype" w:eastAsia="Times New Roman" w:hAnsi="Palatino Linotype" w:cs="Times New Roman"/>
          <w:sz w:val="20"/>
          <w:szCs w:val="20"/>
          <w:lang w:eastAsia="it-IT"/>
        </w:rPr>
        <w:t>un</w:t>
      </w:r>
      <w:r w:rsidRPr="00792946">
        <w:rPr>
          <w:rFonts w:ascii="Palatino Linotype" w:eastAsia="Times New Roman" w:hAnsi="Palatino Linotype" w:cs="Times New Roman"/>
          <w:sz w:val="20"/>
          <w:szCs w:val="20"/>
          <w:lang w:eastAsia="it-IT"/>
        </w:rPr>
        <w:t>o strumento nuovo e</w:t>
      </w:r>
      <w:r w:rsidR="007B0C2D" w:rsidRPr="00792946">
        <w:rPr>
          <w:rFonts w:ascii="Palatino Linotype" w:eastAsia="Times New Roman" w:hAnsi="Palatino Linotype" w:cs="Times New Roman"/>
          <w:sz w:val="20"/>
          <w:szCs w:val="20"/>
          <w:lang w:eastAsia="it-IT"/>
        </w:rPr>
        <w:t>d</w:t>
      </w:r>
      <w:r w:rsidRPr="00792946">
        <w:rPr>
          <w:rFonts w:ascii="Palatino Linotype" w:eastAsia="Times New Roman" w:hAnsi="Palatino Linotype" w:cs="Times New Roman"/>
          <w:sz w:val="20"/>
          <w:szCs w:val="20"/>
          <w:lang w:eastAsia="it-IT"/>
        </w:rPr>
        <w:t xml:space="preserve"> alternativo che, alla luce del principio di proporzionalità, consente </w:t>
      </w:r>
      <w:r w:rsidR="0017402D" w:rsidRPr="00792946">
        <w:rPr>
          <w:rFonts w:ascii="Palatino Linotype" w:eastAsia="Times New Roman" w:hAnsi="Palatino Linotype" w:cs="Times New Roman"/>
          <w:sz w:val="20"/>
          <w:szCs w:val="20"/>
          <w:lang w:eastAsia="it-IT"/>
        </w:rPr>
        <w:t>l</w:t>
      </w:r>
      <w:r w:rsidRPr="00792946">
        <w:rPr>
          <w:rFonts w:ascii="Palatino Linotype" w:eastAsia="Times New Roman" w:hAnsi="Palatino Linotype" w:cs="Times New Roman"/>
          <w:sz w:val="20"/>
          <w:szCs w:val="20"/>
          <w:lang w:eastAsia="it-IT"/>
        </w:rPr>
        <w:t xml:space="preserve">a </w:t>
      </w:r>
      <w:r w:rsidR="0017402D" w:rsidRPr="00792946">
        <w:rPr>
          <w:rFonts w:ascii="Palatino Linotype" w:eastAsia="Times New Roman" w:hAnsi="Palatino Linotype" w:cs="Times New Roman"/>
          <w:sz w:val="20"/>
          <w:szCs w:val="20"/>
          <w:lang w:eastAsia="it-IT"/>
        </w:rPr>
        <w:t>continuità del rapporto del concorrente o dell’</w:t>
      </w:r>
      <w:r w:rsidR="00D83EE9">
        <w:rPr>
          <w:rFonts w:ascii="Palatino Linotype" w:eastAsia="Times New Roman" w:hAnsi="Palatino Linotype" w:cs="Times New Roman"/>
          <w:sz w:val="20"/>
          <w:szCs w:val="20"/>
          <w:lang w:eastAsia="it-IT"/>
        </w:rPr>
        <w:t>esecutore</w:t>
      </w:r>
      <w:r w:rsidR="0017402D"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w:t>
      </w:r>
      <w:r w:rsidR="0017402D" w:rsidRPr="00792946">
        <w:rPr>
          <w:rFonts w:ascii="Palatino Linotype" w:eastAsia="Times New Roman" w:hAnsi="Palatino Linotype" w:cs="Times New Roman"/>
          <w:sz w:val="20"/>
          <w:szCs w:val="20"/>
          <w:lang w:eastAsia="it-IT"/>
        </w:rPr>
        <w:t>ne</w:t>
      </w:r>
      <w:r w:rsidR="00D83EE9">
        <w:rPr>
          <w:rFonts w:ascii="Palatino Linotype" w:eastAsia="Times New Roman" w:hAnsi="Palatino Linotype" w:cs="Times New Roman"/>
          <w:sz w:val="20"/>
          <w:szCs w:val="20"/>
          <w:lang w:eastAsia="it-IT"/>
        </w:rPr>
        <w:t>l</w:t>
      </w:r>
      <w:r w:rsidR="0017402D"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cas</w:t>
      </w:r>
      <w:r w:rsidR="00D83EE9">
        <w:rPr>
          <w:rFonts w:ascii="Palatino Linotype" w:eastAsia="Times New Roman" w:hAnsi="Palatino Linotype" w:cs="Times New Roman"/>
          <w:sz w:val="20"/>
          <w:szCs w:val="20"/>
          <w:lang w:eastAsia="it-IT"/>
        </w:rPr>
        <w:t>o</w:t>
      </w:r>
      <w:r w:rsidRPr="00792946">
        <w:rPr>
          <w:rFonts w:ascii="Palatino Linotype" w:eastAsia="Times New Roman" w:hAnsi="Palatino Linotype" w:cs="Times New Roman"/>
          <w:sz w:val="20"/>
          <w:szCs w:val="20"/>
          <w:lang w:eastAsia="it-IT"/>
        </w:rPr>
        <w:t xml:space="preserve"> i</w:t>
      </w:r>
      <w:r w:rsidR="00357487" w:rsidRPr="00792946">
        <w:rPr>
          <w:rFonts w:ascii="Palatino Linotype" w:eastAsia="Times New Roman" w:hAnsi="Palatino Linotype" w:cs="Times New Roman"/>
          <w:sz w:val="20"/>
          <w:szCs w:val="20"/>
          <w:lang w:eastAsia="it-IT"/>
        </w:rPr>
        <w:t>n cui si avvalga</w:t>
      </w:r>
      <w:r w:rsidR="007B0C2D" w:rsidRPr="00792946">
        <w:rPr>
          <w:rFonts w:ascii="Palatino Linotype" w:eastAsia="Times New Roman" w:hAnsi="Palatino Linotype" w:cs="Times New Roman"/>
          <w:sz w:val="20"/>
          <w:szCs w:val="20"/>
          <w:lang w:eastAsia="it-IT"/>
        </w:rPr>
        <w:t xml:space="preserve"> di un operatore terzo</w:t>
      </w:r>
      <w:r w:rsidR="00972A81" w:rsidRPr="00792946">
        <w:rPr>
          <w:rFonts w:ascii="Palatino Linotype" w:eastAsia="Times New Roman" w:hAnsi="Palatino Linotype" w:cs="Times New Roman"/>
          <w:sz w:val="20"/>
          <w:szCs w:val="20"/>
          <w:lang w:eastAsia="it-IT"/>
        </w:rPr>
        <w:t xml:space="preserve"> (sia esso un ausiliario o</w:t>
      </w:r>
      <w:r w:rsidR="00E8394E" w:rsidRPr="00792946">
        <w:rPr>
          <w:rFonts w:ascii="Palatino Linotype" w:eastAsia="Times New Roman" w:hAnsi="Palatino Linotype" w:cs="Times New Roman"/>
          <w:sz w:val="20"/>
          <w:szCs w:val="20"/>
          <w:lang w:eastAsia="it-IT"/>
        </w:rPr>
        <w:t>, come nel caso di specie,</w:t>
      </w:r>
      <w:r w:rsidR="00972A81" w:rsidRPr="00792946">
        <w:rPr>
          <w:rFonts w:ascii="Palatino Linotype" w:eastAsia="Times New Roman" w:hAnsi="Palatino Linotype" w:cs="Times New Roman"/>
          <w:sz w:val="20"/>
          <w:szCs w:val="20"/>
          <w:lang w:eastAsia="it-IT"/>
        </w:rPr>
        <w:t xml:space="preserve"> un consorziato non designato per l’esecuzione dei lavori)</w:t>
      </w:r>
      <w:r w:rsidR="007B0C2D" w:rsidRPr="00792946">
        <w:rPr>
          <w:rFonts w:ascii="Palatino Linotype" w:eastAsia="Times New Roman" w:hAnsi="Palatino Linotype" w:cs="Times New Roman"/>
          <w:sz w:val="20"/>
          <w:szCs w:val="20"/>
          <w:lang w:eastAsia="it-IT"/>
        </w:rPr>
        <w:t>.</w:t>
      </w:r>
    </w:p>
    <w:p w14:paraId="49DE34BD" w14:textId="77777777" w:rsidR="009F5D3F" w:rsidRPr="00792946" w:rsidRDefault="009F5D3F" w:rsidP="00347275">
      <w:pPr>
        <w:spacing w:after="0" w:line="360" w:lineRule="auto"/>
        <w:ind w:firstLine="851"/>
        <w:jc w:val="both"/>
        <w:rPr>
          <w:rFonts w:ascii="Palatino Linotype" w:eastAsia="Times New Roman" w:hAnsi="Palatino Linotype" w:cs="Times New Roman"/>
          <w:sz w:val="20"/>
          <w:szCs w:val="20"/>
          <w:lang w:eastAsia="it-IT"/>
        </w:rPr>
      </w:pPr>
    </w:p>
    <w:p w14:paraId="6C9A0FBF" w14:textId="77777777" w:rsidR="00357487" w:rsidRPr="00792946" w:rsidRDefault="00357487" w:rsidP="00347275">
      <w:pPr>
        <w:numPr>
          <w:ilvl w:val="1"/>
          <w:numId w:val="6"/>
        </w:numPr>
        <w:spacing w:after="0" w:line="360" w:lineRule="auto"/>
        <w:jc w:val="both"/>
        <w:rPr>
          <w:rFonts w:ascii="Palatino Linotype" w:eastAsia="Times New Roman" w:hAnsi="Palatino Linotype" w:cs="Times New Roman"/>
          <w:b/>
          <w:sz w:val="20"/>
          <w:szCs w:val="20"/>
          <w:lang w:eastAsia="it-IT"/>
        </w:rPr>
      </w:pPr>
      <w:r w:rsidRPr="00792946">
        <w:rPr>
          <w:rFonts w:ascii="Palatino Linotype" w:eastAsia="Times New Roman" w:hAnsi="Palatino Linotype" w:cs="Times New Roman"/>
          <w:b/>
          <w:sz w:val="20"/>
          <w:szCs w:val="20"/>
          <w:lang w:eastAsia="it-IT"/>
        </w:rPr>
        <w:t xml:space="preserve"> L’esclusione dell’ausiliario per indegnità morale.</w:t>
      </w:r>
    </w:p>
    <w:p w14:paraId="6D5B1176" w14:textId="77777777" w:rsidR="0011649A" w:rsidRPr="00792946" w:rsidRDefault="0011649A"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Si </w:t>
      </w:r>
      <w:r w:rsidR="00774B4D" w:rsidRPr="00792946">
        <w:rPr>
          <w:rFonts w:ascii="Palatino Linotype" w:eastAsia="Times New Roman" w:hAnsi="Palatino Linotype" w:cs="Times New Roman"/>
          <w:sz w:val="20"/>
          <w:szCs w:val="20"/>
          <w:lang w:eastAsia="it-IT"/>
        </w:rPr>
        <w:t xml:space="preserve">è sin </w:t>
      </w:r>
      <w:r w:rsidRPr="00792946">
        <w:rPr>
          <w:rFonts w:ascii="Palatino Linotype" w:eastAsia="Times New Roman" w:hAnsi="Palatino Linotype" w:cs="Times New Roman"/>
          <w:sz w:val="20"/>
          <w:szCs w:val="20"/>
          <w:lang w:eastAsia="it-IT"/>
        </w:rPr>
        <w:t>qui discusso della ca</w:t>
      </w:r>
      <w:r w:rsidR="0082342F" w:rsidRPr="00792946">
        <w:rPr>
          <w:rFonts w:ascii="Palatino Linotype" w:eastAsia="Times New Roman" w:hAnsi="Palatino Linotype" w:cs="Times New Roman"/>
          <w:sz w:val="20"/>
          <w:szCs w:val="20"/>
          <w:lang w:eastAsia="it-IT"/>
        </w:rPr>
        <w:t>re</w:t>
      </w:r>
      <w:r w:rsidRPr="00792946">
        <w:rPr>
          <w:rFonts w:ascii="Palatino Linotype" w:eastAsia="Times New Roman" w:hAnsi="Palatino Linotype" w:cs="Times New Roman"/>
          <w:sz w:val="20"/>
          <w:szCs w:val="20"/>
          <w:lang w:eastAsia="it-IT"/>
        </w:rPr>
        <w:t>nza dei requisiti economic</w:t>
      </w:r>
      <w:r w:rsidR="0082342F" w:rsidRPr="00792946">
        <w:rPr>
          <w:rFonts w:ascii="Palatino Linotype" w:eastAsia="Times New Roman" w:hAnsi="Palatino Linotype" w:cs="Times New Roman"/>
          <w:sz w:val="20"/>
          <w:szCs w:val="20"/>
          <w:lang w:eastAsia="it-IT"/>
        </w:rPr>
        <w:t>i, finanziari</w:t>
      </w:r>
      <w:r w:rsidRPr="00792946">
        <w:rPr>
          <w:rFonts w:ascii="Palatino Linotype" w:eastAsia="Times New Roman" w:hAnsi="Palatino Linotype" w:cs="Times New Roman"/>
          <w:sz w:val="20"/>
          <w:szCs w:val="20"/>
          <w:lang w:eastAsia="it-IT"/>
        </w:rPr>
        <w:t>, tecnic</w:t>
      </w:r>
      <w:r w:rsidR="0082342F" w:rsidRPr="00792946">
        <w:rPr>
          <w:rFonts w:ascii="Palatino Linotype" w:eastAsia="Times New Roman" w:hAnsi="Palatino Linotype" w:cs="Times New Roman"/>
          <w:sz w:val="20"/>
          <w:szCs w:val="20"/>
          <w:lang w:eastAsia="it-IT"/>
        </w:rPr>
        <w:t>i</w:t>
      </w:r>
      <w:r w:rsidRPr="00792946">
        <w:rPr>
          <w:rFonts w:ascii="Palatino Linotype" w:eastAsia="Times New Roman" w:hAnsi="Palatino Linotype" w:cs="Times New Roman"/>
          <w:sz w:val="20"/>
          <w:szCs w:val="20"/>
          <w:lang w:eastAsia="it-IT"/>
        </w:rPr>
        <w:t xml:space="preserve"> </w:t>
      </w:r>
      <w:r w:rsidR="0082342F" w:rsidRPr="00792946">
        <w:rPr>
          <w:rFonts w:ascii="Palatino Linotype" w:eastAsia="Times New Roman" w:hAnsi="Palatino Linotype" w:cs="Times New Roman"/>
          <w:sz w:val="20"/>
          <w:szCs w:val="20"/>
          <w:lang w:eastAsia="it-IT"/>
        </w:rPr>
        <w:t>o</w:t>
      </w:r>
      <w:r w:rsidRPr="00792946">
        <w:rPr>
          <w:rFonts w:ascii="Palatino Linotype" w:eastAsia="Times New Roman" w:hAnsi="Palatino Linotype" w:cs="Times New Roman"/>
          <w:sz w:val="20"/>
          <w:szCs w:val="20"/>
          <w:lang w:eastAsia="it-IT"/>
        </w:rPr>
        <w:t xml:space="preserve"> professional</w:t>
      </w:r>
      <w:r w:rsidR="0082342F" w:rsidRPr="00792946">
        <w:rPr>
          <w:rFonts w:ascii="Palatino Linotype" w:eastAsia="Times New Roman" w:hAnsi="Palatino Linotype" w:cs="Times New Roman"/>
          <w:sz w:val="20"/>
          <w:szCs w:val="20"/>
          <w:lang w:eastAsia="it-IT"/>
        </w:rPr>
        <w:t>i</w:t>
      </w:r>
      <w:r w:rsidRPr="00792946">
        <w:rPr>
          <w:rFonts w:ascii="Palatino Linotype" w:eastAsia="Times New Roman" w:hAnsi="Palatino Linotype" w:cs="Times New Roman"/>
          <w:sz w:val="20"/>
          <w:szCs w:val="20"/>
          <w:lang w:eastAsia="it-IT"/>
        </w:rPr>
        <w:t xml:space="preserve"> </w:t>
      </w:r>
      <w:r w:rsidR="0082342F" w:rsidRPr="00792946">
        <w:rPr>
          <w:rFonts w:ascii="Palatino Linotype" w:eastAsia="Times New Roman" w:hAnsi="Palatino Linotype" w:cs="Times New Roman"/>
          <w:sz w:val="20"/>
          <w:szCs w:val="20"/>
          <w:lang w:eastAsia="it-IT"/>
        </w:rPr>
        <w:t>de</w:t>
      </w:r>
      <w:r w:rsidRPr="00792946">
        <w:rPr>
          <w:rFonts w:ascii="Palatino Linotype" w:eastAsia="Times New Roman" w:hAnsi="Palatino Linotype" w:cs="Times New Roman"/>
          <w:sz w:val="20"/>
          <w:szCs w:val="20"/>
          <w:lang w:eastAsia="it-IT"/>
        </w:rPr>
        <w:t>ll’ausiliario.</w:t>
      </w:r>
    </w:p>
    <w:p w14:paraId="59B9DE77" w14:textId="77777777" w:rsidR="005B0223" w:rsidRPr="00792946" w:rsidRDefault="00055FDB"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A</w:t>
      </w:r>
      <w:r w:rsidR="00724E16" w:rsidRPr="00792946">
        <w:rPr>
          <w:rFonts w:ascii="Palatino Linotype" w:eastAsia="Times New Roman" w:hAnsi="Palatino Linotype" w:cs="Times New Roman"/>
          <w:sz w:val="20"/>
          <w:szCs w:val="20"/>
          <w:lang w:eastAsia="it-IT"/>
        </w:rPr>
        <w:t>l</w:t>
      </w:r>
      <w:r w:rsidRPr="00792946">
        <w:rPr>
          <w:rFonts w:ascii="Palatino Linotype" w:eastAsia="Times New Roman" w:hAnsi="Palatino Linotype" w:cs="Times New Roman"/>
          <w:sz w:val="20"/>
          <w:szCs w:val="20"/>
          <w:lang w:eastAsia="it-IT"/>
        </w:rPr>
        <w:t>tr</w:t>
      </w:r>
      <w:r w:rsidR="005B0223" w:rsidRPr="00792946">
        <w:rPr>
          <w:rFonts w:ascii="Palatino Linotype" w:eastAsia="Times New Roman" w:hAnsi="Palatino Linotype" w:cs="Times New Roman"/>
          <w:sz w:val="20"/>
          <w:szCs w:val="20"/>
          <w:lang w:eastAsia="it-IT"/>
        </w:rPr>
        <w:t xml:space="preserve">a </w:t>
      </w:r>
      <w:r w:rsidR="00E846F7" w:rsidRPr="00792946">
        <w:rPr>
          <w:rFonts w:ascii="Palatino Linotype" w:eastAsia="Times New Roman" w:hAnsi="Palatino Linotype" w:cs="Times New Roman"/>
          <w:sz w:val="20"/>
          <w:szCs w:val="20"/>
          <w:lang w:eastAsia="it-IT"/>
        </w:rPr>
        <w:t>questione è,</w:t>
      </w:r>
      <w:r w:rsidRPr="00792946">
        <w:rPr>
          <w:rFonts w:ascii="Palatino Linotype" w:eastAsia="Times New Roman" w:hAnsi="Palatino Linotype" w:cs="Times New Roman"/>
          <w:sz w:val="20"/>
          <w:szCs w:val="20"/>
          <w:lang w:eastAsia="it-IT"/>
        </w:rPr>
        <w:t xml:space="preserve"> </w:t>
      </w:r>
      <w:r w:rsidR="0075432F" w:rsidRPr="00792946">
        <w:rPr>
          <w:rFonts w:ascii="Palatino Linotype" w:eastAsia="Times New Roman" w:hAnsi="Palatino Linotype" w:cs="Times New Roman"/>
          <w:sz w:val="20"/>
          <w:szCs w:val="20"/>
          <w:lang w:eastAsia="it-IT"/>
        </w:rPr>
        <w:t>invece</w:t>
      </w:r>
      <w:r w:rsidR="00E846F7" w:rsidRPr="00792946">
        <w:rPr>
          <w:rFonts w:ascii="Palatino Linotype" w:eastAsia="Times New Roman" w:hAnsi="Palatino Linotype" w:cs="Times New Roman"/>
          <w:sz w:val="20"/>
          <w:szCs w:val="20"/>
          <w:lang w:eastAsia="it-IT"/>
        </w:rPr>
        <w:t>,</w:t>
      </w:r>
      <w:r w:rsidR="0075432F" w:rsidRPr="00792946">
        <w:rPr>
          <w:rFonts w:ascii="Palatino Linotype" w:eastAsia="Times New Roman" w:hAnsi="Palatino Linotype" w:cs="Times New Roman"/>
          <w:sz w:val="20"/>
          <w:szCs w:val="20"/>
          <w:lang w:eastAsia="it-IT"/>
        </w:rPr>
        <w:t xml:space="preserve"> </w:t>
      </w:r>
      <w:r w:rsidR="0011649A" w:rsidRPr="00792946">
        <w:rPr>
          <w:rFonts w:ascii="Palatino Linotype" w:eastAsia="Times New Roman" w:hAnsi="Palatino Linotype" w:cs="Times New Roman"/>
          <w:sz w:val="20"/>
          <w:szCs w:val="20"/>
          <w:lang w:eastAsia="it-IT"/>
        </w:rPr>
        <w:t xml:space="preserve">la mancanza </w:t>
      </w:r>
      <w:r w:rsidR="004B4786" w:rsidRPr="00792946">
        <w:rPr>
          <w:rFonts w:ascii="Palatino Linotype" w:eastAsia="Times New Roman" w:hAnsi="Palatino Linotype" w:cs="Times New Roman"/>
          <w:sz w:val="20"/>
          <w:szCs w:val="20"/>
          <w:lang w:eastAsia="it-IT"/>
        </w:rPr>
        <w:t>dei requisiti morali</w:t>
      </w:r>
      <w:r w:rsidR="00746B06" w:rsidRPr="00792946">
        <w:rPr>
          <w:rFonts w:ascii="Palatino Linotype" w:eastAsia="Times New Roman" w:hAnsi="Palatino Linotype" w:cs="Times New Roman"/>
          <w:sz w:val="20"/>
          <w:szCs w:val="20"/>
          <w:lang w:eastAsia="it-IT"/>
        </w:rPr>
        <w:t xml:space="preserve"> </w:t>
      </w:r>
      <w:r w:rsidR="00A61805" w:rsidRPr="00792946">
        <w:rPr>
          <w:rFonts w:ascii="Palatino Linotype" w:eastAsia="Times New Roman" w:hAnsi="Palatino Linotype" w:cs="Times New Roman"/>
          <w:sz w:val="20"/>
          <w:szCs w:val="20"/>
          <w:lang w:eastAsia="it-IT"/>
        </w:rPr>
        <w:t>de</w:t>
      </w:r>
      <w:r w:rsidR="00746B06" w:rsidRPr="00792946">
        <w:rPr>
          <w:rFonts w:ascii="Palatino Linotype" w:eastAsia="Times New Roman" w:hAnsi="Palatino Linotype" w:cs="Times New Roman"/>
          <w:sz w:val="20"/>
          <w:szCs w:val="20"/>
          <w:lang w:eastAsia="it-IT"/>
        </w:rPr>
        <w:t>ll’ausiliario</w:t>
      </w:r>
      <w:r w:rsidR="004B4786" w:rsidRPr="00792946">
        <w:rPr>
          <w:rStyle w:val="Rimandonotaapidipagina"/>
          <w:rFonts w:ascii="Palatino Linotype" w:eastAsia="Times New Roman" w:hAnsi="Palatino Linotype" w:cs="Times New Roman"/>
          <w:sz w:val="20"/>
          <w:szCs w:val="20"/>
          <w:lang w:eastAsia="it-IT"/>
        </w:rPr>
        <w:footnoteReference w:id="29"/>
      </w:r>
      <w:r w:rsidR="004B4786"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dov</w:t>
      </w:r>
      <w:r w:rsidR="00D83EE9">
        <w:rPr>
          <w:rFonts w:ascii="Palatino Linotype" w:eastAsia="Times New Roman" w:hAnsi="Palatino Linotype" w:cs="Times New Roman"/>
          <w:sz w:val="20"/>
          <w:szCs w:val="20"/>
          <w:lang w:eastAsia="it-IT"/>
        </w:rPr>
        <w:t>e si deve</w:t>
      </w:r>
      <w:r w:rsidR="00C773BF" w:rsidRPr="00792946">
        <w:rPr>
          <w:rFonts w:ascii="Palatino Linotype" w:eastAsia="Times New Roman" w:hAnsi="Palatino Linotype" w:cs="Times New Roman"/>
          <w:sz w:val="20"/>
          <w:szCs w:val="20"/>
          <w:lang w:eastAsia="it-IT"/>
        </w:rPr>
        <w:t xml:space="preserve"> da</w:t>
      </w:r>
      <w:r w:rsidRPr="00792946">
        <w:rPr>
          <w:rFonts w:ascii="Palatino Linotype" w:eastAsia="Times New Roman" w:hAnsi="Palatino Linotype" w:cs="Times New Roman"/>
          <w:sz w:val="20"/>
          <w:szCs w:val="20"/>
          <w:lang w:eastAsia="it-IT"/>
        </w:rPr>
        <w:t>r</w:t>
      </w:r>
      <w:r w:rsidR="00C773BF" w:rsidRPr="00792946">
        <w:rPr>
          <w:rFonts w:ascii="Palatino Linotype" w:eastAsia="Times New Roman" w:hAnsi="Palatino Linotype" w:cs="Times New Roman"/>
          <w:sz w:val="20"/>
          <w:szCs w:val="20"/>
          <w:lang w:eastAsia="it-IT"/>
        </w:rPr>
        <w:t xml:space="preserve"> conto di</w:t>
      </w:r>
      <w:r w:rsidR="00724E16" w:rsidRPr="00792946">
        <w:rPr>
          <w:rFonts w:ascii="Palatino Linotype" w:eastAsia="Times New Roman" w:hAnsi="Palatino Linotype" w:cs="Times New Roman"/>
          <w:sz w:val="20"/>
          <w:szCs w:val="20"/>
          <w:lang w:eastAsia="it-IT"/>
        </w:rPr>
        <w:t xml:space="preserve"> </w:t>
      </w:r>
      <w:r w:rsidR="00C773BF" w:rsidRPr="00792946">
        <w:rPr>
          <w:rFonts w:ascii="Palatino Linotype" w:eastAsia="Times New Roman" w:hAnsi="Palatino Linotype" w:cs="Times New Roman"/>
          <w:sz w:val="20"/>
          <w:szCs w:val="20"/>
          <w:lang w:eastAsia="it-IT"/>
        </w:rPr>
        <w:t>un</w:t>
      </w:r>
      <w:r w:rsidR="00724E16" w:rsidRPr="00792946">
        <w:rPr>
          <w:rFonts w:ascii="Palatino Linotype" w:eastAsia="Times New Roman" w:hAnsi="Palatino Linotype" w:cs="Times New Roman"/>
          <w:sz w:val="20"/>
          <w:szCs w:val="20"/>
          <w:lang w:eastAsia="it-IT"/>
        </w:rPr>
        <w:t xml:space="preserve">a </w:t>
      </w:r>
      <w:r w:rsidR="00C773BF" w:rsidRPr="00792946">
        <w:rPr>
          <w:rFonts w:ascii="Palatino Linotype" w:eastAsia="Times New Roman" w:hAnsi="Palatino Linotype" w:cs="Times New Roman"/>
          <w:sz w:val="20"/>
          <w:szCs w:val="20"/>
          <w:lang w:eastAsia="it-IT"/>
        </w:rPr>
        <w:t xml:space="preserve">recente sentenza della </w:t>
      </w:r>
      <w:r w:rsidR="00724E16" w:rsidRPr="00792946">
        <w:rPr>
          <w:rFonts w:ascii="Palatino Linotype" w:eastAsia="Times New Roman" w:hAnsi="Palatino Linotype" w:cs="Times New Roman"/>
          <w:sz w:val="20"/>
          <w:szCs w:val="20"/>
          <w:lang w:eastAsia="it-IT"/>
        </w:rPr>
        <w:t>Corte di giustizia</w:t>
      </w:r>
      <w:r w:rsidR="00B0540B" w:rsidRPr="00792946">
        <w:rPr>
          <w:rStyle w:val="Rimandonotaapidipagina"/>
          <w:rFonts w:ascii="Palatino Linotype" w:eastAsia="Times New Roman" w:hAnsi="Palatino Linotype" w:cs="Times New Roman"/>
          <w:sz w:val="20"/>
          <w:szCs w:val="20"/>
          <w:lang w:eastAsia="it-IT"/>
        </w:rPr>
        <w:footnoteReference w:id="30"/>
      </w:r>
      <w:r w:rsidR="001A3449" w:rsidRPr="00792946">
        <w:rPr>
          <w:rFonts w:ascii="Palatino Linotype" w:eastAsia="Times New Roman" w:hAnsi="Palatino Linotype" w:cs="Times New Roman"/>
          <w:sz w:val="20"/>
          <w:szCs w:val="20"/>
          <w:lang w:eastAsia="it-IT"/>
        </w:rPr>
        <w:t>,</w:t>
      </w:r>
      <w:r w:rsidR="006A0D2D" w:rsidRPr="00792946">
        <w:rPr>
          <w:rFonts w:ascii="Palatino Linotype" w:eastAsia="Times New Roman" w:hAnsi="Palatino Linotype" w:cs="Times New Roman"/>
          <w:sz w:val="20"/>
          <w:szCs w:val="20"/>
          <w:lang w:eastAsia="it-IT"/>
        </w:rPr>
        <w:t xml:space="preserve"> </w:t>
      </w:r>
      <w:r w:rsidR="00724E16" w:rsidRPr="00792946">
        <w:rPr>
          <w:rFonts w:ascii="Palatino Linotype" w:eastAsia="Times New Roman" w:hAnsi="Palatino Linotype" w:cs="Times New Roman"/>
          <w:sz w:val="20"/>
          <w:szCs w:val="20"/>
          <w:lang w:eastAsia="it-IT"/>
        </w:rPr>
        <w:t>innovativa rispetto all’assetto testuale del</w:t>
      </w:r>
      <w:r w:rsidR="006A0D2D" w:rsidRPr="00792946">
        <w:rPr>
          <w:rFonts w:ascii="Palatino Linotype" w:eastAsia="Times New Roman" w:hAnsi="Palatino Linotype" w:cs="Times New Roman"/>
          <w:sz w:val="20"/>
          <w:szCs w:val="20"/>
          <w:lang w:eastAsia="it-IT"/>
        </w:rPr>
        <w:t xml:space="preserve"> diritt</w:t>
      </w:r>
      <w:r w:rsidR="00724E16" w:rsidRPr="00792946">
        <w:rPr>
          <w:rFonts w:ascii="Palatino Linotype" w:eastAsia="Times New Roman" w:hAnsi="Palatino Linotype" w:cs="Times New Roman"/>
          <w:sz w:val="20"/>
          <w:szCs w:val="20"/>
          <w:lang w:eastAsia="it-IT"/>
        </w:rPr>
        <w:t>o</w:t>
      </w:r>
      <w:r w:rsidR="006A0D2D" w:rsidRPr="00792946">
        <w:rPr>
          <w:rFonts w:ascii="Palatino Linotype" w:eastAsia="Times New Roman" w:hAnsi="Palatino Linotype" w:cs="Times New Roman"/>
          <w:sz w:val="20"/>
          <w:szCs w:val="20"/>
          <w:lang w:eastAsia="it-IT"/>
        </w:rPr>
        <w:t xml:space="preserve"> </w:t>
      </w:r>
      <w:r w:rsidR="00724E16" w:rsidRPr="00792946">
        <w:rPr>
          <w:rFonts w:ascii="Palatino Linotype" w:eastAsia="Times New Roman" w:hAnsi="Palatino Linotype" w:cs="Times New Roman"/>
          <w:sz w:val="20"/>
          <w:szCs w:val="20"/>
          <w:lang w:eastAsia="it-IT"/>
        </w:rPr>
        <w:t>interno</w:t>
      </w:r>
      <w:r w:rsidR="005B0223" w:rsidRPr="00792946">
        <w:rPr>
          <w:rFonts w:ascii="Palatino Linotype" w:eastAsia="Times New Roman" w:hAnsi="Palatino Linotype" w:cs="Times New Roman"/>
          <w:sz w:val="20"/>
          <w:szCs w:val="20"/>
          <w:lang w:eastAsia="it-IT"/>
        </w:rPr>
        <w:t>.</w:t>
      </w:r>
    </w:p>
    <w:p w14:paraId="4A986C26" w14:textId="77777777" w:rsidR="005B0223" w:rsidRPr="00792946" w:rsidRDefault="00DF7A38"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In </w:t>
      </w:r>
      <w:r w:rsidR="001A3449" w:rsidRPr="00792946">
        <w:rPr>
          <w:rFonts w:ascii="Palatino Linotype" w:eastAsia="Times New Roman" w:hAnsi="Palatino Linotype" w:cs="Times New Roman"/>
          <w:sz w:val="20"/>
          <w:szCs w:val="20"/>
          <w:lang w:eastAsia="it-IT"/>
        </w:rPr>
        <w:t xml:space="preserve">punto di </w:t>
      </w:r>
      <w:r w:rsidRPr="00792946">
        <w:rPr>
          <w:rFonts w:ascii="Palatino Linotype" w:eastAsia="Times New Roman" w:hAnsi="Palatino Linotype" w:cs="Times New Roman"/>
          <w:sz w:val="20"/>
          <w:szCs w:val="20"/>
          <w:lang w:eastAsia="it-IT"/>
        </w:rPr>
        <w:t>fatto, in</w:t>
      </w:r>
      <w:r w:rsidR="005B0223" w:rsidRPr="00792946">
        <w:rPr>
          <w:rFonts w:ascii="Palatino Linotype" w:eastAsia="Times New Roman" w:hAnsi="Palatino Linotype" w:cs="Times New Roman"/>
          <w:sz w:val="20"/>
          <w:szCs w:val="20"/>
          <w:lang w:eastAsia="it-IT"/>
        </w:rPr>
        <w:t xml:space="preserve"> una procedura </w:t>
      </w:r>
      <w:r w:rsidRPr="00792946">
        <w:rPr>
          <w:rFonts w:ascii="Palatino Linotype" w:eastAsia="Times New Roman" w:hAnsi="Palatino Linotype" w:cs="Times New Roman"/>
          <w:sz w:val="20"/>
          <w:szCs w:val="20"/>
          <w:lang w:eastAsia="it-IT"/>
        </w:rPr>
        <w:t xml:space="preserve">di </w:t>
      </w:r>
      <w:r w:rsidR="005B0223" w:rsidRPr="00792946">
        <w:rPr>
          <w:rFonts w:ascii="Palatino Linotype" w:eastAsia="Times New Roman" w:hAnsi="Palatino Linotype" w:cs="Times New Roman"/>
          <w:sz w:val="20"/>
          <w:szCs w:val="20"/>
          <w:lang w:eastAsia="it-IT"/>
        </w:rPr>
        <w:t xml:space="preserve">affidamento di un appalto di lavori, un RTI classificatosi in posizione utile all’aggiudicazione </w:t>
      </w:r>
      <w:r w:rsidR="00C31038">
        <w:rPr>
          <w:rFonts w:ascii="Palatino Linotype" w:eastAsia="Times New Roman" w:hAnsi="Palatino Linotype" w:cs="Times New Roman"/>
          <w:sz w:val="20"/>
          <w:szCs w:val="20"/>
          <w:lang w:eastAsia="it-IT"/>
        </w:rPr>
        <w:t>è stato</w:t>
      </w:r>
      <w:r w:rsidR="005B0223" w:rsidRPr="00792946">
        <w:rPr>
          <w:rFonts w:ascii="Palatino Linotype" w:eastAsia="Times New Roman" w:hAnsi="Palatino Linotype" w:cs="Times New Roman"/>
          <w:sz w:val="20"/>
          <w:szCs w:val="20"/>
          <w:lang w:eastAsia="it-IT"/>
        </w:rPr>
        <w:t xml:space="preserve"> escluso ai sensi dell’art. 80, comma 5, lett. c) e f-</w:t>
      </w:r>
      <w:r w:rsidR="005B0223" w:rsidRPr="00792946">
        <w:rPr>
          <w:rFonts w:ascii="Palatino Linotype" w:eastAsia="Times New Roman" w:hAnsi="Palatino Linotype" w:cs="Times New Roman"/>
          <w:i/>
          <w:sz w:val="20"/>
          <w:szCs w:val="20"/>
          <w:lang w:eastAsia="it-IT"/>
        </w:rPr>
        <w:t>bis</w:t>
      </w:r>
      <w:r w:rsidR="005B0223" w:rsidRPr="00792946">
        <w:rPr>
          <w:rFonts w:ascii="Palatino Linotype" w:eastAsia="Times New Roman" w:hAnsi="Palatino Linotype" w:cs="Times New Roman"/>
          <w:sz w:val="20"/>
          <w:szCs w:val="20"/>
          <w:lang w:eastAsia="it-IT"/>
        </w:rPr>
        <w:t xml:space="preserve">) e 89 del D.lgs. n. 50/2016, </w:t>
      </w:r>
      <w:r w:rsidR="00861574">
        <w:rPr>
          <w:rFonts w:ascii="Palatino Linotype" w:eastAsia="Times New Roman" w:hAnsi="Palatino Linotype" w:cs="Times New Roman"/>
          <w:sz w:val="20"/>
          <w:szCs w:val="20"/>
          <w:lang w:eastAsia="it-IT"/>
        </w:rPr>
        <w:t>essendo</w:t>
      </w:r>
      <w:r w:rsidR="0011649A" w:rsidRPr="00792946">
        <w:rPr>
          <w:rFonts w:ascii="Palatino Linotype" w:eastAsia="Times New Roman" w:hAnsi="Palatino Linotype" w:cs="Times New Roman"/>
          <w:sz w:val="20"/>
          <w:szCs w:val="20"/>
          <w:lang w:eastAsia="it-IT"/>
        </w:rPr>
        <w:t>si</w:t>
      </w:r>
      <w:r w:rsidR="005B0223" w:rsidRPr="00792946">
        <w:rPr>
          <w:rFonts w:ascii="Palatino Linotype" w:eastAsia="Times New Roman" w:hAnsi="Palatino Linotype" w:cs="Times New Roman"/>
          <w:sz w:val="20"/>
          <w:szCs w:val="20"/>
          <w:lang w:eastAsia="it-IT"/>
        </w:rPr>
        <w:t xml:space="preserve"> avvalso dei requisiti di un’ausiliaria, la quale </w:t>
      </w:r>
      <w:r w:rsidR="00861574">
        <w:rPr>
          <w:rFonts w:ascii="Palatino Linotype" w:eastAsia="Times New Roman" w:hAnsi="Palatino Linotype" w:cs="Times New Roman"/>
          <w:sz w:val="20"/>
          <w:szCs w:val="20"/>
          <w:lang w:eastAsia="it-IT"/>
        </w:rPr>
        <w:t>h</w:t>
      </w:r>
      <w:r w:rsidR="005B0223" w:rsidRPr="00792946">
        <w:rPr>
          <w:rFonts w:ascii="Palatino Linotype" w:eastAsia="Times New Roman" w:hAnsi="Palatino Linotype" w:cs="Times New Roman"/>
          <w:sz w:val="20"/>
          <w:szCs w:val="20"/>
          <w:lang w:eastAsia="it-IT"/>
        </w:rPr>
        <w:t xml:space="preserve">a </w:t>
      </w:r>
      <w:r w:rsidR="008B06E3" w:rsidRPr="00792946">
        <w:rPr>
          <w:rFonts w:ascii="Palatino Linotype" w:eastAsia="Times New Roman" w:hAnsi="Palatino Linotype" w:cs="Times New Roman"/>
          <w:sz w:val="20"/>
          <w:szCs w:val="20"/>
          <w:lang w:eastAsia="it-IT"/>
        </w:rPr>
        <w:t xml:space="preserve">violato un preciso obbligo partecipativo, </w:t>
      </w:r>
      <w:r w:rsidRPr="00792946">
        <w:rPr>
          <w:rFonts w:ascii="Palatino Linotype" w:eastAsia="Times New Roman" w:hAnsi="Palatino Linotype" w:cs="Times New Roman"/>
          <w:sz w:val="20"/>
          <w:szCs w:val="20"/>
          <w:lang w:eastAsia="it-IT"/>
        </w:rPr>
        <w:t>ome</w:t>
      </w:r>
      <w:r w:rsidR="008B06E3" w:rsidRPr="00792946">
        <w:rPr>
          <w:rFonts w:ascii="Palatino Linotype" w:eastAsia="Times New Roman" w:hAnsi="Palatino Linotype" w:cs="Times New Roman"/>
          <w:sz w:val="20"/>
          <w:szCs w:val="20"/>
          <w:lang w:eastAsia="it-IT"/>
        </w:rPr>
        <w:t>ttend</w:t>
      </w:r>
      <w:r w:rsidRPr="00792946">
        <w:rPr>
          <w:rFonts w:ascii="Palatino Linotype" w:eastAsia="Times New Roman" w:hAnsi="Palatino Linotype" w:cs="Times New Roman"/>
          <w:sz w:val="20"/>
          <w:szCs w:val="20"/>
          <w:lang w:eastAsia="it-IT"/>
        </w:rPr>
        <w:t xml:space="preserve">o di </w:t>
      </w:r>
      <w:r w:rsidR="005B0223" w:rsidRPr="00792946">
        <w:rPr>
          <w:rFonts w:ascii="Palatino Linotype" w:eastAsia="Times New Roman" w:hAnsi="Palatino Linotype" w:cs="Times New Roman"/>
          <w:sz w:val="20"/>
          <w:szCs w:val="20"/>
          <w:lang w:eastAsia="it-IT"/>
        </w:rPr>
        <w:t>dichiara</w:t>
      </w:r>
      <w:r w:rsidRPr="00792946">
        <w:rPr>
          <w:rFonts w:ascii="Palatino Linotype" w:eastAsia="Times New Roman" w:hAnsi="Palatino Linotype" w:cs="Times New Roman"/>
          <w:sz w:val="20"/>
          <w:szCs w:val="20"/>
          <w:lang w:eastAsia="it-IT"/>
        </w:rPr>
        <w:t>re</w:t>
      </w:r>
      <w:r w:rsidR="005B0223" w:rsidRPr="00792946">
        <w:rPr>
          <w:rFonts w:ascii="Palatino Linotype" w:eastAsia="Times New Roman" w:hAnsi="Palatino Linotype" w:cs="Times New Roman"/>
          <w:sz w:val="20"/>
          <w:szCs w:val="20"/>
          <w:lang w:eastAsia="it-IT"/>
        </w:rPr>
        <w:t xml:space="preserve"> una sentenza definitiva di applicazione della pena su richiesta delle parti a carico del </w:t>
      </w:r>
      <w:r w:rsidR="00C773BF" w:rsidRPr="00792946">
        <w:rPr>
          <w:rFonts w:ascii="Palatino Linotype" w:eastAsia="Times New Roman" w:hAnsi="Palatino Linotype" w:cs="Times New Roman"/>
          <w:sz w:val="20"/>
          <w:szCs w:val="20"/>
          <w:lang w:eastAsia="it-IT"/>
        </w:rPr>
        <w:t xml:space="preserve">proprio </w:t>
      </w:r>
      <w:r w:rsidR="005B0223" w:rsidRPr="00792946">
        <w:rPr>
          <w:rFonts w:ascii="Palatino Linotype" w:eastAsia="Times New Roman" w:hAnsi="Palatino Linotype" w:cs="Times New Roman"/>
          <w:sz w:val="20"/>
          <w:szCs w:val="20"/>
          <w:lang w:eastAsia="it-IT"/>
        </w:rPr>
        <w:t>rappresentante legale.</w:t>
      </w:r>
    </w:p>
    <w:p w14:paraId="5479BD61" w14:textId="77777777" w:rsidR="005B0223" w:rsidRPr="00792946" w:rsidRDefault="00861574" w:rsidP="00347275">
      <w:pPr>
        <w:spacing w:after="0" w:line="360" w:lineRule="auto"/>
        <w:ind w:firstLine="851"/>
        <w:jc w:val="both"/>
        <w:rPr>
          <w:rFonts w:ascii="Palatino Linotype" w:eastAsia="Times New Roman" w:hAnsi="Palatino Linotype" w:cs="Times New Roman"/>
          <w:sz w:val="20"/>
          <w:szCs w:val="20"/>
          <w:lang w:eastAsia="it-IT"/>
        </w:rPr>
      </w:pPr>
      <w:r>
        <w:rPr>
          <w:rFonts w:ascii="Palatino Linotype" w:eastAsia="Times New Roman" w:hAnsi="Palatino Linotype" w:cs="Times New Roman"/>
          <w:sz w:val="20"/>
          <w:szCs w:val="20"/>
          <w:lang w:eastAsia="it-IT"/>
        </w:rPr>
        <w:t>La sentenza de</w:t>
      </w:r>
      <w:r w:rsidR="005B0223" w:rsidRPr="00792946">
        <w:rPr>
          <w:rFonts w:ascii="Palatino Linotype" w:eastAsia="Times New Roman" w:hAnsi="Palatino Linotype" w:cs="Times New Roman"/>
          <w:sz w:val="20"/>
          <w:szCs w:val="20"/>
          <w:lang w:eastAsia="it-IT"/>
        </w:rPr>
        <w:t>l T.A.R.</w:t>
      </w:r>
      <w:r>
        <w:rPr>
          <w:rFonts w:ascii="Palatino Linotype" w:eastAsia="Times New Roman" w:hAnsi="Palatino Linotype" w:cs="Times New Roman"/>
          <w:sz w:val="20"/>
          <w:szCs w:val="20"/>
          <w:lang w:eastAsia="it-IT"/>
        </w:rPr>
        <w:t>,</w:t>
      </w:r>
      <w:r w:rsidR="005B0223" w:rsidRPr="00792946">
        <w:rPr>
          <w:rFonts w:ascii="Palatino Linotype" w:eastAsia="Times New Roman" w:hAnsi="Palatino Linotype" w:cs="Times New Roman"/>
          <w:sz w:val="20"/>
          <w:szCs w:val="20"/>
          <w:lang w:eastAsia="it-IT"/>
        </w:rPr>
        <w:t xml:space="preserve"> </w:t>
      </w:r>
      <w:r>
        <w:rPr>
          <w:rFonts w:ascii="Palatino Linotype" w:eastAsia="Times New Roman" w:hAnsi="Palatino Linotype" w:cs="Times New Roman"/>
          <w:sz w:val="20"/>
          <w:szCs w:val="20"/>
          <w:lang w:eastAsia="it-IT"/>
        </w:rPr>
        <w:t>che ha annullato l’esclusione,</w:t>
      </w:r>
      <w:r w:rsidR="005B0223" w:rsidRPr="00792946">
        <w:rPr>
          <w:rFonts w:ascii="Palatino Linotype" w:eastAsia="Times New Roman" w:hAnsi="Palatino Linotype" w:cs="Times New Roman"/>
          <w:sz w:val="20"/>
          <w:szCs w:val="20"/>
          <w:lang w:eastAsia="it-IT"/>
        </w:rPr>
        <w:t xml:space="preserve"> </w:t>
      </w:r>
      <w:r>
        <w:rPr>
          <w:rFonts w:ascii="Palatino Linotype" w:eastAsia="Times New Roman" w:hAnsi="Palatino Linotype" w:cs="Times New Roman"/>
          <w:sz w:val="20"/>
          <w:szCs w:val="20"/>
          <w:lang w:eastAsia="it-IT"/>
        </w:rPr>
        <w:t>è</w:t>
      </w:r>
      <w:r w:rsidR="005B0223" w:rsidRPr="00792946">
        <w:rPr>
          <w:rFonts w:ascii="Palatino Linotype" w:eastAsia="Times New Roman" w:hAnsi="Palatino Linotype" w:cs="Times New Roman"/>
          <w:sz w:val="20"/>
          <w:szCs w:val="20"/>
          <w:lang w:eastAsia="it-IT"/>
        </w:rPr>
        <w:t xml:space="preserve"> stata appellata dall’aggiudicatario.</w:t>
      </w:r>
    </w:p>
    <w:p w14:paraId="5D630854" w14:textId="77777777" w:rsidR="005B0223" w:rsidRPr="00792946" w:rsidRDefault="005B0223"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Il Consiglio di Stato, ravvisando </w:t>
      </w:r>
      <w:r w:rsidR="00C773BF" w:rsidRPr="00792946">
        <w:rPr>
          <w:rFonts w:ascii="Palatino Linotype" w:eastAsia="Times New Roman" w:hAnsi="Palatino Linotype" w:cs="Times New Roman"/>
          <w:sz w:val="20"/>
          <w:szCs w:val="20"/>
          <w:lang w:eastAsia="it-IT"/>
        </w:rPr>
        <w:t xml:space="preserve">nella fattispecie </w:t>
      </w:r>
      <w:r w:rsidRPr="00792946">
        <w:rPr>
          <w:rFonts w:ascii="Palatino Linotype" w:eastAsia="Times New Roman" w:hAnsi="Palatino Linotype" w:cs="Times New Roman"/>
          <w:sz w:val="20"/>
          <w:szCs w:val="20"/>
          <w:lang w:eastAsia="it-IT"/>
        </w:rPr>
        <w:t xml:space="preserve">un’ipotesi di espulsione </w:t>
      </w:r>
      <w:r w:rsidR="00F50482" w:rsidRPr="00792946">
        <w:rPr>
          <w:rFonts w:ascii="Palatino Linotype" w:eastAsia="Times New Roman" w:hAnsi="Palatino Linotype" w:cs="Times New Roman"/>
          <w:sz w:val="20"/>
          <w:szCs w:val="20"/>
          <w:lang w:eastAsia="it-IT"/>
        </w:rPr>
        <w:t xml:space="preserve">meccanica </w:t>
      </w:r>
      <w:r w:rsidRPr="00792946">
        <w:rPr>
          <w:rFonts w:ascii="Palatino Linotype" w:eastAsia="Times New Roman" w:hAnsi="Palatino Linotype" w:cs="Times New Roman"/>
          <w:i/>
          <w:sz w:val="20"/>
          <w:szCs w:val="20"/>
          <w:lang w:eastAsia="it-IT"/>
        </w:rPr>
        <w:t>ope legis</w:t>
      </w:r>
      <w:r w:rsidRPr="00792946">
        <w:rPr>
          <w:rFonts w:ascii="Palatino Linotype" w:eastAsia="Times New Roman" w:hAnsi="Palatino Linotype" w:cs="Times New Roman"/>
          <w:sz w:val="20"/>
          <w:szCs w:val="20"/>
          <w:lang w:eastAsia="it-IT"/>
        </w:rPr>
        <w:t xml:space="preserve">, </w:t>
      </w:r>
      <w:r w:rsidR="00861574">
        <w:rPr>
          <w:rFonts w:ascii="Palatino Linotype" w:eastAsia="Times New Roman" w:hAnsi="Palatino Linotype" w:cs="Times New Roman"/>
          <w:sz w:val="20"/>
          <w:szCs w:val="20"/>
          <w:lang w:eastAsia="it-IT"/>
        </w:rPr>
        <w:t>h</w:t>
      </w:r>
      <w:r w:rsidRPr="00792946">
        <w:rPr>
          <w:rFonts w:ascii="Palatino Linotype" w:eastAsia="Times New Roman" w:hAnsi="Palatino Linotype" w:cs="Times New Roman"/>
          <w:sz w:val="20"/>
          <w:szCs w:val="20"/>
          <w:lang w:eastAsia="it-IT"/>
        </w:rPr>
        <w:t>a a sua volta rimesso alla Corte di Giustizia la questione pregiudiziale del possibile contrasto</w:t>
      </w:r>
      <w:r w:rsidR="00987901"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con l’art. 63, </w:t>
      </w:r>
      <w:r w:rsidR="00E902B4"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1, comma 2, della direttiva 24/2014 e con gli artt. 49 e 56 del T</w:t>
      </w:r>
      <w:r w:rsidR="00C773BF"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F</w:t>
      </w:r>
      <w:r w:rsidR="00C773BF"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U</w:t>
      </w:r>
      <w:r w:rsidR="00C773BF"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E</w:t>
      </w:r>
      <w:r w:rsidR="00C773BF" w:rsidRPr="00792946">
        <w:rPr>
          <w:rFonts w:ascii="Palatino Linotype" w:eastAsia="Times New Roman" w:hAnsi="Palatino Linotype" w:cs="Times New Roman"/>
          <w:sz w:val="20"/>
          <w:szCs w:val="20"/>
          <w:lang w:eastAsia="it-IT"/>
        </w:rPr>
        <w:t>.</w:t>
      </w:r>
      <w:r w:rsidR="00987901"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della normativa interna che non consente </w:t>
      </w:r>
      <w:r w:rsidR="00021AB8" w:rsidRPr="00792946">
        <w:rPr>
          <w:rFonts w:ascii="Palatino Linotype" w:eastAsia="Times New Roman" w:hAnsi="Palatino Linotype" w:cs="Times New Roman"/>
          <w:sz w:val="20"/>
          <w:szCs w:val="20"/>
          <w:lang w:eastAsia="it-IT"/>
        </w:rPr>
        <w:t>l</w:t>
      </w:r>
      <w:r w:rsidRPr="00792946">
        <w:rPr>
          <w:rFonts w:ascii="Palatino Linotype" w:eastAsia="Times New Roman" w:hAnsi="Palatino Linotype" w:cs="Times New Roman"/>
          <w:sz w:val="20"/>
          <w:szCs w:val="20"/>
          <w:lang w:eastAsia="it-IT"/>
        </w:rPr>
        <w:t>’indica</w:t>
      </w:r>
      <w:r w:rsidR="00021AB8" w:rsidRPr="00792946">
        <w:rPr>
          <w:rFonts w:ascii="Palatino Linotype" w:eastAsia="Times New Roman" w:hAnsi="Palatino Linotype" w:cs="Times New Roman"/>
          <w:sz w:val="20"/>
          <w:szCs w:val="20"/>
          <w:lang w:eastAsia="it-IT"/>
        </w:rPr>
        <w:t>zion</w:t>
      </w:r>
      <w:r w:rsidRPr="00792946">
        <w:rPr>
          <w:rFonts w:ascii="Palatino Linotype" w:eastAsia="Times New Roman" w:hAnsi="Palatino Linotype" w:cs="Times New Roman"/>
          <w:sz w:val="20"/>
          <w:szCs w:val="20"/>
          <w:lang w:eastAsia="it-IT"/>
        </w:rPr>
        <w:t xml:space="preserve">e in sostituzione </w:t>
      </w:r>
      <w:r w:rsidR="00021AB8" w:rsidRPr="00792946">
        <w:rPr>
          <w:rFonts w:ascii="Palatino Linotype" w:eastAsia="Times New Roman" w:hAnsi="Palatino Linotype" w:cs="Times New Roman"/>
          <w:sz w:val="20"/>
          <w:szCs w:val="20"/>
          <w:lang w:eastAsia="it-IT"/>
        </w:rPr>
        <w:t xml:space="preserve">di </w:t>
      </w:r>
      <w:r w:rsidRPr="00792946">
        <w:rPr>
          <w:rFonts w:ascii="Palatino Linotype" w:eastAsia="Times New Roman" w:hAnsi="Palatino Linotype" w:cs="Times New Roman"/>
          <w:sz w:val="20"/>
          <w:szCs w:val="20"/>
          <w:lang w:eastAsia="it-IT"/>
        </w:rPr>
        <w:t xml:space="preserve">un’altra impresa ausiliaria idonea, evidenziando </w:t>
      </w:r>
      <w:r w:rsidR="00C773BF" w:rsidRPr="00792946">
        <w:rPr>
          <w:rFonts w:ascii="Palatino Linotype" w:eastAsia="Times New Roman" w:hAnsi="Palatino Linotype" w:cs="Times New Roman"/>
          <w:sz w:val="20"/>
          <w:szCs w:val="20"/>
          <w:lang w:eastAsia="it-IT"/>
        </w:rPr>
        <w:t xml:space="preserve">per altro </w:t>
      </w:r>
      <w:r w:rsidRPr="00792946">
        <w:rPr>
          <w:rFonts w:ascii="Palatino Linotype" w:eastAsia="Times New Roman" w:hAnsi="Palatino Linotype" w:cs="Times New Roman"/>
          <w:sz w:val="20"/>
          <w:szCs w:val="20"/>
          <w:lang w:eastAsia="it-IT"/>
        </w:rPr>
        <w:t xml:space="preserve">che, non figurando la condanna nell’estratto del casellario giudiziale </w:t>
      </w:r>
      <w:r w:rsidR="00E902B4" w:rsidRPr="00792946">
        <w:rPr>
          <w:rFonts w:ascii="Palatino Linotype" w:eastAsia="Times New Roman" w:hAnsi="Palatino Linotype" w:cs="Times New Roman"/>
          <w:sz w:val="20"/>
          <w:szCs w:val="20"/>
          <w:lang w:eastAsia="it-IT"/>
        </w:rPr>
        <w:t>a</w:t>
      </w:r>
      <w:r w:rsidRPr="00792946">
        <w:rPr>
          <w:rFonts w:ascii="Palatino Linotype" w:eastAsia="Times New Roman" w:hAnsi="Palatino Linotype" w:cs="Times New Roman"/>
          <w:sz w:val="20"/>
          <w:szCs w:val="20"/>
          <w:lang w:eastAsia="it-IT"/>
        </w:rPr>
        <w:t>d</w:t>
      </w:r>
      <w:r w:rsidR="00E902B4" w:rsidRPr="00792946">
        <w:rPr>
          <w:rFonts w:ascii="Palatino Linotype" w:eastAsia="Times New Roman" w:hAnsi="Palatino Linotype" w:cs="Times New Roman"/>
          <w:sz w:val="20"/>
          <w:szCs w:val="20"/>
          <w:lang w:eastAsia="it-IT"/>
        </w:rPr>
        <w:t xml:space="preserve"> uso de</w:t>
      </w:r>
      <w:r w:rsidRPr="00792946">
        <w:rPr>
          <w:rFonts w:ascii="Palatino Linotype" w:eastAsia="Times New Roman" w:hAnsi="Palatino Linotype" w:cs="Times New Roman"/>
          <w:sz w:val="20"/>
          <w:szCs w:val="20"/>
          <w:lang w:eastAsia="it-IT"/>
        </w:rPr>
        <w:t xml:space="preserve">i privati, il </w:t>
      </w:r>
      <w:r w:rsidR="00021AB8" w:rsidRPr="00792946">
        <w:rPr>
          <w:rFonts w:ascii="Palatino Linotype" w:eastAsia="Times New Roman" w:hAnsi="Palatino Linotype" w:cs="Times New Roman"/>
          <w:sz w:val="20"/>
          <w:szCs w:val="20"/>
          <w:lang w:eastAsia="it-IT"/>
        </w:rPr>
        <w:t>concorrente</w:t>
      </w:r>
      <w:r w:rsidRPr="00792946">
        <w:rPr>
          <w:rFonts w:ascii="Palatino Linotype" w:eastAsia="Times New Roman" w:hAnsi="Palatino Linotype" w:cs="Times New Roman"/>
          <w:sz w:val="20"/>
          <w:szCs w:val="20"/>
          <w:lang w:eastAsia="it-IT"/>
        </w:rPr>
        <w:t xml:space="preserve"> </w:t>
      </w:r>
      <w:r w:rsidR="00C773BF" w:rsidRPr="00792946">
        <w:rPr>
          <w:rFonts w:ascii="Palatino Linotype" w:eastAsia="Times New Roman" w:hAnsi="Palatino Linotype" w:cs="Times New Roman"/>
          <w:sz w:val="20"/>
          <w:szCs w:val="20"/>
          <w:lang w:eastAsia="it-IT"/>
        </w:rPr>
        <w:t>sa</w:t>
      </w:r>
      <w:r w:rsidRPr="00792946">
        <w:rPr>
          <w:rFonts w:ascii="Palatino Linotype" w:eastAsia="Times New Roman" w:hAnsi="Palatino Linotype" w:cs="Times New Roman"/>
          <w:sz w:val="20"/>
          <w:szCs w:val="20"/>
          <w:lang w:eastAsia="it-IT"/>
        </w:rPr>
        <w:t xml:space="preserve">rebbe </w:t>
      </w:r>
      <w:r w:rsidR="00C773BF" w:rsidRPr="00792946">
        <w:rPr>
          <w:rFonts w:ascii="Palatino Linotype" w:eastAsia="Times New Roman" w:hAnsi="Palatino Linotype" w:cs="Times New Roman"/>
          <w:sz w:val="20"/>
          <w:szCs w:val="20"/>
          <w:lang w:eastAsia="it-IT"/>
        </w:rPr>
        <w:t xml:space="preserve">stato escluso </w:t>
      </w:r>
      <w:r w:rsidRPr="00792946">
        <w:rPr>
          <w:rFonts w:ascii="Palatino Linotype" w:eastAsia="Times New Roman" w:hAnsi="Palatino Linotype" w:cs="Times New Roman"/>
          <w:sz w:val="20"/>
          <w:szCs w:val="20"/>
          <w:lang w:eastAsia="it-IT"/>
        </w:rPr>
        <w:t>per una responsabilità di tipo oggettivo</w:t>
      </w:r>
      <w:r w:rsidRPr="00792946">
        <w:rPr>
          <w:rStyle w:val="Rimandonotaapidipagina"/>
          <w:rFonts w:ascii="Palatino Linotype" w:eastAsia="Times New Roman" w:hAnsi="Palatino Linotype" w:cs="Times New Roman"/>
          <w:sz w:val="20"/>
          <w:szCs w:val="20"/>
          <w:lang w:eastAsia="it-IT"/>
        </w:rPr>
        <w:footnoteReference w:id="31"/>
      </w:r>
      <w:r w:rsidRPr="00792946">
        <w:rPr>
          <w:rFonts w:ascii="Palatino Linotype" w:eastAsia="Times New Roman" w:hAnsi="Palatino Linotype" w:cs="Times New Roman"/>
          <w:sz w:val="20"/>
          <w:szCs w:val="20"/>
          <w:lang w:eastAsia="it-IT"/>
        </w:rPr>
        <w:t>.</w:t>
      </w:r>
    </w:p>
    <w:p w14:paraId="3B437368" w14:textId="77777777" w:rsidR="005B0223" w:rsidRPr="00792946" w:rsidRDefault="005B0223"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La Corte di </w:t>
      </w:r>
      <w:r w:rsidR="00C773BF" w:rsidRPr="00792946">
        <w:rPr>
          <w:rFonts w:ascii="Palatino Linotype" w:eastAsia="Times New Roman" w:hAnsi="Palatino Linotype" w:cs="Times New Roman"/>
          <w:sz w:val="20"/>
          <w:szCs w:val="20"/>
          <w:lang w:eastAsia="it-IT"/>
        </w:rPr>
        <w:t>g</w:t>
      </w:r>
      <w:r w:rsidRPr="00792946">
        <w:rPr>
          <w:rFonts w:ascii="Palatino Linotype" w:eastAsia="Times New Roman" w:hAnsi="Palatino Linotype" w:cs="Times New Roman"/>
          <w:sz w:val="20"/>
          <w:szCs w:val="20"/>
          <w:lang w:eastAsia="it-IT"/>
        </w:rPr>
        <w:t>iustizia, nell’elaborare la propria posizione, preme</w:t>
      </w:r>
      <w:r w:rsidR="00301302" w:rsidRPr="00792946">
        <w:rPr>
          <w:rFonts w:ascii="Palatino Linotype" w:eastAsia="Times New Roman" w:hAnsi="Palatino Linotype" w:cs="Times New Roman"/>
          <w:sz w:val="20"/>
          <w:szCs w:val="20"/>
          <w:lang w:eastAsia="it-IT"/>
        </w:rPr>
        <w:t>tte</w:t>
      </w:r>
      <w:r w:rsidRPr="00792946">
        <w:rPr>
          <w:rFonts w:ascii="Palatino Linotype" w:eastAsia="Times New Roman" w:hAnsi="Palatino Linotype" w:cs="Times New Roman"/>
          <w:sz w:val="20"/>
          <w:szCs w:val="20"/>
          <w:lang w:eastAsia="it-IT"/>
        </w:rPr>
        <w:t xml:space="preserve"> che </w:t>
      </w:r>
      <w:r w:rsidR="00987901" w:rsidRPr="00792946">
        <w:rPr>
          <w:rFonts w:ascii="Palatino Linotype" w:eastAsia="Times New Roman" w:hAnsi="Palatino Linotype" w:cs="Times New Roman"/>
          <w:sz w:val="20"/>
          <w:szCs w:val="20"/>
          <w:lang w:eastAsia="it-IT"/>
        </w:rPr>
        <w:t>l</w:t>
      </w:r>
      <w:r w:rsidR="00301302" w:rsidRPr="00792946">
        <w:rPr>
          <w:rFonts w:ascii="Palatino Linotype" w:eastAsia="Times New Roman" w:hAnsi="Palatino Linotype" w:cs="Times New Roman"/>
          <w:sz w:val="20"/>
          <w:szCs w:val="20"/>
          <w:lang w:eastAsia="it-IT"/>
        </w:rPr>
        <w:t>’esistenz</w:t>
      </w:r>
      <w:r w:rsidR="00987901" w:rsidRPr="00792946">
        <w:rPr>
          <w:rFonts w:ascii="Palatino Linotype" w:eastAsia="Times New Roman" w:hAnsi="Palatino Linotype" w:cs="Times New Roman"/>
          <w:sz w:val="20"/>
          <w:szCs w:val="20"/>
          <w:lang w:eastAsia="it-IT"/>
        </w:rPr>
        <w:t xml:space="preserve">a </w:t>
      </w:r>
      <w:r w:rsidR="0011649A" w:rsidRPr="00792946">
        <w:rPr>
          <w:rFonts w:ascii="Palatino Linotype" w:eastAsia="Times New Roman" w:hAnsi="Palatino Linotype" w:cs="Times New Roman"/>
          <w:sz w:val="20"/>
          <w:szCs w:val="20"/>
          <w:lang w:eastAsia="it-IT"/>
        </w:rPr>
        <w:t xml:space="preserve">di </w:t>
      </w:r>
      <w:r w:rsidRPr="00792946">
        <w:rPr>
          <w:rFonts w:ascii="Palatino Linotype" w:eastAsia="Times New Roman" w:hAnsi="Palatino Linotype" w:cs="Times New Roman"/>
          <w:sz w:val="20"/>
          <w:szCs w:val="20"/>
          <w:lang w:eastAsia="it-IT"/>
        </w:rPr>
        <w:t xml:space="preserve">un automatismo espulsivo </w:t>
      </w:r>
      <w:r w:rsidR="00C773BF" w:rsidRPr="00792946">
        <w:rPr>
          <w:rFonts w:ascii="Palatino Linotype" w:eastAsia="Times New Roman" w:hAnsi="Palatino Linotype" w:cs="Times New Roman"/>
          <w:sz w:val="20"/>
          <w:szCs w:val="20"/>
          <w:lang w:eastAsia="it-IT"/>
        </w:rPr>
        <w:t xml:space="preserve">già di </w:t>
      </w:r>
      <w:r w:rsidR="00E902B4" w:rsidRPr="00792946">
        <w:rPr>
          <w:rFonts w:ascii="Palatino Linotype" w:eastAsia="Times New Roman" w:hAnsi="Palatino Linotype" w:cs="Times New Roman"/>
          <w:sz w:val="20"/>
          <w:szCs w:val="20"/>
          <w:lang w:eastAsia="it-IT"/>
        </w:rPr>
        <w:t xml:space="preserve">sé </w:t>
      </w:r>
      <w:r w:rsidR="00C773BF" w:rsidRPr="00792946">
        <w:rPr>
          <w:rFonts w:ascii="Palatino Linotype" w:eastAsia="Times New Roman" w:hAnsi="Palatino Linotype" w:cs="Times New Roman"/>
          <w:sz w:val="20"/>
          <w:szCs w:val="20"/>
          <w:lang w:eastAsia="it-IT"/>
        </w:rPr>
        <w:t xml:space="preserve">per </w:t>
      </w:r>
      <w:r w:rsidR="00301302" w:rsidRPr="00792946">
        <w:rPr>
          <w:rFonts w:ascii="Palatino Linotype" w:eastAsia="Times New Roman" w:hAnsi="Palatino Linotype" w:cs="Times New Roman"/>
          <w:sz w:val="20"/>
          <w:szCs w:val="20"/>
          <w:lang w:eastAsia="it-IT"/>
        </w:rPr>
        <w:t>rischia</w:t>
      </w:r>
      <w:r w:rsidRPr="00792946">
        <w:rPr>
          <w:rFonts w:ascii="Palatino Linotype" w:eastAsia="Times New Roman" w:hAnsi="Palatino Linotype" w:cs="Times New Roman"/>
          <w:sz w:val="20"/>
          <w:szCs w:val="20"/>
          <w:lang w:eastAsia="it-IT"/>
        </w:rPr>
        <w:t xml:space="preserve"> di eludere il principio di non discriminazione, </w:t>
      </w:r>
      <w:r w:rsidR="00021AB8" w:rsidRPr="00792946">
        <w:rPr>
          <w:rFonts w:ascii="Palatino Linotype" w:eastAsia="Times New Roman" w:hAnsi="Palatino Linotype" w:cs="Times New Roman"/>
          <w:sz w:val="20"/>
          <w:szCs w:val="20"/>
          <w:lang w:eastAsia="it-IT"/>
        </w:rPr>
        <w:t>atteso</w:t>
      </w:r>
      <w:r w:rsidRPr="00792946">
        <w:rPr>
          <w:rFonts w:ascii="Palatino Linotype" w:eastAsia="Times New Roman" w:hAnsi="Palatino Linotype" w:cs="Times New Roman"/>
          <w:sz w:val="20"/>
          <w:szCs w:val="20"/>
          <w:lang w:eastAsia="it-IT"/>
        </w:rPr>
        <w:t xml:space="preserve"> che la sostitu</w:t>
      </w:r>
      <w:r w:rsidR="008C0862" w:rsidRPr="00792946">
        <w:rPr>
          <w:rFonts w:ascii="Palatino Linotype" w:eastAsia="Times New Roman" w:hAnsi="Palatino Linotype" w:cs="Times New Roman"/>
          <w:sz w:val="20"/>
          <w:szCs w:val="20"/>
          <w:lang w:eastAsia="it-IT"/>
        </w:rPr>
        <w:t>zione</w:t>
      </w:r>
      <w:r w:rsidRPr="00792946">
        <w:rPr>
          <w:rFonts w:ascii="Palatino Linotype" w:eastAsia="Times New Roman" w:hAnsi="Palatino Linotype" w:cs="Times New Roman"/>
          <w:sz w:val="20"/>
          <w:szCs w:val="20"/>
          <w:lang w:eastAsia="it-IT"/>
        </w:rPr>
        <w:t xml:space="preserve"> è invece ammissibile </w:t>
      </w:r>
      <w:r w:rsidR="00021AB8" w:rsidRPr="00792946">
        <w:rPr>
          <w:rFonts w:ascii="Palatino Linotype" w:eastAsia="Times New Roman" w:hAnsi="Palatino Linotype" w:cs="Times New Roman"/>
          <w:sz w:val="20"/>
          <w:szCs w:val="20"/>
          <w:lang w:eastAsia="it-IT"/>
        </w:rPr>
        <w:t xml:space="preserve">in altre occasioni </w:t>
      </w:r>
      <w:r w:rsidRPr="00792946">
        <w:rPr>
          <w:rFonts w:ascii="Palatino Linotype" w:eastAsia="Times New Roman" w:hAnsi="Palatino Linotype" w:cs="Times New Roman"/>
          <w:sz w:val="20"/>
          <w:szCs w:val="20"/>
          <w:lang w:eastAsia="it-IT"/>
        </w:rPr>
        <w:t xml:space="preserve">e </w:t>
      </w:r>
      <w:r w:rsidR="00E902B4" w:rsidRPr="00792946">
        <w:rPr>
          <w:rFonts w:ascii="Palatino Linotype" w:eastAsia="Times New Roman" w:hAnsi="Palatino Linotype" w:cs="Times New Roman"/>
          <w:sz w:val="20"/>
          <w:szCs w:val="20"/>
          <w:lang w:eastAsia="it-IT"/>
        </w:rPr>
        <w:t xml:space="preserve">che ciò </w:t>
      </w:r>
      <w:r w:rsidR="008C0862" w:rsidRPr="00792946">
        <w:rPr>
          <w:rFonts w:ascii="Palatino Linotype" w:eastAsia="Times New Roman" w:hAnsi="Palatino Linotype" w:cs="Times New Roman"/>
          <w:sz w:val="20"/>
          <w:szCs w:val="20"/>
          <w:lang w:eastAsia="it-IT"/>
        </w:rPr>
        <w:t xml:space="preserve">potrebbe </w:t>
      </w:r>
      <w:r w:rsidRPr="00792946">
        <w:rPr>
          <w:rFonts w:ascii="Palatino Linotype" w:eastAsia="Times New Roman" w:hAnsi="Palatino Linotype" w:cs="Times New Roman"/>
          <w:sz w:val="20"/>
          <w:szCs w:val="20"/>
          <w:lang w:eastAsia="it-IT"/>
        </w:rPr>
        <w:t xml:space="preserve">costituire una violazione del divieto di </w:t>
      </w:r>
      <w:r w:rsidRPr="00792946">
        <w:rPr>
          <w:rFonts w:ascii="Palatino Linotype" w:eastAsia="Times New Roman" w:hAnsi="Palatino Linotype" w:cs="Times New Roman"/>
          <w:i/>
          <w:sz w:val="20"/>
          <w:szCs w:val="20"/>
          <w:lang w:eastAsia="it-IT"/>
        </w:rPr>
        <w:t>gold</w:t>
      </w:r>
      <w:r w:rsidR="00CD00A6" w:rsidRPr="00792946">
        <w:rPr>
          <w:rFonts w:ascii="Palatino Linotype" w:eastAsia="Times New Roman" w:hAnsi="Palatino Linotype" w:cs="Times New Roman"/>
          <w:i/>
          <w:sz w:val="20"/>
          <w:szCs w:val="20"/>
          <w:lang w:eastAsia="it-IT"/>
        </w:rPr>
        <w:t xml:space="preserve"> </w:t>
      </w:r>
      <w:r w:rsidRPr="00792946">
        <w:rPr>
          <w:rFonts w:ascii="Palatino Linotype" w:eastAsia="Times New Roman" w:hAnsi="Palatino Linotype" w:cs="Times New Roman"/>
          <w:i/>
          <w:sz w:val="20"/>
          <w:szCs w:val="20"/>
          <w:lang w:eastAsia="it-IT"/>
        </w:rPr>
        <w:t>plating</w:t>
      </w:r>
      <w:r w:rsidR="008C0862" w:rsidRPr="00792946">
        <w:rPr>
          <w:rStyle w:val="Rimandonotaapidipagina"/>
          <w:rFonts w:ascii="Palatino Linotype" w:eastAsia="Times New Roman" w:hAnsi="Palatino Linotype" w:cs="Times New Roman"/>
          <w:sz w:val="20"/>
          <w:szCs w:val="20"/>
          <w:lang w:eastAsia="it-IT"/>
        </w:rPr>
        <w:footnoteReference w:id="32"/>
      </w:r>
      <w:r w:rsidR="00021AB8" w:rsidRPr="00792946">
        <w:rPr>
          <w:rFonts w:ascii="Palatino Linotype" w:eastAsia="Times New Roman" w:hAnsi="Palatino Linotype" w:cs="Times New Roman"/>
          <w:sz w:val="20"/>
          <w:szCs w:val="20"/>
          <w:lang w:eastAsia="it-IT"/>
        </w:rPr>
        <w:t>.</w:t>
      </w:r>
    </w:p>
    <w:p w14:paraId="25AF1E0C" w14:textId="77777777" w:rsidR="005B0223" w:rsidRPr="00792946" w:rsidRDefault="00301302"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L’obiettivo perseguito i</w:t>
      </w:r>
      <w:r w:rsidR="00AF39BF" w:rsidRPr="00792946">
        <w:rPr>
          <w:rFonts w:ascii="Palatino Linotype" w:eastAsia="Times New Roman" w:hAnsi="Palatino Linotype" w:cs="Times New Roman"/>
          <w:sz w:val="20"/>
          <w:szCs w:val="20"/>
          <w:lang w:eastAsia="it-IT"/>
        </w:rPr>
        <w:t>n</w:t>
      </w:r>
      <w:r w:rsidR="005B0223" w:rsidRPr="00792946">
        <w:rPr>
          <w:rFonts w:ascii="Palatino Linotype" w:eastAsia="Times New Roman" w:hAnsi="Palatino Linotype" w:cs="Times New Roman"/>
          <w:sz w:val="20"/>
          <w:szCs w:val="20"/>
          <w:lang w:eastAsia="it-IT"/>
        </w:rPr>
        <w:t xml:space="preserve"> materia dagli artt. 57 </w:t>
      </w:r>
      <w:r w:rsidR="00E902B4" w:rsidRPr="00792946">
        <w:rPr>
          <w:rFonts w:ascii="Palatino Linotype" w:eastAsia="Times New Roman" w:hAnsi="Palatino Linotype" w:cs="Times New Roman"/>
          <w:sz w:val="20"/>
          <w:szCs w:val="20"/>
          <w:lang w:eastAsia="it-IT"/>
        </w:rPr>
        <w:t>e 63 della direttiva 24/2014</w:t>
      </w:r>
      <w:r w:rsidR="005B0223" w:rsidRPr="00792946">
        <w:rPr>
          <w:rFonts w:ascii="Palatino Linotype" w:eastAsia="Times New Roman" w:hAnsi="Palatino Linotype" w:cs="Times New Roman"/>
          <w:sz w:val="20"/>
          <w:szCs w:val="20"/>
          <w:lang w:eastAsia="it-IT"/>
        </w:rPr>
        <w:t xml:space="preserve"> “è quello di consentire all’amministrazione aggiudicatrice di garantire l’integrità e l’affidabilità di ciascuno degli offerenti e, di conseguenza, la mancata cessazione del rapporto di fiducia con l’operatore economico interessato”.</w:t>
      </w:r>
    </w:p>
    <w:p w14:paraId="4A206DDA" w14:textId="77777777" w:rsidR="005B0223" w:rsidRPr="00792946" w:rsidRDefault="00021AB8"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G</w:t>
      </w:r>
      <w:r w:rsidR="005B0223" w:rsidRPr="00792946">
        <w:rPr>
          <w:rFonts w:ascii="Palatino Linotype" w:eastAsia="Times New Roman" w:hAnsi="Palatino Linotype" w:cs="Times New Roman"/>
          <w:sz w:val="20"/>
          <w:szCs w:val="20"/>
          <w:lang w:eastAsia="it-IT"/>
        </w:rPr>
        <w:t>li Stati membri dispongono di un margine di discrezionalità nel determina</w:t>
      </w:r>
      <w:r w:rsidRPr="00792946">
        <w:rPr>
          <w:rFonts w:ascii="Palatino Linotype" w:eastAsia="Times New Roman" w:hAnsi="Palatino Linotype" w:cs="Times New Roman"/>
          <w:sz w:val="20"/>
          <w:szCs w:val="20"/>
          <w:lang w:eastAsia="it-IT"/>
        </w:rPr>
        <w:t xml:space="preserve">re </w:t>
      </w:r>
      <w:r w:rsidR="005B0223" w:rsidRPr="00792946">
        <w:rPr>
          <w:rFonts w:ascii="Palatino Linotype" w:eastAsia="Times New Roman" w:hAnsi="Palatino Linotype" w:cs="Times New Roman"/>
          <w:sz w:val="20"/>
          <w:szCs w:val="20"/>
          <w:lang w:eastAsia="it-IT"/>
        </w:rPr>
        <w:t xml:space="preserve">i motivi di esclusione facoltativi, </w:t>
      </w:r>
      <w:r w:rsidRPr="00792946">
        <w:rPr>
          <w:rFonts w:ascii="Palatino Linotype" w:eastAsia="Times New Roman" w:hAnsi="Palatino Linotype" w:cs="Times New Roman"/>
          <w:sz w:val="20"/>
          <w:szCs w:val="20"/>
          <w:lang w:eastAsia="it-IT"/>
        </w:rPr>
        <w:t xml:space="preserve">purché </w:t>
      </w:r>
      <w:r w:rsidR="00204845" w:rsidRPr="00792946">
        <w:rPr>
          <w:rFonts w:ascii="Palatino Linotype" w:eastAsia="Times New Roman" w:hAnsi="Palatino Linotype" w:cs="Times New Roman"/>
          <w:sz w:val="20"/>
          <w:szCs w:val="20"/>
          <w:lang w:eastAsia="it-IT"/>
        </w:rPr>
        <w:t>all’</w:t>
      </w:r>
      <w:r w:rsidRPr="00792946">
        <w:rPr>
          <w:rFonts w:ascii="Palatino Linotype" w:eastAsia="Times New Roman" w:hAnsi="Palatino Linotype" w:cs="Times New Roman"/>
          <w:sz w:val="20"/>
          <w:szCs w:val="20"/>
          <w:lang w:eastAsia="it-IT"/>
        </w:rPr>
        <w:t xml:space="preserve">operatore </w:t>
      </w:r>
      <w:r w:rsidR="007B4DAE" w:rsidRPr="00792946">
        <w:rPr>
          <w:rFonts w:ascii="Palatino Linotype" w:eastAsia="Times New Roman" w:hAnsi="Palatino Linotype" w:cs="Times New Roman"/>
          <w:sz w:val="20"/>
          <w:szCs w:val="20"/>
          <w:lang w:eastAsia="it-IT"/>
        </w:rPr>
        <w:t xml:space="preserve">sia garantito </w:t>
      </w:r>
      <w:r w:rsidR="00204845" w:rsidRPr="00792946">
        <w:rPr>
          <w:rFonts w:ascii="Palatino Linotype" w:eastAsia="Times New Roman" w:hAnsi="Palatino Linotype" w:cs="Times New Roman"/>
          <w:sz w:val="20"/>
          <w:szCs w:val="20"/>
          <w:lang w:eastAsia="it-IT"/>
        </w:rPr>
        <w:t xml:space="preserve">il diritto </w:t>
      </w:r>
      <w:r w:rsidRPr="00792946">
        <w:rPr>
          <w:rFonts w:ascii="Palatino Linotype" w:eastAsia="Times New Roman" w:hAnsi="Palatino Linotype" w:cs="Times New Roman"/>
          <w:sz w:val="20"/>
          <w:szCs w:val="20"/>
          <w:lang w:eastAsia="it-IT"/>
        </w:rPr>
        <w:t xml:space="preserve">di fornire le prove che le misure correttive da lui adottate sono sufficienti a dimostrarne l’affidabilità, superando </w:t>
      </w:r>
      <w:r w:rsidR="00204845" w:rsidRPr="00792946">
        <w:rPr>
          <w:rFonts w:ascii="Palatino Linotype" w:eastAsia="Times New Roman" w:hAnsi="Palatino Linotype" w:cs="Times New Roman"/>
          <w:sz w:val="20"/>
          <w:szCs w:val="20"/>
          <w:lang w:eastAsia="it-IT"/>
        </w:rPr>
        <w:t>la causa</w:t>
      </w:r>
      <w:r w:rsidRPr="00792946">
        <w:rPr>
          <w:rFonts w:ascii="Palatino Linotype" w:eastAsia="Times New Roman" w:hAnsi="Palatino Linotype" w:cs="Times New Roman"/>
          <w:sz w:val="20"/>
          <w:szCs w:val="20"/>
          <w:lang w:eastAsia="it-IT"/>
        </w:rPr>
        <w:t xml:space="preserve"> d</w:t>
      </w:r>
      <w:r w:rsidR="00204845" w:rsidRPr="00792946">
        <w:rPr>
          <w:rFonts w:ascii="Palatino Linotype" w:eastAsia="Times New Roman" w:hAnsi="Palatino Linotype" w:cs="Times New Roman"/>
          <w:sz w:val="20"/>
          <w:szCs w:val="20"/>
          <w:lang w:eastAsia="it-IT"/>
        </w:rPr>
        <w:t>ell’</w:t>
      </w:r>
      <w:r w:rsidRPr="00792946">
        <w:rPr>
          <w:rFonts w:ascii="Palatino Linotype" w:eastAsia="Times New Roman" w:hAnsi="Palatino Linotype" w:cs="Times New Roman"/>
          <w:sz w:val="20"/>
          <w:szCs w:val="20"/>
          <w:lang w:eastAsia="it-IT"/>
        </w:rPr>
        <w:t xml:space="preserve">esclusione, </w:t>
      </w:r>
      <w:r w:rsidR="007B4DAE" w:rsidRPr="00792946">
        <w:rPr>
          <w:rFonts w:ascii="Palatino Linotype" w:eastAsia="Times New Roman" w:hAnsi="Palatino Linotype" w:cs="Times New Roman"/>
          <w:sz w:val="20"/>
          <w:szCs w:val="20"/>
          <w:lang w:eastAsia="it-IT"/>
        </w:rPr>
        <w:t xml:space="preserve">come previsto </w:t>
      </w:r>
      <w:r w:rsidRPr="00792946">
        <w:rPr>
          <w:rFonts w:ascii="Palatino Linotype" w:eastAsia="Times New Roman" w:hAnsi="Palatino Linotype" w:cs="Times New Roman"/>
          <w:sz w:val="20"/>
          <w:szCs w:val="20"/>
          <w:lang w:eastAsia="it-IT"/>
        </w:rPr>
        <w:t>d</w:t>
      </w:r>
      <w:r w:rsidR="007B4DAE" w:rsidRPr="00792946">
        <w:rPr>
          <w:rFonts w:ascii="Palatino Linotype" w:eastAsia="Times New Roman" w:hAnsi="Palatino Linotype" w:cs="Times New Roman"/>
          <w:sz w:val="20"/>
          <w:szCs w:val="20"/>
          <w:lang w:eastAsia="it-IT"/>
        </w:rPr>
        <w:t>a</w:t>
      </w:r>
      <w:r w:rsidRPr="00792946">
        <w:rPr>
          <w:rFonts w:ascii="Palatino Linotype" w:eastAsia="Times New Roman" w:hAnsi="Palatino Linotype" w:cs="Times New Roman"/>
          <w:sz w:val="20"/>
          <w:szCs w:val="20"/>
          <w:lang w:eastAsia="it-IT"/>
        </w:rPr>
        <w:t>l</w:t>
      </w:r>
      <w:r w:rsidR="005B0223" w:rsidRPr="00792946">
        <w:rPr>
          <w:rFonts w:ascii="Palatino Linotype" w:eastAsia="Times New Roman" w:hAnsi="Palatino Linotype" w:cs="Times New Roman"/>
          <w:sz w:val="20"/>
          <w:szCs w:val="20"/>
          <w:lang w:eastAsia="it-IT"/>
        </w:rPr>
        <w:t xml:space="preserve">l’art. 57, </w:t>
      </w:r>
      <w:r w:rsidR="007B4DAE" w:rsidRPr="00792946">
        <w:rPr>
          <w:rFonts w:ascii="Palatino Linotype" w:eastAsia="Times New Roman" w:hAnsi="Palatino Linotype" w:cs="Times New Roman"/>
          <w:sz w:val="20"/>
          <w:szCs w:val="20"/>
          <w:lang w:eastAsia="it-IT"/>
        </w:rPr>
        <w:t>§</w:t>
      </w:r>
      <w:r w:rsidR="005B0223" w:rsidRPr="00792946">
        <w:rPr>
          <w:rFonts w:ascii="Palatino Linotype" w:eastAsia="Times New Roman" w:hAnsi="Palatino Linotype" w:cs="Times New Roman"/>
          <w:sz w:val="20"/>
          <w:szCs w:val="20"/>
          <w:lang w:eastAsia="it-IT"/>
        </w:rPr>
        <w:t xml:space="preserve"> 6, della direttiva, </w:t>
      </w:r>
      <w:r w:rsidRPr="00792946">
        <w:rPr>
          <w:rFonts w:ascii="Palatino Linotype" w:eastAsia="Times New Roman" w:hAnsi="Palatino Linotype" w:cs="Times New Roman"/>
          <w:sz w:val="20"/>
          <w:szCs w:val="20"/>
          <w:lang w:eastAsia="it-IT"/>
        </w:rPr>
        <w:t xml:space="preserve">da </w:t>
      </w:r>
      <w:r w:rsidR="005B0223" w:rsidRPr="00792946">
        <w:rPr>
          <w:rFonts w:ascii="Palatino Linotype" w:eastAsia="Times New Roman" w:hAnsi="Palatino Linotype" w:cs="Times New Roman"/>
          <w:sz w:val="20"/>
          <w:szCs w:val="20"/>
          <w:lang w:eastAsia="it-IT"/>
        </w:rPr>
        <w:t>le</w:t>
      </w:r>
      <w:r w:rsidRPr="00792946">
        <w:rPr>
          <w:rFonts w:ascii="Palatino Linotype" w:eastAsia="Times New Roman" w:hAnsi="Palatino Linotype" w:cs="Times New Roman"/>
          <w:sz w:val="20"/>
          <w:szCs w:val="20"/>
          <w:lang w:eastAsia="it-IT"/>
        </w:rPr>
        <w:t>gger</w:t>
      </w:r>
      <w:r w:rsidR="007B4DAE" w:rsidRPr="00792946">
        <w:rPr>
          <w:rFonts w:ascii="Palatino Linotype" w:eastAsia="Times New Roman" w:hAnsi="Palatino Linotype" w:cs="Times New Roman"/>
          <w:sz w:val="20"/>
          <w:szCs w:val="20"/>
          <w:lang w:eastAsia="it-IT"/>
        </w:rPr>
        <w:t>si</w:t>
      </w:r>
      <w:r w:rsidR="005B0223" w:rsidRPr="00792946">
        <w:rPr>
          <w:rFonts w:ascii="Palatino Linotype" w:eastAsia="Times New Roman" w:hAnsi="Palatino Linotype" w:cs="Times New Roman"/>
          <w:sz w:val="20"/>
          <w:szCs w:val="20"/>
          <w:lang w:eastAsia="it-IT"/>
        </w:rPr>
        <w:t xml:space="preserve"> in combinato disposto con il considerando n. 102 e con il principio generale di proporzionalità.</w:t>
      </w:r>
    </w:p>
    <w:p w14:paraId="59232693" w14:textId="77777777" w:rsidR="005B0223" w:rsidRPr="00792946" w:rsidRDefault="00021AB8"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S</w:t>
      </w:r>
      <w:r w:rsidR="005B0223" w:rsidRPr="00792946">
        <w:rPr>
          <w:rFonts w:ascii="Palatino Linotype" w:eastAsia="Times New Roman" w:hAnsi="Palatino Linotype" w:cs="Times New Roman"/>
          <w:sz w:val="20"/>
          <w:szCs w:val="20"/>
          <w:lang w:eastAsia="it-IT"/>
        </w:rPr>
        <w:t xml:space="preserve">e </w:t>
      </w:r>
      <w:r w:rsidR="00987901" w:rsidRPr="00792946">
        <w:rPr>
          <w:rFonts w:ascii="Palatino Linotype" w:eastAsia="Times New Roman" w:hAnsi="Palatino Linotype" w:cs="Times New Roman"/>
          <w:sz w:val="20"/>
          <w:szCs w:val="20"/>
          <w:lang w:eastAsia="it-IT"/>
        </w:rPr>
        <w:t>invece</w:t>
      </w:r>
      <w:r w:rsidRPr="00792946">
        <w:rPr>
          <w:rFonts w:ascii="Palatino Linotype" w:eastAsia="Times New Roman" w:hAnsi="Palatino Linotype" w:cs="Times New Roman"/>
          <w:sz w:val="20"/>
          <w:szCs w:val="20"/>
          <w:lang w:eastAsia="it-IT"/>
        </w:rPr>
        <w:t xml:space="preserve"> </w:t>
      </w:r>
      <w:r w:rsidR="005B0223" w:rsidRPr="00792946">
        <w:rPr>
          <w:rFonts w:ascii="Palatino Linotype" w:eastAsia="Times New Roman" w:hAnsi="Palatino Linotype" w:cs="Times New Roman"/>
          <w:sz w:val="20"/>
          <w:szCs w:val="20"/>
          <w:lang w:eastAsia="it-IT"/>
        </w:rPr>
        <w:t xml:space="preserve">l’operatore non </w:t>
      </w:r>
      <w:r w:rsidRPr="00792946">
        <w:rPr>
          <w:rFonts w:ascii="Palatino Linotype" w:eastAsia="Times New Roman" w:hAnsi="Palatino Linotype" w:cs="Times New Roman"/>
          <w:sz w:val="20"/>
          <w:szCs w:val="20"/>
          <w:lang w:eastAsia="it-IT"/>
        </w:rPr>
        <w:t>adotta</w:t>
      </w:r>
      <w:r w:rsidR="005B0223" w:rsidRPr="00792946">
        <w:rPr>
          <w:rFonts w:ascii="Palatino Linotype" w:eastAsia="Times New Roman" w:hAnsi="Palatino Linotype" w:cs="Times New Roman"/>
          <w:sz w:val="20"/>
          <w:szCs w:val="20"/>
          <w:lang w:eastAsia="it-IT"/>
        </w:rPr>
        <w:t xml:space="preserve"> misure correttive, o se quelle adottate s</w:t>
      </w:r>
      <w:r w:rsidRPr="00792946">
        <w:rPr>
          <w:rFonts w:ascii="Palatino Linotype" w:eastAsia="Times New Roman" w:hAnsi="Palatino Linotype" w:cs="Times New Roman"/>
          <w:sz w:val="20"/>
          <w:szCs w:val="20"/>
          <w:lang w:eastAsia="it-IT"/>
        </w:rPr>
        <w:t>o</w:t>
      </w:r>
      <w:r w:rsidR="005B0223" w:rsidRPr="00792946">
        <w:rPr>
          <w:rFonts w:ascii="Palatino Linotype" w:eastAsia="Times New Roman" w:hAnsi="Palatino Linotype" w:cs="Times New Roman"/>
          <w:sz w:val="20"/>
          <w:szCs w:val="20"/>
          <w:lang w:eastAsia="it-IT"/>
        </w:rPr>
        <w:t>no ini</w:t>
      </w:r>
      <w:r w:rsidRPr="00792946">
        <w:rPr>
          <w:rFonts w:ascii="Palatino Linotype" w:eastAsia="Times New Roman" w:hAnsi="Palatino Linotype" w:cs="Times New Roman"/>
          <w:sz w:val="20"/>
          <w:szCs w:val="20"/>
          <w:lang w:eastAsia="it-IT"/>
        </w:rPr>
        <w:t>donee</w:t>
      </w:r>
      <w:r w:rsidR="005B0223" w:rsidRPr="00792946">
        <w:rPr>
          <w:rFonts w:ascii="Palatino Linotype" w:eastAsia="Times New Roman" w:hAnsi="Palatino Linotype" w:cs="Times New Roman"/>
          <w:sz w:val="20"/>
          <w:szCs w:val="20"/>
          <w:lang w:eastAsia="it-IT"/>
        </w:rPr>
        <w:t xml:space="preserve">, l’amministrazione aggiudicatrice può, o </w:t>
      </w:r>
      <w:r w:rsidR="002727D6" w:rsidRPr="00792946">
        <w:rPr>
          <w:rFonts w:ascii="Palatino Linotype" w:eastAsia="Times New Roman" w:hAnsi="Palatino Linotype" w:cs="Times New Roman"/>
          <w:sz w:val="20"/>
          <w:szCs w:val="20"/>
          <w:lang w:eastAsia="it-IT"/>
        </w:rPr>
        <w:t>–</w:t>
      </w:r>
      <w:r w:rsidR="005B0223" w:rsidRPr="00792946">
        <w:rPr>
          <w:rFonts w:ascii="Palatino Linotype" w:eastAsia="Times New Roman" w:hAnsi="Palatino Linotype" w:cs="Times New Roman"/>
          <w:sz w:val="20"/>
          <w:szCs w:val="20"/>
          <w:lang w:eastAsia="it-IT"/>
        </w:rPr>
        <w:t xml:space="preserve"> se il suo diritto nazionale la obbliga </w:t>
      </w:r>
      <w:r w:rsidR="002727D6" w:rsidRPr="00792946">
        <w:rPr>
          <w:rFonts w:ascii="Palatino Linotype" w:eastAsia="Times New Roman" w:hAnsi="Palatino Linotype" w:cs="Times New Roman"/>
          <w:sz w:val="20"/>
          <w:szCs w:val="20"/>
          <w:lang w:eastAsia="it-IT"/>
        </w:rPr>
        <w:t>–</w:t>
      </w:r>
      <w:r w:rsidR="005B0223" w:rsidRPr="00792946">
        <w:rPr>
          <w:rFonts w:ascii="Palatino Linotype" w:eastAsia="Times New Roman" w:hAnsi="Palatino Linotype" w:cs="Times New Roman"/>
          <w:sz w:val="20"/>
          <w:szCs w:val="20"/>
          <w:lang w:eastAsia="it-IT"/>
        </w:rPr>
        <w:t xml:space="preserve"> deve, impor</w:t>
      </w:r>
      <w:r w:rsidRPr="00792946">
        <w:rPr>
          <w:rFonts w:ascii="Palatino Linotype" w:eastAsia="Times New Roman" w:hAnsi="Palatino Linotype" w:cs="Times New Roman"/>
          <w:sz w:val="20"/>
          <w:szCs w:val="20"/>
          <w:lang w:eastAsia="it-IT"/>
        </w:rPr>
        <w:t>gli</w:t>
      </w:r>
      <w:r w:rsidR="005B0223" w:rsidRPr="00792946">
        <w:rPr>
          <w:rFonts w:ascii="Palatino Linotype" w:eastAsia="Times New Roman" w:hAnsi="Palatino Linotype" w:cs="Times New Roman"/>
          <w:sz w:val="20"/>
          <w:szCs w:val="20"/>
          <w:lang w:eastAsia="it-IT"/>
        </w:rPr>
        <w:t xml:space="preserve"> di procedere alla sostituzione di detto soggetto.</w:t>
      </w:r>
    </w:p>
    <w:p w14:paraId="348BC233" w14:textId="77777777" w:rsidR="005B0223" w:rsidRPr="00792946" w:rsidRDefault="005B0223"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In </w:t>
      </w:r>
      <w:r w:rsidR="003B7B0D" w:rsidRPr="00792946">
        <w:rPr>
          <w:rFonts w:ascii="Palatino Linotype" w:eastAsia="Times New Roman" w:hAnsi="Palatino Linotype" w:cs="Times New Roman"/>
          <w:sz w:val="20"/>
          <w:szCs w:val="20"/>
          <w:lang w:eastAsia="it-IT"/>
        </w:rPr>
        <w:t>questo</w:t>
      </w:r>
      <w:r w:rsidR="00861574">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non è riscontrabile alcun </w:t>
      </w:r>
      <w:r w:rsidRPr="00792946">
        <w:rPr>
          <w:rFonts w:ascii="Palatino Linotype" w:eastAsia="Times New Roman" w:hAnsi="Palatino Linotype" w:cs="Times New Roman"/>
          <w:i/>
          <w:sz w:val="20"/>
          <w:szCs w:val="20"/>
          <w:lang w:eastAsia="it-IT"/>
        </w:rPr>
        <w:t>vulnus</w:t>
      </w:r>
      <w:r w:rsidRPr="00792946">
        <w:rPr>
          <w:rFonts w:ascii="Palatino Linotype" w:eastAsia="Times New Roman" w:hAnsi="Palatino Linotype" w:cs="Times New Roman"/>
          <w:sz w:val="20"/>
          <w:szCs w:val="20"/>
          <w:lang w:eastAsia="it-IT"/>
        </w:rPr>
        <w:t xml:space="preserve"> agli obblighi di parità di trattamento e di trasparenza, i quali ostano a qualsiasi trattativa tra l’amministrazione aggiudicatrice e l’offerente, </w:t>
      </w:r>
      <w:r w:rsidR="00861574">
        <w:rPr>
          <w:rFonts w:ascii="Palatino Linotype" w:eastAsia="Times New Roman" w:hAnsi="Palatino Linotype" w:cs="Times New Roman"/>
          <w:sz w:val="20"/>
          <w:szCs w:val="20"/>
          <w:lang w:eastAsia="it-IT"/>
        </w:rPr>
        <w:t>attesoché</w:t>
      </w:r>
      <w:r w:rsidRPr="00792946">
        <w:rPr>
          <w:rFonts w:ascii="Palatino Linotype" w:eastAsia="Times New Roman" w:hAnsi="Palatino Linotype" w:cs="Times New Roman"/>
          <w:sz w:val="20"/>
          <w:szCs w:val="20"/>
          <w:lang w:eastAsia="it-IT"/>
        </w:rPr>
        <w:t xml:space="preserve"> la sostituzione dell’ausiliario non </w:t>
      </w:r>
      <w:r w:rsidR="00987901" w:rsidRPr="00792946">
        <w:rPr>
          <w:rFonts w:ascii="Palatino Linotype" w:eastAsia="Times New Roman" w:hAnsi="Palatino Linotype" w:cs="Times New Roman"/>
          <w:sz w:val="20"/>
          <w:szCs w:val="20"/>
          <w:lang w:eastAsia="it-IT"/>
        </w:rPr>
        <w:t>comport</w:t>
      </w:r>
      <w:r w:rsidRPr="00792946">
        <w:rPr>
          <w:rFonts w:ascii="Palatino Linotype" w:eastAsia="Times New Roman" w:hAnsi="Palatino Linotype" w:cs="Times New Roman"/>
          <w:sz w:val="20"/>
          <w:szCs w:val="20"/>
          <w:lang w:eastAsia="it-IT"/>
        </w:rPr>
        <w:t xml:space="preserve">a la modificazione dell’offerta dopo il suo deposito, la quale </w:t>
      </w:r>
      <w:r w:rsidR="007B4DAE" w:rsidRPr="00792946">
        <w:rPr>
          <w:rFonts w:ascii="Palatino Linotype" w:eastAsia="Times New Roman" w:hAnsi="Palatino Linotype" w:cs="Times New Roman"/>
          <w:sz w:val="20"/>
          <w:szCs w:val="20"/>
          <w:lang w:eastAsia="it-IT"/>
        </w:rPr>
        <w:t>sarebbe</w:t>
      </w:r>
      <w:r w:rsidRPr="00792946">
        <w:rPr>
          <w:rFonts w:ascii="Palatino Linotype" w:eastAsia="Times New Roman" w:hAnsi="Palatino Linotype" w:cs="Times New Roman"/>
          <w:sz w:val="20"/>
          <w:szCs w:val="20"/>
          <w:lang w:eastAsia="it-IT"/>
        </w:rPr>
        <w:t xml:space="preserve"> preclusa </w:t>
      </w:r>
      <w:r w:rsidR="007B4DAE" w:rsidRPr="00792946">
        <w:rPr>
          <w:rFonts w:ascii="Palatino Linotype" w:eastAsia="Times New Roman" w:hAnsi="Palatino Linotype" w:cs="Times New Roman"/>
          <w:sz w:val="20"/>
          <w:szCs w:val="20"/>
          <w:lang w:eastAsia="it-IT"/>
        </w:rPr>
        <w:t xml:space="preserve">sia </w:t>
      </w:r>
      <w:r w:rsidRPr="00792946">
        <w:rPr>
          <w:rFonts w:ascii="Palatino Linotype" w:eastAsia="Times New Roman" w:hAnsi="Palatino Linotype" w:cs="Times New Roman"/>
          <w:sz w:val="20"/>
          <w:szCs w:val="20"/>
          <w:lang w:eastAsia="it-IT"/>
        </w:rPr>
        <w:t>su iniziativa dell’amministrazione aggiudicatrice</w:t>
      </w:r>
      <w:r w:rsidR="007B4DAE" w:rsidRPr="00792946">
        <w:rPr>
          <w:rFonts w:ascii="Palatino Linotype" w:eastAsia="Times New Roman" w:hAnsi="Palatino Linotype" w:cs="Times New Roman"/>
          <w:sz w:val="20"/>
          <w:szCs w:val="20"/>
          <w:lang w:eastAsia="it-IT"/>
        </w:rPr>
        <w:t xml:space="preserve"> che</w:t>
      </w:r>
      <w:r w:rsidRPr="00792946">
        <w:rPr>
          <w:rFonts w:ascii="Palatino Linotype" w:eastAsia="Times New Roman" w:hAnsi="Palatino Linotype" w:cs="Times New Roman"/>
          <w:sz w:val="20"/>
          <w:szCs w:val="20"/>
          <w:lang w:eastAsia="it-IT"/>
        </w:rPr>
        <w:t xml:space="preserve"> dell’offerente.</w:t>
      </w:r>
    </w:p>
    <w:p w14:paraId="70A5EE79" w14:textId="77777777" w:rsidR="005B0223" w:rsidRPr="00792946" w:rsidRDefault="00987901"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In conclusione, </w:t>
      </w:r>
      <w:r w:rsidR="003B7B0D" w:rsidRPr="00792946">
        <w:rPr>
          <w:rFonts w:ascii="Palatino Linotype" w:eastAsia="Times New Roman" w:hAnsi="Palatino Linotype" w:cs="Times New Roman"/>
          <w:sz w:val="20"/>
          <w:szCs w:val="20"/>
          <w:lang w:eastAsia="it-IT"/>
        </w:rPr>
        <w:t xml:space="preserve">il principio </w:t>
      </w:r>
      <w:r w:rsidR="005B0223" w:rsidRPr="00792946">
        <w:rPr>
          <w:rFonts w:ascii="Palatino Linotype" w:eastAsia="Times New Roman" w:hAnsi="Palatino Linotype" w:cs="Times New Roman"/>
          <w:sz w:val="20"/>
          <w:szCs w:val="20"/>
          <w:lang w:eastAsia="it-IT"/>
        </w:rPr>
        <w:t>afferma</w:t>
      </w:r>
      <w:r w:rsidR="003B7B0D" w:rsidRPr="00792946">
        <w:rPr>
          <w:rFonts w:ascii="Palatino Linotype" w:eastAsia="Times New Roman" w:hAnsi="Palatino Linotype" w:cs="Times New Roman"/>
          <w:sz w:val="20"/>
          <w:szCs w:val="20"/>
          <w:lang w:eastAsia="it-IT"/>
        </w:rPr>
        <w:t>to</w:t>
      </w:r>
      <w:r w:rsidR="005B0223" w:rsidRPr="00792946">
        <w:rPr>
          <w:rFonts w:ascii="Palatino Linotype" w:eastAsia="Times New Roman" w:hAnsi="Palatino Linotype" w:cs="Times New Roman"/>
          <w:sz w:val="20"/>
          <w:szCs w:val="20"/>
          <w:lang w:eastAsia="it-IT"/>
        </w:rPr>
        <w:t xml:space="preserve"> </w:t>
      </w:r>
      <w:r w:rsidR="003B7B0D" w:rsidRPr="00792946">
        <w:rPr>
          <w:rFonts w:ascii="Palatino Linotype" w:eastAsia="Times New Roman" w:hAnsi="Palatino Linotype" w:cs="Times New Roman"/>
          <w:sz w:val="20"/>
          <w:szCs w:val="20"/>
          <w:lang w:eastAsia="it-IT"/>
        </w:rPr>
        <w:t xml:space="preserve">dalla Corte è quello per cui </w:t>
      </w:r>
      <w:r w:rsidR="005B0223" w:rsidRPr="00792946">
        <w:rPr>
          <w:rFonts w:ascii="Palatino Linotype" w:eastAsia="Times New Roman" w:hAnsi="Palatino Linotype" w:cs="Times New Roman"/>
          <w:sz w:val="20"/>
          <w:szCs w:val="20"/>
          <w:lang w:eastAsia="it-IT"/>
        </w:rPr>
        <w:t>il diritto eurounitario osta ad una</w:t>
      </w:r>
      <w:r w:rsidR="005B0223" w:rsidRPr="00792946">
        <w:rPr>
          <w:rFonts w:ascii="Palatino Linotype" w:eastAsia="Times New Roman" w:hAnsi="Palatino Linotype" w:cs="Times New Roman"/>
          <w:b/>
          <w:bCs/>
          <w:color w:val="444444"/>
          <w:sz w:val="20"/>
          <w:szCs w:val="20"/>
          <w:lang w:eastAsia="it-IT"/>
        </w:rPr>
        <w:t xml:space="preserve"> </w:t>
      </w:r>
      <w:r w:rsidR="005B0223" w:rsidRPr="00792946">
        <w:rPr>
          <w:rFonts w:ascii="Palatino Linotype" w:eastAsia="Times New Roman" w:hAnsi="Palatino Linotype" w:cs="Times New Roman"/>
          <w:sz w:val="20"/>
          <w:szCs w:val="20"/>
          <w:lang w:eastAsia="it-IT"/>
        </w:rPr>
        <w:t xml:space="preserve">normativa nazionale in forza della quale l’amministrazione aggiudicatrice deve automaticamente escludere un offerente da una procedura di aggiudicazione di un appalto pubblico, qualora un’impresa ausiliaria abbia reso una dichiarazione non veritiera quanto all’esistenza di condanne penali passate in giudicato, senza </w:t>
      </w:r>
      <w:r w:rsidR="007B4DAE" w:rsidRPr="00792946">
        <w:rPr>
          <w:rFonts w:ascii="Palatino Linotype" w:eastAsia="Times New Roman" w:hAnsi="Palatino Linotype" w:cs="Times New Roman"/>
          <w:sz w:val="20"/>
          <w:szCs w:val="20"/>
          <w:lang w:eastAsia="it-IT"/>
        </w:rPr>
        <w:t xml:space="preserve">prima </w:t>
      </w:r>
      <w:r w:rsidR="005B0223" w:rsidRPr="00792946">
        <w:rPr>
          <w:rFonts w:ascii="Palatino Linotype" w:eastAsia="Times New Roman" w:hAnsi="Palatino Linotype" w:cs="Times New Roman"/>
          <w:sz w:val="20"/>
          <w:szCs w:val="20"/>
          <w:lang w:eastAsia="it-IT"/>
        </w:rPr>
        <w:t>imporre, o quantomeno permetter</w:t>
      </w:r>
      <w:r w:rsidR="007B4DAE" w:rsidRPr="00792946">
        <w:rPr>
          <w:rFonts w:ascii="Palatino Linotype" w:eastAsia="Times New Roman" w:hAnsi="Palatino Linotype" w:cs="Times New Roman"/>
          <w:sz w:val="20"/>
          <w:szCs w:val="20"/>
          <w:lang w:eastAsia="it-IT"/>
        </w:rPr>
        <w:t>n</w:t>
      </w:r>
      <w:r w:rsidR="005B0223" w:rsidRPr="00792946">
        <w:rPr>
          <w:rFonts w:ascii="Palatino Linotype" w:eastAsia="Times New Roman" w:hAnsi="Palatino Linotype" w:cs="Times New Roman"/>
          <w:sz w:val="20"/>
          <w:szCs w:val="20"/>
          <w:lang w:eastAsia="it-IT"/>
        </w:rPr>
        <w:t xml:space="preserve">e </w:t>
      </w:r>
      <w:r w:rsidR="00021AB8" w:rsidRPr="00792946">
        <w:rPr>
          <w:rFonts w:ascii="Palatino Linotype" w:eastAsia="Times New Roman" w:hAnsi="Palatino Linotype" w:cs="Times New Roman"/>
          <w:sz w:val="20"/>
          <w:szCs w:val="20"/>
          <w:lang w:eastAsia="it-IT"/>
        </w:rPr>
        <w:t>la</w:t>
      </w:r>
      <w:r w:rsidR="005B0223" w:rsidRPr="00792946">
        <w:rPr>
          <w:rFonts w:ascii="Palatino Linotype" w:eastAsia="Times New Roman" w:hAnsi="Palatino Linotype" w:cs="Times New Roman"/>
          <w:sz w:val="20"/>
          <w:szCs w:val="20"/>
          <w:lang w:eastAsia="it-IT"/>
        </w:rPr>
        <w:t xml:space="preserve"> sostitu</w:t>
      </w:r>
      <w:r w:rsidR="00021AB8" w:rsidRPr="00792946">
        <w:rPr>
          <w:rFonts w:ascii="Palatino Linotype" w:eastAsia="Times New Roman" w:hAnsi="Palatino Linotype" w:cs="Times New Roman"/>
          <w:sz w:val="20"/>
          <w:szCs w:val="20"/>
          <w:lang w:eastAsia="it-IT"/>
        </w:rPr>
        <w:t>z</w:t>
      </w:r>
      <w:r w:rsidR="005B0223" w:rsidRPr="00792946">
        <w:rPr>
          <w:rFonts w:ascii="Palatino Linotype" w:eastAsia="Times New Roman" w:hAnsi="Palatino Linotype" w:cs="Times New Roman"/>
          <w:sz w:val="20"/>
          <w:szCs w:val="20"/>
          <w:lang w:eastAsia="it-IT"/>
        </w:rPr>
        <w:t>i</w:t>
      </w:r>
      <w:r w:rsidR="00021AB8" w:rsidRPr="00792946">
        <w:rPr>
          <w:rFonts w:ascii="Palatino Linotype" w:eastAsia="Times New Roman" w:hAnsi="Palatino Linotype" w:cs="Times New Roman"/>
          <w:sz w:val="20"/>
          <w:szCs w:val="20"/>
          <w:lang w:eastAsia="it-IT"/>
        </w:rPr>
        <w:t>on</w:t>
      </w:r>
      <w:r w:rsidR="005B0223" w:rsidRPr="00792946">
        <w:rPr>
          <w:rFonts w:ascii="Palatino Linotype" w:eastAsia="Times New Roman" w:hAnsi="Palatino Linotype" w:cs="Times New Roman"/>
          <w:sz w:val="20"/>
          <w:szCs w:val="20"/>
          <w:lang w:eastAsia="it-IT"/>
        </w:rPr>
        <w:t>e.</w:t>
      </w:r>
    </w:p>
    <w:p w14:paraId="28BA90E5" w14:textId="77777777" w:rsidR="005A77A6" w:rsidRPr="00792946" w:rsidRDefault="00021AB8"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Non </w:t>
      </w:r>
      <w:r w:rsidR="00F740E5" w:rsidRPr="00792946">
        <w:rPr>
          <w:rFonts w:ascii="Palatino Linotype" w:eastAsia="Times New Roman" w:hAnsi="Palatino Linotype" w:cs="Times New Roman"/>
          <w:sz w:val="20"/>
          <w:szCs w:val="20"/>
          <w:lang w:eastAsia="it-IT"/>
        </w:rPr>
        <w:t>sembra</w:t>
      </w:r>
      <w:r w:rsidRPr="00792946">
        <w:rPr>
          <w:rFonts w:ascii="Palatino Linotype" w:eastAsia="Times New Roman" w:hAnsi="Palatino Linotype" w:cs="Times New Roman"/>
          <w:sz w:val="20"/>
          <w:szCs w:val="20"/>
          <w:lang w:eastAsia="it-IT"/>
        </w:rPr>
        <w:t xml:space="preserve"> superfluo sottolineare c</w:t>
      </w:r>
      <w:r w:rsidR="00CE0351" w:rsidRPr="00792946">
        <w:rPr>
          <w:rFonts w:ascii="Palatino Linotype" w:eastAsia="Times New Roman" w:hAnsi="Palatino Linotype" w:cs="Times New Roman"/>
          <w:sz w:val="20"/>
          <w:szCs w:val="20"/>
          <w:lang w:eastAsia="it-IT"/>
        </w:rPr>
        <w:t>om</w:t>
      </w:r>
      <w:r w:rsidRPr="00792946">
        <w:rPr>
          <w:rFonts w:ascii="Palatino Linotype" w:eastAsia="Times New Roman" w:hAnsi="Palatino Linotype" w:cs="Times New Roman"/>
          <w:sz w:val="20"/>
          <w:szCs w:val="20"/>
          <w:lang w:eastAsia="it-IT"/>
        </w:rPr>
        <w:t>e</w:t>
      </w:r>
      <w:r w:rsidR="00CE0351" w:rsidRPr="00792946">
        <w:rPr>
          <w:rFonts w:ascii="Palatino Linotype" w:eastAsia="Times New Roman" w:hAnsi="Palatino Linotype" w:cs="Times New Roman"/>
          <w:sz w:val="20"/>
          <w:szCs w:val="20"/>
          <w:lang w:eastAsia="it-IT"/>
        </w:rPr>
        <w:t xml:space="preserve"> la</w:t>
      </w:r>
      <w:r w:rsidRPr="00792946">
        <w:rPr>
          <w:rFonts w:ascii="Palatino Linotype" w:eastAsia="Times New Roman" w:hAnsi="Palatino Linotype" w:cs="Times New Roman"/>
          <w:sz w:val="20"/>
          <w:szCs w:val="20"/>
          <w:lang w:eastAsia="it-IT"/>
        </w:rPr>
        <w:t xml:space="preserve"> </w:t>
      </w:r>
      <w:r w:rsidR="005A77A6" w:rsidRPr="00792946">
        <w:rPr>
          <w:rFonts w:ascii="Palatino Linotype" w:eastAsia="Times New Roman" w:hAnsi="Palatino Linotype" w:cs="Times New Roman"/>
          <w:sz w:val="20"/>
          <w:szCs w:val="20"/>
          <w:lang w:eastAsia="it-IT"/>
        </w:rPr>
        <w:t>pronuncia impon</w:t>
      </w:r>
      <w:r w:rsidR="007B4DAE" w:rsidRPr="00792946">
        <w:rPr>
          <w:rFonts w:ascii="Palatino Linotype" w:eastAsia="Times New Roman" w:hAnsi="Palatino Linotype" w:cs="Times New Roman"/>
          <w:sz w:val="20"/>
          <w:szCs w:val="20"/>
          <w:lang w:eastAsia="it-IT"/>
        </w:rPr>
        <w:t>ga</w:t>
      </w:r>
      <w:r w:rsidR="005A77A6" w:rsidRPr="00792946">
        <w:rPr>
          <w:rFonts w:ascii="Palatino Linotype" w:eastAsia="Times New Roman" w:hAnsi="Palatino Linotype" w:cs="Times New Roman"/>
          <w:sz w:val="20"/>
          <w:szCs w:val="20"/>
          <w:lang w:eastAsia="it-IT"/>
        </w:rPr>
        <w:t xml:space="preserve"> una riflessione, normativa e giurisprudenziale, sull’istituto</w:t>
      </w:r>
      <w:r w:rsidRPr="00792946">
        <w:rPr>
          <w:rFonts w:ascii="Palatino Linotype" w:eastAsia="Times New Roman" w:hAnsi="Palatino Linotype" w:cs="Times New Roman"/>
          <w:sz w:val="20"/>
          <w:szCs w:val="20"/>
          <w:lang w:eastAsia="it-IT"/>
        </w:rPr>
        <w:t xml:space="preserve"> –</w:t>
      </w:r>
      <w:r w:rsidR="00AF39BF" w:rsidRPr="00792946">
        <w:rPr>
          <w:rFonts w:ascii="Palatino Linotype" w:eastAsia="Times New Roman" w:hAnsi="Palatino Linotype" w:cs="Times New Roman"/>
          <w:sz w:val="20"/>
          <w:szCs w:val="20"/>
          <w:lang w:eastAsia="it-IT"/>
        </w:rPr>
        <w:t xml:space="preserve"> </w:t>
      </w:r>
      <w:r w:rsidR="00861574">
        <w:rPr>
          <w:rFonts w:ascii="Palatino Linotype" w:eastAsia="Times New Roman" w:hAnsi="Palatino Linotype" w:cs="Times New Roman"/>
          <w:sz w:val="20"/>
          <w:szCs w:val="20"/>
          <w:lang w:eastAsia="it-IT"/>
        </w:rPr>
        <w:t xml:space="preserve">forse </w:t>
      </w:r>
      <w:r w:rsidR="00AF39BF" w:rsidRPr="00792946">
        <w:rPr>
          <w:rFonts w:ascii="Palatino Linotype" w:eastAsia="Times New Roman" w:hAnsi="Palatino Linotype" w:cs="Times New Roman"/>
          <w:sz w:val="20"/>
          <w:szCs w:val="20"/>
          <w:lang w:eastAsia="it-IT"/>
        </w:rPr>
        <w:t>troppo</w:t>
      </w:r>
      <w:r w:rsidR="005A77A6" w:rsidRPr="00792946">
        <w:rPr>
          <w:rFonts w:ascii="Palatino Linotype" w:eastAsia="Times New Roman" w:hAnsi="Palatino Linotype" w:cs="Times New Roman"/>
          <w:sz w:val="20"/>
          <w:szCs w:val="20"/>
          <w:lang w:eastAsia="it-IT"/>
        </w:rPr>
        <w:t xml:space="preserve"> frequentemente in uso nel nostro ordinamento interno</w:t>
      </w:r>
      <w:r w:rsidRPr="00792946">
        <w:rPr>
          <w:rFonts w:ascii="Palatino Linotype" w:eastAsia="Times New Roman" w:hAnsi="Palatino Linotype" w:cs="Times New Roman"/>
          <w:sz w:val="20"/>
          <w:szCs w:val="20"/>
          <w:lang w:eastAsia="it-IT"/>
        </w:rPr>
        <w:t xml:space="preserve"> –</w:t>
      </w:r>
      <w:r w:rsidR="005A77A6" w:rsidRPr="00792946">
        <w:rPr>
          <w:rFonts w:ascii="Palatino Linotype" w:eastAsia="Times New Roman" w:hAnsi="Palatino Linotype" w:cs="Times New Roman"/>
          <w:sz w:val="20"/>
          <w:szCs w:val="20"/>
          <w:lang w:eastAsia="it-IT"/>
        </w:rPr>
        <w:t xml:space="preserve"> dell’automatismo espulsivo nelle gare </w:t>
      </w:r>
      <w:r w:rsidR="00F740E5" w:rsidRPr="00792946">
        <w:rPr>
          <w:rFonts w:ascii="Palatino Linotype" w:eastAsia="Times New Roman" w:hAnsi="Palatino Linotype" w:cs="Times New Roman"/>
          <w:sz w:val="20"/>
          <w:szCs w:val="20"/>
          <w:lang w:eastAsia="it-IT"/>
        </w:rPr>
        <w:t xml:space="preserve">per </w:t>
      </w:r>
      <w:r w:rsidR="005A77A6" w:rsidRPr="00792946">
        <w:rPr>
          <w:rFonts w:ascii="Palatino Linotype" w:eastAsia="Times New Roman" w:hAnsi="Palatino Linotype" w:cs="Times New Roman"/>
          <w:sz w:val="20"/>
          <w:szCs w:val="20"/>
          <w:lang w:eastAsia="it-IT"/>
        </w:rPr>
        <w:t>i contratti pubblici, richiamando l’attenzione sull</w:t>
      </w:r>
      <w:r w:rsidR="001B0441">
        <w:rPr>
          <w:rFonts w:ascii="Palatino Linotype" w:eastAsia="Times New Roman" w:hAnsi="Palatino Linotype" w:cs="Times New Roman"/>
          <w:sz w:val="20"/>
          <w:szCs w:val="20"/>
          <w:lang w:eastAsia="it-IT"/>
        </w:rPr>
        <w:t>a natura del</w:t>
      </w:r>
      <w:r w:rsidR="005A77A6" w:rsidRPr="00792946">
        <w:rPr>
          <w:rFonts w:ascii="Palatino Linotype" w:eastAsia="Times New Roman" w:hAnsi="Palatino Linotype" w:cs="Times New Roman"/>
          <w:sz w:val="20"/>
          <w:szCs w:val="20"/>
          <w:lang w:eastAsia="it-IT"/>
        </w:rPr>
        <w:t xml:space="preserve">l’esclusione come rimedio </w:t>
      </w:r>
      <w:r w:rsidR="006C6D99" w:rsidRPr="00792946">
        <w:rPr>
          <w:rFonts w:ascii="Palatino Linotype" w:eastAsia="Times New Roman" w:hAnsi="Palatino Linotype" w:cs="Times New Roman"/>
          <w:sz w:val="20"/>
          <w:szCs w:val="20"/>
          <w:lang w:eastAsia="it-IT"/>
        </w:rPr>
        <w:t xml:space="preserve">subordinato </w:t>
      </w:r>
      <w:r w:rsidR="004B308C" w:rsidRPr="00792946">
        <w:rPr>
          <w:rFonts w:ascii="Palatino Linotype" w:eastAsia="Times New Roman" w:hAnsi="Palatino Linotype" w:cs="Times New Roman"/>
          <w:sz w:val="20"/>
          <w:szCs w:val="20"/>
          <w:lang w:eastAsia="it-IT"/>
        </w:rPr>
        <w:t>al</w:t>
      </w:r>
      <w:r w:rsidR="005A77A6" w:rsidRPr="00792946">
        <w:rPr>
          <w:rFonts w:ascii="Palatino Linotype" w:eastAsia="Times New Roman" w:hAnsi="Palatino Linotype" w:cs="Times New Roman"/>
          <w:sz w:val="20"/>
          <w:szCs w:val="20"/>
          <w:lang w:eastAsia="it-IT"/>
        </w:rPr>
        <w:t>l’</w:t>
      </w:r>
      <w:r w:rsidR="004B308C" w:rsidRPr="00792946">
        <w:rPr>
          <w:rFonts w:ascii="Palatino Linotype" w:eastAsia="Times New Roman" w:hAnsi="Palatino Linotype" w:cs="Times New Roman"/>
          <w:sz w:val="20"/>
          <w:szCs w:val="20"/>
          <w:lang w:eastAsia="it-IT"/>
        </w:rPr>
        <w:t xml:space="preserve">inutile </w:t>
      </w:r>
      <w:r w:rsidR="005A77A6" w:rsidRPr="00792946">
        <w:rPr>
          <w:rFonts w:ascii="Palatino Linotype" w:eastAsia="Times New Roman" w:hAnsi="Palatino Linotype" w:cs="Times New Roman"/>
          <w:sz w:val="20"/>
          <w:szCs w:val="20"/>
          <w:lang w:eastAsia="it-IT"/>
        </w:rPr>
        <w:t>esaurimento d</w:t>
      </w:r>
      <w:r w:rsidR="001B0441">
        <w:rPr>
          <w:rFonts w:ascii="Palatino Linotype" w:eastAsia="Times New Roman" w:hAnsi="Palatino Linotype" w:cs="Times New Roman"/>
          <w:sz w:val="20"/>
          <w:szCs w:val="20"/>
          <w:lang w:eastAsia="it-IT"/>
        </w:rPr>
        <w:t>ell’</w:t>
      </w:r>
      <w:r w:rsidR="005A77A6" w:rsidRPr="00792946">
        <w:rPr>
          <w:rFonts w:ascii="Palatino Linotype" w:eastAsia="Times New Roman" w:hAnsi="Palatino Linotype" w:cs="Times New Roman"/>
          <w:sz w:val="20"/>
          <w:szCs w:val="20"/>
          <w:lang w:eastAsia="it-IT"/>
        </w:rPr>
        <w:t>interlocuzione tra P.A. e concor</w:t>
      </w:r>
      <w:r w:rsidR="006C6D99" w:rsidRPr="00792946">
        <w:rPr>
          <w:rFonts w:ascii="Palatino Linotype" w:eastAsia="Times New Roman" w:hAnsi="Palatino Linotype" w:cs="Times New Roman"/>
          <w:sz w:val="20"/>
          <w:szCs w:val="20"/>
          <w:lang w:eastAsia="it-IT"/>
        </w:rPr>
        <w:t>rente</w:t>
      </w:r>
      <w:r w:rsidR="005A77A6" w:rsidRPr="00792946">
        <w:rPr>
          <w:rFonts w:ascii="Palatino Linotype" w:eastAsia="Times New Roman" w:hAnsi="Palatino Linotype" w:cs="Times New Roman"/>
          <w:sz w:val="20"/>
          <w:szCs w:val="20"/>
          <w:lang w:eastAsia="it-IT"/>
        </w:rPr>
        <w:t xml:space="preserve"> </w:t>
      </w:r>
      <w:r w:rsidR="0011649A" w:rsidRPr="00792946">
        <w:rPr>
          <w:rFonts w:ascii="Palatino Linotype" w:eastAsia="Times New Roman" w:hAnsi="Palatino Linotype" w:cs="Times New Roman"/>
          <w:sz w:val="20"/>
          <w:szCs w:val="20"/>
          <w:lang w:eastAsia="it-IT"/>
        </w:rPr>
        <w:t>vol</w:t>
      </w:r>
      <w:r w:rsidR="005A77A6" w:rsidRPr="00792946">
        <w:rPr>
          <w:rFonts w:ascii="Palatino Linotype" w:eastAsia="Times New Roman" w:hAnsi="Palatino Linotype" w:cs="Times New Roman"/>
          <w:sz w:val="20"/>
          <w:szCs w:val="20"/>
          <w:lang w:eastAsia="it-IT"/>
        </w:rPr>
        <w:t>ta a verificare la per</w:t>
      </w:r>
      <w:r w:rsidR="0011649A" w:rsidRPr="00792946">
        <w:rPr>
          <w:rFonts w:ascii="Palatino Linotype" w:eastAsia="Times New Roman" w:hAnsi="Palatino Linotype" w:cs="Times New Roman"/>
          <w:sz w:val="20"/>
          <w:szCs w:val="20"/>
          <w:lang w:eastAsia="it-IT"/>
        </w:rPr>
        <w:t>dura</w:t>
      </w:r>
      <w:r w:rsidR="005A77A6" w:rsidRPr="00792946">
        <w:rPr>
          <w:rFonts w:ascii="Palatino Linotype" w:eastAsia="Times New Roman" w:hAnsi="Palatino Linotype" w:cs="Times New Roman"/>
          <w:sz w:val="20"/>
          <w:szCs w:val="20"/>
          <w:lang w:eastAsia="it-IT"/>
        </w:rPr>
        <w:t>nza del rapporto fiduciario</w:t>
      </w:r>
      <w:r w:rsidR="00B228D7" w:rsidRPr="00792946">
        <w:rPr>
          <w:rFonts w:ascii="Palatino Linotype" w:eastAsia="Times New Roman" w:hAnsi="Palatino Linotype" w:cs="Times New Roman"/>
          <w:sz w:val="20"/>
          <w:szCs w:val="20"/>
          <w:lang w:eastAsia="it-IT"/>
        </w:rPr>
        <w:t>,</w:t>
      </w:r>
      <w:r w:rsidR="005A77A6" w:rsidRPr="00792946">
        <w:rPr>
          <w:rFonts w:ascii="Palatino Linotype" w:eastAsia="Times New Roman" w:hAnsi="Palatino Linotype" w:cs="Times New Roman"/>
          <w:sz w:val="20"/>
          <w:szCs w:val="20"/>
          <w:lang w:eastAsia="it-IT"/>
        </w:rPr>
        <w:t xml:space="preserve"> </w:t>
      </w:r>
      <w:r w:rsidR="00B228D7" w:rsidRPr="00792946">
        <w:rPr>
          <w:rFonts w:ascii="Palatino Linotype" w:eastAsia="Times New Roman" w:hAnsi="Palatino Linotype" w:cs="Times New Roman"/>
          <w:sz w:val="20"/>
          <w:szCs w:val="20"/>
          <w:lang w:eastAsia="it-IT"/>
        </w:rPr>
        <w:t>la cui sola mancanza</w:t>
      </w:r>
      <w:r w:rsidR="005A77A6" w:rsidRPr="00792946">
        <w:rPr>
          <w:rFonts w:ascii="Palatino Linotype" w:eastAsia="Times New Roman" w:hAnsi="Palatino Linotype" w:cs="Times New Roman"/>
          <w:sz w:val="20"/>
          <w:szCs w:val="20"/>
          <w:lang w:eastAsia="it-IT"/>
        </w:rPr>
        <w:t xml:space="preserve"> può </w:t>
      </w:r>
      <w:r w:rsidR="00B228D7" w:rsidRPr="00792946">
        <w:rPr>
          <w:rFonts w:ascii="Palatino Linotype" w:eastAsia="Times New Roman" w:hAnsi="Palatino Linotype" w:cs="Times New Roman"/>
          <w:sz w:val="20"/>
          <w:szCs w:val="20"/>
          <w:lang w:eastAsia="it-IT"/>
        </w:rPr>
        <w:t>legittima</w:t>
      </w:r>
      <w:r w:rsidR="005A77A6" w:rsidRPr="00792946">
        <w:rPr>
          <w:rFonts w:ascii="Palatino Linotype" w:eastAsia="Times New Roman" w:hAnsi="Palatino Linotype" w:cs="Times New Roman"/>
          <w:sz w:val="20"/>
          <w:szCs w:val="20"/>
          <w:lang w:eastAsia="it-IT"/>
        </w:rPr>
        <w:t xml:space="preserve">re </w:t>
      </w:r>
      <w:r w:rsidR="00B228D7" w:rsidRPr="00792946">
        <w:rPr>
          <w:rFonts w:ascii="Palatino Linotype" w:eastAsia="Times New Roman" w:hAnsi="Palatino Linotype" w:cs="Times New Roman"/>
          <w:sz w:val="20"/>
          <w:szCs w:val="20"/>
          <w:lang w:eastAsia="it-IT"/>
        </w:rPr>
        <w:t>l’a</w:t>
      </w:r>
      <w:r w:rsidR="007B4DAE" w:rsidRPr="00792946">
        <w:rPr>
          <w:rFonts w:ascii="Palatino Linotype" w:eastAsia="Times New Roman" w:hAnsi="Palatino Linotype" w:cs="Times New Roman"/>
          <w:sz w:val="20"/>
          <w:szCs w:val="20"/>
          <w:lang w:eastAsia="it-IT"/>
        </w:rPr>
        <w:t>llontanamento</w:t>
      </w:r>
      <w:r w:rsidR="00B228D7" w:rsidRPr="00792946">
        <w:rPr>
          <w:rFonts w:ascii="Palatino Linotype" w:eastAsia="Times New Roman" w:hAnsi="Palatino Linotype" w:cs="Times New Roman"/>
          <w:sz w:val="20"/>
          <w:szCs w:val="20"/>
          <w:lang w:eastAsia="it-IT"/>
        </w:rPr>
        <w:t xml:space="preserve"> d</w:t>
      </w:r>
      <w:r w:rsidR="007B4DAE" w:rsidRPr="00792946">
        <w:rPr>
          <w:rFonts w:ascii="Palatino Linotype" w:eastAsia="Times New Roman" w:hAnsi="Palatino Linotype" w:cs="Times New Roman"/>
          <w:sz w:val="20"/>
          <w:szCs w:val="20"/>
          <w:lang w:eastAsia="it-IT"/>
        </w:rPr>
        <w:t>a</w:t>
      </w:r>
      <w:r w:rsidR="00B228D7" w:rsidRPr="00792946">
        <w:rPr>
          <w:rFonts w:ascii="Palatino Linotype" w:eastAsia="Times New Roman" w:hAnsi="Palatino Linotype" w:cs="Times New Roman"/>
          <w:sz w:val="20"/>
          <w:szCs w:val="20"/>
          <w:lang w:eastAsia="it-IT"/>
        </w:rPr>
        <w:t>l</w:t>
      </w:r>
      <w:r w:rsidR="005A77A6" w:rsidRPr="00792946">
        <w:rPr>
          <w:rFonts w:ascii="Palatino Linotype" w:eastAsia="Times New Roman" w:hAnsi="Palatino Linotype" w:cs="Times New Roman"/>
          <w:sz w:val="20"/>
          <w:szCs w:val="20"/>
          <w:lang w:eastAsia="it-IT"/>
        </w:rPr>
        <w:t>la gara</w:t>
      </w:r>
      <w:r w:rsidR="00B228D7" w:rsidRPr="00792946">
        <w:rPr>
          <w:rFonts w:ascii="Palatino Linotype" w:eastAsia="Times New Roman" w:hAnsi="Palatino Linotype" w:cs="Times New Roman"/>
          <w:sz w:val="20"/>
          <w:szCs w:val="20"/>
          <w:lang w:eastAsia="it-IT"/>
        </w:rPr>
        <w:t xml:space="preserve"> del concorrente stesso</w:t>
      </w:r>
      <w:r w:rsidR="005A77A6" w:rsidRPr="00792946">
        <w:rPr>
          <w:rFonts w:ascii="Palatino Linotype" w:eastAsia="Times New Roman" w:hAnsi="Palatino Linotype" w:cs="Times New Roman"/>
          <w:sz w:val="20"/>
          <w:szCs w:val="20"/>
          <w:lang w:eastAsia="it-IT"/>
        </w:rPr>
        <w:t>.</w:t>
      </w:r>
    </w:p>
    <w:p w14:paraId="18555B43" w14:textId="77777777" w:rsidR="005A77A6" w:rsidRPr="00792946" w:rsidRDefault="004B308C"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Ebbene</w:t>
      </w:r>
      <w:r w:rsidR="00AF39BF" w:rsidRPr="00792946">
        <w:rPr>
          <w:rFonts w:ascii="Palatino Linotype" w:eastAsia="Times New Roman" w:hAnsi="Palatino Linotype" w:cs="Times New Roman"/>
          <w:sz w:val="20"/>
          <w:szCs w:val="20"/>
          <w:lang w:eastAsia="it-IT"/>
        </w:rPr>
        <w:t xml:space="preserve">, </w:t>
      </w:r>
      <w:r w:rsidR="00411F32" w:rsidRPr="00792946">
        <w:rPr>
          <w:rFonts w:ascii="Palatino Linotype" w:eastAsia="Times New Roman" w:hAnsi="Palatino Linotype" w:cs="Times New Roman"/>
          <w:sz w:val="20"/>
          <w:szCs w:val="20"/>
          <w:lang w:eastAsia="it-IT"/>
        </w:rPr>
        <w:t>n</w:t>
      </w:r>
      <w:r w:rsidR="001D0F4F" w:rsidRPr="00792946">
        <w:rPr>
          <w:rFonts w:ascii="Palatino Linotype" w:eastAsia="Times New Roman" w:hAnsi="Palatino Linotype" w:cs="Times New Roman"/>
          <w:sz w:val="20"/>
          <w:szCs w:val="20"/>
          <w:lang w:eastAsia="it-IT"/>
        </w:rPr>
        <w:t>ell’</w:t>
      </w:r>
      <w:r w:rsidR="00AF39BF" w:rsidRPr="00792946">
        <w:rPr>
          <w:rFonts w:ascii="Palatino Linotype" w:eastAsia="Times New Roman" w:hAnsi="Palatino Linotype" w:cs="Times New Roman"/>
          <w:sz w:val="20"/>
          <w:szCs w:val="20"/>
          <w:lang w:eastAsia="it-IT"/>
        </w:rPr>
        <w:t xml:space="preserve">elaborazione dell’Adunanza plenaria </w:t>
      </w:r>
      <w:r w:rsidR="00B53BE8" w:rsidRPr="00792946">
        <w:rPr>
          <w:rFonts w:ascii="Palatino Linotype" w:eastAsia="Times New Roman" w:hAnsi="Palatino Linotype" w:cs="Times New Roman"/>
          <w:sz w:val="20"/>
          <w:szCs w:val="20"/>
          <w:lang w:eastAsia="it-IT"/>
        </w:rPr>
        <w:t xml:space="preserve">tale riflessione </w:t>
      </w:r>
      <w:r w:rsidR="00395D26" w:rsidRPr="00792946">
        <w:rPr>
          <w:rFonts w:ascii="Palatino Linotype" w:eastAsia="Times New Roman" w:hAnsi="Palatino Linotype" w:cs="Times New Roman"/>
          <w:sz w:val="20"/>
          <w:szCs w:val="20"/>
          <w:lang w:eastAsia="it-IT"/>
        </w:rPr>
        <w:t>è già</w:t>
      </w:r>
      <w:r w:rsidR="00AF39BF" w:rsidRPr="00792946">
        <w:rPr>
          <w:rFonts w:ascii="Palatino Linotype" w:eastAsia="Times New Roman" w:hAnsi="Palatino Linotype" w:cs="Times New Roman"/>
          <w:sz w:val="20"/>
          <w:szCs w:val="20"/>
          <w:lang w:eastAsia="it-IT"/>
        </w:rPr>
        <w:t xml:space="preserve"> iniziata </w:t>
      </w:r>
      <w:r w:rsidR="00395D26" w:rsidRPr="00792946">
        <w:rPr>
          <w:rFonts w:ascii="Palatino Linotype" w:eastAsia="Times New Roman" w:hAnsi="Palatino Linotype" w:cs="Times New Roman"/>
          <w:sz w:val="20"/>
          <w:szCs w:val="20"/>
          <w:lang w:eastAsia="it-IT"/>
        </w:rPr>
        <w:t xml:space="preserve">con </w:t>
      </w:r>
      <w:r w:rsidR="00861574">
        <w:rPr>
          <w:rFonts w:ascii="Palatino Linotype" w:eastAsia="Times New Roman" w:hAnsi="Palatino Linotype" w:cs="Times New Roman"/>
          <w:sz w:val="20"/>
          <w:szCs w:val="20"/>
          <w:lang w:eastAsia="it-IT"/>
        </w:rPr>
        <w:t>un</w:t>
      </w:r>
      <w:r w:rsidR="00395D26" w:rsidRPr="00792946">
        <w:rPr>
          <w:rFonts w:ascii="Palatino Linotype" w:eastAsia="Times New Roman" w:hAnsi="Palatino Linotype" w:cs="Times New Roman"/>
          <w:sz w:val="20"/>
          <w:szCs w:val="20"/>
          <w:lang w:eastAsia="it-IT"/>
        </w:rPr>
        <w:t xml:space="preserve">’importante </w:t>
      </w:r>
      <w:r w:rsidR="00AF39BF" w:rsidRPr="00792946">
        <w:rPr>
          <w:rFonts w:ascii="Palatino Linotype" w:eastAsia="Times New Roman" w:hAnsi="Palatino Linotype" w:cs="Times New Roman"/>
          <w:sz w:val="20"/>
          <w:szCs w:val="20"/>
          <w:lang w:eastAsia="it-IT"/>
        </w:rPr>
        <w:t>decisione</w:t>
      </w:r>
      <w:r w:rsidR="00B53BE8" w:rsidRPr="00792946">
        <w:rPr>
          <w:rFonts w:ascii="Palatino Linotype" w:eastAsia="Times New Roman" w:hAnsi="Palatino Linotype" w:cs="Times New Roman"/>
          <w:sz w:val="20"/>
          <w:szCs w:val="20"/>
          <w:lang w:eastAsia="it-IT"/>
        </w:rPr>
        <w:t xml:space="preserve"> </w:t>
      </w:r>
      <w:r w:rsidR="00411F32" w:rsidRPr="00792946">
        <w:rPr>
          <w:rFonts w:ascii="Palatino Linotype" w:eastAsia="Times New Roman" w:hAnsi="Palatino Linotype" w:cs="Times New Roman"/>
          <w:sz w:val="20"/>
          <w:szCs w:val="20"/>
          <w:lang w:eastAsia="it-IT"/>
        </w:rPr>
        <w:t>del 2020</w:t>
      </w:r>
      <w:r w:rsidR="00861574">
        <w:rPr>
          <w:rFonts w:ascii="Palatino Linotype" w:eastAsia="Times New Roman" w:hAnsi="Palatino Linotype" w:cs="Times New Roman"/>
          <w:sz w:val="20"/>
          <w:szCs w:val="20"/>
          <w:lang w:eastAsia="it-IT"/>
        </w:rPr>
        <w:t>,</w:t>
      </w:r>
      <w:r w:rsidR="00395D26" w:rsidRPr="00792946">
        <w:rPr>
          <w:rFonts w:ascii="Palatino Linotype" w:eastAsia="Times New Roman" w:hAnsi="Palatino Linotype" w:cs="Times New Roman"/>
          <w:sz w:val="20"/>
          <w:szCs w:val="20"/>
          <w:lang w:eastAsia="it-IT"/>
        </w:rPr>
        <w:t xml:space="preserve"> </w:t>
      </w:r>
      <w:r w:rsidR="00B53BE8" w:rsidRPr="00792946">
        <w:rPr>
          <w:rFonts w:ascii="Palatino Linotype" w:eastAsia="Times New Roman" w:hAnsi="Palatino Linotype" w:cs="Times New Roman"/>
          <w:sz w:val="20"/>
          <w:szCs w:val="20"/>
          <w:lang w:eastAsia="it-IT"/>
        </w:rPr>
        <w:t xml:space="preserve">in </w:t>
      </w:r>
      <w:r w:rsidR="00395D26" w:rsidRPr="00792946">
        <w:rPr>
          <w:rFonts w:ascii="Palatino Linotype" w:eastAsia="Times New Roman" w:hAnsi="Palatino Linotype" w:cs="Times New Roman"/>
          <w:sz w:val="20"/>
          <w:szCs w:val="20"/>
          <w:lang w:eastAsia="it-IT"/>
        </w:rPr>
        <w:t>te</w:t>
      </w:r>
      <w:r w:rsidR="00B53BE8" w:rsidRPr="00792946">
        <w:rPr>
          <w:rFonts w:ascii="Palatino Linotype" w:eastAsia="Times New Roman" w:hAnsi="Palatino Linotype" w:cs="Times New Roman"/>
          <w:sz w:val="20"/>
          <w:szCs w:val="20"/>
          <w:lang w:eastAsia="it-IT"/>
        </w:rPr>
        <w:t>ma</w:t>
      </w:r>
      <w:r w:rsidR="00395D26" w:rsidRPr="00792946">
        <w:rPr>
          <w:rFonts w:ascii="Palatino Linotype" w:eastAsia="Times New Roman" w:hAnsi="Palatino Linotype" w:cs="Times New Roman"/>
          <w:sz w:val="20"/>
          <w:szCs w:val="20"/>
          <w:lang w:eastAsia="it-IT"/>
        </w:rPr>
        <w:t xml:space="preserve"> </w:t>
      </w:r>
      <w:r w:rsidR="00B53BE8" w:rsidRPr="00792946">
        <w:rPr>
          <w:rFonts w:ascii="Palatino Linotype" w:eastAsia="Times New Roman" w:hAnsi="Palatino Linotype" w:cs="Times New Roman"/>
          <w:sz w:val="20"/>
          <w:szCs w:val="20"/>
          <w:lang w:eastAsia="it-IT"/>
        </w:rPr>
        <w:t xml:space="preserve">di esclusione dalla </w:t>
      </w:r>
      <w:r w:rsidR="00861574">
        <w:rPr>
          <w:rFonts w:ascii="Palatino Linotype" w:eastAsia="Times New Roman" w:hAnsi="Palatino Linotype" w:cs="Times New Roman"/>
          <w:sz w:val="20"/>
          <w:szCs w:val="20"/>
          <w:lang w:eastAsia="it-IT"/>
        </w:rPr>
        <w:t>procedura d’appalto,</w:t>
      </w:r>
      <w:r w:rsidR="00395D26" w:rsidRPr="00792946">
        <w:rPr>
          <w:rFonts w:ascii="Palatino Linotype" w:eastAsia="Times New Roman" w:hAnsi="Palatino Linotype" w:cs="Times New Roman"/>
          <w:sz w:val="20"/>
          <w:szCs w:val="20"/>
          <w:lang w:eastAsia="it-IT"/>
        </w:rPr>
        <w:t xml:space="preserve"> ai sensi dell’art. 80, comma 5, lett. c-</w:t>
      </w:r>
      <w:r w:rsidR="00395D26" w:rsidRPr="00792946">
        <w:rPr>
          <w:rFonts w:ascii="Palatino Linotype" w:eastAsia="Times New Roman" w:hAnsi="Palatino Linotype" w:cs="Times New Roman"/>
          <w:i/>
          <w:sz w:val="20"/>
          <w:szCs w:val="20"/>
          <w:lang w:eastAsia="it-IT"/>
        </w:rPr>
        <w:t>bis</w:t>
      </w:r>
      <w:r w:rsidR="00395D26" w:rsidRPr="00792946">
        <w:rPr>
          <w:rFonts w:ascii="Palatino Linotype" w:eastAsia="Times New Roman" w:hAnsi="Palatino Linotype" w:cs="Times New Roman"/>
          <w:sz w:val="20"/>
          <w:szCs w:val="20"/>
          <w:lang w:eastAsia="it-IT"/>
        </w:rPr>
        <w:t>) e f-</w:t>
      </w:r>
      <w:r w:rsidR="00395D26" w:rsidRPr="00792946">
        <w:rPr>
          <w:rFonts w:ascii="Palatino Linotype" w:eastAsia="Times New Roman" w:hAnsi="Palatino Linotype" w:cs="Times New Roman"/>
          <w:i/>
          <w:sz w:val="20"/>
          <w:szCs w:val="20"/>
          <w:lang w:eastAsia="it-IT"/>
        </w:rPr>
        <w:t>bis</w:t>
      </w:r>
      <w:r w:rsidR="00395D26" w:rsidRPr="00792946">
        <w:rPr>
          <w:rFonts w:ascii="Palatino Linotype" w:eastAsia="Times New Roman" w:hAnsi="Palatino Linotype" w:cs="Times New Roman"/>
          <w:sz w:val="20"/>
          <w:szCs w:val="20"/>
          <w:lang w:eastAsia="it-IT"/>
        </w:rPr>
        <w:t>), del D.lgs. 50/2016, del concorrente che abbia reso dichiarazioni false, fuorvianti o non veritiere, ovvero che abbia omesso di rendere informazioni dovute</w:t>
      </w:r>
      <w:r w:rsidR="00AF39BF" w:rsidRPr="00792946">
        <w:rPr>
          <w:rStyle w:val="Rimandonotaapidipagina"/>
          <w:rFonts w:ascii="Palatino Linotype" w:eastAsia="Times New Roman" w:hAnsi="Palatino Linotype" w:cs="Times New Roman"/>
          <w:sz w:val="20"/>
          <w:szCs w:val="20"/>
          <w:lang w:eastAsia="it-IT"/>
        </w:rPr>
        <w:footnoteReference w:id="33"/>
      </w:r>
      <w:r w:rsidR="00395D26" w:rsidRPr="00792946">
        <w:rPr>
          <w:rFonts w:ascii="Palatino Linotype" w:eastAsia="Times New Roman" w:hAnsi="Palatino Linotype" w:cs="Times New Roman"/>
          <w:sz w:val="20"/>
          <w:szCs w:val="20"/>
          <w:lang w:eastAsia="it-IT"/>
        </w:rPr>
        <w:t>.</w:t>
      </w:r>
    </w:p>
    <w:p w14:paraId="1D9AEA6A" w14:textId="77777777" w:rsidR="00395D26" w:rsidRPr="00792946" w:rsidRDefault="00861574" w:rsidP="00347275">
      <w:pPr>
        <w:spacing w:after="0" w:line="360" w:lineRule="auto"/>
        <w:ind w:firstLine="851"/>
        <w:jc w:val="both"/>
        <w:rPr>
          <w:rFonts w:ascii="Palatino Linotype" w:eastAsia="Times New Roman" w:hAnsi="Palatino Linotype" w:cs="Times New Roman"/>
          <w:sz w:val="20"/>
          <w:szCs w:val="20"/>
          <w:lang w:eastAsia="it-IT"/>
        </w:rPr>
      </w:pPr>
      <w:r>
        <w:rPr>
          <w:rFonts w:ascii="Palatino Linotype" w:eastAsia="Times New Roman" w:hAnsi="Palatino Linotype" w:cs="Times New Roman"/>
          <w:sz w:val="20"/>
          <w:szCs w:val="20"/>
          <w:lang w:eastAsia="it-IT"/>
        </w:rPr>
        <w:t>I</w:t>
      </w:r>
      <w:r w:rsidR="00395D26" w:rsidRPr="00792946">
        <w:rPr>
          <w:rFonts w:ascii="Palatino Linotype" w:eastAsia="Times New Roman" w:hAnsi="Palatino Linotype" w:cs="Times New Roman"/>
          <w:sz w:val="20"/>
          <w:szCs w:val="20"/>
          <w:lang w:eastAsia="it-IT"/>
        </w:rPr>
        <w:t>n tale arresto</w:t>
      </w:r>
      <w:r w:rsidR="007B4DAE" w:rsidRPr="00792946">
        <w:rPr>
          <w:rFonts w:ascii="Palatino Linotype" w:eastAsia="Times New Roman" w:hAnsi="Palatino Linotype" w:cs="Times New Roman"/>
          <w:sz w:val="20"/>
          <w:szCs w:val="20"/>
          <w:lang w:eastAsia="it-IT"/>
        </w:rPr>
        <w:t>,</w:t>
      </w:r>
      <w:r w:rsidR="00395D26" w:rsidRPr="00792946">
        <w:rPr>
          <w:rFonts w:ascii="Palatino Linotype" w:eastAsia="Times New Roman" w:hAnsi="Palatino Linotype" w:cs="Times New Roman"/>
          <w:sz w:val="20"/>
          <w:szCs w:val="20"/>
          <w:lang w:eastAsia="it-IT"/>
        </w:rPr>
        <w:t xml:space="preserve"> è stato </w:t>
      </w:r>
      <w:r w:rsidR="00F12554" w:rsidRPr="00792946">
        <w:rPr>
          <w:rFonts w:ascii="Palatino Linotype" w:eastAsia="Times New Roman" w:hAnsi="Palatino Linotype" w:cs="Times New Roman"/>
          <w:sz w:val="20"/>
          <w:szCs w:val="20"/>
          <w:lang w:eastAsia="it-IT"/>
        </w:rPr>
        <w:t xml:space="preserve">infatti </w:t>
      </w:r>
      <w:r w:rsidR="00395D26" w:rsidRPr="00792946">
        <w:rPr>
          <w:rFonts w:ascii="Palatino Linotype" w:eastAsia="Times New Roman" w:hAnsi="Palatino Linotype" w:cs="Times New Roman"/>
          <w:sz w:val="20"/>
          <w:szCs w:val="20"/>
          <w:lang w:eastAsia="it-IT"/>
        </w:rPr>
        <w:t xml:space="preserve">affermato l’obbligo della stazione appaltante di svolgere </w:t>
      </w:r>
      <w:r w:rsidR="00F12554" w:rsidRPr="00792946">
        <w:rPr>
          <w:rFonts w:ascii="Palatino Linotype" w:eastAsia="Times New Roman" w:hAnsi="Palatino Linotype" w:cs="Times New Roman"/>
          <w:sz w:val="20"/>
          <w:szCs w:val="20"/>
          <w:lang w:eastAsia="it-IT"/>
        </w:rPr>
        <w:t>un</w:t>
      </w:r>
      <w:r w:rsidR="00395D26" w:rsidRPr="00792946">
        <w:rPr>
          <w:rFonts w:ascii="Palatino Linotype" w:eastAsia="Times New Roman" w:hAnsi="Palatino Linotype" w:cs="Times New Roman"/>
          <w:sz w:val="20"/>
          <w:szCs w:val="20"/>
          <w:lang w:eastAsia="it-IT"/>
        </w:rPr>
        <w:t xml:space="preserve">a </w:t>
      </w:r>
      <w:r w:rsidR="00F12554" w:rsidRPr="00792946">
        <w:rPr>
          <w:rFonts w:ascii="Palatino Linotype" w:eastAsia="Times New Roman" w:hAnsi="Palatino Linotype" w:cs="Times New Roman"/>
          <w:sz w:val="20"/>
          <w:szCs w:val="20"/>
          <w:lang w:eastAsia="it-IT"/>
        </w:rPr>
        <w:t xml:space="preserve">preliminare </w:t>
      </w:r>
      <w:r w:rsidR="00395D26" w:rsidRPr="00792946">
        <w:rPr>
          <w:rFonts w:ascii="Palatino Linotype" w:eastAsia="Times New Roman" w:hAnsi="Palatino Linotype" w:cs="Times New Roman"/>
          <w:sz w:val="20"/>
          <w:szCs w:val="20"/>
          <w:lang w:eastAsia="it-IT"/>
        </w:rPr>
        <w:t xml:space="preserve">valutazione </w:t>
      </w:r>
      <w:r w:rsidR="00F12554" w:rsidRPr="00792946">
        <w:rPr>
          <w:rFonts w:ascii="Palatino Linotype" w:eastAsia="Times New Roman" w:hAnsi="Palatino Linotype" w:cs="Times New Roman"/>
          <w:sz w:val="20"/>
          <w:szCs w:val="20"/>
          <w:lang w:eastAsia="it-IT"/>
        </w:rPr>
        <w:t>sull’i</w:t>
      </w:r>
      <w:r w:rsidR="00395D26" w:rsidRPr="00792946">
        <w:rPr>
          <w:rFonts w:ascii="Palatino Linotype" w:eastAsia="Times New Roman" w:hAnsi="Palatino Linotype" w:cs="Times New Roman"/>
          <w:sz w:val="20"/>
          <w:szCs w:val="20"/>
          <w:lang w:eastAsia="it-IT"/>
        </w:rPr>
        <w:t>ntegrità e</w:t>
      </w:r>
      <w:r w:rsidR="00F12554" w:rsidRPr="00792946">
        <w:rPr>
          <w:rFonts w:ascii="Palatino Linotype" w:eastAsia="Times New Roman" w:hAnsi="Palatino Linotype" w:cs="Times New Roman"/>
          <w:sz w:val="20"/>
          <w:szCs w:val="20"/>
          <w:lang w:eastAsia="it-IT"/>
        </w:rPr>
        <w:t>d</w:t>
      </w:r>
      <w:r w:rsidR="00395D26" w:rsidRPr="00792946">
        <w:rPr>
          <w:rFonts w:ascii="Palatino Linotype" w:eastAsia="Times New Roman" w:hAnsi="Palatino Linotype" w:cs="Times New Roman"/>
          <w:sz w:val="20"/>
          <w:szCs w:val="20"/>
          <w:lang w:eastAsia="it-IT"/>
        </w:rPr>
        <w:t xml:space="preserve"> affidabilità del concorrente, senza </w:t>
      </w:r>
      <w:r w:rsidR="007B4DAE" w:rsidRPr="00792946">
        <w:rPr>
          <w:rFonts w:ascii="Palatino Linotype" w:eastAsia="Times New Roman" w:hAnsi="Palatino Linotype" w:cs="Times New Roman"/>
          <w:sz w:val="20"/>
          <w:szCs w:val="20"/>
          <w:lang w:eastAsia="it-IT"/>
        </w:rPr>
        <w:t xml:space="preserve">ricorrere ad </w:t>
      </w:r>
      <w:r w:rsidR="00395D26" w:rsidRPr="00792946">
        <w:rPr>
          <w:rFonts w:ascii="Palatino Linotype" w:eastAsia="Times New Roman" w:hAnsi="Palatino Linotype" w:cs="Times New Roman"/>
          <w:sz w:val="20"/>
          <w:szCs w:val="20"/>
          <w:lang w:eastAsia="it-IT"/>
        </w:rPr>
        <w:t>alcun automatismo espulsivo</w:t>
      </w:r>
      <w:r w:rsidR="008900BE" w:rsidRPr="00792946">
        <w:rPr>
          <w:rFonts w:ascii="Palatino Linotype" w:eastAsia="Times New Roman" w:hAnsi="Palatino Linotype" w:cs="Times New Roman"/>
          <w:sz w:val="20"/>
          <w:szCs w:val="20"/>
          <w:lang w:eastAsia="it-IT"/>
        </w:rPr>
        <w:t>,</w:t>
      </w:r>
      <w:r w:rsidR="00395D26" w:rsidRPr="00792946">
        <w:rPr>
          <w:rFonts w:ascii="Palatino Linotype" w:eastAsia="Times New Roman" w:hAnsi="Palatino Linotype" w:cs="Times New Roman"/>
          <w:sz w:val="20"/>
          <w:szCs w:val="20"/>
          <w:lang w:eastAsia="it-IT"/>
        </w:rPr>
        <w:t xml:space="preserve"> anche in </w:t>
      </w:r>
      <w:r w:rsidR="008900BE" w:rsidRPr="00792946">
        <w:rPr>
          <w:rFonts w:ascii="Palatino Linotype" w:eastAsia="Times New Roman" w:hAnsi="Palatino Linotype" w:cs="Times New Roman"/>
          <w:sz w:val="20"/>
          <w:szCs w:val="20"/>
          <w:lang w:eastAsia="it-IT"/>
        </w:rPr>
        <w:t>caso</w:t>
      </w:r>
      <w:r w:rsidR="00395D26" w:rsidRPr="00792946">
        <w:rPr>
          <w:rFonts w:ascii="Palatino Linotype" w:eastAsia="Times New Roman" w:hAnsi="Palatino Linotype" w:cs="Times New Roman"/>
          <w:sz w:val="20"/>
          <w:szCs w:val="20"/>
          <w:lang w:eastAsia="it-IT"/>
        </w:rPr>
        <w:t xml:space="preserve"> di omissione di informazioni dovute ai fini del corretto svolgimento della procedura di selezione.</w:t>
      </w:r>
    </w:p>
    <w:p w14:paraId="5B1FAC83" w14:textId="77777777" w:rsidR="005B0223" w:rsidRPr="00792946" w:rsidRDefault="007B4DAE"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Pertanto</w:t>
      </w:r>
      <w:r w:rsidR="00395D26" w:rsidRPr="00792946">
        <w:rPr>
          <w:rFonts w:ascii="Palatino Linotype" w:eastAsia="Times New Roman" w:hAnsi="Palatino Linotype" w:cs="Times New Roman"/>
          <w:sz w:val="20"/>
          <w:szCs w:val="20"/>
          <w:lang w:eastAsia="it-IT"/>
        </w:rPr>
        <w:t>, l’automatismo espulsivo di cui alla lett. f-</w:t>
      </w:r>
      <w:r w:rsidR="00395D26" w:rsidRPr="00792946">
        <w:rPr>
          <w:rFonts w:ascii="Palatino Linotype" w:eastAsia="Times New Roman" w:hAnsi="Palatino Linotype" w:cs="Times New Roman"/>
          <w:i/>
          <w:sz w:val="20"/>
          <w:szCs w:val="20"/>
          <w:lang w:eastAsia="it-IT"/>
        </w:rPr>
        <w:t>bis</w:t>
      </w:r>
      <w:r w:rsidR="00395D26" w:rsidRPr="00792946">
        <w:rPr>
          <w:rFonts w:ascii="Palatino Linotype" w:eastAsia="Times New Roman" w:hAnsi="Palatino Linotype" w:cs="Times New Roman"/>
          <w:sz w:val="20"/>
          <w:szCs w:val="20"/>
          <w:lang w:eastAsia="it-IT"/>
        </w:rPr>
        <w:t xml:space="preserve">) dell’art. 80, comma 5, assume </w:t>
      </w:r>
      <w:r w:rsidR="008900BE" w:rsidRPr="00792946">
        <w:rPr>
          <w:rFonts w:ascii="Palatino Linotype" w:eastAsia="Times New Roman" w:hAnsi="Palatino Linotype" w:cs="Times New Roman"/>
          <w:sz w:val="20"/>
          <w:szCs w:val="20"/>
          <w:lang w:eastAsia="it-IT"/>
        </w:rPr>
        <w:t>carattere residuale,</w:t>
      </w:r>
      <w:r w:rsidR="00395D26" w:rsidRPr="00792946">
        <w:rPr>
          <w:rFonts w:ascii="Palatino Linotype" w:eastAsia="Times New Roman" w:hAnsi="Palatino Linotype" w:cs="Times New Roman"/>
          <w:sz w:val="20"/>
          <w:szCs w:val="20"/>
          <w:lang w:eastAsia="it-IT"/>
        </w:rPr>
        <w:t xml:space="preserve"> </w:t>
      </w:r>
      <w:r w:rsidR="008900BE" w:rsidRPr="00792946">
        <w:rPr>
          <w:rFonts w:ascii="Palatino Linotype" w:eastAsia="Times New Roman" w:hAnsi="Palatino Linotype" w:cs="Times New Roman"/>
          <w:sz w:val="20"/>
          <w:szCs w:val="20"/>
          <w:lang w:eastAsia="it-IT"/>
        </w:rPr>
        <w:t xml:space="preserve">trovando </w:t>
      </w:r>
      <w:r w:rsidR="00395D26" w:rsidRPr="00792946">
        <w:rPr>
          <w:rFonts w:ascii="Palatino Linotype" w:eastAsia="Times New Roman" w:hAnsi="Palatino Linotype" w:cs="Times New Roman"/>
          <w:sz w:val="20"/>
          <w:szCs w:val="20"/>
          <w:lang w:eastAsia="it-IT"/>
        </w:rPr>
        <w:t>applica</w:t>
      </w:r>
      <w:r w:rsidR="008900BE" w:rsidRPr="00792946">
        <w:rPr>
          <w:rFonts w:ascii="Palatino Linotype" w:eastAsia="Times New Roman" w:hAnsi="Palatino Linotype" w:cs="Times New Roman"/>
          <w:sz w:val="20"/>
          <w:szCs w:val="20"/>
          <w:lang w:eastAsia="it-IT"/>
        </w:rPr>
        <w:t>zione</w:t>
      </w:r>
      <w:r w:rsidR="00395D26" w:rsidRPr="00792946">
        <w:rPr>
          <w:rFonts w:ascii="Palatino Linotype" w:eastAsia="Times New Roman" w:hAnsi="Palatino Linotype" w:cs="Times New Roman"/>
          <w:sz w:val="20"/>
          <w:szCs w:val="20"/>
          <w:lang w:eastAsia="it-IT"/>
        </w:rPr>
        <w:t xml:space="preserve"> </w:t>
      </w:r>
      <w:r w:rsidR="008900BE" w:rsidRPr="00792946">
        <w:rPr>
          <w:rFonts w:ascii="Palatino Linotype" w:eastAsia="Times New Roman" w:hAnsi="Palatino Linotype" w:cs="Times New Roman"/>
          <w:sz w:val="20"/>
          <w:szCs w:val="20"/>
          <w:lang w:eastAsia="it-IT"/>
        </w:rPr>
        <w:t>nell</w:t>
      </w:r>
      <w:r w:rsidR="00395D26" w:rsidRPr="00792946">
        <w:rPr>
          <w:rFonts w:ascii="Palatino Linotype" w:eastAsia="Times New Roman" w:hAnsi="Palatino Linotype" w:cs="Times New Roman"/>
          <w:sz w:val="20"/>
          <w:szCs w:val="20"/>
          <w:lang w:eastAsia="it-IT"/>
        </w:rPr>
        <w:t xml:space="preserve">e </w:t>
      </w:r>
      <w:r w:rsidR="008900BE" w:rsidRPr="00792946">
        <w:rPr>
          <w:rFonts w:ascii="Palatino Linotype" w:eastAsia="Times New Roman" w:hAnsi="Palatino Linotype" w:cs="Times New Roman"/>
          <w:sz w:val="20"/>
          <w:szCs w:val="20"/>
          <w:lang w:eastAsia="it-IT"/>
        </w:rPr>
        <w:t>so</w:t>
      </w:r>
      <w:r w:rsidR="00395D26" w:rsidRPr="00792946">
        <w:rPr>
          <w:rFonts w:ascii="Palatino Linotype" w:eastAsia="Times New Roman" w:hAnsi="Palatino Linotype" w:cs="Times New Roman"/>
          <w:sz w:val="20"/>
          <w:szCs w:val="20"/>
          <w:lang w:eastAsia="it-IT"/>
        </w:rPr>
        <w:t xml:space="preserve">le ipotesi di falso non rientranti </w:t>
      </w:r>
      <w:r w:rsidR="00BD3FD8" w:rsidRPr="00792946">
        <w:rPr>
          <w:rFonts w:ascii="Palatino Linotype" w:eastAsia="Times New Roman" w:hAnsi="Palatino Linotype" w:cs="Times New Roman"/>
          <w:sz w:val="20"/>
          <w:szCs w:val="20"/>
          <w:lang w:eastAsia="it-IT"/>
        </w:rPr>
        <w:t>ne</w:t>
      </w:r>
      <w:r w:rsidR="00395D26" w:rsidRPr="00792946">
        <w:rPr>
          <w:rFonts w:ascii="Palatino Linotype" w:eastAsia="Times New Roman" w:hAnsi="Palatino Linotype" w:cs="Times New Roman"/>
          <w:sz w:val="20"/>
          <w:szCs w:val="20"/>
          <w:lang w:eastAsia="it-IT"/>
        </w:rPr>
        <w:t>lla lett. c-</w:t>
      </w:r>
      <w:r w:rsidR="00395D26" w:rsidRPr="00792946">
        <w:rPr>
          <w:rFonts w:ascii="Palatino Linotype" w:eastAsia="Times New Roman" w:hAnsi="Palatino Linotype" w:cs="Times New Roman"/>
          <w:i/>
          <w:sz w:val="20"/>
          <w:szCs w:val="20"/>
          <w:lang w:eastAsia="it-IT"/>
        </w:rPr>
        <w:t>bis</w:t>
      </w:r>
      <w:r w:rsidR="00395D26" w:rsidRPr="00792946">
        <w:rPr>
          <w:rFonts w:ascii="Palatino Linotype" w:eastAsia="Times New Roman" w:hAnsi="Palatino Linotype" w:cs="Times New Roman"/>
          <w:sz w:val="20"/>
          <w:szCs w:val="20"/>
          <w:lang w:eastAsia="it-IT"/>
        </w:rPr>
        <w:t>).</w:t>
      </w:r>
    </w:p>
    <w:p w14:paraId="692A0CC8" w14:textId="77777777" w:rsidR="00395D26" w:rsidRPr="00792946" w:rsidRDefault="00395D26" w:rsidP="00347275">
      <w:pPr>
        <w:spacing w:after="0" w:line="360" w:lineRule="auto"/>
        <w:ind w:firstLine="851"/>
        <w:jc w:val="both"/>
        <w:rPr>
          <w:rFonts w:ascii="Palatino Linotype" w:eastAsia="Times New Roman" w:hAnsi="Palatino Linotype" w:cs="Times New Roman"/>
          <w:sz w:val="20"/>
          <w:szCs w:val="20"/>
          <w:lang w:eastAsia="it-IT"/>
        </w:rPr>
      </w:pPr>
    </w:p>
    <w:p w14:paraId="0D3943C7" w14:textId="77777777" w:rsidR="005C7950" w:rsidRPr="00792946" w:rsidRDefault="007B0C2D" w:rsidP="00347275">
      <w:pPr>
        <w:numPr>
          <w:ilvl w:val="1"/>
          <w:numId w:val="6"/>
        </w:numPr>
        <w:spacing w:after="0" w:line="360" w:lineRule="auto"/>
        <w:jc w:val="both"/>
        <w:rPr>
          <w:rFonts w:ascii="Palatino Linotype" w:eastAsia="Times New Roman" w:hAnsi="Palatino Linotype" w:cs="Times New Roman"/>
          <w:b/>
          <w:sz w:val="20"/>
          <w:szCs w:val="20"/>
          <w:lang w:eastAsia="it-IT"/>
        </w:rPr>
      </w:pPr>
      <w:r w:rsidRPr="00792946">
        <w:rPr>
          <w:rFonts w:ascii="Palatino Linotype" w:eastAsia="Times New Roman" w:hAnsi="Palatino Linotype" w:cs="Times New Roman"/>
          <w:b/>
          <w:sz w:val="20"/>
          <w:szCs w:val="20"/>
          <w:lang w:eastAsia="it-IT"/>
        </w:rPr>
        <w:t xml:space="preserve"> L</w:t>
      </w:r>
      <w:r w:rsidR="006E616D" w:rsidRPr="00792946">
        <w:rPr>
          <w:rFonts w:ascii="Palatino Linotype" w:eastAsia="Times New Roman" w:hAnsi="Palatino Linotype" w:cs="Times New Roman"/>
          <w:b/>
          <w:sz w:val="20"/>
          <w:szCs w:val="20"/>
          <w:lang w:eastAsia="it-IT"/>
        </w:rPr>
        <w:t>’avvalimento dell’attestazione SOA</w:t>
      </w:r>
      <w:r w:rsidR="00185418" w:rsidRPr="00792946">
        <w:rPr>
          <w:rFonts w:ascii="Palatino Linotype" w:eastAsia="Times New Roman" w:hAnsi="Palatino Linotype" w:cs="Times New Roman"/>
          <w:b/>
          <w:sz w:val="20"/>
          <w:szCs w:val="20"/>
          <w:lang w:eastAsia="it-IT"/>
        </w:rPr>
        <w:t>.</w:t>
      </w:r>
    </w:p>
    <w:p w14:paraId="68E9EB14" w14:textId="77777777" w:rsidR="00185418" w:rsidRPr="00792946" w:rsidRDefault="00185418"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Il caso esam</w:t>
      </w:r>
      <w:r w:rsidR="00625C7E" w:rsidRPr="00792946">
        <w:rPr>
          <w:rFonts w:ascii="Palatino Linotype" w:eastAsia="Times New Roman" w:hAnsi="Palatino Linotype" w:cs="Times New Roman"/>
          <w:sz w:val="20"/>
          <w:szCs w:val="20"/>
          <w:lang w:eastAsia="it-IT"/>
        </w:rPr>
        <w:t>inato dall’Adunanza plenaria</w:t>
      </w:r>
      <w:r w:rsidR="001D0F4F" w:rsidRPr="00792946">
        <w:rPr>
          <w:rStyle w:val="Rimandonotaapidipagina"/>
          <w:rFonts w:ascii="Palatino Linotype" w:eastAsia="Times New Roman" w:hAnsi="Palatino Linotype" w:cs="Times New Roman"/>
          <w:sz w:val="20"/>
          <w:szCs w:val="20"/>
          <w:lang w:eastAsia="it-IT"/>
        </w:rPr>
        <w:footnoteReference w:id="34"/>
      </w:r>
      <w:r w:rsidRPr="00792946">
        <w:rPr>
          <w:rFonts w:ascii="Palatino Linotype" w:eastAsia="Times New Roman" w:hAnsi="Palatino Linotype" w:cs="Times New Roman"/>
          <w:sz w:val="20"/>
          <w:szCs w:val="20"/>
          <w:lang w:eastAsia="it-IT"/>
        </w:rPr>
        <w:t xml:space="preserve"> concerne la legittimità di un disciplinare di g</w:t>
      </w:r>
      <w:r w:rsidR="00586DBA" w:rsidRPr="00792946">
        <w:rPr>
          <w:rFonts w:ascii="Palatino Linotype" w:eastAsia="Times New Roman" w:hAnsi="Palatino Linotype" w:cs="Times New Roman"/>
          <w:sz w:val="20"/>
          <w:szCs w:val="20"/>
          <w:lang w:eastAsia="it-IT"/>
        </w:rPr>
        <w:t>ara per l’affidamento di lavori</w:t>
      </w:r>
      <w:r w:rsidRPr="00792946">
        <w:rPr>
          <w:rFonts w:ascii="Palatino Linotype" w:eastAsia="Times New Roman" w:hAnsi="Palatino Linotype" w:cs="Times New Roman"/>
          <w:sz w:val="20"/>
          <w:szCs w:val="20"/>
          <w:lang w:eastAsia="it-IT"/>
        </w:rPr>
        <w:t xml:space="preserve"> </w:t>
      </w:r>
      <w:r w:rsidR="00586DBA" w:rsidRPr="00792946">
        <w:rPr>
          <w:rFonts w:ascii="Palatino Linotype" w:eastAsia="Times New Roman" w:hAnsi="Palatino Linotype" w:cs="Times New Roman"/>
          <w:sz w:val="20"/>
          <w:szCs w:val="20"/>
          <w:lang w:eastAsia="it-IT"/>
        </w:rPr>
        <w:t>ch</w:t>
      </w:r>
      <w:r w:rsidR="001D0F4F" w:rsidRPr="00792946">
        <w:rPr>
          <w:rFonts w:ascii="Palatino Linotype" w:eastAsia="Times New Roman" w:hAnsi="Palatino Linotype" w:cs="Times New Roman"/>
          <w:sz w:val="20"/>
          <w:szCs w:val="20"/>
          <w:lang w:eastAsia="it-IT"/>
        </w:rPr>
        <w:t>e</w:t>
      </w:r>
      <w:r w:rsidRPr="00792946">
        <w:rPr>
          <w:rFonts w:ascii="Palatino Linotype" w:eastAsia="Times New Roman" w:hAnsi="Palatino Linotype" w:cs="Times New Roman"/>
          <w:sz w:val="20"/>
          <w:szCs w:val="20"/>
          <w:lang w:eastAsia="it-IT"/>
        </w:rPr>
        <w:t xml:space="preserve"> subordina l’avvalimento dell’attestazione SOA al</w:t>
      </w:r>
      <w:r w:rsidR="001D0F4F" w:rsidRPr="00792946">
        <w:rPr>
          <w:rFonts w:ascii="Palatino Linotype" w:eastAsia="Times New Roman" w:hAnsi="Palatino Linotype" w:cs="Times New Roman"/>
          <w:sz w:val="20"/>
          <w:szCs w:val="20"/>
          <w:lang w:eastAsia="it-IT"/>
        </w:rPr>
        <w:t xml:space="preserve"> possesso ed alla produzione </w:t>
      </w:r>
      <w:r w:rsidRPr="00792946">
        <w:rPr>
          <w:rFonts w:ascii="Palatino Linotype" w:eastAsia="Times New Roman" w:hAnsi="Palatino Linotype" w:cs="Times New Roman"/>
          <w:sz w:val="20"/>
          <w:szCs w:val="20"/>
          <w:lang w:eastAsia="it-IT"/>
        </w:rPr>
        <w:t>dell</w:t>
      </w:r>
      <w:r w:rsidR="001D0F4F" w:rsidRPr="00792946">
        <w:rPr>
          <w:rFonts w:ascii="Palatino Linotype" w:eastAsia="Times New Roman" w:hAnsi="Palatino Linotype" w:cs="Times New Roman"/>
          <w:sz w:val="20"/>
          <w:szCs w:val="20"/>
          <w:lang w:eastAsia="it-IT"/>
        </w:rPr>
        <w:t xml:space="preserve">a medesima </w:t>
      </w:r>
      <w:r w:rsidRPr="00792946">
        <w:rPr>
          <w:rFonts w:ascii="Palatino Linotype" w:eastAsia="Times New Roman" w:hAnsi="Palatino Linotype" w:cs="Times New Roman"/>
          <w:sz w:val="20"/>
          <w:szCs w:val="20"/>
          <w:lang w:eastAsia="it-IT"/>
        </w:rPr>
        <w:t xml:space="preserve">attestazione </w:t>
      </w:r>
      <w:r w:rsidR="00CC5237" w:rsidRPr="00792946">
        <w:rPr>
          <w:rFonts w:ascii="Palatino Linotype" w:eastAsia="Times New Roman" w:hAnsi="Palatino Linotype" w:cs="Times New Roman"/>
          <w:sz w:val="20"/>
          <w:szCs w:val="20"/>
          <w:lang w:eastAsia="it-IT"/>
        </w:rPr>
        <w:t xml:space="preserve">anche </w:t>
      </w:r>
      <w:r w:rsidR="001D0F4F" w:rsidRPr="00792946">
        <w:rPr>
          <w:rFonts w:ascii="Palatino Linotype" w:eastAsia="Times New Roman" w:hAnsi="Palatino Linotype" w:cs="Times New Roman"/>
          <w:sz w:val="20"/>
          <w:szCs w:val="20"/>
          <w:lang w:eastAsia="it-IT"/>
        </w:rPr>
        <w:t xml:space="preserve">da parte </w:t>
      </w:r>
      <w:r w:rsidRPr="00792946">
        <w:rPr>
          <w:rFonts w:ascii="Palatino Linotype" w:eastAsia="Times New Roman" w:hAnsi="Palatino Linotype" w:cs="Times New Roman"/>
          <w:sz w:val="20"/>
          <w:szCs w:val="20"/>
          <w:lang w:eastAsia="it-IT"/>
        </w:rPr>
        <w:t>dell’impresa ausiliata.</w:t>
      </w:r>
    </w:p>
    <w:p w14:paraId="70EC4A89" w14:textId="77777777" w:rsidR="006E616D" w:rsidRPr="00792946" w:rsidRDefault="00586DBA"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L’attestazione SOA costituisce un </w:t>
      </w:r>
      <w:r w:rsidR="00093B6C" w:rsidRPr="00792946">
        <w:rPr>
          <w:rFonts w:ascii="Palatino Linotype" w:eastAsia="Times New Roman" w:hAnsi="Palatino Linotype" w:cs="Times New Roman"/>
          <w:sz w:val="20"/>
          <w:szCs w:val="20"/>
          <w:lang w:eastAsia="it-IT"/>
        </w:rPr>
        <w:t xml:space="preserve">requisito speciale </w:t>
      </w:r>
      <w:r w:rsidRPr="00792946">
        <w:rPr>
          <w:rFonts w:ascii="Palatino Linotype" w:eastAsia="Times New Roman" w:hAnsi="Palatino Linotype" w:cs="Times New Roman"/>
          <w:sz w:val="20"/>
          <w:szCs w:val="20"/>
          <w:lang w:eastAsia="it-IT"/>
        </w:rPr>
        <w:t xml:space="preserve">di carattere tecnico-organizzativo </w:t>
      </w:r>
      <w:r w:rsidR="00093B6C" w:rsidRPr="00792946">
        <w:rPr>
          <w:rFonts w:ascii="Palatino Linotype" w:eastAsia="Times New Roman" w:hAnsi="Palatino Linotype" w:cs="Times New Roman"/>
          <w:sz w:val="20"/>
          <w:szCs w:val="20"/>
          <w:lang w:eastAsia="it-IT"/>
        </w:rPr>
        <w:t>suscettibile di avvalimento</w:t>
      </w:r>
      <w:r w:rsidR="006E616D" w:rsidRPr="00792946">
        <w:rPr>
          <w:rFonts w:ascii="Palatino Linotype" w:eastAsia="Times New Roman" w:hAnsi="Palatino Linotype" w:cs="Times New Roman"/>
          <w:sz w:val="20"/>
          <w:szCs w:val="20"/>
          <w:lang w:eastAsia="it-IT"/>
        </w:rPr>
        <w:t xml:space="preserve">, il </w:t>
      </w:r>
      <w:r w:rsidRPr="00792946">
        <w:rPr>
          <w:rFonts w:ascii="Palatino Linotype" w:eastAsia="Times New Roman" w:hAnsi="Palatino Linotype" w:cs="Times New Roman"/>
          <w:sz w:val="20"/>
          <w:szCs w:val="20"/>
          <w:lang w:eastAsia="it-IT"/>
        </w:rPr>
        <w:t xml:space="preserve">cui </w:t>
      </w:r>
      <w:r w:rsidR="006E616D" w:rsidRPr="00792946">
        <w:rPr>
          <w:rFonts w:ascii="Palatino Linotype" w:eastAsia="Times New Roman" w:hAnsi="Palatino Linotype" w:cs="Times New Roman"/>
          <w:sz w:val="20"/>
          <w:szCs w:val="20"/>
          <w:lang w:eastAsia="it-IT"/>
        </w:rPr>
        <w:t xml:space="preserve">contenuto </w:t>
      </w:r>
      <w:r w:rsidRPr="00792946">
        <w:rPr>
          <w:rFonts w:ascii="Palatino Linotype" w:eastAsia="Times New Roman" w:hAnsi="Palatino Linotype" w:cs="Times New Roman"/>
          <w:sz w:val="20"/>
          <w:szCs w:val="20"/>
          <w:lang w:eastAsia="it-IT"/>
        </w:rPr>
        <w:t>concerne</w:t>
      </w:r>
      <w:r w:rsidR="006E616D"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i</w:t>
      </w:r>
      <w:r w:rsidR="006E616D" w:rsidRPr="00792946">
        <w:rPr>
          <w:rFonts w:ascii="Palatino Linotype" w:eastAsia="Times New Roman" w:hAnsi="Palatino Linotype" w:cs="Times New Roman"/>
          <w:sz w:val="20"/>
          <w:szCs w:val="20"/>
          <w:lang w:eastAsia="it-IT"/>
        </w:rPr>
        <w:t xml:space="preserve">l sistema gestionale </w:t>
      </w:r>
      <w:r w:rsidRPr="00792946">
        <w:rPr>
          <w:rFonts w:ascii="Palatino Linotype" w:eastAsia="Times New Roman" w:hAnsi="Palatino Linotype" w:cs="Times New Roman"/>
          <w:sz w:val="20"/>
          <w:szCs w:val="20"/>
          <w:lang w:eastAsia="it-IT"/>
        </w:rPr>
        <w:t>e</w:t>
      </w:r>
      <w:r w:rsidR="001D0F4F" w:rsidRPr="00792946">
        <w:rPr>
          <w:rFonts w:ascii="Palatino Linotype" w:eastAsia="Times New Roman" w:hAnsi="Palatino Linotype" w:cs="Times New Roman"/>
          <w:sz w:val="20"/>
          <w:szCs w:val="20"/>
          <w:lang w:eastAsia="it-IT"/>
        </w:rPr>
        <w:t>d</w:t>
      </w:r>
      <w:r w:rsidRPr="00792946">
        <w:rPr>
          <w:rFonts w:ascii="Palatino Linotype" w:eastAsia="Times New Roman" w:hAnsi="Palatino Linotype" w:cs="Times New Roman"/>
          <w:sz w:val="20"/>
          <w:szCs w:val="20"/>
          <w:lang w:eastAsia="it-IT"/>
        </w:rPr>
        <w:t xml:space="preserve"> i</w:t>
      </w:r>
      <w:r w:rsidR="001D0F4F" w:rsidRPr="00792946">
        <w:rPr>
          <w:rFonts w:ascii="Palatino Linotype" w:eastAsia="Times New Roman" w:hAnsi="Palatino Linotype" w:cs="Times New Roman"/>
          <w:sz w:val="20"/>
          <w:szCs w:val="20"/>
          <w:lang w:eastAsia="it-IT"/>
        </w:rPr>
        <w:t xml:space="preserve">l processo operativo </w:t>
      </w:r>
      <w:r w:rsidR="006E616D" w:rsidRPr="00792946">
        <w:rPr>
          <w:rFonts w:ascii="Palatino Linotype" w:eastAsia="Times New Roman" w:hAnsi="Palatino Linotype" w:cs="Times New Roman"/>
          <w:sz w:val="20"/>
          <w:szCs w:val="20"/>
          <w:lang w:eastAsia="it-IT"/>
        </w:rPr>
        <w:t>dell’azienda</w:t>
      </w:r>
      <w:r w:rsidRPr="00792946">
        <w:rPr>
          <w:rFonts w:ascii="Palatino Linotype" w:eastAsia="Times New Roman" w:hAnsi="Palatino Linotype" w:cs="Times New Roman"/>
          <w:sz w:val="20"/>
          <w:szCs w:val="20"/>
          <w:lang w:eastAsia="it-IT"/>
        </w:rPr>
        <w:t xml:space="preserve"> ausiliaria</w:t>
      </w:r>
      <w:r w:rsidR="006E616D" w:rsidRPr="00792946">
        <w:rPr>
          <w:rFonts w:ascii="Palatino Linotype" w:eastAsia="Times New Roman" w:hAnsi="Palatino Linotype" w:cs="Times New Roman"/>
          <w:sz w:val="20"/>
          <w:szCs w:val="20"/>
          <w:lang w:eastAsia="it-IT"/>
        </w:rPr>
        <w:t>.</w:t>
      </w:r>
    </w:p>
    <w:p w14:paraId="33F455AB" w14:textId="77777777" w:rsidR="006E616D" w:rsidRPr="00792946" w:rsidRDefault="00093B6C"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Affinché non </w:t>
      </w:r>
      <w:r w:rsidR="006E616D" w:rsidRPr="00792946">
        <w:rPr>
          <w:rFonts w:ascii="Palatino Linotype" w:eastAsia="Times New Roman" w:hAnsi="Palatino Linotype" w:cs="Times New Roman"/>
          <w:sz w:val="20"/>
          <w:szCs w:val="20"/>
          <w:lang w:eastAsia="it-IT"/>
        </w:rPr>
        <w:t>diven</w:t>
      </w:r>
      <w:r w:rsidR="00586DBA" w:rsidRPr="00792946">
        <w:rPr>
          <w:rFonts w:ascii="Palatino Linotype" w:eastAsia="Times New Roman" w:hAnsi="Palatino Linotype" w:cs="Times New Roman"/>
          <w:sz w:val="20"/>
          <w:szCs w:val="20"/>
          <w:lang w:eastAsia="it-IT"/>
        </w:rPr>
        <w:t>ti</w:t>
      </w:r>
      <w:r w:rsidR="006E616D" w:rsidRPr="00792946">
        <w:rPr>
          <w:rFonts w:ascii="Palatino Linotype" w:eastAsia="Times New Roman" w:hAnsi="Palatino Linotype" w:cs="Times New Roman"/>
          <w:sz w:val="20"/>
          <w:szCs w:val="20"/>
          <w:lang w:eastAsia="it-IT"/>
        </w:rPr>
        <w:t xml:space="preserve"> in concreto un mezzo per eludere il rigoroso sistema di qualificazione nel settore dei lavori pubblici, </w:t>
      </w:r>
      <w:r w:rsidR="00CC5237" w:rsidRPr="00792946">
        <w:rPr>
          <w:rFonts w:ascii="Palatino Linotype" w:eastAsia="Times New Roman" w:hAnsi="Palatino Linotype" w:cs="Times New Roman"/>
          <w:sz w:val="20"/>
          <w:szCs w:val="20"/>
          <w:lang w:eastAsia="it-IT"/>
        </w:rPr>
        <w:t xml:space="preserve">detto </w:t>
      </w:r>
      <w:r w:rsidR="00CD778E" w:rsidRPr="00792946">
        <w:rPr>
          <w:rFonts w:ascii="Palatino Linotype" w:eastAsia="Times New Roman" w:hAnsi="Palatino Linotype" w:cs="Times New Roman"/>
          <w:sz w:val="20"/>
          <w:szCs w:val="20"/>
          <w:lang w:eastAsia="it-IT"/>
        </w:rPr>
        <w:t>avvalimento è</w:t>
      </w:r>
      <w:r w:rsidR="006E616D" w:rsidRPr="00792946">
        <w:rPr>
          <w:rFonts w:ascii="Palatino Linotype" w:eastAsia="Times New Roman" w:hAnsi="Palatino Linotype" w:cs="Times New Roman"/>
          <w:sz w:val="20"/>
          <w:szCs w:val="20"/>
          <w:lang w:eastAsia="it-IT"/>
        </w:rPr>
        <w:t xml:space="preserve"> </w:t>
      </w:r>
      <w:r w:rsidR="00CD778E" w:rsidRPr="00792946">
        <w:rPr>
          <w:rFonts w:ascii="Palatino Linotype" w:eastAsia="Times New Roman" w:hAnsi="Palatino Linotype" w:cs="Times New Roman"/>
          <w:sz w:val="20"/>
          <w:szCs w:val="20"/>
          <w:lang w:eastAsia="it-IT"/>
        </w:rPr>
        <w:t>subordina</w:t>
      </w:r>
      <w:r w:rsidR="006E616D" w:rsidRPr="00792946">
        <w:rPr>
          <w:rFonts w:ascii="Palatino Linotype" w:eastAsia="Times New Roman" w:hAnsi="Palatino Linotype" w:cs="Times New Roman"/>
          <w:sz w:val="20"/>
          <w:szCs w:val="20"/>
          <w:lang w:eastAsia="it-IT"/>
        </w:rPr>
        <w:t>to ad una duplice condizione</w:t>
      </w:r>
      <w:r w:rsidR="00E24C1F" w:rsidRPr="00792946">
        <w:rPr>
          <w:rStyle w:val="Rimandonotaapidipagina"/>
          <w:rFonts w:ascii="Palatino Linotype" w:eastAsia="Times New Roman" w:hAnsi="Palatino Linotype" w:cs="Times New Roman"/>
          <w:sz w:val="20"/>
          <w:szCs w:val="20"/>
          <w:lang w:eastAsia="it-IT"/>
        </w:rPr>
        <w:footnoteReference w:id="35"/>
      </w:r>
      <w:r w:rsidR="006E616D" w:rsidRPr="00792946">
        <w:rPr>
          <w:rFonts w:ascii="Palatino Linotype" w:eastAsia="Times New Roman" w:hAnsi="Palatino Linotype" w:cs="Times New Roman"/>
          <w:sz w:val="20"/>
          <w:szCs w:val="20"/>
          <w:lang w:eastAsia="it-IT"/>
        </w:rPr>
        <w:t>:</w:t>
      </w:r>
    </w:p>
    <w:p w14:paraId="3F874A2D" w14:textId="77777777" w:rsidR="006E616D" w:rsidRPr="00792946" w:rsidRDefault="006E616D"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i/>
          <w:iCs/>
          <w:sz w:val="20"/>
          <w:szCs w:val="20"/>
          <w:lang w:eastAsia="it-IT"/>
        </w:rPr>
        <w:t>a)</w:t>
      </w:r>
      <w:r w:rsidRPr="00792946">
        <w:rPr>
          <w:rFonts w:ascii="Palatino Linotype" w:eastAsia="Times New Roman" w:hAnsi="Palatino Linotype" w:cs="Times New Roman"/>
          <w:sz w:val="20"/>
          <w:szCs w:val="20"/>
          <w:lang w:eastAsia="it-IT"/>
        </w:rPr>
        <w:t xml:space="preserve"> che oggetto della messa a disposizione sia l’intero </w:t>
      </w:r>
      <w:r w:rsidRPr="00792946">
        <w:rPr>
          <w:rFonts w:ascii="Palatino Linotype" w:eastAsia="Times New Roman" w:hAnsi="Palatino Linotype" w:cs="Times New Roman"/>
          <w:i/>
          <w:iCs/>
          <w:sz w:val="20"/>
          <w:szCs w:val="20"/>
          <w:lang w:eastAsia="it-IT"/>
        </w:rPr>
        <w:t xml:space="preserve">setting </w:t>
      </w:r>
      <w:r w:rsidRPr="00792946">
        <w:rPr>
          <w:rFonts w:ascii="Palatino Linotype" w:eastAsia="Times New Roman" w:hAnsi="Palatino Linotype" w:cs="Times New Roman"/>
          <w:sz w:val="20"/>
          <w:szCs w:val="20"/>
          <w:lang w:eastAsia="it-IT"/>
        </w:rPr>
        <w:t>di elementi e requisiti che hanno consentito di ottenere il rilascio dell’attestazione SOA;</w:t>
      </w:r>
    </w:p>
    <w:p w14:paraId="44357E02" w14:textId="77777777" w:rsidR="006E616D" w:rsidRPr="00792946" w:rsidRDefault="006E616D"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i/>
          <w:iCs/>
          <w:sz w:val="20"/>
          <w:szCs w:val="20"/>
          <w:lang w:eastAsia="it-IT"/>
        </w:rPr>
        <w:t>b)</w:t>
      </w:r>
      <w:r w:rsidRPr="00792946">
        <w:rPr>
          <w:rFonts w:ascii="Palatino Linotype" w:eastAsia="Times New Roman" w:hAnsi="Palatino Linotype" w:cs="Times New Roman"/>
          <w:sz w:val="20"/>
          <w:szCs w:val="20"/>
          <w:lang w:eastAsia="it-IT"/>
        </w:rPr>
        <w:t xml:space="preserve"> che il contratto di avvalimento dia</w:t>
      </w:r>
      <w:r w:rsidR="001D0F4F"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puntual</w:t>
      </w:r>
      <w:r w:rsidR="001D0F4F" w:rsidRPr="00792946">
        <w:rPr>
          <w:rFonts w:ascii="Palatino Linotype" w:eastAsia="Times New Roman" w:hAnsi="Palatino Linotype" w:cs="Times New Roman"/>
          <w:sz w:val="20"/>
          <w:szCs w:val="20"/>
          <w:lang w:eastAsia="it-IT"/>
        </w:rPr>
        <w:t>ment</w:t>
      </w:r>
      <w:r w:rsidRPr="00792946">
        <w:rPr>
          <w:rFonts w:ascii="Palatino Linotype" w:eastAsia="Times New Roman" w:hAnsi="Palatino Linotype" w:cs="Times New Roman"/>
          <w:sz w:val="20"/>
          <w:szCs w:val="20"/>
          <w:lang w:eastAsia="it-IT"/>
        </w:rPr>
        <w:t>e</w:t>
      </w:r>
      <w:r w:rsidR="001D0F4F" w:rsidRPr="00792946">
        <w:rPr>
          <w:rFonts w:ascii="Palatino Linotype" w:eastAsia="Times New Roman" w:hAnsi="Palatino Linotype" w:cs="Times New Roman"/>
          <w:sz w:val="20"/>
          <w:szCs w:val="20"/>
          <w:lang w:eastAsia="it-IT"/>
        </w:rPr>
        <w:t xml:space="preserve"> conto</w:t>
      </w:r>
      <w:r w:rsidRPr="00792946">
        <w:rPr>
          <w:rFonts w:ascii="Palatino Linotype" w:eastAsia="Times New Roman" w:hAnsi="Palatino Linotype" w:cs="Times New Roman"/>
          <w:sz w:val="20"/>
          <w:szCs w:val="20"/>
          <w:lang w:eastAsia="it-IT"/>
        </w:rPr>
        <w:t xml:space="preserve"> del complesso dei requisiti oggetto di avvalimento, senza impiegare formule generiche o di stile.</w:t>
      </w:r>
    </w:p>
    <w:p w14:paraId="532FEE83" w14:textId="77777777" w:rsidR="006E616D" w:rsidRPr="00792946" w:rsidRDefault="00035220"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S</w:t>
      </w:r>
      <w:r w:rsidR="00E24C1F" w:rsidRPr="00792946">
        <w:rPr>
          <w:rFonts w:ascii="Palatino Linotype" w:eastAsia="Times New Roman" w:hAnsi="Palatino Linotype" w:cs="Times New Roman"/>
          <w:sz w:val="20"/>
          <w:szCs w:val="20"/>
          <w:lang w:eastAsia="it-IT"/>
        </w:rPr>
        <w:t>ussistendo le predette condizioni, la scelta della stazione appaltante di richiedere all’ausiliata</w:t>
      </w:r>
      <w:r w:rsidR="00586DBA" w:rsidRPr="00792946">
        <w:rPr>
          <w:rFonts w:ascii="Palatino Linotype" w:eastAsia="Times New Roman" w:hAnsi="Palatino Linotype" w:cs="Times New Roman"/>
          <w:sz w:val="20"/>
          <w:szCs w:val="20"/>
          <w:lang w:eastAsia="it-IT"/>
        </w:rPr>
        <w:t>, a pena di esclusione</w:t>
      </w:r>
      <w:r w:rsidR="006E616D"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 xml:space="preserve">di produrre la propria attestazione SOA unitamente a quella dell’ausiliaria, </w:t>
      </w:r>
      <w:r w:rsidR="006E616D" w:rsidRPr="00792946">
        <w:rPr>
          <w:rFonts w:ascii="Palatino Linotype" w:eastAsia="Times New Roman" w:hAnsi="Palatino Linotype" w:cs="Times New Roman"/>
          <w:sz w:val="20"/>
          <w:szCs w:val="20"/>
          <w:lang w:eastAsia="it-IT"/>
        </w:rPr>
        <w:t xml:space="preserve">non solo </w:t>
      </w:r>
      <w:r w:rsidR="00861574" w:rsidRPr="00792946">
        <w:rPr>
          <w:rFonts w:ascii="Palatino Linotype" w:eastAsia="Times New Roman" w:hAnsi="Palatino Linotype" w:cs="Times New Roman"/>
          <w:sz w:val="20"/>
          <w:szCs w:val="20"/>
          <w:lang w:eastAsia="it-IT"/>
        </w:rPr>
        <w:t xml:space="preserve">è </w:t>
      </w:r>
      <w:r w:rsidR="00E24C1F" w:rsidRPr="00792946">
        <w:rPr>
          <w:rFonts w:ascii="Palatino Linotype" w:eastAsia="Times New Roman" w:hAnsi="Palatino Linotype" w:cs="Times New Roman"/>
          <w:sz w:val="20"/>
          <w:szCs w:val="20"/>
          <w:lang w:eastAsia="it-IT"/>
        </w:rPr>
        <w:t xml:space="preserve">in sé </w:t>
      </w:r>
      <w:r w:rsidR="006E616D" w:rsidRPr="00792946">
        <w:rPr>
          <w:rFonts w:ascii="Palatino Linotype" w:eastAsia="Times New Roman" w:hAnsi="Palatino Linotype" w:cs="Times New Roman"/>
          <w:sz w:val="20"/>
          <w:szCs w:val="20"/>
          <w:lang w:eastAsia="it-IT"/>
        </w:rPr>
        <w:t xml:space="preserve">contraddittorio, ma si pone in contrasto con gli artt. 84 e 89 del </w:t>
      </w:r>
      <w:r w:rsidR="00E24C1F" w:rsidRPr="00792946">
        <w:rPr>
          <w:rFonts w:ascii="Palatino Linotype" w:eastAsia="Times New Roman" w:hAnsi="Palatino Linotype" w:cs="Times New Roman"/>
          <w:sz w:val="20"/>
          <w:szCs w:val="20"/>
          <w:lang w:eastAsia="it-IT"/>
        </w:rPr>
        <w:t>D</w:t>
      </w:r>
      <w:r w:rsidR="006E616D" w:rsidRPr="00792946">
        <w:rPr>
          <w:rFonts w:ascii="Palatino Linotype" w:eastAsia="Times New Roman" w:hAnsi="Palatino Linotype" w:cs="Times New Roman"/>
          <w:sz w:val="20"/>
          <w:szCs w:val="20"/>
          <w:lang w:eastAsia="it-IT"/>
        </w:rPr>
        <w:t>.lgs. n. 50</w:t>
      </w:r>
      <w:r w:rsidR="00E24C1F" w:rsidRPr="00792946">
        <w:rPr>
          <w:rFonts w:ascii="Palatino Linotype" w:eastAsia="Times New Roman" w:hAnsi="Palatino Linotype" w:cs="Times New Roman"/>
          <w:sz w:val="20"/>
          <w:szCs w:val="20"/>
          <w:lang w:eastAsia="it-IT"/>
        </w:rPr>
        <w:t>/</w:t>
      </w:r>
      <w:r w:rsidR="006E616D" w:rsidRPr="00792946">
        <w:rPr>
          <w:rFonts w:ascii="Palatino Linotype" w:eastAsia="Times New Roman" w:hAnsi="Palatino Linotype" w:cs="Times New Roman"/>
          <w:sz w:val="20"/>
          <w:szCs w:val="20"/>
          <w:lang w:eastAsia="it-IT"/>
        </w:rPr>
        <w:t xml:space="preserve">2016, </w:t>
      </w:r>
      <w:r w:rsidR="00586DBA" w:rsidRPr="00792946">
        <w:rPr>
          <w:rFonts w:ascii="Palatino Linotype" w:eastAsia="Times New Roman" w:hAnsi="Palatino Linotype" w:cs="Times New Roman"/>
          <w:sz w:val="20"/>
          <w:szCs w:val="20"/>
          <w:lang w:eastAsia="it-IT"/>
        </w:rPr>
        <w:t>i quali</w:t>
      </w:r>
      <w:r w:rsidR="006E616D" w:rsidRPr="00792946">
        <w:rPr>
          <w:rFonts w:ascii="Palatino Linotype" w:eastAsia="Times New Roman" w:hAnsi="Palatino Linotype" w:cs="Times New Roman"/>
          <w:sz w:val="20"/>
          <w:szCs w:val="20"/>
          <w:lang w:eastAsia="it-IT"/>
        </w:rPr>
        <w:t xml:space="preserve"> non escludono </w:t>
      </w:r>
      <w:r w:rsidR="002727D6" w:rsidRPr="00792946">
        <w:rPr>
          <w:rFonts w:ascii="Palatino Linotype" w:eastAsia="Times New Roman" w:hAnsi="Palatino Linotype" w:cs="Times New Roman"/>
          <w:sz w:val="20"/>
          <w:szCs w:val="20"/>
          <w:lang w:eastAsia="it-IT"/>
        </w:rPr>
        <w:t>–</w:t>
      </w:r>
      <w:r w:rsidR="00CC5237" w:rsidRPr="00792946">
        <w:rPr>
          <w:rFonts w:ascii="Palatino Linotype" w:eastAsia="Times New Roman" w:hAnsi="Palatino Linotype" w:cs="Times New Roman"/>
          <w:sz w:val="20"/>
          <w:szCs w:val="20"/>
          <w:lang w:eastAsia="it-IT"/>
        </w:rPr>
        <w:t xml:space="preserve"> e quindi ammettono </w:t>
      </w:r>
      <w:r w:rsidR="002727D6" w:rsidRPr="00792946">
        <w:rPr>
          <w:rFonts w:ascii="Palatino Linotype" w:eastAsia="Times New Roman" w:hAnsi="Palatino Linotype" w:cs="Times New Roman"/>
          <w:sz w:val="20"/>
          <w:szCs w:val="20"/>
          <w:lang w:eastAsia="it-IT"/>
        </w:rPr>
        <w:t>–</w:t>
      </w:r>
      <w:r w:rsidR="00CC5237" w:rsidRPr="00792946">
        <w:rPr>
          <w:rFonts w:ascii="Palatino Linotype" w:eastAsia="Times New Roman" w:hAnsi="Palatino Linotype" w:cs="Times New Roman"/>
          <w:sz w:val="20"/>
          <w:szCs w:val="20"/>
          <w:lang w:eastAsia="it-IT"/>
        </w:rPr>
        <w:t xml:space="preserve"> </w:t>
      </w:r>
      <w:r w:rsidR="00586DBA" w:rsidRPr="00792946">
        <w:rPr>
          <w:rFonts w:ascii="Palatino Linotype" w:eastAsia="Times New Roman" w:hAnsi="Palatino Linotype" w:cs="Times New Roman"/>
          <w:sz w:val="20"/>
          <w:szCs w:val="20"/>
          <w:lang w:eastAsia="it-IT"/>
        </w:rPr>
        <w:t>ta</w:t>
      </w:r>
      <w:r w:rsidR="006E616D" w:rsidRPr="00792946">
        <w:rPr>
          <w:rFonts w:ascii="Palatino Linotype" w:eastAsia="Times New Roman" w:hAnsi="Palatino Linotype" w:cs="Times New Roman"/>
          <w:sz w:val="20"/>
          <w:szCs w:val="20"/>
          <w:lang w:eastAsia="it-IT"/>
        </w:rPr>
        <w:t>l</w:t>
      </w:r>
      <w:r w:rsidR="00586DBA" w:rsidRPr="00792946">
        <w:rPr>
          <w:rFonts w:ascii="Palatino Linotype" w:eastAsia="Times New Roman" w:hAnsi="Palatino Linotype" w:cs="Times New Roman"/>
          <w:sz w:val="20"/>
          <w:szCs w:val="20"/>
          <w:lang w:eastAsia="it-IT"/>
        </w:rPr>
        <w:t>e forma d</w:t>
      </w:r>
      <w:r w:rsidR="006E616D" w:rsidRPr="00792946">
        <w:rPr>
          <w:rFonts w:ascii="Palatino Linotype" w:eastAsia="Times New Roman" w:hAnsi="Palatino Linotype" w:cs="Times New Roman"/>
          <w:sz w:val="20"/>
          <w:szCs w:val="20"/>
          <w:lang w:eastAsia="it-IT"/>
        </w:rPr>
        <w:t>’avvalimento</w:t>
      </w:r>
      <w:r w:rsidRPr="00792946">
        <w:rPr>
          <w:rFonts w:ascii="Palatino Linotype" w:eastAsia="Times New Roman" w:hAnsi="Palatino Linotype" w:cs="Times New Roman"/>
          <w:sz w:val="20"/>
          <w:szCs w:val="20"/>
          <w:lang w:eastAsia="it-IT"/>
        </w:rPr>
        <w:t>,</w:t>
      </w:r>
      <w:r w:rsidR="006E616D" w:rsidRPr="00792946">
        <w:rPr>
          <w:rFonts w:ascii="Palatino Linotype" w:eastAsia="Times New Roman" w:hAnsi="Palatino Linotype" w:cs="Times New Roman"/>
          <w:sz w:val="20"/>
          <w:szCs w:val="20"/>
          <w:lang w:eastAsia="it-IT"/>
        </w:rPr>
        <w:t xml:space="preserve"> </w:t>
      </w:r>
      <w:r w:rsidR="00CC5237" w:rsidRPr="00792946">
        <w:rPr>
          <w:rFonts w:ascii="Palatino Linotype" w:eastAsia="Times New Roman" w:hAnsi="Palatino Linotype" w:cs="Times New Roman"/>
          <w:sz w:val="20"/>
          <w:szCs w:val="20"/>
          <w:lang w:eastAsia="it-IT"/>
        </w:rPr>
        <w:t>senza</w:t>
      </w:r>
      <w:r w:rsidR="006E616D" w:rsidRPr="00792946">
        <w:rPr>
          <w:rFonts w:ascii="Palatino Linotype" w:eastAsia="Times New Roman" w:hAnsi="Palatino Linotype" w:cs="Times New Roman"/>
          <w:sz w:val="20"/>
          <w:szCs w:val="20"/>
          <w:lang w:eastAsia="it-IT"/>
        </w:rPr>
        <w:t xml:space="preserve"> </w:t>
      </w:r>
      <w:r w:rsidR="00CC5237" w:rsidRPr="00792946">
        <w:rPr>
          <w:rFonts w:ascii="Palatino Linotype" w:eastAsia="Times New Roman" w:hAnsi="Palatino Linotype" w:cs="Times New Roman"/>
          <w:sz w:val="20"/>
          <w:szCs w:val="20"/>
          <w:lang w:eastAsia="it-IT"/>
        </w:rPr>
        <w:t>assoggettarl</w:t>
      </w:r>
      <w:r w:rsidR="00586DBA" w:rsidRPr="00792946">
        <w:rPr>
          <w:rFonts w:ascii="Palatino Linotype" w:eastAsia="Times New Roman" w:hAnsi="Palatino Linotype" w:cs="Times New Roman"/>
          <w:sz w:val="20"/>
          <w:szCs w:val="20"/>
          <w:lang w:eastAsia="it-IT"/>
        </w:rPr>
        <w:t>a</w:t>
      </w:r>
      <w:r w:rsidR="006E616D" w:rsidRPr="00792946">
        <w:rPr>
          <w:rFonts w:ascii="Palatino Linotype" w:eastAsia="Times New Roman" w:hAnsi="Palatino Linotype" w:cs="Times New Roman"/>
          <w:sz w:val="20"/>
          <w:szCs w:val="20"/>
          <w:lang w:eastAsia="it-IT"/>
        </w:rPr>
        <w:t xml:space="preserve"> </w:t>
      </w:r>
      <w:r w:rsidR="001D0F4F" w:rsidRPr="00792946">
        <w:rPr>
          <w:rFonts w:ascii="Palatino Linotype" w:eastAsia="Times New Roman" w:hAnsi="Palatino Linotype" w:cs="Times New Roman"/>
          <w:sz w:val="20"/>
          <w:szCs w:val="20"/>
          <w:lang w:eastAsia="it-IT"/>
        </w:rPr>
        <w:t>al</w:t>
      </w:r>
      <w:r w:rsidR="006E616D" w:rsidRPr="00792946">
        <w:rPr>
          <w:rFonts w:ascii="Palatino Linotype" w:eastAsia="Times New Roman" w:hAnsi="Palatino Linotype" w:cs="Times New Roman"/>
          <w:sz w:val="20"/>
          <w:szCs w:val="20"/>
          <w:lang w:eastAsia="it-IT"/>
        </w:rPr>
        <w:t xml:space="preserve"> deposit</w:t>
      </w:r>
      <w:r w:rsidR="00CC5237" w:rsidRPr="00792946">
        <w:rPr>
          <w:rFonts w:ascii="Palatino Linotype" w:eastAsia="Times New Roman" w:hAnsi="Palatino Linotype" w:cs="Times New Roman"/>
          <w:sz w:val="20"/>
          <w:szCs w:val="20"/>
          <w:lang w:eastAsia="it-IT"/>
        </w:rPr>
        <w:t xml:space="preserve">o </w:t>
      </w:r>
      <w:r w:rsidR="006E616D" w:rsidRPr="00792946">
        <w:rPr>
          <w:rFonts w:ascii="Palatino Linotype" w:eastAsia="Times New Roman" w:hAnsi="Palatino Linotype" w:cs="Times New Roman"/>
          <w:sz w:val="20"/>
          <w:szCs w:val="20"/>
          <w:lang w:eastAsia="it-IT"/>
        </w:rPr>
        <w:t xml:space="preserve">in sede di gara </w:t>
      </w:r>
      <w:r w:rsidRPr="00792946">
        <w:rPr>
          <w:rFonts w:ascii="Palatino Linotype" w:eastAsia="Times New Roman" w:hAnsi="Palatino Linotype" w:cs="Times New Roman"/>
          <w:sz w:val="20"/>
          <w:szCs w:val="20"/>
          <w:lang w:eastAsia="it-IT"/>
        </w:rPr>
        <w:t xml:space="preserve">(e tantomeno al possesso) </w:t>
      </w:r>
      <w:r w:rsidR="00CC5237" w:rsidRPr="00792946">
        <w:rPr>
          <w:rFonts w:ascii="Palatino Linotype" w:eastAsia="Times New Roman" w:hAnsi="Palatino Linotype" w:cs="Times New Roman"/>
          <w:sz w:val="20"/>
          <w:szCs w:val="20"/>
          <w:lang w:eastAsia="it-IT"/>
        </w:rPr>
        <w:t>del</w:t>
      </w:r>
      <w:r w:rsidR="006E616D" w:rsidRPr="00792946">
        <w:rPr>
          <w:rFonts w:ascii="Palatino Linotype" w:eastAsia="Times New Roman" w:hAnsi="Palatino Linotype" w:cs="Times New Roman"/>
          <w:sz w:val="20"/>
          <w:szCs w:val="20"/>
          <w:lang w:eastAsia="it-IT"/>
        </w:rPr>
        <w:t xml:space="preserve">l’attestazione SOA </w:t>
      </w:r>
      <w:r w:rsidR="00AB76C8" w:rsidRPr="00792946">
        <w:rPr>
          <w:rFonts w:ascii="Palatino Linotype" w:eastAsia="Times New Roman" w:hAnsi="Palatino Linotype" w:cs="Times New Roman"/>
          <w:sz w:val="20"/>
          <w:szCs w:val="20"/>
          <w:lang w:eastAsia="it-IT"/>
        </w:rPr>
        <w:t xml:space="preserve">da parte </w:t>
      </w:r>
      <w:r w:rsidR="006E616D" w:rsidRPr="00792946">
        <w:rPr>
          <w:rFonts w:ascii="Palatino Linotype" w:eastAsia="Times New Roman" w:hAnsi="Palatino Linotype" w:cs="Times New Roman"/>
          <w:sz w:val="20"/>
          <w:szCs w:val="20"/>
          <w:lang w:eastAsia="it-IT"/>
        </w:rPr>
        <w:t xml:space="preserve">dell’impresa </w:t>
      </w:r>
      <w:r w:rsidR="00CC5237" w:rsidRPr="00792946">
        <w:rPr>
          <w:rFonts w:ascii="Palatino Linotype" w:eastAsia="Times New Roman" w:hAnsi="Palatino Linotype" w:cs="Times New Roman"/>
          <w:sz w:val="20"/>
          <w:szCs w:val="20"/>
          <w:lang w:eastAsia="it-IT"/>
        </w:rPr>
        <w:t>concorrente</w:t>
      </w:r>
      <w:r w:rsidR="006E616D" w:rsidRPr="00792946">
        <w:rPr>
          <w:rFonts w:ascii="Palatino Linotype" w:eastAsia="Times New Roman" w:hAnsi="Palatino Linotype" w:cs="Times New Roman"/>
          <w:sz w:val="20"/>
          <w:szCs w:val="20"/>
          <w:lang w:eastAsia="it-IT"/>
        </w:rPr>
        <w:t>.</w:t>
      </w:r>
    </w:p>
    <w:p w14:paraId="70DE04FC" w14:textId="77777777" w:rsidR="006E616D" w:rsidRPr="00792946" w:rsidRDefault="006E616D"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N</w:t>
      </w:r>
      <w:r w:rsidR="00E24C1F" w:rsidRPr="00792946">
        <w:rPr>
          <w:rFonts w:ascii="Palatino Linotype" w:eastAsia="Times New Roman" w:hAnsi="Palatino Linotype" w:cs="Times New Roman"/>
          <w:sz w:val="20"/>
          <w:szCs w:val="20"/>
          <w:lang w:eastAsia="it-IT"/>
        </w:rPr>
        <w:t>é</w:t>
      </w:r>
      <w:r w:rsidRPr="00792946">
        <w:rPr>
          <w:rFonts w:ascii="Palatino Linotype" w:eastAsia="Times New Roman" w:hAnsi="Palatino Linotype" w:cs="Times New Roman"/>
          <w:sz w:val="20"/>
          <w:szCs w:val="20"/>
          <w:lang w:eastAsia="it-IT"/>
        </w:rPr>
        <w:t xml:space="preserve"> </w:t>
      </w:r>
      <w:r w:rsidR="00586DBA" w:rsidRPr="00792946">
        <w:rPr>
          <w:rFonts w:ascii="Palatino Linotype" w:eastAsia="Times New Roman" w:hAnsi="Palatino Linotype" w:cs="Times New Roman"/>
          <w:sz w:val="20"/>
          <w:szCs w:val="20"/>
          <w:lang w:eastAsia="it-IT"/>
        </w:rPr>
        <w:t>la</w:t>
      </w:r>
      <w:r w:rsidRPr="00792946">
        <w:rPr>
          <w:rFonts w:ascii="Palatino Linotype" w:eastAsia="Times New Roman" w:hAnsi="Palatino Linotype" w:cs="Times New Roman"/>
          <w:sz w:val="20"/>
          <w:szCs w:val="20"/>
          <w:lang w:eastAsia="it-IT"/>
        </w:rPr>
        <w:t xml:space="preserve"> clausola </w:t>
      </w:r>
      <w:r w:rsidR="00CC5237" w:rsidRPr="00792946">
        <w:rPr>
          <w:rFonts w:ascii="Palatino Linotype" w:eastAsia="Times New Roman" w:hAnsi="Palatino Linotype" w:cs="Times New Roman"/>
          <w:sz w:val="20"/>
          <w:szCs w:val="20"/>
          <w:lang w:eastAsia="it-IT"/>
        </w:rPr>
        <w:t>escludente</w:t>
      </w:r>
      <w:r w:rsidRPr="00792946">
        <w:rPr>
          <w:rFonts w:ascii="Palatino Linotype" w:eastAsia="Times New Roman" w:hAnsi="Palatino Linotype" w:cs="Times New Roman"/>
          <w:sz w:val="20"/>
          <w:szCs w:val="20"/>
          <w:lang w:eastAsia="it-IT"/>
        </w:rPr>
        <w:t xml:space="preserve"> </w:t>
      </w:r>
      <w:r w:rsidR="00AB76C8" w:rsidRPr="00792946">
        <w:rPr>
          <w:rFonts w:ascii="Palatino Linotype" w:eastAsia="Times New Roman" w:hAnsi="Palatino Linotype" w:cs="Times New Roman"/>
          <w:sz w:val="20"/>
          <w:szCs w:val="20"/>
          <w:lang w:eastAsia="it-IT"/>
        </w:rPr>
        <w:t xml:space="preserve">può </w:t>
      </w:r>
      <w:r w:rsidR="00586DBA" w:rsidRPr="00792946">
        <w:rPr>
          <w:rFonts w:ascii="Palatino Linotype" w:eastAsia="Times New Roman" w:hAnsi="Palatino Linotype" w:cs="Times New Roman"/>
          <w:sz w:val="20"/>
          <w:szCs w:val="20"/>
          <w:lang w:eastAsia="it-IT"/>
        </w:rPr>
        <w:t>trova</w:t>
      </w:r>
      <w:r w:rsidR="00AB76C8" w:rsidRPr="00792946">
        <w:rPr>
          <w:rFonts w:ascii="Palatino Linotype" w:eastAsia="Times New Roman" w:hAnsi="Palatino Linotype" w:cs="Times New Roman"/>
          <w:sz w:val="20"/>
          <w:szCs w:val="20"/>
          <w:lang w:eastAsia="it-IT"/>
        </w:rPr>
        <w:t>re</w:t>
      </w:r>
      <w:r w:rsidR="00E24C1F" w:rsidRPr="00792946">
        <w:rPr>
          <w:rFonts w:ascii="Palatino Linotype" w:eastAsia="Times New Roman" w:hAnsi="Palatino Linotype" w:cs="Times New Roman"/>
          <w:sz w:val="20"/>
          <w:szCs w:val="20"/>
          <w:lang w:eastAsia="it-IT"/>
        </w:rPr>
        <w:t xml:space="preserve"> fondamento n</w:t>
      </w:r>
      <w:r w:rsidRPr="00792946">
        <w:rPr>
          <w:rFonts w:ascii="Palatino Linotype" w:eastAsia="Times New Roman" w:hAnsi="Palatino Linotype" w:cs="Times New Roman"/>
          <w:sz w:val="20"/>
          <w:szCs w:val="20"/>
          <w:lang w:eastAsia="it-IT"/>
        </w:rPr>
        <w:t xml:space="preserve">ell’art. 83, comma 8, </w:t>
      </w:r>
      <w:r w:rsidR="00540609" w:rsidRPr="00792946">
        <w:rPr>
          <w:rFonts w:ascii="Palatino Linotype" w:eastAsia="Times New Roman" w:hAnsi="Palatino Linotype" w:cs="Times New Roman"/>
          <w:sz w:val="20"/>
          <w:szCs w:val="20"/>
          <w:lang w:eastAsia="it-IT"/>
        </w:rPr>
        <w:t>s</w:t>
      </w:r>
      <w:r w:rsidRPr="00792946">
        <w:rPr>
          <w:rFonts w:ascii="Palatino Linotype" w:eastAsia="Times New Roman" w:hAnsi="Palatino Linotype" w:cs="Times New Roman"/>
          <w:sz w:val="20"/>
          <w:szCs w:val="20"/>
          <w:lang w:eastAsia="it-IT"/>
        </w:rPr>
        <w:t>e</w:t>
      </w:r>
      <w:r w:rsidR="00540609" w:rsidRPr="00792946">
        <w:rPr>
          <w:rFonts w:ascii="Palatino Linotype" w:eastAsia="Times New Roman" w:hAnsi="Palatino Linotype" w:cs="Times New Roman"/>
          <w:sz w:val="20"/>
          <w:szCs w:val="20"/>
          <w:lang w:eastAsia="it-IT"/>
        </w:rPr>
        <w:t>condo cui</w:t>
      </w:r>
      <w:r w:rsidRPr="00792946">
        <w:rPr>
          <w:rFonts w:ascii="Palatino Linotype" w:eastAsia="Times New Roman" w:hAnsi="Palatino Linotype" w:cs="Times New Roman"/>
          <w:sz w:val="20"/>
          <w:szCs w:val="20"/>
          <w:lang w:eastAsia="it-IT"/>
        </w:rPr>
        <w:t xml:space="preserve"> </w:t>
      </w:r>
      <w:r w:rsidR="00E24C1F"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iCs/>
          <w:sz w:val="20"/>
          <w:szCs w:val="20"/>
          <w:lang w:eastAsia="it-IT"/>
        </w:rPr>
        <w:t>le stazioni appaltanti indicano le condizioni di partecipazione richieste, che possono essere espresse come livelli minimi di capacità</w:t>
      </w:r>
      <w:r w:rsidR="00E24C1F" w:rsidRPr="00792946">
        <w:rPr>
          <w:rFonts w:ascii="Palatino Linotype" w:eastAsia="Times New Roman" w:hAnsi="Palatino Linotype" w:cs="Times New Roman"/>
          <w:sz w:val="20"/>
          <w:szCs w:val="20"/>
          <w:lang w:eastAsia="it-IT"/>
        </w:rPr>
        <w:t xml:space="preserve">”, </w:t>
      </w:r>
      <w:r w:rsidR="00CC5237" w:rsidRPr="00792946">
        <w:rPr>
          <w:rFonts w:ascii="Palatino Linotype" w:eastAsia="Times New Roman" w:hAnsi="Palatino Linotype" w:cs="Times New Roman"/>
          <w:sz w:val="20"/>
          <w:szCs w:val="20"/>
          <w:lang w:eastAsia="it-IT"/>
        </w:rPr>
        <w:t>risolve</w:t>
      </w:r>
      <w:r w:rsidR="00E24C1F" w:rsidRPr="00792946">
        <w:rPr>
          <w:rFonts w:ascii="Palatino Linotype" w:eastAsia="Times New Roman" w:hAnsi="Palatino Linotype" w:cs="Times New Roman"/>
          <w:sz w:val="20"/>
          <w:szCs w:val="20"/>
          <w:lang w:eastAsia="it-IT"/>
        </w:rPr>
        <w:t>ndosi</w:t>
      </w:r>
      <w:r w:rsidR="00540609" w:rsidRPr="00792946">
        <w:rPr>
          <w:rFonts w:ascii="Palatino Linotype" w:eastAsia="Times New Roman" w:hAnsi="Palatino Linotype" w:cs="Times New Roman"/>
          <w:sz w:val="20"/>
          <w:szCs w:val="20"/>
          <w:lang w:eastAsia="it-IT"/>
        </w:rPr>
        <w:t>, per contro,</w:t>
      </w:r>
      <w:r w:rsidR="00E24C1F" w:rsidRPr="00792946">
        <w:rPr>
          <w:rFonts w:ascii="Palatino Linotype" w:eastAsia="Times New Roman" w:hAnsi="Palatino Linotype" w:cs="Times New Roman"/>
          <w:sz w:val="20"/>
          <w:szCs w:val="20"/>
          <w:lang w:eastAsia="it-IT"/>
        </w:rPr>
        <w:t xml:space="preserve"> i</w:t>
      </w:r>
      <w:r w:rsidR="00CC5237" w:rsidRPr="00792946">
        <w:rPr>
          <w:rFonts w:ascii="Palatino Linotype" w:eastAsia="Times New Roman" w:hAnsi="Palatino Linotype" w:cs="Times New Roman"/>
          <w:sz w:val="20"/>
          <w:szCs w:val="20"/>
          <w:lang w:eastAsia="it-IT"/>
        </w:rPr>
        <w:t>n</w:t>
      </w:r>
      <w:r w:rsidR="00E24C1F" w:rsidRPr="00792946">
        <w:rPr>
          <w:rFonts w:ascii="Palatino Linotype" w:eastAsia="Times New Roman" w:hAnsi="Palatino Linotype" w:cs="Times New Roman"/>
          <w:sz w:val="20"/>
          <w:szCs w:val="20"/>
          <w:lang w:eastAsia="it-IT"/>
        </w:rPr>
        <w:t xml:space="preserve"> un </w:t>
      </w:r>
      <w:r w:rsidRPr="00792946">
        <w:rPr>
          <w:rFonts w:ascii="Palatino Linotype" w:eastAsia="Times New Roman" w:hAnsi="Palatino Linotype" w:cs="Times New Roman"/>
          <w:sz w:val="20"/>
          <w:szCs w:val="20"/>
          <w:lang w:eastAsia="it-IT"/>
        </w:rPr>
        <w:t>adempiment</w:t>
      </w:r>
      <w:r w:rsidR="00E24C1F" w:rsidRPr="00792946">
        <w:rPr>
          <w:rFonts w:ascii="Palatino Linotype" w:eastAsia="Times New Roman" w:hAnsi="Palatino Linotype" w:cs="Times New Roman"/>
          <w:sz w:val="20"/>
          <w:szCs w:val="20"/>
          <w:lang w:eastAsia="it-IT"/>
        </w:rPr>
        <w:t>o</w:t>
      </w:r>
      <w:r w:rsidRPr="00792946">
        <w:rPr>
          <w:rFonts w:ascii="Palatino Linotype" w:eastAsia="Times New Roman" w:hAnsi="Palatino Linotype" w:cs="Times New Roman"/>
          <w:sz w:val="20"/>
          <w:szCs w:val="20"/>
          <w:lang w:eastAsia="it-IT"/>
        </w:rPr>
        <w:t xml:space="preserve"> che </w:t>
      </w:r>
      <w:r w:rsidR="00CC5237" w:rsidRPr="00792946">
        <w:rPr>
          <w:rFonts w:ascii="Palatino Linotype" w:eastAsia="Times New Roman" w:hAnsi="Palatino Linotype" w:cs="Times New Roman"/>
          <w:sz w:val="20"/>
          <w:szCs w:val="20"/>
          <w:lang w:eastAsia="it-IT"/>
        </w:rPr>
        <w:t xml:space="preserve">ostacola </w:t>
      </w:r>
      <w:r w:rsidRPr="00792946">
        <w:rPr>
          <w:rFonts w:ascii="Palatino Linotype" w:eastAsia="Times New Roman" w:hAnsi="Palatino Linotype" w:cs="Times New Roman"/>
          <w:sz w:val="20"/>
          <w:szCs w:val="20"/>
          <w:lang w:eastAsia="it-IT"/>
        </w:rPr>
        <w:t xml:space="preserve">in modo generalizzato la partecipazione alla gara, </w:t>
      </w:r>
      <w:r w:rsidR="00CC5237" w:rsidRPr="00792946">
        <w:rPr>
          <w:rFonts w:ascii="Palatino Linotype" w:eastAsia="Times New Roman" w:hAnsi="Palatino Linotype" w:cs="Times New Roman"/>
          <w:sz w:val="20"/>
          <w:szCs w:val="20"/>
          <w:lang w:eastAsia="it-IT"/>
        </w:rPr>
        <w:t>in as</w:t>
      </w:r>
      <w:r w:rsidRPr="00792946">
        <w:rPr>
          <w:rFonts w:ascii="Palatino Linotype" w:eastAsia="Times New Roman" w:hAnsi="Palatino Linotype" w:cs="Times New Roman"/>
          <w:sz w:val="20"/>
          <w:szCs w:val="20"/>
          <w:lang w:eastAsia="it-IT"/>
        </w:rPr>
        <w:t xml:space="preserve">senza </w:t>
      </w:r>
      <w:r w:rsidR="00CC5237" w:rsidRPr="00792946">
        <w:rPr>
          <w:rFonts w:ascii="Palatino Linotype" w:eastAsia="Times New Roman" w:hAnsi="Palatino Linotype" w:cs="Times New Roman"/>
          <w:sz w:val="20"/>
          <w:szCs w:val="20"/>
          <w:lang w:eastAsia="it-IT"/>
        </w:rPr>
        <w:t xml:space="preserve">di </w:t>
      </w:r>
      <w:r w:rsidRPr="00792946">
        <w:rPr>
          <w:rFonts w:ascii="Palatino Linotype" w:eastAsia="Times New Roman" w:hAnsi="Palatino Linotype" w:cs="Times New Roman"/>
          <w:sz w:val="20"/>
          <w:szCs w:val="20"/>
          <w:lang w:eastAsia="it-IT"/>
        </w:rPr>
        <w:t>copertura normativa e</w:t>
      </w:r>
      <w:r w:rsidR="00E24C1F" w:rsidRPr="00792946">
        <w:rPr>
          <w:rFonts w:ascii="Palatino Linotype" w:eastAsia="Times New Roman" w:hAnsi="Palatino Linotype" w:cs="Times New Roman"/>
          <w:sz w:val="20"/>
          <w:szCs w:val="20"/>
          <w:lang w:eastAsia="it-IT"/>
        </w:rPr>
        <w:t>d</w:t>
      </w:r>
      <w:r w:rsidRPr="00792946">
        <w:rPr>
          <w:rFonts w:ascii="Palatino Linotype" w:eastAsia="Times New Roman" w:hAnsi="Palatino Linotype" w:cs="Times New Roman"/>
          <w:sz w:val="20"/>
          <w:szCs w:val="20"/>
          <w:lang w:eastAsia="it-IT"/>
        </w:rPr>
        <w:t xml:space="preserve"> in violazione del principio d</w:t>
      </w:r>
      <w:r w:rsidR="00540609" w:rsidRPr="00792946">
        <w:rPr>
          <w:rFonts w:ascii="Palatino Linotype" w:eastAsia="Times New Roman" w:hAnsi="Palatino Linotype" w:cs="Times New Roman"/>
          <w:sz w:val="20"/>
          <w:szCs w:val="20"/>
          <w:lang w:eastAsia="it-IT"/>
        </w:rPr>
        <w:t>i</w:t>
      </w:r>
      <w:r w:rsidRPr="00792946">
        <w:rPr>
          <w:rFonts w:ascii="Palatino Linotype" w:eastAsia="Times New Roman" w:hAnsi="Palatino Linotype" w:cs="Times New Roman"/>
          <w:sz w:val="20"/>
          <w:szCs w:val="20"/>
          <w:lang w:eastAsia="it-IT"/>
        </w:rPr>
        <w:t xml:space="preserve"> concorrenza.</w:t>
      </w:r>
    </w:p>
    <w:p w14:paraId="107218E2" w14:textId="77777777" w:rsidR="006E616D" w:rsidRPr="00792946" w:rsidRDefault="00E24C1F"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L</w:t>
      </w:r>
      <w:r w:rsidR="006E616D" w:rsidRPr="00792946">
        <w:rPr>
          <w:rFonts w:ascii="Palatino Linotype" w:eastAsia="Times New Roman" w:hAnsi="Palatino Linotype" w:cs="Times New Roman"/>
          <w:sz w:val="20"/>
          <w:szCs w:val="20"/>
          <w:lang w:eastAsia="it-IT"/>
        </w:rPr>
        <w:t xml:space="preserve">a </w:t>
      </w:r>
      <w:r w:rsidR="00CC5237" w:rsidRPr="00792946">
        <w:rPr>
          <w:rFonts w:ascii="Palatino Linotype" w:eastAsia="Times New Roman" w:hAnsi="Palatino Linotype" w:cs="Times New Roman"/>
          <w:sz w:val="20"/>
          <w:szCs w:val="20"/>
          <w:lang w:eastAsia="it-IT"/>
        </w:rPr>
        <w:t>previsione</w:t>
      </w:r>
      <w:r w:rsidR="00AB76C8" w:rsidRPr="00792946">
        <w:rPr>
          <w:rFonts w:ascii="Palatino Linotype" w:eastAsia="Times New Roman" w:hAnsi="Palatino Linotype" w:cs="Times New Roman"/>
          <w:sz w:val="20"/>
          <w:szCs w:val="20"/>
          <w:lang w:eastAsia="it-IT"/>
        </w:rPr>
        <w:t xml:space="preserve"> </w:t>
      </w:r>
      <w:r w:rsidR="00540609" w:rsidRPr="00792946">
        <w:rPr>
          <w:rFonts w:ascii="Palatino Linotype" w:eastAsia="Times New Roman" w:hAnsi="Palatino Linotype" w:cs="Times New Roman"/>
          <w:sz w:val="20"/>
          <w:szCs w:val="20"/>
          <w:lang w:eastAsia="it-IT"/>
        </w:rPr>
        <w:t xml:space="preserve">è dunque </w:t>
      </w:r>
      <w:r w:rsidR="006E616D" w:rsidRPr="00792946">
        <w:rPr>
          <w:rFonts w:ascii="Palatino Linotype" w:eastAsia="Times New Roman" w:hAnsi="Palatino Linotype" w:cs="Times New Roman"/>
          <w:sz w:val="20"/>
          <w:szCs w:val="20"/>
          <w:lang w:eastAsia="it-IT"/>
        </w:rPr>
        <w:t>nulla</w:t>
      </w:r>
      <w:r w:rsidR="00AB76C8" w:rsidRPr="00792946">
        <w:rPr>
          <w:rFonts w:ascii="Palatino Linotype" w:eastAsia="Times New Roman" w:hAnsi="Palatino Linotype" w:cs="Times New Roman"/>
          <w:sz w:val="20"/>
          <w:szCs w:val="20"/>
          <w:lang w:eastAsia="it-IT"/>
        </w:rPr>
        <w:t>,</w:t>
      </w:r>
      <w:r w:rsidR="006E616D" w:rsidRPr="00792946">
        <w:rPr>
          <w:rFonts w:ascii="Palatino Linotype" w:eastAsia="Times New Roman" w:hAnsi="Palatino Linotype" w:cs="Times New Roman"/>
          <w:sz w:val="20"/>
          <w:szCs w:val="20"/>
          <w:lang w:eastAsia="it-IT"/>
        </w:rPr>
        <w:t xml:space="preserve"> ai sensi dell’art</w:t>
      </w:r>
      <w:r w:rsidR="001D0F4F" w:rsidRPr="00792946">
        <w:rPr>
          <w:rFonts w:ascii="Palatino Linotype" w:eastAsia="Times New Roman" w:hAnsi="Palatino Linotype" w:cs="Times New Roman"/>
          <w:sz w:val="20"/>
          <w:szCs w:val="20"/>
          <w:lang w:eastAsia="it-IT"/>
        </w:rPr>
        <w:t>.</w:t>
      </w:r>
      <w:r w:rsidR="006E616D" w:rsidRPr="00792946">
        <w:rPr>
          <w:rFonts w:ascii="Palatino Linotype" w:eastAsia="Times New Roman" w:hAnsi="Palatino Linotype" w:cs="Times New Roman"/>
          <w:sz w:val="20"/>
          <w:szCs w:val="20"/>
          <w:lang w:eastAsia="it-IT"/>
        </w:rPr>
        <w:t xml:space="preserve"> 83, comma 8, ultimo periodo, che </w:t>
      </w:r>
      <w:r w:rsidR="00540609" w:rsidRPr="00792946">
        <w:rPr>
          <w:rFonts w:ascii="Palatino Linotype" w:eastAsia="Times New Roman" w:hAnsi="Palatino Linotype" w:cs="Times New Roman"/>
          <w:sz w:val="20"/>
          <w:szCs w:val="20"/>
          <w:lang w:eastAsia="it-IT"/>
        </w:rPr>
        <w:t>d</w:t>
      </w:r>
      <w:r w:rsidR="001D0F4F" w:rsidRPr="00792946">
        <w:rPr>
          <w:rFonts w:ascii="Palatino Linotype" w:eastAsia="Times New Roman" w:hAnsi="Palatino Linotype" w:cs="Times New Roman"/>
          <w:sz w:val="20"/>
          <w:szCs w:val="20"/>
          <w:lang w:eastAsia="it-IT"/>
        </w:rPr>
        <w:t>e</w:t>
      </w:r>
      <w:r w:rsidR="00540609" w:rsidRPr="00792946">
        <w:rPr>
          <w:rFonts w:ascii="Palatino Linotype" w:eastAsia="Times New Roman" w:hAnsi="Palatino Linotype" w:cs="Times New Roman"/>
          <w:sz w:val="20"/>
          <w:szCs w:val="20"/>
          <w:lang w:eastAsia="it-IT"/>
        </w:rPr>
        <w:t>tta</w:t>
      </w:r>
      <w:r w:rsidR="006E616D" w:rsidRPr="00792946">
        <w:rPr>
          <w:rFonts w:ascii="Palatino Linotype" w:eastAsia="Times New Roman" w:hAnsi="Palatino Linotype" w:cs="Times New Roman"/>
          <w:sz w:val="20"/>
          <w:szCs w:val="20"/>
          <w:lang w:eastAsia="it-IT"/>
        </w:rPr>
        <w:t xml:space="preserve"> il principio di tassatività delle cause di esclusione, prescrivendo che </w:t>
      </w:r>
      <w:r w:rsidR="00F72D77" w:rsidRPr="00792946">
        <w:rPr>
          <w:rFonts w:ascii="Palatino Linotype" w:eastAsia="Times New Roman" w:hAnsi="Palatino Linotype" w:cs="Times New Roman"/>
          <w:sz w:val="20"/>
          <w:szCs w:val="20"/>
          <w:lang w:eastAsia="it-IT"/>
        </w:rPr>
        <w:t xml:space="preserve">le clausole atipiche </w:t>
      </w:r>
      <w:r w:rsidR="00CC5237" w:rsidRPr="00792946">
        <w:rPr>
          <w:rFonts w:ascii="Palatino Linotype" w:eastAsia="Times New Roman" w:hAnsi="Palatino Linotype" w:cs="Times New Roman"/>
          <w:sz w:val="20"/>
          <w:szCs w:val="20"/>
          <w:lang w:eastAsia="it-IT"/>
        </w:rPr>
        <w:t>“</w:t>
      </w:r>
      <w:r w:rsidR="006E616D" w:rsidRPr="00792946">
        <w:rPr>
          <w:rFonts w:ascii="Palatino Linotype" w:eastAsia="Times New Roman" w:hAnsi="Palatino Linotype" w:cs="Times New Roman"/>
          <w:iCs/>
          <w:sz w:val="20"/>
          <w:szCs w:val="20"/>
          <w:lang w:eastAsia="it-IT"/>
        </w:rPr>
        <w:t>sono comunque nulle</w:t>
      </w:r>
      <w:r w:rsidR="00CC5237" w:rsidRPr="00792946">
        <w:rPr>
          <w:rFonts w:ascii="Palatino Linotype" w:eastAsia="Times New Roman" w:hAnsi="Palatino Linotype" w:cs="Times New Roman"/>
          <w:sz w:val="20"/>
          <w:szCs w:val="20"/>
          <w:lang w:eastAsia="it-IT"/>
        </w:rPr>
        <w:t>”</w:t>
      </w:r>
      <w:r w:rsidR="006E616D" w:rsidRPr="00792946">
        <w:rPr>
          <w:rFonts w:ascii="Palatino Linotype" w:eastAsia="Times New Roman" w:hAnsi="Palatino Linotype" w:cs="Times New Roman"/>
          <w:sz w:val="20"/>
          <w:szCs w:val="20"/>
          <w:lang w:eastAsia="it-IT"/>
        </w:rPr>
        <w:t>.</w:t>
      </w:r>
    </w:p>
    <w:p w14:paraId="043147C8" w14:textId="77777777" w:rsidR="001D0F4F" w:rsidRPr="00792946" w:rsidRDefault="007D603C"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iCs/>
          <w:sz w:val="20"/>
          <w:szCs w:val="20"/>
          <w:lang w:eastAsia="it-IT"/>
        </w:rPr>
        <w:t>Trattandosi di</w:t>
      </w:r>
      <w:r w:rsidR="006E616D" w:rsidRPr="00792946">
        <w:rPr>
          <w:rFonts w:ascii="Palatino Linotype" w:eastAsia="Times New Roman" w:hAnsi="Palatino Linotype" w:cs="Times New Roman"/>
          <w:sz w:val="20"/>
          <w:szCs w:val="20"/>
          <w:lang w:eastAsia="it-IT"/>
        </w:rPr>
        <w:t xml:space="preserve"> nullità parziale</w:t>
      </w:r>
      <w:r w:rsidR="00540609" w:rsidRPr="00792946">
        <w:rPr>
          <w:rFonts w:ascii="Palatino Linotype" w:eastAsia="Times New Roman" w:hAnsi="Palatino Linotype" w:cs="Times New Roman"/>
          <w:sz w:val="20"/>
          <w:szCs w:val="20"/>
          <w:lang w:eastAsia="it-IT"/>
        </w:rPr>
        <w:t xml:space="preserve"> –</w:t>
      </w:r>
      <w:r w:rsidR="006E616D" w:rsidRPr="00792946">
        <w:rPr>
          <w:rFonts w:ascii="Palatino Linotype" w:eastAsia="Times New Roman" w:hAnsi="Palatino Linotype" w:cs="Times New Roman"/>
          <w:sz w:val="20"/>
          <w:szCs w:val="20"/>
          <w:lang w:eastAsia="it-IT"/>
        </w:rPr>
        <w:t xml:space="preserve"> limitata </w:t>
      </w:r>
      <w:r w:rsidR="001D0F4F" w:rsidRPr="00792946">
        <w:rPr>
          <w:rFonts w:ascii="Palatino Linotype" w:eastAsia="Times New Roman" w:hAnsi="Palatino Linotype" w:cs="Times New Roman"/>
          <w:sz w:val="20"/>
          <w:szCs w:val="20"/>
          <w:lang w:eastAsia="it-IT"/>
        </w:rPr>
        <w:t xml:space="preserve">cioè </w:t>
      </w:r>
      <w:r w:rsidR="006E616D" w:rsidRPr="00792946">
        <w:rPr>
          <w:rFonts w:ascii="Palatino Linotype" w:eastAsia="Times New Roman" w:hAnsi="Palatino Linotype" w:cs="Times New Roman"/>
          <w:sz w:val="20"/>
          <w:szCs w:val="20"/>
          <w:lang w:eastAsia="it-IT"/>
        </w:rPr>
        <w:t xml:space="preserve">alla </w:t>
      </w:r>
      <w:r w:rsidR="00FD4802" w:rsidRPr="00792946">
        <w:rPr>
          <w:rFonts w:ascii="Palatino Linotype" w:eastAsia="Times New Roman" w:hAnsi="Palatino Linotype" w:cs="Times New Roman"/>
          <w:sz w:val="20"/>
          <w:szCs w:val="20"/>
          <w:lang w:eastAsia="it-IT"/>
        </w:rPr>
        <w:t xml:space="preserve">singola </w:t>
      </w:r>
      <w:r w:rsidR="006E616D" w:rsidRPr="00792946">
        <w:rPr>
          <w:rFonts w:ascii="Palatino Linotype" w:eastAsia="Times New Roman" w:hAnsi="Palatino Linotype" w:cs="Times New Roman"/>
          <w:sz w:val="20"/>
          <w:szCs w:val="20"/>
          <w:lang w:eastAsia="it-IT"/>
        </w:rPr>
        <w:t>clausola</w:t>
      </w:r>
      <w:r w:rsidR="00FD4802" w:rsidRPr="00792946">
        <w:rPr>
          <w:rFonts w:ascii="Palatino Linotype" w:eastAsia="Times New Roman" w:hAnsi="Palatino Linotype" w:cs="Times New Roman"/>
          <w:sz w:val="20"/>
          <w:szCs w:val="20"/>
          <w:lang w:eastAsia="it-IT"/>
        </w:rPr>
        <w:t xml:space="preserve"> </w:t>
      </w:r>
      <w:r w:rsidR="006E616D" w:rsidRPr="00792946">
        <w:rPr>
          <w:rFonts w:ascii="Palatino Linotype" w:eastAsia="Times New Roman" w:hAnsi="Palatino Linotype" w:cs="Times New Roman"/>
          <w:sz w:val="20"/>
          <w:szCs w:val="20"/>
          <w:lang w:eastAsia="it-IT"/>
        </w:rPr>
        <w:t>e non este</w:t>
      </w:r>
      <w:r w:rsidRPr="00792946">
        <w:rPr>
          <w:rFonts w:ascii="Palatino Linotype" w:eastAsia="Times New Roman" w:hAnsi="Palatino Linotype" w:cs="Times New Roman"/>
          <w:sz w:val="20"/>
          <w:szCs w:val="20"/>
          <w:lang w:eastAsia="it-IT"/>
        </w:rPr>
        <w:t>sa</w:t>
      </w:r>
      <w:r w:rsidR="006E616D" w:rsidRPr="00792946">
        <w:rPr>
          <w:rFonts w:ascii="Palatino Linotype" w:eastAsia="Times New Roman" w:hAnsi="Palatino Linotype" w:cs="Times New Roman"/>
          <w:sz w:val="20"/>
          <w:szCs w:val="20"/>
          <w:lang w:eastAsia="it-IT"/>
        </w:rPr>
        <w:t xml:space="preserve"> all’</w:t>
      </w:r>
      <w:r w:rsidRPr="00792946">
        <w:rPr>
          <w:rFonts w:ascii="Palatino Linotype" w:eastAsia="Times New Roman" w:hAnsi="Palatino Linotype" w:cs="Times New Roman"/>
          <w:sz w:val="20"/>
          <w:szCs w:val="20"/>
          <w:lang w:eastAsia="it-IT"/>
        </w:rPr>
        <w:t>intero bando o disciplinare</w:t>
      </w:r>
      <w:r w:rsidR="006E616D"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w:t>
      </w:r>
      <w:r w:rsidR="006E616D" w:rsidRPr="00792946">
        <w:rPr>
          <w:rFonts w:ascii="Palatino Linotype" w:eastAsia="Times New Roman" w:hAnsi="Palatino Linotype" w:cs="Times New Roman"/>
          <w:sz w:val="20"/>
          <w:szCs w:val="20"/>
          <w:lang w:eastAsia="it-IT"/>
        </w:rPr>
        <w:t>il qua</w:t>
      </w:r>
      <w:r w:rsidR="001D0F4F" w:rsidRPr="00792946">
        <w:rPr>
          <w:rFonts w:ascii="Palatino Linotype" w:eastAsia="Times New Roman" w:hAnsi="Palatino Linotype" w:cs="Times New Roman"/>
          <w:sz w:val="20"/>
          <w:szCs w:val="20"/>
          <w:lang w:eastAsia="it-IT"/>
        </w:rPr>
        <w:t>le conserva</w:t>
      </w:r>
      <w:r w:rsidRPr="00792946">
        <w:rPr>
          <w:rFonts w:ascii="Palatino Linotype" w:eastAsia="Times New Roman" w:hAnsi="Palatino Linotype" w:cs="Times New Roman"/>
          <w:sz w:val="20"/>
          <w:szCs w:val="20"/>
          <w:lang w:eastAsia="it-IT"/>
        </w:rPr>
        <w:t>, nel resto,</w:t>
      </w:r>
      <w:r w:rsidR="001D0F4F" w:rsidRPr="00792946">
        <w:rPr>
          <w:rFonts w:ascii="Palatino Linotype" w:eastAsia="Times New Roman" w:hAnsi="Palatino Linotype" w:cs="Times New Roman"/>
          <w:sz w:val="20"/>
          <w:szCs w:val="20"/>
          <w:lang w:eastAsia="it-IT"/>
        </w:rPr>
        <w:t xml:space="preserve"> natura autoritativa</w:t>
      </w:r>
      <w:r w:rsidRPr="00792946">
        <w:rPr>
          <w:rFonts w:ascii="Palatino Linotype" w:eastAsia="Times New Roman" w:hAnsi="Palatino Linotype" w:cs="Times New Roman"/>
          <w:sz w:val="20"/>
          <w:szCs w:val="20"/>
          <w:lang w:eastAsia="it-IT"/>
        </w:rPr>
        <w:t>)</w:t>
      </w:r>
      <w:r w:rsidR="00540609" w:rsidRPr="00792946">
        <w:rPr>
          <w:rFonts w:ascii="Palatino Linotype" w:eastAsia="Times New Roman" w:hAnsi="Palatino Linotype" w:cs="Times New Roman"/>
          <w:sz w:val="20"/>
          <w:szCs w:val="20"/>
          <w:lang w:eastAsia="it-IT"/>
        </w:rPr>
        <w:t xml:space="preserve"> –</w:t>
      </w:r>
      <w:r w:rsidR="001D0F4F" w:rsidRPr="00792946">
        <w:rPr>
          <w:rFonts w:ascii="Palatino Linotype" w:eastAsia="Times New Roman" w:hAnsi="Palatino Linotype" w:cs="Times New Roman"/>
          <w:sz w:val="20"/>
          <w:szCs w:val="20"/>
          <w:lang w:eastAsia="it-IT"/>
        </w:rPr>
        <w:t>, l</w:t>
      </w:r>
      <w:r w:rsidR="006E616D" w:rsidRPr="00792946">
        <w:rPr>
          <w:rFonts w:ascii="Palatino Linotype" w:eastAsia="Times New Roman" w:hAnsi="Palatino Linotype" w:cs="Times New Roman"/>
          <w:sz w:val="20"/>
          <w:szCs w:val="20"/>
          <w:lang w:eastAsia="it-IT"/>
        </w:rPr>
        <w:t xml:space="preserve">’impresa </w:t>
      </w:r>
      <w:r w:rsidR="00C76A92" w:rsidRPr="00792946">
        <w:rPr>
          <w:rFonts w:ascii="Palatino Linotype" w:eastAsia="Times New Roman" w:hAnsi="Palatino Linotype" w:cs="Times New Roman"/>
          <w:sz w:val="20"/>
          <w:szCs w:val="20"/>
          <w:lang w:eastAsia="it-IT"/>
        </w:rPr>
        <w:t xml:space="preserve">è affrancata dall’onere </w:t>
      </w:r>
      <w:r w:rsidR="006E616D" w:rsidRPr="00792946">
        <w:rPr>
          <w:rFonts w:ascii="Palatino Linotype" w:eastAsia="Times New Roman" w:hAnsi="Palatino Linotype" w:cs="Times New Roman"/>
          <w:sz w:val="20"/>
          <w:szCs w:val="20"/>
          <w:lang w:eastAsia="it-IT"/>
        </w:rPr>
        <w:t>di proporre ricorso</w:t>
      </w:r>
      <w:r w:rsidR="00AB76C8" w:rsidRPr="00792946">
        <w:rPr>
          <w:rFonts w:ascii="Palatino Linotype" w:eastAsia="Times New Roman" w:hAnsi="Palatino Linotype" w:cs="Times New Roman"/>
          <w:sz w:val="20"/>
          <w:szCs w:val="20"/>
          <w:lang w:eastAsia="it-IT"/>
        </w:rPr>
        <w:t xml:space="preserve"> contro</w:t>
      </w:r>
      <w:r w:rsidR="006E616D"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 xml:space="preserve">la stessa, </w:t>
      </w:r>
      <w:r w:rsidR="00AB76C8" w:rsidRPr="00792946">
        <w:rPr>
          <w:rFonts w:ascii="Palatino Linotype" w:eastAsia="Times New Roman" w:hAnsi="Palatino Linotype" w:cs="Times New Roman"/>
          <w:sz w:val="20"/>
          <w:szCs w:val="20"/>
          <w:lang w:eastAsia="it-IT"/>
        </w:rPr>
        <w:t>gi</w:t>
      </w:r>
      <w:r w:rsidRPr="00792946">
        <w:rPr>
          <w:rFonts w:ascii="Palatino Linotype" w:eastAsia="Times New Roman" w:hAnsi="Palatino Linotype" w:cs="Times New Roman"/>
          <w:sz w:val="20"/>
          <w:szCs w:val="20"/>
          <w:lang w:eastAsia="it-IT"/>
        </w:rPr>
        <w:t>acché</w:t>
      </w:r>
      <w:r w:rsidR="00AB76C8" w:rsidRPr="00792946">
        <w:rPr>
          <w:rFonts w:ascii="Palatino Linotype" w:eastAsia="Times New Roman" w:hAnsi="Palatino Linotype" w:cs="Times New Roman"/>
          <w:sz w:val="20"/>
          <w:szCs w:val="20"/>
          <w:lang w:eastAsia="it-IT"/>
        </w:rPr>
        <w:t xml:space="preserve">, in quanto </w:t>
      </w:r>
      <w:r w:rsidR="006E616D" w:rsidRPr="00792946">
        <w:rPr>
          <w:rFonts w:ascii="Palatino Linotype" w:eastAsia="Times New Roman" w:hAnsi="Palatino Linotype" w:cs="Times New Roman"/>
          <w:sz w:val="20"/>
          <w:szCs w:val="20"/>
          <w:lang w:eastAsia="it-IT"/>
        </w:rPr>
        <w:t>inefficace e</w:t>
      </w:r>
      <w:r w:rsidR="00E24C1F" w:rsidRPr="00792946">
        <w:rPr>
          <w:rFonts w:ascii="Palatino Linotype" w:eastAsia="Times New Roman" w:hAnsi="Palatino Linotype" w:cs="Times New Roman"/>
          <w:sz w:val="20"/>
          <w:szCs w:val="20"/>
          <w:lang w:eastAsia="it-IT"/>
        </w:rPr>
        <w:t>d</w:t>
      </w:r>
      <w:r w:rsidR="006E616D" w:rsidRPr="00792946">
        <w:rPr>
          <w:rFonts w:ascii="Palatino Linotype" w:eastAsia="Times New Roman" w:hAnsi="Palatino Linotype" w:cs="Times New Roman"/>
          <w:sz w:val="20"/>
          <w:szCs w:val="20"/>
          <w:lang w:eastAsia="it-IT"/>
        </w:rPr>
        <w:t xml:space="preserve"> improduttiva di effetti</w:t>
      </w:r>
      <w:r w:rsidR="00E24C1F" w:rsidRPr="00792946">
        <w:rPr>
          <w:rFonts w:ascii="Palatino Linotype" w:eastAsia="Times New Roman" w:hAnsi="Palatino Linotype" w:cs="Times New Roman"/>
          <w:sz w:val="20"/>
          <w:szCs w:val="20"/>
          <w:lang w:eastAsia="it-IT"/>
        </w:rPr>
        <w:t>,</w:t>
      </w:r>
      <w:r w:rsidR="006E616D"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 xml:space="preserve">deve intendersi </w:t>
      </w:r>
      <w:r w:rsidR="006E616D" w:rsidRPr="00792946">
        <w:rPr>
          <w:rFonts w:ascii="Palatino Linotype" w:eastAsia="Times New Roman" w:hAnsi="Palatino Linotype" w:cs="Times New Roman"/>
          <w:sz w:val="20"/>
          <w:szCs w:val="20"/>
          <w:lang w:eastAsia="it-IT"/>
        </w:rPr>
        <w:t>come ‘non apposta’.</w:t>
      </w:r>
    </w:p>
    <w:p w14:paraId="719B878A" w14:textId="77777777" w:rsidR="006E616D" w:rsidRPr="00792946" w:rsidRDefault="006E616D"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N</w:t>
      </w:r>
      <w:r w:rsidR="00E24C1F" w:rsidRPr="00792946">
        <w:rPr>
          <w:rFonts w:ascii="Palatino Linotype" w:eastAsia="Times New Roman" w:hAnsi="Palatino Linotype" w:cs="Times New Roman"/>
          <w:sz w:val="20"/>
          <w:szCs w:val="20"/>
          <w:lang w:eastAsia="it-IT"/>
        </w:rPr>
        <w:t>on</w:t>
      </w:r>
      <w:r w:rsidR="00C76A92" w:rsidRPr="00792946">
        <w:rPr>
          <w:rFonts w:ascii="Palatino Linotype" w:eastAsia="Times New Roman" w:hAnsi="Palatino Linotype" w:cs="Times New Roman"/>
          <w:sz w:val="20"/>
          <w:szCs w:val="20"/>
          <w:lang w:eastAsia="it-IT"/>
        </w:rPr>
        <w:t xml:space="preserve"> </w:t>
      </w:r>
      <w:r w:rsidR="007D603C" w:rsidRPr="00792946">
        <w:rPr>
          <w:rFonts w:ascii="Palatino Linotype" w:eastAsia="Times New Roman" w:hAnsi="Palatino Linotype" w:cs="Times New Roman"/>
          <w:sz w:val="20"/>
          <w:szCs w:val="20"/>
          <w:lang w:eastAsia="it-IT"/>
        </w:rPr>
        <w:t>opera</w:t>
      </w:r>
      <w:r w:rsidR="00E24C1F" w:rsidRPr="00792946">
        <w:rPr>
          <w:rFonts w:ascii="Palatino Linotype" w:eastAsia="Times New Roman" w:hAnsi="Palatino Linotype" w:cs="Times New Roman"/>
          <w:sz w:val="20"/>
          <w:szCs w:val="20"/>
          <w:lang w:eastAsia="it-IT"/>
        </w:rPr>
        <w:t xml:space="preserve"> </w:t>
      </w:r>
      <w:r w:rsidR="001D0F4F" w:rsidRPr="00792946">
        <w:rPr>
          <w:rFonts w:ascii="Palatino Linotype" w:eastAsia="Times New Roman" w:hAnsi="Palatino Linotype" w:cs="Times New Roman"/>
          <w:sz w:val="20"/>
          <w:szCs w:val="20"/>
          <w:lang w:eastAsia="it-IT"/>
        </w:rPr>
        <w:t>quind</w:t>
      </w:r>
      <w:r w:rsidR="00AB76C8" w:rsidRPr="00792946">
        <w:rPr>
          <w:rFonts w:ascii="Palatino Linotype" w:eastAsia="Times New Roman" w:hAnsi="Palatino Linotype" w:cs="Times New Roman"/>
          <w:sz w:val="20"/>
          <w:szCs w:val="20"/>
          <w:lang w:eastAsia="it-IT"/>
        </w:rPr>
        <w:t>i</w:t>
      </w:r>
      <w:r w:rsidR="00E24C1F" w:rsidRPr="00792946">
        <w:rPr>
          <w:rFonts w:ascii="Palatino Linotype" w:eastAsia="Times New Roman" w:hAnsi="Palatino Linotype" w:cs="Times New Roman"/>
          <w:sz w:val="20"/>
          <w:szCs w:val="20"/>
          <w:lang w:eastAsia="it-IT"/>
        </w:rPr>
        <w:t xml:space="preserve"> il termine di 180 giorni</w:t>
      </w:r>
      <w:r w:rsidR="00AB76C8" w:rsidRPr="00792946">
        <w:rPr>
          <w:rFonts w:ascii="Palatino Linotype" w:eastAsia="Times New Roman" w:hAnsi="Palatino Linotype" w:cs="Times New Roman"/>
          <w:sz w:val="20"/>
          <w:szCs w:val="20"/>
          <w:lang w:eastAsia="it-IT"/>
        </w:rPr>
        <w:t>,</w:t>
      </w:r>
      <w:r w:rsidR="00E24C1F" w:rsidRPr="00792946">
        <w:rPr>
          <w:rFonts w:ascii="Palatino Linotype" w:eastAsia="Times New Roman" w:hAnsi="Palatino Linotype" w:cs="Times New Roman"/>
          <w:sz w:val="20"/>
          <w:szCs w:val="20"/>
          <w:lang w:eastAsia="it-IT"/>
        </w:rPr>
        <w:t xml:space="preserve"> d</w:t>
      </w:r>
      <w:r w:rsidR="007D603C" w:rsidRPr="00792946">
        <w:rPr>
          <w:rFonts w:ascii="Palatino Linotype" w:eastAsia="Times New Roman" w:hAnsi="Palatino Linotype" w:cs="Times New Roman"/>
          <w:sz w:val="20"/>
          <w:szCs w:val="20"/>
          <w:lang w:eastAsia="it-IT"/>
        </w:rPr>
        <w:t xml:space="preserve">i cui </w:t>
      </w:r>
      <w:r w:rsidR="00E24C1F" w:rsidRPr="00792946">
        <w:rPr>
          <w:rFonts w:ascii="Palatino Linotype" w:eastAsia="Times New Roman" w:hAnsi="Palatino Linotype" w:cs="Times New Roman"/>
          <w:sz w:val="20"/>
          <w:szCs w:val="20"/>
          <w:lang w:eastAsia="it-IT"/>
        </w:rPr>
        <w:t>al</w:t>
      </w:r>
      <w:r w:rsidRPr="00792946">
        <w:rPr>
          <w:rFonts w:ascii="Palatino Linotype" w:eastAsia="Times New Roman" w:hAnsi="Palatino Linotype" w:cs="Times New Roman"/>
          <w:sz w:val="20"/>
          <w:szCs w:val="20"/>
          <w:lang w:eastAsia="it-IT"/>
        </w:rPr>
        <w:t xml:space="preserve">l’art. 31 </w:t>
      </w:r>
      <w:r w:rsidR="00E24C1F" w:rsidRPr="00792946">
        <w:rPr>
          <w:rFonts w:ascii="Palatino Linotype" w:eastAsia="Times New Roman" w:hAnsi="Palatino Linotype" w:cs="Times New Roman"/>
          <w:sz w:val="20"/>
          <w:szCs w:val="20"/>
          <w:lang w:eastAsia="it-IT"/>
        </w:rPr>
        <w:t>c.p.a.</w:t>
      </w:r>
      <w:r w:rsidR="007D603C"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w:t>
      </w:r>
      <w:r w:rsidR="007D603C" w:rsidRPr="00792946">
        <w:rPr>
          <w:rFonts w:ascii="Palatino Linotype" w:eastAsia="Times New Roman" w:hAnsi="Palatino Linotype" w:cs="Times New Roman"/>
          <w:sz w:val="20"/>
          <w:szCs w:val="20"/>
          <w:lang w:eastAsia="it-IT"/>
        </w:rPr>
        <w:t>sul</w:t>
      </w:r>
      <w:r w:rsidR="00E24C1F" w:rsidRPr="00792946">
        <w:rPr>
          <w:rFonts w:ascii="Palatino Linotype" w:eastAsia="Times New Roman" w:hAnsi="Palatino Linotype" w:cs="Times New Roman"/>
          <w:sz w:val="20"/>
          <w:szCs w:val="20"/>
          <w:lang w:eastAsia="it-IT"/>
        </w:rPr>
        <w:t xml:space="preserve">l’azione </w:t>
      </w:r>
      <w:r w:rsidR="007D603C" w:rsidRPr="00792946">
        <w:rPr>
          <w:rFonts w:ascii="Palatino Linotype" w:eastAsia="Times New Roman" w:hAnsi="Palatino Linotype" w:cs="Times New Roman"/>
          <w:sz w:val="20"/>
          <w:szCs w:val="20"/>
          <w:lang w:eastAsia="it-IT"/>
        </w:rPr>
        <w:t xml:space="preserve">di </w:t>
      </w:r>
      <w:r w:rsidRPr="00792946">
        <w:rPr>
          <w:rFonts w:ascii="Palatino Linotype" w:eastAsia="Times New Roman" w:hAnsi="Palatino Linotype" w:cs="Times New Roman"/>
          <w:sz w:val="20"/>
          <w:szCs w:val="20"/>
          <w:lang w:eastAsia="it-IT"/>
        </w:rPr>
        <w:t xml:space="preserve">accertamento delle nullità previste dalla legge, </w:t>
      </w:r>
      <w:r w:rsidR="00AB76C8" w:rsidRPr="00792946">
        <w:rPr>
          <w:rFonts w:ascii="Palatino Linotype" w:eastAsia="Times New Roman" w:hAnsi="Palatino Linotype" w:cs="Times New Roman"/>
          <w:sz w:val="20"/>
          <w:szCs w:val="20"/>
          <w:lang w:eastAsia="it-IT"/>
        </w:rPr>
        <w:t>ch</w:t>
      </w:r>
      <w:r w:rsidRPr="00792946">
        <w:rPr>
          <w:rFonts w:ascii="Palatino Linotype" w:eastAsia="Times New Roman" w:hAnsi="Palatino Linotype" w:cs="Times New Roman"/>
          <w:sz w:val="20"/>
          <w:szCs w:val="20"/>
          <w:lang w:eastAsia="it-IT"/>
        </w:rPr>
        <w:t xml:space="preserve">e </w:t>
      </w:r>
      <w:r w:rsidR="007D603C" w:rsidRPr="00792946">
        <w:rPr>
          <w:rFonts w:ascii="Palatino Linotype" w:eastAsia="Times New Roman" w:hAnsi="Palatino Linotype" w:cs="Times New Roman"/>
          <w:sz w:val="20"/>
          <w:szCs w:val="20"/>
          <w:lang w:eastAsia="it-IT"/>
        </w:rPr>
        <w:t xml:space="preserve">vale </w:t>
      </w:r>
      <w:r w:rsidR="00AB76C8" w:rsidRPr="00792946">
        <w:rPr>
          <w:rFonts w:ascii="Palatino Linotype" w:eastAsia="Times New Roman" w:hAnsi="Palatino Linotype" w:cs="Times New Roman"/>
          <w:sz w:val="20"/>
          <w:szCs w:val="20"/>
          <w:lang w:eastAsia="it-IT"/>
        </w:rPr>
        <w:t xml:space="preserve">solo </w:t>
      </w:r>
      <w:r w:rsidR="001D0F4F" w:rsidRPr="00792946">
        <w:rPr>
          <w:rFonts w:ascii="Palatino Linotype" w:eastAsia="Times New Roman" w:hAnsi="Palatino Linotype" w:cs="Times New Roman"/>
          <w:sz w:val="20"/>
          <w:szCs w:val="20"/>
          <w:lang w:eastAsia="it-IT"/>
        </w:rPr>
        <w:t>ne</w:t>
      </w:r>
      <w:r w:rsidRPr="00792946">
        <w:rPr>
          <w:rFonts w:ascii="Palatino Linotype" w:eastAsia="Times New Roman" w:hAnsi="Palatino Linotype" w:cs="Times New Roman"/>
          <w:sz w:val="20"/>
          <w:szCs w:val="20"/>
          <w:lang w:eastAsia="it-IT"/>
        </w:rPr>
        <w:t xml:space="preserve">i casi </w:t>
      </w:r>
      <w:r w:rsidR="007D603C" w:rsidRPr="00792946">
        <w:rPr>
          <w:rFonts w:ascii="Palatino Linotype" w:eastAsia="Times New Roman" w:hAnsi="Palatino Linotype" w:cs="Times New Roman"/>
          <w:sz w:val="20"/>
          <w:szCs w:val="20"/>
          <w:lang w:eastAsia="it-IT"/>
        </w:rPr>
        <w:t>del</w:t>
      </w:r>
      <w:r w:rsidRPr="00792946">
        <w:rPr>
          <w:rFonts w:ascii="Palatino Linotype" w:eastAsia="Times New Roman" w:hAnsi="Palatino Linotype" w:cs="Times New Roman"/>
          <w:sz w:val="20"/>
          <w:szCs w:val="20"/>
          <w:lang w:eastAsia="it-IT"/>
        </w:rPr>
        <w:t>l’art. 21-</w:t>
      </w:r>
      <w:r w:rsidRPr="00792946">
        <w:rPr>
          <w:rFonts w:ascii="Palatino Linotype" w:eastAsia="Times New Roman" w:hAnsi="Palatino Linotype" w:cs="Times New Roman"/>
          <w:i/>
          <w:iCs/>
          <w:sz w:val="20"/>
          <w:szCs w:val="20"/>
          <w:lang w:eastAsia="it-IT"/>
        </w:rPr>
        <w:t>septies</w:t>
      </w:r>
      <w:r w:rsidRPr="00792946">
        <w:rPr>
          <w:rFonts w:ascii="Palatino Linotype" w:eastAsia="Times New Roman" w:hAnsi="Palatino Linotype" w:cs="Times New Roman"/>
          <w:sz w:val="20"/>
          <w:szCs w:val="20"/>
          <w:lang w:eastAsia="it-IT"/>
        </w:rPr>
        <w:t xml:space="preserve"> della legge n. 241</w:t>
      </w:r>
      <w:r w:rsidR="00C76A92"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1990</w:t>
      </w:r>
      <w:r w:rsidR="007D603C" w:rsidRPr="00792946">
        <w:rPr>
          <w:rFonts w:ascii="Palatino Linotype" w:eastAsia="Times New Roman" w:hAnsi="Palatino Linotype" w:cs="Times New Roman"/>
          <w:sz w:val="20"/>
          <w:szCs w:val="20"/>
          <w:lang w:eastAsia="it-IT"/>
        </w:rPr>
        <w:t xml:space="preserve">, in cui </w:t>
      </w:r>
      <w:r w:rsidR="00C76A92" w:rsidRPr="00792946">
        <w:rPr>
          <w:rFonts w:ascii="Palatino Linotype" w:eastAsia="Times New Roman" w:hAnsi="Palatino Linotype" w:cs="Times New Roman"/>
          <w:sz w:val="20"/>
          <w:szCs w:val="20"/>
          <w:lang w:eastAsia="it-IT"/>
        </w:rPr>
        <w:t>l’at</w:t>
      </w:r>
      <w:r w:rsidRPr="00792946">
        <w:rPr>
          <w:rFonts w:ascii="Palatino Linotype" w:eastAsia="Times New Roman" w:hAnsi="Palatino Linotype" w:cs="Times New Roman"/>
          <w:sz w:val="20"/>
          <w:szCs w:val="20"/>
          <w:lang w:eastAsia="it-IT"/>
        </w:rPr>
        <w:t xml:space="preserve">to </w:t>
      </w:r>
      <w:r w:rsidR="007D603C" w:rsidRPr="00792946">
        <w:rPr>
          <w:rFonts w:ascii="Palatino Linotype" w:eastAsia="Times New Roman" w:hAnsi="Palatino Linotype" w:cs="Times New Roman"/>
          <w:sz w:val="20"/>
          <w:szCs w:val="20"/>
          <w:lang w:eastAsia="it-IT"/>
        </w:rPr>
        <w:t>è</w:t>
      </w:r>
      <w:r w:rsidRPr="00792946">
        <w:rPr>
          <w:rFonts w:ascii="Palatino Linotype" w:eastAsia="Times New Roman" w:hAnsi="Palatino Linotype" w:cs="Times New Roman"/>
          <w:sz w:val="20"/>
          <w:szCs w:val="20"/>
          <w:lang w:eastAsia="it-IT"/>
        </w:rPr>
        <w:t xml:space="preserve"> ‘integralmente’ </w:t>
      </w:r>
      <w:r w:rsidR="00E24C1F" w:rsidRPr="00792946">
        <w:rPr>
          <w:rFonts w:ascii="Palatino Linotype" w:eastAsia="Times New Roman" w:hAnsi="Palatino Linotype" w:cs="Times New Roman"/>
          <w:sz w:val="20"/>
          <w:szCs w:val="20"/>
          <w:lang w:eastAsia="it-IT"/>
        </w:rPr>
        <w:t xml:space="preserve">nullo ed </w:t>
      </w:r>
      <w:r w:rsidRPr="00792946">
        <w:rPr>
          <w:rFonts w:ascii="Palatino Linotype" w:eastAsia="Times New Roman" w:hAnsi="Palatino Linotype" w:cs="Times New Roman"/>
          <w:sz w:val="20"/>
          <w:szCs w:val="20"/>
          <w:lang w:eastAsia="it-IT"/>
        </w:rPr>
        <w:t>improduttivo di effetti.</w:t>
      </w:r>
    </w:p>
    <w:p w14:paraId="76ABA8B3" w14:textId="77777777" w:rsidR="006E616D" w:rsidRPr="00792946" w:rsidRDefault="006E616D"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Nondimeno, i provvedimenti successiv</w:t>
      </w:r>
      <w:r w:rsidR="00540609" w:rsidRPr="00792946">
        <w:rPr>
          <w:rFonts w:ascii="Palatino Linotype" w:eastAsia="Times New Roman" w:hAnsi="Palatino Linotype" w:cs="Times New Roman"/>
          <w:sz w:val="20"/>
          <w:szCs w:val="20"/>
          <w:lang w:eastAsia="it-IT"/>
        </w:rPr>
        <w:t>i adottati dall’amministrazione</w:t>
      </w:r>
      <w:r w:rsidR="00AB76C8"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che facciano applicazione o comunque si fondino sulla clausola nulla, ivi compresi il provvedimento di esclusione dalla gara o la sua aggiudicazione, conservano il loro carattere autoritativo e </w:t>
      </w:r>
      <w:r w:rsidR="00540609" w:rsidRPr="00792946">
        <w:rPr>
          <w:rFonts w:ascii="Palatino Linotype" w:eastAsia="Times New Roman" w:hAnsi="Palatino Linotype" w:cs="Times New Roman"/>
          <w:sz w:val="20"/>
          <w:szCs w:val="20"/>
          <w:lang w:eastAsia="it-IT"/>
        </w:rPr>
        <w:t>resta</w:t>
      </w:r>
      <w:r w:rsidRPr="00792946">
        <w:rPr>
          <w:rFonts w:ascii="Palatino Linotype" w:eastAsia="Times New Roman" w:hAnsi="Palatino Linotype" w:cs="Times New Roman"/>
          <w:sz w:val="20"/>
          <w:szCs w:val="20"/>
          <w:lang w:eastAsia="it-IT"/>
        </w:rPr>
        <w:t>no soggetti al termine di impugnazione d</w:t>
      </w:r>
      <w:r w:rsidR="00540609" w:rsidRPr="00792946">
        <w:rPr>
          <w:rFonts w:ascii="Palatino Linotype" w:eastAsia="Times New Roman" w:hAnsi="Palatino Linotype" w:cs="Times New Roman"/>
          <w:sz w:val="20"/>
          <w:szCs w:val="20"/>
          <w:lang w:eastAsia="it-IT"/>
        </w:rPr>
        <w:t xml:space="preserve">i cui </w:t>
      </w:r>
      <w:r w:rsidRPr="00792946">
        <w:rPr>
          <w:rFonts w:ascii="Palatino Linotype" w:eastAsia="Times New Roman" w:hAnsi="Palatino Linotype" w:cs="Times New Roman"/>
          <w:sz w:val="20"/>
          <w:szCs w:val="20"/>
          <w:lang w:eastAsia="it-IT"/>
        </w:rPr>
        <w:t xml:space="preserve">all’art. 120 </w:t>
      </w:r>
      <w:r w:rsidR="00C76A92" w:rsidRPr="00792946">
        <w:rPr>
          <w:rFonts w:ascii="Palatino Linotype" w:eastAsia="Times New Roman" w:hAnsi="Palatino Linotype" w:cs="Times New Roman"/>
          <w:sz w:val="20"/>
          <w:szCs w:val="20"/>
          <w:lang w:eastAsia="it-IT"/>
        </w:rPr>
        <w:t>c.p.a.</w:t>
      </w:r>
      <w:r w:rsidRPr="00792946">
        <w:rPr>
          <w:rFonts w:ascii="Palatino Linotype" w:eastAsia="Times New Roman" w:hAnsi="Palatino Linotype" w:cs="Times New Roman"/>
          <w:sz w:val="20"/>
          <w:szCs w:val="20"/>
          <w:lang w:eastAsia="it-IT"/>
        </w:rPr>
        <w:t xml:space="preserve">, anche per far valere </w:t>
      </w:r>
      <w:r w:rsidR="001B7BD1" w:rsidRPr="00792946">
        <w:rPr>
          <w:rFonts w:ascii="Palatino Linotype" w:eastAsia="Times New Roman" w:hAnsi="Palatino Linotype" w:cs="Times New Roman"/>
          <w:sz w:val="20"/>
          <w:szCs w:val="20"/>
          <w:lang w:eastAsia="it-IT"/>
        </w:rPr>
        <w:t>il solo vizio del</w:t>
      </w:r>
      <w:r w:rsidRPr="00792946">
        <w:rPr>
          <w:rFonts w:ascii="Palatino Linotype" w:eastAsia="Times New Roman" w:hAnsi="Palatino Linotype" w:cs="Times New Roman"/>
          <w:sz w:val="20"/>
          <w:szCs w:val="20"/>
          <w:lang w:eastAsia="it-IT"/>
        </w:rPr>
        <w:t>l’illegittimità deriva</w:t>
      </w:r>
      <w:r w:rsidR="001B7BD1" w:rsidRPr="00792946">
        <w:rPr>
          <w:rFonts w:ascii="Palatino Linotype" w:eastAsia="Times New Roman" w:hAnsi="Palatino Linotype" w:cs="Times New Roman"/>
          <w:sz w:val="20"/>
          <w:szCs w:val="20"/>
          <w:lang w:eastAsia="it-IT"/>
        </w:rPr>
        <w:t>ta</w:t>
      </w:r>
      <w:r w:rsidRPr="00792946">
        <w:rPr>
          <w:rFonts w:ascii="Palatino Linotype" w:eastAsia="Times New Roman" w:hAnsi="Palatino Linotype" w:cs="Times New Roman"/>
          <w:sz w:val="20"/>
          <w:szCs w:val="20"/>
          <w:lang w:eastAsia="it-IT"/>
        </w:rPr>
        <w:t>.</w:t>
      </w:r>
    </w:p>
    <w:p w14:paraId="3273C6B3" w14:textId="77777777" w:rsidR="006E616D" w:rsidRPr="00792946" w:rsidRDefault="00C76A92"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In conclusione, </w:t>
      </w:r>
      <w:r w:rsidR="006E616D" w:rsidRPr="00792946">
        <w:rPr>
          <w:rFonts w:ascii="Palatino Linotype" w:eastAsia="Times New Roman" w:hAnsi="Palatino Linotype" w:cs="Times New Roman"/>
          <w:sz w:val="20"/>
          <w:szCs w:val="20"/>
          <w:lang w:eastAsia="it-IT"/>
        </w:rPr>
        <w:t>per l</w:t>
      </w:r>
      <w:r w:rsidR="004E5409" w:rsidRPr="00792946">
        <w:rPr>
          <w:rFonts w:ascii="Palatino Linotype" w:eastAsia="Times New Roman" w:hAnsi="Palatino Linotype" w:cs="Times New Roman"/>
          <w:sz w:val="20"/>
          <w:szCs w:val="20"/>
          <w:lang w:eastAsia="it-IT"/>
        </w:rPr>
        <w:t>’</w:t>
      </w:r>
      <w:r w:rsidR="006E616D" w:rsidRPr="00792946">
        <w:rPr>
          <w:rFonts w:ascii="Palatino Linotype" w:eastAsia="Times New Roman" w:hAnsi="Palatino Linotype" w:cs="Times New Roman"/>
          <w:sz w:val="20"/>
          <w:szCs w:val="20"/>
          <w:lang w:eastAsia="it-IT"/>
        </w:rPr>
        <w:t>impres</w:t>
      </w:r>
      <w:r w:rsidR="004E5409" w:rsidRPr="00792946">
        <w:rPr>
          <w:rFonts w:ascii="Palatino Linotype" w:eastAsia="Times New Roman" w:hAnsi="Palatino Linotype" w:cs="Times New Roman"/>
          <w:sz w:val="20"/>
          <w:szCs w:val="20"/>
          <w:lang w:eastAsia="it-IT"/>
        </w:rPr>
        <w:t>a</w:t>
      </w:r>
      <w:r w:rsidR="006E616D" w:rsidRPr="00792946">
        <w:rPr>
          <w:rFonts w:ascii="Palatino Linotype" w:eastAsia="Times New Roman" w:hAnsi="Palatino Linotype" w:cs="Times New Roman"/>
          <w:sz w:val="20"/>
          <w:szCs w:val="20"/>
          <w:lang w:eastAsia="it-IT"/>
        </w:rPr>
        <w:t xml:space="preserve"> partecipant</w:t>
      </w:r>
      <w:r w:rsidR="004E5409" w:rsidRPr="00792946">
        <w:rPr>
          <w:rFonts w:ascii="Palatino Linotype" w:eastAsia="Times New Roman" w:hAnsi="Palatino Linotype" w:cs="Times New Roman"/>
          <w:sz w:val="20"/>
          <w:szCs w:val="20"/>
          <w:lang w:eastAsia="it-IT"/>
        </w:rPr>
        <w:t>e</w:t>
      </w:r>
      <w:r w:rsidR="006E616D" w:rsidRPr="00792946">
        <w:rPr>
          <w:rFonts w:ascii="Palatino Linotype" w:eastAsia="Times New Roman" w:hAnsi="Palatino Linotype" w:cs="Times New Roman"/>
          <w:sz w:val="20"/>
          <w:szCs w:val="20"/>
          <w:lang w:eastAsia="it-IT"/>
        </w:rPr>
        <w:t xml:space="preserve"> alla gara</w:t>
      </w:r>
      <w:r w:rsidR="007D603C" w:rsidRPr="00792946">
        <w:rPr>
          <w:rFonts w:ascii="Palatino Linotype" w:eastAsia="Times New Roman" w:hAnsi="Palatino Linotype" w:cs="Times New Roman"/>
          <w:sz w:val="20"/>
          <w:szCs w:val="20"/>
          <w:lang w:eastAsia="it-IT"/>
        </w:rPr>
        <w:t>,</w:t>
      </w:r>
      <w:r w:rsidR="006E616D"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 xml:space="preserve">l’onere di impugnare entro un termine di decadenza </w:t>
      </w:r>
      <w:r w:rsidR="007D603C" w:rsidRPr="00792946">
        <w:rPr>
          <w:rFonts w:ascii="Palatino Linotype" w:eastAsia="Times New Roman" w:hAnsi="Palatino Linotype" w:cs="Times New Roman"/>
          <w:sz w:val="20"/>
          <w:szCs w:val="20"/>
          <w:lang w:eastAsia="it-IT"/>
        </w:rPr>
        <w:t xml:space="preserve">non </w:t>
      </w:r>
      <w:r w:rsidRPr="00792946">
        <w:rPr>
          <w:rFonts w:ascii="Palatino Linotype" w:eastAsia="Times New Roman" w:hAnsi="Palatino Linotype" w:cs="Times New Roman"/>
          <w:sz w:val="20"/>
          <w:szCs w:val="20"/>
          <w:lang w:eastAsia="it-IT"/>
        </w:rPr>
        <w:t>sussiste nei confronti</w:t>
      </w:r>
      <w:r w:rsidR="006E616D"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del</w:t>
      </w:r>
      <w:r w:rsidR="006E616D" w:rsidRPr="00792946">
        <w:rPr>
          <w:rFonts w:ascii="Palatino Linotype" w:eastAsia="Times New Roman" w:hAnsi="Palatino Linotype" w:cs="Times New Roman"/>
          <w:sz w:val="20"/>
          <w:szCs w:val="20"/>
          <w:lang w:eastAsia="it-IT"/>
        </w:rPr>
        <w:t>la clausola escludente</w:t>
      </w:r>
      <w:r w:rsidRPr="00792946">
        <w:rPr>
          <w:rFonts w:ascii="Palatino Linotype" w:eastAsia="Times New Roman" w:hAnsi="Palatino Linotype" w:cs="Times New Roman"/>
          <w:sz w:val="20"/>
          <w:szCs w:val="20"/>
          <w:lang w:eastAsia="it-IT"/>
        </w:rPr>
        <w:t>,</w:t>
      </w:r>
      <w:r w:rsidR="006E616D"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ma</w:t>
      </w:r>
      <w:r w:rsidR="006E616D" w:rsidRPr="00792946">
        <w:rPr>
          <w:rFonts w:ascii="Palatino Linotype" w:eastAsia="Times New Roman" w:hAnsi="Palatino Linotype" w:cs="Times New Roman"/>
          <w:sz w:val="20"/>
          <w:szCs w:val="20"/>
          <w:lang w:eastAsia="it-IT"/>
        </w:rPr>
        <w:t xml:space="preserve"> </w:t>
      </w:r>
      <w:r w:rsidR="004E5409" w:rsidRPr="00792946">
        <w:rPr>
          <w:rFonts w:ascii="Palatino Linotype" w:eastAsia="Times New Roman" w:hAnsi="Palatino Linotype" w:cs="Times New Roman"/>
          <w:sz w:val="20"/>
          <w:szCs w:val="20"/>
          <w:lang w:eastAsia="it-IT"/>
        </w:rPr>
        <w:t xml:space="preserve">sussiste </w:t>
      </w:r>
      <w:r w:rsidRPr="00792946">
        <w:rPr>
          <w:rFonts w:ascii="Palatino Linotype" w:eastAsia="Times New Roman" w:hAnsi="Palatino Linotype" w:cs="Times New Roman"/>
          <w:sz w:val="20"/>
          <w:szCs w:val="20"/>
          <w:lang w:eastAsia="it-IT"/>
        </w:rPr>
        <w:t>nei confronti de</w:t>
      </w:r>
      <w:r w:rsidR="006E616D" w:rsidRPr="00792946">
        <w:rPr>
          <w:rFonts w:ascii="Palatino Linotype" w:eastAsia="Times New Roman" w:hAnsi="Palatino Linotype" w:cs="Times New Roman"/>
          <w:sz w:val="20"/>
          <w:szCs w:val="20"/>
          <w:lang w:eastAsia="it-IT"/>
        </w:rPr>
        <w:t xml:space="preserve">i </w:t>
      </w:r>
      <w:r w:rsidRPr="00792946">
        <w:rPr>
          <w:rFonts w:ascii="Palatino Linotype" w:eastAsia="Times New Roman" w:hAnsi="Palatino Linotype" w:cs="Times New Roman"/>
          <w:sz w:val="20"/>
          <w:szCs w:val="20"/>
          <w:lang w:eastAsia="it-IT"/>
        </w:rPr>
        <w:t>provvedimen</w:t>
      </w:r>
      <w:r w:rsidR="006E616D" w:rsidRPr="00792946">
        <w:rPr>
          <w:rFonts w:ascii="Palatino Linotype" w:eastAsia="Times New Roman" w:hAnsi="Palatino Linotype" w:cs="Times New Roman"/>
          <w:sz w:val="20"/>
          <w:szCs w:val="20"/>
          <w:lang w:eastAsia="it-IT"/>
        </w:rPr>
        <w:t xml:space="preserve">ti successivi che </w:t>
      </w:r>
      <w:r w:rsidRPr="00792946">
        <w:rPr>
          <w:rFonts w:ascii="Palatino Linotype" w:eastAsia="Times New Roman" w:hAnsi="Palatino Linotype" w:cs="Times New Roman"/>
          <w:sz w:val="20"/>
          <w:szCs w:val="20"/>
          <w:lang w:eastAsia="it-IT"/>
        </w:rPr>
        <w:t xml:space="preserve">della clausola nulla </w:t>
      </w:r>
      <w:r w:rsidR="006E616D" w:rsidRPr="00792946">
        <w:rPr>
          <w:rFonts w:ascii="Palatino Linotype" w:eastAsia="Times New Roman" w:hAnsi="Palatino Linotype" w:cs="Times New Roman"/>
          <w:sz w:val="20"/>
          <w:szCs w:val="20"/>
          <w:lang w:eastAsia="it-IT"/>
        </w:rPr>
        <w:t xml:space="preserve">facciano </w:t>
      </w:r>
      <w:r w:rsidRPr="00792946">
        <w:rPr>
          <w:rFonts w:ascii="Palatino Linotype" w:eastAsia="Times New Roman" w:hAnsi="Palatino Linotype" w:cs="Times New Roman"/>
          <w:sz w:val="20"/>
          <w:szCs w:val="20"/>
          <w:lang w:eastAsia="it-IT"/>
        </w:rPr>
        <w:t>applicazione.</w:t>
      </w:r>
    </w:p>
    <w:p w14:paraId="1E9A9B9E" w14:textId="77777777" w:rsidR="006E616D" w:rsidRPr="00792946" w:rsidRDefault="006E616D" w:rsidP="00347275">
      <w:pPr>
        <w:spacing w:after="0" w:line="360" w:lineRule="auto"/>
        <w:ind w:firstLine="851"/>
        <w:jc w:val="both"/>
        <w:rPr>
          <w:rFonts w:ascii="Palatino Linotype" w:eastAsia="Times New Roman" w:hAnsi="Palatino Linotype" w:cs="Times New Roman"/>
          <w:sz w:val="20"/>
          <w:szCs w:val="20"/>
          <w:lang w:eastAsia="it-IT"/>
        </w:rPr>
      </w:pPr>
    </w:p>
    <w:p w14:paraId="2C50C707" w14:textId="77777777" w:rsidR="00936328" w:rsidRPr="00792946" w:rsidRDefault="00936328" w:rsidP="00347275">
      <w:pPr>
        <w:numPr>
          <w:ilvl w:val="1"/>
          <w:numId w:val="6"/>
        </w:numPr>
        <w:spacing w:after="0" w:line="360" w:lineRule="auto"/>
        <w:jc w:val="both"/>
        <w:rPr>
          <w:rFonts w:ascii="Palatino Linotype" w:eastAsia="Times New Roman" w:hAnsi="Palatino Linotype" w:cs="Times New Roman"/>
          <w:b/>
          <w:sz w:val="20"/>
          <w:szCs w:val="20"/>
          <w:lang w:eastAsia="it-IT"/>
        </w:rPr>
      </w:pPr>
      <w:r w:rsidRPr="00792946">
        <w:rPr>
          <w:rFonts w:ascii="Palatino Linotype" w:eastAsia="Times New Roman" w:hAnsi="Palatino Linotype" w:cs="Times New Roman"/>
          <w:b/>
          <w:sz w:val="20"/>
          <w:szCs w:val="20"/>
          <w:lang w:eastAsia="it-IT"/>
        </w:rPr>
        <w:t xml:space="preserve"> </w:t>
      </w:r>
      <w:r w:rsidR="00F72D77" w:rsidRPr="00792946">
        <w:rPr>
          <w:rFonts w:ascii="Palatino Linotype" w:eastAsia="Times New Roman" w:hAnsi="Palatino Linotype" w:cs="Times New Roman"/>
          <w:b/>
          <w:sz w:val="20"/>
          <w:szCs w:val="20"/>
          <w:lang w:eastAsia="it-IT"/>
        </w:rPr>
        <w:t xml:space="preserve">L’avvalimento del progettista </w:t>
      </w:r>
      <w:r w:rsidR="001A1AD5" w:rsidRPr="00792946">
        <w:rPr>
          <w:rFonts w:ascii="Palatino Linotype" w:eastAsia="Times New Roman" w:hAnsi="Palatino Linotype" w:cs="Times New Roman"/>
          <w:b/>
          <w:sz w:val="20"/>
          <w:szCs w:val="20"/>
          <w:lang w:eastAsia="it-IT"/>
        </w:rPr>
        <w:t>indicato</w:t>
      </w:r>
      <w:r w:rsidR="00766243" w:rsidRPr="00792946">
        <w:rPr>
          <w:rFonts w:ascii="Palatino Linotype" w:eastAsia="Times New Roman" w:hAnsi="Palatino Linotype" w:cs="Times New Roman"/>
          <w:b/>
          <w:sz w:val="20"/>
          <w:szCs w:val="20"/>
          <w:lang w:eastAsia="it-IT"/>
        </w:rPr>
        <w:t xml:space="preserve"> e l’avvalimento ‘a cascata’</w:t>
      </w:r>
      <w:r w:rsidR="00F72D77" w:rsidRPr="00792946">
        <w:rPr>
          <w:rFonts w:ascii="Palatino Linotype" w:eastAsia="Times New Roman" w:hAnsi="Palatino Linotype" w:cs="Times New Roman"/>
          <w:b/>
          <w:sz w:val="20"/>
          <w:szCs w:val="20"/>
          <w:lang w:eastAsia="it-IT"/>
        </w:rPr>
        <w:t>.</w:t>
      </w:r>
    </w:p>
    <w:p w14:paraId="31F02E16" w14:textId="77777777" w:rsidR="00936328" w:rsidRPr="00792946" w:rsidRDefault="00A11D32"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Nell</w:t>
      </w:r>
      <w:r w:rsidR="00936328" w:rsidRPr="00792946">
        <w:rPr>
          <w:rFonts w:ascii="Palatino Linotype" w:eastAsia="Times New Roman" w:hAnsi="Palatino Linotype" w:cs="Times New Roman"/>
          <w:sz w:val="20"/>
          <w:szCs w:val="20"/>
          <w:lang w:eastAsia="it-IT"/>
        </w:rPr>
        <w:t xml:space="preserve">a fattispecie </w:t>
      </w:r>
      <w:r w:rsidR="00367D53" w:rsidRPr="00792946">
        <w:rPr>
          <w:rFonts w:ascii="Palatino Linotype" w:eastAsia="Times New Roman" w:hAnsi="Palatino Linotype" w:cs="Times New Roman"/>
          <w:sz w:val="20"/>
          <w:szCs w:val="20"/>
          <w:lang w:eastAsia="it-IT"/>
        </w:rPr>
        <w:t>all’esame dell’Adunanza plenaria</w:t>
      </w:r>
      <w:r w:rsidR="00367D53" w:rsidRPr="00792946">
        <w:rPr>
          <w:rStyle w:val="Rimandonotaapidipagina"/>
          <w:rFonts w:ascii="Palatino Linotype" w:eastAsia="Times New Roman" w:hAnsi="Palatino Linotype" w:cs="Times New Roman"/>
          <w:sz w:val="20"/>
          <w:szCs w:val="20"/>
          <w:lang w:eastAsia="it-IT"/>
        </w:rPr>
        <w:footnoteReference w:id="36"/>
      </w:r>
      <w:r w:rsidR="00367D53" w:rsidRPr="00792946">
        <w:rPr>
          <w:rFonts w:ascii="Palatino Linotype" w:eastAsia="Times New Roman" w:hAnsi="Palatino Linotype" w:cs="Times New Roman"/>
          <w:sz w:val="20"/>
          <w:szCs w:val="20"/>
          <w:lang w:eastAsia="it-IT"/>
        </w:rPr>
        <w:t xml:space="preserve">, </w:t>
      </w:r>
      <w:r w:rsidR="00936328" w:rsidRPr="00792946">
        <w:rPr>
          <w:rFonts w:ascii="Palatino Linotype" w:eastAsia="Times New Roman" w:hAnsi="Palatino Linotype" w:cs="Times New Roman"/>
          <w:sz w:val="20"/>
          <w:szCs w:val="20"/>
          <w:lang w:eastAsia="it-IT"/>
        </w:rPr>
        <w:t xml:space="preserve">un RTI </w:t>
      </w:r>
      <w:r w:rsidR="00861574">
        <w:rPr>
          <w:rFonts w:ascii="Palatino Linotype" w:eastAsia="Times New Roman" w:hAnsi="Palatino Linotype" w:cs="Times New Roman"/>
          <w:sz w:val="20"/>
          <w:szCs w:val="20"/>
          <w:lang w:eastAsia="it-IT"/>
        </w:rPr>
        <w:t>h</w:t>
      </w:r>
      <w:r w:rsidR="00367D53" w:rsidRPr="00792946">
        <w:rPr>
          <w:rFonts w:ascii="Palatino Linotype" w:eastAsia="Times New Roman" w:hAnsi="Palatino Linotype" w:cs="Times New Roman"/>
          <w:sz w:val="20"/>
          <w:szCs w:val="20"/>
          <w:lang w:eastAsia="it-IT"/>
        </w:rPr>
        <w:t xml:space="preserve">a partecipato </w:t>
      </w:r>
      <w:r w:rsidR="00936328" w:rsidRPr="00792946">
        <w:rPr>
          <w:rFonts w:ascii="Palatino Linotype" w:eastAsia="Times New Roman" w:hAnsi="Palatino Linotype" w:cs="Times New Roman"/>
          <w:sz w:val="20"/>
          <w:szCs w:val="20"/>
          <w:lang w:eastAsia="it-IT"/>
        </w:rPr>
        <w:t>a</w:t>
      </w:r>
      <w:r w:rsidR="006D7584" w:rsidRPr="00792946">
        <w:rPr>
          <w:rFonts w:ascii="Palatino Linotype" w:eastAsia="Times New Roman" w:hAnsi="Palatino Linotype" w:cs="Times New Roman"/>
          <w:sz w:val="20"/>
          <w:szCs w:val="20"/>
          <w:lang w:eastAsia="it-IT"/>
        </w:rPr>
        <w:t>ll</w:t>
      </w:r>
      <w:r w:rsidR="001A7895" w:rsidRPr="00792946">
        <w:rPr>
          <w:rFonts w:ascii="Palatino Linotype" w:eastAsia="Times New Roman" w:hAnsi="Palatino Linotype" w:cs="Times New Roman"/>
          <w:sz w:val="20"/>
          <w:szCs w:val="20"/>
          <w:lang w:eastAsia="it-IT"/>
        </w:rPr>
        <w:t>’</w:t>
      </w:r>
      <w:r w:rsidR="00936328" w:rsidRPr="00792946">
        <w:rPr>
          <w:rFonts w:ascii="Palatino Linotype" w:eastAsia="Times New Roman" w:hAnsi="Palatino Linotype" w:cs="Times New Roman"/>
          <w:sz w:val="20"/>
          <w:szCs w:val="20"/>
          <w:lang w:eastAsia="it-IT"/>
        </w:rPr>
        <w:t>a</w:t>
      </w:r>
      <w:r w:rsidR="001A7895" w:rsidRPr="00792946">
        <w:rPr>
          <w:rFonts w:ascii="Palatino Linotype" w:eastAsia="Times New Roman" w:hAnsi="Palatino Linotype" w:cs="Times New Roman"/>
          <w:sz w:val="20"/>
          <w:szCs w:val="20"/>
          <w:lang w:eastAsia="it-IT"/>
        </w:rPr>
        <w:t>ppalto integrato</w:t>
      </w:r>
      <w:r w:rsidR="00936328" w:rsidRPr="00792946">
        <w:rPr>
          <w:rFonts w:ascii="Palatino Linotype" w:eastAsia="Times New Roman" w:hAnsi="Palatino Linotype" w:cs="Times New Roman"/>
          <w:sz w:val="20"/>
          <w:szCs w:val="20"/>
          <w:lang w:eastAsia="it-IT"/>
        </w:rPr>
        <w:t xml:space="preserve"> </w:t>
      </w:r>
      <w:r w:rsidR="006D7584" w:rsidRPr="00792946">
        <w:rPr>
          <w:rFonts w:ascii="Palatino Linotype" w:eastAsia="Times New Roman" w:hAnsi="Palatino Linotype" w:cs="Times New Roman"/>
          <w:sz w:val="20"/>
          <w:szCs w:val="20"/>
          <w:lang w:eastAsia="it-IT"/>
        </w:rPr>
        <w:t>per</w:t>
      </w:r>
      <w:r w:rsidR="00936328" w:rsidRPr="00792946">
        <w:rPr>
          <w:rFonts w:ascii="Palatino Linotype" w:eastAsia="Times New Roman" w:hAnsi="Palatino Linotype" w:cs="Times New Roman"/>
          <w:sz w:val="20"/>
          <w:szCs w:val="20"/>
          <w:lang w:eastAsia="it-IT"/>
        </w:rPr>
        <w:t xml:space="preserve"> la </w:t>
      </w:r>
      <w:r w:rsidR="006D7584" w:rsidRPr="00792946">
        <w:rPr>
          <w:rFonts w:ascii="Palatino Linotype" w:eastAsia="Times New Roman" w:hAnsi="Palatino Linotype" w:cs="Times New Roman"/>
          <w:sz w:val="20"/>
          <w:szCs w:val="20"/>
          <w:lang w:eastAsia="it-IT"/>
        </w:rPr>
        <w:t xml:space="preserve">progettazione e </w:t>
      </w:r>
      <w:r w:rsidR="00936328" w:rsidRPr="00792946">
        <w:rPr>
          <w:rFonts w:ascii="Palatino Linotype" w:eastAsia="Times New Roman" w:hAnsi="Palatino Linotype" w:cs="Times New Roman"/>
          <w:sz w:val="20"/>
          <w:szCs w:val="20"/>
          <w:lang w:eastAsia="it-IT"/>
        </w:rPr>
        <w:t>realizzazione di una central</w:t>
      </w:r>
      <w:r w:rsidR="006D7584" w:rsidRPr="00792946">
        <w:rPr>
          <w:rFonts w:ascii="Palatino Linotype" w:eastAsia="Times New Roman" w:hAnsi="Palatino Linotype" w:cs="Times New Roman"/>
          <w:sz w:val="20"/>
          <w:szCs w:val="20"/>
          <w:lang w:eastAsia="it-IT"/>
        </w:rPr>
        <w:t>e a biomasse</w:t>
      </w:r>
      <w:r w:rsidRPr="00792946">
        <w:rPr>
          <w:rFonts w:ascii="Palatino Linotype" w:eastAsia="Times New Roman" w:hAnsi="Palatino Linotype" w:cs="Times New Roman"/>
          <w:sz w:val="20"/>
          <w:szCs w:val="20"/>
          <w:lang w:eastAsia="it-IT"/>
        </w:rPr>
        <w:t>,</w:t>
      </w:r>
      <w:r w:rsidR="00936328"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indic</w:t>
      </w:r>
      <w:r w:rsidR="00936328" w:rsidRPr="00792946">
        <w:rPr>
          <w:rFonts w:ascii="Palatino Linotype" w:eastAsia="Times New Roman" w:hAnsi="Palatino Linotype" w:cs="Times New Roman"/>
          <w:sz w:val="20"/>
          <w:szCs w:val="20"/>
          <w:lang w:eastAsia="it-IT"/>
        </w:rPr>
        <w:t>ando un progettista esterno, il quale</w:t>
      </w:r>
      <w:r w:rsidR="00367D53" w:rsidRPr="00792946">
        <w:rPr>
          <w:rFonts w:ascii="Palatino Linotype" w:eastAsia="Times New Roman" w:hAnsi="Palatino Linotype" w:cs="Times New Roman"/>
          <w:sz w:val="20"/>
          <w:szCs w:val="20"/>
          <w:lang w:eastAsia="it-IT"/>
        </w:rPr>
        <w:t>,</w:t>
      </w:r>
      <w:r w:rsidR="00936328" w:rsidRPr="00792946">
        <w:rPr>
          <w:rFonts w:ascii="Palatino Linotype" w:eastAsia="Times New Roman" w:hAnsi="Palatino Linotype" w:cs="Times New Roman"/>
          <w:sz w:val="20"/>
          <w:szCs w:val="20"/>
          <w:lang w:eastAsia="it-IT"/>
        </w:rPr>
        <w:t xml:space="preserve"> a sua volta</w:t>
      </w:r>
      <w:r w:rsidR="00367D53" w:rsidRPr="00792946">
        <w:rPr>
          <w:rFonts w:ascii="Palatino Linotype" w:eastAsia="Times New Roman" w:hAnsi="Palatino Linotype" w:cs="Times New Roman"/>
          <w:sz w:val="20"/>
          <w:szCs w:val="20"/>
          <w:lang w:eastAsia="it-IT"/>
        </w:rPr>
        <w:t>,</w:t>
      </w:r>
      <w:r w:rsidR="00936328" w:rsidRPr="00792946">
        <w:rPr>
          <w:rFonts w:ascii="Palatino Linotype" w:eastAsia="Times New Roman" w:hAnsi="Palatino Linotype" w:cs="Times New Roman"/>
          <w:sz w:val="20"/>
          <w:szCs w:val="20"/>
          <w:lang w:eastAsia="it-IT"/>
        </w:rPr>
        <w:t xml:space="preserve"> </w:t>
      </w:r>
      <w:r w:rsidR="001A7895" w:rsidRPr="00792946">
        <w:rPr>
          <w:rFonts w:ascii="Palatino Linotype" w:eastAsia="Times New Roman" w:hAnsi="Palatino Linotype" w:cs="Times New Roman"/>
          <w:sz w:val="20"/>
          <w:szCs w:val="20"/>
          <w:lang w:eastAsia="it-IT"/>
        </w:rPr>
        <w:t>per</w:t>
      </w:r>
      <w:r w:rsidRPr="00792946">
        <w:rPr>
          <w:rFonts w:ascii="Palatino Linotype" w:eastAsia="Times New Roman" w:hAnsi="Palatino Linotype" w:cs="Times New Roman"/>
          <w:sz w:val="20"/>
          <w:szCs w:val="20"/>
          <w:lang w:eastAsia="it-IT"/>
        </w:rPr>
        <w:t xml:space="preserve"> integrare taluni requisiti dei quali </w:t>
      </w:r>
      <w:r w:rsidR="00861574">
        <w:rPr>
          <w:rFonts w:ascii="Palatino Linotype" w:eastAsia="Times New Roman" w:hAnsi="Palatino Linotype" w:cs="Times New Roman"/>
          <w:sz w:val="20"/>
          <w:szCs w:val="20"/>
          <w:lang w:eastAsia="it-IT"/>
        </w:rPr>
        <w:t>è</w:t>
      </w:r>
      <w:r w:rsidRPr="00792946">
        <w:rPr>
          <w:rFonts w:ascii="Palatino Linotype" w:eastAsia="Times New Roman" w:hAnsi="Palatino Linotype" w:cs="Times New Roman"/>
          <w:sz w:val="20"/>
          <w:szCs w:val="20"/>
          <w:lang w:eastAsia="it-IT"/>
        </w:rPr>
        <w:t xml:space="preserve"> dichiaratamente privo, </w:t>
      </w:r>
      <w:r w:rsidR="00861574">
        <w:rPr>
          <w:rFonts w:ascii="Palatino Linotype" w:eastAsia="Times New Roman" w:hAnsi="Palatino Linotype" w:cs="Times New Roman"/>
          <w:sz w:val="20"/>
          <w:szCs w:val="20"/>
          <w:lang w:eastAsia="it-IT"/>
        </w:rPr>
        <w:t>h</w:t>
      </w:r>
      <w:r w:rsidRPr="00792946">
        <w:rPr>
          <w:rFonts w:ascii="Palatino Linotype" w:eastAsia="Times New Roman" w:hAnsi="Palatino Linotype" w:cs="Times New Roman"/>
          <w:sz w:val="20"/>
          <w:szCs w:val="20"/>
          <w:lang w:eastAsia="it-IT"/>
        </w:rPr>
        <w:t>a prodotto un contratto di avvalimento con</w:t>
      </w:r>
      <w:r w:rsidR="00936328" w:rsidRPr="00792946">
        <w:rPr>
          <w:rFonts w:ascii="Palatino Linotype" w:eastAsia="Times New Roman" w:hAnsi="Palatino Linotype" w:cs="Times New Roman"/>
          <w:sz w:val="20"/>
          <w:szCs w:val="20"/>
          <w:lang w:eastAsia="it-IT"/>
        </w:rPr>
        <w:t xml:space="preserve"> un</w:t>
      </w:r>
      <w:r w:rsidRPr="00792946">
        <w:rPr>
          <w:rFonts w:ascii="Palatino Linotype" w:eastAsia="Times New Roman" w:hAnsi="Palatino Linotype" w:cs="Times New Roman"/>
          <w:sz w:val="20"/>
          <w:szCs w:val="20"/>
          <w:lang w:eastAsia="it-IT"/>
        </w:rPr>
        <w:t>a società di progettazione</w:t>
      </w:r>
      <w:r w:rsidR="00936328" w:rsidRPr="00792946">
        <w:rPr>
          <w:rFonts w:ascii="Palatino Linotype" w:eastAsia="Times New Roman" w:hAnsi="Palatino Linotype" w:cs="Times New Roman"/>
          <w:sz w:val="20"/>
          <w:szCs w:val="20"/>
          <w:lang w:eastAsia="it-IT"/>
        </w:rPr>
        <w:t>.</w:t>
      </w:r>
    </w:p>
    <w:p w14:paraId="6624D3F6" w14:textId="77777777" w:rsidR="00CB6119" w:rsidRDefault="00CB6119" w:rsidP="00347275">
      <w:pPr>
        <w:spacing w:after="0" w:line="360" w:lineRule="auto"/>
        <w:ind w:firstLine="851"/>
        <w:jc w:val="both"/>
        <w:rPr>
          <w:rFonts w:ascii="Palatino Linotype" w:eastAsia="Times New Roman" w:hAnsi="Palatino Linotype" w:cs="Times New Roman"/>
          <w:sz w:val="20"/>
          <w:szCs w:val="20"/>
          <w:lang w:eastAsia="it-IT"/>
        </w:rPr>
      </w:pPr>
      <w:r>
        <w:rPr>
          <w:rFonts w:ascii="Palatino Linotype" w:eastAsia="Times New Roman" w:hAnsi="Palatino Linotype" w:cs="Times New Roman"/>
          <w:sz w:val="20"/>
          <w:szCs w:val="20"/>
          <w:lang w:eastAsia="it-IT"/>
        </w:rPr>
        <w:t>Il quesito da sciogliere è</w:t>
      </w:r>
      <w:r w:rsidR="00F46369" w:rsidRPr="00792946">
        <w:rPr>
          <w:rFonts w:ascii="Palatino Linotype" w:eastAsia="Times New Roman" w:hAnsi="Palatino Linotype" w:cs="Times New Roman"/>
          <w:sz w:val="20"/>
          <w:szCs w:val="20"/>
          <w:lang w:eastAsia="it-IT"/>
        </w:rPr>
        <w:t xml:space="preserve">, </w:t>
      </w:r>
      <w:r>
        <w:rPr>
          <w:rFonts w:ascii="Palatino Linotype" w:eastAsia="Times New Roman" w:hAnsi="Palatino Linotype" w:cs="Times New Roman"/>
          <w:sz w:val="20"/>
          <w:szCs w:val="20"/>
          <w:lang w:eastAsia="it-IT"/>
        </w:rPr>
        <w:t>pertanto</w:t>
      </w:r>
      <w:r w:rsidR="001A7895"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è se il progettista indicato possa qualificarsi alla stregua di un ‘operatore economico’</w:t>
      </w:r>
      <w:r>
        <w:rPr>
          <w:rFonts w:ascii="Palatino Linotype" w:eastAsia="Times New Roman" w:hAnsi="Palatino Linotype" w:cs="Times New Roman"/>
          <w:sz w:val="20"/>
          <w:szCs w:val="20"/>
          <w:lang w:eastAsia="it-IT"/>
        </w:rPr>
        <w:t xml:space="preserve"> e sia dunque legittimato ad avvalersi di un ausiliario.</w:t>
      </w:r>
    </w:p>
    <w:p w14:paraId="2DE479A2" w14:textId="77777777" w:rsidR="00936328" w:rsidRPr="00792946" w:rsidRDefault="00CB6119" w:rsidP="00347275">
      <w:pPr>
        <w:spacing w:after="0" w:line="360" w:lineRule="auto"/>
        <w:ind w:firstLine="851"/>
        <w:jc w:val="both"/>
        <w:rPr>
          <w:rFonts w:ascii="Palatino Linotype" w:eastAsia="Times New Roman" w:hAnsi="Palatino Linotype" w:cs="Times New Roman"/>
          <w:sz w:val="20"/>
          <w:szCs w:val="20"/>
          <w:lang w:eastAsia="it-IT"/>
        </w:rPr>
      </w:pPr>
      <w:r>
        <w:rPr>
          <w:rFonts w:ascii="Palatino Linotype" w:eastAsia="Times New Roman" w:hAnsi="Palatino Linotype" w:cs="Times New Roman"/>
          <w:sz w:val="20"/>
          <w:szCs w:val="20"/>
          <w:lang w:eastAsia="it-IT"/>
        </w:rPr>
        <w:t xml:space="preserve">All’espressione </w:t>
      </w:r>
      <w:r w:rsidRPr="00792946">
        <w:rPr>
          <w:rFonts w:ascii="Palatino Linotype" w:eastAsia="Times New Roman" w:hAnsi="Palatino Linotype" w:cs="Times New Roman"/>
          <w:sz w:val="20"/>
          <w:szCs w:val="20"/>
          <w:lang w:eastAsia="it-IT"/>
        </w:rPr>
        <w:t>‘operatore economico’</w:t>
      </w:r>
      <w:r>
        <w:rPr>
          <w:rFonts w:ascii="Palatino Linotype" w:eastAsia="Times New Roman" w:hAnsi="Palatino Linotype" w:cs="Times New Roman"/>
          <w:sz w:val="20"/>
          <w:szCs w:val="20"/>
          <w:lang w:eastAsia="it-IT"/>
        </w:rPr>
        <w:t xml:space="preserve">, il diritto interno attribuisce </w:t>
      </w:r>
      <w:r w:rsidR="001A7895" w:rsidRPr="00792946">
        <w:rPr>
          <w:rFonts w:ascii="Palatino Linotype" w:eastAsia="Times New Roman" w:hAnsi="Palatino Linotype" w:cs="Times New Roman"/>
          <w:sz w:val="20"/>
          <w:szCs w:val="20"/>
          <w:lang w:eastAsia="it-IT"/>
        </w:rPr>
        <w:t>il significato di</w:t>
      </w:r>
      <w:r w:rsidR="004C1087" w:rsidRPr="00792946">
        <w:rPr>
          <w:rFonts w:ascii="Palatino Linotype" w:eastAsia="Times New Roman" w:hAnsi="Palatino Linotype" w:cs="Times New Roman"/>
          <w:sz w:val="20"/>
          <w:szCs w:val="20"/>
          <w:lang w:eastAsia="it-IT"/>
        </w:rPr>
        <w:t xml:space="preserve"> ‘colui </w:t>
      </w:r>
      <w:r w:rsidR="00936328" w:rsidRPr="00792946">
        <w:rPr>
          <w:rFonts w:ascii="Palatino Linotype" w:eastAsia="Times New Roman" w:hAnsi="Palatino Linotype" w:cs="Times New Roman"/>
          <w:sz w:val="20"/>
          <w:szCs w:val="20"/>
          <w:lang w:eastAsia="it-IT"/>
        </w:rPr>
        <w:t>chi effettua l’offerta</w:t>
      </w:r>
      <w:r w:rsidR="004C1087" w:rsidRPr="00792946">
        <w:rPr>
          <w:rFonts w:ascii="Palatino Linotype" w:eastAsia="Times New Roman" w:hAnsi="Palatino Linotype" w:cs="Times New Roman"/>
          <w:sz w:val="20"/>
          <w:szCs w:val="20"/>
          <w:lang w:eastAsia="it-IT"/>
        </w:rPr>
        <w:t>’</w:t>
      </w:r>
      <w:r w:rsidR="00936328" w:rsidRPr="00792946">
        <w:rPr>
          <w:rFonts w:ascii="Palatino Linotype" w:eastAsia="Times New Roman" w:hAnsi="Palatino Linotype" w:cs="Times New Roman"/>
          <w:sz w:val="20"/>
          <w:szCs w:val="20"/>
          <w:lang w:eastAsia="it-IT"/>
        </w:rPr>
        <w:t xml:space="preserve">, </w:t>
      </w:r>
      <w:r w:rsidR="001A7895" w:rsidRPr="00792946">
        <w:rPr>
          <w:rFonts w:ascii="Palatino Linotype" w:eastAsia="Times New Roman" w:hAnsi="Palatino Linotype" w:cs="Times New Roman"/>
          <w:sz w:val="20"/>
          <w:szCs w:val="20"/>
          <w:lang w:eastAsia="it-IT"/>
        </w:rPr>
        <w:t xml:space="preserve">ossia </w:t>
      </w:r>
      <w:r>
        <w:rPr>
          <w:rFonts w:ascii="Palatino Linotype" w:eastAsia="Times New Roman" w:hAnsi="Palatino Linotype" w:cs="Times New Roman"/>
          <w:sz w:val="20"/>
          <w:szCs w:val="20"/>
          <w:lang w:eastAsia="it-IT"/>
        </w:rPr>
        <w:t>del</w:t>
      </w:r>
      <w:r w:rsidR="004C1087" w:rsidRPr="00792946">
        <w:rPr>
          <w:rFonts w:ascii="Palatino Linotype" w:eastAsia="Times New Roman" w:hAnsi="Palatino Linotype" w:cs="Times New Roman"/>
          <w:sz w:val="20"/>
          <w:szCs w:val="20"/>
          <w:lang w:eastAsia="it-IT"/>
        </w:rPr>
        <w:t>l’imprenditore che</w:t>
      </w:r>
      <w:r w:rsidR="001A7895" w:rsidRPr="00792946">
        <w:rPr>
          <w:rFonts w:ascii="Palatino Linotype" w:eastAsia="Times New Roman" w:hAnsi="Palatino Linotype" w:cs="Times New Roman"/>
          <w:sz w:val="20"/>
          <w:szCs w:val="20"/>
          <w:lang w:eastAsia="it-IT"/>
        </w:rPr>
        <w:t>,</w:t>
      </w:r>
      <w:r w:rsidR="004C1087" w:rsidRPr="00792946">
        <w:rPr>
          <w:rFonts w:ascii="Palatino Linotype" w:eastAsia="Times New Roman" w:hAnsi="Palatino Linotype" w:cs="Times New Roman"/>
          <w:sz w:val="20"/>
          <w:szCs w:val="20"/>
          <w:lang w:eastAsia="it-IT"/>
        </w:rPr>
        <w:t xml:space="preserve"> ai sensi del</w:t>
      </w:r>
      <w:r w:rsidR="00936328" w:rsidRPr="00792946">
        <w:rPr>
          <w:rFonts w:ascii="Palatino Linotype" w:eastAsia="Times New Roman" w:hAnsi="Palatino Linotype" w:cs="Times New Roman"/>
          <w:sz w:val="20"/>
          <w:szCs w:val="20"/>
          <w:lang w:eastAsia="it-IT"/>
        </w:rPr>
        <w:t xml:space="preserve">l’art. 3, commi 19 e 22, del </w:t>
      </w:r>
      <w:r w:rsidR="004C1087" w:rsidRPr="00792946">
        <w:rPr>
          <w:rFonts w:ascii="Palatino Linotype" w:eastAsia="Times New Roman" w:hAnsi="Palatino Linotype" w:cs="Times New Roman"/>
          <w:sz w:val="20"/>
          <w:szCs w:val="20"/>
          <w:lang w:eastAsia="it-IT"/>
        </w:rPr>
        <w:t>D</w:t>
      </w:r>
      <w:r w:rsidR="00936328" w:rsidRPr="00792946">
        <w:rPr>
          <w:rFonts w:ascii="Palatino Linotype" w:eastAsia="Times New Roman" w:hAnsi="Palatino Linotype" w:cs="Times New Roman"/>
          <w:sz w:val="20"/>
          <w:szCs w:val="20"/>
          <w:lang w:eastAsia="it-IT"/>
        </w:rPr>
        <w:t>.</w:t>
      </w:r>
      <w:r w:rsidR="004C1087" w:rsidRPr="00792946">
        <w:rPr>
          <w:rFonts w:ascii="Palatino Linotype" w:eastAsia="Times New Roman" w:hAnsi="Palatino Linotype" w:cs="Times New Roman"/>
          <w:sz w:val="20"/>
          <w:szCs w:val="20"/>
          <w:lang w:eastAsia="it-IT"/>
        </w:rPr>
        <w:t>lgs.</w:t>
      </w:r>
      <w:r w:rsidR="00936328" w:rsidRPr="00792946">
        <w:rPr>
          <w:rFonts w:ascii="Palatino Linotype" w:eastAsia="Times New Roman" w:hAnsi="Palatino Linotype" w:cs="Times New Roman"/>
          <w:sz w:val="20"/>
          <w:szCs w:val="20"/>
          <w:lang w:eastAsia="it-IT"/>
        </w:rPr>
        <w:t xml:space="preserve"> 163</w:t>
      </w:r>
      <w:r w:rsidR="004C1087" w:rsidRPr="00792946">
        <w:rPr>
          <w:rFonts w:ascii="Palatino Linotype" w:eastAsia="Times New Roman" w:hAnsi="Palatino Linotype" w:cs="Times New Roman"/>
          <w:sz w:val="20"/>
          <w:szCs w:val="20"/>
          <w:lang w:eastAsia="it-IT"/>
        </w:rPr>
        <w:t>/</w:t>
      </w:r>
      <w:r w:rsidR="00936328" w:rsidRPr="00792946">
        <w:rPr>
          <w:rFonts w:ascii="Palatino Linotype" w:eastAsia="Times New Roman" w:hAnsi="Palatino Linotype" w:cs="Times New Roman"/>
          <w:sz w:val="20"/>
          <w:szCs w:val="20"/>
          <w:lang w:eastAsia="it-IT"/>
        </w:rPr>
        <w:t xml:space="preserve">2006, </w:t>
      </w:r>
      <w:r w:rsidR="004C1087" w:rsidRPr="00792946">
        <w:rPr>
          <w:rFonts w:ascii="Palatino Linotype" w:eastAsia="Times New Roman" w:hAnsi="Palatino Linotype" w:cs="Times New Roman"/>
          <w:sz w:val="20"/>
          <w:szCs w:val="20"/>
          <w:lang w:eastAsia="it-IT"/>
        </w:rPr>
        <w:t>“</w:t>
      </w:r>
      <w:r w:rsidR="00936328" w:rsidRPr="00792946">
        <w:rPr>
          <w:rFonts w:ascii="Palatino Linotype" w:eastAsia="Times New Roman" w:hAnsi="Palatino Linotype" w:cs="Times New Roman"/>
          <w:sz w:val="20"/>
          <w:szCs w:val="20"/>
          <w:lang w:eastAsia="it-IT"/>
        </w:rPr>
        <w:t>offr</w:t>
      </w:r>
      <w:r w:rsidR="00F46369" w:rsidRPr="00792946">
        <w:rPr>
          <w:rFonts w:ascii="Palatino Linotype" w:eastAsia="Times New Roman" w:hAnsi="Palatino Linotype" w:cs="Times New Roman"/>
          <w:sz w:val="20"/>
          <w:szCs w:val="20"/>
          <w:lang w:eastAsia="it-IT"/>
        </w:rPr>
        <w:t>e</w:t>
      </w:r>
      <w:r w:rsidR="00936328" w:rsidRPr="00792946">
        <w:rPr>
          <w:rFonts w:ascii="Palatino Linotype" w:eastAsia="Times New Roman" w:hAnsi="Palatino Linotype" w:cs="Times New Roman"/>
          <w:sz w:val="20"/>
          <w:szCs w:val="20"/>
          <w:lang w:eastAsia="it-IT"/>
        </w:rPr>
        <w:t xml:space="preserve"> sul mercato, rispettivamente, la realizzazione di lavori o opere, la fornitura di prodotti, la prestazione di servizi</w:t>
      </w:r>
      <w:r w:rsidR="004C1087" w:rsidRPr="00792946">
        <w:rPr>
          <w:rFonts w:ascii="Palatino Linotype" w:eastAsia="Times New Roman" w:hAnsi="Palatino Linotype" w:cs="Times New Roman"/>
          <w:sz w:val="20"/>
          <w:szCs w:val="20"/>
          <w:lang w:eastAsia="it-IT"/>
        </w:rPr>
        <w:t>”</w:t>
      </w:r>
      <w:r w:rsidR="00936328" w:rsidRPr="00792946">
        <w:rPr>
          <w:rFonts w:ascii="Palatino Linotype" w:eastAsia="Times New Roman" w:hAnsi="Palatino Linotype" w:cs="Times New Roman"/>
          <w:sz w:val="20"/>
          <w:szCs w:val="20"/>
          <w:lang w:eastAsia="it-IT"/>
        </w:rPr>
        <w:t>.</w:t>
      </w:r>
    </w:p>
    <w:p w14:paraId="311AF998" w14:textId="77777777" w:rsidR="00AA4150" w:rsidRPr="00792946" w:rsidRDefault="00F46369"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Per contr</w:t>
      </w:r>
      <w:r w:rsidR="00F74CD1" w:rsidRPr="00792946">
        <w:rPr>
          <w:rFonts w:ascii="Palatino Linotype" w:eastAsia="Times New Roman" w:hAnsi="Palatino Linotype" w:cs="Times New Roman"/>
          <w:sz w:val="20"/>
          <w:szCs w:val="20"/>
          <w:lang w:eastAsia="it-IT"/>
        </w:rPr>
        <w:t>o</w:t>
      </w:r>
      <w:r w:rsidR="00AA4150" w:rsidRPr="00792946">
        <w:rPr>
          <w:rFonts w:ascii="Palatino Linotype" w:eastAsia="Times New Roman" w:hAnsi="Palatino Linotype" w:cs="Times New Roman"/>
          <w:sz w:val="20"/>
          <w:szCs w:val="20"/>
          <w:lang w:eastAsia="it-IT"/>
        </w:rPr>
        <w:t xml:space="preserve">, il </w:t>
      </w:r>
      <w:r w:rsidR="00936328" w:rsidRPr="00792946">
        <w:rPr>
          <w:rFonts w:ascii="Palatino Linotype" w:eastAsia="Times New Roman" w:hAnsi="Palatino Linotype" w:cs="Times New Roman"/>
          <w:sz w:val="20"/>
          <w:szCs w:val="20"/>
          <w:lang w:eastAsia="it-IT"/>
        </w:rPr>
        <w:t>pro</w:t>
      </w:r>
      <w:r w:rsidR="00FD7EEC" w:rsidRPr="00792946">
        <w:rPr>
          <w:rFonts w:ascii="Palatino Linotype" w:eastAsia="Times New Roman" w:hAnsi="Palatino Linotype" w:cs="Times New Roman"/>
          <w:sz w:val="20"/>
          <w:szCs w:val="20"/>
          <w:lang w:eastAsia="it-IT"/>
        </w:rPr>
        <w:t>gett</w:t>
      </w:r>
      <w:r w:rsidR="00936328" w:rsidRPr="00792946">
        <w:rPr>
          <w:rFonts w:ascii="Palatino Linotype" w:eastAsia="Times New Roman" w:hAnsi="Palatino Linotype" w:cs="Times New Roman"/>
          <w:sz w:val="20"/>
          <w:szCs w:val="20"/>
          <w:lang w:eastAsia="it-IT"/>
        </w:rPr>
        <w:t>ista indicato</w:t>
      </w:r>
      <w:r w:rsidR="00AA4150" w:rsidRPr="00792946">
        <w:rPr>
          <w:rFonts w:ascii="Palatino Linotype" w:eastAsia="Times New Roman" w:hAnsi="Palatino Linotype" w:cs="Times New Roman"/>
          <w:sz w:val="20"/>
          <w:szCs w:val="20"/>
          <w:lang w:eastAsia="it-IT"/>
        </w:rPr>
        <w:t xml:space="preserve"> è un</w:t>
      </w:r>
      <w:r w:rsidR="00936328" w:rsidRPr="00792946">
        <w:rPr>
          <w:rFonts w:ascii="Palatino Linotype" w:eastAsia="Times New Roman" w:hAnsi="Palatino Linotype" w:cs="Times New Roman"/>
          <w:sz w:val="20"/>
          <w:szCs w:val="20"/>
          <w:lang w:eastAsia="it-IT"/>
        </w:rPr>
        <w:t xml:space="preserve"> </w:t>
      </w:r>
      <w:r w:rsidR="00AA4150" w:rsidRPr="00792946">
        <w:rPr>
          <w:rFonts w:ascii="Palatino Linotype" w:eastAsia="Times New Roman" w:hAnsi="Palatino Linotype" w:cs="Times New Roman"/>
          <w:sz w:val="20"/>
          <w:szCs w:val="20"/>
          <w:lang w:eastAsia="it-IT"/>
        </w:rPr>
        <w:t>‘prestatore d’opera professionale’, estraneo alla struttura dell’</w:t>
      </w:r>
      <w:r w:rsidR="001A7895" w:rsidRPr="00792946">
        <w:rPr>
          <w:rFonts w:ascii="Palatino Linotype" w:eastAsia="Times New Roman" w:hAnsi="Palatino Linotype" w:cs="Times New Roman"/>
          <w:sz w:val="20"/>
          <w:szCs w:val="20"/>
          <w:lang w:eastAsia="it-IT"/>
        </w:rPr>
        <w:t>imprenditore ed</w:t>
      </w:r>
      <w:r w:rsidR="00AA4150" w:rsidRPr="00792946">
        <w:rPr>
          <w:rFonts w:ascii="Palatino Linotype" w:eastAsia="Times New Roman" w:hAnsi="Palatino Linotype" w:cs="Times New Roman"/>
          <w:sz w:val="20"/>
          <w:szCs w:val="20"/>
          <w:lang w:eastAsia="it-IT"/>
        </w:rPr>
        <w:t xml:space="preserve"> i cui compiti sono differenti da </w:t>
      </w:r>
      <w:r w:rsidR="001A7895" w:rsidRPr="00792946">
        <w:rPr>
          <w:rFonts w:ascii="Palatino Linotype" w:eastAsia="Times New Roman" w:hAnsi="Palatino Linotype" w:cs="Times New Roman"/>
          <w:sz w:val="20"/>
          <w:szCs w:val="20"/>
          <w:lang w:eastAsia="it-IT"/>
        </w:rPr>
        <w:t xml:space="preserve">quelli di </w:t>
      </w:r>
      <w:r w:rsidR="00AA4150" w:rsidRPr="00792946">
        <w:rPr>
          <w:rFonts w:ascii="Palatino Linotype" w:eastAsia="Times New Roman" w:hAnsi="Palatino Linotype" w:cs="Times New Roman"/>
          <w:sz w:val="20"/>
          <w:szCs w:val="20"/>
          <w:lang w:eastAsia="it-IT"/>
        </w:rPr>
        <w:t xml:space="preserve">quest’ultimo, come diversa è la distribuzione delle responsabilità tra </w:t>
      </w:r>
      <w:r w:rsidR="001A7895" w:rsidRPr="00792946">
        <w:rPr>
          <w:rFonts w:ascii="Palatino Linotype" w:eastAsia="Times New Roman" w:hAnsi="Palatino Linotype" w:cs="Times New Roman"/>
          <w:sz w:val="20"/>
          <w:szCs w:val="20"/>
          <w:lang w:eastAsia="it-IT"/>
        </w:rPr>
        <w:t>essi</w:t>
      </w:r>
      <w:r w:rsidR="00AA4150" w:rsidRPr="00792946">
        <w:rPr>
          <w:rFonts w:ascii="Palatino Linotype" w:eastAsia="Times New Roman" w:hAnsi="Palatino Linotype" w:cs="Times New Roman"/>
          <w:sz w:val="20"/>
          <w:szCs w:val="20"/>
          <w:lang w:eastAsia="it-IT"/>
        </w:rPr>
        <w:t>.</w:t>
      </w:r>
    </w:p>
    <w:p w14:paraId="72E60978" w14:textId="77777777" w:rsidR="00CB6119" w:rsidRPr="00792946" w:rsidRDefault="00CB6119" w:rsidP="00CB6119">
      <w:pPr>
        <w:spacing w:after="0" w:line="360" w:lineRule="auto"/>
        <w:ind w:firstLine="851"/>
        <w:jc w:val="both"/>
        <w:rPr>
          <w:rFonts w:ascii="Palatino Linotype" w:eastAsia="Times New Roman" w:hAnsi="Palatino Linotype" w:cs="Times New Roman"/>
          <w:sz w:val="20"/>
          <w:szCs w:val="20"/>
          <w:lang w:eastAsia="it-IT"/>
        </w:rPr>
      </w:pPr>
      <w:r>
        <w:rPr>
          <w:rFonts w:ascii="Palatino Linotype" w:eastAsia="Times New Roman" w:hAnsi="Palatino Linotype" w:cs="Times New Roman"/>
          <w:sz w:val="20"/>
          <w:szCs w:val="20"/>
          <w:lang w:eastAsia="it-IT"/>
        </w:rPr>
        <w:t>Dett</w:t>
      </w:r>
      <w:r w:rsidR="001A7895" w:rsidRPr="00792946">
        <w:rPr>
          <w:rFonts w:ascii="Palatino Linotype" w:eastAsia="Times New Roman" w:hAnsi="Palatino Linotype" w:cs="Times New Roman"/>
          <w:sz w:val="20"/>
          <w:szCs w:val="20"/>
          <w:lang w:eastAsia="it-IT"/>
        </w:rPr>
        <w:t>a regola</w:t>
      </w:r>
      <w:r w:rsidR="00936328" w:rsidRPr="00792946">
        <w:rPr>
          <w:rFonts w:ascii="Palatino Linotype" w:eastAsia="Times New Roman" w:hAnsi="Palatino Linotype" w:cs="Times New Roman"/>
          <w:sz w:val="20"/>
          <w:szCs w:val="20"/>
          <w:lang w:eastAsia="it-IT"/>
        </w:rPr>
        <w:t xml:space="preserve"> non </w:t>
      </w:r>
      <w:r w:rsidR="001A7895" w:rsidRPr="00792946">
        <w:rPr>
          <w:rFonts w:ascii="Palatino Linotype" w:eastAsia="Times New Roman" w:hAnsi="Palatino Linotype" w:cs="Times New Roman"/>
          <w:sz w:val="20"/>
          <w:szCs w:val="20"/>
          <w:lang w:eastAsia="it-IT"/>
        </w:rPr>
        <w:t>subisce d</w:t>
      </w:r>
      <w:r>
        <w:rPr>
          <w:rFonts w:ascii="Palatino Linotype" w:eastAsia="Times New Roman" w:hAnsi="Palatino Linotype" w:cs="Times New Roman"/>
          <w:sz w:val="20"/>
          <w:szCs w:val="20"/>
          <w:lang w:eastAsia="it-IT"/>
        </w:rPr>
        <w:t>igressioni</w:t>
      </w:r>
      <w:r w:rsidR="001A7895" w:rsidRPr="00792946">
        <w:rPr>
          <w:rFonts w:ascii="Palatino Linotype" w:eastAsia="Times New Roman" w:hAnsi="Palatino Linotype" w:cs="Times New Roman"/>
          <w:sz w:val="20"/>
          <w:szCs w:val="20"/>
          <w:lang w:eastAsia="it-IT"/>
        </w:rPr>
        <w:t xml:space="preserve"> </w:t>
      </w:r>
      <w:r w:rsidR="00936328" w:rsidRPr="00792946">
        <w:rPr>
          <w:rFonts w:ascii="Palatino Linotype" w:eastAsia="Times New Roman" w:hAnsi="Palatino Linotype" w:cs="Times New Roman"/>
          <w:sz w:val="20"/>
          <w:szCs w:val="20"/>
          <w:lang w:eastAsia="it-IT"/>
        </w:rPr>
        <w:t>nel</w:t>
      </w:r>
      <w:r w:rsidR="00F74CD1" w:rsidRPr="00792946">
        <w:rPr>
          <w:rFonts w:ascii="Palatino Linotype" w:eastAsia="Times New Roman" w:hAnsi="Palatino Linotype" w:cs="Times New Roman"/>
          <w:sz w:val="20"/>
          <w:szCs w:val="20"/>
          <w:lang w:eastAsia="it-IT"/>
        </w:rPr>
        <w:t>l’</w:t>
      </w:r>
      <w:r w:rsidR="00936328" w:rsidRPr="00792946">
        <w:rPr>
          <w:rFonts w:ascii="Palatino Linotype" w:eastAsia="Times New Roman" w:hAnsi="Palatino Linotype" w:cs="Times New Roman"/>
          <w:sz w:val="20"/>
          <w:szCs w:val="20"/>
          <w:lang w:eastAsia="it-IT"/>
        </w:rPr>
        <w:t xml:space="preserve">appalto integrato, </w:t>
      </w:r>
      <w:r>
        <w:rPr>
          <w:rFonts w:ascii="Palatino Linotype" w:eastAsia="Times New Roman" w:hAnsi="Palatino Linotype" w:cs="Times New Roman"/>
          <w:sz w:val="20"/>
          <w:szCs w:val="20"/>
          <w:lang w:eastAsia="it-IT"/>
        </w:rPr>
        <w:t xml:space="preserve">che si </w:t>
      </w:r>
      <w:r w:rsidR="00936328" w:rsidRPr="00792946">
        <w:rPr>
          <w:rFonts w:ascii="Palatino Linotype" w:eastAsia="Times New Roman" w:hAnsi="Palatino Linotype" w:cs="Times New Roman"/>
          <w:sz w:val="20"/>
          <w:szCs w:val="20"/>
          <w:lang w:eastAsia="it-IT"/>
        </w:rPr>
        <w:t>caratterizza</w:t>
      </w:r>
      <w:r>
        <w:rPr>
          <w:rFonts w:ascii="Palatino Linotype" w:eastAsia="Times New Roman" w:hAnsi="Palatino Linotype" w:cs="Times New Roman"/>
          <w:sz w:val="20"/>
          <w:szCs w:val="20"/>
          <w:lang w:eastAsia="it-IT"/>
        </w:rPr>
        <w:t xml:space="preserve"> per i</w:t>
      </w:r>
      <w:r w:rsidR="00936328" w:rsidRPr="00792946">
        <w:rPr>
          <w:rFonts w:ascii="Palatino Linotype" w:eastAsia="Times New Roman" w:hAnsi="Palatino Linotype" w:cs="Times New Roman"/>
          <w:sz w:val="20"/>
          <w:szCs w:val="20"/>
          <w:lang w:eastAsia="it-IT"/>
        </w:rPr>
        <w:t xml:space="preserve">l fatto che l’oggetto negoziale </w:t>
      </w:r>
      <w:r>
        <w:rPr>
          <w:rFonts w:ascii="Palatino Linotype" w:eastAsia="Times New Roman" w:hAnsi="Palatino Linotype" w:cs="Times New Roman"/>
          <w:sz w:val="20"/>
          <w:szCs w:val="20"/>
          <w:lang w:eastAsia="it-IT"/>
        </w:rPr>
        <w:t xml:space="preserve">riguarda insieme la </w:t>
      </w:r>
      <w:r w:rsidR="00936328" w:rsidRPr="00792946">
        <w:rPr>
          <w:rFonts w:ascii="Palatino Linotype" w:eastAsia="Times New Roman" w:hAnsi="Palatino Linotype" w:cs="Times New Roman"/>
          <w:sz w:val="20"/>
          <w:szCs w:val="20"/>
          <w:lang w:eastAsia="it-IT"/>
        </w:rPr>
        <w:t>progettazione e</w:t>
      </w:r>
      <w:r>
        <w:rPr>
          <w:rFonts w:ascii="Palatino Linotype" w:eastAsia="Times New Roman" w:hAnsi="Palatino Linotype" w:cs="Times New Roman"/>
          <w:sz w:val="20"/>
          <w:szCs w:val="20"/>
          <w:lang w:eastAsia="it-IT"/>
        </w:rPr>
        <w:t xml:space="preserve"> l’</w:t>
      </w:r>
      <w:r w:rsidR="00936328" w:rsidRPr="00792946">
        <w:rPr>
          <w:rFonts w:ascii="Palatino Linotype" w:eastAsia="Times New Roman" w:hAnsi="Palatino Linotype" w:cs="Times New Roman"/>
          <w:sz w:val="20"/>
          <w:szCs w:val="20"/>
          <w:lang w:eastAsia="it-IT"/>
        </w:rPr>
        <w:t xml:space="preserve">esecuzione dei lavori, </w:t>
      </w:r>
      <w:r w:rsidR="001A7895" w:rsidRPr="00792946">
        <w:rPr>
          <w:rFonts w:ascii="Palatino Linotype" w:eastAsia="Times New Roman" w:hAnsi="Palatino Linotype" w:cs="Times New Roman"/>
          <w:sz w:val="20"/>
          <w:szCs w:val="20"/>
          <w:lang w:eastAsia="it-IT"/>
        </w:rPr>
        <w:t>posto che</w:t>
      </w:r>
      <w:r w:rsidR="00936328" w:rsidRPr="00792946">
        <w:rPr>
          <w:rFonts w:ascii="Palatino Linotype" w:eastAsia="Times New Roman" w:hAnsi="Palatino Linotype" w:cs="Times New Roman"/>
          <w:sz w:val="20"/>
          <w:szCs w:val="20"/>
          <w:lang w:eastAsia="it-IT"/>
        </w:rPr>
        <w:t xml:space="preserve"> il contratto </w:t>
      </w:r>
      <w:r w:rsidR="00F46369" w:rsidRPr="00792946">
        <w:rPr>
          <w:rFonts w:ascii="Palatino Linotype" w:eastAsia="Times New Roman" w:hAnsi="Palatino Linotype" w:cs="Times New Roman"/>
          <w:sz w:val="20"/>
          <w:szCs w:val="20"/>
          <w:lang w:eastAsia="it-IT"/>
        </w:rPr>
        <w:t xml:space="preserve">resta unico e </w:t>
      </w:r>
      <w:r w:rsidR="00AA4150" w:rsidRPr="00792946">
        <w:rPr>
          <w:rFonts w:ascii="Palatino Linotype" w:eastAsia="Times New Roman" w:hAnsi="Palatino Linotype" w:cs="Times New Roman"/>
          <w:sz w:val="20"/>
          <w:szCs w:val="20"/>
          <w:lang w:eastAsia="it-IT"/>
        </w:rPr>
        <w:t>continua ad</w:t>
      </w:r>
      <w:r w:rsidR="00936328" w:rsidRPr="00792946">
        <w:rPr>
          <w:rFonts w:ascii="Palatino Linotype" w:eastAsia="Times New Roman" w:hAnsi="Palatino Linotype" w:cs="Times New Roman"/>
          <w:sz w:val="20"/>
          <w:szCs w:val="20"/>
          <w:lang w:eastAsia="it-IT"/>
        </w:rPr>
        <w:t xml:space="preserve"> </w:t>
      </w:r>
      <w:r w:rsidR="00AA4150" w:rsidRPr="00792946">
        <w:rPr>
          <w:rFonts w:ascii="Palatino Linotype" w:eastAsia="Times New Roman" w:hAnsi="Palatino Linotype" w:cs="Times New Roman"/>
          <w:sz w:val="20"/>
          <w:szCs w:val="20"/>
          <w:lang w:eastAsia="it-IT"/>
        </w:rPr>
        <w:t xml:space="preserve">essere </w:t>
      </w:r>
      <w:r w:rsidR="00936328" w:rsidRPr="00792946">
        <w:rPr>
          <w:rFonts w:ascii="Palatino Linotype" w:eastAsia="Times New Roman" w:hAnsi="Palatino Linotype" w:cs="Times New Roman"/>
          <w:sz w:val="20"/>
          <w:szCs w:val="20"/>
          <w:lang w:eastAsia="it-IT"/>
        </w:rPr>
        <w:t>sottoscritto da</w:t>
      </w:r>
      <w:r w:rsidR="00AA4150" w:rsidRPr="00792946">
        <w:rPr>
          <w:rFonts w:ascii="Palatino Linotype" w:eastAsia="Times New Roman" w:hAnsi="Palatino Linotype" w:cs="Times New Roman"/>
          <w:sz w:val="20"/>
          <w:szCs w:val="20"/>
          <w:lang w:eastAsia="it-IT"/>
        </w:rPr>
        <w:t xml:space="preserve">l </w:t>
      </w:r>
      <w:r w:rsidR="00F46369" w:rsidRPr="00792946">
        <w:rPr>
          <w:rFonts w:ascii="Palatino Linotype" w:eastAsia="Times New Roman" w:hAnsi="Palatino Linotype" w:cs="Times New Roman"/>
          <w:sz w:val="20"/>
          <w:szCs w:val="20"/>
          <w:lang w:eastAsia="it-IT"/>
        </w:rPr>
        <w:t xml:space="preserve">solo </w:t>
      </w:r>
      <w:r w:rsidR="00AA4150" w:rsidRPr="00792946">
        <w:rPr>
          <w:rFonts w:ascii="Palatino Linotype" w:eastAsia="Times New Roman" w:hAnsi="Palatino Linotype" w:cs="Times New Roman"/>
          <w:sz w:val="20"/>
          <w:szCs w:val="20"/>
          <w:lang w:eastAsia="it-IT"/>
        </w:rPr>
        <w:t>concorrente</w:t>
      </w:r>
      <w:r w:rsidRPr="00792946">
        <w:rPr>
          <w:rFonts w:ascii="Palatino Linotype" w:eastAsia="Times New Roman" w:hAnsi="Palatino Linotype" w:cs="Times New Roman"/>
          <w:sz w:val="20"/>
          <w:szCs w:val="20"/>
          <w:lang w:eastAsia="it-IT"/>
        </w:rPr>
        <w:t>.</w:t>
      </w:r>
    </w:p>
    <w:p w14:paraId="7E0624D8" w14:textId="77777777" w:rsidR="00FD7EEC" w:rsidRPr="00792946" w:rsidRDefault="00C23408"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A riprova di </w:t>
      </w:r>
      <w:r w:rsidR="00F74CD1" w:rsidRPr="00792946">
        <w:rPr>
          <w:rFonts w:ascii="Palatino Linotype" w:eastAsia="Times New Roman" w:hAnsi="Palatino Linotype" w:cs="Times New Roman"/>
          <w:sz w:val="20"/>
          <w:szCs w:val="20"/>
          <w:lang w:eastAsia="it-IT"/>
        </w:rPr>
        <w:t>ciò</w:t>
      </w:r>
      <w:r w:rsidRPr="00792946">
        <w:rPr>
          <w:rFonts w:ascii="Palatino Linotype" w:eastAsia="Times New Roman" w:hAnsi="Palatino Linotype" w:cs="Times New Roman"/>
          <w:sz w:val="20"/>
          <w:szCs w:val="20"/>
          <w:lang w:eastAsia="it-IT"/>
        </w:rPr>
        <w:t>, v</w:t>
      </w:r>
      <w:r w:rsidR="005727CE" w:rsidRPr="00792946">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è che</w:t>
      </w:r>
      <w:r w:rsidR="00FD7EEC" w:rsidRPr="00792946">
        <w:rPr>
          <w:rFonts w:ascii="Palatino Linotype" w:eastAsia="Times New Roman" w:hAnsi="Palatino Linotype" w:cs="Times New Roman"/>
          <w:sz w:val="20"/>
          <w:szCs w:val="20"/>
          <w:lang w:eastAsia="it-IT"/>
        </w:rPr>
        <w:t xml:space="preserve"> la nomina del progettista è stata semplicemente indicata dal raggruppamento aggiudicatario, senza </w:t>
      </w:r>
      <w:r w:rsidR="00861574">
        <w:rPr>
          <w:rFonts w:ascii="Palatino Linotype" w:eastAsia="Times New Roman" w:hAnsi="Palatino Linotype" w:cs="Times New Roman"/>
          <w:sz w:val="20"/>
          <w:szCs w:val="20"/>
          <w:lang w:eastAsia="it-IT"/>
        </w:rPr>
        <w:t xml:space="preserve">necessità di </w:t>
      </w:r>
      <w:r w:rsidR="00FD7EEC" w:rsidRPr="00792946">
        <w:rPr>
          <w:rFonts w:ascii="Palatino Linotype" w:eastAsia="Times New Roman" w:hAnsi="Palatino Linotype" w:cs="Times New Roman"/>
          <w:sz w:val="20"/>
          <w:szCs w:val="20"/>
          <w:lang w:eastAsia="it-IT"/>
        </w:rPr>
        <w:t>prod</w:t>
      </w:r>
      <w:r w:rsidR="00861574">
        <w:rPr>
          <w:rFonts w:ascii="Palatino Linotype" w:eastAsia="Times New Roman" w:hAnsi="Palatino Linotype" w:cs="Times New Roman"/>
          <w:sz w:val="20"/>
          <w:szCs w:val="20"/>
          <w:lang w:eastAsia="it-IT"/>
        </w:rPr>
        <w:t>urre</w:t>
      </w:r>
      <w:r w:rsidR="00FD7EEC" w:rsidRPr="00792946">
        <w:rPr>
          <w:rFonts w:ascii="Palatino Linotype" w:eastAsia="Times New Roman" w:hAnsi="Palatino Linotype" w:cs="Times New Roman"/>
          <w:sz w:val="20"/>
          <w:szCs w:val="20"/>
          <w:lang w:eastAsia="it-IT"/>
        </w:rPr>
        <w:t xml:space="preserve"> un contratto di avvalimento</w:t>
      </w:r>
      <w:r w:rsidR="005727CE" w:rsidRPr="00792946">
        <w:rPr>
          <w:rFonts w:ascii="Palatino Linotype" w:eastAsia="Times New Roman" w:hAnsi="Palatino Linotype" w:cs="Times New Roman"/>
          <w:sz w:val="20"/>
          <w:szCs w:val="20"/>
          <w:lang w:eastAsia="it-IT"/>
        </w:rPr>
        <w:t>; il che</w:t>
      </w:r>
      <w:r w:rsidR="00C07F86" w:rsidRPr="00792946">
        <w:rPr>
          <w:rFonts w:ascii="Palatino Linotype" w:eastAsia="Times New Roman" w:hAnsi="Palatino Linotype" w:cs="Times New Roman"/>
          <w:sz w:val="20"/>
          <w:szCs w:val="20"/>
          <w:lang w:eastAsia="it-IT"/>
        </w:rPr>
        <w:t>,</w:t>
      </w:r>
      <w:r w:rsidR="005727CE" w:rsidRPr="00792946">
        <w:rPr>
          <w:rFonts w:ascii="Palatino Linotype" w:eastAsia="Times New Roman" w:hAnsi="Palatino Linotype" w:cs="Times New Roman"/>
          <w:sz w:val="20"/>
          <w:szCs w:val="20"/>
          <w:lang w:eastAsia="it-IT"/>
        </w:rPr>
        <w:t xml:space="preserve"> per altro,</w:t>
      </w:r>
      <w:r w:rsidR="00FD7EEC" w:rsidRPr="00792946">
        <w:rPr>
          <w:rFonts w:ascii="Palatino Linotype" w:eastAsia="Times New Roman" w:hAnsi="Palatino Linotype" w:cs="Times New Roman"/>
          <w:sz w:val="20"/>
          <w:szCs w:val="20"/>
          <w:lang w:eastAsia="it-IT"/>
        </w:rPr>
        <w:t xml:space="preserve"> quand’anche si dovesse ritenere che la nomina vada intesa come avvalimento in senso tecnico</w:t>
      </w:r>
      <w:r w:rsidR="005727CE" w:rsidRPr="00792946">
        <w:rPr>
          <w:rFonts w:ascii="Palatino Linotype" w:eastAsia="Times New Roman" w:hAnsi="Palatino Linotype" w:cs="Times New Roman"/>
          <w:sz w:val="20"/>
          <w:szCs w:val="20"/>
          <w:lang w:eastAsia="it-IT"/>
        </w:rPr>
        <w:t>,</w:t>
      </w:r>
      <w:r w:rsidR="00AA4150" w:rsidRPr="00792946">
        <w:rPr>
          <w:rFonts w:ascii="Palatino Linotype" w:eastAsia="Times New Roman" w:hAnsi="Palatino Linotype" w:cs="Times New Roman"/>
          <w:sz w:val="20"/>
          <w:szCs w:val="20"/>
          <w:lang w:eastAsia="it-IT"/>
        </w:rPr>
        <w:t xml:space="preserve"> </w:t>
      </w:r>
      <w:r w:rsidR="00FD7EEC" w:rsidRPr="00792946">
        <w:rPr>
          <w:rFonts w:ascii="Palatino Linotype" w:eastAsia="Times New Roman" w:hAnsi="Palatino Linotype" w:cs="Times New Roman"/>
          <w:sz w:val="20"/>
          <w:szCs w:val="20"/>
          <w:lang w:eastAsia="it-IT"/>
        </w:rPr>
        <w:t>rendere</w:t>
      </w:r>
      <w:r w:rsidRPr="00792946">
        <w:rPr>
          <w:rFonts w:ascii="Palatino Linotype" w:eastAsia="Times New Roman" w:hAnsi="Palatino Linotype" w:cs="Times New Roman"/>
          <w:sz w:val="20"/>
          <w:szCs w:val="20"/>
          <w:lang w:eastAsia="it-IT"/>
        </w:rPr>
        <w:t>bbe</w:t>
      </w:r>
      <w:r w:rsidR="00FD7EEC"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 xml:space="preserve">l’offerta </w:t>
      </w:r>
      <w:r w:rsidR="00FD7EEC" w:rsidRPr="00792946">
        <w:rPr>
          <w:rFonts w:ascii="Palatino Linotype" w:eastAsia="Times New Roman" w:hAnsi="Palatino Linotype" w:cs="Times New Roman"/>
          <w:sz w:val="20"/>
          <w:szCs w:val="20"/>
          <w:lang w:eastAsia="it-IT"/>
        </w:rPr>
        <w:t xml:space="preserve">per ciò solo </w:t>
      </w:r>
      <w:r w:rsidRPr="00792946">
        <w:rPr>
          <w:rFonts w:ascii="Palatino Linotype" w:eastAsia="Times New Roman" w:hAnsi="Palatino Linotype" w:cs="Times New Roman"/>
          <w:sz w:val="20"/>
          <w:szCs w:val="20"/>
          <w:lang w:eastAsia="it-IT"/>
        </w:rPr>
        <w:t>illegittima</w:t>
      </w:r>
      <w:r w:rsidR="00FD7EEC" w:rsidRPr="00792946">
        <w:rPr>
          <w:rStyle w:val="Rimandonotaapidipagina"/>
          <w:rFonts w:ascii="Palatino Linotype" w:eastAsia="Times New Roman" w:hAnsi="Palatino Linotype" w:cs="Times New Roman"/>
          <w:sz w:val="20"/>
          <w:szCs w:val="20"/>
          <w:lang w:eastAsia="it-IT"/>
        </w:rPr>
        <w:footnoteReference w:id="37"/>
      </w:r>
      <w:r w:rsidR="00FD7EEC" w:rsidRPr="00792946">
        <w:rPr>
          <w:rFonts w:ascii="Palatino Linotype" w:eastAsia="Times New Roman" w:hAnsi="Palatino Linotype" w:cs="Times New Roman"/>
          <w:sz w:val="20"/>
          <w:szCs w:val="20"/>
          <w:lang w:eastAsia="it-IT"/>
        </w:rPr>
        <w:t>.</w:t>
      </w:r>
    </w:p>
    <w:p w14:paraId="4CC0742B" w14:textId="77777777" w:rsidR="00C07F86" w:rsidRPr="00792946" w:rsidRDefault="00C07F86"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Il fatto che l’impresa abbia indicato in offerta unicamente il professionista</w:t>
      </w:r>
      <w:r w:rsidR="00CB6119">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e non anche la società sua ausiliata, esclude poi che il contratto di avvalimento intervenuto questi ultimi possa eventualmente riqualificarsi come una forma, sia pur anomala, di associazione temporanea tra professionisti complessivamente munita dei requisiti richiesti dal bando.</w:t>
      </w:r>
    </w:p>
    <w:p w14:paraId="0E357FA6" w14:textId="77777777" w:rsidR="00CB6119" w:rsidRPr="00792946" w:rsidRDefault="004E7C17" w:rsidP="00347275">
      <w:pPr>
        <w:spacing w:after="0" w:line="360" w:lineRule="auto"/>
        <w:ind w:firstLine="851"/>
        <w:jc w:val="both"/>
        <w:rPr>
          <w:rFonts w:ascii="Palatino Linotype" w:eastAsia="Times New Roman" w:hAnsi="Palatino Linotype" w:cs="Times New Roman"/>
          <w:sz w:val="20"/>
          <w:szCs w:val="20"/>
          <w:lang w:eastAsia="it-IT"/>
        </w:rPr>
      </w:pPr>
      <w:r>
        <w:rPr>
          <w:rFonts w:ascii="Palatino Linotype" w:eastAsia="Times New Roman" w:hAnsi="Palatino Linotype" w:cs="Times New Roman"/>
          <w:sz w:val="20"/>
          <w:szCs w:val="20"/>
          <w:lang w:eastAsia="it-IT"/>
        </w:rPr>
        <w:t>Inoltre, i</w:t>
      </w:r>
      <w:r w:rsidR="00CB6119" w:rsidRPr="00792946">
        <w:rPr>
          <w:rFonts w:ascii="Palatino Linotype" w:eastAsia="Times New Roman" w:hAnsi="Palatino Linotype" w:cs="Times New Roman"/>
          <w:sz w:val="20"/>
          <w:szCs w:val="20"/>
          <w:lang w:eastAsia="it-IT"/>
        </w:rPr>
        <w:t>l progettista indicato</w:t>
      </w:r>
      <w:r w:rsidR="00CB6119">
        <w:rPr>
          <w:rFonts w:ascii="Palatino Linotype" w:eastAsia="Times New Roman" w:hAnsi="Palatino Linotype" w:cs="Times New Roman"/>
          <w:sz w:val="20"/>
          <w:szCs w:val="20"/>
          <w:lang w:eastAsia="it-IT"/>
        </w:rPr>
        <w:t>,</w:t>
      </w:r>
      <w:r w:rsidR="00CB6119" w:rsidRPr="00792946">
        <w:rPr>
          <w:rFonts w:ascii="Palatino Linotype" w:eastAsia="Times New Roman" w:hAnsi="Palatino Linotype" w:cs="Times New Roman"/>
          <w:sz w:val="20"/>
          <w:szCs w:val="20"/>
          <w:lang w:eastAsia="it-IT"/>
        </w:rPr>
        <w:t xml:space="preserve"> non </w:t>
      </w:r>
      <w:r w:rsidR="00CB6119">
        <w:rPr>
          <w:rFonts w:ascii="Palatino Linotype" w:eastAsia="Times New Roman" w:hAnsi="Palatino Linotype" w:cs="Times New Roman"/>
          <w:sz w:val="20"/>
          <w:szCs w:val="20"/>
          <w:lang w:eastAsia="it-IT"/>
        </w:rPr>
        <w:t>operando</w:t>
      </w:r>
      <w:r w:rsidR="00CB6119" w:rsidRPr="00792946">
        <w:rPr>
          <w:rFonts w:ascii="Palatino Linotype" w:eastAsia="Times New Roman" w:hAnsi="Palatino Linotype" w:cs="Times New Roman"/>
          <w:sz w:val="20"/>
          <w:szCs w:val="20"/>
          <w:lang w:eastAsia="it-IT"/>
        </w:rPr>
        <w:t xml:space="preserve"> in proprio</w:t>
      </w:r>
      <w:r w:rsidR="00CB6119">
        <w:rPr>
          <w:rFonts w:ascii="Palatino Linotype" w:eastAsia="Times New Roman" w:hAnsi="Palatino Linotype" w:cs="Times New Roman"/>
          <w:sz w:val="20"/>
          <w:szCs w:val="20"/>
          <w:lang w:eastAsia="it-IT"/>
        </w:rPr>
        <w:t>,</w:t>
      </w:r>
      <w:r w:rsidR="00CB6119" w:rsidRPr="00792946">
        <w:rPr>
          <w:rFonts w:ascii="Palatino Linotype" w:eastAsia="Times New Roman" w:hAnsi="Palatino Linotype" w:cs="Times New Roman"/>
          <w:sz w:val="20"/>
          <w:szCs w:val="20"/>
          <w:lang w:eastAsia="it-IT"/>
        </w:rPr>
        <w:t xml:space="preserve"> non </w:t>
      </w:r>
      <w:r>
        <w:rPr>
          <w:rFonts w:ascii="Palatino Linotype" w:eastAsia="Times New Roman" w:hAnsi="Palatino Linotype" w:cs="Times New Roman"/>
          <w:sz w:val="20"/>
          <w:szCs w:val="20"/>
          <w:lang w:eastAsia="it-IT"/>
        </w:rPr>
        <w:t xml:space="preserve">è </w:t>
      </w:r>
      <w:r w:rsidR="00CB6119" w:rsidRPr="00792946">
        <w:rPr>
          <w:rFonts w:ascii="Palatino Linotype" w:eastAsia="Times New Roman" w:hAnsi="Palatino Linotype" w:cs="Times New Roman"/>
          <w:sz w:val="20"/>
          <w:szCs w:val="20"/>
          <w:lang w:eastAsia="it-IT"/>
        </w:rPr>
        <w:t xml:space="preserve">qualificabile alla stregua di un ‘operatore economico’ neppure in forza dell’interpretazione estensiva </w:t>
      </w:r>
      <w:r>
        <w:rPr>
          <w:rFonts w:ascii="Palatino Linotype" w:eastAsia="Times New Roman" w:hAnsi="Palatino Linotype" w:cs="Times New Roman"/>
          <w:sz w:val="20"/>
          <w:szCs w:val="20"/>
          <w:lang w:eastAsia="it-IT"/>
        </w:rPr>
        <w:t>che la</w:t>
      </w:r>
      <w:r w:rsidR="00CB6119" w:rsidRPr="00792946">
        <w:rPr>
          <w:rFonts w:ascii="Palatino Linotype" w:eastAsia="Times New Roman" w:hAnsi="Palatino Linotype" w:cs="Times New Roman"/>
          <w:sz w:val="20"/>
          <w:szCs w:val="20"/>
          <w:lang w:eastAsia="it-IT"/>
        </w:rPr>
        <w:t xml:space="preserve"> Corte di giustizia </w:t>
      </w:r>
      <w:r>
        <w:rPr>
          <w:rFonts w:ascii="Palatino Linotype" w:eastAsia="Times New Roman" w:hAnsi="Palatino Linotype" w:cs="Times New Roman"/>
          <w:sz w:val="20"/>
          <w:szCs w:val="20"/>
          <w:lang w:eastAsia="it-IT"/>
        </w:rPr>
        <w:t xml:space="preserve">applica </w:t>
      </w:r>
      <w:r w:rsidR="00CB6119" w:rsidRPr="00792946">
        <w:rPr>
          <w:rFonts w:ascii="Palatino Linotype" w:eastAsia="Times New Roman" w:hAnsi="Palatino Linotype" w:cs="Times New Roman"/>
          <w:sz w:val="20"/>
          <w:szCs w:val="20"/>
          <w:lang w:eastAsia="it-IT"/>
        </w:rPr>
        <w:t>agli artt. 47, § 2, e 48, § 3, della direttiva 2004/18</w:t>
      </w:r>
      <w:r>
        <w:rPr>
          <w:rFonts w:ascii="Palatino Linotype" w:eastAsia="Times New Roman" w:hAnsi="Palatino Linotype" w:cs="Times New Roman"/>
          <w:sz w:val="20"/>
          <w:szCs w:val="20"/>
          <w:lang w:eastAsia="it-IT"/>
        </w:rPr>
        <w:t xml:space="preserve"> e</w:t>
      </w:r>
      <w:r w:rsidR="00CB6119" w:rsidRPr="00792946">
        <w:rPr>
          <w:rFonts w:ascii="Palatino Linotype" w:eastAsia="Times New Roman" w:hAnsi="Palatino Linotype" w:cs="Times New Roman"/>
          <w:sz w:val="20"/>
          <w:szCs w:val="20"/>
          <w:lang w:eastAsia="it-IT"/>
        </w:rPr>
        <w:t xml:space="preserve"> che giunge a ricomprendere </w:t>
      </w:r>
      <w:r>
        <w:rPr>
          <w:rFonts w:ascii="Palatino Linotype" w:eastAsia="Times New Roman" w:hAnsi="Palatino Linotype" w:cs="Times New Roman"/>
          <w:sz w:val="20"/>
          <w:szCs w:val="20"/>
          <w:lang w:eastAsia="it-IT"/>
        </w:rPr>
        <w:t xml:space="preserve">in tale nozione </w:t>
      </w:r>
      <w:r w:rsidR="00CB6119" w:rsidRPr="00792946">
        <w:rPr>
          <w:rFonts w:ascii="Palatino Linotype" w:eastAsia="Times New Roman" w:hAnsi="Palatino Linotype" w:cs="Times New Roman"/>
          <w:sz w:val="20"/>
          <w:szCs w:val="20"/>
          <w:lang w:eastAsia="it-IT"/>
        </w:rPr>
        <w:t>qualunque persona o ente collettivo che operi sul mercato ed è tenuto a dimostrare il possesso dei requisiti in gara, “</w:t>
      </w:r>
      <w:r w:rsidR="00CB6119" w:rsidRPr="00792946">
        <w:rPr>
          <w:rFonts w:ascii="Palatino Linotype" w:eastAsia="Times New Roman" w:hAnsi="Palatino Linotype" w:cs="Times New Roman"/>
          <w:iCs/>
          <w:sz w:val="20"/>
          <w:szCs w:val="20"/>
          <w:lang w:eastAsia="it-IT"/>
        </w:rPr>
        <w:t>a prescindere dalla forma giuridica nel quadro della quale ha deciso di operare”</w:t>
      </w:r>
      <w:r w:rsidR="00CB6119" w:rsidRPr="00792946">
        <w:rPr>
          <w:rStyle w:val="Rimandonotaapidipagina"/>
          <w:rFonts w:ascii="Palatino Linotype" w:eastAsia="Times New Roman" w:hAnsi="Palatino Linotype" w:cs="Times New Roman"/>
          <w:sz w:val="20"/>
          <w:szCs w:val="20"/>
          <w:lang w:eastAsia="it-IT"/>
        </w:rPr>
        <w:footnoteReference w:id="38"/>
      </w:r>
      <w:r>
        <w:rPr>
          <w:rFonts w:ascii="Palatino Linotype" w:eastAsia="Times New Roman" w:hAnsi="Palatino Linotype" w:cs="Times New Roman"/>
          <w:iCs/>
          <w:sz w:val="20"/>
          <w:szCs w:val="20"/>
          <w:lang w:eastAsia="it-IT"/>
        </w:rPr>
        <w:t>.</w:t>
      </w:r>
    </w:p>
    <w:p w14:paraId="356EB79B" w14:textId="77777777" w:rsidR="00CB6119" w:rsidRDefault="00CB6119" w:rsidP="00CB6119">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Pertanto, </w:t>
      </w:r>
      <w:r w:rsidR="004E7C17">
        <w:rPr>
          <w:rFonts w:ascii="Palatino Linotype" w:eastAsia="Times New Roman" w:hAnsi="Palatino Linotype" w:cs="Times New Roman"/>
          <w:sz w:val="20"/>
          <w:szCs w:val="20"/>
          <w:lang w:eastAsia="it-IT"/>
        </w:rPr>
        <w:t xml:space="preserve">sia per il diritto interno che per quello europeo, </w:t>
      </w:r>
      <w:r w:rsidRPr="00792946">
        <w:rPr>
          <w:rFonts w:ascii="Palatino Linotype" w:eastAsia="Times New Roman" w:hAnsi="Palatino Linotype" w:cs="Times New Roman"/>
          <w:sz w:val="20"/>
          <w:szCs w:val="20"/>
          <w:lang w:eastAsia="it-IT"/>
        </w:rPr>
        <w:t xml:space="preserve">il progettista esterno </w:t>
      </w:r>
      <w:r w:rsidR="004E7C17">
        <w:rPr>
          <w:rFonts w:ascii="Palatino Linotype" w:eastAsia="Times New Roman" w:hAnsi="Palatino Linotype" w:cs="Times New Roman"/>
          <w:sz w:val="20"/>
          <w:szCs w:val="20"/>
          <w:lang w:eastAsia="it-IT"/>
        </w:rPr>
        <w:t xml:space="preserve">non è un ‘operatore economico‘ e </w:t>
      </w:r>
      <w:r w:rsidRPr="00792946">
        <w:rPr>
          <w:rFonts w:ascii="Palatino Linotype" w:eastAsia="Times New Roman" w:hAnsi="Palatino Linotype" w:cs="Times New Roman"/>
          <w:sz w:val="20"/>
          <w:szCs w:val="20"/>
          <w:lang w:eastAsia="it-IT"/>
        </w:rPr>
        <w:t>deve possedere in proprio i requisiti richiesti per eseguire la prestazione professionale, essendogli precluso di sopperire a</w:t>
      </w:r>
      <w:r>
        <w:rPr>
          <w:rFonts w:ascii="Palatino Linotype" w:eastAsia="Times New Roman" w:hAnsi="Palatino Linotype" w:cs="Times New Roman"/>
          <w:sz w:val="20"/>
          <w:szCs w:val="20"/>
          <w:lang w:eastAsia="it-IT"/>
        </w:rPr>
        <w:t>d</w:t>
      </w:r>
      <w:r w:rsidRPr="00792946">
        <w:rPr>
          <w:rFonts w:ascii="Palatino Linotype" w:eastAsia="Times New Roman" w:hAnsi="Palatino Linotype" w:cs="Times New Roman"/>
          <w:sz w:val="20"/>
          <w:szCs w:val="20"/>
          <w:lang w:eastAsia="it-IT"/>
        </w:rPr>
        <w:t xml:space="preserve"> eventuali lacune, utilizzando i requisiti di altro progettista, singolo o associato.</w:t>
      </w:r>
    </w:p>
    <w:p w14:paraId="738686E7" w14:textId="77777777" w:rsidR="00C2761D" w:rsidRPr="00792946" w:rsidRDefault="005727CE" w:rsidP="004E7C17">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L</w:t>
      </w:r>
      <w:r w:rsidR="00447AF0" w:rsidRPr="00792946">
        <w:rPr>
          <w:rFonts w:ascii="Palatino Linotype" w:eastAsia="Times New Roman" w:hAnsi="Palatino Linotype" w:cs="Times New Roman"/>
          <w:sz w:val="20"/>
          <w:szCs w:val="20"/>
          <w:lang w:eastAsia="it-IT"/>
        </w:rPr>
        <w:t xml:space="preserve">a questione </w:t>
      </w:r>
      <w:r w:rsidR="00C2761D" w:rsidRPr="00792946">
        <w:rPr>
          <w:rFonts w:ascii="Palatino Linotype" w:eastAsia="Times New Roman" w:hAnsi="Palatino Linotype" w:cs="Times New Roman"/>
          <w:sz w:val="20"/>
          <w:szCs w:val="20"/>
          <w:lang w:eastAsia="it-IT"/>
        </w:rPr>
        <w:t>è</w:t>
      </w:r>
      <w:r w:rsidRPr="00792946">
        <w:rPr>
          <w:rFonts w:ascii="Palatino Linotype" w:eastAsia="Times New Roman" w:hAnsi="Palatino Linotype" w:cs="Times New Roman"/>
          <w:sz w:val="20"/>
          <w:szCs w:val="20"/>
          <w:lang w:eastAsia="it-IT"/>
        </w:rPr>
        <w:t xml:space="preserve"> dunque </w:t>
      </w:r>
      <w:r w:rsidR="00F74CD1" w:rsidRPr="00792946">
        <w:rPr>
          <w:rFonts w:ascii="Palatino Linotype" w:eastAsia="Times New Roman" w:hAnsi="Palatino Linotype" w:cs="Times New Roman"/>
          <w:sz w:val="20"/>
          <w:szCs w:val="20"/>
          <w:lang w:eastAsia="it-IT"/>
        </w:rPr>
        <w:t>risol</w:t>
      </w:r>
      <w:r w:rsidR="00447AF0" w:rsidRPr="00792946">
        <w:rPr>
          <w:rFonts w:ascii="Palatino Linotype" w:eastAsia="Times New Roman" w:hAnsi="Palatino Linotype" w:cs="Times New Roman"/>
          <w:sz w:val="20"/>
          <w:szCs w:val="20"/>
          <w:lang w:eastAsia="it-IT"/>
        </w:rPr>
        <w:t>ta</w:t>
      </w:r>
      <w:r w:rsidR="00F74CD1"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dall’Adunanza plenaria</w:t>
      </w:r>
      <w:r w:rsidR="004E7C17">
        <w:rPr>
          <w:rFonts w:ascii="Palatino Linotype" w:eastAsia="Times New Roman" w:hAnsi="Palatino Linotype" w:cs="Times New Roman"/>
          <w:sz w:val="20"/>
          <w:szCs w:val="20"/>
          <w:lang w:eastAsia="it-IT"/>
        </w:rPr>
        <w:t>,</w:t>
      </w:r>
      <w:r w:rsidRPr="00792946">
        <w:rPr>
          <w:rFonts w:ascii="Palatino Linotype" w:eastAsia="Times New Roman" w:hAnsi="Palatino Linotype" w:cs="Times New Roman"/>
          <w:sz w:val="20"/>
          <w:szCs w:val="20"/>
          <w:lang w:eastAsia="it-IT"/>
        </w:rPr>
        <w:t xml:space="preserve"> </w:t>
      </w:r>
      <w:r w:rsidR="00F74CD1" w:rsidRPr="00792946">
        <w:rPr>
          <w:rFonts w:ascii="Palatino Linotype" w:eastAsia="Times New Roman" w:hAnsi="Palatino Linotype" w:cs="Times New Roman"/>
          <w:sz w:val="20"/>
          <w:szCs w:val="20"/>
          <w:lang w:eastAsia="it-IT"/>
        </w:rPr>
        <w:t>senza</w:t>
      </w:r>
      <w:r w:rsidR="00A202A9" w:rsidRPr="00792946">
        <w:rPr>
          <w:rFonts w:ascii="Palatino Linotype" w:eastAsia="Times New Roman" w:hAnsi="Palatino Linotype" w:cs="Times New Roman"/>
          <w:sz w:val="20"/>
          <w:szCs w:val="20"/>
          <w:lang w:eastAsia="it-IT"/>
        </w:rPr>
        <w:t xml:space="preserve"> </w:t>
      </w:r>
      <w:r w:rsidR="00F74CD1" w:rsidRPr="00792946">
        <w:rPr>
          <w:rFonts w:ascii="Palatino Linotype" w:eastAsia="Times New Roman" w:hAnsi="Palatino Linotype" w:cs="Times New Roman"/>
          <w:sz w:val="20"/>
          <w:szCs w:val="20"/>
          <w:lang w:eastAsia="it-IT"/>
        </w:rPr>
        <w:t>affrontare l</w:t>
      </w:r>
      <w:r w:rsidR="00884768" w:rsidRPr="00792946">
        <w:rPr>
          <w:rFonts w:ascii="Palatino Linotype" w:eastAsia="Times New Roman" w:hAnsi="Palatino Linotype" w:cs="Times New Roman"/>
          <w:sz w:val="20"/>
          <w:szCs w:val="20"/>
          <w:lang w:eastAsia="it-IT"/>
        </w:rPr>
        <w:t>’ulteriore</w:t>
      </w:r>
      <w:r w:rsidR="00F74CD1" w:rsidRPr="00792946">
        <w:rPr>
          <w:rFonts w:ascii="Palatino Linotype" w:eastAsia="Times New Roman" w:hAnsi="Palatino Linotype" w:cs="Times New Roman"/>
          <w:sz w:val="20"/>
          <w:szCs w:val="20"/>
          <w:lang w:eastAsia="it-IT"/>
        </w:rPr>
        <w:t xml:space="preserve"> </w:t>
      </w:r>
      <w:r w:rsidR="00142197" w:rsidRPr="00792946">
        <w:rPr>
          <w:rFonts w:ascii="Palatino Linotype" w:eastAsia="Times New Roman" w:hAnsi="Palatino Linotype" w:cs="Times New Roman"/>
          <w:sz w:val="20"/>
          <w:szCs w:val="20"/>
          <w:lang w:eastAsia="it-IT"/>
        </w:rPr>
        <w:t>t</w:t>
      </w:r>
      <w:r w:rsidR="00F74CD1" w:rsidRPr="00792946">
        <w:rPr>
          <w:rFonts w:ascii="Palatino Linotype" w:eastAsia="Times New Roman" w:hAnsi="Palatino Linotype" w:cs="Times New Roman"/>
          <w:sz w:val="20"/>
          <w:szCs w:val="20"/>
          <w:lang w:eastAsia="it-IT"/>
        </w:rPr>
        <w:t>ematica dell’ammissibilità del</w:t>
      </w:r>
      <w:r w:rsidR="00FD7EEC" w:rsidRPr="00792946">
        <w:rPr>
          <w:rFonts w:ascii="Palatino Linotype" w:eastAsia="Times New Roman" w:hAnsi="Palatino Linotype" w:cs="Times New Roman"/>
          <w:sz w:val="20"/>
          <w:szCs w:val="20"/>
          <w:lang w:eastAsia="it-IT"/>
        </w:rPr>
        <w:t xml:space="preserve">l’avvalimento </w:t>
      </w:r>
      <w:r w:rsidR="002A01A0" w:rsidRPr="00792946">
        <w:rPr>
          <w:rFonts w:ascii="Palatino Linotype" w:eastAsia="Times New Roman" w:hAnsi="Palatino Linotype" w:cs="Times New Roman"/>
          <w:sz w:val="20"/>
          <w:szCs w:val="20"/>
          <w:lang w:eastAsia="it-IT"/>
        </w:rPr>
        <w:t xml:space="preserve">‘a cascata’ </w:t>
      </w:r>
      <w:r w:rsidR="00FD7EEC" w:rsidRPr="00792946">
        <w:rPr>
          <w:rFonts w:ascii="Palatino Linotype" w:eastAsia="Times New Roman" w:hAnsi="Palatino Linotype" w:cs="Times New Roman"/>
          <w:sz w:val="20"/>
          <w:szCs w:val="20"/>
          <w:lang w:eastAsia="it-IT"/>
        </w:rPr>
        <w:t>dell’a</w:t>
      </w:r>
      <w:r w:rsidR="00142197" w:rsidRPr="00792946">
        <w:rPr>
          <w:rFonts w:ascii="Palatino Linotype" w:eastAsia="Times New Roman" w:hAnsi="Palatino Linotype" w:cs="Times New Roman"/>
          <w:sz w:val="20"/>
          <w:szCs w:val="20"/>
          <w:lang w:eastAsia="it-IT"/>
        </w:rPr>
        <w:t>usiliario</w:t>
      </w:r>
      <w:r w:rsidR="004E7C17">
        <w:rPr>
          <w:rFonts w:ascii="Palatino Linotype" w:eastAsia="Times New Roman" w:hAnsi="Palatino Linotype" w:cs="Times New Roman"/>
          <w:iCs/>
          <w:sz w:val="20"/>
          <w:szCs w:val="20"/>
          <w:lang w:eastAsia="it-IT"/>
        </w:rPr>
        <w:t xml:space="preserve">, riguardo alla quale viene comunque </w:t>
      </w:r>
      <w:r w:rsidR="00861574">
        <w:rPr>
          <w:rFonts w:ascii="Palatino Linotype" w:eastAsia="Times New Roman" w:hAnsi="Palatino Linotype" w:cs="Times New Roman"/>
          <w:sz w:val="20"/>
          <w:szCs w:val="20"/>
          <w:lang w:eastAsia="it-IT"/>
        </w:rPr>
        <w:t>sottolinea</w:t>
      </w:r>
      <w:r w:rsidR="004E7C17">
        <w:rPr>
          <w:rFonts w:ascii="Palatino Linotype" w:eastAsia="Times New Roman" w:hAnsi="Palatino Linotype" w:cs="Times New Roman"/>
          <w:sz w:val="20"/>
          <w:szCs w:val="20"/>
          <w:lang w:eastAsia="it-IT"/>
        </w:rPr>
        <w:t>to che</w:t>
      </w:r>
      <w:r w:rsidR="00861574">
        <w:rPr>
          <w:rFonts w:ascii="Palatino Linotype" w:eastAsia="Times New Roman" w:hAnsi="Palatino Linotype" w:cs="Times New Roman"/>
          <w:sz w:val="20"/>
          <w:szCs w:val="20"/>
          <w:lang w:eastAsia="it-IT"/>
        </w:rPr>
        <w:t xml:space="preserve"> </w:t>
      </w:r>
      <w:r w:rsidR="004E7C17">
        <w:rPr>
          <w:rFonts w:ascii="Palatino Linotype" w:eastAsia="Times New Roman" w:hAnsi="Palatino Linotype" w:cs="Times New Roman"/>
          <w:sz w:val="20"/>
          <w:szCs w:val="20"/>
          <w:lang w:eastAsia="it-IT"/>
        </w:rPr>
        <w:t>esso è vietato da</w:t>
      </w:r>
      <w:r w:rsidR="00C2761D" w:rsidRPr="00792946">
        <w:rPr>
          <w:rFonts w:ascii="Palatino Linotype" w:eastAsia="Times New Roman" w:hAnsi="Palatino Linotype" w:cs="Times New Roman"/>
          <w:sz w:val="20"/>
          <w:szCs w:val="20"/>
          <w:lang w:eastAsia="it-IT"/>
        </w:rPr>
        <w:t>l diritto interno vigente,</w:t>
      </w:r>
      <w:r w:rsidR="00C2761D" w:rsidRPr="00792946">
        <w:rPr>
          <w:rFonts w:ascii="Palatino Linotype" w:eastAsia="Times New Roman" w:hAnsi="Palatino Linotype" w:cs="Times New Roman"/>
          <w:iCs/>
          <w:sz w:val="20"/>
          <w:szCs w:val="20"/>
          <w:lang w:eastAsia="it-IT"/>
        </w:rPr>
        <w:t xml:space="preserve"> </w:t>
      </w:r>
      <w:r w:rsidR="004E7C17">
        <w:rPr>
          <w:rFonts w:ascii="Palatino Linotype" w:eastAsia="Times New Roman" w:hAnsi="Palatino Linotype" w:cs="Times New Roman"/>
          <w:iCs/>
          <w:sz w:val="20"/>
          <w:szCs w:val="20"/>
          <w:lang w:eastAsia="it-IT"/>
        </w:rPr>
        <w:t xml:space="preserve">prevedendo </w:t>
      </w:r>
      <w:r w:rsidR="00C2761D" w:rsidRPr="00792946">
        <w:rPr>
          <w:rFonts w:ascii="Palatino Linotype" w:eastAsia="Times New Roman" w:hAnsi="Palatino Linotype" w:cs="Times New Roman"/>
          <w:iCs/>
          <w:sz w:val="20"/>
          <w:szCs w:val="20"/>
          <w:lang w:eastAsia="it-IT"/>
        </w:rPr>
        <w:t>l’art. 89, comma 6, del D.lgs. 50/2016 che “l’ausiliario non può avvalersi a sua volta di altro soggetto”.</w:t>
      </w:r>
    </w:p>
    <w:p w14:paraId="0AF244B5" w14:textId="0F73067F" w:rsidR="00936328" w:rsidRPr="00792946" w:rsidRDefault="00861574" w:rsidP="00BE5A0F">
      <w:pPr>
        <w:spacing w:after="0" w:line="360" w:lineRule="auto"/>
        <w:ind w:firstLine="851"/>
        <w:jc w:val="both"/>
        <w:rPr>
          <w:rFonts w:ascii="Palatino Linotype" w:eastAsia="Times New Roman" w:hAnsi="Palatino Linotype" w:cs="Times New Roman"/>
          <w:sz w:val="20"/>
          <w:szCs w:val="20"/>
          <w:lang w:eastAsia="it-IT"/>
        </w:rPr>
      </w:pPr>
      <w:r>
        <w:rPr>
          <w:rFonts w:ascii="Palatino Linotype" w:eastAsia="Times New Roman" w:hAnsi="Palatino Linotype" w:cs="Times New Roman"/>
          <w:iCs/>
          <w:sz w:val="20"/>
          <w:szCs w:val="20"/>
          <w:lang w:eastAsia="it-IT"/>
        </w:rPr>
        <w:t xml:space="preserve">Nondimeno, </w:t>
      </w:r>
      <w:r w:rsidR="005C5B80">
        <w:rPr>
          <w:rFonts w:ascii="Palatino Linotype" w:eastAsia="Times New Roman" w:hAnsi="Palatino Linotype" w:cs="Times New Roman"/>
          <w:iCs/>
          <w:sz w:val="20"/>
          <w:szCs w:val="20"/>
          <w:lang w:eastAsia="it-IT"/>
        </w:rPr>
        <w:t xml:space="preserve">almeno </w:t>
      </w:r>
      <w:r>
        <w:rPr>
          <w:rFonts w:ascii="Palatino Linotype" w:eastAsia="Times New Roman" w:hAnsi="Palatino Linotype" w:cs="Times New Roman"/>
          <w:iCs/>
          <w:sz w:val="20"/>
          <w:szCs w:val="20"/>
          <w:lang w:eastAsia="it-IT"/>
        </w:rPr>
        <w:t xml:space="preserve">ad avviso di chi scrive, può seriamente </w:t>
      </w:r>
      <w:r w:rsidR="00C2761D" w:rsidRPr="00792946">
        <w:rPr>
          <w:rFonts w:ascii="Palatino Linotype" w:eastAsia="Times New Roman" w:hAnsi="Palatino Linotype" w:cs="Times New Roman"/>
          <w:iCs/>
          <w:sz w:val="20"/>
          <w:szCs w:val="20"/>
          <w:lang w:eastAsia="it-IT"/>
        </w:rPr>
        <w:t>dubitarsi della conformità</w:t>
      </w:r>
      <w:r w:rsidR="004E7C17">
        <w:rPr>
          <w:rFonts w:ascii="Palatino Linotype" w:eastAsia="Times New Roman" w:hAnsi="Palatino Linotype" w:cs="Times New Roman"/>
          <w:iCs/>
          <w:sz w:val="20"/>
          <w:szCs w:val="20"/>
          <w:lang w:eastAsia="it-IT"/>
        </w:rPr>
        <w:t>,</w:t>
      </w:r>
      <w:r w:rsidR="00C2761D" w:rsidRPr="00792946">
        <w:rPr>
          <w:rFonts w:ascii="Palatino Linotype" w:eastAsia="Times New Roman" w:hAnsi="Palatino Linotype" w:cs="Times New Roman"/>
          <w:iCs/>
          <w:sz w:val="20"/>
          <w:szCs w:val="20"/>
          <w:lang w:eastAsia="it-IT"/>
        </w:rPr>
        <w:t xml:space="preserve"> </w:t>
      </w:r>
      <w:r w:rsidR="004E7C17" w:rsidRPr="00792946">
        <w:rPr>
          <w:rFonts w:ascii="Palatino Linotype" w:eastAsia="Times New Roman" w:hAnsi="Palatino Linotype" w:cs="Times New Roman"/>
          <w:iCs/>
          <w:sz w:val="20"/>
          <w:szCs w:val="20"/>
          <w:lang w:eastAsia="it-IT"/>
        </w:rPr>
        <w:t xml:space="preserve">rispetto </w:t>
      </w:r>
      <w:r w:rsidR="004E7C17">
        <w:rPr>
          <w:rFonts w:ascii="Palatino Linotype" w:eastAsia="Times New Roman" w:hAnsi="Palatino Linotype" w:cs="Times New Roman"/>
          <w:iCs/>
          <w:sz w:val="20"/>
          <w:szCs w:val="20"/>
          <w:lang w:eastAsia="it-IT"/>
        </w:rPr>
        <w:t>a</w:t>
      </w:r>
      <w:r w:rsidR="004E7C17" w:rsidRPr="00792946">
        <w:rPr>
          <w:rFonts w:ascii="Palatino Linotype" w:eastAsia="Times New Roman" w:hAnsi="Palatino Linotype" w:cs="Times New Roman"/>
          <w:iCs/>
          <w:sz w:val="20"/>
          <w:szCs w:val="20"/>
          <w:lang w:eastAsia="it-IT"/>
        </w:rPr>
        <w:t>l diritto europeo</w:t>
      </w:r>
      <w:r w:rsidR="004E7C17">
        <w:rPr>
          <w:rFonts w:ascii="Palatino Linotype" w:eastAsia="Times New Roman" w:hAnsi="Palatino Linotype" w:cs="Times New Roman"/>
          <w:iCs/>
          <w:sz w:val="20"/>
          <w:szCs w:val="20"/>
          <w:lang w:eastAsia="it-IT"/>
        </w:rPr>
        <w:t>,</w:t>
      </w:r>
      <w:r w:rsidR="004E7C17" w:rsidRPr="00792946">
        <w:rPr>
          <w:rFonts w:ascii="Palatino Linotype" w:eastAsia="Times New Roman" w:hAnsi="Palatino Linotype" w:cs="Times New Roman"/>
          <w:iCs/>
          <w:sz w:val="20"/>
          <w:szCs w:val="20"/>
          <w:lang w:eastAsia="it-IT"/>
        </w:rPr>
        <w:t xml:space="preserve"> </w:t>
      </w:r>
      <w:r w:rsidR="00C2761D" w:rsidRPr="00792946">
        <w:rPr>
          <w:rFonts w:ascii="Palatino Linotype" w:eastAsia="Times New Roman" w:hAnsi="Palatino Linotype" w:cs="Times New Roman"/>
          <w:iCs/>
          <w:sz w:val="20"/>
          <w:szCs w:val="20"/>
          <w:lang w:eastAsia="it-IT"/>
        </w:rPr>
        <w:t xml:space="preserve">di </w:t>
      </w:r>
      <w:r w:rsidR="00772A62" w:rsidRPr="00792946">
        <w:rPr>
          <w:rFonts w:ascii="Palatino Linotype" w:eastAsia="Times New Roman" w:hAnsi="Palatino Linotype" w:cs="Times New Roman"/>
          <w:iCs/>
          <w:sz w:val="20"/>
          <w:szCs w:val="20"/>
          <w:lang w:eastAsia="it-IT"/>
        </w:rPr>
        <w:t xml:space="preserve">un </w:t>
      </w:r>
      <w:r w:rsidR="005C5B80">
        <w:rPr>
          <w:rFonts w:ascii="Palatino Linotype" w:eastAsia="Times New Roman" w:hAnsi="Palatino Linotype" w:cs="Times New Roman"/>
          <w:iCs/>
          <w:sz w:val="20"/>
          <w:szCs w:val="20"/>
          <w:lang w:eastAsia="it-IT"/>
        </w:rPr>
        <w:t>siffatto</w:t>
      </w:r>
      <w:r w:rsidR="00C2761D" w:rsidRPr="00792946">
        <w:rPr>
          <w:rFonts w:ascii="Palatino Linotype" w:eastAsia="Times New Roman" w:hAnsi="Palatino Linotype" w:cs="Times New Roman"/>
          <w:iCs/>
          <w:sz w:val="20"/>
          <w:szCs w:val="20"/>
          <w:lang w:eastAsia="it-IT"/>
        </w:rPr>
        <w:t xml:space="preserve"> di</w:t>
      </w:r>
      <w:r w:rsidR="00772A62" w:rsidRPr="00792946">
        <w:rPr>
          <w:rFonts w:ascii="Palatino Linotype" w:eastAsia="Times New Roman" w:hAnsi="Palatino Linotype" w:cs="Times New Roman"/>
          <w:iCs/>
          <w:sz w:val="20"/>
          <w:szCs w:val="20"/>
          <w:lang w:eastAsia="it-IT"/>
        </w:rPr>
        <w:t>vieto</w:t>
      </w:r>
      <w:r w:rsidR="00C2761D" w:rsidRPr="00792946">
        <w:rPr>
          <w:rFonts w:ascii="Palatino Linotype" w:eastAsia="Times New Roman" w:hAnsi="Palatino Linotype" w:cs="Times New Roman"/>
          <w:iCs/>
          <w:sz w:val="20"/>
          <w:szCs w:val="20"/>
          <w:lang w:eastAsia="it-IT"/>
        </w:rPr>
        <w:t>,</w:t>
      </w:r>
      <w:r w:rsidR="005C5B80">
        <w:rPr>
          <w:rFonts w:ascii="Palatino Linotype" w:eastAsia="Times New Roman" w:hAnsi="Palatino Linotype" w:cs="Times New Roman"/>
          <w:iCs/>
          <w:sz w:val="20"/>
          <w:szCs w:val="20"/>
          <w:lang w:eastAsia="it-IT"/>
        </w:rPr>
        <w:t xml:space="preserve"> in considerazione del</w:t>
      </w:r>
      <w:r w:rsidR="00C2761D" w:rsidRPr="00792946">
        <w:rPr>
          <w:rFonts w:ascii="Palatino Linotype" w:eastAsia="Times New Roman" w:hAnsi="Palatino Linotype" w:cs="Times New Roman"/>
          <w:iCs/>
          <w:sz w:val="20"/>
          <w:szCs w:val="20"/>
          <w:lang w:eastAsia="it-IT"/>
        </w:rPr>
        <w:t>l</w:t>
      </w:r>
      <w:r w:rsidR="00BE5A0F">
        <w:rPr>
          <w:rFonts w:ascii="Palatino Linotype" w:eastAsia="Times New Roman" w:hAnsi="Palatino Linotype" w:cs="Times New Roman"/>
          <w:iCs/>
          <w:sz w:val="20"/>
          <w:szCs w:val="20"/>
          <w:lang w:eastAsia="it-IT"/>
        </w:rPr>
        <w:t xml:space="preserve">a </w:t>
      </w:r>
      <w:r w:rsidR="005C5B80">
        <w:rPr>
          <w:rFonts w:ascii="Palatino Linotype" w:eastAsia="Times New Roman" w:hAnsi="Palatino Linotype" w:cs="Times New Roman"/>
          <w:iCs/>
          <w:sz w:val="20"/>
          <w:szCs w:val="20"/>
          <w:lang w:eastAsia="it-IT"/>
        </w:rPr>
        <w:t>richiama</w:t>
      </w:r>
      <w:r w:rsidR="00BE5A0F">
        <w:rPr>
          <w:rFonts w:ascii="Palatino Linotype" w:eastAsia="Times New Roman" w:hAnsi="Palatino Linotype" w:cs="Times New Roman"/>
          <w:iCs/>
          <w:sz w:val="20"/>
          <w:szCs w:val="20"/>
          <w:lang w:eastAsia="it-IT"/>
        </w:rPr>
        <w:t xml:space="preserve">ta </w:t>
      </w:r>
      <w:r w:rsidR="00C2761D" w:rsidRPr="00792946">
        <w:rPr>
          <w:rFonts w:ascii="Palatino Linotype" w:eastAsia="Times New Roman" w:hAnsi="Palatino Linotype" w:cs="Times New Roman"/>
          <w:iCs/>
          <w:sz w:val="20"/>
          <w:szCs w:val="20"/>
          <w:lang w:eastAsia="it-IT"/>
        </w:rPr>
        <w:t xml:space="preserve">interpretazione estensiva della Corte di giustizia, </w:t>
      </w:r>
      <w:r w:rsidR="00BE5A0F">
        <w:rPr>
          <w:rFonts w:ascii="Palatino Linotype" w:eastAsia="Times New Roman" w:hAnsi="Palatino Linotype" w:cs="Times New Roman"/>
          <w:iCs/>
          <w:sz w:val="20"/>
          <w:szCs w:val="20"/>
          <w:lang w:eastAsia="it-IT"/>
        </w:rPr>
        <w:t xml:space="preserve">la quale abbraccia </w:t>
      </w:r>
      <w:r w:rsidR="00C2761D" w:rsidRPr="00792946">
        <w:rPr>
          <w:rFonts w:ascii="Palatino Linotype" w:eastAsia="Times New Roman" w:hAnsi="Palatino Linotype" w:cs="Times New Roman"/>
          <w:sz w:val="20"/>
          <w:szCs w:val="20"/>
          <w:lang w:eastAsia="it-IT"/>
        </w:rPr>
        <w:t xml:space="preserve">qualunque persona o ente collettivo che operi sul mercato ed è tenuto a dimostrare il possesso dei requisiti in gara, </w:t>
      </w:r>
      <w:r w:rsidR="005C5B80">
        <w:rPr>
          <w:rFonts w:ascii="Palatino Linotype" w:eastAsia="Times New Roman" w:hAnsi="Palatino Linotype" w:cs="Times New Roman"/>
          <w:sz w:val="20"/>
          <w:szCs w:val="20"/>
          <w:lang w:eastAsia="it-IT"/>
        </w:rPr>
        <w:t xml:space="preserve">e ciò </w:t>
      </w:r>
      <w:r w:rsidR="00C2761D" w:rsidRPr="00792946">
        <w:rPr>
          <w:rFonts w:ascii="Palatino Linotype" w:eastAsia="Times New Roman" w:hAnsi="Palatino Linotype" w:cs="Times New Roman"/>
          <w:sz w:val="20"/>
          <w:szCs w:val="20"/>
          <w:lang w:eastAsia="it-IT"/>
        </w:rPr>
        <w:t>“</w:t>
      </w:r>
      <w:r w:rsidR="00C2761D" w:rsidRPr="00792946">
        <w:rPr>
          <w:rFonts w:ascii="Palatino Linotype" w:eastAsia="Times New Roman" w:hAnsi="Palatino Linotype" w:cs="Times New Roman"/>
          <w:iCs/>
          <w:sz w:val="20"/>
          <w:szCs w:val="20"/>
          <w:lang w:eastAsia="it-IT"/>
        </w:rPr>
        <w:t>a prescindere dalla forma giuridica nel quadro della quale ha deciso di operare”</w:t>
      </w:r>
      <w:r w:rsidR="005C5B80">
        <w:rPr>
          <w:rFonts w:ascii="Palatino Linotype" w:eastAsia="Times New Roman" w:hAnsi="Palatino Linotype" w:cs="Times New Roman"/>
          <w:iCs/>
          <w:sz w:val="20"/>
          <w:szCs w:val="20"/>
          <w:lang w:eastAsia="it-IT"/>
        </w:rPr>
        <w:t>: nozione in cui ben può rientrare</w:t>
      </w:r>
      <w:r w:rsidR="00BE5A0F">
        <w:rPr>
          <w:rFonts w:ascii="Palatino Linotype" w:eastAsia="Times New Roman" w:hAnsi="Palatino Linotype" w:cs="Times New Roman"/>
          <w:iCs/>
          <w:sz w:val="20"/>
          <w:szCs w:val="20"/>
          <w:lang w:eastAsia="it-IT"/>
        </w:rPr>
        <w:t xml:space="preserve"> l’ausiliario (che è soggetto diverso dal ‘professionista designato’), </w:t>
      </w:r>
      <w:r w:rsidR="005C5B80">
        <w:rPr>
          <w:rFonts w:ascii="Palatino Linotype" w:eastAsia="Times New Roman" w:hAnsi="Palatino Linotype" w:cs="Times New Roman"/>
          <w:iCs/>
          <w:sz w:val="20"/>
          <w:szCs w:val="20"/>
          <w:lang w:eastAsia="it-IT"/>
        </w:rPr>
        <w:t>a</w:t>
      </w:r>
      <w:r w:rsidR="00413944" w:rsidRPr="00792946">
        <w:rPr>
          <w:rFonts w:ascii="Palatino Linotype" w:eastAsia="Times New Roman" w:hAnsi="Palatino Linotype" w:cs="Times New Roman"/>
          <w:iCs/>
          <w:sz w:val="20"/>
          <w:szCs w:val="20"/>
          <w:lang w:eastAsia="it-IT"/>
        </w:rPr>
        <w:t>l</w:t>
      </w:r>
      <w:r w:rsidR="00BE5A0F">
        <w:rPr>
          <w:rFonts w:ascii="Palatino Linotype" w:eastAsia="Times New Roman" w:hAnsi="Palatino Linotype" w:cs="Times New Roman"/>
          <w:iCs/>
          <w:sz w:val="20"/>
          <w:szCs w:val="20"/>
          <w:lang w:eastAsia="it-IT"/>
        </w:rPr>
        <w:t xml:space="preserve"> quale </w:t>
      </w:r>
      <w:r w:rsidR="005C5B80">
        <w:rPr>
          <w:rFonts w:ascii="Palatino Linotype" w:eastAsia="Times New Roman" w:hAnsi="Palatino Linotype" w:cs="Times New Roman"/>
          <w:iCs/>
          <w:sz w:val="20"/>
          <w:szCs w:val="20"/>
          <w:lang w:eastAsia="it-IT"/>
        </w:rPr>
        <w:t xml:space="preserve">non può </w:t>
      </w:r>
      <w:r w:rsidR="00C12D9A">
        <w:rPr>
          <w:rFonts w:ascii="Palatino Linotype" w:eastAsia="Times New Roman" w:hAnsi="Palatino Linotype" w:cs="Times New Roman"/>
          <w:iCs/>
          <w:sz w:val="20"/>
          <w:szCs w:val="20"/>
          <w:lang w:eastAsia="it-IT"/>
        </w:rPr>
        <w:t xml:space="preserve">quindi </w:t>
      </w:r>
      <w:r w:rsidR="005C5B80">
        <w:rPr>
          <w:rFonts w:ascii="Palatino Linotype" w:eastAsia="Times New Roman" w:hAnsi="Palatino Linotype" w:cs="Times New Roman"/>
          <w:iCs/>
          <w:sz w:val="20"/>
          <w:szCs w:val="20"/>
          <w:lang w:eastAsia="it-IT"/>
        </w:rPr>
        <w:t>precludersi</w:t>
      </w:r>
      <w:r w:rsidR="00BE5A0F">
        <w:rPr>
          <w:rFonts w:ascii="Palatino Linotype" w:eastAsia="Times New Roman" w:hAnsi="Palatino Linotype" w:cs="Times New Roman"/>
          <w:iCs/>
          <w:sz w:val="20"/>
          <w:szCs w:val="20"/>
          <w:lang w:eastAsia="it-IT"/>
        </w:rPr>
        <w:t xml:space="preserve"> </w:t>
      </w:r>
      <w:r w:rsidR="00606E89">
        <w:rPr>
          <w:rFonts w:ascii="Palatino Linotype" w:eastAsia="Times New Roman" w:hAnsi="Palatino Linotype" w:cs="Times New Roman"/>
          <w:iCs/>
          <w:sz w:val="20"/>
          <w:szCs w:val="20"/>
          <w:lang w:eastAsia="it-IT"/>
        </w:rPr>
        <w:t xml:space="preserve">in via assoluta </w:t>
      </w:r>
      <w:r w:rsidR="00413944" w:rsidRPr="00792946">
        <w:rPr>
          <w:rFonts w:ascii="Palatino Linotype" w:eastAsia="Times New Roman" w:hAnsi="Palatino Linotype" w:cs="Times New Roman"/>
          <w:iCs/>
          <w:sz w:val="20"/>
          <w:szCs w:val="20"/>
          <w:lang w:eastAsia="it-IT"/>
        </w:rPr>
        <w:t>d</w:t>
      </w:r>
      <w:r w:rsidR="005C5B80">
        <w:rPr>
          <w:rFonts w:ascii="Palatino Linotype" w:eastAsia="Times New Roman" w:hAnsi="Palatino Linotype" w:cs="Times New Roman"/>
          <w:iCs/>
          <w:sz w:val="20"/>
          <w:szCs w:val="20"/>
          <w:lang w:eastAsia="it-IT"/>
        </w:rPr>
        <w:t>i</w:t>
      </w:r>
      <w:r w:rsidR="00BE5A0F">
        <w:rPr>
          <w:rFonts w:ascii="Palatino Linotype" w:eastAsia="Times New Roman" w:hAnsi="Palatino Linotype" w:cs="Times New Roman"/>
          <w:iCs/>
          <w:sz w:val="20"/>
          <w:szCs w:val="20"/>
          <w:lang w:eastAsia="it-IT"/>
        </w:rPr>
        <w:t xml:space="preserve"> </w:t>
      </w:r>
      <w:r w:rsidR="00413944" w:rsidRPr="00792946">
        <w:rPr>
          <w:rFonts w:ascii="Palatino Linotype" w:eastAsia="Times New Roman" w:hAnsi="Palatino Linotype" w:cs="Times New Roman"/>
          <w:iCs/>
          <w:sz w:val="20"/>
          <w:szCs w:val="20"/>
          <w:lang w:eastAsia="it-IT"/>
        </w:rPr>
        <w:t xml:space="preserve"> </w:t>
      </w:r>
      <w:r w:rsidR="00747458" w:rsidRPr="00792946">
        <w:rPr>
          <w:rFonts w:ascii="Palatino Linotype" w:eastAsia="Times New Roman" w:hAnsi="Palatino Linotype" w:cs="Times New Roman"/>
          <w:iCs/>
          <w:sz w:val="20"/>
          <w:szCs w:val="20"/>
          <w:lang w:eastAsia="it-IT"/>
        </w:rPr>
        <w:t>avvalersi</w:t>
      </w:r>
      <w:r w:rsidR="005C5B80">
        <w:rPr>
          <w:rFonts w:ascii="Palatino Linotype" w:eastAsia="Times New Roman" w:hAnsi="Palatino Linotype" w:cs="Times New Roman"/>
          <w:iCs/>
          <w:sz w:val="20"/>
          <w:szCs w:val="20"/>
          <w:lang w:eastAsia="it-IT"/>
        </w:rPr>
        <w:t>, a sua volta,</w:t>
      </w:r>
      <w:r w:rsidR="00747458" w:rsidRPr="00792946">
        <w:rPr>
          <w:rFonts w:ascii="Palatino Linotype" w:eastAsia="Times New Roman" w:hAnsi="Palatino Linotype" w:cs="Times New Roman"/>
          <w:iCs/>
          <w:sz w:val="20"/>
          <w:szCs w:val="20"/>
          <w:lang w:eastAsia="it-IT"/>
        </w:rPr>
        <w:t xml:space="preserve"> del</w:t>
      </w:r>
      <w:r w:rsidR="00BE5A0F">
        <w:rPr>
          <w:rFonts w:ascii="Palatino Linotype" w:eastAsia="Times New Roman" w:hAnsi="Palatino Linotype" w:cs="Times New Roman"/>
          <w:iCs/>
          <w:sz w:val="20"/>
          <w:szCs w:val="20"/>
          <w:lang w:eastAsia="it-IT"/>
        </w:rPr>
        <w:t>la generale facoltà del</w:t>
      </w:r>
      <w:r w:rsidR="00747458" w:rsidRPr="00792946">
        <w:rPr>
          <w:rFonts w:ascii="Palatino Linotype" w:eastAsia="Times New Roman" w:hAnsi="Palatino Linotype" w:cs="Times New Roman"/>
          <w:iCs/>
          <w:sz w:val="20"/>
          <w:szCs w:val="20"/>
          <w:lang w:eastAsia="it-IT"/>
        </w:rPr>
        <w:t xml:space="preserve"> </w:t>
      </w:r>
      <w:r w:rsidR="00747458" w:rsidRPr="00792946">
        <w:rPr>
          <w:rFonts w:ascii="Palatino Linotype" w:eastAsia="Times New Roman" w:hAnsi="Palatino Linotype" w:cs="Times New Roman"/>
          <w:sz w:val="20"/>
          <w:szCs w:val="20"/>
          <w:lang w:eastAsia="it-IT"/>
        </w:rPr>
        <w:t>“cumulo delle capacità di più operatori economici per soddisfare i requisiti minimi di capacità imposti dall’amministrazione aggiudicatrice”</w:t>
      </w:r>
      <w:r w:rsidR="000924CE" w:rsidRPr="00792946">
        <w:rPr>
          <w:rStyle w:val="Rimandonotaapidipagina"/>
          <w:rFonts w:ascii="Palatino Linotype" w:eastAsia="Times New Roman" w:hAnsi="Palatino Linotype" w:cs="Times New Roman"/>
          <w:sz w:val="20"/>
          <w:szCs w:val="20"/>
          <w:lang w:eastAsia="it-IT"/>
        </w:rPr>
        <w:footnoteReference w:id="39"/>
      </w:r>
      <w:r w:rsidR="00747458" w:rsidRPr="00792946">
        <w:rPr>
          <w:rFonts w:ascii="Palatino Linotype" w:eastAsia="Times New Roman" w:hAnsi="Palatino Linotype" w:cs="Times New Roman"/>
          <w:sz w:val="20"/>
          <w:szCs w:val="20"/>
          <w:lang w:eastAsia="it-IT"/>
        </w:rPr>
        <w:t>.</w:t>
      </w:r>
    </w:p>
    <w:p w14:paraId="0B427FBE" w14:textId="77777777" w:rsidR="00413944" w:rsidRDefault="00335007" w:rsidP="00347275">
      <w:pPr>
        <w:spacing w:after="0" w:line="360" w:lineRule="auto"/>
        <w:ind w:firstLine="851"/>
        <w:jc w:val="both"/>
        <w:rPr>
          <w:rFonts w:ascii="Palatino Linotype" w:eastAsia="Times New Roman" w:hAnsi="Palatino Linotype" w:cs="Times New Roman"/>
          <w:sz w:val="20"/>
          <w:szCs w:val="20"/>
          <w:lang w:eastAsia="it-IT"/>
        </w:rPr>
      </w:pPr>
      <w:r>
        <w:rPr>
          <w:rFonts w:ascii="Palatino Linotype" w:eastAsia="Times New Roman" w:hAnsi="Palatino Linotype" w:cs="Times New Roman"/>
          <w:sz w:val="20"/>
          <w:szCs w:val="20"/>
          <w:lang w:eastAsia="it-IT"/>
        </w:rPr>
        <w:t xml:space="preserve">D’altro canto, </w:t>
      </w:r>
      <w:r w:rsidR="00F80943">
        <w:rPr>
          <w:rFonts w:ascii="Palatino Linotype" w:eastAsia="Times New Roman" w:hAnsi="Palatino Linotype" w:cs="Times New Roman"/>
          <w:sz w:val="20"/>
          <w:szCs w:val="20"/>
          <w:lang w:eastAsia="it-IT"/>
        </w:rPr>
        <w:t xml:space="preserve">nella sostanza, </w:t>
      </w:r>
      <w:r w:rsidR="00E6384E">
        <w:rPr>
          <w:rFonts w:ascii="Palatino Linotype" w:eastAsia="Times New Roman" w:hAnsi="Palatino Linotype" w:cs="Times New Roman"/>
          <w:sz w:val="20"/>
          <w:szCs w:val="20"/>
          <w:lang w:eastAsia="it-IT"/>
        </w:rPr>
        <w:t xml:space="preserve">proprio </w:t>
      </w:r>
      <w:r w:rsidR="005810DA">
        <w:rPr>
          <w:rFonts w:ascii="Palatino Linotype" w:eastAsia="Times New Roman" w:hAnsi="Palatino Linotype" w:cs="Times New Roman"/>
          <w:sz w:val="20"/>
          <w:szCs w:val="20"/>
          <w:lang w:eastAsia="it-IT"/>
        </w:rPr>
        <w:t xml:space="preserve">il secondo caso affrontato </w:t>
      </w:r>
      <w:r w:rsidR="007715DC">
        <w:rPr>
          <w:rFonts w:ascii="Palatino Linotype" w:eastAsia="Times New Roman" w:hAnsi="Palatino Linotype" w:cs="Times New Roman"/>
          <w:sz w:val="20"/>
          <w:szCs w:val="20"/>
          <w:lang w:eastAsia="it-IT"/>
        </w:rPr>
        <w:t>al</w:t>
      </w:r>
      <w:r>
        <w:rPr>
          <w:rFonts w:ascii="Palatino Linotype" w:eastAsia="Times New Roman" w:hAnsi="Palatino Linotype" w:cs="Times New Roman"/>
          <w:sz w:val="20"/>
          <w:szCs w:val="20"/>
          <w:lang w:eastAsia="it-IT"/>
        </w:rPr>
        <w:t xml:space="preserve"> § 2</w:t>
      </w:r>
      <w:r w:rsidR="0023241D">
        <w:rPr>
          <w:rFonts w:ascii="Palatino Linotype" w:eastAsia="Times New Roman" w:hAnsi="Palatino Linotype" w:cs="Times New Roman"/>
          <w:sz w:val="20"/>
          <w:szCs w:val="20"/>
          <w:lang w:eastAsia="it-IT"/>
        </w:rPr>
        <w:t>.1</w:t>
      </w:r>
      <w:r w:rsidR="00E6384E">
        <w:rPr>
          <w:rFonts w:ascii="Palatino Linotype" w:eastAsia="Times New Roman" w:hAnsi="Palatino Linotype" w:cs="Times New Roman"/>
          <w:sz w:val="20"/>
          <w:szCs w:val="20"/>
          <w:lang w:eastAsia="it-IT"/>
        </w:rPr>
        <w:t xml:space="preserve"> non </w:t>
      </w:r>
      <w:r w:rsidR="00F80943">
        <w:rPr>
          <w:rFonts w:ascii="Palatino Linotype" w:eastAsia="Times New Roman" w:hAnsi="Palatino Linotype" w:cs="Times New Roman"/>
          <w:sz w:val="20"/>
          <w:szCs w:val="20"/>
          <w:lang w:eastAsia="it-IT"/>
        </w:rPr>
        <w:t>costituisce</w:t>
      </w:r>
      <w:r w:rsidR="00E6384E">
        <w:rPr>
          <w:rFonts w:ascii="Palatino Linotype" w:eastAsia="Times New Roman" w:hAnsi="Palatino Linotype" w:cs="Times New Roman"/>
          <w:sz w:val="20"/>
          <w:szCs w:val="20"/>
          <w:lang w:eastAsia="it-IT"/>
        </w:rPr>
        <w:t xml:space="preserve"> altro che </w:t>
      </w:r>
      <w:r w:rsidR="005810DA">
        <w:rPr>
          <w:rFonts w:ascii="Palatino Linotype" w:eastAsia="Times New Roman" w:hAnsi="Palatino Linotype" w:cs="Times New Roman"/>
          <w:sz w:val="20"/>
          <w:szCs w:val="20"/>
          <w:lang w:eastAsia="it-IT"/>
        </w:rPr>
        <w:t>un</w:t>
      </w:r>
      <w:r w:rsidR="00F80943">
        <w:rPr>
          <w:rFonts w:ascii="Palatino Linotype" w:eastAsia="Times New Roman" w:hAnsi="Palatino Linotype" w:cs="Times New Roman"/>
          <w:sz w:val="20"/>
          <w:szCs w:val="20"/>
          <w:lang w:eastAsia="it-IT"/>
        </w:rPr>
        <w:t>a forma di</w:t>
      </w:r>
      <w:r w:rsidR="005810DA">
        <w:rPr>
          <w:rFonts w:ascii="Palatino Linotype" w:eastAsia="Times New Roman" w:hAnsi="Palatino Linotype" w:cs="Times New Roman"/>
          <w:sz w:val="20"/>
          <w:szCs w:val="20"/>
          <w:lang w:eastAsia="it-IT"/>
        </w:rPr>
        <w:t xml:space="preserve"> avvalimento ‘a cascata’, </w:t>
      </w:r>
      <w:r w:rsidR="00E6384E">
        <w:rPr>
          <w:rFonts w:ascii="Palatino Linotype" w:eastAsia="Times New Roman" w:hAnsi="Palatino Linotype" w:cs="Times New Roman"/>
          <w:sz w:val="20"/>
          <w:szCs w:val="20"/>
          <w:lang w:eastAsia="it-IT"/>
        </w:rPr>
        <w:t>in cui</w:t>
      </w:r>
      <w:r w:rsidR="005810DA">
        <w:rPr>
          <w:rFonts w:ascii="Palatino Linotype" w:eastAsia="Times New Roman" w:hAnsi="Palatino Linotype" w:cs="Times New Roman"/>
          <w:sz w:val="20"/>
          <w:szCs w:val="20"/>
          <w:lang w:eastAsia="it-IT"/>
        </w:rPr>
        <w:t xml:space="preserve"> </w:t>
      </w:r>
      <w:r w:rsidR="00E6384E">
        <w:rPr>
          <w:rFonts w:ascii="Palatino Linotype" w:eastAsia="Times New Roman" w:hAnsi="Palatino Linotype" w:cs="Times New Roman"/>
          <w:sz w:val="20"/>
          <w:szCs w:val="20"/>
          <w:lang w:eastAsia="it-IT"/>
        </w:rPr>
        <w:t>i</w:t>
      </w:r>
      <w:r w:rsidR="005810DA">
        <w:rPr>
          <w:rFonts w:ascii="Palatino Linotype" w:eastAsia="Times New Roman" w:hAnsi="Palatino Linotype" w:cs="Times New Roman"/>
          <w:sz w:val="20"/>
          <w:szCs w:val="20"/>
          <w:lang w:eastAsia="it-IT"/>
        </w:rPr>
        <w:t xml:space="preserve">l </w:t>
      </w:r>
      <w:r w:rsidR="005810DA" w:rsidRPr="00792946">
        <w:rPr>
          <w:rFonts w:ascii="Palatino Linotype" w:eastAsia="Times New Roman" w:hAnsi="Palatino Linotype" w:cs="Times New Roman"/>
          <w:sz w:val="20"/>
          <w:szCs w:val="20"/>
          <w:lang w:eastAsia="it-IT"/>
        </w:rPr>
        <w:t>consorziat</w:t>
      </w:r>
      <w:r w:rsidR="005810DA">
        <w:rPr>
          <w:rFonts w:ascii="Palatino Linotype" w:eastAsia="Times New Roman" w:hAnsi="Palatino Linotype" w:cs="Times New Roman"/>
          <w:sz w:val="20"/>
          <w:szCs w:val="20"/>
          <w:lang w:eastAsia="it-IT"/>
        </w:rPr>
        <w:t>o</w:t>
      </w:r>
      <w:r w:rsidR="005810DA" w:rsidRPr="00792946">
        <w:rPr>
          <w:rFonts w:ascii="Palatino Linotype" w:eastAsia="Times New Roman" w:hAnsi="Palatino Linotype" w:cs="Times New Roman"/>
          <w:sz w:val="20"/>
          <w:szCs w:val="20"/>
          <w:lang w:eastAsia="it-IT"/>
        </w:rPr>
        <w:t xml:space="preserve"> non designat</w:t>
      </w:r>
      <w:r w:rsidR="005810DA">
        <w:rPr>
          <w:rFonts w:ascii="Palatino Linotype" w:eastAsia="Times New Roman" w:hAnsi="Palatino Linotype" w:cs="Times New Roman"/>
          <w:sz w:val="20"/>
          <w:szCs w:val="20"/>
          <w:lang w:eastAsia="it-IT"/>
        </w:rPr>
        <w:t>o</w:t>
      </w:r>
      <w:r w:rsidR="005810DA" w:rsidRPr="00792946">
        <w:rPr>
          <w:rFonts w:ascii="Palatino Linotype" w:eastAsia="Times New Roman" w:hAnsi="Palatino Linotype" w:cs="Times New Roman"/>
          <w:sz w:val="20"/>
          <w:szCs w:val="20"/>
          <w:lang w:eastAsia="it-IT"/>
        </w:rPr>
        <w:t xml:space="preserve"> ai fini dell’esecuzione dei lavori</w:t>
      </w:r>
      <w:r w:rsidR="00E6384E">
        <w:rPr>
          <w:rFonts w:ascii="Palatino Linotype" w:eastAsia="Times New Roman" w:hAnsi="Palatino Linotype" w:cs="Times New Roman"/>
          <w:sz w:val="20"/>
          <w:szCs w:val="20"/>
          <w:lang w:eastAsia="it-IT"/>
        </w:rPr>
        <w:t>, il quale</w:t>
      </w:r>
      <w:r w:rsidR="005810DA">
        <w:rPr>
          <w:rFonts w:ascii="Palatino Linotype" w:eastAsia="Times New Roman" w:hAnsi="Palatino Linotype" w:cs="Times New Roman"/>
          <w:sz w:val="20"/>
          <w:szCs w:val="20"/>
          <w:lang w:eastAsia="it-IT"/>
        </w:rPr>
        <w:t xml:space="preserve"> fornisce al consorzio stabile il requisito </w:t>
      </w:r>
      <w:r w:rsidR="005810DA" w:rsidRPr="00792946">
        <w:rPr>
          <w:rFonts w:ascii="Palatino Linotype" w:eastAsia="Times New Roman" w:hAnsi="Palatino Linotype" w:cs="Times New Roman"/>
          <w:sz w:val="20"/>
          <w:szCs w:val="20"/>
          <w:lang w:eastAsia="it-IT"/>
        </w:rPr>
        <w:t xml:space="preserve">qualificazione </w:t>
      </w:r>
      <w:r w:rsidR="00E6384E">
        <w:rPr>
          <w:rFonts w:ascii="Palatino Linotype" w:eastAsia="Times New Roman" w:hAnsi="Palatino Linotype" w:cs="Times New Roman"/>
          <w:sz w:val="20"/>
          <w:szCs w:val="20"/>
          <w:lang w:eastAsia="it-IT"/>
        </w:rPr>
        <w:t xml:space="preserve">(e dunque </w:t>
      </w:r>
      <w:r w:rsidR="00F80943">
        <w:rPr>
          <w:rFonts w:ascii="Palatino Linotype" w:eastAsia="Times New Roman" w:hAnsi="Palatino Linotype" w:cs="Times New Roman"/>
          <w:sz w:val="20"/>
          <w:szCs w:val="20"/>
          <w:lang w:eastAsia="it-IT"/>
        </w:rPr>
        <w:t xml:space="preserve">un </w:t>
      </w:r>
      <w:r w:rsidR="00E6384E">
        <w:rPr>
          <w:rFonts w:ascii="Palatino Linotype" w:eastAsia="Times New Roman" w:hAnsi="Palatino Linotype" w:cs="Times New Roman"/>
          <w:sz w:val="20"/>
          <w:szCs w:val="20"/>
          <w:lang w:eastAsia="it-IT"/>
        </w:rPr>
        <w:t xml:space="preserve">soggetto che l’Adunanza plenaria equipara </w:t>
      </w:r>
      <w:r w:rsidR="00F80943">
        <w:rPr>
          <w:rFonts w:ascii="Palatino Linotype" w:eastAsia="Times New Roman" w:hAnsi="Palatino Linotype" w:cs="Times New Roman"/>
          <w:sz w:val="20"/>
          <w:szCs w:val="20"/>
          <w:lang w:eastAsia="it-IT"/>
        </w:rPr>
        <w:t xml:space="preserve">normativamente </w:t>
      </w:r>
      <w:r w:rsidR="00E6384E">
        <w:rPr>
          <w:rFonts w:ascii="Palatino Linotype" w:eastAsia="Times New Roman" w:hAnsi="Palatino Linotype" w:cs="Times New Roman"/>
          <w:sz w:val="20"/>
          <w:szCs w:val="20"/>
          <w:lang w:eastAsia="it-IT"/>
        </w:rPr>
        <w:t xml:space="preserve">alla figura dell’ausiliario), mutua a sua volta il requisito prestato per il tramite </w:t>
      </w:r>
      <w:r w:rsidR="005810DA">
        <w:rPr>
          <w:rFonts w:ascii="Palatino Linotype" w:eastAsia="Times New Roman" w:hAnsi="Palatino Linotype" w:cs="Times New Roman"/>
          <w:sz w:val="20"/>
          <w:szCs w:val="20"/>
          <w:lang w:eastAsia="it-IT"/>
        </w:rPr>
        <w:t>di un ausiliario</w:t>
      </w:r>
      <w:r>
        <w:rPr>
          <w:rFonts w:ascii="Palatino Linotype" w:eastAsia="Times New Roman" w:hAnsi="Palatino Linotype" w:cs="Times New Roman"/>
          <w:sz w:val="20"/>
          <w:szCs w:val="20"/>
          <w:lang w:eastAsia="it-IT"/>
        </w:rPr>
        <w:t>.</w:t>
      </w:r>
    </w:p>
    <w:p w14:paraId="112B410B" w14:textId="77777777" w:rsidR="00335007" w:rsidRPr="00792946" w:rsidRDefault="00335007" w:rsidP="00347275">
      <w:pPr>
        <w:spacing w:after="0" w:line="360" w:lineRule="auto"/>
        <w:ind w:firstLine="851"/>
        <w:jc w:val="both"/>
        <w:rPr>
          <w:rFonts w:ascii="Palatino Linotype" w:eastAsia="Times New Roman" w:hAnsi="Palatino Linotype" w:cs="Times New Roman"/>
          <w:sz w:val="20"/>
          <w:szCs w:val="20"/>
          <w:lang w:eastAsia="it-IT"/>
        </w:rPr>
      </w:pPr>
    </w:p>
    <w:p w14:paraId="436AEC22" w14:textId="77777777" w:rsidR="00C25220" w:rsidRPr="00792946" w:rsidRDefault="00EF0E7E" w:rsidP="00347275">
      <w:pPr>
        <w:numPr>
          <w:ilvl w:val="1"/>
          <w:numId w:val="6"/>
        </w:numPr>
        <w:spacing w:after="0" w:line="360" w:lineRule="auto"/>
        <w:jc w:val="both"/>
        <w:rPr>
          <w:rFonts w:ascii="Palatino Linotype" w:eastAsia="Times New Roman" w:hAnsi="Palatino Linotype" w:cs="Times New Roman"/>
          <w:b/>
          <w:sz w:val="20"/>
          <w:szCs w:val="20"/>
          <w:lang w:eastAsia="it-IT"/>
        </w:rPr>
      </w:pPr>
      <w:r w:rsidRPr="00792946">
        <w:rPr>
          <w:rFonts w:ascii="Palatino Linotype" w:eastAsia="Times New Roman" w:hAnsi="Palatino Linotype" w:cs="Times New Roman"/>
          <w:b/>
          <w:sz w:val="20"/>
          <w:szCs w:val="20"/>
          <w:lang w:eastAsia="it-IT"/>
        </w:rPr>
        <w:t xml:space="preserve"> </w:t>
      </w:r>
      <w:r w:rsidR="00BE7EC9" w:rsidRPr="00792946">
        <w:rPr>
          <w:rFonts w:ascii="Palatino Linotype" w:eastAsia="Times New Roman" w:hAnsi="Palatino Linotype" w:cs="Times New Roman"/>
          <w:b/>
          <w:sz w:val="20"/>
          <w:szCs w:val="20"/>
          <w:lang w:eastAsia="it-IT"/>
        </w:rPr>
        <w:t>L’oggetto del contratto di avvalimento.</w:t>
      </w:r>
    </w:p>
    <w:p w14:paraId="77F1A379" w14:textId="77777777" w:rsidR="00332584" w:rsidRPr="00792946" w:rsidRDefault="00B76E2D"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I</w:t>
      </w:r>
      <w:r w:rsidR="00126436" w:rsidRPr="00792946">
        <w:rPr>
          <w:rFonts w:ascii="Palatino Linotype" w:eastAsia="Times New Roman" w:hAnsi="Palatino Linotype" w:cs="Times New Roman"/>
          <w:sz w:val="20"/>
          <w:szCs w:val="20"/>
          <w:lang w:eastAsia="it-IT"/>
        </w:rPr>
        <w:t>n una gara per la progettazione esecutiva e l</w:t>
      </w:r>
      <w:r w:rsidR="00557DFE" w:rsidRPr="00792946">
        <w:rPr>
          <w:rFonts w:ascii="Palatino Linotype" w:eastAsia="Times New Roman" w:hAnsi="Palatino Linotype" w:cs="Times New Roman"/>
          <w:sz w:val="20"/>
          <w:szCs w:val="20"/>
          <w:lang w:eastAsia="it-IT"/>
        </w:rPr>
        <w:t>’</w:t>
      </w:r>
      <w:r w:rsidR="00126436" w:rsidRPr="00792946">
        <w:rPr>
          <w:rFonts w:ascii="Palatino Linotype" w:eastAsia="Times New Roman" w:hAnsi="Palatino Linotype" w:cs="Times New Roman"/>
          <w:sz w:val="20"/>
          <w:szCs w:val="20"/>
          <w:lang w:eastAsia="it-IT"/>
        </w:rPr>
        <w:t xml:space="preserve">esecuzione dei lavori </w:t>
      </w:r>
      <w:r w:rsidR="00CD7E7F" w:rsidRPr="00792946">
        <w:rPr>
          <w:rFonts w:ascii="Palatino Linotype" w:eastAsia="Times New Roman" w:hAnsi="Palatino Linotype" w:cs="Times New Roman"/>
          <w:sz w:val="20"/>
          <w:szCs w:val="20"/>
          <w:lang w:eastAsia="it-IT"/>
        </w:rPr>
        <w:t>su</w:t>
      </w:r>
      <w:r w:rsidR="00126436" w:rsidRPr="00792946">
        <w:rPr>
          <w:rFonts w:ascii="Palatino Linotype" w:eastAsia="Times New Roman" w:hAnsi="Palatino Linotype" w:cs="Times New Roman"/>
          <w:sz w:val="20"/>
          <w:szCs w:val="20"/>
          <w:lang w:eastAsia="it-IT"/>
        </w:rPr>
        <w:t xml:space="preserve"> un viadotto stradale, </w:t>
      </w:r>
      <w:r w:rsidR="00461739" w:rsidRPr="00792946">
        <w:rPr>
          <w:rFonts w:ascii="Palatino Linotype" w:eastAsia="Times New Roman" w:hAnsi="Palatino Linotype" w:cs="Times New Roman"/>
          <w:sz w:val="20"/>
          <w:szCs w:val="20"/>
          <w:lang w:eastAsia="it-IT"/>
        </w:rPr>
        <w:t>un operatore economico</w:t>
      </w:r>
      <w:r w:rsidR="00CD7E7F" w:rsidRPr="00792946">
        <w:rPr>
          <w:rFonts w:ascii="Palatino Linotype" w:eastAsia="Times New Roman" w:hAnsi="Palatino Linotype" w:cs="Times New Roman"/>
          <w:sz w:val="20"/>
          <w:szCs w:val="20"/>
          <w:lang w:eastAsia="it-IT"/>
        </w:rPr>
        <w:t>,</w:t>
      </w:r>
      <w:r w:rsidR="00126436" w:rsidRPr="00792946">
        <w:rPr>
          <w:rFonts w:ascii="Palatino Linotype" w:eastAsia="Times New Roman" w:hAnsi="Palatino Linotype" w:cs="Times New Roman"/>
          <w:sz w:val="20"/>
          <w:szCs w:val="20"/>
          <w:lang w:eastAsia="it-IT"/>
        </w:rPr>
        <w:t xml:space="preserve"> </w:t>
      </w:r>
      <w:r w:rsidR="00461739" w:rsidRPr="00792946">
        <w:rPr>
          <w:rFonts w:ascii="Palatino Linotype" w:eastAsia="Times New Roman" w:hAnsi="Palatino Linotype" w:cs="Times New Roman"/>
          <w:sz w:val="20"/>
          <w:szCs w:val="20"/>
          <w:lang w:eastAsia="it-IT"/>
        </w:rPr>
        <w:t>privo</w:t>
      </w:r>
      <w:r w:rsidR="00126436" w:rsidRPr="00792946">
        <w:rPr>
          <w:rFonts w:ascii="Palatino Linotype" w:eastAsia="Times New Roman" w:hAnsi="Palatino Linotype" w:cs="Times New Roman"/>
          <w:sz w:val="20"/>
          <w:szCs w:val="20"/>
          <w:lang w:eastAsia="it-IT"/>
        </w:rPr>
        <w:t xml:space="preserve"> della qualificazione nella categoria prevalente OS18-A (produzione in stabilimento e montaggio in</w:t>
      </w:r>
      <w:r w:rsidR="00461739" w:rsidRPr="00792946">
        <w:rPr>
          <w:rFonts w:ascii="Palatino Linotype" w:eastAsia="Times New Roman" w:hAnsi="Palatino Linotype" w:cs="Times New Roman"/>
          <w:sz w:val="20"/>
          <w:szCs w:val="20"/>
          <w:lang w:eastAsia="it-IT"/>
        </w:rPr>
        <w:t xml:space="preserve"> opera di strutture in acciaio)</w:t>
      </w:r>
      <w:r w:rsidR="00CD7E7F" w:rsidRPr="00792946">
        <w:rPr>
          <w:rFonts w:ascii="Palatino Linotype" w:eastAsia="Times New Roman" w:hAnsi="Palatino Linotype" w:cs="Times New Roman"/>
          <w:sz w:val="20"/>
          <w:szCs w:val="20"/>
          <w:lang w:eastAsia="it-IT"/>
        </w:rPr>
        <w:t>,</w:t>
      </w:r>
      <w:r w:rsidR="00126436" w:rsidRPr="00792946">
        <w:rPr>
          <w:rFonts w:ascii="Palatino Linotype" w:eastAsia="Times New Roman" w:hAnsi="Palatino Linotype" w:cs="Times New Roman"/>
          <w:sz w:val="20"/>
          <w:szCs w:val="20"/>
          <w:lang w:eastAsia="it-IT"/>
        </w:rPr>
        <w:t xml:space="preserve"> </w:t>
      </w:r>
      <w:r w:rsidR="00861574">
        <w:rPr>
          <w:rFonts w:ascii="Palatino Linotype" w:eastAsia="Times New Roman" w:hAnsi="Palatino Linotype" w:cs="Times New Roman"/>
          <w:sz w:val="20"/>
          <w:szCs w:val="20"/>
          <w:lang w:eastAsia="it-IT"/>
        </w:rPr>
        <w:t>è stato</w:t>
      </w:r>
      <w:r w:rsidR="00F834A5" w:rsidRPr="00792946">
        <w:rPr>
          <w:rFonts w:ascii="Palatino Linotype" w:eastAsia="Times New Roman" w:hAnsi="Palatino Linotype" w:cs="Times New Roman"/>
          <w:sz w:val="20"/>
          <w:szCs w:val="20"/>
          <w:lang w:eastAsia="it-IT"/>
        </w:rPr>
        <w:t xml:space="preserve"> escluso</w:t>
      </w:r>
      <w:r w:rsidR="00861574">
        <w:rPr>
          <w:rFonts w:ascii="Palatino Linotype" w:eastAsia="Times New Roman" w:hAnsi="Palatino Linotype" w:cs="Times New Roman"/>
          <w:sz w:val="20"/>
          <w:szCs w:val="20"/>
          <w:lang w:eastAsia="it-IT"/>
        </w:rPr>
        <w:t>,</w:t>
      </w:r>
      <w:r w:rsidR="00F834A5" w:rsidRPr="00792946">
        <w:rPr>
          <w:rFonts w:ascii="Palatino Linotype" w:eastAsia="Times New Roman" w:hAnsi="Palatino Linotype" w:cs="Times New Roman"/>
          <w:sz w:val="20"/>
          <w:szCs w:val="20"/>
          <w:lang w:eastAsia="it-IT"/>
        </w:rPr>
        <w:t xml:space="preserve"> per aver</w:t>
      </w:r>
      <w:r w:rsidR="001D53B3">
        <w:rPr>
          <w:rFonts w:ascii="Palatino Linotype" w:eastAsia="Times New Roman" w:hAnsi="Palatino Linotype" w:cs="Times New Roman"/>
          <w:sz w:val="20"/>
          <w:szCs w:val="20"/>
          <w:lang w:eastAsia="it-IT"/>
        </w:rPr>
        <w:t>e</w:t>
      </w:r>
      <w:r w:rsidR="00F834A5" w:rsidRPr="00792946">
        <w:rPr>
          <w:rFonts w:ascii="Palatino Linotype" w:eastAsia="Times New Roman" w:hAnsi="Palatino Linotype" w:cs="Times New Roman"/>
          <w:sz w:val="20"/>
          <w:szCs w:val="20"/>
          <w:lang w:eastAsia="it-IT"/>
        </w:rPr>
        <w:t xml:space="preserve"> </w:t>
      </w:r>
      <w:r w:rsidR="001D53B3">
        <w:rPr>
          <w:rFonts w:ascii="Palatino Linotype" w:eastAsia="Times New Roman" w:hAnsi="Palatino Linotype" w:cs="Times New Roman"/>
          <w:sz w:val="20"/>
          <w:szCs w:val="20"/>
          <w:lang w:eastAsia="it-IT"/>
        </w:rPr>
        <w:t>allega</w:t>
      </w:r>
      <w:r w:rsidR="00F834A5" w:rsidRPr="00792946">
        <w:rPr>
          <w:rFonts w:ascii="Palatino Linotype" w:eastAsia="Times New Roman" w:hAnsi="Palatino Linotype" w:cs="Times New Roman"/>
          <w:sz w:val="20"/>
          <w:szCs w:val="20"/>
          <w:lang w:eastAsia="it-IT"/>
        </w:rPr>
        <w:t>to</w:t>
      </w:r>
      <w:r w:rsidR="00126436" w:rsidRPr="00792946">
        <w:rPr>
          <w:rFonts w:ascii="Palatino Linotype" w:eastAsia="Times New Roman" w:hAnsi="Palatino Linotype" w:cs="Times New Roman"/>
          <w:sz w:val="20"/>
          <w:szCs w:val="20"/>
          <w:lang w:eastAsia="it-IT"/>
        </w:rPr>
        <w:t xml:space="preserve"> un contratto di avvalimento</w:t>
      </w:r>
      <w:r w:rsidR="00CD7E7F" w:rsidRPr="00792946">
        <w:rPr>
          <w:rFonts w:ascii="Palatino Linotype" w:eastAsia="Times New Roman" w:hAnsi="Palatino Linotype" w:cs="Times New Roman"/>
          <w:sz w:val="20"/>
          <w:szCs w:val="20"/>
          <w:lang w:eastAsia="it-IT"/>
        </w:rPr>
        <w:t xml:space="preserve"> </w:t>
      </w:r>
      <w:r w:rsidR="00461739" w:rsidRPr="00792946">
        <w:rPr>
          <w:rFonts w:ascii="Palatino Linotype" w:eastAsia="Times New Roman" w:hAnsi="Palatino Linotype" w:cs="Times New Roman"/>
          <w:sz w:val="20"/>
          <w:szCs w:val="20"/>
          <w:lang w:eastAsia="it-IT"/>
        </w:rPr>
        <w:t>carente</w:t>
      </w:r>
      <w:r w:rsidR="00126436" w:rsidRPr="00792946">
        <w:rPr>
          <w:rFonts w:ascii="Palatino Linotype" w:eastAsia="Times New Roman" w:hAnsi="Palatino Linotype" w:cs="Times New Roman"/>
          <w:sz w:val="20"/>
          <w:szCs w:val="20"/>
          <w:lang w:eastAsia="it-IT"/>
        </w:rPr>
        <w:t xml:space="preserve"> della </w:t>
      </w:r>
      <w:r w:rsidR="00461739" w:rsidRPr="00792946">
        <w:rPr>
          <w:rFonts w:ascii="Palatino Linotype" w:eastAsia="Times New Roman" w:hAnsi="Palatino Linotype" w:cs="Times New Roman"/>
          <w:sz w:val="20"/>
          <w:szCs w:val="20"/>
          <w:lang w:eastAsia="it-IT"/>
        </w:rPr>
        <w:t xml:space="preserve">necessaria </w:t>
      </w:r>
      <w:r w:rsidR="007B6406" w:rsidRPr="00792946">
        <w:rPr>
          <w:rFonts w:ascii="Palatino Linotype" w:eastAsia="Times New Roman" w:hAnsi="Palatino Linotype" w:cs="Times New Roman"/>
          <w:sz w:val="20"/>
          <w:szCs w:val="20"/>
          <w:lang w:eastAsia="it-IT"/>
        </w:rPr>
        <w:t>specificità</w:t>
      </w:r>
      <w:r w:rsidR="00126436" w:rsidRPr="00792946">
        <w:rPr>
          <w:rFonts w:ascii="Palatino Linotype" w:eastAsia="Times New Roman" w:hAnsi="Palatino Linotype" w:cs="Times New Roman"/>
          <w:sz w:val="20"/>
          <w:szCs w:val="20"/>
          <w:lang w:eastAsia="it-IT"/>
        </w:rPr>
        <w:t xml:space="preserve"> </w:t>
      </w:r>
      <w:r w:rsidR="007B6406" w:rsidRPr="00792946">
        <w:rPr>
          <w:rFonts w:ascii="Palatino Linotype" w:eastAsia="Times New Roman" w:hAnsi="Palatino Linotype" w:cs="Times New Roman"/>
          <w:sz w:val="20"/>
          <w:szCs w:val="20"/>
          <w:lang w:eastAsia="it-IT"/>
        </w:rPr>
        <w:t>qua</w:t>
      </w:r>
      <w:r w:rsidR="00126436" w:rsidRPr="00792946">
        <w:rPr>
          <w:rFonts w:ascii="Palatino Linotype" w:eastAsia="Times New Roman" w:hAnsi="Palatino Linotype" w:cs="Times New Roman"/>
          <w:sz w:val="20"/>
          <w:szCs w:val="20"/>
          <w:lang w:eastAsia="it-IT"/>
        </w:rPr>
        <w:t xml:space="preserve">nto </w:t>
      </w:r>
      <w:r w:rsidR="007B6406" w:rsidRPr="00792946">
        <w:rPr>
          <w:rFonts w:ascii="Palatino Linotype" w:eastAsia="Times New Roman" w:hAnsi="Palatino Linotype" w:cs="Times New Roman"/>
          <w:sz w:val="20"/>
          <w:szCs w:val="20"/>
          <w:lang w:eastAsia="it-IT"/>
        </w:rPr>
        <w:t xml:space="preserve">allo stabilimento ed al personale </w:t>
      </w:r>
      <w:r w:rsidR="006B77F9" w:rsidRPr="00792946">
        <w:rPr>
          <w:rFonts w:ascii="Palatino Linotype" w:eastAsia="Times New Roman" w:hAnsi="Palatino Linotype" w:cs="Times New Roman"/>
          <w:sz w:val="20"/>
          <w:szCs w:val="20"/>
          <w:lang w:eastAsia="it-IT"/>
        </w:rPr>
        <w:t>mess</w:t>
      </w:r>
      <w:r w:rsidR="007B6406" w:rsidRPr="00792946">
        <w:rPr>
          <w:rFonts w:ascii="Palatino Linotype" w:eastAsia="Times New Roman" w:hAnsi="Palatino Linotype" w:cs="Times New Roman"/>
          <w:sz w:val="20"/>
          <w:szCs w:val="20"/>
          <w:lang w:eastAsia="it-IT"/>
        </w:rPr>
        <w:t>i</w:t>
      </w:r>
      <w:r w:rsidR="006B77F9" w:rsidRPr="00792946">
        <w:rPr>
          <w:rFonts w:ascii="Palatino Linotype" w:eastAsia="Times New Roman" w:hAnsi="Palatino Linotype" w:cs="Times New Roman"/>
          <w:sz w:val="20"/>
          <w:szCs w:val="20"/>
          <w:lang w:eastAsia="it-IT"/>
        </w:rPr>
        <w:t xml:space="preserve"> a disposizione</w:t>
      </w:r>
      <w:r w:rsidR="00CD7E7F" w:rsidRPr="00792946">
        <w:rPr>
          <w:rFonts w:ascii="Palatino Linotype" w:eastAsia="Times New Roman" w:hAnsi="Palatino Linotype" w:cs="Times New Roman"/>
          <w:sz w:val="20"/>
          <w:szCs w:val="20"/>
          <w:lang w:eastAsia="it-IT"/>
        </w:rPr>
        <w:t>, considerat</w:t>
      </w:r>
      <w:r w:rsidR="007B6406" w:rsidRPr="00792946">
        <w:rPr>
          <w:rFonts w:ascii="Palatino Linotype" w:eastAsia="Times New Roman" w:hAnsi="Palatino Linotype" w:cs="Times New Roman"/>
          <w:sz w:val="20"/>
          <w:szCs w:val="20"/>
          <w:lang w:eastAsia="it-IT"/>
        </w:rPr>
        <w:t>a</w:t>
      </w:r>
      <w:r w:rsidR="00CD7E7F" w:rsidRPr="00792946">
        <w:rPr>
          <w:rFonts w:ascii="Palatino Linotype" w:eastAsia="Times New Roman" w:hAnsi="Palatino Linotype" w:cs="Times New Roman"/>
          <w:sz w:val="20"/>
          <w:szCs w:val="20"/>
          <w:lang w:eastAsia="it-IT"/>
        </w:rPr>
        <w:t xml:space="preserve"> </w:t>
      </w:r>
      <w:r w:rsidR="007B6406" w:rsidRPr="00792946">
        <w:rPr>
          <w:rFonts w:ascii="Palatino Linotype" w:eastAsia="Times New Roman" w:hAnsi="Palatino Linotype" w:cs="Times New Roman"/>
          <w:sz w:val="20"/>
          <w:szCs w:val="20"/>
          <w:lang w:eastAsia="it-IT"/>
        </w:rPr>
        <w:t>inoltre</w:t>
      </w:r>
      <w:r w:rsidR="00CD7E7F" w:rsidRPr="00792946">
        <w:rPr>
          <w:rFonts w:ascii="Palatino Linotype" w:eastAsia="Times New Roman" w:hAnsi="Palatino Linotype" w:cs="Times New Roman"/>
          <w:sz w:val="20"/>
          <w:szCs w:val="20"/>
          <w:lang w:eastAsia="it-IT"/>
        </w:rPr>
        <w:t xml:space="preserve"> </w:t>
      </w:r>
      <w:r w:rsidR="007B6406" w:rsidRPr="00792946">
        <w:rPr>
          <w:rFonts w:ascii="Palatino Linotype" w:eastAsia="Times New Roman" w:hAnsi="Palatino Linotype" w:cs="Times New Roman"/>
          <w:sz w:val="20"/>
          <w:szCs w:val="20"/>
          <w:lang w:eastAsia="it-IT"/>
        </w:rPr>
        <w:t>l’impraticabilità, nel caso,</w:t>
      </w:r>
      <w:r w:rsidR="00F834A5" w:rsidRPr="00792946">
        <w:rPr>
          <w:rFonts w:ascii="Palatino Linotype" w:eastAsia="Times New Roman" w:hAnsi="Palatino Linotype" w:cs="Times New Roman"/>
          <w:sz w:val="20"/>
          <w:szCs w:val="20"/>
          <w:lang w:eastAsia="it-IT"/>
        </w:rPr>
        <w:t xml:space="preserve"> </w:t>
      </w:r>
      <w:r w:rsidR="007B6406" w:rsidRPr="00792946">
        <w:rPr>
          <w:rFonts w:ascii="Palatino Linotype" w:eastAsia="Times New Roman" w:hAnsi="Palatino Linotype" w:cs="Times New Roman"/>
          <w:sz w:val="20"/>
          <w:szCs w:val="20"/>
          <w:lang w:eastAsia="it-IT"/>
        </w:rPr>
        <w:t>de</w:t>
      </w:r>
      <w:r w:rsidR="00F834A5" w:rsidRPr="00792946">
        <w:rPr>
          <w:rFonts w:ascii="Palatino Linotype" w:eastAsia="Times New Roman" w:hAnsi="Palatino Linotype" w:cs="Times New Roman"/>
          <w:sz w:val="20"/>
          <w:szCs w:val="20"/>
          <w:lang w:eastAsia="it-IT"/>
        </w:rPr>
        <w:t xml:space="preserve">l </w:t>
      </w:r>
      <w:r w:rsidR="00332584" w:rsidRPr="00792946">
        <w:rPr>
          <w:rFonts w:ascii="Palatino Linotype" w:eastAsia="Times New Roman" w:hAnsi="Palatino Linotype" w:cs="Times New Roman"/>
          <w:sz w:val="20"/>
          <w:szCs w:val="20"/>
          <w:lang w:eastAsia="it-IT"/>
        </w:rPr>
        <w:t xml:space="preserve">soccorso istruttorio, </w:t>
      </w:r>
      <w:r w:rsidR="00CD7E7F" w:rsidRPr="00792946">
        <w:rPr>
          <w:rFonts w:ascii="Palatino Linotype" w:eastAsia="Times New Roman" w:hAnsi="Palatino Linotype" w:cs="Times New Roman"/>
          <w:sz w:val="20"/>
          <w:szCs w:val="20"/>
          <w:lang w:eastAsia="it-IT"/>
        </w:rPr>
        <w:t>ch</w:t>
      </w:r>
      <w:r w:rsidR="00461739" w:rsidRPr="00792946">
        <w:rPr>
          <w:rFonts w:ascii="Palatino Linotype" w:eastAsia="Times New Roman" w:hAnsi="Palatino Linotype" w:cs="Times New Roman"/>
          <w:sz w:val="20"/>
          <w:szCs w:val="20"/>
          <w:lang w:eastAsia="it-IT"/>
        </w:rPr>
        <w:t xml:space="preserve">e </w:t>
      </w:r>
      <w:r w:rsidR="000A7B99" w:rsidRPr="00792946">
        <w:rPr>
          <w:rFonts w:ascii="Palatino Linotype" w:eastAsia="Times New Roman" w:hAnsi="Palatino Linotype" w:cs="Times New Roman"/>
          <w:sz w:val="20"/>
          <w:szCs w:val="20"/>
          <w:lang w:eastAsia="it-IT"/>
        </w:rPr>
        <w:t>consent</w:t>
      </w:r>
      <w:r w:rsidR="00461739" w:rsidRPr="00792946">
        <w:rPr>
          <w:rFonts w:ascii="Palatino Linotype" w:eastAsia="Times New Roman" w:hAnsi="Palatino Linotype" w:cs="Times New Roman"/>
          <w:sz w:val="20"/>
          <w:szCs w:val="20"/>
          <w:lang w:eastAsia="it-IT"/>
        </w:rPr>
        <w:t>e</w:t>
      </w:r>
      <w:r w:rsidR="00332584" w:rsidRPr="00792946">
        <w:rPr>
          <w:rFonts w:ascii="Palatino Linotype" w:eastAsia="Times New Roman" w:hAnsi="Palatino Linotype" w:cs="Times New Roman"/>
          <w:sz w:val="20"/>
          <w:szCs w:val="20"/>
          <w:lang w:eastAsia="it-IT"/>
        </w:rPr>
        <w:t xml:space="preserve"> la regolarizzazione </w:t>
      </w:r>
      <w:r w:rsidR="00CD7E7F" w:rsidRPr="00792946">
        <w:rPr>
          <w:rFonts w:ascii="Palatino Linotype" w:eastAsia="Times New Roman" w:hAnsi="Palatino Linotype" w:cs="Times New Roman"/>
          <w:sz w:val="20"/>
          <w:szCs w:val="20"/>
          <w:lang w:eastAsia="it-IT"/>
        </w:rPr>
        <w:t xml:space="preserve">e non la sostanziale sanatoria </w:t>
      </w:r>
      <w:r w:rsidR="00332584" w:rsidRPr="00792946">
        <w:rPr>
          <w:rFonts w:ascii="Palatino Linotype" w:eastAsia="Times New Roman" w:hAnsi="Palatino Linotype" w:cs="Times New Roman"/>
          <w:sz w:val="20"/>
          <w:szCs w:val="20"/>
          <w:lang w:eastAsia="it-IT"/>
        </w:rPr>
        <w:t xml:space="preserve">della documentazione </w:t>
      </w:r>
      <w:r w:rsidR="00CD7E7F" w:rsidRPr="00792946">
        <w:rPr>
          <w:rFonts w:ascii="Palatino Linotype" w:eastAsia="Times New Roman" w:hAnsi="Palatino Linotype" w:cs="Times New Roman"/>
          <w:sz w:val="20"/>
          <w:szCs w:val="20"/>
          <w:lang w:eastAsia="it-IT"/>
        </w:rPr>
        <w:t>prodot</w:t>
      </w:r>
      <w:r w:rsidR="00332584" w:rsidRPr="00792946">
        <w:rPr>
          <w:rFonts w:ascii="Palatino Linotype" w:eastAsia="Times New Roman" w:hAnsi="Palatino Linotype" w:cs="Times New Roman"/>
          <w:sz w:val="20"/>
          <w:szCs w:val="20"/>
          <w:lang w:eastAsia="it-IT"/>
        </w:rPr>
        <w:t>ta.</w:t>
      </w:r>
    </w:p>
    <w:p w14:paraId="0C1951F8" w14:textId="77777777" w:rsidR="0026269D" w:rsidRPr="00792946" w:rsidRDefault="007B6406"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Nel</w:t>
      </w:r>
      <w:r w:rsidR="000A7B99" w:rsidRPr="00792946">
        <w:rPr>
          <w:rFonts w:ascii="Palatino Linotype" w:eastAsia="Times New Roman" w:hAnsi="Palatino Linotype" w:cs="Times New Roman"/>
          <w:sz w:val="20"/>
          <w:szCs w:val="20"/>
          <w:lang w:eastAsia="it-IT"/>
        </w:rPr>
        <w:t xml:space="preserve">la </w:t>
      </w:r>
      <w:r w:rsidRPr="00792946">
        <w:rPr>
          <w:rFonts w:ascii="Palatino Linotype" w:eastAsia="Times New Roman" w:hAnsi="Palatino Linotype" w:cs="Times New Roman"/>
          <w:sz w:val="20"/>
          <w:szCs w:val="20"/>
          <w:lang w:eastAsia="it-IT"/>
        </w:rPr>
        <w:t>sua decisione</w:t>
      </w:r>
      <w:r w:rsidR="000A7B99" w:rsidRPr="00792946">
        <w:rPr>
          <w:rFonts w:ascii="Palatino Linotype" w:eastAsia="Times New Roman" w:hAnsi="Palatino Linotype" w:cs="Times New Roman"/>
          <w:sz w:val="20"/>
          <w:szCs w:val="20"/>
          <w:lang w:eastAsia="it-IT"/>
        </w:rPr>
        <w:t xml:space="preserve">, </w:t>
      </w:r>
      <w:r w:rsidR="008A057F" w:rsidRPr="00792946">
        <w:rPr>
          <w:rFonts w:ascii="Palatino Linotype" w:eastAsia="Times New Roman" w:hAnsi="Palatino Linotype" w:cs="Times New Roman"/>
          <w:sz w:val="20"/>
          <w:szCs w:val="20"/>
          <w:lang w:eastAsia="it-IT"/>
        </w:rPr>
        <w:t>l’Adunanza plenaria</w:t>
      </w:r>
      <w:r w:rsidR="008A057F" w:rsidRPr="00792946">
        <w:rPr>
          <w:rStyle w:val="Rimandonotaapidipagina"/>
          <w:rFonts w:ascii="Palatino Linotype" w:eastAsia="Times New Roman" w:hAnsi="Palatino Linotype" w:cs="Times New Roman"/>
          <w:sz w:val="20"/>
          <w:szCs w:val="20"/>
          <w:lang w:eastAsia="it-IT"/>
        </w:rPr>
        <w:footnoteReference w:id="40"/>
      </w:r>
      <w:r w:rsidR="008A057F" w:rsidRPr="00792946">
        <w:rPr>
          <w:rFonts w:ascii="Palatino Linotype" w:eastAsia="Times New Roman" w:hAnsi="Palatino Linotype" w:cs="Times New Roman"/>
          <w:sz w:val="20"/>
          <w:szCs w:val="20"/>
          <w:lang w:eastAsia="it-IT"/>
        </w:rPr>
        <w:t xml:space="preserve"> </w:t>
      </w:r>
      <w:r w:rsidR="0039599F" w:rsidRPr="00792946">
        <w:rPr>
          <w:rFonts w:ascii="Palatino Linotype" w:eastAsia="Times New Roman" w:hAnsi="Palatino Linotype" w:cs="Times New Roman"/>
          <w:sz w:val="20"/>
          <w:szCs w:val="20"/>
          <w:lang w:eastAsia="it-IT"/>
        </w:rPr>
        <w:t>osserva</w:t>
      </w:r>
      <w:r w:rsidR="0026269D" w:rsidRPr="00792946">
        <w:rPr>
          <w:rFonts w:ascii="Palatino Linotype" w:eastAsia="Times New Roman" w:hAnsi="Palatino Linotype" w:cs="Times New Roman"/>
          <w:sz w:val="20"/>
          <w:szCs w:val="20"/>
          <w:lang w:eastAsia="it-IT"/>
        </w:rPr>
        <w:t xml:space="preserve"> c</w:t>
      </w:r>
      <w:r w:rsidR="0039599F" w:rsidRPr="00792946">
        <w:rPr>
          <w:rFonts w:ascii="Palatino Linotype" w:eastAsia="Times New Roman" w:hAnsi="Palatino Linotype" w:cs="Times New Roman"/>
          <w:sz w:val="20"/>
          <w:szCs w:val="20"/>
          <w:lang w:eastAsia="it-IT"/>
        </w:rPr>
        <w:t>om</w:t>
      </w:r>
      <w:r w:rsidR="0026269D" w:rsidRPr="00792946">
        <w:rPr>
          <w:rFonts w:ascii="Palatino Linotype" w:eastAsia="Times New Roman" w:hAnsi="Palatino Linotype" w:cs="Times New Roman"/>
          <w:sz w:val="20"/>
          <w:szCs w:val="20"/>
          <w:lang w:eastAsia="it-IT"/>
        </w:rPr>
        <w:t>e</w:t>
      </w:r>
      <w:r w:rsidR="001D53B3">
        <w:rPr>
          <w:rFonts w:ascii="Palatino Linotype" w:eastAsia="Times New Roman" w:hAnsi="Palatino Linotype" w:cs="Times New Roman"/>
          <w:sz w:val="20"/>
          <w:szCs w:val="20"/>
          <w:lang w:eastAsia="it-IT"/>
        </w:rPr>
        <w:t>,</w:t>
      </w:r>
      <w:r w:rsidR="0026269D" w:rsidRPr="00792946">
        <w:rPr>
          <w:rFonts w:ascii="Palatino Linotype" w:eastAsia="Times New Roman" w:hAnsi="Palatino Linotype" w:cs="Times New Roman"/>
          <w:sz w:val="20"/>
          <w:szCs w:val="20"/>
          <w:lang w:eastAsia="it-IT"/>
        </w:rPr>
        <w:t xml:space="preserve"> nel settore degli appalti pubblici </w:t>
      </w:r>
      <w:r w:rsidR="00A2528A" w:rsidRPr="00792946">
        <w:rPr>
          <w:rFonts w:ascii="Palatino Linotype" w:eastAsia="Times New Roman" w:hAnsi="Palatino Linotype" w:cs="Times New Roman"/>
          <w:sz w:val="20"/>
          <w:szCs w:val="20"/>
          <w:lang w:eastAsia="it-IT"/>
        </w:rPr>
        <w:t xml:space="preserve">ed in particolare nella </w:t>
      </w:r>
      <w:r w:rsidR="001D53B3" w:rsidRPr="00792946">
        <w:rPr>
          <w:rFonts w:ascii="Palatino Linotype" w:eastAsia="Times New Roman" w:hAnsi="Palatino Linotype" w:cs="Times New Roman"/>
          <w:sz w:val="20"/>
          <w:szCs w:val="20"/>
          <w:lang w:eastAsia="it-IT"/>
        </w:rPr>
        <w:t xml:space="preserve">disciplina </w:t>
      </w:r>
      <w:r w:rsidR="00A2528A" w:rsidRPr="00792946">
        <w:rPr>
          <w:rFonts w:ascii="Palatino Linotype" w:eastAsia="Times New Roman" w:hAnsi="Palatino Linotype" w:cs="Times New Roman"/>
          <w:sz w:val="20"/>
          <w:szCs w:val="20"/>
          <w:lang w:eastAsia="it-IT"/>
        </w:rPr>
        <w:t xml:space="preserve">specifica del contratto d’avvalimento, </w:t>
      </w:r>
      <w:r w:rsidR="0026269D" w:rsidRPr="00792946">
        <w:rPr>
          <w:rFonts w:ascii="Palatino Linotype" w:eastAsia="Times New Roman" w:hAnsi="Palatino Linotype" w:cs="Times New Roman"/>
          <w:sz w:val="20"/>
          <w:szCs w:val="20"/>
          <w:lang w:eastAsia="it-IT"/>
        </w:rPr>
        <w:t>non esist</w:t>
      </w:r>
      <w:r w:rsidR="0039599F" w:rsidRPr="00792946">
        <w:rPr>
          <w:rFonts w:ascii="Palatino Linotype" w:eastAsia="Times New Roman" w:hAnsi="Palatino Linotype" w:cs="Times New Roman"/>
          <w:sz w:val="20"/>
          <w:szCs w:val="20"/>
          <w:lang w:eastAsia="it-IT"/>
        </w:rPr>
        <w:t>a</w:t>
      </w:r>
      <w:r w:rsidR="0026269D" w:rsidRPr="00792946">
        <w:rPr>
          <w:rFonts w:ascii="Palatino Linotype" w:eastAsia="Times New Roman" w:hAnsi="Palatino Linotype" w:cs="Times New Roman"/>
          <w:sz w:val="20"/>
          <w:szCs w:val="20"/>
          <w:lang w:eastAsia="it-IT"/>
        </w:rPr>
        <w:t xml:space="preserve"> alcuna norma derogatrice </w:t>
      </w:r>
      <w:r w:rsidR="00531419">
        <w:rPr>
          <w:rFonts w:ascii="Palatino Linotype" w:eastAsia="Times New Roman" w:hAnsi="Palatino Linotype" w:cs="Times New Roman"/>
          <w:sz w:val="20"/>
          <w:szCs w:val="20"/>
          <w:lang w:eastAsia="it-IT"/>
        </w:rPr>
        <w:t>a</w:t>
      </w:r>
      <w:r w:rsidR="0026269D" w:rsidRPr="00792946">
        <w:rPr>
          <w:rFonts w:ascii="Palatino Linotype" w:eastAsia="Times New Roman" w:hAnsi="Palatino Linotype" w:cs="Times New Roman"/>
          <w:sz w:val="20"/>
          <w:szCs w:val="20"/>
          <w:lang w:eastAsia="it-IT"/>
        </w:rPr>
        <w:t xml:space="preserve">gli artt. 1325 e 1346 c.c., in </w:t>
      </w:r>
      <w:r w:rsidR="00A2528A" w:rsidRPr="00792946">
        <w:rPr>
          <w:rFonts w:ascii="Palatino Linotype" w:eastAsia="Times New Roman" w:hAnsi="Palatino Linotype" w:cs="Times New Roman"/>
          <w:sz w:val="20"/>
          <w:szCs w:val="20"/>
          <w:lang w:eastAsia="it-IT"/>
        </w:rPr>
        <w:t>base</w:t>
      </w:r>
      <w:r w:rsidR="0026269D" w:rsidRPr="00792946">
        <w:rPr>
          <w:rFonts w:ascii="Palatino Linotype" w:eastAsia="Times New Roman" w:hAnsi="Palatino Linotype" w:cs="Times New Roman"/>
          <w:sz w:val="20"/>
          <w:szCs w:val="20"/>
          <w:lang w:eastAsia="it-IT"/>
        </w:rPr>
        <w:t xml:space="preserve"> </w:t>
      </w:r>
      <w:r w:rsidR="00A2528A" w:rsidRPr="00792946">
        <w:rPr>
          <w:rFonts w:ascii="Palatino Linotype" w:eastAsia="Times New Roman" w:hAnsi="Palatino Linotype" w:cs="Times New Roman"/>
          <w:sz w:val="20"/>
          <w:szCs w:val="20"/>
          <w:lang w:eastAsia="it-IT"/>
        </w:rPr>
        <w:t xml:space="preserve">ai quali, </w:t>
      </w:r>
      <w:r w:rsidR="0026269D" w:rsidRPr="00792946">
        <w:rPr>
          <w:rFonts w:ascii="Palatino Linotype" w:eastAsia="Times New Roman" w:hAnsi="Palatino Linotype" w:cs="Times New Roman"/>
          <w:sz w:val="20"/>
          <w:szCs w:val="20"/>
          <w:lang w:eastAsia="it-IT"/>
        </w:rPr>
        <w:t>per la validità del contratto</w:t>
      </w:r>
      <w:r w:rsidR="00A2528A" w:rsidRPr="00792946">
        <w:rPr>
          <w:rFonts w:ascii="Palatino Linotype" w:eastAsia="Times New Roman" w:hAnsi="Palatino Linotype" w:cs="Times New Roman"/>
          <w:sz w:val="20"/>
          <w:szCs w:val="20"/>
          <w:lang w:eastAsia="it-IT"/>
        </w:rPr>
        <w:t>,</w:t>
      </w:r>
      <w:r w:rsidR="0026269D" w:rsidRPr="00792946">
        <w:rPr>
          <w:rFonts w:ascii="Palatino Linotype" w:eastAsia="Times New Roman" w:hAnsi="Palatino Linotype" w:cs="Times New Roman"/>
          <w:sz w:val="20"/>
          <w:szCs w:val="20"/>
          <w:lang w:eastAsia="it-IT"/>
        </w:rPr>
        <w:t xml:space="preserve"> è richiesto un oggetto di carattere ‘</w:t>
      </w:r>
      <w:r w:rsidR="0026269D" w:rsidRPr="00792946">
        <w:rPr>
          <w:rFonts w:ascii="Palatino Linotype" w:eastAsia="Times New Roman" w:hAnsi="Palatino Linotype" w:cs="Times New Roman"/>
          <w:iCs/>
          <w:sz w:val="20"/>
          <w:szCs w:val="20"/>
          <w:lang w:eastAsia="it-IT"/>
        </w:rPr>
        <w:t>determinato’</w:t>
      </w:r>
      <w:r w:rsidR="0026269D" w:rsidRPr="00792946">
        <w:rPr>
          <w:rFonts w:ascii="Palatino Linotype" w:eastAsia="Times New Roman" w:hAnsi="Palatino Linotype" w:cs="Times New Roman"/>
          <w:sz w:val="20"/>
          <w:szCs w:val="20"/>
          <w:lang w:eastAsia="it-IT"/>
        </w:rPr>
        <w:t xml:space="preserve"> o ‘</w:t>
      </w:r>
      <w:r w:rsidR="0026269D" w:rsidRPr="00792946">
        <w:rPr>
          <w:rFonts w:ascii="Palatino Linotype" w:eastAsia="Times New Roman" w:hAnsi="Palatino Linotype" w:cs="Times New Roman"/>
          <w:iCs/>
          <w:sz w:val="20"/>
          <w:szCs w:val="20"/>
          <w:lang w:eastAsia="it-IT"/>
        </w:rPr>
        <w:t>determinabile</w:t>
      </w:r>
      <w:r w:rsidR="0026269D" w:rsidRPr="00792946">
        <w:rPr>
          <w:rFonts w:ascii="Palatino Linotype" w:eastAsia="Times New Roman" w:hAnsi="Palatino Linotype" w:cs="Times New Roman"/>
          <w:sz w:val="20"/>
          <w:szCs w:val="20"/>
          <w:lang w:eastAsia="it-IT"/>
        </w:rPr>
        <w:t>’.</w:t>
      </w:r>
    </w:p>
    <w:p w14:paraId="426A580F" w14:textId="77777777" w:rsidR="00796AB8" w:rsidRPr="00792946" w:rsidRDefault="0026269D"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Ne consegue che, </w:t>
      </w:r>
      <w:r w:rsidR="00A11DEC">
        <w:rPr>
          <w:rFonts w:ascii="Palatino Linotype" w:eastAsia="Times New Roman" w:hAnsi="Palatino Linotype" w:cs="Times New Roman"/>
          <w:sz w:val="20"/>
          <w:szCs w:val="20"/>
          <w:lang w:eastAsia="it-IT"/>
        </w:rPr>
        <w:t>oper</w:t>
      </w:r>
      <w:r w:rsidR="00B76E2D" w:rsidRPr="00792946">
        <w:rPr>
          <w:rFonts w:ascii="Palatino Linotype" w:eastAsia="Times New Roman" w:hAnsi="Palatino Linotype" w:cs="Times New Roman"/>
          <w:sz w:val="20"/>
          <w:szCs w:val="20"/>
          <w:lang w:eastAsia="it-IT"/>
        </w:rPr>
        <w:t>a</w:t>
      </w:r>
      <w:r w:rsidRPr="00792946">
        <w:rPr>
          <w:rFonts w:ascii="Palatino Linotype" w:eastAsia="Times New Roman" w:hAnsi="Palatino Linotype" w:cs="Times New Roman"/>
          <w:sz w:val="20"/>
          <w:szCs w:val="20"/>
          <w:lang w:eastAsia="it-IT"/>
        </w:rPr>
        <w:t>ndo</w:t>
      </w:r>
      <w:r w:rsidR="00B76E2D"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 xml:space="preserve">le predette norme del diritto privato, </w:t>
      </w:r>
      <w:r w:rsidR="00A11DEC">
        <w:rPr>
          <w:rFonts w:ascii="Palatino Linotype" w:eastAsia="Times New Roman" w:hAnsi="Palatino Linotype" w:cs="Times New Roman"/>
          <w:sz w:val="20"/>
          <w:szCs w:val="20"/>
          <w:lang w:eastAsia="it-IT"/>
        </w:rPr>
        <w:t>va</w:t>
      </w:r>
      <w:r w:rsidRPr="00792946">
        <w:rPr>
          <w:rFonts w:ascii="Palatino Linotype" w:eastAsia="Times New Roman" w:hAnsi="Palatino Linotype" w:cs="Times New Roman"/>
          <w:sz w:val="20"/>
          <w:szCs w:val="20"/>
          <w:lang w:eastAsia="it-IT"/>
        </w:rPr>
        <w:t xml:space="preserve"> </w:t>
      </w:r>
      <w:r w:rsidR="000A7B99" w:rsidRPr="00792946">
        <w:rPr>
          <w:rFonts w:ascii="Palatino Linotype" w:eastAsia="Times New Roman" w:hAnsi="Palatino Linotype" w:cs="Times New Roman"/>
          <w:sz w:val="20"/>
          <w:szCs w:val="20"/>
          <w:lang w:eastAsia="it-IT"/>
        </w:rPr>
        <w:t>ripudia</w:t>
      </w:r>
      <w:r w:rsidRPr="00792946">
        <w:rPr>
          <w:rFonts w:ascii="Palatino Linotype" w:eastAsia="Times New Roman" w:hAnsi="Palatino Linotype" w:cs="Times New Roman"/>
          <w:sz w:val="20"/>
          <w:szCs w:val="20"/>
          <w:lang w:eastAsia="it-IT"/>
        </w:rPr>
        <w:t>ta</w:t>
      </w:r>
      <w:r w:rsidR="00B76E2D" w:rsidRPr="00792946">
        <w:rPr>
          <w:rFonts w:ascii="Palatino Linotype" w:eastAsia="Times New Roman" w:hAnsi="Palatino Linotype" w:cs="Times New Roman"/>
          <w:sz w:val="20"/>
          <w:szCs w:val="20"/>
          <w:lang w:eastAsia="it-IT"/>
        </w:rPr>
        <w:t xml:space="preserve"> </w:t>
      </w:r>
      <w:r w:rsidR="000A7B99" w:rsidRPr="00792946">
        <w:rPr>
          <w:rFonts w:ascii="Palatino Linotype" w:eastAsia="Times New Roman" w:hAnsi="Palatino Linotype" w:cs="Times New Roman"/>
          <w:sz w:val="20"/>
          <w:szCs w:val="20"/>
          <w:lang w:eastAsia="it-IT"/>
        </w:rPr>
        <w:t>la tesi</w:t>
      </w:r>
      <w:r w:rsidRPr="00792946">
        <w:rPr>
          <w:rFonts w:ascii="Palatino Linotype" w:eastAsia="Times New Roman" w:hAnsi="Palatino Linotype" w:cs="Times New Roman"/>
          <w:sz w:val="20"/>
          <w:szCs w:val="20"/>
          <w:lang w:eastAsia="it-IT"/>
        </w:rPr>
        <w:t xml:space="preserve">, </w:t>
      </w:r>
      <w:r w:rsidR="00A11DEC">
        <w:rPr>
          <w:rFonts w:ascii="Palatino Linotype" w:eastAsia="Times New Roman" w:hAnsi="Palatino Linotype" w:cs="Times New Roman"/>
          <w:sz w:val="20"/>
          <w:szCs w:val="20"/>
          <w:lang w:eastAsia="it-IT"/>
        </w:rPr>
        <w:t>pur</w:t>
      </w:r>
      <w:r w:rsidRPr="00792946">
        <w:rPr>
          <w:rFonts w:ascii="Palatino Linotype" w:eastAsia="Times New Roman" w:hAnsi="Palatino Linotype" w:cs="Times New Roman"/>
          <w:sz w:val="20"/>
          <w:szCs w:val="20"/>
          <w:lang w:eastAsia="it-IT"/>
        </w:rPr>
        <w:t xml:space="preserve"> maggioritaria in giurisprudenza,</w:t>
      </w:r>
      <w:r w:rsidR="000A7B99" w:rsidRPr="00792946">
        <w:rPr>
          <w:rFonts w:ascii="Palatino Linotype" w:eastAsia="Times New Roman" w:hAnsi="Palatino Linotype" w:cs="Times New Roman"/>
          <w:sz w:val="20"/>
          <w:szCs w:val="20"/>
          <w:lang w:eastAsia="it-IT"/>
        </w:rPr>
        <w:t xml:space="preserve"> </w:t>
      </w:r>
      <w:r w:rsidR="003A201B" w:rsidRPr="00792946">
        <w:rPr>
          <w:rFonts w:ascii="Palatino Linotype" w:eastAsia="Times New Roman" w:hAnsi="Palatino Linotype" w:cs="Times New Roman"/>
          <w:sz w:val="20"/>
          <w:szCs w:val="20"/>
          <w:lang w:eastAsia="it-IT"/>
        </w:rPr>
        <w:t>secondo cui</w:t>
      </w:r>
      <w:r w:rsidR="00796AB8" w:rsidRPr="00792946">
        <w:rPr>
          <w:rFonts w:ascii="Palatino Linotype" w:eastAsia="Times New Roman" w:hAnsi="Palatino Linotype" w:cs="Times New Roman"/>
          <w:sz w:val="20"/>
          <w:szCs w:val="20"/>
          <w:lang w:eastAsia="it-IT"/>
        </w:rPr>
        <w:t xml:space="preserve"> il contratto di avvalimento </w:t>
      </w:r>
      <w:r w:rsidRPr="00792946">
        <w:rPr>
          <w:rFonts w:ascii="Palatino Linotype" w:eastAsia="Times New Roman" w:hAnsi="Palatino Linotype" w:cs="Times New Roman"/>
          <w:sz w:val="20"/>
          <w:szCs w:val="20"/>
          <w:lang w:eastAsia="it-IT"/>
        </w:rPr>
        <w:t>necessita</w:t>
      </w:r>
      <w:r w:rsidR="00796AB8" w:rsidRPr="00792946">
        <w:rPr>
          <w:rFonts w:ascii="Palatino Linotype" w:eastAsia="Times New Roman" w:hAnsi="Palatino Linotype" w:cs="Times New Roman"/>
          <w:sz w:val="20"/>
          <w:szCs w:val="20"/>
          <w:lang w:eastAsia="it-IT"/>
        </w:rPr>
        <w:t xml:space="preserve"> sempre e comunque </w:t>
      </w:r>
      <w:r w:rsidRPr="00792946">
        <w:rPr>
          <w:rFonts w:ascii="Palatino Linotype" w:eastAsia="Times New Roman" w:hAnsi="Palatino Linotype" w:cs="Times New Roman"/>
          <w:sz w:val="20"/>
          <w:szCs w:val="20"/>
          <w:lang w:eastAsia="it-IT"/>
        </w:rPr>
        <w:t>di</w:t>
      </w:r>
      <w:r w:rsidR="00796AB8" w:rsidRPr="00792946">
        <w:rPr>
          <w:rFonts w:ascii="Palatino Linotype" w:eastAsia="Times New Roman" w:hAnsi="Palatino Linotype" w:cs="Times New Roman"/>
          <w:sz w:val="20"/>
          <w:szCs w:val="20"/>
          <w:lang w:eastAsia="it-IT"/>
        </w:rPr>
        <w:t xml:space="preserve"> un oggetto </w:t>
      </w:r>
      <w:r w:rsidR="000A7B99" w:rsidRPr="00792946">
        <w:rPr>
          <w:rFonts w:ascii="Palatino Linotype" w:eastAsia="Times New Roman" w:hAnsi="Palatino Linotype" w:cs="Times New Roman"/>
          <w:sz w:val="20"/>
          <w:szCs w:val="20"/>
          <w:lang w:eastAsia="it-IT"/>
        </w:rPr>
        <w:t>‘</w:t>
      </w:r>
      <w:r w:rsidR="00796AB8" w:rsidRPr="00792946">
        <w:rPr>
          <w:rFonts w:ascii="Palatino Linotype" w:eastAsia="Times New Roman" w:hAnsi="Palatino Linotype" w:cs="Times New Roman"/>
          <w:sz w:val="20"/>
          <w:szCs w:val="20"/>
          <w:lang w:eastAsia="it-IT"/>
        </w:rPr>
        <w:t>determinato</w:t>
      </w:r>
      <w:r w:rsidR="000A7B99" w:rsidRPr="00792946">
        <w:rPr>
          <w:rFonts w:ascii="Palatino Linotype" w:eastAsia="Times New Roman" w:hAnsi="Palatino Linotype" w:cs="Times New Roman"/>
          <w:sz w:val="20"/>
          <w:szCs w:val="20"/>
          <w:lang w:eastAsia="it-IT"/>
        </w:rPr>
        <w:t>’</w:t>
      </w:r>
      <w:r w:rsidR="00897B8D" w:rsidRPr="00792946">
        <w:rPr>
          <w:rFonts w:ascii="Palatino Linotype" w:eastAsia="Times New Roman" w:hAnsi="Palatino Linotype" w:cs="Times New Roman"/>
          <w:sz w:val="20"/>
          <w:szCs w:val="20"/>
          <w:lang w:eastAsia="it-IT"/>
        </w:rPr>
        <w:t xml:space="preserve">, </w:t>
      </w:r>
      <w:r w:rsidR="00A11DEC">
        <w:rPr>
          <w:rFonts w:ascii="Palatino Linotype" w:eastAsia="Times New Roman" w:hAnsi="Palatino Linotype" w:cs="Times New Roman"/>
          <w:sz w:val="20"/>
          <w:szCs w:val="20"/>
          <w:lang w:eastAsia="it-IT"/>
        </w:rPr>
        <w:t>dove</w:t>
      </w:r>
      <w:r w:rsidR="00796AB8" w:rsidRPr="00792946">
        <w:rPr>
          <w:rFonts w:ascii="Palatino Linotype" w:eastAsia="Times New Roman" w:hAnsi="Palatino Linotype" w:cs="Times New Roman"/>
          <w:sz w:val="20"/>
          <w:szCs w:val="20"/>
          <w:lang w:eastAsia="it-IT"/>
        </w:rPr>
        <w:t>ndo esclu</w:t>
      </w:r>
      <w:r w:rsidR="00A11DEC">
        <w:rPr>
          <w:rFonts w:ascii="Palatino Linotype" w:eastAsia="Times New Roman" w:hAnsi="Palatino Linotype" w:cs="Times New Roman"/>
          <w:sz w:val="20"/>
          <w:szCs w:val="20"/>
          <w:lang w:eastAsia="it-IT"/>
        </w:rPr>
        <w:t>der</w:t>
      </w:r>
      <w:r w:rsidR="00796AB8" w:rsidRPr="00792946">
        <w:rPr>
          <w:rFonts w:ascii="Palatino Linotype" w:eastAsia="Times New Roman" w:hAnsi="Palatino Linotype" w:cs="Times New Roman"/>
          <w:sz w:val="20"/>
          <w:szCs w:val="20"/>
          <w:lang w:eastAsia="it-IT"/>
        </w:rPr>
        <w:t>s</w:t>
      </w:r>
      <w:r w:rsidR="00A11DEC">
        <w:rPr>
          <w:rFonts w:ascii="Palatino Linotype" w:eastAsia="Times New Roman" w:hAnsi="Palatino Linotype" w:cs="Times New Roman"/>
          <w:sz w:val="20"/>
          <w:szCs w:val="20"/>
          <w:lang w:eastAsia="it-IT"/>
        </w:rPr>
        <w:t>i</w:t>
      </w:r>
      <w:r w:rsidR="00796AB8" w:rsidRPr="00792946">
        <w:rPr>
          <w:rFonts w:ascii="Palatino Linotype" w:eastAsia="Times New Roman" w:hAnsi="Palatino Linotype" w:cs="Times New Roman"/>
          <w:sz w:val="20"/>
          <w:szCs w:val="20"/>
          <w:lang w:eastAsia="it-IT"/>
        </w:rPr>
        <w:t xml:space="preserve"> la determinabilità dello stesso </w:t>
      </w:r>
      <w:r w:rsidR="00F834A5" w:rsidRPr="00792946">
        <w:rPr>
          <w:rFonts w:ascii="Palatino Linotype" w:eastAsia="Times New Roman" w:hAnsi="Palatino Linotype" w:cs="Times New Roman"/>
          <w:sz w:val="20"/>
          <w:szCs w:val="20"/>
          <w:lang w:eastAsia="it-IT"/>
        </w:rPr>
        <w:t xml:space="preserve">secondo </w:t>
      </w:r>
      <w:r w:rsidR="00796AB8" w:rsidRPr="00792946">
        <w:rPr>
          <w:rFonts w:ascii="Palatino Linotype" w:eastAsia="Times New Roman" w:hAnsi="Palatino Linotype" w:cs="Times New Roman"/>
          <w:sz w:val="20"/>
          <w:szCs w:val="20"/>
          <w:lang w:eastAsia="it-IT"/>
        </w:rPr>
        <w:t>gli ordinari criteri dell</w:t>
      </w:r>
      <w:r w:rsidR="00557DFE" w:rsidRPr="00792946">
        <w:rPr>
          <w:rFonts w:ascii="Palatino Linotype" w:eastAsia="Times New Roman" w:hAnsi="Palatino Linotype" w:cs="Times New Roman"/>
          <w:sz w:val="20"/>
          <w:szCs w:val="20"/>
          <w:lang w:eastAsia="it-IT"/>
        </w:rPr>
        <w:t>’</w:t>
      </w:r>
      <w:r w:rsidR="00796AB8" w:rsidRPr="00792946">
        <w:rPr>
          <w:rFonts w:ascii="Palatino Linotype" w:eastAsia="Times New Roman" w:hAnsi="Palatino Linotype" w:cs="Times New Roman"/>
          <w:sz w:val="20"/>
          <w:szCs w:val="20"/>
          <w:lang w:eastAsia="it-IT"/>
        </w:rPr>
        <w:t>ermeneutica contrattuale.</w:t>
      </w:r>
    </w:p>
    <w:p w14:paraId="04C0FD70" w14:textId="77777777" w:rsidR="00796AB8" w:rsidRPr="00792946" w:rsidRDefault="003A201B"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L</w:t>
      </w:r>
      <w:r w:rsidR="00557DFE" w:rsidRPr="00792946">
        <w:rPr>
          <w:rFonts w:ascii="Palatino Linotype" w:eastAsia="Times New Roman" w:hAnsi="Palatino Linotype" w:cs="Times New Roman"/>
          <w:sz w:val="20"/>
          <w:szCs w:val="20"/>
          <w:lang w:eastAsia="it-IT"/>
        </w:rPr>
        <w:t>’</w:t>
      </w:r>
      <w:r w:rsidR="00796AB8" w:rsidRPr="00792946">
        <w:rPr>
          <w:rFonts w:ascii="Palatino Linotype" w:eastAsia="Times New Roman" w:hAnsi="Palatino Linotype" w:cs="Times New Roman"/>
          <w:sz w:val="20"/>
          <w:szCs w:val="20"/>
          <w:lang w:eastAsia="it-IT"/>
        </w:rPr>
        <w:t xml:space="preserve">indagine </w:t>
      </w:r>
      <w:r w:rsidR="00897B8D" w:rsidRPr="00792946">
        <w:rPr>
          <w:rFonts w:ascii="Palatino Linotype" w:eastAsia="Times New Roman" w:hAnsi="Palatino Linotype" w:cs="Times New Roman"/>
          <w:sz w:val="20"/>
          <w:szCs w:val="20"/>
          <w:lang w:eastAsia="it-IT"/>
        </w:rPr>
        <w:t>sul</w:t>
      </w:r>
      <w:r w:rsidR="00A11DEC">
        <w:rPr>
          <w:rFonts w:ascii="Palatino Linotype" w:eastAsia="Times New Roman" w:hAnsi="Palatino Linotype" w:cs="Times New Roman"/>
          <w:sz w:val="20"/>
          <w:szCs w:val="20"/>
          <w:lang w:eastAsia="it-IT"/>
        </w:rPr>
        <w:t xml:space="preserve"> contenuto</w:t>
      </w:r>
      <w:r w:rsidR="00796AB8" w:rsidRPr="00792946">
        <w:rPr>
          <w:rFonts w:ascii="Palatino Linotype" w:eastAsia="Times New Roman" w:hAnsi="Palatino Linotype" w:cs="Times New Roman"/>
          <w:sz w:val="20"/>
          <w:szCs w:val="20"/>
          <w:lang w:eastAsia="it-IT"/>
        </w:rPr>
        <w:t xml:space="preserve"> del contratto </w:t>
      </w:r>
      <w:r w:rsidR="00A11DEC">
        <w:rPr>
          <w:rFonts w:ascii="Palatino Linotype" w:eastAsia="Times New Roman" w:hAnsi="Palatino Linotype" w:cs="Times New Roman"/>
          <w:sz w:val="20"/>
          <w:szCs w:val="20"/>
          <w:lang w:eastAsia="it-IT"/>
        </w:rPr>
        <w:t>va</w:t>
      </w:r>
      <w:r w:rsidR="00796AB8" w:rsidRPr="00792946">
        <w:rPr>
          <w:rFonts w:ascii="Palatino Linotype" w:eastAsia="Times New Roman" w:hAnsi="Palatino Linotype" w:cs="Times New Roman"/>
          <w:sz w:val="20"/>
          <w:szCs w:val="20"/>
          <w:lang w:eastAsia="it-IT"/>
        </w:rPr>
        <w:t xml:space="preserve"> </w:t>
      </w:r>
      <w:r w:rsidR="00F834A5" w:rsidRPr="00792946">
        <w:rPr>
          <w:rFonts w:ascii="Palatino Linotype" w:eastAsia="Times New Roman" w:hAnsi="Palatino Linotype" w:cs="Times New Roman"/>
          <w:sz w:val="20"/>
          <w:szCs w:val="20"/>
          <w:lang w:eastAsia="it-IT"/>
        </w:rPr>
        <w:t>quindi</w:t>
      </w:r>
      <w:r w:rsidRPr="00792946">
        <w:rPr>
          <w:rFonts w:ascii="Palatino Linotype" w:eastAsia="Times New Roman" w:hAnsi="Palatino Linotype" w:cs="Times New Roman"/>
          <w:sz w:val="20"/>
          <w:szCs w:val="20"/>
          <w:lang w:eastAsia="it-IT"/>
        </w:rPr>
        <w:t xml:space="preserve"> </w:t>
      </w:r>
      <w:r w:rsidR="00796AB8" w:rsidRPr="00792946">
        <w:rPr>
          <w:rFonts w:ascii="Palatino Linotype" w:eastAsia="Times New Roman" w:hAnsi="Palatino Linotype" w:cs="Times New Roman"/>
          <w:sz w:val="20"/>
          <w:szCs w:val="20"/>
          <w:lang w:eastAsia="it-IT"/>
        </w:rPr>
        <w:t xml:space="preserve">svolta sulla base delle </w:t>
      </w:r>
      <w:r w:rsidR="00F834A5" w:rsidRPr="00792946">
        <w:rPr>
          <w:rFonts w:ascii="Palatino Linotype" w:eastAsia="Times New Roman" w:hAnsi="Palatino Linotype" w:cs="Times New Roman"/>
          <w:sz w:val="20"/>
          <w:szCs w:val="20"/>
          <w:lang w:eastAsia="it-IT"/>
        </w:rPr>
        <w:t xml:space="preserve">regole </w:t>
      </w:r>
      <w:r w:rsidR="00796AB8" w:rsidRPr="00792946">
        <w:rPr>
          <w:rFonts w:ascii="Palatino Linotype" w:eastAsia="Times New Roman" w:hAnsi="Palatino Linotype" w:cs="Times New Roman"/>
          <w:sz w:val="20"/>
          <w:szCs w:val="20"/>
          <w:lang w:eastAsia="it-IT"/>
        </w:rPr>
        <w:t xml:space="preserve">generali </w:t>
      </w:r>
      <w:r w:rsidR="00897B8D" w:rsidRPr="00792946">
        <w:rPr>
          <w:rFonts w:ascii="Palatino Linotype" w:eastAsia="Times New Roman" w:hAnsi="Palatino Linotype" w:cs="Times New Roman"/>
          <w:sz w:val="20"/>
          <w:szCs w:val="20"/>
          <w:lang w:eastAsia="it-IT"/>
        </w:rPr>
        <w:t xml:space="preserve">e, segnatamente, </w:t>
      </w:r>
      <w:r w:rsidR="00796AB8" w:rsidRPr="00792946">
        <w:rPr>
          <w:rFonts w:ascii="Palatino Linotype" w:eastAsia="Times New Roman" w:hAnsi="Palatino Linotype" w:cs="Times New Roman"/>
          <w:sz w:val="20"/>
          <w:szCs w:val="20"/>
          <w:lang w:eastAsia="it-IT"/>
        </w:rPr>
        <w:t>dell</w:t>
      </w:r>
      <w:r w:rsidR="00557DFE" w:rsidRPr="00792946">
        <w:rPr>
          <w:rFonts w:ascii="Palatino Linotype" w:eastAsia="Times New Roman" w:hAnsi="Palatino Linotype" w:cs="Times New Roman"/>
          <w:sz w:val="20"/>
          <w:szCs w:val="20"/>
          <w:lang w:eastAsia="it-IT"/>
        </w:rPr>
        <w:t>’</w:t>
      </w:r>
      <w:r w:rsidR="00796AB8" w:rsidRPr="00792946">
        <w:rPr>
          <w:rFonts w:ascii="Palatino Linotype" w:eastAsia="Times New Roman" w:hAnsi="Palatino Linotype" w:cs="Times New Roman"/>
          <w:sz w:val="20"/>
          <w:szCs w:val="20"/>
          <w:lang w:eastAsia="it-IT"/>
        </w:rPr>
        <w:t>art</w:t>
      </w:r>
      <w:r w:rsidR="00897B8D" w:rsidRPr="00792946">
        <w:rPr>
          <w:rFonts w:ascii="Palatino Linotype" w:eastAsia="Times New Roman" w:hAnsi="Palatino Linotype" w:cs="Times New Roman"/>
          <w:sz w:val="20"/>
          <w:szCs w:val="20"/>
          <w:lang w:eastAsia="it-IT"/>
        </w:rPr>
        <w:t>.</w:t>
      </w:r>
      <w:r w:rsidR="00796AB8" w:rsidRPr="00792946">
        <w:rPr>
          <w:rFonts w:ascii="Palatino Linotype" w:eastAsia="Times New Roman" w:hAnsi="Palatino Linotype" w:cs="Times New Roman"/>
          <w:sz w:val="20"/>
          <w:szCs w:val="20"/>
          <w:lang w:eastAsia="it-IT"/>
        </w:rPr>
        <w:t xml:space="preserve"> 1363 </w:t>
      </w:r>
      <w:r w:rsidR="00897B8D" w:rsidRPr="00792946">
        <w:rPr>
          <w:rFonts w:ascii="Palatino Linotype" w:eastAsia="Times New Roman" w:hAnsi="Palatino Linotype" w:cs="Times New Roman"/>
          <w:sz w:val="20"/>
          <w:szCs w:val="20"/>
          <w:lang w:eastAsia="it-IT"/>
        </w:rPr>
        <w:t>c.c.</w:t>
      </w:r>
      <w:r w:rsidR="00796AB8" w:rsidRPr="00792946">
        <w:rPr>
          <w:rFonts w:ascii="Palatino Linotype" w:eastAsia="Times New Roman" w:hAnsi="Palatino Linotype" w:cs="Times New Roman"/>
          <w:sz w:val="20"/>
          <w:szCs w:val="20"/>
          <w:lang w:eastAsia="it-IT"/>
        </w:rPr>
        <w:t xml:space="preserve"> </w:t>
      </w:r>
      <w:r w:rsidR="00F834A5" w:rsidRPr="00792946">
        <w:rPr>
          <w:rFonts w:ascii="Palatino Linotype" w:eastAsia="Times New Roman" w:hAnsi="Palatino Linotype" w:cs="Times New Roman"/>
          <w:sz w:val="20"/>
          <w:szCs w:val="20"/>
          <w:lang w:eastAsia="it-IT"/>
        </w:rPr>
        <w:t>(</w:t>
      </w:r>
      <w:r w:rsidR="00796AB8" w:rsidRPr="00792946">
        <w:rPr>
          <w:rFonts w:ascii="Palatino Linotype" w:eastAsia="Times New Roman" w:hAnsi="Palatino Linotype" w:cs="Times New Roman"/>
          <w:sz w:val="20"/>
          <w:szCs w:val="20"/>
          <w:lang w:eastAsia="it-IT"/>
        </w:rPr>
        <w:t xml:space="preserve">secondo cui </w:t>
      </w:r>
      <w:r w:rsidR="0008563E" w:rsidRPr="00792946">
        <w:rPr>
          <w:rFonts w:ascii="Palatino Linotype" w:eastAsia="Times New Roman" w:hAnsi="Palatino Linotype" w:cs="Times New Roman"/>
          <w:sz w:val="20"/>
          <w:szCs w:val="20"/>
          <w:lang w:eastAsia="it-IT"/>
        </w:rPr>
        <w:t>“</w:t>
      </w:r>
      <w:r w:rsidR="00796AB8" w:rsidRPr="00792946">
        <w:rPr>
          <w:rFonts w:ascii="Palatino Linotype" w:eastAsia="Times New Roman" w:hAnsi="Palatino Linotype" w:cs="Times New Roman"/>
          <w:iCs/>
          <w:sz w:val="20"/>
          <w:szCs w:val="20"/>
          <w:lang w:eastAsia="it-IT"/>
        </w:rPr>
        <w:t>le clausole del contratto si interpretano le une per mezzo delle altre, attribuendo a ciascuna il senso che risulta dal complesso dell</w:t>
      </w:r>
      <w:r w:rsidR="00557DFE" w:rsidRPr="00792946">
        <w:rPr>
          <w:rFonts w:ascii="Palatino Linotype" w:eastAsia="Times New Roman" w:hAnsi="Palatino Linotype" w:cs="Times New Roman"/>
          <w:iCs/>
          <w:sz w:val="20"/>
          <w:szCs w:val="20"/>
          <w:lang w:eastAsia="it-IT"/>
        </w:rPr>
        <w:t>’</w:t>
      </w:r>
      <w:r w:rsidR="00796AB8" w:rsidRPr="00792946">
        <w:rPr>
          <w:rFonts w:ascii="Palatino Linotype" w:eastAsia="Times New Roman" w:hAnsi="Palatino Linotype" w:cs="Times New Roman"/>
          <w:iCs/>
          <w:sz w:val="20"/>
          <w:szCs w:val="20"/>
          <w:lang w:eastAsia="it-IT"/>
        </w:rPr>
        <w:t>atto</w:t>
      </w:r>
      <w:r w:rsidR="0008563E" w:rsidRPr="00792946">
        <w:rPr>
          <w:rFonts w:ascii="Palatino Linotype" w:eastAsia="Times New Roman" w:hAnsi="Palatino Linotype" w:cs="Times New Roman"/>
          <w:sz w:val="20"/>
          <w:szCs w:val="20"/>
          <w:lang w:eastAsia="it-IT"/>
        </w:rPr>
        <w:t>”</w:t>
      </w:r>
      <w:r w:rsidR="00F834A5" w:rsidRPr="00792946">
        <w:rPr>
          <w:rFonts w:ascii="Palatino Linotype" w:eastAsia="Times New Roman" w:hAnsi="Palatino Linotype" w:cs="Times New Roman"/>
          <w:sz w:val="20"/>
          <w:szCs w:val="20"/>
          <w:lang w:eastAsia="it-IT"/>
        </w:rPr>
        <w:t>)</w:t>
      </w:r>
      <w:r w:rsidR="00796AB8" w:rsidRPr="00792946">
        <w:rPr>
          <w:rFonts w:ascii="Palatino Linotype" w:eastAsia="Times New Roman" w:hAnsi="Palatino Linotype" w:cs="Times New Roman"/>
          <w:sz w:val="20"/>
          <w:szCs w:val="20"/>
          <w:lang w:eastAsia="it-IT"/>
        </w:rPr>
        <w:t xml:space="preserve"> e</w:t>
      </w:r>
      <w:r w:rsidR="00897B8D" w:rsidRPr="00792946">
        <w:rPr>
          <w:rFonts w:ascii="Palatino Linotype" w:eastAsia="Times New Roman" w:hAnsi="Palatino Linotype" w:cs="Times New Roman"/>
          <w:sz w:val="20"/>
          <w:szCs w:val="20"/>
          <w:lang w:eastAsia="it-IT"/>
        </w:rPr>
        <w:t xml:space="preserve"> </w:t>
      </w:r>
      <w:r w:rsidR="00796AB8" w:rsidRPr="00792946">
        <w:rPr>
          <w:rFonts w:ascii="Palatino Linotype" w:eastAsia="Times New Roman" w:hAnsi="Palatino Linotype" w:cs="Times New Roman"/>
          <w:sz w:val="20"/>
          <w:szCs w:val="20"/>
          <w:lang w:eastAsia="it-IT"/>
        </w:rPr>
        <w:t>dell</w:t>
      </w:r>
      <w:r w:rsidR="00557DFE" w:rsidRPr="00792946">
        <w:rPr>
          <w:rFonts w:ascii="Palatino Linotype" w:eastAsia="Times New Roman" w:hAnsi="Palatino Linotype" w:cs="Times New Roman"/>
          <w:sz w:val="20"/>
          <w:szCs w:val="20"/>
          <w:lang w:eastAsia="it-IT"/>
        </w:rPr>
        <w:t>’</w:t>
      </w:r>
      <w:r w:rsidR="00796AB8" w:rsidRPr="00792946">
        <w:rPr>
          <w:rFonts w:ascii="Palatino Linotype" w:eastAsia="Times New Roman" w:hAnsi="Palatino Linotype" w:cs="Times New Roman"/>
          <w:sz w:val="20"/>
          <w:szCs w:val="20"/>
          <w:lang w:eastAsia="it-IT"/>
        </w:rPr>
        <w:t>art</w:t>
      </w:r>
      <w:r w:rsidR="00897B8D" w:rsidRPr="00792946">
        <w:rPr>
          <w:rFonts w:ascii="Palatino Linotype" w:eastAsia="Times New Roman" w:hAnsi="Palatino Linotype" w:cs="Times New Roman"/>
          <w:sz w:val="20"/>
          <w:szCs w:val="20"/>
          <w:lang w:eastAsia="it-IT"/>
        </w:rPr>
        <w:t>.</w:t>
      </w:r>
      <w:r w:rsidR="00796AB8" w:rsidRPr="00792946">
        <w:rPr>
          <w:rFonts w:ascii="Palatino Linotype" w:eastAsia="Times New Roman" w:hAnsi="Palatino Linotype" w:cs="Times New Roman"/>
          <w:sz w:val="20"/>
          <w:szCs w:val="20"/>
          <w:lang w:eastAsia="it-IT"/>
        </w:rPr>
        <w:t xml:space="preserve"> 1367 </w:t>
      </w:r>
      <w:r w:rsidR="00897B8D" w:rsidRPr="00792946">
        <w:rPr>
          <w:rFonts w:ascii="Palatino Linotype" w:eastAsia="Times New Roman" w:hAnsi="Palatino Linotype" w:cs="Times New Roman"/>
          <w:sz w:val="20"/>
          <w:szCs w:val="20"/>
          <w:lang w:eastAsia="it-IT"/>
        </w:rPr>
        <w:t>c.c.</w:t>
      </w:r>
      <w:r w:rsidR="00796AB8" w:rsidRPr="00792946">
        <w:rPr>
          <w:rFonts w:ascii="Palatino Linotype" w:eastAsia="Times New Roman" w:hAnsi="Palatino Linotype" w:cs="Times New Roman"/>
          <w:sz w:val="20"/>
          <w:szCs w:val="20"/>
          <w:lang w:eastAsia="it-IT"/>
        </w:rPr>
        <w:t xml:space="preserve"> </w:t>
      </w:r>
      <w:r w:rsidR="00F834A5" w:rsidRPr="00792946">
        <w:rPr>
          <w:rFonts w:ascii="Palatino Linotype" w:eastAsia="Times New Roman" w:hAnsi="Palatino Linotype" w:cs="Times New Roman"/>
          <w:sz w:val="20"/>
          <w:szCs w:val="20"/>
          <w:lang w:eastAsia="it-IT"/>
        </w:rPr>
        <w:t>(</w:t>
      </w:r>
      <w:r w:rsidR="00796AB8" w:rsidRPr="00792946">
        <w:rPr>
          <w:rFonts w:ascii="Palatino Linotype" w:eastAsia="Times New Roman" w:hAnsi="Palatino Linotype" w:cs="Times New Roman"/>
          <w:sz w:val="20"/>
          <w:szCs w:val="20"/>
          <w:lang w:eastAsia="it-IT"/>
        </w:rPr>
        <w:t xml:space="preserve">secondo cui </w:t>
      </w:r>
      <w:r w:rsidR="0008563E" w:rsidRPr="00792946">
        <w:rPr>
          <w:rFonts w:ascii="Palatino Linotype" w:eastAsia="Times New Roman" w:hAnsi="Palatino Linotype" w:cs="Times New Roman"/>
          <w:sz w:val="20"/>
          <w:szCs w:val="20"/>
          <w:lang w:eastAsia="it-IT"/>
        </w:rPr>
        <w:t>“</w:t>
      </w:r>
      <w:r w:rsidR="00796AB8" w:rsidRPr="00792946">
        <w:rPr>
          <w:rFonts w:ascii="Palatino Linotype" w:eastAsia="Times New Roman" w:hAnsi="Palatino Linotype" w:cs="Times New Roman"/>
          <w:iCs/>
          <w:sz w:val="20"/>
          <w:szCs w:val="20"/>
          <w:lang w:eastAsia="it-IT"/>
        </w:rPr>
        <w:t>nel dubbio, il contratto o le singole clausole devono interpretarsi nel senso in cui possono avere qualche effetto, anziché in quello secondo cui non ne avrebbero alcuno</w:t>
      </w:r>
      <w:r w:rsidR="0008563E" w:rsidRPr="00792946">
        <w:rPr>
          <w:rFonts w:ascii="Palatino Linotype" w:eastAsia="Times New Roman" w:hAnsi="Palatino Linotype" w:cs="Times New Roman"/>
          <w:sz w:val="20"/>
          <w:szCs w:val="20"/>
          <w:lang w:eastAsia="it-IT"/>
        </w:rPr>
        <w:t>”</w:t>
      </w:r>
      <w:r w:rsidR="00F834A5" w:rsidRPr="00792946">
        <w:rPr>
          <w:rFonts w:ascii="Palatino Linotype" w:eastAsia="Times New Roman" w:hAnsi="Palatino Linotype" w:cs="Times New Roman"/>
          <w:sz w:val="20"/>
          <w:szCs w:val="20"/>
          <w:lang w:eastAsia="it-IT"/>
        </w:rPr>
        <w:t>)</w:t>
      </w:r>
      <w:r w:rsidR="00796AB8" w:rsidRPr="00792946">
        <w:rPr>
          <w:rFonts w:ascii="Palatino Linotype" w:eastAsia="Times New Roman" w:hAnsi="Palatino Linotype" w:cs="Times New Roman"/>
          <w:sz w:val="20"/>
          <w:szCs w:val="20"/>
          <w:lang w:eastAsia="it-IT"/>
        </w:rPr>
        <w:t>.</w:t>
      </w:r>
    </w:p>
    <w:p w14:paraId="7AC757D3" w14:textId="77777777" w:rsidR="00A60BC9" w:rsidRPr="00792946" w:rsidRDefault="000B13BA" w:rsidP="00347275">
      <w:pPr>
        <w:spacing w:after="0" w:line="360" w:lineRule="auto"/>
        <w:ind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S</w:t>
      </w:r>
      <w:r w:rsidR="003A201B" w:rsidRPr="00792946">
        <w:rPr>
          <w:rFonts w:ascii="Palatino Linotype" w:eastAsia="Times New Roman" w:hAnsi="Palatino Linotype" w:cs="Times New Roman"/>
          <w:sz w:val="20"/>
          <w:szCs w:val="20"/>
          <w:lang w:eastAsia="it-IT"/>
        </w:rPr>
        <w:t xml:space="preserve">u tali </w:t>
      </w:r>
      <w:r w:rsidR="0039599F" w:rsidRPr="00792946">
        <w:rPr>
          <w:rFonts w:ascii="Palatino Linotype" w:eastAsia="Times New Roman" w:hAnsi="Palatino Linotype" w:cs="Times New Roman"/>
          <w:sz w:val="20"/>
          <w:szCs w:val="20"/>
          <w:lang w:eastAsia="it-IT"/>
        </w:rPr>
        <w:t>premesse</w:t>
      </w:r>
      <w:r w:rsidR="00796AB8" w:rsidRPr="00792946">
        <w:rPr>
          <w:rFonts w:ascii="Palatino Linotype" w:eastAsia="Times New Roman" w:hAnsi="Palatino Linotype" w:cs="Times New Roman"/>
          <w:sz w:val="20"/>
          <w:szCs w:val="20"/>
          <w:lang w:eastAsia="it-IT"/>
        </w:rPr>
        <w:t xml:space="preserve">, il contratto di avvalimento </w:t>
      </w:r>
      <w:r w:rsidR="00A11DEC">
        <w:rPr>
          <w:rFonts w:ascii="Palatino Linotype" w:eastAsia="Times New Roman" w:hAnsi="Palatino Linotype" w:cs="Times New Roman"/>
          <w:sz w:val="20"/>
          <w:szCs w:val="20"/>
          <w:lang w:eastAsia="it-IT"/>
        </w:rPr>
        <w:t>controverso</w:t>
      </w:r>
      <w:r w:rsidR="003A201B" w:rsidRPr="00792946">
        <w:rPr>
          <w:rFonts w:ascii="Palatino Linotype" w:eastAsia="Times New Roman" w:hAnsi="Palatino Linotype" w:cs="Times New Roman"/>
          <w:sz w:val="20"/>
          <w:szCs w:val="20"/>
          <w:lang w:eastAsia="it-IT"/>
        </w:rPr>
        <w:t xml:space="preserve"> </w:t>
      </w:r>
      <w:r w:rsidR="00B43CBD" w:rsidRPr="00792946">
        <w:rPr>
          <w:rFonts w:ascii="Palatino Linotype" w:eastAsia="Times New Roman" w:hAnsi="Palatino Linotype" w:cs="Times New Roman"/>
          <w:sz w:val="20"/>
          <w:szCs w:val="20"/>
          <w:lang w:eastAsia="it-IT"/>
        </w:rPr>
        <w:t xml:space="preserve">è stato ritenuto </w:t>
      </w:r>
      <w:r w:rsidRPr="00792946">
        <w:rPr>
          <w:rFonts w:ascii="Palatino Linotype" w:eastAsia="Times New Roman" w:hAnsi="Palatino Linotype" w:cs="Times New Roman"/>
          <w:sz w:val="20"/>
          <w:szCs w:val="20"/>
          <w:lang w:eastAsia="it-IT"/>
        </w:rPr>
        <w:t>valido</w:t>
      </w:r>
      <w:r w:rsidR="00796AB8" w:rsidRPr="00792946">
        <w:rPr>
          <w:rFonts w:ascii="Palatino Linotype" w:eastAsia="Times New Roman" w:hAnsi="Palatino Linotype" w:cs="Times New Roman"/>
          <w:sz w:val="20"/>
          <w:szCs w:val="20"/>
          <w:lang w:eastAsia="it-IT"/>
        </w:rPr>
        <w:t xml:space="preserve">, presentando un oggetto agevolmente determinabile dal </w:t>
      </w:r>
      <w:r w:rsidR="00B43CBD" w:rsidRPr="00792946">
        <w:rPr>
          <w:rFonts w:ascii="Palatino Linotype" w:eastAsia="Times New Roman" w:hAnsi="Palatino Linotype" w:cs="Times New Roman"/>
          <w:sz w:val="20"/>
          <w:szCs w:val="20"/>
          <w:lang w:eastAsia="it-IT"/>
        </w:rPr>
        <w:t xml:space="preserve">suo </w:t>
      </w:r>
      <w:r w:rsidR="00796AB8" w:rsidRPr="00792946">
        <w:rPr>
          <w:rFonts w:ascii="Palatino Linotype" w:eastAsia="Times New Roman" w:hAnsi="Palatino Linotype" w:cs="Times New Roman"/>
          <w:sz w:val="20"/>
          <w:szCs w:val="20"/>
          <w:lang w:eastAsia="it-IT"/>
        </w:rPr>
        <w:t>compless</w:t>
      </w:r>
      <w:r w:rsidR="003A201B" w:rsidRPr="00792946">
        <w:rPr>
          <w:rFonts w:ascii="Palatino Linotype" w:eastAsia="Times New Roman" w:hAnsi="Palatino Linotype" w:cs="Times New Roman"/>
          <w:sz w:val="20"/>
          <w:szCs w:val="20"/>
          <w:lang w:eastAsia="it-IT"/>
        </w:rPr>
        <w:t>ivo tenore</w:t>
      </w:r>
      <w:r w:rsidR="00014956" w:rsidRPr="00792946">
        <w:rPr>
          <w:rFonts w:ascii="Palatino Linotype" w:eastAsia="Times New Roman" w:hAnsi="Palatino Linotype" w:cs="Times New Roman"/>
          <w:sz w:val="20"/>
          <w:szCs w:val="20"/>
          <w:lang w:eastAsia="it-IT"/>
        </w:rPr>
        <w:t>.</w:t>
      </w:r>
    </w:p>
    <w:p w14:paraId="4C8124F3" w14:textId="77777777" w:rsidR="00A33DD5" w:rsidRPr="00792946" w:rsidRDefault="00A33DD5" w:rsidP="00347275">
      <w:pPr>
        <w:spacing w:after="0" w:line="360" w:lineRule="auto"/>
        <w:ind w:firstLine="851"/>
        <w:jc w:val="both"/>
        <w:rPr>
          <w:rFonts w:ascii="Palatino Linotype" w:eastAsia="Times New Roman" w:hAnsi="Palatino Linotype" w:cs="Times New Roman"/>
          <w:sz w:val="20"/>
          <w:szCs w:val="20"/>
          <w:lang w:eastAsia="it-IT"/>
        </w:rPr>
      </w:pPr>
    </w:p>
    <w:p w14:paraId="11735C51" w14:textId="77777777" w:rsidR="00A33DD5" w:rsidRPr="00792946" w:rsidRDefault="00A33DD5" w:rsidP="001D53B3">
      <w:pPr>
        <w:spacing w:after="0" w:line="240" w:lineRule="atLeast"/>
        <w:ind w:left="4105"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 xml:space="preserve">    </w:t>
      </w:r>
      <w:r w:rsidR="000B13BA" w:rsidRPr="00792946">
        <w:rPr>
          <w:rFonts w:ascii="Palatino Linotype" w:eastAsia="Times New Roman" w:hAnsi="Palatino Linotype" w:cs="Times New Roman"/>
          <w:sz w:val="20"/>
          <w:szCs w:val="20"/>
          <w:lang w:eastAsia="it-IT"/>
        </w:rPr>
        <w:t xml:space="preserve"> </w:t>
      </w:r>
      <w:r w:rsidRPr="00792946">
        <w:rPr>
          <w:rFonts w:ascii="Palatino Linotype" w:eastAsia="Times New Roman" w:hAnsi="Palatino Linotype" w:cs="Times New Roman"/>
          <w:sz w:val="20"/>
          <w:szCs w:val="20"/>
          <w:lang w:eastAsia="it-IT"/>
        </w:rPr>
        <w:t>Nicola Durante</w:t>
      </w:r>
    </w:p>
    <w:p w14:paraId="11A94155" w14:textId="77777777" w:rsidR="00A33DD5" w:rsidRPr="00792946" w:rsidRDefault="00A33DD5" w:rsidP="001D53B3">
      <w:pPr>
        <w:spacing w:after="0" w:line="240" w:lineRule="atLeast"/>
        <w:ind w:left="4105" w:firstLine="851"/>
        <w:jc w:val="both"/>
        <w:rPr>
          <w:rFonts w:ascii="Palatino Linotype" w:eastAsia="Times New Roman" w:hAnsi="Palatino Linotype" w:cs="Times New Roman"/>
          <w:sz w:val="20"/>
          <w:szCs w:val="20"/>
          <w:lang w:eastAsia="it-IT"/>
        </w:rPr>
      </w:pPr>
      <w:r w:rsidRPr="00792946">
        <w:rPr>
          <w:rFonts w:ascii="Palatino Linotype" w:eastAsia="Times New Roman" w:hAnsi="Palatino Linotype" w:cs="Times New Roman"/>
          <w:sz w:val="20"/>
          <w:szCs w:val="20"/>
          <w:lang w:eastAsia="it-IT"/>
        </w:rPr>
        <w:t>Pres. Sez. Tar Salerno</w:t>
      </w:r>
    </w:p>
    <w:sectPr w:rsidR="00A33DD5" w:rsidRPr="00792946" w:rsidSect="007F2DE0">
      <w:footerReference w:type="default" r:id="rId11"/>
      <w:pgSz w:w="11906" w:h="16838"/>
      <w:pgMar w:top="1417" w:right="1983" w:bottom="1418"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F0BD3" w14:textId="77777777" w:rsidR="00BE7849" w:rsidRDefault="00BE7849" w:rsidP="00B52BC2">
      <w:pPr>
        <w:spacing w:after="0" w:line="240" w:lineRule="auto"/>
      </w:pPr>
      <w:r>
        <w:separator/>
      </w:r>
    </w:p>
  </w:endnote>
  <w:endnote w:type="continuationSeparator" w:id="0">
    <w:p w14:paraId="52AEC3F8" w14:textId="77777777" w:rsidR="00BE7849" w:rsidRDefault="00BE7849" w:rsidP="00B52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138420"/>
      <w:docPartObj>
        <w:docPartGallery w:val="Page Numbers (Bottom of Page)"/>
        <w:docPartUnique/>
      </w:docPartObj>
    </w:sdtPr>
    <w:sdtEndPr/>
    <w:sdtContent>
      <w:p w14:paraId="58A2617C" w14:textId="13172F9B" w:rsidR="001A7CF7" w:rsidRDefault="001A7CF7">
        <w:pPr>
          <w:pStyle w:val="Pidipagina"/>
          <w:jc w:val="center"/>
        </w:pPr>
        <w:r w:rsidRPr="001A7CF7">
          <w:rPr>
            <w:rFonts w:ascii="Palatino Linotype" w:hAnsi="Palatino Linotype"/>
            <w:sz w:val="16"/>
            <w:szCs w:val="16"/>
          </w:rPr>
          <w:fldChar w:fldCharType="begin"/>
        </w:r>
        <w:r w:rsidRPr="001A7CF7">
          <w:rPr>
            <w:rFonts w:ascii="Palatino Linotype" w:hAnsi="Palatino Linotype"/>
            <w:sz w:val="16"/>
            <w:szCs w:val="16"/>
          </w:rPr>
          <w:instrText>PAGE   \* MERGEFORMAT</w:instrText>
        </w:r>
        <w:r w:rsidRPr="001A7CF7">
          <w:rPr>
            <w:rFonts w:ascii="Palatino Linotype" w:hAnsi="Palatino Linotype"/>
            <w:sz w:val="16"/>
            <w:szCs w:val="16"/>
          </w:rPr>
          <w:fldChar w:fldCharType="separate"/>
        </w:r>
        <w:r w:rsidR="00790676">
          <w:rPr>
            <w:rFonts w:ascii="Palatino Linotype" w:hAnsi="Palatino Linotype"/>
            <w:noProof/>
            <w:sz w:val="16"/>
            <w:szCs w:val="16"/>
          </w:rPr>
          <w:t>4</w:t>
        </w:r>
        <w:r w:rsidRPr="001A7CF7">
          <w:rPr>
            <w:rFonts w:ascii="Palatino Linotype" w:hAnsi="Palatino Linotype"/>
            <w:sz w:val="16"/>
            <w:szCs w:val="16"/>
          </w:rPr>
          <w:fldChar w:fldCharType="end"/>
        </w:r>
      </w:p>
    </w:sdtContent>
  </w:sdt>
  <w:p w14:paraId="6882B374" w14:textId="77777777" w:rsidR="00035220" w:rsidRDefault="0003522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C0C4F" w14:textId="77777777" w:rsidR="00BE7849" w:rsidRDefault="00BE7849" w:rsidP="00B52BC2">
      <w:pPr>
        <w:spacing w:after="0" w:line="240" w:lineRule="auto"/>
      </w:pPr>
      <w:r>
        <w:separator/>
      </w:r>
    </w:p>
  </w:footnote>
  <w:footnote w:type="continuationSeparator" w:id="0">
    <w:p w14:paraId="1DE26DDB" w14:textId="77777777" w:rsidR="00BE7849" w:rsidRDefault="00BE7849" w:rsidP="00B52BC2">
      <w:pPr>
        <w:spacing w:after="0" w:line="240" w:lineRule="auto"/>
      </w:pPr>
      <w:r>
        <w:continuationSeparator/>
      </w:r>
    </w:p>
  </w:footnote>
  <w:footnote w:id="1">
    <w:p w14:paraId="143893AA" w14:textId="77777777" w:rsidR="00035220" w:rsidRPr="00792946" w:rsidRDefault="00035220" w:rsidP="00A33DD5">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Relazione svolta al corso di formazione per magistrati sul tema “</w:t>
      </w:r>
      <w:r w:rsidRPr="00792946">
        <w:rPr>
          <w:rFonts w:ascii="Palatino Linotype" w:hAnsi="Palatino Linotype" w:cs="Times New Roman"/>
          <w:i/>
          <w:sz w:val="16"/>
          <w:szCs w:val="16"/>
        </w:rPr>
        <w:t>Le nuove regole in materia di appalti e di semplificazione amministrativa</w:t>
      </w:r>
      <w:r w:rsidRPr="00792946">
        <w:rPr>
          <w:rFonts w:ascii="Palatino Linotype" w:hAnsi="Palatino Linotype" w:cs="Times New Roman"/>
          <w:sz w:val="16"/>
          <w:szCs w:val="16"/>
        </w:rPr>
        <w:t>”, organizzato il 14 ottobre 2021, dalla Scuola Superiore della Magistratura e dall’Ufficio Studi della Giustizia amministrativa.</w:t>
      </w:r>
    </w:p>
  </w:footnote>
  <w:footnote w:id="2">
    <w:p w14:paraId="5985B008" w14:textId="77777777" w:rsidR="00035220" w:rsidRPr="00792946" w:rsidRDefault="00035220" w:rsidP="00C07AAE">
      <w:pPr>
        <w:pStyle w:val="Testonotaapidipagina"/>
        <w:jc w:val="both"/>
        <w:rPr>
          <w:rFonts w:ascii="Palatino Linotype" w:eastAsia="Times New Roman" w:hAnsi="Palatino Linotype" w:cs="Times New Roman"/>
          <w:sz w:val="16"/>
          <w:szCs w:val="16"/>
          <w:lang w:eastAsia="it-IT"/>
        </w:rPr>
      </w:pPr>
      <w:r w:rsidRPr="00792946">
        <w:rPr>
          <w:rFonts w:ascii="Palatino Linotype" w:eastAsia="Times New Roman" w:hAnsi="Palatino Linotype" w:cs="Times New Roman"/>
          <w:sz w:val="16"/>
          <w:szCs w:val="16"/>
          <w:vertAlign w:val="superscript"/>
          <w:lang w:eastAsia="it-IT"/>
        </w:rPr>
        <w:footnoteRef/>
      </w:r>
      <w:r w:rsidRPr="00792946">
        <w:rPr>
          <w:rFonts w:ascii="Palatino Linotype" w:eastAsia="Times New Roman" w:hAnsi="Palatino Linotype" w:cs="Times New Roman"/>
          <w:sz w:val="16"/>
          <w:szCs w:val="16"/>
          <w:lang w:eastAsia="it-IT"/>
        </w:rPr>
        <w:t xml:space="preserve"> Per una panoramica generale sull’argomento: </w:t>
      </w:r>
      <w:r w:rsidRPr="00792946">
        <w:rPr>
          <w:rFonts w:ascii="Palatino Linotype" w:eastAsia="Times New Roman" w:hAnsi="Palatino Linotype" w:cs="Times New Roman"/>
          <w:smallCaps/>
          <w:sz w:val="16"/>
          <w:szCs w:val="16"/>
          <w:lang w:eastAsia="it-IT"/>
        </w:rPr>
        <w:t>Cintioli F.</w:t>
      </w:r>
      <w:r w:rsidRPr="00792946">
        <w:rPr>
          <w:rFonts w:ascii="Palatino Linotype" w:eastAsia="Times New Roman" w:hAnsi="Palatino Linotype" w:cs="Times New Roman"/>
          <w:sz w:val="16"/>
          <w:szCs w:val="16"/>
          <w:lang w:eastAsia="it-IT"/>
        </w:rPr>
        <w:t xml:space="preserve">, </w:t>
      </w:r>
      <w:r w:rsidRPr="00792946">
        <w:rPr>
          <w:rFonts w:ascii="Palatino Linotype" w:eastAsia="Times New Roman" w:hAnsi="Palatino Linotype" w:cs="Times New Roman"/>
          <w:i/>
          <w:sz w:val="16"/>
          <w:szCs w:val="16"/>
          <w:lang w:eastAsia="it-IT"/>
        </w:rPr>
        <w:t>Il contratto di avvalimento tra diritto comunitario e diritto italiano</w:t>
      </w:r>
      <w:r w:rsidRPr="00792946">
        <w:rPr>
          <w:rFonts w:ascii="Palatino Linotype" w:eastAsia="Times New Roman" w:hAnsi="Palatino Linotype" w:cs="Times New Roman"/>
          <w:sz w:val="16"/>
          <w:szCs w:val="16"/>
          <w:lang w:eastAsia="it-IT"/>
        </w:rPr>
        <w:t xml:space="preserve">, in </w:t>
      </w:r>
      <w:r w:rsidRPr="00792946">
        <w:rPr>
          <w:rFonts w:ascii="Palatino Linotype" w:eastAsia="Times New Roman" w:hAnsi="Palatino Linotype" w:cs="Times New Roman"/>
          <w:i/>
          <w:sz w:val="16"/>
          <w:szCs w:val="16"/>
          <w:lang w:eastAsia="it-IT"/>
        </w:rPr>
        <w:t>Riv. it. dir. pubbl. com.</w:t>
      </w:r>
      <w:r w:rsidRPr="00792946">
        <w:rPr>
          <w:rFonts w:ascii="Palatino Linotype" w:eastAsia="Times New Roman" w:hAnsi="Palatino Linotype" w:cs="Times New Roman"/>
          <w:sz w:val="16"/>
          <w:szCs w:val="16"/>
          <w:lang w:eastAsia="it-IT"/>
        </w:rPr>
        <w:t xml:space="preserve">, 2011, 1421 ss.; </w:t>
      </w:r>
      <w:r w:rsidRPr="00792946">
        <w:rPr>
          <w:rFonts w:ascii="Palatino Linotype" w:eastAsia="Times New Roman" w:hAnsi="Palatino Linotype" w:cs="Times New Roman"/>
          <w:smallCaps/>
          <w:sz w:val="16"/>
          <w:szCs w:val="16"/>
          <w:lang w:eastAsia="it-IT"/>
        </w:rPr>
        <w:t>Cirillo G. P</w:t>
      </w:r>
      <w:r w:rsidRPr="00792946">
        <w:rPr>
          <w:rFonts w:ascii="Palatino Linotype" w:eastAsia="Times New Roman" w:hAnsi="Palatino Linotype" w:cs="Times New Roman"/>
          <w:sz w:val="16"/>
          <w:szCs w:val="16"/>
          <w:lang w:eastAsia="it-IT"/>
        </w:rPr>
        <w:t xml:space="preserve">. </w:t>
      </w:r>
      <w:r w:rsidRPr="00792946">
        <w:rPr>
          <w:rFonts w:ascii="Palatino Linotype" w:eastAsia="Times New Roman" w:hAnsi="Palatino Linotype" w:cs="Times New Roman"/>
          <w:i/>
          <w:sz w:val="16"/>
          <w:szCs w:val="16"/>
          <w:lang w:eastAsia="it-IT"/>
        </w:rPr>
        <w:t>Il contratto di avvalimento nel nuovo codice dei contratti pubblici: il persistente problema della sua natura giuridica</w:t>
      </w:r>
      <w:r w:rsidRPr="00792946">
        <w:rPr>
          <w:rFonts w:ascii="Palatino Linotype" w:eastAsia="Times New Roman" w:hAnsi="Palatino Linotype" w:cs="Times New Roman"/>
          <w:sz w:val="16"/>
          <w:szCs w:val="16"/>
          <w:lang w:eastAsia="it-IT"/>
        </w:rPr>
        <w:t xml:space="preserve">, in </w:t>
      </w:r>
      <w:r w:rsidRPr="00792946">
        <w:rPr>
          <w:rFonts w:ascii="Palatino Linotype" w:eastAsia="Times New Roman" w:hAnsi="Palatino Linotype" w:cs="Times New Roman"/>
          <w:i/>
          <w:sz w:val="16"/>
          <w:szCs w:val="16"/>
          <w:lang w:eastAsia="it-IT"/>
        </w:rPr>
        <w:t>www.giustiziamministrativa.it</w:t>
      </w:r>
      <w:r w:rsidRPr="00792946">
        <w:rPr>
          <w:rFonts w:ascii="Palatino Linotype" w:eastAsia="Times New Roman" w:hAnsi="Palatino Linotype" w:cs="Times New Roman"/>
          <w:sz w:val="16"/>
          <w:szCs w:val="16"/>
          <w:lang w:eastAsia="it-IT"/>
        </w:rPr>
        <w:t xml:space="preserve">, 2016; </w:t>
      </w:r>
      <w:r w:rsidRPr="00792946">
        <w:rPr>
          <w:rFonts w:ascii="Palatino Linotype" w:eastAsia="Times New Roman" w:hAnsi="Palatino Linotype" w:cs="Times New Roman"/>
          <w:smallCaps/>
          <w:sz w:val="16"/>
          <w:szCs w:val="16"/>
          <w:lang w:eastAsia="it-IT"/>
        </w:rPr>
        <w:t>Cogliandro R. D</w:t>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i/>
          <w:sz w:val="16"/>
          <w:szCs w:val="16"/>
          <w:lang w:eastAsia="it-IT"/>
        </w:rPr>
        <w:t>L’avvalimento. Profili interdisciplinari</w:t>
      </w:r>
      <w:r w:rsidRPr="00792946">
        <w:rPr>
          <w:rFonts w:ascii="Palatino Linotype" w:hAnsi="Palatino Linotype" w:cs="Times New Roman"/>
          <w:sz w:val="16"/>
          <w:szCs w:val="16"/>
        </w:rPr>
        <w:t xml:space="preserve">, Milano, 2018; </w:t>
      </w:r>
      <w:r w:rsidRPr="00792946">
        <w:rPr>
          <w:rFonts w:ascii="Palatino Linotype" w:eastAsia="Times New Roman" w:hAnsi="Palatino Linotype" w:cs="Times New Roman"/>
          <w:smallCaps/>
          <w:sz w:val="16"/>
          <w:szCs w:val="16"/>
          <w:lang w:eastAsia="it-IT"/>
        </w:rPr>
        <w:t>De Nictolis R</w:t>
      </w:r>
      <w:r w:rsidRPr="00792946">
        <w:rPr>
          <w:rFonts w:ascii="Palatino Linotype" w:eastAsia="Times New Roman" w:hAnsi="Palatino Linotype" w:cs="Times New Roman"/>
          <w:sz w:val="16"/>
          <w:szCs w:val="16"/>
          <w:lang w:eastAsia="it-IT"/>
        </w:rPr>
        <w:t xml:space="preserve">., </w:t>
      </w:r>
      <w:r w:rsidRPr="00792946">
        <w:rPr>
          <w:rFonts w:ascii="Palatino Linotype" w:eastAsia="Times New Roman" w:hAnsi="Palatino Linotype" w:cs="Times New Roman"/>
          <w:i/>
          <w:sz w:val="16"/>
          <w:szCs w:val="16"/>
          <w:lang w:eastAsia="it-IT"/>
        </w:rPr>
        <w:t>I nuovi appalti pubblici. Appalti e concessioni dopo il D.lgs. 56/2017</w:t>
      </w:r>
      <w:r w:rsidRPr="00792946">
        <w:rPr>
          <w:rFonts w:ascii="Palatino Linotype" w:eastAsia="Times New Roman" w:hAnsi="Palatino Linotype" w:cs="Times New Roman"/>
          <w:sz w:val="16"/>
          <w:szCs w:val="16"/>
          <w:lang w:eastAsia="it-IT"/>
        </w:rPr>
        <w:t xml:space="preserve">, Bologna, 2017, 1008 ss.; </w:t>
      </w:r>
      <w:r w:rsidRPr="00792946">
        <w:rPr>
          <w:rFonts w:ascii="Palatino Linotype" w:eastAsia="Times New Roman" w:hAnsi="Palatino Linotype" w:cs="Times New Roman"/>
          <w:smallCaps/>
          <w:sz w:val="16"/>
          <w:szCs w:val="16"/>
          <w:lang w:eastAsia="it-IT"/>
        </w:rPr>
        <w:t>Guccione C.</w:t>
      </w:r>
      <w:r w:rsidRPr="00792946">
        <w:rPr>
          <w:rFonts w:ascii="Palatino Linotype" w:eastAsia="Times New Roman" w:hAnsi="Palatino Linotype" w:cs="Times New Roman"/>
          <w:sz w:val="16"/>
          <w:szCs w:val="16"/>
          <w:lang w:eastAsia="it-IT"/>
        </w:rPr>
        <w:t xml:space="preserve">, </w:t>
      </w:r>
      <w:r w:rsidRPr="00792946">
        <w:rPr>
          <w:rFonts w:ascii="Palatino Linotype" w:eastAsia="Times New Roman" w:hAnsi="Palatino Linotype" w:cs="Times New Roman"/>
          <w:i/>
          <w:sz w:val="16"/>
          <w:szCs w:val="16"/>
          <w:lang w:eastAsia="it-IT"/>
        </w:rPr>
        <w:t>L’avvalimento: un percorso ancora tortuoso</w:t>
      </w:r>
      <w:r w:rsidRPr="00792946">
        <w:rPr>
          <w:rFonts w:ascii="Palatino Linotype" w:eastAsia="Times New Roman" w:hAnsi="Palatino Linotype" w:cs="Times New Roman"/>
          <w:sz w:val="16"/>
          <w:szCs w:val="16"/>
          <w:lang w:eastAsia="it-IT"/>
        </w:rPr>
        <w:t>, in</w:t>
      </w:r>
      <w:r w:rsidRPr="00792946">
        <w:rPr>
          <w:rFonts w:ascii="Palatino Linotype" w:eastAsia="Times New Roman" w:hAnsi="Palatino Linotype" w:cs="Times New Roman"/>
          <w:i/>
          <w:sz w:val="16"/>
          <w:szCs w:val="16"/>
          <w:lang w:eastAsia="it-IT"/>
        </w:rPr>
        <w:t xml:space="preserve"> </w:t>
      </w:r>
      <w:hyperlink r:id="rId1" w:history="1">
        <w:r w:rsidRPr="00792946">
          <w:rPr>
            <w:rFonts w:ascii="Palatino Linotype" w:eastAsia="Times New Roman" w:hAnsi="Palatino Linotype" w:cs="Times New Roman"/>
            <w:i/>
            <w:sz w:val="16"/>
            <w:szCs w:val="16"/>
            <w:lang w:eastAsia="it-IT"/>
          </w:rPr>
          <w:t>www.giustiziamministrativa.it</w:t>
        </w:r>
      </w:hyperlink>
      <w:r w:rsidRPr="00792946">
        <w:rPr>
          <w:rFonts w:ascii="Palatino Linotype" w:eastAsia="Times New Roman" w:hAnsi="Palatino Linotype" w:cs="Times New Roman"/>
          <w:sz w:val="16"/>
          <w:szCs w:val="16"/>
          <w:lang w:eastAsia="it-IT"/>
        </w:rPr>
        <w:t>, 2020.</w:t>
      </w:r>
    </w:p>
  </w:footnote>
  <w:footnote w:id="3">
    <w:p w14:paraId="78BF037C" w14:textId="77777777" w:rsidR="00035220" w:rsidRPr="00792946" w:rsidRDefault="00035220" w:rsidP="00F27070">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Ad. plen., 9 luglio 2020, n. 13</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4">
    <w:p w14:paraId="52F5B16B" w14:textId="77777777" w:rsidR="00035220" w:rsidRPr="00792946" w:rsidRDefault="00035220" w:rsidP="009F5D3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 xml:space="preserve">Art. 47, par. 2 ed art. 48, </w:t>
      </w:r>
      <w:r w:rsidR="005A235F">
        <w:rPr>
          <w:rFonts w:ascii="Palatino Linotype" w:eastAsia="Times New Roman" w:hAnsi="Palatino Linotype" w:cs="Times New Roman"/>
          <w:sz w:val="16"/>
          <w:szCs w:val="16"/>
          <w:lang w:eastAsia="it-IT"/>
        </w:rPr>
        <w:t>§</w:t>
      </w:r>
      <w:r w:rsidRPr="00792946">
        <w:rPr>
          <w:rFonts w:ascii="Palatino Linotype" w:eastAsia="Times New Roman" w:hAnsi="Palatino Linotype" w:cs="Times New Roman"/>
          <w:sz w:val="16"/>
          <w:szCs w:val="16"/>
          <w:lang w:eastAsia="it-IT"/>
        </w:rPr>
        <w:t xml:space="preserve"> 3, della direttiva 2004/2018.</w:t>
      </w:r>
    </w:p>
  </w:footnote>
  <w:footnote w:id="5">
    <w:p w14:paraId="36A43C00" w14:textId="77777777" w:rsidR="00035220" w:rsidRPr="00792946" w:rsidRDefault="00035220" w:rsidP="009F5D3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Ad. plen., 4 novembre 2016, n. 23</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6">
    <w:p w14:paraId="559E9594" w14:textId="77777777" w:rsidR="00035220" w:rsidRPr="00792946" w:rsidRDefault="00035220" w:rsidP="009F5D3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 xml:space="preserve">CGUE 10 ottobre 2013, in C-94/12, </w:t>
      </w:r>
      <w:r w:rsidRPr="00792946">
        <w:rPr>
          <w:rFonts w:ascii="Palatino Linotype" w:eastAsia="Times New Roman" w:hAnsi="Palatino Linotype" w:cs="Times New Roman"/>
          <w:i/>
          <w:iCs/>
          <w:sz w:val="16"/>
          <w:szCs w:val="16"/>
          <w:lang w:eastAsia="it-IT"/>
        </w:rPr>
        <w:t>SWM Costruzioni</w:t>
      </w:r>
      <w:r w:rsidRPr="00792946">
        <w:rPr>
          <w:rFonts w:ascii="Palatino Linotype" w:hAnsi="Palatino Linotype" w:cs="Times New Roman"/>
          <w:sz w:val="16"/>
          <w:szCs w:val="16"/>
        </w:rPr>
        <w:t xml:space="preserve">, in </w:t>
      </w:r>
      <w:hyperlink r:id="rId2" w:history="1">
        <w:r w:rsidRPr="00792946">
          <w:rPr>
            <w:rFonts w:ascii="Palatino Linotype" w:hAnsi="Palatino Linotype" w:cs="Times New Roman"/>
            <w:i/>
            <w:sz w:val="16"/>
            <w:szCs w:val="16"/>
          </w:rPr>
          <w:t>www.eur-lex.europa.eu</w:t>
        </w:r>
      </w:hyperlink>
      <w:r w:rsidRPr="00792946">
        <w:rPr>
          <w:rFonts w:ascii="Palatino Linotype" w:hAnsi="Palatino Linotype" w:cs="Times New Roman"/>
          <w:sz w:val="16"/>
          <w:szCs w:val="16"/>
        </w:rPr>
        <w:t>.</w:t>
      </w:r>
    </w:p>
  </w:footnote>
  <w:footnote w:id="7">
    <w:p w14:paraId="3FDD36D7" w14:textId="77777777" w:rsidR="00035220" w:rsidRPr="00792946" w:rsidRDefault="00035220" w:rsidP="009F5D3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 xml:space="preserve">CGUE 23 dicembre 2009, in C-305/08, </w:t>
      </w:r>
      <w:r w:rsidRPr="00792946">
        <w:rPr>
          <w:rFonts w:ascii="Palatino Linotype" w:eastAsia="Times New Roman" w:hAnsi="Palatino Linotype" w:cs="Times New Roman"/>
          <w:i/>
          <w:iCs/>
          <w:sz w:val="16"/>
          <w:szCs w:val="16"/>
          <w:lang w:eastAsia="it-IT"/>
        </w:rPr>
        <w:t>Co.Nis.Ma.</w:t>
      </w:r>
      <w:r w:rsidRPr="00792946">
        <w:rPr>
          <w:rFonts w:ascii="Palatino Linotype" w:hAnsi="Palatino Linotype" w:cs="Times New Roman"/>
          <w:sz w:val="16"/>
          <w:szCs w:val="16"/>
        </w:rPr>
        <w:t xml:space="preserve">, in </w:t>
      </w:r>
      <w:hyperlink r:id="rId3" w:history="1">
        <w:r w:rsidRPr="00792946">
          <w:rPr>
            <w:rFonts w:ascii="Palatino Linotype" w:hAnsi="Palatino Linotype" w:cs="Times New Roman"/>
            <w:i/>
            <w:sz w:val="16"/>
            <w:szCs w:val="16"/>
          </w:rPr>
          <w:t>www.eur-lex.europa.eu</w:t>
        </w:r>
      </w:hyperlink>
      <w:r w:rsidRPr="00792946">
        <w:rPr>
          <w:rFonts w:ascii="Palatino Linotype" w:hAnsi="Palatino Linotype" w:cs="Times New Roman"/>
          <w:sz w:val="16"/>
          <w:szCs w:val="16"/>
        </w:rPr>
        <w:t>.</w:t>
      </w:r>
    </w:p>
  </w:footnote>
  <w:footnote w:id="8">
    <w:p w14:paraId="248DBB69" w14:textId="77777777" w:rsidR="00035220" w:rsidRPr="00792946" w:rsidRDefault="00035220" w:rsidP="009F5D3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CGUE </w:t>
      </w:r>
      <w:r w:rsidRPr="00792946">
        <w:rPr>
          <w:rFonts w:ascii="Palatino Linotype" w:eastAsia="Times New Roman" w:hAnsi="Palatino Linotype" w:cs="Times New Roman"/>
          <w:sz w:val="16"/>
          <w:szCs w:val="16"/>
          <w:lang w:eastAsia="it-IT"/>
        </w:rPr>
        <w:t xml:space="preserve">7 aprile 2016, in C-324/14, </w:t>
      </w:r>
      <w:r w:rsidRPr="00792946">
        <w:rPr>
          <w:rFonts w:ascii="Palatino Linotype" w:eastAsia="Times New Roman" w:hAnsi="Palatino Linotype" w:cs="Times New Roman"/>
          <w:i/>
          <w:iCs/>
          <w:sz w:val="16"/>
          <w:szCs w:val="16"/>
          <w:lang w:eastAsia="it-IT"/>
        </w:rPr>
        <w:t>Partner Apelski Dariusz</w:t>
      </w:r>
      <w:r w:rsidRPr="00792946">
        <w:rPr>
          <w:rFonts w:ascii="Palatino Linotype" w:hAnsi="Palatino Linotype" w:cs="Times New Roman"/>
          <w:sz w:val="16"/>
          <w:szCs w:val="16"/>
        </w:rPr>
        <w:t xml:space="preserve">, in </w:t>
      </w:r>
      <w:hyperlink r:id="rId4" w:history="1">
        <w:r w:rsidRPr="00792946">
          <w:rPr>
            <w:rFonts w:ascii="Palatino Linotype" w:hAnsi="Palatino Linotype" w:cs="Times New Roman"/>
            <w:i/>
            <w:sz w:val="16"/>
            <w:szCs w:val="16"/>
          </w:rPr>
          <w:t>www.eur-lex.europa.eu</w:t>
        </w:r>
      </w:hyperlink>
      <w:r w:rsidRPr="00792946">
        <w:rPr>
          <w:rFonts w:ascii="Palatino Linotype" w:hAnsi="Palatino Linotype" w:cs="Times New Roman"/>
          <w:sz w:val="16"/>
          <w:szCs w:val="16"/>
        </w:rPr>
        <w:t>.</w:t>
      </w:r>
    </w:p>
  </w:footnote>
  <w:footnote w:id="9">
    <w:p w14:paraId="6C5B74CC" w14:textId="77777777" w:rsidR="00035220" w:rsidRPr="00792946" w:rsidRDefault="00035220" w:rsidP="009F5D3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 xml:space="preserve">Cons. Stato, Ad. plen., 20 luglio 2015, n. 8, che ha ritenuto congruente con la normativa comunitaria sugli appalti pubblici la normativa interna che obbliga la stazione appaltante ad escludere il concorrente, la cui ausiliaria abbia anche solo temporaneamente perso il requisito di qualificazione prestato, tanto da ritenere superflua la presentazione di una questione pregiudiziale alla Corte di </w:t>
      </w:r>
      <w:r w:rsidR="00451D2E">
        <w:rPr>
          <w:rFonts w:ascii="Palatino Linotype" w:eastAsia="Times New Roman" w:hAnsi="Palatino Linotype" w:cs="Times New Roman"/>
          <w:sz w:val="16"/>
          <w:szCs w:val="16"/>
          <w:lang w:eastAsia="it-IT"/>
        </w:rPr>
        <w:t>g</w:t>
      </w:r>
      <w:r w:rsidRPr="00792946">
        <w:rPr>
          <w:rFonts w:ascii="Palatino Linotype" w:eastAsia="Times New Roman" w:hAnsi="Palatino Linotype" w:cs="Times New Roman"/>
          <w:sz w:val="16"/>
          <w:szCs w:val="16"/>
          <w:lang w:eastAsia="it-IT"/>
        </w:rPr>
        <w:t>iustizia.</w:t>
      </w:r>
    </w:p>
  </w:footnote>
  <w:footnote w:id="10">
    <w:p w14:paraId="0B9CA528" w14:textId="77777777" w:rsidR="00035220" w:rsidRPr="00792946" w:rsidRDefault="00035220" w:rsidP="009F5D3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Ad. plen., 16 ottobre 2020, n. 22,</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11">
    <w:p w14:paraId="1378AA81" w14:textId="77777777" w:rsidR="00035220" w:rsidRPr="00792946" w:rsidRDefault="00035220" w:rsidP="00FA3F1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hAnsi="Palatino Linotype" w:cs="Times New Roman"/>
          <w:smallCaps/>
          <w:sz w:val="16"/>
          <w:szCs w:val="16"/>
        </w:rPr>
        <w:t>Neri V</w:t>
      </w:r>
      <w:r w:rsidRPr="00792946">
        <w:rPr>
          <w:rFonts w:ascii="Palatino Linotype" w:hAnsi="Palatino Linotype" w:cs="Times New Roman"/>
          <w:sz w:val="16"/>
          <w:szCs w:val="16"/>
        </w:rPr>
        <w:t xml:space="preserve">., </w:t>
      </w:r>
      <w:r w:rsidRPr="00792946">
        <w:rPr>
          <w:rStyle w:val="sottotitolo"/>
          <w:rFonts w:ascii="Palatino Linotype" w:hAnsi="Palatino Linotype" w:cs="Times New Roman"/>
          <w:i/>
          <w:color w:val="333333"/>
          <w:sz w:val="16"/>
          <w:szCs w:val="16"/>
        </w:rPr>
        <w:t>La causa del contratto di avvalimento</w:t>
      </w:r>
      <w:r w:rsidRPr="00792946">
        <w:rPr>
          <w:rFonts w:ascii="Palatino Linotype" w:hAnsi="Palatino Linotype" w:cs="Times New Roman"/>
          <w:sz w:val="16"/>
          <w:szCs w:val="16"/>
        </w:rPr>
        <w:t xml:space="preserve">, </w:t>
      </w:r>
      <w:r w:rsidRPr="00792946">
        <w:rPr>
          <w:rFonts w:ascii="Palatino Linotype" w:hAnsi="Palatino Linotype" w:cs="Times New Roman"/>
          <w:bCs/>
          <w:sz w:val="16"/>
          <w:szCs w:val="16"/>
        </w:rPr>
        <w:t xml:space="preserve">in </w:t>
      </w:r>
      <w:r w:rsidRPr="00792946">
        <w:rPr>
          <w:rFonts w:ascii="Palatino Linotype" w:hAnsi="Palatino Linotype" w:cs="Times New Roman"/>
          <w:bCs/>
          <w:i/>
          <w:sz w:val="16"/>
          <w:szCs w:val="16"/>
        </w:rPr>
        <w:t>www.giustizia-amministrativa.it</w:t>
      </w:r>
      <w:r w:rsidRPr="00792946">
        <w:rPr>
          <w:rStyle w:val="sottotitolo"/>
          <w:rFonts w:ascii="Palatino Linotype" w:hAnsi="Palatino Linotype" w:cs="Times New Roman"/>
          <w:color w:val="333333"/>
          <w:sz w:val="16"/>
          <w:szCs w:val="16"/>
        </w:rPr>
        <w:t>,</w:t>
      </w:r>
      <w:r w:rsidRPr="00792946">
        <w:rPr>
          <w:rFonts w:ascii="Palatino Linotype" w:hAnsi="Palatino Linotype" w:cs="Times New Roman"/>
          <w:bCs/>
          <w:sz w:val="16"/>
          <w:szCs w:val="16"/>
        </w:rPr>
        <w:t xml:space="preserve"> </w:t>
      </w:r>
      <w:r w:rsidRPr="00792946">
        <w:rPr>
          <w:rFonts w:ascii="Palatino Linotype" w:hAnsi="Palatino Linotype" w:cs="Times New Roman"/>
          <w:sz w:val="16"/>
          <w:szCs w:val="16"/>
        </w:rPr>
        <w:t>2015</w:t>
      </w:r>
      <w:r w:rsidRPr="00792946">
        <w:rPr>
          <w:rFonts w:ascii="Palatino Linotype" w:hAnsi="Palatino Linotype" w:cs="Times New Roman"/>
          <w:bCs/>
          <w:i/>
          <w:sz w:val="16"/>
          <w:szCs w:val="16"/>
        </w:rPr>
        <w:t>.</w:t>
      </w:r>
    </w:p>
  </w:footnote>
  <w:footnote w:id="12">
    <w:p w14:paraId="1731C878" w14:textId="77777777" w:rsidR="00035220" w:rsidRPr="00792946" w:rsidRDefault="00035220" w:rsidP="00FA3F1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di Stato, Sez. V, 20 novembre 2013, n. 1772 e Sez. III, 10 giugno 2020, n. 3702</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r w:rsidRPr="00792946">
        <w:rPr>
          <w:rFonts w:ascii="Palatino Linotype" w:eastAsia="Times New Roman" w:hAnsi="Palatino Linotype" w:cs="Times New Roman"/>
          <w:sz w:val="16"/>
          <w:szCs w:val="16"/>
          <w:lang w:eastAsia="it-IT"/>
        </w:rPr>
        <w:t>.</w:t>
      </w:r>
    </w:p>
  </w:footnote>
  <w:footnote w:id="13">
    <w:p w14:paraId="6BE46082" w14:textId="77777777" w:rsidR="00035220" w:rsidRPr="00D5482D" w:rsidRDefault="00035220" w:rsidP="00C564BF">
      <w:pPr>
        <w:pStyle w:val="Testonotaapidipagina"/>
        <w:jc w:val="both"/>
        <w:rPr>
          <w:rFonts w:ascii="Palatino Linotype" w:hAnsi="Palatino Linotype" w:cs="Times New Roman"/>
          <w:iCs/>
          <w:color w:val="1C2534"/>
          <w:sz w:val="16"/>
          <w:szCs w:val="16"/>
          <w:shd w:val="clear" w:color="auto" w:fill="FFFFFF"/>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004946CA">
        <w:rPr>
          <w:rFonts w:ascii="Palatino Linotype" w:hAnsi="Palatino Linotype" w:cs="Times New Roman"/>
          <w:iCs/>
          <w:color w:val="1C2534"/>
          <w:sz w:val="16"/>
          <w:szCs w:val="16"/>
          <w:shd w:val="clear" w:color="auto" w:fill="FFFFFF"/>
        </w:rPr>
        <w:t xml:space="preserve">Mentre </w:t>
      </w:r>
      <w:r w:rsidR="00D5482D">
        <w:rPr>
          <w:rFonts w:ascii="Palatino Linotype" w:hAnsi="Palatino Linotype" w:cs="Times New Roman"/>
          <w:iCs/>
          <w:color w:val="1C2534"/>
          <w:sz w:val="16"/>
          <w:szCs w:val="16"/>
          <w:shd w:val="clear" w:color="auto" w:fill="FFFFFF"/>
        </w:rPr>
        <w:t>l’avvalimento ‘</w:t>
      </w:r>
      <w:r w:rsidR="004946CA" w:rsidRPr="004946CA">
        <w:rPr>
          <w:rFonts w:ascii="Palatino Linotype" w:hAnsi="Palatino Linotype" w:cs="Times New Roman"/>
          <w:iCs/>
          <w:color w:val="1C2534"/>
          <w:sz w:val="16"/>
          <w:szCs w:val="16"/>
          <w:shd w:val="clear" w:color="auto" w:fill="FFFFFF"/>
        </w:rPr>
        <w:t>operativo</w:t>
      </w:r>
      <w:r w:rsidR="00D5482D">
        <w:rPr>
          <w:rFonts w:ascii="Palatino Linotype" w:hAnsi="Palatino Linotype" w:cs="Times New Roman"/>
          <w:iCs/>
          <w:color w:val="1C2534"/>
          <w:sz w:val="16"/>
          <w:szCs w:val="16"/>
          <w:shd w:val="clear" w:color="auto" w:fill="FFFFFF"/>
        </w:rPr>
        <w:t>’</w:t>
      </w:r>
      <w:r w:rsidR="004946CA" w:rsidRPr="004946CA">
        <w:rPr>
          <w:rFonts w:ascii="Palatino Linotype" w:hAnsi="Palatino Linotype" w:cs="Times New Roman"/>
          <w:iCs/>
          <w:color w:val="1C2534"/>
          <w:sz w:val="16"/>
          <w:szCs w:val="16"/>
          <w:shd w:val="clear" w:color="auto" w:fill="FFFFFF"/>
        </w:rPr>
        <w:t xml:space="preserve"> impone l’individuazione specifica dei mezzi, giacché concerne </w:t>
      </w:r>
      <w:r w:rsidR="00D5482D">
        <w:rPr>
          <w:rFonts w:ascii="Palatino Linotype" w:hAnsi="Palatino Linotype" w:cs="Times New Roman"/>
          <w:iCs/>
          <w:color w:val="1C2534"/>
          <w:sz w:val="16"/>
          <w:szCs w:val="16"/>
          <w:shd w:val="clear" w:color="auto" w:fill="FFFFFF"/>
        </w:rPr>
        <w:t xml:space="preserve">– </w:t>
      </w:r>
      <w:r w:rsidR="004946CA" w:rsidRPr="004946CA">
        <w:rPr>
          <w:rFonts w:ascii="Palatino Linotype" w:hAnsi="Palatino Linotype" w:cs="Times New Roman"/>
          <w:i/>
          <w:iCs/>
          <w:color w:val="1C2534"/>
          <w:sz w:val="16"/>
          <w:szCs w:val="16"/>
          <w:shd w:val="clear" w:color="auto" w:fill="FFFFFF"/>
        </w:rPr>
        <w:t>recte</w:t>
      </w:r>
      <w:r w:rsidR="004946CA" w:rsidRPr="004946CA">
        <w:rPr>
          <w:rFonts w:ascii="Palatino Linotype" w:hAnsi="Palatino Linotype" w:cs="Times New Roman"/>
          <w:iCs/>
          <w:color w:val="1C2534"/>
          <w:sz w:val="16"/>
          <w:szCs w:val="16"/>
          <w:shd w:val="clear" w:color="auto" w:fill="FFFFFF"/>
        </w:rPr>
        <w:t>, condiziona</w:t>
      </w:r>
      <w:r w:rsidR="00D5482D">
        <w:rPr>
          <w:rFonts w:ascii="Palatino Linotype" w:hAnsi="Palatino Linotype" w:cs="Times New Roman"/>
          <w:iCs/>
          <w:color w:val="1C2534"/>
          <w:sz w:val="16"/>
          <w:szCs w:val="16"/>
          <w:shd w:val="clear" w:color="auto" w:fill="FFFFFF"/>
        </w:rPr>
        <w:t xml:space="preserve"> –</w:t>
      </w:r>
      <w:r w:rsidR="004946CA" w:rsidRPr="004946CA">
        <w:rPr>
          <w:rFonts w:ascii="Palatino Linotype" w:hAnsi="Palatino Linotype" w:cs="Times New Roman"/>
          <w:iCs/>
          <w:color w:val="1C2534"/>
          <w:sz w:val="16"/>
          <w:szCs w:val="16"/>
          <w:shd w:val="clear" w:color="auto" w:fill="FFFFFF"/>
        </w:rPr>
        <w:t xml:space="preserve"> la stessa esecuzione della prestazione</w:t>
      </w:r>
      <w:r w:rsidR="004946CA">
        <w:rPr>
          <w:rFonts w:ascii="Palatino Linotype" w:hAnsi="Palatino Linotype" w:cs="Times New Roman"/>
          <w:iCs/>
          <w:color w:val="1C2534"/>
          <w:sz w:val="16"/>
          <w:szCs w:val="16"/>
          <w:shd w:val="clear" w:color="auto" w:fill="FFFFFF"/>
        </w:rPr>
        <w:t>,</w:t>
      </w:r>
      <w:r w:rsidR="004946CA" w:rsidRPr="004946CA">
        <w:rPr>
          <w:rFonts w:ascii="Palatino Linotype" w:hAnsi="Palatino Linotype" w:cs="Times New Roman"/>
          <w:i/>
          <w:color w:val="1C2534"/>
          <w:sz w:val="16"/>
          <w:szCs w:val="16"/>
          <w:shd w:val="clear" w:color="auto" w:fill="FFFFFF"/>
        </w:rPr>
        <w:t xml:space="preserve"> </w:t>
      </w:r>
      <w:r w:rsidR="004946CA">
        <w:rPr>
          <w:rFonts w:ascii="Palatino Linotype" w:hAnsi="Palatino Linotype" w:cs="Times New Roman"/>
          <w:iCs/>
          <w:color w:val="1C2534"/>
          <w:sz w:val="16"/>
          <w:szCs w:val="16"/>
          <w:shd w:val="clear" w:color="auto" w:fill="FFFFFF"/>
        </w:rPr>
        <w:t>l</w:t>
      </w:r>
      <w:r w:rsidR="004946CA" w:rsidRPr="004946CA">
        <w:rPr>
          <w:rFonts w:ascii="Palatino Linotype" w:hAnsi="Palatino Linotype" w:cs="Times New Roman"/>
          <w:iCs/>
          <w:color w:val="1C2534"/>
          <w:sz w:val="16"/>
          <w:szCs w:val="16"/>
          <w:shd w:val="clear" w:color="auto" w:fill="FFFFFF"/>
        </w:rPr>
        <w:t xml:space="preserve">’avvalimento </w:t>
      </w:r>
      <w:r w:rsidR="00D5482D">
        <w:rPr>
          <w:rFonts w:ascii="Palatino Linotype" w:hAnsi="Palatino Linotype" w:cs="Times New Roman"/>
          <w:iCs/>
          <w:color w:val="1C2534"/>
          <w:sz w:val="16"/>
          <w:szCs w:val="16"/>
          <w:shd w:val="clear" w:color="auto" w:fill="FFFFFF"/>
        </w:rPr>
        <w:t>‘</w:t>
      </w:r>
      <w:r w:rsidR="004946CA" w:rsidRPr="004946CA">
        <w:rPr>
          <w:rFonts w:ascii="Palatino Linotype" w:hAnsi="Palatino Linotype" w:cs="Times New Roman"/>
          <w:iCs/>
          <w:color w:val="1C2534"/>
          <w:sz w:val="16"/>
          <w:szCs w:val="16"/>
          <w:shd w:val="clear" w:color="auto" w:fill="FFFFFF"/>
        </w:rPr>
        <w:t>di garanzia</w:t>
      </w:r>
      <w:r w:rsidR="00D5482D">
        <w:rPr>
          <w:rFonts w:ascii="Palatino Linotype" w:hAnsi="Palatino Linotype" w:cs="Times New Roman"/>
          <w:iCs/>
          <w:color w:val="1C2534"/>
          <w:sz w:val="16"/>
          <w:szCs w:val="16"/>
          <w:shd w:val="clear" w:color="auto" w:fill="FFFFFF"/>
        </w:rPr>
        <w:t>’</w:t>
      </w:r>
      <w:r w:rsidR="004946CA" w:rsidRPr="004946CA">
        <w:rPr>
          <w:rFonts w:ascii="Palatino Linotype" w:hAnsi="Palatino Linotype" w:cs="Times New Roman"/>
          <w:iCs/>
          <w:color w:val="1C2534"/>
          <w:sz w:val="16"/>
          <w:szCs w:val="16"/>
          <w:shd w:val="clear" w:color="auto" w:fill="FFFFFF"/>
        </w:rPr>
        <w:t xml:space="preserve">, mirando esclusivamente ad asseverare </w:t>
      </w:r>
      <w:r w:rsidR="00D5482D" w:rsidRPr="004946CA">
        <w:rPr>
          <w:rFonts w:ascii="Palatino Linotype" w:hAnsi="Palatino Linotype" w:cs="Times New Roman"/>
          <w:iCs/>
          <w:color w:val="1C2534"/>
          <w:sz w:val="16"/>
          <w:szCs w:val="16"/>
          <w:shd w:val="clear" w:color="auto" w:fill="FFFFFF"/>
        </w:rPr>
        <w:t>la generale capacità dell’offerente di onorare gli obblighi contrattuali</w:t>
      </w:r>
      <w:r w:rsidR="00D5482D">
        <w:rPr>
          <w:rFonts w:ascii="Palatino Linotype" w:hAnsi="Palatino Linotype" w:cs="Times New Roman"/>
          <w:iCs/>
          <w:color w:val="1C2534"/>
          <w:sz w:val="16"/>
          <w:szCs w:val="16"/>
          <w:shd w:val="clear" w:color="auto" w:fill="FFFFFF"/>
        </w:rPr>
        <w:t>,</w:t>
      </w:r>
      <w:r w:rsidR="00D5482D" w:rsidRPr="004946CA">
        <w:rPr>
          <w:rFonts w:ascii="Palatino Linotype" w:hAnsi="Palatino Linotype" w:cs="Times New Roman"/>
          <w:iCs/>
          <w:color w:val="1C2534"/>
          <w:sz w:val="16"/>
          <w:szCs w:val="16"/>
          <w:shd w:val="clear" w:color="auto" w:fill="FFFFFF"/>
        </w:rPr>
        <w:t xml:space="preserve"> </w:t>
      </w:r>
      <w:r w:rsidR="004946CA" w:rsidRPr="004946CA">
        <w:rPr>
          <w:rFonts w:ascii="Palatino Linotype" w:hAnsi="Palatino Linotype" w:cs="Times New Roman"/>
          <w:iCs/>
          <w:color w:val="1C2534"/>
          <w:sz w:val="16"/>
          <w:szCs w:val="16"/>
          <w:shd w:val="clear" w:color="auto" w:fill="FFFFFF"/>
        </w:rPr>
        <w:t>mediante il formale impegno dell’ausiliaria di messa a disposizione della propria solidità finanziaria e professionale, non richiede di essere riferito a beni capitali descritti e</w:t>
      </w:r>
      <w:r w:rsidR="00DD5893">
        <w:rPr>
          <w:rFonts w:ascii="Palatino Linotype" w:hAnsi="Palatino Linotype" w:cs="Times New Roman"/>
          <w:iCs/>
          <w:color w:val="1C2534"/>
          <w:sz w:val="16"/>
          <w:szCs w:val="16"/>
          <w:shd w:val="clear" w:color="auto" w:fill="FFFFFF"/>
        </w:rPr>
        <w:t>d</w:t>
      </w:r>
      <w:r w:rsidR="004946CA" w:rsidRPr="004946CA">
        <w:rPr>
          <w:rFonts w:ascii="Palatino Linotype" w:hAnsi="Palatino Linotype" w:cs="Times New Roman"/>
          <w:iCs/>
          <w:color w:val="1C2534"/>
          <w:sz w:val="16"/>
          <w:szCs w:val="16"/>
          <w:shd w:val="clear" w:color="auto" w:fill="FFFFFF"/>
        </w:rPr>
        <w:t xml:space="preserve"> individuati con </w:t>
      </w:r>
      <w:r w:rsidR="004946CA" w:rsidRPr="00DD5893">
        <w:rPr>
          <w:rFonts w:ascii="Palatino Linotype" w:hAnsi="Palatino Linotype" w:cs="Times New Roman"/>
          <w:iCs/>
          <w:color w:val="1C2534"/>
          <w:sz w:val="16"/>
          <w:szCs w:val="16"/>
          <w:shd w:val="clear" w:color="auto" w:fill="FFFFFF"/>
        </w:rPr>
        <w:t xml:space="preserve">precisione </w:t>
      </w:r>
      <w:r w:rsidR="004946CA" w:rsidRPr="00DD5893">
        <w:rPr>
          <w:rFonts w:ascii="Palatino Linotype" w:hAnsi="Palatino Linotype" w:cs="Times New Roman"/>
          <w:color w:val="1C2534"/>
          <w:sz w:val="16"/>
          <w:szCs w:val="16"/>
          <w:shd w:val="clear" w:color="auto" w:fill="FFFFFF"/>
        </w:rPr>
        <w:t>(</w:t>
      </w:r>
      <w:r w:rsidRPr="004946CA">
        <w:rPr>
          <w:rFonts w:ascii="Palatino Linotype" w:hAnsi="Palatino Linotype" w:cs="Times New Roman"/>
          <w:iCs/>
          <w:color w:val="1C2534"/>
          <w:sz w:val="16"/>
          <w:szCs w:val="16"/>
          <w:shd w:val="clear" w:color="auto" w:fill="FFFFFF"/>
        </w:rPr>
        <w:t>Cons</w:t>
      </w:r>
      <w:r w:rsidRPr="00792946">
        <w:rPr>
          <w:rFonts w:ascii="Palatino Linotype" w:hAnsi="Palatino Linotype" w:cs="Times New Roman"/>
          <w:color w:val="1C2534"/>
          <w:sz w:val="16"/>
          <w:szCs w:val="16"/>
          <w:shd w:val="clear" w:color="auto" w:fill="FFFFFF"/>
        </w:rPr>
        <w:t xml:space="preserve">. Stato, Sez. </w:t>
      </w:r>
      <w:r w:rsidR="004946CA">
        <w:rPr>
          <w:rFonts w:ascii="Palatino Linotype" w:hAnsi="Palatino Linotype" w:cs="Times New Roman"/>
          <w:color w:val="1C2534"/>
          <w:sz w:val="16"/>
          <w:szCs w:val="16"/>
          <w:shd w:val="clear" w:color="auto" w:fill="FFFFFF"/>
        </w:rPr>
        <w:t>I</w:t>
      </w:r>
      <w:r w:rsidRPr="00792946">
        <w:rPr>
          <w:rFonts w:ascii="Palatino Linotype" w:hAnsi="Palatino Linotype" w:cs="Times New Roman"/>
          <w:color w:val="1C2534"/>
          <w:sz w:val="16"/>
          <w:szCs w:val="16"/>
          <w:shd w:val="clear" w:color="auto" w:fill="FFFFFF"/>
        </w:rPr>
        <w:t xml:space="preserve">V, </w:t>
      </w:r>
      <w:r w:rsidR="004946CA">
        <w:rPr>
          <w:rFonts w:ascii="Palatino Linotype" w:hAnsi="Palatino Linotype" w:cs="Times New Roman"/>
          <w:color w:val="1C2534"/>
          <w:sz w:val="16"/>
          <w:szCs w:val="16"/>
          <w:shd w:val="clear" w:color="auto" w:fill="FFFFFF"/>
        </w:rPr>
        <w:t>7 ottobre</w:t>
      </w:r>
      <w:r w:rsidRPr="00792946">
        <w:rPr>
          <w:rFonts w:ascii="Palatino Linotype" w:hAnsi="Palatino Linotype" w:cs="Times New Roman"/>
          <w:color w:val="1C2534"/>
          <w:sz w:val="16"/>
          <w:szCs w:val="16"/>
          <w:shd w:val="clear" w:color="auto" w:fill="FFFFFF"/>
        </w:rPr>
        <w:t xml:space="preserve"> 20</w:t>
      </w:r>
      <w:r w:rsidR="004946CA">
        <w:rPr>
          <w:rFonts w:ascii="Palatino Linotype" w:hAnsi="Palatino Linotype" w:cs="Times New Roman"/>
          <w:color w:val="1C2534"/>
          <w:sz w:val="16"/>
          <w:szCs w:val="16"/>
          <w:shd w:val="clear" w:color="auto" w:fill="FFFFFF"/>
        </w:rPr>
        <w:t>2</w:t>
      </w:r>
      <w:r w:rsidRPr="00792946">
        <w:rPr>
          <w:rFonts w:ascii="Palatino Linotype" w:hAnsi="Palatino Linotype" w:cs="Times New Roman"/>
          <w:color w:val="1C2534"/>
          <w:sz w:val="16"/>
          <w:szCs w:val="16"/>
          <w:shd w:val="clear" w:color="auto" w:fill="FFFFFF"/>
        </w:rPr>
        <w:t xml:space="preserve">1, n. </w:t>
      </w:r>
      <w:r w:rsidR="004946CA">
        <w:rPr>
          <w:rFonts w:ascii="Palatino Linotype" w:hAnsi="Palatino Linotype" w:cs="Times New Roman"/>
          <w:color w:val="1C2534"/>
          <w:sz w:val="16"/>
          <w:szCs w:val="16"/>
          <w:shd w:val="clear" w:color="auto" w:fill="FFFFFF"/>
        </w:rPr>
        <w:t>6711</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r w:rsidR="004946CA" w:rsidRPr="004946CA">
        <w:rPr>
          <w:rFonts w:ascii="Palatino Linotype" w:hAnsi="Palatino Linotype" w:cs="Times New Roman"/>
          <w:bCs/>
          <w:sz w:val="16"/>
          <w:szCs w:val="16"/>
        </w:rPr>
        <w:t>)</w:t>
      </w:r>
      <w:r w:rsidRPr="004946CA">
        <w:rPr>
          <w:rFonts w:ascii="Palatino Linotype" w:hAnsi="Palatino Linotype" w:cs="Times New Roman"/>
          <w:bCs/>
          <w:sz w:val="16"/>
          <w:szCs w:val="16"/>
        </w:rPr>
        <w:t>.</w:t>
      </w:r>
    </w:p>
  </w:footnote>
  <w:footnote w:id="14">
    <w:p w14:paraId="33574EEB" w14:textId="77777777" w:rsidR="00035220" w:rsidRPr="00792946" w:rsidRDefault="00035220" w:rsidP="00C564BF">
      <w:pPr>
        <w:pStyle w:val="Nessunaspaziatura"/>
        <w:jc w:val="both"/>
        <w:rPr>
          <w:rFonts w:ascii="Palatino Linotype" w:hAnsi="Palatino Linotype"/>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hAnsi="Palatino Linotype" w:cs="Times New Roman"/>
          <w:bCs/>
          <w:smallCaps/>
          <w:sz w:val="16"/>
          <w:szCs w:val="16"/>
        </w:rPr>
        <w:t>Volpe C</w:t>
      </w:r>
      <w:r w:rsidRPr="00792946">
        <w:rPr>
          <w:rFonts w:ascii="Palatino Linotype" w:hAnsi="Palatino Linotype" w:cs="Times New Roman"/>
          <w:bCs/>
          <w:sz w:val="16"/>
          <w:szCs w:val="16"/>
        </w:rPr>
        <w:t xml:space="preserve">., </w:t>
      </w:r>
      <w:r w:rsidRPr="00792946">
        <w:rPr>
          <w:rStyle w:val="sottotitolo"/>
          <w:rFonts w:ascii="Palatino Linotype" w:hAnsi="Palatino Linotype" w:cs="Times New Roman"/>
          <w:i/>
          <w:color w:val="333333"/>
          <w:sz w:val="16"/>
          <w:szCs w:val="16"/>
        </w:rPr>
        <w:t>Corte di giustizia e avvalimento plurimo e frazionato</w:t>
      </w:r>
      <w:r w:rsidRPr="00792946">
        <w:rPr>
          <w:rFonts w:ascii="Palatino Linotype" w:hAnsi="Palatino Linotype" w:cs="Times New Roman"/>
          <w:bCs/>
          <w:sz w:val="16"/>
          <w:szCs w:val="16"/>
        </w:rPr>
        <w:t xml:space="preserve">, in </w:t>
      </w:r>
      <w:hyperlink r:id="rId5" w:history="1">
        <w:r w:rsidRPr="00792946">
          <w:rPr>
            <w:rStyle w:val="Collegamentoipertestuale"/>
            <w:rFonts w:ascii="Palatino Linotype" w:hAnsi="Palatino Linotype" w:cs="Times New Roman"/>
            <w:bCs/>
            <w:i/>
            <w:color w:val="auto"/>
            <w:sz w:val="16"/>
            <w:szCs w:val="16"/>
            <w:u w:val="none"/>
          </w:rPr>
          <w:t>www.giustizia-amministrativa.it</w:t>
        </w:r>
      </w:hyperlink>
      <w:r w:rsidRPr="00792946">
        <w:rPr>
          <w:rFonts w:ascii="Palatino Linotype" w:hAnsi="Palatino Linotype" w:cs="Times New Roman"/>
          <w:bCs/>
          <w:sz w:val="16"/>
          <w:szCs w:val="16"/>
        </w:rPr>
        <w:t>, 2015.</w:t>
      </w:r>
    </w:p>
  </w:footnote>
  <w:footnote w:id="15">
    <w:p w14:paraId="377B523B" w14:textId="77777777" w:rsidR="00035220" w:rsidRPr="00792946" w:rsidRDefault="00035220" w:rsidP="00C564B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hAnsi="Palatino Linotype" w:cs="Times New Roman"/>
          <w:color w:val="1C2534"/>
          <w:sz w:val="16"/>
          <w:szCs w:val="16"/>
          <w:shd w:val="clear" w:color="auto" w:fill="FFFFFF"/>
        </w:rPr>
        <w:t>CGUE 10 ottobre 2013, in C-94/12, </w:t>
      </w:r>
      <w:r w:rsidRPr="00792946">
        <w:rPr>
          <w:rStyle w:val="Enfasicorsivo"/>
          <w:rFonts w:ascii="Palatino Linotype" w:hAnsi="Palatino Linotype" w:cs="Times New Roman"/>
          <w:color w:val="1C2534"/>
          <w:sz w:val="16"/>
          <w:szCs w:val="16"/>
          <w:bdr w:val="none" w:sz="0" w:space="0" w:color="auto" w:frame="1"/>
          <w:shd w:val="clear" w:color="auto" w:fill="FFFFFF"/>
        </w:rPr>
        <w:t>Swm Costruzioni</w:t>
      </w:r>
      <w:r w:rsidRPr="00792946">
        <w:rPr>
          <w:rFonts w:ascii="Palatino Linotype" w:hAnsi="Palatino Linotype" w:cs="Times New Roman"/>
          <w:color w:val="1C2534"/>
          <w:sz w:val="16"/>
          <w:szCs w:val="16"/>
          <w:shd w:val="clear" w:color="auto" w:fill="FFFFFF"/>
        </w:rPr>
        <w:t> e 2 giugno 2016, in C-27/15</w:t>
      </w:r>
      <w:r w:rsidRPr="00792946">
        <w:rPr>
          <w:rFonts w:ascii="Palatino Linotype" w:eastAsia="Times New Roman" w:hAnsi="Palatino Linotype" w:cs="Times New Roman"/>
          <w:color w:val="444444"/>
          <w:sz w:val="16"/>
          <w:szCs w:val="16"/>
          <w:lang w:eastAsia="it-IT"/>
        </w:rPr>
        <w:t xml:space="preserve">, </w:t>
      </w:r>
      <w:r w:rsidRPr="00792946">
        <w:rPr>
          <w:rFonts w:ascii="Palatino Linotype" w:eastAsia="Times New Roman" w:hAnsi="Palatino Linotype" w:cs="Times New Roman"/>
          <w:i/>
          <w:color w:val="444444"/>
          <w:sz w:val="16"/>
          <w:szCs w:val="16"/>
          <w:lang w:eastAsia="it-IT"/>
        </w:rPr>
        <w:t>Rizzo</w:t>
      </w:r>
      <w:r w:rsidRPr="00792946">
        <w:rPr>
          <w:rFonts w:ascii="Palatino Linotype" w:eastAsia="Times New Roman" w:hAnsi="Palatino Linotype" w:cs="Times New Roman"/>
          <w:color w:val="444444"/>
          <w:sz w:val="16"/>
          <w:szCs w:val="16"/>
          <w:lang w:eastAsia="it-IT"/>
        </w:rPr>
        <w:t>,</w:t>
      </w:r>
      <w:r w:rsidRPr="00792946">
        <w:rPr>
          <w:rFonts w:ascii="Palatino Linotype" w:hAnsi="Palatino Linotype" w:cs="Times New Roman"/>
          <w:sz w:val="16"/>
          <w:szCs w:val="16"/>
        </w:rPr>
        <w:t xml:space="preserve"> in </w:t>
      </w:r>
      <w:hyperlink r:id="rId6" w:history="1">
        <w:r w:rsidRPr="00792946">
          <w:rPr>
            <w:rFonts w:ascii="Palatino Linotype" w:hAnsi="Palatino Linotype" w:cs="Times New Roman"/>
            <w:i/>
            <w:sz w:val="16"/>
            <w:szCs w:val="16"/>
          </w:rPr>
          <w:t>www.eur-lex.europa.eu</w:t>
        </w:r>
      </w:hyperlink>
      <w:r w:rsidRPr="00792946">
        <w:rPr>
          <w:rFonts w:ascii="Palatino Linotype" w:hAnsi="Palatino Linotype" w:cs="Times New Roman"/>
          <w:i/>
          <w:sz w:val="16"/>
          <w:szCs w:val="16"/>
        </w:rPr>
        <w:t>.</w:t>
      </w:r>
    </w:p>
  </w:footnote>
  <w:footnote w:id="16">
    <w:p w14:paraId="110E7881" w14:textId="77777777" w:rsidR="00035220" w:rsidRPr="00792946" w:rsidRDefault="00035220" w:rsidP="00C564B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 xml:space="preserve">Cons. Stato, Sez. </w:t>
      </w:r>
      <w:r w:rsidRPr="00792946">
        <w:rPr>
          <w:rFonts w:ascii="Palatino Linotype" w:hAnsi="Palatino Linotype" w:cs="Times New Roman"/>
          <w:color w:val="1C2534"/>
          <w:sz w:val="16"/>
          <w:szCs w:val="16"/>
          <w:shd w:val="clear" w:color="auto" w:fill="FFFFFF"/>
        </w:rPr>
        <w:t>III, 5 marzo 2018, n. 1339</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17">
    <w:p w14:paraId="7331A2E2" w14:textId="77777777" w:rsidR="00035220" w:rsidRPr="00792946" w:rsidRDefault="00035220" w:rsidP="00C564BF">
      <w:pPr>
        <w:pStyle w:val="Testonotaapidipagina"/>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Sez. V, 10 aprile 2018, n. 2183</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18">
    <w:p w14:paraId="5242B6E1" w14:textId="77777777" w:rsidR="00035220" w:rsidRPr="00792946" w:rsidRDefault="00035220">
      <w:pPr>
        <w:pStyle w:val="Testonotaapidipagina"/>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Sull’avvalimento ‘a cascata’, si rinvia </w:t>
      </w:r>
      <w:r w:rsidR="0001380F">
        <w:rPr>
          <w:rFonts w:ascii="Palatino Linotype" w:hAnsi="Palatino Linotype" w:cs="Times New Roman"/>
          <w:sz w:val="16"/>
          <w:szCs w:val="16"/>
        </w:rPr>
        <w:t xml:space="preserve">comunque </w:t>
      </w:r>
      <w:r w:rsidRPr="00792946">
        <w:rPr>
          <w:rFonts w:ascii="Palatino Linotype" w:hAnsi="Palatino Linotype" w:cs="Times New Roman"/>
          <w:sz w:val="16"/>
          <w:szCs w:val="16"/>
        </w:rPr>
        <w:t>al § 2.4 di questa relazione.</w:t>
      </w:r>
    </w:p>
  </w:footnote>
  <w:footnote w:id="19">
    <w:p w14:paraId="646EBC77" w14:textId="77777777" w:rsidR="00035220" w:rsidRPr="00792946" w:rsidRDefault="00035220" w:rsidP="00C564B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Sez. V, 15</w:t>
      </w:r>
      <w:r w:rsidRPr="00792946">
        <w:rPr>
          <w:rFonts w:ascii="Palatino Linotype" w:hAnsi="Palatino Linotype" w:cs="Times New Roman"/>
          <w:color w:val="000000"/>
          <w:sz w:val="16"/>
          <w:szCs w:val="16"/>
          <w:shd w:val="clear" w:color="auto" w:fill="FFFFFF"/>
        </w:rPr>
        <w:t xml:space="preserve"> gennaio 2020, n. 386</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20">
    <w:p w14:paraId="0740FC32" w14:textId="77777777" w:rsidR="00035220" w:rsidRPr="00792946" w:rsidRDefault="00035220" w:rsidP="009F5D3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Ad. plen., 9 luglio 2020, n. 13</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21">
    <w:p w14:paraId="6317D145" w14:textId="77777777" w:rsidR="00035220" w:rsidRPr="00792946" w:rsidRDefault="00035220" w:rsidP="00A41775">
      <w:pPr>
        <w:pStyle w:val="Testonotaapidipagina"/>
        <w:jc w:val="both"/>
        <w:rPr>
          <w:rFonts w:ascii="Palatino Linotype" w:eastAsia="Times New Roman" w:hAnsi="Palatino Linotype" w:cs="Times New Roman"/>
          <w:sz w:val="16"/>
          <w:szCs w:val="16"/>
          <w:lang w:eastAsia="it-IT"/>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mallCaps/>
          <w:sz w:val="16"/>
          <w:szCs w:val="16"/>
          <w:lang w:eastAsia="it-IT"/>
        </w:rPr>
        <w:t>Frontoni</w:t>
      </w:r>
      <w:r w:rsidRPr="00792946">
        <w:rPr>
          <w:rFonts w:ascii="Palatino Linotype" w:hAnsi="Palatino Linotype" w:cs="Times New Roman"/>
          <w:smallCaps/>
          <w:sz w:val="16"/>
          <w:szCs w:val="16"/>
        </w:rPr>
        <w:t xml:space="preserve"> M</w:t>
      </w:r>
      <w:r w:rsidRPr="00792946">
        <w:rPr>
          <w:rFonts w:ascii="Palatino Linotype" w:eastAsia="Times New Roman" w:hAnsi="Palatino Linotype" w:cs="Times New Roman"/>
          <w:smallCaps/>
          <w:sz w:val="16"/>
          <w:szCs w:val="16"/>
          <w:lang w:eastAsia="it-IT"/>
        </w:rPr>
        <w:t>., Savelli L</w:t>
      </w:r>
      <w:r w:rsidRPr="00792946">
        <w:rPr>
          <w:rFonts w:ascii="Palatino Linotype" w:eastAsia="Times New Roman" w:hAnsi="Palatino Linotype" w:cs="Times New Roman"/>
          <w:sz w:val="16"/>
          <w:szCs w:val="16"/>
          <w:lang w:eastAsia="it-IT"/>
        </w:rPr>
        <w:t xml:space="preserve">., </w:t>
      </w:r>
      <w:r w:rsidRPr="00792946">
        <w:rPr>
          <w:rFonts w:ascii="Palatino Linotype" w:eastAsia="Times New Roman" w:hAnsi="Palatino Linotype" w:cs="Times New Roman"/>
          <w:i/>
          <w:sz w:val="16"/>
          <w:szCs w:val="16"/>
          <w:lang w:eastAsia="it-IT"/>
        </w:rPr>
        <w:t>Subappalto e avvalimento. Tra qualificazione ed esecuzione nel codice dei contratti pubblici</w:t>
      </w:r>
      <w:r w:rsidRPr="00792946">
        <w:rPr>
          <w:rFonts w:ascii="Palatino Linotype" w:eastAsia="Times New Roman" w:hAnsi="Palatino Linotype" w:cs="Times New Roman"/>
          <w:sz w:val="16"/>
          <w:szCs w:val="16"/>
          <w:lang w:eastAsia="it-IT"/>
        </w:rPr>
        <w:t>, Torino, 2018.</w:t>
      </w:r>
    </w:p>
  </w:footnote>
  <w:footnote w:id="22">
    <w:p w14:paraId="23C42C5E" w14:textId="77777777" w:rsidR="00035220" w:rsidRPr="00792946" w:rsidRDefault="00035220" w:rsidP="00013B77">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Ad. plen., 2 novembre 2015, n. 9</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23">
    <w:p w14:paraId="37E6E5FE" w14:textId="77777777" w:rsidR="00035220" w:rsidRPr="00792946" w:rsidRDefault="00035220" w:rsidP="009F5D3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Ad. plen., 18 marzo 2021, n. 5</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24">
    <w:p w14:paraId="301224EE" w14:textId="77777777" w:rsidR="00035220" w:rsidRPr="00792946" w:rsidRDefault="00035220" w:rsidP="00D45F05">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Ai sensi dell’art. 45, comma 2, lett. c), del D.lgs. 50/2016, i consorzi stabili sono costituiti “</w:t>
      </w:r>
      <w:r w:rsidRPr="00792946">
        <w:rPr>
          <w:rFonts w:ascii="Palatino Linotype" w:eastAsia="Times New Roman" w:hAnsi="Palatino Linotype" w:cs="Times New Roman"/>
          <w:iCs/>
          <w:sz w:val="16"/>
          <w:szCs w:val="16"/>
          <w:lang w:eastAsia="it-IT"/>
        </w:rPr>
        <w:t>tra imprenditori individuali, anche artigiani, società commerciali, società cooperative di produzione e lavoro</w:t>
      </w:r>
      <w:r w:rsidRPr="00792946">
        <w:rPr>
          <w:rFonts w:ascii="Palatino Linotype" w:eastAsia="Times New Roman" w:hAnsi="Palatino Linotype" w:cs="Times New Roman"/>
          <w:sz w:val="16"/>
          <w:szCs w:val="16"/>
          <w:lang w:eastAsia="it-IT"/>
        </w:rPr>
        <w:t>”, che “</w:t>
      </w:r>
      <w:r w:rsidRPr="00792946">
        <w:rPr>
          <w:rFonts w:ascii="Palatino Linotype" w:eastAsia="Times New Roman" w:hAnsi="Palatino Linotype" w:cs="Times New Roman"/>
          <w:iCs/>
          <w:sz w:val="16"/>
          <w:szCs w:val="16"/>
          <w:lang w:eastAsia="it-IT"/>
        </w:rPr>
        <w:t>abbiano stabilito di operare in modo congiunto nel settore dei contratti pubblici di lavori, servizi e forniture per un periodo di tempo non inferiore a cinque anni, istituendo a tal fine una comune struttura di impresa</w:t>
      </w:r>
      <w:r w:rsidRPr="00792946">
        <w:rPr>
          <w:rFonts w:ascii="Palatino Linotype" w:eastAsia="Times New Roman" w:hAnsi="Palatino Linotype" w:cs="Times New Roman"/>
          <w:sz w:val="16"/>
          <w:szCs w:val="16"/>
          <w:lang w:eastAsia="it-IT"/>
        </w:rPr>
        <w:t>”.</w:t>
      </w:r>
    </w:p>
  </w:footnote>
  <w:footnote w:id="25">
    <w:p w14:paraId="431F8844" w14:textId="77777777" w:rsidR="00035220" w:rsidRPr="00792946" w:rsidRDefault="00035220" w:rsidP="009F5D3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CG</w:t>
      </w:r>
      <w:r w:rsidRPr="00792946">
        <w:rPr>
          <w:rFonts w:ascii="Palatino Linotype" w:eastAsia="Times New Roman" w:hAnsi="Palatino Linotype" w:cs="Times New Roman"/>
          <w:sz w:val="16"/>
          <w:szCs w:val="16"/>
          <w:lang w:eastAsia="it-IT"/>
        </w:rPr>
        <w:t>UE 23 dicembre 2009, in C-376/08</w:t>
      </w:r>
      <w:r w:rsidRPr="00792946">
        <w:rPr>
          <w:rFonts w:ascii="Palatino Linotype" w:hAnsi="Palatino Linotype" w:cs="Times New Roman"/>
          <w:sz w:val="16"/>
          <w:szCs w:val="16"/>
        </w:rPr>
        <w:t xml:space="preserve">, </w:t>
      </w:r>
      <w:r w:rsidRPr="00792946">
        <w:rPr>
          <w:rFonts w:ascii="Palatino Linotype" w:hAnsi="Palatino Linotype" w:cs="Times New Roman"/>
          <w:i/>
          <w:sz w:val="16"/>
          <w:szCs w:val="16"/>
        </w:rPr>
        <w:t>Serrantoni</w:t>
      </w:r>
      <w:r w:rsidRPr="00792946">
        <w:rPr>
          <w:rFonts w:ascii="Palatino Linotype" w:eastAsia="Times New Roman" w:hAnsi="Palatino Linotype" w:cs="Times New Roman"/>
          <w:sz w:val="16"/>
          <w:szCs w:val="16"/>
          <w:lang w:eastAsia="it-IT"/>
        </w:rPr>
        <w:t xml:space="preserve">, </w:t>
      </w:r>
      <w:r w:rsidRPr="00792946">
        <w:rPr>
          <w:rFonts w:ascii="Palatino Linotype" w:hAnsi="Palatino Linotype" w:cs="Times New Roman"/>
          <w:sz w:val="16"/>
          <w:szCs w:val="16"/>
        </w:rPr>
        <w:t xml:space="preserve">in </w:t>
      </w:r>
      <w:hyperlink r:id="rId7" w:history="1">
        <w:r w:rsidRPr="00792946">
          <w:rPr>
            <w:rFonts w:ascii="Palatino Linotype" w:hAnsi="Palatino Linotype" w:cs="Times New Roman"/>
            <w:i/>
            <w:sz w:val="16"/>
            <w:szCs w:val="16"/>
          </w:rPr>
          <w:t>www.eur-lex.europa.eu</w:t>
        </w:r>
      </w:hyperlink>
      <w:r w:rsidRPr="00792946">
        <w:rPr>
          <w:rFonts w:ascii="Palatino Linotype" w:hAnsi="Palatino Linotype" w:cs="Times New Roman"/>
          <w:sz w:val="16"/>
          <w:szCs w:val="16"/>
        </w:rPr>
        <w:t>.</w:t>
      </w:r>
    </w:p>
  </w:footnote>
  <w:footnote w:id="26">
    <w:p w14:paraId="2BBB6F52" w14:textId="77777777" w:rsidR="00035220" w:rsidRPr="00792946" w:rsidRDefault="00035220" w:rsidP="00972B75">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Ad. plen., 20 luglio 2015, n. 8</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27">
    <w:p w14:paraId="50AA75BA" w14:textId="77777777" w:rsidR="00035220" w:rsidRPr="00792946" w:rsidRDefault="00035220" w:rsidP="009F5D3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Ad. plen., 7 aprile 2011, n. 4</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28">
    <w:p w14:paraId="367351B7" w14:textId="77777777" w:rsidR="00035220" w:rsidRPr="00792946" w:rsidRDefault="00035220" w:rsidP="009F5D3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Ad. plen., 18 marzo 2021, n. 5</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29">
    <w:p w14:paraId="0112979A" w14:textId="77777777" w:rsidR="00035220" w:rsidRPr="00792946" w:rsidRDefault="00035220" w:rsidP="004B4786">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Si noti che</w:t>
      </w:r>
      <w:r w:rsidRPr="00792946">
        <w:rPr>
          <w:rFonts w:ascii="Palatino Linotype" w:eastAsia="Times New Roman" w:hAnsi="Palatino Linotype" w:cs="Times New Roman"/>
          <w:sz w:val="16"/>
          <w:szCs w:val="16"/>
          <w:lang w:eastAsia="it-IT"/>
        </w:rPr>
        <w:t>, ai sensi dell’art. 89, comma 1, del D.lgs. 50/2016,</w:t>
      </w:r>
      <w:r w:rsidRPr="00792946">
        <w:rPr>
          <w:rFonts w:ascii="Palatino Linotype" w:hAnsi="Palatino Linotype" w:cs="Times New Roman"/>
          <w:sz w:val="16"/>
          <w:szCs w:val="16"/>
        </w:rPr>
        <w:t xml:space="preserve"> i</w:t>
      </w:r>
      <w:r w:rsidRPr="00792946">
        <w:rPr>
          <w:rFonts w:ascii="Palatino Linotype" w:eastAsia="Times New Roman" w:hAnsi="Palatino Linotype" w:cs="Times New Roman"/>
          <w:sz w:val="16"/>
          <w:szCs w:val="16"/>
          <w:lang w:eastAsia="it-IT"/>
        </w:rPr>
        <w:t xml:space="preserve"> requisiti morali non sono oggetto di avvalimento.</w:t>
      </w:r>
    </w:p>
  </w:footnote>
  <w:footnote w:id="30">
    <w:p w14:paraId="414E9250" w14:textId="77777777" w:rsidR="00035220" w:rsidRPr="00792946" w:rsidRDefault="00035220" w:rsidP="00B0540B">
      <w:pPr>
        <w:pStyle w:val="Testonotaapidipagina"/>
        <w:jc w:val="both"/>
        <w:rPr>
          <w:rFonts w:ascii="Palatino Linotype" w:hAnsi="Palatino Linotype" w:cs="Times New Roman"/>
          <w:sz w:val="16"/>
          <w:szCs w:val="16"/>
        </w:rPr>
      </w:pPr>
      <w:r w:rsidRPr="00792946">
        <w:rPr>
          <w:rFonts w:ascii="Palatino Linotype" w:eastAsia="Times New Roman" w:hAnsi="Palatino Linotype" w:cs="Times New Roman"/>
          <w:sz w:val="16"/>
          <w:szCs w:val="16"/>
          <w:vertAlign w:val="superscript"/>
          <w:lang w:eastAsia="it-IT"/>
        </w:rPr>
        <w:footnoteRef/>
      </w:r>
      <w:r w:rsidRPr="00792946">
        <w:rPr>
          <w:rFonts w:ascii="Palatino Linotype" w:eastAsia="Times New Roman" w:hAnsi="Palatino Linotype" w:cs="Times New Roman"/>
          <w:sz w:val="16"/>
          <w:szCs w:val="16"/>
          <w:lang w:eastAsia="it-IT"/>
        </w:rPr>
        <w:t xml:space="preserve"> CGUE 3 giugno 2021, in C-210/20</w:t>
      </w:r>
      <w:r w:rsidRPr="00792946">
        <w:rPr>
          <w:rFonts w:ascii="Palatino Linotype" w:hAnsi="Palatino Linotype" w:cs="Times New Roman"/>
          <w:sz w:val="16"/>
          <w:szCs w:val="16"/>
        </w:rPr>
        <w:t xml:space="preserve">, </w:t>
      </w:r>
      <w:r w:rsidRPr="00792946">
        <w:rPr>
          <w:rFonts w:ascii="Palatino Linotype" w:hAnsi="Palatino Linotype" w:cs="Times New Roman"/>
          <w:i/>
          <w:sz w:val="16"/>
          <w:szCs w:val="16"/>
        </w:rPr>
        <w:t>Del Debbio</w:t>
      </w:r>
      <w:r w:rsidRPr="00792946">
        <w:rPr>
          <w:rFonts w:ascii="Palatino Linotype" w:eastAsia="Times New Roman" w:hAnsi="Palatino Linotype" w:cs="Times New Roman"/>
          <w:color w:val="444444"/>
          <w:sz w:val="16"/>
          <w:szCs w:val="16"/>
          <w:lang w:eastAsia="it-IT"/>
        </w:rPr>
        <w:t>,</w:t>
      </w:r>
      <w:r w:rsidRPr="00792946">
        <w:rPr>
          <w:rFonts w:ascii="Palatino Linotype" w:hAnsi="Palatino Linotype" w:cs="Times New Roman"/>
          <w:sz w:val="16"/>
          <w:szCs w:val="16"/>
        </w:rPr>
        <w:t xml:space="preserve"> in </w:t>
      </w:r>
      <w:hyperlink r:id="rId8" w:history="1">
        <w:r w:rsidRPr="00792946">
          <w:rPr>
            <w:rFonts w:ascii="Palatino Linotype" w:hAnsi="Palatino Linotype" w:cs="Times New Roman"/>
            <w:i/>
            <w:sz w:val="16"/>
            <w:szCs w:val="16"/>
          </w:rPr>
          <w:t>www.eur-lex.europa.eu</w:t>
        </w:r>
      </w:hyperlink>
      <w:r w:rsidRPr="00792946">
        <w:rPr>
          <w:rFonts w:ascii="Palatino Linotype" w:hAnsi="Palatino Linotype" w:cs="Times New Roman"/>
          <w:sz w:val="16"/>
          <w:szCs w:val="16"/>
        </w:rPr>
        <w:t>.</w:t>
      </w:r>
    </w:p>
  </w:footnote>
  <w:footnote w:id="31">
    <w:p w14:paraId="7E4FD6B5" w14:textId="77777777" w:rsidR="00035220" w:rsidRPr="00792946" w:rsidRDefault="00035220" w:rsidP="005B0223">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Cons. Stato, Sez. </w:t>
      </w:r>
      <w:r w:rsidRPr="00792946">
        <w:rPr>
          <w:rFonts w:ascii="Palatino Linotype" w:eastAsia="Times New Roman" w:hAnsi="Palatino Linotype" w:cs="Times New Roman"/>
          <w:sz w:val="16"/>
          <w:szCs w:val="16"/>
          <w:lang w:eastAsia="it-IT"/>
        </w:rPr>
        <w:t>III, 20 marzo 2020, n. 2005</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32">
    <w:p w14:paraId="57ECECA4" w14:textId="77777777" w:rsidR="00035220" w:rsidRPr="00792946" w:rsidRDefault="00035220" w:rsidP="008C0862">
      <w:pPr>
        <w:pStyle w:val="Testonotaapidipagina"/>
        <w:jc w:val="both"/>
        <w:rPr>
          <w:rFonts w:ascii="Palatino Linotype" w:eastAsia="Times New Roman" w:hAnsi="Palatino Linotype" w:cs="Times New Roman"/>
          <w:sz w:val="16"/>
          <w:szCs w:val="16"/>
          <w:lang w:eastAsia="it-IT"/>
        </w:rPr>
      </w:pPr>
      <w:r w:rsidRPr="00792946">
        <w:rPr>
          <w:rFonts w:ascii="Palatino Linotype" w:eastAsia="Times New Roman" w:hAnsi="Palatino Linotype" w:cs="Times New Roman"/>
          <w:sz w:val="16"/>
          <w:szCs w:val="16"/>
          <w:vertAlign w:val="superscript"/>
          <w:lang w:eastAsia="it-IT"/>
        </w:rPr>
        <w:footnoteRef/>
      </w:r>
      <w:r w:rsidRPr="00792946">
        <w:rPr>
          <w:rFonts w:ascii="Palatino Linotype" w:eastAsia="Times New Roman" w:hAnsi="Palatino Linotype" w:cs="Times New Roman"/>
          <w:sz w:val="16"/>
          <w:szCs w:val="16"/>
          <w:lang w:eastAsia="it-IT"/>
        </w:rPr>
        <w:t xml:space="preserve"> Sul divieto di </w:t>
      </w:r>
      <w:r w:rsidRPr="00792946">
        <w:rPr>
          <w:rFonts w:ascii="Palatino Linotype" w:eastAsia="Times New Roman" w:hAnsi="Palatino Linotype" w:cs="Times New Roman"/>
          <w:i/>
          <w:sz w:val="16"/>
          <w:szCs w:val="16"/>
          <w:lang w:eastAsia="it-IT"/>
        </w:rPr>
        <w:t>gold plating</w:t>
      </w:r>
      <w:r w:rsidRPr="00792946">
        <w:rPr>
          <w:rFonts w:ascii="Palatino Linotype" w:eastAsia="Times New Roman" w:hAnsi="Palatino Linotype" w:cs="Times New Roman"/>
          <w:sz w:val="16"/>
          <w:szCs w:val="16"/>
          <w:lang w:eastAsia="it-IT"/>
        </w:rPr>
        <w:t>: D</w:t>
      </w:r>
      <w:r w:rsidRPr="00792946">
        <w:rPr>
          <w:rFonts w:ascii="Palatino Linotype" w:eastAsia="Times New Roman" w:hAnsi="Palatino Linotype" w:cs="Times New Roman"/>
          <w:smallCaps/>
          <w:sz w:val="16"/>
          <w:szCs w:val="16"/>
          <w:lang w:eastAsia="it-IT"/>
        </w:rPr>
        <w:t>urante</w:t>
      </w:r>
      <w:r w:rsidRPr="00792946">
        <w:rPr>
          <w:rFonts w:ascii="Palatino Linotype" w:eastAsia="Times New Roman" w:hAnsi="Palatino Linotype" w:cs="Times New Roman"/>
          <w:sz w:val="16"/>
          <w:szCs w:val="16"/>
          <w:lang w:eastAsia="it-IT"/>
        </w:rPr>
        <w:t xml:space="preserve"> N., </w:t>
      </w:r>
      <w:r w:rsidRPr="00792946">
        <w:rPr>
          <w:rFonts w:ascii="Palatino Linotype" w:eastAsia="Times New Roman" w:hAnsi="Palatino Linotype" w:cs="Times New Roman"/>
          <w:i/>
          <w:sz w:val="16"/>
          <w:szCs w:val="16"/>
          <w:lang w:eastAsia="it-IT"/>
        </w:rPr>
        <w:t>Aspetti irrisolti in tema di gold plating e di efficacia scriminante delle linee guida</w:t>
      </w:r>
      <w:r w:rsidRPr="00792946">
        <w:rPr>
          <w:rFonts w:ascii="Palatino Linotype" w:eastAsia="Times New Roman" w:hAnsi="Palatino Linotype" w:cs="Times New Roman"/>
          <w:sz w:val="16"/>
          <w:szCs w:val="16"/>
          <w:lang w:eastAsia="it-IT"/>
        </w:rPr>
        <w:t xml:space="preserve">, in </w:t>
      </w:r>
      <w:r w:rsidRPr="00792946">
        <w:rPr>
          <w:rFonts w:ascii="Palatino Linotype" w:eastAsia="Times New Roman" w:hAnsi="Palatino Linotype" w:cs="Times New Roman"/>
          <w:smallCaps/>
          <w:sz w:val="16"/>
          <w:szCs w:val="16"/>
          <w:lang w:eastAsia="it-IT"/>
        </w:rPr>
        <w:t>Aa.Vv</w:t>
      </w:r>
      <w:r w:rsidRPr="00792946">
        <w:rPr>
          <w:rFonts w:ascii="Palatino Linotype" w:eastAsia="Times New Roman" w:hAnsi="Palatino Linotype" w:cs="Times New Roman"/>
          <w:sz w:val="16"/>
          <w:szCs w:val="16"/>
          <w:lang w:eastAsia="it-IT"/>
        </w:rPr>
        <w:t xml:space="preserve">., </w:t>
      </w:r>
      <w:r w:rsidRPr="00792946">
        <w:rPr>
          <w:rFonts w:ascii="Palatino Linotype" w:eastAsia="Times New Roman" w:hAnsi="Palatino Linotype" w:cs="Times New Roman"/>
          <w:i/>
          <w:sz w:val="16"/>
          <w:szCs w:val="16"/>
          <w:lang w:eastAsia="it-IT"/>
        </w:rPr>
        <w:t>La difficile stabilizzazione delle regole e la dinamica degli interessi</w:t>
      </w:r>
      <w:r w:rsidRPr="00792946">
        <w:rPr>
          <w:rFonts w:ascii="Palatino Linotype" w:eastAsia="Times New Roman" w:hAnsi="Palatino Linotype" w:cs="Times New Roman"/>
          <w:sz w:val="16"/>
          <w:szCs w:val="16"/>
          <w:lang w:eastAsia="it-IT"/>
        </w:rPr>
        <w:t xml:space="preserve"> (a cura di </w:t>
      </w:r>
      <w:r w:rsidRPr="00792946">
        <w:rPr>
          <w:rFonts w:ascii="Palatino Linotype" w:eastAsia="Times New Roman" w:hAnsi="Palatino Linotype" w:cs="Times New Roman"/>
          <w:smallCaps/>
          <w:sz w:val="16"/>
          <w:szCs w:val="16"/>
          <w:lang w:eastAsia="it-IT"/>
        </w:rPr>
        <w:t>Maltoni</w:t>
      </w:r>
      <w:r w:rsidRPr="00792946">
        <w:rPr>
          <w:rFonts w:ascii="Palatino Linotype" w:eastAsia="Times New Roman" w:hAnsi="Palatino Linotype" w:cs="Times New Roman"/>
          <w:sz w:val="16"/>
          <w:szCs w:val="16"/>
          <w:lang w:eastAsia="it-IT"/>
        </w:rPr>
        <w:t xml:space="preserve"> A.), Napoli, 2020, 57 ss.</w:t>
      </w:r>
    </w:p>
    <w:p w14:paraId="373F3867" w14:textId="77777777" w:rsidR="00035220" w:rsidRPr="00792946" w:rsidRDefault="00035220">
      <w:pPr>
        <w:pStyle w:val="Testonotaapidipagina"/>
        <w:rPr>
          <w:rFonts w:ascii="Palatino Linotype" w:hAnsi="Palatino Linotype"/>
          <w:sz w:val="16"/>
          <w:szCs w:val="16"/>
        </w:rPr>
      </w:pPr>
    </w:p>
  </w:footnote>
  <w:footnote w:id="33">
    <w:p w14:paraId="0F63A5AE" w14:textId="77777777" w:rsidR="00035220" w:rsidRPr="00792946" w:rsidRDefault="00035220" w:rsidP="00AF39B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Ad. plen., 28 agosto 2020, n. 16</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34">
    <w:p w14:paraId="7CD7CB04" w14:textId="77777777" w:rsidR="00035220" w:rsidRPr="00792946" w:rsidRDefault="00035220" w:rsidP="001D0F4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Ad. plen., 16 ottobre 2020, n. 22</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35">
    <w:p w14:paraId="7D944B3D" w14:textId="77777777" w:rsidR="00035220" w:rsidRPr="00792946" w:rsidRDefault="00035220" w:rsidP="009F5D3F">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Sez. V, 12 maggio 2017, n. 2226 e Sez. V, 16 maggio 2017, n. 2316</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36">
    <w:p w14:paraId="3D176DDA" w14:textId="77777777" w:rsidR="00035220" w:rsidRPr="00792946" w:rsidRDefault="00035220" w:rsidP="00367D53">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Ad. plen., 9 luglio 2020, n. 13</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37">
    <w:p w14:paraId="46DE266D" w14:textId="77777777" w:rsidR="00035220" w:rsidRPr="00792946" w:rsidRDefault="00035220" w:rsidP="00FD7EEC">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Cons. Stato, Sez. V, 13 marzo 2014, n. 1251</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 w:id="38">
    <w:p w14:paraId="53750275" w14:textId="77777777" w:rsidR="00CB6119" w:rsidRPr="00792946" w:rsidRDefault="00CB6119" w:rsidP="00CB6119">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 xml:space="preserve">CGUE 11 giugno 2020, in C-219/19, </w:t>
      </w:r>
      <w:r w:rsidRPr="00792946">
        <w:rPr>
          <w:rFonts w:ascii="Palatino Linotype" w:eastAsia="Times New Roman" w:hAnsi="Palatino Linotype" w:cs="Times New Roman"/>
          <w:i/>
          <w:iCs/>
          <w:sz w:val="16"/>
          <w:szCs w:val="16"/>
          <w:lang w:eastAsia="it-IT"/>
        </w:rPr>
        <w:t>Parsec</w:t>
      </w:r>
      <w:r w:rsidRPr="00792946">
        <w:rPr>
          <w:rFonts w:ascii="Palatino Linotype" w:eastAsia="Times New Roman" w:hAnsi="Palatino Linotype" w:cs="Times New Roman"/>
          <w:color w:val="444444"/>
          <w:sz w:val="16"/>
          <w:szCs w:val="16"/>
          <w:lang w:eastAsia="it-IT"/>
        </w:rPr>
        <w:t>,</w:t>
      </w:r>
      <w:r w:rsidRPr="00792946">
        <w:rPr>
          <w:rFonts w:ascii="Palatino Linotype" w:hAnsi="Palatino Linotype" w:cs="Times New Roman"/>
          <w:sz w:val="16"/>
          <w:szCs w:val="16"/>
        </w:rPr>
        <w:t xml:space="preserve"> in </w:t>
      </w:r>
      <w:hyperlink r:id="rId9" w:history="1">
        <w:r w:rsidRPr="00792946">
          <w:rPr>
            <w:rFonts w:ascii="Palatino Linotype" w:hAnsi="Palatino Linotype" w:cs="Times New Roman"/>
            <w:i/>
            <w:sz w:val="16"/>
            <w:szCs w:val="16"/>
          </w:rPr>
          <w:t>www.eur-lex.europa.eu</w:t>
        </w:r>
      </w:hyperlink>
      <w:r w:rsidRPr="00792946">
        <w:rPr>
          <w:rFonts w:ascii="Palatino Linotype" w:hAnsi="Palatino Linotype" w:cs="Times New Roman"/>
          <w:sz w:val="16"/>
          <w:szCs w:val="16"/>
        </w:rPr>
        <w:t>.</w:t>
      </w:r>
    </w:p>
  </w:footnote>
  <w:footnote w:id="39">
    <w:p w14:paraId="4AEC1AB2" w14:textId="77777777" w:rsidR="00035220" w:rsidRPr="00792946" w:rsidRDefault="00035220" w:rsidP="000924CE">
      <w:pPr>
        <w:pStyle w:val="Testonotaapidipagina"/>
        <w:jc w:val="both"/>
        <w:rPr>
          <w:rFonts w:ascii="Palatino Linotype" w:hAnsi="Palatino Linotype" w:cs="Times New Roman"/>
          <w:sz w:val="16"/>
          <w:szCs w:val="16"/>
        </w:rPr>
      </w:pPr>
      <w:r w:rsidRPr="00792946">
        <w:rPr>
          <w:rStyle w:val="Rimandonotaapidipagina"/>
          <w:rFonts w:ascii="Palatino Linotype" w:hAnsi="Palatino Linotype" w:cs="Times New Roman"/>
          <w:sz w:val="16"/>
          <w:szCs w:val="16"/>
        </w:rPr>
        <w:footnoteRef/>
      </w:r>
      <w:r w:rsidRPr="00792946">
        <w:rPr>
          <w:rFonts w:ascii="Palatino Linotype" w:hAnsi="Palatino Linotype" w:cs="Times New Roman"/>
          <w:sz w:val="16"/>
          <w:szCs w:val="16"/>
        </w:rPr>
        <w:t xml:space="preserve"> </w:t>
      </w:r>
      <w:r w:rsidRPr="00792946">
        <w:rPr>
          <w:rFonts w:ascii="Palatino Linotype" w:eastAsia="Times New Roman" w:hAnsi="Palatino Linotype" w:cs="Times New Roman"/>
          <w:sz w:val="16"/>
          <w:szCs w:val="16"/>
          <w:lang w:eastAsia="it-IT"/>
        </w:rPr>
        <w:t xml:space="preserve">CGUE 10 ottobre 2013, in C-94/12, </w:t>
      </w:r>
      <w:r w:rsidRPr="00792946">
        <w:rPr>
          <w:rFonts w:ascii="Palatino Linotype" w:eastAsia="Times New Roman" w:hAnsi="Palatino Linotype" w:cs="Times New Roman"/>
          <w:i/>
          <w:iCs/>
          <w:sz w:val="16"/>
          <w:szCs w:val="16"/>
          <w:lang w:eastAsia="it-IT"/>
        </w:rPr>
        <w:t>SWM Costruzioni</w:t>
      </w:r>
      <w:r w:rsidRPr="00792946">
        <w:rPr>
          <w:rFonts w:ascii="Palatino Linotype" w:hAnsi="Palatino Linotype" w:cs="Times New Roman"/>
          <w:sz w:val="16"/>
          <w:szCs w:val="16"/>
        </w:rPr>
        <w:t xml:space="preserve">, in </w:t>
      </w:r>
      <w:hyperlink r:id="rId10" w:history="1">
        <w:r w:rsidRPr="00792946">
          <w:rPr>
            <w:rFonts w:ascii="Palatino Linotype" w:hAnsi="Palatino Linotype" w:cs="Times New Roman"/>
            <w:i/>
            <w:sz w:val="16"/>
            <w:szCs w:val="16"/>
          </w:rPr>
          <w:t>www.eur-lex.europa.eu</w:t>
        </w:r>
      </w:hyperlink>
      <w:r w:rsidRPr="00792946">
        <w:rPr>
          <w:rFonts w:ascii="Palatino Linotype" w:hAnsi="Palatino Linotype" w:cs="Times New Roman"/>
          <w:i/>
          <w:sz w:val="16"/>
          <w:szCs w:val="16"/>
        </w:rPr>
        <w:t>.</w:t>
      </w:r>
    </w:p>
  </w:footnote>
  <w:footnote w:id="40">
    <w:p w14:paraId="5EC8F07C" w14:textId="77777777" w:rsidR="00035220" w:rsidRPr="00792946" w:rsidRDefault="00035220" w:rsidP="008A057F">
      <w:pPr>
        <w:pStyle w:val="Testonotaapidipagina"/>
        <w:jc w:val="both"/>
        <w:rPr>
          <w:rFonts w:ascii="Palatino Linotype" w:hAnsi="Palatino Linotype"/>
          <w:sz w:val="16"/>
          <w:szCs w:val="16"/>
        </w:rPr>
      </w:pPr>
      <w:r w:rsidRPr="00792946">
        <w:rPr>
          <w:rStyle w:val="Rimandonotaapidipagina"/>
          <w:rFonts w:ascii="Palatino Linotype" w:hAnsi="Palatino Linotype"/>
          <w:sz w:val="16"/>
          <w:szCs w:val="16"/>
        </w:rPr>
        <w:footnoteRef/>
      </w:r>
      <w:r w:rsidRPr="00792946">
        <w:rPr>
          <w:rFonts w:ascii="Palatino Linotype" w:hAnsi="Palatino Linotype"/>
          <w:sz w:val="16"/>
          <w:szCs w:val="16"/>
        </w:rPr>
        <w:t xml:space="preserve"> </w:t>
      </w:r>
      <w:r w:rsidRPr="00792946">
        <w:rPr>
          <w:rFonts w:ascii="Palatino Linotype" w:eastAsia="Times New Roman" w:hAnsi="Palatino Linotype" w:cs="Times New Roman"/>
          <w:sz w:val="16"/>
          <w:szCs w:val="16"/>
          <w:lang w:eastAsia="it-IT"/>
        </w:rPr>
        <w:t>Cons. Stato, Ad. plen., 4 novembre 2016, n. 23</w:t>
      </w:r>
      <w:r w:rsidRPr="00792946">
        <w:rPr>
          <w:rFonts w:ascii="Palatino Linotype" w:hAnsi="Palatino Linotype" w:cs="Times New Roman"/>
          <w:bCs/>
          <w:sz w:val="16"/>
          <w:szCs w:val="16"/>
        </w:rPr>
        <w:t xml:space="preserve">, in </w:t>
      </w:r>
      <w:r w:rsidRPr="00792946">
        <w:rPr>
          <w:rFonts w:ascii="Palatino Linotype" w:hAnsi="Palatino Linotype" w:cs="Times New Roman"/>
          <w:bCs/>
          <w:i/>
          <w:sz w:val="16"/>
          <w:szCs w:val="16"/>
        </w:rPr>
        <w:t>www.giustizia-amministrativa.it.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159"/>
    <w:multiLevelType w:val="multilevel"/>
    <w:tmpl w:val="8A0462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177AAE"/>
    <w:multiLevelType w:val="hybridMultilevel"/>
    <w:tmpl w:val="C8C835AA"/>
    <w:lvl w:ilvl="0" w:tplc="84D20E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8D78FB"/>
    <w:multiLevelType w:val="multilevel"/>
    <w:tmpl w:val="5190682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C96C03"/>
    <w:multiLevelType w:val="hybridMultilevel"/>
    <w:tmpl w:val="BC86DB1C"/>
    <w:lvl w:ilvl="0" w:tplc="B3DEBB4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5DC4151"/>
    <w:multiLevelType w:val="hybridMultilevel"/>
    <w:tmpl w:val="A5566A48"/>
    <w:lvl w:ilvl="0" w:tplc="550E925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DA64AD"/>
    <w:multiLevelType w:val="multilevel"/>
    <w:tmpl w:val="23A0F5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7DE04E8"/>
    <w:multiLevelType w:val="hybridMultilevel"/>
    <w:tmpl w:val="BC86DB1C"/>
    <w:lvl w:ilvl="0" w:tplc="B3DEBB4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1EE"/>
    <w:rsid w:val="000035DB"/>
    <w:rsid w:val="00005763"/>
    <w:rsid w:val="0001380F"/>
    <w:rsid w:val="00013B77"/>
    <w:rsid w:val="00014956"/>
    <w:rsid w:val="00021AB8"/>
    <w:rsid w:val="00035220"/>
    <w:rsid w:val="00041E43"/>
    <w:rsid w:val="00055FDB"/>
    <w:rsid w:val="0008563E"/>
    <w:rsid w:val="00090CF4"/>
    <w:rsid w:val="00091E83"/>
    <w:rsid w:val="000924CE"/>
    <w:rsid w:val="0009304E"/>
    <w:rsid w:val="00093B6C"/>
    <w:rsid w:val="000967FC"/>
    <w:rsid w:val="000A2500"/>
    <w:rsid w:val="000A381C"/>
    <w:rsid w:val="000A71ED"/>
    <w:rsid w:val="000A7B99"/>
    <w:rsid w:val="000B13BA"/>
    <w:rsid w:val="000C6FE0"/>
    <w:rsid w:val="000C759B"/>
    <w:rsid w:val="000E12E3"/>
    <w:rsid w:val="000F445A"/>
    <w:rsid w:val="00105601"/>
    <w:rsid w:val="0011649A"/>
    <w:rsid w:val="00126436"/>
    <w:rsid w:val="001358F9"/>
    <w:rsid w:val="00137A9A"/>
    <w:rsid w:val="001406A2"/>
    <w:rsid w:val="00141C78"/>
    <w:rsid w:val="00142197"/>
    <w:rsid w:val="00145131"/>
    <w:rsid w:val="00150839"/>
    <w:rsid w:val="001512D5"/>
    <w:rsid w:val="00157411"/>
    <w:rsid w:val="00163C35"/>
    <w:rsid w:val="00166818"/>
    <w:rsid w:val="0017402D"/>
    <w:rsid w:val="00174562"/>
    <w:rsid w:val="001832FD"/>
    <w:rsid w:val="00185418"/>
    <w:rsid w:val="001900F1"/>
    <w:rsid w:val="001905CC"/>
    <w:rsid w:val="00196FB3"/>
    <w:rsid w:val="001A1AD5"/>
    <w:rsid w:val="001A3449"/>
    <w:rsid w:val="001A7510"/>
    <w:rsid w:val="001A7895"/>
    <w:rsid w:val="001A7CF7"/>
    <w:rsid w:val="001B0441"/>
    <w:rsid w:val="001B7BD1"/>
    <w:rsid w:val="001C6A22"/>
    <w:rsid w:val="001D0F4F"/>
    <w:rsid w:val="001D53B3"/>
    <w:rsid w:val="002024D1"/>
    <w:rsid w:val="0020414D"/>
    <w:rsid w:val="00204845"/>
    <w:rsid w:val="002276B5"/>
    <w:rsid w:val="0023241D"/>
    <w:rsid w:val="00240490"/>
    <w:rsid w:val="002412BA"/>
    <w:rsid w:val="0026269D"/>
    <w:rsid w:val="002727D6"/>
    <w:rsid w:val="00273FE2"/>
    <w:rsid w:val="002843B1"/>
    <w:rsid w:val="0028665B"/>
    <w:rsid w:val="00294903"/>
    <w:rsid w:val="002958A9"/>
    <w:rsid w:val="002A01A0"/>
    <w:rsid w:val="002A1AF2"/>
    <w:rsid w:val="002A5658"/>
    <w:rsid w:val="002A7609"/>
    <w:rsid w:val="002B2EB0"/>
    <w:rsid w:val="002B624E"/>
    <w:rsid w:val="002B7ECC"/>
    <w:rsid w:val="002C4215"/>
    <w:rsid w:val="002D16E8"/>
    <w:rsid w:val="002E09BC"/>
    <w:rsid w:val="00301302"/>
    <w:rsid w:val="00304E62"/>
    <w:rsid w:val="00321F7B"/>
    <w:rsid w:val="00332584"/>
    <w:rsid w:val="00335007"/>
    <w:rsid w:val="00340006"/>
    <w:rsid w:val="00347275"/>
    <w:rsid w:val="00350D45"/>
    <w:rsid w:val="00357487"/>
    <w:rsid w:val="00362767"/>
    <w:rsid w:val="00367D53"/>
    <w:rsid w:val="00373C1D"/>
    <w:rsid w:val="0038592A"/>
    <w:rsid w:val="0039599F"/>
    <w:rsid w:val="00395D26"/>
    <w:rsid w:val="003A17D1"/>
    <w:rsid w:val="003A201B"/>
    <w:rsid w:val="003B7B0D"/>
    <w:rsid w:val="003C6AFA"/>
    <w:rsid w:val="003D2DA3"/>
    <w:rsid w:val="003E6D8C"/>
    <w:rsid w:val="003F1614"/>
    <w:rsid w:val="00411F32"/>
    <w:rsid w:val="00413944"/>
    <w:rsid w:val="00416D67"/>
    <w:rsid w:val="00433E6C"/>
    <w:rsid w:val="00444D58"/>
    <w:rsid w:val="00447AF0"/>
    <w:rsid w:val="00451D2E"/>
    <w:rsid w:val="0045721D"/>
    <w:rsid w:val="00461739"/>
    <w:rsid w:val="00474769"/>
    <w:rsid w:val="004822C0"/>
    <w:rsid w:val="00486442"/>
    <w:rsid w:val="004946CA"/>
    <w:rsid w:val="004959B3"/>
    <w:rsid w:val="004A5425"/>
    <w:rsid w:val="004B308C"/>
    <w:rsid w:val="004B4786"/>
    <w:rsid w:val="004B5764"/>
    <w:rsid w:val="004C1087"/>
    <w:rsid w:val="004D38B8"/>
    <w:rsid w:val="004E1736"/>
    <w:rsid w:val="004E1F86"/>
    <w:rsid w:val="004E2065"/>
    <w:rsid w:val="004E5409"/>
    <w:rsid w:val="004E72D6"/>
    <w:rsid w:val="004E7C17"/>
    <w:rsid w:val="004F571B"/>
    <w:rsid w:val="00516C62"/>
    <w:rsid w:val="005261A9"/>
    <w:rsid w:val="00531419"/>
    <w:rsid w:val="0053312D"/>
    <w:rsid w:val="005344FF"/>
    <w:rsid w:val="00540609"/>
    <w:rsid w:val="00543E6B"/>
    <w:rsid w:val="005529DA"/>
    <w:rsid w:val="00557DFE"/>
    <w:rsid w:val="00565A42"/>
    <w:rsid w:val="005727CE"/>
    <w:rsid w:val="00573506"/>
    <w:rsid w:val="005735BA"/>
    <w:rsid w:val="005751E3"/>
    <w:rsid w:val="005770F0"/>
    <w:rsid w:val="005810DA"/>
    <w:rsid w:val="00583237"/>
    <w:rsid w:val="005848DA"/>
    <w:rsid w:val="00586DBA"/>
    <w:rsid w:val="0059017A"/>
    <w:rsid w:val="005A1945"/>
    <w:rsid w:val="005A235F"/>
    <w:rsid w:val="005A77A6"/>
    <w:rsid w:val="005B0223"/>
    <w:rsid w:val="005B29BC"/>
    <w:rsid w:val="005B619B"/>
    <w:rsid w:val="005C129E"/>
    <w:rsid w:val="005C42F9"/>
    <w:rsid w:val="005C5B80"/>
    <w:rsid w:val="005C7950"/>
    <w:rsid w:val="005D0355"/>
    <w:rsid w:val="005E3824"/>
    <w:rsid w:val="005F0B70"/>
    <w:rsid w:val="00606E89"/>
    <w:rsid w:val="00607140"/>
    <w:rsid w:val="00613D5C"/>
    <w:rsid w:val="00614211"/>
    <w:rsid w:val="006206ED"/>
    <w:rsid w:val="00625C7E"/>
    <w:rsid w:val="0063019C"/>
    <w:rsid w:val="00643C47"/>
    <w:rsid w:val="00654E04"/>
    <w:rsid w:val="00671714"/>
    <w:rsid w:val="00675C59"/>
    <w:rsid w:val="006817C7"/>
    <w:rsid w:val="00691D8D"/>
    <w:rsid w:val="00694069"/>
    <w:rsid w:val="006A0D2D"/>
    <w:rsid w:val="006A3D81"/>
    <w:rsid w:val="006B0C78"/>
    <w:rsid w:val="006B77F9"/>
    <w:rsid w:val="006C6D99"/>
    <w:rsid w:val="006D7584"/>
    <w:rsid w:val="006E616D"/>
    <w:rsid w:val="006F482A"/>
    <w:rsid w:val="00704AD1"/>
    <w:rsid w:val="00720E86"/>
    <w:rsid w:val="00724E16"/>
    <w:rsid w:val="00743867"/>
    <w:rsid w:val="00746B06"/>
    <w:rsid w:val="00747458"/>
    <w:rsid w:val="00752499"/>
    <w:rsid w:val="0075432F"/>
    <w:rsid w:val="00762FF4"/>
    <w:rsid w:val="0076326B"/>
    <w:rsid w:val="00766243"/>
    <w:rsid w:val="00771452"/>
    <w:rsid w:val="007715DC"/>
    <w:rsid w:val="00771C84"/>
    <w:rsid w:val="00771D9A"/>
    <w:rsid w:val="00772A62"/>
    <w:rsid w:val="00774B4D"/>
    <w:rsid w:val="00781679"/>
    <w:rsid w:val="007874CC"/>
    <w:rsid w:val="00790676"/>
    <w:rsid w:val="00790BFA"/>
    <w:rsid w:val="00792946"/>
    <w:rsid w:val="00794FED"/>
    <w:rsid w:val="00796AB8"/>
    <w:rsid w:val="007A3B9B"/>
    <w:rsid w:val="007B0C2D"/>
    <w:rsid w:val="007B26A8"/>
    <w:rsid w:val="007B4D15"/>
    <w:rsid w:val="007B4DAE"/>
    <w:rsid w:val="007B6406"/>
    <w:rsid w:val="007D3039"/>
    <w:rsid w:val="007D603C"/>
    <w:rsid w:val="007D665A"/>
    <w:rsid w:val="007E1992"/>
    <w:rsid w:val="007E6B53"/>
    <w:rsid w:val="007F2DE0"/>
    <w:rsid w:val="00801246"/>
    <w:rsid w:val="00807B5C"/>
    <w:rsid w:val="00816929"/>
    <w:rsid w:val="0082342F"/>
    <w:rsid w:val="00826FF0"/>
    <w:rsid w:val="00831BA0"/>
    <w:rsid w:val="00831D9A"/>
    <w:rsid w:val="008328F8"/>
    <w:rsid w:val="00833E02"/>
    <w:rsid w:val="008352D2"/>
    <w:rsid w:val="00853CD9"/>
    <w:rsid w:val="00861574"/>
    <w:rsid w:val="00876122"/>
    <w:rsid w:val="00884768"/>
    <w:rsid w:val="008866C1"/>
    <w:rsid w:val="008900BE"/>
    <w:rsid w:val="0089195F"/>
    <w:rsid w:val="00893F0B"/>
    <w:rsid w:val="00894E23"/>
    <w:rsid w:val="00897B8D"/>
    <w:rsid w:val="008A0292"/>
    <w:rsid w:val="008A057F"/>
    <w:rsid w:val="008B06E3"/>
    <w:rsid w:val="008C0862"/>
    <w:rsid w:val="008C0D84"/>
    <w:rsid w:val="008C2E11"/>
    <w:rsid w:val="008D46A0"/>
    <w:rsid w:val="008E036D"/>
    <w:rsid w:val="008E423F"/>
    <w:rsid w:val="008F3DE2"/>
    <w:rsid w:val="008F62AE"/>
    <w:rsid w:val="00900038"/>
    <w:rsid w:val="0090041F"/>
    <w:rsid w:val="009076C5"/>
    <w:rsid w:val="009238EB"/>
    <w:rsid w:val="00933AC8"/>
    <w:rsid w:val="00936328"/>
    <w:rsid w:val="00937480"/>
    <w:rsid w:val="00972A81"/>
    <w:rsid w:val="00972B75"/>
    <w:rsid w:val="009741AF"/>
    <w:rsid w:val="00981422"/>
    <w:rsid w:val="00982C85"/>
    <w:rsid w:val="00987901"/>
    <w:rsid w:val="00996478"/>
    <w:rsid w:val="009C111A"/>
    <w:rsid w:val="009C6371"/>
    <w:rsid w:val="009D4A8D"/>
    <w:rsid w:val="009D5E21"/>
    <w:rsid w:val="009D6A8A"/>
    <w:rsid w:val="009E33ED"/>
    <w:rsid w:val="009F2929"/>
    <w:rsid w:val="009F5D3F"/>
    <w:rsid w:val="009F7724"/>
    <w:rsid w:val="00A00204"/>
    <w:rsid w:val="00A0160B"/>
    <w:rsid w:val="00A11D32"/>
    <w:rsid w:val="00A11DEC"/>
    <w:rsid w:val="00A12972"/>
    <w:rsid w:val="00A150AA"/>
    <w:rsid w:val="00A202A9"/>
    <w:rsid w:val="00A2528A"/>
    <w:rsid w:val="00A27F4E"/>
    <w:rsid w:val="00A30C57"/>
    <w:rsid w:val="00A33DD5"/>
    <w:rsid w:val="00A41775"/>
    <w:rsid w:val="00A46F10"/>
    <w:rsid w:val="00A57762"/>
    <w:rsid w:val="00A57BDA"/>
    <w:rsid w:val="00A60BC9"/>
    <w:rsid w:val="00A61805"/>
    <w:rsid w:val="00A63A25"/>
    <w:rsid w:val="00A678EA"/>
    <w:rsid w:val="00A80791"/>
    <w:rsid w:val="00A91F10"/>
    <w:rsid w:val="00A91F62"/>
    <w:rsid w:val="00AA1119"/>
    <w:rsid w:val="00AA31CD"/>
    <w:rsid w:val="00AA4150"/>
    <w:rsid w:val="00AB15AD"/>
    <w:rsid w:val="00AB6CF3"/>
    <w:rsid w:val="00AB76C8"/>
    <w:rsid w:val="00AC64CD"/>
    <w:rsid w:val="00AD1FCD"/>
    <w:rsid w:val="00AE1B6E"/>
    <w:rsid w:val="00AE279B"/>
    <w:rsid w:val="00AE79A4"/>
    <w:rsid w:val="00AF3838"/>
    <w:rsid w:val="00AF39BF"/>
    <w:rsid w:val="00B04432"/>
    <w:rsid w:val="00B05298"/>
    <w:rsid w:val="00B0540B"/>
    <w:rsid w:val="00B228D7"/>
    <w:rsid w:val="00B25A71"/>
    <w:rsid w:val="00B31AC3"/>
    <w:rsid w:val="00B32571"/>
    <w:rsid w:val="00B35845"/>
    <w:rsid w:val="00B42767"/>
    <w:rsid w:val="00B43CBD"/>
    <w:rsid w:val="00B444D5"/>
    <w:rsid w:val="00B52BC2"/>
    <w:rsid w:val="00B53BE8"/>
    <w:rsid w:val="00B62BE0"/>
    <w:rsid w:val="00B65D44"/>
    <w:rsid w:val="00B65D7A"/>
    <w:rsid w:val="00B73170"/>
    <w:rsid w:val="00B75B3E"/>
    <w:rsid w:val="00B76E2D"/>
    <w:rsid w:val="00B833D0"/>
    <w:rsid w:val="00B851DD"/>
    <w:rsid w:val="00B8610B"/>
    <w:rsid w:val="00B963A5"/>
    <w:rsid w:val="00BA153C"/>
    <w:rsid w:val="00BA1D97"/>
    <w:rsid w:val="00BB4479"/>
    <w:rsid w:val="00BB44D7"/>
    <w:rsid w:val="00BC3474"/>
    <w:rsid w:val="00BC4404"/>
    <w:rsid w:val="00BC4B3B"/>
    <w:rsid w:val="00BC5E4F"/>
    <w:rsid w:val="00BD3FD8"/>
    <w:rsid w:val="00BD4609"/>
    <w:rsid w:val="00BE5A0F"/>
    <w:rsid w:val="00BE7849"/>
    <w:rsid w:val="00BE7BC6"/>
    <w:rsid w:val="00BE7EC9"/>
    <w:rsid w:val="00BF32E3"/>
    <w:rsid w:val="00BF4318"/>
    <w:rsid w:val="00C0484D"/>
    <w:rsid w:val="00C07AAE"/>
    <w:rsid w:val="00C07F86"/>
    <w:rsid w:val="00C12D9A"/>
    <w:rsid w:val="00C23408"/>
    <w:rsid w:val="00C23BE9"/>
    <w:rsid w:val="00C25220"/>
    <w:rsid w:val="00C2761D"/>
    <w:rsid w:val="00C31038"/>
    <w:rsid w:val="00C429EB"/>
    <w:rsid w:val="00C45665"/>
    <w:rsid w:val="00C45FBD"/>
    <w:rsid w:val="00C564BF"/>
    <w:rsid w:val="00C57AA7"/>
    <w:rsid w:val="00C60B1B"/>
    <w:rsid w:val="00C641EE"/>
    <w:rsid w:val="00C731E7"/>
    <w:rsid w:val="00C76A92"/>
    <w:rsid w:val="00C773BF"/>
    <w:rsid w:val="00C825B1"/>
    <w:rsid w:val="00C93DE6"/>
    <w:rsid w:val="00CB1DEE"/>
    <w:rsid w:val="00CB6119"/>
    <w:rsid w:val="00CC0F45"/>
    <w:rsid w:val="00CC17A9"/>
    <w:rsid w:val="00CC2651"/>
    <w:rsid w:val="00CC4C77"/>
    <w:rsid w:val="00CC5237"/>
    <w:rsid w:val="00CD00A6"/>
    <w:rsid w:val="00CD2EDF"/>
    <w:rsid w:val="00CD4D9A"/>
    <w:rsid w:val="00CD778E"/>
    <w:rsid w:val="00CD7E7F"/>
    <w:rsid w:val="00CE0351"/>
    <w:rsid w:val="00CE7DBF"/>
    <w:rsid w:val="00CF2154"/>
    <w:rsid w:val="00CF7E1E"/>
    <w:rsid w:val="00D020CF"/>
    <w:rsid w:val="00D0458A"/>
    <w:rsid w:val="00D11841"/>
    <w:rsid w:val="00D145FB"/>
    <w:rsid w:val="00D164BC"/>
    <w:rsid w:val="00D23EB0"/>
    <w:rsid w:val="00D2400D"/>
    <w:rsid w:val="00D45F05"/>
    <w:rsid w:val="00D5482D"/>
    <w:rsid w:val="00D6376C"/>
    <w:rsid w:val="00D66BE9"/>
    <w:rsid w:val="00D725FF"/>
    <w:rsid w:val="00D8111E"/>
    <w:rsid w:val="00D83EE9"/>
    <w:rsid w:val="00D9234A"/>
    <w:rsid w:val="00D96C74"/>
    <w:rsid w:val="00DA3C53"/>
    <w:rsid w:val="00DB5406"/>
    <w:rsid w:val="00DD37EB"/>
    <w:rsid w:val="00DD5893"/>
    <w:rsid w:val="00DD6083"/>
    <w:rsid w:val="00DE2E19"/>
    <w:rsid w:val="00DF7A38"/>
    <w:rsid w:val="00E1053C"/>
    <w:rsid w:val="00E15FF7"/>
    <w:rsid w:val="00E17AAF"/>
    <w:rsid w:val="00E24C1F"/>
    <w:rsid w:val="00E31626"/>
    <w:rsid w:val="00E5571F"/>
    <w:rsid w:val="00E6384E"/>
    <w:rsid w:val="00E7218A"/>
    <w:rsid w:val="00E7218C"/>
    <w:rsid w:val="00E75ED8"/>
    <w:rsid w:val="00E818C4"/>
    <w:rsid w:val="00E8394E"/>
    <w:rsid w:val="00E846F7"/>
    <w:rsid w:val="00E87EFA"/>
    <w:rsid w:val="00E902B4"/>
    <w:rsid w:val="00E90611"/>
    <w:rsid w:val="00E9374F"/>
    <w:rsid w:val="00EB0262"/>
    <w:rsid w:val="00EB0588"/>
    <w:rsid w:val="00EC7AFC"/>
    <w:rsid w:val="00ED0099"/>
    <w:rsid w:val="00ED441A"/>
    <w:rsid w:val="00EE4AFF"/>
    <w:rsid w:val="00EE7933"/>
    <w:rsid w:val="00EF0E7E"/>
    <w:rsid w:val="00F0784F"/>
    <w:rsid w:val="00F12554"/>
    <w:rsid w:val="00F27070"/>
    <w:rsid w:val="00F46369"/>
    <w:rsid w:val="00F50482"/>
    <w:rsid w:val="00F558BC"/>
    <w:rsid w:val="00F57BC8"/>
    <w:rsid w:val="00F71A2E"/>
    <w:rsid w:val="00F72D77"/>
    <w:rsid w:val="00F72F9C"/>
    <w:rsid w:val="00F740E5"/>
    <w:rsid w:val="00F74CD1"/>
    <w:rsid w:val="00F80943"/>
    <w:rsid w:val="00F834A5"/>
    <w:rsid w:val="00F84DFB"/>
    <w:rsid w:val="00F8545E"/>
    <w:rsid w:val="00F97BD3"/>
    <w:rsid w:val="00FA3F1F"/>
    <w:rsid w:val="00FA7870"/>
    <w:rsid w:val="00FB1278"/>
    <w:rsid w:val="00FC0456"/>
    <w:rsid w:val="00FC0734"/>
    <w:rsid w:val="00FD4802"/>
    <w:rsid w:val="00FD66FA"/>
    <w:rsid w:val="00FD695C"/>
    <w:rsid w:val="00FD6D60"/>
    <w:rsid w:val="00FD7EEC"/>
    <w:rsid w:val="00FF03C8"/>
    <w:rsid w:val="00FF1E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586D"/>
  <w15:docId w15:val="{C4B4ED4D-85E6-4449-A54C-164415F9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52BC2"/>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B52BC2"/>
    <w:rPr>
      <w:color w:val="0000FF"/>
      <w:u w:val="single"/>
    </w:rPr>
  </w:style>
  <w:style w:type="character" w:styleId="Rimandonotaapidipagina">
    <w:name w:val="footnote reference"/>
    <w:basedOn w:val="Carpredefinitoparagrafo"/>
    <w:uiPriority w:val="99"/>
    <w:semiHidden/>
    <w:unhideWhenUsed/>
    <w:rsid w:val="00B52BC2"/>
    <w:rPr>
      <w:vertAlign w:val="superscript"/>
    </w:rPr>
  </w:style>
  <w:style w:type="paragraph" w:styleId="Nessunaspaziatura">
    <w:name w:val="No Spacing"/>
    <w:uiPriority w:val="1"/>
    <w:qFormat/>
    <w:rsid w:val="00B52BC2"/>
    <w:pPr>
      <w:spacing w:after="0" w:line="240" w:lineRule="auto"/>
    </w:pPr>
  </w:style>
  <w:style w:type="paragraph" w:styleId="Testonotaapidipagina">
    <w:name w:val="footnote text"/>
    <w:basedOn w:val="Normale"/>
    <w:link w:val="TestonotaapidipaginaCarattere"/>
    <w:uiPriority w:val="99"/>
    <w:unhideWhenUsed/>
    <w:rsid w:val="00C23BE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23BE9"/>
    <w:rPr>
      <w:sz w:val="20"/>
      <w:szCs w:val="20"/>
    </w:rPr>
  </w:style>
  <w:style w:type="paragraph" w:styleId="NormaleWeb">
    <w:name w:val="Normal (Web)"/>
    <w:basedOn w:val="Normale"/>
    <w:uiPriority w:val="99"/>
    <w:semiHidden/>
    <w:unhideWhenUsed/>
    <w:rsid w:val="00CC0F4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font-size-13">
    <w:name w:val="m-font-size-13"/>
    <w:basedOn w:val="Carpredefinitoparagrafo"/>
    <w:rsid w:val="00CC0F45"/>
  </w:style>
  <w:style w:type="character" w:styleId="Enfasicorsivo">
    <w:name w:val="Emphasis"/>
    <w:basedOn w:val="Carpredefinitoparagrafo"/>
    <w:uiPriority w:val="20"/>
    <w:qFormat/>
    <w:rsid w:val="002B7ECC"/>
    <w:rPr>
      <w:i/>
      <w:iCs/>
    </w:rPr>
  </w:style>
  <w:style w:type="character" w:customStyle="1" w:styleId="sottotitolo">
    <w:name w:val="sottotitolo"/>
    <w:basedOn w:val="Carpredefinitoparagrafo"/>
    <w:rsid w:val="005529DA"/>
  </w:style>
  <w:style w:type="paragraph" w:styleId="Intestazione">
    <w:name w:val="header"/>
    <w:basedOn w:val="Normale"/>
    <w:link w:val="IntestazioneCarattere"/>
    <w:uiPriority w:val="99"/>
    <w:unhideWhenUsed/>
    <w:rsid w:val="00790B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0BFA"/>
  </w:style>
  <w:style w:type="paragraph" w:styleId="Pidipagina">
    <w:name w:val="footer"/>
    <w:basedOn w:val="Normale"/>
    <w:link w:val="PidipaginaCarattere"/>
    <w:uiPriority w:val="99"/>
    <w:unhideWhenUsed/>
    <w:rsid w:val="00790B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0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3758">
      <w:bodyDiv w:val="1"/>
      <w:marLeft w:val="0"/>
      <w:marRight w:val="0"/>
      <w:marTop w:val="0"/>
      <w:marBottom w:val="0"/>
      <w:divBdr>
        <w:top w:val="none" w:sz="0" w:space="0" w:color="auto"/>
        <w:left w:val="none" w:sz="0" w:space="0" w:color="auto"/>
        <w:bottom w:val="none" w:sz="0" w:space="0" w:color="auto"/>
        <w:right w:val="none" w:sz="0" w:space="0" w:color="auto"/>
      </w:divBdr>
      <w:divsChild>
        <w:div w:id="1292787372">
          <w:marLeft w:val="0"/>
          <w:marRight w:val="0"/>
          <w:marTop w:val="0"/>
          <w:marBottom w:val="0"/>
          <w:divBdr>
            <w:top w:val="none" w:sz="0" w:space="0" w:color="auto"/>
            <w:left w:val="none" w:sz="0" w:space="0" w:color="auto"/>
            <w:bottom w:val="none" w:sz="0" w:space="0" w:color="auto"/>
            <w:right w:val="none" w:sz="0" w:space="0" w:color="auto"/>
          </w:divBdr>
          <w:divsChild>
            <w:div w:id="1369450117">
              <w:marLeft w:val="0"/>
              <w:marRight w:val="0"/>
              <w:marTop w:val="0"/>
              <w:marBottom w:val="0"/>
              <w:divBdr>
                <w:top w:val="none" w:sz="0" w:space="0" w:color="auto"/>
                <w:left w:val="none" w:sz="0" w:space="0" w:color="auto"/>
                <w:bottom w:val="none" w:sz="0" w:space="0" w:color="auto"/>
                <w:right w:val="none" w:sz="0" w:space="0" w:color="auto"/>
              </w:divBdr>
              <w:divsChild>
                <w:div w:id="1382434726">
                  <w:marLeft w:val="0"/>
                  <w:marRight w:val="0"/>
                  <w:marTop w:val="0"/>
                  <w:marBottom w:val="0"/>
                  <w:divBdr>
                    <w:top w:val="none" w:sz="0" w:space="0" w:color="auto"/>
                    <w:left w:val="none" w:sz="0" w:space="0" w:color="auto"/>
                    <w:bottom w:val="none" w:sz="0" w:space="0" w:color="auto"/>
                    <w:right w:val="none" w:sz="0" w:space="0" w:color="auto"/>
                  </w:divBdr>
                  <w:divsChild>
                    <w:div w:id="512842190">
                      <w:marLeft w:val="0"/>
                      <w:marRight w:val="0"/>
                      <w:marTop w:val="0"/>
                      <w:marBottom w:val="0"/>
                      <w:divBdr>
                        <w:top w:val="none" w:sz="0" w:space="0" w:color="auto"/>
                        <w:left w:val="none" w:sz="0" w:space="0" w:color="auto"/>
                        <w:bottom w:val="none" w:sz="0" w:space="0" w:color="auto"/>
                        <w:right w:val="none" w:sz="0" w:space="0" w:color="auto"/>
                      </w:divBdr>
                      <w:divsChild>
                        <w:div w:id="2013992222">
                          <w:marLeft w:val="0"/>
                          <w:marRight w:val="0"/>
                          <w:marTop w:val="0"/>
                          <w:marBottom w:val="0"/>
                          <w:divBdr>
                            <w:top w:val="none" w:sz="0" w:space="0" w:color="auto"/>
                            <w:left w:val="none" w:sz="0" w:space="0" w:color="auto"/>
                            <w:bottom w:val="none" w:sz="0" w:space="0" w:color="auto"/>
                            <w:right w:val="none" w:sz="0" w:space="0" w:color="auto"/>
                          </w:divBdr>
                          <w:divsChild>
                            <w:div w:id="703604502">
                              <w:marLeft w:val="0"/>
                              <w:marRight w:val="0"/>
                              <w:marTop w:val="0"/>
                              <w:marBottom w:val="0"/>
                              <w:divBdr>
                                <w:top w:val="none" w:sz="0" w:space="0" w:color="auto"/>
                                <w:left w:val="none" w:sz="0" w:space="0" w:color="auto"/>
                                <w:bottom w:val="none" w:sz="0" w:space="0" w:color="auto"/>
                                <w:right w:val="none" w:sz="0" w:space="0" w:color="auto"/>
                              </w:divBdr>
                              <w:divsChild>
                                <w:div w:id="1084688806">
                                  <w:marLeft w:val="0"/>
                                  <w:marRight w:val="0"/>
                                  <w:marTop w:val="0"/>
                                  <w:marBottom w:val="0"/>
                                  <w:divBdr>
                                    <w:top w:val="none" w:sz="0" w:space="0" w:color="auto"/>
                                    <w:left w:val="none" w:sz="0" w:space="0" w:color="auto"/>
                                    <w:bottom w:val="none" w:sz="0" w:space="0" w:color="auto"/>
                                    <w:right w:val="none" w:sz="0" w:space="0" w:color="auto"/>
                                  </w:divBdr>
                                  <w:divsChild>
                                    <w:div w:id="526598580">
                                      <w:marLeft w:val="0"/>
                                      <w:marRight w:val="0"/>
                                      <w:marTop w:val="0"/>
                                      <w:marBottom w:val="0"/>
                                      <w:divBdr>
                                        <w:top w:val="none" w:sz="0" w:space="0" w:color="auto"/>
                                        <w:left w:val="none" w:sz="0" w:space="0" w:color="auto"/>
                                        <w:bottom w:val="none" w:sz="0" w:space="0" w:color="auto"/>
                                        <w:right w:val="none" w:sz="0" w:space="0" w:color="auto"/>
                                      </w:divBdr>
                                      <w:divsChild>
                                        <w:div w:id="1696495468">
                                          <w:marLeft w:val="0"/>
                                          <w:marRight w:val="0"/>
                                          <w:marTop w:val="0"/>
                                          <w:marBottom w:val="0"/>
                                          <w:divBdr>
                                            <w:top w:val="none" w:sz="0" w:space="0" w:color="auto"/>
                                            <w:left w:val="none" w:sz="0" w:space="0" w:color="auto"/>
                                            <w:bottom w:val="none" w:sz="0" w:space="0" w:color="auto"/>
                                            <w:right w:val="none" w:sz="0" w:space="0" w:color="auto"/>
                                          </w:divBdr>
                                          <w:divsChild>
                                            <w:div w:id="1580408153">
                                              <w:marLeft w:val="0"/>
                                              <w:marRight w:val="0"/>
                                              <w:marTop w:val="0"/>
                                              <w:marBottom w:val="0"/>
                                              <w:divBdr>
                                                <w:top w:val="none" w:sz="0" w:space="0" w:color="auto"/>
                                                <w:left w:val="none" w:sz="0" w:space="0" w:color="auto"/>
                                                <w:bottom w:val="none" w:sz="0" w:space="0" w:color="auto"/>
                                                <w:right w:val="none" w:sz="0" w:space="0" w:color="auto"/>
                                              </w:divBdr>
                                              <w:divsChild>
                                                <w:div w:id="1386636517">
                                                  <w:marLeft w:val="0"/>
                                                  <w:marRight w:val="0"/>
                                                  <w:marTop w:val="0"/>
                                                  <w:marBottom w:val="0"/>
                                                  <w:divBdr>
                                                    <w:top w:val="none" w:sz="0" w:space="0" w:color="auto"/>
                                                    <w:left w:val="none" w:sz="0" w:space="0" w:color="auto"/>
                                                    <w:bottom w:val="none" w:sz="0" w:space="0" w:color="auto"/>
                                                    <w:right w:val="none" w:sz="0" w:space="0" w:color="auto"/>
                                                  </w:divBdr>
                                                  <w:divsChild>
                                                    <w:div w:id="1957445328">
                                                      <w:marLeft w:val="0"/>
                                                      <w:marRight w:val="0"/>
                                                      <w:marTop w:val="0"/>
                                                      <w:marBottom w:val="0"/>
                                                      <w:divBdr>
                                                        <w:top w:val="none" w:sz="0" w:space="0" w:color="auto"/>
                                                        <w:left w:val="none" w:sz="0" w:space="0" w:color="auto"/>
                                                        <w:bottom w:val="none" w:sz="0" w:space="0" w:color="auto"/>
                                                        <w:right w:val="none" w:sz="0" w:space="0" w:color="auto"/>
                                                      </w:divBdr>
                                                      <w:divsChild>
                                                        <w:div w:id="357198735">
                                                          <w:marLeft w:val="0"/>
                                                          <w:marRight w:val="0"/>
                                                          <w:marTop w:val="0"/>
                                                          <w:marBottom w:val="0"/>
                                                          <w:divBdr>
                                                            <w:top w:val="none" w:sz="0" w:space="0" w:color="auto"/>
                                                            <w:left w:val="none" w:sz="0" w:space="0" w:color="auto"/>
                                                            <w:bottom w:val="none" w:sz="0" w:space="0" w:color="auto"/>
                                                            <w:right w:val="none" w:sz="0" w:space="0" w:color="auto"/>
                                                          </w:divBdr>
                                                          <w:divsChild>
                                                            <w:div w:id="922446112">
                                                              <w:marLeft w:val="0"/>
                                                              <w:marRight w:val="0"/>
                                                              <w:marTop w:val="0"/>
                                                              <w:marBottom w:val="0"/>
                                                              <w:divBdr>
                                                                <w:top w:val="none" w:sz="0" w:space="0" w:color="auto"/>
                                                                <w:left w:val="none" w:sz="0" w:space="0" w:color="auto"/>
                                                                <w:bottom w:val="none" w:sz="0" w:space="0" w:color="auto"/>
                                                                <w:right w:val="none" w:sz="0" w:space="0" w:color="auto"/>
                                                              </w:divBdr>
                                                              <w:divsChild>
                                                                <w:div w:id="1285312529">
                                                                  <w:marLeft w:val="-225"/>
                                                                  <w:marRight w:val="-225"/>
                                                                  <w:marTop w:val="0"/>
                                                                  <w:marBottom w:val="0"/>
                                                                  <w:divBdr>
                                                                    <w:top w:val="none" w:sz="0" w:space="0" w:color="auto"/>
                                                                    <w:left w:val="none" w:sz="0" w:space="0" w:color="auto"/>
                                                                    <w:bottom w:val="none" w:sz="0" w:space="0" w:color="auto"/>
                                                                    <w:right w:val="none" w:sz="0" w:space="0" w:color="auto"/>
                                                                  </w:divBdr>
                                                                  <w:divsChild>
                                                                    <w:div w:id="18927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6_005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osettiegatti.eu/info/norme/statali/2016_0050.htm" TargetMode="External"/><Relationship Id="rId4" Type="http://schemas.openxmlformats.org/officeDocument/2006/relationships/settings" Target="settings.xml"/><Relationship Id="rId9" Type="http://schemas.openxmlformats.org/officeDocument/2006/relationships/hyperlink" Target="https://www.bosettiegatti.eu/info/norme/statali/2016_0050.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ur-lex.europa.eu" TargetMode="External"/><Relationship Id="rId3" Type="http://schemas.openxmlformats.org/officeDocument/2006/relationships/hyperlink" Target="http://www.eur-lex.europa.eu" TargetMode="External"/><Relationship Id="rId7" Type="http://schemas.openxmlformats.org/officeDocument/2006/relationships/hyperlink" Target="http://www.eur-lex.europa.eu" TargetMode="External"/><Relationship Id="rId2" Type="http://schemas.openxmlformats.org/officeDocument/2006/relationships/hyperlink" Target="http://www.eur-lex.europa.eu" TargetMode="External"/><Relationship Id="rId1" Type="http://schemas.openxmlformats.org/officeDocument/2006/relationships/hyperlink" Target="http://www.giustiziamministrativa.it" TargetMode="External"/><Relationship Id="rId6" Type="http://schemas.openxmlformats.org/officeDocument/2006/relationships/hyperlink" Target="http://www.eur-lex.europa.eu" TargetMode="External"/><Relationship Id="rId5" Type="http://schemas.openxmlformats.org/officeDocument/2006/relationships/hyperlink" Target="http://www.giustizia-amministrativa.it" TargetMode="External"/><Relationship Id="rId10" Type="http://schemas.openxmlformats.org/officeDocument/2006/relationships/hyperlink" Target="http://www.eur-lex.europa.eu" TargetMode="External"/><Relationship Id="rId4" Type="http://schemas.openxmlformats.org/officeDocument/2006/relationships/hyperlink" Target="http://www.eur-lex.europa.eu" TargetMode="External"/><Relationship Id="rId9" Type="http://schemas.openxmlformats.org/officeDocument/2006/relationships/hyperlink" Target="http://www.eur-lex.europa.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E6D02-287B-413C-B89B-319A0512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4779</Words>
  <Characters>27243</Characters>
  <Application>Microsoft Office Word</Application>
  <DocSecurity>0</DocSecurity>
  <Lines>227</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FERRARI Giulia</cp:lastModifiedBy>
  <cp:revision>2</cp:revision>
  <dcterms:created xsi:type="dcterms:W3CDTF">2021-10-14T17:37:00Z</dcterms:created>
  <dcterms:modified xsi:type="dcterms:W3CDTF">2021-10-14T17:37:00Z</dcterms:modified>
</cp:coreProperties>
</file>