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B9DD" w14:textId="77777777" w:rsidR="002F0FE2" w:rsidRDefault="002F0FE2" w:rsidP="009A1AF3">
      <w:pPr>
        <w:ind w:firstLine="284"/>
        <w:jc w:val="center"/>
        <w:rPr>
          <w:rFonts w:ascii="Times New Roman" w:hAnsi="Times New Roman" w:cs="Times New Roman"/>
          <w:sz w:val="36"/>
          <w:szCs w:val="36"/>
        </w:rPr>
      </w:pPr>
    </w:p>
    <w:p w14:paraId="5CD704E6" w14:textId="0F3EACED" w:rsidR="00712C65" w:rsidRDefault="009A1AF3" w:rsidP="009A1AF3">
      <w:pPr>
        <w:ind w:firstLine="284"/>
        <w:jc w:val="center"/>
        <w:rPr>
          <w:rFonts w:ascii="Times New Roman" w:hAnsi="Times New Roman" w:cs="Times New Roman"/>
          <w:sz w:val="36"/>
          <w:szCs w:val="36"/>
        </w:rPr>
      </w:pPr>
      <w:r w:rsidRPr="009A1AF3">
        <w:rPr>
          <w:rFonts w:ascii="Times New Roman" w:hAnsi="Times New Roman" w:cs="Times New Roman"/>
          <w:sz w:val="36"/>
          <w:szCs w:val="36"/>
        </w:rPr>
        <w:t xml:space="preserve">La </w:t>
      </w:r>
      <w:proofErr w:type="spellStart"/>
      <w:r w:rsidR="00A937FD">
        <w:rPr>
          <w:rFonts w:ascii="Times New Roman" w:hAnsi="Times New Roman" w:cs="Times New Roman"/>
          <w:i/>
          <w:iCs/>
          <w:sz w:val="36"/>
          <w:szCs w:val="36"/>
        </w:rPr>
        <w:t>r</w:t>
      </w:r>
      <w:r w:rsidRPr="00A937FD">
        <w:rPr>
          <w:rFonts w:ascii="Times New Roman" w:hAnsi="Times New Roman" w:cs="Times New Roman"/>
          <w:i/>
          <w:iCs/>
          <w:sz w:val="36"/>
          <w:szCs w:val="36"/>
        </w:rPr>
        <w:t>egulatory</w:t>
      </w:r>
      <w:proofErr w:type="spellEnd"/>
      <w:r w:rsidRPr="00A937FD">
        <w:rPr>
          <w:rFonts w:ascii="Times New Roman" w:hAnsi="Times New Roman" w:cs="Times New Roman"/>
          <w:i/>
          <w:iCs/>
          <w:sz w:val="36"/>
          <w:szCs w:val="36"/>
        </w:rPr>
        <w:t xml:space="preserve"> </w:t>
      </w:r>
      <w:r w:rsidR="00A937FD">
        <w:rPr>
          <w:rFonts w:ascii="Times New Roman" w:hAnsi="Times New Roman" w:cs="Times New Roman"/>
          <w:i/>
          <w:iCs/>
          <w:sz w:val="36"/>
          <w:szCs w:val="36"/>
        </w:rPr>
        <w:t>s</w:t>
      </w:r>
      <w:r w:rsidRPr="00A937FD">
        <w:rPr>
          <w:rFonts w:ascii="Times New Roman" w:hAnsi="Times New Roman" w:cs="Times New Roman"/>
          <w:i/>
          <w:iCs/>
          <w:sz w:val="36"/>
          <w:szCs w:val="36"/>
        </w:rPr>
        <w:t>and</w:t>
      </w:r>
      <w:r w:rsidR="00712C65" w:rsidRPr="00A937FD">
        <w:rPr>
          <w:rFonts w:ascii="Times New Roman" w:hAnsi="Times New Roman" w:cs="Times New Roman"/>
          <w:i/>
          <w:iCs/>
          <w:sz w:val="36"/>
          <w:szCs w:val="36"/>
        </w:rPr>
        <w:t>box</w:t>
      </w:r>
      <w:r w:rsidRPr="009A1AF3">
        <w:rPr>
          <w:rFonts w:ascii="Times New Roman" w:hAnsi="Times New Roman" w:cs="Times New Roman"/>
          <w:sz w:val="36"/>
          <w:szCs w:val="36"/>
        </w:rPr>
        <w:t xml:space="preserve"> </w:t>
      </w:r>
    </w:p>
    <w:p w14:paraId="1C20599C" w14:textId="60D81629" w:rsidR="00F021BF" w:rsidRDefault="009A1AF3" w:rsidP="009A1AF3">
      <w:pPr>
        <w:ind w:firstLine="284"/>
        <w:jc w:val="center"/>
        <w:rPr>
          <w:rFonts w:ascii="Times New Roman" w:hAnsi="Times New Roman" w:cs="Times New Roman"/>
          <w:sz w:val="36"/>
          <w:szCs w:val="36"/>
        </w:rPr>
      </w:pPr>
      <w:r w:rsidRPr="009A1AF3">
        <w:rPr>
          <w:rFonts w:ascii="Times New Roman" w:hAnsi="Times New Roman" w:cs="Times New Roman"/>
          <w:sz w:val="36"/>
          <w:szCs w:val="36"/>
        </w:rPr>
        <w:t>in un recente parere del Consiglio di Stato</w:t>
      </w:r>
    </w:p>
    <w:p w14:paraId="4D58ACFA" w14:textId="35F35536" w:rsidR="009A1AF3" w:rsidRDefault="009A1AF3" w:rsidP="009A1AF3">
      <w:pPr>
        <w:ind w:firstLine="284"/>
        <w:jc w:val="center"/>
        <w:rPr>
          <w:rFonts w:ascii="Times New Roman" w:hAnsi="Times New Roman" w:cs="Times New Roman"/>
          <w:sz w:val="36"/>
          <w:szCs w:val="36"/>
        </w:rPr>
      </w:pPr>
    </w:p>
    <w:p w14:paraId="5318D142" w14:textId="77777777" w:rsidR="002F0FE2" w:rsidRDefault="002F0FE2" w:rsidP="009A1AF3">
      <w:pPr>
        <w:ind w:firstLine="284"/>
        <w:jc w:val="center"/>
        <w:rPr>
          <w:rFonts w:ascii="Times New Roman" w:hAnsi="Times New Roman" w:cs="Times New Roman"/>
          <w:sz w:val="36"/>
          <w:szCs w:val="36"/>
        </w:rPr>
      </w:pPr>
    </w:p>
    <w:p w14:paraId="7880F13B" w14:textId="05B34E3C" w:rsidR="009A1AF3" w:rsidRDefault="009A1AF3" w:rsidP="009A1AF3">
      <w:pPr>
        <w:ind w:firstLine="284"/>
        <w:jc w:val="center"/>
        <w:rPr>
          <w:rFonts w:ascii="Times New Roman" w:hAnsi="Times New Roman" w:cs="Times New Roman"/>
          <w:sz w:val="36"/>
          <w:szCs w:val="36"/>
        </w:rPr>
      </w:pPr>
    </w:p>
    <w:p w14:paraId="4ACD198E" w14:textId="455D6A0E" w:rsidR="009A1AF3" w:rsidRDefault="009A1AF3" w:rsidP="009A1AF3">
      <w:pPr>
        <w:ind w:firstLine="284"/>
        <w:jc w:val="center"/>
        <w:rPr>
          <w:rFonts w:ascii="Times New Roman" w:hAnsi="Times New Roman" w:cs="Times New Roman"/>
          <w:sz w:val="24"/>
          <w:szCs w:val="24"/>
        </w:rPr>
      </w:pPr>
      <w:r w:rsidRPr="009A1AF3">
        <w:rPr>
          <w:rFonts w:ascii="Times New Roman" w:hAnsi="Times New Roman" w:cs="Times New Roman"/>
          <w:sz w:val="24"/>
          <w:szCs w:val="24"/>
        </w:rPr>
        <w:t>Antonio Merlino</w:t>
      </w:r>
      <w:r w:rsidR="00A937FD">
        <w:rPr>
          <w:rFonts w:ascii="Times New Roman" w:hAnsi="Times New Roman" w:cs="Times New Roman"/>
          <w:sz w:val="24"/>
          <w:szCs w:val="24"/>
        </w:rPr>
        <w:t>*</w:t>
      </w:r>
    </w:p>
    <w:p w14:paraId="419BC83C" w14:textId="105D8D0D" w:rsidR="009A1AF3" w:rsidRDefault="009A1AF3" w:rsidP="009A1AF3">
      <w:pPr>
        <w:ind w:firstLine="284"/>
        <w:jc w:val="center"/>
        <w:rPr>
          <w:rFonts w:ascii="Times New Roman" w:hAnsi="Times New Roman" w:cs="Times New Roman"/>
          <w:sz w:val="24"/>
          <w:szCs w:val="24"/>
        </w:rPr>
      </w:pPr>
    </w:p>
    <w:p w14:paraId="6FF8EABC" w14:textId="3B522549" w:rsidR="009A1AF3" w:rsidRDefault="009A1AF3" w:rsidP="009A1AF3">
      <w:pPr>
        <w:ind w:firstLine="284"/>
        <w:jc w:val="center"/>
        <w:rPr>
          <w:rFonts w:ascii="Times New Roman" w:hAnsi="Times New Roman" w:cs="Times New Roman"/>
          <w:sz w:val="24"/>
          <w:szCs w:val="24"/>
        </w:rPr>
      </w:pPr>
    </w:p>
    <w:p w14:paraId="596D2614" w14:textId="4B5AAED2" w:rsidR="009A1AF3" w:rsidRDefault="009A1AF3" w:rsidP="009A1AF3">
      <w:pPr>
        <w:ind w:firstLine="284"/>
        <w:jc w:val="center"/>
        <w:rPr>
          <w:rFonts w:ascii="Times New Roman" w:hAnsi="Times New Roman" w:cs="Times New Roman"/>
          <w:sz w:val="24"/>
          <w:szCs w:val="24"/>
        </w:rPr>
      </w:pPr>
    </w:p>
    <w:p w14:paraId="70F19B28" w14:textId="7FDA4ACF" w:rsidR="009A1AF3" w:rsidRDefault="009A1AF3" w:rsidP="009A1AF3">
      <w:pPr>
        <w:ind w:firstLine="284"/>
        <w:jc w:val="center"/>
        <w:rPr>
          <w:rFonts w:ascii="Times New Roman" w:hAnsi="Times New Roman" w:cs="Times New Roman"/>
          <w:sz w:val="24"/>
          <w:szCs w:val="24"/>
        </w:rPr>
      </w:pPr>
    </w:p>
    <w:p w14:paraId="226B7119" w14:textId="0D248B47" w:rsidR="00712C65" w:rsidRDefault="003554C5" w:rsidP="003554C5">
      <w:pPr>
        <w:pStyle w:val="Paragrafoelenco"/>
        <w:numPr>
          <w:ilvl w:val="0"/>
          <w:numId w:val="2"/>
        </w:numPr>
        <w:ind w:left="1843"/>
        <w:rPr>
          <w:rFonts w:ascii="Times New Roman" w:hAnsi="Times New Roman" w:cs="Times New Roman"/>
          <w:sz w:val="24"/>
          <w:szCs w:val="24"/>
        </w:rPr>
      </w:pPr>
      <w:r>
        <w:rPr>
          <w:rFonts w:ascii="Times New Roman" w:hAnsi="Times New Roman" w:cs="Times New Roman"/>
          <w:sz w:val="24"/>
          <w:szCs w:val="24"/>
        </w:rPr>
        <w:t xml:space="preserve">Introduzione </w:t>
      </w:r>
    </w:p>
    <w:p w14:paraId="31305E7F" w14:textId="41850B5C" w:rsidR="00712C65" w:rsidRDefault="00712C65" w:rsidP="00712C65">
      <w:pPr>
        <w:ind w:left="993" w:firstLine="567"/>
        <w:rPr>
          <w:rFonts w:ascii="Times New Roman" w:hAnsi="Times New Roman" w:cs="Times New Roman"/>
          <w:sz w:val="24"/>
          <w:szCs w:val="24"/>
        </w:rPr>
      </w:pPr>
    </w:p>
    <w:p w14:paraId="28118F88" w14:textId="77777777" w:rsidR="00A937FD" w:rsidRDefault="00A937FD" w:rsidP="00712C65">
      <w:pPr>
        <w:ind w:left="993" w:firstLine="567"/>
        <w:rPr>
          <w:rFonts w:ascii="Times New Roman" w:hAnsi="Times New Roman" w:cs="Times New Roman"/>
          <w:sz w:val="24"/>
          <w:szCs w:val="24"/>
        </w:rPr>
      </w:pPr>
    </w:p>
    <w:p w14:paraId="20DB4464" w14:textId="5AE7B5DB" w:rsidR="007C04BA" w:rsidRDefault="0052686F" w:rsidP="003554C5">
      <w:pPr>
        <w:spacing w:line="360" w:lineRule="auto"/>
        <w:ind w:left="992" w:right="851" w:firstLine="425"/>
        <w:rPr>
          <w:rFonts w:ascii="Times New Roman" w:hAnsi="Times New Roman" w:cs="Times New Roman"/>
          <w:sz w:val="24"/>
          <w:szCs w:val="24"/>
        </w:rPr>
      </w:pPr>
      <w:r>
        <w:rPr>
          <w:rFonts w:ascii="Times New Roman" w:hAnsi="Times New Roman" w:cs="Times New Roman"/>
          <w:sz w:val="24"/>
          <w:szCs w:val="24"/>
        </w:rPr>
        <w:t>Con l’inizio del 2021 il</w:t>
      </w:r>
      <w:r w:rsidR="00E52C1A">
        <w:rPr>
          <w:rFonts w:ascii="Times New Roman" w:hAnsi="Times New Roman" w:cs="Times New Roman"/>
          <w:sz w:val="24"/>
          <w:szCs w:val="24"/>
        </w:rPr>
        <w:t xml:space="preserve"> </w:t>
      </w:r>
      <w:r>
        <w:rPr>
          <w:rFonts w:ascii="Times New Roman" w:hAnsi="Times New Roman" w:cs="Times New Roman"/>
          <w:sz w:val="24"/>
          <w:szCs w:val="24"/>
        </w:rPr>
        <w:t xml:space="preserve">Consiglio </w:t>
      </w:r>
      <w:r w:rsidR="00E52C1A">
        <w:rPr>
          <w:rFonts w:ascii="Times New Roman" w:hAnsi="Times New Roman" w:cs="Times New Roman"/>
          <w:sz w:val="24"/>
          <w:szCs w:val="24"/>
        </w:rPr>
        <w:t>di Stato</w:t>
      </w:r>
      <w:r>
        <w:rPr>
          <w:rFonts w:ascii="Times New Roman" w:hAnsi="Times New Roman" w:cs="Times New Roman"/>
          <w:sz w:val="24"/>
          <w:szCs w:val="24"/>
        </w:rPr>
        <w:t xml:space="preserve"> ha rilasciato parere favorevole sullo</w:t>
      </w:r>
      <w:r w:rsidRPr="0052686F">
        <w:rPr>
          <w:rFonts w:ascii="Times New Roman" w:hAnsi="Times New Roman" w:cs="Times New Roman"/>
          <w:sz w:val="24"/>
          <w:szCs w:val="24"/>
        </w:rPr>
        <w:t xml:space="preserve"> schema di decreto del Ministro dell</w:t>
      </w:r>
      <w:r>
        <w:rPr>
          <w:rFonts w:ascii="Times New Roman" w:hAnsi="Times New Roman" w:cs="Times New Roman"/>
          <w:sz w:val="24"/>
          <w:szCs w:val="24"/>
        </w:rPr>
        <w:t>’</w:t>
      </w:r>
      <w:r w:rsidRPr="0052686F">
        <w:rPr>
          <w:rFonts w:ascii="Times New Roman" w:hAnsi="Times New Roman" w:cs="Times New Roman"/>
          <w:sz w:val="24"/>
          <w:szCs w:val="24"/>
        </w:rPr>
        <w:t>economia e delle finanze, recante attuazione dell</w:t>
      </w:r>
      <w:r w:rsidR="008E3B3A">
        <w:rPr>
          <w:rFonts w:ascii="Times New Roman" w:hAnsi="Times New Roman" w:cs="Times New Roman"/>
          <w:sz w:val="24"/>
          <w:szCs w:val="24"/>
        </w:rPr>
        <w:t>’</w:t>
      </w:r>
      <w:r w:rsidRPr="0052686F">
        <w:rPr>
          <w:rFonts w:ascii="Times New Roman" w:hAnsi="Times New Roman" w:cs="Times New Roman"/>
          <w:sz w:val="24"/>
          <w:szCs w:val="24"/>
        </w:rPr>
        <w:t xml:space="preserve">art. 36, commi 2-bis e seguenti, </w:t>
      </w:r>
      <w:proofErr w:type="spellStart"/>
      <w:r w:rsidRPr="0052686F">
        <w:rPr>
          <w:rFonts w:ascii="Times New Roman" w:hAnsi="Times New Roman" w:cs="Times New Roman"/>
          <w:sz w:val="24"/>
          <w:szCs w:val="24"/>
        </w:rPr>
        <w:t>d.l.</w:t>
      </w:r>
      <w:proofErr w:type="spellEnd"/>
      <w:r w:rsidRPr="0052686F">
        <w:rPr>
          <w:rFonts w:ascii="Times New Roman" w:hAnsi="Times New Roman" w:cs="Times New Roman"/>
          <w:sz w:val="24"/>
          <w:szCs w:val="24"/>
        </w:rPr>
        <w:t xml:space="preserve"> 30 aprile 2019, n. 34</w:t>
      </w:r>
      <w:r w:rsidR="003554C5">
        <w:rPr>
          <w:rFonts w:ascii="Times New Roman" w:hAnsi="Times New Roman" w:cs="Times New Roman"/>
          <w:sz w:val="24"/>
          <w:szCs w:val="24"/>
        </w:rPr>
        <w:t xml:space="preserve"> (</w:t>
      </w:r>
      <w:r w:rsidRPr="0052686F">
        <w:rPr>
          <w:rFonts w:ascii="Times New Roman" w:hAnsi="Times New Roman" w:cs="Times New Roman"/>
          <w:sz w:val="24"/>
          <w:szCs w:val="24"/>
        </w:rPr>
        <w:t>convertito, con modificazioni, dalla l. 28 giugno 2019, n. 58</w:t>
      </w:r>
      <w:r w:rsidR="003554C5">
        <w:rPr>
          <w:rFonts w:ascii="Times New Roman" w:hAnsi="Times New Roman" w:cs="Times New Roman"/>
          <w:sz w:val="24"/>
          <w:szCs w:val="24"/>
        </w:rPr>
        <w:t xml:space="preserve">) sulla disciplina del Comitato e della sperimentazione </w:t>
      </w:r>
      <w:r w:rsidR="003554C5">
        <w:rPr>
          <w:rFonts w:ascii="Times New Roman" w:hAnsi="Times New Roman" w:cs="Times New Roman"/>
          <w:i/>
          <w:iCs/>
          <w:sz w:val="24"/>
          <w:szCs w:val="24"/>
        </w:rPr>
        <w:t>f</w:t>
      </w:r>
      <w:r w:rsidR="003554C5" w:rsidRPr="003554C5">
        <w:rPr>
          <w:rFonts w:ascii="Times New Roman" w:hAnsi="Times New Roman" w:cs="Times New Roman"/>
          <w:i/>
          <w:iCs/>
          <w:sz w:val="24"/>
          <w:szCs w:val="24"/>
        </w:rPr>
        <w:t>intech</w:t>
      </w:r>
      <w:r w:rsidR="003554C5">
        <w:rPr>
          <w:rFonts w:ascii="Times New Roman" w:hAnsi="Times New Roman" w:cs="Times New Roman"/>
          <w:sz w:val="24"/>
          <w:szCs w:val="24"/>
        </w:rPr>
        <w:t xml:space="preserve"> </w:t>
      </w:r>
      <w:r>
        <w:rPr>
          <w:rFonts w:ascii="Times New Roman" w:hAnsi="Times New Roman" w:cs="Times New Roman"/>
          <w:sz w:val="24"/>
          <w:szCs w:val="24"/>
        </w:rPr>
        <w:t>(</w:t>
      </w:r>
      <w:r w:rsidRPr="0052686F">
        <w:rPr>
          <w:rFonts w:ascii="Times New Roman" w:hAnsi="Times New Roman" w:cs="Times New Roman"/>
          <w:sz w:val="24"/>
          <w:szCs w:val="24"/>
        </w:rPr>
        <w:t xml:space="preserve">Cons. St., sez. atti </w:t>
      </w:r>
      <w:proofErr w:type="spellStart"/>
      <w:r w:rsidRPr="0052686F">
        <w:rPr>
          <w:rFonts w:ascii="Times New Roman" w:hAnsi="Times New Roman" w:cs="Times New Roman"/>
          <w:sz w:val="24"/>
          <w:szCs w:val="24"/>
        </w:rPr>
        <w:t>norm</w:t>
      </w:r>
      <w:proofErr w:type="spellEnd"/>
      <w:r w:rsidRPr="0052686F">
        <w:rPr>
          <w:rFonts w:ascii="Times New Roman" w:hAnsi="Times New Roman" w:cs="Times New Roman"/>
          <w:sz w:val="24"/>
          <w:szCs w:val="24"/>
        </w:rPr>
        <w:t>., 29 gennaio 2021, n. 109</w:t>
      </w:r>
      <w:r>
        <w:rPr>
          <w:rFonts w:ascii="Times New Roman" w:hAnsi="Times New Roman" w:cs="Times New Roman"/>
          <w:sz w:val="24"/>
          <w:szCs w:val="24"/>
        </w:rPr>
        <w:t>)</w:t>
      </w:r>
      <w:r w:rsidR="003554C5">
        <w:rPr>
          <w:rFonts w:ascii="Times New Roman" w:hAnsi="Times New Roman" w:cs="Times New Roman"/>
          <w:sz w:val="24"/>
          <w:szCs w:val="24"/>
        </w:rPr>
        <w:t xml:space="preserve">. Il parere si inserisce in un contesto giuridico e normativo frastagliato, nel quale prendono forma, gradualmente, istituti giuridici nuovi per rispondere a nuove esigenze della realtà. Tra questi </w:t>
      </w:r>
      <w:r w:rsidR="008E3B3A">
        <w:rPr>
          <w:rFonts w:ascii="Times New Roman" w:hAnsi="Times New Roman" w:cs="Times New Roman"/>
          <w:sz w:val="24"/>
          <w:szCs w:val="24"/>
        </w:rPr>
        <w:t xml:space="preserve">la </w:t>
      </w:r>
      <w:proofErr w:type="spellStart"/>
      <w:r w:rsidR="003554C5" w:rsidRPr="003554C5">
        <w:rPr>
          <w:rFonts w:ascii="Times New Roman" w:hAnsi="Times New Roman" w:cs="Times New Roman"/>
          <w:i/>
          <w:iCs/>
          <w:sz w:val="24"/>
          <w:szCs w:val="24"/>
        </w:rPr>
        <w:t>regulatory</w:t>
      </w:r>
      <w:proofErr w:type="spellEnd"/>
      <w:r w:rsidR="003554C5" w:rsidRPr="003554C5">
        <w:rPr>
          <w:rFonts w:ascii="Times New Roman" w:hAnsi="Times New Roman" w:cs="Times New Roman"/>
          <w:i/>
          <w:iCs/>
          <w:sz w:val="24"/>
          <w:szCs w:val="24"/>
        </w:rPr>
        <w:t xml:space="preserve"> sandbox</w:t>
      </w:r>
      <w:r w:rsidR="008E3B3A">
        <w:rPr>
          <w:rFonts w:ascii="Times New Roman" w:hAnsi="Times New Roman" w:cs="Times New Roman"/>
          <w:sz w:val="24"/>
          <w:szCs w:val="24"/>
        </w:rPr>
        <w:t xml:space="preserve"> spicca per importanza.</w:t>
      </w:r>
      <w:r w:rsidR="003554C5">
        <w:rPr>
          <w:rFonts w:ascii="Times New Roman" w:hAnsi="Times New Roman" w:cs="Times New Roman"/>
          <w:sz w:val="24"/>
          <w:szCs w:val="24"/>
        </w:rPr>
        <w:t xml:space="preserve"> </w:t>
      </w:r>
    </w:p>
    <w:p w14:paraId="245D38D6" w14:textId="6AD1D754" w:rsidR="003554C5" w:rsidRPr="003554C5" w:rsidRDefault="002F0FE2" w:rsidP="003554C5">
      <w:pPr>
        <w:spacing w:line="360" w:lineRule="auto"/>
        <w:ind w:left="992" w:right="851" w:firstLine="425"/>
        <w:rPr>
          <w:rFonts w:ascii="Times New Roman" w:hAnsi="Times New Roman" w:cs="Times New Roman"/>
          <w:sz w:val="24"/>
          <w:szCs w:val="24"/>
        </w:rPr>
      </w:pPr>
      <w:r>
        <w:rPr>
          <w:rFonts w:ascii="Times New Roman" w:hAnsi="Times New Roman" w:cs="Times New Roman"/>
          <w:sz w:val="24"/>
          <w:szCs w:val="24"/>
        </w:rPr>
        <w:t xml:space="preserve">Nelle </w:t>
      </w:r>
      <w:r w:rsidR="003554C5">
        <w:rPr>
          <w:rFonts w:ascii="Times New Roman" w:hAnsi="Times New Roman" w:cs="Times New Roman"/>
          <w:sz w:val="24"/>
          <w:szCs w:val="24"/>
        </w:rPr>
        <w:t>pagine</w:t>
      </w:r>
      <w:r>
        <w:rPr>
          <w:rFonts w:ascii="Times New Roman" w:hAnsi="Times New Roman" w:cs="Times New Roman"/>
          <w:sz w:val="24"/>
          <w:szCs w:val="24"/>
        </w:rPr>
        <w:t xml:space="preserve"> che seguono</w:t>
      </w:r>
      <w:r w:rsidR="003554C5">
        <w:rPr>
          <w:rFonts w:ascii="Times New Roman" w:hAnsi="Times New Roman" w:cs="Times New Roman"/>
          <w:sz w:val="24"/>
          <w:szCs w:val="24"/>
        </w:rPr>
        <w:t xml:space="preserve"> si </w:t>
      </w:r>
      <w:r>
        <w:rPr>
          <w:rFonts w:ascii="Times New Roman" w:hAnsi="Times New Roman" w:cs="Times New Roman"/>
          <w:sz w:val="24"/>
          <w:szCs w:val="24"/>
        </w:rPr>
        <w:t>cercherà</w:t>
      </w:r>
      <w:r w:rsidR="003554C5">
        <w:rPr>
          <w:rFonts w:ascii="Times New Roman" w:hAnsi="Times New Roman" w:cs="Times New Roman"/>
          <w:sz w:val="24"/>
          <w:szCs w:val="24"/>
        </w:rPr>
        <w:t xml:space="preserve"> in primo luogo di definire i contorni di questo istituto che in Italia si affaccia faticosamente all’orizzonte, quindi si farà cenno al delinearsi dell’istituto nel diritto europeo </w:t>
      </w:r>
      <w:r w:rsidR="007C04BA">
        <w:rPr>
          <w:rFonts w:ascii="Times New Roman" w:hAnsi="Times New Roman" w:cs="Times New Roman"/>
          <w:sz w:val="24"/>
          <w:szCs w:val="24"/>
        </w:rPr>
        <w:t>per concludere con una glossa al parere del Consiglio di Stato.</w:t>
      </w:r>
    </w:p>
    <w:p w14:paraId="38977EC3" w14:textId="44BC1658" w:rsidR="003554C5" w:rsidRDefault="003554C5" w:rsidP="00712C65">
      <w:pPr>
        <w:spacing w:line="360" w:lineRule="auto"/>
        <w:ind w:left="992" w:right="851" w:firstLine="425"/>
        <w:rPr>
          <w:rFonts w:ascii="Times New Roman" w:hAnsi="Times New Roman" w:cs="Times New Roman"/>
          <w:sz w:val="24"/>
          <w:szCs w:val="24"/>
        </w:rPr>
      </w:pPr>
    </w:p>
    <w:p w14:paraId="7EB201CF" w14:textId="77777777" w:rsidR="00A937FD" w:rsidRDefault="00A937FD" w:rsidP="00712C65">
      <w:pPr>
        <w:spacing w:line="360" w:lineRule="auto"/>
        <w:ind w:left="992" w:right="851" w:firstLine="425"/>
        <w:rPr>
          <w:rFonts w:ascii="Times New Roman" w:hAnsi="Times New Roman" w:cs="Times New Roman"/>
          <w:sz w:val="24"/>
          <w:szCs w:val="24"/>
        </w:rPr>
      </w:pPr>
    </w:p>
    <w:p w14:paraId="239B2CFA" w14:textId="77777777" w:rsidR="003554C5" w:rsidRDefault="003554C5" w:rsidP="003554C5">
      <w:pPr>
        <w:pStyle w:val="Paragrafoelenco"/>
        <w:numPr>
          <w:ilvl w:val="0"/>
          <w:numId w:val="1"/>
        </w:numPr>
        <w:ind w:left="1843"/>
        <w:rPr>
          <w:rFonts w:ascii="Times New Roman" w:hAnsi="Times New Roman" w:cs="Times New Roman"/>
          <w:sz w:val="24"/>
          <w:szCs w:val="24"/>
        </w:rPr>
      </w:pPr>
      <w:r>
        <w:rPr>
          <w:rFonts w:ascii="Times New Roman" w:hAnsi="Times New Roman" w:cs="Times New Roman"/>
          <w:sz w:val="24"/>
          <w:szCs w:val="24"/>
        </w:rPr>
        <w:lastRenderedPageBreak/>
        <w:t>L’istituto</w:t>
      </w:r>
    </w:p>
    <w:p w14:paraId="3E39BC2C" w14:textId="0DFC6C38" w:rsidR="00E52C1A" w:rsidRDefault="00E52C1A" w:rsidP="00712C65">
      <w:pPr>
        <w:spacing w:line="360" w:lineRule="auto"/>
        <w:ind w:left="992" w:right="851" w:firstLine="425"/>
        <w:rPr>
          <w:rFonts w:ascii="Times New Roman" w:hAnsi="Times New Roman" w:cs="Times New Roman"/>
          <w:sz w:val="24"/>
          <w:szCs w:val="24"/>
        </w:rPr>
      </w:pPr>
    </w:p>
    <w:p w14:paraId="2AFE3090" w14:textId="51968D7C" w:rsidR="00712C65" w:rsidRDefault="00712C65" w:rsidP="00712C65">
      <w:pPr>
        <w:spacing w:line="360" w:lineRule="auto"/>
        <w:ind w:left="992" w:right="851" w:firstLine="425"/>
        <w:rPr>
          <w:rFonts w:ascii="Times New Roman" w:hAnsi="Times New Roman" w:cs="Times New Roman"/>
          <w:sz w:val="24"/>
          <w:szCs w:val="24"/>
        </w:rPr>
      </w:pPr>
      <w:r>
        <w:rPr>
          <w:rFonts w:ascii="Times New Roman" w:hAnsi="Times New Roman" w:cs="Times New Roman"/>
          <w:sz w:val="24"/>
          <w:szCs w:val="24"/>
        </w:rPr>
        <w:t xml:space="preserve">La </w:t>
      </w:r>
      <w:proofErr w:type="spellStart"/>
      <w:r w:rsidRPr="00712C65">
        <w:rPr>
          <w:rFonts w:ascii="Times New Roman" w:hAnsi="Times New Roman" w:cs="Times New Roman"/>
          <w:i/>
          <w:iCs/>
          <w:sz w:val="24"/>
          <w:szCs w:val="24"/>
        </w:rPr>
        <w:t>regulatory</w:t>
      </w:r>
      <w:proofErr w:type="spellEnd"/>
      <w:r w:rsidRPr="00712C65">
        <w:rPr>
          <w:rFonts w:ascii="Times New Roman" w:hAnsi="Times New Roman" w:cs="Times New Roman"/>
          <w:i/>
          <w:iCs/>
          <w:sz w:val="24"/>
          <w:szCs w:val="24"/>
        </w:rPr>
        <w:t xml:space="preserve"> sandbox</w:t>
      </w:r>
      <w:r>
        <w:rPr>
          <w:rFonts w:ascii="Times New Roman" w:hAnsi="Times New Roman" w:cs="Times New Roman"/>
          <w:sz w:val="24"/>
          <w:szCs w:val="24"/>
        </w:rPr>
        <w:t xml:space="preserve"> è un istituto giuridico creato per adeguare l’ordinamento giuridico alla realtà</w:t>
      </w:r>
      <w:r w:rsidR="00444301">
        <w:rPr>
          <w:rFonts w:ascii="Times New Roman" w:hAnsi="Times New Roman" w:cs="Times New Roman"/>
          <w:sz w:val="24"/>
          <w:szCs w:val="24"/>
        </w:rPr>
        <w:t xml:space="preserve">. A fronte della rapidissima evoluzione tecnologica i giuristi incorrono in un duplice pericolo: da una parte si rischia di ordinare fenomeni nuovi con strumenti giuridici vetusti, dall’altra si rischia di rinunciare del tutto a una regolamentazione. Codesto duplice rischio assume proporzioni più significative se consideriamo l’ordinamento giuridico non attraverso lenti esclusivamente nazionali, ma inforcando gli occhiali del comparativista: la </w:t>
      </w:r>
      <w:proofErr w:type="spellStart"/>
      <w:r w:rsidR="00444301" w:rsidRPr="00444301">
        <w:rPr>
          <w:rFonts w:ascii="Times New Roman" w:hAnsi="Times New Roman" w:cs="Times New Roman"/>
          <w:i/>
          <w:iCs/>
          <w:sz w:val="24"/>
          <w:szCs w:val="24"/>
        </w:rPr>
        <w:t>regulatory</w:t>
      </w:r>
      <w:proofErr w:type="spellEnd"/>
      <w:r w:rsidR="00444301" w:rsidRPr="00444301">
        <w:rPr>
          <w:rFonts w:ascii="Times New Roman" w:hAnsi="Times New Roman" w:cs="Times New Roman"/>
          <w:i/>
          <w:iCs/>
          <w:sz w:val="24"/>
          <w:szCs w:val="24"/>
        </w:rPr>
        <w:t xml:space="preserve"> sandbox</w:t>
      </w:r>
      <w:r w:rsidR="00444301">
        <w:rPr>
          <w:rFonts w:ascii="Times New Roman" w:hAnsi="Times New Roman" w:cs="Times New Roman"/>
          <w:sz w:val="24"/>
          <w:szCs w:val="24"/>
        </w:rPr>
        <w:t xml:space="preserve"> si sta infatti affermando come istituto globale, idoneo a regolamentare una materia che per sua stessa natura è restia a </w:t>
      </w:r>
      <w:r w:rsidR="00871FAA">
        <w:rPr>
          <w:rFonts w:ascii="Times New Roman" w:hAnsi="Times New Roman" w:cs="Times New Roman"/>
          <w:sz w:val="24"/>
          <w:szCs w:val="24"/>
        </w:rPr>
        <w:t>esaurirsi nei vari recinti ordinamentali nazionali.</w:t>
      </w:r>
      <w:r w:rsidR="008E3B3A">
        <w:rPr>
          <w:rFonts w:ascii="Times New Roman" w:hAnsi="Times New Roman" w:cs="Times New Roman"/>
          <w:sz w:val="24"/>
          <w:szCs w:val="24"/>
        </w:rPr>
        <w:t xml:space="preserve"> Inoltre, se in Italia l’istituto inizia a prendere forma, altrove esso è già una realtà consolidata e non può essere così ignorat</w:t>
      </w:r>
      <w:r w:rsidR="002F0FE2">
        <w:rPr>
          <w:rFonts w:ascii="Times New Roman" w:hAnsi="Times New Roman" w:cs="Times New Roman"/>
          <w:sz w:val="24"/>
          <w:szCs w:val="24"/>
        </w:rPr>
        <w:t>o</w:t>
      </w:r>
      <w:r w:rsidR="008E3B3A">
        <w:rPr>
          <w:rFonts w:ascii="Times New Roman" w:hAnsi="Times New Roman" w:cs="Times New Roman"/>
          <w:sz w:val="24"/>
          <w:szCs w:val="24"/>
        </w:rPr>
        <w:t xml:space="preserve"> illudendosi che il cosiddetto diritto interno non abbia relazione alcuna con ciò che accade oltre confine.</w:t>
      </w:r>
      <w:r w:rsidR="00712F15" w:rsidRPr="00712F15">
        <w:rPr>
          <w:rStyle w:val="Rimandonotaapidipagina"/>
          <w:rFonts w:ascii="Times New Roman" w:hAnsi="Times New Roman" w:cs="Times New Roman"/>
          <w:sz w:val="24"/>
          <w:szCs w:val="24"/>
        </w:rPr>
        <w:t xml:space="preserve"> </w:t>
      </w:r>
      <w:r w:rsidR="00712F15">
        <w:rPr>
          <w:rStyle w:val="Rimandonotaapidipagina"/>
          <w:rFonts w:ascii="Times New Roman" w:hAnsi="Times New Roman" w:cs="Times New Roman"/>
          <w:sz w:val="24"/>
          <w:szCs w:val="24"/>
        </w:rPr>
        <w:footnoteReference w:id="1"/>
      </w:r>
    </w:p>
    <w:p w14:paraId="4D72F96D" w14:textId="3A7EBE26" w:rsidR="008216E3" w:rsidRDefault="00871FAA" w:rsidP="00712C65">
      <w:pPr>
        <w:spacing w:line="360" w:lineRule="auto"/>
        <w:ind w:left="992" w:right="851" w:firstLine="425"/>
        <w:rPr>
          <w:rFonts w:ascii="Times New Roman" w:hAnsi="Times New Roman" w:cs="Times New Roman"/>
          <w:sz w:val="24"/>
          <w:szCs w:val="24"/>
        </w:rPr>
      </w:pPr>
      <w:r>
        <w:rPr>
          <w:rFonts w:ascii="Times New Roman" w:hAnsi="Times New Roman" w:cs="Times New Roman"/>
          <w:sz w:val="24"/>
          <w:szCs w:val="24"/>
        </w:rPr>
        <w:t>È stato autorevolmente affermato che i giuristi devono avere soprattutto fantasia.</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Nel delineare l’istituto della </w:t>
      </w:r>
      <w:proofErr w:type="spellStart"/>
      <w:r w:rsidRPr="00D012C7">
        <w:rPr>
          <w:rFonts w:ascii="Times New Roman" w:hAnsi="Times New Roman" w:cs="Times New Roman"/>
          <w:i/>
          <w:iCs/>
          <w:sz w:val="24"/>
          <w:szCs w:val="24"/>
        </w:rPr>
        <w:t>regulatory</w:t>
      </w:r>
      <w:proofErr w:type="spellEnd"/>
      <w:r w:rsidRPr="00D012C7">
        <w:rPr>
          <w:rFonts w:ascii="Times New Roman" w:hAnsi="Times New Roman" w:cs="Times New Roman"/>
          <w:i/>
          <w:iCs/>
          <w:sz w:val="24"/>
          <w:szCs w:val="24"/>
        </w:rPr>
        <w:t xml:space="preserve"> sandbox</w:t>
      </w:r>
      <w:r>
        <w:rPr>
          <w:rFonts w:ascii="Times New Roman" w:hAnsi="Times New Roman" w:cs="Times New Roman"/>
          <w:sz w:val="24"/>
          <w:szCs w:val="24"/>
        </w:rPr>
        <w:t xml:space="preserve"> si è fatto buon uso di fantasia giuridica. </w:t>
      </w:r>
      <w:r w:rsidR="005820FD">
        <w:rPr>
          <w:rFonts w:ascii="Times New Roman" w:hAnsi="Times New Roman" w:cs="Times New Roman"/>
          <w:sz w:val="24"/>
          <w:szCs w:val="24"/>
        </w:rPr>
        <w:t xml:space="preserve">Si è fatto uso di un’immagina giocosa: il termine </w:t>
      </w:r>
      <w:r w:rsidR="005820FD" w:rsidRPr="005820FD">
        <w:rPr>
          <w:rFonts w:ascii="Times New Roman" w:hAnsi="Times New Roman" w:cs="Times New Roman"/>
          <w:i/>
          <w:iCs/>
          <w:sz w:val="24"/>
          <w:szCs w:val="24"/>
        </w:rPr>
        <w:t>sandbox</w:t>
      </w:r>
      <w:r w:rsidR="005820FD">
        <w:rPr>
          <w:rFonts w:ascii="Times New Roman" w:hAnsi="Times New Roman" w:cs="Times New Roman"/>
          <w:sz w:val="24"/>
          <w:szCs w:val="24"/>
        </w:rPr>
        <w:t xml:space="preserve"> indica un recinto di sabbia, al cui interno giocano i bambini. Si tratta cioè di un perimetro protetto e controllato</w:t>
      </w:r>
      <w:r w:rsidR="00DB6E74">
        <w:rPr>
          <w:rFonts w:ascii="Times New Roman" w:hAnsi="Times New Roman" w:cs="Times New Roman"/>
          <w:sz w:val="24"/>
          <w:szCs w:val="24"/>
        </w:rPr>
        <w:t>, all’interno del quale è possibile</w:t>
      </w:r>
      <w:r w:rsidR="004450FC">
        <w:rPr>
          <w:rFonts w:ascii="Times New Roman" w:hAnsi="Times New Roman" w:cs="Times New Roman"/>
          <w:sz w:val="24"/>
          <w:szCs w:val="24"/>
        </w:rPr>
        <w:t xml:space="preserve"> sperimentare</w:t>
      </w:r>
      <w:r w:rsidR="00DB6E74">
        <w:rPr>
          <w:rFonts w:ascii="Times New Roman" w:hAnsi="Times New Roman" w:cs="Times New Roman"/>
          <w:sz w:val="24"/>
          <w:szCs w:val="24"/>
        </w:rPr>
        <w:t xml:space="preserve"> </w:t>
      </w:r>
      <w:r w:rsidR="00DB6E74">
        <w:rPr>
          <w:rFonts w:ascii="Times New Roman" w:hAnsi="Times New Roman" w:cs="Times New Roman"/>
          <w:sz w:val="24"/>
          <w:szCs w:val="24"/>
        </w:rPr>
        <w:lastRenderedPageBreak/>
        <w:t>costruzioni di sabbia senza rischi.</w:t>
      </w:r>
      <w:r w:rsidR="004450FC">
        <w:rPr>
          <w:rFonts w:ascii="Times New Roman" w:hAnsi="Times New Roman" w:cs="Times New Roman"/>
          <w:sz w:val="24"/>
          <w:szCs w:val="24"/>
        </w:rPr>
        <w:t xml:space="preserve"> Traducendo questa immagine giocosa in ambito rigorosamente giuridico si intende con </w:t>
      </w:r>
      <w:proofErr w:type="spellStart"/>
      <w:r w:rsidR="004450FC" w:rsidRPr="004450FC">
        <w:rPr>
          <w:rFonts w:ascii="Times New Roman" w:hAnsi="Times New Roman" w:cs="Times New Roman"/>
          <w:i/>
          <w:iCs/>
          <w:sz w:val="24"/>
          <w:szCs w:val="24"/>
        </w:rPr>
        <w:t>regulatory</w:t>
      </w:r>
      <w:proofErr w:type="spellEnd"/>
      <w:r w:rsidR="004450FC" w:rsidRPr="004450FC">
        <w:rPr>
          <w:rFonts w:ascii="Times New Roman" w:hAnsi="Times New Roman" w:cs="Times New Roman"/>
          <w:i/>
          <w:iCs/>
          <w:sz w:val="24"/>
          <w:szCs w:val="24"/>
        </w:rPr>
        <w:t xml:space="preserve"> sandbox</w:t>
      </w:r>
      <w:r w:rsidR="004450FC">
        <w:rPr>
          <w:rFonts w:ascii="Times New Roman" w:hAnsi="Times New Roman" w:cs="Times New Roman"/>
          <w:sz w:val="24"/>
          <w:szCs w:val="24"/>
        </w:rPr>
        <w:t xml:space="preserve"> un ambiente protetto, all’interno del quale è ammesso sperimentare innovazioni tecno-finanziarie in deroga alle regole ordinarie e sotto il controllo delle Autorità di vigilanza.</w:t>
      </w:r>
      <w:r w:rsidR="004450FC">
        <w:rPr>
          <w:rStyle w:val="Rimandonotaapidipagina"/>
          <w:rFonts w:ascii="Times New Roman" w:hAnsi="Times New Roman" w:cs="Times New Roman"/>
          <w:sz w:val="24"/>
          <w:szCs w:val="24"/>
        </w:rPr>
        <w:footnoteReference w:id="3"/>
      </w:r>
      <w:r w:rsidR="004450FC">
        <w:rPr>
          <w:rFonts w:ascii="Times New Roman" w:hAnsi="Times New Roman" w:cs="Times New Roman"/>
          <w:sz w:val="24"/>
          <w:szCs w:val="24"/>
        </w:rPr>
        <w:t xml:space="preserve"> Questo </w:t>
      </w:r>
      <w:r w:rsidR="002F0FE2">
        <w:rPr>
          <w:rFonts w:ascii="Times New Roman" w:hAnsi="Times New Roman" w:cs="Times New Roman"/>
          <w:sz w:val="24"/>
          <w:szCs w:val="24"/>
        </w:rPr>
        <w:t>“</w:t>
      </w:r>
      <w:r w:rsidR="004450FC">
        <w:rPr>
          <w:rFonts w:ascii="Times New Roman" w:hAnsi="Times New Roman" w:cs="Times New Roman"/>
          <w:sz w:val="24"/>
          <w:szCs w:val="24"/>
        </w:rPr>
        <w:t>recinto di sabbia</w:t>
      </w:r>
      <w:r w:rsidR="002F0FE2">
        <w:rPr>
          <w:rFonts w:ascii="Times New Roman" w:hAnsi="Times New Roman" w:cs="Times New Roman"/>
          <w:sz w:val="24"/>
          <w:szCs w:val="24"/>
        </w:rPr>
        <w:t>”</w:t>
      </w:r>
      <w:r w:rsidR="004450FC">
        <w:rPr>
          <w:rFonts w:ascii="Times New Roman" w:hAnsi="Times New Roman" w:cs="Times New Roman"/>
          <w:sz w:val="24"/>
          <w:szCs w:val="24"/>
        </w:rPr>
        <w:t xml:space="preserve"> ha confini precisi, cioè limiti definiti. In primo luogo l’oggetto: la sperimentazione deve riguardare la tecno-finanza (</w:t>
      </w:r>
      <w:r w:rsidR="004450FC" w:rsidRPr="0027601C">
        <w:rPr>
          <w:rFonts w:ascii="Times New Roman" w:hAnsi="Times New Roman" w:cs="Times New Roman"/>
          <w:i/>
          <w:iCs/>
          <w:sz w:val="24"/>
          <w:szCs w:val="24"/>
        </w:rPr>
        <w:t>fintech</w:t>
      </w:r>
      <w:r w:rsidR="004450FC">
        <w:rPr>
          <w:rFonts w:ascii="Times New Roman" w:hAnsi="Times New Roman" w:cs="Times New Roman"/>
          <w:sz w:val="24"/>
          <w:szCs w:val="24"/>
        </w:rPr>
        <w:t xml:space="preserve">) e ambire ad introdurre elementi di innovazione nei prodotti e nei servizi in ambito finanziario, bancario e assicurativo, avvalendosi </w:t>
      </w:r>
      <w:r w:rsidR="008216E3">
        <w:rPr>
          <w:rFonts w:ascii="Times New Roman" w:hAnsi="Times New Roman" w:cs="Times New Roman"/>
          <w:sz w:val="24"/>
          <w:szCs w:val="24"/>
        </w:rPr>
        <w:t xml:space="preserve">di tecnologie digitali come l’intelligenza artificiale. </w:t>
      </w:r>
    </w:p>
    <w:p w14:paraId="43DD66F7" w14:textId="3DE71F89" w:rsidR="00871FAA" w:rsidRDefault="008216E3" w:rsidP="00712C65">
      <w:pPr>
        <w:spacing w:line="360" w:lineRule="auto"/>
        <w:ind w:left="992" w:right="851" w:firstLine="425"/>
        <w:rPr>
          <w:rFonts w:ascii="Times New Roman" w:hAnsi="Times New Roman" w:cs="Times New Roman"/>
          <w:sz w:val="24"/>
          <w:szCs w:val="24"/>
        </w:rPr>
      </w:pPr>
      <w:r>
        <w:rPr>
          <w:rFonts w:ascii="Times New Roman" w:hAnsi="Times New Roman" w:cs="Times New Roman"/>
          <w:sz w:val="24"/>
          <w:szCs w:val="24"/>
        </w:rPr>
        <w:t xml:space="preserve">In secondo luogo: entro i limiti della </w:t>
      </w:r>
      <w:r w:rsidRPr="008216E3">
        <w:rPr>
          <w:rFonts w:ascii="Times New Roman" w:hAnsi="Times New Roman" w:cs="Times New Roman"/>
          <w:i/>
          <w:iCs/>
          <w:sz w:val="24"/>
          <w:szCs w:val="24"/>
        </w:rPr>
        <w:t>sandbox</w:t>
      </w:r>
      <w:r>
        <w:rPr>
          <w:rFonts w:ascii="Times New Roman" w:hAnsi="Times New Roman" w:cs="Times New Roman"/>
          <w:i/>
          <w:iCs/>
          <w:sz w:val="24"/>
          <w:szCs w:val="24"/>
        </w:rPr>
        <w:t xml:space="preserve"> </w:t>
      </w:r>
      <w:r>
        <w:rPr>
          <w:rFonts w:ascii="Times New Roman" w:hAnsi="Times New Roman" w:cs="Times New Roman"/>
          <w:sz w:val="24"/>
          <w:szCs w:val="24"/>
        </w:rPr>
        <w:t>non è abolita ogni regolamentazione giuridica. Si deroga alla regolamentazione ordinaria, ma sotto il controllo delle Autorità di vigilanza. All’interno del “recinto di sabbia” queste rinunciano alla propria funzione sanzionatoria per esercitare un ruolo di interlocutore delle imprese ammesse alla sperimentazione. In questa veste le autorità non sanzionano, ma forniscono informazioni, sostegno e consigli</w:t>
      </w:r>
      <w:r w:rsidR="002F0FE2">
        <w:rPr>
          <w:rFonts w:ascii="Times New Roman" w:hAnsi="Times New Roman" w:cs="Times New Roman"/>
          <w:sz w:val="24"/>
          <w:szCs w:val="24"/>
        </w:rPr>
        <w:t xml:space="preserve"> (</w:t>
      </w:r>
      <w:proofErr w:type="spellStart"/>
      <w:r w:rsidR="002F0FE2" w:rsidRPr="002F0FE2">
        <w:rPr>
          <w:rFonts w:ascii="Times New Roman" w:hAnsi="Times New Roman" w:cs="Times New Roman"/>
          <w:i/>
          <w:iCs/>
          <w:sz w:val="24"/>
          <w:szCs w:val="24"/>
        </w:rPr>
        <w:t>guidance</w:t>
      </w:r>
      <w:proofErr w:type="spellEnd"/>
      <w:r w:rsidR="002F0FE2">
        <w:rPr>
          <w:rFonts w:ascii="Times New Roman" w:hAnsi="Times New Roman" w:cs="Times New Roman"/>
          <w:sz w:val="24"/>
          <w:szCs w:val="24"/>
        </w:rPr>
        <w:t>)</w:t>
      </w:r>
      <w:r>
        <w:rPr>
          <w:rFonts w:ascii="Times New Roman" w:hAnsi="Times New Roman" w:cs="Times New Roman"/>
          <w:sz w:val="24"/>
          <w:szCs w:val="24"/>
        </w:rPr>
        <w:t xml:space="preserve">, prevenendo il rischio di cadute fatali. Le </w:t>
      </w:r>
      <w:r w:rsidR="002F0FE2">
        <w:rPr>
          <w:rFonts w:ascii="Times New Roman" w:hAnsi="Times New Roman" w:cs="Times New Roman"/>
          <w:sz w:val="24"/>
          <w:szCs w:val="24"/>
        </w:rPr>
        <w:t>A</w:t>
      </w:r>
      <w:r>
        <w:rPr>
          <w:rFonts w:ascii="Times New Roman" w:hAnsi="Times New Roman" w:cs="Times New Roman"/>
          <w:sz w:val="24"/>
          <w:szCs w:val="24"/>
        </w:rPr>
        <w:t xml:space="preserve">utorità di vigilanza agiscono inoltre come organo che ammette le imprese alla sperimentazione, verificando la sussistenza dei requisiti di accesso alla </w:t>
      </w:r>
      <w:r w:rsidRPr="008216E3">
        <w:rPr>
          <w:rFonts w:ascii="Times New Roman" w:hAnsi="Times New Roman" w:cs="Times New Roman"/>
          <w:i/>
          <w:iCs/>
          <w:sz w:val="24"/>
          <w:szCs w:val="24"/>
        </w:rPr>
        <w:t>sandbox</w:t>
      </w:r>
      <w:r>
        <w:rPr>
          <w:rFonts w:ascii="Times New Roman" w:hAnsi="Times New Roman" w:cs="Times New Roman"/>
          <w:sz w:val="24"/>
          <w:szCs w:val="24"/>
        </w:rPr>
        <w:t>.</w:t>
      </w:r>
    </w:p>
    <w:p w14:paraId="2B900987" w14:textId="1C982109" w:rsidR="008216E3" w:rsidRDefault="008216E3" w:rsidP="00712C65">
      <w:pPr>
        <w:spacing w:line="360" w:lineRule="auto"/>
        <w:ind w:left="992" w:right="851" w:firstLine="425"/>
        <w:rPr>
          <w:rFonts w:ascii="Times New Roman" w:hAnsi="Times New Roman" w:cs="Times New Roman"/>
          <w:sz w:val="24"/>
          <w:szCs w:val="24"/>
        </w:rPr>
      </w:pPr>
      <w:r>
        <w:rPr>
          <w:rFonts w:ascii="Times New Roman" w:hAnsi="Times New Roman" w:cs="Times New Roman"/>
          <w:sz w:val="24"/>
          <w:szCs w:val="24"/>
        </w:rPr>
        <w:t xml:space="preserve">Infine: la deroga alla regole ordinarie non va confusa con una abolizione dell’ordinamento. La deroga è </w:t>
      </w:r>
      <w:r w:rsidR="00B71F03">
        <w:rPr>
          <w:rFonts w:ascii="Times New Roman" w:hAnsi="Times New Roman" w:cs="Times New Roman"/>
          <w:sz w:val="24"/>
          <w:szCs w:val="24"/>
        </w:rPr>
        <w:t xml:space="preserve">infatti </w:t>
      </w:r>
      <w:r>
        <w:rPr>
          <w:rFonts w:ascii="Times New Roman" w:hAnsi="Times New Roman" w:cs="Times New Roman"/>
          <w:sz w:val="24"/>
          <w:szCs w:val="24"/>
        </w:rPr>
        <w:t>ammessa per un arco di tempo prestabilito</w:t>
      </w:r>
      <w:r w:rsidR="00D012C7">
        <w:rPr>
          <w:rFonts w:ascii="Times New Roman" w:hAnsi="Times New Roman" w:cs="Times New Roman"/>
          <w:sz w:val="24"/>
          <w:szCs w:val="24"/>
        </w:rPr>
        <w:t xml:space="preserve"> e limitato</w:t>
      </w:r>
      <w:r>
        <w:rPr>
          <w:rFonts w:ascii="Times New Roman" w:hAnsi="Times New Roman" w:cs="Times New Roman"/>
          <w:sz w:val="24"/>
          <w:szCs w:val="24"/>
        </w:rPr>
        <w:t>, scaduto il quale l’impresa sceglie se continuare la propria attività</w:t>
      </w:r>
      <w:r w:rsidR="002F0FE2">
        <w:rPr>
          <w:rFonts w:ascii="Times New Roman" w:hAnsi="Times New Roman" w:cs="Times New Roman"/>
          <w:sz w:val="24"/>
          <w:szCs w:val="24"/>
        </w:rPr>
        <w:t xml:space="preserve"> in regime ordinario</w:t>
      </w:r>
      <w:r>
        <w:rPr>
          <w:rFonts w:ascii="Times New Roman" w:hAnsi="Times New Roman" w:cs="Times New Roman"/>
          <w:sz w:val="24"/>
          <w:szCs w:val="24"/>
        </w:rPr>
        <w:t xml:space="preserve"> o rinunciarvi, </w:t>
      </w:r>
      <w:r w:rsidR="00A35AA1">
        <w:rPr>
          <w:rFonts w:ascii="Times New Roman" w:hAnsi="Times New Roman" w:cs="Times New Roman"/>
          <w:sz w:val="24"/>
          <w:szCs w:val="24"/>
        </w:rPr>
        <w:t>in ogni caso rafforzat</w:t>
      </w:r>
      <w:r w:rsidR="002F0FE2">
        <w:rPr>
          <w:rFonts w:ascii="Times New Roman" w:hAnsi="Times New Roman" w:cs="Times New Roman"/>
          <w:sz w:val="24"/>
          <w:szCs w:val="24"/>
        </w:rPr>
        <w:t>e</w:t>
      </w:r>
      <w:r w:rsidR="00A35AA1">
        <w:rPr>
          <w:rFonts w:ascii="Times New Roman" w:hAnsi="Times New Roman" w:cs="Times New Roman"/>
          <w:sz w:val="24"/>
          <w:szCs w:val="24"/>
        </w:rPr>
        <w:t xml:space="preserve"> dall’esperienza acquisita nel periodo di sperimentazione.</w:t>
      </w:r>
    </w:p>
    <w:p w14:paraId="7C519E66" w14:textId="4E183470" w:rsidR="00B71F03" w:rsidRDefault="00D012C7" w:rsidP="00D012C7">
      <w:pPr>
        <w:pStyle w:val="Paragrafoelenco"/>
        <w:spacing w:line="360" w:lineRule="auto"/>
        <w:ind w:left="993" w:right="851" w:firstLine="425"/>
        <w:rPr>
          <w:rFonts w:ascii="Times New Roman" w:hAnsi="Times New Roman" w:cs="Times New Roman"/>
          <w:sz w:val="24"/>
          <w:szCs w:val="24"/>
        </w:rPr>
      </w:pPr>
      <w:r>
        <w:rPr>
          <w:rFonts w:ascii="Times New Roman" w:hAnsi="Times New Roman" w:cs="Times New Roman"/>
          <w:sz w:val="24"/>
          <w:szCs w:val="24"/>
        </w:rPr>
        <w:lastRenderedPageBreak/>
        <w:t>L’istituto nasce nell’ordinamento anglosassone e si diffonde gradualmente nel diritto continentale in un contesto di fondamentale ripensamento delle categorie teorico-giuridiche tradizionali.</w:t>
      </w:r>
      <w:r w:rsidR="00B71F03">
        <w:rPr>
          <w:rStyle w:val="Rimandonotaapidipagina"/>
          <w:rFonts w:ascii="Times New Roman" w:hAnsi="Times New Roman" w:cs="Times New Roman"/>
          <w:sz w:val="24"/>
          <w:szCs w:val="24"/>
        </w:rPr>
        <w:footnoteReference w:id="4"/>
      </w:r>
      <w:r>
        <w:rPr>
          <w:rFonts w:ascii="Times New Roman" w:hAnsi="Times New Roman" w:cs="Times New Roman"/>
          <w:sz w:val="24"/>
          <w:szCs w:val="24"/>
        </w:rPr>
        <w:t xml:space="preserve"> In particolare esso fiorisce mentre la scienza e prassi del diritto pubblico si svincolano dall</w:t>
      </w:r>
      <w:r w:rsidR="00361CBB">
        <w:rPr>
          <w:rFonts w:ascii="Times New Roman" w:hAnsi="Times New Roman" w:cs="Times New Roman"/>
          <w:sz w:val="24"/>
          <w:szCs w:val="24"/>
        </w:rPr>
        <w:t>a</w:t>
      </w:r>
      <w:r>
        <w:rPr>
          <w:rFonts w:ascii="Times New Roman" w:hAnsi="Times New Roman" w:cs="Times New Roman"/>
          <w:sz w:val="24"/>
          <w:szCs w:val="24"/>
        </w:rPr>
        <w:t xml:space="preserve"> Scilla del normativismo e </w:t>
      </w:r>
      <w:r w:rsidR="00361CBB">
        <w:rPr>
          <w:rFonts w:ascii="Times New Roman" w:hAnsi="Times New Roman" w:cs="Times New Roman"/>
          <w:sz w:val="24"/>
          <w:szCs w:val="24"/>
        </w:rPr>
        <w:t>dalla</w:t>
      </w:r>
      <w:r>
        <w:rPr>
          <w:rFonts w:ascii="Times New Roman" w:hAnsi="Times New Roman" w:cs="Times New Roman"/>
          <w:sz w:val="24"/>
          <w:szCs w:val="24"/>
        </w:rPr>
        <w:t xml:space="preserve"> Cariddi del decisionismo.</w:t>
      </w:r>
      <w:r w:rsidR="0027601C">
        <w:rPr>
          <w:rStyle w:val="Rimandonotaapidipagina"/>
          <w:rFonts w:ascii="Times New Roman" w:hAnsi="Times New Roman" w:cs="Times New Roman"/>
          <w:sz w:val="24"/>
          <w:szCs w:val="24"/>
        </w:rPr>
        <w:footnoteReference w:id="5"/>
      </w:r>
      <w:r>
        <w:rPr>
          <w:rFonts w:ascii="Times New Roman" w:hAnsi="Times New Roman" w:cs="Times New Roman"/>
          <w:sz w:val="24"/>
          <w:szCs w:val="24"/>
        </w:rPr>
        <w:t xml:space="preserve">  Entramb</w:t>
      </w:r>
      <w:r w:rsidR="00A571F7">
        <w:rPr>
          <w:rFonts w:ascii="Times New Roman" w:hAnsi="Times New Roman" w:cs="Times New Roman"/>
          <w:sz w:val="24"/>
          <w:szCs w:val="24"/>
        </w:rPr>
        <w:t xml:space="preserve">e queste concezioni del diritto sembrano oggi insufficienti a ordinare la realtà, poiché esse sono il portato di una tradizione di pensiero statalista e non riescono a comprendere fenomeni giuridici che per loro natura valicano i confini dello Stato-nazione. Se il normativismo aveva ridotto tutto l’ordinamento nella rigidità della legge statale, il decisionismo aveva ambito ad abolire l’ordinamento </w:t>
      </w:r>
      <w:r w:rsidR="00A571F7" w:rsidRPr="00A571F7">
        <w:rPr>
          <w:rFonts w:ascii="Times New Roman" w:hAnsi="Times New Roman" w:cs="Times New Roman"/>
          <w:i/>
          <w:iCs/>
          <w:sz w:val="24"/>
          <w:szCs w:val="24"/>
        </w:rPr>
        <w:t>tout court</w:t>
      </w:r>
      <w:r>
        <w:rPr>
          <w:rFonts w:ascii="Times New Roman" w:hAnsi="Times New Roman" w:cs="Times New Roman"/>
          <w:sz w:val="24"/>
          <w:szCs w:val="24"/>
        </w:rPr>
        <w:t xml:space="preserve"> </w:t>
      </w:r>
      <w:r w:rsidR="00A571F7">
        <w:rPr>
          <w:rFonts w:ascii="Times New Roman" w:hAnsi="Times New Roman" w:cs="Times New Roman"/>
          <w:sz w:val="24"/>
          <w:szCs w:val="24"/>
        </w:rPr>
        <w:t xml:space="preserve">per delegare la decisione alla corpulenta forza del potere politico dominante. Da una parte si ambiva a normare inflessibilmente, dall’altra si ambiva a rimuovere qualsiasi norma, ma in entrambi i casi si riconosceva nell’autorità statale l’esclusiva fonte dell’ordinamento. Il fondamento statalista di queste due dottrine </w:t>
      </w:r>
      <w:r w:rsidR="002F0FE2">
        <w:rPr>
          <w:rFonts w:ascii="Times New Roman" w:hAnsi="Times New Roman" w:cs="Times New Roman"/>
          <w:sz w:val="24"/>
          <w:szCs w:val="24"/>
        </w:rPr>
        <w:t>è contraddetto dai fatti</w:t>
      </w:r>
      <w:r w:rsidR="00B71F03">
        <w:rPr>
          <w:rFonts w:ascii="Times New Roman" w:hAnsi="Times New Roman" w:cs="Times New Roman"/>
          <w:sz w:val="24"/>
          <w:szCs w:val="24"/>
        </w:rPr>
        <w:t>: la pluralità degli ordinamento giuridici, il loro intreccio, non è un fatto che può essere negato in nome di schemi mentali stantii</w:t>
      </w:r>
      <w:r w:rsidR="002F0FE2">
        <w:rPr>
          <w:rFonts w:ascii="Times New Roman" w:hAnsi="Times New Roman" w:cs="Times New Roman"/>
          <w:sz w:val="24"/>
          <w:szCs w:val="24"/>
        </w:rPr>
        <w:t xml:space="preserve"> e astrattamente teorici</w:t>
      </w:r>
      <w:r w:rsidR="00B71F03">
        <w:rPr>
          <w:rFonts w:ascii="Times New Roman" w:hAnsi="Times New Roman" w:cs="Times New Roman"/>
          <w:sz w:val="24"/>
          <w:szCs w:val="24"/>
        </w:rPr>
        <w:t>.</w:t>
      </w:r>
      <w:r w:rsidR="00B71F03">
        <w:rPr>
          <w:rStyle w:val="Rimandonotaapidipagina"/>
          <w:rFonts w:ascii="Times New Roman" w:hAnsi="Times New Roman" w:cs="Times New Roman"/>
          <w:sz w:val="24"/>
          <w:szCs w:val="24"/>
        </w:rPr>
        <w:footnoteReference w:id="6"/>
      </w:r>
    </w:p>
    <w:p w14:paraId="19BA1E24" w14:textId="1BC08817" w:rsidR="0027601C" w:rsidRDefault="00A571F7" w:rsidP="00D012C7">
      <w:pPr>
        <w:pStyle w:val="Paragrafoelenco"/>
        <w:spacing w:line="360" w:lineRule="auto"/>
        <w:ind w:left="993" w:right="851" w:firstLine="425"/>
        <w:rPr>
          <w:rFonts w:ascii="Times New Roman" w:hAnsi="Times New Roman" w:cs="Times New Roman"/>
          <w:sz w:val="24"/>
          <w:szCs w:val="24"/>
        </w:rPr>
      </w:pPr>
      <w:r>
        <w:rPr>
          <w:rFonts w:ascii="Times New Roman" w:hAnsi="Times New Roman" w:cs="Times New Roman"/>
          <w:sz w:val="24"/>
          <w:szCs w:val="24"/>
        </w:rPr>
        <w:t xml:space="preserve"> </w:t>
      </w:r>
      <w:r w:rsidR="00B71F03">
        <w:rPr>
          <w:rFonts w:ascii="Times New Roman" w:hAnsi="Times New Roman" w:cs="Times New Roman"/>
          <w:sz w:val="24"/>
          <w:szCs w:val="24"/>
        </w:rPr>
        <w:t>Inoltre, t</w:t>
      </w:r>
      <w:r>
        <w:rPr>
          <w:rFonts w:ascii="Times New Roman" w:hAnsi="Times New Roman" w:cs="Times New Roman"/>
          <w:sz w:val="24"/>
          <w:szCs w:val="24"/>
        </w:rPr>
        <w:t xml:space="preserve">anto la lentezza di un procedimento legislativo nazionale quanto la totale assenza di una regolamentazione </w:t>
      </w:r>
      <w:r w:rsidR="0027601C">
        <w:rPr>
          <w:rFonts w:ascii="Times New Roman" w:hAnsi="Times New Roman" w:cs="Times New Roman"/>
          <w:sz w:val="24"/>
          <w:szCs w:val="24"/>
        </w:rPr>
        <w:t>comportano oggi il rischio di rinunciare a ordinare la realtà e – nel caso in esame – la realtà della tecno-finanza</w:t>
      </w:r>
      <w:r w:rsidR="002F0FE2">
        <w:rPr>
          <w:rFonts w:ascii="Times New Roman" w:hAnsi="Times New Roman" w:cs="Times New Roman"/>
          <w:sz w:val="24"/>
          <w:szCs w:val="24"/>
        </w:rPr>
        <w:t>, giacché</w:t>
      </w:r>
      <w:r w:rsidR="0027601C">
        <w:rPr>
          <w:rFonts w:ascii="Times New Roman" w:hAnsi="Times New Roman" w:cs="Times New Roman"/>
          <w:sz w:val="24"/>
          <w:szCs w:val="24"/>
        </w:rPr>
        <w:t xml:space="preserve"> le </w:t>
      </w:r>
      <w:r w:rsidR="0027601C">
        <w:rPr>
          <w:rFonts w:ascii="Times New Roman" w:hAnsi="Times New Roman" w:cs="Times New Roman"/>
          <w:sz w:val="24"/>
          <w:szCs w:val="24"/>
        </w:rPr>
        <w:lastRenderedPageBreak/>
        <w:t>evoluzioni in campo tecnologico e finanziario sono tanto rapide quanto complesse e i rischi e i benefici dati da una loro possibile introduzione sul mercato rischiano di sfuggire alla comprensione del legislatore nazionale</w:t>
      </w:r>
      <w:r w:rsidR="002F0FE2">
        <w:rPr>
          <w:rFonts w:ascii="Times New Roman" w:hAnsi="Times New Roman" w:cs="Times New Roman"/>
          <w:sz w:val="24"/>
          <w:szCs w:val="24"/>
        </w:rPr>
        <w:t xml:space="preserve"> così come alle previsione di mercato.</w:t>
      </w:r>
      <w:r w:rsidR="0027601C">
        <w:rPr>
          <w:rFonts w:ascii="Times New Roman" w:hAnsi="Times New Roman" w:cs="Times New Roman"/>
          <w:sz w:val="24"/>
          <w:szCs w:val="24"/>
        </w:rPr>
        <w:t xml:space="preserve"> </w:t>
      </w:r>
      <w:r w:rsidR="002F0FE2">
        <w:rPr>
          <w:rFonts w:ascii="Times New Roman" w:hAnsi="Times New Roman" w:cs="Times New Roman"/>
          <w:sz w:val="24"/>
          <w:szCs w:val="24"/>
        </w:rPr>
        <w:t>D</w:t>
      </w:r>
      <w:r w:rsidR="0027601C">
        <w:rPr>
          <w:rFonts w:ascii="Times New Roman" w:hAnsi="Times New Roman" w:cs="Times New Roman"/>
          <w:sz w:val="24"/>
          <w:szCs w:val="24"/>
        </w:rPr>
        <w:t>a qui l’esigenza di una sperimentazione.</w:t>
      </w:r>
    </w:p>
    <w:p w14:paraId="7BD1F7EF" w14:textId="06A442BD" w:rsidR="00E52C1A" w:rsidRDefault="00E52C1A" w:rsidP="00D012C7">
      <w:pPr>
        <w:pStyle w:val="Paragrafoelenco"/>
        <w:spacing w:line="360" w:lineRule="auto"/>
        <w:ind w:left="993" w:right="851" w:firstLine="425"/>
        <w:rPr>
          <w:rFonts w:ascii="Times New Roman" w:hAnsi="Times New Roman" w:cs="Times New Roman"/>
          <w:sz w:val="24"/>
          <w:szCs w:val="24"/>
        </w:rPr>
      </w:pPr>
    </w:p>
    <w:p w14:paraId="66A1066E" w14:textId="77777777" w:rsidR="00E52C1A" w:rsidRDefault="00E52C1A" w:rsidP="00D012C7">
      <w:pPr>
        <w:pStyle w:val="Paragrafoelenco"/>
        <w:spacing w:line="360" w:lineRule="auto"/>
        <w:ind w:left="993" w:right="851" w:firstLine="425"/>
        <w:rPr>
          <w:rFonts w:ascii="Times New Roman" w:hAnsi="Times New Roman" w:cs="Times New Roman"/>
          <w:sz w:val="24"/>
          <w:szCs w:val="24"/>
        </w:rPr>
      </w:pPr>
    </w:p>
    <w:p w14:paraId="3D1470BD" w14:textId="2232A669" w:rsidR="00E52C1A" w:rsidRDefault="00E52C1A" w:rsidP="00E52C1A">
      <w:pPr>
        <w:pStyle w:val="Paragrafoelenco"/>
        <w:numPr>
          <w:ilvl w:val="0"/>
          <w:numId w:val="1"/>
        </w:numPr>
        <w:spacing w:line="360" w:lineRule="auto"/>
        <w:ind w:left="1701" w:right="851"/>
        <w:rPr>
          <w:rFonts w:ascii="Times New Roman" w:hAnsi="Times New Roman" w:cs="Times New Roman"/>
          <w:sz w:val="24"/>
          <w:szCs w:val="24"/>
        </w:rPr>
      </w:pPr>
      <w:r>
        <w:rPr>
          <w:rFonts w:ascii="Times New Roman" w:hAnsi="Times New Roman" w:cs="Times New Roman"/>
          <w:sz w:val="24"/>
          <w:szCs w:val="24"/>
        </w:rPr>
        <w:t>Il contesto normativo</w:t>
      </w:r>
    </w:p>
    <w:p w14:paraId="30FA1071" w14:textId="0C26E051" w:rsidR="00E52C1A" w:rsidRDefault="00E52C1A" w:rsidP="00D012C7">
      <w:pPr>
        <w:pStyle w:val="Paragrafoelenco"/>
        <w:spacing w:line="360" w:lineRule="auto"/>
        <w:ind w:left="993" w:right="851" w:firstLine="425"/>
        <w:rPr>
          <w:rFonts w:ascii="Times New Roman" w:hAnsi="Times New Roman" w:cs="Times New Roman"/>
          <w:sz w:val="24"/>
          <w:szCs w:val="24"/>
        </w:rPr>
      </w:pPr>
    </w:p>
    <w:p w14:paraId="2D63170E" w14:textId="6E564E75" w:rsidR="00E52C1A" w:rsidRDefault="00E52C1A" w:rsidP="00E52C1A">
      <w:pPr>
        <w:pStyle w:val="Paragrafoelenco"/>
        <w:spacing w:line="360" w:lineRule="auto"/>
        <w:ind w:left="993" w:right="851" w:firstLine="425"/>
        <w:rPr>
          <w:rFonts w:ascii="Times New Roman" w:hAnsi="Times New Roman" w:cs="Times New Roman"/>
          <w:sz w:val="24"/>
          <w:szCs w:val="24"/>
        </w:rPr>
      </w:pPr>
      <w:r>
        <w:rPr>
          <w:rFonts w:ascii="Times New Roman" w:hAnsi="Times New Roman" w:cs="Times New Roman"/>
          <w:sz w:val="24"/>
          <w:szCs w:val="24"/>
        </w:rPr>
        <w:t>Ad oggi manca una legislazione uniforme nel diritto europeo, benché i primi tratti dell’istituto abbiano iniziato a delinearsi</w:t>
      </w:r>
      <w:r w:rsidR="002F0FE2">
        <w:rPr>
          <w:rFonts w:ascii="Times New Roman" w:hAnsi="Times New Roman" w:cs="Times New Roman"/>
          <w:sz w:val="24"/>
          <w:szCs w:val="24"/>
        </w:rPr>
        <w:t xml:space="preserve"> nitidamente</w:t>
      </w:r>
      <w:r>
        <w:rPr>
          <w:rFonts w:ascii="Times New Roman" w:hAnsi="Times New Roman" w:cs="Times New Roman"/>
          <w:sz w:val="24"/>
          <w:szCs w:val="24"/>
        </w:rPr>
        <w:t xml:space="preserve">. In </w:t>
      </w:r>
      <w:r w:rsidRPr="00E52C1A">
        <w:rPr>
          <w:rFonts w:ascii="Times New Roman" w:hAnsi="Times New Roman" w:cs="Times New Roman"/>
          <w:sz w:val="24"/>
          <w:szCs w:val="24"/>
        </w:rPr>
        <w:t xml:space="preserve">una risoluzione del 17 maggio 2017 </w:t>
      </w:r>
      <w:r>
        <w:rPr>
          <w:rFonts w:ascii="Times New Roman" w:hAnsi="Times New Roman" w:cs="Times New Roman"/>
          <w:sz w:val="24"/>
          <w:szCs w:val="24"/>
        </w:rPr>
        <w:t xml:space="preserve">il Parlamento europeo </w:t>
      </w:r>
      <w:r w:rsidRPr="00E52C1A">
        <w:rPr>
          <w:rFonts w:ascii="Times New Roman" w:hAnsi="Times New Roman" w:cs="Times New Roman"/>
          <w:sz w:val="24"/>
          <w:szCs w:val="24"/>
        </w:rPr>
        <w:t xml:space="preserve">ha </w:t>
      </w:r>
      <w:r>
        <w:rPr>
          <w:rFonts w:ascii="Times New Roman" w:hAnsi="Times New Roman" w:cs="Times New Roman"/>
          <w:sz w:val="24"/>
          <w:szCs w:val="24"/>
        </w:rPr>
        <w:t>auspicato</w:t>
      </w:r>
      <w:r w:rsidRPr="00E52C1A">
        <w:rPr>
          <w:rFonts w:ascii="Times New Roman" w:hAnsi="Times New Roman" w:cs="Times New Roman"/>
          <w:sz w:val="24"/>
          <w:szCs w:val="24"/>
        </w:rPr>
        <w:t xml:space="preserve"> che le autorità competenti «consentano e incoraggino la sperimentazione controllata con le nuove tecnologie per i nuovi operatori di mercato e per quelli esistenti». Nella risoluzione si </w:t>
      </w:r>
      <w:r>
        <w:rPr>
          <w:rFonts w:ascii="Times New Roman" w:hAnsi="Times New Roman" w:cs="Times New Roman"/>
          <w:sz w:val="24"/>
          <w:szCs w:val="24"/>
        </w:rPr>
        <w:t>aggiunge</w:t>
      </w:r>
      <w:r w:rsidRPr="00E52C1A">
        <w:rPr>
          <w:rFonts w:ascii="Times New Roman" w:hAnsi="Times New Roman" w:cs="Times New Roman"/>
          <w:sz w:val="24"/>
          <w:szCs w:val="24"/>
        </w:rPr>
        <w:t xml:space="preserve"> che «un simile ambiente controllato per le sperimentazioni potrebbe assumere la forma e lo spazio di sperimentazione normativa (“sandbox”) per i servizi Fintech che presentano potenziali benefici per la società, che riunisce una vasta gamma di operatori di mercato ed è già stato introdotto con successo in diversi Stati membri». </w:t>
      </w:r>
      <w:r>
        <w:rPr>
          <w:rFonts w:ascii="Times New Roman" w:hAnsi="Times New Roman" w:cs="Times New Roman"/>
          <w:sz w:val="24"/>
          <w:szCs w:val="24"/>
        </w:rPr>
        <w:t xml:space="preserve">Inoltre si afferma che </w:t>
      </w:r>
      <w:r w:rsidRPr="00E52C1A">
        <w:rPr>
          <w:rFonts w:ascii="Times New Roman" w:hAnsi="Times New Roman" w:cs="Times New Roman"/>
          <w:sz w:val="24"/>
          <w:szCs w:val="24"/>
        </w:rPr>
        <w:t xml:space="preserve">«un impegno proattivo da parte dell’autorità, nell’ambito di un dialogo con gli operatori di mercato e tutti gli altri pertinenti soggetti interessati, è necessario e può aiutare le autorità di vigilanza e di regolamentazione a sviluppare competenze tecnologiche». Infine «si invita le autorità competenti a considerare la possibilità di sviluppare strumenti per le prove di stress finanziarie» in ambito fintech, qualora possano generare «rischi sistemici». </w:t>
      </w:r>
    </w:p>
    <w:p w14:paraId="2A10DA08" w14:textId="6F53F480" w:rsidR="0015419A" w:rsidRPr="00E52C1A" w:rsidRDefault="0015419A" w:rsidP="00E52C1A">
      <w:pPr>
        <w:pStyle w:val="Paragrafoelenco"/>
        <w:spacing w:line="360" w:lineRule="auto"/>
        <w:ind w:left="993" w:right="851" w:firstLine="425"/>
        <w:rPr>
          <w:rFonts w:ascii="Times New Roman" w:hAnsi="Times New Roman" w:cs="Times New Roman"/>
          <w:sz w:val="24"/>
          <w:szCs w:val="24"/>
        </w:rPr>
      </w:pPr>
      <w:r w:rsidRPr="0015419A">
        <w:rPr>
          <w:rFonts w:ascii="Times New Roman" w:hAnsi="Times New Roman" w:cs="Times New Roman"/>
          <w:sz w:val="24"/>
          <w:szCs w:val="24"/>
        </w:rPr>
        <w:lastRenderedPageBreak/>
        <w:t>Nel</w:t>
      </w:r>
      <w:r>
        <w:rPr>
          <w:rFonts w:ascii="Times New Roman" w:hAnsi="Times New Roman" w:cs="Times New Roman"/>
          <w:sz w:val="24"/>
          <w:szCs w:val="24"/>
        </w:rPr>
        <w:t xml:space="preserve"> settembre</w:t>
      </w:r>
      <w:r w:rsidRPr="0015419A">
        <w:rPr>
          <w:rFonts w:ascii="Times New Roman" w:hAnsi="Times New Roman" w:cs="Times New Roman"/>
          <w:sz w:val="24"/>
          <w:szCs w:val="24"/>
        </w:rPr>
        <w:t xml:space="preserve"> 2020 la Commissione europea ha indicato priorità e azioni da intraprendere al fine di incoraggiare la finanza digitale a vantaggio di imprese e consumatori con la  </w:t>
      </w:r>
      <w:r w:rsidRPr="0015419A">
        <w:rPr>
          <w:rFonts w:ascii="Times New Roman" w:hAnsi="Times New Roman" w:cs="Times New Roman"/>
          <w:i/>
          <w:iCs/>
          <w:sz w:val="24"/>
          <w:szCs w:val="24"/>
        </w:rPr>
        <w:t xml:space="preserve">Comunicazione della Commissione al Parlamento europeo, al Consiglio, </w:t>
      </w:r>
      <w:r w:rsidR="002F0FE2">
        <w:rPr>
          <w:rFonts w:ascii="Times New Roman" w:hAnsi="Times New Roman" w:cs="Times New Roman"/>
          <w:i/>
          <w:iCs/>
          <w:sz w:val="24"/>
          <w:szCs w:val="24"/>
        </w:rPr>
        <w:t>a</w:t>
      </w:r>
      <w:r w:rsidRPr="0015419A">
        <w:rPr>
          <w:rFonts w:ascii="Times New Roman" w:hAnsi="Times New Roman" w:cs="Times New Roman"/>
          <w:i/>
          <w:iCs/>
          <w:sz w:val="24"/>
          <w:szCs w:val="24"/>
        </w:rPr>
        <w:t xml:space="preserve">l Comitato economico e sociale europeo e al Comitato delle Regioni relativa a una strategia in materia di finanza digitale per l’UE (24.9.2020 COM (2020) 591 </w:t>
      </w:r>
      <w:proofErr w:type="spellStart"/>
      <w:r w:rsidRPr="0015419A">
        <w:rPr>
          <w:rFonts w:ascii="Times New Roman" w:hAnsi="Times New Roman" w:cs="Times New Roman"/>
          <w:i/>
          <w:iCs/>
          <w:sz w:val="24"/>
          <w:szCs w:val="24"/>
        </w:rPr>
        <w:t>final</w:t>
      </w:r>
      <w:proofErr w:type="spellEnd"/>
      <w:r w:rsidRPr="0015419A">
        <w:rPr>
          <w:rFonts w:ascii="Times New Roman" w:hAnsi="Times New Roman" w:cs="Times New Roman"/>
          <w:i/>
          <w:iCs/>
          <w:sz w:val="24"/>
          <w:szCs w:val="24"/>
        </w:rPr>
        <w:t>)</w:t>
      </w:r>
      <w:r w:rsidRPr="0015419A">
        <w:rPr>
          <w:rFonts w:ascii="Times New Roman" w:hAnsi="Times New Roman" w:cs="Times New Roman"/>
          <w:sz w:val="24"/>
          <w:szCs w:val="24"/>
        </w:rPr>
        <w:t>.</w:t>
      </w:r>
      <w:r>
        <w:rPr>
          <w:rFonts w:ascii="Times New Roman" w:hAnsi="Times New Roman" w:cs="Times New Roman"/>
          <w:sz w:val="24"/>
          <w:szCs w:val="24"/>
        </w:rPr>
        <w:t xml:space="preserve"> La Commissione </w:t>
      </w:r>
      <w:r w:rsidR="002F0FE2">
        <w:rPr>
          <w:rFonts w:ascii="Times New Roman" w:hAnsi="Times New Roman" w:cs="Times New Roman"/>
          <w:sz w:val="24"/>
          <w:szCs w:val="24"/>
        </w:rPr>
        <w:t xml:space="preserve">ha </w:t>
      </w:r>
      <w:r>
        <w:rPr>
          <w:rFonts w:ascii="Times New Roman" w:hAnsi="Times New Roman" w:cs="Times New Roman"/>
          <w:sz w:val="24"/>
          <w:szCs w:val="24"/>
        </w:rPr>
        <w:t>insist</w:t>
      </w:r>
      <w:r w:rsidR="002F0FE2">
        <w:rPr>
          <w:rFonts w:ascii="Times New Roman" w:hAnsi="Times New Roman" w:cs="Times New Roman"/>
          <w:sz w:val="24"/>
          <w:szCs w:val="24"/>
        </w:rPr>
        <w:t>o</w:t>
      </w:r>
      <w:r>
        <w:rPr>
          <w:rFonts w:ascii="Times New Roman" w:hAnsi="Times New Roman" w:cs="Times New Roman"/>
          <w:sz w:val="24"/>
          <w:szCs w:val="24"/>
        </w:rPr>
        <w:t xml:space="preserve"> con enfasi sugli indubbi vantaggi della finanza digitale e incoraggia</w:t>
      </w:r>
      <w:r w:rsidR="002F0FE2">
        <w:rPr>
          <w:rFonts w:ascii="Times New Roman" w:hAnsi="Times New Roman" w:cs="Times New Roman"/>
          <w:sz w:val="24"/>
          <w:szCs w:val="24"/>
        </w:rPr>
        <w:t>to</w:t>
      </w:r>
      <w:r>
        <w:rPr>
          <w:rFonts w:ascii="Times New Roman" w:hAnsi="Times New Roman" w:cs="Times New Roman"/>
          <w:sz w:val="24"/>
          <w:szCs w:val="24"/>
        </w:rPr>
        <w:t xml:space="preserve"> il dialogo tra le singole autorità nazionali, una posizione corroborata dall’esperienza della pandemia e dalle potenzialità di contrast</w:t>
      </w:r>
      <w:r w:rsidR="002F0FE2">
        <w:rPr>
          <w:rFonts w:ascii="Times New Roman" w:hAnsi="Times New Roman" w:cs="Times New Roman"/>
          <w:sz w:val="24"/>
          <w:szCs w:val="24"/>
        </w:rPr>
        <w:t>o -</w:t>
      </w:r>
      <w:r>
        <w:rPr>
          <w:rFonts w:ascii="Times New Roman" w:hAnsi="Times New Roman" w:cs="Times New Roman"/>
          <w:sz w:val="24"/>
          <w:szCs w:val="24"/>
        </w:rPr>
        <w:t xml:space="preserve"> </w:t>
      </w:r>
      <w:r w:rsidR="002F0FE2">
        <w:rPr>
          <w:rFonts w:ascii="Times New Roman" w:hAnsi="Times New Roman" w:cs="Times New Roman"/>
          <w:sz w:val="24"/>
          <w:szCs w:val="24"/>
        </w:rPr>
        <w:t>per mezzo di</w:t>
      </w:r>
      <w:r>
        <w:rPr>
          <w:rFonts w:ascii="Times New Roman" w:hAnsi="Times New Roman" w:cs="Times New Roman"/>
          <w:sz w:val="24"/>
          <w:szCs w:val="24"/>
        </w:rPr>
        <w:t xml:space="preserve"> nuovi strumenti</w:t>
      </w:r>
      <w:r w:rsidR="002F0FE2">
        <w:rPr>
          <w:rFonts w:ascii="Times New Roman" w:hAnsi="Times New Roman" w:cs="Times New Roman"/>
          <w:sz w:val="24"/>
          <w:szCs w:val="24"/>
        </w:rPr>
        <w:t xml:space="preserve"> -</w:t>
      </w:r>
      <w:r>
        <w:rPr>
          <w:rFonts w:ascii="Times New Roman" w:hAnsi="Times New Roman" w:cs="Times New Roman"/>
          <w:sz w:val="24"/>
          <w:szCs w:val="24"/>
        </w:rPr>
        <w:t xml:space="preserve"> la crisi economica scatenata </w:t>
      </w:r>
      <w:r w:rsidR="002F0FE2">
        <w:rPr>
          <w:rFonts w:ascii="Times New Roman" w:hAnsi="Times New Roman" w:cs="Times New Roman"/>
          <w:sz w:val="24"/>
          <w:szCs w:val="24"/>
        </w:rPr>
        <w:t>da</w:t>
      </w:r>
      <w:r>
        <w:rPr>
          <w:rFonts w:ascii="Times New Roman" w:hAnsi="Times New Roman" w:cs="Times New Roman"/>
          <w:sz w:val="24"/>
          <w:szCs w:val="24"/>
        </w:rPr>
        <w:t>l diffondersi del virus.</w:t>
      </w:r>
      <w:r w:rsidR="002C748B">
        <w:rPr>
          <w:rFonts w:ascii="Times New Roman" w:hAnsi="Times New Roman" w:cs="Times New Roman"/>
          <w:sz w:val="24"/>
          <w:szCs w:val="24"/>
        </w:rPr>
        <w:t xml:space="preserve"> Questa fonte sarà richiamata </w:t>
      </w:r>
      <w:r w:rsidR="002F0FE2">
        <w:rPr>
          <w:rFonts w:ascii="Times New Roman" w:hAnsi="Times New Roman" w:cs="Times New Roman"/>
          <w:sz w:val="24"/>
          <w:szCs w:val="24"/>
        </w:rPr>
        <w:t>con particolare</w:t>
      </w:r>
      <w:r w:rsidR="002C748B">
        <w:rPr>
          <w:rFonts w:ascii="Times New Roman" w:hAnsi="Times New Roman" w:cs="Times New Roman"/>
          <w:sz w:val="24"/>
          <w:szCs w:val="24"/>
        </w:rPr>
        <w:t xml:space="preserve"> nel parere del Consiglio di Stato, soprattutto per </w:t>
      </w:r>
      <w:r w:rsidR="002F0FE2">
        <w:rPr>
          <w:rFonts w:ascii="Times New Roman" w:hAnsi="Times New Roman" w:cs="Times New Roman"/>
          <w:sz w:val="24"/>
          <w:szCs w:val="24"/>
        </w:rPr>
        <w:t>via del</w:t>
      </w:r>
      <w:r w:rsidR="002C748B">
        <w:rPr>
          <w:rFonts w:ascii="Times New Roman" w:hAnsi="Times New Roman" w:cs="Times New Roman"/>
          <w:sz w:val="24"/>
          <w:szCs w:val="24"/>
        </w:rPr>
        <w:t>la sua forte impronta europeista.</w:t>
      </w:r>
    </w:p>
    <w:p w14:paraId="4A78328E" w14:textId="1E581DB9" w:rsidR="00E52C1A" w:rsidRDefault="0015419A" w:rsidP="00E52C1A">
      <w:pPr>
        <w:pStyle w:val="Paragrafoelenco"/>
        <w:spacing w:line="360" w:lineRule="auto"/>
        <w:ind w:left="993" w:right="851" w:firstLine="425"/>
        <w:rPr>
          <w:rFonts w:ascii="Times New Roman" w:hAnsi="Times New Roman" w:cs="Times New Roman"/>
          <w:sz w:val="24"/>
          <w:szCs w:val="24"/>
        </w:rPr>
      </w:pPr>
      <w:r>
        <w:rPr>
          <w:rFonts w:ascii="Times New Roman" w:hAnsi="Times New Roman" w:cs="Times New Roman"/>
          <w:sz w:val="24"/>
          <w:szCs w:val="24"/>
        </w:rPr>
        <w:t>Nel novembre 2020</w:t>
      </w:r>
      <w:r w:rsidR="00E52C1A" w:rsidRPr="00E52C1A">
        <w:rPr>
          <w:rFonts w:ascii="Times New Roman" w:hAnsi="Times New Roman" w:cs="Times New Roman"/>
          <w:sz w:val="24"/>
          <w:szCs w:val="24"/>
        </w:rPr>
        <w:t xml:space="preserve"> il Consiglio dell’Unione europea ha presentato le «Conclusioni del Consiglio sugli spazi di sperimentazione normativa e le clausole di sperimentazione come strumenti per un quadro normativo favorevole all’innovazione, adeguato alle esigenze future e resiliente che sia in grado di affrontare le sfide epocali nell’era digitale» (220/C 447/01). Nel testo è menzionato il «principio di innovazione» e si legge che il Consiglio «evidenzia che la flessibilità e la sperimentazione possono costituire elementi importanti per un quadro normativo agile, favorevole all’innovazione, adeguato alle esigenze future, basato su dati concreti e resiliente che promuova la competitività, la crescita, la sostenibilità, l’apprendimento normativo nonché la sovranità tecnologica e la leadership dell’Europa e che contribuisca ad affrontare gli shock sistemici e le sfide future epocali e a lungo termine». Inoltre si incoraggia la Commissione a «prendere in considerazione l’uso di clausole di sperimentazione </w:t>
      </w:r>
      <w:r w:rsidR="00E52C1A" w:rsidRPr="00E52C1A">
        <w:rPr>
          <w:rFonts w:ascii="Times New Roman" w:hAnsi="Times New Roman" w:cs="Times New Roman"/>
          <w:sz w:val="24"/>
          <w:szCs w:val="24"/>
        </w:rPr>
        <w:lastRenderedPageBreak/>
        <w:t>caso per caso durante l’elaborazione e la revisione della legislazione, nonché a valutare l’uso di clausole di sperimentazione nelle valutazioni ex post e nei controlli dell’adeguatezza». Dalla Commissione si attende entro settembre 2021 «una relazione sullo stato di avanzamento dei lavori per quanto riguarda tale scambio di informazioni e buone pratiche sugli spazi di sperimentazione normativa, nonché la panoramica delle clausole di sperimentazione esistenti nel diritto dell’UE».</w:t>
      </w:r>
      <w:r>
        <w:rPr>
          <w:rFonts w:ascii="Times New Roman" w:hAnsi="Times New Roman" w:cs="Times New Roman"/>
          <w:sz w:val="24"/>
          <w:szCs w:val="24"/>
        </w:rPr>
        <w:t xml:space="preserve"> </w:t>
      </w:r>
    </w:p>
    <w:p w14:paraId="234A357C" w14:textId="169DD7C9" w:rsidR="002C748B" w:rsidRPr="00FC13E4" w:rsidRDefault="002C748B" w:rsidP="00FC13E4">
      <w:pPr>
        <w:pStyle w:val="Paragrafoelenco"/>
        <w:spacing w:line="360" w:lineRule="auto"/>
        <w:ind w:left="993" w:right="851" w:firstLine="425"/>
        <w:rPr>
          <w:rFonts w:ascii="Times New Roman" w:hAnsi="Times New Roman" w:cs="Times New Roman"/>
          <w:sz w:val="24"/>
          <w:szCs w:val="24"/>
        </w:rPr>
      </w:pPr>
      <w:r w:rsidRPr="002C748B">
        <w:rPr>
          <w:rFonts w:ascii="Times New Roman" w:hAnsi="Times New Roman" w:cs="Times New Roman"/>
          <w:sz w:val="24"/>
          <w:szCs w:val="24"/>
        </w:rPr>
        <w:t xml:space="preserve">Nell’ordinamento italiano </w:t>
      </w:r>
      <w:r>
        <w:rPr>
          <w:rFonts w:ascii="Times New Roman" w:hAnsi="Times New Roman" w:cs="Times New Roman"/>
          <w:sz w:val="24"/>
          <w:szCs w:val="24"/>
        </w:rPr>
        <w:t xml:space="preserve">il concetto di sperimentazione e in particolare </w:t>
      </w:r>
      <w:r w:rsidRPr="002C748B">
        <w:rPr>
          <w:rFonts w:ascii="Times New Roman" w:hAnsi="Times New Roman" w:cs="Times New Roman"/>
          <w:sz w:val="24"/>
          <w:szCs w:val="24"/>
        </w:rPr>
        <w:t xml:space="preserve">la </w:t>
      </w:r>
      <w:r w:rsidRPr="002C748B">
        <w:rPr>
          <w:rFonts w:ascii="Times New Roman" w:hAnsi="Times New Roman" w:cs="Times New Roman"/>
          <w:i/>
          <w:iCs/>
          <w:sz w:val="24"/>
          <w:szCs w:val="24"/>
        </w:rPr>
        <w:t>sandbox</w:t>
      </w:r>
      <w:r w:rsidRPr="002C748B">
        <w:rPr>
          <w:rFonts w:ascii="Times New Roman" w:hAnsi="Times New Roman" w:cs="Times New Roman"/>
          <w:sz w:val="24"/>
          <w:szCs w:val="24"/>
        </w:rPr>
        <w:t xml:space="preserve"> </w:t>
      </w:r>
      <w:r>
        <w:rPr>
          <w:rFonts w:ascii="Times New Roman" w:hAnsi="Times New Roman" w:cs="Times New Roman"/>
          <w:sz w:val="24"/>
          <w:szCs w:val="24"/>
        </w:rPr>
        <w:t>sono stati menzionati da</w:t>
      </w:r>
      <w:r w:rsidRPr="002C748B">
        <w:rPr>
          <w:rFonts w:ascii="Times New Roman" w:hAnsi="Times New Roman" w:cs="Times New Roman"/>
          <w:sz w:val="24"/>
          <w:szCs w:val="24"/>
        </w:rPr>
        <w:t xml:space="preserve">l Decreto legge nr. 34 del 2019, il cosiddetto “Decreto crescita” (dedicato alle «misure urgenti di crescita economica e per la risoluzione di specifiche situazioni di crisi»), convertito poi nella legge n. 58 del 2019. </w:t>
      </w:r>
      <w:r>
        <w:rPr>
          <w:rFonts w:ascii="Times New Roman" w:hAnsi="Times New Roman" w:cs="Times New Roman"/>
          <w:sz w:val="24"/>
          <w:szCs w:val="24"/>
        </w:rPr>
        <w:t>Per questa via</w:t>
      </w:r>
      <w:r w:rsidRPr="002C748B">
        <w:rPr>
          <w:rFonts w:ascii="Times New Roman" w:hAnsi="Times New Roman" w:cs="Times New Roman"/>
          <w:sz w:val="24"/>
          <w:szCs w:val="24"/>
        </w:rPr>
        <w:t xml:space="preserve"> si è </w:t>
      </w:r>
      <w:r>
        <w:rPr>
          <w:rFonts w:ascii="Times New Roman" w:hAnsi="Times New Roman" w:cs="Times New Roman"/>
          <w:sz w:val="24"/>
          <w:szCs w:val="24"/>
        </w:rPr>
        <w:t>attribuito</w:t>
      </w:r>
      <w:r w:rsidRPr="002C748B">
        <w:rPr>
          <w:rFonts w:ascii="Times New Roman" w:hAnsi="Times New Roman" w:cs="Times New Roman"/>
          <w:sz w:val="24"/>
          <w:szCs w:val="24"/>
        </w:rPr>
        <w:t xml:space="preserve"> </w:t>
      </w:r>
      <w:r>
        <w:rPr>
          <w:rFonts w:ascii="Times New Roman" w:hAnsi="Times New Roman" w:cs="Times New Roman"/>
          <w:sz w:val="24"/>
          <w:szCs w:val="24"/>
        </w:rPr>
        <w:t>a</w:t>
      </w:r>
      <w:r w:rsidRPr="002C748B">
        <w:rPr>
          <w:rFonts w:ascii="Times New Roman" w:hAnsi="Times New Roman" w:cs="Times New Roman"/>
          <w:sz w:val="24"/>
          <w:szCs w:val="24"/>
        </w:rPr>
        <w:t>l Ministero dell’Economia e della Finanza</w:t>
      </w:r>
      <w:r>
        <w:rPr>
          <w:rFonts w:ascii="Times New Roman" w:hAnsi="Times New Roman" w:cs="Times New Roman"/>
          <w:sz w:val="24"/>
          <w:szCs w:val="24"/>
        </w:rPr>
        <w:t xml:space="preserve"> l’incarico</w:t>
      </w:r>
      <w:r w:rsidRPr="002C748B">
        <w:rPr>
          <w:rFonts w:ascii="Times New Roman" w:hAnsi="Times New Roman" w:cs="Times New Roman"/>
          <w:sz w:val="24"/>
          <w:szCs w:val="24"/>
        </w:rPr>
        <w:t xml:space="preserve"> di consultare le autorità di vigilanza (Banca d’Italia, Consob e </w:t>
      </w:r>
      <w:proofErr w:type="spellStart"/>
      <w:r w:rsidRPr="002C748B">
        <w:rPr>
          <w:rFonts w:ascii="Times New Roman" w:hAnsi="Times New Roman" w:cs="Times New Roman"/>
          <w:sz w:val="24"/>
          <w:szCs w:val="24"/>
        </w:rPr>
        <w:t>Ivass</w:t>
      </w:r>
      <w:proofErr w:type="spellEnd"/>
      <w:r w:rsidRPr="002C748B">
        <w:rPr>
          <w:rFonts w:ascii="Times New Roman" w:hAnsi="Times New Roman" w:cs="Times New Roman"/>
          <w:sz w:val="24"/>
          <w:szCs w:val="24"/>
        </w:rPr>
        <w:t xml:space="preserve">) per determinare la condizioni e le modalità di svolgimento di sperimentazione nell’ambito delle attività </w:t>
      </w:r>
      <w:r w:rsidRPr="002C748B">
        <w:rPr>
          <w:rFonts w:ascii="Times New Roman" w:hAnsi="Times New Roman" w:cs="Times New Roman"/>
          <w:i/>
          <w:iCs/>
          <w:sz w:val="24"/>
          <w:szCs w:val="24"/>
        </w:rPr>
        <w:t>fintech</w:t>
      </w:r>
      <w:r w:rsidRPr="002C748B">
        <w:rPr>
          <w:rFonts w:ascii="Times New Roman" w:hAnsi="Times New Roman" w:cs="Times New Roman"/>
          <w:sz w:val="24"/>
          <w:szCs w:val="24"/>
        </w:rPr>
        <w:t>. L’articolo 36 recita</w:t>
      </w:r>
      <w:r>
        <w:rPr>
          <w:rFonts w:ascii="Times New Roman" w:hAnsi="Times New Roman" w:cs="Times New Roman"/>
          <w:sz w:val="24"/>
          <w:szCs w:val="24"/>
        </w:rPr>
        <w:t xml:space="preserve"> al comma 2 bis</w:t>
      </w:r>
      <w:r w:rsidRPr="002C748B">
        <w:rPr>
          <w:rFonts w:ascii="Times New Roman" w:hAnsi="Times New Roman" w:cs="Times New Roman"/>
          <w:sz w:val="24"/>
          <w:szCs w:val="24"/>
        </w:rPr>
        <w:t>: «al fine di  promuovere  e  sostenere  l’imprenditoria,  di stimolare la competizione nel mercato e di assicurare  la  protezione adeguata  dei  consumatori,  degli  investitori  e  del  mercato  dei capitali, nonché di favorire il  raccordo  tra  le  istituzioni,  le autorità e gli operatori del settore, il  Ministro  dell’economia  e delle finanze, sentiti la Banca d’Italia,  la  Commissione  nazionale per le società e la borsa (Consob) e  l’Istituto  per  la  vigilanza sulle assicurazioni (</w:t>
      </w:r>
      <w:proofErr w:type="spellStart"/>
      <w:r w:rsidRPr="002C748B">
        <w:rPr>
          <w:rFonts w:ascii="Times New Roman" w:hAnsi="Times New Roman" w:cs="Times New Roman"/>
          <w:sz w:val="24"/>
          <w:szCs w:val="24"/>
        </w:rPr>
        <w:t>Ivass</w:t>
      </w:r>
      <w:proofErr w:type="spellEnd"/>
      <w:r w:rsidRPr="002C748B">
        <w:rPr>
          <w:rFonts w:ascii="Times New Roman" w:hAnsi="Times New Roman" w:cs="Times New Roman"/>
          <w:sz w:val="24"/>
          <w:szCs w:val="24"/>
        </w:rPr>
        <w:t xml:space="preserve">), adotta, entro centottanta  giorni  dalla data di entrata in vigore della legge  di  conversione  del  presente decreto, uno o più regolamenti  per  definire  le  condizioni  e  le modalità  di  svolgimento  di  una  sperimentazione  relativa   alle attività di tecno-finanza (fintech) volte al perseguimento, mediante nuove  tecnologie  quali  l’intelligenza  </w:t>
      </w:r>
      <w:r w:rsidRPr="002C748B">
        <w:rPr>
          <w:rFonts w:ascii="Times New Roman" w:hAnsi="Times New Roman" w:cs="Times New Roman"/>
          <w:sz w:val="24"/>
          <w:szCs w:val="24"/>
        </w:rPr>
        <w:lastRenderedPageBreak/>
        <w:t>artificiale  e  i  registri distribuiti, dell’innovazione di servizi e di  prodotti  nei  settori finanziario, creditizio, assicurativo e dei mercati regolamentati».</w:t>
      </w:r>
      <w:r w:rsidR="00FC13E4">
        <w:rPr>
          <w:rFonts w:ascii="Times New Roman" w:hAnsi="Times New Roman" w:cs="Times New Roman"/>
          <w:sz w:val="24"/>
          <w:szCs w:val="24"/>
        </w:rPr>
        <w:t xml:space="preserve"> </w:t>
      </w:r>
      <w:r w:rsidRPr="00FC13E4">
        <w:rPr>
          <w:rFonts w:ascii="Times New Roman" w:hAnsi="Times New Roman" w:cs="Times New Roman"/>
          <w:sz w:val="24"/>
          <w:szCs w:val="24"/>
        </w:rPr>
        <w:t>La normativa prevede dei limiti alla sperimentazione, a conferma che non si intende affatto abolire l’ordinamento, ma semmai rinvenire nuovi strumenti giuridici per una realtà nuova.</w:t>
      </w:r>
    </w:p>
    <w:p w14:paraId="70F2A5C5" w14:textId="2CB55566" w:rsidR="002C748B" w:rsidRPr="002C748B" w:rsidRDefault="002C748B" w:rsidP="002C748B">
      <w:pPr>
        <w:pStyle w:val="Paragrafoelenco"/>
        <w:spacing w:line="360" w:lineRule="auto"/>
        <w:ind w:left="993" w:right="851" w:firstLine="425"/>
        <w:rPr>
          <w:rFonts w:ascii="Times New Roman" w:hAnsi="Times New Roman" w:cs="Times New Roman"/>
          <w:sz w:val="24"/>
          <w:szCs w:val="24"/>
        </w:rPr>
      </w:pPr>
      <w:r w:rsidRPr="00AD3682">
        <w:rPr>
          <w:rFonts w:ascii="Times New Roman" w:hAnsi="Times New Roman" w:cs="Times New Roman"/>
          <w:sz w:val="24"/>
          <w:szCs w:val="24"/>
        </w:rPr>
        <w:t>In prim</w:t>
      </w:r>
      <w:r w:rsidRPr="002C748B">
        <w:rPr>
          <w:rFonts w:ascii="Times New Roman" w:hAnsi="Times New Roman" w:cs="Times New Roman"/>
          <w:sz w:val="24"/>
          <w:szCs w:val="24"/>
        </w:rPr>
        <w:t>o luogo è fatta salv</w:t>
      </w:r>
      <w:r w:rsidR="002F0FE2">
        <w:rPr>
          <w:rFonts w:ascii="Times New Roman" w:hAnsi="Times New Roman" w:cs="Times New Roman"/>
          <w:sz w:val="24"/>
          <w:szCs w:val="24"/>
        </w:rPr>
        <w:t>o</w:t>
      </w:r>
      <w:r w:rsidRPr="002C748B">
        <w:rPr>
          <w:rFonts w:ascii="Times New Roman" w:hAnsi="Times New Roman" w:cs="Times New Roman"/>
          <w:sz w:val="24"/>
          <w:szCs w:val="24"/>
        </w:rPr>
        <w:t xml:space="preserve">, sul piano della gerarchia delle fonti, il rispetto del principio di proporzionalità a fondamento dell’ordinamento giuridico europeo. </w:t>
      </w:r>
    </w:p>
    <w:p w14:paraId="27CE5A99" w14:textId="598ECDD5" w:rsidR="002C748B" w:rsidRPr="002C748B" w:rsidRDefault="00FC13E4" w:rsidP="002C748B">
      <w:pPr>
        <w:pStyle w:val="Paragrafoelenco"/>
        <w:spacing w:line="360" w:lineRule="auto"/>
        <w:ind w:left="993" w:right="851" w:firstLine="425"/>
        <w:rPr>
          <w:rFonts w:ascii="Times New Roman" w:hAnsi="Times New Roman" w:cs="Times New Roman"/>
          <w:sz w:val="24"/>
          <w:szCs w:val="24"/>
        </w:rPr>
      </w:pPr>
      <w:r>
        <w:rPr>
          <w:rFonts w:ascii="Times New Roman" w:hAnsi="Times New Roman" w:cs="Times New Roman"/>
          <w:sz w:val="24"/>
          <w:szCs w:val="24"/>
        </w:rPr>
        <w:t xml:space="preserve">Nel rispetto dei </w:t>
      </w:r>
      <w:r w:rsidR="002C748B" w:rsidRPr="002C748B">
        <w:rPr>
          <w:rFonts w:ascii="Times New Roman" w:hAnsi="Times New Roman" w:cs="Times New Roman"/>
          <w:sz w:val="24"/>
          <w:szCs w:val="24"/>
        </w:rPr>
        <w:t>principi fondamentali dell’ordinamento europeo è previsto il limite temporale di diciotto mesi, entro il quale la sperimentazione è consentita (Art. 36 comma 2-ter lettera a). In secondo luogo si prevedono requisiti patrimoniali ridotti per l’accesso delle imprese alla sperimentazione, con l’evidente intento di incoraggiare start up innovative ma non ancora dotate di una sufficiente solidità finanziaria (Art. 36 comma 2-ter lettera b). Si sono quindi previsti criteri semplificati e proporzionati all’attività da svolgersi e tempi ridotti delle procedure autorizzative (Art. 36 comma 2-ter, lettera c e lettera d). Infine, è prevista una chiara definizione del perimetro di operatività.</w:t>
      </w:r>
    </w:p>
    <w:p w14:paraId="327665F1" w14:textId="77777777" w:rsidR="002C748B" w:rsidRPr="002C748B" w:rsidRDefault="002C748B" w:rsidP="002C748B">
      <w:pPr>
        <w:pStyle w:val="Paragrafoelenco"/>
        <w:spacing w:line="360" w:lineRule="auto"/>
        <w:ind w:left="993" w:right="851" w:firstLine="425"/>
        <w:rPr>
          <w:rFonts w:ascii="Times New Roman" w:hAnsi="Times New Roman" w:cs="Times New Roman"/>
          <w:sz w:val="24"/>
          <w:szCs w:val="24"/>
        </w:rPr>
      </w:pPr>
      <w:r w:rsidRPr="002C748B">
        <w:rPr>
          <w:rFonts w:ascii="Times New Roman" w:hAnsi="Times New Roman" w:cs="Times New Roman"/>
          <w:sz w:val="24"/>
          <w:szCs w:val="24"/>
        </w:rPr>
        <w:t xml:space="preserve">Al comma 2-quater dell’articolo 36 è nuovamente posta enfasi sull’inderogabilità della normativa europea a fondamento della regolamentazione affidata al Ministero dell’Economia e della Finanza. Questi ha il compito di determinare a) i requisiti di ammissione alla sperimentazione, che includono, come visto, il presupposto degli elementi di innovazione nell’impiego di tecnologie informatiche nell’ambito delle attività bancarie, finanziarie e assicurative b) i requisiti patrimoniali, seppur ridotti, per l’accesso alla sperimentazione c) gli adempimenti semplificati e proporzionati alle attività che si intende svolgere d) i parametri di operatività e) gli obblighi informativi da </w:t>
      </w:r>
      <w:r w:rsidRPr="002C748B">
        <w:rPr>
          <w:rFonts w:ascii="Times New Roman" w:hAnsi="Times New Roman" w:cs="Times New Roman"/>
          <w:sz w:val="24"/>
          <w:szCs w:val="24"/>
        </w:rPr>
        <w:lastRenderedPageBreak/>
        <w:t>adempiere nei confronti delle autorità di vigilanza f) i tempi per il rilascio delle autorizzazioni g) i requisiti di professionalità degli esponenti aziendali h) i profili di governo societario e di gestione del rischio i) le forme di governo societario ammissibili, anche in deroga alla normativa vigente l) le eventuali garanzie finanziarie m) l’iter successivo al termine della sperimentazione.</w:t>
      </w:r>
    </w:p>
    <w:p w14:paraId="03319789" w14:textId="030AD99C" w:rsidR="002C748B" w:rsidRPr="002C748B" w:rsidRDefault="002C748B" w:rsidP="002C748B">
      <w:pPr>
        <w:pStyle w:val="Paragrafoelenco"/>
        <w:spacing w:line="360" w:lineRule="auto"/>
        <w:ind w:left="993" w:right="851" w:firstLine="425"/>
        <w:rPr>
          <w:rFonts w:ascii="Times New Roman" w:hAnsi="Times New Roman" w:cs="Times New Roman"/>
          <w:sz w:val="24"/>
          <w:szCs w:val="24"/>
        </w:rPr>
      </w:pPr>
      <w:r w:rsidRPr="002C748B">
        <w:rPr>
          <w:rFonts w:ascii="Times New Roman" w:hAnsi="Times New Roman" w:cs="Times New Roman"/>
          <w:sz w:val="24"/>
          <w:szCs w:val="24"/>
        </w:rPr>
        <w:t xml:space="preserve">La normativa prevede inoltre che le </w:t>
      </w:r>
      <w:r w:rsidR="002F0FE2">
        <w:rPr>
          <w:rFonts w:ascii="Times New Roman" w:hAnsi="Times New Roman" w:cs="Times New Roman"/>
          <w:sz w:val="24"/>
          <w:szCs w:val="24"/>
        </w:rPr>
        <w:t>A</w:t>
      </w:r>
      <w:r w:rsidRPr="002C748B">
        <w:rPr>
          <w:rFonts w:ascii="Times New Roman" w:hAnsi="Times New Roman" w:cs="Times New Roman"/>
          <w:sz w:val="24"/>
          <w:szCs w:val="24"/>
        </w:rPr>
        <w:t xml:space="preserve">utorità di vigilanza redigano annualmente una relazione di analisi sul settore </w:t>
      </w:r>
      <w:r w:rsidRPr="002F0FE2">
        <w:rPr>
          <w:rFonts w:ascii="Times New Roman" w:hAnsi="Times New Roman" w:cs="Times New Roman"/>
          <w:i/>
          <w:iCs/>
          <w:sz w:val="24"/>
          <w:szCs w:val="24"/>
        </w:rPr>
        <w:t>fintech</w:t>
      </w:r>
      <w:r w:rsidRPr="002C748B">
        <w:rPr>
          <w:rFonts w:ascii="Times New Roman" w:hAnsi="Times New Roman" w:cs="Times New Roman"/>
          <w:sz w:val="24"/>
          <w:szCs w:val="24"/>
        </w:rPr>
        <w:t xml:space="preserve"> di propria competenza, segnalando eventualmente modifiche normative o regolamentari necessarie allo sviluppo del settore, alla tutela del risparmio e alla stabilità finanziaria. </w:t>
      </w:r>
    </w:p>
    <w:p w14:paraId="208F131A" w14:textId="77777777" w:rsidR="002C748B" w:rsidRPr="002C748B" w:rsidRDefault="002C748B" w:rsidP="002C748B">
      <w:pPr>
        <w:pStyle w:val="Paragrafoelenco"/>
        <w:spacing w:line="360" w:lineRule="auto"/>
        <w:ind w:left="993" w:right="851" w:firstLine="425"/>
        <w:rPr>
          <w:rFonts w:ascii="Times New Roman" w:hAnsi="Times New Roman" w:cs="Times New Roman"/>
          <w:sz w:val="24"/>
          <w:szCs w:val="24"/>
        </w:rPr>
      </w:pPr>
      <w:r w:rsidRPr="002C748B">
        <w:rPr>
          <w:rFonts w:ascii="Times New Roman" w:hAnsi="Times New Roman" w:cs="Times New Roman"/>
          <w:sz w:val="24"/>
          <w:szCs w:val="24"/>
        </w:rPr>
        <w:t xml:space="preserve">Infine è istituito il Comitato </w:t>
      </w:r>
      <w:r w:rsidRPr="002F0FE2">
        <w:rPr>
          <w:rFonts w:ascii="Times New Roman" w:hAnsi="Times New Roman" w:cs="Times New Roman"/>
          <w:i/>
          <w:iCs/>
          <w:sz w:val="24"/>
          <w:szCs w:val="24"/>
        </w:rPr>
        <w:t xml:space="preserve">fintech </w:t>
      </w:r>
      <w:r w:rsidRPr="002C748B">
        <w:rPr>
          <w:rFonts w:ascii="Times New Roman" w:hAnsi="Times New Roman" w:cs="Times New Roman"/>
          <w:sz w:val="24"/>
          <w:szCs w:val="24"/>
        </w:rPr>
        <w:t>presso il Ministero dell’Economia e delle Finanze con il compito di individuare obbiettivi, definire programmi, favorire lo sviluppo della tecno-finanza con azioni sue proprie, favorire il dialogo tra istituzioni e operatori del settore, nonché di formulare proposte e modifiche normative. Sono membri permanenti del Comitato il Ministro dell’Economia e delle Finanze, il Ministro dello Sviluppo economico, il Ministro per gli Affari europei, la Banca d’Italia,  la Consob, l’</w:t>
      </w:r>
      <w:proofErr w:type="spellStart"/>
      <w:r w:rsidRPr="002C748B">
        <w:rPr>
          <w:rFonts w:ascii="Times New Roman" w:hAnsi="Times New Roman" w:cs="Times New Roman"/>
          <w:sz w:val="24"/>
          <w:szCs w:val="24"/>
        </w:rPr>
        <w:t>Ivass</w:t>
      </w:r>
      <w:proofErr w:type="spellEnd"/>
      <w:r w:rsidRPr="002C748B">
        <w:rPr>
          <w:rFonts w:ascii="Times New Roman" w:hAnsi="Times New Roman" w:cs="Times New Roman"/>
          <w:sz w:val="24"/>
          <w:szCs w:val="24"/>
        </w:rPr>
        <w:t>, l’Autorità garante della concorrenza e del mercato, il Garante per  la  protezione  dei  dati  personali,  l’Agenzia  per l’Italia  digitale  e  l’Agenzia  delle  entrate.</w:t>
      </w:r>
    </w:p>
    <w:p w14:paraId="3579135B" w14:textId="71FE947F" w:rsidR="002C748B" w:rsidRDefault="002C748B" w:rsidP="002C748B">
      <w:pPr>
        <w:pStyle w:val="Paragrafoelenco"/>
        <w:spacing w:line="360" w:lineRule="auto"/>
        <w:ind w:left="993" w:right="851" w:firstLine="425"/>
        <w:rPr>
          <w:rFonts w:ascii="Times New Roman" w:hAnsi="Times New Roman" w:cs="Times New Roman"/>
          <w:sz w:val="24"/>
          <w:szCs w:val="24"/>
        </w:rPr>
      </w:pPr>
      <w:r w:rsidRPr="002C748B">
        <w:rPr>
          <w:rFonts w:ascii="Times New Roman" w:hAnsi="Times New Roman" w:cs="Times New Roman"/>
          <w:sz w:val="24"/>
          <w:szCs w:val="24"/>
        </w:rPr>
        <w:t>Sulla scorta del citato articolo 36 il Ministero dell’Economia e delle Finanze, dopo aver sentito Banca d’Italia, Con</w:t>
      </w:r>
      <w:r w:rsidR="005A77D2">
        <w:rPr>
          <w:rFonts w:ascii="Times New Roman" w:hAnsi="Times New Roman" w:cs="Times New Roman"/>
          <w:sz w:val="24"/>
          <w:szCs w:val="24"/>
        </w:rPr>
        <w:t>s</w:t>
      </w:r>
      <w:r w:rsidRPr="002C748B">
        <w:rPr>
          <w:rFonts w:ascii="Times New Roman" w:hAnsi="Times New Roman" w:cs="Times New Roman"/>
          <w:sz w:val="24"/>
          <w:szCs w:val="24"/>
        </w:rPr>
        <w:t xml:space="preserve">ob e </w:t>
      </w:r>
      <w:proofErr w:type="spellStart"/>
      <w:r w:rsidRPr="002C748B">
        <w:rPr>
          <w:rFonts w:ascii="Times New Roman" w:hAnsi="Times New Roman" w:cs="Times New Roman"/>
          <w:sz w:val="24"/>
          <w:szCs w:val="24"/>
        </w:rPr>
        <w:t>Ivass</w:t>
      </w:r>
      <w:proofErr w:type="spellEnd"/>
      <w:r w:rsidRPr="002C748B">
        <w:rPr>
          <w:rFonts w:ascii="Times New Roman" w:hAnsi="Times New Roman" w:cs="Times New Roman"/>
          <w:sz w:val="24"/>
          <w:szCs w:val="24"/>
        </w:rPr>
        <w:t xml:space="preserve">, ha dato adito ad una consultazione pubblica, conclusasi il 31 marzo 2020, in piena emergenza pandemica, e finalizzata all’adozione di un regolamento ministeriale che introduca in Italia l’istituto della </w:t>
      </w:r>
      <w:proofErr w:type="spellStart"/>
      <w:r w:rsidRPr="00FC13E4">
        <w:rPr>
          <w:rFonts w:ascii="Times New Roman" w:hAnsi="Times New Roman" w:cs="Times New Roman"/>
          <w:i/>
          <w:iCs/>
          <w:sz w:val="24"/>
          <w:szCs w:val="24"/>
        </w:rPr>
        <w:t>regulatory</w:t>
      </w:r>
      <w:proofErr w:type="spellEnd"/>
      <w:r w:rsidRPr="00FC13E4">
        <w:rPr>
          <w:rFonts w:ascii="Times New Roman" w:hAnsi="Times New Roman" w:cs="Times New Roman"/>
          <w:i/>
          <w:iCs/>
          <w:sz w:val="24"/>
          <w:szCs w:val="24"/>
        </w:rPr>
        <w:t xml:space="preserve"> sandbox</w:t>
      </w:r>
      <w:r w:rsidRPr="002C748B">
        <w:rPr>
          <w:rFonts w:ascii="Times New Roman" w:hAnsi="Times New Roman" w:cs="Times New Roman"/>
          <w:sz w:val="24"/>
          <w:szCs w:val="24"/>
        </w:rPr>
        <w:t>.</w:t>
      </w:r>
    </w:p>
    <w:p w14:paraId="092F3F8B" w14:textId="7C5DE3AC" w:rsidR="00FC13E4" w:rsidRDefault="00FC13E4" w:rsidP="002C748B">
      <w:pPr>
        <w:pStyle w:val="Paragrafoelenco"/>
        <w:spacing w:line="360" w:lineRule="auto"/>
        <w:ind w:left="993" w:right="851" w:firstLine="425"/>
        <w:rPr>
          <w:rFonts w:ascii="Times New Roman" w:hAnsi="Times New Roman" w:cs="Times New Roman"/>
          <w:sz w:val="24"/>
          <w:szCs w:val="24"/>
        </w:rPr>
      </w:pPr>
      <w:r>
        <w:rPr>
          <w:rFonts w:ascii="Times New Roman" w:hAnsi="Times New Roman" w:cs="Times New Roman"/>
          <w:sz w:val="24"/>
          <w:szCs w:val="24"/>
        </w:rPr>
        <w:t>In questo contesto si inserisce il parere del Consiglio di Stato</w:t>
      </w:r>
      <w:r w:rsidR="002F0FE2">
        <w:rPr>
          <w:rFonts w:ascii="Times New Roman" w:hAnsi="Times New Roman" w:cs="Times New Roman"/>
          <w:sz w:val="24"/>
          <w:szCs w:val="24"/>
        </w:rPr>
        <w:t>.</w:t>
      </w:r>
    </w:p>
    <w:p w14:paraId="649E2E46" w14:textId="23620D92" w:rsidR="00FC13E4" w:rsidRDefault="00FC13E4" w:rsidP="002C748B">
      <w:pPr>
        <w:pStyle w:val="Paragrafoelenco"/>
        <w:spacing w:line="360" w:lineRule="auto"/>
        <w:ind w:left="993" w:right="851" w:firstLine="425"/>
        <w:rPr>
          <w:rFonts w:ascii="Times New Roman" w:hAnsi="Times New Roman" w:cs="Times New Roman"/>
          <w:sz w:val="24"/>
          <w:szCs w:val="24"/>
        </w:rPr>
      </w:pPr>
    </w:p>
    <w:p w14:paraId="03AF613A" w14:textId="4AD8520C" w:rsidR="00FC13E4" w:rsidRDefault="00FC13E4" w:rsidP="00FC13E4">
      <w:pPr>
        <w:pStyle w:val="Paragrafoelenco"/>
        <w:numPr>
          <w:ilvl w:val="0"/>
          <w:numId w:val="1"/>
        </w:numPr>
        <w:spacing w:line="360" w:lineRule="auto"/>
        <w:ind w:left="1701" w:right="851"/>
        <w:rPr>
          <w:rFonts w:ascii="Times New Roman" w:hAnsi="Times New Roman" w:cs="Times New Roman"/>
          <w:sz w:val="24"/>
          <w:szCs w:val="24"/>
        </w:rPr>
      </w:pPr>
      <w:r>
        <w:rPr>
          <w:rFonts w:ascii="Times New Roman" w:hAnsi="Times New Roman" w:cs="Times New Roman"/>
          <w:sz w:val="24"/>
          <w:szCs w:val="24"/>
        </w:rPr>
        <w:lastRenderedPageBreak/>
        <w:t>Il parere del Consiglio di Stato</w:t>
      </w:r>
    </w:p>
    <w:p w14:paraId="67D06DB9" w14:textId="02B00EFD" w:rsidR="00FC13E4" w:rsidRDefault="00FC13E4" w:rsidP="00FC13E4">
      <w:pPr>
        <w:spacing w:line="360" w:lineRule="auto"/>
        <w:ind w:left="993" w:right="851" w:firstLine="283"/>
        <w:rPr>
          <w:rFonts w:ascii="Times New Roman" w:hAnsi="Times New Roman" w:cs="Times New Roman"/>
          <w:sz w:val="24"/>
          <w:szCs w:val="24"/>
        </w:rPr>
      </w:pPr>
      <w:r>
        <w:rPr>
          <w:rFonts w:ascii="Times New Roman" w:hAnsi="Times New Roman" w:cs="Times New Roman"/>
          <w:sz w:val="24"/>
          <w:szCs w:val="24"/>
        </w:rPr>
        <w:t xml:space="preserve"> </w:t>
      </w:r>
    </w:p>
    <w:p w14:paraId="373BA633" w14:textId="10DC15C1" w:rsidR="00FC13E4" w:rsidRDefault="00FC13E4" w:rsidP="00FC13E4">
      <w:pPr>
        <w:spacing w:line="360" w:lineRule="auto"/>
        <w:ind w:left="993" w:right="851" w:firstLine="283"/>
        <w:rPr>
          <w:rFonts w:ascii="Times New Roman" w:hAnsi="Times New Roman" w:cs="Times New Roman"/>
          <w:sz w:val="24"/>
          <w:szCs w:val="24"/>
        </w:rPr>
      </w:pPr>
      <w:r>
        <w:rPr>
          <w:rFonts w:ascii="Times New Roman" w:hAnsi="Times New Roman" w:cs="Times New Roman"/>
          <w:sz w:val="24"/>
          <w:szCs w:val="24"/>
        </w:rPr>
        <w:t>Lo schema del decreto di regolamento ha ottenuto il parere favorevole del Consiglio di Stato nel gennaio 2021. Nonostante la sostanziale approvazione della bozza di decreto sono messe in risalto alcune criticità emerse nel dialogo tra e con le Autorità di vigilanza nella prospettiva della pluralità degli ordinamenti giuridici.</w:t>
      </w:r>
      <w:r w:rsidR="005A77D2">
        <w:rPr>
          <w:rStyle w:val="Rimandonotaapidipagina"/>
          <w:rFonts w:ascii="Times New Roman" w:hAnsi="Times New Roman" w:cs="Times New Roman"/>
          <w:sz w:val="24"/>
          <w:szCs w:val="24"/>
        </w:rPr>
        <w:footnoteReference w:id="7"/>
      </w:r>
      <w:r>
        <w:rPr>
          <w:rFonts w:ascii="Times New Roman" w:hAnsi="Times New Roman" w:cs="Times New Roman"/>
          <w:sz w:val="24"/>
          <w:szCs w:val="24"/>
        </w:rPr>
        <w:t xml:space="preserve"> Il Consiglio di Stato richiama la posizione della Commissione</w:t>
      </w:r>
      <w:r w:rsidR="002F0FE2">
        <w:rPr>
          <w:rFonts w:ascii="Times New Roman" w:hAnsi="Times New Roman" w:cs="Times New Roman"/>
          <w:sz w:val="24"/>
          <w:szCs w:val="24"/>
        </w:rPr>
        <w:t xml:space="preserve"> e</w:t>
      </w:r>
      <w:r>
        <w:rPr>
          <w:rFonts w:ascii="Times New Roman" w:hAnsi="Times New Roman" w:cs="Times New Roman"/>
          <w:sz w:val="24"/>
          <w:szCs w:val="24"/>
        </w:rPr>
        <w:t xml:space="preserve"> insiste nello circoscrivere l’ambito della sperimentazione tecnologica ai campi bancario, finanziario e assicurativo. La necessità di un controllo da esercitarsi sulla sperimentazione è fortemente affermata proprio in una prospettiva </w:t>
      </w:r>
      <w:proofErr w:type="spellStart"/>
      <w:r>
        <w:rPr>
          <w:rFonts w:ascii="Times New Roman" w:hAnsi="Times New Roman" w:cs="Times New Roman"/>
          <w:sz w:val="24"/>
          <w:szCs w:val="24"/>
        </w:rPr>
        <w:t>pluriordinamentale</w:t>
      </w:r>
      <w:proofErr w:type="spellEnd"/>
      <w:r>
        <w:rPr>
          <w:rFonts w:ascii="Times New Roman" w:hAnsi="Times New Roman" w:cs="Times New Roman"/>
          <w:sz w:val="24"/>
          <w:szCs w:val="24"/>
        </w:rPr>
        <w:t xml:space="preserve">: </w:t>
      </w:r>
      <w:r w:rsidR="00B408EC">
        <w:rPr>
          <w:rFonts w:ascii="Times New Roman" w:hAnsi="Times New Roman" w:cs="Times New Roman"/>
          <w:sz w:val="24"/>
          <w:szCs w:val="24"/>
        </w:rPr>
        <w:t>«</w:t>
      </w:r>
      <w:r w:rsidR="00B408EC" w:rsidRPr="00B408EC">
        <w:rPr>
          <w:rFonts w:ascii="Times New Roman" w:hAnsi="Times New Roman" w:cs="Times New Roman"/>
          <w:sz w:val="24"/>
          <w:szCs w:val="24"/>
        </w:rPr>
        <w:t>occorre</w:t>
      </w:r>
      <w:r w:rsidR="00B408EC">
        <w:rPr>
          <w:rFonts w:ascii="Times New Roman" w:hAnsi="Times New Roman" w:cs="Times New Roman"/>
          <w:sz w:val="24"/>
          <w:szCs w:val="24"/>
        </w:rPr>
        <w:t xml:space="preserve"> </w:t>
      </w:r>
      <w:r w:rsidR="00B408EC" w:rsidRPr="00B408EC">
        <w:rPr>
          <w:rFonts w:ascii="Times New Roman" w:hAnsi="Times New Roman" w:cs="Times New Roman"/>
          <w:sz w:val="24"/>
          <w:szCs w:val="24"/>
        </w:rPr>
        <w:t>adottare</w:t>
      </w:r>
      <w:r w:rsidR="00B408EC">
        <w:rPr>
          <w:rFonts w:ascii="Times New Roman" w:hAnsi="Times New Roman" w:cs="Times New Roman"/>
          <w:sz w:val="24"/>
          <w:szCs w:val="24"/>
        </w:rPr>
        <w:t xml:space="preserve"> - così si legge nel parere -</w:t>
      </w:r>
      <w:r w:rsidR="00B408EC" w:rsidRPr="00B408EC">
        <w:rPr>
          <w:rFonts w:ascii="Times New Roman" w:hAnsi="Times New Roman" w:cs="Times New Roman"/>
          <w:sz w:val="24"/>
          <w:szCs w:val="24"/>
        </w:rPr>
        <w:t xml:space="preserve"> un approccio regolamentare e di vigilanza coordinato e condiviso tra le autorità a livello nazionale, europeo e globale, per promuovere l</w:t>
      </w:r>
      <w:r w:rsidR="002F0FE2">
        <w:rPr>
          <w:rFonts w:ascii="Times New Roman" w:hAnsi="Times New Roman" w:cs="Times New Roman"/>
          <w:sz w:val="24"/>
          <w:szCs w:val="24"/>
        </w:rPr>
        <w:t>’</w:t>
      </w:r>
      <w:r w:rsidR="00B408EC" w:rsidRPr="00B408EC">
        <w:rPr>
          <w:rFonts w:ascii="Times New Roman" w:hAnsi="Times New Roman" w:cs="Times New Roman"/>
          <w:sz w:val="24"/>
          <w:szCs w:val="24"/>
        </w:rPr>
        <w:t>innovazione e rimuovere ostacoli al suo sviluppo, al contempo assicurando l</w:t>
      </w:r>
      <w:r w:rsidR="002F0FE2">
        <w:rPr>
          <w:rFonts w:ascii="Times New Roman" w:hAnsi="Times New Roman" w:cs="Times New Roman"/>
          <w:sz w:val="24"/>
          <w:szCs w:val="24"/>
        </w:rPr>
        <w:t>’</w:t>
      </w:r>
      <w:r w:rsidR="00B408EC" w:rsidRPr="00B408EC">
        <w:rPr>
          <w:rFonts w:ascii="Times New Roman" w:hAnsi="Times New Roman" w:cs="Times New Roman"/>
          <w:sz w:val="24"/>
          <w:szCs w:val="24"/>
        </w:rPr>
        <w:t>integrità dei mercati e la tutela di utenti e risparmiatori</w:t>
      </w:r>
      <w:r w:rsidR="00B408EC">
        <w:rPr>
          <w:rFonts w:ascii="Times New Roman" w:hAnsi="Times New Roman" w:cs="Times New Roman"/>
          <w:sz w:val="24"/>
          <w:szCs w:val="24"/>
        </w:rPr>
        <w:t>»</w:t>
      </w:r>
      <w:r w:rsidR="00B408EC" w:rsidRPr="00B408EC">
        <w:rPr>
          <w:rFonts w:ascii="Times New Roman" w:hAnsi="Times New Roman" w:cs="Times New Roman"/>
          <w:sz w:val="24"/>
          <w:szCs w:val="24"/>
        </w:rPr>
        <w:t>.</w:t>
      </w:r>
      <w:r w:rsidR="00B408EC">
        <w:rPr>
          <w:rFonts w:ascii="Times New Roman" w:hAnsi="Times New Roman" w:cs="Times New Roman"/>
          <w:sz w:val="24"/>
          <w:szCs w:val="24"/>
        </w:rPr>
        <w:t xml:space="preserve"> Opportunatamente è poi richiamata l’esperienza della Gran Bretagna, che per prima ha introdotto la sandbox e che oggi sta già “superandolo” estendendone le potenzialità (ad esempio pensando a un sistema di dialogo “permanente” tra imprese e </w:t>
      </w:r>
      <w:r w:rsidR="002F0FE2">
        <w:rPr>
          <w:rFonts w:ascii="Times New Roman" w:hAnsi="Times New Roman" w:cs="Times New Roman"/>
          <w:sz w:val="24"/>
          <w:szCs w:val="24"/>
        </w:rPr>
        <w:t>A</w:t>
      </w:r>
      <w:r w:rsidR="00B408EC">
        <w:rPr>
          <w:rFonts w:ascii="Times New Roman" w:hAnsi="Times New Roman" w:cs="Times New Roman"/>
          <w:sz w:val="24"/>
          <w:szCs w:val="24"/>
        </w:rPr>
        <w:t>utorità di vigilanza).</w:t>
      </w:r>
      <w:r w:rsidR="00B408EC">
        <w:rPr>
          <w:rStyle w:val="Rimandonotaapidipagina"/>
          <w:rFonts w:ascii="Times New Roman" w:hAnsi="Times New Roman" w:cs="Times New Roman"/>
          <w:sz w:val="24"/>
          <w:szCs w:val="24"/>
        </w:rPr>
        <w:footnoteReference w:id="8"/>
      </w:r>
    </w:p>
    <w:p w14:paraId="0BB4589C" w14:textId="604DFD35" w:rsidR="00E64DCE" w:rsidRDefault="006C4A28" w:rsidP="00FC13E4">
      <w:pPr>
        <w:spacing w:line="360" w:lineRule="auto"/>
        <w:ind w:left="993" w:right="851" w:firstLine="283"/>
        <w:rPr>
          <w:rFonts w:ascii="Times New Roman" w:hAnsi="Times New Roman" w:cs="Times New Roman"/>
          <w:sz w:val="24"/>
          <w:szCs w:val="24"/>
        </w:rPr>
      </w:pPr>
      <w:r>
        <w:rPr>
          <w:rFonts w:ascii="Times New Roman" w:hAnsi="Times New Roman" w:cs="Times New Roman"/>
          <w:sz w:val="24"/>
          <w:szCs w:val="24"/>
        </w:rPr>
        <w:lastRenderedPageBreak/>
        <w:t>Nonostante orpelli critici come ad esempio il riconoscimento che gli esiti della consultazione pubblica avvenuta tra il 3 febbraio e il 31 marzo 2020</w:t>
      </w:r>
      <w:r w:rsidR="002F0FE2">
        <w:rPr>
          <w:rFonts w:ascii="Times New Roman" w:hAnsi="Times New Roman" w:cs="Times New Roman"/>
          <w:sz w:val="24"/>
          <w:szCs w:val="24"/>
        </w:rPr>
        <w:t xml:space="preserve"> non siano mai stati resi noti</w:t>
      </w:r>
      <w:r>
        <w:rPr>
          <w:rFonts w:ascii="Times New Roman" w:hAnsi="Times New Roman" w:cs="Times New Roman"/>
          <w:sz w:val="24"/>
          <w:szCs w:val="24"/>
        </w:rPr>
        <w:t>, il Consiglio di Stato approva la linea tracciata dall’amministrazione. In particolare si prende atto che lo schema del decreto ministeriale non ha suscitato formali annotazioni da parte della Banca d’Italia e dell’</w:t>
      </w:r>
      <w:proofErr w:type="spellStart"/>
      <w:r>
        <w:rPr>
          <w:rFonts w:ascii="Times New Roman" w:hAnsi="Times New Roman" w:cs="Times New Roman"/>
          <w:sz w:val="24"/>
          <w:szCs w:val="24"/>
        </w:rPr>
        <w:t>Ivass</w:t>
      </w:r>
      <w:proofErr w:type="spellEnd"/>
      <w:r>
        <w:rPr>
          <w:rFonts w:ascii="Times New Roman" w:hAnsi="Times New Roman" w:cs="Times New Roman"/>
          <w:sz w:val="24"/>
          <w:szCs w:val="24"/>
        </w:rPr>
        <w:t xml:space="preserve">, mentre un parere negativo è stato rilasciato dalla Consob. Quest’ultimo rappresenta il nodo problematico dipanato nel parere. </w:t>
      </w:r>
      <w:r w:rsidR="00E64DCE">
        <w:rPr>
          <w:rFonts w:ascii="Times New Roman" w:hAnsi="Times New Roman" w:cs="Times New Roman"/>
          <w:sz w:val="24"/>
          <w:szCs w:val="24"/>
        </w:rPr>
        <w:t>Così è riassunta l’annotazione critica della Consob: «</w:t>
      </w:r>
      <w:r w:rsidR="00E64DCE" w:rsidRPr="00E64DCE">
        <w:rPr>
          <w:rFonts w:ascii="Times New Roman" w:hAnsi="Times New Roman" w:cs="Times New Roman"/>
          <w:sz w:val="24"/>
          <w:szCs w:val="24"/>
        </w:rPr>
        <w:t>La CONSOB, con nota prot. n. 746661/20 del 30 luglio 2020, ha invece espresso parere negativo limitatamente alla previsione che amplia l’ambito di applicazione della sperimentazione a soggetti che non abbiano la loro sede in Italia, e ciò in ragione della riduzione delle competenze e dei poteri esercitabili e della conseguente ridotta portata dell’attività di vigilanza esercitabili da parte dell’Autorità dello Stato ospitante. In proposito, il Ministero ha rappresentato di aver, tuttavia, ritenuto opportuno non escludere dall</w:t>
      </w:r>
      <w:r w:rsidR="00E64DCE">
        <w:rPr>
          <w:rFonts w:ascii="Times New Roman" w:hAnsi="Times New Roman" w:cs="Times New Roman"/>
          <w:sz w:val="24"/>
          <w:szCs w:val="24"/>
        </w:rPr>
        <w:t>’</w:t>
      </w:r>
      <w:r w:rsidR="00E64DCE" w:rsidRPr="00E64DCE">
        <w:rPr>
          <w:rFonts w:ascii="Times New Roman" w:hAnsi="Times New Roman" w:cs="Times New Roman"/>
          <w:sz w:val="24"/>
          <w:szCs w:val="24"/>
        </w:rPr>
        <w:t>applicazione del regolamento in oggetto le attività svolte da o a favore di soggetti con sede legale in uno Stato dell’U.E. e operanti in Italia in regime di libera prestazione di servizi</w:t>
      </w:r>
      <w:r w:rsidR="00E64DCE">
        <w:rPr>
          <w:rFonts w:ascii="Times New Roman" w:hAnsi="Times New Roman" w:cs="Times New Roman"/>
          <w:sz w:val="24"/>
          <w:szCs w:val="24"/>
        </w:rPr>
        <w:t>»</w:t>
      </w:r>
      <w:r w:rsidR="00E64DCE" w:rsidRPr="00E64DCE">
        <w:rPr>
          <w:rFonts w:ascii="Times New Roman" w:hAnsi="Times New Roman" w:cs="Times New Roman"/>
          <w:sz w:val="24"/>
          <w:szCs w:val="24"/>
        </w:rPr>
        <w:t>.</w:t>
      </w:r>
    </w:p>
    <w:p w14:paraId="5970E268" w14:textId="472A0D69" w:rsidR="006C4A28" w:rsidRDefault="00E64DCE" w:rsidP="00FC13E4">
      <w:pPr>
        <w:spacing w:line="360" w:lineRule="auto"/>
        <w:ind w:left="993" w:right="851" w:firstLine="283"/>
        <w:rPr>
          <w:rFonts w:ascii="Times New Roman" w:hAnsi="Times New Roman" w:cs="Times New Roman"/>
          <w:sz w:val="24"/>
          <w:szCs w:val="24"/>
        </w:rPr>
      </w:pPr>
      <w:r>
        <w:rPr>
          <w:rFonts w:ascii="Times New Roman" w:hAnsi="Times New Roman" w:cs="Times New Roman"/>
          <w:sz w:val="24"/>
          <w:szCs w:val="24"/>
        </w:rPr>
        <w:t>Tra le autorità di vigilanza, la Consob esprime una preoccupazione sulla propria p</w:t>
      </w:r>
      <w:r w:rsidR="00F7027B">
        <w:rPr>
          <w:rFonts w:ascii="Times New Roman" w:hAnsi="Times New Roman" w:cs="Times New Roman"/>
          <w:sz w:val="24"/>
          <w:szCs w:val="24"/>
        </w:rPr>
        <w:t>rerogativa</w:t>
      </w:r>
      <w:r>
        <w:rPr>
          <w:rFonts w:ascii="Times New Roman" w:hAnsi="Times New Roman" w:cs="Times New Roman"/>
          <w:sz w:val="24"/>
          <w:szCs w:val="24"/>
        </w:rPr>
        <w:t xml:space="preserve"> di controllare l’attività di soggetti con sede legale in uno Stato membro</w:t>
      </w:r>
      <w:r w:rsidR="00F7027B">
        <w:rPr>
          <w:rFonts w:ascii="Times New Roman" w:hAnsi="Times New Roman" w:cs="Times New Roman"/>
          <w:sz w:val="24"/>
          <w:szCs w:val="24"/>
        </w:rPr>
        <w:t xml:space="preserve"> diverso dall’Italia</w:t>
      </w:r>
      <w:r>
        <w:rPr>
          <w:rFonts w:ascii="Times New Roman" w:hAnsi="Times New Roman" w:cs="Times New Roman"/>
          <w:sz w:val="24"/>
          <w:szCs w:val="24"/>
        </w:rPr>
        <w:t>, affermando così un criterio – per così dire – di diritto interno. L’</w:t>
      </w:r>
      <w:r w:rsidR="00F7027B">
        <w:rPr>
          <w:rFonts w:ascii="Times New Roman" w:hAnsi="Times New Roman" w:cs="Times New Roman"/>
          <w:sz w:val="24"/>
          <w:szCs w:val="24"/>
        </w:rPr>
        <w:t>A</w:t>
      </w:r>
      <w:r>
        <w:rPr>
          <w:rFonts w:ascii="Times New Roman" w:hAnsi="Times New Roman" w:cs="Times New Roman"/>
          <w:sz w:val="24"/>
          <w:szCs w:val="24"/>
        </w:rPr>
        <w:t>utorità di vigilanza esprime cioè una preoccupazione circa la p</w:t>
      </w:r>
      <w:r w:rsidR="00F7027B">
        <w:rPr>
          <w:rFonts w:ascii="Times New Roman" w:hAnsi="Times New Roman" w:cs="Times New Roman"/>
          <w:sz w:val="24"/>
          <w:szCs w:val="24"/>
        </w:rPr>
        <w:t>ossibilità</w:t>
      </w:r>
      <w:r>
        <w:rPr>
          <w:rFonts w:ascii="Times New Roman" w:hAnsi="Times New Roman" w:cs="Times New Roman"/>
          <w:sz w:val="24"/>
          <w:szCs w:val="24"/>
        </w:rPr>
        <w:t xml:space="preserve"> di controllo dei requisiti per l’accesso delle imprese al mercato</w:t>
      </w:r>
      <w:r w:rsidR="00F7027B">
        <w:rPr>
          <w:rFonts w:ascii="Times New Roman" w:hAnsi="Times New Roman" w:cs="Times New Roman"/>
          <w:sz w:val="24"/>
          <w:szCs w:val="24"/>
        </w:rPr>
        <w:t xml:space="preserve"> e più in generale di vigilanza durante la sperimentazione</w:t>
      </w:r>
      <w:r>
        <w:rPr>
          <w:rFonts w:ascii="Times New Roman" w:hAnsi="Times New Roman" w:cs="Times New Roman"/>
          <w:sz w:val="24"/>
          <w:szCs w:val="24"/>
        </w:rPr>
        <w:t>, qualora queste non avessero sede entro i confini nazionali. Un criterio, questo, che sembra però ancora</w:t>
      </w:r>
      <w:r w:rsidR="00F7027B">
        <w:rPr>
          <w:rFonts w:ascii="Times New Roman" w:hAnsi="Times New Roman" w:cs="Times New Roman"/>
          <w:sz w:val="24"/>
          <w:szCs w:val="24"/>
        </w:rPr>
        <w:t>to</w:t>
      </w:r>
      <w:r>
        <w:rPr>
          <w:rFonts w:ascii="Times New Roman" w:hAnsi="Times New Roman" w:cs="Times New Roman"/>
          <w:sz w:val="24"/>
          <w:szCs w:val="24"/>
        </w:rPr>
        <w:t xml:space="preserve"> a una concezione statalistica dell’ordinamento giuridico, come se esso non fosse inserito </w:t>
      </w:r>
      <w:r>
        <w:rPr>
          <w:rFonts w:ascii="Times New Roman" w:hAnsi="Times New Roman" w:cs="Times New Roman"/>
          <w:sz w:val="24"/>
          <w:szCs w:val="24"/>
        </w:rPr>
        <w:lastRenderedPageBreak/>
        <w:t>nella cornice europea se non proprio globale. Sarebbe infatti da ricordare che la mancanza del requisito della sede legale “interna” non è di per sé sinonimo di assenza di controllo</w:t>
      </w:r>
      <w:r w:rsidR="00F7027B">
        <w:rPr>
          <w:rFonts w:ascii="Times New Roman" w:hAnsi="Times New Roman" w:cs="Times New Roman"/>
          <w:sz w:val="24"/>
          <w:szCs w:val="24"/>
        </w:rPr>
        <w:t xml:space="preserve"> o di soggezione a principi e regole richiamati tanto in sede nazionale che europea</w:t>
      </w:r>
      <w:r>
        <w:rPr>
          <w:rFonts w:ascii="Times New Roman" w:hAnsi="Times New Roman" w:cs="Times New Roman"/>
          <w:sz w:val="24"/>
          <w:szCs w:val="24"/>
        </w:rPr>
        <w:t xml:space="preserve">. La Commissione ha infatti posto sufficiente enfasi sui criteri di accesso alla sperimentazione. Il Consiglio di Stato accoglie la linea europeista, respingendo implicitamente le obiezioni della Consob. Così si legge nel parere: </w:t>
      </w:r>
      <w:r w:rsidR="004237A2">
        <w:rPr>
          <w:rFonts w:ascii="Times New Roman" w:hAnsi="Times New Roman" w:cs="Times New Roman"/>
          <w:sz w:val="24"/>
          <w:szCs w:val="24"/>
        </w:rPr>
        <w:t>«</w:t>
      </w:r>
      <w:r w:rsidR="004237A2" w:rsidRPr="004237A2">
        <w:rPr>
          <w:rFonts w:ascii="Times New Roman" w:hAnsi="Times New Roman" w:cs="Times New Roman"/>
          <w:sz w:val="24"/>
          <w:szCs w:val="24"/>
        </w:rPr>
        <w:t xml:space="preserve">Sempre al comma 2, alle lett. c) e d) (v. anche art. 13, comma 4, penultimo periodo), si prevede che la sperimentazione può essere anche richiesta per un’attività “in favore di un soggetto avente sede legale in un altro Stato membro dell'Unione europea e operante in Italia in regime di libera prestazione di servizi”. In proposito la CONSOB, con la citata nota del 30 luglio 2020, ha espresso avviso negativo in ragione della “contrazione delle competenze e dei poteri esercitabili da parte dell'autorità dello Stato membro ospitante e la conseguente ridotta portata dell'attività di vigilanza”. Il Ministero, come sopra evidenziato, ha ritenuto opportuno non escludere dall’applicazione del presente regolamento le attività in questione, ritenendo prevalente l’esigenza di apertura all’innovazione derivante dalla sperimentazione da parte di operatori residenti in altri Paesi dell’U.E., espressione dei principi comunitari di libertà di circolazione e di stabilimento; con riguardo ai profili di rischio indicati dalla CONSOB, il Ministero ha significato che potrebbero essere superati alla luce del principio di proporzionalità che guida le autorità nella valutazione delle richieste di ammissione alla sperimentazione. Al riguardo, considerato che sia la citata </w:t>
      </w:r>
      <w:r w:rsidR="004237A2" w:rsidRPr="004237A2">
        <w:rPr>
          <w:rFonts w:ascii="Times New Roman" w:hAnsi="Times New Roman" w:cs="Times New Roman"/>
          <w:i/>
          <w:iCs/>
          <w:sz w:val="24"/>
          <w:szCs w:val="24"/>
        </w:rPr>
        <w:t xml:space="preserve">Comunicazione della Commissione europea 24.9.2020 COM(2020) 591 </w:t>
      </w:r>
      <w:proofErr w:type="spellStart"/>
      <w:r w:rsidR="004237A2" w:rsidRPr="004237A2">
        <w:rPr>
          <w:rFonts w:ascii="Times New Roman" w:hAnsi="Times New Roman" w:cs="Times New Roman"/>
          <w:i/>
          <w:iCs/>
          <w:sz w:val="24"/>
          <w:szCs w:val="24"/>
        </w:rPr>
        <w:t>final</w:t>
      </w:r>
      <w:proofErr w:type="spellEnd"/>
      <w:r w:rsidR="004237A2" w:rsidRPr="004237A2">
        <w:rPr>
          <w:rFonts w:ascii="Times New Roman" w:hAnsi="Times New Roman" w:cs="Times New Roman"/>
          <w:i/>
          <w:iCs/>
          <w:sz w:val="24"/>
          <w:szCs w:val="24"/>
        </w:rPr>
        <w:t xml:space="preserve"> </w:t>
      </w:r>
      <w:r w:rsidR="004237A2" w:rsidRPr="004237A2">
        <w:rPr>
          <w:rFonts w:ascii="Times New Roman" w:hAnsi="Times New Roman" w:cs="Times New Roman"/>
          <w:sz w:val="24"/>
          <w:szCs w:val="24"/>
        </w:rPr>
        <w:t xml:space="preserve">che la normativa nazionale in materia di sperimentazione </w:t>
      </w:r>
      <w:proofErr w:type="spellStart"/>
      <w:r w:rsidR="004237A2" w:rsidRPr="004237A2">
        <w:rPr>
          <w:rFonts w:ascii="Times New Roman" w:hAnsi="Times New Roman" w:cs="Times New Roman"/>
          <w:i/>
          <w:iCs/>
          <w:sz w:val="24"/>
          <w:szCs w:val="24"/>
        </w:rPr>
        <w:t>FinTech</w:t>
      </w:r>
      <w:proofErr w:type="spellEnd"/>
      <w:r w:rsidR="004237A2" w:rsidRPr="004237A2">
        <w:rPr>
          <w:rFonts w:ascii="Times New Roman" w:hAnsi="Times New Roman" w:cs="Times New Roman"/>
          <w:sz w:val="24"/>
          <w:szCs w:val="24"/>
        </w:rPr>
        <w:t xml:space="preserve"> pone l’accento sull’esigenza del contenimento dei relativi rischi e della connessa necessità di </w:t>
      </w:r>
      <w:r w:rsidR="004237A2" w:rsidRPr="004237A2">
        <w:rPr>
          <w:rFonts w:ascii="Times New Roman" w:hAnsi="Times New Roman" w:cs="Times New Roman"/>
          <w:sz w:val="24"/>
          <w:szCs w:val="24"/>
        </w:rPr>
        <w:lastRenderedPageBreak/>
        <w:t>garantire “adeguate forme di informazione e di protezione a favore di consumatori e investitori” (cfr. comma 2-quinquies dell’art. 36), e che le autorizzazioni rimangono in ogni caso in capo alle autorità di vigilanza, le predette osservazioni della CONSOB appaiono meritevoli di adeguata considerazione proprio a tutela dei prioritari interessi sopra richiamati. A tal fine, tenuto conto delle indicazioni espresse dalla Commissione europea in materia e ai sensi della normativa nazionale (art. 36, comma 2-octies), si invita l’Amministrazione ad introdurre nel decreto, con riguardo a tali fattispecie, apposite disposizioni volte a sviluppare le opportune ed efficaci forme di coordinamento e collaborazione tra le diverse Autorità nazionali dei Paesi dell’U.E. a tutela dei consumatori e degli investitori</w:t>
      </w:r>
      <w:r w:rsidR="004237A2">
        <w:rPr>
          <w:rFonts w:ascii="Times New Roman" w:hAnsi="Times New Roman" w:cs="Times New Roman"/>
          <w:sz w:val="24"/>
          <w:szCs w:val="24"/>
        </w:rPr>
        <w:t>»</w:t>
      </w:r>
      <w:r w:rsidR="004237A2" w:rsidRPr="004237A2">
        <w:rPr>
          <w:rFonts w:ascii="Times New Roman" w:hAnsi="Times New Roman" w:cs="Times New Roman"/>
          <w:sz w:val="24"/>
          <w:szCs w:val="24"/>
        </w:rPr>
        <w:t>.</w:t>
      </w:r>
    </w:p>
    <w:p w14:paraId="36A092EA" w14:textId="50CFBDB8" w:rsidR="004237A2" w:rsidRDefault="004237A2" w:rsidP="00FC13E4">
      <w:pPr>
        <w:spacing w:line="360" w:lineRule="auto"/>
        <w:ind w:left="993" w:right="851" w:firstLine="283"/>
        <w:rPr>
          <w:rFonts w:ascii="Times New Roman" w:hAnsi="Times New Roman" w:cs="Times New Roman"/>
          <w:sz w:val="24"/>
          <w:szCs w:val="24"/>
        </w:rPr>
      </w:pPr>
      <w:r>
        <w:rPr>
          <w:rFonts w:ascii="Times New Roman" w:hAnsi="Times New Roman" w:cs="Times New Roman"/>
          <w:sz w:val="24"/>
          <w:szCs w:val="24"/>
        </w:rPr>
        <w:t>Il richiamo alla posizione della Commissione e ai principi fondamentali dell’ordinamento europeo sembra infatti garanzia sufficiente a presidiare le nuove forme di sperimentazioni, soprattutto nel solco di un ordinamento giuridico che non può più essere ridotto nella dimensione nazionale, poiché esso è indissolubilmente legato – nel fatto così come nel diritto – alla dimensione sovranazionale e globale.</w:t>
      </w:r>
    </w:p>
    <w:p w14:paraId="7E2B791C" w14:textId="3C889DA8" w:rsidR="004237A2" w:rsidRDefault="004237A2" w:rsidP="00FC13E4">
      <w:pPr>
        <w:spacing w:line="360" w:lineRule="auto"/>
        <w:ind w:left="993" w:right="851" w:firstLine="283"/>
        <w:rPr>
          <w:rFonts w:ascii="Times New Roman" w:hAnsi="Times New Roman" w:cs="Times New Roman"/>
          <w:sz w:val="24"/>
          <w:szCs w:val="24"/>
        </w:rPr>
      </w:pPr>
      <w:r>
        <w:rPr>
          <w:rFonts w:ascii="Times New Roman" w:hAnsi="Times New Roman" w:cs="Times New Roman"/>
          <w:sz w:val="24"/>
          <w:szCs w:val="24"/>
        </w:rPr>
        <w:t>In questa prospettiva l’obiezione sollevata dalla Consob pare oggi superabile, proprio perché il parametro di giudizio per valutarla non può essere quello “interno”, ma quello europeo, soprattutto se solleviamo lo sguardo dal “recinto” italiano per gettarlo su realtà estere dove la sandbox è una realtà già ampiamente sperimentata.</w:t>
      </w:r>
    </w:p>
    <w:p w14:paraId="10BF7EA4" w14:textId="4F917C28" w:rsidR="009A1AF3" w:rsidRPr="009A1AF3" w:rsidRDefault="00F7027B" w:rsidP="00106319">
      <w:pPr>
        <w:spacing w:line="360" w:lineRule="auto"/>
        <w:ind w:left="993" w:right="851" w:firstLine="283"/>
        <w:rPr>
          <w:rFonts w:ascii="Times New Roman" w:hAnsi="Times New Roman" w:cs="Times New Roman"/>
          <w:sz w:val="24"/>
          <w:szCs w:val="24"/>
        </w:rPr>
      </w:pPr>
      <w:r>
        <w:rPr>
          <w:rFonts w:ascii="Times New Roman" w:hAnsi="Times New Roman" w:cs="Times New Roman"/>
          <w:sz w:val="24"/>
          <w:szCs w:val="24"/>
        </w:rPr>
        <w:t xml:space="preserve">Seguendo i presupposti della teoria </w:t>
      </w:r>
      <w:proofErr w:type="spellStart"/>
      <w:r w:rsidR="004237A2">
        <w:rPr>
          <w:rFonts w:ascii="Times New Roman" w:hAnsi="Times New Roman" w:cs="Times New Roman"/>
          <w:sz w:val="24"/>
          <w:szCs w:val="24"/>
        </w:rPr>
        <w:t>pluriordinamentale</w:t>
      </w:r>
      <w:proofErr w:type="spellEnd"/>
      <w:r w:rsidR="004237A2">
        <w:rPr>
          <w:rFonts w:ascii="Times New Roman" w:hAnsi="Times New Roman" w:cs="Times New Roman"/>
          <w:sz w:val="24"/>
          <w:szCs w:val="24"/>
        </w:rPr>
        <w:t xml:space="preserve"> (e </w:t>
      </w:r>
      <w:r w:rsidR="00A937FD">
        <w:rPr>
          <w:rFonts w:ascii="Times New Roman" w:hAnsi="Times New Roman" w:cs="Times New Roman"/>
          <w:sz w:val="24"/>
          <w:szCs w:val="24"/>
        </w:rPr>
        <w:t xml:space="preserve">quindi, per forza di cose, </w:t>
      </w:r>
      <w:r w:rsidR="004237A2">
        <w:rPr>
          <w:rFonts w:ascii="Times New Roman" w:hAnsi="Times New Roman" w:cs="Times New Roman"/>
          <w:sz w:val="24"/>
          <w:szCs w:val="24"/>
        </w:rPr>
        <w:t xml:space="preserve">non statalista) è da auspicarsi che il Ministero adotti quanto prima il decreto che renda la </w:t>
      </w:r>
      <w:r w:rsidR="004237A2" w:rsidRPr="00A937FD">
        <w:rPr>
          <w:rFonts w:ascii="Times New Roman" w:hAnsi="Times New Roman" w:cs="Times New Roman"/>
          <w:i/>
          <w:iCs/>
          <w:sz w:val="24"/>
          <w:szCs w:val="24"/>
        </w:rPr>
        <w:t xml:space="preserve">sandbox </w:t>
      </w:r>
      <w:r w:rsidR="004237A2">
        <w:rPr>
          <w:rFonts w:ascii="Times New Roman" w:hAnsi="Times New Roman" w:cs="Times New Roman"/>
          <w:sz w:val="24"/>
          <w:szCs w:val="24"/>
        </w:rPr>
        <w:t xml:space="preserve">una realtà anche </w:t>
      </w:r>
      <w:r w:rsidR="004917FB">
        <w:rPr>
          <w:rFonts w:ascii="Times New Roman" w:hAnsi="Times New Roman" w:cs="Times New Roman"/>
          <w:sz w:val="24"/>
          <w:szCs w:val="24"/>
        </w:rPr>
        <w:t>in Italia per evitare di rimanere indietro, affezionati a categorie giuridiche del passato.</w:t>
      </w:r>
    </w:p>
    <w:sectPr w:rsidR="009A1AF3" w:rsidRPr="009A1AF3" w:rsidSect="00A937FD">
      <w:footerReference w:type="default" r:id="rId8"/>
      <w:pgSz w:w="11906" w:h="16838"/>
      <w:pgMar w:top="2836" w:right="1134" w:bottom="354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8789" w14:textId="77777777" w:rsidR="00B26346" w:rsidRDefault="00B26346" w:rsidP="00871FAA">
      <w:r>
        <w:separator/>
      </w:r>
    </w:p>
  </w:endnote>
  <w:endnote w:type="continuationSeparator" w:id="0">
    <w:p w14:paraId="1A2AA57B" w14:textId="77777777" w:rsidR="00B26346" w:rsidRDefault="00B26346" w:rsidP="0087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10868"/>
      <w:docPartObj>
        <w:docPartGallery w:val="Page Numbers (Bottom of Page)"/>
        <w:docPartUnique/>
      </w:docPartObj>
    </w:sdtPr>
    <w:sdtEndPr/>
    <w:sdtContent>
      <w:p w14:paraId="680E00B3" w14:textId="68D7E762" w:rsidR="0027601C" w:rsidRDefault="0027601C">
        <w:pPr>
          <w:pStyle w:val="Pidipagina"/>
          <w:jc w:val="center"/>
        </w:pPr>
        <w:r>
          <w:fldChar w:fldCharType="begin"/>
        </w:r>
        <w:r>
          <w:instrText>PAGE   \* MERGEFORMAT</w:instrText>
        </w:r>
        <w:r>
          <w:fldChar w:fldCharType="separate"/>
        </w:r>
        <w:r>
          <w:t>2</w:t>
        </w:r>
        <w:r>
          <w:fldChar w:fldCharType="end"/>
        </w:r>
      </w:p>
    </w:sdtContent>
  </w:sdt>
  <w:p w14:paraId="25BD7425" w14:textId="77777777" w:rsidR="0027601C" w:rsidRDefault="002760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F13C" w14:textId="77777777" w:rsidR="00B26346" w:rsidRDefault="00B26346" w:rsidP="00871FAA">
      <w:r>
        <w:separator/>
      </w:r>
    </w:p>
  </w:footnote>
  <w:footnote w:type="continuationSeparator" w:id="0">
    <w:p w14:paraId="13D794F5" w14:textId="77777777" w:rsidR="00B26346" w:rsidRDefault="00B26346" w:rsidP="00871FAA">
      <w:r>
        <w:continuationSeparator/>
      </w:r>
    </w:p>
  </w:footnote>
  <w:footnote w:id="1">
    <w:p w14:paraId="296F8D6E" w14:textId="50C49A87" w:rsidR="00A937FD" w:rsidRPr="00A937FD" w:rsidRDefault="00A937FD" w:rsidP="00A937FD">
      <w:pPr>
        <w:pStyle w:val="Testonotaapidipagina"/>
        <w:ind w:left="993" w:right="849"/>
        <w:rPr>
          <w:rFonts w:ascii="Times New Roman" w:hAnsi="Times New Roman" w:cs="Times New Roman"/>
        </w:rPr>
      </w:pPr>
      <w:r w:rsidRPr="00A937FD">
        <w:rPr>
          <w:rFonts w:ascii="Times New Roman" w:hAnsi="Times New Roman" w:cs="Times New Roman"/>
        </w:rPr>
        <w:t>*</w:t>
      </w:r>
      <w:r w:rsidRPr="00A937FD">
        <w:rPr>
          <w:rFonts w:ascii="Times New Roman" w:hAnsi="Times New Roman" w:cs="Times New Roman"/>
        </w:rPr>
        <w:t>Professore a contratto di «</w:t>
      </w:r>
      <w:proofErr w:type="spellStart"/>
      <w:r w:rsidRPr="00A937FD">
        <w:rPr>
          <w:rFonts w:ascii="Times New Roman" w:hAnsi="Times New Roman" w:cs="Times New Roman"/>
        </w:rPr>
        <w:t>Vergleichendes</w:t>
      </w:r>
      <w:proofErr w:type="spellEnd"/>
      <w:r w:rsidRPr="00A937FD">
        <w:rPr>
          <w:rFonts w:ascii="Times New Roman" w:hAnsi="Times New Roman" w:cs="Times New Roman"/>
        </w:rPr>
        <w:t xml:space="preserve"> </w:t>
      </w:r>
      <w:proofErr w:type="spellStart"/>
      <w:r w:rsidRPr="00A937FD">
        <w:rPr>
          <w:rFonts w:ascii="Times New Roman" w:hAnsi="Times New Roman" w:cs="Times New Roman"/>
        </w:rPr>
        <w:t>Verfassungsrecht</w:t>
      </w:r>
      <w:proofErr w:type="spellEnd"/>
      <w:r w:rsidRPr="00A937FD">
        <w:rPr>
          <w:rFonts w:ascii="Times New Roman" w:hAnsi="Times New Roman" w:cs="Times New Roman"/>
        </w:rPr>
        <w:t xml:space="preserve">» nell’Università «Paris </w:t>
      </w:r>
      <w:proofErr w:type="spellStart"/>
      <w:r w:rsidRPr="00A937FD">
        <w:rPr>
          <w:rFonts w:ascii="Times New Roman" w:hAnsi="Times New Roman" w:cs="Times New Roman"/>
        </w:rPr>
        <w:t>Lodron</w:t>
      </w:r>
      <w:proofErr w:type="spellEnd"/>
      <w:r w:rsidRPr="00A937FD">
        <w:rPr>
          <w:rFonts w:ascii="Times New Roman" w:hAnsi="Times New Roman" w:cs="Times New Roman"/>
        </w:rPr>
        <w:t>» di Salisburgo, Facoltà di Giurisprudenza.</w:t>
      </w:r>
    </w:p>
    <w:p w14:paraId="4B00A3CA" w14:textId="2BBA698A" w:rsidR="00712F15" w:rsidRPr="00A937FD" w:rsidRDefault="00712F15" w:rsidP="00A937FD">
      <w:pPr>
        <w:pStyle w:val="Testonotaapidipagina"/>
        <w:ind w:left="993" w:right="849"/>
        <w:rPr>
          <w:rFonts w:ascii="Times New Roman" w:hAnsi="Times New Roman" w:cs="Times New Roman"/>
        </w:rPr>
      </w:pPr>
      <w:r w:rsidRPr="00A937FD">
        <w:rPr>
          <w:rStyle w:val="Rimandonotaapidipagina"/>
          <w:rFonts w:ascii="Times New Roman" w:hAnsi="Times New Roman" w:cs="Times New Roman"/>
        </w:rPr>
        <w:footnoteRef/>
      </w:r>
      <w:r w:rsidRPr="00A937FD">
        <w:rPr>
          <w:rFonts w:ascii="Times New Roman" w:hAnsi="Times New Roman" w:cs="Times New Roman"/>
        </w:rPr>
        <w:t xml:space="preserve"> Per una prospettiva comparativista si veda J.J. </w:t>
      </w:r>
      <w:proofErr w:type="spellStart"/>
      <w:r w:rsidRPr="00A937FD">
        <w:rPr>
          <w:rFonts w:ascii="Times New Roman" w:hAnsi="Times New Roman" w:cs="Times New Roman"/>
        </w:rPr>
        <w:t>Goo</w:t>
      </w:r>
      <w:proofErr w:type="spellEnd"/>
      <w:r w:rsidRPr="00A937FD">
        <w:rPr>
          <w:rFonts w:ascii="Times New Roman" w:hAnsi="Times New Roman" w:cs="Times New Roman"/>
        </w:rPr>
        <w:t xml:space="preserve"> e J.Y. </w:t>
      </w:r>
      <w:proofErr w:type="spellStart"/>
      <w:r w:rsidRPr="00A937FD">
        <w:rPr>
          <w:rFonts w:ascii="Times New Roman" w:hAnsi="Times New Roman" w:cs="Times New Roman"/>
        </w:rPr>
        <w:t>Heo</w:t>
      </w:r>
      <w:proofErr w:type="spellEnd"/>
      <w:r w:rsidRPr="00A937FD">
        <w:rPr>
          <w:rFonts w:ascii="Times New Roman" w:hAnsi="Times New Roman" w:cs="Times New Roman"/>
        </w:rPr>
        <w:t xml:space="preserve">, </w:t>
      </w:r>
      <w:r w:rsidRPr="00A937FD">
        <w:rPr>
          <w:rFonts w:ascii="Times New Roman" w:hAnsi="Times New Roman" w:cs="Times New Roman"/>
          <w:i/>
          <w:iCs/>
        </w:rPr>
        <w:t xml:space="preserve">The Impact of the </w:t>
      </w:r>
      <w:proofErr w:type="spellStart"/>
      <w:r w:rsidRPr="00A937FD">
        <w:rPr>
          <w:rFonts w:ascii="Times New Roman" w:hAnsi="Times New Roman" w:cs="Times New Roman"/>
          <w:i/>
          <w:iCs/>
        </w:rPr>
        <w:t>Regulatory</w:t>
      </w:r>
      <w:proofErr w:type="spellEnd"/>
      <w:r w:rsidRPr="00A937FD">
        <w:rPr>
          <w:rFonts w:ascii="Times New Roman" w:hAnsi="Times New Roman" w:cs="Times New Roman"/>
          <w:i/>
          <w:iCs/>
        </w:rPr>
        <w:t xml:space="preserve"> Sandbox on the Fintech Industry, with a </w:t>
      </w:r>
      <w:proofErr w:type="spellStart"/>
      <w:r w:rsidRPr="00A937FD">
        <w:rPr>
          <w:rFonts w:ascii="Times New Roman" w:hAnsi="Times New Roman" w:cs="Times New Roman"/>
          <w:i/>
          <w:iCs/>
        </w:rPr>
        <w:t>Discussion</w:t>
      </w:r>
      <w:proofErr w:type="spellEnd"/>
      <w:r w:rsidRPr="00A937FD">
        <w:rPr>
          <w:rFonts w:ascii="Times New Roman" w:hAnsi="Times New Roman" w:cs="Times New Roman"/>
          <w:i/>
          <w:iCs/>
        </w:rPr>
        <w:t xml:space="preserve"> on the Relation </w:t>
      </w:r>
      <w:proofErr w:type="spellStart"/>
      <w:r w:rsidRPr="00A937FD">
        <w:rPr>
          <w:rFonts w:ascii="Times New Roman" w:hAnsi="Times New Roman" w:cs="Times New Roman"/>
          <w:i/>
          <w:iCs/>
        </w:rPr>
        <w:t>between</w:t>
      </w:r>
      <w:proofErr w:type="spellEnd"/>
      <w:r w:rsidRPr="00A937FD">
        <w:rPr>
          <w:rFonts w:ascii="Times New Roman" w:hAnsi="Times New Roman" w:cs="Times New Roman"/>
          <w:i/>
          <w:iCs/>
        </w:rPr>
        <w:t xml:space="preserve"> </w:t>
      </w:r>
      <w:proofErr w:type="spellStart"/>
      <w:r w:rsidRPr="00A937FD">
        <w:rPr>
          <w:rFonts w:ascii="Times New Roman" w:hAnsi="Times New Roman" w:cs="Times New Roman"/>
          <w:i/>
          <w:iCs/>
        </w:rPr>
        <w:t>Regulatory</w:t>
      </w:r>
      <w:proofErr w:type="spellEnd"/>
      <w:r w:rsidRPr="00A937FD">
        <w:rPr>
          <w:rFonts w:ascii="Times New Roman" w:hAnsi="Times New Roman" w:cs="Times New Roman"/>
          <w:i/>
          <w:iCs/>
        </w:rPr>
        <w:t xml:space="preserve"> Sandboxes and Open Innovation</w:t>
      </w:r>
      <w:r w:rsidRPr="00A937FD">
        <w:rPr>
          <w:rFonts w:ascii="Times New Roman" w:hAnsi="Times New Roman" w:cs="Times New Roman"/>
        </w:rPr>
        <w:t xml:space="preserve">, «Journal of Open Innovation. Technology, Market, and </w:t>
      </w:r>
      <w:proofErr w:type="spellStart"/>
      <w:r w:rsidRPr="00A937FD">
        <w:rPr>
          <w:rFonts w:ascii="Times New Roman" w:hAnsi="Times New Roman" w:cs="Times New Roman"/>
        </w:rPr>
        <w:t>Complexity</w:t>
      </w:r>
      <w:proofErr w:type="spellEnd"/>
      <w:r w:rsidRPr="00A937FD">
        <w:rPr>
          <w:rFonts w:ascii="Times New Roman" w:hAnsi="Times New Roman" w:cs="Times New Roman"/>
        </w:rPr>
        <w:t>», 2020, pp. 1-18.</w:t>
      </w:r>
    </w:p>
  </w:footnote>
  <w:footnote w:id="2">
    <w:p w14:paraId="07C8D7D5" w14:textId="0F7DF2AD" w:rsidR="00871FAA" w:rsidRPr="00A937FD" w:rsidRDefault="00871FAA" w:rsidP="00A937FD">
      <w:pPr>
        <w:pStyle w:val="Testonotaapidipagina"/>
        <w:ind w:left="993" w:right="849"/>
        <w:rPr>
          <w:rFonts w:ascii="Times New Roman" w:hAnsi="Times New Roman" w:cs="Times New Roman"/>
        </w:rPr>
      </w:pPr>
      <w:r w:rsidRPr="00A937FD">
        <w:rPr>
          <w:rStyle w:val="Rimandonotaapidipagina"/>
          <w:rFonts w:ascii="Times New Roman" w:hAnsi="Times New Roman" w:cs="Times New Roman"/>
        </w:rPr>
        <w:footnoteRef/>
      </w:r>
      <w:r w:rsidRPr="00A937FD">
        <w:rPr>
          <w:rFonts w:ascii="Times New Roman" w:hAnsi="Times New Roman" w:cs="Times New Roman"/>
        </w:rPr>
        <w:t xml:space="preserve"> </w:t>
      </w:r>
      <w:r w:rsidR="00361CBB" w:rsidRPr="00A937FD">
        <w:rPr>
          <w:rFonts w:ascii="Times New Roman" w:hAnsi="Times New Roman" w:cs="Times New Roman"/>
        </w:rPr>
        <w:t xml:space="preserve">Si veda </w:t>
      </w:r>
      <w:r w:rsidRPr="00A937FD">
        <w:rPr>
          <w:rFonts w:ascii="Times New Roman" w:hAnsi="Times New Roman" w:cs="Times New Roman"/>
        </w:rPr>
        <w:t xml:space="preserve">P. Grossi, </w:t>
      </w:r>
      <w:r w:rsidR="00712F15" w:rsidRPr="00A937FD">
        <w:rPr>
          <w:rFonts w:ascii="Times New Roman" w:hAnsi="Times New Roman" w:cs="Times New Roman"/>
          <w:i/>
          <w:iCs/>
        </w:rPr>
        <w:t>Un impegno per il giurista di oggi:</w:t>
      </w:r>
      <w:r w:rsidR="00712F15" w:rsidRPr="00A937FD">
        <w:rPr>
          <w:rFonts w:ascii="Times New Roman" w:hAnsi="Times New Roman" w:cs="Times New Roman"/>
          <w:i/>
          <w:iCs/>
        </w:rPr>
        <w:t xml:space="preserve"> </w:t>
      </w:r>
      <w:r w:rsidR="00712F15" w:rsidRPr="00A937FD">
        <w:rPr>
          <w:rFonts w:ascii="Times New Roman" w:hAnsi="Times New Roman" w:cs="Times New Roman"/>
          <w:i/>
          <w:iCs/>
        </w:rPr>
        <w:t>ripensare le fonti del diritto</w:t>
      </w:r>
      <w:r w:rsidR="00361CBB" w:rsidRPr="00A937FD">
        <w:rPr>
          <w:rFonts w:ascii="Times New Roman" w:hAnsi="Times New Roman" w:cs="Times New Roman"/>
        </w:rPr>
        <w:t>, «Annali dell’Università degli studi Suor Orsola Benincasa», 2009, pp. 29-50.</w:t>
      </w:r>
    </w:p>
  </w:footnote>
  <w:footnote w:id="3">
    <w:p w14:paraId="5A9739AE" w14:textId="7E313FD6" w:rsidR="004450FC" w:rsidRPr="00A937FD" w:rsidRDefault="004450FC" w:rsidP="00A937FD">
      <w:pPr>
        <w:pStyle w:val="Testonotaapidipagina"/>
        <w:ind w:left="993" w:right="849"/>
        <w:rPr>
          <w:rFonts w:ascii="Times New Roman" w:hAnsi="Times New Roman" w:cs="Times New Roman"/>
          <w:lang w:val="de-DE"/>
        </w:rPr>
      </w:pPr>
      <w:r w:rsidRPr="00A937FD">
        <w:rPr>
          <w:rStyle w:val="Rimandonotaapidipagina"/>
          <w:rFonts w:ascii="Times New Roman" w:hAnsi="Times New Roman" w:cs="Times New Roman"/>
        </w:rPr>
        <w:footnoteRef/>
      </w:r>
      <w:r w:rsidRPr="00A937FD">
        <w:rPr>
          <w:rFonts w:ascii="Times New Roman" w:hAnsi="Times New Roman" w:cs="Times New Roman"/>
          <w:lang w:val="de-DE"/>
        </w:rPr>
        <w:t xml:space="preserve"> </w:t>
      </w:r>
      <w:r w:rsidR="00361CBB" w:rsidRPr="00A937FD">
        <w:rPr>
          <w:rFonts w:ascii="Times New Roman" w:hAnsi="Times New Roman" w:cs="Times New Roman"/>
          <w:lang w:val="de-DE"/>
        </w:rPr>
        <w:t xml:space="preserve">W.G. Ringe and C. </w:t>
      </w:r>
      <w:proofErr w:type="spellStart"/>
      <w:r w:rsidR="00361CBB" w:rsidRPr="00A937FD">
        <w:rPr>
          <w:rFonts w:ascii="Times New Roman" w:hAnsi="Times New Roman" w:cs="Times New Roman"/>
          <w:lang w:val="de-DE"/>
        </w:rPr>
        <w:t>Ruof</w:t>
      </w:r>
      <w:proofErr w:type="spellEnd"/>
      <w:r w:rsidR="00361CBB" w:rsidRPr="00A937FD">
        <w:rPr>
          <w:rFonts w:ascii="Times New Roman" w:hAnsi="Times New Roman" w:cs="Times New Roman"/>
          <w:lang w:val="de-DE"/>
        </w:rPr>
        <w:t xml:space="preserve">, </w:t>
      </w:r>
      <w:proofErr w:type="spellStart"/>
      <w:r w:rsidR="00361CBB" w:rsidRPr="00A937FD">
        <w:rPr>
          <w:rFonts w:ascii="Times New Roman" w:hAnsi="Times New Roman" w:cs="Times New Roman"/>
          <w:i/>
          <w:iCs/>
          <w:lang w:val="de-DE"/>
        </w:rPr>
        <w:t>Regulating</w:t>
      </w:r>
      <w:proofErr w:type="spellEnd"/>
      <w:r w:rsidR="00361CBB" w:rsidRPr="00A937FD">
        <w:rPr>
          <w:rFonts w:ascii="Times New Roman" w:hAnsi="Times New Roman" w:cs="Times New Roman"/>
          <w:i/>
          <w:iCs/>
          <w:lang w:val="de-DE"/>
        </w:rPr>
        <w:t xml:space="preserve"> Fintech in </w:t>
      </w:r>
      <w:proofErr w:type="spellStart"/>
      <w:r w:rsidR="00361CBB" w:rsidRPr="00A937FD">
        <w:rPr>
          <w:rFonts w:ascii="Times New Roman" w:hAnsi="Times New Roman" w:cs="Times New Roman"/>
          <w:i/>
          <w:iCs/>
          <w:lang w:val="de-DE"/>
        </w:rPr>
        <w:t>the</w:t>
      </w:r>
      <w:proofErr w:type="spellEnd"/>
      <w:r w:rsidR="00361CBB" w:rsidRPr="00A937FD">
        <w:rPr>
          <w:rFonts w:ascii="Times New Roman" w:hAnsi="Times New Roman" w:cs="Times New Roman"/>
          <w:i/>
          <w:iCs/>
          <w:lang w:val="de-DE"/>
        </w:rPr>
        <w:t xml:space="preserve"> EU: </w:t>
      </w:r>
      <w:proofErr w:type="spellStart"/>
      <w:r w:rsidR="00361CBB" w:rsidRPr="00A937FD">
        <w:rPr>
          <w:rFonts w:ascii="Times New Roman" w:hAnsi="Times New Roman" w:cs="Times New Roman"/>
          <w:i/>
          <w:iCs/>
          <w:lang w:val="de-DE"/>
        </w:rPr>
        <w:t>the</w:t>
      </w:r>
      <w:proofErr w:type="spellEnd"/>
      <w:r w:rsidR="00361CBB" w:rsidRPr="00A937FD">
        <w:rPr>
          <w:rFonts w:ascii="Times New Roman" w:hAnsi="Times New Roman" w:cs="Times New Roman"/>
          <w:i/>
          <w:iCs/>
          <w:lang w:val="de-DE"/>
        </w:rPr>
        <w:t xml:space="preserve"> Case </w:t>
      </w:r>
      <w:proofErr w:type="spellStart"/>
      <w:r w:rsidR="00361CBB" w:rsidRPr="00A937FD">
        <w:rPr>
          <w:rFonts w:ascii="Times New Roman" w:hAnsi="Times New Roman" w:cs="Times New Roman"/>
          <w:i/>
          <w:iCs/>
          <w:lang w:val="de-DE"/>
        </w:rPr>
        <w:t>for</w:t>
      </w:r>
      <w:proofErr w:type="spellEnd"/>
      <w:r w:rsidR="00361CBB" w:rsidRPr="00A937FD">
        <w:rPr>
          <w:rFonts w:ascii="Times New Roman" w:hAnsi="Times New Roman" w:cs="Times New Roman"/>
          <w:i/>
          <w:iCs/>
          <w:lang w:val="de-DE"/>
        </w:rPr>
        <w:t xml:space="preserve"> a </w:t>
      </w:r>
      <w:proofErr w:type="spellStart"/>
      <w:r w:rsidR="00361CBB" w:rsidRPr="00A937FD">
        <w:rPr>
          <w:rFonts w:ascii="Times New Roman" w:hAnsi="Times New Roman" w:cs="Times New Roman"/>
          <w:i/>
          <w:iCs/>
          <w:lang w:val="de-DE"/>
        </w:rPr>
        <w:t>Guided</w:t>
      </w:r>
      <w:proofErr w:type="spellEnd"/>
      <w:r w:rsidR="00361CBB" w:rsidRPr="00A937FD">
        <w:rPr>
          <w:rFonts w:ascii="Times New Roman" w:hAnsi="Times New Roman" w:cs="Times New Roman"/>
          <w:i/>
          <w:iCs/>
          <w:lang w:val="de-DE"/>
        </w:rPr>
        <w:t xml:space="preserve"> Sandbox</w:t>
      </w:r>
      <w:r w:rsidR="00361CBB" w:rsidRPr="00A937FD">
        <w:rPr>
          <w:rFonts w:ascii="Times New Roman" w:hAnsi="Times New Roman" w:cs="Times New Roman"/>
          <w:lang w:val="de-DE"/>
        </w:rPr>
        <w:t xml:space="preserve">, «European Journal </w:t>
      </w:r>
      <w:proofErr w:type="spellStart"/>
      <w:r w:rsidR="00361CBB" w:rsidRPr="00A937FD">
        <w:rPr>
          <w:rFonts w:ascii="Times New Roman" w:hAnsi="Times New Roman" w:cs="Times New Roman"/>
          <w:lang w:val="de-DE"/>
        </w:rPr>
        <w:t>of</w:t>
      </w:r>
      <w:proofErr w:type="spellEnd"/>
      <w:r w:rsidR="00361CBB" w:rsidRPr="00A937FD">
        <w:rPr>
          <w:rFonts w:ascii="Times New Roman" w:hAnsi="Times New Roman" w:cs="Times New Roman"/>
          <w:lang w:val="de-DE"/>
        </w:rPr>
        <w:t xml:space="preserve"> Risk Regulation», 11, 2020, pp. 604-629.</w:t>
      </w:r>
    </w:p>
  </w:footnote>
  <w:footnote w:id="4">
    <w:p w14:paraId="7B12563F" w14:textId="127AD2C8" w:rsidR="00B71F03" w:rsidRPr="00A937FD" w:rsidRDefault="00B71F03" w:rsidP="00A937FD">
      <w:pPr>
        <w:pStyle w:val="Testonotaapidipagina"/>
        <w:ind w:left="993" w:right="849"/>
        <w:rPr>
          <w:rFonts w:ascii="Times New Roman" w:hAnsi="Times New Roman" w:cs="Times New Roman"/>
          <w:lang w:val="de-DE"/>
        </w:rPr>
      </w:pPr>
      <w:r w:rsidRPr="00A937FD">
        <w:rPr>
          <w:rStyle w:val="Rimandonotaapidipagina"/>
          <w:rFonts w:ascii="Times New Roman" w:hAnsi="Times New Roman" w:cs="Times New Roman"/>
        </w:rPr>
        <w:footnoteRef/>
      </w:r>
      <w:r w:rsidRPr="00A937FD">
        <w:rPr>
          <w:rFonts w:ascii="Times New Roman" w:hAnsi="Times New Roman" w:cs="Times New Roman"/>
          <w:lang w:val="de-DE"/>
        </w:rPr>
        <w:t xml:space="preserve"> </w:t>
      </w:r>
      <w:proofErr w:type="spellStart"/>
      <w:r w:rsidRPr="00A937FD">
        <w:rPr>
          <w:rFonts w:ascii="Times New Roman" w:hAnsi="Times New Roman" w:cs="Times New Roman"/>
          <w:lang w:val="de-DE"/>
        </w:rPr>
        <w:t>Si</w:t>
      </w:r>
      <w:proofErr w:type="spellEnd"/>
      <w:r w:rsidRPr="00A937FD">
        <w:rPr>
          <w:rFonts w:ascii="Times New Roman" w:hAnsi="Times New Roman" w:cs="Times New Roman"/>
          <w:lang w:val="de-DE"/>
        </w:rPr>
        <w:t xml:space="preserve"> </w:t>
      </w:r>
      <w:proofErr w:type="spellStart"/>
      <w:r w:rsidRPr="00A937FD">
        <w:rPr>
          <w:rFonts w:ascii="Times New Roman" w:hAnsi="Times New Roman" w:cs="Times New Roman"/>
          <w:lang w:val="de-DE"/>
        </w:rPr>
        <w:t>veda</w:t>
      </w:r>
      <w:proofErr w:type="spellEnd"/>
      <w:r w:rsidRPr="00A937FD">
        <w:rPr>
          <w:rFonts w:ascii="Times New Roman" w:hAnsi="Times New Roman" w:cs="Times New Roman"/>
          <w:lang w:val="de-DE"/>
        </w:rPr>
        <w:t xml:space="preserve"> </w:t>
      </w:r>
      <w:r w:rsidRPr="00A937FD">
        <w:rPr>
          <w:rFonts w:ascii="Times New Roman" w:hAnsi="Times New Roman" w:cs="Times New Roman"/>
          <w:lang w:val="de-DE"/>
        </w:rPr>
        <w:t xml:space="preserve">D.A. Zetsche et al., </w:t>
      </w:r>
      <w:proofErr w:type="spellStart"/>
      <w:r w:rsidRPr="00A937FD">
        <w:rPr>
          <w:rFonts w:ascii="Times New Roman" w:hAnsi="Times New Roman" w:cs="Times New Roman"/>
          <w:i/>
          <w:iCs/>
          <w:lang w:val="de-DE"/>
        </w:rPr>
        <w:t>Regulating</w:t>
      </w:r>
      <w:proofErr w:type="spellEnd"/>
      <w:r w:rsidRPr="00A937FD">
        <w:rPr>
          <w:rFonts w:ascii="Times New Roman" w:hAnsi="Times New Roman" w:cs="Times New Roman"/>
          <w:i/>
          <w:iCs/>
          <w:lang w:val="de-DE"/>
        </w:rPr>
        <w:t xml:space="preserve"> a Revolution: </w:t>
      </w:r>
      <w:proofErr w:type="spellStart"/>
      <w:r w:rsidRPr="00A937FD">
        <w:rPr>
          <w:rFonts w:ascii="Times New Roman" w:hAnsi="Times New Roman" w:cs="Times New Roman"/>
          <w:i/>
          <w:iCs/>
          <w:lang w:val="de-DE"/>
        </w:rPr>
        <w:t>From</w:t>
      </w:r>
      <w:proofErr w:type="spellEnd"/>
      <w:r w:rsidRPr="00A937FD">
        <w:rPr>
          <w:rFonts w:ascii="Times New Roman" w:hAnsi="Times New Roman" w:cs="Times New Roman"/>
          <w:i/>
          <w:iCs/>
          <w:lang w:val="de-DE"/>
        </w:rPr>
        <w:t xml:space="preserve"> </w:t>
      </w:r>
      <w:proofErr w:type="spellStart"/>
      <w:r w:rsidRPr="00A937FD">
        <w:rPr>
          <w:rFonts w:ascii="Times New Roman" w:hAnsi="Times New Roman" w:cs="Times New Roman"/>
          <w:i/>
          <w:iCs/>
          <w:lang w:val="de-DE"/>
        </w:rPr>
        <w:t>Regulatory</w:t>
      </w:r>
      <w:proofErr w:type="spellEnd"/>
      <w:r w:rsidRPr="00A937FD">
        <w:rPr>
          <w:rFonts w:ascii="Times New Roman" w:hAnsi="Times New Roman" w:cs="Times New Roman"/>
          <w:i/>
          <w:iCs/>
          <w:lang w:val="de-DE"/>
        </w:rPr>
        <w:t xml:space="preserve"> Sandboxes </w:t>
      </w:r>
      <w:proofErr w:type="spellStart"/>
      <w:r w:rsidRPr="00A937FD">
        <w:rPr>
          <w:rFonts w:ascii="Times New Roman" w:hAnsi="Times New Roman" w:cs="Times New Roman"/>
          <w:i/>
          <w:iCs/>
          <w:lang w:val="de-DE"/>
        </w:rPr>
        <w:t>to</w:t>
      </w:r>
      <w:proofErr w:type="spellEnd"/>
      <w:r w:rsidRPr="00A937FD">
        <w:rPr>
          <w:rFonts w:ascii="Times New Roman" w:hAnsi="Times New Roman" w:cs="Times New Roman"/>
          <w:i/>
          <w:iCs/>
          <w:lang w:val="de-DE"/>
        </w:rPr>
        <w:t xml:space="preserve"> Smart Regulation</w:t>
      </w:r>
      <w:r w:rsidRPr="00A937FD">
        <w:rPr>
          <w:rFonts w:ascii="Times New Roman" w:hAnsi="Times New Roman" w:cs="Times New Roman"/>
          <w:lang w:val="de-DE"/>
        </w:rPr>
        <w:t xml:space="preserve">, in «Journal </w:t>
      </w:r>
      <w:proofErr w:type="spellStart"/>
      <w:r w:rsidRPr="00A937FD">
        <w:rPr>
          <w:rFonts w:ascii="Times New Roman" w:hAnsi="Times New Roman" w:cs="Times New Roman"/>
          <w:lang w:val="de-DE"/>
        </w:rPr>
        <w:t>of</w:t>
      </w:r>
      <w:proofErr w:type="spellEnd"/>
      <w:r w:rsidRPr="00A937FD">
        <w:rPr>
          <w:rFonts w:ascii="Times New Roman" w:hAnsi="Times New Roman" w:cs="Times New Roman"/>
          <w:lang w:val="de-DE"/>
        </w:rPr>
        <w:t xml:space="preserve"> Corporate &amp; Financial Law», 31, 2017, pp. 69 e </w:t>
      </w:r>
      <w:proofErr w:type="spellStart"/>
      <w:r w:rsidRPr="00A937FD">
        <w:rPr>
          <w:rFonts w:ascii="Times New Roman" w:hAnsi="Times New Roman" w:cs="Times New Roman"/>
          <w:lang w:val="de-DE"/>
        </w:rPr>
        <w:t>ss</w:t>
      </w:r>
      <w:proofErr w:type="spellEnd"/>
      <w:r w:rsidRPr="00A937FD">
        <w:rPr>
          <w:rFonts w:ascii="Times New Roman" w:hAnsi="Times New Roman" w:cs="Times New Roman"/>
          <w:lang w:val="de-DE"/>
        </w:rPr>
        <w:t>.</w:t>
      </w:r>
    </w:p>
  </w:footnote>
  <w:footnote w:id="5">
    <w:p w14:paraId="46CD52EE" w14:textId="268E9ACE" w:rsidR="0027601C" w:rsidRPr="00A937FD" w:rsidRDefault="0027601C" w:rsidP="00A937FD">
      <w:pPr>
        <w:pStyle w:val="Testonotaapidipagina"/>
        <w:ind w:left="993" w:right="849"/>
        <w:rPr>
          <w:rFonts w:ascii="Times New Roman" w:hAnsi="Times New Roman" w:cs="Times New Roman"/>
        </w:rPr>
      </w:pPr>
      <w:r w:rsidRPr="00A937FD">
        <w:rPr>
          <w:rStyle w:val="Rimandonotaapidipagina"/>
          <w:rFonts w:ascii="Times New Roman" w:hAnsi="Times New Roman" w:cs="Times New Roman"/>
        </w:rPr>
        <w:footnoteRef/>
      </w:r>
      <w:r w:rsidRPr="00A937FD">
        <w:rPr>
          <w:rFonts w:ascii="Times New Roman" w:hAnsi="Times New Roman" w:cs="Times New Roman"/>
        </w:rPr>
        <w:t xml:space="preserve"> </w:t>
      </w:r>
      <w:r w:rsidR="00B71F03" w:rsidRPr="00A937FD">
        <w:rPr>
          <w:rFonts w:ascii="Times New Roman" w:hAnsi="Times New Roman" w:cs="Times New Roman"/>
        </w:rPr>
        <w:t xml:space="preserve">Per un approfondimento di questi problemi teorico-filosofici, che hanno però un forte impatto sulla prassi, rinvio a </w:t>
      </w:r>
      <w:proofErr w:type="spellStart"/>
      <w:r w:rsidR="00B71F03" w:rsidRPr="00A937FD">
        <w:rPr>
          <w:rFonts w:ascii="Times New Roman" w:hAnsi="Times New Roman" w:cs="Times New Roman"/>
        </w:rPr>
        <w:t>A</w:t>
      </w:r>
      <w:proofErr w:type="spellEnd"/>
      <w:r w:rsidR="00B71F03" w:rsidRPr="00A937FD">
        <w:rPr>
          <w:rFonts w:ascii="Times New Roman" w:hAnsi="Times New Roman" w:cs="Times New Roman"/>
        </w:rPr>
        <w:t xml:space="preserve">. Merlino, </w:t>
      </w:r>
      <w:r w:rsidR="00B71F03" w:rsidRPr="00A937FD">
        <w:rPr>
          <w:rFonts w:ascii="Times New Roman" w:hAnsi="Times New Roman" w:cs="Times New Roman"/>
          <w:i/>
          <w:iCs/>
        </w:rPr>
        <w:t xml:space="preserve">Hermann Heller tra </w:t>
      </w:r>
      <w:proofErr w:type="spellStart"/>
      <w:r w:rsidR="00B71F03" w:rsidRPr="00A937FD">
        <w:rPr>
          <w:rFonts w:ascii="Times New Roman" w:hAnsi="Times New Roman" w:cs="Times New Roman"/>
          <w:i/>
          <w:iCs/>
        </w:rPr>
        <w:t>Kelsen</w:t>
      </w:r>
      <w:proofErr w:type="spellEnd"/>
      <w:r w:rsidR="00B71F03" w:rsidRPr="00A937FD">
        <w:rPr>
          <w:rFonts w:ascii="Times New Roman" w:hAnsi="Times New Roman" w:cs="Times New Roman"/>
          <w:i/>
          <w:iCs/>
        </w:rPr>
        <w:t xml:space="preserve"> e Schmitt</w:t>
      </w:r>
      <w:r w:rsidR="00B71F03" w:rsidRPr="00A937FD">
        <w:rPr>
          <w:rFonts w:ascii="Times New Roman" w:hAnsi="Times New Roman" w:cs="Times New Roman"/>
        </w:rPr>
        <w:t>, in «Costituzionalismo.it», 2021, pp. 74-88.</w:t>
      </w:r>
    </w:p>
  </w:footnote>
  <w:footnote w:id="6">
    <w:p w14:paraId="340BAEE3" w14:textId="776B0F31" w:rsidR="00B71F03" w:rsidRPr="00A937FD" w:rsidRDefault="00B71F03" w:rsidP="00A937FD">
      <w:pPr>
        <w:pStyle w:val="Testonotaapidipagina"/>
        <w:ind w:left="993" w:right="849"/>
        <w:rPr>
          <w:rFonts w:ascii="Times New Roman" w:hAnsi="Times New Roman" w:cs="Times New Roman"/>
        </w:rPr>
      </w:pPr>
      <w:r w:rsidRPr="00A937FD">
        <w:rPr>
          <w:rStyle w:val="Rimandonotaapidipagina"/>
          <w:rFonts w:ascii="Times New Roman" w:hAnsi="Times New Roman" w:cs="Times New Roman"/>
        </w:rPr>
        <w:footnoteRef/>
      </w:r>
      <w:r w:rsidRPr="00A937FD">
        <w:rPr>
          <w:rFonts w:ascii="Times New Roman" w:hAnsi="Times New Roman" w:cs="Times New Roman"/>
        </w:rPr>
        <w:t xml:space="preserve"> </w:t>
      </w:r>
      <w:r w:rsidR="005A77D2" w:rsidRPr="00A937FD">
        <w:rPr>
          <w:rFonts w:ascii="Times New Roman" w:hAnsi="Times New Roman" w:cs="Times New Roman"/>
        </w:rPr>
        <w:t xml:space="preserve">Si vedano in proposito le pagine di Matthias </w:t>
      </w:r>
      <w:proofErr w:type="spellStart"/>
      <w:r w:rsidR="005A77D2" w:rsidRPr="00A937FD">
        <w:rPr>
          <w:rFonts w:ascii="Times New Roman" w:hAnsi="Times New Roman" w:cs="Times New Roman"/>
        </w:rPr>
        <w:t>Herdegen</w:t>
      </w:r>
      <w:proofErr w:type="spellEnd"/>
      <w:r w:rsidR="005A77D2" w:rsidRPr="00A937FD">
        <w:rPr>
          <w:rFonts w:ascii="Times New Roman" w:hAnsi="Times New Roman" w:cs="Times New Roman"/>
        </w:rPr>
        <w:t xml:space="preserve"> dedicate al diritto europeo come «System </w:t>
      </w:r>
      <w:proofErr w:type="spellStart"/>
      <w:r w:rsidR="005A77D2" w:rsidRPr="00A937FD">
        <w:rPr>
          <w:rFonts w:ascii="Times New Roman" w:hAnsi="Times New Roman" w:cs="Times New Roman"/>
        </w:rPr>
        <w:t>vernetzter</w:t>
      </w:r>
      <w:proofErr w:type="spellEnd"/>
      <w:r w:rsidR="005A77D2" w:rsidRPr="00A937FD">
        <w:rPr>
          <w:rFonts w:ascii="Times New Roman" w:hAnsi="Times New Roman" w:cs="Times New Roman"/>
        </w:rPr>
        <w:t xml:space="preserve"> </w:t>
      </w:r>
      <w:proofErr w:type="spellStart"/>
      <w:r w:rsidR="005A77D2" w:rsidRPr="00A937FD">
        <w:rPr>
          <w:rFonts w:ascii="Times New Roman" w:hAnsi="Times New Roman" w:cs="Times New Roman"/>
        </w:rPr>
        <w:t>Ordnungen</w:t>
      </w:r>
      <w:proofErr w:type="spellEnd"/>
      <w:r w:rsidR="005A77D2" w:rsidRPr="00A937FD">
        <w:rPr>
          <w:rFonts w:ascii="Times New Roman" w:hAnsi="Times New Roman" w:cs="Times New Roman"/>
        </w:rPr>
        <w:t xml:space="preserve">» in </w:t>
      </w:r>
      <w:proofErr w:type="spellStart"/>
      <w:r w:rsidR="005A77D2" w:rsidRPr="00A937FD">
        <w:rPr>
          <w:rFonts w:ascii="Times New Roman" w:hAnsi="Times New Roman" w:cs="Times New Roman"/>
          <w:i/>
          <w:iCs/>
        </w:rPr>
        <w:t>Europarecht</w:t>
      </w:r>
      <w:proofErr w:type="spellEnd"/>
      <w:r w:rsidR="005A77D2" w:rsidRPr="00A937FD">
        <w:rPr>
          <w:rFonts w:ascii="Times New Roman" w:hAnsi="Times New Roman" w:cs="Times New Roman"/>
        </w:rPr>
        <w:t xml:space="preserve">, 21. </w:t>
      </w:r>
      <w:r w:rsidR="005A77D2" w:rsidRPr="00A937FD">
        <w:rPr>
          <w:rFonts w:ascii="Times New Roman" w:hAnsi="Times New Roman" w:cs="Times New Roman"/>
          <w:lang w:val="de-DE"/>
        </w:rPr>
        <w:t xml:space="preserve">Auflage, München, C.H.Beck, 2019, pp. 2 e </w:t>
      </w:r>
      <w:proofErr w:type="spellStart"/>
      <w:r w:rsidR="005A77D2" w:rsidRPr="00A937FD">
        <w:rPr>
          <w:rFonts w:ascii="Times New Roman" w:hAnsi="Times New Roman" w:cs="Times New Roman"/>
          <w:lang w:val="de-DE"/>
        </w:rPr>
        <w:t>ss</w:t>
      </w:r>
      <w:proofErr w:type="spellEnd"/>
      <w:r w:rsidR="005A77D2" w:rsidRPr="00A937FD">
        <w:rPr>
          <w:rFonts w:ascii="Times New Roman" w:hAnsi="Times New Roman" w:cs="Times New Roman"/>
          <w:lang w:val="de-DE"/>
        </w:rPr>
        <w:t xml:space="preserve">. </w:t>
      </w:r>
      <w:r w:rsidR="005A77D2" w:rsidRPr="00A937FD">
        <w:rPr>
          <w:rFonts w:ascii="Times New Roman" w:hAnsi="Times New Roman" w:cs="Times New Roman"/>
        </w:rPr>
        <w:t xml:space="preserve">Si confronti con </w:t>
      </w:r>
      <w:r w:rsidR="005A77D2" w:rsidRPr="00A937FD">
        <w:rPr>
          <w:rFonts w:ascii="Times New Roman" w:hAnsi="Times New Roman" w:cs="Times New Roman"/>
        </w:rPr>
        <w:t xml:space="preserve">A. von </w:t>
      </w:r>
      <w:proofErr w:type="spellStart"/>
      <w:r w:rsidR="005A77D2" w:rsidRPr="00A937FD">
        <w:rPr>
          <w:rFonts w:ascii="Times New Roman" w:hAnsi="Times New Roman" w:cs="Times New Roman"/>
        </w:rPr>
        <w:t>Bogdandy</w:t>
      </w:r>
      <w:proofErr w:type="spellEnd"/>
      <w:r w:rsidR="005A77D2" w:rsidRPr="00A937FD">
        <w:rPr>
          <w:rFonts w:ascii="Times New Roman" w:hAnsi="Times New Roman" w:cs="Times New Roman"/>
        </w:rPr>
        <w:t xml:space="preserve">, </w:t>
      </w:r>
      <w:r w:rsidR="005A77D2" w:rsidRPr="00A937FD">
        <w:rPr>
          <w:rFonts w:ascii="Times New Roman" w:hAnsi="Times New Roman" w:cs="Times New Roman"/>
          <w:i/>
          <w:iCs/>
        </w:rPr>
        <w:t xml:space="preserve">Common </w:t>
      </w:r>
      <w:proofErr w:type="spellStart"/>
      <w:r w:rsidR="005A77D2" w:rsidRPr="00A937FD">
        <w:rPr>
          <w:rFonts w:ascii="Times New Roman" w:hAnsi="Times New Roman" w:cs="Times New Roman"/>
          <w:i/>
          <w:iCs/>
        </w:rPr>
        <w:t>Principles</w:t>
      </w:r>
      <w:proofErr w:type="spellEnd"/>
      <w:r w:rsidR="005A77D2" w:rsidRPr="00A937FD">
        <w:rPr>
          <w:rFonts w:ascii="Times New Roman" w:hAnsi="Times New Roman" w:cs="Times New Roman"/>
          <w:i/>
          <w:iCs/>
        </w:rPr>
        <w:t xml:space="preserve"> for a </w:t>
      </w:r>
      <w:proofErr w:type="spellStart"/>
      <w:r w:rsidR="005A77D2" w:rsidRPr="00A937FD">
        <w:rPr>
          <w:rFonts w:ascii="Times New Roman" w:hAnsi="Times New Roman" w:cs="Times New Roman"/>
          <w:i/>
          <w:iCs/>
        </w:rPr>
        <w:t>Plurality</w:t>
      </w:r>
      <w:proofErr w:type="spellEnd"/>
      <w:r w:rsidR="005A77D2" w:rsidRPr="00A937FD">
        <w:rPr>
          <w:rFonts w:ascii="Times New Roman" w:hAnsi="Times New Roman" w:cs="Times New Roman"/>
          <w:i/>
          <w:iCs/>
        </w:rPr>
        <w:t xml:space="preserve"> of </w:t>
      </w:r>
      <w:proofErr w:type="spellStart"/>
      <w:r w:rsidR="005A77D2" w:rsidRPr="00A937FD">
        <w:rPr>
          <w:rFonts w:ascii="Times New Roman" w:hAnsi="Times New Roman" w:cs="Times New Roman"/>
          <w:i/>
          <w:iCs/>
        </w:rPr>
        <w:t>Orders</w:t>
      </w:r>
      <w:proofErr w:type="spellEnd"/>
      <w:r w:rsidR="005A77D2" w:rsidRPr="00A937FD">
        <w:rPr>
          <w:rFonts w:ascii="Times New Roman" w:hAnsi="Times New Roman" w:cs="Times New Roman"/>
          <w:i/>
          <w:iCs/>
        </w:rPr>
        <w:t xml:space="preserve">: A Study on Public Authority in the </w:t>
      </w:r>
      <w:proofErr w:type="spellStart"/>
      <w:r w:rsidR="005A77D2" w:rsidRPr="00A937FD">
        <w:rPr>
          <w:rFonts w:ascii="Times New Roman" w:hAnsi="Times New Roman" w:cs="Times New Roman"/>
          <w:i/>
          <w:iCs/>
        </w:rPr>
        <w:t>European</w:t>
      </w:r>
      <w:proofErr w:type="spellEnd"/>
      <w:r w:rsidR="005A77D2" w:rsidRPr="00A937FD">
        <w:rPr>
          <w:rFonts w:ascii="Times New Roman" w:hAnsi="Times New Roman" w:cs="Times New Roman"/>
          <w:i/>
          <w:iCs/>
        </w:rPr>
        <w:t xml:space="preserve"> Legal Area</w:t>
      </w:r>
      <w:r w:rsidR="005A77D2" w:rsidRPr="00A937FD">
        <w:rPr>
          <w:rFonts w:ascii="Times New Roman" w:hAnsi="Times New Roman" w:cs="Times New Roman"/>
        </w:rPr>
        <w:t xml:space="preserve">, «International Journal of </w:t>
      </w:r>
      <w:proofErr w:type="spellStart"/>
      <w:r w:rsidR="005A77D2" w:rsidRPr="00A937FD">
        <w:rPr>
          <w:rFonts w:ascii="Times New Roman" w:hAnsi="Times New Roman" w:cs="Times New Roman"/>
        </w:rPr>
        <w:t>Constitutional</w:t>
      </w:r>
      <w:proofErr w:type="spellEnd"/>
      <w:r w:rsidR="005A77D2" w:rsidRPr="00A937FD">
        <w:rPr>
          <w:rFonts w:ascii="Times New Roman" w:hAnsi="Times New Roman" w:cs="Times New Roman"/>
        </w:rPr>
        <w:t xml:space="preserve"> </w:t>
      </w:r>
      <w:proofErr w:type="spellStart"/>
      <w:r w:rsidR="005A77D2" w:rsidRPr="00A937FD">
        <w:rPr>
          <w:rFonts w:ascii="Times New Roman" w:hAnsi="Times New Roman" w:cs="Times New Roman"/>
        </w:rPr>
        <w:t>Law</w:t>
      </w:r>
      <w:proofErr w:type="spellEnd"/>
      <w:r w:rsidR="005A77D2" w:rsidRPr="00A937FD">
        <w:rPr>
          <w:rFonts w:ascii="Times New Roman" w:hAnsi="Times New Roman" w:cs="Times New Roman"/>
        </w:rPr>
        <w:t>», 2014, pp. 980–1007.</w:t>
      </w:r>
    </w:p>
  </w:footnote>
  <w:footnote w:id="7">
    <w:p w14:paraId="174C74C5" w14:textId="246F4343" w:rsidR="005A77D2" w:rsidRPr="00A937FD" w:rsidRDefault="005A77D2" w:rsidP="00A937FD">
      <w:pPr>
        <w:pStyle w:val="Testonotaapidipagina"/>
        <w:ind w:left="993" w:right="849"/>
        <w:rPr>
          <w:rFonts w:ascii="Times New Roman" w:hAnsi="Times New Roman" w:cs="Times New Roman"/>
        </w:rPr>
      </w:pPr>
      <w:r w:rsidRPr="00A937FD">
        <w:rPr>
          <w:rStyle w:val="Rimandonotaapidipagina"/>
          <w:rFonts w:ascii="Times New Roman" w:hAnsi="Times New Roman" w:cs="Times New Roman"/>
        </w:rPr>
        <w:footnoteRef/>
      </w:r>
      <w:r w:rsidRPr="00A937FD">
        <w:rPr>
          <w:rFonts w:ascii="Times New Roman" w:hAnsi="Times New Roman" w:cs="Times New Roman"/>
        </w:rPr>
        <w:t xml:space="preserve"> In una prospettiva comparatistica si veda il recente contributo di </w:t>
      </w:r>
      <w:r w:rsidRPr="00A937FD">
        <w:rPr>
          <w:rFonts w:ascii="Times New Roman" w:hAnsi="Times New Roman" w:cs="Times New Roman"/>
        </w:rPr>
        <w:t xml:space="preserve">Christoph </w:t>
      </w:r>
      <w:proofErr w:type="spellStart"/>
      <w:r w:rsidRPr="00A937FD">
        <w:rPr>
          <w:rFonts w:ascii="Times New Roman" w:hAnsi="Times New Roman" w:cs="Times New Roman"/>
        </w:rPr>
        <w:t>Krönke</w:t>
      </w:r>
      <w:proofErr w:type="spellEnd"/>
      <w:r w:rsidRPr="00A937FD">
        <w:rPr>
          <w:rFonts w:ascii="Times New Roman" w:hAnsi="Times New Roman" w:cs="Times New Roman"/>
        </w:rPr>
        <w:t xml:space="preserve">, </w:t>
      </w:r>
      <w:proofErr w:type="spellStart"/>
      <w:r w:rsidRPr="002F0FE2">
        <w:rPr>
          <w:rFonts w:ascii="Times New Roman" w:hAnsi="Times New Roman" w:cs="Times New Roman"/>
          <w:i/>
          <w:iCs/>
        </w:rPr>
        <w:t>Sandkastenspiele</w:t>
      </w:r>
      <w:proofErr w:type="spellEnd"/>
      <w:r w:rsidRPr="002F0FE2">
        <w:rPr>
          <w:rFonts w:ascii="Times New Roman" w:hAnsi="Times New Roman" w:cs="Times New Roman"/>
          <w:i/>
          <w:iCs/>
        </w:rPr>
        <w:t xml:space="preserve"> – «</w:t>
      </w:r>
      <w:proofErr w:type="spellStart"/>
      <w:r w:rsidRPr="002F0FE2">
        <w:rPr>
          <w:rFonts w:ascii="Times New Roman" w:hAnsi="Times New Roman" w:cs="Times New Roman"/>
          <w:i/>
          <w:iCs/>
        </w:rPr>
        <w:t>Regulatory</w:t>
      </w:r>
      <w:proofErr w:type="spellEnd"/>
      <w:r w:rsidRPr="002F0FE2">
        <w:rPr>
          <w:rFonts w:ascii="Times New Roman" w:hAnsi="Times New Roman" w:cs="Times New Roman"/>
          <w:i/>
          <w:iCs/>
        </w:rPr>
        <w:t xml:space="preserve"> Sandboxes» </w:t>
      </w:r>
      <w:proofErr w:type="spellStart"/>
      <w:r w:rsidRPr="002F0FE2">
        <w:rPr>
          <w:rFonts w:ascii="Times New Roman" w:hAnsi="Times New Roman" w:cs="Times New Roman"/>
          <w:i/>
          <w:iCs/>
        </w:rPr>
        <w:t>aus</w:t>
      </w:r>
      <w:proofErr w:type="spellEnd"/>
      <w:r w:rsidRPr="002F0FE2">
        <w:rPr>
          <w:rFonts w:ascii="Times New Roman" w:hAnsi="Times New Roman" w:cs="Times New Roman"/>
          <w:i/>
          <w:iCs/>
        </w:rPr>
        <w:t xml:space="preserve"> </w:t>
      </w:r>
      <w:proofErr w:type="spellStart"/>
      <w:r w:rsidRPr="002F0FE2">
        <w:rPr>
          <w:rFonts w:ascii="Times New Roman" w:hAnsi="Times New Roman" w:cs="Times New Roman"/>
          <w:i/>
          <w:iCs/>
        </w:rPr>
        <w:t>der</w:t>
      </w:r>
      <w:proofErr w:type="spellEnd"/>
      <w:r w:rsidRPr="002F0FE2">
        <w:rPr>
          <w:rFonts w:ascii="Times New Roman" w:hAnsi="Times New Roman" w:cs="Times New Roman"/>
          <w:i/>
          <w:iCs/>
        </w:rPr>
        <w:t xml:space="preserve"> </w:t>
      </w:r>
      <w:proofErr w:type="spellStart"/>
      <w:r w:rsidRPr="002F0FE2">
        <w:rPr>
          <w:rFonts w:ascii="Times New Roman" w:hAnsi="Times New Roman" w:cs="Times New Roman"/>
          <w:i/>
          <w:iCs/>
        </w:rPr>
        <w:t>Perspektive</w:t>
      </w:r>
      <w:proofErr w:type="spellEnd"/>
      <w:r w:rsidRPr="002F0FE2">
        <w:rPr>
          <w:rFonts w:ascii="Times New Roman" w:hAnsi="Times New Roman" w:cs="Times New Roman"/>
          <w:i/>
          <w:iCs/>
        </w:rPr>
        <w:t xml:space="preserve"> </w:t>
      </w:r>
      <w:proofErr w:type="spellStart"/>
      <w:r w:rsidRPr="002F0FE2">
        <w:rPr>
          <w:rFonts w:ascii="Times New Roman" w:hAnsi="Times New Roman" w:cs="Times New Roman"/>
          <w:i/>
          <w:iCs/>
        </w:rPr>
        <w:t>des</w:t>
      </w:r>
      <w:proofErr w:type="spellEnd"/>
      <w:r w:rsidRPr="002F0FE2">
        <w:rPr>
          <w:rFonts w:ascii="Times New Roman" w:hAnsi="Times New Roman" w:cs="Times New Roman"/>
          <w:i/>
          <w:iCs/>
        </w:rPr>
        <w:t xml:space="preserve"> </w:t>
      </w:r>
      <w:proofErr w:type="spellStart"/>
      <w:r w:rsidRPr="002F0FE2">
        <w:rPr>
          <w:rFonts w:ascii="Times New Roman" w:hAnsi="Times New Roman" w:cs="Times New Roman"/>
          <w:i/>
          <w:iCs/>
        </w:rPr>
        <w:t>Allgemeinen</w:t>
      </w:r>
      <w:proofErr w:type="spellEnd"/>
      <w:r w:rsidRPr="002F0FE2">
        <w:rPr>
          <w:rFonts w:ascii="Times New Roman" w:hAnsi="Times New Roman" w:cs="Times New Roman"/>
          <w:i/>
          <w:iCs/>
        </w:rPr>
        <w:t xml:space="preserve"> </w:t>
      </w:r>
      <w:proofErr w:type="spellStart"/>
      <w:r w:rsidRPr="002F0FE2">
        <w:rPr>
          <w:rFonts w:ascii="Times New Roman" w:hAnsi="Times New Roman" w:cs="Times New Roman"/>
          <w:i/>
          <w:iCs/>
        </w:rPr>
        <w:t>Verwaltungsrechts</w:t>
      </w:r>
      <w:proofErr w:type="spellEnd"/>
      <w:r w:rsidRPr="00A937FD">
        <w:rPr>
          <w:rFonts w:ascii="Times New Roman" w:hAnsi="Times New Roman" w:cs="Times New Roman"/>
        </w:rPr>
        <w:t>, «</w:t>
      </w:r>
      <w:proofErr w:type="spellStart"/>
      <w:r w:rsidRPr="00A937FD">
        <w:rPr>
          <w:rFonts w:ascii="Times New Roman" w:hAnsi="Times New Roman" w:cs="Times New Roman"/>
        </w:rPr>
        <w:t>JuristenZeitung</w:t>
      </w:r>
      <w:proofErr w:type="spellEnd"/>
      <w:r w:rsidRPr="00A937FD">
        <w:rPr>
          <w:rFonts w:ascii="Times New Roman" w:hAnsi="Times New Roman" w:cs="Times New Roman"/>
        </w:rPr>
        <w:t xml:space="preserve"> (JZ)», 76, </w:t>
      </w:r>
      <w:proofErr w:type="spellStart"/>
      <w:r w:rsidRPr="00A937FD">
        <w:rPr>
          <w:rFonts w:ascii="Times New Roman" w:hAnsi="Times New Roman" w:cs="Times New Roman"/>
        </w:rPr>
        <w:t>Heft</w:t>
      </w:r>
      <w:proofErr w:type="spellEnd"/>
      <w:r w:rsidRPr="00A937FD">
        <w:rPr>
          <w:rFonts w:ascii="Times New Roman" w:hAnsi="Times New Roman" w:cs="Times New Roman"/>
        </w:rPr>
        <w:t xml:space="preserve"> 9, 2021, pp. 434-443.</w:t>
      </w:r>
      <w:r w:rsidRPr="00A937FD">
        <w:rPr>
          <w:rFonts w:ascii="Times New Roman" w:hAnsi="Times New Roman" w:cs="Times New Roman"/>
        </w:rPr>
        <w:t xml:space="preserve"> Secondo l’autore la </w:t>
      </w:r>
      <w:r w:rsidRPr="00A937FD">
        <w:rPr>
          <w:rFonts w:ascii="Times New Roman" w:hAnsi="Times New Roman" w:cs="Times New Roman"/>
          <w:i/>
          <w:iCs/>
        </w:rPr>
        <w:t>sandbox</w:t>
      </w:r>
      <w:r w:rsidRPr="00A937FD">
        <w:rPr>
          <w:rFonts w:ascii="Times New Roman" w:hAnsi="Times New Roman" w:cs="Times New Roman"/>
        </w:rPr>
        <w:t xml:space="preserve"> è compatibile con il diritto amministrativo vigente in Germania.</w:t>
      </w:r>
    </w:p>
  </w:footnote>
  <w:footnote w:id="8">
    <w:p w14:paraId="7B63B895" w14:textId="6410FCC0" w:rsidR="00B408EC" w:rsidRPr="00A937FD" w:rsidRDefault="00B408EC" w:rsidP="00A937FD">
      <w:pPr>
        <w:pStyle w:val="Testonotaapidipagina"/>
        <w:ind w:left="993" w:right="849"/>
        <w:rPr>
          <w:rFonts w:ascii="Times New Roman" w:hAnsi="Times New Roman" w:cs="Times New Roman"/>
        </w:rPr>
      </w:pPr>
      <w:r w:rsidRPr="00A937FD">
        <w:rPr>
          <w:rStyle w:val="Rimandonotaapidipagina"/>
          <w:rFonts w:ascii="Times New Roman" w:hAnsi="Times New Roman" w:cs="Times New Roman"/>
        </w:rPr>
        <w:footnoteRef/>
      </w:r>
      <w:r w:rsidRPr="00A937FD">
        <w:rPr>
          <w:rFonts w:ascii="Times New Roman" w:hAnsi="Times New Roman" w:cs="Times New Roman"/>
        </w:rPr>
        <w:t xml:space="preserve"> Su questo punto si veda l’articolo da me redatto insieme a Marco Boldini</w:t>
      </w:r>
      <w:r w:rsidR="005A77D2" w:rsidRPr="00A937FD">
        <w:rPr>
          <w:rFonts w:ascii="Times New Roman" w:hAnsi="Times New Roman" w:cs="Times New Roman"/>
        </w:rPr>
        <w:t>, docente</w:t>
      </w:r>
      <w:r w:rsidRPr="00A937FD">
        <w:rPr>
          <w:rFonts w:ascii="Times New Roman" w:hAnsi="Times New Roman" w:cs="Times New Roman"/>
        </w:rPr>
        <w:t xml:space="preserve"> nella </w:t>
      </w:r>
      <w:r w:rsidR="005A77D2" w:rsidRPr="00A937FD">
        <w:rPr>
          <w:rFonts w:ascii="Times New Roman" w:hAnsi="Times New Roman" w:cs="Times New Roman"/>
        </w:rPr>
        <w:t>«</w:t>
      </w:r>
      <w:r w:rsidRPr="00A937FD">
        <w:rPr>
          <w:rFonts w:ascii="Times New Roman" w:hAnsi="Times New Roman" w:cs="Times New Roman"/>
        </w:rPr>
        <w:t>Banking Institute of Finance</w:t>
      </w:r>
      <w:r w:rsidR="005A77D2" w:rsidRPr="00A937FD">
        <w:rPr>
          <w:rFonts w:ascii="Times New Roman" w:hAnsi="Times New Roman" w:cs="Times New Roman"/>
        </w:rPr>
        <w:t>» di Londra</w:t>
      </w:r>
      <w:r w:rsidRPr="00A937FD">
        <w:rPr>
          <w:rFonts w:ascii="Times New Roman" w:hAnsi="Times New Roman" w:cs="Times New Roman"/>
        </w:rPr>
        <w:t xml:space="preserve">: A. Merlino-M. Boldini, </w:t>
      </w:r>
      <w:proofErr w:type="spellStart"/>
      <w:r w:rsidRPr="00A937FD">
        <w:rPr>
          <w:rFonts w:ascii="Times New Roman" w:hAnsi="Times New Roman" w:cs="Times New Roman"/>
          <w:i/>
          <w:iCs/>
        </w:rPr>
        <w:t>Regulatory</w:t>
      </w:r>
      <w:proofErr w:type="spellEnd"/>
      <w:r w:rsidRPr="00A937FD">
        <w:rPr>
          <w:rFonts w:ascii="Times New Roman" w:hAnsi="Times New Roman" w:cs="Times New Roman"/>
          <w:i/>
          <w:iCs/>
        </w:rPr>
        <w:t xml:space="preserve"> Sandbox e nuove prospettive ordinamentali</w:t>
      </w:r>
      <w:r w:rsidRPr="00A937FD">
        <w:rPr>
          <w:rFonts w:ascii="Times New Roman" w:hAnsi="Times New Roman" w:cs="Times New Roman"/>
        </w:rPr>
        <w:t>, «</w:t>
      </w:r>
      <w:proofErr w:type="spellStart"/>
      <w:r w:rsidRPr="00A937FD">
        <w:rPr>
          <w:rFonts w:ascii="Times New Roman" w:hAnsi="Times New Roman" w:cs="Times New Roman"/>
        </w:rPr>
        <w:t>Giustamm</w:t>
      </w:r>
      <w:proofErr w:type="spellEnd"/>
      <w:r w:rsidRPr="00A937FD">
        <w:rPr>
          <w:rFonts w:ascii="Times New Roman" w:hAnsi="Times New Roman" w:cs="Times New Roman"/>
        </w:rPr>
        <w:t>», 2021.</w:t>
      </w:r>
      <w:r w:rsidR="005A77D2" w:rsidRPr="00A937FD">
        <w:rPr>
          <w:rFonts w:ascii="Times New Roman" w:hAnsi="Times New Roman" w:cs="Times New Roman"/>
        </w:rPr>
        <w:t xml:space="preserve"> </w:t>
      </w:r>
      <w:r w:rsidR="00A937FD" w:rsidRPr="00A937FD">
        <w:rPr>
          <w:rFonts w:ascii="Times New Roman" w:hAnsi="Times New Roman" w:cs="Times New Roman"/>
        </w:rPr>
        <w:t xml:space="preserve">Si presti particolare alla </w:t>
      </w:r>
      <w:proofErr w:type="spellStart"/>
      <w:r w:rsidR="00A937FD" w:rsidRPr="00A937FD">
        <w:rPr>
          <w:rFonts w:ascii="Times New Roman" w:hAnsi="Times New Roman" w:cs="Times New Roman"/>
        </w:rPr>
        <w:t>Kalifa</w:t>
      </w:r>
      <w:proofErr w:type="spellEnd"/>
      <w:r w:rsidR="00A937FD" w:rsidRPr="00A937FD">
        <w:rPr>
          <w:rFonts w:ascii="Times New Roman" w:hAnsi="Times New Roman" w:cs="Times New Roman"/>
        </w:rPr>
        <w:t xml:space="preserve"> review, nella quale si raccomanda di estendere le potenzialità della sandbox oltre i limiti temporali originariamente stabiliti e di offrire la </w:t>
      </w:r>
      <w:proofErr w:type="spellStart"/>
      <w:r w:rsidR="00A937FD" w:rsidRPr="00A937FD">
        <w:rPr>
          <w:rFonts w:ascii="Times New Roman" w:hAnsi="Times New Roman" w:cs="Times New Roman"/>
          <w:i/>
          <w:iCs/>
        </w:rPr>
        <w:t>guidance</w:t>
      </w:r>
      <w:proofErr w:type="spellEnd"/>
      <w:r w:rsidR="00A937FD" w:rsidRPr="00A937FD">
        <w:rPr>
          <w:rFonts w:ascii="Times New Roman" w:hAnsi="Times New Roman" w:cs="Times New Roman"/>
          <w:i/>
          <w:iCs/>
        </w:rPr>
        <w:t xml:space="preserve"> </w:t>
      </w:r>
      <w:r w:rsidR="00A937FD" w:rsidRPr="00A937FD">
        <w:rPr>
          <w:rFonts w:ascii="Times New Roman" w:hAnsi="Times New Roman" w:cs="Times New Roman"/>
        </w:rPr>
        <w:t>delle autorità di vigilanza anche qualora l’originalità del prodotto o del servizio non fosse pienamente innovativa.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EF8"/>
    <w:multiLevelType w:val="hybridMultilevel"/>
    <w:tmpl w:val="C2B0679E"/>
    <w:lvl w:ilvl="0" w:tplc="8FAE7F00">
      <w:start w:val="1"/>
      <w:numFmt w:val="decimal"/>
      <w:lvlText w:val="%1."/>
      <w:lvlJc w:val="lef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 w15:restartNumberingAfterBreak="0">
    <w:nsid w:val="47320055"/>
    <w:multiLevelType w:val="hybridMultilevel"/>
    <w:tmpl w:val="0C7E9F88"/>
    <w:lvl w:ilvl="0" w:tplc="58BA47E8">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E20CE6"/>
    <w:multiLevelType w:val="hybridMultilevel"/>
    <w:tmpl w:val="B07AE754"/>
    <w:lvl w:ilvl="0" w:tplc="8A928CF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F3"/>
    <w:rsid w:val="000A75EE"/>
    <w:rsid w:val="00106319"/>
    <w:rsid w:val="0015419A"/>
    <w:rsid w:val="0027601C"/>
    <w:rsid w:val="002C748B"/>
    <w:rsid w:val="002F0FE2"/>
    <w:rsid w:val="003554C5"/>
    <w:rsid w:val="00361CBB"/>
    <w:rsid w:val="004237A2"/>
    <w:rsid w:val="00444301"/>
    <w:rsid w:val="004450FC"/>
    <w:rsid w:val="004917FB"/>
    <w:rsid w:val="0052686F"/>
    <w:rsid w:val="005820FD"/>
    <w:rsid w:val="005A77D2"/>
    <w:rsid w:val="006C4A28"/>
    <w:rsid w:val="00712C65"/>
    <w:rsid w:val="00712F15"/>
    <w:rsid w:val="007C04BA"/>
    <w:rsid w:val="008216E3"/>
    <w:rsid w:val="00871FAA"/>
    <w:rsid w:val="008B62DB"/>
    <w:rsid w:val="008E3B3A"/>
    <w:rsid w:val="009A1AF3"/>
    <w:rsid w:val="00A35AA1"/>
    <w:rsid w:val="00A571F7"/>
    <w:rsid w:val="00A937FD"/>
    <w:rsid w:val="00AD3682"/>
    <w:rsid w:val="00B26346"/>
    <w:rsid w:val="00B408EC"/>
    <w:rsid w:val="00B71F03"/>
    <w:rsid w:val="00D012C7"/>
    <w:rsid w:val="00DB6E74"/>
    <w:rsid w:val="00E52C1A"/>
    <w:rsid w:val="00E64DCE"/>
    <w:rsid w:val="00F021BF"/>
    <w:rsid w:val="00F7027B"/>
    <w:rsid w:val="00FC1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04C9"/>
  <w15:chartTrackingRefBased/>
  <w15:docId w15:val="{76B6D077-C773-40E3-BD5E-F44FFE06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1AF3"/>
    <w:pPr>
      <w:ind w:left="720"/>
      <w:contextualSpacing/>
    </w:pPr>
  </w:style>
  <w:style w:type="paragraph" w:styleId="Testonotaapidipagina">
    <w:name w:val="footnote text"/>
    <w:basedOn w:val="Normale"/>
    <w:link w:val="TestonotaapidipaginaCarattere"/>
    <w:uiPriority w:val="99"/>
    <w:semiHidden/>
    <w:unhideWhenUsed/>
    <w:rsid w:val="00871FAA"/>
    <w:rPr>
      <w:sz w:val="20"/>
      <w:szCs w:val="20"/>
    </w:rPr>
  </w:style>
  <w:style w:type="character" w:customStyle="1" w:styleId="TestonotaapidipaginaCarattere">
    <w:name w:val="Testo nota a piè di pagina Carattere"/>
    <w:basedOn w:val="Carpredefinitoparagrafo"/>
    <w:link w:val="Testonotaapidipagina"/>
    <w:uiPriority w:val="99"/>
    <w:semiHidden/>
    <w:rsid w:val="00871FAA"/>
    <w:rPr>
      <w:sz w:val="20"/>
      <w:szCs w:val="20"/>
    </w:rPr>
  </w:style>
  <w:style w:type="character" w:styleId="Rimandonotaapidipagina">
    <w:name w:val="footnote reference"/>
    <w:basedOn w:val="Carpredefinitoparagrafo"/>
    <w:uiPriority w:val="99"/>
    <w:semiHidden/>
    <w:unhideWhenUsed/>
    <w:rsid w:val="00871FAA"/>
    <w:rPr>
      <w:vertAlign w:val="superscript"/>
    </w:rPr>
  </w:style>
  <w:style w:type="paragraph" w:styleId="Intestazione">
    <w:name w:val="header"/>
    <w:basedOn w:val="Normale"/>
    <w:link w:val="IntestazioneCarattere"/>
    <w:uiPriority w:val="99"/>
    <w:unhideWhenUsed/>
    <w:rsid w:val="0027601C"/>
    <w:pPr>
      <w:tabs>
        <w:tab w:val="center" w:pos="4819"/>
        <w:tab w:val="right" w:pos="9638"/>
      </w:tabs>
    </w:pPr>
  </w:style>
  <w:style w:type="character" w:customStyle="1" w:styleId="IntestazioneCarattere">
    <w:name w:val="Intestazione Carattere"/>
    <w:basedOn w:val="Carpredefinitoparagrafo"/>
    <w:link w:val="Intestazione"/>
    <w:uiPriority w:val="99"/>
    <w:rsid w:val="0027601C"/>
  </w:style>
  <w:style w:type="paragraph" w:styleId="Pidipagina">
    <w:name w:val="footer"/>
    <w:basedOn w:val="Normale"/>
    <w:link w:val="PidipaginaCarattere"/>
    <w:uiPriority w:val="99"/>
    <w:unhideWhenUsed/>
    <w:rsid w:val="0027601C"/>
    <w:pPr>
      <w:tabs>
        <w:tab w:val="center" w:pos="4819"/>
        <w:tab w:val="right" w:pos="9638"/>
      </w:tabs>
    </w:pPr>
  </w:style>
  <w:style w:type="character" w:customStyle="1" w:styleId="PidipaginaCarattere">
    <w:name w:val="Piè di pagina Carattere"/>
    <w:basedOn w:val="Carpredefinitoparagrafo"/>
    <w:link w:val="Pidipagina"/>
    <w:uiPriority w:val="99"/>
    <w:rsid w:val="0027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639C-9578-4517-A430-06186FB7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13</Pages>
  <Words>3263</Words>
  <Characters>18604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Merlino Antonio</dc:creator>
  <cp:keywords/>
  <dc:description/>
  <cp:lastModifiedBy>Merlino Antonio</cp:lastModifiedBy>
  <cp:revision>16</cp:revision>
  <cp:lastPrinted>2021-06-14T07:04:00Z</cp:lastPrinted>
  <dcterms:created xsi:type="dcterms:W3CDTF">2021-06-12T18:28:00Z</dcterms:created>
  <dcterms:modified xsi:type="dcterms:W3CDTF">2021-06-14T07:53:00Z</dcterms:modified>
</cp:coreProperties>
</file>