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7F7" w:rsidRDefault="002F27F7" w:rsidP="00542E9E">
      <w:pPr>
        <w:spacing w:after="0" w:line="360" w:lineRule="auto"/>
        <w:jc w:val="center"/>
        <w:rPr>
          <w:rFonts w:ascii="Times New Roman" w:hAnsi="Times New Roman" w:cs="Times New Roman"/>
          <w:b/>
          <w:sz w:val="26"/>
          <w:szCs w:val="26"/>
        </w:rPr>
      </w:pPr>
      <w:r w:rsidRPr="00C15A2F">
        <w:rPr>
          <w:rFonts w:ascii="Times New Roman" w:hAnsi="Times New Roman" w:cs="Times New Roman"/>
          <w:b/>
          <w:sz w:val="26"/>
          <w:szCs w:val="26"/>
        </w:rPr>
        <w:t>I giudici e la pandemia</w:t>
      </w:r>
    </w:p>
    <w:p w:rsidR="00817A8A" w:rsidRPr="00C15A2F" w:rsidRDefault="00817A8A" w:rsidP="008E2068">
      <w:pPr>
        <w:spacing w:after="0" w:line="360" w:lineRule="auto"/>
        <w:jc w:val="both"/>
        <w:rPr>
          <w:rFonts w:ascii="Times New Roman" w:hAnsi="Times New Roman" w:cs="Times New Roman"/>
          <w:b/>
          <w:sz w:val="26"/>
          <w:szCs w:val="26"/>
        </w:rPr>
      </w:pPr>
    </w:p>
    <w:p w:rsidR="00D741C8" w:rsidRPr="00C15A2F" w:rsidRDefault="00D741C8" w:rsidP="008E2068">
      <w:pPr>
        <w:spacing w:after="0" w:line="360" w:lineRule="auto"/>
        <w:jc w:val="both"/>
        <w:rPr>
          <w:rFonts w:ascii="Times New Roman" w:hAnsi="Times New Roman" w:cs="Times New Roman"/>
          <w:b/>
          <w:sz w:val="26"/>
          <w:szCs w:val="26"/>
        </w:rPr>
      </w:pPr>
      <w:r w:rsidRPr="00C15A2F">
        <w:rPr>
          <w:rFonts w:ascii="Times New Roman" w:hAnsi="Times New Roman" w:cs="Times New Roman"/>
          <w:b/>
          <w:sz w:val="26"/>
          <w:szCs w:val="26"/>
        </w:rPr>
        <w:t>Premess</w:t>
      </w:r>
      <w:r w:rsidR="002F27F7" w:rsidRPr="00C15A2F">
        <w:rPr>
          <w:rFonts w:ascii="Times New Roman" w:hAnsi="Times New Roman" w:cs="Times New Roman"/>
          <w:b/>
          <w:sz w:val="26"/>
          <w:szCs w:val="26"/>
        </w:rPr>
        <w:t>a</w:t>
      </w:r>
      <w:r w:rsidRPr="00C15A2F">
        <w:rPr>
          <w:rFonts w:ascii="Times New Roman" w:hAnsi="Times New Roman" w:cs="Times New Roman"/>
          <w:b/>
          <w:sz w:val="26"/>
          <w:szCs w:val="26"/>
        </w:rPr>
        <w:t xml:space="preserve">. </w:t>
      </w:r>
    </w:p>
    <w:p w:rsidR="00A72380" w:rsidRPr="00C15A2F" w:rsidRDefault="00D741C8" w:rsidP="008E2068">
      <w:pPr>
        <w:spacing w:after="0" w:line="360" w:lineRule="auto"/>
        <w:jc w:val="both"/>
        <w:rPr>
          <w:rFonts w:ascii="Times New Roman" w:hAnsi="Times New Roman" w:cs="Times New Roman"/>
          <w:sz w:val="26"/>
          <w:szCs w:val="26"/>
        </w:rPr>
      </w:pPr>
      <w:r w:rsidRPr="00C15A2F">
        <w:rPr>
          <w:rFonts w:ascii="Times New Roman" w:hAnsi="Times New Roman" w:cs="Times New Roman"/>
          <w:sz w:val="26"/>
          <w:szCs w:val="26"/>
        </w:rPr>
        <w:t xml:space="preserve">L’irrompere della </w:t>
      </w:r>
      <w:r w:rsidR="007E68D3" w:rsidRPr="00C15A2F">
        <w:rPr>
          <w:rFonts w:ascii="Times New Roman" w:hAnsi="Times New Roman" w:cs="Times New Roman"/>
          <w:sz w:val="26"/>
          <w:szCs w:val="26"/>
        </w:rPr>
        <w:t>p</w:t>
      </w:r>
      <w:r w:rsidRPr="00C15A2F">
        <w:rPr>
          <w:rFonts w:ascii="Times New Roman" w:hAnsi="Times New Roman" w:cs="Times New Roman"/>
          <w:sz w:val="26"/>
          <w:szCs w:val="26"/>
        </w:rPr>
        <w:t xml:space="preserve">andemia sullo scenario mondiale ha prodotto non solo intuibili </w:t>
      </w:r>
      <w:r w:rsidR="00DA55E9" w:rsidRPr="00C15A2F">
        <w:rPr>
          <w:rFonts w:ascii="Times New Roman" w:hAnsi="Times New Roman" w:cs="Times New Roman"/>
          <w:sz w:val="26"/>
          <w:szCs w:val="26"/>
        </w:rPr>
        <w:t>ripercussioni</w:t>
      </w:r>
      <w:r w:rsidRPr="00C15A2F">
        <w:rPr>
          <w:rFonts w:ascii="Times New Roman" w:hAnsi="Times New Roman" w:cs="Times New Roman"/>
          <w:sz w:val="26"/>
          <w:szCs w:val="26"/>
        </w:rPr>
        <w:t xml:space="preserve"> nel mondo della scienza e della medicina, nonché conseguenze sul piano economico e</w:t>
      </w:r>
      <w:r w:rsidR="002F27F7" w:rsidRPr="00C15A2F">
        <w:rPr>
          <w:rFonts w:ascii="Times New Roman" w:hAnsi="Times New Roman" w:cs="Times New Roman"/>
          <w:sz w:val="26"/>
          <w:szCs w:val="26"/>
        </w:rPr>
        <w:t xml:space="preserve"> </w:t>
      </w:r>
      <w:r w:rsidRPr="00C15A2F">
        <w:rPr>
          <w:rFonts w:ascii="Times New Roman" w:hAnsi="Times New Roman" w:cs="Times New Roman"/>
          <w:sz w:val="26"/>
          <w:szCs w:val="26"/>
        </w:rPr>
        <w:t>relazional</w:t>
      </w:r>
      <w:r w:rsidR="002F27F7" w:rsidRPr="00C15A2F">
        <w:rPr>
          <w:rFonts w:ascii="Times New Roman" w:hAnsi="Times New Roman" w:cs="Times New Roman"/>
          <w:sz w:val="26"/>
          <w:szCs w:val="26"/>
        </w:rPr>
        <w:t xml:space="preserve">e </w:t>
      </w:r>
      <w:r w:rsidR="007E68D3" w:rsidRPr="00C15A2F">
        <w:rPr>
          <w:rFonts w:ascii="Times New Roman" w:hAnsi="Times New Roman" w:cs="Times New Roman"/>
          <w:sz w:val="26"/>
          <w:szCs w:val="26"/>
        </w:rPr>
        <w:t>ma</w:t>
      </w:r>
      <w:r w:rsidRPr="00C15A2F">
        <w:rPr>
          <w:rFonts w:ascii="Times New Roman" w:hAnsi="Times New Roman" w:cs="Times New Roman"/>
          <w:sz w:val="26"/>
          <w:szCs w:val="26"/>
        </w:rPr>
        <w:t xml:space="preserve">, per quanto qui di stretto interesse, </w:t>
      </w:r>
      <w:r w:rsidR="00DA55E9" w:rsidRPr="00C15A2F">
        <w:rPr>
          <w:rFonts w:ascii="Times New Roman" w:hAnsi="Times New Roman" w:cs="Times New Roman"/>
          <w:sz w:val="26"/>
          <w:szCs w:val="26"/>
        </w:rPr>
        <w:t xml:space="preserve">anche </w:t>
      </w:r>
      <w:r w:rsidRPr="00C15A2F">
        <w:rPr>
          <w:rFonts w:ascii="Times New Roman" w:hAnsi="Times New Roman" w:cs="Times New Roman"/>
          <w:sz w:val="26"/>
          <w:szCs w:val="26"/>
        </w:rPr>
        <w:t>in quello del diritto</w:t>
      </w:r>
      <w:r w:rsidR="000D6E8E" w:rsidRPr="00C15A2F">
        <w:rPr>
          <w:rFonts w:ascii="Times New Roman" w:hAnsi="Times New Roman" w:cs="Times New Roman"/>
          <w:sz w:val="26"/>
          <w:szCs w:val="26"/>
        </w:rPr>
        <w:t xml:space="preserve">. </w:t>
      </w:r>
      <w:r w:rsidR="00D264FC" w:rsidRPr="00C15A2F">
        <w:rPr>
          <w:rFonts w:ascii="Times New Roman" w:hAnsi="Times New Roman" w:cs="Times New Roman"/>
          <w:sz w:val="26"/>
          <w:szCs w:val="26"/>
        </w:rPr>
        <w:t>Il rischio sanitario connesso all’insorgenza del virus COVID-19 e la sua diffusione su tutto il territorio, ha infatti realizzato quello stato di emergenza</w:t>
      </w:r>
      <w:r w:rsidR="00551473" w:rsidRPr="00C15A2F">
        <w:rPr>
          <w:rFonts w:ascii="Times New Roman" w:hAnsi="Times New Roman" w:cs="Times New Roman"/>
          <w:sz w:val="26"/>
          <w:szCs w:val="26"/>
        </w:rPr>
        <w:t>, quale fatto</w:t>
      </w:r>
      <w:r w:rsidR="00D264FC" w:rsidRPr="00C15A2F">
        <w:rPr>
          <w:rFonts w:ascii="Times New Roman" w:hAnsi="Times New Roman" w:cs="Times New Roman"/>
          <w:sz w:val="26"/>
          <w:szCs w:val="26"/>
        </w:rPr>
        <w:t xml:space="preserve">-presupposto </w:t>
      </w:r>
      <w:r w:rsidR="00551473" w:rsidRPr="00C15A2F">
        <w:rPr>
          <w:rFonts w:ascii="Times New Roman" w:hAnsi="Times New Roman" w:cs="Times New Roman"/>
          <w:sz w:val="26"/>
          <w:szCs w:val="26"/>
        </w:rPr>
        <w:t>che non tollera vuoti di potere</w:t>
      </w:r>
      <w:r w:rsidR="00D264FC" w:rsidRPr="00C15A2F">
        <w:rPr>
          <w:rFonts w:ascii="Times New Roman" w:hAnsi="Times New Roman" w:cs="Times New Roman"/>
          <w:sz w:val="26"/>
          <w:szCs w:val="26"/>
        </w:rPr>
        <w:t>,</w:t>
      </w:r>
      <w:r w:rsidR="00551473" w:rsidRPr="00C15A2F">
        <w:rPr>
          <w:rFonts w:ascii="Times New Roman" w:hAnsi="Times New Roman" w:cs="Times New Roman"/>
          <w:sz w:val="26"/>
          <w:szCs w:val="26"/>
        </w:rPr>
        <w:t xml:space="preserve"> né assenza di regolazione, </w:t>
      </w:r>
      <w:r w:rsidR="00D264FC" w:rsidRPr="00C15A2F">
        <w:rPr>
          <w:rFonts w:ascii="Times New Roman" w:hAnsi="Times New Roman" w:cs="Times New Roman"/>
          <w:sz w:val="26"/>
          <w:szCs w:val="26"/>
        </w:rPr>
        <w:t>considerato immanente al sistema</w:t>
      </w:r>
      <w:r w:rsidR="007E68D3" w:rsidRPr="00C15A2F">
        <w:rPr>
          <w:rFonts w:ascii="Times New Roman" w:hAnsi="Times New Roman" w:cs="Times New Roman"/>
          <w:sz w:val="26"/>
          <w:szCs w:val="26"/>
        </w:rPr>
        <w:t xml:space="preserve"> e</w:t>
      </w:r>
      <w:r w:rsidR="00D264FC" w:rsidRPr="00C15A2F">
        <w:rPr>
          <w:rFonts w:ascii="Times New Roman" w:hAnsi="Times New Roman" w:cs="Times New Roman"/>
          <w:sz w:val="26"/>
          <w:szCs w:val="26"/>
        </w:rPr>
        <w:t xml:space="preserve"> avulso da ogni preventiva tipizzazione. </w:t>
      </w:r>
    </w:p>
    <w:p w:rsidR="007E68D3" w:rsidRPr="00C15A2F" w:rsidRDefault="00D264FC" w:rsidP="008E2068">
      <w:pPr>
        <w:spacing w:after="0" w:line="360" w:lineRule="auto"/>
        <w:jc w:val="both"/>
        <w:rPr>
          <w:rFonts w:ascii="Times New Roman" w:hAnsi="Times New Roman" w:cs="Times New Roman"/>
          <w:sz w:val="26"/>
          <w:szCs w:val="26"/>
        </w:rPr>
      </w:pPr>
      <w:r w:rsidRPr="00C15A2F">
        <w:rPr>
          <w:rFonts w:ascii="Times New Roman" w:hAnsi="Times New Roman" w:cs="Times New Roman"/>
          <w:sz w:val="26"/>
          <w:szCs w:val="26"/>
        </w:rPr>
        <w:t xml:space="preserve">Da qui l’importanza assunta dal ruolo </w:t>
      </w:r>
      <w:r w:rsidR="007E68D3" w:rsidRPr="00C15A2F">
        <w:rPr>
          <w:rFonts w:ascii="Times New Roman" w:hAnsi="Times New Roman" w:cs="Times New Roman"/>
          <w:sz w:val="26"/>
          <w:szCs w:val="26"/>
        </w:rPr>
        <w:t>del</w:t>
      </w:r>
      <w:r w:rsidR="008012A2" w:rsidRPr="00C15A2F">
        <w:rPr>
          <w:rFonts w:ascii="Times New Roman" w:hAnsi="Times New Roman" w:cs="Times New Roman"/>
          <w:sz w:val="26"/>
          <w:szCs w:val="26"/>
        </w:rPr>
        <w:t xml:space="preserve"> giudice -</w:t>
      </w:r>
      <w:r w:rsidR="00847E7E" w:rsidRPr="00C15A2F">
        <w:rPr>
          <w:rFonts w:ascii="Times New Roman" w:hAnsi="Times New Roman" w:cs="Times New Roman"/>
          <w:sz w:val="26"/>
          <w:szCs w:val="26"/>
        </w:rPr>
        <w:t xml:space="preserve"> e segnatamente </w:t>
      </w:r>
      <w:r w:rsidR="007E68D3" w:rsidRPr="00C15A2F">
        <w:rPr>
          <w:rFonts w:ascii="Times New Roman" w:hAnsi="Times New Roman" w:cs="Times New Roman"/>
          <w:sz w:val="26"/>
          <w:szCs w:val="26"/>
        </w:rPr>
        <w:t xml:space="preserve">di </w:t>
      </w:r>
      <w:r w:rsidR="00847E7E" w:rsidRPr="00C15A2F">
        <w:rPr>
          <w:rFonts w:ascii="Times New Roman" w:hAnsi="Times New Roman" w:cs="Times New Roman"/>
          <w:sz w:val="26"/>
          <w:szCs w:val="26"/>
        </w:rPr>
        <w:t>quello amministrativo</w:t>
      </w:r>
      <w:r w:rsidRPr="00C15A2F">
        <w:rPr>
          <w:rFonts w:ascii="Times New Roman" w:hAnsi="Times New Roman" w:cs="Times New Roman"/>
          <w:sz w:val="26"/>
          <w:szCs w:val="26"/>
        </w:rPr>
        <w:t xml:space="preserve"> - chiamato a decidere sulla </w:t>
      </w:r>
      <w:r w:rsidR="000041AC" w:rsidRPr="00C15A2F">
        <w:rPr>
          <w:rFonts w:ascii="Times New Roman" w:hAnsi="Times New Roman" w:cs="Times New Roman"/>
          <w:sz w:val="26"/>
          <w:szCs w:val="26"/>
        </w:rPr>
        <w:t xml:space="preserve">legittimità degli </w:t>
      </w:r>
      <w:r w:rsidR="008012A2" w:rsidRPr="00C15A2F">
        <w:rPr>
          <w:rFonts w:ascii="Times New Roman" w:hAnsi="Times New Roman" w:cs="Times New Roman"/>
          <w:sz w:val="26"/>
          <w:szCs w:val="26"/>
        </w:rPr>
        <w:t xml:space="preserve">atti e </w:t>
      </w:r>
      <w:r w:rsidR="000041AC" w:rsidRPr="00C15A2F">
        <w:rPr>
          <w:rFonts w:ascii="Times New Roman" w:hAnsi="Times New Roman" w:cs="Times New Roman"/>
          <w:sz w:val="26"/>
          <w:szCs w:val="26"/>
        </w:rPr>
        <w:t>dei</w:t>
      </w:r>
      <w:r w:rsidR="008012A2" w:rsidRPr="00C15A2F">
        <w:rPr>
          <w:rFonts w:ascii="Times New Roman" w:hAnsi="Times New Roman" w:cs="Times New Roman"/>
          <w:sz w:val="26"/>
          <w:szCs w:val="26"/>
        </w:rPr>
        <w:t xml:space="preserve"> comportamenti delle pubbliche amministrazioni (e dei soggetti ad esse equiparati)</w:t>
      </w:r>
      <w:r w:rsidR="00584E12" w:rsidRPr="00C15A2F">
        <w:rPr>
          <w:rFonts w:ascii="Times New Roman" w:hAnsi="Times New Roman" w:cs="Times New Roman"/>
          <w:sz w:val="26"/>
          <w:szCs w:val="26"/>
        </w:rPr>
        <w:t xml:space="preserve">, </w:t>
      </w:r>
      <w:r w:rsidRPr="00C15A2F">
        <w:rPr>
          <w:rFonts w:ascii="Times New Roman" w:hAnsi="Times New Roman" w:cs="Times New Roman"/>
          <w:sz w:val="26"/>
          <w:szCs w:val="26"/>
        </w:rPr>
        <w:t xml:space="preserve">così da svolgere </w:t>
      </w:r>
      <w:r w:rsidR="008012A2" w:rsidRPr="00C15A2F">
        <w:rPr>
          <w:rFonts w:ascii="Times New Roman" w:hAnsi="Times New Roman" w:cs="Times New Roman"/>
          <w:sz w:val="26"/>
          <w:szCs w:val="26"/>
        </w:rPr>
        <w:t xml:space="preserve">una </w:t>
      </w:r>
      <w:r w:rsidR="00A72380" w:rsidRPr="00C15A2F">
        <w:rPr>
          <w:rFonts w:ascii="Times New Roman" w:hAnsi="Times New Roman" w:cs="Times New Roman"/>
          <w:sz w:val="26"/>
          <w:szCs w:val="26"/>
        </w:rPr>
        <w:t xml:space="preserve">sorta di </w:t>
      </w:r>
      <w:r w:rsidR="008012A2" w:rsidRPr="00C15A2F">
        <w:rPr>
          <w:rFonts w:ascii="Times New Roman" w:hAnsi="Times New Roman" w:cs="Times New Roman"/>
          <w:sz w:val="26"/>
          <w:szCs w:val="26"/>
        </w:rPr>
        <w:t xml:space="preserve">funzione di nomofilachia sui diritti, anche fondamentali, incisi dalle regole la cui attuazione è stata sottoposta al </w:t>
      </w:r>
      <w:r w:rsidR="00584E12" w:rsidRPr="00C15A2F">
        <w:rPr>
          <w:rFonts w:ascii="Times New Roman" w:hAnsi="Times New Roman" w:cs="Times New Roman"/>
          <w:sz w:val="26"/>
          <w:szCs w:val="26"/>
        </w:rPr>
        <w:t xml:space="preserve">relativo </w:t>
      </w:r>
      <w:r w:rsidR="008012A2" w:rsidRPr="00C15A2F">
        <w:rPr>
          <w:rFonts w:ascii="Times New Roman" w:hAnsi="Times New Roman" w:cs="Times New Roman"/>
          <w:sz w:val="26"/>
          <w:szCs w:val="26"/>
        </w:rPr>
        <w:t>vaglio</w:t>
      </w:r>
      <w:r w:rsidRPr="00C15A2F">
        <w:rPr>
          <w:rFonts w:ascii="Times New Roman" w:hAnsi="Times New Roman" w:cs="Times New Roman"/>
          <w:sz w:val="26"/>
          <w:szCs w:val="26"/>
        </w:rPr>
        <w:t xml:space="preserve">, tanto più che accanto alla congerie di </w:t>
      </w:r>
      <w:r w:rsidR="008012A2" w:rsidRPr="00C15A2F">
        <w:rPr>
          <w:rFonts w:ascii="Times New Roman" w:hAnsi="Times New Roman" w:cs="Times New Roman"/>
          <w:sz w:val="26"/>
          <w:szCs w:val="26"/>
        </w:rPr>
        <w:t>decreti, ordi</w:t>
      </w:r>
      <w:r w:rsidR="00105F27">
        <w:rPr>
          <w:rFonts w:ascii="Times New Roman" w:hAnsi="Times New Roman" w:cs="Times New Roman"/>
          <w:sz w:val="26"/>
          <w:szCs w:val="26"/>
        </w:rPr>
        <w:t xml:space="preserve">nanze, circolari, linee guida, </w:t>
      </w:r>
      <w:r w:rsidR="008012A2" w:rsidRPr="00C15A2F">
        <w:rPr>
          <w:rFonts w:ascii="Times New Roman" w:hAnsi="Times New Roman" w:cs="Times New Roman"/>
          <w:sz w:val="26"/>
          <w:szCs w:val="26"/>
        </w:rPr>
        <w:t xml:space="preserve">raccomandazioni, indirizzi, istruzioni, intese, moduli di autodichiarazione, ecc., </w:t>
      </w:r>
      <w:r w:rsidR="00A72380" w:rsidRPr="00C15A2F">
        <w:rPr>
          <w:rFonts w:ascii="Times New Roman" w:hAnsi="Times New Roman" w:cs="Times New Roman"/>
          <w:sz w:val="26"/>
          <w:szCs w:val="26"/>
        </w:rPr>
        <w:t xml:space="preserve">sono state via via previste </w:t>
      </w:r>
      <w:r w:rsidR="008012A2" w:rsidRPr="00C15A2F">
        <w:rPr>
          <w:rFonts w:ascii="Times New Roman" w:hAnsi="Times New Roman" w:cs="Times New Roman"/>
          <w:sz w:val="26"/>
          <w:szCs w:val="26"/>
        </w:rPr>
        <w:t>misure di sostegno e di rilancio dell’economia, che, a loro volta, richiedono autorizzazioni e controlli amministrativi</w:t>
      </w:r>
      <w:r w:rsidRPr="00C15A2F">
        <w:rPr>
          <w:rFonts w:ascii="Times New Roman" w:hAnsi="Times New Roman" w:cs="Times New Roman"/>
          <w:sz w:val="26"/>
          <w:szCs w:val="26"/>
        </w:rPr>
        <w:t xml:space="preserve">. </w:t>
      </w:r>
      <w:r w:rsidR="00D81B2A" w:rsidRPr="00C15A2F">
        <w:rPr>
          <w:rFonts w:ascii="Times New Roman" w:hAnsi="Times New Roman" w:cs="Times New Roman"/>
          <w:sz w:val="26"/>
          <w:szCs w:val="26"/>
        </w:rPr>
        <w:t>Del resto è fisiologico, e anzi necessario, che, con l’espandersi dei poteri pubblici emergenziali, il giudice</w:t>
      </w:r>
      <w:r w:rsidR="007E68D3" w:rsidRPr="00C15A2F">
        <w:rPr>
          <w:rFonts w:ascii="Times New Roman" w:hAnsi="Times New Roman" w:cs="Times New Roman"/>
          <w:sz w:val="26"/>
          <w:szCs w:val="26"/>
        </w:rPr>
        <w:t xml:space="preserve"> amministrativo, in quanto</w:t>
      </w:r>
      <w:r w:rsidR="00D81B2A" w:rsidRPr="00C15A2F">
        <w:rPr>
          <w:rFonts w:ascii="Times New Roman" w:hAnsi="Times New Roman" w:cs="Times New Roman"/>
          <w:sz w:val="26"/>
          <w:szCs w:val="26"/>
        </w:rPr>
        <w:t xml:space="preserve"> </w:t>
      </w:r>
      <w:r w:rsidR="007E68D3" w:rsidRPr="00C15A2F">
        <w:rPr>
          <w:rFonts w:ascii="Times New Roman" w:hAnsi="Times New Roman" w:cs="Times New Roman"/>
          <w:sz w:val="26"/>
          <w:szCs w:val="26"/>
        </w:rPr>
        <w:t xml:space="preserve">“ad accessibilità immediata”, </w:t>
      </w:r>
      <w:r w:rsidR="00D81B2A" w:rsidRPr="00C15A2F">
        <w:rPr>
          <w:rFonts w:ascii="Times New Roman" w:hAnsi="Times New Roman" w:cs="Times New Roman"/>
          <w:sz w:val="26"/>
          <w:szCs w:val="26"/>
        </w:rPr>
        <w:t>assuma un ruolo di tutela dei diritti e degli interessi in gioco, effettua</w:t>
      </w:r>
      <w:r w:rsidR="00DA55E9" w:rsidRPr="00C15A2F">
        <w:rPr>
          <w:rFonts w:ascii="Times New Roman" w:hAnsi="Times New Roman" w:cs="Times New Roman"/>
          <w:sz w:val="26"/>
          <w:szCs w:val="26"/>
        </w:rPr>
        <w:t>ndo</w:t>
      </w:r>
      <w:r w:rsidR="00D81B2A" w:rsidRPr="00C15A2F">
        <w:rPr>
          <w:rFonts w:ascii="Times New Roman" w:hAnsi="Times New Roman" w:cs="Times New Roman"/>
          <w:sz w:val="26"/>
          <w:szCs w:val="26"/>
        </w:rPr>
        <w:t xml:space="preserve"> egli stesso quel bilanciamento </w:t>
      </w:r>
      <w:r w:rsidR="000F7BDF" w:rsidRPr="00C15A2F">
        <w:rPr>
          <w:rFonts w:ascii="Times New Roman" w:hAnsi="Times New Roman" w:cs="Times New Roman"/>
          <w:sz w:val="26"/>
          <w:szCs w:val="26"/>
        </w:rPr>
        <w:t>di valori</w:t>
      </w:r>
      <w:r w:rsidR="007E68D3" w:rsidRPr="00C15A2F">
        <w:rPr>
          <w:rFonts w:ascii="Times New Roman" w:hAnsi="Times New Roman" w:cs="Times New Roman"/>
          <w:sz w:val="26"/>
          <w:szCs w:val="26"/>
        </w:rPr>
        <w:t xml:space="preserve"> </w:t>
      </w:r>
      <w:r w:rsidR="00D81B2A" w:rsidRPr="00C15A2F">
        <w:rPr>
          <w:rFonts w:ascii="Times New Roman" w:hAnsi="Times New Roman" w:cs="Times New Roman"/>
          <w:sz w:val="26"/>
          <w:szCs w:val="26"/>
        </w:rPr>
        <w:t xml:space="preserve">che non è compiutamente </w:t>
      </w:r>
      <w:r w:rsidR="007E68D3" w:rsidRPr="00C15A2F">
        <w:rPr>
          <w:rFonts w:ascii="Times New Roman" w:hAnsi="Times New Roman" w:cs="Times New Roman"/>
          <w:sz w:val="26"/>
          <w:szCs w:val="26"/>
        </w:rPr>
        <w:t xml:space="preserve">rinvenibile </w:t>
      </w:r>
      <w:r w:rsidR="00D81B2A" w:rsidRPr="00C15A2F">
        <w:rPr>
          <w:rFonts w:ascii="Times New Roman" w:hAnsi="Times New Roman" w:cs="Times New Roman"/>
          <w:sz w:val="26"/>
          <w:szCs w:val="26"/>
        </w:rPr>
        <w:t>nella norma. A fronte di un’ordinanza statale</w:t>
      </w:r>
      <w:r w:rsidR="00DA55E9" w:rsidRPr="00C15A2F">
        <w:rPr>
          <w:rFonts w:ascii="Times New Roman" w:hAnsi="Times New Roman" w:cs="Times New Roman"/>
          <w:sz w:val="26"/>
          <w:szCs w:val="26"/>
        </w:rPr>
        <w:t>,</w:t>
      </w:r>
      <w:r w:rsidR="00D81B2A" w:rsidRPr="00C15A2F">
        <w:rPr>
          <w:rFonts w:ascii="Times New Roman" w:hAnsi="Times New Roman" w:cs="Times New Roman"/>
          <w:sz w:val="26"/>
          <w:szCs w:val="26"/>
        </w:rPr>
        <w:t xml:space="preserve"> regionale o </w:t>
      </w:r>
      <w:r w:rsidR="007E68D3" w:rsidRPr="00C15A2F">
        <w:rPr>
          <w:rFonts w:ascii="Times New Roman" w:hAnsi="Times New Roman" w:cs="Times New Roman"/>
          <w:sz w:val="26"/>
          <w:szCs w:val="26"/>
        </w:rPr>
        <w:t xml:space="preserve">comunale </w:t>
      </w:r>
      <w:r w:rsidR="00D81B2A" w:rsidRPr="00C15A2F">
        <w:rPr>
          <w:rFonts w:ascii="Times New Roman" w:hAnsi="Times New Roman" w:cs="Times New Roman"/>
          <w:sz w:val="26"/>
          <w:szCs w:val="26"/>
        </w:rPr>
        <w:t xml:space="preserve">ci si è </w:t>
      </w:r>
      <w:r w:rsidR="007E68D3" w:rsidRPr="00C15A2F">
        <w:rPr>
          <w:rFonts w:ascii="Times New Roman" w:hAnsi="Times New Roman" w:cs="Times New Roman"/>
          <w:sz w:val="26"/>
          <w:szCs w:val="26"/>
        </w:rPr>
        <w:t xml:space="preserve">dunque </w:t>
      </w:r>
      <w:r w:rsidR="00D81B2A" w:rsidRPr="00C15A2F">
        <w:rPr>
          <w:rFonts w:ascii="Times New Roman" w:hAnsi="Times New Roman" w:cs="Times New Roman"/>
          <w:sz w:val="26"/>
          <w:szCs w:val="26"/>
        </w:rPr>
        <w:t>rivolti al giudice amministrativo che, prima in sede di decreto cautelare presidenziale nel giro di poche ore, e poi di ordinanza collegiale cautelare, ha sospeso o non sospeso il provvedimento amministrativo</w:t>
      </w:r>
      <w:r w:rsidR="000F7BDF" w:rsidRPr="00C15A2F">
        <w:rPr>
          <w:rFonts w:ascii="Times New Roman" w:hAnsi="Times New Roman" w:cs="Times New Roman"/>
          <w:sz w:val="26"/>
          <w:szCs w:val="26"/>
        </w:rPr>
        <w:t>, con ciò solo fornendo una risposta immediata e</w:t>
      </w:r>
      <w:r w:rsidR="00105F27">
        <w:rPr>
          <w:rFonts w:ascii="Times New Roman" w:hAnsi="Times New Roman" w:cs="Times New Roman"/>
          <w:sz w:val="26"/>
          <w:szCs w:val="26"/>
        </w:rPr>
        <w:t>,</w:t>
      </w:r>
      <w:r w:rsidR="000F7BDF" w:rsidRPr="00C15A2F">
        <w:rPr>
          <w:rFonts w:ascii="Times New Roman" w:hAnsi="Times New Roman" w:cs="Times New Roman"/>
          <w:sz w:val="26"/>
          <w:szCs w:val="26"/>
        </w:rPr>
        <w:t xml:space="preserve"> per questo</w:t>
      </w:r>
      <w:r w:rsidR="00105F27">
        <w:rPr>
          <w:rFonts w:ascii="Times New Roman" w:hAnsi="Times New Roman" w:cs="Times New Roman"/>
          <w:sz w:val="26"/>
          <w:szCs w:val="26"/>
        </w:rPr>
        <w:t>,</w:t>
      </w:r>
      <w:r w:rsidR="000F7BDF" w:rsidRPr="00C15A2F">
        <w:rPr>
          <w:rFonts w:ascii="Times New Roman" w:hAnsi="Times New Roman" w:cs="Times New Roman"/>
          <w:sz w:val="26"/>
          <w:szCs w:val="26"/>
        </w:rPr>
        <w:t xml:space="preserve"> efficace alle contrapposte esigenze in gioco</w:t>
      </w:r>
      <w:r w:rsidR="00D81B2A" w:rsidRPr="00C15A2F">
        <w:rPr>
          <w:rFonts w:ascii="Times New Roman" w:hAnsi="Times New Roman" w:cs="Times New Roman"/>
          <w:sz w:val="26"/>
          <w:szCs w:val="26"/>
        </w:rPr>
        <w:t xml:space="preserve">. </w:t>
      </w:r>
    </w:p>
    <w:p w:rsidR="00902DD5" w:rsidRPr="00C15A2F" w:rsidRDefault="007E68D3" w:rsidP="008E2068">
      <w:pPr>
        <w:spacing w:after="0" w:line="360" w:lineRule="auto"/>
        <w:jc w:val="both"/>
        <w:rPr>
          <w:rFonts w:ascii="Times New Roman" w:hAnsi="Times New Roman" w:cs="Times New Roman"/>
          <w:sz w:val="26"/>
          <w:szCs w:val="26"/>
        </w:rPr>
      </w:pPr>
      <w:r w:rsidRPr="00C15A2F">
        <w:rPr>
          <w:rFonts w:ascii="Times New Roman" w:hAnsi="Times New Roman" w:cs="Times New Roman"/>
          <w:sz w:val="26"/>
          <w:szCs w:val="26"/>
        </w:rPr>
        <w:t xml:space="preserve">Il giudice, tuttavia, </w:t>
      </w:r>
      <w:r w:rsidR="00D264FC" w:rsidRPr="00C15A2F">
        <w:rPr>
          <w:rFonts w:ascii="Times New Roman" w:hAnsi="Times New Roman" w:cs="Times New Roman"/>
          <w:sz w:val="26"/>
          <w:szCs w:val="26"/>
        </w:rPr>
        <w:t xml:space="preserve">in quanto a sua volta soggetto come cittadino alle regole del contesto sociale nel quale vive, ha dovuto adeguarsi alle restrizioni, anche in termini di accessibilità all’ufficio, modificando il proprio modo di lavorare </w:t>
      </w:r>
      <w:r w:rsidR="00DA55E9" w:rsidRPr="00C15A2F">
        <w:rPr>
          <w:rFonts w:ascii="Times New Roman" w:hAnsi="Times New Roman" w:cs="Times New Roman"/>
          <w:sz w:val="26"/>
          <w:szCs w:val="26"/>
        </w:rPr>
        <w:t xml:space="preserve">così </w:t>
      </w:r>
      <w:r w:rsidR="00D264FC" w:rsidRPr="00C15A2F">
        <w:rPr>
          <w:rFonts w:ascii="Times New Roman" w:hAnsi="Times New Roman" w:cs="Times New Roman"/>
          <w:sz w:val="26"/>
          <w:szCs w:val="26"/>
        </w:rPr>
        <w:t>da renderlo funzionale al</w:t>
      </w:r>
      <w:r w:rsidR="005B6D90">
        <w:rPr>
          <w:rFonts w:ascii="Times New Roman" w:hAnsi="Times New Roman" w:cs="Times New Roman"/>
          <w:sz w:val="26"/>
          <w:szCs w:val="26"/>
        </w:rPr>
        <w:t>lo stesso.</w:t>
      </w:r>
      <w:r w:rsidR="00D264FC" w:rsidRPr="00C15A2F">
        <w:rPr>
          <w:rFonts w:ascii="Times New Roman" w:hAnsi="Times New Roman" w:cs="Times New Roman"/>
          <w:sz w:val="26"/>
          <w:szCs w:val="26"/>
        </w:rPr>
        <w:t xml:space="preserve"> </w:t>
      </w:r>
      <w:r w:rsidR="00DA55E9" w:rsidRPr="00C15A2F">
        <w:rPr>
          <w:rFonts w:ascii="Times New Roman" w:hAnsi="Times New Roman" w:cs="Times New Roman"/>
          <w:sz w:val="26"/>
          <w:szCs w:val="26"/>
        </w:rPr>
        <w:t>L</w:t>
      </w:r>
      <w:r w:rsidR="00D264FC" w:rsidRPr="00C15A2F">
        <w:rPr>
          <w:rFonts w:ascii="Times New Roman" w:hAnsi="Times New Roman" w:cs="Times New Roman"/>
          <w:sz w:val="26"/>
          <w:szCs w:val="26"/>
        </w:rPr>
        <w:t>e regole processuali</w:t>
      </w:r>
      <w:r w:rsidR="00DA55E9" w:rsidRPr="00C15A2F">
        <w:rPr>
          <w:rFonts w:ascii="Times New Roman" w:hAnsi="Times New Roman" w:cs="Times New Roman"/>
          <w:sz w:val="26"/>
          <w:szCs w:val="26"/>
        </w:rPr>
        <w:t xml:space="preserve"> </w:t>
      </w:r>
      <w:r w:rsidR="00D264FC" w:rsidRPr="00C15A2F">
        <w:rPr>
          <w:rFonts w:ascii="Times New Roman" w:hAnsi="Times New Roman" w:cs="Times New Roman"/>
          <w:sz w:val="26"/>
          <w:szCs w:val="26"/>
        </w:rPr>
        <w:t xml:space="preserve">hanno subito </w:t>
      </w:r>
      <w:r w:rsidR="00902DD5" w:rsidRPr="00C15A2F">
        <w:rPr>
          <w:rFonts w:ascii="Times New Roman" w:hAnsi="Times New Roman" w:cs="Times New Roman"/>
          <w:sz w:val="26"/>
          <w:szCs w:val="26"/>
        </w:rPr>
        <w:t xml:space="preserve">continue modifiche e adattamenti, anche ravvicinati nel tempo, per assicurare pressoché da subito la continuità del “servizio-giustizia”, nel contempo </w:t>
      </w:r>
      <w:r w:rsidR="00902DD5" w:rsidRPr="00C15A2F">
        <w:rPr>
          <w:rFonts w:ascii="Times New Roman" w:hAnsi="Times New Roman" w:cs="Times New Roman"/>
          <w:sz w:val="26"/>
          <w:szCs w:val="26"/>
        </w:rPr>
        <w:lastRenderedPageBreak/>
        <w:t xml:space="preserve">garantendo il diritto alla salute di tutte le parti coinvolte. Il legislatore, </w:t>
      </w:r>
      <w:r w:rsidR="000F48E0" w:rsidRPr="00C15A2F">
        <w:rPr>
          <w:rFonts w:ascii="Times New Roman" w:hAnsi="Times New Roman" w:cs="Times New Roman"/>
          <w:sz w:val="26"/>
          <w:szCs w:val="26"/>
        </w:rPr>
        <w:t>infatti</w:t>
      </w:r>
      <w:r w:rsidR="00902DD5" w:rsidRPr="00C15A2F">
        <w:rPr>
          <w:rFonts w:ascii="Times New Roman" w:hAnsi="Times New Roman" w:cs="Times New Roman"/>
          <w:sz w:val="26"/>
          <w:szCs w:val="26"/>
        </w:rPr>
        <w:t xml:space="preserve">, ha cercato via via il punto di equilibrio fra la tutela di ridetto diritto e quello al giusto processo, alla difesa e alla effettività di tutela di cui agli articoli 24, 103, 111 e 113 della Costituzione, nonché 6 della CEDU e 47 della Carta dei diritti fondamentali dell’Unione europea (Carta di Nizza). </w:t>
      </w:r>
    </w:p>
    <w:p w:rsidR="000B669F" w:rsidRPr="00C15A2F" w:rsidRDefault="00D264FC" w:rsidP="008E2068">
      <w:pPr>
        <w:spacing w:after="0" w:line="360" w:lineRule="auto"/>
        <w:jc w:val="both"/>
        <w:rPr>
          <w:rFonts w:ascii="Times New Roman" w:hAnsi="Times New Roman" w:cs="Times New Roman"/>
          <w:sz w:val="26"/>
          <w:szCs w:val="26"/>
        </w:rPr>
      </w:pPr>
      <w:r w:rsidRPr="00C15A2F">
        <w:rPr>
          <w:rFonts w:ascii="Times New Roman" w:hAnsi="Times New Roman" w:cs="Times New Roman"/>
          <w:sz w:val="26"/>
          <w:szCs w:val="26"/>
        </w:rPr>
        <w:t xml:space="preserve">Non è possibile </w:t>
      </w:r>
      <w:r w:rsidR="00DA55E9" w:rsidRPr="00C15A2F">
        <w:rPr>
          <w:rFonts w:ascii="Times New Roman" w:hAnsi="Times New Roman" w:cs="Times New Roman"/>
          <w:sz w:val="26"/>
          <w:szCs w:val="26"/>
        </w:rPr>
        <w:t xml:space="preserve">in questa sede </w:t>
      </w:r>
      <w:r w:rsidRPr="00C15A2F">
        <w:rPr>
          <w:rFonts w:ascii="Times New Roman" w:hAnsi="Times New Roman" w:cs="Times New Roman"/>
          <w:sz w:val="26"/>
          <w:szCs w:val="26"/>
        </w:rPr>
        <w:t xml:space="preserve">approfondire tutte le tematiche che il suggestivo titolo “i giudici e la pandemia” </w:t>
      </w:r>
      <w:r w:rsidR="00DA55E9" w:rsidRPr="00C15A2F">
        <w:rPr>
          <w:rFonts w:ascii="Times New Roman" w:hAnsi="Times New Roman" w:cs="Times New Roman"/>
          <w:sz w:val="26"/>
          <w:szCs w:val="26"/>
        </w:rPr>
        <w:t xml:space="preserve">evocano </w:t>
      </w:r>
      <w:r w:rsidRPr="00C15A2F">
        <w:rPr>
          <w:rFonts w:ascii="Times New Roman" w:hAnsi="Times New Roman" w:cs="Times New Roman"/>
          <w:sz w:val="26"/>
          <w:szCs w:val="26"/>
        </w:rPr>
        <w:t>in ragione delle molteplici sfaccettature dalle quali il c.d. “diritto dell’emergenza</w:t>
      </w:r>
      <w:r w:rsidR="001259FF" w:rsidRPr="00C15A2F">
        <w:rPr>
          <w:rFonts w:ascii="Times New Roman" w:hAnsi="Times New Roman" w:cs="Times New Roman"/>
          <w:sz w:val="26"/>
          <w:szCs w:val="26"/>
        </w:rPr>
        <w:t>”</w:t>
      </w:r>
      <w:r w:rsidRPr="00C15A2F">
        <w:rPr>
          <w:rFonts w:ascii="Times New Roman" w:hAnsi="Times New Roman" w:cs="Times New Roman"/>
          <w:sz w:val="26"/>
          <w:szCs w:val="26"/>
        </w:rPr>
        <w:t xml:space="preserve"> può essere approcciato. </w:t>
      </w:r>
      <w:r w:rsidR="00DA55E9" w:rsidRPr="00C15A2F">
        <w:rPr>
          <w:rFonts w:ascii="Times New Roman" w:hAnsi="Times New Roman" w:cs="Times New Roman"/>
          <w:sz w:val="26"/>
          <w:szCs w:val="26"/>
        </w:rPr>
        <w:t xml:space="preserve"> </w:t>
      </w:r>
      <w:r w:rsidR="001259FF" w:rsidRPr="00C15A2F">
        <w:rPr>
          <w:rFonts w:ascii="Times New Roman" w:hAnsi="Times New Roman" w:cs="Times New Roman"/>
          <w:sz w:val="26"/>
          <w:szCs w:val="26"/>
        </w:rPr>
        <w:t xml:space="preserve">Si è pertanto </w:t>
      </w:r>
      <w:r w:rsidR="000F48E0" w:rsidRPr="00C15A2F">
        <w:rPr>
          <w:rFonts w:ascii="Times New Roman" w:hAnsi="Times New Roman" w:cs="Times New Roman"/>
          <w:sz w:val="26"/>
          <w:szCs w:val="26"/>
        </w:rPr>
        <w:t xml:space="preserve">provato ad </w:t>
      </w:r>
      <w:r w:rsidR="001259FF" w:rsidRPr="00C15A2F">
        <w:rPr>
          <w:rFonts w:ascii="Times New Roman" w:hAnsi="Times New Roman" w:cs="Times New Roman"/>
          <w:sz w:val="26"/>
          <w:szCs w:val="26"/>
        </w:rPr>
        <w:t xml:space="preserve">individuare alcune direttrici </w:t>
      </w:r>
      <w:r w:rsidR="00DA55E9" w:rsidRPr="00C15A2F">
        <w:rPr>
          <w:rFonts w:ascii="Times New Roman" w:hAnsi="Times New Roman" w:cs="Times New Roman"/>
          <w:sz w:val="26"/>
          <w:szCs w:val="26"/>
        </w:rPr>
        <w:t xml:space="preserve">fondamentali, ritenute </w:t>
      </w:r>
      <w:r w:rsidR="001259FF" w:rsidRPr="00C15A2F">
        <w:rPr>
          <w:rFonts w:ascii="Times New Roman" w:hAnsi="Times New Roman" w:cs="Times New Roman"/>
          <w:sz w:val="26"/>
          <w:szCs w:val="26"/>
        </w:rPr>
        <w:t xml:space="preserve">significative della capacità di risposta che la giustizia amministrativa nel suo complesso ha dimostrato </w:t>
      </w:r>
      <w:r w:rsidR="00DA55E9" w:rsidRPr="00C15A2F">
        <w:rPr>
          <w:rFonts w:ascii="Times New Roman" w:hAnsi="Times New Roman" w:cs="Times New Roman"/>
          <w:sz w:val="26"/>
          <w:szCs w:val="26"/>
        </w:rPr>
        <w:t xml:space="preserve">di saper dare </w:t>
      </w:r>
      <w:r w:rsidR="001259FF" w:rsidRPr="00C15A2F">
        <w:rPr>
          <w:rFonts w:ascii="Times New Roman" w:hAnsi="Times New Roman" w:cs="Times New Roman"/>
          <w:sz w:val="26"/>
          <w:szCs w:val="26"/>
        </w:rPr>
        <w:t xml:space="preserve">a fronte di un evento tanto imprevedibile quanto fluttuante </w:t>
      </w:r>
      <w:r w:rsidR="00DA55E9" w:rsidRPr="00C15A2F">
        <w:rPr>
          <w:rFonts w:ascii="Times New Roman" w:hAnsi="Times New Roman" w:cs="Times New Roman"/>
          <w:sz w:val="26"/>
          <w:szCs w:val="26"/>
        </w:rPr>
        <w:t xml:space="preserve">nell’evoluzione come </w:t>
      </w:r>
      <w:r w:rsidR="001259FF" w:rsidRPr="00C15A2F">
        <w:rPr>
          <w:rFonts w:ascii="Times New Roman" w:hAnsi="Times New Roman" w:cs="Times New Roman"/>
          <w:sz w:val="26"/>
          <w:szCs w:val="26"/>
        </w:rPr>
        <w:t xml:space="preserve">la pandemia in corso. In tale logica, una prima parte della trattazione verrà dedicata alla ricostruzione, seppure sintetica, della </w:t>
      </w:r>
      <w:r w:rsidR="00DA55E9" w:rsidRPr="00C15A2F">
        <w:rPr>
          <w:rFonts w:ascii="Times New Roman" w:hAnsi="Times New Roman" w:cs="Times New Roman"/>
          <w:sz w:val="26"/>
          <w:szCs w:val="26"/>
        </w:rPr>
        <w:t xml:space="preserve">vicenda </w:t>
      </w:r>
      <w:r w:rsidR="001259FF" w:rsidRPr="00C15A2F">
        <w:rPr>
          <w:rFonts w:ascii="Times New Roman" w:hAnsi="Times New Roman" w:cs="Times New Roman"/>
          <w:sz w:val="26"/>
          <w:szCs w:val="26"/>
        </w:rPr>
        <w:t>proce</w:t>
      </w:r>
      <w:r w:rsidR="00DA55E9" w:rsidRPr="00C15A2F">
        <w:rPr>
          <w:rFonts w:ascii="Times New Roman" w:hAnsi="Times New Roman" w:cs="Times New Roman"/>
          <w:sz w:val="26"/>
          <w:szCs w:val="26"/>
        </w:rPr>
        <w:t>ssuale</w:t>
      </w:r>
      <w:r w:rsidR="001259FF" w:rsidRPr="00C15A2F">
        <w:rPr>
          <w:rFonts w:ascii="Times New Roman" w:hAnsi="Times New Roman" w:cs="Times New Roman"/>
          <w:sz w:val="26"/>
          <w:szCs w:val="26"/>
        </w:rPr>
        <w:t>; indi ci si soffermerà su</w:t>
      </w:r>
      <w:r w:rsidR="001F7341" w:rsidRPr="00C15A2F">
        <w:rPr>
          <w:rFonts w:ascii="Times New Roman" w:hAnsi="Times New Roman" w:cs="Times New Roman"/>
          <w:sz w:val="26"/>
          <w:szCs w:val="26"/>
        </w:rPr>
        <w:t xml:space="preserve">i principi </w:t>
      </w:r>
      <w:r w:rsidR="00DA55E9" w:rsidRPr="00C15A2F">
        <w:rPr>
          <w:rFonts w:ascii="Times New Roman" w:hAnsi="Times New Roman" w:cs="Times New Roman"/>
          <w:sz w:val="26"/>
          <w:szCs w:val="26"/>
        </w:rPr>
        <w:t xml:space="preserve">generali desumibili </w:t>
      </w:r>
      <w:r w:rsidR="001F7341" w:rsidRPr="00C15A2F">
        <w:rPr>
          <w:rFonts w:ascii="Times New Roman" w:hAnsi="Times New Roman" w:cs="Times New Roman"/>
          <w:sz w:val="26"/>
          <w:szCs w:val="26"/>
        </w:rPr>
        <w:t xml:space="preserve">dalla </w:t>
      </w:r>
      <w:r w:rsidR="001259FF" w:rsidRPr="00C15A2F">
        <w:rPr>
          <w:rFonts w:ascii="Times New Roman" w:hAnsi="Times New Roman" w:cs="Times New Roman"/>
          <w:sz w:val="26"/>
          <w:szCs w:val="26"/>
        </w:rPr>
        <w:t>casistica giurisprudenziale</w:t>
      </w:r>
      <w:r w:rsidR="00DA55E9" w:rsidRPr="00C15A2F">
        <w:rPr>
          <w:rFonts w:ascii="Times New Roman" w:hAnsi="Times New Roman" w:cs="Times New Roman"/>
          <w:sz w:val="26"/>
          <w:szCs w:val="26"/>
        </w:rPr>
        <w:t xml:space="preserve">; </w:t>
      </w:r>
      <w:r w:rsidR="001F7341" w:rsidRPr="00C15A2F">
        <w:rPr>
          <w:rFonts w:ascii="Times New Roman" w:hAnsi="Times New Roman" w:cs="Times New Roman"/>
          <w:sz w:val="26"/>
          <w:szCs w:val="26"/>
        </w:rPr>
        <w:t xml:space="preserve">infine, </w:t>
      </w:r>
      <w:r w:rsidR="00DA55E9" w:rsidRPr="00C15A2F">
        <w:rPr>
          <w:rFonts w:ascii="Times New Roman" w:hAnsi="Times New Roman" w:cs="Times New Roman"/>
          <w:sz w:val="26"/>
          <w:szCs w:val="26"/>
        </w:rPr>
        <w:t>in prospettiva futura, si farà</w:t>
      </w:r>
      <w:r w:rsidR="001F7341" w:rsidRPr="00C15A2F">
        <w:rPr>
          <w:rFonts w:ascii="Times New Roman" w:hAnsi="Times New Roman" w:cs="Times New Roman"/>
          <w:sz w:val="26"/>
          <w:szCs w:val="26"/>
        </w:rPr>
        <w:t xml:space="preserve"> breve cenno alle </w:t>
      </w:r>
      <w:r w:rsidR="00DA55E9" w:rsidRPr="00C15A2F">
        <w:rPr>
          <w:rFonts w:ascii="Times New Roman" w:hAnsi="Times New Roman" w:cs="Times New Roman"/>
          <w:sz w:val="26"/>
          <w:szCs w:val="26"/>
        </w:rPr>
        <w:t xml:space="preserve">indicazioni </w:t>
      </w:r>
      <w:r w:rsidR="001F7341" w:rsidRPr="00C15A2F">
        <w:rPr>
          <w:rFonts w:ascii="Times New Roman" w:hAnsi="Times New Roman" w:cs="Times New Roman"/>
          <w:sz w:val="26"/>
          <w:szCs w:val="26"/>
        </w:rPr>
        <w:t xml:space="preserve">contenute nel Piano nazionale di ripresa e resilienza (PNRR) in tema di </w:t>
      </w:r>
      <w:proofErr w:type="spellStart"/>
      <w:r w:rsidR="001F7341" w:rsidRPr="00C15A2F">
        <w:rPr>
          <w:rFonts w:ascii="Times New Roman" w:hAnsi="Times New Roman" w:cs="Times New Roman"/>
          <w:sz w:val="26"/>
          <w:szCs w:val="26"/>
        </w:rPr>
        <w:t>efficientamento</w:t>
      </w:r>
      <w:proofErr w:type="spellEnd"/>
      <w:r w:rsidR="001F7341" w:rsidRPr="00C15A2F">
        <w:rPr>
          <w:rFonts w:ascii="Times New Roman" w:hAnsi="Times New Roman" w:cs="Times New Roman"/>
          <w:sz w:val="26"/>
          <w:szCs w:val="26"/>
        </w:rPr>
        <w:t xml:space="preserve"> della giustizia amministrativa</w:t>
      </w:r>
      <w:r w:rsidR="00DA55E9" w:rsidRPr="00C15A2F">
        <w:rPr>
          <w:rFonts w:ascii="Times New Roman" w:hAnsi="Times New Roman" w:cs="Times New Roman"/>
          <w:sz w:val="26"/>
          <w:szCs w:val="26"/>
        </w:rPr>
        <w:t xml:space="preserve"> quale fattore di sviluppo del sistema complessivamente inteso</w:t>
      </w:r>
      <w:r w:rsidR="001F7341" w:rsidRPr="00C15A2F">
        <w:rPr>
          <w:rFonts w:ascii="Times New Roman" w:hAnsi="Times New Roman" w:cs="Times New Roman"/>
          <w:sz w:val="26"/>
          <w:szCs w:val="26"/>
        </w:rPr>
        <w:t xml:space="preserve">. </w:t>
      </w:r>
    </w:p>
    <w:p w:rsidR="000D6E8E" w:rsidRPr="00C15A2F" w:rsidRDefault="000D6E8E" w:rsidP="008E2068">
      <w:pPr>
        <w:spacing w:after="0" w:line="360" w:lineRule="auto"/>
        <w:jc w:val="both"/>
        <w:rPr>
          <w:rFonts w:ascii="Times New Roman" w:hAnsi="Times New Roman" w:cs="Times New Roman"/>
          <w:sz w:val="26"/>
          <w:szCs w:val="26"/>
        </w:rPr>
      </w:pPr>
    </w:p>
    <w:p w:rsidR="007D2BE2" w:rsidRPr="00C15A2F" w:rsidRDefault="00FF7583" w:rsidP="008E2068">
      <w:pPr>
        <w:pStyle w:val="Paragrafoelenco"/>
        <w:numPr>
          <w:ilvl w:val="0"/>
          <w:numId w:val="8"/>
        </w:numPr>
        <w:spacing w:after="0" w:line="360" w:lineRule="auto"/>
        <w:ind w:left="0" w:firstLine="0"/>
        <w:jc w:val="both"/>
        <w:rPr>
          <w:rFonts w:ascii="Times New Roman" w:hAnsi="Times New Roman" w:cs="Times New Roman"/>
          <w:sz w:val="26"/>
          <w:szCs w:val="26"/>
        </w:rPr>
      </w:pPr>
      <w:r w:rsidRPr="00C15A2F">
        <w:rPr>
          <w:rFonts w:ascii="Times New Roman" w:hAnsi="Times New Roman" w:cs="Times New Roman"/>
          <w:b/>
          <w:sz w:val="26"/>
          <w:szCs w:val="26"/>
        </w:rPr>
        <w:t>Le regole del giusto processo e la pandemia</w:t>
      </w:r>
      <w:r w:rsidRPr="00C15A2F">
        <w:rPr>
          <w:rFonts w:ascii="Times New Roman" w:hAnsi="Times New Roman" w:cs="Times New Roman"/>
          <w:sz w:val="26"/>
          <w:szCs w:val="26"/>
        </w:rPr>
        <w:t xml:space="preserve">. </w:t>
      </w:r>
    </w:p>
    <w:p w:rsidR="001D0741" w:rsidRPr="008E2068" w:rsidRDefault="006C1EB3" w:rsidP="008E2068">
      <w:pPr>
        <w:pStyle w:val="NormaleWeb"/>
        <w:spacing w:before="0" w:beforeAutospacing="0" w:after="0" w:afterAutospacing="0" w:line="360" w:lineRule="auto"/>
        <w:rPr>
          <w:bCs/>
          <w:i/>
          <w:iCs/>
          <w:color w:val="2B2B2B"/>
          <w:sz w:val="23"/>
          <w:szCs w:val="23"/>
        </w:rPr>
      </w:pPr>
      <w:r w:rsidRPr="00C15A2F">
        <w:rPr>
          <w:color w:val="000000"/>
          <w:sz w:val="26"/>
          <w:szCs w:val="26"/>
        </w:rPr>
        <w:t xml:space="preserve">Per comprendere esattamente il volgere delle vicende processuali amministrative nella cornice della delicata crisi epidemiologica in corso e il ruolo che in tale ambito ha svolto in particolare l’udienza telematica, vanno sinteticamente ricordate le quattro fasi attraverso le quali si sono sviluppate le scelte del legislatore, concretizzate nel susseguirsi della decretazione d’urgenza. </w:t>
      </w:r>
      <w:r w:rsidR="00AE5207" w:rsidRPr="00C15A2F">
        <w:rPr>
          <w:color w:val="000000"/>
          <w:sz w:val="26"/>
          <w:szCs w:val="26"/>
        </w:rPr>
        <w:t>Si tralasceranno per evidenti ragioni di sintesi le specificità di ciascuna fase, delineandone soltanto le linee generali</w:t>
      </w:r>
      <w:r w:rsidR="000F48E0" w:rsidRPr="00C15A2F">
        <w:rPr>
          <w:color w:val="000000"/>
          <w:sz w:val="26"/>
          <w:szCs w:val="26"/>
        </w:rPr>
        <w:t xml:space="preserve">.  </w:t>
      </w:r>
      <w:r w:rsidR="00AE5207" w:rsidRPr="00C15A2F">
        <w:rPr>
          <w:color w:val="000000"/>
          <w:sz w:val="26"/>
          <w:szCs w:val="26"/>
        </w:rPr>
        <w:t xml:space="preserve">Si è avuta dunque una prima fase </w:t>
      </w:r>
      <w:r w:rsidRPr="00C15A2F">
        <w:rPr>
          <w:color w:val="000000"/>
          <w:sz w:val="26"/>
          <w:szCs w:val="26"/>
        </w:rPr>
        <w:t>(8 marzo – 6 aprile) </w:t>
      </w:r>
      <w:r w:rsidR="00AE5207" w:rsidRPr="00C15A2F">
        <w:rPr>
          <w:color w:val="000000"/>
          <w:sz w:val="26"/>
          <w:szCs w:val="26"/>
        </w:rPr>
        <w:t>di sostanziale, inevitabile, blocco del sistema, salvo eccezioni normativamente indicate; una seconda fase, variamente incisa dai decreti susseguitisi nel tempo, che ha visto l’utilizzo del “processo cartolare coatto”</w:t>
      </w:r>
      <w:r w:rsidR="003D0D2B" w:rsidRPr="00C15A2F">
        <w:rPr>
          <w:color w:val="000000"/>
          <w:sz w:val="26"/>
          <w:szCs w:val="26"/>
        </w:rPr>
        <w:t xml:space="preserve">, senza celebrazione delle udienze </w:t>
      </w:r>
      <w:r w:rsidR="00AE5207" w:rsidRPr="00C15A2F">
        <w:rPr>
          <w:color w:val="000000"/>
          <w:sz w:val="26"/>
          <w:szCs w:val="26"/>
        </w:rPr>
        <w:t xml:space="preserve"> </w:t>
      </w:r>
      <w:r w:rsidRPr="00C15A2F">
        <w:rPr>
          <w:b/>
          <w:color w:val="000000"/>
          <w:sz w:val="26"/>
          <w:szCs w:val="26"/>
        </w:rPr>
        <w:t>(</w:t>
      </w:r>
      <w:r w:rsidRPr="00C15A2F">
        <w:rPr>
          <w:color w:val="000000"/>
          <w:sz w:val="26"/>
          <w:szCs w:val="26"/>
        </w:rPr>
        <w:t>6 aprile – 15 aprile</w:t>
      </w:r>
      <w:r w:rsidR="003D0D2B" w:rsidRPr="00C15A2F">
        <w:rPr>
          <w:color w:val="000000"/>
          <w:sz w:val="26"/>
          <w:szCs w:val="26"/>
        </w:rPr>
        <w:t xml:space="preserve">) ovvero con ripresa delle stesse (16 aprile -30 giugno), ma sempre sulla base degli atti e con collegamento da remoto dei soli magistrati; </w:t>
      </w:r>
      <w:r w:rsidR="00AE5207" w:rsidRPr="00C15A2F">
        <w:rPr>
          <w:color w:val="000000"/>
          <w:sz w:val="26"/>
          <w:szCs w:val="26"/>
        </w:rPr>
        <w:t>un terz</w:t>
      </w:r>
      <w:r w:rsidR="00515732" w:rsidRPr="00C15A2F">
        <w:rPr>
          <w:color w:val="000000"/>
          <w:sz w:val="26"/>
          <w:szCs w:val="26"/>
        </w:rPr>
        <w:t xml:space="preserve">o periodo </w:t>
      </w:r>
      <w:r w:rsidR="003D0D2B" w:rsidRPr="00C15A2F">
        <w:rPr>
          <w:color w:val="000000"/>
          <w:sz w:val="26"/>
          <w:szCs w:val="26"/>
        </w:rPr>
        <w:t>di</w:t>
      </w:r>
      <w:r w:rsidR="00515732" w:rsidRPr="00C15A2F">
        <w:rPr>
          <w:color w:val="000000"/>
          <w:sz w:val="26"/>
          <w:szCs w:val="26"/>
        </w:rPr>
        <w:t xml:space="preserve"> contenimento, durato fino al 31 luglio 202</w:t>
      </w:r>
      <w:r w:rsidR="00BA69DB">
        <w:rPr>
          <w:color w:val="000000"/>
          <w:sz w:val="26"/>
          <w:szCs w:val="26"/>
        </w:rPr>
        <w:t>1</w:t>
      </w:r>
      <w:r w:rsidR="00515732" w:rsidRPr="00C15A2F">
        <w:rPr>
          <w:color w:val="000000"/>
          <w:sz w:val="26"/>
          <w:szCs w:val="26"/>
        </w:rPr>
        <w:t xml:space="preserve">, </w:t>
      </w:r>
      <w:r w:rsidR="003D0D2B" w:rsidRPr="00C15A2F">
        <w:rPr>
          <w:color w:val="000000"/>
          <w:sz w:val="26"/>
          <w:szCs w:val="26"/>
        </w:rPr>
        <w:t xml:space="preserve">in cui ha preso l’avvio l’udienza telematica; l’ultima, e attuale fase, </w:t>
      </w:r>
      <w:r w:rsidR="000F48E0" w:rsidRPr="00C15A2F">
        <w:rPr>
          <w:color w:val="000000"/>
          <w:sz w:val="26"/>
          <w:szCs w:val="26"/>
        </w:rPr>
        <w:t>risalente al m</w:t>
      </w:r>
      <w:r w:rsidR="00A272D3" w:rsidRPr="00C15A2F">
        <w:rPr>
          <w:sz w:val="26"/>
          <w:szCs w:val="26"/>
        </w:rPr>
        <w:t xml:space="preserve">ese di agosto 2021, </w:t>
      </w:r>
      <w:r w:rsidR="00515732" w:rsidRPr="00C15A2F">
        <w:rPr>
          <w:sz w:val="26"/>
          <w:szCs w:val="26"/>
        </w:rPr>
        <w:t>d</w:t>
      </w:r>
      <w:r w:rsidR="00A272D3" w:rsidRPr="00C15A2F">
        <w:rPr>
          <w:sz w:val="26"/>
          <w:szCs w:val="26"/>
        </w:rPr>
        <w:t xml:space="preserve">i sostanziale ritorno alla normalità, seppure con </w:t>
      </w:r>
      <w:r w:rsidR="00515732" w:rsidRPr="00C15A2F">
        <w:rPr>
          <w:sz w:val="26"/>
          <w:szCs w:val="26"/>
        </w:rPr>
        <w:t>alcuni accorgimenti</w:t>
      </w:r>
      <w:r w:rsidR="00E742C0" w:rsidRPr="00C15A2F">
        <w:rPr>
          <w:sz w:val="26"/>
          <w:szCs w:val="26"/>
        </w:rPr>
        <w:t xml:space="preserve">. </w:t>
      </w:r>
      <w:r w:rsidR="00515732" w:rsidRPr="00C15A2F">
        <w:rPr>
          <w:sz w:val="26"/>
          <w:szCs w:val="26"/>
        </w:rPr>
        <w:t xml:space="preserve"> </w:t>
      </w:r>
      <w:r w:rsidR="00D900C1" w:rsidRPr="00C15A2F">
        <w:rPr>
          <w:sz w:val="26"/>
          <w:szCs w:val="26"/>
        </w:rPr>
        <w:t xml:space="preserve">La modalità della camera di consiglio da </w:t>
      </w:r>
      <w:r w:rsidR="00D900C1" w:rsidRPr="00C15A2F">
        <w:rPr>
          <w:sz w:val="26"/>
          <w:szCs w:val="26"/>
        </w:rPr>
        <w:lastRenderedPageBreak/>
        <w:t xml:space="preserve">remoto è stata </w:t>
      </w:r>
      <w:r w:rsidR="000F48E0" w:rsidRPr="00C15A2F">
        <w:rPr>
          <w:sz w:val="26"/>
          <w:szCs w:val="26"/>
        </w:rPr>
        <w:t xml:space="preserve">peraltro mantenuta </w:t>
      </w:r>
      <w:r w:rsidR="00D900C1" w:rsidRPr="00C15A2F">
        <w:rPr>
          <w:sz w:val="26"/>
          <w:szCs w:val="26"/>
        </w:rPr>
        <w:t>per le</w:t>
      </w:r>
      <w:r w:rsidR="00D900C1" w:rsidRPr="00C15A2F">
        <w:rPr>
          <w:b/>
          <w:sz w:val="26"/>
          <w:szCs w:val="26"/>
        </w:rPr>
        <w:t xml:space="preserve"> </w:t>
      </w:r>
      <w:r w:rsidR="00D900C1" w:rsidRPr="00C15A2F">
        <w:rPr>
          <w:rStyle w:val="Enfasigrassetto"/>
          <w:b w:val="0"/>
          <w:iCs/>
          <w:color w:val="19191A"/>
          <w:sz w:val="26"/>
          <w:szCs w:val="26"/>
        </w:rPr>
        <w:t>udienze   straordinarie   dedicate   allo   smaltimento dell</w:t>
      </w:r>
      <w:r w:rsidR="000F48E0" w:rsidRPr="00C15A2F">
        <w:rPr>
          <w:rStyle w:val="Enfasigrassetto"/>
          <w:b w:val="0"/>
          <w:iCs/>
          <w:color w:val="19191A"/>
          <w:sz w:val="26"/>
          <w:szCs w:val="26"/>
        </w:rPr>
        <w:t>’</w:t>
      </w:r>
      <w:r w:rsidR="00D900C1" w:rsidRPr="00C15A2F">
        <w:rPr>
          <w:rStyle w:val="Enfasigrassetto"/>
          <w:b w:val="0"/>
          <w:iCs/>
          <w:color w:val="19191A"/>
          <w:sz w:val="26"/>
          <w:szCs w:val="26"/>
        </w:rPr>
        <w:t>arretrato previste dalla normativa di attuazione del PNRR (</w:t>
      </w:r>
      <w:r w:rsidR="000F48E0" w:rsidRPr="00C15A2F">
        <w:rPr>
          <w:rStyle w:val="Enfasigrassetto"/>
          <w:b w:val="0"/>
          <w:iCs/>
          <w:color w:val="19191A"/>
          <w:sz w:val="26"/>
          <w:szCs w:val="26"/>
        </w:rPr>
        <w:t xml:space="preserve">comma </w:t>
      </w:r>
      <w:r w:rsidR="000F48E0" w:rsidRPr="00C15A2F">
        <w:rPr>
          <w:sz w:val="26"/>
          <w:szCs w:val="26"/>
        </w:rPr>
        <w:t>4 bis</w:t>
      </w:r>
      <w:r w:rsidR="00525265">
        <w:rPr>
          <w:sz w:val="26"/>
          <w:szCs w:val="26"/>
        </w:rPr>
        <w:t xml:space="preserve">, inserito </w:t>
      </w:r>
      <w:r w:rsidR="000F48E0" w:rsidRPr="00C15A2F">
        <w:rPr>
          <w:sz w:val="26"/>
          <w:szCs w:val="26"/>
        </w:rPr>
        <w:t xml:space="preserve">nell’art. 87 del </w:t>
      </w:r>
      <w:proofErr w:type="spellStart"/>
      <w:r w:rsidR="000F48E0" w:rsidRPr="00C15A2F">
        <w:rPr>
          <w:sz w:val="26"/>
          <w:szCs w:val="26"/>
        </w:rPr>
        <w:t>c.p.a</w:t>
      </w:r>
      <w:proofErr w:type="spellEnd"/>
      <w:r w:rsidR="000F48E0" w:rsidRPr="00C15A2F">
        <w:rPr>
          <w:sz w:val="26"/>
          <w:szCs w:val="26"/>
        </w:rPr>
        <w:t xml:space="preserve">., dall’art. 17 </w:t>
      </w:r>
      <w:proofErr w:type="spellStart"/>
      <w:r w:rsidR="00D900C1" w:rsidRPr="00C15A2F">
        <w:rPr>
          <w:rStyle w:val="Enfasigrassetto"/>
          <w:b w:val="0"/>
          <w:iCs/>
          <w:color w:val="19191A"/>
          <w:sz w:val="26"/>
          <w:szCs w:val="26"/>
        </w:rPr>
        <w:t>d.l.</w:t>
      </w:r>
      <w:proofErr w:type="spellEnd"/>
      <w:r w:rsidR="00D900C1" w:rsidRPr="00C15A2F">
        <w:rPr>
          <w:rStyle w:val="Enfasigrassetto"/>
          <w:b w:val="0"/>
          <w:iCs/>
          <w:color w:val="19191A"/>
          <w:sz w:val="26"/>
          <w:szCs w:val="26"/>
        </w:rPr>
        <w:t xml:space="preserve"> n. 80/2021</w:t>
      </w:r>
      <w:r w:rsidR="00525265">
        <w:rPr>
          <w:rStyle w:val="Enfasigrassetto"/>
          <w:b w:val="0"/>
          <w:iCs/>
          <w:color w:val="19191A"/>
          <w:sz w:val="26"/>
          <w:szCs w:val="26"/>
        </w:rPr>
        <w:t>, convertito, con modificazioni, dalla l. n. 113/2021</w:t>
      </w:r>
      <w:r w:rsidR="00D900C1" w:rsidRPr="00C15A2F">
        <w:rPr>
          <w:rStyle w:val="Enfasigrassetto"/>
          <w:b w:val="0"/>
          <w:iCs/>
          <w:color w:val="19191A"/>
          <w:sz w:val="26"/>
          <w:szCs w:val="26"/>
        </w:rPr>
        <w:t>).</w:t>
      </w:r>
      <w:r w:rsidR="00D900C1" w:rsidRPr="00C15A2F">
        <w:rPr>
          <w:rStyle w:val="Enfasigrassetto"/>
          <w:i/>
          <w:iCs/>
          <w:color w:val="19191A"/>
          <w:sz w:val="26"/>
          <w:szCs w:val="26"/>
        </w:rPr>
        <w:t xml:space="preserve"> </w:t>
      </w:r>
      <w:r w:rsidR="008268A7" w:rsidRPr="008268A7">
        <w:rPr>
          <w:color w:val="2B2B2B"/>
          <w:sz w:val="23"/>
          <w:szCs w:val="23"/>
        </w:rPr>
        <w:t xml:space="preserve">In sede di conversione del </w:t>
      </w:r>
      <w:proofErr w:type="spellStart"/>
      <w:r w:rsidR="008268A7" w:rsidRPr="008268A7">
        <w:rPr>
          <w:color w:val="2B2B2B"/>
          <w:sz w:val="23"/>
          <w:szCs w:val="23"/>
        </w:rPr>
        <w:t>d.l.</w:t>
      </w:r>
      <w:proofErr w:type="spellEnd"/>
      <w:r w:rsidR="008268A7" w:rsidRPr="008268A7">
        <w:rPr>
          <w:color w:val="2B2B2B"/>
          <w:sz w:val="23"/>
          <w:szCs w:val="23"/>
        </w:rPr>
        <w:t xml:space="preserve"> 105 del 23 luglio 2021, avvenuta con la l. n. 126 del 16 settembre 2021, si è infine previsto (art. 7 bis) che fino al 31 dicembre 2021 </w:t>
      </w:r>
      <w:r w:rsidR="008268A7" w:rsidRPr="008268A7">
        <w:rPr>
          <w:i/>
          <w:iCs/>
          <w:color w:val="2B2B2B"/>
          <w:sz w:val="23"/>
          <w:szCs w:val="23"/>
        </w:rPr>
        <w:t> </w:t>
      </w:r>
      <w:r w:rsidR="008268A7">
        <w:rPr>
          <w:i/>
          <w:iCs/>
          <w:color w:val="2B2B2B"/>
          <w:sz w:val="23"/>
          <w:szCs w:val="23"/>
        </w:rPr>
        <w:t>«</w:t>
      </w:r>
      <w:r w:rsidR="008268A7" w:rsidRPr="008268A7">
        <w:rPr>
          <w:bCs/>
          <w:i/>
          <w:iCs/>
          <w:color w:val="2B2B2B"/>
          <w:sz w:val="23"/>
          <w:szCs w:val="23"/>
        </w:rPr>
        <w:t>in  presenza   di   situazioni eccezionali non altrimenti fronteggiabili e correlate a provvedimenti assunti dalla</w:t>
      </w:r>
      <w:r w:rsidR="008E2068">
        <w:rPr>
          <w:bCs/>
          <w:i/>
          <w:iCs/>
          <w:color w:val="2B2B2B"/>
          <w:sz w:val="23"/>
          <w:szCs w:val="23"/>
        </w:rPr>
        <w:t xml:space="preserve"> </w:t>
      </w:r>
      <w:r w:rsidR="008268A7" w:rsidRPr="008268A7">
        <w:rPr>
          <w:bCs/>
          <w:i/>
          <w:iCs/>
          <w:color w:val="2B2B2B"/>
          <w:sz w:val="23"/>
          <w:szCs w:val="23"/>
        </w:rPr>
        <w:t>pubblica  autorità  per  contrastare  la  pandemia  di COVID-19</w:t>
      </w:r>
      <w:r w:rsidR="008268A7">
        <w:rPr>
          <w:bCs/>
          <w:i/>
          <w:iCs/>
          <w:color w:val="2B2B2B"/>
          <w:sz w:val="23"/>
          <w:szCs w:val="23"/>
        </w:rPr>
        <w:t>»</w:t>
      </w:r>
      <w:r w:rsidR="008268A7" w:rsidRPr="008268A7">
        <w:rPr>
          <w:i/>
          <w:iCs/>
          <w:color w:val="2B2B2B"/>
          <w:sz w:val="23"/>
          <w:szCs w:val="23"/>
        </w:rPr>
        <w:t xml:space="preserve">, </w:t>
      </w:r>
      <w:r w:rsidR="008268A7" w:rsidRPr="008268A7">
        <w:rPr>
          <w:iCs/>
          <w:color w:val="2B2B2B"/>
          <w:sz w:val="23"/>
          <w:szCs w:val="23"/>
        </w:rPr>
        <w:t>i presidenti titolari delle sezioni del Consiglio di Stato, il presidente  del  Consiglio  di  giustizia  amministrativa  per  la Regione  siciliana  e  i  presidenti  dei  tribunali   amministrativi regionali e delle relative sezioni staccate </w:t>
      </w:r>
      <w:r w:rsidR="008268A7" w:rsidRPr="008268A7">
        <w:rPr>
          <w:bCs/>
          <w:iCs/>
          <w:color w:val="2B2B2B"/>
          <w:sz w:val="23"/>
          <w:szCs w:val="23"/>
        </w:rPr>
        <w:t>possono  autorizzare  con decreto motivato, in alternativa al rinvio, la trattazione da  remoto delle cause per cui non è possibile la presenza fisica in udienza</w:t>
      </w:r>
      <w:r w:rsidR="008268A7" w:rsidRPr="008268A7">
        <w:rPr>
          <w:b/>
          <w:bCs/>
          <w:iCs/>
          <w:color w:val="2B2B2B"/>
          <w:sz w:val="23"/>
          <w:szCs w:val="23"/>
        </w:rPr>
        <w:t> </w:t>
      </w:r>
      <w:r w:rsidR="008268A7" w:rsidRPr="008268A7">
        <w:rPr>
          <w:iCs/>
          <w:color w:val="2B2B2B"/>
          <w:sz w:val="23"/>
          <w:szCs w:val="23"/>
        </w:rPr>
        <w:t>di singoli difensori o, in casi assolutamente  eccezionali,  di  singoli magistrati</w:t>
      </w:r>
      <w:r w:rsidR="008268A7" w:rsidRPr="008268A7">
        <w:rPr>
          <w:color w:val="2B2B2B"/>
          <w:sz w:val="23"/>
          <w:szCs w:val="23"/>
        </w:rPr>
        <w:t>.</w:t>
      </w:r>
      <w:r w:rsidR="001D0741">
        <w:rPr>
          <w:color w:val="2B2B2B"/>
          <w:sz w:val="23"/>
          <w:szCs w:val="23"/>
        </w:rPr>
        <w:t xml:space="preserve"> Ciò al fine di attenuare le differenze rispetto al </w:t>
      </w:r>
      <w:r w:rsidR="008268A7" w:rsidRPr="008268A7">
        <w:rPr>
          <w:rFonts w:ascii="Merriweather Sans" w:hAnsi="Merriweather Sans"/>
          <w:color w:val="2B2B2B"/>
          <w:sz w:val="23"/>
          <w:szCs w:val="23"/>
        </w:rPr>
        <w:t xml:space="preserve">regime differenziato </w:t>
      </w:r>
      <w:r w:rsidR="001D0741">
        <w:rPr>
          <w:rFonts w:ascii="Merriweather Sans" w:hAnsi="Merriweather Sans"/>
          <w:color w:val="2B2B2B"/>
          <w:sz w:val="23"/>
          <w:szCs w:val="23"/>
        </w:rPr>
        <w:t>di p</w:t>
      </w:r>
      <w:r w:rsidR="008268A7" w:rsidRPr="008268A7">
        <w:rPr>
          <w:rFonts w:ascii="Merriweather Sans" w:hAnsi="Merriweather Sans"/>
          <w:color w:val="2B2B2B"/>
          <w:sz w:val="23"/>
          <w:szCs w:val="23"/>
        </w:rPr>
        <w:t xml:space="preserve">roroga generale delle udienze scritte o da remoto </w:t>
      </w:r>
      <w:r w:rsidR="001D0741">
        <w:rPr>
          <w:rFonts w:ascii="Merriweather Sans" w:hAnsi="Merriweather Sans"/>
          <w:color w:val="2B2B2B"/>
          <w:sz w:val="23"/>
          <w:szCs w:val="23"/>
        </w:rPr>
        <w:t xml:space="preserve">nel </w:t>
      </w:r>
      <w:r w:rsidR="008268A7" w:rsidRPr="008268A7">
        <w:rPr>
          <w:rFonts w:ascii="Merriweather Sans" w:hAnsi="Merriweather Sans"/>
          <w:color w:val="2B2B2B"/>
          <w:sz w:val="23"/>
          <w:szCs w:val="23"/>
        </w:rPr>
        <w:t xml:space="preserve">processo civile, confermando </w:t>
      </w:r>
      <w:r w:rsidR="001D0741">
        <w:rPr>
          <w:rFonts w:ascii="Merriweather Sans" w:hAnsi="Merriweather Sans"/>
          <w:color w:val="2B2B2B"/>
          <w:sz w:val="23"/>
          <w:szCs w:val="23"/>
        </w:rPr>
        <w:t xml:space="preserve">quale </w:t>
      </w:r>
      <w:r w:rsidR="008268A7" w:rsidRPr="008268A7">
        <w:rPr>
          <w:rFonts w:ascii="Merriweather Sans" w:hAnsi="Merriweather Sans"/>
          <w:color w:val="2B2B2B"/>
          <w:sz w:val="23"/>
          <w:szCs w:val="23"/>
        </w:rPr>
        <w:t xml:space="preserve">modalità ordinaria di svolgimento delle udienze quella “in presenza”, </w:t>
      </w:r>
      <w:r w:rsidR="001D0741">
        <w:rPr>
          <w:rFonts w:ascii="Merriweather Sans" w:hAnsi="Merriweather Sans"/>
          <w:color w:val="2B2B2B"/>
          <w:sz w:val="23"/>
          <w:szCs w:val="23"/>
        </w:rPr>
        <w:t>ma ammettendo la deroga su</w:t>
      </w:r>
      <w:r w:rsidR="008268A7" w:rsidRPr="008268A7">
        <w:rPr>
          <w:rFonts w:ascii="Merriweather Sans" w:hAnsi="Merriweather Sans"/>
          <w:color w:val="2B2B2B"/>
          <w:sz w:val="23"/>
          <w:szCs w:val="23"/>
        </w:rPr>
        <w:t xml:space="preserve"> specifica autorizzazione del Presidente del Collegio</w:t>
      </w:r>
      <w:r w:rsidR="001D0741">
        <w:rPr>
          <w:rFonts w:ascii="Merriweather Sans" w:hAnsi="Merriweather Sans"/>
          <w:color w:val="2B2B2B"/>
          <w:sz w:val="23"/>
          <w:szCs w:val="23"/>
        </w:rPr>
        <w:t xml:space="preserve"> (per precisazioni sui presupposti legittimanti la deroga, si veda C.G.A.R.S., decreto n. 176 del 5 ottobre 2021). </w:t>
      </w:r>
    </w:p>
    <w:p w:rsidR="00A272D3" w:rsidRPr="00C15A2F" w:rsidRDefault="003D0D2B" w:rsidP="008E2068">
      <w:pPr>
        <w:pStyle w:val="NormaleWeb"/>
        <w:spacing w:before="0" w:beforeAutospacing="0" w:after="0" w:afterAutospacing="0" w:line="360" w:lineRule="auto"/>
        <w:jc w:val="both"/>
        <w:rPr>
          <w:color w:val="000000"/>
          <w:sz w:val="26"/>
          <w:szCs w:val="26"/>
        </w:rPr>
      </w:pPr>
      <w:r w:rsidRPr="00C15A2F">
        <w:rPr>
          <w:sz w:val="26"/>
          <w:szCs w:val="26"/>
        </w:rPr>
        <w:t>Ogni fase ha ovviamente comporta</w:t>
      </w:r>
      <w:r w:rsidR="00525265">
        <w:rPr>
          <w:sz w:val="26"/>
          <w:szCs w:val="26"/>
        </w:rPr>
        <w:t>to</w:t>
      </w:r>
      <w:r w:rsidRPr="00C15A2F">
        <w:rPr>
          <w:sz w:val="26"/>
          <w:szCs w:val="26"/>
        </w:rPr>
        <w:t xml:space="preserve"> la risoluzione di alcune criticità. Ad esempio, essendo state le prime due fasi caratterizzate da una generalizzata previsione di sospensione dei termini, si è dovuto affrontare il problema dell’esatta accezione da dare alla relativa dizione normativa, al fine di contemperare le esigenze di tutela della salute, sottese alla scelta, con quelle di giusta durata dei processi. Il </w:t>
      </w:r>
      <w:r w:rsidRPr="00C15A2F">
        <w:rPr>
          <w:b/>
          <w:sz w:val="26"/>
          <w:szCs w:val="26"/>
        </w:rPr>
        <w:t>processo cartolare coatto</w:t>
      </w:r>
      <w:r w:rsidRPr="00C15A2F">
        <w:rPr>
          <w:sz w:val="26"/>
          <w:szCs w:val="26"/>
        </w:rPr>
        <w:t xml:space="preserve">, che ha visto anche la comparsa dell’istituto delle “brevi note di udienza”, da presentare almeno due giorni prima della sua celebrazione, </w:t>
      </w:r>
      <w:r w:rsidR="00A4254E" w:rsidRPr="00C15A2F">
        <w:rPr>
          <w:sz w:val="26"/>
          <w:szCs w:val="26"/>
        </w:rPr>
        <w:t xml:space="preserve">quale surrogato della discussione orale, è quello che ha </w:t>
      </w:r>
      <w:r w:rsidR="000F48E0" w:rsidRPr="00C15A2F">
        <w:rPr>
          <w:sz w:val="26"/>
          <w:szCs w:val="26"/>
        </w:rPr>
        <w:t xml:space="preserve">suscitato </w:t>
      </w:r>
      <w:r w:rsidR="00A4254E" w:rsidRPr="00C15A2F">
        <w:rPr>
          <w:sz w:val="26"/>
          <w:szCs w:val="26"/>
        </w:rPr>
        <w:t>le maggiori critiche. Seppure nella consapevolezza della peculiarità del giudizio amministrativo, è evidente infatti che la totale eliminazione della possibilità di interloquire con il proprio giudice è stata percepita come lesiva del diritto al giusto processo</w:t>
      </w:r>
      <w:r w:rsidR="00BA6EF5" w:rsidRPr="00C15A2F">
        <w:rPr>
          <w:sz w:val="26"/>
          <w:szCs w:val="26"/>
        </w:rPr>
        <w:t>, anche in termini di diritto ad un’udienza pubblica e all’effettività della tutela</w:t>
      </w:r>
      <w:r w:rsidR="000F48E0" w:rsidRPr="00C15A2F">
        <w:rPr>
          <w:sz w:val="26"/>
          <w:szCs w:val="26"/>
        </w:rPr>
        <w:t>. P</w:t>
      </w:r>
      <w:r w:rsidR="00BA6EF5" w:rsidRPr="00C15A2F">
        <w:rPr>
          <w:sz w:val="26"/>
          <w:szCs w:val="26"/>
        </w:rPr>
        <w:t xml:space="preserve">rima ancora che la </w:t>
      </w:r>
      <w:r w:rsidR="000F48E0" w:rsidRPr="00C15A2F">
        <w:rPr>
          <w:sz w:val="26"/>
          <w:szCs w:val="26"/>
        </w:rPr>
        <w:t xml:space="preserve">relativa </w:t>
      </w:r>
      <w:r w:rsidR="00BA6EF5" w:rsidRPr="00C15A2F">
        <w:rPr>
          <w:sz w:val="26"/>
          <w:szCs w:val="26"/>
        </w:rPr>
        <w:t xml:space="preserve">scelta venisse definitivamente </w:t>
      </w:r>
      <w:r w:rsidR="000F48E0" w:rsidRPr="00C15A2F">
        <w:rPr>
          <w:sz w:val="26"/>
          <w:szCs w:val="26"/>
        </w:rPr>
        <w:t>superata per via normativa</w:t>
      </w:r>
      <w:r w:rsidR="00BA6EF5" w:rsidRPr="00C15A2F">
        <w:rPr>
          <w:sz w:val="26"/>
          <w:szCs w:val="26"/>
        </w:rPr>
        <w:t xml:space="preserve">, il Consiglio di Stato ne aveva “mitigato” gli effetti distorsivi. Con due ordinanze collegiali coeve della Sez. VI, infatti, (21 aprile 2020, </w:t>
      </w:r>
      <w:proofErr w:type="spellStart"/>
      <w:r w:rsidR="00BA6EF5" w:rsidRPr="00C15A2F">
        <w:rPr>
          <w:sz w:val="26"/>
          <w:szCs w:val="26"/>
        </w:rPr>
        <w:t>nn</w:t>
      </w:r>
      <w:proofErr w:type="spellEnd"/>
      <w:r w:rsidR="00BA6EF5" w:rsidRPr="00C15A2F">
        <w:rPr>
          <w:sz w:val="26"/>
          <w:szCs w:val="26"/>
        </w:rPr>
        <w:t>. 2538 e 2539), dopo avere ricordato  che «</w:t>
      </w:r>
      <w:r w:rsidR="00BA6EF5" w:rsidRPr="00C15A2F">
        <w:rPr>
          <w:i/>
          <w:sz w:val="26"/>
          <w:szCs w:val="26"/>
        </w:rPr>
        <w:t>i</w:t>
      </w:r>
      <w:r w:rsidR="00BA6EF5" w:rsidRPr="00C15A2F">
        <w:rPr>
          <w:i/>
          <w:color w:val="000000"/>
          <w:sz w:val="26"/>
          <w:szCs w:val="26"/>
        </w:rPr>
        <w:t xml:space="preserve">l processo amministrativo, a differenza del processo penale, non è improntato al principio di oralità delle dichiarazioni e del contraddittorio in senso “forte” (ovvero, sia nella formazione della prova, sia come diritto dell’accusato di confrontarsi “de </w:t>
      </w:r>
      <w:proofErr w:type="spellStart"/>
      <w:r w:rsidR="00BA6EF5" w:rsidRPr="00C15A2F">
        <w:rPr>
          <w:i/>
          <w:color w:val="000000"/>
          <w:sz w:val="26"/>
          <w:szCs w:val="26"/>
        </w:rPr>
        <w:t>visu</w:t>
      </w:r>
      <w:proofErr w:type="spellEnd"/>
      <w:r w:rsidR="00BA6EF5" w:rsidRPr="00C15A2F">
        <w:rPr>
          <w:i/>
          <w:color w:val="000000"/>
          <w:sz w:val="26"/>
          <w:szCs w:val="26"/>
        </w:rPr>
        <w:t>” con l’accusatore), ben potendo il confronto tra i litiganti e con il giudice avvenire in forma meramente cartolare e le parti decidere di neppure comparire in udienza</w:t>
      </w:r>
      <w:r w:rsidR="00BA6EF5" w:rsidRPr="00C15A2F">
        <w:rPr>
          <w:color w:val="000000"/>
          <w:sz w:val="26"/>
          <w:szCs w:val="26"/>
        </w:rPr>
        <w:t xml:space="preserve">», </w:t>
      </w:r>
      <w:r w:rsidR="000F48E0" w:rsidRPr="00C15A2F">
        <w:rPr>
          <w:color w:val="000000"/>
          <w:sz w:val="26"/>
          <w:szCs w:val="26"/>
        </w:rPr>
        <w:t>si era poi</w:t>
      </w:r>
      <w:r w:rsidR="00BA6EF5" w:rsidRPr="00C15A2F">
        <w:rPr>
          <w:color w:val="000000"/>
          <w:sz w:val="26"/>
          <w:szCs w:val="26"/>
        </w:rPr>
        <w:t xml:space="preserve"> affermato che  la coazione alla stessa, intesa come scelta obbligata di modalità di contraddittorio, cioè non frutto di una libera opzione difensiva, bensì impost</w:t>
      </w:r>
      <w:r w:rsidR="008268A7">
        <w:rPr>
          <w:color w:val="000000"/>
          <w:sz w:val="26"/>
          <w:szCs w:val="26"/>
        </w:rPr>
        <w:t>a</w:t>
      </w:r>
      <w:r w:rsidR="00BA6EF5" w:rsidRPr="00C15A2F">
        <w:rPr>
          <w:color w:val="000000"/>
          <w:sz w:val="26"/>
          <w:szCs w:val="26"/>
        </w:rPr>
        <w:t xml:space="preserve"> anche contro la volontà delle parti, «</w:t>
      </w:r>
      <w:r w:rsidR="00BA6EF5" w:rsidRPr="00C15A2F">
        <w:rPr>
          <w:i/>
          <w:color w:val="000000"/>
          <w:sz w:val="26"/>
          <w:szCs w:val="26"/>
        </w:rPr>
        <w:t>non appare una soluzione ermeneutica compatibile con i canoni della interpretazione conforme a Costituzione, che il giudice comune ha sempre l’onere di esperire con riguardo alla disposizione di cui deve fare applicazione</w:t>
      </w:r>
      <w:r w:rsidR="00BA6EF5" w:rsidRPr="00C15A2F">
        <w:rPr>
          <w:color w:val="000000"/>
          <w:sz w:val="26"/>
          <w:szCs w:val="26"/>
        </w:rPr>
        <w:t xml:space="preserve">». </w:t>
      </w:r>
      <w:r w:rsidR="000F48E0" w:rsidRPr="00C15A2F">
        <w:rPr>
          <w:color w:val="000000"/>
          <w:sz w:val="26"/>
          <w:szCs w:val="26"/>
        </w:rPr>
        <w:t>I</w:t>
      </w:r>
      <w:r w:rsidR="00BA6EF5" w:rsidRPr="00C15A2F">
        <w:rPr>
          <w:color w:val="000000"/>
          <w:sz w:val="26"/>
          <w:szCs w:val="26"/>
        </w:rPr>
        <w:t>l diritto a</w:t>
      </w:r>
      <w:r w:rsidR="000F48E0" w:rsidRPr="00C15A2F">
        <w:rPr>
          <w:color w:val="000000"/>
          <w:sz w:val="26"/>
          <w:szCs w:val="26"/>
        </w:rPr>
        <w:t>ll’</w:t>
      </w:r>
      <w:r w:rsidR="00BA6EF5" w:rsidRPr="00C15A2F">
        <w:rPr>
          <w:color w:val="000000"/>
          <w:sz w:val="26"/>
          <w:szCs w:val="26"/>
        </w:rPr>
        <w:t>udienza pubblica</w:t>
      </w:r>
      <w:r w:rsidR="000F48E0" w:rsidRPr="00C15A2F">
        <w:rPr>
          <w:color w:val="000000"/>
          <w:sz w:val="26"/>
          <w:szCs w:val="26"/>
        </w:rPr>
        <w:t xml:space="preserve"> è stato pertanto garantito </w:t>
      </w:r>
      <w:r w:rsidR="00BA6EF5" w:rsidRPr="00C15A2F">
        <w:rPr>
          <w:color w:val="000000"/>
          <w:sz w:val="26"/>
          <w:szCs w:val="26"/>
        </w:rPr>
        <w:t>introducendo in via interpretativa la possibilità per la parte che intenda discutere di chiedere il rinvio della trattazione della causa a data successiva a quella originariamente fissat</w:t>
      </w:r>
      <w:r w:rsidR="000F48E0" w:rsidRPr="00C15A2F">
        <w:rPr>
          <w:color w:val="000000"/>
          <w:sz w:val="26"/>
          <w:szCs w:val="26"/>
        </w:rPr>
        <w:t>a</w:t>
      </w:r>
      <w:r w:rsidR="00BA6EF5" w:rsidRPr="00C15A2F">
        <w:rPr>
          <w:color w:val="000000"/>
          <w:sz w:val="26"/>
          <w:szCs w:val="26"/>
        </w:rPr>
        <w:t xml:space="preserve"> per la trattazione cartolare coatta (30 giugno 2020). </w:t>
      </w:r>
    </w:p>
    <w:p w:rsidR="00CB3F5A" w:rsidRPr="00C15A2F" w:rsidRDefault="00BD47EC" w:rsidP="008E2068">
      <w:pPr>
        <w:spacing w:after="0" w:line="360" w:lineRule="auto"/>
        <w:jc w:val="both"/>
        <w:rPr>
          <w:rFonts w:ascii="Times New Roman" w:hAnsi="Times New Roman" w:cs="Times New Roman"/>
          <w:sz w:val="26"/>
          <w:szCs w:val="26"/>
        </w:rPr>
      </w:pPr>
      <w:r w:rsidRPr="00C15A2F">
        <w:rPr>
          <w:rFonts w:ascii="Times New Roman" w:hAnsi="Times New Roman" w:cs="Times New Roman"/>
          <w:sz w:val="26"/>
          <w:szCs w:val="26"/>
          <w:lang w:val="it"/>
        </w:rPr>
        <w:t xml:space="preserve">Il Legislatore della pandemia si è espressamente occupato della </w:t>
      </w:r>
      <w:r w:rsidRPr="00C15A2F">
        <w:rPr>
          <w:rFonts w:ascii="Times New Roman" w:hAnsi="Times New Roman" w:cs="Times New Roman"/>
          <w:b/>
          <w:sz w:val="26"/>
          <w:szCs w:val="26"/>
          <w:lang w:val="it"/>
        </w:rPr>
        <w:t>fase cautelare</w:t>
      </w:r>
      <w:r w:rsidRPr="00C15A2F">
        <w:rPr>
          <w:rFonts w:ascii="Times New Roman" w:hAnsi="Times New Roman" w:cs="Times New Roman"/>
          <w:sz w:val="26"/>
          <w:szCs w:val="26"/>
          <w:lang w:val="it"/>
        </w:rPr>
        <w:t xml:space="preserve">, </w:t>
      </w:r>
      <w:r w:rsidR="000F48E0" w:rsidRPr="00C15A2F">
        <w:rPr>
          <w:rFonts w:ascii="Times New Roman" w:hAnsi="Times New Roman" w:cs="Times New Roman"/>
          <w:sz w:val="26"/>
          <w:szCs w:val="26"/>
          <w:lang w:val="it"/>
        </w:rPr>
        <w:t xml:space="preserve">nell’attuale contesto </w:t>
      </w:r>
      <w:r w:rsidRPr="00C15A2F">
        <w:rPr>
          <w:rFonts w:ascii="Times New Roman" w:hAnsi="Times New Roman" w:cs="Times New Roman"/>
          <w:sz w:val="26"/>
          <w:szCs w:val="26"/>
          <w:lang w:val="it"/>
        </w:rPr>
        <w:t xml:space="preserve">più che mai </w:t>
      </w:r>
      <w:r w:rsidRPr="00C15A2F">
        <w:rPr>
          <w:rFonts w:ascii="Times New Roman" w:hAnsi="Times New Roman" w:cs="Times New Roman"/>
          <w:sz w:val="26"/>
          <w:szCs w:val="26"/>
        </w:rPr>
        <w:t xml:space="preserve">fulcro del sistema di garanzia contro il cattivo esercizio del potere pubblico e banco di prova della sua effettività. Si è pertanto da subito valorizzato il ricorso al </w:t>
      </w:r>
      <w:r w:rsidRPr="00C15A2F">
        <w:rPr>
          <w:rFonts w:ascii="Times New Roman" w:hAnsi="Times New Roman" w:cs="Times New Roman"/>
          <w:sz w:val="26"/>
          <w:szCs w:val="26"/>
          <w:lang w:val="it"/>
        </w:rPr>
        <w:t xml:space="preserve">decreto cautelare monocratico, introdotto nel nostro ordinamento su </w:t>
      </w:r>
      <w:r w:rsidRPr="00C15A2F">
        <w:rPr>
          <w:rFonts w:ascii="Times New Roman" w:hAnsi="Times New Roman" w:cs="Times New Roman"/>
          <w:sz w:val="26"/>
          <w:szCs w:val="26"/>
        </w:rPr>
        <w:t xml:space="preserve">sollecitazione delle istituzioni europee, per dare pronta risposta alle istanze di tale gravità e urgenza che non possono trovare adeguata soddisfazione nei tempi, pur estremamente contratti, della trattazione collegiale. Esso in linea generale consente infatti una tutela cautelare monocratica, ammessa nei casi di massima urgenza addirittura </w:t>
      </w:r>
      <w:r w:rsidRPr="00C15A2F">
        <w:rPr>
          <w:rFonts w:ascii="Times New Roman" w:hAnsi="Times New Roman" w:cs="Times New Roman"/>
          <w:i/>
          <w:iCs/>
          <w:sz w:val="26"/>
          <w:szCs w:val="26"/>
        </w:rPr>
        <w:t xml:space="preserve">ante </w:t>
      </w:r>
      <w:proofErr w:type="spellStart"/>
      <w:r w:rsidRPr="00C15A2F">
        <w:rPr>
          <w:rFonts w:ascii="Times New Roman" w:hAnsi="Times New Roman" w:cs="Times New Roman"/>
          <w:i/>
          <w:iCs/>
          <w:sz w:val="26"/>
          <w:szCs w:val="26"/>
        </w:rPr>
        <w:t>causam</w:t>
      </w:r>
      <w:proofErr w:type="spellEnd"/>
      <w:r w:rsidRPr="00C15A2F">
        <w:rPr>
          <w:rFonts w:ascii="Times New Roman" w:hAnsi="Times New Roman" w:cs="Times New Roman"/>
          <w:sz w:val="26"/>
          <w:szCs w:val="26"/>
        </w:rPr>
        <w:t>, per il tempo necessario alla celebrazione della camera di consiglio per la decisione collegiale. I primi decreti legge hanno dunque previsto un’applicazione generalizzata nel periodo della sospensione delle udienze di tale strumento. L’analisi contenutistica de</w:t>
      </w:r>
      <w:r w:rsidR="00985A90">
        <w:rPr>
          <w:rFonts w:ascii="Times New Roman" w:hAnsi="Times New Roman" w:cs="Times New Roman"/>
          <w:sz w:val="26"/>
          <w:szCs w:val="26"/>
        </w:rPr>
        <w:t>i decreti cautelari adottati</w:t>
      </w:r>
      <w:r w:rsidRPr="00C15A2F">
        <w:rPr>
          <w:rFonts w:ascii="Times New Roman" w:hAnsi="Times New Roman" w:cs="Times New Roman"/>
          <w:sz w:val="26"/>
          <w:szCs w:val="26"/>
        </w:rPr>
        <w:t xml:space="preserve"> ne dimostra un uso, diffuso, ma bilanciato, </w:t>
      </w:r>
      <w:r w:rsidR="00985A90">
        <w:rPr>
          <w:rFonts w:ascii="Times New Roman" w:hAnsi="Times New Roman" w:cs="Times New Roman"/>
          <w:sz w:val="26"/>
          <w:szCs w:val="26"/>
        </w:rPr>
        <w:t xml:space="preserve">che ha cioè </w:t>
      </w:r>
      <w:r w:rsidRPr="00C15A2F">
        <w:rPr>
          <w:rFonts w:ascii="Times New Roman" w:hAnsi="Times New Roman" w:cs="Times New Roman"/>
          <w:sz w:val="26"/>
          <w:szCs w:val="26"/>
        </w:rPr>
        <w:t>scongiura</w:t>
      </w:r>
      <w:r w:rsidR="00985A90">
        <w:rPr>
          <w:rFonts w:ascii="Times New Roman" w:hAnsi="Times New Roman" w:cs="Times New Roman"/>
          <w:sz w:val="26"/>
          <w:szCs w:val="26"/>
        </w:rPr>
        <w:t>to</w:t>
      </w:r>
      <w:r w:rsidRPr="00C15A2F">
        <w:rPr>
          <w:rFonts w:ascii="Times New Roman" w:hAnsi="Times New Roman" w:cs="Times New Roman"/>
          <w:sz w:val="26"/>
          <w:szCs w:val="26"/>
        </w:rPr>
        <w:t xml:space="preserve"> i pericoli di strumentalizzazione in chiave distorsiva dell’intero meccanismo, quale modalità di generalizzato accoglimento di istanze cautelari monocratiche non giustificate da una reale impossibilità di attendere il collegio. </w:t>
      </w:r>
    </w:p>
    <w:p w:rsidR="004E61CB" w:rsidRPr="00C15A2F" w:rsidRDefault="00BD47EC" w:rsidP="008E2068">
      <w:pPr>
        <w:pStyle w:val="done"/>
        <w:spacing w:before="0" w:beforeAutospacing="0" w:after="0" w:afterAutospacing="0" w:line="360" w:lineRule="auto"/>
        <w:jc w:val="both"/>
        <w:rPr>
          <w:color w:val="000000"/>
          <w:sz w:val="26"/>
          <w:szCs w:val="26"/>
        </w:rPr>
      </w:pPr>
      <w:r w:rsidRPr="00C15A2F">
        <w:rPr>
          <w:color w:val="000000"/>
          <w:sz w:val="26"/>
          <w:szCs w:val="26"/>
        </w:rPr>
        <w:t xml:space="preserve">La capacità della giustizia amministrativa di rispondere adeguatamente alle esigenze di continuità malgrado e durante la pandemia si è giocata in particolare sul piano </w:t>
      </w:r>
      <w:r w:rsidRPr="00C15A2F">
        <w:rPr>
          <w:b/>
          <w:color w:val="000000"/>
          <w:sz w:val="26"/>
          <w:szCs w:val="26"/>
        </w:rPr>
        <w:t>dell’udienza da remoto</w:t>
      </w:r>
      <w:r w:rsidRPr="00C15A2F">
        <w:rPr>
          <w:color w:val="000000"/>
          <w:sz w:val="26"/>
          <w:szCs w:val="26"/>
        </w:rPr>
        <w:t xml:space="preserve">. </w:t>
      </w:r>
      <w:r w:rsidR="004E61CB" w:rsidRPr="00C15A2F">
        <w:rPr>
          <w:rStyle w:val="Enfasigrassetto"/>
          <w:color w:val="000000"/>
          <w:sz w:val="26"/>
          <w:szCs w:val="26"/>
          <w:shd w:val="clear" w:color="auto" w:fill="FFFFFF"/>
        </w:rPr>
        <w:t>L’udienza da remoto</w:t>
      </w:r>
      <w:r w:rsidR="004E61CB" w:rsidRPr="00C15A2F">
        <w:rPr>
          <w:color w:val="000000"/>
          <w:sz w:val="26"/>
          <w:szCs w:val="26"/>
          <w:shd w:val="clear" w:color="auto" w:fill="FFFFFF"/>
        </w:rPr>
        <w:t xml:space="preserve"> ha costituito la soluzione tecnologico-giuridica all’impossibilità di celebrazione ordinaria delle udienze nelle forme tradizionali. </w:t>
      </w:r>
      <w:r w:rsidR="00E742C0" w:rsidRPr="00C15A2F">
        <w:rPr>
          <w:color w:val="000000"/>
          <w:sz w:val="26"/>
          <w:szCs w:val="26"/>
          <w:shd w:val="clear" w:color="auto" w:fill="FFFFFF"/>
        </w:rPr>
        <w:t xml:space="preserve">Essa è stata </w:t>
      </w:r>
      <w:r w:rsidR="00CB3F5A" w:rsidRPr="00C15A2F">
        <w:rPr>
          <w:color w:val="000000"/>
          <w:sz w:val="26"/>
          <w:szCs w:val="26"/>
        </w:rPr>
        <w:t xml:space="preserve">sottoposta a una triplice condizione: l’iniziativa della parte o del giudice, l’effettività del contraddittorio e delle garanzie processuali, la funzionalità del sistema informatico. </w:t>
      </w:r>
      <w:r w:rsidR="00E742C0" w:rsidRPr="00C15A2F">
        <w:rPr>
          <w:color w:val="000000"/>
          <w:sz w:val="26"/>
          <w:szCs w:val="26"/>
        </w:rPr>
        <w:t xml:space="preserve">La si poteva pertanto richiedere </w:t>
      </w:r>
      <w:r w:rsidR="006C1EB3" w:rsidRPr="00C15A2F">
        <w:rPr>
          <w:color w:val="000000"/>
          <w:sz w:val="26"/>
          <w:szCs w:val="26"/>
        </w:rPr>
        <w:t>fino a cinque giorni prima dell’udienza, per gli affari cautelari, ovvero fino al</w:t>
      </w:r>
      <w:r w:rsidR="00F52095">
        <w:rPr>
          <w:color w:val="000000"/>
          <w:sz w:val="26"/>
          <w:szCs w:val="26"/>
        </w:rPr>
        <w:t xml:space="preserve">la scadenza del </w:t>
      </w:r>
      <w:r w:rsidR="006C1EB3" w:rsidRPr="00C15A2F">
        <w:rPr>
          <w:color w:val="000000"/>
          <w:sz w:val="26"/>
          <w:szCs w:val="26"/>
        </w:rPr>
        <w:t xml:space="preserve">termine </w:t>
      </w:r>
      <w:r w:rsidR="00F52095">
        <w:rPr>
          <w:color w:val="000000"/>
          <w:sz w:val="26"/>
          <w:szCs w:val="26"/>
        </w:rPr>
        <w:t xml:space="preserve">per la presentazione </w:t>
      </w:r>
      <w:r w:rsidR="006C1EB3" w:rsidRPr="00C15A2F">
        <w:rPr>
          <w:color w:val="000000"/>
          <w:sz w:val="26"/>
          <w:szCs w:val="26"/>
        </w:rPr>
        <w:t>delle memorie di replica, per le pubbliche udienze</w:t>
      </w:r>
      <w:r w:rsidR="00CB3F5A" w:rsidRPr="00C15A2F">
        <w:rPr>
          <w:color w:val="000000"/>
          <w:sz w:val="26"/>
          <w:szCs w:val="26"/>
        </w:rPr>
        <w:t>. I</w:t>
      </w:r>
      <w:r w:rsidR="006C1EB3" w:rsidRPr="00C15A2F">
        <w:rPr>
          <w:color w:val="000000"/>
          <w:sz w:val="26"/>
          <w:szCs w:val="26"/>
        </w:rPr>
        <w:t xml:space="preserve">l legislatore dell’emergenza </w:t>
      </w:r>
      <w:r w:rsidR="00CB3F5A" w:rsidRPr="00C15A2F">
        <w:rPr>
          <w:color w:val="000000"/>
          <w:sz w:val="26"/>
          <w:szCs w:val="26"/>
        </w:rPr>
        <w:t xml:space="preserve">ha previsto </w:t>
      </w:r>
      <w:r w:rsidR="006C1EB3" w:rsidRPr="00C15A2F">
        <w:rPr>
          <w:color w:val="000000"/>
          <w:sz w:val="26"/>
          <w:szCs w:val="26"/>
        </w:rPr>
        <w:t xml:space="preserve">che l’istanza </w:t>
      </w:r>
      <w:r w:rsidR="00CB3F5A" w:rsidRPr="00C15A2F">
        <w:rPr>
          <w:color w:val="000000"/>
          <w:sz w:val="26"/>
          <w:szCs w:val="26"/>
        </w:rPr>
        <w:t>fosse</w:t>
      </w:r>
      <w:r w:rsidR="006C1EB3" w:rsidRPr="00C15A2F">
        <w:rPr>
          <w:color w:val="000000"/>
          <w:sz w:val="26"/>
          <w:szCs w:val="26"/>
        </w:rPr>
        <w:t xml:space="preserve"> necessariamente accolta, se formulata congiuntamente da tutte le parti, mentre – ove le parti non </w:t>
      </w:r>
      <w:r w:rsidR="00CB3F5A" w:rsidRPr="00C15A2F">
        <w:rPr>
          <w:color w:val="000000"/>
          <w:sz w:val="26"/>
          <w:szCs w:val="26"/>
        </w:rPr>
        <w:t>fossero</w:t>
      </w:r>
      <w:r w:rsidR="006C1EB3" w:rsidRPr="00C15A2F">
        <w:rPr>
          <w:color w:val="000000"/>
          <w:sz w:val="26"/>
          <w:szCs w:val="26"/>
        </w:rPr>
        <w:t xml:space="preserve"> tutte concordi e assum</w:t>
      </w:r>
      <w:r w:rsidR="00CB3F5A" w:rsidRPr="00C15A2F">
        <w:rPr>
          <w:color w:val="000000"/>
          <w:sz w:val="26"/>
          <w:szCs w:val="26"/>
        </w:rPr>
        <w:t>essero</w:t>
      </w:r>
      <w:r w:rsidR="006C1EB3" w:rsidRPr="00C15A2F">
        <w:rPr>
          <w:color w:val="000000"/>
          <w:sz w:val="26"/>
          <w:szCs w:val="26"/>
        </w:rPr>
        <w:t xml:space="preserve"> differenti posizioni sull’opportunità di un’udienza da remoto – la decisione </w:t>
      </w:r>
      <w:r w:rsidR="00CB3F5A" w:rsidRPr="00C15A2F">
        <w:rPr>
          <w:color w:val="000000"/>
          <w:sz w:val="26"/>
          <w:szCs w:val="26"/>
        </w:rPr>
        <w:t>era</w:t>
      </w:r>
      <w:r w:rsidR="006C1EB3" w:rsidRPr="00C15A2F">
        <w:rPr>
          <w:color w:val="000000"/>
          <w:sz w:val="26"/>
          <w:szCs w:val="26"/>
        </w:rPr>
        <w:t xml:space="preserve"> rimessa al presidente del collegio, </w:t>
      </w:r>
      <w:r w:rsidR="00CB3F5A" w:rsidRPr="00C15A2F">
        <w:rPr>
          <w:color w:val="000000"/>
          <w:sz w:val="26"/>
          <w:szCs w:val="26"/>
        </w:rPr>
        <w:t xml:space="preserve">chiamato a </w:t>
      </w:r>
      <w:r w:rsidR="006C1EB3" w:rsidRPr="00C15A2F">
        <w:rPr>
          <w:color w:val="000000"/>
          <w:sz w:val="26"/>
          <w:szCs w:val="26"/>
        </w:rPr>
        <w:t>media</w:t>
      </w:r>
      <w:r w:rsidR="00CB3F5A" w:rsidRPr="00C15A2F">
        <w:rPr>
          <w:color w:val="000000"/>
          <w:sz w:val="26"/>
          <w:szCs w:val="26"/>
        </w:rPr>
        <w:t xml:space="preserve">re </w:t>
      </w:r>
      <w:r w:rsidR="006C1EB3" w:rsidRPr="00C15A2F">
        <w:rPr>
          <w:color w:val="000000"/>
          <w:sz w:val="26"/>
          <w:szCs w:val="26"/>
        </w:rPr>
        <w:t>gli interessi in gioco.</w:t>
      </w:r>
      <w:r w:rsidR="00CB3F5A" w:rsidRPr="00C15A2F">
        <w:rPr>
          <w:color w:val="000000"/>
          <w:sz w:val="26"/>
          <w:szCs w:val="26"/>
        </w:rPr>
        <w:t xml:space="preserve"> </w:t>
      </w:r>
      <w:r w:rsidR="006C1EB3" w:rsidRPr="00C15A2F">
        <w:rPr>
          <w:color w:val="000000"/>
          <w:sz w:val="26"/>
          <w:szCs w:val="26"/>
        </w:rPr>
        <w:t>Resta</w:t>
      </w:r>
      <w:r w:rsidR="00E742C0" w:rsidRPr="00C15A2F">
        <w:rPr>
          <w:color w:val="000000"/>
          <w:sz w:val="26"/>
          <w:szCs w:val="26"/>
        </w:rPr>
        <w:t>va</w:t>
      </w:r>
      <w:r w:rsidR="006C1EB3" w:rsidRPr="00C15A2F">
        <w:rPr>
          <w:color w:val="000000"/>
          <w:sz w:val="26"/>
          <w:szCs w:val="26"/>
        </w:rPr>
        <w:t xml:space="preserve"> salvo il diritto del </w:t>
      </w:r>
      <w:r w:rsidR="00CB3F5A" w:rsidRPr="00C15A2F">
        <w:rPr>
          <w:color w:val="000000"/>
          <w:sz w:val="26"/>
          <w:szCs w:val="26"/>
        </w:rPr>
        <w:t xml:space="preserve">medesimo </w:t>
      </w:r>
      <w:r w:rsidR="006C1EB3" w:rsidRPr="00C15A2F">
        <w:rPr>
          <w:color w:val="000000"/>
          <w:sz w:val="26"/>
          <w:szCs w:val="26"/>
        </w:rPr>
        <w:t>presidente del collegio, anche in assenza di specifica istanza di parte, di disporre sempre e in ogni caso l’udienza da remoto, previa valutazione di opportunità</w:t>
      </w:r>
      <w:r w:rsidR="004E61CB" w:rsidRPr="00C15A2F">
        <w:rPr>
          <w:color w:val="000000"/>
          <w:sz w:val="26"/>
          <w:szCs w:val="26"/>
        </w:rPr>
        <w:t>, ovvero quando l</w:t>
      </w:r>
      <w:r w:rsidR="006C1EB3" w:rsidRPr="00C15A2F">
        <w:rPr>
          <w:color w:val="000000"/>
          <w:sz w:val="26"/>
          <w:szCs w:val="26"/>
        </w:rPr>
        <w:t xml:space="preserve">’interlocuzione con le parti, </w:t>
      </w:r>
      <w:r w:rsidR="00F52095">
        <w:rPr>
          <w:color w:val="000000"/>
          <w:sz w:val="26"/>
          <w:szCs w:val="26"/>
        </w:rPr>
        <w:t xml:space="preserve">almeno </w:t>
      </w:r>
      <w:r w:rsidR="006C1EB3" w:rsidRPr="00C15A2F">
        <w:rPr>
          <w:color w:val="000000"/>
          <w:sz w:val="26"/>
          <w:szCs w:val="26"/>
        </w:rPr>
        <w:t xml:space="preserve">nella forma della videoconferenza, </w:t>
      </w:r>
      <w:r w:rsidR="00E742C0" w:rsidRPr="00C15A2F">
        <w:rPr>
          <w:color w:val="000000"/>
          <w:sz w:val="26"/>
          <w:szCs w:val="26"/>
        </w:rPr>
        <w:t>fosse</w:t>
      </w:r>
      <w:r w:rsidR="004E61CB" w:rsidRPr="00C15A2F">
        <w:rPr>
          <w:color w:val="000000"/>
          <w:sz w:val="26"/>
          <w:szCs w:val="26"/>
        </w:rPr>
        <w:t xml:space="preserve"> ritenuta </w:t>
      </w:r>
      <w:r w:rsidR="006C1EB3" w:rsidRPr="00C15A2F">
        <w:rPr>
          <w:color w:val="000000"/>
          <w:sz w:val="26"/>
          <w:szCs w:val="26"/>
        </w:rPr>
        <w:t>necessaria al fine di risolvere dubbi e chiarire aspetti oscuri della controversia</w:t>
      </w:r>
      <w:r w:rsidR="004E61CB" w:rsidRPr="00C15A2F">
        <w:rPr>
          <w:color w:val="000000"/>
          <w:sz w:val="26"/>
          <w:szCs w:val="26"/>
        </w:rPr>
        <w:t xml:space="preserve"> la cui sussistenza </w:t>
      </w:r>
      <w:r w:rsidR="00E742C0" w:rsidRPr="00C15A2F">
        <w:rPr>
          <w:color w:val="000000"/>
          <w:sz w:val="26"/>
          <w:szCs w:val="26"/>
        </w:rPr>
        <w:t xml:space="preserve">avrebbe </w:t>
      </w:r>
      <w:r w:rsidR="006C1EB3" w:rsidRPr="00C15A2F">
        <w:rPr>
          <w:color w:val="000000"/>
          <w:sz w:val="26"/>
          <w:szCs w:val="26"/>
        </w:rPr>
        <w:t>impo</w:t>
      </w:r>
      <w:r w:rsidR="00E742C0" w:rsidRPr="00C15A2F">
        <w:rPr>
          <w:color w:val="000000"/>
          <w:sz w:val="26"/>
          <w:szCs w:val="26"/>
        </w:rPr>
        <w:t xml:space="preserve">sto </w:t>
      </w:r>
      <w:r w:rsidR="006C1EB3" w:rsidRPr="00C15A2F">
        <w:rPr>
          <w:color w:val="000000"/>
          <w:sz w:val="26"/>
          <w:szCs w:val="26"/>
        </w:rPr>
        <w:t xml:space="preserve"> </w:t>
      </w:r>
      <w:r w:rsidR="004E61CB" w:rsidRPr="00C15A2F">
        <w:rPr>
          <w:color w:val="000000"/>
          <w:sz w:val="26"/>
          <w:szCs w:val="26"/>
        </w:rPr>
        <w:t xml:space="preserve">diversamente </w:t>
      </w:r>
      <w:r w:rsidR="006C1EB3" w:rsidRPr="00C15A2F">
        <w:rPr>
          <w:color w:val="000000"/>
          <w:sz w:val="26"/>
          <w:szCs w:val="26"/>
        </w:rPr>
        <w:t>di pronunciare un provvedimento interlocutorio e rinviare l’udienza, producendo una irrazionale dilatazione temporale e un dispendio di attività giurisdizionale.</w:t>
      </w:r>
      <w:r w:rsidR="004E61CB" w:rsidRPr="00C15A2F">
        <w:rPr>
          <w:color w:val="000000"/>
          <w:sz w:val="26"/>
          <w:szCs w:val="26"/>
        </w:rPr>
        <w:t xml:space="preserve"> Le specifiche modalità di svolgimento dell’udienza da remoto venivano indicate dalla segreteria in una comunicazione da inviare alle parti entro il giorno antecedente </w:t>
      </w:r>
      <w:r w:rsidR="00B371A8">
        <w:rPr>
          <w:color w:val="000000"/>
          <w:sz w:val="26"/>
          <w:szCs w:val="26"/>
        </w:rPr>
        <w:t xml:space="preserve">(successivamente il termine è stato portato a tre giorni antecedenti) </w:t>
      </w:r>
      <w:r w:rsidR="004E61CB" w:rsidRPr="00C15A2F">
        <w:rPr>
          <w:color w:val="000000"/>
          <w:sz w:val="26"/>
          <w:szCs w:val="26"/>
        </w:rPr>
        <w:t xml:space="preserve">lo svolgimento dell’udienza. </w:t>
      </w:r>
      <w:r w:rsidR="00E742C0" w:rsidRPr="00C15A2F">
        <w:rPr>
          <w:color w:val="000000"/>
          <w:sz w:val="26"/>
          <w:szCs w:val="26"/>
        </w:rPr>
        <w:t>N</w:t>
      </w:r>
      <w:r w:rsidR="004E61CB" w:rsidRPr="00C15A2F">
        <w:rPr>
          <w:color w:val="000000"/>
          <w:sz w:val="26"/>
          <w:szCs w:val="26"/>
        </w:rPr>
        <w:t>el corso dell’udienza</w:t>
      </w:r>
      <w:r w:rsidR="00E742C0" w:rsidRPr="00C15A2F">
        <w:rPr>
          <w:color w:val="000000"/>
          <w:sz w:val="26"/>
          <w:szCs w:val="26"/>
        </w:rPr>
        <w:t xml:space="preserve"> doveva essere </w:t>
      </w:r>
      <w:r w:rsidR="004E61CB" w:rsidRPr="00C15A2F">
        <w:rPr>
          <w:color w:val="000000"/>
          <w:sz w:val="26"/>
          <w:szCs w:val="26"/>
        </w:rPr>
        <w:t xml:space="preserve">accertata l’identità dei partecipanti e confermata la libera e volontaria partecipazione, anche al fine di garantire un trattamento dei dati personali pienamente consapevole. </w:t>
      </w:r>
    </w:p>
    <w:p w:rsidR="004E61CB" w:rsidRPr="00C15A2F" w:rsidRDefault="004E61CB" w:rsidP="008E2068">
      <w:pPr>
        <w:spacing w:after="0" w:line="360" w:lineRule="auto"/>
        <w:jc w:val="both"/>
        <w:rPr>
          <w:rFonts w:ascii="Times New Roman" w:hAnsi="Times New Roman" w:cs="Times New Roman"/>
          <w:color w:val="000000"/>
          <w:sz w:val="26"/>
          <w:szCs w:val="26"/>
        </w:rPr>
      </w:pPr>
      <w:r w:rsidRPr="00C15A2F">
        <w:rPr>
          <w:rFonts w:ascii="Times New Roman" w:hAnsi="Times New Roman" w:cs="Times New Roman"/>
          <w:color w:val="000000"/>
          <w:sz w:val="26"/>
          <w:szCs w:val="26"/>
        </w:rPr>
        <w:t>Si ritiene di segnalare la clausola di salvezza contenuta nella decretazione d’urgenza, che subordinava l’effettuazione dell’udienza anche a</w:t>
      </w:r>
      <w:r w:rsidR="006C1EB3" w:rsidRPr="00C15A2F">
        <w:rPr>
          <w:rFonts w:ascii="Times New Roman" w:hAnsi="Times New Roman" w:cs="Times New Roman"/>
          <w:color w:val="000000"/>
          <w:sz w:val="26"/>
          <w:szCs w:val="26"/>
        </w:rPr>
        <w:t>lle risorse effettivamente disponibili presso i singoli uffici e a una valutazione di funzionalità del sistema informatico</w:t>
      </w:r>
      <w:r w:rsidRPr="00C15A2F">
        <w:rPr>
          <w:rFonts w:ascii="Times New Roman" w:hAnsi="Times New Roman" w:cs="Times New Roman"/>
          <w:color w:val="000000"/>
          <w:sz w:val="26"/>
          <w:szCs w:val="26"/>
        </w:rPr>
        <w:t xml:space="preserve">, tale da garantire che </w:t>
      </w:r>
      <w:r w:rsidR="006C1EB3" w:rsidRPr="00C15A2F">
        <w:rPr>
          <w:rFonts w:ascii="Times New Roman" w:hAnsi="Times New Roman" w:cs="Times New Roman"/>
          <w:color w:val="000000"/>
          <w:sz w:val="26"/>
          <w:szCs w:val="26"/>
        </w:rPr>
        <w:t>anche </w:t>
      </w:r>
      <w:r w:rsidR="006C1EB3" w:rsidRPr="00C15A2F">
        <w:rPr>
          <w:rStyle w:val="Enfasicorsivo"/>
          <w:rFonts w:ascii="Times New Roman" w:hAnsi="Times New Roman" w:cs="Times New Roman"/>
          <w:color w:val="000000"/>
          <w:sz w:val="26"/>
          <w:szCs w:val="26"/>
        </w:rPr>
        <w:t>da remoto, </w:t>
      </w:r>
      <w:r w:rsidR="006C1EB3" w:rsidRPr="00C15A2F">
        <w:rPr>
          <w:rFonts w:ascii="Times New Roman" w:hAnsi="Times New Roman" w:cs="Times New Roman"/>
          <w:color w:val="000000"/>
          <w:sz w:val="26"/>
          <w:szCs w:val="26"/>
        </w:rPr>
        <w:t xml:space="preserve">l’udienza </w:t>
      </w:r>
      <w:r w:rsidR="00985A90">
        <w:rPr>
          <w:rFonts w:ascii="Times New Roman" w:hAnsi="Times New Roman" w:cs="Times New Roman"/>
          <w:color w:val="000000"/>
          <w:sz w:val="26"/>
          <w:szCs w:val="26"/>
        </w:rPr>
        <w:t>fosse</w:t>
      </w:r>
      <w:r w:rsidR="006C1EB3" w:rsidRPr="00C15A2F">
        <w:rPr>
          <w:rFonts w:ascii="Times New Roman" w:hAnsi="Times New Roman" w:cs="Times New Roman"/>
          <w:color w:val="000000"/>
          <w:sz w:val="26"/>
          <w:szCs w:val="26"/>
        </w:rPr>
        <w:t xml:space="preserve"> pur sempre svolta con «</w:t>
      </w:r>
      <w:r w:rsidR="006C1EB3" w:rsidRPr="00C15A2F">
        <w:rPr>
          <w:rStyle w:val="Enfasicorsivo"/>
          <w:rFonts w:ascii="Times New Roman" w:hAnsi="Times New Roman" w:cs="Times New Roman"/>
          <w:bCs/>
          <w:color w:val="000000"/>
          <w:sz w:val="26"/>
          <w:szCs w:val="26"/>
        </w:rPr>
        <w:t>modalità idonee a salvaguardare il contraddittorio e l’effettiva partecipazione dei difensori</w:t>
      </w:r>
      <w:r w:rsidR="006C1EB3" w:rsidRPr="00C15A2F">
        <w:rPr>
          <w:rFonts w:ascii="Times New Roman" w:hAnsi="Times New Roman" w:cs="Times New Roman"/>
          <w:color w:val="000000"/>
          <w:sz w:val="26"/>
          <w:szCs w:val="26"/>
        </w:rPr>
        <w:t xml:space="preserve">». </w:t>
      </w:r>
    </w:p>
    <w:p w:rsidR="003B1646" w:rsidRPr="00C15A2F" w:rsidRDefault="00E742C0" w:rsidP="008E2068">
      <w:pPr>
        <w:spacing w:after="0" w:line="360" w:lineRule="auto"/>
        <w:jc w:val="both"/>
        <w:rPr>
          <w:rFonts w:ascii="Times New Roman" w:hAnsi="Times New Roman" w:cs="Times New Roman"/>
          <w:color w:val="000000"/>
          <w:sz w:val="26"/>
          <w:szCs w:val="26"/>
          <w:shd w:val="clear" w:color="auto" w:fill="FFFFFF"/>
        </w:rPr>
      </w:pPr>
      <w:r w:rsidRPr="00C15A2F">
        <w:rPr>
          <w:rFonts w:ascii="Times New Roman" w:hAnsi="Times New Roman" w:cs="Times New Roman"/>
          <w:color w:val="000000"/>
          <w:sz w:val="26"/>
          <w:szCs w:val="26"/>
        </w:rPr>
        <w:t>L</w:t>
      </w:r>
      <w:r w:rsidR="00406FB2" w:rsidRPr="00C15A2F">
        <w:rPr>
          <w:rFonts w:ascii="Times New Roman" w:hAnsi="Times New Roman" w:cs="Times New Roman"/>
          <w:sz w:val="26"/>
          <w:szCs w:val="26"/>
        </w:rPr>
        <w:t xml:space="preserve">’elevato livello di digitalizzazione della giustizia amministrativa, </w:t>
      </w:r>
      <w:r w:rsidRPr="00C15A2F">
        <w:rPr>
          <w:rFonts w:ascii="Times New Roman" w:hAnsi="Times New Roman" w:cs="Times New Roman"/>
          <w:sz w:val="26"/>
          <w:szCs w:val="26"/>
        </w:rPr>
        <w:t xml:space="preserve">in realtà, </w:t>
      </w:r>
      <w:r w:rsidR="00406FB2" w:rsidRPr="00C15A2F">
        <w:rPr>
          <w:rFonts w:ascii="Times New Roman" w:hAnsi="Times New Roman" w:cs="Times New Roman"/>
          <w:sz w:val="26"/>
          <w:szCs w:val="26"/>
        </w:rPr>
        <w:t xml:space="preserve">superiore a quello di quella ordinaria, conseguito anche all’introduzione nel nostro ordinamento del Processo amministrativo telematico (PAT, </w:t>
      </w:r>
      <w:r w:rsidR="00406FB2" w:rsidRPr="00C15A2F">
        <w:rPr>
          <w:rFonts w:ascii="Times New Roman" w:hAnsi="Times New Roman" w:cs="Times New Roman"/>
          <w:sz w:val="26"/>
          <w:szCs w:val="26"/>
          <w:lang w:val="it"/>
        </w:rPr>
        <w:t>che già prevedeva la piena digitalizzazione a partire da gennaio 2017 nella presentazione dei ricorsi, nella produzione e nello scambio di documenti da parte degli avvocati, nella redazione e pubblicazione delle sentenze e degli altri provvedimenti dei giudici)</w:t>
      </w:r>
      <w:r w:rsidR="00406FB2" w:rsidRPr="00C15A2F">
        <w:rPr>
          <w:rFonts w:ascii="Times New Roman" w:hAnsi="Times New Roman" w:cs="Times New Roman"/>
          <w:sz w:val="26"/>
          <w:szCs w:val="26"/>
        </w:rPr>
        <w:t xml:space="preserve"> ha determinato la piena tenuta del sistema, che ha perfino consentito di recuperare i rinvii disposti dal legislatore senza produrre alcun arretrato aggiuntivo.</w:t>
      </w:r>
      <w:r w:rsidR="003B1646" w:rsidRPr="00C15A2F">
        <w:rPr>
          <w:rFonts w:ascii="Times New Roman" w:hAnsi="Times New Roman" w:cs="Times New Roman"/>
          <w:sz w:val="26"/>
          <w:szCs w:val="26"/>
        </w:rPr>
        <w:t xml:space="preserve"> </w:t>
      </w:r>
      <w:r w:rsidR="003B1646" w:rsidRPr="00C15A2F">
        <w:rPr>
          <w:rFonts w:ascii="Times New Roman" w:hAnsi="Times New Roman" w:cs="Times New Roman"/>
          <w:color w:val="0F0F0F"/>
          <w:sz w:val="26"/>
          <w:szCs w:val="26"/>
        </w:rPr>
        <w:t>Ovviamente ogni fase è stata caratterizzata dall’adozione di direttive da parte del Presidente del Consiglio di Stato per garantire la omogeneizzazione interpretativa (due adottate nell’immediato dell’avvio della fase emergenziale, ovvero il 19 marzo 2020 e il 20 aprile 2020)</w:t>
      </w:r>
      <w:r w:rsidRPr="00C15A2F">
        <w:rPr>
          <w:rFonts w:ascii="Times New Roman" w:hAnsi="Times New Roman" w:cs="Times New Roman"/>
          <w:color w:val="0F0F0F"/>
          <w:sz w:val="26"/>
          <w:szCs w:val="26"/>
        </w:rPr>
        <w:t>,</w:t>
      </w:r>
      <w:r w:rsidR="003B1646" w:rsidRPr="00C15A2F">
        <w:rPr>
          <w:rFonts w:ascii="Times New Roman" w:hAnsi="Times New Roman" w:cs="Times New Roman"/>
          <w:color w:val="0F0F0F"/>
          <w:sz w:val="26"/>
          <w:szCs w:val="26"/>
        </w:rPr>
        <w:t xml:space="preserve"> nonché del Segretario generale (ben undici nei soli mesi di febbraio/marzo 2020), per la non banale necessità di conciliare il rispetto delle disposizioni sulla fruizione dello </w:t>
      </w:r>
      <w:proofErr w:type="spellStart"/>
      <w:r w:rsidR="003B1646" w:rsidRPr="00C15A2F">
        <w:rPr>
          <w:rFonts w:ascii="Times New Roman" w:hAnsi="Times New Roman" w:cs="Times New Roman"/>
          <w:i/>
          <w:color w:val="0F0F0F"/>
          <w:sz w:val="26"/>
          <w:szCs w:val="26"/>
        </w:rPr>
        <w:t>smart</w:t>
      </w:r>
      <w:proofErr w:type="spellEnd"/>
      <w:r w:rsidR="003B1646" w:rsidRPr="00C15A2F">
        <w:rPr>
          <w:rFonts w:ascii="Times New Roman" w:hAnsi="Times New Roman" w:cs="Times New Roman"/>
          <w:i/>
          <w:color w:val="0F0F0F"/>
          <w:sz w:val="26"/>
          <w:szCs w:val="26"/>
        </w:rPr>
        <w:t xml:space="preserve"> </w:t>
      </w:r>
      <w:proofErr w:type="spellStart"/>
      <w:r w:rsidR="003B1646" w:rsidRPr="00C15A2F">
        <w:rPr>
          <w:rFonts w:ascii="Times New Roman" w:hAnsi="Times New Roman" w:cs="Times New Roman"/>
          <w:i/>
          <w:color w:val="0F0F0F"/>
          <w:sz w:val="26"/>
          <w:szCs w:val="26"/>
        </w:rPr>
        <w:t>working</w:t>
      </w:r>
      <w:proofErr w:type="spellEnd"/>
      <w:r w:rsidR="003B1646" w:rsidRPr="00C15A2F">
        <w:rPr>
          <w:rFonts w:ascii="Times New Roman" w:hAnsi="Times New Roman" w:cs="Times New Roman"/>
          <w:color w:val="0F0F0F"/>
          <w:sz w:val="26"/>
          <w:szCs w:val="26"/>
        </w:rPr>
        <w:t xml:space="preserve">, disposte dalla Presidenza del Consiglio dei Ministri, Dipartimento della Funzione pubblica per tutto il pubblico impiego, con le esigenze di continuità dei servizi a supporto dei magistrati (si pensi alla possibilità di accedere ai documenti risalenti nel tempo e come tali non digitalizzati) ovvero dei difensori. </w:t>
      </w:r>
      <w:r w:rsidR="00406FB2" w:rsidRPr="00C15A2F">
        <w:rPr>
          <w:rFonts w:ascii="Times New Roman" w:hAnsi="Times New Roman" w:cs="Times New Roman"/>
          <w:sz w:val="26"/>
          <w:szCs w:val="26"/>
          <w:lang w:val="it"/>
        </w:rPr>
        <w:t>Il coinvolgimento con il mondo forense è stato garantito dalla firma di un protocollo d</w:t>
      </w:r>
      <w:r w:rsidRPr="00C15A2F">
        <w:rPr>
          <w:rFonts w:ascii="Times New Roman" w:hAnsi="Times New Roman" w:cs="Times New Roman"/>
          <w:sz w:val="26"/>
          <w:szCs w:val="26"/>
          <w:lang w:val="it"/>
        </w:rPr>
        <w:t>’</w:t>
      </w:r>
      <w:r w:rsidR="00406FB2" w:rsidRPr="00C15A2F">
        <w:rPr>
          <w:rFonts w:ascii="Times New Roman" w:hAnsi="Times New Roman" w:cs="Times New Roman"/>
          <w:sz w:val="26"/>
          <w:szCs w:val="26"/>
          <w:lang w:val="it"/>
        </w:rPr>
        <w:t>intesa tra la Giustizia Amministrativa, l</w:t>
      </w:r>
      <w:r w:rsidR="009D69AE" w:rsidRPr="00C15A2F">
        <w:rPr>
          <w:rFonts w:ascii="Times New Roman" w:hAnsi="Times New Roman" w:cs="Times New Roman"/>
          <w:sz w:val="26"/>
          <w:szCs w:val="26"/>
          <w:lang w:val="it"/>
        </w:rPr>
        <w:t>’</w:t>
      </w:r>
      <w:r w:rsidR="00406FB2" w:rsidRPr="00C15A2F">
        <w:rPr>
          <w:rFonts w:ascii="Times New Roman" w:hAnsi="Times New Roman" w:cs="Times New Roman"/>
          <w:sz w:val="26"/>
          <w:szCs w:val="26"/>
          <w:lang w:val="it"/>
        </w:rPr>
        <w:t>Avvocato dello Stato, il Consiglio Nazionale degli Avvocati, le associazioni specializzate degli avvocati amministrativi, volto a far sì che i responsabili dell</w:t>
      </w:r>
      <w:r w:rsidR="000B48CA">
        <w:rPr>
          <w:rFonts w:ascii="Times New Roman" w:hAnsi="Times New Roman" w:cs="Times New Roman"/>
          <w:sz w:val="26"/>
          <w:szCs w:val="26"/>
          <w:lang w:val="it"/>
        </w:rPr>
        <w:t>’</w:t>
      </w:r>
      <w:r w:rsidR="00406FB2" w:rsidRPr="00C15A2F">
        <w:rPr>
          <w:rFonts w:ascii="Times New Roman" w:hAnsi="Times New Roman" w:cs="Times New Roman"/>
          <w:sz w:val="26"/>
          <w:szCs w:val="26"/>
          <w:lang w:val="it"/>
        </w:rPr>
        <w:t xml:space="preserve">udienza </w:t>
      </w:r>
      <w:r w:rsidR="00406FB2" w:rsidRPr="000B48CA">
        <w:rPr>
          <w:rFonts w:ascii="Times New Roman" w:hAnsi="Times New Roman" w:cs="Times New Roman"/>
          <w:i/>
          <w:sz w:val="26"/>
          <w:szCs w:val="26"/>
          <w:lang w:val="it"/>
        </w:rPr>
        <w:t>online</w:t>
      </w:r>
      <w:r w:rsidR="00406FB2" w:rsidRPr="00C15A2F">
        <w:rPr>
          <w:rFonts w:ascii="Times New Roman" w:hAnsi="Times New Roman" w:cs="Times New Roman"/>
          <w:sz w:val="26"/>
          <w:szCs w:val="26"/>
          <w:lang w:val="it"/>
        </w:rPr>
        <w:t xml:space="preserve">, secondo i principi di cooperazione e lealtà procedurale, affrontassero </w:t>
      </w:r>
      <w:r w:rsidRPr="00C15A2F">
        <w:rPr>
          <w:rFonts w:ascii="Times New Roman" w:hAnsi="Times New Roman" w:cs="Times New Roman"/>
          <w:sz w:val="26"/>
          <w:szCs w:val="26"/>
          <w:lang w:val="it"/>
        </w:rPr>
        <w:t>“</w:t>
      </w:r>
      <w:r w:rsidR="00406FB2" w:rsidRPr="00C15A2F">
        <w:rPr>
          <w:rFonts w:ascii="Times New Roman" w:hAnsi="Times New Roman" w:cs="Times New Roman"/>
          <w:sz w:val="26"/>
          <w:szCs w:val="26"/>
          <w:lang w:val="it"/>
        </w:rPr>
        <w:t>urgentemente</w:t>
      </w:r>
      <w:r w:rsidRPr="00C15A2F">
        <w:rPr>
          <w:rFonts w:ascii="Times New Roman" w:hAnsi="Times New Roman" w:cs="Times New Roman"/>
          <w:sz w:val="26"/>
          <w:szCs w:val="26"/>
          <w:lang w:val="it"/>
        </w:rPr>
        <w:t>”</w:t>
      </w:r>
      <w:r w:rsidR="00406FB2" w:rsidRPr="00C15A2F">
        <w:rPr>
          <w:rFonts w:ascii="Times New Roman" w:hAnsi="Times New Roman" w:cs="Times New Roman"/>
          <w:sz w:val="26"/>
          <w:szCs w:val="26"/>
          <w:lang w:val="it"/>
        </w:rPr>
        <w:t xml:space="preserve"> questa fase processuale nel giusto spirito. </w:t>
      </w:r>
      <w:r w:rsidR="009D69AE" w:rsidRPr="00C15A2F">
        <w:rPr>
          <w:rFonts w:ascii="Times New Roman" w:hAnsi="Times New Roman" w:cs="Times New Roman"/>
          <w:sz w:val="26"/>
          <w:szCs w:val="26"/>
        </w:rPr>
        <w:t>Le modalità di svolgimento dell’udienza da remoto</w:t>
      </w:r>
      <w:r w:rsidR="00F52095">
        <w:rPr>
          <w:rFonts w:ascii="Times New Roman" w:hAnsi="Times New Roman" w:cs="Times New Roman"/>
          <w:sz w:val="26"/>
          <w:szCs w:val="26"/>
        </w:rPr>
        <w:t>, per come sopra sommariamente descritte,</w:t>
      </w:r>
      <w:r w:rsidR="009D69AE" w:rsidRPr="00C15A2F">
        <w:rPr>
          <w:rFonts w:ascii="Times New Roman" w:hAnsi="Times New Roman" w:cs="Times New Roman"/>
          <w:sz w:val="26"/>
          <w:szCs w:val="26"/>
        </w:rPr>
        <w:t xml:space="preserve"> sono state codificate “a regime” in vista di potenziali, futuri utilizzi, inserendo l’art. 13 </w:t>
      </w:r>
      <w:r w:rsidR="000B48CA">
        <w:rPr>
          <w:rFonts w:ascii="Times New Roman" w:hAnsi="Times New Roman" w:cs="Times New Roman"/>
          <w:sz w:val="26"/>
          <w:szCs w:val="26"/>
        </w:rPr>
        <w:t>quater</w:t>
      </w:r>
      <w:r w:rsidR="009D69AE" w:rsidRPr="00C15A2F">
        <w:rPr>
          <w:rFonts w:ascii="Times New Roman" w:hAnsi="Times New Roman" w:cs="Times New Roman"/>
          <w:sz w:val="26"/>
          <w:szCs w:val="26"/>
        </w:rPr>
        <w:t xml:space="preserve"> nell’allegato 2 al </w:t>
      </w:r>
      <w:proofErr w:type="spellStart"/>
      <w:r w:rsidR="009D69AE" w:rsidRPr="00C15A2F">
        <w:rPr>
          <w:rFonts w:ascii="Times New Roman" w:hAnsi="Times New Roman" w:cs="Times New Roman"/>
          <w:sz w:val="26"/>
          <w:szCs w:val="26"/>
        </w:rPr>
        <w:t>c.p.a</w:t>
      </w:r>
      <w:proofErr w:type="spellEnd"/>
      <w:r w:rsidR="009D69AE" w:rsidRPr="00C15A2F">
        <w:rPr>
          <w:rFonts w:ascii="Times New Roman" w:hAnsi="Times New Roman" w:cs="Times New Roman"/>
          <w:sz w:val="26"/>
          <w:szCs w:val="26"/>
        </w:rPr>
        <w:t xml:space="preserve">. (da parte del </w:t>
      </w:r>
      <w:r w:rsidR="000B48CA">
        <w:rPr>
          <w:rFonts w:ascii="Times New Roman" w:hAnsi="Times New Roman" w:cs="Times New Roman"/>
          <w:sz w:val="26"/>
          <w:szCs w:val="26"/>
        </w:rPr>
        <w:t xml:space="preserve">già ricordato </w:t>
      </w:r>
      <w:proofErr w:type="spellStart"/>
      <w:r w:rsidR="009D69AE" w:rsidRPr="00C15A2F">
        <w:rPr>
          <w:rFonts w:ascii="Times New Roman" w:hAnsi="Times New Roman" w:cs="Times New Roman"/>
          <w:sz w:val="26"/>
          <w:szCs w:val="26"/>
        </w:rPr>
        <w:t>d.l.</w:t>
      </w:r>
      <w:proofErr w:type="spellEnd"/>
      <w:r w:rsidR="009D69AE" w:rsidRPr="00C15A2F">
        <w:rPr>
          <w:rFonts w:ascii="Times New Roman" w:hAnsi="Times New Roman" w:cs="Times New Roman"/>
          <w:sz w:val="26"/>
          <w:szCs w:val="26"/>
        </w:rPr>
        <w:t xml:space="preserve"> n. 80 del 2021). </w:t>
      </w:r>
    </w:p>
    <w:p w:rsidR="003011E4" w:rsidRPr="00C15A2F" w:rsidRDefault="003B1646" w:rsidP="008E2068">
      <w:pPr>
        <w:spacing w:after="0" w:line="360" w:lineRule="auto"/>
        <w:jc w:val="both"/>
        <w:rPr>
          <w:rFonts w:ascii="Times New Roman" w:hAnsi="Times New Roman" w:cs="Times New Roman"/>
          <w:color w:val="383841"/>
          <w:sz w:val="26"/>
          <w:szCs w:val="26"/>
        </w:rPr>
      </w:pPr>
      <w:r w:rsidRPr="00C15A2F">
        <w:rPr>
          <w:rFonts w:ascii="Times New Roman" w:hAnsi="Times New Roman" w:cs="Times New Roman"/>
          <w:color w:val="000000"/>
          <w:sz w:val="26"/>
          <w:szCs w:val="26"/>
          <w:shd w:val="clear" w:color="auto" w:fill="FFFFFF"/>
        </w:rPr>
        <w:t>Anche per il corretto avvio d</w:t>
      </w:r>
      <w:r w:rsidR="00E742C0" w:rsidRPr="00C15A2F">
        <w:rPr>
          <w:rFonts w:ascii="Times New Roman" w:hAnsi="Times New Roman" w:cs="Times New Roman"/>
          <w:color w:val="000000"/>
          <w:sz w:val="26"/>
          <w:szCs w:val="26"/>
          <w:shd w:val="clear" w:color="auto" w:fill="FFFFFF"/>
        </w:rPr>
        <w:t>ella  f</w:t>
      </w:r>
      <w:r w:rsidRPr="00C15A2F">
        <w:rPr>
          <w:rFonts w:ascii="Times New Roman" w:hAnsi="Times New Roman" w:cs="Times New Roman"/>
          <w:color w:val="000000"/>
          <w:sz w:val="26"/>
          <w:szCs w:val="26"/>
          <w:shd w:val="clear" w:color="auto" w:fill="FFFFFF"/>
        </w:rPr>
        <w:t>ase di “normalizzazione”</w:t>
      </w:r>
      <w:r w:rsidR="000B48CA">
        <w:rPr>
          <w:rFonts w:ascii="Times New Roman" w:hAnsi="Times New Roman" w:cs="Times New Roman"/>
          <w:color w:val="000000"/>
          <w:sz w:val="26"/>
          <w:szCs w:val="26"/>
          <w:shd w:val="clear" w:color="auto" w:fill="FFFFFF"/>
        </w:rPr>
        <w:t>,</w:t>
      </w:r>
      <w:r w:rsidRPr="00C15A2F">
        <w:rPr>
          <w:rFonts w:ascii="Times New Roman" w:hAnsi="Times New Roman" w:cs="Times New Roman"/>
          <w:color w:val="000000"/>
          <w:sz w:val="26"/>
          <w:szCs w:val="26"/>
          <w:shd w:val="clear" w:color="auto" w:fill="FFFFFF"/>
        </w:rPr>
        <w:t xml:space="preserve"> il 20 luglio </w:t>
      </w:r>
      <w:r w:rsidR="00F52095">
        <w:rPr>
          <w:rFonts w:ascii="Times New Roman" w:hAnsi="Times New Roman" w:cs="Times New Roman"/>
          <w:color w:val="000000"/>
          <w:sz w:val="26"/>
          <w:szCs w:val="26"/>
          <w:shd w:val="clear" w:color="auto" w:fill="FFFFFF"/>
        </w:rPr>
        <w:t xml:space="preserve">2021 </w:t>
      </w:r>
      <w:r w:rsidR="003011E4" w:rsidRPr="00C15A2F">
        <w:rPr>
          <w:rFonts w:ascii="Times New Roman" w:hAnsi="Times New Roman" w:cs="Times New Roman"/>
          <w:color w:val="383841"/>
          <w:sz w:val="26"/>
          <w:szCs w:val="26"/>
          <w:shd w:val="clear" w:color="auto" w:fill="FFFFFF"/>
        </w:rPr>
        <w:t xml:space="preserve">è stato sottoscritto </w:t>
      </w:r>
      <w:r w:rsidR="00E742C0" w:rsidRPr="00C15A2F">
        <w:rPr>
          <w:rFonts w:ascii="Times New Roman" w:hAnsi="Times New Roman" w:cs="Times New Roman"/>
          <w:color w:val="383841"/>
          <w:sz w:val="26"/>
          <w:szCs w:val="26"/>
          <w:shd w:val="clear" w:color="auto" w:fill="FFFFFF"/>
        </w:rPr>
        <w:t>un</w:t>
      </w:r>
      <w:r w:rsidR="00C15A2F">
        <w:rPr>
          <w:rFonts w:ascii="Times New Roman" w:hAnsi="Times New Roman" w:cs="Times New Roman"/>
          <w:b/>
          <w:color w:val="383841"/>
          <w:sz w:val="26"/>
          <w:szCs w:val="26"/>
          <w:shd w:val="clear" w:color="auto" w:fill="FFFFFF"/>
        </w:rPr>
        <w:t xml:space="preserve"> </w:t>
      </w:r>
      <w:r w:rsidR="003011E4" w:rsidRPr="00C15A2F">
        <w:rPr>
          <w:rStyle w:val="Enfasigrassetto"/>
          <w:rFonts w:ascii="Times New Roman" w:hAnsi="Times New Roman" w:cs="Times New Roman"/>
          <w:b w:val="0"/>
          <w:color w:val="383841"/>
          <w:sz w:val="26"/>
          <w:szCs w:val="26"/>
          <w:shd w:val="clear" w:color="auto" w:fill="FFFFFF"/>
        </w:rPr>
        <w:t>protocollo d’intesa sullo svolgimento delle udienze e delle camere di consiglio “in presenza”</w:t>
      </w:r>
      <w:r w:rsidR="00EC5601" w:rsidRPr="00C15A2F">
        <w:rPr>
          <w:rStyle w:val="Enfasigrassetto"/>
          <w:rFonts w:ascii="Times New Roman" w:hAnsi="Times New Roman" w:cs="Times New Roman"/>
          <w:color w:val="383841"/>
          <w:sz w:val="26"/>
          <w:szCs w:val="26"/>
          <w:shd w:val="clear" w:color="auto" w:fill="FFFFFF"/>
        </w:rPr>
        <w:t xml:space="preserve"> </w:t>
      </w:r>
      <w:r w:rsidR="003011E4" w:rsidRPr="00C15A2F">
        <w:rPr>
          <w:rFonts w:ascii="Times New Roman" w:hAnsi="Times New Roman" w:cs="Times New Roman"/>
          <w:color w:val="383841"/>
          <w:sz w:val="26"/>
          <w:szCs w:val="26"/>
        </w:rPr>
        <w:t>dal </w:t>
      </w:r>
      <w:r w:rsidR="003011E4" w:rsidRPr="00C15A2F">
        <w:rPr>
          <w:rStyle w:val="Enfasicorsivo"/>
          <w:rFonts w:ascii="Times New Roman" w:hAnsi="Times New Roman" w:cs="Times New Roman"/>
          <w:i w:val="0"/>
          <w:color w:val="383841"/>
          <w:sz w:val="26"/>
          <w:szCs w:val="26"/>
        </w:rPr>
        <w:t>Presidente del Consiglio di Stato, Consiglio Nazionale Forense, Avvocatura dello Stato, Consiglio dell’Ordine degli Avvocati di Roma e Associazioni specialistiche degli avvocati amministrativi</w:t>
      </w:r>
      <w:r w:rsidR="00EC5601" w:rsidRPr="00C15A2F">
        <w:rPr>
          <w:rStyle w:val="Enfasicorsivo"/>
          <w:rFonts w:ascii="Times New Roman" w:hAnsi="Times New Roman" w:cs="Times New Roman"/>
          <w:i w:val="0"/>
          <w:color w:val="383841"/>
          <w:sz w:val="26"/>
          <w:szCs w:val="26"/>
        </w:rPr>
        <w:t xml:space="preserve">, </w:t>
      </w:r>
      <w:r w:rsidR="00F52095">
        <w:rPr>
          <w:rStyle w:val="Enfasicorsivo"/>
          <w:rFonts w:ascii="Times New Roman" w:hAnsi="Times New Roman" w:cs="Times New Roman"/>
          <w:i w:val="0"/>
          <w:color w:val="383841"/>
          <w:sz w:val="26"/>
          <w:szCs w:val="26"/>
        </w:rPr>
        <w:t xml:space="preserve">al dichiarato </w:t>
      </w:r>
      <w:r w:rsidR="00E742C0" w:rsidRPr="00C15A2F">
        <w:rPr>
          <w:rStyle w:val="Enfasicorsivo"/>
          <w:rFonts w:ascii="Times New Roman" w:hAnsi="Times New Roman" w:cs="Times New Roman"/>
          <w:i w:val="0"/>
          <w:color w:val="383841"/>
          <w:sz w:val="26"/>
          <w:szCs w:val="26"/>
        </w:rPr>
        <w:t xml:space="preserve">fine di individuare </w:t>
      </w:r>
      <w:r w:rsidR="00F35BA9" w:rsidRPr="00F35BA9">
        <w:rPr>
          <w:rFonts w:ascii="Times New Roman" w:hAnsi="Times New Roman" w:cs="Times New Roman"/>
          <w:sz w:val="24"/>
          <w:szCs w:val="24"/>
        </w:rPr>
        <w:t>le migliori pratiche e ricercare congiuntamente soluzioni organizzative di buon senso</w:t>
      </w:r>
      <w:r w:rsidR="00F35BA9" w:rsidRPr="00F35BA9">
        <w:rPr>
          <w:rStyle w:val="Enfasicorsivo"/>
          <w:rFonts w:ascii="Times New Roman" w:hAnsi="Times New Roman" w:cs="Times New Roman"/>
          <w:i w:val="0"/>
          <w:color w:val="383841"/>
          <w:sz w:val="24"/>
          <w:szCs w:val="24"/>
        </w:rPr>
        <w:t xml:space="preserve"> </w:t>
      </w:r>
      <w:r w:rsidR="00E742C0" w:rsidRPr="00F35BA9">
        <w:rPr>
          <w:rStyle w:val="Enfasicorsivo"/>
          <w:rFonts w:ascii="Times New Roman" w:hAnsi="Times New Roman" w:cs="Times New Roman"/>
          <w:i w:val="0"/>
          <w:color w:val="383841"/>
          <w:sz w:val="24"/>
          <w:szCs w:val="24"/>
        </w:rPr>
        <w:t xml:space="preserve">per </w:t>
      </w:r>
      <w:r w:rsidR="003011E4" w:rsidRPr="00F35BA9">
        <w:rPr>
          <w:rStyle w:val="Enfasigrassetto"/>
          <w:rFonts w:ascii="Times New Roman" w:hAnsi="Times New Roman" w:cs="Times New Roman"/>
          <w:b w:val="0"/>
          <w:color w:val="383841"/>
          <w:sz w:val="24"/>
          <w:szCs w:val="24"/>
        </w:rPr>
        <w:t>svolgere in</w:t>
      </w:r>
      <w:r w:rsidR="003011E4" w:rsidRPr="00C15A2F">
        <w:rPr>
          <w:rStyle w:val="Enfasigrassetto"/>
          <w:rFonts w:ascii="Times New Roman" w:hAnsi="Times New Roman" w:cs="Times New Roman"/>
          <w:b w:val="0"/>
          <w:color w:val="383841"/>
          <w:sz w:val="26"/>
          <w:szCs w:val="26"/>
        </w:rPr>
        <w:t xml:space="preserve"> completa sicurezza udienze pubbliche e camerali</w:t>
      </w:r>
      <w:r w:rsidR="00E742C0" w:rsidRPr="00C15A2F">
        <w:rPr>
          <w:rStyle w:val="Enfasigrassetto"/>
          <w:rFonts w:ascii="Times New Roman" w:hAnsi="Times New Roman" w:cs="Times New Roman"/>
          <w:b w:val="0"/>
          <w:color w:val="383841"/>
          <w:sz w:val="26"/>
          <w:szCs w:val="26"/>
        </w:rPr>
        <w:t xml:space="preserve">. </w:t>
      </w:r>
      <w:r w:rsidR="00EC5601" w:rsidRPr="00C15A2F">
        <w:rPr>
          <w:rFonts w:ascii="Times New Roman" w:hAnsi="Times New Roman" w:cs="Times New Roman"/>
          <w:color w:val="383841"/>
          <w:sz w:val="26"/>
          <w:szCs w:val="26"/>
        </w:rPr>
        <w:t>Sono pertanto state soppresse le c.d. “</w:t>
      </w:r>
      <w:r w:rsidR="003011E4" w:rsidRPr="00C15A2F">
        <w:rPr>
          <w:rFonts w:ascii="Times New Roman" w:hAnsi="Times New Roman" w:cs="Times New Roman"/>
          <w:color w:val="383841"/>
          <w:sz w:val="26"/>
          <w:szCs w:val="26"/>
        </w:rPr>
        <w:t>chiamate preliminari</w:t>
      </w:r>
      <w:r w:rsidR="00EC5601" w:rsidRPr="00C15A2F">
        <w:rPr>
          <w:rFonts w:ascii="Times New Roman" w:hAnsi="Times New Roman" w:cs="Times New Roman"/>
          <w:color w:val="383841"/>
          <w:sz w:val="26"/>
          <w:szCs w:val="26"/>
        </w:rPr>
        <w:t>” (una sorta di appello delle cause iscritte a ruolo per quell’udienza)</w:t>
      </w:r>
      <w:r w:rsidR="003011E4" w:rsidRPr="00C15A2F">
        <w:rPr>
          <w:rFonts w:ascii="Times New Roman" w:hAnsi="Times New Roman" w:cs="Times New Roman"/>
          <w:color w:val="383841"/>
          <w:sz w:val="26"/>
          <w:szCs w:val="26"/>
        </w:rPr>
        <w:t xml:space="preserve"> e </w:t>
      </w:r>
      <w:r w:rsidR="000B48CA">
        <w:rPr>
          <w:rFonts w:ascii="Times New Roman" w:hAnsi="Times New Roman" w:cs="Times New Roman"/>
          <w:color w:val="383841"/>
          <w:sz w:val="26"/>
          <w:szCs w:val="26"/>
        </w:rPr>
        <w:t xml:space="preserve">limitata </w:t>
      </w:r>
      <w:r w:rsidR="003011E4" w:rsidRPr="00C15A2F">
        <w:rPr>
          <w:rFonts w:ascii="Times New Roman" w:hAnsi="Times New Roman" w:cs="Times New Roman"/>
          <w:color w:val="383841"/>
          <w:sz w:val="26"/>
          <w:szCs w:val="26"/>
        </w:rPr>
        <w:t>la presenza degli avvocati nelle sale d’attesa e nelle aule</w:t>
      </w:r>
      <w:r w:rsidR="000B48CA">
        <w:rPr>
          <w:rFonts w:ascii="Times New Roman" w:hAnsi="Times New Roman" w:cs="Times New Roman"/>
          <w:color w:val="383841"/>
          <w:sz w:val="26"/>
          <w:szCs w:val="26"/>
        </w:rPr>
        <w:t xml:space="preserve">. </w:t>
      </w:r>
      <w:r w:rsidR="00EC5601" w:rsidRPr="00C15A2F">
        <w:rPr>
          <w:rFonts w:ascii="Times New Roman" w:hAnsi="Times New Roman" w:cs="Times New Roman"/>
          <w:color w:val="383841"/>
          <w:sz w:val="26"/>
          <w:szCs w:val="26"/>
        </w:rPr>
        <w:t>S</w:t>
      </w:r>
      <w:r w:rsidR="003011E4" w:rsidRPr="00C15A2F">
        <w:rPr>
          <w:rFonts w:ascii="Times New Roman" w:hAnsi="Times New Roman" w:cs="Times New Roman"/>
          <w:color w:val="383841"/>
          <w:sz w:val="26"/>
          <w:szCs w:val="26"/>
        </w:rPr>
        <w:t xml:space="preserve">i può </w:t>
      </w:r>
      <w:r w:rsidR="00EC5601" w:rsidRPr="00C15A2F">
        <w:rPr>
          <w:rFonts w:ascii="Times New Roman" w:hAnsi="Times New Roman" w:cs="Times New Roman"/>
          <w:color w:val="383841"/>
          <w:sz w:val="26"/>
          <w:szCs w:val="26"/>
        </w:rPr>
        <w:t xml:space="preserve">ancora </w:t>
      </w:r>
      <w:r w:rsidR="003011E4" w:rsidRPr="00C15A2F">
        <w:rPr>
          <w:rFonts w:ascii="Times New Roman" w:hAnsi="Times New Roman" w:cs="Times New Roman"/>
          <w:color w:val="383841"/>
          <w:sz w:val="26"/>
          <w:szCs w:val="26"/>
        </w:rPr>
        <w:t>richiedere il passaggio in decisione della causa senza discussione preventiva</w:t>
      </w:r>
      <w:r w:rsidR="00EC5601" w:rsidRPr="00C15A2F">
        <w:rPr>
          <w:rFonts w:ascii="Times New Roman" w:hAnsi="Times New Roman" w:cs="Times New Roman"/>
          <w:color w:val="383841"/>
          <w:sz w:val="26"/>
          <w:szCs w:val="26"/>
        </w:rPr>
        <w:t xml:space="preserve">, depositando </w:t>
      </w:r>
      <w:r w:rsidR="003011E4" w:rsidRPr="00C15A2F">
        <w:rPr>
          <w:rStyle w:val="Enfasigrassetto"/>
          <w:rFonts w:ascii="Times New Roman" w:hAnsi="Times New Roman" w:cs="Times New Roman"/>
          <w:b w:val="0"/>
          <w:color w:val="383841"/>
          <w:sz w:val="26"/>
          <w:szCs w:val="26"/>
        </w:rPr>
        <w:t xml:space="preserve">istanza fino alle 12.00 del </w:t>
      </w:r>
      <w:r w:rsidR="00144C04">
        <w:rPr>
          <w:rStyle w:val="Enfasigrassetto"/>
          <w:rFonts w:ascii="Times New Roman" w:hAnsi="Times New Roman" w:cs="Times New Roman"/>
          <w:b w:val="0"/>
          <w:color w:val="383841"/>
          <w:sz w:val="26"/>
          <w:szCs w:val="26"/>
        </w:rPr>
        <w:t xml:space="preserve">terzo </w:t>
      </w:r>
      <w:r w:rsidR="003011E4" w:rsidRPr="00C15A2F">
        <w:rPr>
          <w:rStyle w:val="Enfasigrassetto"/>
          <w:rFonts w:ascii="Times New Roman" w:hAnsi="Times New Roman" w:cs="Times New Roman"/>
          <w:b w:val="0"/>
          <w:color w:val="383841"/>
          <w:sz w:val="26"/>
          <w:szCs w:val="26"/>
        </w:rPr>
        <w:t xml:space="preserve">giorno </w:t>
      </w:r>
      <w:r w:rsidR="00F35BA9">
        <w:rPr>
          <w:rStyle w:val="Enfasigrassetto"/>
          <w:rFonts w:ascii="Times New Roman" w:hAnsi="Times New Roman" w:cs="Times New Roman"/>
          <w:b w:val="0"/>
          <w:color w:val="383841"/>
          <w:sz w:val="26"/>
          <w:szCs w:val="26"/>
        </w:rPr>
        <w:t xml:space="preserve">antecedente quello </w:t>
      </w:r>
      <w:r w:rsidR="003011E4" w:rsidRPr="00C15A2F">
        <w:rPr>
          <w:rStyle w:val="Enfasigrassetto"/>
          <w:rFonts w:ascii="Times New Roman" w:hAnsi="Times New Roman" w:cs="Times New Roman"/>
          <w:b w:val="0"/>
          <w:color w:val="383841"/>
          <w:sz w:val="26"/>
          <w:szCs w:val="26"/>
        </w:rPr>
        <w:t>dell’udienza</w:t>
      </w:r>
      <w:r w:rsidR="00E742C0" w:rsidRPr="00C15A2F">
        <w:rPr>
          <w:rStyle w:val="Enfasigrassetto"/>
          <w:rFonts w:ascii="Times New Roman" w:hAnsi="Times New Roman" w:cs="Times New Roman"/>
          <w:b w:val="0"/>
          <w:color w:val="383841"/>
          <w:sz w:val="26"/>
          <w:szCs w:val="26"/>
        </w:rPr>
        <w:t xml:space="preserve"> </w:t>
      </w:r>
      <w:r w:rsidR="00144C04">
        <w:rPr>
          <w:rStyle w:val="Enfasigrassetto"/>
          <w:rFonts w:ascii="Times New Roman" w:hAnsi="Times New Roman" w:cs="Times New Roman"/>
          <w:b w:val="0"/>
          <w:color w:val="383841"/>
          <w:sz w:val="26"/>
          <w:szCs w:val="26"/>
        </w:rPr>
        <w:t>(</w:t>
      </w:r>
      <w:r w:rsidR="00F35BA9">
        <w:rPr>
          <w:rStyle w:val="Enfasigrassetto"/>
          <w:rFonts w:ascii="Times New Roman" w:hAnsi="Times New Roman" w:cs="Times New Roman"/>
          <w:b w:val="0"/>
          <w:color w:val="383841"/>
          <w:sz w:val="26"/>
          <w:szCs w:val="26"/>
        </w:rPr>
        <w:t xml:space="preserve">v. ancora </w:t>
      </w:r>
      <w:r w:rsidR="00144C04">
        <w:rPr>
          <w:rStyle w:val="Enfasigrassetto"/>
          <w:rFonts w:ascii="Times New Roman" w:hAnsi="Times New Roman" w:cs="Times New Roman"/>
          <w:b w:val="0"/>
          <w:color w:val="383841"/>
          <w:sz w:val="26"/>
          <w:szCs w:val="26"/>
        </w:rPr>
        <w:t xml:space="preserve">art. 13-quater dell’allegato 2 al </w:t>
      </w:r>
      <w:proofErr w:type="spellStart"/>
      <w:r w:rsidR="00144C04">
        <w:rPr>
          <w:rStyle w:val="Enfasigrassetto"/>
          <w:rFonts w:ascii="Times New Roman" w:hAnsi="Times New Roman" w:cs="Times New Roman"/>
          <w:b w:val="0"/>
          <w:color w:val="383841"/>
          <w:sz w:val="26"/>
          <w:szCs w:val="26"/>
        </w:rPr>
        <w:t>c.p.a</w:t>
      </w:r>
      <w:proofErr w:type="spellEnd"/>
      <w:r w:rsidR="00144C04">
        <w:rPr>
          <w:rStyle w:val="Enfasigrassetto"/>
          <w:rFonts w:ascii="Times New Roman" w:hAnsi="Times New Roman" w:cs="Times New Roman"/>
          <w:b w:val="0"/>
          <w:color w:val="383841"/>
          <w:sz w:val="26"/>
          <w:szCs w:val="26"/>
        </w:rPr>
        <w:t xml:space="preserve">.) </w:t>
      </w:r>
      <w:r w:rsidR="00E742C0" w:rsidRPr="00C15A2F">
        <w:rPr>
          <w:rStyle w:val="Enfasigrassetto"/>
          <w:rFonts w:ascii="Times New Roman" w:hAnsi="Times New Roman" w:cs="Times New Roman"/>
          <w:b w:val="0"/>
          <w:color w:val="383841"/>
          <w:sz w:val="26"/>
          <w:szCs w:val="26"/>
        </w:rPr>
        <w:t>e a quel punto la causa sarà</w:t>
      </w:r>
      <w:r w:rsidR="003011E4" w:rsidRPr="00C15A2F">
        <w:rPr>
          <w:rFonts w:ascii="Times New Roman" w:hAnsi="Times New Roman" w:cs="Times New Roman"/>
          <w:color w:val="383841"/>
          <w:sz w:val="26"/>
          <w:szCs w:val="26"/>
        </w:rPr>
        <w:t xml:space="preserve"> chiamat</w:t>
      </w:r>
      <w:r w:rsidR="00E742C0" w:rsidRPr="00C15A2F">
        <w:rPr>
          <w:rFonts w:ascii="Times New Roman" w:hAnsi="Times New Roman" w:cs="Times New Roman"/>
          <w:color w:val="383841"/>
          <w:sz w:val="26"/>
          <w:szCs w:val="26"/>
        </w:rPr>
        <w:t>a “</w:t>
      </w:r>
      <w:r w:rsidR="003011E4" w:rsidRPr="00C15A2F">
        <w:rPr>
          <w:rFonts w:ascii="Times New Roman" w:hAnsi="Times New Roman" w:cs="Times New Roman"/>
          <w:color w:val="383841"/>
          <w:sz w:val="26"/>
          <w:szCs w:val="26"/>
        </w:rPr>
        <w:t>in coda</w:t>
      </w:r>
      <w:r w:rsidR="00E742C0" w:rsidRPr="00C15A2F">
        <w:rPr>
          <w:rFonts w:ascii="Times New Roman" w:hAnsi="Times New Roman" w:cs="Times New Roman"/>
          <w:color w:val="383841"/>
          <w:sz w:val="26"/>
          <w:szCs w:val="26"/>
        </w:rPr>
        <w:t>”</w:t>
      </w:r>
      <w:r w:rsidR="003011E4" w:rsidRPr="00C15A2F">
        <w:rPr>
          <w:rFonts w:ascii="Times New Roman" w:hAnsi="Times New Roman" w:cs="Times New Roman"/>
          <w:color w:val="383841"/>
          <w:sz w:val="26"/>
          <w:szCs w:val="26"/>
        </w:rPr>
        <w:t xml:space="preserve"> a quelle con discussione, </w:t>
      </w:r>
      <w:r w:rsidR="00F35BA9">
        <w:rPr>
          <w:rFonts w:ascii="Times New Roman" w:hAnsi="Times New Roman" w:cs="Times New Roman"/>
          <w:color w:val="383841"/>
          <w:sz w:val="26"/>
          <w:szCs w:val="26"/>
        </w:rPr>
        <w:t xml:space="preserve">dando atto a verbale </w:t>
      </w:r>
      <w:r w:rsidR="00E742C0" w:rsidRPr="00C15A2F">
        <w:rPr>
          <w:rFonts w:ascii="Times New Roman" w:hAnsi="Times New Roman" w:cs="Times New Roman"/>
          <w:color w:val="383841"/>
          <w:sz w:val="26"/>
          <w:szCs w:val="26"/>
        </w:rPr>
        <w:t>della richiesta</w:t>
      </w:r>
      <w:r w:rsidR="00F35BA9">
        <w:rPr>
          <w:rFonts w:ascii="Times New Roman" w:hAnsi="Times New Roman" w:cs="Times New Roman"/>
          <w:color w:val="383841"/>
          <w:sz w:val="26"/>
          <w:szCs w:val="26"/>
        </w:rPr>
        <w:t xml:space="preserve">. </w:t>
      </w:r>
      <w:r w:rsidR="00E742C0" w:rsidRPr="00C15A2F">
        <w:rPr>
          <w:rFonts w:ascii="Times New Roman" w:hAnsi="Times New Roman" w:cs="Times New Roman"/>
          <w:color w:val="383841"/>
          <w:sz w:val="26"/>
          <w:szCs w:val="26"/>
        </w:rPr>
        <w:t>L</w:t>
      </w:r>
      <w:r w:rsidR="003011E4" w:rsidRPr="00C15A2F">
        <w:rPr>
          <w:rFonts w:ascii="Times New Roman" w:hAnsi="Times New Roman" w:cs="Times New Roman"/>
          <w:color w:val="383841"/>
          <w:sz w:val="26"/>
          <w:szCs w:val="26"/>
        </w:rPr>
        <w:t xml:space="preserve">e udienze con discussione </w:t>
      </w:r>
      <w:r w:rsidR="000B48CA">
        <w:rPr>
          <w:rFonts w:ascii="Times New Roman" w:hAnsi="Times New Roman" w:cs="Times New Roman"/>
          <w:color w:val="383841"/>
          <w:sz w:val="26"/>
          <w:szCs w:val="26"/>
        </w:rPr>
        <w:t>-</w:t>
      </w:r>
      <w:r w:rsidR="003011E4" w:rsidRPr="00C15A2F">
        <w:rPr>
          <w:rFonts w:ascii="Times New Roman" w:hAnsi="Times New Roman" w:cs="Times New Roman"/>
          <w:color w:val="383841"/>
          <w:sz w:val="26"/>
          <w:szCs w:val="26"/>
        </w:rPr>
        <w:t xml:space="preserve"> di un’ora ciascuna- sono chiamate in fasce orarie distinte; l’elenco viene pubblicato il giorno prima dell’udienza sulla </w:t>
      </w:r>
      <w:r w:rsidR="003011E4" w:rsidRPr="00C15A2F">
        <w:rPr>
          <w:rFonts w:ascii="Times New Roman" w:hAnsi="Times New Roman" w:cs="Times New Roman"/>
          <w:i/>
          <w:color w:val="383841"/>
          <w:sz w:val="26"/>
          <w:szCs w:val="26"/>
        </w:rPr>
        <w:t>home</w:t>
      </w:r>
      <w:r w:rsidR="003011E4" w:rsidRPr="00C15A2F">
        <w:rPr>
          <w:rFonts w:ascii="Times New Roman" w:hAnsi="Times New Roman" w:cs="Times New Roman"/>
          <w:color w:val="383841"/>
          <w:sz w:val="26"/>
          <w:szCs w:val="26"/>
        </w:rPr>
        <w:t xml:space="preserve"> del sito della Giustizia Amministrativa</w:t>
      </w:r>
      <w:r w:rsidR="00EC5601" w:rsidRPr="00C15A2F">
        <w:rPr>
          <w:rFonts w:ascii="Times New Roman" w:hAnsi="Times New Roman" w:cs="Times New Roman"/>
          <w:color w:val="383841"/>
          <w:sz w:val="26"/>
          <w:szCs w:val="26"/>
        </w:rPr>
        <w:t xml:space="preserve">. </w:t>
      </w:r>
    </w:p>
    <w:p w:rsidR="000D6E8E" w:rsidRPr="00C15A2F" w:rsidRDefault="000D6E8E" w:rsidP="008E2068">
      <w:pPr>
        <w:spacing w:after="0" w:line="360" w:lineRule="auto"/>
        <w:jc w:val="both"/>
        <w:rPr>
          <w:rFonts w:ascii="Times New Roman" w:hAnsi="Times New Roman" w:cs="Times New Roman"/>
          <w:sz w:val="26"/>
          <w:szCs w:val="26"/>
          <w:lang w:val="fr-FR"/>
        </w:rPr>
      </w:pPr>
    </w:p>
    <w:p w:rsidR="003011E4" w:rsidRPr="00C15A2F" w:rsidRDefault="003011E4" w:rsidP="008E2068">
      <w:pPr>
        <w:pStyle w:val="Paragrafoelenco"/>
        <w:numPr>
          <w:ilvl w:val="0"/>
          <w:numId w:val="8"/>
        </w:numPr>
        <w:spacing w:after="0" w:line="360" w:lineRule="auto"/>
        <w:ind w:left="0" w:firstLine="0"/>
        <w:jc w:val="both"/>
        <w:rPr>
          <w:rFonts w:ascii="Times New Roman" w:hAnsi="Times New Roman" w:cs="Times New Roman"/>
          <w:sz w:val="26"/>
          <w:szCs w:val="26"/>
          <w:lang w:val="fr-FR"/>
        </w:rPr>
      </w:pPr>
      <w:r w:rsidRPr="00C15A2F">
        <w:rPr>
          <w:rFonts w:ascii="Times New Roman" w:hAnsi="Times New Roman" w:cs="Times New Roman"/>
          <w:b/>
          <w:sz w:val="26"/>
          <w:szCs w:val="26"/>
          <w:lang w:val="fr-FR"/>
        </w:rPr>
        <w:t xml:space="preserve">Il </w:t>
      </w:r>
      <w:proofErr w:type="spellStart"/>
      <w:r w:rsidRPr="00C15A2F">
        <w:rPr>
          <w:rFonts w:ascii="Times New Roman" w:hAnsi="Times New Roman" w:cs="Times New Roman"/>
          <w:b/>
          <w:sz w:val="26"/>
          <w:szCs w:val="26"/>
          <w:lang w:val="fr-FR"/>
        </w:rPr>
        <w:t>giudice</w:t>
      </w:r>
      <w:proofErr w:type="spellEnd"/>
      <w:r w:rsidRPr="00C15A2F">
        <w:rPr>
          <w:rFonts w:ascii="Times New Roman" w:hAnsi="Times New Roman" w:cs="Times New Roman"/>
          <w:b/>
          <w:sz w:val="26"/>
          <w:szCs w:val="26"/>
          <w:lang w:val="fr-FR"/>
        </w:rPr>
        <w:t xml:space="preserve"> </w:t>
      </w:r>
      <w:proofErr w:type="spellStart"/>
      <w:r w:rsidRPr="00C15A2F">
        <w:rPr>
          <w:rFonts w:ascii="Times New Roman" w:hAnsi="Times New Roman" w:cs="Times New Roman"/>
          <w:b/>
          <w:sz w:val="26"/>
          <w:szCs w:val="26"/>
          <w:lang w:val="fr-FR"/>
        </w:rPr>
        <w:t>amministrativo</w:t>
      </w:r>
      <w:proofErr w:type="spellEnd"/>
      <w:r w:rsidRPr="00C15A2F">
        <w:rPr>
          <w:rFonts w:ascii="Times New Roman" w:hAnsi="Times New Roman" w:cs="Times New Roman"/>
          <w:b/>
          <w:sz w:val="26"/>
          <w:szCs w:val="26"/>
          <w:lang w:val="fr-FR"/>
        </w:rPr>
        <w:t xml:space="preserve"> </w:t>
      </w:r>
      <w:r w:rsidR="00F35BA9">
        <w:rPr>
          <w:rFonts w:ascii="Times New Roman" w:hAnsi="Times New Roman" w:cs="Times New Roman"/>
          <w:b/>
          <w:sz w:val="26"/>
          <w:szCs w:val="26"/>
          <w:lang w:val="fr-FR"/>
        </w:rPr>
        <w:t>« </w:t>
      </w:r>
      <w:r w:rsidRPr="00C15A2F">
        <w:rPr>
          <w:rFonts w:ascii="Times New Roman" w:hAnsi="Times New Roman" w:cs="Times New Roman"/>
          <w:b/>
          <w:sz w:val="26"/>
          <w:szCs w:val="26"/>
          <w:lang w:val="fr-FR"/>
        </w:rPr>
        <w:t xml:space="preserve">mette </w:t>
      </w:r>
      <w:proofErr w:type="spellStart"/>
      <w:r w:rsidRPr="00C15A2F">
        <w:rPr>
          <w:rFonts w:ascii="Times New Roman" w:hAnsi="Times New Roman" w:cs="Times New Roman"/>
          <w:b/>
          <w:sz w:val="26"/>
          <w:szCs w:val="26"/>
          <w:lang w:val="fr-FR"/>
        </w:rPr>
        <w:t>ordine</w:t>
      </w:r>
      <w:proofErr w:type="spellEnd"/>
      <w:r w:rsidRPr="00C15A2F">
        <w:rPr>
          <w:rFonts w:ascii="Times New Roman" w:hAnsi="Times New Roman" w:cs="Times New Roman"/>
          <w:b/>
          <w:sz w:val="26"/>
          <w:szCs w:val="26"/>
          <w:lang w:val="fr-FR"/>
        </w:rPr>
        <w:t xml:space="preserve"> » fra le </w:t>
      </w:r>
      <w:proofErr w:type="spellStart"/>
      <w:r w:rsidRPr="00C15A2F">
        <w:rPr>
          <w:rFonts w:ascii="Times New Roman" w:hAnsi="Times New Roman" w:cs="Times New Roman"/>
          <w:b/>
          <w:sz w:val="26"/>
          <w:szCs w:val="26"/>
          <w:lang w:val="fr-FR"/>
        </w:rPr>
        <w:t>competenze</w:t>
      </w:r>
      <w:proofErr w:type="spellEnd"/>
      <w:r w:rsidRPr="00C15A2F">
        <w:rPr>
          <w:rFonts w:ascii="Times New Roman" w:hAnsi="Times New Roman" w:cs="Times New Roman"/>
          <w:b/>
          <w:sz w:val="26"/>
          <w:szCs w:val="26"/>
          <w:lang w:val="fr-FR"/>
        </w:rPr>
        <w:t xml:space="preserve"> </w:t>
      </w:r>
      <w:proofErr w:type="spellStart"/>
      <w:r w:rsidRPr="00C15A2F">
        <w:rPr>
          <w:rFonts w:ascii="Times New Roman" w:hAnsi="Times New Roman" w:cs="Times New Roman"/>
          <w:b/>
          <w:sz w:val="26"/>
          <w:szCs w:val="26"/>
          <w:lang w:val="fr-FR"/>
        </w:rPr>
        <w:t>nella</w:t>
      </w:r>
      <w:proofErr w:type="spellEnd"/>
      <w:r w:rsidRPr="00C15A2F">
        <w:rPr>
          <w:rFonts w:ascii="Times New Roman" w:hAnsi="Times New Roman" w:cs="Times New Roman"/>
          <w:b/>
          <w:sz w:val="26"/>
          <w:szCs w:val="26"/>
          <w:lang w:val="fr-FR"/>
        </w:rPr>
        <w:t xml:space="preserve"> </w:t>
      </w:r>
      <w:proofErr w:type="spellStart"/>
      <w:r w:rsidRPr="00C15A2F">
        <w:rPr>
          <w:rFonts w:ascii="Times New Roman" w:hAnsi="Times New Roman" w:cs="Times New Roman"/>
          <w:b/>
          <w:sz w:val="26"/>
          <w:szCs w:val="26"/>
          <w:lang w:val="fr-FR"/>
        </w:rPr>
        <w:t>gestione</w:t>
      </w:r>
      <w:proofErr w:type="spellEnd"/>
      <w:r w:rsidRPr="00C15A2F">
        <w:rPr>
          <w:rFonts w:ascii="Times New Roman" w:hAnsi="Times New Roman" w:cs="Times New Roman"/>
          <w:b/>
          <w:sz w:val="26"/>
          <w:szCs w:val="26"/>
          <w:lang w:val="fr-FR"/>
        </w:rPr>
        <w:t xml:space="preserve"> </w:t>
      </w:r>
      <w:proofErr w:type="spellStart"/>
      <w:r w:rsidRPr="00C15A2F">
        <w:rPr>
          <w:rFonts w:ascii="Times New Roman" w:hAnsi="Times New Roman" w:cs="Times New Roman"/>
          <w:b/>
          <w:sz w:val="26"/>
          <w:szCs w:val="26"/>
          <w:lang w:val="fr-FR"/>
        </w:rPr>
        <w:t>della</w:t>
      </w:r>
      <w:proofErr w:type="spellEnd"/>
      <w:r w:rsidRPr="00C15A2F">
        <w:rPr>
          <w:rFonts w:ascii="Times New Roman" w:hAnsi="Times New Roman" w:cs="Times New Roman"/>
          <w:b/>
          <w:sz w:val="26"/>
          <w:szCs w:val="26"/>
          <w:lang w:val="fr-FR"/>
        </w:rPr>
        <w:t xml:space="preserve"> </w:t>
      </w:r>
      <w:proofErr w:type="spellStart"/>
      <w:r w:rsidRPr="00C15A2F">
        <w:rPr>
          <w:rFonts w:ascii="Times New Roman" w:hAnsi="Times New Roman" w:cs="Times New Roman"/>
          <w:b/>
          <w:sz w:val="26"/>
          <w:szCs w:val="26"/>
          <w:lang w:val="fr-FR"/>
        </w:rPr>
        <w:t>pandemi</w:t>
      </w:r>
      <w:r w:rsidRPr="00B371A8">
        <w:rPr>
          <w:rFonts w:ascii="Times New Roman" w:hAnsi="Times New Roman" w:cs="Times New Roman"/>
          <w:b/>
          <w:sz w:val="26"/>
          <w:szCs w:val="26"/>
          <w:lang w:val="fr-FR"/>
        </w:rPr>
        <w:t>a</w:t>
      </w:r>
      <w:proofErr w:type="spellEnd"/>
      <w:r w:rsidRPr="00C15A2F">
        <w:rPr>
          <w:rFonts w:ascii="Times New Roman" w:hAnsi="Times New Roman" w:cs="Times New Roman"/>
          <w:sz w:val="26"/>
          <w:szCs w:val="26"/>
          <w:lang w:val="fr-FR"/>
        </w:rPr>
        <w:t xml:space="preserve">. </w:t>
      </w:r>
    </w:p>
    <w:p w:rsidR="00FE35BE" w:rsidRPr="00C15A2F" w:rsidRDefault="00C168D8" w:rsidP="008E2068">
      <w:pPr>
        <w:spacing w:after="0" w:line="360" w:lineRule="auto"/>
        <w:jc w:val="both"/>
        <w:rPr>
          <w:rFonts w:ascii="Times New Roman" w:hAnsi="Times New Roman" w:cs="Times New Roman"/>
          <w:sz w:val="26"/>
          <w:szCs w:val="26"/>
        </w:rPr>
      </w:pPr>
      <w:r w:rsidRPr="00C15A2F">
        <w:rPr>
          <w:rFonts w:ascii="Times New Roman" w:hAnsi="Times New Roman" w:cs="Times New Roman"/>
          <w:sz w:val="26"/>
          <w:szCs w:val="26"/>
        </w:rPr>
        <w:t>Il tema della gestione dell’emergenza sanitaria dovuta al Covid-19, da parte dello Stato e delle Regioni, ha suscitato un ampio dibattito sia nell’opinione pubblica che tra i politici e gli studiosi</w:t>
      </w:r>
      <w:r w:rsidR="00FE35BE" w:rsidRPr="00C15A2F">
        <w:rPr>
          <w:rFonts w:ascii="Times New Roman" w:hAnsi="Times New Roman" w:cs="Times New Roman"/>
          <w:sz w:val="26"/>
          <w:szCs w:val="26"/>
        </w:rPr>
        <w:t xml:space="preserve">, in particolare del </w:t>
      </w:r>
      <w:r w:rsidRPr="00C15A2F">
        <w:rPr>
          <w:rFonts w:ascii="Times New Roman" w:hAnsi="Times New Roman" w:cs="Times New Roman"/>
          <w:sz w:val="26"/>
          <w:szCs w:val="26"/>
        </w:rPr>
        <w:t xml:space="preserve">diritto costituzionale. </w:t>
      </w:r>
      <w:r w:rsidR="00FE35BE" w:rsidRPr="00C15A2F">
        <w:rPr>
          <w:rFonts w:ascii="Times New Roman" w:hAnsi="Times New Roman" w:cs="Times New Roman"/>
          <w:sz w:val="26"/>
          <w:szCs w:val="26"/>
        </w:rPr>
        <w:t>Non è questa la sede per approfondire le questioni scaturite dalla necessità di</w:t>
      </w:r>
      <w:r w:rsidR="000D6E8E" w:rsidRPr="00C15A2F">
        <w:rPr>
          <w:rFonts w:ascii="Times New Roman" w:hAnsi="Times New Roman" w:cs="Times New Roman"/>
          <w:sz w:val="26"/>
          <w:szCs w:val="26"/>
        </w:rPr>
        <w:t xml:space="preserve"> coordinare </w:t>
      </w:r>
      <w:r w:rsidR="009D69AE" w:rsidRPr="00C15A2F">
        <w:rPr>
          <w:rFonts w:ascii="Times New Roman" w:hAnsi="Times New Roman" w:cs="Times New Roman"/>
          <w:sz w:val="26"/>
          <w:szCs w:val="26"/>
        </w:rPr>
        <w:t xml:space="preserve">interventi ispirati da esigenze di </w:t>
      </w:r>
      <w:r w:rsidRPr="00C15A2F">
        <w:rPr>
          <w:rFonts w:ascii="Times New Roman" w:hAnsi="Times New Roman" w:cs="Times New Roman"/>
          <w:sz w:val="26"/>
          <w:szCs w:val="26"/>
        </w:rPr>
        <w:t>“tutela della salute”</w:t>
      </w:r>
      <w:r w:rsidR="009D69AE" w:rsidRPr="00C15A2F">
        <w:rPr>
          <w:rFonts w:ascii="Times New Roman" w:hAnsi="Times New Roman" w:cs="Times New Roman"/>
          <w:sz w:val="26"/>
          <w:szCs w:val="26"/>
        </w:rPr>
        <w:t xml:space="preserve">, materia ascritta </w:t>
      </w:r>
      <w:r w:rsidR="00FE35BE" w:rsidRPr="00C15A2F">
        <w:rPr>
          <w:rFonts w:ascii="Times New Roman" w:hAnsi="Times New Roman" w:cs="Times New Roman"/>
          <w:sz w:val="26"/>
          <w:szCs w:val="26"/>
        </w:rPr>
        <w:t xml:space="preserve">fra quelle di </w:t>
      </w:r>
      <w:r w:rsidRPr="00C15A2F">
        <w:rPr>
          <w:rFonts w:ascii="Times New Roman" w:hAnsi="Times New Roman" w:cs="Times New Roman"/>
          <w:sz w:val="26"/>
          <w:szCs w:val="26"/>
        </w:rPr>
        <w:t xml:space="preserve">competenza concorrente Stato-Regioni; </w:t>
      </w:r>
      <w:r w:rsidR="009D69AE" w:rsidRPr="00C15A2F">
        <w:rPr>
          <w:rFonts w:ascii="Times New Roman" w:hAnsi="Times New Roman" w:cs="Times New Roman"/>
          <w:sz w:val="26"/>
          <w:szCs w:val="26"/>
        </w:rPr>
        <w:t xml:space="preserve">ovvero di </w:t>
      </w:r>
      <w:r w:rsidRPr="00C15A2F">
        <w:rPr>
          <w:rFonts w:ascii="Times New Roman" w:hAnsi="Times New Roman" w:cs="Times New Roman"/>
          <w:sz w:val="26"/>
          <w:szCs w:val="26"/>
        </w:rPr>
        <w:t>“ordine pubblico e sicurezza”</w:t>
      </w:r>
      <w:r w:rsidR="00F35BA9">
        <w:rPr>
          <w:rFonts w:ascii="Times New Roman" w:hAnsi="Times New Roman" w:cs="Times New Roman"/>
          <w:sz w:val="26"/>
          <w:szCs w:val="26"/>
        </w:rPr>
        <w:t xml:space="preserve">, </w:t>
      </w:r>
      <w:r w:rsidR="009D69AE" w:rsidRPr="00C15A2F">
        <w:rPr>
          <w:rFonts w:ascii="Times New Roman" w:hAnsi="Times New Roman" w:cs="Times New Roman"/>
          <w:sz w:val="26"/>
          <w:szCs w:val="26"/>
        </w:rPr>
        <w:t>rientrant</w:t>
      </w:r>
      <w:r w:rsidR="00F35BA9">
        <w:rPr>
          <w:rFonts w:ascii="Times New Roman" w:hAnsi="Times New Roman" w:cs="Times New Roman"/>
          <w:sz w:val="26"/>
          <w:szCs w:val="26"/>
        </w:rPr>
        <w:t xml:space="preserve">e invece </w:t>
      </w:r>
      <w:r w:rsidR="00FE35BE" w:rsidRPr="00C15A2F">
        <w:rPr>
          <w:rFonts w:ascii="Times New Roman" w:hAnsi="Times New Roman" w:cs="Times New Roman"/>
          <w:sz w:val="26"/>
          <w:szCs w:val="26"/>
        </w:rPr>
        <w:t>nell’ambito d</w:t>
      </w:r>
      <w:r w:rsidR="009D69AE" w:rsidRPr="00C15A2F">
        <w:rPr>
          <w:rFonts w:ascii="Times New Roman" w:hAnsi="Times New Roman" w:cs="Times New Roman"/>
          <w:sz w:val="26"/>
          <w:szCs w:val="26"/>
        </w:rPr>
        <w:t xml:space="preserve">i quelle spettanti esclusivamente allo </w:t>
      </w:r>
      <w:r w:rsidRPr="00C15A2F">
        <w:rPr>
          <w:rFonts w:ascii="Times New Roman" w:hAnsi="Times New Roman" w:cs="Times New Roman"/>
          <w:sz w:val="26"/>
          <w:szCs w:val="26"/>
        </w:rPr>
        <w:t>Stato</w:t>
      </w:r>
      <w:r w:rsidR="00F35BA9">
        <w:rPr>
          <w:rFonts w:ascii="Times New Roman" w:hAnsi="Times New Roman" w:cs="Times New Roman"/>
          <w:sz w:val="26"/>
          <w:szCs w:val="26"/>
        </w:rPr>
        <w:t>, collocando entrambe sotto l’egida comune della “profil</w:t>
      </w:r>
      <w:r w:rsidR="00105F27">
        <w:rPr>
          <w:rFonts w:ascii="Times New Roman" w:hAnsi="Times New Roman" w:cs="Times New Roman"/>
          <w:sz w:val="26"/>
          <w:szCs w:val="26"/>
        </w:rPr>
        <w:t xml:space="preserve">assi internazionale” (v. Corte </w:t>
      </w:r>
      <w:proofErr w:type="spellStart"/>
      <w:r w:rsidR="00105F27">
        <w:rPr>
          <w:rFonts w:ascii="Times New Roman" w:hAnsi="Times New Roman" w:cs="Times New Roman"/>
          <w:sz w:val="26"/>
          <w:szCs w:val="26"/>
        </w:rPr>
        <w:t>C</w:t>
      </w:r>
      <w:r w:rsidR="00F35BA9">
        <w:rPr>
          <w:rFonts w:ascii="Times New Roman" w:hAnsi="Times New Roman" w:cs="Times New Roman"/>
          <w:sz w:val="26"/>
          <w:szCs w:val="26"/>
        </w:rPr>
        <w:t>ost</w:t>
      </w:r>
      <w:proofErr w:type="spellEnd"/>
      <w:r w:rsidR="00F35BA9">
        <w:rPr>
          <w:rFonts w:ascii="Times New Roman" w:hAnsi="Times New Roman" w:cs="Times New Roman"/>
          <w:sz w:val="26"/>
          <w:szCs w:val="26"/>
        </w:rPr>
        <w:t>., 12 marzo 2021, n. 37)</w:t>
      </w:r>
      <w:r w:rsidRPr="00C15A2F">
        <w:rPr>
          <w:rFonts w:ascii="Times New Roman" w:hAnsi="Times New Roman" w:cs="Times New Roman"/>
          <w:sz w:val="26"/>
          <w:szCs w:val="26"/>
        </w:rPr>
        <w:t xml:space="preserve">. </w:t>
      </w:r>
    </w:p>
    <w:p w:rsidR="00F35BA9" w:rsidRDefault="00F35BA9" w:rsidP="008E20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Certo è che s</w:t>
      </w:r>
      <w:r w:rsidR="00105F27">
        <w:rPr>
          <w:rFonts w:ascii="Times New Roman" w:hAnsi="Times New Roman" w:cs="Times New Roman"/>
          <w:sz w:val="26"/>
          <w:szCs w:val="26"/>
        </w:rPr>
        <w:t>p</w:t>
      </w:r>
      <w:r w:rsidR="00FE35BE" w:rsidRPr="00C15A2F">
        <w:rPr>
          <w:rFonts w:ascii="Times New Roman" w:hAnsi="Times New Roman" w:cs="Times New Roman"/>
          <w:sz w:val="26"/>
          <w:szCs w:val="26"/>
        </w:rPr>
        <w:t xml:space="preserve">esso i diversi livelli di governo del territorio interessati hanno agito </w:t>
      </w:r>
      <w:r>
        <w:rPr>
          <w:rFonts w:ascii="Times New Roman" w:hAnsi="Times New Roman" w:cs="Times New Roman"/>
          <w:sz w:val="26"/>
          <w:szCs w:val="26"/>
        </w:rPr>
        <w:t>utilizzando lo strumento delle</w:t>
      </w:r>
      <w:r w:rsidR="00FE35BE" w:rsidRPr="00C15A2F">
        <w:rPr>
          <w:rFonts w:ascii="Times New Roman" w:hAnsi="Times New Roman" w:cs="Times New Roman"/>
          <w:sz w:val="26"/>
          <w:szCs w:val="26"/>
        </w:rPr>
        <w:t xml:space="preserve"> </w:t>
      </w:r>
      <w:r w:rsidR="00C168D8" w:rsidRPr="00C15A2F">
        <w:rPr>
          <w:rFonts w:ascii="Times New Roman" w:hAnsi="Times New Roman" w:cs="Times New Roman"/>
          <w:sz w:val="26"/>
          <w:szCs w:val="26"/>
        </w:rPr>
        <w:t>ordinanze di necessità e urgenza</w:t>
      </w:r>
      <w:r w:rsidR="00FE35BE" w:rsidRPr="00C15A2F">
        <w:rPr>
          <w:rFonts w:ascii="Times New Roman" w:hAnsi="Times New Roman" w:cs="Times New Roman"/>
          <w:sz w:val="26"/>
          <w:szCs w:val="26"/>
        </w:rPr>
        <w:t xml:space="preserve">, ovvero quei </w:t>
      </w:r>
      <w:r w:rsidR="00C168D8" w:rsidRPr="00C15A2F">
        <w:rPr>
          <w:rFonts w:ascii="Times New Roman" w:hAnsi="Times New Roman" w:cs="Times New Roman"/>
          <w:sz w:val="26"/>
          <w:szCs w:val="26"/>
        </w:rPr>
        <w:t>provvedimenti amministrativi “straordinari” che possono essere adottati dallo Stato, dalle Regioni e dagli enti locali nei casi espressamente previsti dalla legge per far fronte a situazioni di necessità che non possono essere risolte con i rimedi “ordinari” prev</w:t>
      </w:r>
      <w:r w:rsidR="000D6E8E" w:rsidRPr="00C15A2F">
        <w:rPr>
          <w:rFonts w:ascii="Times New Roman" w:hAnsi="Times New Roman" w:cs="Times New Roman"/>
          <w:sz w:val="26"/>
          <w:szCs w:val="26"/>
        </w:rPr>
        <w:t>isti dall’ordinamento giuridico</w:t>
      </w:r>
      <w:r w:rsidR="00C168D8" w:rsidRPr="00C15A2F">
        <w:rPr>
          <w:rFonts w:ascii="Times New Roman" w:hAnsi="Times New Roman" w:cs="Times New Roman"/>
          <w:sz w:val="26"/>
          <w:szCs w:val="26"/>
        </w:rPr>
        <w:t xml:space="preserve">. </w:t>
      </w:r>
      <w:r w:rsidR="00FE35BE" w:rsidRPr="00C15A2F">
        <w:rPr>
          <w:rFonts w:ascii="Times New Roman" w:hAnsi="Times New Roman" w:cs="Times New Roman"/>
          <w:sz w:val="26"/>
          <w:szCs w:val="26"/>
        </w:rPr>
        <w:t xml:space="preserve"> </w:t>
      </w:r>
      <w:r w:rsidR="00C168D8" w:rsidRPr="00C15A2F">
        <w:rPr>
          <w:rFonts w:ascii="Times New Roman" w:hAnsi="Times New Roman" w:cs="Times New Roman"/>
          <w:sz w:val="26"/>
          <w:szCs w:val="26"/>
        </w:rPr>
        <w:t>I poteri di ordinanza sono dunque attribuiti a diversi soggetti istituzionali e a vari livelli territoriali e ciò può, in concreto, determinare una frammentazione dell’attività di adozione di provvedimenti, compromettendo un’adeguata gestione, a livello nazionale, di un’emergenza. La legge n. 833 del 1978 (che istituisce il Servizio Sanitario Nazionale) attribuisce il potere di adottare ordinanze urgenti in materia di “sanità pubblica” al Ministro della sanità, al Presidente della Regione e al Sindaco, a seconda dell’ambito territoriale interessato</w:t>
      </w:r>
      <w:r w:rsidR="00FE35BE" w:rsidRPr="00C15A2F">
        <w:rPr>
          <w:rFonts w:ascii="Times New Roman" w:hAnsi="Times New Roman" w:cs="Times New Roman"/>
          <w:sz w:val="26"/>
          <w:szCs w:val="26"/>
        </w:rPr>
        <w:t xml:space="preserve">.  </w:t>
      </w:r>
      <w:r w:rsidR="00C168D8" w:rsidRPr="00C15A2F">
        <w:rPr>
          <w:rFonts w:ascii="Times New Roman" w:hAnsi="Times New Roman" w:cs="Times New Roman"/>
          <w:sz w:val="26"/>
          <w:szCs w:val="26"/>
        </w:rPr>
        <w:t>Tale previsione è successivamente ripresa – oltre che dal d.lgs. n. 267 del 20</w:t>
      </w:r>
      <w:r w:rsidR="00E31830">
        <w:rPr>
          <w:rFonts w:ascii="Times New Roman" w:hAnsi="Times New Roman" w:cs="Times New Roman"/>
          <w:sz w:val="26"/>
          <w:szCs w:val="26"/>
        </w:rPr>
        <w:t>00</w:t>
      </w:r>
      <w:r>
        <w:rPr>
          <w:rFonts w:ascii="Times New Roman" w:hAnsi="Times New Roman" w:cs="Times New Roman"/>
          <w:sz w:val="26"/>
          <w:szCs w:val="26"/>
        </w:rPr>
        <w:t xml:space="preserve"> (T.U.E.L.)</w:t>
      </w:r>
      <w:r w:rsidR="00C168D8" w:rsidRPr="00C15A2F">
        <w:rPr>
          <w:rFonts w:ascii="Times New Roman" w:hAnsi="Times New Roman" w:cs="Times New Roman"/>
          <w:sz w:val="26"/>
          <w:szCs w:val="26"/>
        </w:rPr>
        <w:t xml:space="preserve">, </w:t>
      </w:r>
      <w:r>
        <w:rPr>
          <w:rFonts w:ascii="Times New Roman" w:hAnsi="Times New Roman" w:cs="Times New Roman"/>
          <w:sz w:val="26"/>
          <w:szCs w:val="26"/>
        </w:rPr>
        <w:t xml:space="preserve">con riferimento </w:t>
      </w:r>
      <w:r w:rsidR="00C168D8" w:rsidRPr="00C15A2F">
        <w:rPr>
          <w:rFonts w:ascii="Times New Roman" w:hAnsi="Times New Roman" w:cs="Times New Roman"/>
          <w:sz w:val="26"/>
          <w:szCs w:val="26"/>
        </w:rPr>
        <w:t>al Sindaco</w:t>
      </w:r>
      <w:r>
        <w:rPr>
          <w:rFonts w:ascii="Times New Roman" w:hAnsi="Times New Roman" w:cs="Times New Roman"/>
          <w:sz w:val="26"/>
          <w:szCs w:val="26"/>
        </w:rPr>
        <w:t>, nella sua veste di capo dell’amministrazione locale</w:t>
      </w:r>
      <w:r w:rsidR="00C168D8" w:rsidRPr="00C15A2F">
        <w:rPr>
          <w:rFonts w:ascii="Times New Roman" w:hAnsi="Times New Roman" w:cs="Times New Roman"/>
          <w:sz w:val="26"/>
          <w:szCs w:val="26"/>
        </w:rPr>
        <w:t xml:space="preserve"> – dal d.lgs. 112 del 1998 che </w:t>
      </w:r>
      <w:r>
        <w:rPr>
          <w:rFonts w:ascii="Times New Roman" w:hAnsi="Times New Roman" w:cs="Times New Roman"/>
          <w:sz w:val="26"/>
          <w:szCs w:val="26"/>
        </w:rPr>
        <w:t xml:space="preserve">egualmente </w:t>
      </w:r>
      <w:r w:rsidR="00C168D8" w:rsidRPr="00C15A2F">
        <w:rPr>
          <w:rFonts w:ascii="Times New Roman" w:hAnsi="Times New Roman" w:cs="Times New Roman"/>
          <w:sz w:val="26"/>
          <w:szCs w:val="26"/>
        </w:rPr>
        <w:t>ripartisce tra il Ministero della salute, i Presidenti delle Giunte regionali e i Sindaci la competenza a emanare ordinanze di necessità e urgenza, rispettivamente sul territorio nazionale, regionale o comunale</w:t>
      </w:r>
      <w:r w:rsidR="00FE35BE" w:rsidRPr="00C15A2F">
        <w:rPr>
          <w:rFonts w:ascii="Times New Roman" w:hAnsi="Times New Roman" w:cs="Times New Roman"/>
          <w:sz w:val="26"/>
          <w:szCs w:val="26"/>
        </w:rPr>
        <w:t xml:space="preserve">. </w:t>
      </w:r>
    </w:p>
    <w:p w:rsidR="00C168D8" w:rsidRPr="00C15A2F" w:rsidRDefault="00F35BA9" w:rsidP="008E20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Nel contesto attuale, tuttavia, a</w:t>
      </w:r>
      <w:r w:rsidR="00FE35BE" w:rsidRPr="00C15A2F">
        <w:rPr>
          <w:rFonts w:ascii="Times New Roman" w:hAnsi="Times New Roman" w:cs="Times New Roman"/>
          <w:sz w:val="26"/>
          <w:szCs w:val="26"/>
        </w:rPr>
        <w:t xml:space="preserve"> monte di t</w:t>
      </w:r>
      <w:r>
        <w:rPr>
          <w:rFonts w:ascii="Times New Roman" w:hAnsi="Times New Roman" w:cs="Times New Roman"/>
          <w:sz w:val="26"/>
          <w:szCs w:val="26"/>
        </w:rPr>
        <w:t xml:space="preserve">ale rete di poteri, si è collocata </w:t>
      </w:r>
      <w:r w:rsidR="00FE35BE" w:rsidRPr="00C15A2F">
        <w:rPr>
          <w:rFonts w:ascii="Times New Roman" w:hAnsi="Times New Roman" w:cs="Times New Roman"/>
          <w:sz w:val="26"/>
          <w:szCs w:val="26"/>
        </w:rPr>
        <w:t xml:space="preserve">la </w:t>
      </w:r>
      <w:r>
        <w:rPr>
          <w:rFonts w:ascii="Times New Roman" w:hAnsi="Times New Roman" w:cs="Times New Roman"/>
          <w:sz w:val="26"/>
          <w:szCs w:val="26"/>
        </w:rPr>
        <w:t xml:space="preserve">scelta di </w:t>
      </w:r>
      <w:r w:rsidR="00FE35BE" w:rsidRPr="00C15A2F">
        <w:rPr>
          <w:rFonts w:ascii="Times New Roman" w:hAnsi="Times New Roman" w:cs="Times New Roman"/>
          <w:sz w:val="26"/>
          <w:szCs w:val="26"/>
        </w:rPr>
        <w:t>regola</w:t>
      </w:r>
      <w:r>
        <w:rPr>
          <w:rFonts w:ascii="Times New Roman" w:hAnsi="Times New Roman" w:cs="Times New Roman"/>
          <w:sz w:val="26"/>
          <w:szCs w:val="26"/>
        </w:rPr>
        <w:t xml:space="preserve">re </w:t>
      </w:r>
      <w:r w:rsidR="00FE35BE" w:rsidRPr="00C15A2F">
        <w:rPr>
          <w:rFonts w:ascii="Times New Roman" w:hAnsi="Times New Roman" w:cs="Times New Roman"/>
          <w:sz w:val="26"/>
          <w:szCs w:val="26"/>
        </w:rPr>
        <w:t>l’emergenza a livello nazionale con lo strumento del d</w:t>
      </w:r>
      <w:r w:rsidR="009D69AE" w:rsidRPr="00C15A2F">
        <w:rPr>
          <w:rFonts w:ascii="Times New Roman" w:hAnsi="Times New Roman" w:cs="Times New Roman"/>
          <w:sz w:val="26"/>
          <w:szCs w:val="26"/>
        </w:rPr>
        <w:t xml:space="preserve">ecreto del Presidente del Consiglio dei Ministri. </w:t>
      </w:r>
    </w:p>
    <w:p w:rsidR="00E874F7" w:rsidRDefault="00F35BA9" w:rsidP="008E2068">
      <w:pPr>
        <w:spacing w:after="0" w:line="360" w:lineRule="auto"/>
        <w:jc w:val="both"/>
        <w:rPr>
          <w:rFonts w:ascii="Times New Roman" w:hAnsi="Times New Roman" w:cs="Times New Roman"/>
          <w:color w:val="000000"/>
          <w:sz w:val="26"/>
          <w:szCs w:val="26"/>
        </w:rPr>
      </w:pPr>
      <w:r>
        <w:rPr>
          <w:rFonts w:ascii="Times New Roman" w:hAnsi="Times New Roman" w:cs="Times New Roman"/>
          <w:sz w:val="26"/>
          <w:szCs w:val="26"/>
        </w:rPr>
        <w:t>C</w:t>
      </w:r>
      <w:r w:rsidR="009D69AE" w:rsidRPr="00C15A2F">
        <w:rPr>
          <w:rFonts w:ascii="Times New Roman" w:hAnsi="Times New Roman" w:cs="Times New Roman"/>
          <w:sz w:val="26"/>
          <w:szCs w:val="26"/>
        </w:rPr>
        <w:t>on riferimento</w:t>
      </w:r>
      <w:r>
        <w:rPr>
          <w:rFonts w:ascii="Times New Roman" w:hAnsi="Times New Roman" w:cs="Times New Roman"/>
          <w:sz w:val="26"/>
          <w:szCs w:val="26"/>
        </w:rPr>
        <w:t>, dunque,</w:t>
      </w:r>
      <w:r w:rsidR="009D69AE" w:rsidRPr="00C15A2F">
        <w:rPr>
          <w:rFonts w:ascii="Times New Roman" w:hAnsi="Times New Roman" w:cs="Times New Roman"/>
          <w:sz w:val="26"/>
          <w:szCs w:val="26"/>
        </w:rPr>
        <w:t xml:space="preserve"> all</w:t>
      </w:r>
      <w:r>
        <w:rPr>
          <w:rFonts w:ascii="Times New Roman" w:hAnsi="Times New Roman" w:cs="Times New Roman"/>
          <w:sz w:val="26"/>
          <w:szCs w:val="26"/>
        </w:rPr>
        <w:t xml:space="preserve">’utilizzo </w:t>
      </w:r>
      <w:r w:rsidR="00FC1E7A" w:rsidRPr="00C15A2F">
        <w:rPr>
          <w:rFonts w:ascii="Times New Roman" w:hAnsi="Times New Roman" w:cs="Times New Roman"/>
          <w:b/>
          <w:sz w:val="26"/>
          <w:szCs w:val="26"/>
        </w:rPr>
        <w:t xml:space="preserve">del </w:t>
      </w:r>
      <w:proofErr w:type="spellStart"/>
      <w:r w:rsidR="00FC1E7A" w:rsidRPr="00C15A2F">
        <w:rPr>
          <w:rFonts w:ascii="Times New Roman" w:hAnsi="Times New Roman" w:cs="Times New Roman"/>
          <w:b/>
          <w:sz w:val="26"/>
          <w:szCs w:val="26"/>
        </w:rPr>
        <w:t>d.P.C.M</w:t>
      </w:r>
      <w:proofErr w:type="spellEnd"/>
      <w:r w:rsidR="00FC1E7A" w:rsidRPr="00C15A2F">
        <w:rPr>
          <w:rFonts w:ascii="Times New Roman" w:hAnsi="Times New Roman" w:cs="Times New Roman"/>
          <w:b/>
          <w:sz w:val="26"/>
          <w:szCs w:val="26"/>
        </w:rPr>
        <w:t>. quale fonte generale di disciplina delle regole emergenziali</w:t>
      </w:r>
      <w:r w:rsidR="00FC1E7A" w:rsidRPr="00C15A2F">
        <w:rPr>
          <w:rFonts w:ascii="Times New Roman" w:hAnsi="Times New Roman" w:cs="Times New Roman"/>
          <w:sz w:val="26"/>
          <w:szCs w:val="26"/>
        </w:rPr>
        <w:t xml:space="preserve">, </w:t>
      </w:r>
      <w:r w:rsidR="009D69AE" w:rsidRPr="00C15A2F">
        <w:rPr>
          <w:rFonts w:ascii="Times New Roman" w:hAnsi="Times New Roman" w:cs="Times New Roman"/>
          <w:sz w:val="26"/>
          <w:szCs w:val="26"/>
        </w:rPr>
        <w:t xml:space="preserve">va </w:t>
      </w:r>
      <w:r w:rsidR="007976B3">
        <w:rPr>
          <w:rFonts w:ascii="Times New Roman" w:hAnsi="Times New Roman" w:cs="Times New Roman"/>
          <w:sz w:val="26"/>
          <w:szCs w:val="26"/>
        </w:rPr>
        <w:t xml:space="preserve">da subito segnalato </w:t>
      </w:r>
      <w:r w:rsidR="009D69AE" w:rsidRPr="00C15A2F">
        <w:rPr>
          <w:rFonts w:ascii="Times New Roman" w:hAnsi="Times New Roman" w:cs="Times New Roman"/>
          <w:sz w:val="26"/>
          <w:szCs w:val="26"/>
        </w:rPr>
        <w:t xml:space="preserve">il parere reso in sede consultiva dalla </w:t>
      </w:r>
      <w:r w:rsidR="00387FD8" w:rsidRPr="00C15A2F">
        <w:rPr>
          <w:rFonts w:ascii="Times New Roman" w:hAnsi="Times New Roman" w:cs="Times New Roman"/>
          <w:sz w:val="26"/>
          <w:szCs w:val="26"/>
        </w:rPr>
        <w:t>sez.</w:t>
      </w:r>
      <w:r w:rsidR="00FE46A2" w:rsidRPr="00C15A2F">
        <w:rPr>
          <w:rFonts w:ascii="Times New Roman" w:hAnsi="Times New Roman" w:cs="Times New Roman"/>
          <w:sz w:val="26"/>
          <w:szCs w:val="26"/>
        </w:rPr>
        <w:t xml:space="preserve"> </w:t>
      </w:r>
      <w:r w:rsidR="00387FD8" w:rsidRPr="00C15A2F">
        <w:rPr>
          <w:rFonts w:ascii="Times New Roman" w:hAnsi="Times New Roman" w:cs="Times New Roman"/>
          <w:sz w:val="26"/>
          <w:szCs w:val="26"/>
        </w:rPr>
        <w:t>I del Consiglio di Stato</w:t>
      </w:r>
      <w:r w:rsidR="009D69AE" w:rsidRPr="00C15A2F">
        <w:rPr>
          <w:rFonts w:ascii="Times New Roman" w:hAnsi="Times New Roman" w:cs="Times New Roman"/>
          <w:sz w:val="26"/>
          <w:szCs w:val="26"/>
        </w:rPr>
        <w:t xml:space="preserve"> (</w:t>
      </w:r>
      <w:r w:rsidR="00407C4B" w:rsidRPr="00C15A2F">
        <w:rPr>
          <w:rFonts w:ascii="Times New Roman" w:hAnsi="Times New Roman" w:cs="Times New Roman"/>
          <w:sz w:val="26"/>
          <w:szCs w:val="26"/>
        </w:rPr>
        <w:t>n. 850 del 13 maggio 2021</w:t>
      </w:r>
      <w:r w:rsidR="009D69AE" w:rsidRPr="00C15A2F">
        <w:rPr>
          <w:rFonts w:ascii="Times New Roman" w:hAnsi="Times New Roman" w:cs="Times New Roman"/>
          <w:sz w:val="26"/>
          <w:szCs w:val="26"/>
        </w:rPr>
        <w:t>)</w:t>
      </w:r>
      <w:r w:rsidR="007976B3">
        <w:rPr>
          <w:rFonts w:ascii="Times New Roman" w:hAnsi="Times New Roman" w:cs="Times New Roman"/>
          <w:sz w:val="26"/>
          <w:szCs w:val="26"/>
        </w:rPr>
        <w:t>, che ne ha ricostruito la cornice ordinamentale legittimante</w:t>
      </w:r>
      <w:r w:rsidR="00407C4B" w:rsidRPr="00C15A2F">
        <w:rPr>
          <w:rFonts w:ascii="Times New Roman" w:hAnsi="Times New Roman" w:cs="Times New Roman"/>
          <w:sz w:val="26"/>
          <w:szCs w:val="26"/>
        </w:rPr>
        <w:t>. C</w:t>
      </w:r>
      <w:r w:rsidR="00387FD8" w:rsidRPr="00C15A2F">
        <w:rPr>
          <w:rFonts w:ascii="Times New Roman" w:hAnsi="Times New Roman" w:cs="Times New Roman"/>
          <w:sz w:val="26"/>
          <w:szCs w:val="26"/>
        </w:rPr>
        <w:t xml:space="preserve">hiamata a </w:t>
      </w:r>
      <w:r w:rsidR="00FE46A2" w:rsidRPr="00C15A2F">
        <w:rPr>
          <w:rFonts w:ascii="Times New Roman" w:hAnsi="Times New Roman" w:cs="Times New Roman"/>
          <w:sz w:val="26"/>
          <w:szCs w:val="26"/>
        </w:rPr>
        <w:t>decidere un ricorso straordinario al Presidente della Repubblica</w:t>
      </w:r>
      <w:r w:rsidR="00FC1E7A" w:rsidRPr="00C15A2F">
        <w:rPr>
          <w:rFonts w:ascii="Times New Roman" w:hAnsi="Times New Roman" w:cs="Times New Roman"/>
          <w:sz w:val="26"/>
          <w:szCs w:val="26"/>
        </w:rPr>
        <w:t xml:space="preserve"> avente ad oggetto la sanzione conseguita alla constata</w:t>
      </w:r>
      <w:r w:rsidR="00407C4B" w:rsidRPr="00C15A2F">
        <w:rPr>
          <w:rFonts w:ascii="Times New Roman" w:hAnsi="Times New Roman" w:cs="Times New Roman"/>
          <w:sz w:val="26"/>
          <w:szCs w:val="26"/>
        </w:rPr>
        <w:t xml:space="preserve">ta </w:t>
      </w:r>
      <w:r w:rsidR="00FC1E7A" w:rsidRPr="00C15A2F">
        <w:rPr>
          <w:rFonts w:ascii="Times New Roman" w:hAnsi="Times New Roman" w:cs="Times New Roman"/>
          <w:sz w:val="26"/>
          <w:szCs w:val="26"/>
        </w:rPr>
        <w:t xml:space="preserve">violazione delle disposizioni limitative dell’attività </w:t>
      </w:r>
      <w:r w:rsidR="00FE46A2" w:rsidRPr="00C15A2F">
        <w:rPr>
          <w:rFonts w:ascii="Times New Roman" w:hAnsi="Times New Roman" w:cs="Times New Roman"/>
          <w:sz w:val="26"/>
          <w:szCs w:val="26"/>
        </w:rPr>
        <w:t xml:space="preserve">dei pubblici esercizi di somministrazione di alimenti e bevande (nel caso di specie, un ristorante) </w:t>
      </w:r>
      <w:r w:rsidR="007976B3">
        <w:rPr>
          <w:rFonts w:ascii="Times New Roman" w:hAnsi="Times New Roman" w:cs="Times New Roman"/>
          <w:sz w:val="26"/>
          <w:szCs w:val="26"/>
        </w:rPr>
        <w:t xml:space="preserve">nei confronti di un gestore che aveva </w:t>
      </w:r>
      <w:r w:rsidR="00FC1E7A" w:rsidRPr="00C15A2F">
        <w:rPr>
          <w:rFonts w:ascii="Times New Roman" w:hAnsi="Times New Roman" w:cs="Times New Roman"/>
          <w:sz w:val="26"/>
          <w:szCs w:val="26"/>
        </w:rPr>
        <w:t>organizza</w:t>
      </w:r>
      <w:r w:rsidR="007976B3">
        <w:rPr>
          <w:rFonts w:ascii="Times New Roman" w:hAnsi="Times New Roman" w:cs="Times New Roman"/>
          <w:sz w:val="26"/>
          <w:szCs w:val="26"/>
        </w:rPr>
        <w:t xml:space="preserve">to </w:t>
      </w:r>
      <w:r w:rsidR="00FE46A2" w:rsidRPr="00C15A2F">
        <w:rPr>
          <w:rFonts w:ascii="Times New Roman" w:hAnsi="Times New Roman" w:cs="Times New Roman"/>
          <w:sz w:val="26"/>
          <w:szCs w:val="26"/>
        </w:rPr>
        <w:t xml:space="preserve">una </w:t>
      </w:r>
      <w:r w:rsidR="00FE46A2" w:rsidRPr="00C15A2F">
        <w:rPr>
          <w:rFonts w:ascii="Times New Roman" w:hAnsi="Times New Roman" w:cs="Times New Roman"/>
          <w:color w:val="000000"/>
          <w:sz w:val="26"/>
          <w:szCs w:val="26"/>
        </w:rPr>
        <w:t xml:space="preserve">cena con circa 90 persone partecipanti, espressamente </w:t>
      </w:r>
      <w:r w:rsidR="00FC1E7A" w:rsidRPr="00C15A2F">
        <w:rPr>
          <w:rFonts w:ascii="Times New Roman" w:hAnsi="Times New Roman" w:cs="Times New Roman"/>
          <w:color w:val="000000"/>
          <w:sz w:val="26"/>
          <w:szCs w:val="26"/>
        </w:rPr>
        <w:t xml:space="preserve">finalizzata </w:t>
      </w:r>
      <w:r w:rsidR="00FE46A2" w:rsidRPr="00C15A2F">
        <w:rPr>
          <w:rFonts w:ascii="Times New Roman" w:hAnsi="Times New Roman" w:cs="Times New Roman"/>
          <w:color w:val="000000"/>
          <w:sz w:val="26"/>
          <w:szCs w:val="26"/>
        </w:rPr>
        <w:t xml:space="preserve">a manifestare dissenso rispetto alle misure adottate dal Presidente del Consiglio dei ministri, </w:t>
      </w:r>
      <w:r w:rsidR="007976B3">
        <w:rPr>
          <w:rFonts w:ascii="Times New Roman" w:hAnsi="Times New Roman" w:cs="Times New Roman"/>
          <w:color w:val="000000"/>
          <w:sz w:val="26"/>
          <w:szCs w:val="26"/>
        </w:rPr>
        <w:t xml:space="preserve">la Sezione </w:t>
      </w:r>
      <w:r w:rsidR="00FC1E7A" w:rsidRPr="00C15A2F">
        <w:rPr>
          <w:rFonts w:ascii="Times New Roman" w:hAnsi="Times New Roman" w:cs="Times New Roman"/>
          <w:color w:val="000000"/>
          <w:sz w:val="26"/>
          <w:szCs w:val="26"/>
        </w:rPr>
        <w:t xml:space="preserve">ha chiarito come </w:t>
      </w:r>
      <w:r w:rsidR="00FE46A2" w:rsidRPr="00C15A2F">
        <w:rPr>
          <w:rFonts w:ascii="Times New Roman" w:eastAsia="Times New Roman" w:hAnsi="Times New Roman" w:cs="Times New Roman"/>
          <w:color w:val="000000"/>
          <w:sz w:val="26"/>
          <w:szCs w:val="26"/>
          <w:lang w:eastAsia="it-IT"/>
        </w:rPr>
        <w:t xml:space="preserve">il meccanismo di produzione normativa costruito dal Governo e approvato dal Parlamento nella sede della conversione in legge dei </w:t>
      </w:r>
      <w:proofErr w:type="spellStart"/>
      <w:r w:rsidR="00FE46A2" w:rsidRPr="00C15A2F">
        <w:rPr>
          <w:rFonts w:ascii="Times New Roman" w:eastAsia="Times New Roman" w:hAnsi="Times New Roman" w:cs="Times New Roman"/>
          <w:color w:val="000000"/>
          <w:sz w:val="26"/>
          <w:szCs w:val="26"/>
          <w:lang w:eastAsia="it-IT"/>
        </w:rPr>
        <w:t>decreti-legge</w:t>
      </w:r>
      <w:proofErr w:type="spellEnd"/>
      <w:r w:rsidR="00FE46A2" w:rsidRPr="00C15A2F">
        <w:rPr>
          <w:rFonts w:ascii="Times New Roman" w:eastAsia="Times New Roman" w:hAnsi="Times New Roman" w:cs="Times New Roman"/>
          <w:color w:val="000000"/>
          <w:sz w:val="26"/>
          <w:szCs w:val="26"/>
          <w:lang w:eastAsia="it-IT"/>
        </w:rPr>
        <w:t xml:space="preserve"> di volta in volta susseguitisi nel corso dell’emergenza </w:t>
      </w:r>
      <w:r w:rsidR="007976B3">
        <w:rPr>
          <w:rFonts w:ascii="Times New Roman" w:eastAsia="Times New Roman" w:hAnsi="Times New Roman" w:cs="Times New Roman"/>
          <w:color w:val="000000"/>
          <w:sz w:val="26"/>
          <w:szCs w:val="26"/>
          <w:lang w:eastAsia="it-IT"/>
        </w:rPr>
        <w:t>sanitaria è</w:t>
      </w:r>
      <w:r w:rsidR="00FE46A2" w:rsidRPr="00C15A2F">
        <w:rPr>
          <w:rFonts w:ascii="Times New Roman" w:eastAsia="Times New Roman" w:hAnsi="Times New Roman" w:cs="Times New Roman"/>
          <w:color w:val="000000"/>
          <w:sz w:val="26"/>
          <w:szCs w:val="26"/>
          <w:lang w:eastAsia="it-IT"/>
        </w:rPr>
        <w:t xml:space="preserve"> conforme al dettato costituzionale e si inquadr</w:t>
      </w:r>
      <w:r w:rsidR="007976B3">
        <w:rPr>
          <w:rFonts w:ascii="Times New Roman" w:eastAsia="Times New Roman" w:hAnsi="Times New Roman" w:cs="Times New Roman"/>
          <w:color w:val="000000"/>
          <w:sz w:val="26"/>
          <w:szCs w:val="26"/>
          <w:lang w:eastAsia="it-IT"/>
        </w:rPr>
        <w:t>a</w:t>
      </w:r>
      <w:r w:rsidR="00FE46A2" w:rsidRPr="00C15A2F">
        <w:rPr>
          <w:rFonts w:ascii="Times New Roman" w:eastAsia="Times New Roman" w:hAnsi="Times New Roman" w:cs="Times New Roman"/>
          <w:color w:val="000000"/>
          <w:sz w:val="26"/>
          <w:szCs w:val="26"/>
          <w:lang w:eastAsia="it-IT"/>
        </w:rPr>
        <w:t xml:space="preserve"> coerentemente nel sistema delle fonti</w:t>
      </w:r>
      <w:r w:rsidR="009D69AE" w:rsidRPr="00C15A2F">
        <w:rPr>
          <w:rFonts w:ascii="Times New Roman" w:eastAsia="Times New Roman" w:hAnsi="Times New Roman" w:cs="Times New Roman"/>
          <w:color w:val="000000"/>
          <w:sz w:val="26"/>
          <w:szCs w:val="26"/>
          <w:lang w:eastAsia="it-IT"/>
        </w:rPr>
        <w:t xml:space="preserve">. </w:t>
      </w:r>
      <w:r w:rsidR="00FC1E7A" w:rsidRPr="00C15A2F">
        <w:rPr>
          <w:rFonts w:ascii="Times New Roman" w:eastAsia="Times New Roman" w:hAnsi="Times New Roman" w:cs="Times New Roman"/>
          <w:color w:val="000000"/>
          <w:sz w:val="26"/>
          <w:szCs w:val="26"/>
          <w:lang w:eastAsia="it-IT"/>
        </w:rPr>
        <w:t>«</w:t>
      </w:r>
      <w:r w:rsidR="00FE46A2" w:rsidRPr="00C15A2F">
        <w:rPr>
          <w:rFonts w:ascii="Times New Roman" w:eastAsia="Times New Roman" w:hAnsi="Times New Roman" w:cs="Times New Roman"/>
          <w:i/>
          <w:color w:val="000000"/>
          <w:sz w:val="26"/>
          <w:szCs w:val="26"/>
          <w:lang w:eastAsia="it-IT"/>
        </w:rPr>
        <w:t xml:space="preserve">Fatta eccezione per il primo dei </w:t>
      </w:r>
      <w:proofErr w:type="spellStart"/>
      <w:r w:rsidR="00FE46A2" w:rsidRPr="00C15A2F">
        <w:rPr>
          <w:rFonts w:ascii="Times New Roman" w:eastAsia="Times New Roman" w:hAnsi="Times New Roman" w:cs="Times New Roman"/>
          <w:i/>
          <w:color w:val="000000"/>
          <w:sz w:val="26"/>
          <w:szCs w:val="26"/>
          <w:lang w:eastAsia="it-IT"/>
        </w:rPr>
        <w:t>decreti-legge</w:t>
      </w:r>
      <w:proofErr w:type="spellEnd"/>
      <w:r w:rsidR="00FE46A2" w:rsidRPr="00C15A2F">
        <w:rPr>
          <w:rFonts w:ascii="Times New Roman" w:eastAsia="Times New Roman" w:hAnsi="Times New Roman" w:cs="Times New Roman"/>
          <w:i/>
          <w:color w:val="000000"/>
          <w:sz w:val="26"/>
          <w:szCs w:val="26"/>
          <w:lang w:eastAsia="it-IT"/>
        </w:rPr>
        <w:t>, che ha iniziato la sequenza sviluppatasi a partire dal mese di marzo del 2020 (ossia il decreto-legge 23 febbraio 2020, n. 6, la cui struttura logico-giuridica appare diversa rispetto ai successivi interventi normativi), a partire dal successivo decreto-legge (n. 19 del 2020), il governo ha impostato correttamente la sequenza logico-giuridica degli atti-fonte preordinati a fronteggiare la pandemia, secondo il fondamentale schema generale della decretazione d’urgenza, introduttiva di norme primarie, poi approvate dal Parlamento in sede di legge di conversione, attributive, a valle, all’esecutivo, di un potere normativo di livello secondario e di provvedimento generale, modellato sull’esempio delle ordinanze emergenziali di protezione civile sotto il profilo della temporaneità, della eccezionalità e del presupposto dello stato di emergenza dichiarato con delibera del Consiglio dei ministri del 31 gennaio 2020, ai sensi dell’art. 24 del codice della protezione civile di cui al d.lgs. n. 1 del 2018</w:t>
      </w:r>
      <w:r w:rsidR="00FC1E7A" w:rsidRPr="00C15A2F">
        <w:rPr>
          <w:rFonts w:ascii="Times New Roman" w:eastAsia="Times New Roman" w:hAnsi="Times New Roman" w:cs="Times New Roman"/>
          <w:color w:val="000000"/>
          <w:sz w:val="26"/>
          <w:szCs w:val="26"/>
          <w:lang w:eastAsia="it-IT"/>
        </w:rPr>
        <w:t xml:space="preserve">». </w:t>
      </w:r>
      <w:r w:rsidR="009D69AE" w:rsidRPr="00C15A2F">
        <w:rPr>
          <w:rFonts w:ascii="Times New Roman" w:eastAsia="Times New Roman" w:hAnsi="Times New Roman" w:cs="Times New Roman"/>
          <w:color w:val="000000"/>
          <w:sz w:val="26"/>
          <w:szCs w:val="26"/>
          <w:lang w:eastAsia="it-IT"/>
        </w:rPr>
        <w:t xml:space="preserve">Si tratta dunque di un modello parallelo </w:t>
      </w:r>
      <w:r w:rsidR="00FE46A2" w:rsidRPr="00C15A2F">
        <w:rPr>
          <w:rFonts w:ascii="Times New Roman" w:hAnsi="Times New Roman" w:cs="Times New Roman"/>
          <w:color w:val="000000"/>
          <w:sz w:val="26"/>
          <w:szCs w:val="26"/>
        </w:rPr>
        <w:t>(e sostanzialmente equivalente)</w:t>
      </w:r>
      <w:r w:rsidR="00FE46A2" w:rsidRPr="00C15A2F">
        <w:rPr>
          <w:rFonts w:ascii="Times New Roman" w:hAnsi="Times New Roman" w:cs="Times New Roman"/>
          <w:i/>
          <w:color w:val="000000"/>
          <w:sz w:val="26"/>
          <w:szCs w:val="26"/>
        </w:rPr>
        <w:t xml:space="preserve"> </w:t>
      </w:r>
      <w:r w:rsidR="009D69AE" w:rsidRPr="00C15A2F">
        <w:rPr>
          <w:rFonts w:ascii="Times New Roman" w:hAnsi="Times New Roman" w:cs="Times New Roman"/>
          <w:color w:val="000000"/>
          <w:sz w:val="26"/>
          <w:szCs w:val="26"/>
        </w:rPr>
        <w:t xml:space="preserve">a quello delle </w:t>
      </w:r>
      <w:r w:rsidR="00FE46A2" w:rsidRPr="00C15A2F">
        <w:rPr>
          <w:rFonts w:ascii="Times New Roman" w:hAnsi="Times New Roman" w:cs="Times New Roman"/>
          <w:color w:val="000000"/>
          <w:sz w:val="26"/>
          <w:szCs w:val="26"/>
        </w:rPr>
        <w:t>ordinanze contingibili e urgenti</w:t>
      </w:r>
      <w:r w:rsidR="007976B3">
        <w:rPr>
          <w:rFonts w:ascii="Times New Roman" w:hAnsi="Times New Roman" w:cs="Times New Roman"/>
          <w:color w:val="000000"/>
          <w:sz w:val="26"/>
          <w:szCs w:val="26"/>
        </w:rPr>
        <w:t>, mutuato dal sistema della protezione civile, di per sé connotato da una rete relazionale e gestionale mirata a fornire risposta alle esigenze, “di protezione”, appunto, generate dalla peculiarità del contesto.</w:t>
      </w:r>
      <w:r w:rsidR="00FE46A2" w:rsidRPr="00C15A2F">
        <w:rPr>
          <w:rFonts w:ascii="Times New Roman" w:hAnsi="Times New Roman" w:cs="Times New Roman"/>
          <w:i/>
          <w:color w:val="000000"/>
          <w:sz w:val="26"/>
          <w:szCs w:val="26"/>
        </w:rPr>
        <w:t xml:space="preserve"> </w:t>
      </w:r>
      <w:r w:rsidR="009D69AE" w:rsidRPr="00C15A2F">
        <w:rPr>
          <w:rFonts w:ascii="Times New Roman" w:hAnsi="Times New Roman" w:cs="Times New Roman"/>
          <w:i/>
          <w:color w:val="000000"/>
          <w:sz w:val="26"/>
          <w:szCs w:val="26"/>
        </w:rPr>
        <w:t>«</w:t>
      </w:r>
      <w:r w:rsidR="007976B3">
        <w:rPr>
          <w:rFonts w:ascii="Times New Roman" w:hAnsi="Times New Roman" w:cs="Times New Roman"/>
          <w:i/>
          <w:color w:val="000000"/>
          <w:sz w:val="26"/>
          <w:szCs w:val="26"/>
        </w:rPr>
        <w:t>L</w:t>
      </w:r>
      <w:r w:rsidR="00FE46A2" w:rsidRPr="00C15A2F">
        <w:rPr>
          <w:rFonts w:ascii="Times New Roman" w:hAnsi="Times New Roman" w:cs="Times New Roman"/>
          <w:i/>
          <w:color w:val="000000"/>
          <w:sz w:val="26"/>
          <w:szCs w:val="26"/>
        </w:rPr>
        <w:t xml:space="preserve">a decretazione d’urgenza, con norma primaria, ben avrebbe potuto richiamare e attivare i poteri di ordinanza già previsti in capo al Presidente del </w:t>
      </w:r>
      <w:r w:rsidR="009D69AE" w:rsidRPr="00C15A2F">
        <w:rPr>
          <w:rFonts w:ascii="Times New Roman" w:hAnsi="Times New Roman" w:cs="Times New Roman"/>
          <w:i/>
          <w:color w:val="000000"/>
          <w:sz w:val="26"/>
          <w:szCs w:val="26"/>
        </w:rPr>
        <w:t>C</w:t>
      </w:r>
      <w:r w:rsidR="00FE46A2" w:rsidRPr="00C15A2F">
        <w:rPr>
          <w:rFonts w:ascii="Times New Roman" w:hAnsi="Times New Roman" w:cs="Times New Roman"/>
          <w:i/>
          <w:color w:val="000000"/>
          <w:sz w:val="26"/>
          <w:szCs w:val="26"/>
        </w:rPr>
        <w:t xml:space="preserve">onsiglio dei </w:t>
      </w:r>
      <w:r w:rsidR="009D69AE" w:rsidRPr="00C15A2F">
        <w:rPr>
          <w:rFonts w:ascii="Times New Roman" w:hAnsi="Times New Roman" w:cs="Times New Roman"/>
          <w:i/>
          <w:color w:val="000000"/>
          <w:sz w:val="26"/>
          <w:szCs w:val="26"/>
        </w:rPr>
        <w:t>M</w:t>
      </w:r>
      <w:r w:rsidR="00FE46A2" w:rsidRPr="00C15A2F">
        <w:rPr>
          <w:rFonts w:ascii="Times New Roman" w:hAnsi="Times New Roman" w:cs="Times New Roman"/>
          <w:i/>
          <w:color w:val="000000"/>
          <w:sz w:val="26"/>
          <w:szCs w:val="26"/>
        </w:rPr>
        <w:t>inistri e al Capo del Dipartimento della protezione civile (art. 5 del d.lgs. n. 1 del 2018), o in capo al Ministro della salute (art. 32 della legge n. 833 del 1978 istitutiva del sistema sanitario nazionale), anziché introdurre la figura dei decreti del Presidente del consiglio dei ministri. Ma la questione della configurazione di tali atti attuativi a contenuto generale di rango secondario, </w:t>
      </w:r>
      <w:r w:rsidR="00FE46A2" w:rsidRPr="00C15A2F">
        <w:rPr>
          <w:rFonts w:ascii="Times New Roman" w:hAnsi="Times New Roman" w:cs="Times New Roman"/>
          <w:i/>
          <w:iCs/>
          <w:color w:val="000000"/>
          <w:sz w:val="26"/>
          <w:szCs w:val="26"/>
        </w:rPr>
        <w:t xml:space="preserve">ad </w:t>
      </w:r>
      <w:proofErr w:type="spellStart"/>
      <w:r w:rsidR="00FE46A2" w:rsidRPr="00C15A2F">
        <w:rPr>
          <w:rFonts w:ascii="Times New Roman" w:hAnsi="Times New Roman" w:cs="Times New Roman"/>
          <w:i/>
          <w:iCs/>
          <w:color w:val="000000"/>
          <w:sz w:val="26"/>
          <w:szCs w:val="26"/>
        </w:rPr>
        <w:t>tempus</w:t>
      </w:r>
      <w:proofErr w:type="spellEnd"/>
      <w:r w:rsidR="00FE46A2" w:rsidRPr="00C15A2F">
        <w:rPr>
          <w:rFonts w:ascii="Times New Roman" w:hAnsi="Times New Roman" w:cs="Times New Roman"/>
          <w:i/>
          <w:color w:val="000000"/>
          <w:sz w:val="26"/>
          <w:szCs w:val="26"/>
        </w:rPr>
        <w:t>, con causa rinvenibile nello stato emergenziale creatosi a seguito della pandemia, riveste a ben vedere un rilievo più formale e nominalistico che sostanziale, essendo pacifico che, in ogni caso, la nuova legge ordinaria speciale ben può derogare alle competenze e alle procedure previste dalle norme pari-ordinate recate dal codice della protezione civile (d.lgs. n. 1 del 2018) e dalla legge n. 833 del 1978, senz’altro derogabili con atto successivo avente pari forza e valore di legge. competenza a introdurre atti equivalenti nella sostanza alle ordinanze contingibili e urgenti, competenza assegnata, invece, dalla precedente legislazione ordinaria di settore, rispettivamente al Ministro della salute e al Capo del Dipartimento della Protezione civile</w:t>
      </w:r>
      <w:r w:rsidR="00FC1E7A" w:rsidRPr="00C15A2F">
        <w:rPr>
          <w:rFonts w:ascii="Times New Roman" w:hAnsi="Times New Roman" w:cs="Times New Roman"/>
          <w:color w:val="000000"/>
          <w:sz w:val="26"/>
          <w:szCs w:val="26"/>
        </w:rPr>
        <w:t>»</w:t>
      </w:r>
      <w:r w:rsidR="00FE46A2" w:rsidRPr="00C15A2F">
        <w:rPr>
          <w:rFonts w:ascii="Times New Roman" w:hAnsi="Times New Roman" w:cs="Times New Roman"/>
          <w:color w:val="000000"/>
          <w:sz w:val="26"/>
          <w:szCs w:val="26"/>
        </w:rPr>
        <w:t>. Si tratta, in entrambi i casi, di un’elevazione del livello di responsabilità amministrativa, compiuta dalla normazione del 2020, che attribuisce la competenza al vertice dell’esecutivo, ossia al massimo livello di responsabilità politico-amministrativa del governo</w:t>
      </w:r>
      <w:r w:rsidR="007976B3">
        <w:rPr>
          <w:rFonts w:ascii="Times New Roman" w:hAnsi="Times New Roman" w:cs="Times New Roman"/>
          <w:color w:val="000000"/>
          <w:sz w:val="26"/>
          <w:szCs w:val="26"/>
        </w:rPr>
        <w:t xml:space="preserve"> (v. anche il paragrafo 9 della parte in diritto della già citata sentenza n. 37/2021 della Corte costituzionale, espressamente richiamata, laddove si considera «</w:t>
      </w:r>
      <w:r w:rsidR="00E874F7" w:rsidRPr="00E874F7">
        <w:rPr>
          <w:rFonts w:ascii="Times New Roman" w:hAnsi="Times New Roman" w:cs="Times New Roman"/>
          <w:i/>
          <w:color w:val="000000"/>
          <w:sz w:val="26"/>
          <w:szCs w:val="26"/>
        </w:rPr>
        <w:t xml:space="preserve">ipotizzabile, che il legislatore statale, se posto a confronto con un’emergenza sanitaria dai tratti del tutto peculiari, scelga di introdurre risposte normative e </w:t>
      </w:r>
      <w:proofErr w:type="spellStart"/>
      <w:r w:rsidR="00E874F7" w:rsidRPr="00E874F7">
        <w:rPr>
          <w:rFonts w:ascii="Times New Roman" w:hAnsi="Times New Roman" w:cs="Times New Roman"/>
          <w:i/>
          <w:color w:val="000000"/>
          <w:sz w:val="26"/>
          <w:szCs w:val="26"/>
        </w:rPr>
        <w:t>provvedimentali</w:t>
      </w:r>
      <w:proofErr w:type="spellEnd"/>
      <w:r w:rsidR="00E874F7" w:rsidRPr="00E874F7">
        <w:rPr>
          <w:rFonts w:ascii="Times New Roman" w:hAnsi="Times New Roman" w:cs="Times New Roman"/>
          <w:i/>
          <w:color w:val="000000"/>
          <w:sz w:val="26"/>
          <w:szCs w:val="26"/>
        </w:rPr>
        <w:t xml:space="preserve"> tarate su quest’ultima</w:t>
      </w:r>
      <w:r w:rsidR="00E874F7">
        <w:rPr>
          <w:rFonts w:ascii="Times New Roman" w:hAnsi="Times New Roman" w:cs="Times New Roman"/>
          <w:color w:val="000000"/>
          <w:sz w:val="26"/>
          <w:szCs w:val="26"/>
        </w:rPr>
        <w:t xml:space="preserve">»). </w:t>
      </w:r>
      <w:r w:rsidR="00FE46A2" w:rsidRPr="00C15A2F">
        <w:rPr>
          <w:rFonts w:ascii="Times New Roman" w:hAnsi="Times New Roman" w:cs="Times New Roman"/>
          <w:color w:val="000000"/>
          <w:sz w:val="26"/>
          <w:szCs w:val="26"/>
        </w:rPr>
        <w:t xml:space="preserve"> </w:t>
      </w:r>
    </w:p>
    <w:p w:rsidR="00E874F7" w:rsidRDefault="00E874F7" w:rsidP="008E2068">
      <w:pPr>
        <w:spacing w:after="0" w:line="360" w:lineRule="auto"/>
        <w:jc w:val="both"/>
        <w:rPr>
          <w:rStyle w:val="Enfasigrassetto"/>
          <w:rFonts w:ascii="Times New Roman" w:hAnsi="Times New Roman" w:cs="Times New Roman"/>
          <w:b w:val="0"/>
          <w:color w:val="333333"/>
          <w:sz w:val="26"/>
          <w:szCs w:val="26"/>
          <w:shd w:val="clear" w:color="auto" w:fill="FFFFFF"/>
        </w:rPr>
      </w:pPr>
      <w:r>
        <w:rPr>
          <w:rFonts w:ascii="Times New Roman" w:hAnsi="Times New Roman" w:cs="Times New Roman"/>
          <w:color w:val="000000"/>
          <w:sz w:val="26"/>
          <w:szCs w:val="26"/>
        </w:rPr>
        <w:t xml:space="preserve">In tale logica, </w:t>
      </w:r>
      <w:r w:rsidRPr="00E874F7">
        <w:rPr>
          <w:rFonts w:ascii="Times New Roman" w:hAnsi="Times New Roman" w:cs="Times New Roman"/>
          <w:b/>
          <w:color w:val="000000"/>
          <w:sz w:val="26"/>
          <w:szCs w:val="26"/>
        </w:rPr>
        <w:t>g</w:t>
      </w:r>
      <w:r w:rsidR="00407C4B" w:rsidRPr="00C15A2F">
        <w:rPr>
          <w:rFonts w:ascii="Times New Roman" w:hAnsi="Times New Roman" w:cs="Times New Roman"/>
          <w:b/>
          <w:iCs/>
          <w:color w:val="000000"/>
          <w:sz w:val="26"/>
          <w:szCs w:val="26"/>
        </w:rPr>
        <w:t>li interventi dei Presidenti delle Regioni</w:t>
      </w:r>
      <w:r w:rsidR="00407C4B" w:rsidRPr="00C15A2F">
        <w:rPr>
          <w:rFonts w:ascii="Times New Roman" w:hAnsi="Times New Roman" w:cs="Times New Roman"/>
          <w:iCs/>
          <w:color w:val="000000"/>
          <w:sz w:val="26"/>
          <w:szCs w:val="26"/>
        </w:rPr>
        <w:t xml:space="preserve"> in tanto sono stati salvaguardati in quanto effettivamente ispirati da </w:t>
      </w:r>
      <w:r w:rsidR="00407C4B" w:rsidRPr="00C15A2F">
        <w:rPr>
          <w:rFonts w:ascii="Times New Roman" w:hAnsi="Times New Roman" w:cs="Times New Roman"/>
          <w:color w:val="5C5C5C"/>
          <w:sz w:val="26"/>
          <w:szCs w:val="26"/>
        </w:rPr>
        <w:t xml:space="preserve">ragioni di straordinaria necessità ed urgenza </w:t>
      </w:r>
      <w:r>
        <w:rPr>
          <w:rFonts w:ascii="Times New Roman" w:hAnsi="Times New Roman" w:cs="Times New Roman"/>
          <w:color w:val="5C5C5C"/>
          <w:sz w:val="26"/>
          <w:szCs w:val="26"/>
        </w:rPr>
        <w:t xml:space="preserve">legate solo al proprio territorio, purché comunque </w:t>
      </w:r>
      <w:r w:rsidR="00407C4B" w:rsidRPr="00C15A2F">
        <w:rPr>
          <w:rFonts w:ascii="Times New Roman" w:hAnsi="Times New Roman" w:cs="Times New Roman"/>
          <w:color w:val="5C5C5C"/>
          <w:sz w:val="26"/>
          <w:szCs w:val="26"/>
        </w:rPr>
        <w:t>rispetto</w:t>
      </w:r>
      <w:r w:rsidR="00474D40" w:rsidRPr="00C15A2F">
        <w:rPr>
          <w:rFonts w:ascii="Times New Roman" w:hAnsi="Times New Roman" w:cs="Times New Roman"/>
          <w:color w:val="5C5C5C"/>
          <w:sz w:val="26"/>
          <w:szCs w:val="26"/>
        </w:rPr>
        <w:t>si</w:t>
      </w:r>
      <w:r w:rsidR="00407C4B" w:rsidRPr="00C15A2F">
        <w:rPr>
          <w:rFonts w:ascii="Times New Roman" w:hAnsi="Times New Roman" w:cs="Times New Roman"/>
          <w:color w:val="5C5C5C"/>
          <w:sz w:val="26"/>
          <w:szCs w:val="26"/>
        </w:rPr>
        <w:t xml:space="preserve"> dei principi di adeguatezza e proporzionalità al rischio epidemiologico effettivamente presente in determinate aree, </w:t>
      </w:r>
      <w:r w:rsidR="00407C4B" w:rsidRPr="00C15A2F">
        <w:rPr>
          <w:rFonts w:ascii="Times New Roman" w:hAnsi="Times New Roman" w:cs="Times New Roman"/>
          <w:iCs/>
          <w:color w:val="000000"/>
          <w:sz w:val="26"/>
          <w:szCs w:val="26"/>
        </w:rPr>
        <w:t xml:space="preserve">dovendo al contrario soccombere rispetto alle regole generali, ove miranti semplicemente ad elevare i livelli di tutela, seppure per comprensibili valutazioni </w:t>
      </w:r>
      <w:r>
        <w:rPr>
          <w:rFonts w:ascii="Times New Roman" w:hAnsi="Times New Roman" w:cs="Times New Roman"/>
          <w:iCs/>
          <w:color w:val="000000"/>
          <w:sz w:val="26"/>
          <w:szCs w:val="26"/>
        </w:rPr>
        <w:t xml:space="preserve">precauzionali </w:t>
      </w:r>
      <w:r w:rsidR="00407C4B" w:rsidRPr="00C15A2F">
        <w:rPr>
          <w:rFonts w:ascii="Times New Roman" w:hAnsi="Times New Roman" w:cs="Times New Roman"/>
          <w:iCs/>
          <w:color w:val="000000"/>
          <w:sz w:val="26"/>
          <w:szCs w:val="26"/>
        </w:rPr>
        <w:t xml:space="preserve">in termini di tenuta del sistema sanitario </w:t>
      </w:r>
      <w:r>
        <w:rPr>
          <w:rFonts w:ascii="Times New Roman" w:hAnsi="Times New Roman" w:cs="Times New Roman"/>
          <w:iCs/>
          <w:color w:val="000000"/>
          <w:sz w:val="26"/>
          <w:szCs w:val="26"/>
        </w:rPr>
        <w:t>locale</w:t>
      </w:r>
      <w:r w:rsidR="00407C4B" w:rsidRPr="00C15A2F">
        <w:rPr>
          <w:rFonts w:ascii="Times New Roman" w:hAnsi="Times New Roman" w:cs="Times New Roman"/>
          <w:iCs/>
          <w:color w:val="000000"/>
          <w:sz w:val="26"/>
          <w:szCs w:val="26"/>
        </w:rPr>
        <w:t xml:space="preserve">. Ciò peraltro allineandosi ai principi espressi dalla </w:t>
      </w:r>
      <w:r w:rsidR="00055EB4">
        <w:rPr>
          <w:rFonts w:ascii="Times New Roman" w:hAnsi="Times New Roman" w:cs="Times New Roman"/>
          <w:sz w:val="26"/>
          <w:szCs w:val="26"/>
          <w:lang w:val="fr-FR"/>
        </w:rPr>
        <w:t xml:space="preserve">Corte </w:t>
      </w:r>
      <w:proofErr w:type="spellStart"/>
      <w:r w:rsidR="00055EB4">
        <w:rPr>
          <w:rFonts w:ascii="Times New Roman" w:hAnsi="Times New Roman" w:cs="Times New Roman"/>
          <w:sz w:val="26"/>
          <w:szCs w:val="26"/>
          <w:lang w:val="fr-FR"/>
        </w:rPr>
        <w:t>C</w:t>
      </w:r>
      <w:r w:rsidR="008035C8" w:rsidRPr="00C15A2F">
        <w:rPr>
          <w:rFonts w:ascii="Times New Roman" w:hAnsi="Times New Roman" w:cs="Times New Roman"/>
          <w:sz w:val="26"/>
          <w:szCs w:val="26"/>
          <w:lang w:val="fr-FR"/>
        </w:rPr>
        <w:t>ostituzionale</w:t>
      </w:r>
      <w:proofErr w:type="spellEnd"/>
      <w:r w:rsidR="00002840" w:rsidRPr="00C15A2F">
        <w:rPr>
          <w:rFonts w:ascii="Times New Roman" w:hAnsi="Times New Roman" w:cs="Times New Roman"/>
          <w:sz w:val="26"/>
          <w:szCs w:val="26"/>
          <w:lang w:val="fr-FR"/>
        </w:rPr>
        <w:t xml:space="preserve"> </w:t>
      </w:r>
      <w:r w:rsidR="00407C4B" w:rsidRPr="00C15A2F">
        <w:rPr>
          <w:rFonts w:ascii="Times New Roman" w:hAnsi="Times New Roman" w:cs="Times New Roman"/>
          <w:sz w:val="26"/>
          <w:szCs w:val="26"/>
          <w:lang w:val="fr-FR"/>
        </w:rPr>
        <w:t>(</w:t>
      </w:r>
      <w:proofErr w:type="spellStart"/>
      <w:r w:rsidR="00407C4B" w:rsidRPr="00C15A2F">
        <w:rPr>
          <w:rFonts w:ascii="Times New Roman" w:hAnsi="Times New Roman" w:cs="Times New Roman"/>
          <w:sz w:val="26"/>
          <w:szCs w:val="26"/>
          <w:lang w:val="fr-FR"/>
        </w:rPr>
        <w:t>s</w:t>
      </w:r>
      <w:r w:rsidR="00002840" w:rsidRPr="00C15A2F">
        <w:rPr>
          <w:rFonts w:ascii="Times New Roman" w:hAnsi="Times New Roman" w:cs="Times New Roman"/>
          <w:sz w:val="26"/>
          <w:szCs w:val="26"/>
          <w:lang w:val="fr-FR"/>
        </w:rPr>
        <w:t>entenza</w:t>
      </w:r>
      <w:proofErr w:type="spellEnd"/>
      <w:r w:rsidR="00002840" w:rsidRPr="00C15A2F">
        <w:rPr>
          <w:rFonts w:ascii="Times New Roman" w:hAnsi="Times New Roman" w:cs="Times New Roman"/>
          <w:sz w:val="26"/>
          <w:szCs w:val="26"/>
          <w:lang w:val="fr-FR"/>
        </w:rPr>
        <w:t xml:space="preserve"> </w:t>
      </w:r>
      <w:r w:rsidR="00474D40" w:rsidRPr="00C15A2F">
        <w:rPr>
          <w:rFonts w:ascii="Times New Roman" w:hAnsi="Times New Roman" w:cs="Times New Roman"/>
          <w:sz w:val="26"/>
          <w:szCs w:val="26"/>
          <w:lang w:val="fr-FR"/>
        </w:rPr>
        <w:t xml:space="preserve">n. 37 </w:t>
      </w:r>
      <w:proofErr w:type="spellStart"/>
      <w:r w:rsidR="00002840" w:rsidRPr="00C15A2F">
        <w:rPr>
          <w:rFonts w:ascii="Times New Roman" w:hAnsi="Times New Roman" w:cs="Times New Roman"/>
          <w:sz w:val="26"/>
          <w:szCs w:val="26"/>
          <w:lang w:val="fr-FR"/>
        </w:rPr>
        <w:t>del</w:t>
      </w:r>
      <w:proofErr w:type="spellEnd"/>
      <w:r w:rsidR="00002840" w:rsidRPr="00C15A2F">
        <w:rPr>
          <w:rFonts w:ascii="Times New Roman" w:hAnsi="Times New Roman" w:cs="Times New Roman"/>
          <w:sz w:val="26"/>
          <w:szCs w:val="26"/>
          <w:lang w:val="fr-FR"/>
        </w:rPr>
        <w:t xml:space="preserve"> 24 </w:t>
      </w:r>
      <w:proofErr w:type="spellStart"/>
      <w:r w:rsidR="00002840" w:rsidRPr="00C15A2F">
        <w:rPr>
          <w:rFonts w:ascii="Times New Roman" w:hAnsi="Times New Roman" w:cs="Times New Roman"/>
          <w:sz w:val="26"/>
          <w:szCs w:val="26"/>
          <w:lang w:val="fr-FR"/>
        </w:rPr>
        <w:t>febbraio</w:t>
      </w:r>
      <w:proofErr w:type="spellEnd"/>
      <w:r w:rsidR="00002840" w:rsidRPr="00C15A2F">
        <w:rPr>
          <w:rFonts w:ascii="Times New Roman" w:hAnsi="Times New Roman" w:cs="Times New Roman"/>
          <w:sz w:val="26"/>
          <w:szCs w:val="26"/>
          <w:lang w:val="fr-FR"/>
        </w:rPr>
        <w:t xml:space="preserve"> 2021</w:t>
      </w:r>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citata</w:t>
      </w:r>
      <w:proofErr w:type="spellEnd"/>
      <w:r>
        <w:rPr>
          <w:rFonts w:ascii="Times New Roman" w:hAnsi="Times New Roman" w:cs="Times New Roman"/>
          <w:sz w:val="26"/>
          <w:szCs w:val="26"/>
          <w:lang w:val="fr-FR"/>
        </w:rPr>
        <w:t xml:space="preserve"> </w:t>
      </w:r>
      <w:r w:rsidRPr="00E874F7">
        <w:rPr>
          <w:rFonts w:ascii="Times New Roman" w:hAnsi="Times New Roman" w:cs="Times New Roman"/>
          <w:i/>
          <w:sz w:val="26"/>
          <w:szCs w:val="26"/>
          <w:lang w:val="fr-FR"/>
        </w:rPr>
        <w:t>supra</w:t>
      </w:r>
      <w:r w:rsidR="00407C4B" w:rsidRPr="00C15A2F">
        <w:rPr>
          <w:rFonts w:ascii="Times New Roman" w:hAnsi="Times New Roman" w:cs="Times New Roman"/>
          <w:sz w:val="26"/>
          <w:szCs w:val="26"/>
          <w:lang w:val="fr-FR"/>
        </w:rPr>
        <w:t>)</w:t>
      </w:r>
      <w:r w:rsidR="00002840" w:rsidRPr="00C15A2F">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che</w:t>
      </w:r>
      <w:proofErr w:type="spellEnd"/>
      <w:r>
        <w:rPr>
          <w:rFonts w:ascii="Times New Roman" w:hAnsi="Times New Roman" w:cs="Times New Roman"/>
          <w:sz w:val="26"/>
          <w:szCs w:val="26"/>
          <w:lang w:val="fr-FR"/>
        </w:rPr>
        <w:t xml:space="preserve">, </w:t>
      </w:r>
      <w:proofErr w:type="spellStart"/>
      <w:r w:rsidR="00407C4B" w:rsidRPr="00C15A2F">
        <w:rPr>
          <w:rFonts w:ascii="Times New Roman" w:hAnsi="Times New Roman" w:cs="Times New Roman"/>
          <w:sz w:val="26"/>
          <w:szCs w:val="26"/>
          <w:lang w:val="fr-FR"/>
        </w:rPr>
        <w:t>chiamata</w:t>
      </w:r>
      <w:proofErr w:type="spellEnd"/>
      <w:r w:rsidR="00407C4B" w:rsidRPr="00C15A2F">
        <w:rPr>
          <w:rFonts w:ascii="Times New Roman" w:hAnsi="Times New Roman" w:cs="Times New Roman"/>
          <w:sz w:val="26"/>
          <w:szCs w:val="26"/>
          <w:lang w:val="fr-FR"/>
        </w:rPr>
        <w:t xml:space="preserve"> a </w:t>
      </w:r>
      <w:proofErr w:type="spellStart"/>
      <w:r w:rsidR="00407C4B" w:rsidRPr="00C15A2F">
        <w:rPr>
          <w:rFonts w:ascii="Times New Roman" w:hAnsi="Times New Roman" w:cs="Times New Roman"/>
          <w:sz w:val="26"/>
          <w:szCs w:val="26"/>
          <w:lang w:val="fr-FR"/>
        </w:rPr>
        <w:t>pronunciarsi</w:t>
      </w:r>
      <w:proofErr w:type="spellEnd"/>
      <w:r w:rsidR="00407C4B" w:rsidRPr="00C15A2F">
        <w:rPr>
          <w:rFonts w:ascii="Times New Roman" w:hAnsi="Times New Roman" w:cs="Times New Roman"/>
          <w:sz w:val="26"/>
          <w:szCs w:val="26"/>
          <w:lang w:val="fr-FR"/>
        </w:rPr>
        <w:t xml:space="preserve"> </w:t>
      </w:r>
      <w:proofErr w:type="spellStart"/>
      <w:r w:rsidR="00407C4B" w:rsidRPr="00C15A2F">
        <w:rPr>
          <w:rFonts w:ascii="Times New Roman" w:hAnsi="Times New Roman" w:cs="Times New Roman"/>
          <w:sz w:val="26"/>
          <w:szCs w:val="26"/>
          <w:lang w:val="fr-FR"/>
        </w:rPr>
        <w:t>sul</w:t>
      </w:r>
      <w:proofErr w:type="spellEnd"/>
      <w:r w:rsidR="00407C4B" w:rsidRPr="00C15A2F">
        <w:rPr>
          <w:rFonts w:ascii="Times New Roman" w:hAnsi="Times New Roman" w:cs="Times New Roman"/>
          <w:sz w:val="26"/>
          <w:szCs w:val="26"/>
          <w:lang w:val="fr-FR"/>
        </w:rPr>
        <w:t xml:space="preserve"> </w:t>
      </w:r>
      <w:proofErr w:type="spellStart"/>
      <w:r w:rsidR="00002840" w:rsidRPr="00C15A2F">
        <w:rPr>
          <w:rFonts w:ascii="Times New Roman" w:hAnsi="Times New Roman" w:cs="Times New Roman"/>
          <w:sz w:val="26"/>
          <w:szCs w:val="26"/>
          <w:lang w:val="fr-FR"/>
        </w:rPr>
        <w:t>ricorso</w:t>
      </w:r>
      <w:proofErr w:type="spellEnd"/>
      <w:r w:rsidR="00002840" w:rsidRPr="00C15A2F">
        <w:rPr>
          <w:rFonts w:ascii="Times New Roman" w:hAnsi="Times New Roman" w:cs="Times New Roman"/>
          <w:sz w:val="26"/>
          <w:szCs w:val="26"/>
          <w:lang w:val="fr-FR"/>
        </w:rPr>
        <w:t xml:space="preserve"> </w:t>
      </w:r>
      <w:proofErr w:type="spellStart"/>
      <w:r w:rsidR="00002840" w:rsidRPr="00C15A2F">
        <w:rPr>
          <w:rFonts w:ascii="Times New Roman" w:hAnsi="Times New Roman" w:cs="Times New Roman"/>
          <w:sz w:val="26"/>
          <w:szCs w:val="26"/>
          <w:lang w:val="fr-FR"/>
        </w:rPr>
        <w:t>dello</w:t>
      </w:r>
      <w:proofErr w:type="spellEnd"/>
      <w:r w:rsidR="00002840" w:rsidRPr="00C15A2F">
        <w:rPr>
          <w:rFonts w:ascii="Times New Roman" w:hAnsi="Times New Roman" w:cs="Times New Roman"/>
          <w:sz w:val="26"/>
          <w:szCs w:val="26"/>
          <w:lang w:val="fr-FR"/>
        </w:rPr>
        <w:t xml:space="preserve"> </w:t>
      </w:r>
      <w:proofErr w:type="spellStart"/>
      <w:r w:rsidR="00002840" w:rsidRPr="00C15A2F">
        <w:rPr>
          <w:rFonts w:ascii="Times New Roman" w:hAnsi="Times New Roman" w:cs="Times New Roman"/>
          <w:sz w:val="26"/>
          <w:szCs w:val="26"/>
          <w:lang w:val="fr-FR"/>
        </w:rPr>
        <w:t>Stato</w:t>
      </w:r>
      <w:proofErr w:type="spellEnd"/>
      <w:r w:rsidR="00002840" w:rsidRPr="00C15A2F">
        <w:rPr>
          <w:rFonts w:ascii="Times New Roman" w:hAnsi="Times New Roman" w:cs="Times New Roman"/>
          <w:sz w:val="26"/>
          <w:szCs w:val="26"/>
          <w:lang w:val="fr-FR"/>
        </w:rPr>
        <w:t xml:space="preserve"> </w:t>
      </w:r>
      <w:r w:rsidR="00002840" w:rsidRPr="00C15A2F">
        <w:rPr>
          <w:rFonts w:ascii="Times New Roman" w:hAnsi="Times New Roman" w:cs="Times New Roman"/>
          <w:color w:val="333333"/>
          <w:sz w:val="26"/>
          <w:szCs w:val="26"/>
          <w:shd w:val="clear" w:color="auto" w:fill="FFFFFF"/>
        </w:rPr>
        <w:t xml:space="preserve">contro la legge n. 11 del 9 dicembre 2020 della Regione Val D’Aosta, </w:t>
      </w:r>
      <w:r w:rsidR="00002840" w:rsidRPr="00C15A2F">
        <w:rPr>
          <w:rFonts w:ascii="Times New Roman" w:hAnsi="Times New Roman" w:cs="Times New Roman"/>
          <w:sz w:val="26"/>
          <w:szCs w:val="26"/>
          <w:lang w:val="fr-FR"/>
        </w:rPr>
        <w:t xml:space="preserve"> ha </w:t>
      </w:r>
      <w:proofErr w:type="spellStart"/>
      <w:r w:rsidR="00407C4B" w:rsidRPr="00C15A2F">
        <w:rPr>
          <w:rFonts w:ascii="Times New Roman" w:hAnsi="Times New Roman" w:cs="Times New Roman"/>
          <w:sz w:val="26"/>
          <w:szCs w:val="26"/>
          <w:lang w:val="fr-FR"/>
        </w:rPr>
        <w:t>definitivamente</w:t>
      </w:r>
      <w:proofErr w:type="spellEnd"/>
      <w:r w:rsidR="00407C4B" w:rsidRPr="00C15A2F">
        <w:rPr>
          <w:rFonts w:ascii="Times New Roman" w:hAnsi="Times New Roman" w:cs="Times New Roman"/>
          <w:sz w:val="26"/>
          <w:szCs w:val="26"/>
          <w:lang w:val="fr-FR"/>
        </w:rPr>
        <w:t xml:space="preserve"> </w:t>
      </w:r>
      <w:proofErr w:type="spellStart"/>
      <w:r w:rsidR="00002840" w:rsidRPr="00C15A2F">
        <w:rPr>
          <w:rFonts w:ascii="Times New Roman" w:hAnsi="Times New Roman" w:cs="Times New Roman"/>
          <w:sz w:val="26"/>
          <w:szCs w:val="26"/>
          <w:lang w:val="fr-FR"/>
        </w:rPr>
        <w:t>chiarito</w:t>
      </w:r>
      <w:proofErr w:type="spellEnd"/>
      <w:r w:rsidR="00002840" w:rsidRPr="00C15A2F">
        <w:rPr>
          <w:rFonts w:ascii="Times New Roman" w:hAnsi="Times New Roman" w:cs="Times New Roman"/>
          <w:sz w:val="26"/>
          <w:szCs w:val="26"/>
          <w:lang w:val="fr-FR"/>
        </w:rPr>
        <w:t xml:space="preserve"> </w:t>
      </w:r>
      <w:r w:rsidR="008035C8" w:rsidRPr="00C15A2F">
        <w:rPr>
          <w:rFonts w:ascii="Times New Roman" w:hAnsi="Times New Roman" w:cs="Times New Roman"/>
          <w:sz w:val="26"/>
          <w:szCs w:val="26"/>
          <w:lang w:val="fr-FR"/>
        </w:rPr>
        <w:t xml:space="preserve"> </w:t>
      </w:r>
      <w:proofErr w:type="spellStart"/>
      <w:r w:rsidR="00002840" w:rsidRPr="00C15A2F">
        <w:rPr>
          <w:rFonts w:ascii="Times New Roman" w:hAnsi="Times New Roman" w:cs="Times New Roman"/>
          <w:sz w:val="26"/>
          <w:szCs w:val="26"/>
          <w:lang w:val="fr-FR"/>
        </w:rPr>
        <w:t>che</w:t>
      </w:r>
      <w:proofErr w:type="spellEnd"/>
      <w:r w:rsidR="00002840" w:rsidRPr="00C15A2F">
        <w:rPr>
          <w:rFonts w:ascii="Times New Roman" w:hAnsi="Times New Roman" w:cs="Times New Roman"/>
          <w:sz w:val="26"/>
          <w:szCs w:val="26"/>
          <w:lang w:val="fr-FR"/>
        </w:rPr>
        <w:t xml:space="preserve"> </w:t>
      </w:r>
      <w:r w:rsidR="00002840" w:rsidRPr="00C15A2F">
        <w:rPr>
          <w:rFonts w:ascii="Times New Roman" w:hAnsi="Times New Roman" w:cs="Times New Roman"/>
          <w:b/>
          <w:sz w:val="26"/>
          <w:szCs w:val="26"/>
          <w:lang w:val="fr-FR"/>
        </w:rPr>
        <w:t>s</w:t>
      </w:r>
      <w:proofErr w:type="spellStart"/>
      <w:r w:rsidR="008035C8" w:rsidRPr="00C15A2F">
        <w:rPr>
          <w:rStyle w:val="Enfasigrassetto"/>
          <w:rFonts w:ascii="Times New Roman" w:hAnsi="Times New Roman" w:cs="Times New Roman"/>
          <w:b w:val="0"/>
          <w:color w:val="333333"/>
          <w:sz w:val="26"/>
          <w:szCs w:val="26"/>
          <w:shd w:val="clear" w:color="auto" w:fill="FFFFFF"/>
        </w:rPr>
        <w:t>petta</w:t>
      </w:r>
      <w:proofErr w:type="spellEnd"/>
      <w:r w:rsidR="008035C8" w:rsidRPr="00C15A2F">
        <w:rPr>
          <w:rStyle w:val="Enfasigrassetto"/>
          <w:rFonts w:ascii="Times New Roman" w:hAnsi="Times New Roman" w:cs="Times New Roman"/>
          <w:b w:val="0"/>
          <w:color w:val="333333"/>
          <w:sz w:val="26"/>
          <w:szCs w:val="26"/>
          <w:shd w:val="clear" w:color="auto" w:fill="FFFFFF"/>
        </w:rPr>
        <w:t xml:space="preserve"> al</w:t>
      </w:r>
      <w:r>
        <w:rPr>
          <w:rStyle w:val="Enfasigrassetto"/>
          <w:rFonts w:ascii="Times New Roman" w:hAnsi="Times New Roman" w:cs="Times New Roman"/>
          <w:b w:val="0"/>
          <w:color w:val="333333"/>
          <w:sz w:val="26"/>
          <w:szCs w:val="26"/>
          <w:shd w:val="clear" w:color="auto" w:fill="FFFFFF"/>
        </w:rPr>
        <w:t xml:space="preserve"> primo</w:t>
      </w:r>
      <w:r w:rsidR="008035C8" w:rsidRPr="00C15A2F">
        <w:rPr>
          <w:rStyle w:val="Enfasigrassetto"/>
          <w:rFonts w:ascii="Times New Roman" w:hAnsi="Times New Roman" w:cs="Times New Roman"/>
          <w:b w:val="0"/>
          <w:color w:val="333333"/>
          <w:sz w:val="26"/>
          <w:szCs w:val="26"/>
          <w:shd w:val="clear" w:color="auto" w:fill="FFFFFF"/>
        </w:rPr>
        <w:t xml:space="preserve">, </w:t>
      </w:r>
      <w:r>
        <w:rPr>
          <w:rStyle w:val="Enfasigrassetto"/>
          <w:rFonts w:ascii="Times New Roman" w:hAnsi="Times New Roman" w:cs="Times New Roman"/>
          <w:b w:val="0"/>
          <w:color w:val="333333"/>
          <w:sz w:val="26"/>
          <w:szCs w:val="26"/>
          <w:shd w:val="clear" w:color="auto" w:fill="FFFFFF"/>
        </w:rPr>
        <w:t xml:space="preserve">e </w:t>
      </w:r>
      <w:r w:rsidR="008035C8" w:rsidRPr="00C15A2F">
        <w:rPr>
          <w:rStyle w:val="Enfasigrassetto"/>
          <w:rFonts w:ascii="Times New Roman" w:hAnsi="Times New Roman" w:cs="Times New Roman"/>
          <w:b w:val="0"/>
          <w:color w:val="333333"/>
          <w:sz w:val="26"/>
          <w:szCs w:val="26"/>
          <w:shd w:val="clear" w:color="auto" w:fill="FFFFFF"/>
        </w:rPr>
        <w:t xml:space="preserve">non alle Regioni, </w:t>
      </w:r>
      <w:r>
        <w:rPr>
          <w:rStyle w:val="Enfasigrassetto"/>
          <w:rFonts w:ascii="Times New Roman" w:hAnsi="Times New Roman" w:cs="Times New Roman"/>
          <w:b w:val="0"/>
          <w:color w:val="333333"/>
          <w:sz w:val="26"/>
          <w:szCs w:val="26"/>
          <w:shd w:val="clear" w:color="auto" w:fill="FFFFFF"/>
        </w:rPr>
        <w:t xml:space="preserve">ivi comprese quelle, </w:t>
      </w:r>
      <w:r w:rsidRPr="00C15A2F">
        <w:rPr>
          <w:rFonts w:ascii="Times New Roman" w:hAnsi="Times New Roman" w:cs="Times New Roman"/>
          <w:color w:val="333333"/>
          <w:sz w:val="26"/>
          <w:szCs w:val="26"/>
          <w:shd w:val="clear" w:color="auto" w:fill="FFFFFF"/>
        </w:rPr>
        <w:t>come la Valle d’Aosta, che in ragione del proprio Statuto speciale, godono di maggiore autonomia legislativa e amministrativa</w:t>
      </w:r>
      <w:r>
        <w:rPr>
          <w:rFonts w:ascii="Times New Roman" w:hAnsi="Times New Roman" w:cs="Times New Roman"/>
          <w:color w:val="333333"/>
          <w:sz w:val="26"/>
          <w:szCs w:val="26"/>
          <w:shd w:val="clear" w:color="auto" w:fill="FFFFFF"/>
        </w:rPr>
        <w:t xml:space="preserve">, </w:t>
      </w:r>
      <w:r w:rsidR="008035C8" w:rsidRPr="00C15A2F">
        <w:rPr>
          <w:rStyle w:val="Enfasigrassetto"/>
          <w:rFonts w:ascii="Times New Roman" w:hAnsi="Times New Roman" w:cs="Times New Roman"/>
          <w:b w:val="0"/>
          <w:color w:val="333333"/>
          <w:sz w:val="26"/>
          <w:szCs w:val="26"/>
          <w:shd w:val="clear" w:color="auto" w:fill="FFFFFF"/>
        </w:rPr>
        <w:t>determinare le misure necessarie al contrasto della pandemia</w:t>
      </w:r>
      <w:r>
        <w:rPr>
          <w:rStyle w:val="Enfasigrassetto"/>
          <w:rFonts w:ascii="Times New Roman" w:hAnsi="Times New Roman" w:cs="Times New Roman"/>
          <w:b w:val="0"/>
          <w:color w:val="333333"/>
          <w:sz w:val="26"/>
          <w:szCs w:val="26"/>
          <w:shd w:val="clear" w:color="auto" w:fill="FFFFFF"/>
        </w:rPr>
        <w:t xml:space="preserve">. </w:t>
      </w:r>
    </w:p>
    <w:p w:rsidR="001F31C9" w:rsidRPr="00C15A2F" w:rsidRDefault="00E874F7" w:rsidP="008E2068">
      <w:pPr>
        <w:spacing w:after="0" w:line="360" w:lineRule="auto"/>
        <w:jc w:val="both"/>
        <w:rPr>
          <w:rFonts w:ascii="Times New Roman" w:hAnsi="Times New Roman" w:cs="Times New Roman"/>
          <w:color w:val="000000"/>
          <w:sz w:val="26"/>
          <w:szCs w:val="26"/>
        </w:rPr>
      </w:pPr>
      <w:r>
        <w:rPr>
          <w:rStyle w:val="Enfasigrassetto"/>
          <w:rFonts w:ascii="Times New Roman" w:hAnsi="Times New Roman" w:cs="Times New Roman"/>
          <w:b w:val="0"/>
          <w:color w:val="333333"/>
          <w:sz w:val="26"/>
          <w:szCs w:val="26"/>
          <w:shd w:val="clear" w:color="auto" w:fill="FFFFFF"/>
        </w:rPr>
        <w:t>Venendo quindi alla casistica più significativa al riguardo, è</w:t>
      </w:r>
      <w:r w:rsidR="00407C4B" w:rsidRPr="00C15A2F">
        <w:rPr>
          <w:rFonts w:ascii="Times New Roman" w:hAnsi="Times New Roman" w:cs="Times New Roman"/>
          <w:color w:val="333333"/>
          <w:sz w:val="26"/>
          <w:szCs w:val="26"/>
          <w:shd w:val="clear" w:color="auto" w:fill="FFFFFF"/>
        </w:rPr>
        <w:t xml:space="preserve"> stata pertanto sospesa</w:t>
      </w:r>
      <w:r>
        <w:rPr>
          <w:rFonts w:ascii="Times New Roman" w:hAnsi="Times New Roman" w:cs="Times New Roman"/>
          <w:color w:val="333333"/>
          <w:sz w:val="26"/>
          <w:szCs w:val="26"/>
          <w:shd w:val="clear" w:color="auto" w:fill="FFFFFF"/>
        </w:rPr>
        <w:t xml:space="preserve"> </w:t>
      </w:r>
      <w:r w:rsidRPr="00C15A2F">
        <w:rPr>
          <w:rFonts w:ascii="Times New Roman" w:hAnsi="Times New Roman" w:cs="Times New Roman"/>
          <w:color w:val="333333"/>
          <w:sz w:val="26"/>
          <w:szCs w:val="26"/>
          <w:shd w:val="clear" w:color="auto" w:fill="FFFFFF"/>
        </w:rPr>
        <w:t xml:space="preserve">dal T.A.R. per la </w:t>
      </w:r>
      <w:proofErr w:type="spellStart"/>
      <w:r w:rsidRPr="00C15A2F">
        <w:rPr>
          <w:rFonts w:ascii="Times New Roman" w:hAnsi="Times New Roman" w:cs="Times New Roman"/>
          <w:sz w:val="26"/>
          <w:szCs w:val="26"/>
          <w:lang w:val="fr-FR"/>
        </w:rPr>
        <w:t>Toscana</w:t>
      </w:r>
      <w:proofErr w:type="spellEnd"/>
      <w:r w:rsidRPr="00C15A2F">
        <w:rPr>
          <w:rFonts w:ascii="Times New Roman" w:hAnsi="Times New Roman" w:cs="Times New Roman"/>
          <w:sz w:val="26"/>
          <w:szCs w:val="26"/>
          <w:lang w:val="fr-FR"/>
        </w:rPr>
        <w:t xml:space="preserve"> (</w:t>
      </w:r>
      <w:proofErr w:type="spellStart"/>
      <w:r w:rsidRPr="00C15A2F">
        <w:rPr>
          <w:rFonts w:ascii="Times New Roman" w:hAnsi="Times New Roman" w:cs="Times New Roman"/>
          <w:sz w:val="26"/>
          <w:szCs w:val="26"/>
          <w:lang w:val="fr-FR"/>
        </w:rPr>
        <w:t>ordinanza</w:t>
      </w:r>
      <w:proofErr w:type="spellEnd"/>
      <w:r w:rsidRPr="00C15A2F">
        <w:rPr>
          <w:rFonts w:ascii="Times New Roman" w:hAnsi="Times New Roman" w:cs="Times New Roman"/>
          <w:sz w:val="26"/>
          <w:szCs w:val="26"/>
          <w:lang w:val="fr-FR"/>
        </w:rPr>
        <w:t xml:space="preserve"> 5 </w:t>
      </w:r>
      <w:proofErr w:type="spellStart"/>
      <w:r w:rsidRPr="00C15A2F">
        <w:rPr>
          <w:rFonts w:ascii="Times New Roman" w:hAnsi="Times New Roman" w:cs="Times New Roman"/>
          <w:sz w:val="26"/>
          <w:szCs w:val="26"/>
          <w:lang w:val="fr-FR"/>
        </w:rPr>
        <w:t>marzo</w:t>
      </w:r>
      <w:proofErr w:type="spellEnd"/>
      <w:r w:rsidRPr="00C15A2F">
        <w:rPr>
          <w:rFonts w:ascii="Times New Roman" w:hAnsi="Times New Roman" w:cs="Times New Roman"/>
          <w:sz w:val="26"/>
          <w:szCs w:val="26"/>
          <w:lang w:val="fr-FR"/>
        </w:rPr>
        <w:t xml:space="preserve"> 2021, n. 334)</w:t>
      </w:r>
      <w:r w:rsidR="00407C4B" w:rsidRPr="00C15A2F">
        <w:rPr>
          <w:rFonts w:ascii="Times New Roman" w:hAnsi="Times New Roman" w:cs="Times New Roman"/>
          <w:color w:val="333333"/>
          <w:sz w:val="26"/>
          <w:szCs w:val="26"/>
          <w:shd w:val="clear" w:color="auto" w:fill="FFFFFF"/>
        </w:rPr>
        <w:t xml:space="preserve">, perché ritenuta </w:t>
      </w:r>
      <w:r>
        <w:rPr>
          <w:rFonts w:ascii="Times New Roman" w:hAnsi="Times New Roman" w:cs="Times New Roman"/>
          <w:color w:val="333333"/>
          <w:sz w:val="26"/>
          <w:szCs w:val="26"/>
          <w:shd w:val="clear" w:color="auto" w:fill="FFFFFF"/>
        </w:rPr>
        <w:t xml:space="preserve">non conforme alle indicazioni generali in materia di spostamenti sul territorio, </w:t>
      </w:r>
      <w:r w:rsidR="00DF5A98" w:rsidRPr="00C15A2F">
        <w:rPr>
          <w:rFonts w:ascii="Times New Roman" w:hAnsi="Times New Roman" w:cs="Times New Roman"/>
          <w:color w:val="5C5C5C"/>
          <w:sz w:val="26"/>
          <w:szCs w:val="26"/>
        </w:rPr>
        <w:t xml:space="preserve">l’ordinanza del Presidente della Regione Toscana n. 3 del 22 gennaio 2021 nella parte in cui limitava il rientro </w:t>
      </w:r>
      <w:r>
        <w:rPr>
          <w:rFonts w:ascii="Times New Roman" w:hAnsi="Times New Roman" w:cs="Times New Roman"/>
          <w:color w:val="5C5C5C"/>
          <w:sz w:val="26"/>
          <w:szCs w:val="26"/>
        </w:rPr>
        <w:t xml:space="preserve">nei relativi confini </w:t>
      </w:r>
      <w:r w:rsidR="00DF5A98" w:rsidRPr="00C15A2F">
        <w:rPr>
          <w:rFonts w:ascii="Times New Roman" w:hAnsi="Times New Roman" w:cs="Times New Roman"/>
          <w:color w:val="5C5C5C"/>
          <w:sz w:val="26"/>
          <w:szCs w:val="26"/>
        </w:rPr>
        <w:t xml:space="preserve">(presso la propria abitazione, non residenza) dalle zone classificate gialle, arancioni e rosse soltanto a coloro che </w:t>
      </w:r>
      <w:r>
        <w:rPr>
          <w:rFonts w:ascii="Times New Roman" w:hAnsi="Times New Roman" w:cs="Times New Roman"/>
          <w:color w:val="5C5C5C"/>
          <w:sz w:val="26"/>
          <w:szCs w:val="26"/>
        </w:rPr>
        <w:t xml:space="preserve">ivi </w:t>
      </w:r>
      <w:r w:rsidR="00DF5A98" w:rsidRPr="00C15A2F">
        <w:rPr>
          <w:rFonts w:ascii="Times New Roman" w:hAnsi="Times New Roman" w:cs="Times New Roman"/>
          <w:color w:val="5C5C5C"/>
          <w:sz w:val="26"/>
          <w:szCs w:val="26"/>
        </w:rPr>
        <w:t xml:space="preserve">avessero il proprio medico di medicina generale. La Regione fondava la limitazione sull’esigenza di non gravare il proprio sistema sanitario della ipotetica assistenza </w:t>
      </w:r>
      <w:r>
        <w:rPr>
          <w:rFonts w:ascii="Times New Roman" w:hAnsi="Times New Roman" w:cs="Times New Roman"/>
          <w:color w:val="5C5C5C"/>
          <w:sz w:val="26"/>
          <w:szCs w:val="26"/>
        </w:rPr>
        <w:t>a</w:t>
      </w:r>
      <w:r w:rsidR="00DF5A98" w:rsidRPr="00C15A2F">
        <w:rPr>
          <w:rFonts w:ascii="Times New Roman" w:hAnsi="Times New Roman" w:cs="Times New Roman"/>
          <w:color w:val="5C5C5C"/>
          <w:sz w:val="26"/>
          <w:szCs w:val="26"/>
        </w:rPr>
        <w:t xml:space="preserve"> soggetti privi di domiciliazione sanitaria sul territorio (e dunque di un proprio medico), </w:t>
      </w:r>
      <w:r>
        <w:rPr>
          <w:rFonts w:ascii="Times New Roman" w:hAnsi="Times New Roman" w:cs="Times New Roman"/>
          <w:color w:val="5C5C5C"/>
          <w:sz w:val="26"/>
          <w:szCs w:val="26"/>
        </w:rPr>
        <w:t xml:space="preserve">dato che effettivamente </w:t>
      </w:r>
      <w:r w:rsidR="00DF5A98" w:rsidRPr="00C15A2F">
        <w:rPr>
          <w:rFonts w:ascii="Times New Roman" w:hAnsi="Times New Roman" w:cs="Times New Roman"/>
          <w:color w:val="5C5C5C"/>
          <w:sz w:val="26"/>
          <w:szCs w:val="26"/>
        </w:rPr>
        <w:t>le valutazioni di “tenuta” del</w:t>
      </w:r>
      <w:r>
        <w:rPr>
          <w:rFonts w:ascii="Times New Roman" w:hAnsi="Times New Roman" w:cs="Times New Roman"/>
          <w:color w:val="5C5C5C"/>
          <w:sz w:val="26"/>
          <w:szCs w:val="26"/>
        </w:rPr>
        <w:t>lo stesso</w:t>
      </w:r>
      <w:r w:rsidR="00DF5A98" w:rsidRPr="00C15A2F">
        <w:rPr>
          <w:rFonts w:ascii="Times New Roman" w:hAnsi="Times New Roman" w:cs="Times New Roman"/>
          <w:color w:val="5C5C5C"/>
          <w:sz w:val="26"/>
          <w:szCs w:val="26"/>
        </w:rPr>
        <w:t xml:space="preserve"> (disponibilità di posti letto in terapia intensiva) presuppon</w:t>
      </w:r>
      <w:r>
        <w:rPr>
          <w:rFonts w:ascii="Times New Roman" w:hAnsi="Times New Roman" w:cs="Times New Roman"/>
          <w:color w:val="5C5C5C"/>
          <w:sz w:val="26"/>
          <w:szCs w:val="26"/>
        </w:rPr>
        <w:t>gono</w:t>
      </w:r>
      <w:r w:rsidR="00DF5A98" w:rsidRPr="00C15A2F">
        <w:rPr>
          <w:rFonts w:ascii="Times New Roman" w:hAnsi="Times New Roman" w:cs="Times New Roman"/>
          <w:color w:val="5C5C5C"/>
          <w:sz w:val="26"/>
          <w:szCs w:val="26"/>
        </w:rPr>
        <w:t xml:space="preserve"> necessariamente un monitoraggio preventivo delle utenze, c</w:t>
      </w:r>
      <w:r>
        <w:rPr>
          <w:rFonts w:ascii="Times New Roman" w:hAnsi="Times New Roman" w:cs="Times New Roman"/>
          <w:color w:val="5C5C5C"/>
          <w:sz w:val="26"/>
          <w:szCs w:val="26"/>
        </w:rPr>
        <w:t>he</w:t>
      </w:r>
      <w:r w:rsidR="00DF5A98" w:rsidRPr="00C15A2F">
        <w:rPr>
          <w:rFonts w:ascii="Times New Roman" w:hAnsi="Times New Roman" w:cs="Times New Roman"/>
          <w:color w:val="5C5C5C"/>
          <w:sz w:val="26"/>
          <w:szCs w:val="26"/>
        </w:rPr>
        <w:t xml:space="preserve"> l’aggiunta di nuovi potenziali pazient</w:t>
      </w:r>
      <w:r w:rsidR="00474D40" w:rsidRPr="00C15A2F">
        <w:rPr>
          <w:rFonts w:ascii="Times New Roman" w:hAnsi="Times New Roman" w:cs="Times New Roman"/>
          <w:color w:val="5C5C5C"/>
          <w:sz w:val="26"/>
          <w:szCs w:val="26"/>
        </w:rPr>
        <w:t xml:space="preserve">i rischia di </w:t>
      </w:r>
      <w:r>
        <w:rPr>
          <w:rFonts w:ascii="Times New Roman" w:hAnsi="Times New Roman" w:cs="Times New Roman"/>
          <w:color w:val="5C5C5C"/>
          <w:sz w:val="26"/>
          <w:szCs w:val="26"/>
        </w:rPr>
        <w:t>vanificare</w:t>
      </w:r>
      <w:r w:rsidR="00474D40" w:rsidRPr="00C15A2F">
        <w:rPr>
          <w:rFonts w:ascii="Times New Roman" w:hAnsi="Times New Roman" w:cs="Times New Roman"/>
          <w:color w:val="5C5C5C"/>
          <w:sz w:val="26"/>
          <w:szCs w:val="26"/>
        </w:rPr>
        <w:t xml:space="preserve">. </w:t>
      </w:r>
      <w:r w:rsidR="00DF5A98" w:rsidRPr="00C15A2F">
        <w:rPr>
          <w:rFonts w:ascii="Times New Roman" w:hAnsi="Times New Roman" w:cs="Times New Roman"/>
          <w:color w:val="5C5C5C"/>
          <w:sz w:val="26"/>
          <w:szCs w:val="26"/>
        </w:rPr>
        <w:t xml:space="preserve"> </w:t>
      </w:r>
      <w:r w:rsidR="001F31C9" w:rsidRPr="00C15A2F">
        <w:rPr>
          <w:rFonts w:ascii="Times New Roman" w:hAnsi="Times New Roman" w:cs="Times New Roman"/>
          <w:color w:val="5C5C5C"/>
          <w:sz w:val="26"/>
          <w:szCs w:val="26"/>
        </w:rPr>
        <w:t xml:space="preserve">Al contrario, è stata ritenuta legittima la misura precauzionale della sottoposizione obbligatoria a tamponi molecolari quale condizione di accesso </w:t>
      </w:r>
      <w:r w:rsidR="00407C4B" w:rsidRPr="00C15A2F">
        <w:rPr>
          <w:rFonts w:ascii="Times New Roman" w:hAnsi="Times New Roman" w:cs="Times New Roman"/>
          <w:color w:val="5C5C5C"/>
          <w:sz w:val="26"/>
          <w:szCs w:val="26"/>
        </w:rPr>
        <w:t xml:space="preserve">alla </w:t>
      </w:r>
      <w:r w:rsidR="001F31C9" w:rsidRPr="00C15A2F">
        <w:rPr>
          <w:rFonts w:ascii="Times New Roman" w:hAnsi="Times New Roman" w:cs="Times New Roman"/>
          <w:color w:val="5C5C5C"/>
          <w:sz w:val="26"/>
          <w:szCs w:val="26"/>
        </w:rPr>
        <w:t xml:space="preserve">Regione Sardegna, </w:t>
      </w:r>
      <w:r w:rsidR="00407C4B" w:rsidRPr="00C15A2F">
        <w:rPr>
          <w:rFonts w:ascii="Times New Roman" w:hAnsi="Times New Roman" w:cs="Times New Roman"/>
          <w:color w:val="5C5C5C"/>
          <w:sz w:val="26"/>
          <w:szCs w:val="26"/>
        </w:rPr>
        <w:t xml:space="preserve">interessata da notevole afflusso turistico nel periodo di riferimento, </w:t>
      </w:r>
      <w:r w:rsidR="001F31C9" w:rsidRPr="00C15A2F">
        <w:rPr>
          <w:rFonts w:ascii="Times New Roman" w:hAnsi="Times New Roman" w:cs="Times New Roman"/>
          <w:color w:val="5C5C5C"/>
          <w:sz w:val="26"/>
          <w:szCs w:val="26"/>
        </w:rPr>
        <w:t xml:space="preserve">con qualunque mezzo di trasporto. </w:t>
      </w:r>
      <w:r>
        <w:rPr>
          <w:rFonts w:ascii="Times New Roman" w:hAnsi="Times New Roman" w:cs="Times New Roman"/>
          <w:color w:val="5C5C5C"/>
          <w:sz w:val="26"/>
          <w:szCs w:val="26"/>
        </w:rPr>
        <w:t xml:space="preserve">In tal caso, infatti, la scelta era commisurata all’esigenza che intendeva fronteggiare, stante </w:t>
      </w:r>
      <w:r w:rsidR="003328F7">
        <w:rPr>
          <w:rFonts w:ascii="Times New Roman" w:hAnsi="Times New Roman" w:cs="Times New Roman"/>
          <w:color w:val="5C5C5C"/>
          <w:sz w:val="26"/>
          <w:szCs w:val="26"/>
        </w:rPr>
        <w:t xml:space="preserve">che </w:t>
      </w:r>
      <w:r w:rsidR="0027791F" w:rsidRPr="00C15A2F">
        <w:rPr>
          <w:rFonts w:ascii="Times New Roman" w:hAnsi="Times New Roman" w:cs="Times New Roman"/>
          <w:color w:val="5C5C5C"/>
          <w:sz w:val="26"/>
          <w:szCs w:val="26"/>
        </w:rPr>
        <w:t>i</w:t>
      </w:r>
      <w:r w:rsidR="001F31C9" w:rsidRPr="00C15A2F">
        <w:rPr>
          <w:rFonts w:ascii="Times New Roman" w:hAnsi="Times New Roman" w:cs="Times New Roman"/>
          <w:color w:val="000000"/>
          <w:sz w:val="26"/>
          <w:szCs w:val="26"/>
        </w:rPr>
        <w:t xml:space="preserve">l </w:t>
      </w:r>
      <w:r w:rsidR="003328F7">
        <w:rPr>
          <w:rFonts w:ascii="Times New Roman" w:hAnsi="Times New Roman" w:cs="Times New Roman"/>
          <w:color w:val="000000"/>
          <w:sz w:val="26"/>
          <w:szCs w:val="26"/>
        </w:rPr>
        <w:t xml:space="preserve">paventato </w:t>
      </w:r>
      <w:r w:rsidR="001F31C9" w:rsidRPr="00C15A2F">
        <w:rPr>
          <w:rFonts w:ascii="Times New Roman" w:hAnsi="Times New Roman" w:cs="Times New Roman"/>
          <w:color w:val="000000"/>
          <w:sz w:val="26"/>
          <w:szCs w:val="26"/>
        </w:rPr>
        <w:t xml:space="preserve">carattere di “invasività” e pericolosità di misure precauzionali, quali il tampone molecolare, è </w:t>
      </w:r>
      <w:r w:rsidR="0027791F" w:rsidRPr="00C15A2F">
        <w:rPr>
          <w:rFonts w:ascii="Times New Roman" w:hAnsi="Times New Roman" w:cs="Times New Roman"/>
          <w:color w:val="000000"/>
          <w:sz w:val="26"/>
          <w:szCs w:val="26"/>
        </w:rPr>
        <w:t xml:space="preserve">stato </w:t>
      </w:r>
      <w:r w:rsidR="001F31C9" w:rsidRPr="00C15A2F">
        <w:rPr>
          <w:rFonts w:ascii="Times New Roman" w:hAnsi="Times New Roman" w:cs="Times New Roman"/>
          <w:color w:val="000000"/>
          <w:sz w:val="26"/>
          <w:szCs w:val="26"/>
        </w:rPr>
        <w:t xml:space="preserve">smentito </w:t>
      </w:r>
      <w:r w:rsidR="0027791F" w:rsidRPr="00C15A2F">
        <w:rPr>
          <w:rFonts w:ascii="Times New Roman" w:hAnsi="Times New Roman" w:cs="Times New Roman"/>
          <w:color w:val="000000"/>
          <w:sz w:val="26"/>
          <w:szCs w:val="26"/>
        </w:rPr>
        <w:t>«</w:t>
      </w:r>
      <w:r w:rsidR="001F31C9" w:rsidRPr="00C15A2F">
        <w:rPr>
          <w:rFonts w:ascii="Times New Roman" w:hAnsi="Times New Roman" w:cs="Times New Roman"/>
          <w:i/>
          <w:color w:val="000000"/>
          <w:sz w:val="26"/>
          <w:szCs w:val="26"/>
        </w:rPr>
        <w:t>dalla circostanza pacifica che non sono emersi, dopo circa dodici mesi dall’esplosione pandemica e la somministrazione di milioni di tamponi sia molecolari che antigenici, evidenze scientifiche tali da superare, a fronte del possibile limitato disagio di chi si sottopone alla misura precauzionale, il beneficio evidente, e prioritario, per la salute pubblica, consistente nella tracciatura e prevenzione – per i tamponi – e nella immunizzazione – per i va</w:t>
      </w:r>
      <w:r w:rsidR="001F31C9" w:rsidRPr="00C07390">
        <w:rPr>
          <w:rFonts w:ascii="Times New Roman" w:hAnsi="Times New Roman" w:cs="Times New Roman"/>
          <w:i/>
          <w:color w:val="000000"/>
          <w:sz w:val="26"/>
          <w:szCs w:val="26"/>
        </w:rPr>
        <w:t xml:space="preserve">ccini </w:t>
      </w:r>
      <w:r w:rsidR="0027791F" w:rsidRPr="00C15A2F">
        <w:rPr>
          <w:rFonts w:ascii="Times New Roman" w:hAnsi="Times New Roman" w:cs="Times New Roman"/>
          <w:color w:val="000000"/>
          <w:sz w:val="26"/>
          <w:szCs w:val="26"/>
        </w:rPr>
        <w:t xml:space="preserve">» </w:t>
      </w:r>
      <w:r w:rsidR="001F31C9" w:rsidRPr="00C15A2F">
        <w:rPr>
          <w:rFonts w:ascii="Times New Roman" w:hAnsi="Times New Roman" w:cs="Times New Roman"/>
          <w:color w:val="000000"/>
          <w:sz w:val="26"/>
          <w:szCs w:val="26"/>
        </w:rPr>
        <w:t>(</w:t>
      </w:r>
      <w:proofErr w:type="spellStart"/>
      <w:r w:rsidR="001F31C9" w:rsidRPr="00C15A2F">
        <w:rPr>
          <w:rFonts w:ascii="Times New Roman" w:hAnsi="Times New Roman" w:cs="Times New Roman"/>
          <w:color w:val="000000"/>
          <w:sz w:val="26"/>
          <w:szCs w:val="26"/>
        </w:rPr>
        <w:t>Cons</w:t>
      </w:r>
      <w:proofErr w:type="spellEnd"/>
      <w:r w:rsidR="001F31C9" w:rsidRPr="00C15A2F">
        <w:rPr>
          <w:rFonts w:ascii="Times New Roman" w:hAnsi="Times New Roman" w:cs="Times New Roman"/>
          <w:color w:val="000000"/>
          <w:sz w:val="26"/>
          <w:szCs w:val="26"/>
        </w:rPr>
        <w:t xml:space="preserve">. Stato, sez. III, </w:t>
      </w:r>
      <w:r w:rsidR="0027791F" w:rsidRPr="00C15A2F">
        <w:rPr>
          <w:rFonts w:ascii="Times New Roman" w:hAnsi="Times New Roman" w:cs="Times New Roman"/>
          <w:color w:val="000000"/>
          <w:sz w:val="26"/>
          <w:szCs w:val="26"/>
        </w:rPr>
        <w:t xml:space="preserve">decreto del </w:t>
      </w:r>
      <w:r w:rsidR="001F31C9" w:rsidRPr="00C15A2F">
        <w:rPr>
          <w:rFonts w:ascii="Times New Roman" w:hAnsi="Times New Roman" w:cs="Times New Roman"/>
          <w:color w:val="000000"/>
          <w:sz w:val="26"/>
          <w:szCs w:val="26"/>
        </w:rPr>
        <w:t xml:space="preserve">10 marzo 2021, n. 1224). </w:t>
      </w:r>
    </w:p>
    <w:p w:rsidR="0027791F" w:rsidRPr="00C15A2F" w:rsidRDefault="00CD50C0" w:rsidP="008E2068">
      <w:pPr>
        <w:spacing w:after="0" w:line="360" w:lineRule="auto"/>
        <w:jc w:val="both"/>
        <w:rPr>
          <w:rFonts w:ascii="Times New Roman" w:hAnsi="Times New Roman" w:cs="Times New Roman"/>
          <w:color w:val="000000"/>
          <w:sz w:val="26"/>
          <w:szCs w:val="26"/>
        </w:rPr>
      </w:pPr>
      <w:r w:rsidRPr="00C15A2F">
        <w:rPr>
          <w:rFonts w:ascii="Times New Roman" w:hAnsi="Times New Roman" w:cs="Times New Roman"/>
          <w:color w:val="000000"/>
          <w:sz w:val="26"/>
          <w:szCs w:val="26"/>
        </w:rPr>
        <w:t>A cascata, q</w:t>
      </w:r>
      <w:r w:rsidR="0027791F" w:rsidRPr="00C15A2F">
        <w:rPr>
          <w:rFonts w:ascii="Times New Roman" w:hAnsi="Times New Roman" w:cs="Times New Roman"/>
          <w:color w:val="000000"/>
          <w:sz w:val="26"/>
          <w:szCs w:val="26"/>
        </w:rPr>
        <w:t xml:space="preserve">uanto </w:t>
      </w:r>
      <w:r w:rsidR="0027791F" w:rsidRPr="00C15A2F">
        <w:rPr>
          <w:rFonts w:ascii="Times New Roman" w:hAnsi="Times New Roman" w:cs="Times New Roman"/>
          <w:b/>
          <w:color w:val="000000"/>
          <w:sz w:val="26"/>
          <w:szCs w:val="26"/>
        </w:rPr>
        <w:t>ai provvedimenti dei Sindaci</w:t>
      </w:r>
      <w:r w:rsidR="0027791F" w:rsidRPr="00C15A2F">
        <w:rPr>
          <w:rFonts w:ascii="Times New Roman" w:hAnsi="Times New Roman" w:cs="Times New Roman"/>
          <w:color w:val="000000"/>
          <w:sz w:val="26"/>
          <w:szCs w:val="26"/>
        </w:rPr>
        <w:t xml:space="preserve">, </w:t>
      </w:r>
      <w:r w:rsidRPr="00C15A2F">
        <w:rPr>
          <w:rFonts w:ascii="Times New Roman" w:hAnsi="Times New Roman" w:cs="Times New Roman"/>
          <w:color w:val="000000"/>
          <w:sz w:val="26"/>
          <w:szCs w:val="26"/>
        </w:rPr>
        <w:t xml:space="preserve">sempre avuto riguardo alla loro astratta possibilità di </w:t>
      </w:r>
      <w:r w:rsidR="003328F7">
        <w:rPr>
          <w:rFonts w:ascii="Times New Roman" w:hAnsi="Times New Roman" w:cs="Times New Roman"/>
          <w:color w:val="000000"/>
          <w:sz w:val="26"/>
          <w:szCs w:val="26"/>
        </w:rPr>
        <w:t xml:space="preserve">stabilire regole per </w:t>
      </w:r>
      <w:r w:rsidRPr="00C15A2F">
        <w:rPr>
          <w:rFonts w:ascii="Times New Roman" w:hAnsi="Times New Roman" w:cs="Times New Roman"/>
          <w:color w:val="000000"/>
          <w:sz w:val="26"/>
          <w:szCs w:val="26"/>
        </w:rPr>
        <w:t>il proprio territorio divers</w:t>
      </w:r>
      <w:r w:rsidR="003328F7">
        <w:rPr>
          <w:rFonts w:ascii="Times New Roman" w:hAnsi="Times New Roman" w:cs="Times New Roman"/>
          <w:color w:val="000000"/>
          <w:sz w:val="26"/>
          <w:szCs w:val="26"/>
        </w:rPr>
        <w:t xml:space="preserve">e da quelle nazionali e finanche regionali, </w:t>
      </w:r>
      <w:r w:rsidRPr="00C15A2F">
        <w:rPr>
          <w:rFonts w:ascii="Times New Roman" w:hAnsi="Times New Roman" w:cs="Times New Roman"/>
          <w:color w:val="000000"/>
          <w:sz w:val="26"/>
          <w:szCs w:val="26"/>
        </w:rPr>
        <w:t xml:space="preserve">si è affermata la illegittimità delle ordinanze con le quali a Napoli si era </w:t>
      </w:r>
      <w:r w:rsidR="005D66A2" w:rsidRPr="00C15A2F">
        <w:rPr>
          <w:rFonts w:ascii="Times New Roman" w:hAnsi="Times New Roman" w:cs="Times New Roman"/>
          <w:color w:val="000000"/>
          <w:sz w:val="26"/>
          <w:szCs w:val="26"/>
        </w:rPr>
        <w:t xml:space="preserve">disposta </w:t>
      </w:r>
      <w:r w:rsidR="00E005DA" w:rsidRPr="00C15A2F">
        <w:rPr>
          <w:rFonts w:ascii="Times New Roman" w:hAnsi="Times New Roman" w:cs="Times New Roman"/>
          <w:color w:val="000000"/>
          <w:sz w:val="26"/>
          <w:szCs w:val="26"/>
        </w:rPr>
        <w:t xml:space="preserve">la modifica degli orari degli esercizi di somministrazione in senso ampliativo rispetto alla analoga regolamentazione operata con atti regionali </w:t>
      </w:r>
      <w:r w:rsidR="005D66A2" w:rsidRPr="00C15A2F">
        <w:rPr>
          <w:rFonts w:ascii="Times New Roman" w:hAnsi="Times New Roman" w:cs="Times New Roman"/>
          <w:color w:val="000000"/>
          <w:sz w:val="26"/>
          <w:szCs w:val="26"/>
        </w:rPr>
        <w:t>nonché</w:t>
      </w:r>
      <w:r w:rsidR="00E005DA" w:rsidRPr="00C15A2F">
        <w:rPr>
          <w:rFonts w:ascii="Times New Roman" w:hAnsi="Times New Roman" w:cs="Times New Roman"/>
          <w:color w:val="000000"/>
          <w:sz w:val="26"/>
          <w:szCs w:val="26"/>
        </w:rPr>
        <w:t xml:space="preserve">, per altro verso, </w:t>
      </w:r>
      <w:r w:rsidR="005D66A2" w:rsidRPr="00C15A2F">
        <w:rPr>
          <w:rFonts w:ascii="Times New Roman" w:hAnsi="Times New Roman" w:cs="Times New Roman"/>
          <w:color w:val="000000"/>
          <w:sz w:val="26"/>
          <w:szCs w:val="26"/>
        </w:rPr>
        <w:t xml:space="preserve">consentita </w:t>
      </w:r>
      <w:r w:rsidR="00E005DA" w:rsidRPr="00C15A2F">
        <w:rPr>
          <w:rFonts w:ascii="Times New Roman" w:hAnsi="Times New Roman" w:cs="Times New Roman"/>
          <w:color w:val="000000"/>
          <w:sz w:val="26"/>
          <w:szCs w:val="26"/>
        </w:rPr>
        <w:t xml:space="preserve">la deroga (temporanea) al regolamento comunale relativo alle concessioni per l’occupazione </w:t>
      </w:r>
      <w:r w:rsidR="003328F7">
        <w:rPr>
          <w:rFonts w:ascii="Times New Roman" w:hAnsi="Times New Roman" w:cs="Times New Roman"/>
          <w:color w:val="000000"/>
          <w:sz w:val="26"/>
          <w:szCs w:val="26"/>
        </w:rPr>
        <w:t>d</w:t>
      </w:r>
      <w:r w:rsidR="00E005DA" w:rsidRPr="00C15A2F">
        <w:rPr>
          <w:rFonts w:ascii="Times New Roman" w:hAnsi="Times New Roman" w:cs="Times New Roman"/>
          <w:color w:val="000000"/>
          <w:sz w:val="26"/>
          <w:szCs w:val="26"/>
        </w:rPr>
        <w:t xml:space="preserve">i suolo pubblico, motivata espressamente con riferimento alla prospettata esigenza di rilancio delle attività economiche nella fase successiva al </w:t>
      </w:r>
      <w:proofErr w:type="spellStart"/>
      <w:r w:rsidR="00E005DA" w:rsidRPr="00C15A2F">
        <w:rPr>
          <w:rFonts w:ascii="Times New Roman" w:hAnsi="Times New Roman" w:cs="Times New Roman"/>
          <w:i/>
          <w:color w:val="000000"/>
          <w:sz w:val="26"/>
          <w:szCs w:val="26"/>
        </w:rPr>
        <w:t>lockdown</w:t>
      </w:r>
      <w:proofErr w:type="spellEnd"/>
      <w:r w:rsidR="00474D40" w:rsidRPr="00C15A2F">
        <w:rPr>
          <w:rFonts w:ascii="Times New Roman" w:hAnsi="Times New Roman" w:cs="Times New Roman"/>
          <w:color w:val="000000"/>
          <w:sz w:val="26"/>
          <w:szCs w:val="26"/>
        </w:rPr>
        <w:t>.</w:t>
      </w:r>
      <w:r w:rsidRPr="00C15A2F">
        <w:rPr>
          <w:rFonts w:ascii="Times New Roman" w:hAnsi="Times New Roman" w:cs="Times New Roman"/>
          <w:color w:val="000000"/>
          <w:sz w:val="26"/>
          <w:szCs w:val="26"/>
          <w:shd w:val="clear" w:color="auto" w:fill="FFFFFF"/>
        </w:rPr>
        <w:t xml:space="preserve"> </w:t>
      </w:r>
      <w:r w:rsidR="005D66A2" w:rsidRPr="00C15A2F">
        <w:rPr>
          <w:rFonts w:ascii="Times New Roman" w:hAnsi="Times New Roman" w:cs="Times New Roman"/>
          <w:color w:val="000000"/>
          <w:sz w:val="26"/>
          <w:szCs w:val="26"/>
          <w:shd w:val="clear" w:color="auto" w:fill="FFFFFF"/>
        </w:rPr>
        <w:t xml:space="preserve">Il </w:t>
      </w:r>
      <w:r w:rsidRPr="00C15A2F">
        <w:rPr>
          <w:rFonts w:ascii="Times New Roman" w:hAnsi="Times New Roman" w:cs="Times New Roman"/>
          <w:color w:val="000000"/>
          <w:sz w:val="26"/>
          <w:szCs w:val="26"/>
          <w:shd w:val="clear" w:color="auto" w:fill="FFFFFF"/>
        </w:rPr>
        <w:t>T</w:t>
      </w:r>
      <w:r w:rsidR="003328F7">
        <w:rPr>
          <w:rFonts w:ascii="Times New Roman" w:hAnsi="Times New Roman" w:cs="Times New Roman"/>
          <w:color w:val="000000"/>
          <w:sz w:val="26"/>
          <w:szCs w:val="26"/>
          <w:shd w:val="clear" w:color="auto" w:fill="FFFFFF"/>
        </w:rPr>
        <w:t>.</w:t>
      </w:r>
      <w:r w:rsidRPr="00C15A2F">
        <w:rPr>
          <w:rFonts w:ascii="Times New Roman" w:hAnsi="Times New Roman" w:cs="Times New Roman"/>
          <w:color w:val="000000"/>
          <w:sz w:val="26"/>
          <w:szCs w:val="26"/>
          <w:shd w:val="clear" w:color="auto" w:fill="FFFFFF"/>
        </w:rPr>
        <w:t>A</w:t>
      </w:r>
      <w:r w:rsidR="003328F7">
        <w:rPr>
          <w:rFonts w:ascii="Times New Roman" w:hAnsi="Times New Roman" w:cs="Times New Roman"/>
          <w:color w:val="000000"/>
          <w:sz w:val="26"/>
          <w:szCs w:val="26"/>
          <w:shd w:val="clear" w:color="auto" w:fill="FFFFFF"/>
        </w:rPr>
        <w:t>.</w:t>
      </w:r>
      <w:r w:rsidRPr="00C15A2F">
        <w:rPr>
          <w:rFonts w:ascii="Times New Roman" w:hAnsi="Times New Roman" w:cs="Times New Roman"/>
          <w:color w:val="000000"/>
          <w:sz w:val="26"/>
          <w:szCs w:val="26"/>
          <w:shd w:val="clear" w:color="auto" w:fill="FFFFFF"/>
        </w:rPr>
        <w:t>R</w:t>
      </w:r>
      <w:r w:rsidR="003328F7">
        <w:rPr>
          <w:rFonts w:ascii="Times New Roman" w:hAnsi="Times New Roman" w:cs="Times New Roman"/>
          <w:color w:val="000000"/>
          <w:sz w:val="26"/>
          <w:szCs w:val="26"/>
          <w:shd w:val="clear" w:color="auto" w:fill="FFFFFF"/>
        </w:rPr>
        <w:t>. per la</w:t>
      </w:r>
      <w:r w:rsidRPr="00C15A2F">
        <w:rPr>
          <w:rFonts w:ascii="Times New Roman" w:hAnsi="Times New Roman" w:cs="Times New Roman"/>
          <w:color w:val="000000"/>
          <w:sz w:val="26"/>
          <w:szCs w:val="26"/>
          <w:shd w:val="clear" w:color="auto" w:fill="FFFFFF"/>
        </w:rPr>
        <w:t xml:space="preserve"> Campania</w:t>
      </w:r>
      <w:r w:rsidR="005D66A2" w:rsidRPr="00C15A2F">
        <w:rPr>
          <w:rFonts w:ascii="Times New Roman" w:hAnsi="Times New Roman" w:cs="Times New Roman"/>
          <w:color w:val="000000"/>
          <w:sz w:val="26"/>
          <w:szCs w:val="26"/>
          <w:shd w:val="clear" w:color="auto" w:fill="FFFFFF"/>
        </w:rPr>
        <w:t xml:space="preserve"> (</w:t>
      </w:r>
      <w:r w:rsidRPr="00C15A2F">
        <w:rPr>
          <w:rFonts w:ascii="Times New Roman" w:hAnsi="Times New Roman" w:cs="Times New Roman"/>
          <w:color w:val="000000"/>
          <w:sz w:val="26"/>
          <w:szCs w:val="26"/>
          <w:shd w:val="clear" w:color="auto" w:fill="FFFFFF"/>
        </w:rPr>
        <w:t>decreto n. 1</w:t>
      </w:r>
      <w:r w:rsidR="00E005DA" w:rsidRPr="00C15A2F">
        <w:rPr>
          <w:rFonts w:ascii="Times New Roman" w:hAnsi="Times New Roman" w:cs="Times New Roman"/>
          <w:color w:val="000000"/>
          <w:sz w:val="26"/>
          <w:szCs w:val="26"/>
          <w:shd w:val="clear" w:color="auto" w:fill="FFFFFF"/>
        </w:rPr>
        <w:t>135 dell’8 giugno 2020</w:t>
      </w:r>
      <w:r w:rsidRPr="00C15A2F">
        <w:rPr>
          <w:rFonts w:ascii="Times New Roman" w:hAnsi="Times New Roman" w:cs="Times New Roman"/>
          <w:color w:val="000000"/>
          <w:sz w:val="26"/>
          <w:szCs w:val="26"/>
          <w:shd w:val="clear" w:color="auto" w:fill="FFFFFF"/>
        </w:rPr>
        <w:t>)</w:t>
      </w:r>
      <w:r w:rsidR="005D66A2" w:rsidRPr="00C15A2F">
        <w:rPr>
          <w:rFonts w:ascii="Times New Roman" w:hAnsi="Times New Roman" w:cs="Times New Roman"/>
          <w:color w:val="000000"/>
          <w:sz w:val="26"/>
          <w:szCs w:val="26"/>
          <w:shd w:val="clear" w:color="auto" w:fill="FFFFFF"/>
        </w:rPr>
        <w:t xml:space="preserve">, ha affermato che </w:t>
      </w:r>
      <w:r w:rsidR="003328F7">
        <w:rPr>
          <w:rFonts w:ascii="Times New Roman" w:hAnsi="Times New Roman" w:cs="Times New Roman"/>
          <w:color w:val="000000"/>
          <w:sz w:val="26"/>
          <w:szCs w:val="26"/>
          <w:shd w:val="clear" w:color="auto" w:fill="FFFFFF"/>
        </w:rPr>
        <w:t>la motivazione del</w:t>
      </w:r>
      <w:r w:rsidR="005D66A2" w:rsidRPr="00C15A2F">
        <w:rPr>
          <w:rFonts w:ascii="Times New Roman" w:hAnsi="Times New Roman" w:cs="Times New Roman"/>
          <w:color w:val="000000"/>
          <w:sz w:val="26"/>
          <w:szCs w:val="26"/>
          <w:shd w:val="clear" w:color="auto" w:fill="FFFFFF"/>
        </w:rPr>
        <w:t xml:space="preserve"> provvedimento </w:t>
      </w:r>
      <w:r w:rsidR="00E005DA" w:rsidRPr="00C15A2F">
        <w:rPr>
          <w:rFonts w:ascii="Times New Roman" w:hAnsi="Times New Roman" w:cs="Times New Roman"/>
          <w:color w:val="000000"/>
          <w:sz w:val="26"/>
          <w:szCs w:val="26"/>
        </w:rPr>
        <w:t>«</w:t>
      </w:r>
      <w:r w:rsidR="00E005DA" w:rsidRPr="00C15A2F">
        <w:rPr>
          <w:rFonts w:ascii="Times New Roman" w:hAnsi="Times New Roman" w:cs="Times New Roman"/>
          <w:i/>
          <w:color w:val="000000"/>
          <w:sz w:val="26"/>
          <w:szCs w:val="26"/>
        </w:rPr>
        <w:t xml:space="preserve">pur dovendosi apprezzare sotto il profilo generale, per le sue implicazioni socio-economiche, neppure sembra, nondimeno e prima </w:t>
      </w:r>
      <w:proofErr w:type="spellStart"/>
      <w:r w:rsidR="00E005DA" w:rsidRPr="00C15A2F">
        <w:rPr>
          <w:rFonts w:ascii="Times New Roman" w:hAnsi="Times New Roman" w:cs="Times New Roman"/>
          <w:i/>
          <w:color w:val="000000"/>
          <w:sz w:val="26"/>
          <w:szCs w:val="26"/>
        </w:rPr>
        <w:t>facie</w:t>
      </w:r>
      <w:proofErr w:type="spellEnd"/>
      <w:r w:rsidR="00E005DA" w:rsidRPr="00C15A2F">
        <w:rPr>
          <w:rFonts w:ascii="Times New Roman" w:hAnsi="Times New Roman" w:cs="Times New Roman"/>
          <w:i/>
          <w:color w:val="000000"/>
          <w:sz w:val="26"/>
          <w:szCs w:val="26"/>
        </w:rPr>
        <w:t>, potersi agevolmente sussumere tra le emergenze sanitarie o di igiene pubblica o di tutela della pubblica incolumità ovvero di sicurezza urbana, che costituiscono l’ambito di esercizio delle competenze sindacali ex artt. 50 e 54 TUEL</w:t>
      </w:r>
      <w:r w:rsidR="00E005DA" w:rsidRPr="00C15A2F">
        <w:rPr>
          <w:rFonts w:ascii="Times New Roman" w:hAnsi="Times New Roman" w:cs="Times New Roman"/>
          <w:color w:val="000000"/>
          <w:sz w:val="26"/>
          <w:szCs w:val="26"/>
        </w:rPr>
        <w:t>». Tanto più che</w:t>
      </w:r>
      <w:r w:rsidR="00C07390">
        <w:rPr>
          <w:rFonts w:ascii="Times New Roman" w:hAnsi="Times New Roman" w:cs="Times New Roman"/>
          <w:color w:val="000000"/>
          <w:sz w:val="26"/>
          <w:szCs w:val="26"/>
        </w:rPr>
        <w:t>,</w:t>
      </w:r>
      <w:r w:rsidR="00E005DA" w:rsidRPr="00C15A2F">
        <w:rPr>
          <w:rFonts w:ascii="Times New Roman" w:hAnsi="Times New Roman" w:cs="Times New Roman"/>
          <w:color w:val="000000"/>
          <w:sz w:val="26"/>
          <w:szCs w:val="26"/>
        </w:rPr>
        <w:t xml:space="preserve"> ricorda ancora il Tribunale, i titolari di esercizi di somministrazione restano comunque tenuti al rispetto delle normative vigenti, di matrice statale e regionale, prima che comunale, </w:t>
      </w:r>
      <w:r w:rsidR="003328F7">
        <w:rPr>
          <w:rFonts w:ascii="Times New Roman" w:hAnsi="Times New Roman" w:cs="Times New Roman"/>
          <w:color w:val="000000"/>
          <w:sz w:val="26"/>
          <w:szCs w:val="26"/>
        </w:rPr>
        <w:t xml:space="preserve">tra le quali in primo luogo </w:t>
      </w:r>
      <w:r w:rsidR="00E005DA" w:rsidRPr="00C15A2F">
        <w:rPr>
          <w:rFonts w:ascii="Times New Roman" w:hAnsi="Times New Roman" w:cs="Times New Roman"/>
          <w:color w:val="000000"/>
          <w:sz w:val="26"/>
          <w:szCs w:val="26"/>
        </w:rPr>
        <w:t>la regola del distanziamento sociale</w:t>
      </w:r>
      <w:r w:rsidR="005D66A2" w:rsidRPr="00C15A2F">
        <w:rPr>
          <w:rFonts w:ascii="Times New Roman" w:hAnsi="Times New Roman" w:cs="Times New Roman"/>
          <w:color w:val="000000"/>
          <w:sz w:val="26"/>
          <w:szCs w:val="26"/>
        </w:rPr>
        <w:t xml:space="preserve">. </w:t>
      </w:r>
    </w:p>
    <w:p w:rsidR="005D66A2" w:rsidRPr="00C15A2F" w:rsidRDefault="003328F7" w:rsidP="008E2068">
      <w:pPr>
        <w:pStyle w:val="popolo"/>
        <w:spacing w:before="0" w:beforeAutospacing="0" w:after="0" w:afterAutospacing="0" w:line="360" w:lineRule="auto"/>
        <w:jc w:val="both"/>
        <w:rPr>
          <w:color w:val="000000"/>
          <w:sz w:val="26"/>
          <w:szCs w:val="26"/>
        </w:rPr>
      </w:pPr>
      <w:r>
        <w:rPr>
          <w:color w:val="000000"/>
          <w:sz w:val="26"/>
          <w:szCs w:val="26"/>
        </w:rPr>
        <w:t xml:space="preserve">Di </w:t>
      </w:r>
      <w:r w:rsidR="005D66A2" w:rsidRPr="00C15A2F">
        <w:rPr>
          <w:color w:val="000000"/>
          <w:sz w:val="26"/>
          <w:szCs w:val="26"/>
        </w:rPr>
        <w:t>particolare interesse, anche per la</w:t>
      </w:r>
      <w:r>
        <w:rPr>
          <w:color w:val="000000"/>
          <w:sz w:val="26"/>
          <w:szCs w:val="26"/>
        </w:rPr>
        <w:t xml:space="preserve"> portata di attualizzazione di uno strumento giuridico di assai scarso utilizzo pregresso, </w:t>
      </w:r>
      <w:r w:rsidR="005D66A2" w:rsidRPr="00C15A2F">
        <w:rPr>
          <w:color w:val="000000"/>
          <w:sz w:val="26"/>
          <w:szCs w:val="26"/>
        </w:rPr>
        <w:t xml:space="preserve">a dimostrazione del necessario protagonismo della giustizia amministrativa nella gestione di una fase emergenziale, il parere rilasciato al Ministro dell’interno </w:t>
      </w:r>
      <w:r>
        <w:rPr>
          <w:color w:val="000000"/>
          <w:sz w:val="26"/>
          <w:szCs w:val="26"/>
        </w:rPr>
        <w:t xml:space="preserve">in sede di </w:t>
      </w:r>
      <w:r w:rsidR="005D66A2" w:rsidRPr="00C15A2F">
        <w:rPr>
          <w:color w:val="000000"/>
          <w:sz w:val="26"/>
          <w:szCs w:val="26"/>
        </w:rPr>
        <w:t>eserci</w:t>
      </w:r>
      <w:r>
        <w:rPr>
          <w:color w:val="000000"/>
          <w:sz w:val="26"/>
          <w:szCs w:val="26"/>
        </w:rPr>
        <w:t xml:space="preserve">zio da parte dello stesso del </w:t>
      </w:r>
      <w:r w:rsidR="005D66A2" w:rsidRPr="00C15A2F">
        <w:rPr>
          <w:color w:val="000000"/>
          <w:sz w:val="26"/>
          <w:szCs w:val="26"/>
        </w:rPr>
        <w:t>potere di annullamento</w:t>
      </w:r>
      <w:r w:rsidR="00474D40" w:rsidRPr="00C15A2F">
        <w:rPr>
          <w:color w:val="000000"/>
          <w:sz w:val="26"/>
          <w:szCs w:val="26"/>
        </w:rPr>
        <w:t xml:space="preserve"> </w:t>
      </w:r>
      <w:r w:rsidR="00474D40" w:rsidRPr="00C15A2F">
        <w:rPr>
          <w:iCs/>
          <w:color w:val="000000"/>
          <w:sz w:val="26"/>
          <w:szCs w:val="26"/>
        </w:rPr>
        <w:t xml:space="preserve">di un atto del Comune </w:t>
      </w:r>
      <w:r>
        <w:rPr>
          <w:iCs/>
          <w:color w:val="000000"/>
          <w:sz w:val="26"/>
          <w:szCs w:val="26"/>
        </w:rPr>
        <w:t xml:space="preserve">(nel caso di specie, quello di </w:t>
      </w:r>
      <w:r w:rsidR="00474D40" w:rsidRPr="00C15A2F">
        <w:rPr>
          <w:iCs/>
          <w:color w:val="000000"/>
          <w:sz w:val="26"/>
          <w:szCs w:val="26"/>
        </w:rPr>
        <w:t>Messina</w:t>
      </w:r>
      <w:r>
        <w:rPr>
          <w:iCs/>
          <w:color w:val="000000"/>
          <w:sz w:val="26"/>
          <w:szCs w:val="26"/>
        </w:rPr>
        <w:t xml:space="preserve">), ritenuto affetto da </w:t>
      </w:r>
      <w:r w:rsidR="00474D40" w:rsidRPr="00C15A2F">
        <w:rPr>
          <w:iCs/>
          <w:color w:val="000000"/>
          <w:sz w:val="26"/>
          <w:szCs w:val="26"/>
        </w:rPr>
        <w:t>illegittimità</w:t>
      </w:r>
      <w:r w:rsidR="005D66A2" w:rsidRPr="00C15A2F">
        <w:rPr>
          <w:color w:val="000000"/>
          <w:sz w:val="26"/>
          <w:szCs w:val="26"/>
        </w:rPr>
        <w:t xml:space="preserve">, </w:t>
      </w:r>
      <w:r w:rsidR="00474D40" w:rsidRPr="00C15A2F">
        <w:rPr>
          <w:color w:val="000000"/>
          <w:sz w:val="26"/>
          <w:szCs w:val="26"/>
        </w:rPr>
        <w:t xml:space="preserve">ai sensi dell’art. </w:t>
      </w:r>
      <w:r w:rsidR="005D66A2" w:rsidRPr="00C15A2F">
        <w:rPr>
          <w:color w:val="000000"/>
          <w:sz w:val="26"/>
          <w:szCs w:val="26"/>
        </w:rPr>
        <w:t xml:space="preserve">138 del decreto legislativo 18 agosto 2000, n. 267, Testo unico degli enti locali, </w:t>
      </w:r>
      <w:r w:rsidR="00474D40" w:rsidRPr="00C15A2F">
        <w:rPr>
          <w:color w:val="000000"/>
          <w:sz w:val="26"/>
          <w:szCs w:val="26"/>
        </w:rPr>
        <w:t xml:space="preserve">che lo consente </w:t>
      </w:r>
      <w:r w:rsidR="005D66A2" w:rsidRPr="00C15A2F">
        <w:rPr>
          <w:color w:val="000000"/>
          <w:sz w:val="26"/>
          <w:szCs w:val="26"/>
        </w:rPr>
        <w:t>«</w:t>
      </w:r>
      <w:r w:rsidR="005D66A2" w:rsidRPr="00C15A2F">
        <w:rPr>
          <w:i/>
          <w:iCs/>
          <w:color w:val="000000"/>
          <w:sz w:val="26"/>
          <w:szCs w:val="26"/>
        </w:rPr>
        <w:t>sentito il Consiglio di Stato»</w:t>
      </w:r>
      <w:r w:rsidR="005D66A2" w:rsidRPr="00C15A2F">
        <w:rPr>
          <w:color w:val="000000"/>
          <w:sz w:val="26"/>
          <w:szCs w:val="26"/>
        </w:rPr>
        <w:t xml:space="preserve">. </w:t>
      </w:r>
      <w:r w:rsidR="00474D40" w:rsidRPr="00C15A2F">
        <w:rPr>
          <w:color w:val="000000"/>
          <w:sz w:val="26"/>
          <w:szCs w:val="26"/>
        </w:rPr>
        <w:t xml:space="preserve">L’ordinanza </w:t>
      </w:r>
      <w:r>
        <w:rPr>
          <w:color w:val="000000"/>
          <w:sz w:val="26"/>
          <w:szCs w:val="26"/>
        </w:rPr>
        <w:t xml:space="preserve">annullata </w:t>
      </w:r>
      <w:r w:rsidR="00B627A0" w:rsidRPr="00C15A2F">
        <w:rPr>
          <w:color w:val="000000"/>
          <w:sz w:val="26"/>
          <w:szCs w:val="26"/>
        </w:rPr>
        <w:t>aveva imposto una preventiva registrazione, almeno 48 ore prima dell’orario previsto di partenza, in apposito sistema </w:t>
      </w:r>
      <w:r w:rsidR="00B627A0" w:rsidRPr="00C15A2F">
        <w:rPr>
          <w:i/>
          <w:iCs/>
          <w:color w:val="000000"/>
          <w:sz w:val="26"/>
          <w:szCs w:val="26"/>
        </w:rPr>
        <w:t xml:space="preserve">on-line, </w:t>
      </w:r>
      <w:r w:rsidR="00B627A0" w:rsidRPr="00C15A2F">
        <w:rPr>
          <w:color w:val="000000"/>
          <w:sz w:val="26"/>
          <w:szCs w:val="26"/>
        </w:rPr>
        <w:t xml:space="preserve">fornendo una serie di dati identificativi personali e relativi alla località di provenienza, a quella di destinazione e ai motivi del trasferimento, a </w:t>
      </w:r>
      <w:r w:rsidR="00C07390">
        <w:rPr>
          <w:color w:val="000000"/>
          <w:sz w:val="26"/>
          <w:szCs w:val="26"/>
        </w:rPr>
        <w:t>chiunque</w:t>
      </w:r>
      <w:r w:rsidR="00B627A0" w:rsidRPr="00C15A2F">
        <w:rPr>
          <w:color w:val="000000"/>
          <w:sz w:val="26"/>
          <w:szCs w:val="26"/>
        </w:rPr>
        <w:t xml:space="preserve"> </w:t>
      </w:r>
      <w:r w:rsidR="00474D40" w:rsidRPr="00C15A2F">
        <w:rPr>
          <w:color w:val="000000"/>
          <w:sz w:val="26"/>
          <w:szCs w:val="26"/>
        </w:rPr>
        <w:t xml:space="preserve">volesse </w:t>
      </w:r>
      <w:r>
        <w:rPr>
          <w:color w:val="000000"/>
          <w:sz w:val="26"/>
          <w:szCs w:val="26"/>
        </w:rPr>
        <w:t>«</w:t>
      </w:r>
      <w:r w:rsidR="00B627A0" w:rsidRPr="00C15A2F">
        <w:rPr>
          <w:i/>
          <w:iCs/>
          <w:color w:val="000000"/>
          <w:sz w:val="26"/>
          <w:szCs w:val="26"/>
        </w:rPr>
        <w:t xml:space="preserve">fare ingresso in Sicilia attraverso il Porto di Messina (Rada San Francesco, Porto Storico), sia che viaggi a piedi sia che viaggi a bordo di un qualsiasi mezzo di trasporto» </w:t>
      </w:r>
      <w:r w:rsidR="005D66A2" w:rsidRPr="00C15A2F">
        <w:rPr>
          <w:color w:val="000000"/>
          <w:sz w:val="26"/>
          <w:szCs w:val="26"/>
        </w:rPr>
        <w:t xml:space="preserve"> (</w:t>
      </w:r>
      <w:proofErr w:type="spellStart"/>
      <w:r w:rsidR="005D66A2" w:rsidRPr="00C15A2F">
        <w:rPr>
          <w:color w:val="000000"/>
          <w:sz w:val="26"/>
          <w:szCs w:val="26"/>
        </w:rPr>
        <w:t>Cons</w:t>
      </w:r>
      <w:proofErr w:type="spellEnd"/>
      <w:r w:rsidR="005D66A2" w:rsidRPr="00C15A2F">
        <w:rPr>
          <w:color w:val="000000"/>
          <w:sz w:val="26"/>
          <w:szCs w:val="26"/>
        </w:rPr>
        <w:t xml:space="preserve">. Stato, sez. I, 7 aprile 2020, n. 735). </w:t>
      </w:r>
      <w:r w:rsidR="00B627A0" w:rsidRPr="00C15A2F">
        <w:rPr>
          <w:color w:val="000000"/>
          <w:sz w:val="26"/>
          <w:szCs w:val="26"/>
        </w:rPr>
        <w:t>A prescindere da</w:t>
      </w:r>
      <w:r>
        <w:rPr>
          <w:color w:val="000000"/>
          <w:sz w:val="26"/>
          <w:szCs w:val="26"/>
        </w:rPr>
        <w:t xml:space="preserve">gli ulteriori </w:t>
      </w:r>
      <w:r w:rsidR="00B627A0" w:rsidRPr="00C15A2F">
        <w:rPr>
          <w:color w:val="000000"/>
          <w:sz w:val="26"/>
          <w:szCs w:val="26"/>
        </w:rPr>
        <w:t xml:space="preserve">profili di illegittimità rilevati, il </w:t>
      </w:r>
      <w:r>
        <w:rPr>
          <w:color w:val="000000"/>
          <w:sz w:val="26"/>
          <w:szCs w:val="26"/>
        </w:rPr>
        <w:t>Consiglio di Stato h</w:t>
      </w:r>
      <w:r w:rsidR="00B627A0" w:rsidRPr="00C15A2F">
        <w:rPr>
          <w:color w:val="000000"/>
          <w:sz w:val="26"/>
          <w:szCs w:val="26"/>
        </w:rPr>
        <w:t xml:space="preserve">a </w:t>
      </w:r>
      <w:r>
        <w:rPr>
          <w:color w:val="000000"/>
          <w:sz w:val="26"/>
          <w:szCs w:val="26"/>
        </w:rPr>
        <w:t xml:space="preserve">inteso rimarcare come una </w:t>
      </w:r>
      <w:r w:rsidR="00B627A0" w:rsidRPr="00C15A2F">
        <w:rPr>
          <w:color w:val="000000"/>
          <w:sz w:val="26"/>
          <w:szCs w:val="26"/>
        </w:rPr>
        <w:t>regolamentazione</w:t>
      </w:r>
      <w:r>
        <w:rPr>
          <w:color w:val="000000"/>
          <w:sz w:val="26"/>
          <w:szCs w:val="26"/>
        </w:rPr>
        <w:t xml:space="preserve"> siffatta</w:t>
      </w:r>
      <w:r w:rsidR="00B627A0" w:rsidRPr="00C15A2F">
        <w:rPr>
          <w:color w:val="000000"/>
          <w:sz w:val="26"/>
          <w:szCs w:val="26"/>
        </w:rPr>
        <w:t xml:space="preserve"> era destinata ad incidere necessariamente </w:t>
      </w:r>
      <w:r w:rsidR="005D66A2" w:rsidRPr="00C15A2F">
        <w:rPr>
          <w:color w:val="000000"/>
          <w:sz w:val="26"/>
          <w:szCs w:val="26"/>
        </w:rPr>
        <w:t xml:space="preserve">al di fuori del perimetro della circoscrizione </w:t>
      </w:r>
      <w:r>
        <w:rPr>
          <w:color w:val="000000"/>
          <w:sz w:val="26"/>
          <w:szCs w:val="26"/>
        </w:rPr>
        <w:t>comunale, travalicando finanche i limiti territoriali delle competenze sindacali</w:t>
      </w:r>
      <w:r w:rsidR="005D66A2" w:rsidRPr="00C15A2F">
        <w:rPr>
          <w:color w:val="000000"/>
          <w:sz w:val="26"/>
          <w:szCs w:val="26"/>
        </w:rPr>
        <w:t>.</w:t>
      </w:r>
      <w:r w:rsidR="00B627A0" w:rsidRPr="00C15A2F">
        <w:rPr>
          <w:color w:val="000000"/>
          <w:sz w:val="26"/>
          <w:szCs w:val="26"/>
        </w:rPr>
        <w:t xml:space="preserve"> «</w:t>
      </w:r>
      <w:r w:rsidR="005D66A2" w:rsidRPr="00C15A2F">
        <w:rPr>
          <w:i/>
          <w:color w:val="000000"/>
          <w:sz w:val="26"/>
          <w:szCs w:val="26"/>
        </w:rPr>
        <w:t>Né può ammettersi che un simile effetto, del tutto abnorme, possa essere comunque conseguito in via indiretta, in ragione del fatto che, per ragioni fisiche e geografiche o legate alla concreta configurazione attuale delle infrastrutture e delle reti di comunicazione, sia necessario un qualche attraversamento del territorio comunale da parte di persone provenienti da altre aree territoriali e dirette verso altri comuni di destinazione</w:t>
      </w:r>
      <w:r w:rsidR="00B627A0" w:rsidRPr="00C15A2F">
        <w:rPr>
          <w:color w:val="000000"/>
          <w:sz w:val="26"/>
          <w:szCs w:val="26"/>
        </w:rPr>
        <w:t>»</w:t>
      </w:r>
      <w:r w:rsidR="005D66A2" w:rsidRPr="00C15A2F">
        <w:rPr>
          <w:color w:val="000000"/>
          <w:sz w:val="26"/>
          <w:szCs w:val="26"/>
        </w:rPr>
        <w:t>.</w:t>
      </w:r>
    </w:p>
    <w:p w:rsidR="005D66A2" w:rsidRPr="00C15A2F" w:rsidRDefault="003328F7" w:rsidP="008E2068">
      <w:pPr>
        <w:pStyle w:val="popolo"/>
        <w:spacing w:before="0" w:beforeAutospacing="0" w:after="0" w:afterAutospacing="0" w:line="360" w:lineRule="auto"/>
        <w:jc w:val="both"/>
        <w:rPr>
          <w:color w:val="000000"/>
          <w:sz w:val="26"/>
          <w:szCs w:val="26"/>
        </w:rPr>
      </w:pPr>
      <w:r>
        <w:rPr>
          <w:color w:val="000000"/>
          <w:sz w:val="26"/>
          <w:szCs w:val="26"/>
        </w:rPr>
        <w:t xml:space="preserve">Come anticipato sopra, </w:t>
      </w:r>
      <w:r w:rsidR="00B627A0" w:rsidRPr="00C15A2F">
        <w:rPr>
          <w:color w:val="000000"/>
          <w:sz w:val="26"/>
          <w:szCs w:val="26"/>
        </w:rPr>
        <w:t xml:space="preserve">la riconduzione della generalità delle scelte al livello di governo centrale, e solo per situazioni emergenziali aggiuntive a quello regionale, nonché, da ultimo, locale, ha trovato fondamento nella individuazione del presupposto della </w:t>
      </w:r>
      <w:r w:rsidR="00474D40" w:rsidRPr="00C15A2F">
        <w:rPr>
          <w:color w:val="000000"/>
          <w:sz w:val="26"/>
          <w:szCs w:val="26"/>
        </w:rPr>
        <w:t xml:space="preserve">loro </w:t>
      </w:r>
      <w:r w:rsidR="00B627A0" w:rsidRPr="00C15A2F">
        <w:rPr>
          <w:color w:val="000000"/>
          <w:sz w:val="26"/>
          <w:szCs w:val="26"/>
        </w:rPr>
        <w:t xml:space="preserve">adozione nella </w:t>
      </w:r>
      <w:r>
        <w:rPr>
          <w:color w:val="000000"/>
          <w:sz w:val="26"/>
          <w:szCs w:val="26"/>
        </w:rPr>
        <w:t>“</w:t>
      </w:r>
      <w:r w:rsidR="00B627A0" w:rsidRPr="00C15A2F">
        <w:rPr>
          <w:color w:val="000000"/>
          <w:sz w:val="26"/>
          <w:szCs w:val="26"/>
        </w:rPr>
        <w:t>p</w:t>
      </w:r>
      <w:r w:rsidR="005D66A2" w:rsidRPr="00C15A2F">
        <w:rPr>
          <w:color w:val="000000"/>
          <w:sz w:val="26"/>
          <w:szCs w:val="26"/>
        </w:rPr>
        <w:t>rofilassi internazionale</w:t>
      </w:r>
      <w:r>
        <w:rPr>
          <w:color w:val="000000"/>
          <w:sz w:val="26"/>
          <w:szCs w:val="26"/>
        </w:rPr>
        <w:t>”</w:t>
      </w:r>
      <w:r w:rsidR="005D66A2" w:rsidRPr="00C15A2F">
        <w:rPr>
          <w:color w:val="000000"/>
          <w:sz w:val="26"/>
          <w:szCs w:val="26"/>
        </w:rPr>
        <w:t xml:space="preserve">, di cui all’art. 117, secondo comma </w:t>
      </w:r>
      <w:proofErr w:type="spellStart"/>
      <w:r w:rsidR="005D66A2" w:rsidRPr="00C15A2F">
        <w:rPr>
          <w:color w:val="000000"/>
          <w:sz w:val="26"/>
          <w:szCs w:val="26"/>
        </w:rPr>
        <w:t>lett</w:t>
      </w:r>
      <w:proofErr w:type="spellEnd"/>
      <w:r w:rsidR="005D66A2" w:rsidRPr="00C15A2F">
        <w:rPr>
          <w:color w:val="000000"/>
          <w:sz w:val="26"/>
          <w:szCs w:val="26"/>
        </w:rPr>
        <w:t>. </w:t>
      </w:r>
      <w:r w:rsidR="005D66A2" w:rsidRPr="00C15A2F">
        <w:rPr>
          <w:i/>
          <w:iCs/>
          <w:color w:val="000000"/>
          <w:sz w:val="26"/>
          <w:szCs w:val="26"/>
        </w:rPr>
        <w:t>q</w:t>
      </w:r>
      <w:r w:rsidR="005D66A2" w:rsidRPr="00C15A2F">
        <w:rPr>
          <w:color w:val="000000"/>
          <w:sz w:val="26"/>
          <w:szCs w:val="26"/>
        </w:rPr>
        <w:t xml:space="preserve">), della Costituzione, materia </w:t>
      </w:r>
      <w:r w:rsidR="00C07390">
        <w:rPr>
          <w:color w:val="000000"/>
          <w:sz w:val="26"/>
          <w:szCs w:val="26"/>
        </w:rPr>
        <w:t>di</w:t>
      </w:r>
      <w:r w:rsidR="005D66A2" w:rsidRPr="00C15A2F">
        <w:rPr>
          <w:color w:val="000000"/>
          <w:sz w:val="26"/>
          <w:szCs w:val="26"/>
        </w:rPr>
        <w:t xml:space="preserve"> appartenenza statale, come ribadito </w:t>
      </w:r>
      <w:r w:rsidR="00B627A0" w:rsidRPr="00C15A2F">
        <w:rPr>
          <w:color w:val="000000"/>
          <w:sz w:val="26"/>
          <w:szCs w:val="26"/>
        </w:rPr>
        <w:t xml:space="preserve">più volte </w:t>
      </w:r>
      <w:r w:rsidR="005D66A2" w:rsidRPr="00C15A2F">
        <w:rPr>
          <w:color w:val="000000"/>
          <w:sz w:val="26"/>
          <w:szCs w:val="26"/>
        </w:rPr>
        <w:t>dalla Consulta</w:t>
      </w:r>
      <w:r w:rsidR="00B627A0" w:rsidRPr="00C15A2F">
        <w:rPr>
          <w:color w:val="000000"/>
          <w:sz w:val="26"/>
          <w:szCs w:val="26"/>
        </w:rPr>
        <w:t xml:space="preserve">. </w:t>
      </w:r>
    </w:p>
    <w:p w:rsidR="005D66A2" w:rsidRPr="00C15A2F" w:rsidRDefault="006A3B1F" w:rsidP="008E2068">
      <w:pPr>
        <w:spacing w:after="0" w:line="360" w:lineRule="auto"/>
        <w:jc w:val="both"/>
        <w:rPr>
          <w:rFonts w:ascii="Times New Roman" w:eastAsia="Times New Roman" w:hAnsi="Times New Roman" w:cs="Times New Roman"/>
          <w:color w:val="000000"/>
          <w:sz w:val="26"/>
          <w:szCs w:val="26"/>
          <w:lang w:eastAsia="it-IT"/>
        </w:rPr>
      </w:pPr>
      <w:r w:rsidRPr="00C15A2F">
        <w:rPr>
          <w:rFonts w:ascii="Times New Roman" w:hAnsi="Times New Roman" w:cs="Times New Roman"/>
          <w:color w:val="000000"/>
          <w:sz w:val="26"/>
          <w:szCs w:val="26"/>
        </w:rPr>
        <w:t>A</w:t>
      </w:r>
      <w:r w:rsidR="004E3E9F" w:rsidRPr="00C15A2F">
        <w:rPr>
          <w:rFonts w:ascii="Times New Roman" w:hAnsi="Times New Roman" w:cs="Times New Roman"/>
          <w:color w:val="000000"/>
          <w:sz w:val="26"/>
          <w:szCs w:val="26"/>
        </w:rPr>
        <w:t>ncorché si tratti di pronunc</w:t>
      </w:r>
      <w:r w:rsidRPr="00C15A2F">
        <w:rPr>
          <w:rFonts w:ascii="Times New Roman" w:hAnsi="Times New Roman" w:cs="Times New Roman"/>
          <w:color w:val="000000"/>
          <w:sz w:val="26"/>
          <w:szCs w:val="26"/>
        </w:rPr>
        <w:t>ia</w:t>
      </w:r>
      <w:r w:rsidR="004E3E9F" w:rsidRPr="00C15A2F">
        <w:rPr>
          <w:rFonts w:ascii="Times New Roman" w:hAnsi="Times New Roman" w:cs="Times New Roman"/>
          <w:color w:val="000000"/>
          <w:sz w:val="26"/>
          <w:szCs w:val="26"/>
        </w:rPr>
        <w:t xml:space="preserve"> intervenuta </w:t>
      </w:r>
      <w:r w:rsidRPr="00C15A2F">
        <w:rPr>
          <w:rFonts w:ascii="Times New Roman" w:hAnsi="Times New Roman" w:cs="Times New Roman"/>
          <w:color w:val="000000"/>
          <w:sz w:val="26"/>
          <w:szCs w:val="26"/>
        </w:rPr>
        <w:t>in un contenzioso estraneo al perimetro del diritto emergenziale</w:t>
      </w:r>
      <w:r w:rsidR="004E3E9F" w:rsidRPr="00C15A2F">
        <w:rPr>
          <w:rFonts w:ascii="Times New Roman" w:hAnsi="Times New Roman" w:cs="Times New Roman"/>
          <w:color w:val="000000"/>
          <w:sz w:val="26"/>
          <w:szCs w:val="26"/>
        </w:rPr>
        <w:t xml:space="preserve">, si segnala, per il particolare interesse dei contenuti, quanto affermato sempre dal Consiglio di Stato in sede consultiva, in ordine al </w:t>
      </w:r>
      <w:r w:rsidR="004E3E9F" w:rsidRPr="00C15A2F">
        <w:rPr>
          <w:rFonts w:ascii="Times New Roman" w:hAnsi="Times New Roman" w:cs="Times New Roman"/>
          <w:b/>
          <w:color w:val="000000"/>
          <w:sz w:val="26"/>
          <w:szCs w:val="26"/>
        </w:rPr>
        <w:t>valore delle FAQ (</w:t>
      </w:r>
      <w:proofErr w:type="spellStart"/>
      <w:r w:rsidR="004E3E9F" w:rsidRPr="00C15A2F">
        <w:rPr>
          <w:rFonts w:ascii="Times New Roman" w:hAnsi="Times New Roman" w:cs="Times New Roman"/>
          <w:b/>
          <w:i/>
          <w:color w:val="000000"/>
          <w:sz w:val="26"/>
          <w:szCs w:val="26"/>
        </w:rPr>
        <w:t>frequently</w:t>
      </w:r>
      <w:proofErr w:type="spellEnd"/>
      <w:r w:rsidR="004E3E9F" w:rsidRPr="00C15A2F">
        <w:rPr>
          <w:rFonts w:ascii="Times New Roman" w:hAnsi="Times New Roman" w:cs="Times New Roman"/>
          <w:b/>
          <w:i/>
          <w:color w:val="000000"/>
          <w:sz w:val="26"/>
          <w:szCs w:val="26"/>
        </w:rPr>
        <w:t xml:space="preserve"> </w:t>
      </w:r>
      <w:proofErr w:type="spellStart"/>
      <w:r w:rsidR="004E3E9F" w:rsidRPr="00C15A2F">
        <w:rPr>
          <w:rFonts w:ascii="Times New Roman" w:hAnsi="Times New Roman" w:cs="Times New Roman"/>
          <w:b/>
          <w:i/>
          <w:color w:val="000000"/>
          <w:sz w:val="26"/>
          <w:szCs w:val="26"/>
        </w:rPr>
        <w:t>asked</w:t>
      </w:r>
      <w:proofErr w:type="spellEnd"/>
      <w:r w:rsidR="004E3E9F" w:rsidRPr="00C15A2F">
        <w:rPr>
          <w:rFonts w:ascii="Times New Roman" w:hAnsi="Times New Roman" w:cs="Times New Roman"/>
          <w:b/>
          <w:i/>
          <w:color w:val="000000"/>
          <w:sz w:val="26"/>
          <w:szCs w:val="26"/>
        </w:rPr>
        <w:t xml:space="preserve"> </w:t>
      </w:r>
      <w:proofErr w:type="spellStart"/>
      <w:r w:rsidR="004E3E9F" w:rsidRPr="00C15A2F">
        <w:rPr>
          <w:rFonts w:ascii="Times New Roman" w:hAnsi="Times New Roman" w:cs="Times New Roman"/>
          <w:b/>
          <w:i/>
          <w:color w:val="000000"/>
          <w:sz w:val="26"/>
          <w:szCs w:val="26"/>
        </w:rPr>
        <w:t>qu</w:t>
      </w:r>
      <w:r w:rsidR="00C07390">
        <w:rPr>
          <w:rFonts w:ascii="Times New Roman" w:hAnsi="Times New Roman" w:cs="Times New Roman"/>
          <w:b/>
          <w:i/>
          <w:color w:val="000000"/>
          <w:sz w:val="26"/>
          <w:szCs w:val="26"/>
        </w:rPr>
        <w:t>e</w:t>
      </w:r>
      <w:r w:rsidR="004E3E9F" w:rsidRPr="00C15A2F">
        <w:rPr>
          <w:rFonts w:ascii="Times New Roman" w:hAnsi="Times New Roman" w:cs="Times New Roman"/>
          <w:b/>
          <w:i/>
          <w:color w:val="000000"/>
          <w:sz w:val="26"/>
          <w:szCs w:val="26"/>
        </w:rPr>
        <w:t>stions</w:t>
      </w:r>
      <w:proofErr w:type="spellEnd"/>
      <w:r w:rsidR="004E3E9F" w:rsidRPr="00C15A2F">
        <w:rPr>
          <w:rFonts w:ascii="Times New Roman" w:hAnsi="Times New Roman" w:cs="Times New Roman"/>
          <w:b/>
          <w:color w:val="000000"/>
          <w:sz w:val="26"/>
          <w:szCs w:val="26"/>
        </w:rPr>
        <w:t>)</w:t>
      </w:r>
      <w:r w:rsidR="005D11ED" w:rsidRPr="00C15A2F">
        <w:rPr>
          <w:rFonts w:ascii="Times New Roman" w:hAnsi="Times New Roman" w:cs="Times New Roman"/>
          <w:color w:val="000000"/>
          <w:sz w:val="26"/>
          <w:szCs w:val="26"/>
        </w:rPr>
        <w:t>. Il desiderio continuo di certezze sul corretto significato delle regole, per compensare l’incertezza che il contesto inevitabilmente generava, ha portato le istituzioni, in particolare la Presidenza del Consiglio avuto riguardo ai propri provvediment</w:t>
      </w:r>
      <w:r w:rsidR="00474D40" w:rsidRPr="00C15A2F">
        <w:rPr>
          <w:rFonts w:ascii="Times New Roman" w:hAnsi="Times New Roman" w:cs="Times New Roman"/>
          <w:color w:val="000000"/>
          <w:sz w:val="26"/>
          <w:szCs w:val="26"/>
        </w:rPr>
        <w:t>i</w:t>
      </w:r>
      <w:r w:rsidR="005D11ED" w:rsidRPr="00C15A2F">
        <w:rPr>
          <w:rFonts w:ascii="Times New Roman" w:hAnsi="Times New Roman" w:cs="Times New Roman"/>
          <w:color w:val="000000"/>
          <w:sz w:val="26"/>
          <w:szCs w:val="26"/>
        </w:rPr>
        <w:t xml:space="preserve">, a fare ampio uso di tale strumento comunicativo, </w:t>
      </w:r>
      <w:r w:rsidR="00474D40" w:rsidRPr="00C15A2F">
        <w:rPr>
          <w:rFonts w:ascii="Times New Roman" w:eastAsia="Times New Roman" w:hAnsi="Times New Roman" w:cs="Times New Roman"/>
          <w:color w:val="000000"/>
          <w:sz w:val="26"/>
          <w:szCs w:val="26"/>
          <w:lang w:eastAsia="it-IT"/>
        </w:rPr>
        <w:t>in precedenza diffuso per lo più nell’ambito dell’</w:t>
      </w:r>
      <w:r w:rsidR="00474D40" w:rsidRPr="00C15A2F">
        <w:rPr>
          <w:rFonts w:ascii="Times New Roman" w:eastAsia="Times New Roman" w:hAnsi="Times New Roman" w:cs="Times New Roman"/>
          <w:i/>
          <w:iCs/>
          <w:color w:val="000000"/>
          <w:sz w:val="26"/>
          <w:szCs w:val="26"/>
          <w:lang w:eastAsia="it-IT"/>
        </w:rPr>
        <w:t>e-commerce</w:t>
      </w:r>
      <w:r w:rsidR="00474D40" w:rsidRPr="00C15A2F">
        <w:rPr>
          <w:rFonts w:ascii="Times New Roman" w:eastAsia="Times New Roman" w:hAnsi="Times New Roman" w:cs="Times New Roman"/>
          <w:color w:val="000000"/>
          <w:sz w:val="26"/>
          <w:szCs w:val="26"/>
          <w:lang w:eastAsia="it-IT"/>
        </w:rPr>
        <w:t> e dei servizi sul </w:t>
      </w:r>
      <w:r w:rsidR="00474D40" w:rsidRPr="00C15A2F">
        <w:rPr>
          <w:rFonts w:ascii="Times New Roman" w:eastAsia="Times New Roman" w:hAnsi="Times New Roman" w:cs="Times New Roman"/>
          <w:i/>
          <w:iCs/>
          <w:color w:val="000000"/>
          <w:sz w:val="26"/>
          <w:szCs w:val="26"/>
          <w:lang w:eastAsia="it-IT"/>
        </w:rPr>
        <w:t>web,</w:t>
      </w:r>
      <w:r w:rsidR="00474D40" w:rsidRPr="00C15A2F">
        <w:rPr>
          <w:rFonts w:ascii="Times New Roman" w:hAnsi="Times New Roman" w:cs="Times New Roman"/>
          <w:color w:val="000000"/>
          <w:sz w:val="26"/>
          <w:szCs w:val="26"/>
        </w:rPr>
        <w:t xml:space="preserve"> </w:t>
      </w:r>
      <w:r w:rsidR="005D11ED" w:rsidRPr="00C15A2F">
        <w:rPr>
          <w:rFonts w:ascii="Times New Roman" w:hAnsi="Times New Roman" w:cs="Times New Roman"/>
          <w:color w:val="000000"/>
          <w:sz w:val="26"/>
          <w:szCs w:val="26"/>
        </w:rPr>
        <w:t>fornendo via via suggerimenti interpretativi su tematiche di grande rilievo</w:t>
      </w:r>
      <w:r w:rsidR="00474D40" w:rsidRPr="00C15A2F">
        <w:rPr>
          <w:rFonts w:ascii="Times New Roman" w:hAnsi="Times New Roman" w:cs="Times New Roman"/>
          <w:color w:val="000000"/>
          <w:sz w:val="26"/>
          <w:szCs w:val="26"/>
        </w:rPr>
        <w:t xml:space="preserve"> (si pensi all’entità degli spostamenti consentiti, alla possibilità di effettuare attività ludico-motoria, alla fruizione di servizi alla persona, alla facoltà di fare visita ai congiunti, tematiche tutte non sempre di chiara intellegibilità dalla semplice lettura de</w:t>
      </w:r>
      <w:r w:rsidR="003328F7">
        <w:rPr>
          <w:rFonts w:ascii="Times New Roman" w:hAnsi="Times New Roman" w:cs="Times New Roman"/>
          <w:color w:val="000000"/>
          <w:sz w:val="26"/>
          <w:szCs w:val="26"/>
        </w:rPr>
        <w:t>i</w:t>
      </w:r>
      <w:r w:rsidR="00474D40" w:rsidRPr="00C15A2F">
        <w:rPr>
          <w:rFonts w:ascii="Times New Roman" w:hAnsi="Times New Roman" w:cs="Times New Roman"/>
          <w:color w:val="000000"/>
          <w:sz w:val="26"/>
          <w:szCs w:val="26"/>
        </w:rPr>
        <w:t xml:space="preserve"> decreti, per chiarire le quali le FAQ hanno rivestito un ruolo determinante). </w:t>
      </w:r>
      <w:r w:rsidR="005D11ED" w:rsidRPr="00C15A2F">
        <w:rPr>
          <w:rFonts w:ascii="Times New Roman" w:hAnsi="Times New Roman" w:cs="Times New Roman"/>
          <w:color w:val="000000"/>
          <w:sz w:val="26"/>
          <w:szCs w:val="26"/>
        </w:rPr>
        <w:t xml:space="preserve">In tale parere (n. 1275 del 16 giugno 2021), dopo avere ricordato come le </w:t>
      </w:r>
      <w:r w:rsidR="005D11ED" w:rsidRPr="00C15A2F">
        <w:rPr>
          <w:rFonts w:ascii="Times New Roman" w:eastAsia="Times New Roman" w:hAnsi="Times New Roman" w:cs="Times New Roman"/>
          <w:color w:val="000000"/>
          <w:sz w:val="26"/>
          <w:szCs w:val="26"/>
          <w:lang w:eastAsia="it-IT"/>
        </w:rPr>
        <w:t>FAQ</w:t>
      </w:r>
      <w:r w:rsidR="006F421F" w:rsidRPr="00C15A2F">
        <w:rPr>
          <w:rFonts w:ascii="Times New Roman" w:eastAsia="Times New Roman" w:hAnsi="Times New Roman" w:cs="Times New Roman"/>
          <w:color w:val="000000"/>
          <w:sz w:val="26"/>
          <w:szCs w:val="26"/>
          <w:lang w:eastAsia="it-IT"/>
        </w:rPr>
        <w:t xml:space="preserve"> </w:t>
      </w:r>
      <w:r w:rsidR="005D11ED" w:rsidRPr="00C15A2F">
        <w:rPr>
          <w:rFonts w:ascii="Times New Roman" w:eastAsia="Times New Roman" w:hAnsi="Times New Roman" w:cs="Times New Roman"/>
          <w:iCs/>
          <w:color w:val="000000"/>
          <w:sz w:val="26"/>
          <w:szCs w:val="26"/>
          <w:lang w:eastAsia="it-IT"/>
        </w:rPr>
        <w:t xml:space="preserve">rispondano di regola ad </w:t>
      </w:r>
      <w:r w:rsidR="005D11ED" w:rsidRPr="00C15A2F">
        <w:rPr>
          <w:rFonts w:ascii="Times New Roman" w:eastAsia="Times New Roman" w:hAnsi="Times New Roman" w:cs="Times New Roman"/>
          <w:color w:val="000000"/>
          <w:sz w:val="26"/>
          <w:szCs w:val="26"/>
          <w:lang w:eastAsia="it-IT"/>
        </w:rPr>
        <w:t xml:space="preserve">esigenze di trasparenza dell’attività della pubblica amministrazione e di economicità della medesima, soddisfacendo in via preventiva le esigenze di chiarimento dei destinatari principali dell’attività di una pubblica amministrazione, </w:t>
      </w:r>
      <w:r w:rsidR="006F421F" w:rsidRPr="00C15A2F">
        <w:rPr>
          <w:rFonts w:ascii="Times New Roman" w:eastAsia="Times New Roman" w:hAnsi="Times New Roman" w:cs="Times New Roman"/>
          <w:color w:val="000000"/>
          <w:sz w:val="26"/>
          <w:szCs w:val="26"/>
          <w:lang w:eastAsia="it-IT"/>
        </w:rPr>
        <w:t xml:space="preserve">pur riconoscendone </w:t>
      </w:r>
      <w:r w:rsidR="005D11ED" w:rsidRPr="00C15A2F">
        <w:rPr>
          <w:rFonts w:ascii="Times New Roman" w:eastAsia="Times New Roman" w:hAnsi="Times New Roman" w:cs="Times New Roman"/>
          <w:color w:val="000000"/>
          <w:sz w:val="26"/>
          <w:szCs w:val="26"/>
          <w:lang w:eastAsia="it-IT"/>
        </w:rPr>
        <w:t xml:space="preserve">la diffusione nel periodo </w:t>
      </w:r>
      <w:r w:rsidR="006F421F" w:rsidRPr="00C15A2F">
        <w:rPr>
          <w:rFonts w:ascii="Times New Roman" w:eastAsia="Times New Roman" w:hAnsi="Times New Roman" w:cs="Times New Roman"/>
          <w:color w:val="000000"/>
          <w:sz w:val="26"/>
          <w:szCs w:val="26"/>
          <w:lang w:eastAsia="it-IT"/>
        </w:rPr>
        <w:t xml:space="preserve">attuale, non hanno potuto attribuire loro alcuna portata normativa.  </w:t>
      </w:r>
      <w:r w:rsidR="005D11ED" w:rsidRPr="00C15A2F">
        <w:rPr>
          <w:rFonts w:ascii="Times New Roman" w:eastAsia="Times New Roman" w:hAnsi="Times New Roman" w:cs="Times New Roman"/>
          <w:color w:val="000000"/>
          <w:sz w:val="26"/>
          <w:szCs w:val="26"/>
          <w:lang w:eastAsia="it-IT"/>
        </w:rPr>
        <w:t>«</w:t>
      </w:r>
      <w:r w:rsidR="005D11ED" w:rsidRPr="00C15A2F">
        <w:rPr>
          <w:rFonts w:ascii="Times New Roman" w:eastAsia="Times New Roman" w:hAnsi="Times New Roman" w:cs="Times New Roman"/>
          <w:i/>
          <w:color w:val="000000"/>
          <w:sz w:val="26"/>
          <w:szCs w:val="26"/>
          <w:lang w:eastAsia="it-IT"/>
        </w:rPr>
        <w:t>Tuttavia, non si può neppure dimenticare che le FAQ sono sconosciute all’ordinamento giuridico, in particolare all’art. 1 delle preleggi al codice civile. Esse svolgono una funzione eminentemente pratica né, in genere, indicano elementi utili circa la loro elaborazione, la procedura o i soggetti che ne sono i curatori o i responsabili. Non sono pubblicate a conclusione di un procedim</w:t>
      </w:r>
      <w:r w:rsidR="00055EB4">
        <w:rPr>
          <w:rFonts w:ascii="Times New Roman" w:eastAsia="Times New Roman" w:hAnsi="Times New Roman" w:cs="Times New Roman"/>
          <w:i/>
          <w:color w:val="000000"/>
          <w:sz w:val="26"/>
          <w:szCs w:val="26"/>
          <w:lang w:eastAsia="it-IT"/>
        </w:rPr>
        <w:t>ento predefinito dalla legge. È</w:t>
      </w:r>
      <w:r w:rsidR="00055EB4" w:rsidRPr="00C15A2F">
        <w:rPr>
          <w:rFonts w:ascii="Times New Roman" w:eastAsia="Times New Roman" w:hAnsi="Times New Roman" w:cs="Times New Roman"/>
          <w:i/>
          <w:color w:val="000000"/>
          <w:sz w:val="26"/>
          <w:szCs w:val="26"/>
          <w:lang w:eastAsia="it-IT"/>
        </w:rPr>
        <w:t xml:space="preserve"> </w:t>
      </w:r>
      <w:r w:rsidR="005D11ED" w:rsidRPr="00C15A2F">
        <w:rPr>
          <w:rFonts w:ascii="Times New Roman" w:eastAsia="Times New Roman" w:hAnsi="Times New Roman" w:cs="Times New Roman"/>
          <w:i/>
          <w:color w:val="000000"/>
          <w:sz w:val="26"/>
          <w:szCs w:val="26"/>
          <w:lang w:eastAsia="it-IT"/>
        </w:rPr>
        <w:t>quindi da escludere che le risposte alle FAQ possano essere assimilate a una fonte del diritto, né primaria, né secondaria. Neppure possono essere considerate affini alle circolari, dal momento che non costituiscono un obbligo interno per gli organi amministrativi. In difetto dei necessari presupposti legali, esse non possono costituire neppure atti di interpretazione autentica. Tuttavia, non può essere sottovalutato l’effetto che le risposte alle FAQ producono sui destinatari, a partire dall’affidamento nei confronti di chi (l’amministrazione) fornisce le risposte. In definitiva, le risposte alle FAQ, pur nella loro atipicità, si pongono a metà strada tra le disposizioni di carattere normativo, per loro natura (almeno di regola) generali e astratte e inidonee quindi a prevedere ogni loro possibile applicazione concreta, e il singolo esercizio della funzione amministrativa da parte di una pubblica amministrazione. Essenziali criteri di affidamento del cittadino nella pubblica amministrazione richiedono tuttavia di tenere conto dell’attività svolta dall’amministrazione stessa con la pubblicazione delle FAQ sul proprio sito istituzionale</w:t>
      </w:r>
      <w:r w:rsidR="005D11ED" w:rsidRPr="00C15A2F">
        <w:rPr>
          <w:rFonts w:ascii="Times New Roman" w:eastAsia="Times New Roman" w:hAnsi="Times New Roman" w:cs="Times New Roman"/>
          <w:color w:val="000000"/>
          <w:sz w:val="26"/>
          <w:szCs w:val="26"/>
          <w:lang w:eastAsia="it-IT"/>
        </w:rPr>
        <w:t>».</w:t>
      </w:r>
    </w:p>
    <w:p w:rsidR="006A3B1F" w:rsidRPr="00C15A2F" w:rsidRDefault="006A3B1F" w:rsidP="008E2068">
      <w:pPr>
        <w:spacing w:after="0" w:line="360" w:lineRule="auto"/>
        <w:jc w:val="both"/>
        <w:rPr>
          <w:rFonts w:ascii="Times New Roman" w:hAnsi="Times New Roman" w:cs="Times New Roman"/>
          <w:color w:val="000000"/>
          <w:sz w:val="26"/>
          <w:szCs w:val="26"/>
        </w:rPr>
      </w:pPr>
      <w:r w:rsidRPr="00C15A2F">
        <w:rPr>
          <w:rFonts w:ascii="Times New Roman" w:eastAsia="Times New Roman" w:hAnsi="Times New Roman" w:cs="Times New Roman"/>
          <w:color w:val="000000"/>
          <w:sz w:val="26"/>
          <w:szCs w:val="26"/>
          <w:lang w:eastAsia="it-IT"/>
        </w:rPr>
        <w:t>Infine, e per concludere questa carrellata incentrata sulle fonti del diritto emergenziale, meritano di essere segnalate le pronunce che hanno lambito la tematica del diritto di accesso agli atti, soprattutto a valenza tecnico-sci</w:t>
      </w:r>
      <w:r w:rsidR="006F421F" w:rsidRPr="00C15A2F">
        <w:rPr>
          <w:rFonts w:ascii="Times New Roman" w:eastAsia="Times New Roman" w:hAnsi="Times New Roman" w:cs="Times New Roman"/>
          <w:color w:val="000000"/>
          <w:sz w:val="26"/>
          <w:szCs w:val="26"/>
          <w:lang w:eastAsia="it-IT"/>
        </w:rPr>
        <w:t>entifica</w:t>
      </w:r>
      <w:r w:rsidRPr="00C15A2F">
        <w:rPr>
          <w:rFonts w:ascii="Times New Roman" w:eastAsia="Times New Roman" w:hAnsi="Times New Roman" w:cs="Times New Roman"/>
          <w:color w:val="000000"/>
          <w:sz w:val="26"/>
          <w:szCs w:val="26"/>
          <w:lang w:eastAsia="it-IT"/>
        </w:rPr>
        <w:t xml:space="preserve">, sulla base dei quali sono stati o avrebbero dovuto essere adottati i provvedimenti a carattere normativo. </w:t>
      </w:r>
      <w:r w:rsidR="00542B93" w:rsidRPr="00C15A2F">
        <w:rPr>
          <w:rFonts w:ascii="Times New Roman" w:eastAsia="Times New Roman" w:hAnsi="Times New Roman" w:cs="Times New Roman"/>
          <w:color w:val="000000"/>
          <w:sz w:val="26"/>
          <w:szCs w:val="26"/>
          <w:lang w:eastAsia="it-IT"/>
        </w:rPr>
        <w:t>In particolare, ha assunto ril</w:t>
      </w:r>
      <w:r w:rsidR="006F421F" w:rsidRPr="00C15A2F">
        <w:rPr>
          <w:rFonts w:ascii="Times New Roman" w:eastAsia="Times New Roman" w:hAnsi="Times New Roman" w:cs="Times New Roman"/>
          <w:color w:val="000000"/>
          <w:sz w:val="26"/>
          <w:szCs w:val="26"/>
          <w:lang w:eastAsia="it-IT"/>
        </w:rPr>
        <w:t>ievo</w:t>
      </w:r>
      <w:r w:rsidR="00542B93" w:rsidRPr="00C15A2F">
        <w:rPr>
          <w:rFonts w:ascii="Times New Roman" w:eastAsia="Times New Roman" w:hAnsi="Times New Roman" w:cs="Times New Roman"/>
          <w:color w:val="000000"/>
          <w:sz w:val="26"/>
          <w:szCs w:val="26"/>
          <w:lang w:eastAsia="it-IT"/>
        </w:rPr>
        <w:t xml:space="preserve"> e si è posta al centro del dibattito, anche mediatico, l’attività del </w:t>
      </w:r>
      <w:r w:rsidR="00542B93" w:rsidRPr="00C15A2F">
        <w:rPr>
          <w:rFonts w:ascii="Times New Roman" w:hAnsi="Times New Roman" w:cs="Times New Roman"/>
          <w:b/>
          <w:sz w:val="26"/>
          <w:szCs w:val="26"/>
        </w:rPr>
        <w:t>Comitato tecnico-scientifico</w:t>
      </w:r>
      <w:r w:rsidR="00542B93" w:rsidRPr="00C15A2F">
        <w:rPr>
          <w:rFonts w:ascii="Times New Roman" w:hAnsi="Times New Roman" w:cs="Times New Roman"/>
          <w:sz w:val="26"/>
          <w:szCs w:val="26"/>
        </w:rPr>
        <w:t xml:space="preserve"> (CTS), istituito non appena il problema pandemico ha iniziato a profilarsi, ovvero con Ordinanza del Capo del Dipartimento della Protezione civile n. 630 del 3 febbraio 2020, come struttura di supporto per la realizzazione degli interventi necessari a fronteggiare l’emergenza sanitaria da Covid-19. Di tale organismo si è avvalso non soltanto il Dipartimento della Protezione civile, ma anche la Presidenza del Consiglio dei Ministri (presso la quale il Dipartimento trova allocazione organizzativa), a cui i decreti legge hanno demandato, come già chiarito, l’adozione delle misure di contenimento e gestione dell’emergenza sanitaria. A seguito della richiesta avanzata sin dall’aprile 2020 da parte di alcuni privati cittadini al Segretariato generale della Presidenza del Consiglio di accedere agli atti di ridetto Comitato e alla sua mancata evasione, si è sviluppato specifico contenzioso cautelare, non sfociato nel merito </w:t>
      </w:r>
      <w:r w:rsidR="00C63A26" w:rsidRPr="00C15A2F">
        <w:rPr>
          <w:rFonts w:ascii="Times New Roman" w:hAnsi="Times New Roman" w:cs="Times New Roman"/>
          <w:sz w:val="26"/>
          <w:szCs w:val="26"/>
        </w:rPr>
        <w:t xml:space="preserve">per la rinuncia al ricorso in appello da parte dell’Avvocatura di Stato per sopravvenuta carenza di interesse in quanto nelle more del giudizio i verbali sono stati resi ostensibili.  La vicenda è interessante anche in quanto esemplifica l’uso equilibrato del rimedio cautelare monocratico cui si è fatto cenno nella narrazione delle modifiche processuali. Pur affermando, infatti, la correttezza della tesi del primo giudice circa </w:t>
      </w:r>
      <w:r w:rsidR="006F421F" w:rsidRPr="00C15A2F">
        <w:rPr>
          <w:rFonts w:ascii="Times New Roman" w:hAnsi="Times New Roman" w:cs="Times New Roman"/>
          <w:sz w:val="26"/>
          <w:szCs w:val="26"/>
        </w:rPr>
        <w:t xml:space="preserve">il dovere di ostensione </w:t>
      </w:r>
      <w:r w:rsidR="00C63A26" w:rsidRPr="00C15A2F">
        <w:rPr>
          <w:rFonts w:ascii="Times New Roman" w:hAnsi="Times New Roman" w:cs="Times New Roman"/>
          <w:sz w:val="26"/>
          <w:szCs w:val="26"/>
        </w:rPr>
        <w:t>de</w:t>
      </w:r>
      <w:r w:rsidR="006F421F" w:rsidRPr="00C15A2F">
        <w:rPr>
          <w:rFonts w:ascii="Times New Roman" w:hAnsi="Times New Roman" w:cs="Times New Roman"/>
          <w:sz w:val="26"/>
          <w:szCs w:val="26"/>
        </w:rPr>
        <w:t xml:space="preserve">i verbali, il Consiglio di Stato ha sospeso </w:t>
      </w:r>
      <w:r w:rsidR="0087047B" w:rsidRPr="00C15A2F">
        <w:rPr>
          <w:rFonts w:ascii="Times New Roman" w:hAnsi="Times New Roman" w:cs="Times New Roman"/>
          <w:sz w:val="26"/>
          <w:szCs w:val="26"/>
        </w:rPr>
        <w:t xml:space="preserve">l’ordine di esibizione disposto dal primo giudice, </w:t>
      </w:r>
      <w:r w:rsidR="006F421F" w:rsidRPr="00C15A2F">
        <w:rPr>
          <w:rFonts w:ascii="Times New Roman" w:hAnsi="Times New Roman" w:cs="Times New Roman"/>
          <w:sz w:val="26"/>
          <w:szCs w:val="26"/>
        </w:rPr>
        <w:t xml:space="preserve">non ritenendone opportuna la decisione nella fase monocratica, in ragione della novità e rilevanza della questione posta. </w:t>
      </w:r>
      <w:r w:rsidR="0087047B" w:rsidRPr="00C15A2F">
        <w:rPr>
          <w:rStyle w:val="Enfasicorsivo"/>
          <w:rFonts w:ascii="Times New Roman" w:hAnsi="Times New Roman" w:cs="Times New Roman"/>
          <w:i w:val="0"/>
          <w:color w:val="000000"/>
          <w:spacing w:val="-4"/>
          <w:sz w:val="26"/>
          <w:szCs w:val="26"/>
        </w:rPr>
        <w:t xml:space="preserve">Nel </w:t>
      </w:r>
      <w:r w:rsidR="006F421F" w:rsidRPr="00C15A2F">
        <w:rPr>
          <w:rStyle w:val="Enfasicorsivo"/>
          <w:rFonts w:ascii="Times New Roman" w:hAnsi="Times New Roman" w:cs="Times New Roman"/>
          <w:i w:val="0"/>
          <w:color w:val="000000"/>
          <w:spacing w:val="-4"/>
          <w:sz w:val="26"/>
          <w:szCs w:val="26"/>
        </w:rPr>
        <w:t xml:space="preserve">merito, nel decreto si è tuttavia </w:t>
      </w:r>
      <w:r w:rsidR="0087047B" w:rsidRPr="00C15A2F">
        <w:rPr>
          <w:rStyle w:val="Enfasicorsivo"/>
          <w:rFonts w:ascii="Times New Roman" w:hAnsi="Times New Roman" w:cs="Times New Roman"/>
          <w:i w:val="0"/>
          <w:color w:val="000000"/>
          <w:spacing w:val="-4"/>
          <w:sz w:val="26"/>
          <w:szCs w:val="26"/>
        </w:rPr>
        <w:t>chiaramente affermato che «</w:t>
      </w:r>
      <w:r w:rsidR="00542B93" w:rsidRPr="00C15A2F">
        <w:rPr>
          <w:rStyle w:val="Enfasicorsivo"/>
          <w:rFonts w:ascii="Times New Roman" w:hAnsi="Times New Roman" w:cs="Times New Roman"/>
          <w:color w:val="000000"/>
          <w:spacing w:val="-4"/>
          <w:sz w:val="26"/>
          <w:szCs w:val="26"/>
        </w:rPr>
        <w:t>i verbali di cui si è chiesta l’ostensione hanno – nel quadro della cennata eccezionalità e specialità normativa e amministrativa – il carattere di atti procedimentali tecnici prod</w:t>
      </w:r>
      <w:r w:rsidR="001C2291">
        <w:rPr>
          <w:rStyle w:val="Enfasicorsivo"/>
          <w:rFonts w:ascii="Times New Roman" w:hAnsi="Times New Roman" w:cs="Times New Roman"/>
          <w:color w:val="000000"/>
          <w:spacing w:val="-4"/>
          <w:sz w:val="26"/>
          <w:szCs w:val="26"/>
        </w:rPr>
        <w:t>r</w:t>
      </w:r>
      <w:r w:rsidR="00542B93" w:rsidRPr="00C15A2F">
        <w:rPr>
          <w:rStyle w:val="Enfasicorsivo"/>
          <w:rFonts w:ascii="Times New Roman" w:hAnsi="Times New Roman" w:cs="Times New Roman"/>
          <w:color w:val="000000"/>
          <w:spacing w:val="-4"/>
          <w:sz w:val="26"/>
          <w:szCs w:val="26"/>
        </w:rPr>
        <w:t>omici alla adozione di D.P.C.M. volti a fronteggiare la pandemia</w:t>
      </w:r>
      <w:r w:rsidR="0087047B" w:rsidRPr="00C15A2F">
        <w:rPr>
          <w:rStyle w:val="Enfasicorsivo"/>
          <w:rFonts w:ascii="Times New Roman" w:hAnsi="Times New Roman" w:cs="Times New Roman"/>
          <w:color w:val="000000"/>
          <w:spacing w:val="-4"/>
          <w:sz w:val="26"/>
          <w:szCs w:val="26"/>
        </w:rPr>
        <w:t>»</w:t>
      </w:r>
      <w:r w:rsidR="003B5B46" w:rsidRPr="00C15A2F">
        <w:rPr>
          <w:rStyle w:val="Enfasicorsivo"/>
          <w:rFonts w:ascii="Times New Roman" w:hAnsi="Times New Roman" w:cs="Times New Roman"/>
          <w:color w:val="000000"/>
          <w:spacing w:val="-4"/>
          <w:sz w:val="26"/>
          <w:szCs w:val="26"/>
        </w:rPr>
        <w:t xml:space="preserve">, </w:t>
      </w:r>
      <w:r w:rsidR="003B5B46" w:rsidRPr="00C15A2F">
        <w:rPr>
          <w:rStyle w:val="Enfasicorsivo"/>
          <w:rFonts w:ascii="Times New Roman" w:hAnsi="Times New Roman" w:cs="Times New Roman"/>
          <w:i w:val="0"/>
          <w:color w:val="000000"/>
          <w:spacing w:val="-4"/>
          <w:sz w:val="26"/>
          <w:szCs w:val="26"/>
        </w:rPr>
        <w:t xml:space="preserve">come tali destinati a supportare scelte destinate a comprimere </w:t>
      </w:r>
      <w:r w:rsidR="00184B42" w:rsidRPr="00C15A2F">
        <w:rPr>
          <w:rStyle w:val="Enfasicorsivo"/>
          <w:rFonts w:ascii="Times New Roman" w:hAnsi="Times New Roman" w:cs="Times New Roman"/>
          <w:i w:val="0"/>
          <w:color w:val="000000"/>
          <w:spacing w:val="-4"/>
          <w:sz w:val="26"/>
          <w:szCs w:val="26"/>
        </w:rPr>
        <w:t>fortemente diritti individuali dei cittadini, costituzionalmente tutelati</w:t>
      </w:r>
      <w:r w:rsidR="0087047B" w:rsidRPr="00C15A2F">
        <w:rPr>
          <w:rStyle w:val="Enfasicorsivo"/>
          <w:rFonts w:ascii="Times New Roman" w:hAnsi="Times New Roman" w:cs="Times New Roman"/>
          <w:color w:val="000000"/>
          <w:spacing w:val="-4"/>
          <w:sz w:val="26"/>
          <w:szCs w:val="26"/>
        </w:rPr>
        <w:t xml:space="preserve">. </w:t>
      </w:r>
      <w:r w:rsidR="00184B42" w:rsidRPr="00C15A2F">
        <w:rPr>
          <w:rStyle w:val="Enfasicorsivo"/>
          <w:rFonts w:ascii="Times New Roman" w:hAnsi="Times New Roman" w:cs="Times New Roman"/>
          <w:i w:val="0"/>
          <w:color w:val="000000"/>
          <w:spacing w:val="-4"/>
          <w:sz w:val="26"/>
          <w:szCs w:val="26"/>
        </w:rPr>
        <w:t>La mancata individuazione di specifici profili di segretezza «</w:t>
      </w:r>
      <w:r w:rsidR="00542B93" w:rsidRPr="00C15A2F">
        <w:rPr>
          <w:rStyle w:val="Enfasicorsivo"/>
          <w:rFonts w:ascii="Times New Roman" w:hAnsi="Times New Roman" w:cs="Times New Roman"/>
          <w:color w:val="000000"/>
          <w:spacing w:val="-4"/>
          <w:sz w:val="26"/>
          <w:szCs w:val="26"/>
        </w:rPr>
        <w:t>da opporre agli stessi cittadini, che le forti riduzioni di libertà hanno accettato in nome di una emergenza sanitaria i cui aspetti proprio quei verbali elaborano</w:t>
      </w:r>
      <w:r w:rsidR="00C63A26" w:rsidRPr="00C15A2F">
        <w:rPr>
          <w:rStyle w:val="Enfasicorsivo"/>
          <w:rFonts w:ascii="Times New Roman" w:hAnsi="Times New Roman" w:cs="Times New Roman"/>
          <w:color w:val="000000"/>
          <w:spacing w:val="-4"/>
          <w:sz w:val="26"/>
          <w:szCs w:val="26"/>
        </w:rPr>
        <w:t>»</w:t>
      </w:r>
      <w:r w:rsidR="00184B42" w:rsidRPr="00C15A2F">
        <w:rPr>
          <w:rStyle w:val="Enfasicorsivo"/>
          <w:rFonts w:ascii="Times New Roman" w:hAnsi="Times New Roman" w:cs="Times New Roman"/>
          <w:color w:val="000000"/>
          <w:spacing w:val="-4"/>
          <w:sz w:val="26"/>
          <w:szCs w:val="26"/>
        </w:rPr>
        <w:t xml:space="preserve">, </w:t>
      </w:r>
      <w:r w:rsidR="008E2068">
        <w:rPr>
          <w:rStyle w:val="Enfasicorsivo"/>
          <w:rFonts w:ascii="Times New Roman" w:hAnsi="Times New Roman" w:cs="Times New Roman"/>
          <w:i w:val="0"/>
          <w:color w:val="000000"/>
          <w:spacing w:val="-4"/>
          <w:sz w:val="26"/>
          <w:szCs w:val="26"/>
        </w:rPr>
        <w:t xml:space="preserve">ne implica la totale </w:t>
      </w:r>
      <w:proofErr w:type="spellStart"/>
      <w:r w:rsidR="00184B42" w:rsidRPr="00C15A2F">
        <w:rPr>
          <w:rStyle w:val="Enfasicorsivo"/>
          <w:rFonts w:ascii="Times New Roman" w:hAnsi="Times New Roman" w:cs="Times New Roman"/>
          <w:i w:val="0"/>
          <w:color w:val="000000"/>
          <w:spacing w:val="-4"/>
          <w:sz w:val="26"/>
          <w:szCs w:val="26"/>
        </w:rPr>
        <w:t>ostensibilità</w:t>
      </w:r>
      <w:proofErr w:type="spellEnd"/>
      <w:r w:rsidR="00C63A26" w:rsidRPr="00C15A2F">
        <w:rPr>
          <w:rStyle w:val="Enfasicorsivo"/>
          <w:rFonts w:ascii="Times New Roman" w:hAnsi="Times New Roman" w:cs="Times New Roman"/>
          <w:color w:val="000000"/>
          <w:spacing w:val="-4"/>
          <w:sz w:val="26"/>
          <w:szCs w:val="26"/>
        </w:rPr>
        <w:t xml:space="preserve">. </w:t>
      </w:r>
      <w:r w:rsidR="00C63A26" w:rsidRPr="00C15A2F">
        <w:rPr>
          <w:rStyle w:val="Enfasicorsivo"/>
          <w:rFonts w:ascii="Times New Roman" w:hAnsi="Times New Roman" w:cs="Times New Roman"/>
          <w:i w:val="0"/>
          <w:color w:val="000000"/>
          <w:spacing w:val="-4"/>
          <w:sz w:val="26"/>
          <w:szCs w:val="26"/>
        </w:rPr>
        <w:t>Non</w:t>
      </w:r>
      <w:r w:rsidR="00C63A26" w:rsidRPr="00C15A2F">
        <w:rPr>
          <w:rStyle w:val="Enfasicorsivo"/>
          <w:rFonts w:ascii="Times New Roman" w:hAnsi="Times New Roman" w:cs="Times New Roman"/>
          <w:color w:val="000000"/>
          <w:spacing w:val="-4"/>
          <w:sz w:val="26"/>
          <w:szCs w:val="26"/>
        </w:rPr>
        <w:t xml:space="preserve"> </w:t>
      </w:r>
      <w:r w:rsidR="00C63A26" w:rsidRPr="00C15A2F">
        <w:rPr>
          <w:rStyle w:val="Enfasicorsivo"/>
          <w:rFonts w:ascii="Times New Roman" w:hAnsi="Times New Roman" w:cs="Times New Roman"/>
          <w:i w:val="0"/>
          <w:color w:val="000000"/>
          <w:spacing w:val="-4"/>
          <w:sz w:val="26"/>
          <w:szCs w:val="26"/>
        </w:rPr>
        <w:t>risulta pertanto comprensibile, «</w:t>
      </w:r>
      <w:r w:rsidR="00542B93" w:rsidRPr="00C15A2F">
        <w:rPr>
          <w:rStyle w:val="Enfasicorsivo"/>
          <w:rFonts w:ascii="Times New Roman" w:hAnsi="Times New Roman" w:cs="Times New Roman"/>
          <w:color w:val="000000"/>
          <w:spacing w:val="-4"/>
          <w:sz w:val="26"/>
          <w:szCs w:val="26"/>
        </w:rPr>
        <w:t>proprio per la assoluta eccezionalità di tali atti, rispetto alle categorie tradizionali invocate in senso opposto dalle due parti, perché si debba includere tali atti atipici nel novero di quelli sottratti alla generale regola di trasparenza e conoscibilità da parte dei cittadini, giacché la recente normativa – ribattezzata “</w:t>
      </w:r>
      <w:proofErr w:type="spellStart"/>
      <w:r w:rsidR="00542B93" w:rsidRPr="00C15A2F">
        <w:rPr>
          <w:rStyle w:val="Enfasicorsivo"/>
          <w:rFonts w:ascii="Times New Roman" w:hAnsi="Times New Roman" w:cs="Times New Roman"/>
          <w:color w:val="000000"/>
          <w:spacing w:val="-4"/>
          <w:sz w:val="26"/>
          <w:szCs w:val="26"/>
        </w:rPr>
        <w:t>freedom</w:t>
      </w:r>
      <w:proofErr w:type="spellEnd"/>
      <w:r w:rsidR="00542B93" w:rsidRPr="00C15A2F">
        <w:rPr>
          <w:rStyle w:val="Enfasicorsivo"/>
          <w:rFonts w:ascii="Times New Roman" w:hAnsi="Times New Roman" w:cs="Times New Roman"/>
          <w:color w:val="000000"/>
          <w:spacing w:val="-4"/>
          <w:sz w:val="26"/>
          <w:szCs w:val="26"/>
        </w:rPr>
        <w:t xml:space="preserve"> of information </w:t>
      </w:r>
      <w:proofErr w:type="spellStart"/>
      <w:r w:rsidR="00542B93" w:rsidRPr="00C15A2F">
        <w:rPr>
          <w:rStyle w:val="Enfasicorsivo"/>
          <w:rFonts w:ascii="Times New Roman" w:hAnsi="Times New Roman" w:cs="Times New Roman"/>
          <w:color w:val="000000"/>
          <w:spacing w:val="-4"/>
          <w:sz w:val="26"/>
          <w:szCs w:val="26"/>
        </w:rPr>
        <w:t>act</w:t>
      </w:r>
      <w:proofErr w:type="spellEnd"/>
      <w:r w:rsidR="00542B93" w:rsidRPr="00C15A2F">
        <w:rPr>
          <w:rStyle w:val="Enfasicorsivo"/>
          <w:rFonts w:ascii="Times New Roman" w:hAnsi="Times New Roman" w:cs="Times New Roman"/>
          <w:color w:val="000000"/>
          <w:spacing w:val="-4"/>
          <w:sz w:val="26"/>
          <w:szCs w:val="26"/>
        </w:rPr>
        <w:t>” sul modello americano – prevede come regola l’accesso civico e come eccezione – tra cui questi atti atipici non possono essere inclusi né per analogia né per integrazione postuma della norma – la non accessibilità di quelle sole categorie di atti che, trattandosi di eccezione alla regola, devono essere interpretate restrittivamente; è stato peraltro chiarito che le norme sull’accesso civico generalizzato e quelle sull’accesso documentale vanno congiuntamente considerate come complesso regolatore che non restringe ma globalmente amplia la trasparenza e quindi il diritto di partecipazione del cittadino</w:t>
      </w:r>
      <w:r w:rsidR="00C63A26" w:rsidRPr="00C15A2F">
        <w:rPr>
          <w:rStyle w:val="Enfasicorsivo"/>
          <w:rFonts w:ascii="Times New Roman" w:hAnsi="Times New Roman" w:cs="Times New Roman"/>
          <w:color w:val="000000"/>
          <w:spacing w:val="-4"/>
          <w:sz w:val="26"/>
          <w:szCs w:val="26"/>
        </w:rPr>
        <w:t xml:space="preserve">» </w:t>
      </w:r>
      <w:r w:rsidR="00C63A26" w:rsidRPr="00EC092F">
        <w:rPr>
          <w:rStyle w:val="Enfasicorsivo"/>
          <w:rFonts w:ascii="Times New Roman" w:hAnsi="Times New Roman" w:cs="Times New Roman"/>
          <w:i w:val="0"/>
          <w:color w:val="000000"/>
          <w:spacing w:val="-4"/>
          <w:sz w:val="26"/>
          <w:szCs w:val="26"/>
        </w:rPr>
        <w:t>(</w:t>
      </w:r>
      <w:proofErr w:type="spellStart"/>
      <w:r w:rsidR="00C63A26" w:rsidRPr="00EC092F">
        <w:rPr>
          <w:rStyle w:val="Enfasicorsivo"/>
          <w:rFonts w:ascii="Times New Roman" w:hAnsi="Times New Roman" w:cs="Times New Roman"/>
          <w:i w:val="0"/>
          <w:color w:val="000000"/>
          <w:spacing w:val="-4"/>
          <w:sz w:val="26"/>
          <w:szCs w:val="26"/>
        </w:rPr>
        <w:t>Cons</w:t>
      </w:r>
      <w:proofErr w:type="spellEnd"/>
      <w:r w:rsidR="00C63A26" w:rsidRPr="00EC092F">
        <w:rPr>
          <w:rStyle w:val="Enfasicorsivo"/>
          <w:rFonts w:ascii="Times New Roman" w:hAnsi="Times New Roman" w:cs="Times New Roman"/>
          <w:i w:val="0"/>
          <w:color w:val="000000"/>
          <w:spacing w:val="-4"/>
          <w:sz w:val="26"/>
          <w:szCs w:val="26"/>
        </w:rPr>
        <w:t xml:space="preserve">. Stato, sez. III, decreto n. 4574 del </w:t>
      </w:r>
      <w:r w:rsidR="00C63A26" w:rsidRPr="001C2291">
        <w:rPr>
          <w:rStyle w:val="Enfasicorsivo"/>
          <w:rFonts w:ascii="Times New Roman" w:hAnsi="Times New Roman" w:cs="Times New Roman"/>
          <w:i w:val="0"/>
          <w:color w:val="000000"/>
          <w:spacing w:val="-4"/>
          <w:sz w:val="26"/>
          <w:szCs w:val="26"/>
        </w:rPr>
        <w:t>2020)</w:t>
      </w:r>
      <w:r w:rsidR="00C63A26" w:rsidRPr="00C15A2F">
        <w:rPr>
          <w:rStyle w:val="Enfasicorsivo"/>
          <w:rFonts w:ascii="Times New Roman" w:hAnsi="Times New Roman" w:cs="Times New Roman"/>
          <w:color w:val="000000"/>
          <w:spacing w:val="-4"/>
          <w:sz w:val="26"/>
          <w:szCs w:val="26"/>
        </w:rPr>
        <w:t xml:space="preserve">. </w:t>
      </w:r>
      <w:r w:rsidR="00184B42" w:rsidRPr="00C15A2F">
        <w:rPr>
          <w:rStyle w:val="Enfasicorsivo"/>
          <w:rFonts w:ascii="Times New Roman" w:hAnsi="Times New Roman" w:cs="Times New Roman"/>
          <w:i w:val="0"/>
          <w:color w:val="000000"/>
          <w:spacing w:val="-4"/>
          <w:sz w:val="26"/>
          <w:szCs w:val="26"/>
        </w:rPr>
        <w:t xml:space="preserve">Anche il differimento della loro ostensione ad una fase successiva al superamento dell’emergenza, si risolverebbe </w:t>
      </w:r>
      <w:r w:rsidR="00C63A26" w:rsidRPr="00C15A2F">
        <w:rPr>
          <w:rStyle w:val="Enfasicorsivo"/>
          <w:rFonts w:ascii="Times New Roman" w:hAnsi="Times New Roman" w:cs="Times New Roman"/>
          <w:color w:val="000000"/>
          <w:spacing w:val="-4"/>
          <w:sz w:val="26"/>
          <w:szCs w:val="26"/>
        </w:rPr>
        <w:t>«</w:t>
      </w:r>
      <w:r w:rsidR="00542B93" w:rsidRPr="00C15A2F">
        <w:rPr>
          <w:rStyle w:val="Enfasicorsivo"/>
          <w:rFonts w:ascii="Times New Roman" w:hAnsi="Times New Roman" w:cs="Times New Roman"/>
          <w:color w:val="000000"/>
          <w:spacing w:val="-4"/>
          <w:sz w:val="26"/>
          <w:szCs w:val="26"/>
        </w:rPr>
        <w:t xml:space="preserve">in un discrezionale e unilaterale potere di esibire o meno atti la cui </w:t>
      </w:r>
      <w:proofErr w:type="spellStart"/>
      <w:r w:rsidR="00542B93" w:rsidRPr="00C15A2F">
        <w:rPr>
          <w:rStyle w:val="Enfasicorsivo"/>
          <w:rFonts w:ascii="Times New Roman" w:hAnsi="Times New Roman" w:cs="Times New Roman"/>
          <w:color w:val="000000"/>
          <w:spacing w:val="-4"/>
          <w:sz w:val="26"/>
          <w:szCs w:val="26"/>
        </w:rPr>
        <w:t>ostensibilità</w:t>
      </w:r>
      <w:proofErr w:type="spellEnd"/>
      <w:r w:rsidR="00542B93" w:rsidRPr="00C15A2F">
        <w:rPr>
          <w:rStyle w:val="Enfasicorsivo"/>
          <w:rFonts w:ascii="Times New Roman" w:hAnsi="Times New Roman" w:cs="Times New Roman"/>
          <w:color w:val="000000"/>
          <w:spacing w:val="-4"/>
          <w:sz w:val="26"/>
          <w:szCs w:val="26"/>
        </w:rPr>
        <w:t xml:space="preserve"> la legge non esclude espressamente dunque, secondo la regola generale, deve essere consentita</w:t>
      </w:r>
      <w:r w:rsidR="00C63A26" w:rsidRPr="00C15A2F">
        <w:rPr>
          <w:rStyle w:val="Enfasicorsivo"/>
          <w:rFonts w:ascii="Times New Roman" w:hAnsi="Times New Roman" w:cs="Times New Roman"/>
          <w:color w:val="000000"/>
          <w:spacing w:val="-4"/>
          <w:sz w:val="26"/>
          <w:szCs w:val="26"/>
        </w:rPr>
        <w:t xml:space="preserve">». </w:t>
      </w:r>
      <w:r w:rsidRPr="00C15A2F">
        <w:rPr>
          <w:rFonts w:ascii="Times New Roman" w:hAnsi="Times New Roman" w:cs="Times New Roman"/>
          <w:color w:val="000000"/>
          <w:sz w:val="26"/>
          <w:szCs w:val="26"/>
        </w:rPr>
        <w:t xml:space="preserve"> </w:t>
      </w:r>
    </w:p>
    <w:p w:rsidR="006F421F" w:rsidRPr="00C15A2F" w:rsidRDefault="006F421F" w:rsidP="008E2068">
      <w:pPr>
        <w:spacing w:after="0" w:line="360" w:lineRule="auto"/>
        <w:jc w:val="both"/>
        <w:rPr>
          <w:rFonts w:ascii="Times New Roman" w:hAnsi="Times New Roman" w:cs="Times New Roman"/>
          <w:b/>
          <w:color w:val="000000"/>
          <w:sz w:val="26"/>
          <w:szCs w:val="26"/>
        </w:rPr>
      </w:pPr>
    </w:p>
    <w:p w:rsidR="00002840" w:rsidRPr="00C15A2F" w:rsidRDefault="006F421F" w:rsidP="008E2068">
      <w:pPr>
        <w:spacing w:after="0" w:line="360" w:lineRule="auto"/>
        <w:jc w:val="both"/>
        <w:rPr>
          <w:rFonts w:ascii="Times New Roman" w:hAnsi="Times New Roman" w:cs="Times New Roman"/>
          <w:b/>
          <w:color w:val="000000"/>
          <w:sz w:val="26"/>
          <w:szCs w:val="26"/>
        </w:rPr>
      </w:pPr>
      <w:r w:rsidRPr="00C15A2F">
        <w:rPr>
          <w:rFonts w:ascii="Times New Roman" w:hAnsi="Times New Roman" w:cs="Times New Roman"/>
          <w:b/>
          <w:color w:val="000000"/>
          <w:sz w:val="26"/>
          <w:szCs w:val="26"/>
        </w:rPr>
        <w:t>3.</w:t>
      </w:r>
      <w:r w:rsidR="00C15A2F">
        <w:rPr>
          <w:rFonts w:ascii="Times New Roman" w:hAnsi="Times New Roman" w:cs="Times New Roman"/>
          <w:b/>
          <w:color w:val="000000"/>
          <w:sz w:val="26"/>
          <w:szCs w:val="26"/>
        </w:rPr>
        <w:t xml:space="preserve"> </w:t>
      </w:r>
      <w:r w:rsidR="00C52B6E" w:rsidRPr="00C15A2F">
        <w:rPr>
          <w:rFonts w:ascii="Times New Roman" w:hAnsi="Times New Roman" w:cs="Times New Roman"/>
          <w:b/>
          <w:color w:val="000000"/>
          <w:sz w:val="26"/>
          <w:szCs w:val="26"/>
        </w:rPr>
        <w:t xml:space="preserve">Le questioni di maggiore rilievo affrontate dal giudice amministrativo: </w:t>
      </w:r>
      <w:r w:rsidR="00002840" w:rsidRPr="00C15A2F">
        <w:rPr>
          <w:rFonts w:ascii="Times New Roman" w:hAnsi="Times New Roman" w:cs="Times New Roman"/>
          <w:b/>
          <w:color w:val="000000"/>
          <w:sz w:val="26"/>
          <w:szCs w:val="26"/>
        </w:rPr>
        <w:t>a) obbligatorietà dei dispositivi di protezione individuale (mascherine); b) modalità di svolgimento della didattica nelle scuole; c) svolgimento delle attività commerciali</w:t>
      </w:r>
      <w:r w:rsidR="00C52B6E" w:rsidRPr="00C15A2F">
        <w:rPr>
          <w:rFonts w:ascii="Times New Roman" w:hAnsi="Times New Roman" w:cs="Times New Roman"/>
          <w:b/>
          <w:color w:val="000000"/>
          <w:sz w:val="26"/>
          <w:szCs w:val="26"/>
        </w:rPr>
        <w:t xml:space="preserve">. </w:t>
      </w:r>
      <w:r w:rsidR="00002840" w:rsidRPr="00C15A2F">
        <w:rPr>
          <w:rFonts w:ascii="Times New Roman" w:hAnsi="Times New Roman" w:cs="Times New Roman"/>
          <w:b/>
          <w:color w:val="000000"/>
          <w:sz w:val="26"/>
          <w:szCs w:val="26"/>
        </w:rPr>
        <w:t xml:space="preserve">  </w:t>
      </w:r>
    </w:p>
    <w:p w:rsidR="00A0626E" w:rsidRPr="00C15A2F" w:rsidRDefault="001F680E" w:rsidP="008E2068">
      <w:pPr>
        <w:pStyle w:val="NormaleWeb"/>
        <w:spacing w:before="0" w:beforeAutospacing="0" w:after="0" w:afterAutospacing="0" w:line="360" w:lineRule="auto"/>
        <w:jc w:val="both"/>
        <w:rPr>
          <w:color w:val="000000"/>
          <w:sz w:val="26"/>
          <w:szCs w:val="26"/>
        </w:rPr>
      </w:pPr>
      <w:r w:rsidRPr="00C15A2F">
        <w:rPr>
          <w:sz w:val="26"/>
          <w:szCs w:val="26"/>
        </w:rPr>
        <w:t xml:space="preserve">Un esame comparato delle decisioni giudiziarie di questo periodo emergenziale denota similitudine di temi e affinità delle tecniche di sindacato sull’uso dei poteri emergenziali, fondate sui canoni di ragionevolezza e proporzionalità. </w:t>
      </w:r>
      <w:r w:rsidR="006F421F" w:rsidRPr="00C15A2F">
        <w:rPr>
          <w:color w:val="000000"/>
          <w:sz w:val="26"/>
          <w:szCs w:val="26"/>
        </w:rPr>
        <w:t>Con il dichiarato intento di non invadere mai la sfera di discrezionalità tecnico amministrativa sottesa alle scelte effettuate, le decisioni adottate dal giudice amministrativo sono dunque accomunate dal tentativo di bilanciare in chiave comparatistica i plurimi interessi in gioco, facendo emergere priorità non compiutamente evidenziate dalle norme. Su uno dei due piatti della bilancia si è posta sempre, necessariamente, la tutela della salute; sull’altro, interessi egualmente primari e di rango costituzionale, quali la libertà di circolazione, il diritto all’istruzione, il diritto al lavoro e quello di iniziativa econ</w:t>
      </w:r>
      <w:r w:rsidR="00A0626E" w:rsidRPr="00C15A2F">
        <w:rPr>
          <w:color w:val="000000"/>
          <w:sz w:val="26"/>
          <w:szCs w:val="26"/>
        </w:rPr>
        <w:t>o</w:t>
      </w:r>
      <w:r w:rsidR="006F421F" w:rsidRPr="00C15A2F">
        <w:rPr>
          <w:color w:val="000000"/>
          <w:sz w:val="26"/>
          <w:szCs w:val="26"/>
        </w:rPr>
        <w:t>mica pr</w:t>
      </w:r>
      <w:r w:rsidR="00A0626E" w:rsidRPr="00C15A2F">
        <w:rPr>
          <w:color w:val="000000"/>
          <w:sz w:val="26"/>
          <w:szCs w:val="26"/>
        </w:rPr>
        <w:t>i</w:t>
      </w:r>
      <w:r w:rsidR="006F421F" w:rsidRPr="00C15A2F">
        <w:rPr>
          <w:color w:val="000000"/>
          <w:sz w:val="26"/>
          <w:szCs w:val="26"/>
        </w:rPr>
        <w:t>vata</w:t>
      </w:r>
      <w:r w:rsidR="00A0626E" w:rsidRPr="00C15A2F">
        <w:rPr>
          <w:color w:val="000000"/>
          <w:sz w:val="26"/>
          <w:szCs w:val="26"/>
        </w:rPr>
        <w:t xml:space="preserve">. </w:t>
      </w:r>
    </w:p>
    <w:p w:rsidR="0067728E" w:rsidRPr="00C15A2F" w:rsidRDefault="001F680E" w:rsidP="008E2068">
      <w:pPr>
        <w:spacing w:after="0" w:line="360" w:lineRule="auto"/>
        <w:jc w:val="both"/>
        <w:rPr>
          <w:rFonts w:ascii="Times New Roman" w:hAnsi="Times New Roman" w:cs="Times New Roman"/>
          <w:color w:val="000000"/>
          <w:sz w:val="26"/>
          <w:szCs w:val="26"/>
        </w:rPr>
      </w:pPr>
      <w:r w:rsidRPr="00C15A2F">
        <w:rPr>
          <w:rFonts w:ascii="Times New Roman" w:hAnsi="Times New Roman" w:cs="Times New Roman"/>
          <w:sz w:val="26"/>
          <w:szCs w:val="26"/>
        </w:rPr>
        <w:t xml:space="preserve">Nell’affrontare, </w:t>
      </w:r>
      <w:r w:rsidR="00A0626E" w:rsidRPr="00C15A2F">
        <w:rPr>
          <w:rFonts w:ascii="Times New Roman" w:hAnsi="Times New Roman" w:cs="Times New Roman"/>
          <w:sz w:val="26"/>
          <w:szCs w:val="26"/>
        </w:rPr>
        <w:t>ad esempio</w:t>
      </w:r>
      <w:r w:rsidRPr="00C15A2F">
        <w:rPr>
          <w:rFonts w:ascii="Times New Roman" w:hAnsi="Times New Roman" w:cs="Times New Roman"/>
          <w:sz w:val="26"/>
          <w:szCs w:val="26"/>
        </w:rPr>
        <w:t xml:space="preserve">, la questione della correttezza della imposizione </w:t>
      </w:r>
      <w:r w:rsidRPr="00C15A2F">
        <w:rPr>
          <w:rFonts w:ascii="Times New Roman" w:hAnsi="Times New Roman" w:cs="Times New Roman"/>
          <w:b/>
          <w:sz w:val="26"/>
          <w:szCs w:val="26"/>
        </w:rPr>
        <w:t>dell’obbligo delle mascherine</w:t>
      </w:r>
      <w:r w:rsidRPr="00C15A2F">
        <w:rPr>
          <w:rFonts w:ascii="Times New Roman" w:hAnsi="Times New Roman" w:cs="Times New Roman"/>
          <w:sz w:val="26"/>
          <w:szCs w:val="26"/>
        </w:rPr>
        <w:t xml:space="preserve"> a scuola per gli scolari con età compresa fra i 6 e i 12 anni, pur ribadendo come sia il decisore politico a dover vagliare le indicazioni degli organi di consulenza tecnica al riguardo, il Consiglio di Stato ha ritenuto prioritaria l’esigenza di tutela della salute del singolo ricorrente con riferimento al quale si erano ipotizzate potenziali problematiche respiratorie</w:t>
      </w:r>
      <w:r w:rsidR="00A0626E" w:rsidRPr="00C15A2F">
        <w:rPr>
          <w:rFonts w:ascii="Times New Roman" w:hAnsi="Times New Roman" w:cs="Times New Roman"/>
          <w:sz w:val="26"/>
          <w:szCs w:val="26"/>
        </w:rPr>
        <w:t xml:space="preserve"> </w:t>
      </w:r>
      <w:r w:rsidR="0067728E" w:rsidRPr="00C15A2F">
        <w:rPr>
          <w:rFonts w:ascii="Times New Roman" w:hAnsi="Times New Roman" w:cs="Times New Roman"/>
          <w:color w:val="000000"/>
          <w:sz w:val="26"/>
          <w:szCs w:val="26"/>
        </w:rPr>
        <w:t xml:space="preserve">(v. </w:t>
      </w:r>
      <w:proofErr w:type="spellStart"/>
      <w:r w:rsidR="0067728E" w:rsidRPr="00C15A2F">
        <w:rPr>
          <w:rFonts w:ascii="Times New Roman" w:hAnsi="Times New Roman" w:cs="Times New Roman"/>
          <w:color w:val="000000"/>
          <w:sz w:val="26"/>
          <w:szCs w:val="26"/>
        </w:rPr>
        <w:t>C</w:t>
      </w:r>
      <w:r w:rsidR="00EC092F">
        <w:rPr>
          <w:rFonts w:ascii="Times New Roman" w:hAnsi="Times New Roman" w:cs="Times New Roman"/>
          <w:color w:val="000000"/>
          <w:sz w:val="26"/>
          <w:szCs w:val="26"/>
        </w:rPr>
        <w:t>ons</w:t>
      </w:r>
      <w:proofErr w:type="spellEnd"/>
      <w:r w:rsidR="00EC092F">
        <w:rPr>
          <w:rFonts w:ascii="Times New Roman" w:hAnsi="Times New Roman" w:cs="Times New Roman"/>
          <w:color w:val="000000"/>
          <w:sz w:val="26"/>
          <w:szCs w:val="26"/>
        </w:rPr>
        <w:t>. Stato,</w:t>
      </w:r>
      <w:r w:rsidR="0067728E" w:rsidRPr="00C15A2F">
        <w:rPr>
          <w:rFonts w:ascii="Times New Roman" w:hAnsi="Times New Roman" w:cs="Times New Roman"/>
          <w:color w:val="000000"/>
          <w:sz w:val="26"/>
          <w:szCs w:val="26"/>
        </w:rPr>
        <w:t xml:space="preserve"> sez. III, decreto cautelare 10 marzo 2021, n. 1224, ove si ricorda come il vaglio della legittimità dei </w:t>
      </w:r>
      <w:proofErr w:type="spellStart"/>
      <w:r w:rsidR="0067728E" w:rsidRPr="00C15A2F">
        <w:rPr>
          <w:rFonts w:ascii="Times New Roman" w:hAnsi="Times New Roman" w:cs="Times New Roman"/>
          <w:color w:val="000000"/>
          <w:sz w:val="26"/>
          <w:szCs w:val="26"/>
        </w:rPr>
        <w:t>d</w:t>
      </w:r>
      <w:r w:rsidR="003C23DC">
        <w:rPr>
          <w:rFonts w:ascii="Times New Roman" w:hAnsi="Times New Roman" w:cs="Times New Roman"/>
          <w:color w:val="000000"/>
          <w:sz w:val="26"/>
          <w:szCs w:val="26"/>
        </w:rPr>
        <w:t>.</w:t>
      </w:r>
      <w:r w:rsidR="0067728E" w:rsidRPr="00C15A2F">
        <w:rPr>
          <w:rFonts w:ascii="Times New Roman" w:hAnsi="Times New Roman" w:cs="Times New Roman"/>
          <w:color w:val="000000"/>
          <w:sz w:val="26"/>
          <w:szCs w:val="26"/>
        </w:rPr>
        <w:t>P</w:t>
      </w:r>
      <w:r w:rsidR="003C23DC">
        <w:rPr>
          <w:rFonts w:ascii="Times New Roman" w:hAnsi="Times New Roman" w:cs="Times New Roman"/>
          <w:color w:val="000000"/>
          <w:sz w:val="26"/>
          <w:szCs w:val="26"/>
        </w:rPr>
        <w:t>.</w:t>
      </w:r>
      <w:r w:rsidR="0067728E" w:rsidRPr="00C15A2F">
        <w:rPr>
          <w:rFonts w:ascii="Times New Roman" w:hAnsi="Times New Roman" w:cs="Times New Roman"/>
          <w:color w:val="000000"/>
          <w:sz w:val="26"/>
          <w:szCs w:val="26"/>
        </w:rPr>
        <w:t>C</w:t>
      </w:r>
      <w:r w:rsidR="003C23DC">
        <w:rPr>
          <w:rFonts w:ascii="Times New Roman" w:hAnsi="Times New Roman" w:cs="Times New Roman"/>
          <w:color w:val="000000"/>
          <w:sz w:val="26"/>
          <w:szCs w:val="26"/>
        </w:rPr>
        <w:t>.</w:t>
      </w:r>
      <w:r w:rsidR="0067728E" w:rsidRPr="00C15A2F">
        <w:rPr>
          <w:rFonts w:ascii="Times New Roman" w:hAnsi="Times New Roman" w:cs="Times New Roman"/>
          <w:color w:val="000000"/>
          <w:sz w:val="26"/>
          <w:szCs w:val="26"/>
        </w:rPr>
        <w:t>M</w:t>
      </w:r>
      <w:proofErr w:type="spellEnd"/>
      <w:r w:rsidR="003C23DC">
        <w:rPr>
          <w:rFonts w:ascii="Times New Roman" w:hAnsi="Times New Roman" w:cs="Times New Roman"/>
          <w:color w:val="000000"/>
          <w:sz w:val="26"/>
          <w:szCs w:val="26"/>
        </w:rPr>
        <w:t>.</w:t>
      </w:r>
      <w:r w:rsidR="0067728E" w:rsidRPr="00C15A2F">
        <w:rPr>
          <w:rFonts w:ascii="Times New Roman" w:hAnsi="Times New Roman" w:cs="Times New Roman"/>
          <w:color w:val="000000"/>
          <w:sz w:val="26"/>
          <w:szCs w:val="26"/>
        </w:rPr>
        <w:t xml:space="preserve"> presuppone necessariamente la conoscenza delle indicazioni in merito delle commissioni scientifiche che </w:t>
      </w:r>
      <w:r w:rsidRPr="00C15A2F">
        <w:rPr>
          <w:rFonts w:ascii="Times New Roman" w:hAnsi="Times New Roman" w:cs="Times New Roman"/>
          <w:color w:val="000000"/>
          <w:sz w:val="26"/>
          <w:szCs w:val="26"/>
        </w:rPr>
        <w:t>«</w:t>
      </w:r>
      <w:r w:rsidR="0067728E" w:rsidRPr="00C15A2F">
        <w:rPr>
          <w:rFonts w:ascii="Times New Roman" w:hAnsi="Times New Roman" w:cs="Times New Roman"/>
          <w:i/>
          <w:color w:val="000000"/>
          <w:sz w:val="26"/>
          <w:szCs w:val="26"/>
        </w:rPr>
        <w:t>portano per intero la responsabilità</w:t>
      </w:r>
      <w:r w:rsidR="003C23DC">
        <w:rPr>
          <w:rFonts w:ascii="Times New Roman" w:hAnsi="Times New Roman" w:cs="Times New Roman"/>
          <w:i/>
          <w:color w:val="000000"/>
          <w:sz w:val="26"/>
          <w:szCs w:val="26"/>
        </w:rPr>
        <w:t xml:space="preserve">» </w:t>
      </w:r>
      <w:r w:rsidR="003C23DC" w:rsidRPr="003C23DC">
        <w:rPr>
          <w:rFonts w:ascii="Times New Roman" w:hAnsi="Times New Roman" w:cs="Times New Roman"/>
          <w:color w:val="000000"/>
          <w:sz w:val="26"/>
          <w:szCs w:val="26"/>
        </w:rPr>
        <w:t>dato che</w:t>
      </w:r>
      <w:r w:rsidR="003C23DC">
        <w:rPr>
          <w:rFonts w:ascii="Times New Roman" w:hAnsi="Times New Roman" w:cs="Times New Roman"/>
          <w:i/>
          <w:color w:val="000000"/>
          <w:sz w:val="26"/>
          <w:szCs w:val="26"/>
        </w:rPr>
        <w:t xml:space="preserve"> «</w:t>
      </w:r>
      <w:r w:rsidR="0067728E" w:rsidRPr="00C15A2F">
        <w:rPr>
          <w:rFonts w:ascii="Times New Roman" w:hAnsi="Times New Roman" w:cs="Times New Roman"/>
          <w:i/>
          <w:color w:val="000000"/>
          <w:sz w:val="26"/>
          <w:szCs w:val="26"/>
        </w:rPr>
        <w:t>le autorità di governo su di esse fondano le decisioni nell’ambito delle misure anti contagio</w:t>
      </w:r>
      <w:r w:rsidRPr="00C15A2F">
        <w:rPr>
          <w:rFonts w:ascii="Times New Roman" w:hAnsi="Times New Roman" w:cs="Times New Roman"/>
          <w:color w:val="000000"/>
          <w:sz w:val="26"/>
          <w:szCs w:val="26"/>
        </w:rPr>
        <w:t>»</w:t>
      </w:r>
      <w:r w:rsidR="0067728E" w:rsidRPr="00C15A2F">
        <w:rPr>
          <w:rFonts w:ascii="Times New Roman" w:hAnsi="Times New Roman" w:cs="Times New Roman"/>
          <w:color w:val="000000"/>
          <w:sz w:val="26"/>
          <w:szCs w:val="26"/>
        </w:rPr>
        <w:t xml:space="preserve">). Laddove </w:t>
      </w:r>
      <w:r w:rsidR="003C23DC">
        <w:rPr>
          <w:rFonts w:ascii="Times New Roman" w:hAnsi="Times New Roman" w:cs="Times New Roman"/>
          <w:color w:val="000000"/>
          <w:sz w:val="26"/>
          <w:szCs w:val="26"/>
        </w:rPr>
        <w:t>quindi</w:t>
      </w:r>
      <w:r w:rsidR="0067728E" w:rsidRPr="00C15A2F">
        <w:rPr>
          <w:rFonts w:ascii="Times New Roman" w:hAnsi="Times New Roman" w:cs="Times New Roman"/>
          <w:color w:val="000000"/>
          <w:sz w:val="26"/>
          <w:szCs w:val="26"/>
        </w:rPr>
        <w:t xml:space="preserve"> la disamina degli atti e dei pareri scientifici non supporti in termini motivazionali la decisione assunta, essa viene censurata, così come avvenuto, ad esempio, da parte del T</w:t>
      </w:r>
      <w:r w:rsidR="003C23DC">
        <w:rPr>
          <w:rFonts w:ascii="Times New Roman" w:hAnsi="Times New Roman" w:cs="Times New Roman"/>
          <w:color w:val="000000"/>
          <w:sz w:val="26"/>
          <w:szCs w:val="26"/>
        </w:rPr>
        <w:t>.</w:t>
      </w:r>
      <w:r w:rsidR="0067728E" w:rsidRPr="00C15A2F">
        <w:rPr>
          <w:rFonts w:ascii="Times New Roman" w:hAnsi="Times New Roman" w:cs="Times New Roman"/>
          <w:color w:val="000000"/>
          <w:sz w:val="26"/>
          <w:szCs w:val="26"/>
        </w:rPr>
        <w:t>A</w:t>
      </w:r>
      <w:r w:rsidR="003C23DC">
        <w:rPr>
          <w:rFonts w:ascii="Times New Roman" w:hAnsi="Times New Roman" w:cs="Times New Roman"/>
          <w:color w:val="000000"/>
          <w:sz w:val="26"/>
          <w:szCs w:val="26"/>
        </w:rPr>
        <w:t>.</w:t>
      </w:r>
      <w:r w:rsidR="0067728E" w:rsidRPr="00C15A2F">
        <w:rPr>
          <w:rFonts w:ascii="Times New Roman" w:hAnsi="Times New Roman" w:cs="Times New Roman"/>
          <w:color w:val="000000"/>
          <w:sz w:val="26"/>
          <w:szCs w:val="26"/>
        </w:rPr>
        <w:t>R</w:t>
      </w:r>
      <w:r w:rsidR="003C23DC">
        <w:rPr>
          <w:rFonts w:ascii="Times New Roman" w:hAnsi="Times New Roman" w:cs="Times New Roman"/>
          <w:color w:val="000000"/>
          <w:sz w:val="26"/>
          <w:szCs w:val="26"/>
        </w:rPr>
        <w:t>.</w:t>
      </w:r>
      <w:r w:rsidR="0067728E" w:rsidRPr="00C15A2F">
        <w:rPr>
          <w:rFonts w:ascii="Times New Roman" w:hAnsi="Times New Roman" w:cs="Times New Roman"/>
          <w:color w:val="000000"/>
          <w:sz w:val="26"/>
          <w:szCs w:val="26"/>
        </w:rPr>
        <w:t xml:space="preserve"> </w:t>
      </w:r>
      <w:r w:rsidR="00607108" w:rsidRPr="00C15A2F">
        <w:rPr>
          <w:rFonts w:ascii="Times New Roman" w:hAnsi="Times New Roman" w:cs="Times New Roman"/>
          <w:color w:val="000000"/>
          <w:sz w:val="26"/>
          <w:szCs w:val="26"/>
        </w:rPr>
        <w:t>per il Lazio</w:t>
      </w:r>
      <w:r w:rsidR="0067728E" w:rsidRPr="00C15A2F">
        <w:rPr>
          <w:rFonts w:ascii="Times New Roman" w:hAnsi="Times New Roman" w:cs="Times New Roman"/>
          <w:color w:val="000000"/>
          <w:sz w:val="26"/>
          <w:szCs w:val="26"/>
        </w:rPr>
        <w:t xml:space="preserve"> (</w:t>
      </w:r>
      <w:r w:rsidR="00607108" w:rsidRPr="00C15A2F">
        <w:rPr>
          <w:rFonts w:ascii="Times New Roman" w:hAnsi="Times New Roman" w:cs="Times New Roman"/>
          <w:color w:val="000000"/>
          <w:sz w:val="26"/>
          <w:szCs w:val="26"/>
        </w:rPr>
        <w:t xml:space="preserve">sez. I, sentenza del 9 agosto 2021, n. </w:t>
      </w:r>
      <w:r w:rsidR="0020572C" w:rsidRPr="00C15A2F">
        <w:rPr>
          <w:rFonts w:ascii="Times New Roman" w:hAnsi="Times New Roman" w:cs="Times New Roman"/>
          <w:color w:val="000000"/>
          <w:sz w:val="26"/>
          <w:szCs w:val="26"/>
        </w:rPr>
        <w:t xml:space="preserve"> </w:t>
      </w:r>
      <w:r w:rsidR="00607108" w:rsidRPr="00C15A2F">
        <w:rPr>
          <w:rFonts w:ascii="Times New Roman" w:hAnsi="Times New Roman" w:cs="Times New Roman"/>
          <w:color w:val="000000"/>
          <w:sz w:val="26"/>
          <w:szCs w:val="26"/>
        </w:rPr>
        <w:t>9342</w:t>
      </w:r>
      <w:r w:rsidR="0067728E" w:rsidRPr="00C15A2F">
        <w:rPr>
          <w:rFonts w:ascii="Times New Roman" w:hAnsi="Times New Roman" w:cs="Times New Roman"/>
          <w:color w:val="000000"/>
          <w:sz w:val="26"/>
          <w:szCs w:val="26"/>
        </w:rPr>
        <w:t>)</w:t>
      </w:r>
      <w:r w:rsidRPr="00C15A2F">
        <w:rPr>
          <w:rFonts w:ascii="Times New Roman" w:hAnsi="Times New Roman" w:cs="Times New Roman"/>
          <w:color w:val="000000"/>
          <w:sz w:val="26"/>
          <w:szCs w:val="26"/>
        </w:rPr>
        <w:t>, ancorché a fini risarcitori, avendo la controversia ad oggetto un d</w:t>
      </w:r>
      <w:r w:rsidR="003C23DC">
        <w:rPr>
          <w:rFonts w:ascii="Times New Roman" w:hAnsi="Times New Roman" w:cs="Times New Roman"/>
          <w:color w:val="000000"/>
          <w:sz w:val="26"/>
          <w:szCs w:val="26"/>
        </w:rPr>
        <w:t xml:space="preserve">ecreto del Presidente del Consiglio </w:t>
      </w:r>
      <w:r w:rsidRPr="00C15A2F">
        <w:rPr>
          <w:rFonts w:ascii="Times New Roman" w:hAnsi="Times New Roman" w:cs="Times New Roman"/>
          <w:color w:val="000000"/>
          <w:sz w:val="26"/>
          <w:szCs w:val="26"/>
        </w:rPr>
        <w:t>poi superato, come spesso avvenuto in questa tipologia di contenziosi</w:t>
      </w:r>
      <w:r w:rsidR="003C23DC">
        <w:rPr>
          <w:rFonts w:ascii="Times New Roman" w:hAnsi="Times New Roman" w:cs="Times New Roman"/>
          <w:color w:val="000000"/>
          <w:sz w:val="26"/>
          <w:szCs w:val="26"/>
        </w:rPr>
        <w:t xml:space="preserve"> a causa del veloce rincorrersi delle fonti </w:t>
      </w:r>
      <w:proofErr w:type="spellStart"/>
      <w:r w:rsidR="003C23DC">
        <w:rPr>
          <w:rFonts w:ascii="Times New Roman" w:hAnsi="Times New Roman" w:cs="Times New Roman"/>
          <w:color w:val="000000"/>
          <w:sz w:val="26"/>
          <w:szCs w:val="26"/>
        </w:rPr>
        <w:t>regolatorie</w:t>
      </w:r>
      <w:proofErr w:type="spellEnd"/>
      <w:r w:rsidRPr="00C15A2F">
        <w:rPr>
          <w:rFonts w:ascii="Times New Roman" w:hAnsi="Times New Roman" w:cs="Times New Roman"/>
          <w:color w:val="000000"/>
          <w:sz w:val="26"/>
          <w:szCs w:val="26"/>
        </w:rPr>
        <w:t>, da quello sopravvenuto, ancorché di contenuto similare</w:t>
      </w:r>
      <w:r w:rsidR="0067728E" w:rsidRPr="00C15A2F">
        <w:rPr>
          <w:rFonts w:ascii="Times New Roman" w:hAnsi="Times New Roman" w:cs="Times New Roman"/>
          <w:color w:val="000000"/>
          <w:sz w:val="26"/>
          <w:szCs w:val="26"/>
        </w:rPr>
        <w:t xml:space="preserve">. </w:t>
      </w:r>
      <w:r w:rsidRPr="00C15A2F">
        <w:rPr>
          <w:rFonts w:ascii="Times New Roman" w:hAnsi="Times New Roman" w:cs="Times New Roman"/>
          <w:color w:val="000000"/>
          <w:sz w:val="26"/>
          <w:szCs w:val="26"/>
        </w:rPr>
        <w:t xml:space="preserve">La mancata previsione di </w:t>
      </w:r>
      <w:r w:rsidR="00607108" w:rsidRPr="00C15A2F">
        <w:rPr>
          <w:rFonts w:ascii="Times New Roman" w:hAnsi="Times New Roman" w:cs="Times New Roman"/>
          <w:color w:val="000000"/>
          <w:sz w:val="26"/>
          <w:szCs w:val="26"/>
        </w:rPr>
        <w:t xml:space="preserve">esenzione o </w:t>
      </w:r>
      <w:r w:rsidRPr="00C15A2F">
        <w:rPr>
          <w:rFonts w:ascii="Times New Roman" w:hAnsi="Times New Roman" w:cs="Times New Roman"/>
          <w:color w:val="000000"/>
          <w:sz w:val="26"/>
          <w:szCs w:val="26"/>
        </w:rPr>
        <w:t>del</w:t>
      </w:r>
      <w:r w:rsidR="00607108" w:rsidRPr="00C15A2F">
        <w:rPr>
          <w:rFonts w:ascii="Times New Roman" w:hAnsi="Times New Roman" w:cs="Times New Roman"/>
          <w:color w:val="000000"/>
          <w:sz w:val="26"/>
          <w:szCs w:val="26"/>
        </w:rPr>
        <w:t xml:space="preserve">le circostanze di </w:t>
      </w:r>
      <w:r w:rsidR="00940D56">
        <w:rPr>
          <w:rFonts w:ascii="Times New Roman" w:hAnsi="Times New Roman" w:cs="Times New Roman"/>
          <w:color w:val="000000"/>
          <w:sz w:val="26"/>
          <w:szCs w:val="26"/>
        </w:rPr>
        <w:t xml:space="preserve">mancata </w:t>
      </w:r>
      <w:r w:rsidR="00607108" w:rsidRPr="00C15A2F">
        <w:rPr>
          <w:rFonts w:ascii="Times New Roman" w:hAnsi="Times New Roman" w:cs="Times New Roman"/>
          <w:color w:val="000000"/>
          <w:sz w:val="26"/>
          <w:szCs w:val="26"/>
        </w:rPr>
        <w:t xml:space="preserve">esenzione per i minori </w:t>
      </w:r>
      <w:proofErr w:type="spellStart"/>
      <w:r w:rsidR="00607108" w:rsidRPr="00C15A2F">
        <w:rPr>
          <w:rFonts w:ascii="Times New Roman" w:hAnsi="Times New Roman" w:cs="Times New Roman"/>
          <w:color w:val="000000"/>
          <w:sz w:val="26"/>
          <w:szCs w:val="26"/>
        </w:rPr>
        <w:t>infradodicenni</w:t>
      </w:r>
      <w:proofErr w:type="spellEnd"/>
      <w:r w:rsidR="00607108" w:rsidRPr="00C15A2F">
        <w:rPr>
          <w:rFonts w:ascii="Times New Roman" w:hAnsi="Times New Roman" w:cs="Times New Roman"/>
          <w:color w:val="000000"/>
          <w:sz w:val="26"/>
          <w:szCs w:val="26"/>
        </w:rPr>
        <w:t xml:space="preserve"> </w:t>
      </w:r>
      <w:r w:rsidR="0067728E" w:rsidRPr="00C15A2F">
        <w:rPr>
          <w:rFonts w:ascii="Times New Roman" w:hAnsi="Times New Roman" w:cs="Times New Roman"/>
          <w:color w:val="000000"/>
          <w:sz w:val="26"/>
          <w:szCs w:val="26"/>
        </w:rPr>
        <w:t xml:space="preserve">dall’obbligo di indossare la mascherina a scuola, </w:t>
      </w:r>
      <w:r w:rsidR="00607108" w:rsidRPr="00C15A2F">
        <w:rPr>
          <w:rFonts w:ascii="Times New Roman" w:hAnsi="Times New Roman" w:cs="Times New Roman"/>
          <w:color w:val="000000"/>
          <w:sz w:val="26"/>
          <w:szCs w:val="26"/>
        </w:rPr>
        <w:t xml:space="preserve">come </w:t>
      </w:r>
      <w:r w:rsidRPr="00C15A2F">
        <w:rPr>
          <w:rFonts w:ascii="Times New Roman" w:hAnsi="Times New Roman" w:cs="Times New Roman"/>
          <w:color w:val="000000"/>
          <w:sz w:val="26"/>
          <w:szCs w:val="26"/>
        </w:rPr>
        <w:t>indicato dall’</w:t>
      </w:r>
      <w:r w:rsidR="00607108" w:rsidRPr="00C15A2F">
        <w:rPr>
          <w:rFonts w:ascii="Times New Roman" w:hAnsi="Times New Roman" w:cs="Times New Roman"/>
          <w:color w:val="000000"/>
          <w:sz w:val="26"/>
          <w:szCs w:val="26"/>
        </w:rPr>
        <w:t xml:space="preserve"> OMS e </w:t>
      </w:r>
      <w:r w:rsidRPr="00C15A2F">
        <w:rPr>
          <w:rFonts w:ascii="Times New Roman" w:hAnsi="Times New Roman" w:cs="Times New Roman"/>
          <w:color w:val="000000"/>
          <w:sz w:val="26"/>
          <w:szCs w:val="26"/>
        </w:rPr>
        <w:t>dall’</w:t>
      </w:r>
      <w:r w:rsidR="00607108" w:rsidRPr="00C15A2F">
        <w:rPr>
          <w:rFonts w:ascii="Times New Roman" w:hAnsi="Times New Roman" w:cs="Times New Roman"/>
          <w:color w:val="000000"/>
          <w:sz w:val="26"/>
          <w:szCs w:val="26"/>
        </w:rPr>
        <w:t>Unicef</w:t>
      </w:r>
      <w:r w:rsidR="0067728E" w:rsidRPr="00C15A2F">
        <w:rPr>
          <w:rFonts w:ascii="Times New Roman" w:hAnsi="Times New Roman" w:cs="Times New Roman"/>
          <w:color w:val="000000"/>
          <w:sz w:val="26"/>
          <w:szCs w:val="26"/>
        </w:rPr>
        <w:t xml:space="preserve">, </w:t>
      </w:r>
      <w:r w:rsidRPr="00C15A2F">
        <w:rPr>
          <w:rFonts w:ascii="Times New Roman" w:hAnsi="Times New Roman" w:cs="Times New Roman"/>
          <w:color w:val="000000"/>
          <w:sz w:val="26"/>
          <w:szCs w:val="26"/>
        </w:rPr>
        <w:t xml:space="preserve">implicano </w:t>
      </w:r>
      <w:r w:rsidR="00A0626E" w:rsidRPr="00C15A2F">
        <w:rPr>
          <w:rFonts w:ascii="Times New Roman" w:hAnsi="Times New Roman" w:cs="Times New Roman"/>
          <w:color w:val="000000"/>
          <w:sz w:val="26"/>
          <w:szCs w:val="26"/>
        </w:rPr>
        <w:t xml:space="preserve">infatti </w:t>
      </w:r>
      <w:r w:rsidRPr="00C15A2F">
        <w:rPr>
          <w:rFonts w:ascii="Times New Roman" w:hAnsi="Times New Roman" w:cs="Times New Roman"/>
          <w:color w:val="000000"/>
          <w:sz w:val="26"/>
          <w:szCs w:val="26"/>
        </w:rPr>
        <w:t xml:space="preserve">il difetto </w:t>
      </w:r>
      <w:r w:rsidR="0067728E" w:rsidRPr="00C15A2F">
        <w:rPr>
          <w:rFonts w:ascii="Times New Roman" w:hAnsi="Times New Roman" w:cs="Times New Roman"/>
          <w:color w:val="000000"/>
          <w:sz w:val="26"/>
          <w:szCs w:val="26"/>
        </w:rPr>
        <w:t xml:space="preserve">di istruttoria, </w:t>
      </w:r>
      <w:r w:rsidRPr="00C15A2F">
        <w:rPr>
          <w:rFonts w:ascii="Times New Roman" w:hAnsi="Times New Roman" w:cs="Times New Roman"/>
          <w:color w:val="000000"/>
          <w:sz w:val="26"/>
          <w:szCs w:val="26"/>
        </w:rPr>
        <w:t>l’</w:t>
      </w:r>
      <w:r w:rsidR="0067728E" w:rsidRPr="00C15A2F">
        <w:rPr>
          <w:rFonts w:ascii="Times New Roman" w:hAnsi="Times New Roman" w:cs="Times New Roman"/>
          <w:color w:val="000000"/>
          <w:sz w:val="26"/>
          <w:szCs w:val="26"/>
        </w:rPr>
        <w:t xml:space="preserve">irragionevolezza e </w:t>
      </w:r>
      <w:r w:rsidRPr="00C15A2F">
        <w:rPr>
          <w:rFonts w:ascii="Times New Roman" w:hAnsi="Times New Roman" w:cs="Times New Roman"/>
          <w:color w:val="000000"/>
          <w:sz w:val="26"/>
          <w:szCs w:val="26"/>
        </w:rPr>
        <w:t>il</w:t>
      </w:r>
      <w:r w:rsidR="0067728E" w:rsidRPr="00C15A2F">
        <w:rPr>
          <w:rFonts w:ascii="Times New Roman" w:hAnsi="Times New Roman" w:cs="Times New Roman"/>
          <w:color w:val="000000"/>
          <w:sz w:val="26"/>
          <w:szCs w:val="26"/>
        </w:rPr>
        <w:t xml:space="preserve"> contrasto con le indicazioni del C</w:t>
      </w:r>
      <w:r w:rsidR="00940D56">
        <w:rPr>
          <w:rFonts w:ascii="Times New Roman" w:hAnsi="Times New Roman" w:cs="Times New Roman"/>
          <w:color w:val="000000"/>
          <w:sz w:val="26"/>
          <w:szCs w:val="26"/>
        </w:rPr>
        <w:t xml:space="preserve">omitato tecnico scientifico, </w:t>
      </w:r>
      <w:r w:rsidR="0067728E" w:rsidRPr="00C15A2F">
        <w:rPr>
          <w:rFonts w:ascii="Times New Roman" w:hAnsi="Times New Roman" w:cs="Times New Roman"/>
          <w:color w:val="000000"/>
          <w:sz w:val="26"/>
          <w:szCs w:val="26"/>
        </w:rPr>
        <w:t xml:space="preserve">dalle quali l’amministrazione </w:t>
      </w:r>
      <w:r w:rsidR="00940D56">
        <w:rPr>
          <w:rFonts w:ascii="Times New Roman" w:hAnsi="Times New Roman" w:cs="Times New Roman"/>
          <w:color w:val="000000"/>
          <w:sz w:val="26"/>
          <w:szCs w:val="26"/>
        </w:rPr>
        <w:t xml:space="preserve">dunque </w:t>
      </w:r>
      <w:r w:rsidR="0067728E" w:rsidRPr="00C15A2F">
        <w:rPr>
          <w:rFonts w:ascii="Times New Roman" w:hAnsi="Times New Roman" w:cs="Times New Roman"/>
          <w:color w:val="000000"/>
          <w:sz w:val="26"/>
          <w:szCs w:val="26"/>
        </w:rPr>
        <w:t xml:space="preserve">si è discostata senza </w:t>
      </w:r>
      <w:r w:rsidR="00940D56">
        <w:rPr>
          <w:rFonts w:ascii="Times New Roman" w:hAnsi="Times New Roman" w:cs="Times New Roman"/>
          <w:color w:val="000000"/>
          <w:sz w:val="26"/>
          <w:szCs w:val="26"/>
        </w:rPr>
        <w:t xml:space="preserve">una qualche specifica </w:t>
      </w:r>
      <w:r w:rsidR="0067728E" w:rsidRPr="00C15A2F">
        <w:rPr>
          <w:rFonts w:ascii="Times New Roman" w:hAnsi="Times New Roman" w:cs="Times New Roman"/>
          <w:color w:val="000000"/>
          <w:sz w:val="26"/>
          <w:szCs w:val="26"/>
        </w:rPr>
        <w:t>motiva</w:t>
      </w:r>
      <w:r w:rsidR="00940D56">
        <w:rPr>
          <w:rFonts w:ascii="Times New Roman" w:hAnsi="Times New Roman" w:cs="Times New Roman"/>
          <w:color w:val="000000"/>
          <w:sz w:val="26"/>
          <w:szCs w:val="26"/>
        </w:rPr>
        <w:t xml:space="preserve">zione. </w:t>
      </w:r>
      <w:r w:rsidR="0067728E" w:rsidRPr="00C15A2F">
        <w:rPr>
          <w:rFonts w:ascii="Times New Roman" w:hAnsi="Times New Roman" w:cs="Times New Roman"/>
          <w:color w:val="000000"/>
          <w:sz w:val="26"/>
          <w:szCs w:val="26"/>
        </w:rPr>
        <w:t xml:space="preserve"> </w:t>
      </w:r>
    </w:p>
    <w:p w:rsidR="004955C2" w:rsidRPr="00C15A2F" w:rsidRDefault="00940D56" w:rsidP="008E2068">
      <w:pPr>
        <w:pStyle w:val="NormaleWeb"/>
        <w:spacing w:before="0" w:beforeAutospacing="0" w:after="0" w:afterAutospacing="0" w:line="360" w:lineRule="auto"/>
        <w:jc w:val="both"/>
        <w:rPr>
          <w:color w:val="000000"/>
          <w:sz w:val="26"/>
          <w:szCs w:val="26"/>
        </w:rPr>
      </w:pPr>
      <w:r>
        <w:rPr>
          <w:color w:val="000000"/>
          <w:sz w:val="26"/>
          <w:szCs w:val="26"/>
        </w:rPr>
        <w:t xml:space="preserve">Peraltro, le modalità di </w:t>
      </w:r>
      <w:r w:rsidR="001F680E" w:rsidRPr="00C15A2F">
        <w:rPr>
          <w:color w:val="000000"/>
          <w:sz w:val="26"/>
          <w:szCs w:val="26"/>
        </w:rPr>
        <w:t xml:space="preserve">svolgimento dell’attività scolastica e formativa in genere </w:t>
      </w:r>
      <w:r>
        <w:rPr>
          <w:color w:val="000000"/>
          <w:sz w:val="26"/>
          <w:szCs w:val="26"/>
        </w:rPr>
        <w:t xml:space="preserve">sono state particolarmente attinte </w:t>
      </w:r>
      <w:r w:rsidR="001F680E" w:rsidRPr="00C15A2F">
        <w:rPr>
          <w:color w:val="000000"/>
          <w:sz w:val="26"/>
          <w:szCs w:val="26"/>
        </w:rPr>
        <w:t>dal legislatore emergenziale, c</w:t>
      </w:r>
      <w:r w:rsidR="00A0626E" w:rsidRPr="00C15A2F">
        <w:rPr>
          <w:color w:val="000000"/>
          <w:sz w:val="26"/>
          <w:szCs w:val="26"/>
        </w:rPr>
        <w:t xml:space="preserve">he ha previsto </w:t>
      </w:r>
      <w:r w:rsidR="001F680E" w:rsidRPr="00C15A2F">
        <w:rPr>
          <w:color w:val="000000"/>
          <w:sz w:val="26"/>
          <w:szCs w:val="26"/>
        </w:rPr>
        <w:t xml:space="preserve">periodi di chiusura generalizzata </w:t>
      </w:r>
      <w:r w:rsidRPr="00C15A2F">
        <w:rPr>
          <w:color w:val="000000"/>
          <w:sz w:val="26"/>
          <w:szCs w:val="26"/>
        </w:rPr>
        <w:t>alternati</w:t>
      </w:r>
      <w:r>
        <w:rPr>
          <w:color w:val="000000"/>
          <w:sz w:val="26"/>
          <w:szCs w:val="26"/>
        </w:rPr>
        <w:t xml:space="preserve"> ad altri in cui l’</w:t>
      </w:r>
      <w:r w:rsidR="004955C2" w:rsidRPr="00C15A2F">
        <w:rPr>
          <w:b/>
          <w:color w:val="000000"/>
          <w:sz w:val="26"/>
          <w:szCs w:val="26"/>
        </w:rPr>
        <w:t>utilizzo della didattica a distanza o DAD</w:t>
      </w:r>
      <w:r>
        <w:rPr>
          <w:b/>
          <w:color w:val="000000"/>
          <w:sz w:val="26"/>
          <w:szCs w:val="26"/>
        </w:rPr>
        <w:t xml:space="preserve"> è stata imposta o facoltizzata </w:t>
      </w:r>
      <w:r>
        <w:rPr>
          <w:color w:val="000000"/>
          <w:sz w:val="26"/>
          <w:szCs w:val="26"/>
        </w:rPr>
        <w:t xml:space="preserve">avuto riguardo ai cicli di studio e, soprattutto, al </w:t>
      </w:r>
      <w:r w:rsidR="00A0626E" w:rsidRPr="00C15A2F">
        <w:rPr>
          <w:color w:val="000000"/>
          <w:sz w:val="26"/>
          <w:szCs w:val="26"/>
        </w:rPr>
        <w:t>livello di diffusione del contagio sul territorio della singola Regione</w:t>
      </w:r>
      <w:r w:rsidR="004955C2" w:rsidRPr="00C15A2F">
        <w:rPr>
          <w:color w:val="000000"/>
          <w:sz w:val="26"/>
          <w:szCs w:val="26"/>
        </w:rPr>
        <w:t xml:space="preserve">. </w:t>
      </w:r>
      <w:r w:rsidR="005415E5">
        <w:rPr>
          <w:color w:val="000000"/>
          <w:sz w:val="26"/>
          <w:szCs w:val="26"/>
        </w:rPr>
        <w:t xml:space="preserve">Egualmente copiosa, quindi, la giurisprudenza sul punto. </w:t>
      </w:r>
    </w:p>
    <w:p w:rsidR="004955C2" w:rsidRPr="00C15A2F" w:rsidRDefault="00650034" w:rsidP="008E2068">
      <w:pPr>
        <w:pStyle w:val="NormaleWeb"/>
        <w:spacing w:before="0" w:beforeAutospacing="0" w:after="0" w:afterAutospacing="0" w:line="360" w:lineRule="auto"/>
        <w:jc w:val="both"/>
        <w:rPr>
          <w:color w:val="000000"/>
          <w:sz w:val="26"/>
          <w:szCs w:val="26"/>
        </w:rPr>
      </w:pPr>
      <w:r>
        <w:rPr>
          <w:color w:val="000000"/>
          <w:sz w:val="26"/>
          <w:szCs w:val="26"/>
        </w:rPr>
        <w:t xml:space="preserve">È </w:t>
      </w:r>
      <w:r w:rsidR="004955C2" w:rsidRPr="00C15A2F">
        <w:rPr>
          <w:color w:val="000000"/>
          <w:sz w:val="26"/>
          <w:szCs w:val="26"/>
        </w:rPr>
        <w:t xml:space="preserve">stata </w:t>
      </w:r>
      <w:r w:rsidR="005415E5">
        <w:rPr>
          <w:color w:val="000000"/>
          <w:sz w:val="26"/>
          <w:szCs w:val="26"/>
        </w:rPr>
        <w:t xml:space="preserve">ad esempio </w:t>
      </w:r>
      <w:r w:rsidR="004955C2" w:rsidRPr="00C15A2F">
        <w:rPr>
          <w:color w:val="000000"/>
          <w:sz w:val="26"/>
          <w:szCs w:val="26"/>
        </w:rPr>
        <w:t xml:space="preserve">ritenuta legittima la decisione della Regione Puglia di consentire, </w:t>
      </w:r>
      <w:r w:rsidR="00177596" w:rsidRPr="00C15A2F">
        <w:rPr>
          <w:color w:val="000000"/>
          <w:sz w:val="26"/>
          <w:szCs w:val="26"/>
        </w:rPr>
        <w:t>quale alternativa alla presenza, l’opzione per la didattica digitale integrata (DDI), ove esista una espressa richiesta in proposito (</w:t>
      </w:r>
      <w:proofErr w:type="spellStart"/>
      <w:r w:rsidR="004955C2" w:rsidRPr="00C15A2F">
        <w:rPr>
          <w:color w:val="000000"/>
          <w:sz w:val="26"/>
          <w:szCs w:val="26"/>
        </w:rPr>
        <w:t>C</w:t>
      </w:r>
      <w:r w:rsidR="00EC092F">
        <w:rPr>
          <w:color w:val="000000"/>
          <w:sz w:val="26"/>
          <w:szCs w:val="26"/>
        </w:rPr>
        <w:t>ons</w:t>
      </w:r>
      <w:proofErr w:type="spellEnd"/>
      <w:r w:rsidR="00EC092F">
        <w:rPr>
          <w:color w:val="000000"/>
          <w:sz w:val="26"/>
          <w:szCs w:val="26"/>
        </w:rPr>
        <w:t xml:space="preserve">. Stato, </w:t>
      </w:r>
      <w:r w:rsidR="00177596" w:rsidRPr="00C15A2F">
        <w:rPr>
          <w:color w:val="000000"/>
          <w:sz w:val="26"/>
          <w:szCs w:val="26"/>
        </w:rPr>
        <w:t xml:space="preserve">sez. III, decreto cautelare 25 maggio 2021, n. 2811). </w:t>
      </w:r>
    </w:p>
    <w:p w:rsidR="005415E5" w:rsidRDefault="00F0674D" w:rsidP="008E2068">
      <w:pPr>
        <w:pStyle w:val="NormaleWeb"/>
        <w:spacing w:before="0" w:beforeAutospacing="0" w:after="0" w:afterAutospacing="0" w:line="360" w:lineRule="auto"/>
        <w:jc w:val="both"/>
        <w:rPr>
          <w:color w:val="000000"/>
          <w:sz w:val="26"/>
          <w:szCs w:val="26"/>
          <w:shd w:val="clear" w:color="auto" w:fill="FFFFFF"/>
        </w:rPr>
      </w:pPr>
      <w:r w:rsidRPr="00C15A2F">
        <w:rPr>
          <w:color w:val="000000"/>
          <w:sz w:val="26"/>
          <w:szCs w:val="26"/>
        </w:rPr>
        <w:t>Tutti i decreti cautelari emessi dai T</w:t>
      </w:r>
      <w:r w:rsidR="004955C2" w:rsidRPr="00C15A2F">
        <w:rPr>
          <w:color w:val="000000"/>
          <w:sz w:val="26"/>
          <w:szCs w:val="26"/>
        </w:rPr>
        <w:t>.</w:t>
      </w:r>
      <w:r w:rsidRPr="00C15A2F">
        <w:rPr>
          <w:color w:val="000000"/>
          <w:sz w:val="26"/>
          <w:szCs w:val="26"/>
        </w:rPr>
        <w:t>A</w:t>
      </w:r>
      <w:r w:rsidR="004955C2" w:rsidRPr="00C15A2F">
        <w:rPr>
          <w:color w:val="000000"/>
          <w:sz w:val="26"/>
          <w:szCs w:val="26"/>
        </w:rPr>
        <w:t>.</w:t>
      </w:r>
      <w:r w:rsidRPr="00C15A2F">
        <w:rPr>
          <w:color w:val="000000"/>
          <w:sz w:val="26"/>
          <w:szCs w:val="26"/>
        </w:rPr>
        <w:t>R</w:t>
      </w:r>
      <w:r w:rsidR="004955C2" w:rsidRPr="00C15A2F">
        <w:rPr>
          <w:color w:val="000000"/>
          <w:sz w:val="26"/>
          <w:szCs w:val="26"/>
        </w:rPr>
        <w:t>.</w:t>
      </w:r>
      <w:r w:rsidRPr="00C15A2F">
        <w:rPr>
          <w:color w:val="000000"/>
          <w:sz w:val="26"/>
          <w:szCs w:val="26"/>
        </w:rPr>
        <w:t xml:space="preserve"> in </w:t>
      </w:r>
      <w:r w:rsidR="004955C2" w:rsidRPr="00C15A2F">
        <w:rPr>
          <w:color w:val="000000"/>
          <w:sz w:val="26"/>
          <w:szCs w:val="26"/>
        </w:rPr>
        <w:t xml:space="preserve">materia </w:t>
      </w:r>
      <w:r w:rsidRPr="00C15A2F">
        <w:rPr>
          <w:color w:val="000000"/>
          <w:sz w:val="26"/>
          <w:szCs w:val="26"/>
        </w:rPr>
        <w:t>si soffermano sul requisito della motivazione, sottolineando come la giuridica possibilità di adottare ordinanze d’urgenza non può prescindere «</w:t>
      </w:r>
      <w:r w:rsidRPr="00C15A2F">
        <w:rPr>
          <w:rStyle w:val="Enfasicorsivo"/>
          <w:color w:val="000000"/>
          <w:sz w:val="26"/>
          <w:szCs w:val="26"/>
        </w:rPr>
        <w:t>dall’acquisizione di dati attuali, pertinenti e rilevanti, sotto il profilo della “quantificazione” del contagio e dell’idoneità delle misure individuate; dalla valutazione di tendenziale completezza del sofisticato apparato di protezione apprestato, che copre, attualmente, pressoché tutte le attività umane; dall’esplicita individuazione di livelli non riducibili di protezione di interessi confliggenti»</w:t>
      </w:r>
      <w:r w:rsidRPr="00C15A2F">
        <w:rPr>
          <w:color w:val="000000"/>
          <w:sz w:val="26"/>
          <w:szCs w:val="26"/>
        </w:rPr>
        <w:t> (T</w:t>
      </w:r>
      <w:r w:rsidR="005415E5">
        <w:rPr>
          <w:color w:val="000000"/>
          <w:sz w:val="26"/>
          <w:szCs w:val="26"/>
        </w:rPr>
        <w:t>.</w:t>
      </w:r>
      <w:r w:rsidRPr="00C15A2F">
        <w:rPr>
          <w:color w:val="000000"/>
          <w:sz w:val="26"/>
          <w:szCs w:val="26"/>
        </w:rPr>
        <w:t>A</w:t>
      </w:r>
      <w:r w:rsidR="005415E5">
        <w:rPr>
          <w:color w:val="000000"/>
          <w:sz w:val="26"/>
          <w:szCs w:val="26"/>
        </w:rPr>
        <w:t>.</w:t>
      </w:r>
      <w:r w:rsidRPr="00C15A2F">
        <w:rPr>
          <w:color w:val="000000"/>
          <w:sz w:val="26"/>
          <w:szCs w:val="26"/>
        </w:rPr>
        <w:t>R</w:t>
      </w:r>
      <w:r w:rsidR="005415E5">
        <w:rPr>
          <w:color w:val="000000"/>
          <w:sz w:val="26"/>
          <w:szCs w:val="26"/>
        </w:rPr>
        <w:t>. per la</w:t>
      </w:r>
      <w:r w:rsidRPr="00C15A2F">
        <w:rPr>
          <w:color w:val="000000"/>
          <w:sz w:val="26"/>
          <w:szCs w:val="26"/>
        </w:rPr>
        <w:t xml:space="preserve"> Campania</w:t>
      </w:r>
      <w:r w:rsidR="004955C2" w:rsidRPr="00C15A2F">
        <w:rPr>
          <w:color w:val="000000"/>
          <w:sz w:val="26"/>
          <w:szCs w:val="26"/>
        </w:rPr>
        <w:t>,</w:t>
      </w:r>
      <w:r w:rsidRPr="00C15A2F">
        <w:rPr>
          <w:color w:val="000000"/>
          <w:sz w:val="26"/>
          <w:szCs w:val="26"/>
        </w:rPr>
        <w:t xml:space="preserve"> </w:t>
      </w:r>
      <w:r w:rsidR="00A0626E" w:rsidRPr="00C15A2F">
        <w:rPr>
          <w:color w:val="000000"/>
          <w:sz w:val="26"/>
          <w:szCs w:val="26"/>
        </w:rPr>
        <w:t xml:space="preserve">decreto del </w:t>
      </w:r>
      <w:r w:rsidRPr="00C15A2F">
        <w:rPr>
          <w:color w:val="000000"/>
          <w:sz w:val="26"/>
          <w:szCs w:val="26"/>
        </w:rPr>
        <w:t>20 gennaio 2021, n. 142).</w:t>
      </w:r>
      <w:r w:rsidR="004955C2" w:rsidRPr="00C15A2F">
        <w:rPr>
          <w:color w:val="000000"/>
          <w:sz w:val="26"/>
          <w:szCs w:val="26"/>
        </w:rPr>
        <w:t xml:space="preserve"> </w:t>
      </w:r>
      <w:r w:rsidRPr="00C15A2F">
        <w:rPr>
          <w:color w:val="000000"/>
          <w:sz w:val="26"/>
          <w:szCs w:val="26"/>
        </w:rPr>
        <w:t>Appare pertanto necessario riportare puntuali dati epidemiologici riferiti al settore scuola, individua</w:t>
      </w:r>
      <w:r w:rsidR="00A0626E" w:rsidRPr="00C15A2F">
        <w:rPr>
          <w:color w:val="000000"/>
          <w:sz w:val="26"/>
          <w:szCs w:val="26"/>
        </w:rPr>
        <w:t>ndo</w:t>
      </w:r>
      <w:r w:rsidRPr="00C15A2F">
        <w:rPr>
          <w:color w:val="000000"/>
          <w:sz w:val="26"/>
          <w:szCs w:val="26"/>
        </w:rPr>
        <w:t xml:space="preserve"> «</w:t>
      </w:r>
      <w:r w:rsidRPr="00C15A2F">
        <w:rPr>
          <w:rStyle w:val="Enfasicorsivo"/>
          <w:color w:val="000000"/>
          <w:sz w:val="26"/>
          <w:szCs w:val="26"/>
        </w:rPr>
        <w:t>fatti, circostanze ed elementi di giudizio che indurrebbero ad un giudizio prognostico circa un più probabile che non incremento del contagio riferibile all’attività scolastica in presenza</w:t>
      </w:r>
      <w:r w:rsidRPr="00C15A2F">
        <w:rPr>
          <w:color w:val="000000"/>
          <w:sz w:val="26"/>
          <w:szCs w:val="26"/>
        </w:rPr>
        <w:t>» (T</w:t>
      </w:r>
      <w:r w:rsidR="005415E5">
        <w:rPr>
          <w:color w:val="000000"/>
          <w:sz w:val="26"/>
          <w:szCs w:val="26"/>
        </w:rPr>
        <w:t>.</w:t>
      </w:r>
      <w:r w:rsidRPr="00C15A2F">
        <w:rPr>
          <w:color w:val="000000"/>
          <w:sz w:val="26"/>
          <w:szCs w:val="26"/>
        </w:rPr>
        <w:t>A</w:t>
      </w:r>
      <w:r w:rsidR="005415E5">
        <w:rPr>
          <w:color w:val="000000"/>
          <w:sz w:val="26"/>
          <w:szCs w:val="26"/>
        </w:rPr>
        <w:t>.</w:t>
      </w:r>
      <w:r w:rsidRPr="00C15A2F">
        <w:rPr>
          <w:color w:val="000000"/>
          <w:sz w:val="26"/>
          <w:szCs w:val="26"/>
        </w:rPr>
        <w:t>R</w:t>
      </w:r>
      <w:r w:rsidR="00650034">
        <w:rPr>
          <w:color w:val="000000"/>
          <w:sz w:val="26"/>
          <w:szCs w:val="26"/>
        </w:rPr>
        <w:t>. per l’</w:t>
      </w:r>
      <w:r w:rsidRPr="00C15A2F">
        <w:rPr>
          <w:color w:val="000000"/>
          <w:sz w:val="26"/>
          <w:szCs w:val="26"/>
        </w:rPr>
        <w:t>Emilia-Romagna, 15 gennaio 2</w:t>
      </w:r>
      <w:r w:rsidR="004955C2" w:rsidRPr="00C15A2F">
        <w:rPr>
          <w:color w:val="000000"/>
          <w:sz w:val="26"/>
          <w:szCs w:val="26"/>
        </w:rPr>
        <w:t>02</w:t>
      </w:r>
      <w:r w:rsidRPr="00C15A2F">
        <w:rPr>
          <w:color w:val="000000"/>
          <w:sz w:val="26"/>
          <w:szCs w:val="26"/>
        </w:rPr>
        <w:t>1, dec</w:t>
      </w:r>
      <w:r w:rsidR="004955C2" w:rsidRPr="00C15A2F">
        <w:rPr>
          <w:color w:val="000000"/>
          <w:sz w:val="26"/>
          <w:szCs w:val="26"/>
        </w:rPr>
        <w:t>reto</w:t>
      </w:r>
      <w:r w:rsidRPr="00C15A2F">
        <w:rPr>
          <w:color w:val="000000"/>
          <w:sz w:val="26"/>
          <w:szCs w:val="26"/>
        </w:rPr>
        <w:t xml:space="preserve"> n. 30). L’eventuale misura regionale più restrittiva, dunque, dovrebbe «</w:t>
      </w:r>
      <w:r w:rsidRPr="00C15A2F">
        <w:rPr>
          <w:rStyle w:val="Enfasicorsivo"/>
          <w:color w:val="000000"/>
          <w:sz w:val="26"/>
          <w:szCs w:val="26"/>
        </w:rPr>
        <w:t>essere motivata con dati scientifici evidenzianti il collegamento tra focolai attivi sul territorio e impatto</w:t>
      </w:r>
      <w:r w:rsidR="00A0626E" w:rsidRPr="00C15A2F">
        <w:rPr>
          <w:rStyle w:val="Enfasicorsivo"/>
          <w:color w:val="000000"/>
          <w:sz w:val="26"/>
          <w:szCs w:val="26"/>
        </w:rPr>
        <w:t xml:space="preserve"> </w:t>
      </w:r>
      <w:r w:rsidR="00650034">
        <w:rPr>
          <w:rStyle w:val="Enfasicorsivo"/>
          <w:color w:val="000000"/>
          <w:sz w:val="26"/>
          <w:szCs w:val="26"/>
        </w:rPr>
        <w:t>dell’</w:t>
      </w:r>
      <w:r w:rsidRPr="00C15A2F">
        <w:rPr>
          <w:rStyle w:val="Enfasicorsivo"/>
          <w:color w:val="000000"/>
          <w:sz w:val="26"/>
          <w:szCs w:val="26"/>
        </w:rPr>
        <w:t>attività scolastica in presenza</w:t>
      </w:r>
      <w:r w:rsidRPr="00C15A2F">
        <w:rPr>
          <w:color w:val="000000"/>
          <w:sz w:val="26"/>
          <w:szCs w:val="26"/>
        </w:rPr>
        <w:t>» (</w:t>
      </w:r>
      <w:proofErr w:type="spellStart"/>
      <w:r w:rsidRPr="00C15A2F">
        <w:rPr>
          <w:color w:val="000000"/>
          <w:sz w:val="26"/>
          <w:szCs w:val="26"/>
        </w:rPr>
        <w:t>Cons</w:t>
      </w:r>
      <w:proofErr w:type="spellEnd"/>
      <w:r w:rsidRPr="00C15A2F">
        <w:rPr>
          <w:color w:val="000000"/>
          <w:sz w:val="26"/>
          <w:szCs w:val="26"/>
        </w:rPr>
        <w:t>. St., 11 gennaio 2021, dec</w:t>
      </w:r>
      <w:r w:rsidR="004955C2" w:rsidRPr="00C15A2F">
        <w:rPr>
          <w:color w:val="000000"/>
          <w:sz w:val="26"/>
          <w:szCs w:val="26"/>
        </w:rPr>
        <w:t>ret</w:t>
      </w:r>
      <w:r w:rsidR="005415E5">
        <w:rPr>
          <w:color w:val="000000"/>
          <w:sz w:val="26"/>
          <w:szCs w:val="26"/>
        </w:rPr>
        <w:t xml:space="preserve">i </w:t>
      </w:r>
      <w:proofErr w:type="spellStart"/>
      <w:r w:rsidR="005415E5">
        <w:rPr>
          <w:color w:val="000000"/>
          <w:sz w:val="26"/>
          <w:szCs w:val="26"/>
        </w:rPr>
        <w:t>nn</w:t>
      </w:r>
      <w:proofErr w:type="spellEnd"/>
      <w:r w:rsidR="005415E5">
        <w:rPr>
          <w:color w:val="000000"/>
          <w:sz w:val="26"/>
          <w:szCs w:val="26"/>
        </w:rPr>
        <w:t>. 17 e</w:t>
      </w:r>
      <w:r w:rsidRPr="00C15A2F">
        <w:rPr>
          <w:color w:val="000000"/>
          <w:sz w:val="26"/>
          <w:szCs w:val="26"/>
        </w:rPr>
        <w:t xml:space="preserve"> 1</w:t>
      </w:r>
      <w:r w:rsidR="005415E5">
        <w:rPr>
          <w:color w:val="000000"/>
          <w:sz w:val="26"/>
          <w:szCs w:val="26"/>
        </w:rPr>
        <w:t>8</w:t>
      </w:r>
      <w:r w:rsidRPr="00C15A2F">
        <w:rPr>
          <w:color w:val="000000"/>
          <w:sz w:val="26"/>
          <w:szCs w:val="26"/>
        </w:rPr>
        <w:t>).</w:t>
      </w:r>
      <w:r w:rsidR="005415E5">
        <w:rPr>
          <w:color w:val="000000"/>
          <w:sz w:val="26"/>
          <w:szCs w:val="26"/>
        </w:rPr>
        <w:t xml:space="preserve"> </w:t>
      </w:r>
      <w:r w:rsidR="00A0626E" w:rsidRPr="00C15A2F">
        <w:rPr>
          <w:color w:val="000000"/>
          <w:sz w:val="26"/>
          <w:szCs w:val="26"/>
        </w:rPr>
        <w:t xml:space="preserve">Anche </w:t>
      </w:r>
      <w:r w:rsidR="005415E5">
        <w:rPr>
          <w:color w:val="000000"/>
          <w:sz w:val="26"/>
          <w:szCs w:val="26"/>
        </w:rPr>
        <w:t>dal</w:t>
      </w:r>
      <w:r w:rsidR="00A0626E" w:rsidRPr="00C15A2F">
        <w:rPr>
          <w:color w:val="000000"/>
          <w:sz w:val="26"/>
          <w:szCs w:val="26"/>
        </w:rPr>
        <w:t>l’</w:t>
      </w:r>
      <w:r w:rsidRPr="00C15A2F">
        <w:rPr>
          <w:color w:val="000000"/>
          <w:sz w:val="26"/>
          <w:szCs w:val="26"/>
        </w:rPr>
        <w:t>incongruenza tra la premessa e la conclusione</w:t>
      </w:r>
      <w:r w:rsidR="00A0626E" w:rsidRPr="00C15A2F">
        <w:rPr>
          <w:color w:val="000000"/>
          <w:sz w:val="26"/>
          <w:szCs w:val="26"/>
        </w:rPr>
        <w:t xml:space="preserve"> può </w:t>
      </w:r>
      <w:r w:rsidR="005415E5">
        <w:rPr>
          <w:color w:val="000000"/>
          <w:sz w:val="26"/>
          <w:szCs w:val="26"/>
        </w:rPr>
        <w:t>desumersi l’il</w:t>
      </w:r>
      <w:r w:rsidR="00A0626E" w:rsidRPr="00C15A2F">
        <w:rPr>
          <w:color w:val="000000"/>
          <w:sz w:val="26"/>
          <w:szCs w:val="26"/>
        </w:rPr>
        <w:t>legittimità del provvedimento, secondo le regole generali</w:t>
      </w:r>
      <w:r w:rsidR="005415E5">
        <w:rPr>
          <w:color w:val="000000"/>
          <w:sz w:val="26"/>
          <w:szCs w:val="26"/>
        </w:rPr>
        <w:t>, in quanto ne emerge il sostanziale difetto di motivazione</w:t>
      </w:r>
      <w:r w:rsidRPr="00C15A2F">
        <w:rPr>
          <w:color w:val="000000"/>
          <w:sz w:val="26"/>
          <w:szCs w:val="26"/>
        </w:rPr>
        <w:t xml:space="preserve">. </w:t>
      </w:r>
      <w:r w:rsidR="00650034">
        <w:rPr>
          <w:color w:val="000000"/>
          <w:sz w:val="26"/>
          <w:szCs w:val="26"/>
        </w:rPr>
        <w:t xml:space="preserve">È </w:t>
      </w:r>
      <w:r w:rsidRPr="00C15A2F">
        <w:rPr>
          <w:color w:val="000000"/>
          <w:sz w:val="26"/>
          <w:szCs w:val="26"/>
          <w:shd w:val="clear" w:color="auto" w:fill="FFFFFF"/>
        </w:rPr>
        <w:t xml:space="preserve">stata considerata </w:t>
      </w:r>
      <w:r w:rsidR="004955C2" w:rsidRPr="00C15A2F">
        <w:rPr>
          <w:color w:val="000000"/>
          <w:sz w:val="26"/>
          <w:szCs w:val="26"/>
          <w:shd w:val="clear" w:color="auto" w:fill="FFFFFF"/>
        </w:rPr>
        <w:t xml:space="preserve">quindi </w:t>
      </w:r>
      <w:r w:rsidR="00A0626E" w:rsidRPr="00C15A2F">
        <w:rPr>
          <w:color w:val="000000"/>
          <w:sz w:val="26"/>
          <w:szCs w:val="26"/>
          <w:shd w:val="clear" w:color="auto" w:fill="FFFFFF"/>
        </w:rPr>
        <w:t xml:space="preserve">affetta da illogicità </w:t>
      </w:r>
      <w:r w:rsidRPr="00C15A2F">
        <w:rPr>
          <w:color w:val="000000"/>
          <w:sz w:val="26"/>
          <w:szCs w:val="26"/>
          <w:shd w:val="clear" w:color="auto" w:fill="FFFFFF"/>
        </w:rPr>
        <w:t>l’ordinanza</w:t>
      </w:r>
      <w:r w:rsidR="005415E5">
        <w:rPr>
          <w:color w:val="000000"/>
          <w:sz w:val="26"/>
          <w:szCs w:val="26"/>
          <w:shd w:val="clear" w:color="auto" w:fill="FFFFFF"/>
        </w:rPr>
        <w:t>, sempre del</w:t>
      </w:r>
      <w:r w:rsidRPr="00C15A2F">
        <w:rPr>
          <w:color w:val="000000"/>
          <w:sz w:val="26"/>
          <w:szCs w:val="26"/>
          <w:shd w:val="clear" w:color="auto" w:fill="FFFFFF"/>
        </w:rPr>
        <w:t xml:space="preserve"> </w:t>
      </w:r>
      <w:r w:rsidR="00A0626E" w:rsidRPr="00C15A2F">
        <w:rPr>
          <w:color w:val="000000"/>
          <w:sz w:val="26"/>
          <w:szCs w:val="26"/>
          <w:shd w:val="clear" w:color="auto" w:fill="FFFFFF"/>
        </w:rPr>
        <w:t>P</w:t>
      </w:r>
      <w:r w:rsidRPr="00C15A2F">
        <w:rPr>
          <w:color w:val="000000"/>
          <w:sz w:val="26"/>
          <w:szCs w:val="26"/>
          <w:shd w:val="clear" w:color="auto" w:fill="FFFFFF"/>
        </w:rPr>
        <w:t xml:space="preserve">residente della </w:t>
      </w:r>
      <w:r w:rsidR="005415E5">
        <w:rPr>
          <w:color w:val="000000"/>
          <w:sz w:val="26"/>
          <w:szCs w:val="26"/>
          <w:shd w:val="clear" w:color="auto" w:fill="FFFFFF"/>
        </w:rPr>
        <w:t>R</w:t>
      </w:r>
      <w:r w:rsidRPr="00C15A2F">
        <w:rPr>
          <w:color w:val="000000"/>
          <w:sz w:val="26"/>
          <w:szCs w:val="26"/>
          <w:shd w:val="clear" w:color="auto" w:fill="FFFFFF"/>
        </w:rPr>
        <w:t>egione Puglia</w:t>
      </w:r>
      <w:r w:rsidR="005415E5">
        <w:rPr>
          <w:color w:val="000000"/>
          <w:sz w:val="26"/>
          <w:szCs w:val="26"/>
          <w:shd w:val="clear" w:color="auto" w:fill="FFFFFF"/>
        </w:rPr>
        <w:t>,</w:t>
      </w:r>
      <w:r w:rsidRPr="00C15A2F">
        <w:rPr>
          <w:color w:val="000000"/>
          <w:sz w:val="26"/>
          <w:szCs w:val="26"/>
          <w:shd w:val="clear" w:color="auto" w:fill="FFFFFF"/>
        </w:rPr>
        <w:t xml:space="preserve"> che vieta</w:t>
      </w:r>
      <w:r w:rsidR="005415E5">
        <w:rPr>
          <w:color w:val="000000"/>
          <w:sz w:val="26"/>
          <w:szCs w:val="26"/>
          <w:shd w:val="clear" w:color="auto" w:fill="FFFFFF"/>
        </w:rPr>
        <w:t>va</w:t>
      </w:r>
      <w:r w:rsidRPr="00C15A2F">
        <w:rPr>
          <w:color w:val="000000"/>
          <w:sz w:val="26"/>
          <w:szCs w:val="26"/>
          <w:shd w:val="clear" w:color="auto" w:fill="FFFFFF"/>
        </w:rPr>
        <w:t xml:space="preserve"> la didattica in presenza superiore al 50% sino al 5 marzo (quando, invece, il D</w:t>
      </w:r>
      <w:r w:rsidR="005415E5">
        <w:rPr>
          <w:color w:val="000000"/>
          <w:sz w:val="26"/>
          <w:szCs w:val="26"/>
          <w:shd w:val="clear" w:color="auto" w:fill="FFFFFF"/>
        </w:rPr>
        <w:t>.</w:t>
      </w:r>
      <w:r w:rsidRPr="00C15A2F">
        <w:rPr>
          <w:color w:val="000000"/>
          <w:sz w:val="26"/>
          <w:szCs w:val="26"/>
          <w:shd w:val="clear" w:color="auto" w:fill="FFFFFF"/>
        </w:rPr>
        <w:t>P</w:t>
      </w:r>
      <w:r w:rsidR="005415E5">
        <w:rPr>
          <w:color w:val="000000"/>
          <w:sz w:val="26"/>
          <w:szCs w:val="26"/>
          <w:shd w:val="clear" w:color="auto" w:fill="FFFFFF"/>
        </w:rPr>
        <w:t>.</w:t>
      </w:r>
      <w:r w:rsidRPr="00C15A2F">
        <w:rPr>
          <w:color w:val="000000"/>
          <w:sz w:val="26"/>
          <w:szCs w:val="26"/>
          <w:shd w:val="clear" w:color="auto" w:fill="FFFFFF"/>
        </w:rPr>
        <w:t>C</w:t>
      </w:r>
      <w:r w:rsidR="005415E5">
        <w:rPr>
          <w:color w:val="000000"/>
          <w:sz w:val="26"/>
          <w:szCs w:val="26"/>
          <w:shd w:val="clear" w:color="auto" w:fill="FFFFFF"/>
        </w:rPr>
        <w:t>.</w:t>
      </w:r>
      <w:r w:rsidRPr="00C15A2F">
        <w:rPr>
          <w:color w:val="000000"/>
          <w:sz w:val="26"/>
          <w:szCs w:val="26"/>
          <w:shd w:val="clear" w:color="auto" w:fill="FFFFFF"/>
        </w:rPr>
        <w:t>M</w:t>
      </w:r>
      <w:r w:rsidR="005415E5">
        <w:rPr>
          <w:color w:val="000000"/>
          <w:sz w:val="26"/>
          <w:szCs w:val="26"/>
          <w:shd w:val="clear" w:color="auto" w:fill="FFFFFF"/>
        </w:rPr>
        <w:t>.</w:t>
      </w:r>
      <w:r w:rsidRPr="00C15A2F">
        <w:rPr>
          <w:color w:val="000000"/>
          <w:sz w:val="26"/>
          <w:szCs w:val="26"/>
          <w:shd w:val="clear" w:color="auto" w:fill="FFFFFF"/>
        </w:rPr>
        <w:t xml:space="preserve"> </w:t>
      </w:r>
      <w:r w:rsidR="004955C2" w:rsidRPr="00C15A2F">
        <w:rPr>
          <w:color w:val="000000"/>
          <w:sz w:val="26"/>
          <w:szCs w:val="26"/>
          <w:shd w:val="clear" w:color="auto" w:fill="FFFFFF"/>
        </w:rPr>
        <w:t xml:space="preserve">vigente al momento, </w:t>
      </w:r>
      <w:r w:rsidRPr="00C15A2F">
        <w:rPr>
          <w:color w:val="000000"/>
          <w:sz w:val="26"/>
          <w:szCs w:val="26"/>
          <w:shd w:val="clear" w:color="auto" w:fill="FFFFFF"/>
        </w:rPr>
        <w:t>del 14</w:t>
      </w:r>
      <w:r w:rsidR="004955C2" w:rsidRPr="00C15A2F">
        <w:rPr>
          <w:color w:val="000000"/>
          <w:sz w:val="26"/>
          <w:szCs w:val="26"/>
          <w:shd w:val="clear" w:color="auto" w:fill="FFFFFF"/>
        </w:rPr>
        <w:t xml:space="preserve"> gennaio 2021, la prevedeva </w:t>
      </w:r>
      <w:r w:rsidRPr="00C15A2F">
        <w:rPr>
          <w:color w:val="000000"/>
          <w:sz w:val="26"/>
          <w:szCs w:val="26"/>
          <w:shd w:val="clear" w:color="auto" w:fill="FFFFFF"/>
        </w:rPr>
        <w:t xml:space="preserve">per un minimo del 50% e sino ad un massimo del 75% degli studenti) al fine di consentire la </w:t>
      </w:r>
      <w:r w:rsidR="004955C2" w:rsidRPr="00C15A2F">
        <w:rPr>
          <w:color w:val="000000"/>
          <w:sz w:val="26"/>
          <w:szCs w:val="26"/>
          <w:shd w:val="clear" w:color="auto" w:fill="FFFFFF"/>
        </w:rPr>
        <w:t>«</w:t>
      </w:r>
      <w:r w:rsidRPr="00C15A2F">
        <w:rPr>
          <w:i/>
          <w:color w:val="000000"/>
          <w:sz w:val="26"/>
          <w:szCs w:val="26"/>
          <w:shd w:val="clear" w:color="auto" w:fill="FFFFFF"/>
        </w:rPr>
        <w:t>attuazione del piano vaccinale degli operatori scolastici</w:t>
      </w:r>
      <w:r w:rsidR="004955C2" w:rsidRPr="00C15A2F">
        <w:rPr>
          <w:color w:val="000000"/>
          <w:sz w:val="26"/>
          <w:szCs w:val="26"/>
          <w:shd w:val="clear" w:color="auto" w:fill="FFFFFF"/>
        </w:rPr>
        <w:t>»</w:t>
      </w:r>
      <w:r w:rsidRPr="00C15A2F">
        <w:rPr>
          <w:color w:val="000000"/>
          <w:sz w:val="26"/>
          <w:szCs w:val="26"/>
          <w:shd w:val="clear" w:color="auto" w:fill="FFFFFF"/>
        </w:rPr>
        <w:t xml:space="preserve">. In proposito </w:t>
      </w:r>
      <w:r w:rsidR="004955C2" w:rsidRPr="00C15A2F">
        <w:rPr>
          <w:color w:val="000000"/>
          <w:sz w:val="26"/>
          <w:szCs w:val="26"/>
          <w:shd w:val="clear" w:color="auto" w:fill="FFFFFF"/>
        </w:rPr>
        <w:t xml:space="preserve">il </w:t>
      </w:r>
      <w:r w:rsidRPr="00C15A2F">
        <w:rPr>
          <w:color w:val="000000"/>
          <w:sz w:val="26"/>
          <w:szCs w:val="26"/>
          <w:shd w:val="clear" w:color="auto" w:fill="FFFFFF"/>
        </w:rPr>
        <w:t>T</w:t>
      </w:r>
      <w:r w:rsidR="005415E5">
        <w:rPr>
          <w:color w:val="000000"/>
          <w:sz w:val="26"/>
          <w:szCs w:val="26"/>
          <w:shd w:val="clear" w:color="auto" w:fill="FFFFFF"/>
        </w:rPr>
        <w:t>.</w:t>
      </w:r>
      <w:r w:rsidRPr="00C15A2F">
        <w:rPr>
          <w:color w:val="000000"/>
          <w:sz w:val="26"/>
          <w:szCs w:val="26"/>
          <w:shd w:val="clear" w:color="auto" w:fill="FFFFFF"/>
        </w:rPr>
        <w:t>A</w:t>
      </w:r>
      <w:r w:rsidR="005415E5">
        <w:rPr>
          <w:color w:val="000000"/>
          <w:sz w:val="26"/>
          <w:szCs w:val="26"/>
          <w:shd w:val="clear" w:color="auto" w:fill="FFFFFF"/>
        </w:rPr>
        <w:t>.</w:t>
      </w:r>
      <w:r w:rsidRPr="00C15A2F">
        <w:rPr>
          <w:color w:val="000000"/>
          <w:sz w:val="26"/>
          <w:szCs w:val="26"/>
          <w:shd w:val="clear" w:color="auto" w:fill="FFFFFF"/>
        </w:rPr>
        <w:t>R</w:t>
      </w:r>
      <w:r w:rsidR="005415E5">
        <w:rPr>
          <w:color w:val="000000"/>
          <w:sz w:val="26"/>
          <w:szCs w:val="26"/>
          <w:shd w:val="clear" w:color="auto" w:fill="FFFFFF"/>
        </w:rPr>
        <w:t>.</w:t>
      </w:r>
      <w:r w:rsidRPr="00C15A2F">
        <w:rPr>
          <w:color w:val="000000"/>
          <w:sz w:val="26"/>
          <w:szCs w:val="26"/>
          <w:shd w:val="clear" w:color="auto" w:fill="FFFFFF"/>
        </w:rPr>
        <w:t xml:space="preserve"> </w:t>
      </w:r>
      <w:r w:rsidR="004955C2" w:rsidRPr="00C15A2F">
        <w:rPr>
          <w:color w:val="000000"/>
          <w:sz w:val="26"/>
          <w:szCs w:val="26"/>
          <w:shd w:val="clear" w:color="auto" w:fill="FFFFFF"/>
        </w:rPr>
        <w:t xml:space="preserve">per la Puglia, con il decreto n. </w:t>
      </w:r>
      <w:r w:rsidRPr="00C15A2F">
        <w:rPr>
          <w:color w:val="000000"/>
          <w:sz w:val="26"/>
          <w:szCs w:val="26"/>
          <w:shd w:val="clear" w:color="auto" w:fill="FFFFFF"/>
        </w:rPr>
        <w:t>77 del 24</w:t>
      </w:r>
      <w:r w:rsidR="004955C2" w:rsidRPr="00C15A2F">
        <w:rPr>
          <w:color w:val="000000"/>
          <w:sz w:val="26"/>
          <w:szCs w:val="26"/>
          <w:shd w:val="clear" w:color="auto" w:fill="FFFFFF"/>
        </w:rPr>
        <w:t xml:space="preserve"> febbraio </w:t>
      </w:r>
      <w:r w:rsidRPr="00C15A2F">
        <w:rPr>
          <w:color w:val="000000"/>
          <w:sz w:val="26"/>
          <w:szCs w:val="26"/>
          <w:shd w:val="clear" w:color="auto" w:fill="FFFFFF"/>
        </w:rPr>
        <w:t>21, rileva che per consentire la vaccinazione di tutto il personale scolastico «</w:t>
      </w:r>
      <w:r w:rsidRPr="00C15A2F">
        <w:rPr>
          <w:rStyle w:val="Enfasicorsivo"/>
          <w:color w:val="000000"/>
          <w:sz w:val="26"/>
          <w:szCs w:val="26"/>
          <w:shd w:val="clear" w:color="auto" w:fill="FFFFFF"/>
        </w:rPr>
        <w:t>il provvedimento regionale dovrebbe avere una durata di efficacia molto più lunga; ciò ne evidenzia il difetto motivazionale o l’incongruenza tra la premessa e la conclusione, riverberandosi in un vizio logico-argomentativo ovvero in una carenza attitudinale della misura rispetto all’obiettivo perseguito</w:t>
      </w:r>
      <w:r w:rsidRPr="00C15A2F">
        <w:rPr>
          <w:color w:val="000000"/>
          <w:sz w:val="26"/>
          <w:szCs w:val="26"/>
          <w:shd w:val="clear" w:color="auto" w:fill="FFFFFF"/>
        </w:rPr>
        <w:t>».</w:t>
      </w:r>
      <w:r w:rsidR="004955C2" w:rsidRPr="00C15A2F">
        <w:rPr>
          <w:color w:val="000000"/>
          <w:sz w:val="26"/>
          <w:szCs w:val="26"/>
          <w:shd w:val="clear" w:color="auto" w:fill="FFFFFF"/>
        </w:rPr>
        <w:t xml:space="preserve"> </w:t>
      </w:r>
    </w:p>
    <w:p w:rsidR="005415E5" w:rsidRDefault="005415E5" w:rsidP="008E2068">
      <w:pPr>
        <w:pStyle w:val="NormaleWeb"/>
        <w:spacing w:before="0" w:beforeAutospacing="0" w:after="0" w:afterAutospacing="0" w:line="360" w:lineRule="auto"/>
        <w:jc w:val="both"/>
        <w:rPr>
          <w:color w:val="000000"/>
          <w:sz w:val="26"/>
          <w:szCs w:val="26"/>
        </w:rPr>
      </w:pPr>
      <w:r>
        <w:rPr>
          <w:color w:val="000000"/>
          <w:sz w:val="26"/>
          <w:szCs w:val="26"/>
          <w:shd w:val="clear" w:color="auto" w:fill="FFFFFF"/>
        </w:rPr>
        <w:t xml:space="preserve">Con riferimento alle scelte della Regione Calabria, nella stessa linea si è affermato: </w:t>
      </w:r>
      <w:r w:rsidR="00F0674D" w:rsidRPr="00C15A2F">
        <w:rPr>
          <w:color w:val="000000"/>
          <w:sz w:val="26"/>
          <w:szCs w:val="26"/>
        </w:rPr>
        <w:t>«</w:t>
      </w:r>
      <w:r w:rsidR="00F0674D" w:rsidRPr="00C15A2F">
        <w:rPr>
          <w:rStyle w:val="Enfasicorsivo"/>
          <w:color w:val="000000"/>
          <w:sz w:val="26"/>
          <w:szCs w:val="26"/>
        </w:rPr>
        <w:t>nel conflitto tra i diritti alla salute ed all’istruzione l’esito non è di necessaria ed automatica soccombenza dell’istruzione a danno della salute, ma in primo luogo di bilanciamento con praticabilità di adozione di misure di contemperamento e solo a fronte di impossibilità di tale “mediazione” la soccombenza del diritto all’istruzione (in presenza) è ammissibile</w:t>
      </w:r>
      <w:r w:rsidR="00F0674D" w:rsidRPr="00C15A2F">
        <w:rPr>
          <w:color w:val="000000"/>
          <w:sz w:val="26"/>
          <w:szCs w:val="26"/>
        </w:rPr>
        <w:t>»</w:t>
      </w:r>
      <w:r w:rsidR="004955C2" w:rsidRPr="00C15A2F">
        <w:rPr>
          <w:color w:val="000000"/>
          <w:sz w:val="26"/>
          <w:szCs w:val="26"/>
        </w:rPr>
        <w:t xml:space="preserve"> (T</w:t>
      </w:r>
      <w:r>
        <w:rPr>
          <w:color w:val="000000"/>
          <w:sz w:val="26"/>
          <w:szCs w:val="26"/>
        </w:rPr>
        <w:t>.</w:t>
      </w:r>
      <w:r w:rsidR="004955C2" w:rsidRPr="00C15A2F">
        <w:rPr>
          <w:color w:val="000000"/>
          <w:sz w:val="26"/>
          <w:szCs w:val="26"/>
        </w:rPr>
        <w:t>A</w:t>
      </w:r>
      <w:r>
        <w:rPr>
          <w:color w:val="000000"/>
          <w:sz w:val="26"/>
          <w:szCs w:val="26"/>
        </w:rPr>
        <w:t>.</w:t>
      </w:r>
      <w:r w:rsidR="004955C2" w:rsidRPr="00C15A2F">
        <w:rPr>
          <w:color w:val="000000"/>
          <w:sz w:val="26"/>
          <w:szCs w:val="26"/>
        </w:rPr>
        <w:t>R</w:t>
      </w:r>
      <w:r>
        <w:rPr>
          <w:color w:val="000000"/>
          <w:sz w:val="26"/>
          <w:szCs w:val="26"/>
        </w:rPr>
        <w:t>.</w:t>
      </w:r>
      <w:r w:rsidR="004955C2" w:rsidRPr="00C15A2F">
        <w:rPr>
          <w:color w:val="000000"/>
          <w:sz w:val="26"/>
          <w:szCs w:val="26"/>
        </w:rPr>
        <w:t xml:space="preserve"> </w:t>
      </w:r>
      <w:r>
        <w:rPr>
          <w:color w:val="000000"/>
          <w:sz w:val="26"/>
          <w:szCs w:val="26"/>
        </w:rPr>
        <w:t xml:space="preserve">per la </w:t>
      </w:r>
      <w:r w:rsidR="004955C2" w:rsidRPr="00C15A2F">
        <w:rPr>
          <w:color w:val="000000"/>
          <w:sz w:val="26"/>
          <w:szCs w:val="26"/>
        </w:rPr>
        <w:t>Calabria, 16 febbraio 2021, n. 324)</w:t>
      </w:r>
      <w:r w:rsidR="00F0674D" w:rsidRPr="00C15A2F">
        <w:rPr>
          <w:color w:val="000000"/>
          <w:sz w:val="26"/>
          <w:szCs w:val="26"/>
        </w:rPr>
        <w:t>.</w:t>
      </w:r>
      <w:r w:rsidR="004955C2" w:rsidRPr="00C15A2F">
        <w:rPr>
          <w:color w:val="000000"/>
          <w:sz w:val="26"/>
          <w:szCs w:val="26"/>
        </w:rPr>
        <w:t xml:space="preserve"> </w:t>
      </w:r>
      <w:r w:rsidRPr="00C15A2F">
        <w:rPr>
          <w:color w:val="000000"/>
          <w:sz w:val="26"/>
          <w:szCs w:val="26"/>
        </w:rPr>
        <w:t xml:space="preserve">La </w:t>
      </w:r>
      <w:r>
        <w:rPr>
          <w:color w:val="000000"/>
          <w:sz w:val="26"/>
          <w:szCs w:val="26"/>
        </w:rPr>
        <w:t xml:space="preserve">volontà </w:t>
      </w:r>
      <w:r w:rsidRPr="00C15A2F">
        <w:rPr>
          <w:color w:val="000000"/>
          <w:sz w:val="26"/>
          <w:szCs w:val="26"/>
        </w:rPr>
        <w:t>di perseguire il “rischio zero” per la comunità scolastica</w:t>
      </w:r>
      <w:r w:rsidR="0095624C">
        <w:rPr>
          <w:color w:val="000000"/>
          <w:sz w:val="26"/>
          <w:szCs w:val="26"/>
        </w:rPr>
        <w:t xml:space="preserve"> non può giustificare </w:t>
      </w:r>
      <w:r w:rsidR="0095624C" w:rsidRPr="00C15A2F">
        <w:rPr>
          <w:color w:val="000000"/>
          <w:sz w:val="26"/>
          <w:szCs w:val="26"/>
        </w:rPr>
        <w:t xml:space="preserve">la sospensione </w:t>
      </w:r>
      <w:r w:rsidR="0095624C">
        <w:rPr>
          <w:color w:val="000000"/>
          <w:sz w:val="26"/>
          <w:szCs w:val="26"/>
        </w:rPr>
        <w:t>d</w:t>
      </w:r>
      <w:r w:rsidR="0095624C" w:rsidRPr="00C15A2F">
        <w:rPr>
          <w:color w:val="000000"/>
          <w:sz w:val="26"/>
          <w:szCs w:val="26"/>
        </w:rPr>
        <w:t>i tutte le attività scolastiche di ogni ordine e grado</w:t>
      </w:r>
      <w:r w:rsidR="0095624C">
        <w:rPr>
          <w:color w:val="000000"/>
          <w:sz w:val="26"/>
          <w:szCs w:val="26"/>
        </w:rPr>
        <w:t xml:space="preserve"> in presenza</w:t>
      </w:r>
      <w:r w:rsidR="0095624C" w:rsidRPr="00C15A2F">
        <w:rPr>
          <w:color w:val="000000"/>
          <w:sz w:val="26"/>
          <w:szCs w:val="26"/>
        </w:rPr>
        <w:t xml:space="preserve">, </w:t>
      </w:r>
      <w:r w:rsidR="0095624C">
        <w:rPr>
          <w:color w:val="000000"/>
          <w:sz w:val="26"/>
          <w:szCs w:val="26"/>
        </w:rPr>
        <w:t xml:space="preserve">seppure </w:t>
      </w:r>
      <w:r w:rsidR="0095624C" w:rsidRPr="00C15A2F">
        <w:rPr>
          <w:color w:val="000000"/>
          <w:sz w:val="26"/>
          <w:szCs w:val="26"/>
        </w:rPr>
        <w:t>rimettendo in capo alle autorità scolastiche la rimodulazione delle stesse</w:t>
      </w:r>
      <w:r w:rsidRPr="00C15A2F">
        <w:rPr>
          <w:color w:val="000000"/>
          <w:sz w:val="26"/>
          <w:szCs w:val="26"/>
        </w:rPr>
        <w:t xml:space="preserve">, </w:t>
      </w:r>
      <w:r w:rsidR="0095624C">
        <w:rPr>
          <w:color w:val="000000"/>
          <w:sz w:val="26"/>
          <w:szCs w:val="26"/>
        </w:rPr>
        <w:t xml:space="preserve">che pertanto </w:t>
      </w:r>
      <w:r w:rsidRPr="00C15A2F">
        <w:rPr>
          <w:color w:val="000000"/>
          <w:sz w:val="26"/>
          <w:szCs w:val="26"/>
        </w:rPr>
        <w:t>«</w:t>
      </w:r>
      <w:r w:rsidRPr="00C15A2F">
        <w:rPr>
          <w:rStyle w:val="Enfasicorsivo"/>
          <w:color w:val="000000"/>
          <w:sz w:val="26"/>
          <w:szCs w:val="26"/>
        </w:rPr>
        <w:t>ha certamente violato il parametro della proporzionalità: la sospensione del servizio scolastico in presenza, il cui rischio risulta già sotto controllo con le misure nazionali in atto, ha leso oltre misura il diritto all’istruzione per i cittadini più giovani arrecando non solo pregiudizio formativo, ma anche psicologico, educativo e di socializzazione (v. i rischi evidenziati dalla Società Italiana Pediatri) essendo la loro personalità in via di costruzione, costruzione che la Costituzione vuole avvenga anche ed obbligatoriamente nella “formazione sociale” della Scuola</w:t>
      </w:r>
      <w:r w:rsidRPr="00C15A2F">
        <w:rPr>
          <w:color w:val="000000"/>
          <w:sz w:val="26"/>
          <w:szCs w:val="26"/>
        </w:rPr>
        <w:t>» (T</w:t>
      </w:r>
      <w:r w:rsidR="0095624C">
        <w:rPr>
          <w:color w:val="000000"/>
          <w:sz w:val="26"/>
          <w:szCs w:val="26"/>
        </w:rPr>
        <w:t>.</w:t>
      </w:r>
      <w:r w:rsidRPr="00C15A2F">
        <w:rPr>
          <w:color w:val="000000"/>
          <w:sz w:val="26"/>
          <w:szCs w:val="26"/>
        </w:rPr>
        <w:t>A</w:t>
      </w:r>
      <w:r w:rsidR="0095624C">
        <w:rPr>
          <w:color w:val="000000"/>
          <w:sz w:val="26"/>
          <w:szCs w:val="26"/>
        </w:rPr>
        <w:t>.</w:t>
      </w:r>
      <w:r w:rsidRPr="00C15A2F">
        <w:rPr>
          <w:color w:val="000000"/>
          <w:sz w:val="26"/>
          <w:szCs w:val="26"/>
        </w:rPr>
        <w:t>R</w:t>
      </w:r>
      <w:r w:rsidR="0095624C">
        <w:rPr>
          <w:color w:val="000000"/>
          <w:sz w:val="26"/>
          <w:szCs w:val="26"/>
        </w:rPr>
        <w:t xml:space="preserve">. per la </w:t>
      </w:r>
      <w:r w:rsidRPr="00C15A2F">
        <w:rPr>
          <w:color w:val="000000"/>
          <w:sz w:val="26"/>
          <w:szCs w:val="26"/>
        </w:rPr>
        <w:t>Calabria, sez. I, 18 dicembre 2020, n. 2075</w:t>
      </w:r>
      <w:r w:rsidR="0095624C">
        <w:rPr>
          <w:color w:val="000000"/>
          <w:sz w:val="26"/>
          <w:szCs w:val="26"/>
        </w:rPr>
        <w:t xml:space="preserve">). </w:t>
      </w:r>
    </w:p>
    <w:p w:rsidR="00A0626E" w:rsidRPr="00C15A2F" w:rsidRDefault="0095624C" w:rsidP="008E2068">
      <w:pPr>
        <w:pStyle w:val="NormaleWeb"/>
        <w:spacing w:before="0" w:beforeAutospacing="0" w:after="0" w:afterAutospacing="0" w:line="360" w:lineRule="auto"/>
        <w:jc w:val="both"/>
        <w:rPr>
          <w:color w:val="000000"/>
          <w:sz w:val="26"/>
          <w:szCs w:val="26"/>
        </w:rPr>
      </w:pPr>
      <w:r>
        <w:rPr>
          <w:color w:val="000000"/>
          <w:sz w:val="26"/>
          <w:szCs w:val="26"/>
        </w:rPr>
        <w:t>In altra occasione s</w:t>
      </w:r>
      <w:r w:rsidR="005415E5">
        <w:rPr>
          <w:color w:val="000000"/>
          <w:sz w:val="26"/>
          <w:szCs w:val="26"/>
        </w:rPr>
        <w:t xml:space="preserve">i è altresì ricordato come </w:t>
      </w:r>
      <w:r>
        <w:rPr>
          <w:color w:val="000000"/>
          <w:sz w:val="26"/>
          <w:szCs w:val="26"/>
        </w:rPr>
        <w:t xml:space="preserve">mentre </w:t>
      </w:r>
      <w:r w:rsidR="005415E5">
        <w:rPr>
          <w:color w:val="000000"/>
          <w:sz w:val="26"/>
          <w:szCs w:val="26"/>
        </w:rPr>
        <w:t>i</w:t>
      </w:r>
      <w:r w:rsidR="00F0674D" w:rsidRPr="00C15A2F">
        <w:rPr>
          <w:color w:val="000000"/>
          <w:sz w:val="26"/>
          <w:szCs w:val="26"/>
        </w:rPr>
        <w:t xml:space="preserve">l bilanciamento tra diritti ed interessi contrapposti </w:t>
      </w:r>
      <w:r>
        <w:rPr>
          <w:color w:val="000000"/>
          <w:sz w:val="26"/>
          <w:szCs w:val="26"/>
        </w:rPr>
        <w:t xml:space="preserve">deve essere </w:t>
      </w:r>
      <w:r w:rsidR="00F0674D" w:rsidRPr="00C15A2F">
        <w:rPr>
          <w:color w:val="000000"/>
          <w:sz w:val="26"/>
          <w:szCs w:val="26"/>
        </w:rPr>
        <w:t>operato a livello statale, sulla base dell’analisi combinata di più elementi, l</w:t>
      </w:r>
      <w:r w:rsidR="005415E5">
        <w:rPr>
          <w:color w:val="000000"/>
          <w:sz w:val="26"/>
          <w:szCs w:val="26"/>
        </w:rPr>
        <w:t xml:space="preserve">e </w:t>
      </w:r>
      <w:r w:rsidR="00F0674D" w:rsidRPr="00C15A2F">
        <w:rPr>
          <w:color w:val="000000"/>
          <w:sz w:val="26"/>
          <w:szCs w:val="26"/>
        </w:rPr>
        <w:t>amministrazion</w:t>
      </w:r>
      <w:r w:rsidR="005415E5">
        <w:rPr>
          <w:color w:val="000000"/>
          <w:sz w:val="26"/>
          <w:szCs w:val="26"/>
        </w:rPr>
        <w:t>i</w:t>
      </w:r>
      <w:r w:rsidR="00F0674D" w:rsidRPr="00C15A2F">
        <w:rPr>
          <w:color w:val="000000"/>
          <w:sz w:val="26"/>
          <w:szCs w:val="26"/>
        </w:rPr>
        <w:t xml:space="preserve"> regional</w:t>
      </w:r>
      <w:r w:rsidR="005415E5">
        <w:rPr>
          <w:color w:val="000000"/>
          <w:sz w:val="26"/>
          <w:szCs w:val="26"/>
        </w:rPr>
        <w:t xml:space="preserve">i dispongono di </w:t>
      </w:r>
      <w:r w:rsidR="00A0626E" w:rsidRPr="00C15A2F">
        <w:rPr>
          <w:color w:val="000000"/>
          <w:sz w:val="26"/>
          <w:szCs w:val="26"/>
        </w:rPr>
        <w:t xml:space="preserve">altri strumenti di intervento, potendo agire sia sul trasporto pubblico locale che sulla diversificazione degli orari di ingresso a scuola, al fine di evitare assembramenti, </w:t>
      </w:r>
      <w:r w:rsidR="005415E5">
        <w:rPr>
          <w:color w:val="000000"/>
          <w:sz w:val="26"/>
          <w:szCs w:val="26"/>
        </w:rPr>
        <w:t xml:space="preserve">sicché </w:t>
      </w:r>
      <w:r w:rsidR="00A0626E" w:rsidRPr="00C15A2F">
        <w:rPr>
          <w:color w:val="000000"/>
          <w:sz w:val="26"/>
          <w:szCs w:val="26"/>
        </w:rPr>
        <w:t>un provvedimento “radicale” come il divieto di frequentare in presenza appare irragionevole e sproporzionato se adottato per fronteggiare un rischio solo probabile ed affrontabile</w:t>
      </w:r>
      <w:r w:rsidR="005415E5">
        <w:rPr>
          <w:color w:val="000000"/>
          <w:sz w:val="26"/>
          <w:szCs w:val="26"/>
        </w:rPr>
        <w:t>, appunto,</w:t>
      </w:r>
      <w:r w:rsidR="00A0626E" w:rsidRPr="00C15A2F">
        <w:rPr>
          <w:color w:val="000000"/>
          <w:sz w:val="26"/>
          <w:szCs w:val="26"/>
        </w:rPr>
        <w:t xml:space="preserve"> anche con altre misure (</w:t>
      </w:r>
      <w:r w:rsidR="00F0674D" w:rsidRPr="00C15A2F">
        <w:rPr>
          <w:color w:val="000000"/>
          <w:sz w:val="26"/>
          <w:szCs w:val="26"/>
        </w:rPr>
        <w:t>T</w:t>
      </w:r>
      <w:r w:rsidR="005415E5">
        <w:rPr>
          <w:color w:val="000000"/>
          <w:sz w:val="26"/>
          <w:szCs w:val="26"/>
        </w:rPr>
        <w:t>.</w:t>
      </w:r>
      <w:r w:rsidR="00F0674D" w:rsidRPr="00C15A2F">
        <w:rPr>
          <w:color w:val="000000"/>
          <w:sz w:val="26"/>
          <w:szCs w:val="26"/>
        </w:rPr>
        <w:t>A</w:t>
      </w:r>
      <w:r w:rsidR="005415E5">
        <w:rPr>
          <w:color w:val="000000"/>
          <w:sz w:val="26"/>
          <w:szCs w:val="26"/>
        </w:rPr>
        <w:t>.</w:t>
      </w:r>
      <w:r w:rsidR="00F0674D" w:rsidRPr="00C15A2F">
        <w:rPr>
          <w:color w:val="000000"/>
          <w:sz w:val="26"/>
          <w:szCs w:val="26"/>
        </w:rPr>
        <w:t>R</w:t>
      </w:r>
      <w:r w:rsidR="005415E5">
        <w:rPr>
          <w:color w:val="000000"/>
          <w:sz w:val="26"/>
          <w:szCs w:val="26"/>
        </w:rPr>
        <w:t>. per l’</w:t>
      </w:r>
      <w:r w:rsidR="00F0674D" w:rsidRPr="00C15A2F">
        <w:rPr>
          <w:color w:val="000000"/>
          <w:sz w:val="26"/>
          <w:szCs w:val="26"/>
        </w:rPr>
        <w:t xml:space="preserve"> Emilia-Romagna</w:t>
      </w:r>
      <w:r w:rsidR="00A0626E" w:rsidRPr="00C15A2F">
        <w:rPr>
          <w:color w:val="000000"/>
          <w:sz w:val="26"/>
          <w:szCs w:val="26"/>
        </w:rPr>
        <w:t xml:space="preserve">, decreto </w:t>
      </w:r>
      <w:r w:rsidR="00F0674D" w:rsidRPr="00C15A2F">
        <w:rPr>
          <w:color w:val="000000"/>
          <w:sz w:val="26"/>
          <w:szCs w:val="26"/>
        </w:rPr>
        <w:t>n. 30 del 15 gennaio 2021).</w:t>
      </w:r>
      <w:r w:rsidR="004955C2" w:rsidRPr="00C15A2F">
        <w:rPr>
          <w:color w:val="000000"/>
          <w:sz w:val="26"/>
          <w:szCs w:val="26"/>
        </w:rPr>
        <w:t xml:space="preserve"> </w:t>
      </w:r>
    </w:p>
    <w:p w:rsidR="000E7834" w:rsidRPr="00C15A2F" w:rsidRDefault="008150A3" w:rsidP="008E2068">
      <w:pPr>
        <w:pStyle w:val="NormaleWeb"/>
        <w:spacing w:before="0" w:beforeAutospacing="0" w:after="0" w:afterAutospacing="0" w:line="360" w:lineRule="auto"/>
        <w:jc w:val="both"/>
        <w:rPr>
          <w:color w:val="000000"/>
          <w:sz w:val="26"/>
          <w:szCs w:val="26"/>
        </w:rPr>
      </w:pPr>
      <w:r w:rsidRPr="00C15A2F">
        <w:rPr>
          <w:color w:val="000000"/>
          <w:sz w:val="26"/>
          <w:szCs w:val="26"/>
        </w:rPr>
        <w:t>Gli effetti non positivi sulla popolazione studentesca della DAD, con perdita di tutto l’aspetto relazionale correlato al percorso scolastico,</w:t>
      </w:r>
      <w:r w:rsidR="00650034">
        <w:rPr>
          <w:color w:val="000000"/>
          <w:sz w:val="26"/>
          <w:szCs w:val="26"/>
        </w:rPr>
        <w:t xml:space="preserve"> ha fatto inoltre registrare un </w:t>
      </w:r>
      <w:r w:rsidR="0095624C">
        <w:rPr>
          <w:color w:val="000000"/>
          <w:sz w:val="26"/>
          <w:szCs w:val="26"/>
        </w:rPr>
        <w:t>inevitabile</w:t>
      </w:r>
      <w:r w:rsidRPr="00C15A2F">
        <w:rPr>
          <w:color w:val="000000"/>
          <w:sz w:val="26"/>
          <w:szCs w:val="26"/>
        </w:rPr>
        <w:t xml:space="preserve"> contenzioso </w:t>
      </w:r>
      <w:r w:rsidR="0095624C">
        <w:rPr>
          <w:color w:val="000000"/>
          <w:sz w:val="26"/>
          <w:szCs w:val="26"/>
        </w:rPr>
        <w:t xml:space="preserve">legato alle difficoltà di rispettare gli </w:t>
      </w:r>
      <w:r w:rsidRPr="00C15A2F">
        <w:rPr>
          <w:color w:val="000000"/>
          <w:sz w:val="26"/>
          <w:szCs w:val="26"/>
        </w:rPr>
        <w:t>obblighi di personalizzazione de</w:t>
      </w:r>
      <w:r w:rsidR="00A0626E" w:rsidRPr="00C15A2F">
        <w:rPr>
          <w:color w:val="000000"/>
          <w:sz w:val="26"/>
          <w:szCs w:val="26"/>
        </w:rPr>
        <w:t>i</w:t>
      </w:r>
      <w:r w:rsidRPr="00C15A2F">
        <w:rPr>
          <w:color w:val="000000"/>
          <w:sz w:val="26"/>
          <w:szCs w:val="26"/>
        </w:rPr>
        <w:t xml:space="preserve"> percorsi formativi per scolari con particolari disturbi dell’apprendimento (bisogni educativi speciali o BES). </w:t>
      </w:r>
      <w:r w:rsidR="0095624C">
        <w:rPr>
          <w:color w:val="000000"/>
          <w:sz w:val="26"/>
          <w:szCs w:val="26"/>
        </w:rPr>
        <w:t xml:space="preserve">A tale riguardo, </w:t>
      </w:r>
      <w:r w:rsidRPr="00C15A2F">
        <w:rPr>
          <w:color w:val="000000"/>
          <w:sz w:val="26"/>
          <w:szCs w:val="26"/>
        </w:rPr>
        <w:t>il giudice amministrativo</w:t>
      </w:r>
      <w:r w:rsidR="0095624C">
        <w:rPr>
          <w:color w:val="000000"/>
          <w:sz w:val="26"/>
          <w:szCs w:val="26"/>
        </w:rPr>
        <w:t xml:space="preserve">, seppure senza entrare nel dibattito, anche mediatico, sull’approccio da tenere rispetto ai risultati di un anno scolastico obiettivamente connotato da difficoltà aggiuntive, con un conclamato incremento di fenomeni di disagio psicologico, in particolare nella fascia adolescenziale, </w:t>
      </w:r>
      <w:r w:rsidRPr="00C15A2F">
        <w:rPr>
          <w:color w:val="000000"/>
          <w:sz w:val="26"/>
          <w:szCs w:val="26"/>
        </w:rPr>
        <w:t xml:space="preserve">ha </w:t>
      </w:r>
      <w:r w:rsidR="00310C7E">
        <w:rPr>
          <w:color w:val="000000"/>
          <w:sz w:val="26"/>
          <w:szCs w:val="26"/>
        </w:rPr>
        <w:t xml:space="preserve">attentamente </w:t>
      </w:r>
      <w:r w:rsidR="0095624C">
        <w:rPr>
          <w:color w:val="000000"/>
          <w:sz w:val="26"/>
          <w:szCs w:val="26"/>
        </w:rPr>
        <w:t>ricostruito la cornice ordinamentale cui ricondurre la doverosa presa d’atto di tale peculiarità di contesto. I</w:t>
      </w:r>
      <w:r w:rsidRPr="00C15A2F">
        <w:rPr>
          <w:color w:val="000000"/>
          <w:sz w:val="26"/>
          <w:szCs w:val="26"/>
        </w:rPr>
        <w:t xml:space="preserve">l legislatore, </w:t>
      </w:r>
      <w:r w:rsidR="00310C7E">
        <w:rPr>
          <w:color w:val="000000"/>
          <w:sz w:val="26"/>
          <w:szCs w:val="26"/>
        </w:rPr>
        <w:t>infatti</w:t>
      </w:r>
      <w:r w:rsidR="0095624C">
        <w:rPr>
          <w:color w:val="000000"/>
          <w:sz w:val="26"/>
          <w:szCs w:val="26"/>
        </w:rPr>
        <w:t xml:space="preserve">, </w:t>
      </w:r>
      <w:r w:rsidRPr="00C15A2F">
        <w:rPr>
          <w:color w:val="000000"/>
          <w:sz w:val="26"/>
          <w:szCs w:val="26"/>
        </w:rPr>
        <w:t>(a</w:t>
      </w:r>
      <w:r w:rsidR="00177596" w:rsidRPr="00C15A2F">
        <w:rPr>
          <w:color w:val="000000"/>
          <w:sz w:val="26"/>
          <w:szCs w:val="26"/>
        </w:rPr>
        <w:t xml:space="preserve">rt. 1, comma 2, </w:t>
      </w:r>
      <w:r w:rsidRPr="00C15A2F">
        <w:rPr>
          <w:color w:val="000000"/>
          <w:sz w:val="26"/>
          <w:szCs w:val="26"/>
        </w:rPr>
        <w:t xml:space="preserve">del </w:t>
      </w:r>
      <w:proofErr w:type="spellStart"/>
      <w:r w:rsidRPr="00C15A2F">
        <w:rPr>
          <w:color w:val="000000"/>
          <w:sz w:val="26"/>
          <w:szCs w:val="26"/>
        </w:rPr>
        <w:t>d.l.</w:t>
      </w:r>
      <w:proofErr w:type="spellEnd"/>
      <w:r w:rsidRPr="00C15A2F">
        <w:rPr>
          <w:color w:val="000000"/>
          <w:sz w:val="26"/>
          <w:szCs w:val="26"/>
        </w:rPr>
        <w:t xml:space="preserve"> n. 22/2020, convertito, con modificazioni, dalla l. n. 41/2020)</w:t>
      </w:r>
      <w:r w:rsidR="00177596" w:rsidRPr="00C15A2F">
        <w:rPr>
          <w:color w:val="000000"/>
          <w:sz w:val="26"/>
          <w:szCs w:val="26"/>
        </w:rPr>
        <w:t>, con riferimento a</w:t>
      </w:r>
      <w:r w:rsidR="0095624C">
        <w:rPr>
          <w:color w:val="000000"/>
          <w:sz w:val="26"/>
          <w:szCs w:val="26"/>
        </w:rPr>
        <w:t xml:space="preserve">ll’anno scolastico 2019/2020, </w:t>
      </w:r>
      <w:r w:rsidR="000E7834" w:rsidRPr="00C15A2F">
        <w:rPr>
          <w:color w:val="000000"/>
          <w:sz w:val="26"/>
          <w:szCs w:val="26"/>
        </w:rPr>
        <w:t xml:space="preserve">ha inteso valorizzare </w:t>
      </w:r>
      <w:r w:rsidRPr="00C15A2F">
        <w:rPr>
          <w:color w:val="000000"/>
          <w:sz w:val="26"/>
          <w:szCs w:val="26"/>
        </w:rPr>
        <w:t xml:space="preserve"> </w:t>
      </w:r>
      <w:r w:rsidR="00177596" w:rsidRPr="00C15A2F">
        <w:rPr>
          <w:color w:val="000000"/>
          <w:sz w:val="26"/>
          <w:szCs w:val="26"/>
        </w:rPr>
        <w:t>l’integrazione e il recupero degli apprendimenti</w:t>
      </w:r>
      <w:r w:rsidR="00310C7E">
        <w:rPr>
          <w:color w:val="000000"/>
          <w:sz w:val="26"/>
          <w:szCs w:val="26"/>
        </w:rPr>
        <w:t xml:space="preserve">, comprensibilmente connotati da maggiori difficoltà, </w:t>
      </w:r>
      <w:r w:rsidR="00177596" w:rsidRPr="00C15A2F">
        <w:rPr>
          <w:color w:val="000000"/>
          <w:sz w:val="26"/>
          <w:szCs w:val="26"/>
        </w:rPr>
        <w:t xml:space="preserve">nel corso dell’anno scolastico successivo, </w:t>
      </w:r>
      <w:r w:rsidR="00A0626E" w:rsidRPr="00C15A2F">
        <w:rPr>
          <w:color w:val="000000"/>
          <w:sz w:val="26"/>
          <w:szCs w:val="26"/>
        </w:rPr>
        <w:t xml:space="preserve">ovvero </w:t>
      </w:r>
      <w:r w:rsidR="00177596" w:rsidRPr="00C15A2F">
        <w:rPr>
          <w:color w:val="000000"/>
          <w:sz w:val="26"/>
          <w:szCs w:val="26"/>
        </w:rPr>
        <w:t xml:space="preserve">a decorrere dal 1° settembre 2020, </w:t>
      </w:r>
      <w:r w:rsidR="00310C7E">
        <w:rPr>
          <w:color w:val="000000"/>
          <w:sz w:val="26"/>
          <w:szCs w:val="26"/>
        </w:rPr>
        <w:t>con il ritorno all’</w:t>
      </w:r>
      <w:r w:rsidR="00177596" w:rsidRPr="00C15A2F">
        <w:rPr>
          <w:color w:val="000000"/>
          <w:sz w:val="26"/>
          <w:szCs w:val="26"/>
        </w:rPr>
        <w:t>attività didattica ordinaria</w:t>
      </w:r>
      <w:r w:rsidR="00310C7E">
        <w:rPr>
          <w:color w:val="000000"/>
          <w:sz w:val="26"/>
          <w:szCs w:val="26"/>
        </w:rPr>
        <w:t xml:space="preserve">, seppure </w:t>
      </w:r>
      <w:r w:rsidR="00310C7E" w:rsidRPr="00C15A2F">
        <w:rPr>
          <w:color w:val="000000"/>
          <w:sz w:val="26"/>
          <w:szCs w:val="26"/>
        </w:rPr>
        <w:t xml:space="preserve"> demanda</w:t>
      </w:r>
      <w:r w:rsidR="00310C7E">
        <w:rPr>
          <w:color w:val="000000"/>
          <w:sz w:val="26"/>
          <w:szCs w:val="26"/>
        </w:rPr>
        <w:t>ndo</w:t>
      </w:r>
      <w:r w:rsidR="00310C7E" w:rsidRPr="00C15A2F">
        <w:rPr>
          <w:color w:val="000000"/>
          <w:sz w:val="26"/>
          <w:szCs w:val="26"/>
        </w:rPr>
        <w:t xml:space="preserve"> ad un’ordinanza ministeriale l’adozione di specifiche misure sulla valutazione degli alunni</w:t>
      </w:r>
      <w:r w:rsidR="00310C7E">
        <w:rPr>
          <w:color w:val="000000"/>
          <w:sz w:val="26"/>
          <w:szCs w:val="26"/>
        </w:rPr>
        <w:t>. Da qui la necessità di leggere le indicazioni di tale ordinanza nell’ambito di tale riconosciuta difficoltà di contesto</w:t>
      </w:r>
      <w:r w:rsidRPr="00C15A2F">
        <w:rPr>
          <w:color w:val="000000"/>
          <w:sz w:val="26"/>
          <w:szCs w:val="26"/>
        </w:rPr>
        <w:t xml:space="preserve"> </w:t>
      </w:r>
      <w:r w:rsidR="000E7834" w:rsidRPr="00C15A2F">
        <w:rPr>
          <w:color w:val="000000"/>
          <w:sz w:val="26"/>
          <w:szCs w:val="26"/>
        </w:rPr>
        <w:t xml:space="preserve">(v. </w:t>
      </w:r>
      <w:proofErr w:type="spellStart"/>
      <w:r w:rsidR="000E7834" w:rsidRPr="00C15A2F">
        <w:rPr>
          <w:color w:val="000000"/>
          <w:sz w:val="26"/>
          <w:szCs w:val="26"/>
        </w:rPr>
        <w:t>Cons</w:t>
      </w:r>
      <w:proofErr w:type="spellEnd"/>
      <w:r w:rsidR="000E7834" w:rsidRPr="00C15A2F">
        <w:rPr>
          <w:color w:val="000000"/>
          <w:sz w:val="26"/>
          <w:szCs w:val="26"/>
        </w:rPr>
        <w:t xml:space="preserve">. Stato, sez. VI, 17 agosto 2021, n. 5914). </w:t>
      </w:r>
    </w:p>
    <w:p w:rsidR="00C15A2F" w:rsidRDefault="00310C7E" w:rsidP="008E2068">
      <w:pPr>
        <w:pStyle w:val="NormaleWeb"/>
        <w:spacing w:before="0" w:beforeAutospacing="0" w:after="0" w:afterAutospacing="0" w:line="360" w:lineRule="auto"/>
        <w:jc w:val="both"/>
        <w:rPr>
          <w:color w:val="000000"/>
          <w:sz w:val="26"/>
          <w:szCs w:val="26"/>
        </w:rPr>
      </w:pPr>
      <w:r>
        <w:rPr>
          <w:color w:val="000000"/>
          <w:sz w:val="26"/>
          <w:szCs w:val="26"/>
        </w:rPr>
        <w:t>Anche i</w:t>
      </w:r>
      <w:r w:rsidR="00F7255B" w:rsidRPr="00C15A2F">
        <w:rPr>
          <w:color w:val="000000"/>
          <w:sz w:val="26"/>
          <w:szCs w:val="26"/>
        </w:rPr>
        <w:t xml:space="preserve">n tema di </w:t>
      </w:r>
      <w:r>
        <w:rPr>
          <w:color w:val="000000"/>
          <w:sz w:val="26"/>
          <w:szCs w:val="26"/>
        </w:rPr>
        <w:t xml:space="preserve">esercizio delle </w:t>
      </w:r>
      <w:r w:rsidR="00F7255B" w:rsidRPr="00C15A2F">
        <w:rPr>
          <w:color w:val="000000"/>
          <w:sz w:val="26"/>
          <w:szCs w:val="26"/>
        </w:rPr>
        <w:t>attività economiche</w:t>
      </w:r>
      <w:r>
        <w:rPr>
          <w:color w:val="000000"/>
          <w:sz w:val="26"/>
          <w:szCs w:val="26"/>
        </w:rPr>
        <w:t xml:space="preserve"> si è dovuto operare un bilanciamento </w:t>
      </w:r>
      <w:r w:rsidR="00D95680" w:rsidRPr="00C15A2F">
        <w:rPr>
          <w:color w:val="000000"/>
          <w:sz w:val="26"/>
          <w:szCs w:val="26"/>
        </w:rPr>
        <w:t xml:space="preserve"> degli interessi in gioco, </w:t>
      </w:r>
      <w:r>
        <w:rPr>
          <w:color w:val="000000"/>
          <w:sz w:val="26"/>
          <w:szCs w:val="26"/>
        </w:rPr>
        <w:t>riconoscendo quale f</w:t>
      </w:r>
      <w:r w:rsidR="00D95680" w:rsidRPr="00C15A2F">
        <w:rPr>
          <w:color w:val="000000"/>
          <w:sz w:val="26"/>
          <w:szCs w:val="26"/>
        </w:rPr>
        <w:t xml:space="preserve">ondamento comune di tutti i provvedimenti </w:t>
      </w:r>
      <w:r>
        <w:rPr>
          <w:color w:val="000000"/>
          <w:sz w:val="26"/>
          <w:szCs w:val="26"/>
        </w:rPr>
        <w:t xml:space="preserve">in materia commerciale </w:t>
      </w:r>
      <w:r w:rsidR="00D95680" w:rsidRPr="00C15A2F">
        <w:rPr>
          <w:color w:val="000000"/>
          <w:sz w:val="26"/>
          <w:szCs w:val="26"/>
        </w:rPr>
        <w:t xml:space="preserve">– </w:t>
      </w:r>
      <w:r>
        <w:rPr>
          <w:color w:val="000000"/>
          <w:sz w:val="26"/>
          <w:szCs w:val="26"/>
        </w:rPr>
        <w:t xml:space="preserve">seppure </w:t>
      </w:r>
      <w:r w:rsidR="00D95680" w:rsidRPr="00C15A2F">
        <w:rPr>
          <w:color w:val="000000"/>
          <w:sz w:val="26"/>
          <w:szCs w:val="26"/>
        </w:rPr>
        <w:t xml:space="preserve">di natura e finalità diverse –adottati da autorità politiche governative, nazionali, territoriali e tecniche, </w:t>
      </w:r>
      <w:r>
        <w:rPr>
          <w:color w:val="000000"/>
          <w:sz w:val="26"/>
          <w:szCs w:val="26"/>
        </w:rPr>
        <w:t xml:space="preserve">l’esigenza </w:t>
      </w:r>
      <w:r w:rsidR="00D95680" w:rsidRPr="00C15A2F">
        <w:rPr>
          <w:color w:val="000000"/>
          <w:sz w:val="26"/>
          <w:szCs w:val="26"/>
        </w:rPr>
        <w:t>di assicurare, «</w:t>
      </w:r>
      <w:r w:rsidR="00D95680" w:rsidRPr="00C15A2F">
        <w:rPr>
          <w:i/>
          <w:color w:val="000000"/>
          <w:sz w:val="26"/>
          <w:szCs w:val="26"/>
        </w:rPr>
        <w:t>secondo il principio di massima precauzione, la salute dei cittadini, in quanto valore costituzionale primario e non negoziabile, tanto da comprimere – nei limiti e modi di volta in volta ritenuti indispensabili – anche l’esercizio di diversi diritti o libertà dei cittadini, primo fra tutti il diritto alla libera circolazion</w:t>
      </w:r>
      <w:r w:rsidR="00D95680" w:rsidRPr="00C15A2F">
        <w:rPr>
          <w:color w:val="000000"/>
          <w:sz w:val="26"/>
          <w:szCs w:val="26"/>
        </w:rPr>
        <w:t>e». Pertanto, il parametro cui la valutazione di legittimità si deve conformare, non può che essere anzitutto il diritto alla salute, «</w:t>
      </w:r>
      <w:r w:rsidR="00D95680" w:rsidRPr="00C15A2F">
        <w:rPr>
          <w:i/>
          <w:color w:val="000000"/>
          <w:sz w:val="26"/>
          <w:szCs w:val="26"/>
        </w:rPr>
        <w:t>e alla luce di questo si debbano esaminare ulteriori, e diverse, posizioni di interesse e diritto anch’esse costituzionalmente rilevanti, quale la libera iniziativa economica privata in regime di piena concorrenza</w:t>
      </w:r>
      <w:r w:rsidR="00D95680" w:rsidRPr="00C15A2F">
        <w:rPr>
          <w:color w:val="000000"/>
          <w:sz w:val="26"/>
          <w:szCs w:val="26"/>
        </w:rPr>
        <w:t>»</w:t>
      </w:r>
      <w:r w:rsidR="00EC1592" w:rsidRPr="00C15A2F">
        <w:rPr>
          <w:color w:val="000000"/>
          <w:sz w:val="26"/>
          <w:szCs w:val="26"/>
        </w:rPr>
        <w:t xml:space="preserve"> (T.A.R. </w:t>
      </w:r>
      <w:r>
        <w:rPr>
          <w:color w:val="000000"/>
          <w:sz w:val="26"/>
          <w:szCs w:val="26"/>
        </w:rPr>
        <w:t xml:space="preserve">per il </w:t>
      </w:r>
      <w:r w:rsidR="00EC1592" w:rsidRPr="00C15A2F">
        <w:rPr>
          <w:color w:val="000000"/>
          <w:sz w:val="26"/>
          <w:szCs w:val="26"/>
        </w:rPr>
        <w:t xml:space="preserve">Lazio, decreto del 23 novembre 2020, n. 7265, con il quale è stata respinta la domanda di sospensione dell’ordinanza del Presidente della Regione Lazio sulla chiusura dei centri commerciali nei giorni festivi e prefestivi). </w:t>
      </w:r>
    </w:p>
    <w:p w:rsidR="00310C7E" w:rsidRPr="00C15A2F" w:rsidRDefault="00310C7E" w:rsidP="008E2068">
      <w:pPr>
        <w:pStyle w:val="NormaleWeb"/>
        <w:spacing w:before="0" w:beforeAutospacing="0" w:after="0" w:afterAutospacing="0" w:line="360" w:lineRule="auto"/>
        <w:jc w:val="both"/>
        <w:rPr>
          <w:color w:val="000000"/>
          <w:sz w:val="26"/>
          <w:szCs w:val="26"/>
        </w:rPr>
      </w:pPr>
    </w:p>
    <w:p w:rsidR="00EC1592" w:rsidRPr="00C15A2F" w:rsidRDefault="00C15A2F" w:rsidP="008E2068">
      <w:pPr>
        <w:pStyle w:val="NormaleWeb"/>
        <w:spacing w:before="0" w:beforeAutospacing="0" w:after="0" w:afterAutospacing="0" w:line="360" w:lineRule="auto"/>
        <w:jc w:val="both"/>
        <w:rPr>
          <w:color w:val="000000"/>
          <w:sz w:val="26"/>
          <w:szCs w:val="26"/>
        </w:rPr>
      </w:pPr>
      <w:r w:rsidRPr="00C15A2F">
        <w:rPr>
          <w:b/>
          <w:color w:val="000000"/>
          <w:sz w:val="26"/>
          <w:szCs w:val="26"/>
        </w:rPr>
        <w:t xml:space="preserve">4. </w:t>
      </w:r>
      <w:r w:rsidR="00EC1592" w:rsidRPr="00C15A2F">
        <w:rPr>
          <w:b/>
          <w:color w:val="000000"/>
          <w:sz w:val="26"/>
          <w:szCs w:val="26"/>
        </w:rPr>
        <w:t>L’obbligo vaccinale</w:t>
      </w:r>
      <w:r w:rsidR="008C0407" w:rsidRPr="00C15A2F">
        <w:rPr>
          <w:b/>
          <w:color w:val="000000"/>
          <w:sz w:val="26"/>
          <w:szCs w:val="26"/>
        </w:rPr>
        <w:t xml:space="preserve">. </w:t>
      </w:r>
    </w:p>
    <w:p w:rsidR="00BA69DB" w:rsidRDefault="007B1238" w:rsidP="008E2068">
      <w:pPr>
        <w:spacing w:after="0" w:line="360" w:lineRule="auto"/>
        <w:jc w:val="both"/>
        <w:rPr>
          <w:rFonts w:ascii="Times New Roman" w:hAnsi="Times New Roman" w:cs="Times New Roman"/>
          <w:color w:val="000000"/>
          <w:sz w:val="26"/>
          <w:szCs w:val="26"/>
        </w:rPr>
      </w:pPr>
      <w:r w:rsidRPr="00C15A2F">
        <w:rPr>
          <w:rFonts w:ascii="Times New Roman" w:hAnsi="Times New Roman" w:cs="Times New Roman"/>
          <w:color w:val="000000"/>
          <w:sz w:val="26"/>
          <w:szCs w:val="26"/>
        </w:rPr>
        <w:t xml:space="preserve">L’obbligo vaccinale è stato introdotto per alcune categorie professionali con il </w:t>
      </w:r>
      <w:proofErr w:type="spellStart"/>
      <w:r w:rsidRPr="00C15A2F">
        <w:rPr>
          <w:rFonts w:ascii="Times New Roman" w:hAnsi="Times New Roman" w:cs="Times New Roman"/>
          <w:color w:val="000000"/>
          <w:sz w:val="26"/>
          <w:szCs w:val="26"/>
        </w:rPr>
        <w:t>d.l.</w:t>
      </w:r>
      <w:proofErr w:type="spellEnd"/>
      <w:r w:rsidRPr="00C15A2F">
        <w:rPr>
          <w:rFonts w:ascii="Times New Roman" w:hAnsi="Times New Roman" w:cs="Times New Roman"/>
          <w:color w:val="000000"/>
          <w:sz w:val="26"/>
          <w:szCs w:val="26"/>
        </w:rPr>
        <w:t xml:space="preserve"> </w:t>
      </w:r>
      <w:r w:rsidR="00696033" w:rsidRPr="00C15A2F">
        <w:rPr>
          <w:rFonts w:ascii="Times New Roman" w:hAnsi="Times New Roman" w:cs="Times New Roman"/>
          <w:color w:val="000000"/>
          <w:sz w:val="26"/>
          <w:szCs w:val="26"/>
        </w:rPr>
        <w:t xml:space="preserve">1 aprile 2021, n. 44, convertito, con modificazioni, dalla l. 28 maggio 2021, n. 76. </w:t>
      </w:r>
      <w:r w:rsidR="00310C7E">
        <w:rPr>
          <w:rFonts w:ascii="Times New Roman" w:hAnsi="Times New Roman" w:cs="Times New Roman"/>
          <w:color w:val="000000"/>
          <w:sz w:val="26"/>
          <w:szCs w:val="26"/>
        </w:rPr>
        <w:t xml:space="preserve">Esso è stato di recente esteso ad ulteriori categorie di lavoratori, individuate sempre sulla base della tipologia di attività svolta, connotata ontologicamente dal rapporto con il pubblico, nei confronti e spesso a tutela del quale il relativo servizio è erogato. Con l’art. 2 del </w:t>
      </w:r>
      <w:proofErr w:type="spellStart"/>
      <w:r w:rsidR="00310C7E">
        <w:rPr>
          <w:rFonts w:ascii="Times New Roman" w:hAnsi="Times New Roman" w:cs="Times New Roman"/>
          <w:color w:val="000000"/>
          <w:sz w:val="26"/>
          <w:szCs w:val="26"/>
        </w:rPr>
        <w:t>d.l.</w:t>
      </w:r>
      <w:proofErr w:type="spellEnd"/>
      <w:r w:rsidR="00310C7E">
        <w:rPr>
          <w:rFonts w:ascii="Times New Roman" w:hAnsi="Times New Roman" w:cs="Times New Roman"/>
          <w:color w:val="000000"/>
          <w:sz w:val="26"/>
          <w:szCs w:val="26"/>
        </w:rPr>
        <w:t xml:space="preserve"> 26 novembre 2021, n. 172, infatti, recante «</w:t>
      </w:r>
      <w:r w:rsidR="00310C7E" w:rsidRPr="00BA69DB">
        <w:rPr>
          <w:rFonts w:ascii="Times New Roman" w:hAnsi="Times New Roman" w:cs="Times New Roman"/>
          <w:i/>
          <w:color w:val="000000"/>
          <w:sz w:val="26"/>
          <w:szCs w:val="26"/>
        </w:rPr>
        <w:t>Misure urgenti per il contenimento dell’epidemia da COVID-19 e per lo svolgimento in sicurezza delle attività economiche e sociali</w:t>
      </w:r>
      <w:r w:rsidR="00310C7E">
        <w:rPr>
          <w:rFonts w:ascii="Times New Roman" w:hAnsi="Times New Roman" w:cs="Times New Roman"/>
          <w:color w:val="000000"/>
          <w:sz w:val="26"/>
          <w:szCs w:val="26"/>
        </w:rPr>
        <w:t xml:space="preserve">», l’obbligo vaccinale, relativo sia al ciclo primario (o all’eventuale dose unica prevista) che alla somministrazione della dose di richiamo successiva, si applica anche, con decorrenza dal 15 dicembre 2021, al personale scolastico (il primo per il quale era stato introdotto l’obbligo di </w:t>
      </w:r>
      <w:r w:rsidR="00310C7E" w:rsidRPr="00310C7E">
        <w:rPr>
          <w:rFonts w:ascii="Times New Roman" w:hAnsi="Times New Roman" w:cs="Times New Roman"/>
          <w:i/>
          <w:color w:val="000000"/>
          <w:sz w:val="26"/>
          <w:szCs w:val="26"/>
        </w:rPr>
        <w:t>green pass</w:t>
      </w:r>
      <w:r w:rsidR="00310C7E">
        <w:rPr>
          <w:rFonts w:ascii="Times New Roman" w:hAnsi="Times New Roman" w:cs="Times New Roman"/>
          <w:color w:val="000000"/>
          <w:sz w:val="26"/>
          <w:szCs w:val="26"/>
        </w:rPr>
        <w:t xml:space="preserve">, seppure “ordinario”, nell’accezione a breve chiarita), a quello del comparto difesa, sicurezza e soccorso pubblico, alle polizie locali, al personale che svolge a qualsiasi titolo la propria attività lavorativa nelle strutture sanitarie e socio-sanitarie e a quello che svolge attività lavorativa alle dirette dipendenze dell’amministrazione penitenziaria o del Dipartimento per la giustizia minorile e di comunità. </w:t>
      </w:r>
      <w:r w:rsidR="00CD4C43">
        <w:rPr>
          <w:rFonts w:ascii="Times New Roman" w:hAnsi="Times New Roman" w:cs="Times New Roman"/>
          <w:color w:val="000000"/>
          <w:sz w:val="26"/>
          <w:szCs w:val="26"/>
        </w:rPr>
        <w:t xml:space="preserve">La previsione originaria, dunque, sulla quale si sono già avute significative pronunce, era contenuta negli </w:t>
      </w:r>
      <w:r w:rsidR="00F61CCA">
        <w:rPr>
          <w:rFonts w:ascii="Times New Roman" w:hAnsi="Times New Roman" w:cs="Times New Roman"/>
          <w:color w:val="000000"/>
          <w:sz w:val="26"/>
          <w:szCs w:val="26"/>
        </w:rPr>
        <w:t xml:space="preserve">artt. 4 e 4 bis </w:t>
      </w:r>
      <w:r w:rsidR="00CD4C43">
        <w:rPr>
          <w:rFonts w:ascii="Times New Roman" w:hAnsi="Times New Roman" w:cs="Times New Roman"/>
          <w:color w:val="000000"/>
          <w:sz w:val="26"/>
          <w:szCs w:val="26"/>
        </w:rPr>
        <w:t xml:space="preserve">del richiamato </w:t>
      </w:r>
      <w:proofErr w:type="spellStart"/>
      <w:r w:rsidR="00CD4C43">
        <w:rPr>
          <w:rFonts w:ascii="Times New Roman" w:hAnsi="Times New Roman" w:cs="Times New Roman"/>
          <w:color w:val="000000"/>
          <w:sz w:val="26"/>
          <w:szCs w:val="26"/>
        </w:rPr>
        <w:t>d.l.</w:t>
      </w:r>
      <w:proofErr w:type="spellEnd"/>
      <w:r w:rsidR="00CD4C43">
        <w:rPr>
          <w:rFonts w:ascii="Times New Roman" w:hAnsi="Times New Roman" w:cs="Times New Roman"/>
          <w:color w:val="000000"/>
          <w:sz w:val="26"/>
          <w:szCs w:val="26"/>
        </w:rPr>
        <w:t xml:space="preserve"> n. 44/2021, con riferimento a</w:t>
      </w:r>
      <w:r w:rsidR="00CD4C43" w:rsidRPr="00C15A2F">
        <w:rPr>
          <w:rFonts w:ascii="Times New Roman" w:hAnsi="Times New Roman" w:cs="Times New Roman"/>
          <w:color w:val="000000"/>
          <w:sz w:val="26"/>
          <w:szCs w:val="26"/>
        </w:rPr>
        <w:t>gli esercenti le professioni sanitarie e gli operatori di interesse sanitario che svolgono la loro attività nelle strutture sanitarie, sociosanitarie e socio-assistenziali, pubbliche e private, nelle farmacie, nelle parafarmacie e negli studi professionali</w:t>
      </w:r>
      <w:r w:rsidR="00CD4C43">
        <w:rPr>
          <w:rFonts w:ascii="Times New Roman" w:hAnsi="Times New Roman" w:cs="Times New Roman"/>
          <w:color w:val="000000"/>
          <w:sz w:val="26"/>
          <w:szCs w:val="26"/>
        </w:rPr>
        <w:t xml:space="preserve">, che ne individuava il termine di vigenza nella realizzata </w:t>
      </w:r>
      <w:r w:rsidR="00696033" w:rsidRPr="00C15A2F">
        <w:rPr>
          <w:rFonts w:ascii="Times New Roman" w:hAnsi="Times New Roman" w:cs="Times New Roman"/>
          <w:color w:val="000000"/>
          <w:sz w:val="26"/>
          <w:szCs w:val="26"/>
        </w:rPr>
        <w:t>completa attuazione del piano strategico nazionale dei vaccini per la prevenzione delle infezioni da SARS-CoV-2, finalizzato a garantire il massimo livello di copertura vaccinale sul territorio nazionale, e comunque non oltre il 31 dicembre 2021, «</w:t>
      </w:r>
      <w:r w:rsidR="00696033" w:rsidRPr="00C15A2F">
        <w:rPr>
          <w:rFonts w:ascii="Times New Roman" w:hAnsi="Times New Roman" w:cs="Times New Roman"/>
          <w:i/>
          <w:iCs/>
          <w:color w:val="000000"/>
          <w:sz w:val="26"/>
          <w:szCs w:val="26"/>
        </w:rPr>
        <w:t>al fine di tutelare la salute pubblica e mantenere adeguate condizioni di sicurezza nell’erogazione delle prestazioni di cura e assistenza</w:t>
      </w:r>
      <w:r w:rsidR="00696033" w:rsidRPr="00C15A2F">
        <w:rPr>
          <w:rFonts w:ascii="Times New Roman" w:hAnsi="Times New Roman" w:cs="Times New Roman"/>
          <w:color w:val="000000"/>
          <w:sz w:val="26"/>
          <w:szCs w:val="26"/>
        </w:rPr>
        <w:t>»</w:t>
      </w:r>
      <w:r w:rsidR="00CD4C43">
        <w:rPr>
          <w:rFonts w:ascii="Times New Roman" w:hAnsi="Times New Roman" w:cs="Times New Roman"/>
          <w:color w:val="000000"/>
          <w:sz w:val="26"/>
          <w:szCs w:val="26"/>
        </w:rPr>
        <w:t xml:space="preserve">. </w:t>
      </w:r>
      <w:r w:rsidR="007C64F8" w:rsidRPr="00C15A2F">
        <w:rPr>
          <w:rFonts w:ascii="Times New Roman" w:hAnsi="Times New Roman" w:cs="Times New Roman"/>
          <w:color w:val="000000"/>
          <w:sz w:val="26"/>
          <w:szCs w:val="26"/>
        </w:rPr>
        <w:t xml:space="preserve"> </w:t>
      </w:r>
    </w:p>
    <w:p w:rsidR="00B226A8" w:rsidRDefault="008C0407" w:rsidP="008E2068">
      <w:pPr>
        <w:spacing w:after="0" w:line="360" w:lineRule="auto"/>
        <w:jc w:val="both"/>
        <w:rPr>
          <w:rFonts w:ascii="Times New Roman" w:hAnsi="Times New Roman" w:cs="Times New Roman"/>
          <w:color w:val="000000"/>
          <w:sz w:val="26"/>
          <w:szCs w:val="26"/>
        </w:rPr>
      </w:pPr>
      <w:r w:rsidRPr="00C15A2F">
        <w:rPr>
          <w:rFonts w:ascii="Times New Roman" w:hAnsi="Times New Roman" w:cs="Times New Roman"/>
          <w:color w:val="000000"/>
          <w:sz w:val="26"/>
          <w:szCs w:val="26"/>
        </w:rPr>
        <w:t xml:space="preserve">Il Consiglio di Stato, chiamato a pronunciarsi su ricorso di </w:t>
      </w:r>
      <w:r w:rsidR="007C64F8" w:rsidRPr="00C15A2F">
        <w:rPr>
          <w:rFonts w:ascii="Times New Roman" w:hAnsi="Times New Roman" w:cs="Times New Roman"/>
          <w:color w:val="000000"/>
          <w:sz w:val="26"/>
          <w:szCs w:val="26"/>
        </w:rPr>
        <w:t xml:space="preserve">molteplici </w:t>
      </w:r>
      <w:r w:rsidRPr="00C15A2F">
        <w:rPr>
          <w:rFonts w:ascii="Times New Roman" w:hAnsi="Times New Roman" w:cs="Times New Roman"/>
          <w:color w:val="000000"/>
          <w:sz w:val="26"/>
          <w:szCs w:val="26"/>
        </w:rPr>
        <w:t xml:space="preserve">operatori del settore </w:t>
      </w:r>
      <w:r w:rsidR="001F63EF">
        <w:rPr>
          <w:rFonts w:ascii="Times New Roman" w:hAnsi="Times New Roman" w:cs="Times New Roman"/>
          <w:color w:val="000000"/>
          <w:sz w:val="26"/>
          <w:szCs w:val="26"/>
        </w:rPr>
        <w:t xml:space="preserve">sanitario </w:t>
      </w:r>
      <w:r w:rsidRPr="00C15A2F">
        <w:rPr>
          <w:rFonts w:ascii="Times New Roman" w:hAnsi="Times New Roman" w:cs="Times New Roman"/>
          <w:color w:val="000000"/>
          <w:sz w:val="26"/>
          <w:szCs w:val="26"/>
        </w:rPr>
        <w:t xml:space="preserve">della Regione Friuli Venezia Giulia avverso </w:t>
      </w:r>
      <w:r w:rsidR="007C64F8" w:rsidRPr="00C15A2F">
        <w:rPr>
          <w:rFonts w:ascii="Times New Roman" w:hAnsi="Times New Roman" w:cs="Times New Roman"/>
          <w:color w:val="000000"/>
          <w:sz w:val="26"/>
          <w:szCs w:val="26"/>
        </w:rPr>
        <w:t xml:space="preserve">una serie di atti di accertamento </w:t>
      </w:r>
      <w:r w:rsidRPr="00C15A2F">
        <w:rPr>
          <w:rFonts w:ascii="Times New Roman" w:hAnsi="Times New Roman" w:cs="Times New Roman"/>
          <w:color w:val="000000"/>
          <w:sz w:val="26"/>
          <w:szCs w:val="26"/>
        </w:rPr>
        <w:t>della loro inadempienza all’obbligo con conseguente «</w:t>
      </w:r>
      <w:r w:rsidRPr="00C15A2F">
        <w:rPr>
          <w:rFonts w:ascii="Times New Roman" w:hAnsi="Times New Roman" w:cs="Times New Roman"/>
          <w:i/>
          <w:iCs/>
          <w:color w:val="000000"/>
          <w:sz w:val="26"/>
          <w:szCs w:val="26"/>
        </w:rPr>
        <w:t>sospensione dal diritto di svolgere prestazioni o mansioni che implicano contatti interpersonali o comportano, in qualsiasi altra forma, il rischio di diffusione del contagio da SARS-CoV-2</w:t>
      </w:r>
      <w:r w:rsidRPr="00C15A2F">
        <w:rPr>
          <w:rFonts w:ascii="Times New Roman" w:hAnsi="Times New Roman" w:cs="Times New Roman"/>
          <w:color w:val="000000"/>
          <w:sz w:val="26"/>
          <w:szCs w:val="26"/>
        </w:rPr>
        <w:t xml:space="preserve">», </w:t>
      </w:r>
      <w:r w:rsidR="00CD4C43">
        <w:rPr>
          <w:rFonts w:ascii="Times New Roman" w:hAnsi="Times New Roman" w:cs="Times New Roman"/>
          <w:color w:val="000000"/>
          <w:sz w:val="26"/>
          <w:szCs w:val="26"/>
        </w:rPr>
        <w:t xml:space="preserve">siccome previsto dalla normativa, </w:t>
      </w:r>
      <w:r w:rsidRPr="00C15A2F">
        <w:rPr>
          <w:rFonts w:ascii="Times New Roman" w:hAnsi="Times New Roman" w:cs="Times New Roman"/>
          <w:color w:val="000000"/>
          <w:sz w:val="26"/>
          <w:szCs w:val="26"/>
        </w:rPr>
        <w:t>si è espresso a favore della legittimità degli atti impugnati</w:t>
      </w:r>
      <w:r w:rsidR="00CD4C43">
        <w:rPr>
          <w:rFonts w:ascii="Times New Roman" w:hAnsi="Times New Roman" w:cs="Times New Roman"/>
          <w:color w:val="000000"/>
          <w:sz w:val="26"/>
          <w:szCs w:val="26"/>
        </w:rPr>
        <w:t xml:space="preserve">, operando una analitica e attenta ricostruzione del quadro legislativo, avuto riguardo anche alla sua compatibilità costituzionale, con il diritto dell’Unione e con quello convenzionale, interrogandosi persino sulla genesi multifattoriale della c.d. esitazione vaccinale, </w:t>
      </w:r>
      <w:r w:rsidR="00B226A8">
        <w:rPr>
          <w:rFonts w:ascii="Times New Roman" w:hAnsi="Times New Roman" w:cs="Times New Roman"/>
          <w:color w:val="000000"/>
          <w:sz w:val="26"/>
          <w:szCs w:val="26"/>
        </w:rPr>
        <w:t>quale fenomeno storicamente presente fin dall’introduzione, nel Settecento, delle prime terapie vaccinali contro il vaiolo</w:t>
      </w:r>
      <w:r w:rsidR="007C64F8" w:rsidRPr="00C15A2F">
        <w:rPr>
          <w:rFonts w:ascii="Times New Roman" w:hAnsi="Times New Roman" w:cs="Times New Roman"/>
          <w:color w:val="000000"/>
          <w:sz w:val="26"/>
          <w:szCs w:val="26"/>
        </w:rPr>
        <w:t xml:space="preserve"> (</w:t>
      </w:r>
      <w:proofErr w:type="spellStart"/>
      <w:r w:rsidR="00B226A8">
        <w:rPr>
          <w:rFonts w:ascii="Times New Roman" w:hAnsi="Times New Roman" w:cs="Times New Roman"/>
          <w:color w:val="000000"/>
          <w:sz w:val="26"/>
          <w:szCs w:val="26"/>
        </w:rPr>
        <w:t>Cons</w:t>
      </w:r>
      <w:proofErr w:type="spellEnd"/>
      <w:r w:rsidR="00B226A8">
        <w:rPr>
          <w:rFonts w:ascii="Times New Roman" w:hAnsi="Times New Roman" w:cs="Times New Roman"/>
          <w:color w:val="000000"/>
          <w:sz w:val="26"/>
          <w:szCs w:val="26"/>
        </w:rPr>
        <w:t>. Stato, sez. III, 2</w:t>
      </w:r>
      <w:r w:rsidR="007C64F8" w:rsidRPr="00C15A2F">
        <w:rPr>
          <w:rFonts w:ascii="Times New Roman" w:hAnsi="Times New Roman" w:cs="Times New Roman"/>
          <w:iCs/>
          <w:color w:val="000000"/>
          <w:sz w:val="26"/>
          <w:szCs w:val="26"/>
        </w:rPr>
        <w:t>0 ottobre 2021</w:t>
      </w:r>
      <w:r w:rsidR="00B226A8">
        <w:rPr>
          <w:rFonts w:ascii="Times New Roman" w:hAnsi="Times New Roman" w:cs="Times New Roman"/>
          <w:iCs/>
          <w:color w:val="000000"/>
          <w:sz w:val="26"/>
          <w:szCs w:val="26"/>
        </w:rPr>
        <w:t>, n. 7405</w:t>
      </w:r>
      <w:r w:rsidR="007C64F8" w:rsidRPr="00C15A2F">
        <w:rPr>
          <w:rFonts w:ascii="Times New Roman" w:hAnsi="Times New Roman" w:cs="Times New Roman"/>
          <w:iCs/>
          <w:color w:val="000000"/>
          <w:sz w:val="26"/>
          <w:szCs w:val="26"/>
        </w:rPr>
        <w:t>)</w:t>
      </w:r>
      <w:r w:rsidRPr="00C15A2F">
        <w:rPr>
          <w:rFonts w:ascii="Times New Roman" w:hAnsi="Times New Roman" w:cs="Times New Roman"/>
          <w:color w:val="000000"/>
          <w:sz w:val="26"/>
          <w:szCs w:val="26"/>
        </w:rPr>
        <w:t xml:space="preserve">. </w:t>
      </w:r>
      <w:r w:rsidR="00B226A8" w:rsidRPr="00C15A2F">
        <w:rPr>
          <w:rFonts w:ascii="Times New Roman" w:hAnsi="Times New Roman" w:cs="Times New Roman"/>
          <w:color w:val="000000"/>
          <w:sz w:val="26"/>
          <w:szCs w:val="26"/>
        </w:rPr>
        <w:t>L’argomentazione della sentenza si diffonde in primo luogo sulla contestazione del dato di fatto, ovvero l’insicurezza degli esiti vaccinali, sia in ragione delle evidenze scientifiche esistenti in merito (diffusamente riportate)</w:t>
      </w:r>
      <w:r w:rsidR="00B226A8">
        <w:rPr>
          <w:rFonts w:ascii="Times New Roman" w:hAnsi="Times New Roman" w:cs="Times New Roman"/>
          <w:color w:val="000000"/>
          <w:sz w:val="26"/>
          <w:szCs w:val="26"/>
        </w:rPr>
        <w:t>,</w:t>
      </w:r>
      <w:r w:rsidR="00B226A8" w:rsidRPr="00C15A2F">
        <w:rPr>
          <w:rFonts w:ascii="Times New Roman" w:hAnsi="Times New Roman" w:cs="Times New Roman"/>
          <w:color w:val="000000"/>
          <w:sz w:val="26"/>
          <w:szCs w:val="26"/>
        </w:rPr>
        <w:t xml:space="preserve"> sia per la piena efficacia del procedimento </w:t>
      </w:r>
      <w:proofErr w:type="spellStart"/>
      <w:r w:rsidR="00B226A8" w:rsidRPr="00C15A2F">
        <w:rPr>
          <w:rFonts w:ascii="Times New Roman" w:hAnsi="Times New Roman" w:cs="Times New Roman"/>
          <w:color w:val="000000"/>
          <w:sz w:val="26"/>
          <w:szCs w:val="26"/>
        </w:rPr>
        <w:t>autorizzatorio</w:t>
      </w:r>
      <w:proofErr w:type="spellEnd"/>
      <w:r w:rsidR="00B226A8">
        <w:rPr>
          <w:rFonts w:ascii="Times New Roman" w:hAnsi="Times New Roman" w:cs="Times New Roman"/>
          <w:color w:val="000000"/>
          <w:sz w:val="26"/>
          <w:szCs w:val="26"/>
        </w:rPr>
        <w:t xml:space="preserve"> che ne ha legittimato l’utilizzo</w:t>
      </w:r>
      <w:r w:rsidR="00B226A8" w:rsidRPr="00C15A2F">
        <w:rPr>
          <w:rFonts w:ascii="Times New Roman" w:hAnsi="Times New Roman" w:cs="Times New Roman"/>
          <w:color w:val="000000"/>
          <w:sz w:val="26"/>
          <w:szCs w:val="26"/>
        </w:rPr>
        <w:t xml:space="preserve">, seppure “condizionato”. Esso, infatti, </w:t>
      </w:r>
      <w:r w:rsidR="00B226A8" w:rsidRPr="00C15A2F">
        <w:rPr>
          <w:rFonts w:ascii="Times New Roman" w:hAnsi="Times New Roman" w:cs="Times New Roman"/>
          <w:iCs/>
          <w:color w:val="000000"/>
          <w:sz w:val="26"/>
          <w:szCs w:val="26"/>
        </w:rPr>
        <w:t>non costituisce affatto  «</w:t>
      </w:r>
      <w:r w:rsidR="00B226A8" w:rsidRPr="00C15A2F">
        <w:rPr>
          <w:rFonts w:ascii="Times New Roman" w:hAnsi="Times New Roman" w:cs="Times New Roman"/>
          <w:i/>
          <w:color w:val="000000"/>
          <w:sz w:val="26"/>
          <w:szCs w:val="26"/>
        </w:rPr>
        <w:t>una scorciatoia incerta e pericolosa escogitata </w:t>
      </w:r>
      <w:r w:rsidR="00B226A8" w:rsidRPr="00C15A2F">
        <w:rPr>
          <w:rFonts w:ascii="Times New Roman" w:hAnsi="Times New Roman" w:cs="Times New Roman"/>
          <w:i/>
          <w:iCs/>
          <w:color w:val="000000"/>
          <w:sz w:val="26"/>
          <w:szCs w:val="26"/>
        </w:rPr>
        <w:t>ad hoc </w:t>
      </w:r>
      <w:r w:rsidR="00B226A8" w:rsidRPr="00C15A2F">
        <w:rPr>
          <w:rFonts w:ascii="Times New Roman" w:hAnsi="Times New Roman" w:cs="Times New Roman"/>
          <w:i/>
          <w:color w:val="000000"/>
          <w:sz w:val="26"/>
          <w:szCs w:val="26"/>
        </w:rPr>
        <w:t>per fronteggiare irrazionalmente una emergenza sanitaria come quella attuale, ma una procedura di carattere generale, idonea ad essere applicata – e concretamente applicata negli anni passati, anche recenti, soprattutto in campo oncologico – anche al di fuori della situazione pandemica, a fronte di necessità contingenti (non a caso la lotta contro i tumori ne è il terreno elettivo), e costituisce una sottocategoria del procedimento inteso ad autorizzare l’immissione in commercio ordinaria perché viene rilasciata sulla base di dati che sono, sì, meno completi rispetto a quelli ordinari – cfr. 4° </w:t>
      </w:r>
      <w:r w:rsidR="00B226A8" w:rsidRPr="00C15A2F">
        <w:rPr>
          <w:rFonts w:ascii="Times New Roman" w:hAnsi="Times New Roman" w:cs="Times New Roman"/>
          <w:i/>
          <w:iCs/>
          <w:color w:val="000000"/>
          <w:sz w:val="26"/>
          <w:szCs w:val="26"/>
        </w:rPr>
        <w:t>Considerando </w:t>
      </w:r>
      <w:r w:rsidR="00B226A8" w:rsidRPr="00C15A2F">
        <w:rPr>
          <w:rFonts w:ascii="Times New Roman" w:hAnsi="Times New Roman" w:cs="Times New Roman"/>
          <w:i/>
          <w:color w:val="000000"/>
          <w:sz w:val="26"/>
          <w:szCs w:val="26"/>
        </w:rPr>
        <w:t xml:space="preserve">del Reg. CE 507/2006 – ma è appunto presidiata da particolari garanzie e condizionata a specifici obblighi in capo al richiedente». </w:t>
      </w:r>
      <w:r w:rsidR="00B226A8" w:rsidRPr="00C15A2F">
        <w:rPr>
          <w:rFonts w:ascii="Times New Roman" w:hAnsi="Times New Roman" w:cs="Times New Roman"/>
          <w:color w:val="000000"/>
          <w:sz w:val="26"/>
          <w:szCs w:val="26"/>
        </w:rPr>
        <w:t xml:space="preserve">Come riportato </w:t>
      </w:r>
      <w:r w:rsidR="00B226A8">
        <w:rPr>
          <w:rFonts w:ascii="Times New Roman" w:hAnsi="Times New Roman" w:cs="Times New Roman"/>
          <w:color w:val="000000"/>
          <w:sz w:val="26"/>
          <w:szCs w:val="26"/>
        </w:rPr>
        <w:t>sul sito dell’</w:t>
      </w:r>
      <w:r w:rsidR="00B226A8" w:rsidRPr="00C15A2F">
        <w:rPr>
          <w:rFonts w:ascii="Times New Roman" w:hAnsi="Times New Roman" w:cs="Times New Roman"/>
          <w:color w:val="000000"/>
          <w:sz w:val="26"/>
          <w:szCs w:val="26"/>
        </w:rPr>
        <w:t xml:space="preserve">Agenzia italiana per il farmaco (AIFA), </w:t>
      </w:r>
      <w:r w:rsidR="00B226A8" w:rsidRPr="00C15A2F">
        <w:rPr>
          <w:rFonts w:ascii="Times New Roman" w:eastAsia="Times New Roman" w:hAnsi="Times New Roman" w:cs="Times New Roman"/>
          <w:color w:val="000000"/>
          <w:sz w:val="26"/>
          <w:szCs w:val="26"/>
          <w:lang w:eastAsia="it-IT"/>
        </w:rPr>
        <w:t>«</w:t>
      </w:r>
      <w:r w:rsidR="00B226A8" w:rsidRPr="00C15A2F">
        <w:rPr>
          <w:rFonts w:ascii="Times New Roman" w:eastAsia="Times New Roman" w:hAnsi="Times New Roman" w:cs="Times New Roman"/>
          <w:i/>
          <w:iCs/>
          <w:color w:val="000000"/>
          <w:sz w:val="26"/>
          <w:szCs w:val="26"/>
          <w:lang w:eastAsia="it-IT"/>
        </w:rPr>
        <w:t>gli studi che hanno portato alla messa a punto dei vaccini COVID-19 non hanno saltato nessuna delle fasi di verifica dell’efficacia e della sicurezza previste per lo sviluppo di un medicinale, anzi, questi studi hanno visto la partecipazione di un numero assai elevato di volontari, circa dieci volte superiore a quello di studi analoghi a quello di studi analoghi per lo sviluppo di altri vaccini</w:t>
      </w:r>
      <w:r w:rsidR="00B226A8" w:rsidRPr="00C15A2F">
        <w:rPr>
          <w:rFonts w:ascii="Times New Roman" w:eastAsia="Times New Roman" w:hAnsi="Times New Roman" w:cs="Times New Roman"/>
          <w:color w:val="000000"/>
          <w:sz w:val="26"/>
          <w:szCs w:val="26"/>
          <w:lang w:eastAsia="it-IT"/>
        </w:rPr>
        <w:t>».</w:t>
      </w:r>
    </w:p>
    <w:p w:rsidR="00B226A8" w:rsidRDefault="008C0407" w:rsidP="008E2068">
      <w:pPr>
        <w:spacing w:after="0" w:line="360" w:lineRule="auto"/>
        <w:jc w:val="both"/>
        <w:rPr>
          <w:rFonts w:ascii="Times New Roman" w:hAnsi="Times New Roman" w:cs="Times New Roman"/>
          <w:color w:val="000000"/>
          <w:sz w:val="26"/>
          <w:szCs w:val="26"/>
        </w:rPr>
      </w:pPr>
      <w:r w:rsidRPr="00C15A2F">
        <w:rPr>
          <w:rFonts w:ascii="Times New Roman" w:hAnsi="Times New Roman" w:cs="Times New Roman"/>
          <w:color w:val="000000"/>
          <w:sz w:val="26"/>
          <w:szCs w:val="26"/>
        </w:rPr>
        <w:t>In quell’occasione gli appellanti facevano leva</w:t>
      </w:r>
      <w:r w:rsidR="00B226A8">
        <w:rPr>
          <w:rFonts w:ascii="Times New Roman" w:hAnsi="Times New Roman" w:cs="Times New Roman"/>
          <w:color w:val="000000"/>
          <w:sz w:val="26"/>
          <w:szCs w:val="26"/>
        </w:rPr>
        <w:t>, infatti,</w:t>
      </w:r>
      <w:r w:rsidRPr="00C15A2F">
        <w:rPr>
          <w:rFonts w:ascii="Times New Roman" w:hAnsi="Times New Roman" w:cs="Times New Roman"/>
          <w:color w:val="000000"/>
          <w:sz w:val="26"/>
          <w:szCs w:val="26"/>
        </w:rPr>
        <w:t xml:space="preserve"> su un’ampia premessa </w:t>
      </w:r>
      <w:r w:rsidR="00B226A8">
        <w:rPr>
          <w:rFonts w:ascii="Times New Roman" w:hAnsi="Times New Roman" w:cs="Times New Roman"/>
          <w:color w:val="000000"/>
          <w:sz w:val="26"/>
          <w:szCs w:val="26"/>
        </w:rPr>
        <w:t xml:space="preserve">a loro dire </w:t>
      </w:r>
      <w:r w:rsidRPr="00C15A2F">
        <w:rPr>
          <w:rFonts w:ascii="Times New Roman" w:hAnsi="Times New Roman" w:cs="Times New Roman"/>
          <w:color w:val="000000"/>
          <w:sz w:val="26"/>
          <w:szCs w:val="26"/>
        </w:rPr>
        <w:t>di ordine tecnico-scientifico nella quale sostenevano</w:t>
      </w:r>
      <w:r w:rsidR="00B226A8">
        <w:rPr>
          <w:rFonts w:ascii="Times New Roman" w:hAnsi="Times New Roman" w:cs="Times New Roman"/>
          <w:color w:val="000000"/>
          <w:sz w:val="26"/>
          <w:szCs w:val="26"/>
        </w:rPr>
        <w:t>, al contrario,</w:t>
      </w:r>
      <w:r w:rsidRPr="00C15A2F">
        <w:rPr>
          <w:rFonts w:ascii="Times New Roman" w:hAnsi="Times New Roman" w:cs="Times New Roman"/>
          <w:color w:val="000000"/>
          <w:sz w:val="26"/>
          <w:szCs w:val="26"/>
        </w:rPr>
        <w:t xml:space="preserve"> che il breve tempo di cui si sono potute giovare le case farmaceutiche per gli studi, la predisposizione e la sperimentazione delle soluzioni vaccinali per prevenire il virus Sars-CoV-2 non </w:t>
      </w:r>
      <w:r w:rsidR="007C64F8" w:rsidRPr="00C15A2F">
        <w:rPr>
          <w:rFonts w:ascii="Times New Roman" w:hAnsi="Times New Roman" w:cs="Times New Roman"/>
          <w:color w:val="000000"/>
          <w:sz w:val="26"/>
          <w:szCs w:val="26"/>
        </w:rPr>
        <w:t xml:space="preserve">avrebbe </w:t>
      </w:r>
      <w:r w:rsidRPr="00C15A2F">
        <w:rPr>
          <w:rFonts w:ascii="Times New Roman" w:hAnsi="Times New Roman" w:cs="Times New Roman"/>
          <w:color w:val="000000"/>
          <w:sz w:val="26"/>
          <w:szCs w:val="26"/>
        </w:rPr>
        <w:t xml:space="preserve">consentito di raggiungere quelle condizioni di sicurezza e di efficacia dei vaccini, che devono precedere e assistere ogni prestazione sanitaria imposta ai sensi dell’art. 32, comma secondo, </w:t>
      </w:r>
      <w:r w:rsidR="00F61CCA">
        <w:rPr>
          <w:rFonts w:ascii="Times New Roman" w:hAnsi="Times New Roman" w:cs="Times New Roman"/>
          <w:color w:val="000000"/>
          <w:sz w:val="26"/>
          <w:szCs w:val="26"/>
        </w:rPr>
        <w:t xml:space="preserve">della </w:t>
      </w:r>
      <w:r w:rsidRPr="00C15A2F">
        <w:rPr>
          <w:rFonts w:ascii="Times New Roman" w:hAnsi="Times New Roman" w:cs="Times New Roman"/>
          <w:color w:val="000000"/>
          <w:sz w:val="26"/>
          <w:szCs w:val="26"/>
        </w:rPr>
        <w:t>Cost</w:t>
      </w:r>
      <w:r w:rsidR="00F61CCA">
        <w:rPr>
          <w:rFonts w:ascii="Times New Roman" w:hAnsi="Times New Roman" w:cs="Times New Roman"/>
          <w:color w:val="000000"/>
          <w:sz w:val="26"/>
          <w:szCs w:val="26"/>
        </w:rPr>
        <w:t>ituzione</w:t>
      </w:r>
      <w:r w:rsidRPr="00C15A2F">
        <w:rPr>
          <w:rFonts w:ascii="Times New Roman" w:hAnsi="Times New Roman" w:cs="Times New Roman"/>
          <w:color w:val="000000"/>
          <w:sz w:val="26"/>
          <w:szCs w:val="26"/>
        </w:rPr>
        <w:t xml:space="preserve">. </w:t>
      </w:r>
    </w:p>
    <w:p w:rsidR="00074B6D" w:rsidRDefault="007C64F8" w:rsidP="008E2068">
      <w:pPr>
        <w:spacing w:after="0" w:line="360" w:lineRule="auto"/>
        <w:jc w:val="both"/>
        <w:rPr>
          <w:i/>
          <w:color w:val="000000"/>
          <w:sz w:val="30"/>
          <w:szCs w:val="30"/>
        </w:rPr>
      </w:pPr>
      <w:r w:rsidRPr="00C15A2F">
        <w:rPr>
          <w:rFonts w:ascii="Times New Roman" w:hAnsi="Times New Roman" w:cs="Times New Roman"/>
          <w:color w:val="000000"/>
          <w:sz w:val="26"/>
          <w:szCs w:val="26"/>
        </w:rPr>
        <w:t xml:space="preserve">In diritto, </w:t>
      </w:r>
      <w:r w:rsidR="00074B6D">
        <w:rPr>
          <w:rFonts w:ascii="Times New Roman" w:hAnsi="Times New Roman" w:cs="Times New Roman"/>
          <w:color w:val="000000"/>
          <w:sz w:val="26"/>
          <w:szCs w:val="26"/>
        </w:rPr>
        <w:t xml:space="preserve">il punto essenziale della decisione è la valorizzazione della dimensione solidaristica del diritto alla salute, che trascolora e si eleva al di sopra delle rivendicazioni del singolo, pretendendo da ciascuno un approccio relazionale che non può non incidere, ove necessario, anche sulla autodeterminazione di ciascuno in funzione di tutela di tutti gli altri. In </w:t>
      </w:r>
      <w:r w:rsidR="00593443" w:rsidRPr="00C15A2F">
        <w:rPr>
          <w:rFonts w:ascii="Times New Roman" w:hAnsi="Times New Roman" w:cs="Times New Roman"/>
          <w:color w:val="000000"/>
          <w:sz w:val="26"/>
          <w:szCs w:val="26"/>
        </w:rPr>
        <w:t xml:space="preserve">fase emergenziale, </w:t>
      </w:r>
      <w:r w:rsidR="00553253" w:rsidRPr="00C15A2F">
        <w:rPr>
          <w:rFonts w:ascii="Times New Roman" w:hAnsi="Times New Roman" w:cs="Times New Roman"/>
          <w:color w:val="000000"/>
          <w:sz w:val="26"/>
          <w:szCs w:val="26"/>
        </w:rPr>
        <w:t>«</w:t>
      </w:r>
      <w:r w:rsidR="00593443" w:rsidRPr="00C15A2F">
        <w:rPr>
          <w:rFonts w:ascii="Times New Roman" w:hAnsi="Times New Roman" w:cs="Times New Roman"/>
          <w:i/>
          <w:color w:val="000000"/>
          <w:sz w:val="26"/>
          <w:szCs w:val="26"/>
        </w:rPr>
        <w:t xml:space="preserve">di fronte al bisogno pressante, drammatico, indifferibile di tutelare la salute pubblica contro il dilagare del contagio, il principio di precauzione, che trova applicazione anche in ambito sanitario, opera in modo inverso rispetto all’ordinario e, per così dire, </w:t>
      </w:r>
      <w:proofErr w:type="spellStart"/>
      <w:r w:rsidR="00593443" w:rsidRPr="00C15A2F">
        <w:rPr>
          <w:rFonts w:ascii="Times New Roman" w:hAnsi="Times New Roman" w:cs="Times New Roman"/>
          <w:i/>
          <w:color w:val="000000"/>
          <w:sz w:val="26"/>
          <w:szCs w:val="26"/>
        </w:rPr>
        <w:t>controintuitivo</w:t>
      </w:r>
      <w:proofErr w:type="spellEnd"/>
      <w:r w:rsidR="00593443" w:rsidRPr="00C15A2F">
        <w:rPr>
          <w:rFonts w:ascii="Times New Roman" w:hAnsi="Times New Roman" w:cs="Times New Roman"/>
          <w:i/>
          <w:color w:val="000000"/>
          <w:sz w:val="26"/>
          <w:szCs w:val="26"/>
        </w:rPr>
        <w:t>, perché richiede al decisore pubblico di consentire o, addirittura, imporre l’utilizzo di terapie che, pur sulla base di dati non completi (come è nella procedura di autorizzazione condizionata, che però ha seguito – va ribadito – tutte le quattro fasi della sperimentazione richieste dalla procedura di autorizzazione), assicurino più benefici che rischi, in quanto il potenziale rischio di un evento avverso per un singolo individuo, con l’utilizzo di quel farmaco, è di gran lunga inferiore del reale nocumento per una intera società, senza l’utilizzo di quel farmac</w:t>
      </w:r>
      <w:r w:rsidR="00593443" w:rsidRPr="00C15A2F">
        <w:rPr>
          <w:rFonts w:ascii="Times New Roman" w:hAnsi="Times New Roman" w:cs="Times New Roman"/>
          <w:color w:val="000000"/>
          <w:sz w:val="26"/>
          <w:szCs w:val="26"/>
        </w:rPr>
        <w:t>o</w:t>
      </w:r>
      <w:r w:rsidR="00553253" w:rsidRPr="00C15A2F">
        <w:rPr>
          <w:rFonts w:ascii="Times New Roman" w:hAnsi="Times New Roman" w:cs="Times New Roman"/>
          <w:color w:val="000000"/>
          <w:sz w:val="26"/>
          <w:szCs w:val="26"/>
        </w:rPr>
        <w:t>»</w:t>
      </w:r>
      <w:r w:rsidR="00593443" w:rsidRPr="00C15A2F">
        <w:rPr>
          <w:rFonts w:ascii="Times New Roman" w:hAnsi="Times New Roman" w:cs="Times New Roman"/>
          <w:color w:val="000000"/>
          <w:sz w:val="26"/>
          <w:szCs w:val="26"/>
        </w:rPr>
        <w:t>.</w:t>
      </w:r>
      <w:r w:rsidR="00553253" w:rsidRPr="00C15A2F">
        <w:rPr>
          <w:rFonts w:ascii="Times New Roman" w:hAnsi="Times New Roman" w:cs="Times New Roman"/>
          <w:color w:val="000000"/>
          <w:sz w:val="26"/>
          <w:szCs w:val="26"/>
        </w:rPr>
        <w:t xml:space="preserve"> Non </w:t>
      </w:r>
      <w:r w:rsidR="00EF4495" w:rsidRPr="00C15A2F">
        <w:rPr>
          <w:rFonts w:ascii="Times New Roman" w:hAnsi="Times New Roman" w:cs="Times New Roman"/>
          <w:color w:val="000000"/>
          <w:sz w:val="26"/>
          <w:szCs w:val="26"/>
        </w:rPr>
        <w:t xml:space="preserve">esistono pertanto in tale contesto diritti cosiddetti “tiranni”, ovvero tali da poter primeggiare sugli altri, pure </w:t>
      </w:r>
      <w:r w:rsidR="00553253" w:rsidRPr="00C15A2F">
        <w:rPr>
          <w:rFonts w:ascii="Times New Roman" w:hAnsi="Times New Roman" w:cs="Times New Roman"/>
          <w:color w:val="000000"/>
          <w:sz w:val="26"/>
          <w:szCs w:val="26"/>
        </w:rPr>
        <w:t>tutelati dalla Costituzione</w:t>
      </w:r>
      <w:r w:rsidR="00EF4495" w:rsidRPr="00C15A2F">
        <w:rPr>
          <w:rFonts w:ascii="Times New Roman" w:hAnsi="Times New Roman" w:cs="Times New Roman"/>
          <w:color w:val="000000"/>
          <w:sz w:val="26"/>
          <w:szCs w:val="26"/>
        </w:rPr>
        <w:t>, all’interno della quale tutti</w:t>
      </w:r>
      <w:r w:rsidR="00F61CCA">
        <w:rPr>
          <w:rFonts w:ascii="Times New Roman" w:hAnsi="Times New Roman" w:cs="Times New Roman"/>
          <w:color w:val="000000"/>
          <w:sz w:val="26"/>
          <w:szCs w:val="26"/>
        </w:rPr>
        <w:t>,</w:t>
      </w:r>
      <w:r w:rsidR="00EF4495" w:rsidRPr="00C15A2F">
        <w:rPr>
          <w:rFonts w:ascii="Times New Roman" w:hAnsi="Times New Roman" w:cs="Times New Roman"/>
          <w:color w:val="000000"/>
          <w:sz w:val="26"/>
          <w:szCs w:val="26"/>
        </w:rPr>
        <w:t xml:space="preserve"> compreso quello di </w:t>
      </w:r>
      <w:r w:rsidR="00553253" w:rsidRPr="00C15A2F">
        <w:rPr>
          <w:rFonts w:ascii="Times New Roman" w:hAnsi="Times New Roman" w:cs="Times New Roman"/>
          <w:color w:val="000000"/>
          <w:sz w:val="26"/>
          <w:szCs w:val="26"/>
        </w:rPr>
        <w:t>autodeterminazione</w:t>
      </w:r>
      <w:r w:rsidR="00EF4495" w:rsidRPr="00C15A2F">
        <w:rPr>
          <w:rFonts w:ascii="Times New Roman" w:hAnsi="Times New Roman" w:cs="Times New Roman"/>
          <w:color w:val="000000"/>
          <w:sz w:val="26"/>
          <w:szCs w:val="26"/>
        </w:rPr>
        <w:t xml:space="preserve">, </w:t>
      </w:r>
      <w:r w:rsidR="00553253" w:rsidRPr="00C15A2F">
        <w:rPr>
          <w:rFonts w:ascii="Times New Roman" w:hAnsi="Times New Roman" w:cs="Times New Roman"/>
          <w:color w:val="000000"/>
          <w:sz w:val="26"/>
          <w:szCs w:val="26"/>
        </w:rPr>
        <w:t>si trovano in rapporto di integrazione reciproca</w:t>
      </w:r>
      <w:r w:rsidR="00EF4495" w:rsidRPr="00C15A2F">
        <w:rPr>
          <w:rFonts w:ascii="Times New Roman" w:hAnsi="Times New Roman" w:cs="Times New Roman"/>
          <w:color w:val="000000"/>
          <w:sz w:val="26"/>
          <w:szCs w:val="26"/>
        </w:rPr>
        <w:t xml:space="preserve">, </w:t>
      </w:r>
      <w:r w:rsidR="00553253" w:rsidRPr="00C15A2F">
        <w:rPr>
          <w:rFonts w:ascii="Times New Roman" w:hAnsi="Times New Roman" w:cs="Times New Roman"/>
          <w:color w:val="000000"/>
          <w:sz w:val="26"/>
          <w:szCs w:val="26"/>
        </w:rPr>
        <w:t xml:space="preserve">anche in ragione del dovere di solidarietà che regge l’ordinamento costituzionale, imponendo </w:t>
      </w:r>
      <w:r w:rsidR="00EF4495" w:rsidRPr="00C15A2F">
        <w:rPr>
          <w:rFonts w:ascii="Times New Roman" w:hAnsi="Times New Roman" w:cs="Times New Roman"/>
          <w:color w:val="000000"/>
          <w:sz w:val="26"/>
          <w:szCs w:val="26"/>
        </w:rPr>
        <w:t xml:space="preserve">scambievoli </w:t>
      </w:r>
      <w:r w:rsidR="00553253" w:rsidRPr="00C15A2F">
        <w:rPr>
          <w:rFonts w:ascii="Times New Roman" w:hAnsi="Times New Roman" w:cs="Times New Roman"/>
          <w:color w:val="000000"/>
          <w:sz w:val="26"/>
          <w:szCs w:val="26"/>
        </w:rPr>
        <w:t xml:space="preserve">obblighi di </w:t>
      </w:r>
      <w:r w:rsidR="00553253" w:rsidRPr="00C15A2F">
        <w:rPr>
          <w:rFonts w:ascii="Times New Roman" w:eastAsia="Times New Roman" w:hAnsi="Times New Roman" w:cs="Times New Roman"/>
          <w:color w:val="000000"/>
          <w:sz w:val="26"/>
          <w:szCs w:val="26"/>
          <w:lang w:eastAsia="it-IT"/>
        </w:rPr>
        <w:t>assistenza e protezione, per sé e per gli altri</w:t>
      </w:r>
      <w:r w:rsidR="00553253" w:rsidRPr="00C15A2F">
        <w:rPr>
          <w:rFonts w:ascii="Times New Roman" w:hAnsi="Times New Roman" w:cs="Times New Roman"/>
          <w:color w:val="000000"/>
          <w:sz w:val="26"/>
          <w:szCs w:val="26"/>
        </w:rPr>
        <w:t xml:space="preserve"> (art. 2 </w:t>
      </w:r>
      <w:proofErr w:type="spellStart"/>
      <w:r w:rsidR="00553253" w:rsidRPr="00C15A2F">
        <w:rPr>
          <w:rFonts w:ascii="Times New Roman" w:hAnsi="Times New Roman" w:cs="Times New Roman"/>
          <w:color w:val="000000"/>
          <w:sz w:val="26"/>
          <w:szCs w:val="26"/>
        </w:rPr>
        <w:t>Cost</w:t>
      </w:r>
      <w:proofErr w:type="spellEnd"/>
      <w:r w:rsidR="00553253" w:rsidRPr="00C15A2F">
        <w:rPr>
          <w:rFonts w:ascii="Times New Roman" w:hAnsi="Times New Roman" w:cs="Times New Roman"/>
          <w:color w:val="000000"/>
          <w:sz w:val="26"/>
          <w:szCs w:val="26"/>
        </w:rPr>
        <w:t>.).</w:t>
      </w:r>
      <w:r w:rsidR="00074B6D">
        <w:rPr>
          <w:rFonts w:ascii="Times New Roman" w:hAnsi="Times New Roman" w:cs="Times New Roman"/>
          <w:color w:val="000000"/>
          <w:sz w:val="26"/>
          <w:szCs w:val="26"/>
        </w:rPr>
        <w:t xml:space="preserve"> </w:t>
      </w:r>
      <w:r w:rsidR="00553253" w:rsidRPr="00074B6D">
        <w:rPr>
          <w:rFonts w:ascii="Times New Roman" w:hAnsi="Times New Roman" w:cs="Times New Roman"/>
          <w:color w:val="000000"/>
          <w:sz w:val="26"/>
          <w:szCs w:val="26"/>
        </w:rPr>
        <w:t xml:space="preserve">Interessante segnalare come nel caso di specie gli appellanti avessero lamentato </w:t>
      </w:r>
      <w:r w:rsidR="00EF4495" w:rsidRPr="00074B6D">
        <w:rPr>
          <w:rFonts w:ascii="Times New Roman" w:hAnsi="Times New Roman" w:cs="Times New Roman"/>
          <w:color w:val="000000"/>
          <w:sz w:val="26"/>
          <w:szCs w:val="26"/>
        </w:rPr>
        <w:t xml:space="preserve">anche </w:t>
      </w:r>
      <w:r w:rsidR="00553253" w:rsidRPr="00074B6D">
        <w:rPr>
          <w:rFonts w:ascii="Times New Roman" w:hAnsi="Times New Roman" w:cs="Times New Roman"/>
          <w:color w:val="000000"/>
          <w:sz w:val="26"/>
          <w:szCs w:val="26"/>
        </w:rPr>
        <w:t>la mancata previsione di un indennizzo per il caso in cui dalla somministrazione dovesse derivare un pregiudizio grave e/o permanente per l</w:t>
      </w:r>
      <w:r w:rsidR="00F61CCA" w:rsidRPr="00074B6D">
        <w:rPr>
          <w:rFonts w:ascii="Times New Roman" w:hAnsi="Times New Roman" w:cs="Times New Roman"/>
          <w:color w:val="000000"/>
          <w:sz w:val="26"/>
          <w:szCs w:val="26"/>
        </w:rPr>
        <w:t>’</w:t>
      </w:r>
      <w:r w:rsidR="00553253" w:rsidRPr="00074B6D">
        <w:rPr>
          <w:rFonts w:ascii="Times New Roman" w:hAnsi="Times New Roman" w:cs="Times New Roman"/>
          <w:color w:val="000000"/>
          <w:sz w:val="26"/>
          <w:szCs w:val="26"/>
        </w:rPr>
        <w:t xml:space="preserve">integrità fisica </w:t>
      </w:r>
      <w:r w:rsidR="00F61CCA" w:rsidRPr="00074B6D">
        <w:rPr>
          <w:rFonts w:ascii="Times New Roman" w:hAnsi="Times New Roman" w:cs="Times New Roman"/>
          <w:color w:val="000000"/>
          <w:sz w:val="26"/>
          <w:szCs w:val="26"/>
        </w:rPr>
        <w:t xml:space="preserve">in ragione del fatto che </w:t>
      </w:r>
      <w:r w:rsidR="00553253" w:rsidRPr="00074B6D">
        <w:rPr>
          <w:rFonts w:ascii="Times New Roman" w:hAnsi="Times New Roman" w:cs="Times New Roman"/>
          <w:color w:val="000000"/>
          <w:sz w:val="26"/>
          <w:szCs w:val="26"/>
        </w:rPr>
        <w:t xml:space="preserve">il vaccino </w:t>
      </w:r>
      <w:r w:rsidR="00F61CCA" w:rsidRPr="00074B6D">
        <w:rPr>
          <w:rFonts w:ascii="Times New Roman" w:hAnsi="Times New Roman" w:cs="Times New Roman"/>
          <w:color w:val="000000"/>
          <w:sz w:val="26"/>
          <w:szCs w:val="26"/>
        </w:rPr>
        <w:t>venga loro</w:t>
      </w:r>
      <w:r w:rsidR="00553253" w:rsidRPr="00074B6D">
        <w:rPr>
          <w:rFonts w:ascii="Times New Roman" w:hAnsi="Times New Roman" w:cs="Times New Roman"/>
          <w:color w:val="000000"/>
          <w:sz w:val="26"/>
          <w:szCs w:val="26"/>
        </w:rPr>
        <w:t xml:space="preserve"> inoculato. </w:t>
      </w:r>
      <w:r w:rsidR="00420D80" w:rsidRPr="00074B6D">
        <w:rPr>
          <w:rFonts w:ascii="Times New Roman" w:hAnsi="Times New Roman" w:cs="Times New Roman"/>
          <w:color w:val="000000"/>
          <w:sz w:val="26"/>
          <w:szCs w:val="26"/>
        </w:rPr>
        <w:t>Il giudice ha ritenuto la questione priva di rilevanza dato che nessuno d</w:t>
      </w:r>
      <w:r w:rsidR="00F61CCA" w:rsidRPr="00074B6D">
        <w:rPr>
          <w:rFonts w:ascii="Times New Roman" w:hAnsi="Times New Roman" w:cs="Times New Roman"/>
          <w:color w:val="000000"/>
          <w:sz w:val="26"/>
          <w:szCs w:val="26"/>
        </w:rPr>
        <w:t>i essi</w:t>
      </w:r>
      <w:r w:rsidR="00420D80" w:rsidRPr="00074B6D">
        <w:rPr>
          <w:rFonts w:ascii="Times New Roman" w:hAnsi="Times New Roman" w:cs="Times New Roman"/>
          <w:color w:val="000000"/>
          <w:sz w:val="26"/>
          <w:szCs w:val="26"/>
        </w:rPr>
        <w:t xml:space="preserve"> </w:t>
      </w:r>
      <w:r w:rsidR="00EF4495" w:rsidRPr="00074B6D">
        <w:rPr>
          <w:rFonts w:ascii="Times New Roman" w:hAnsi="Times New Roman" w:cs="Times New Roman"/>
          <w:color w:val="000000"/>
          <w:sz w:val="26"/>
          <w:szCs w:val="26"/>
        </w:rPr>
        <w:t>aveva in concreto subito o dichiarato di aver subito tale n</w:t>
      </w:r>
      <w:r w:rsidR="00420D80" w:rsidRPr="00074B6D">
        <w:rPr>
          <w:rFonts w:ascii="Times New Roman" w:hAnsi="Times New Roman" w:cs="Times New Roman"/>
          <w:color w:val="000000"/>
          <w:sz w:val="26"/>
          <w:szCs w:val="26"/>
        </w:rPr>
        <w:t>ocumento</w:t>
      </w:r>
      <w:r w:rsidR="00EF4495" w:rsidRPr="00074B6D">
        <w:rPr>
          <w:rFonts w:ascii="Times New Roman" w:hAnsi="Times New Roman" w:cs="Times New Roman"/>
          <w:color w:val="000000"/>
          <w:sz w:val="26"/>
          <w:szCs w:val="26"/>
        </w:rPr>
        <w:t xml:space="preserve">. </w:t>
      </w:r>
      <w:r w:rsidR="00F61CCA" w:rsidRPr="00074B6D">
        <w:rPr>
          <w:rFonts w:ascii="Times New Roman" w:hAnsi="Times New Roman" w:cs="Times New Roman"/>
          <w:color w:val="000000"/>
          <w:sz w:val="26"/>
          <w:szCs w:val="26"/>
        </w:rPr>
        <w:t xml:space="preserve">Non senza ricordare che </w:t>
      </w:r>
      <w:r w:rsidR="00EF4495" w:rsidRPr="00074B6D">
        <w:rPr>
          <w:rFonts w:ascii="Times New Roman" w:hAnsi="Times New Roman" w:cs="Times New Roman"/>
          <w:color w:val="000000"/>
          <w:sz w:val="26"/>
          <w:szCs w:val="26"/>
        </w:rPr>
        <w:t xml:space="preserve">i danni riconducibili al vaccino sono comunque </w:t>
      </w:r>
      <w:r w:rsidR="00F61CCA" w:rsidRPr="00074B6D">
        <w:rPr>
          <w:rFonts w:ascii="Times New Roman" w:hAnsi="Times New Roman" w:cs="Times New Roman"/>
          <w:color w:val="000000"/>
          <w:sz w:val="26"/>
          <w:szCs w:val="26"/>
        </w:rPr>
        <w:t xml:space="preserve">già </w:t>
      </w:r>
      <w:r w:rsidR="00EF4495" w:rsidRPr="00074B6D">
        <w:rPr>
          <w:rFonts w:ascii="Times New Roman" w:hAnsi="Times New Roman" w:cs="Times New Roman"/>
          <w:color w:val="000000"/>
          <w:sz w:val="26"/>
          <w:szCs w:val="26"/>
        </w:rPr>
        <w:t>coperti da</w:t>
      </w:r>
      <w:r w:rsidR="00F61CCA" w:rsidRPr="00074B6D">
        <w:rPr>
          <w:rFonts w:ascii="Times New Roman" w:hAnsi="Times New Roman" w:cs="Times New Roman"/>
          <w:color w:val="000000"/>
          <w:sz w:val="26"/>
          <w:szCs w:val="26"/>
        </w:rPr>
        <w:t xml:space="preserve"> specifica </w:t>
      </w:r>
      <w:r w:rsidR="00EF4495" w:rsidRPr="00074B6D">
        <w:rPr>
          <w:rFonts w:ascii="Times New Roman" w:hAnsi="Times New Roman" w:cs="Times New Roman"/>
          <w:color w:val="000000"/>
          <w:sz w:val="26"/>
          <w:szCs w:val="26"/>
        </w:rPr>
        <w:t>previsione normativa</w:t>
      </w:r>
      <w:r w:rsidR="00F61CCA" w:rsidRPr="00074B6D">
        <w:rPr>
          <w:rFonts w:ascii="Times New Roman" w:hAnsi="Times New Roman" w:cs="Times New Roman"/>
          <w:color w:val="000000"/>
          <w:sz w:val="26"/>
          <w:szCs w:val="26"/>
        </w:rPr>
        <w:t>, ovvero</w:t>
      </w:r>
      <w:r w:rsidR="00EF4495" w:rsidRPr="00074B6D">
        <w:rPr>
          <w:rFonts w:ascii="Times New Roman" w:hAnsi="Times New Roman" w:cs="Times New Roman"/>
          <w:color w:val="000000"/>
          <w:sz w:val="26"/>
          <w:szCs w:val="26"/>
        </w:rPr>
        <w:t xml:space="preserve"> l’art. </w:t>
      </w:r>
      <w:r w:rsidR="00420D80" w:rsidRPr="00074B6D">
        <w:rPr>
          <w:rFonts w:ascii="Times New Roman" w:hAnsi="Times New Roman" w:cs="Times New Roman"/>
          <w:color w:val="000000"/>
          <w:sz w:val="26"/>
          <w:szCs w:val="26"/>
        </w:rPr>
        <w:t xml:space="preserve">1 della l. n. 210 del 1992, </w:t>
      </w:r>
      <w:r w:rsidR="00F61CCA" w:rsidRPr="00074B6D">
        <w:rPr>
          <w:rFonts w:ascii="Times New Roman" w:hAnsi="Times New Roman" w:cs="Times New Roman"/>
          <w:color w:val="000000"/>
          <w:sz w:val="26"/>
          <w:szCs w:val="26"/>
        </w:rPr>
        <w:t>secondo il quale</w:t>
      </w:r>
      <w:r w:rsidR="00420D80" w:rsidRPr="00074B6D">
        <w:rPr>
          <w:rFonts w:ascii="Times New Roman" w:hAnsi="Times New Roman" w:cs="Times New Roman"/>
          <w:color w:val="000000"/>
          <w:sz w:val="26"/>
          <w:szCs w:val="26"/>
        </w:rPr>
        <w:t xml:space="preserve"> «</w:t>
      </w:r>
      <w:r w:rsidR="00420D80" w:rsidRPr="00074B6D">
        <w:rPr>
          <w:rFonts w:ascii="Times New Roman" w:hAnsi="Times New Roman" w:cs="Times New Roman"/>
          <w:i/>
          <w:iCs/>
          <w:color w:val="000000"/>
          <w:sz w:val="26"/>
          <w:szCs w:val="26"/>
        </w:rPr>
        <w:t>chiunque abbia riportato, a causa di vaccinazioni obbligatorie per legge o per ordinanza di una autorità sanitaria italiana, lesioni o infermità, dalle quali sia derivata una menomazione permanente della integrità psico-fisica, ha diritto ad un indennizzo da parte dello Stato, alle condizioni e nei modi stabiliti dalla presente legge</w:t>
      </w:r>
      <w:r w:rsidR="00420D80" w:rsidRPr="00074B6D">
        <w:rPr>
          <w:rFonts w:ascii="Times New Roman" w:hAnsi="Times New Roman" w:cs="Times New Roman"/>
          <w:color w:val="000000"/>
          <w:sz w:val="26"/>
          <w:szCs w:val="26"/>
        </w:rPr>
        <w:t>».</w:t>
      </w:r>
      <w:r w:rsidR="00DA6B03" w:rsidRPr="00074B6D">
        <w:rPr>
          <w:rFonts w:ascii="Times New Roman" w:hAnsi="Times New Roman" w:cs="Times New Roman"/>
          <w:color w:val="090E1D"/>
          <w:sz w:val="26"/>
          <w:szCs w:val="26"/>
        </w:rPr>
        <w:t xml:space="preserve"> </w:t>
      </w:r>
      <w:r w:rsidR="00EF4495" w:rsidRPr="00074B6D">
        <w:rPr>
          <w:rFonts w:ascii="Times New Roman" w:hAnsi="Times New Roman" w:cs="Times New Roman"/>
          <w:color w:val="090E1D"/>
          <w:sz w:val="26"/>
          <w:szCs w:val="26"/>
        </w:rPr>
        <w:t xml:space="preserve"> L</w:t>
      </w:r>
      <w:r w:rsidR="00DA6B03" w:rsidRPr="00074B6D">
        <w:rPr>
          <w:rFonts w:ascii="Times New Roman" w:hAnsi="Times New Roman" w:cs="Times New Roman"/>
          <w:color w:val="090E1D"/>
          <w:sz w:val="26"/>
          <w:szCs w:val="26"/>
        </w:rPr>
        <w:t xml:space="preserve">’emergenza </w:t>
      </w:r>
      <w:r w:rsidR="00DA6B03" w:rsidRPr="00074B6D">
        <w:rPr>
          <w:rFonts w:ascii="Times New Roman" w:hAnsi="Times New Roman" w:cs="Times New Roman"/>
          <w:color w:val="000000"/>
          <w:sz w:val="26"/>
          <w:szCs w:val="26"/>
        </w:rPr>
        <w:t>sanitaria in corso</w:t>
      </w:r>
      <w:r w:rsidR="00EF4495" w:rsidRPr="00074B6D">
        <w:rPr>
          <w:rFonts w:ascii="Times New Roman" w:hAnsi="Times New Roman" w:cs="Times New Roman"/>
          <w:color w:val="000000"/>
          <w:sz w:val="26"/>
          <w:szCs w:val="26"/>
        </w:rPr>
        <w:t xml:space="preserve"> lascia dunque «</w:t>
      </w:r>
      <w:r w:rsidR="00DA6B03" w:rsidRPr="00074B6D">
        <w:rPr>
          <w:rFonts w:ascii="Times New Roman" w:hAnsi="Times New Roman" w:cs="Times New Roman"/>
          <w:i/>
          <w:color w:val="000000"/>
          <w:sz w:val="26"/>
          <w:szCs w:val="26"/>
        </w:rPr>
        <w:t>spazio alla discrezionalità del legislatore nella scelta delle modalità attraverso le quali assicurare una prevenzione efficace delle malattie infettive, potendo egli selezionare talora la tecnica della raccomandazione, talaltra quella dell’obbligo, nonché, nel secondo caso, calibrare variamente le misure, anche sanzionatorie, volte a garantire l’effettività dell’obbligo, al fine di raggiungere, mediante la vaccinazione di massa, l’obiettivo della c.d. immunità di gregge</w:t>
      </w:r>
      <w:r w:rsidR="00EF4495" w:rsidRPr="00074B6D">
        <w:rPr>
          <w:rFonts w:ascii="Times New Roman" w:hAnsi="Times New Roman" w:cs="Times New Roman"/>
          <w:color w:val="000000"/>
          <w:sz w:val="26"/>
          <w:szCs w:val="26"/>
        </w:rPr>
        <w:t>»</w:t>
      </w:r>
      <w:r w:rsidR="00DA6B03" w:rsidRPr="00074B6D">
        <w:rPr>
          <w:rFonts w:ascii="Times New Roman" w:hAnsi="Times New Roman" w:cs="Times New Roman"/>
          <w:color w:val="000000"/>
          <w:sz w:val="26"/>
          <w:szCs w:val="26"/>
        </w:rPr>
        <w:t xml:space="preserve"> (punto 32.6</w:t>
      </w:r>
      <w:r w:rsidR="00EF4495" w:rsidRPr="00074B6D">
        <w:rPr>
          <w:rFonts w:ascii="Times New Roman" w:hAnsi="Times New Roman" w:cs="Times New Roman"/>
          <w:color w:val="000000"/>
          <w:sz w:val="26"/>
          <w:szCs w:val="26"/>
        </w:rPr>
        <w:t xml:space="preserve"> della sentenza</w:t>
      </w:r>
      <w:r w:rsidR="00DA6B03" w:rsidRPr="00074B6D">
        <w:rPr>
          <w:rFonts w:ascii="Times New Roman" w:hAnsi="Times New Roman" w:cs="Times New Roman"/>
          <w:color w:val="000000"/>
          <w:sz w:val="26"/>
          <w:szCs w:val="26"/>
        </w:rPr>
        <w:t xml:space="preserve">). </w:t>
      </w:r>
      <w:r w:rsidR="006F617E" w:rsidRPr="00074B6D">
        <w:rPr>
          <w:rFonts w:ascii="Times New Roman" w:hAnsi="Times New Roman" w:cs="Times New Roman"/>
          <w:color w:val="000000"/>
          <w:sz w:val="26"/>
          <w:szCs w:val="26"/>
        </w:rPr>
        <w:t xml:space="preserve">La peculiarità della funzione degli esercenti professioni sanitarie a valorizzata anche attraverso il richiamo alla disciplina della sicurezza sui luoghi di lavoro di cui al </w:t>
      </w:r>
      <w:r w:rsidR="006F617E" w:rsidRPr="00074B6D">
        <w:rPr>
          <w:rFonts w:ascii="Times New Roman" w:hAnsi="Times New Roman" w:cs="Times New Roman"/>
          <w:color w:val="000000"/>
          <w:sz w:val="30"/>
          <w:szCs w:val="30"/>
        </w:rPr>
        <w:t>d.lgs. n. 81 del 2008, in combinato disposto con le più recenti riforme in materia di responsabilità civile dei medici, laddove è declinato il principio di </w:t>
      </w:r>
      <w:r w:rsidR="006F617E" w:rsidRPr="00074B6D">
        <w:rPr>
          <w:rFonts w:ascii="Times New Roman" w:hAnsi="Times New Roman" w:cs="Times New Roman"/>
          <w:i/>
          <w:iCs/>
          <w:color w:val="000000"/>
          <w:sz w:val="30"/>
          <w:szCs w:val="30"/>
        </w:rPr>
        <w:t xml:space="preserve">sicurezza delle cure </w:t>
      </w:r>
      <w:r w:rsidR="006F617E" w:rsidRPr="00074B6D">
        <w:rPr>
          <w:rFonts w:ascii="Times New Roman" w:hAnsi="Times New Roman" w:cs="Times New Roman"/>
          <w:iCs/>
          <w:color w:val="000000"/>
          <w:sz w:val="30"/>
          <w:szCs w:val="30"/>
        </w:rPr>
        <w:t>(</w:t>
      </w:r>
      <w:r w:rsidR="006F617E" w:rsidRPr="00074B6D">
        <w:rPr>
          <w:rFonts w:ascii="Times New Roman" w:hAnsi="Times New Roman" w:cs="Times New Roman"/>
          <w:color w:val="000000"/>
          <w:sz w:val="30"/>
          <w:szCs w:val="30"/>
        </w:rPr>
        <w:t>art. 1, comma 1, della l. n. 24 del 2017, che la declina come «</w:t>
      </w:r>
      <w:r w:rsidR="006F617E" w:rsidRPr="00074B6D">
        <w:rPr>
          <w:rFonts w:ascii="Times New Roman" w:hAnsi="Times New Roman" w:cs="Times New Roman"/>
          <w:i/>
          <w:iCs/>
          <w:color w:val="000000"/>
          <w:sz w:val="30"/>
          <w:szCs w:val="30"/>
        </w:rPr>
        <w:t xml:space="preserve">parte costitutiva del diritto alla salute </w:t>
      </w:r>
      <w:r w:rsidR="006F617E" w:rsidRPr="00074B6D">
        <w:rPr>
          <w:rFonts w:ascii="Times New Roman" w:hAnsi="Times New Roman" w:cs="Times New Roman"/>
          <w:iCs/>
          <w:color w:val="000000"/>
          <w:sz w:val="30"/>
          <w:szCs w:val="30"/>
        </w:rPr>
        <w:t>[…]</w:t>
      </w:r>
      <w:r w:rsidR="006F617E" w:rsidRPr="00074B6D">
        <w:rPr>
          <w:rFonts w:ascii="Times New Roman" w:hAnsi="Times New Roman" w:cs="Times New Roman"/>
          <w:i/>
          <w:iCs/>
          <w:color w:val="000000"/>
          <w:sz w:val="30"/>
          <w:szCs w:val="30"/>
        </w:rPr>
        <w:t xml:space="preserve"> perseguita nell’interesse dell’individuo e della collettività</w:t>
      </w:r>
      <w:r w:rsidR="006F617E" w:rsidRPr="00074B6D">
        <w:rPr>
          <w:rFonts w:ascii="Times New Roman" w:hAnsi="Times New Roman" w:cs="Times New Roman"/>
          <w:color w:val="000000"/>
          <w:sz w:val="30"/>
          <w:szCs w:val="30"/>
        </w:rPr>
        <w:t>». L’insieme di attività finalizzate alla prevenzione e alla gestione del rischio connesso all’erogazione di prestazioni sanitarie e all’utilizzo appropriato delle risorse strutturali, tecnologiche e organizzative, dunque, ricomprende anche il comportamento degli operatori del settore. Con un’originale, quanto condivisibile ricostruzione, la nozione di sicurezza, finisce per abbracciare anche il diritto, dei colleghi, ma anche e soprattutto d</w:t>
      </w:r>
      <w:r w:rsidR="00074B6D" w:rsidRPr="00074B6D">
        <w:rPr>
          <w:rFonts w:ascii="Times New Roman" w:hAnsi="Times New Roman" w:cs="Times New Roman"/>
          <w:color w:val="000000"/>
          <w:sz w:val="30"/>
          <w:szCs w:val="30"/>
        </w:rPr>
        <w:t>el paziente che</w:t>
      </w:r>
      <w:r w:rsidR="006F617E" w:rsidRPr="00074B6D">
        <w:rPr>
          <w:rFonts w:ascii="Times New Roman" w:hAnsi="Times New Roman" w:cs="Times New Roman"/>
          <w:color w:val="000000"/>
          <w:sz w:val="30"/>
          <w:szCs w:val="30"/>
        </w:rPr>
        <w:t xml:space="preserve"> accede al luogo di cura, ad essere accolto in una struttura  sanitaria o sociosanitaria, pubblica o privata, adeguata, ove il personale medico od infermieristico non diventi esso stesso veicolo di contagio. </w:t>
      </w:r>
      <w:r w:rsidR="00074B6D" w:rsidRPr="00074B6D">
        <w:rPr>
          <w:rFonts w:ascii="Times New Roman" w:hAnsi="Times New Roman" w:cs="Times New Roman"/>
          <w:color w:val="000000"/>
          <w:sz w:val="30"/>
          <w:szCs w:val="30"/>
        </w:rPr>
        <w:t xml:space="preserve">Evocando i drammatici risvolti della diffusione del contagio in particolare proprio in alcuni tipi di strutture, destinate ad accogliere soggetti necessariamente fragili per ragioni se non altro anagrafiche, i giudici di Palazzo Spada hanno giustamente affermato che </w:t>
      </w:r>
      <w:r w:rsidR="00DE51D8" w:rsidRPr="00074B6D">
        <w:rPr>
          <w:rFonts w:ascii="Times New Roman" w:hAnsi="Times New Roman" w:cs="Times New Roman"/>
          <w:color w:val="000000"/>
          <w:sz w:val="30"/>
          <w:szCs w:val="30"/>
        </w:rPr>
        <w:t>«</w:t>
      </w:r>
      <w:r w:rsidR="006F617E" w:rsidRPr="00074B6D">
        <w:rPr>
          <w:rFonts w:ascii="Times New Roman" w:hAnsi="Times New Roman" w:cs="Times New Roman"/>
          <w:i/>
          <w:color w:val="000000"/>
          <w:sz w:val="30"/>
          <w:szCs w:val="30"/>
        </w:rPr>
        <w:t>Sarebbe – e in taluni casi verificatisi in Italia a vaccinazione già avviata, purtroppo, è stato – un macabro paradosso quello per i quali pazienti gravemente malati o anziani, ricoverati in strutture ospedaliere o in quelle residenziali, socio-assistenziali o socio-sanitarie</w:t>
      </w:r>
      <w:r w:rsidR="006F617E" w:rsidRPr="00074B6D">
        <w:rPr>
          <w:rFonts w:ascii="Times New Roman" w:hAnsi="Times New Roman" w:cs="Times New Roman"/>
          <w:color w:val="000000"/>
          <w:sz w:val="30"/>
          <w:szCs w:val="30"/>
        </w:rPr>
        <w:t xml:space="preserve"> </w:t>
      </w:r>
      <w:r w:rsidR="00DE51D8" w:rsidRPr="00074B6D">
        <w:rPr>
          <w:rFonts w:ascii="Times New Roman" w:hAnsi="Times New Roman" w:cs="Times New Roman"/>
          <w:color w:val="000000"/>
          <w:sz w:val="30"/>
          <w:szCs w:val="30"/>
        </w:rPr>
        <w:t xml:space="preserve">[…] </w:t>
      </w:r>
      <w:r w:rsidR="006F617E" w:rsidRPr="00074B6D">
        <w:rPr>
          <w:rFonts w:ascii="Times New Roman" w:hAnsi="Times New Roman" w:cs="Times New Roman"/>
          <w:i/>
          <w:color w:val="000000"/>
          <w:sz w:val="30"/>
          <w:szCs w:val="30"/>
        </w:rPr>
        <w:t>contraessero il virus, con effetti letali per essi, proprio nella struttura deputata alla loro cura e per causa del personale deputato alla loro cura, refrattario alla vaccinazione.</w:t>
      </w:r>
      <w:r w:rsidR="00DE51D8" w:rsidRPr="00074B6D">
        <w:rPr>
          <w:rFonts w:ascii="Times New Roman" w:hAnsi="Times New Roman" w:cs="Times New Roman"/>
          <w:i/>
          <w:color w:val="000000"/>
          <w:sz w:val="30"/>
          <w:szCs w:val="30"/>
        </w:rPr>
        <w:t xml:space="preserve"> </w:t>
      </w:r>
      <w:r w:rsidR="006F617E" w:rsidRPr="00074B6D">
        <w:rPr>
          <w:rFonts w:ascii="Times New Roman" w:hAnsi="Times New Roman" w:cs="Times New Roman"/>
          <w:i/>
          <w:color w:val="000000"/>
          <w:sz w:val="30"/>
          <w:szCs w:val="30"/>
        </w:rPr>
        <w:t xml:space="preserve">Una simile evenienza, che il legislatore ha voluto scongiurare introducendo, come si è detto, l’obbligo vaccinale per il personale sanitario, costituirebbe (ed ha costituito) un grave tradimento di quella </w:t>
      </w:r>
      <w:r w:rsidR="00074B6D">
        <w:rPr>
          <w:rFonts w:ascii="Times New Roman" w:hAnsi="Times New Roman" w:cs="Times New Roman"/>
          <w:i/>
          <w:color w:val="000000"/>
          <w:sz w:val="30"/>
          <w:szCs w:val="30"/>
        </w:rPr>
        <w:t>“</w:t>
      </w:r>
      <w:r w:rsidR="006F617E" w:rsidRPr="00074B6D">
        <w:rPr>
          <w:rFonts w:ascii="Times New Roman" w:hAnsi="Times New Roman" w:cs="Times New Roman"/>
          <w:i/>
          <w:iCs/>
          <w:color w:val="000000"/>
          <w:sz w:val="30"/>
          <w:szCs w:val="30"/>
        </w:rPr>
        <w:t>relazione di cura e fiducia tra paziente e medico</w:t>
      </w:r>
      <w:r w:rsidR="00074B6D">
        <w:rPr>
          <w:rFonts w:ascii="Times New Roman" w:hAnsi="Times New Roman" w:cs="Times New Roman"/>
          <w:i/>
          <w:iCs/>
          <w:color w:val="000000"/>
          <w:sz w:val="30"/>
          <w:szCs w:val="30"/>
        </w:rPr>
        <w:t>”</w:t>
      </w:r>
      <w:r w:rsidR="006F617E" w:rsidRPr="00074B6D">
        <w:rPr>
          <w:rFonts w:ascii="Times New Roman" w:hAnsi="Times New Roman" w:cs="Times New Roman"/>
          <w:i/>
          <w:color w:val="000000"/>
          <w:sz w:val="30"/>
          <w:szCs w:val="30"/>
        </w:rPr>
        <w:t xml:space="preserve"> e, più in generale, tra paziente e gli esercenti una professione sanitaria che compongono l’</w:t>
      </w:r>
      <w:r w:rsidR="006F617E" w:rsidRPr="00074B6D">
        <w:rPr>
          <w:rFonts w:ascii="Times New Roman" w:hAnsi="Times New Roman" w:cs="Times New Roman"/>
          <w:i/>
          <w:iCs/>
          <w:color w:val="000000"/>
          <w:sz w:val="30"/>
          <w:szCs w:val="30"/>
        </w:rPr>
        <w:t>équipe</w:t>
      </w:r>
      <w:r w:rsidR="006F617E" w:rsidRPr="00074B6D">
        <w:rPr>
          <w:rFonts w:ascii="Times New Roman" w:hAnsi="Times New Roman" w:cs="Times New Roman"/>
          <w:i/>
          <w:color w:val="000000"/>
          <w:sz w:val="30"/>
          <w:szCs w:val="30"/>
        </w:rPr>
        <w:t> sanitaria, un ripudio dei valori più essenziali che la medicina deve perseguire e l’ordinamento deve difendere, a cominciare dalla solidarietà, concetto, questo, spesso dimenticato, come taluno ha osservato, in una prospettiva esasperatamente protesa solo a rivendicare diritti incomprimibili</w:t>
      </w:r>
      <w:r w:rsidR="00DE51D8" w:rsidRPr="00074B6D">
        <w:rPr>
          <w:rFonts w:ascii="Times New Roman" w:hAnsi="Times New Roman" w:cs="Times New Roman"/>
          <w:i/>
          <w:color w:val="000000"/>
          <w:sz w:val="30"/>
          <w:szCs w:val="30"/>
        </w:rPr>
        <w:t>»</w:t>
      </w:r>
      <w:r w:rsidR="006F617E" w:rsidRPr="00074B6D">
        <w:rPr>
          <w:rFonts w:ascii="Times New Roman" w:hAnsi="Times New Roman" w:cs="Times New Roman"/>
          <w:i/>
          <w:color w:val="000000"/>
          <w:sz w:val="30"/>
          <w:szCs w:val="30"/>
        </w:rPr>
        <w:t>.</w:t>
      </w:r>
      <w:r w:rsidR="00B06175">
        <w:rPr>
          <w:i/>
          <w:color w:val="000000"/>
          <w:sz w:val="30"/>
          <w:szCs w:val="30"/>
        </w:rPr>
        <w:t xml:space="preserve"> </w:t>
      </w:r>
    </w:p>
    <w:p w:rsidR="006F617E" w:rsidRPr="00074B6D" w:rsidRDefault="00B06175" w:rsidP="008E2068">
      <w:pPr>
        <w:spacing w:after="0" w:line="360" w:lineRule="auto"/>
        <w:jc w:val="both"/>
        <w:rPr>
          <w:rFonts w:ascii="Times New Roman" w:hAnsi="Times New Roman" w:cs="Times New Roman"/>
          <w:color w:val="000000"/>
          <w:sz w:val="30"/>
          <w:szCs w:val="30"/>
        </w:rPr>
      </w:pPr>
      <w:r w:rsidRPr="00074B6D">
        <w:rPr>
          <w:rFonts w:ascii="Times New Roman" w:hAnsi="Times New Roman" w:cs="Times New Roman"/>
          <w:color w:val="000000"/>
          <w:sz w:val="30"/>
          <w:szCs w:val="30"/>
        </w:rPr>
        <w:t>Anche la Corte europea dei diritti dell’uomo, nella recente e significativa sentenza </w:t>
      </w:r>
      <w:proofErr w:type="spellStart"/>
      <w:r w:rsidRPr="00074B6D">
        <w:rPr>
          <w:rFonts w:ascii="Times New Roman" w:hAnsi="Times New Roman" w:cs="Times New Roman"/>
          <w:iCs/>
          <w:color w:val="000000"/>
          <w:sz w:val="30"/>
          <w:szCs w:val="30"/>
        </w:rPr>
        <w:t>Vavřička</w:t>
      </w:r>
      <w:proofErr w:type="spellEnd"/>
      <w:r w:rsidRPr="00074B6D">
        <w:rPr>
          <w:rFonts w:ascii="Times New Roman" w:hAnsi="Times New Roman" w:cs="Times New Roman"/>
          <w:iCs/>
          <w:color w:val="000000"/>
          <w:sz w:val="30"/>
          <w:szCs w:val="30"/>
        </w:rPr>
        <w:t xml:space="preserve"> e altri c. Repubblica Ceca</w:t>
      </w:r>
      <w:r w:rsidRPr="00074B6D">
        <w:rPr>
          <w:rFonts w:ascii="Times New Roman" w:hAnsi="Times New Roman" w:cs="Times New Roman"/>
          <w:color w:val="000000"/>
          <w:sz w:val="30"/>
          <w:szCs w:val="30"/>
        </w:rPr>
        <w:t> dell’8 aprile 2021, ha già avuto modo di occuparsi dell’obbligo vaccinale, ritenendolo conforme all’art. 8 della CEDU quando vi sia una base legale, uno scopo legittimo ed esso sia necessario in una società democratica per garantire il principio di solidarietà (v., in particolare, §§ 279 e 306 della sentenza, riferita all’introduzione di ben nove vaccinazioni obbligatorie, seppure a tutela dei minori nel caso di specie, da parte della Repubblica Ceca).  Anche le Alte Corti di altri Paesi europei, d’altro canto, si sono mosse nella medesima direzione: il </w:t>
      </w:r>
      <w:proofErr w:type="spellStart"/>
      <w:r w:rsidRPr="00074B6D">
        <w:rPr>
          <w:rFonts w:ascii="Times New Roman" w:hAnsi="Times New Roman" w:cs="Times New Roman"/>
          <w:i/>
          <w:iCs/>
          <w:color w:val="000000"/>
          <w:sz w:val="30"/>
          <w:szCs w:val="30"/>
        </w:rPr>
        <w:t>Conseil</w:t>
      </w:r>
      <w:proofErr w:type="spellEnd"/>
      <w:r w:rsidRPr="00074B6D">
        <w:rPr>
          <w:rFonts w:ascii="Times New Roman" w:hAnsi="Times New Roman" w:cs="Times New Roman"/>
          <w:i/>
          <w:iCs/>
          <w:color w:val="000000"/>
          <w:sz w:val="30"/>
          <w:szCs w:val="30"/>
        </w:rPr>
        <w:t xml:space="preserve"> </w:t>
      </w:r>
      <w:proofErr w:type="spellStart"/>
      <w:r w:rsidRPr="00074B6D">
        <w:rPr>
          <w:rFonts w:ascii="Times New Roman" w:hAnsi="Times New Roman" w:cs="Times New Roman"/>
          <w:i/>
          <w:iCs/>
          <w:color w:val="000000"/>
          <w:sz w:val="30"/>
          <w:szCs w:val="30"/>
        </w:rPr>
        <w:t>constitutionnel</w:t>
      </w:r>
      <w:proofErr w:type="spellEnd"/>
      <w:r w:rsidRPr="00074B6D">
        <w:rPr>
          <w:rFonts w:ascii="Times New Roman" w:hAnsi="Times New Roman" w:cs="Times New Roman"/>
          <w:i/>
          <w:iCs/>
          <w:color w:val="000000"/>
          <w:sz w:val="30"/>
          <w:szCs w:val="30"/>
        </w:rPr>
        <w:t> </w:t>
      </w:r>
      <w:r w:rsidR="006051F0" w:rsidRPr="008E2068">
        <w:rPr>
          <w:rFonts w:ascii="Times New Roman" w:hAnsi="Times New Roman" w:cs="Times New Roman"/>
          <w:iCs/>
          <w:color w:val="000000"/>
          <w:sz w:val="30"/>
          <w:szCs w:val="30"/>
        </w:rPr>
        <w:t>francese</w:t>
      </w:r>
      <w:r w:rsidR="006051F0" w:rsidRPr="00074B6D">
        <w:rPr>
          <w:rFonts w:ascii="Times New Roman" w:hAnsi="Times New Roman" w:cs="Times New Roman"/>
          <w:i/>
          <w:iCs/>
          <w:color w:val="000000"/>
          <w:sz w:val="30"/>
          <w:szCs w:val="30"/>
        </w:rPr>
        <w:t xml:space="preserve">, </w:t>
      </w:r>
      <w:r w:rsidR="006051F0" w:rsidRPr="00074B6D">
        <w:rPr>
          <w:rFonts w:ascii="Times New Roman" w:hAnsi="Times New Roman" w:cs="Times New Roman"/>
          <w:iCs/>
          <w:color w:val="000000"/>
          <w:sz w:val="30"/>
          <w:szCs w:val="30"/>
        </w:rPr>
        <w:t>ad esempio</w:t>
      </w:r>
      <w:r w:rsidR="006051F0" w:rsidRPr="00074B6D">
        <w:rPr>
          <w:rFonts w:ascii="Times New Roman" w:hAnsi="Times New Roman" w:cs="Times New Roman"/>
          <w:i/>
          <w:iCs/>
          <w:color w:val="000000"/>
          <w:sz w:val="30"/>
          <w:szCs w:val="30"/>
        </w:rPr>
        <w:t xml:space="preserve">, </w:t>
      </w:r>
      <w:r w:rsidR="006051F0" w:rsidRPr="00074B6D">
        <w:rPr>
          <w:rFonts w:ascii="Times New Roman" w:hAnsi="Times New Roman" w:cs="Times New Roman"/>
          <w:iCs/>
          <w:color w:val="000000"/>
          <w:sz w:val="30"/>
          <w:szCs w:val="30"/>
        </w:rPr>
        <w:t>nella</w:t>
      </w:r>
      <w:r w:rsidR="006051F0" w:rsidRPr="00074B6D">
        <w:rPr>
          <w:rFonts w:ascii="Times New Roman" w:hAnsi="Times New Roman" w:cs="Times New Roman"/>
          <w:i/>
          <w:iCs/>
          <w:color w:val="000000"/>
          <w:sz w:val="30"/>
          <w:szCs w:val="30"/>
        </w:rPr>
        <w:t xml:space="preserve"> </w:t>
      </w:r>
      <w:r w:rsidRPr="00074B6D">
        <w:rPr>
          <w:rFonts w:ascii="Times New Roman" w:hAnsi="Times New Roman" w:cs="Times New Roman"/>
          <w:color w:val="000000"/>
          <w:sz w:val="30"/>
          <w:szCs w:val="30"/>
        </w:rPr>
        <w:t xml:space="preserve">decisione n. 824 del 5 agosto 2021 </w:t>
      </w:r>
      <w:r w:rsidR="006051F0" w:rsidRPr="00074B6D">
        <w:rPr>
          <w:rFonts w:ascii="Times New Roman" w:hAnsi="Times New Roman" w:cs="Times New Roman"/>
          <w:color w:val="000000"/>
          <w:sz w:val="30"/>
          <w:szCs w:val="30"/>
        </w:rPr>
        <w:t xml:space="preserve">avente ad oggetto </w:t>
      </w:r>
      <w:r w:rsidRPr="00074B6D">
        <w:rPr>
          <w:rFonts w:ascii="Times New Roman" w:hAnsi="Times New Roman" w:cs="Times New Roman"/>
          <w:color w:val="000000"/>
          <w:sz w:val="30"/>
          <w:szCs w:val="30"/>
        </w:rPr>
        <w:t>il </w:t>
      </w:r>
      <w:r w:rsidRPr="00074B6D">
        <w:rPr>
          <w:rFonts w:ascii="Times New Roman" w:hAnsi="Times New Roman" w:cs="Times New Roman"/>
          <w:i/>
          <w:iCs/>
          <w:color w:val="000000"/>
          <w:sz w:val="30"/>
          <w:szCs w:val="30"/>
        </w:rPr>
        <w:t xml:space="preserve">passe </w:t>
      </w:r>
      <w:proofErr w:type="spellStart"/>
      <w:r w:rsidRPr="00074B6D">
        <w:rPr>
          <w:rFonts w:ascii="Times New Roman" w:hAnsi="Times New Roman" w:cs="Times New Roman"/>
          <w:i/>
          <w:iCs/>
          <w:color w:val="000000"/>
          <w:sz w:val="30"/>
          <w:szCs w:val="30"/>
        </w:rPr>
        <w:t>sanitaire</w:t>
      </w:r>
      <w:proofErr w:type="spellEnd"/>
      <w:r w:rsidRPr="00074B6D">
        <w:rPr>
          <w:rFonts w:ascii="Times New Roman" w:hAnsi="Times New Roman" w:cs="Times New Roman"/>
          <w:color w:val="000000"/>
          <w:sz w:val="30"/>
          <w:szCs w:val="30"/>
        </w:rPr>
        <w:t> </w:t>
      </w:r>
      <w:r w:rsidR="006051F0" w:rsidRPr="00074B6D">
        <w:rPr>
          <w:rFonts w:ascii="Times New Roman" w:hAnsi="Times New Roman" w:cs="Times New Roman"/>
          <w:color w:val="000000"/>
          <w:sz w:val="30"/>
          <w:szCs w:val="30"/>
        </w:rPr>
        <w:t>obbligatorio, pena la sospensione dal lavoro,</w:t>
      </w:r>
      <w:r w:rsidRPr="00074B6D">
        <w:rPr>
          <w:rFonts w:ascii="Times New Roman" w:hAnsi="Times New Roman" w:cs="Times New Roman"/>
          <w:color w:val="000000"/>
          <w:sz w:val="30"/>
          <w:szCs w:val="30"/>
        </w:rPr>
        <w:t xml:space="preserve"> ha ritenuto infondata la questione di costituzionalità perché il legislatore ha perseguito l’obiettivo, di valore costituzionale, di proteggere la salute, limitando la propagazione dell’epidemia.</w:t>
      </w:r>
    </w:p>
    <w:p w:rsidR="00AC004D" w:rsidRPr="00B06175" w:rsidRDefault="00074B6D" w:rsidP="008E2068">
      <w:pPr>
        <w:spacing w:after="0" w:line="360" w:lineRule="auto"/>
        <w:jc w:val="both"/>
        <w:rPr>
          <w:rFonts w:ascii="Times New Roman" w:eastAsia="Times New Roman" w:hAnsi="Times New Roman" w:cs="Times New Roman"/>
          <w:color w:val="000000"/>
          <w:sz w:val="26"/>
          <w:szCs w:val="26"/>
          <w:lang w:eastAsia="it-IT"/>
        </w:rPr>
      </w:pPr>
      <w:r>
        <w:rPr>
          <w:rFonts w:ascii="Times New Roman" w:eastAsia="Times New Roman" w:hAnsi="Times New Roman" w:cs="Times New Roman"/>
          <w:color w:val="000000"/>
          <w:sz w:val="26"/>
          <w:szCs w:val="26"/>
          <w:lang w:eastAsia="it-IT"/>
        </w:rPr>
        <w:t>Tali importanti affermazioni sono state successivamente riprese, in forma necessariamente sintetica per la tipologia di rimedio adito, in successive pronunce cautelari. S</w:t>
      </w:r>
      <w:r w:rsidR="00AC004D" w:rsidRPr="00B06175">
        <w:rPr>
          <w:rFonts w:ascii="Times New Roman" w:eastAsia="Times New Roman" w:hAnsi="Times New Roman" w:cs="Times New Roman"/>
          <w:color w:val="000000"/>
          <w:sz w:val="26"/>
          <w:szCs w:val="26"/>
          <w:lang w:eastAsia="it-IT"/>
        </w:rPr>
        <w:t xml:space="preserve">empre nei confronti del personale sanitario che non intende sottoporsi alla vaccinazione, </w:t>
      </w:r>
      <w:r>
        <w:rPr>
          <w:rFonts w:ascii="Times New Roman" w:eastAsia="Times New Roman" w:hAnsi="Times New Roman" w:cs="Times New Roman"/>
          <w:color w:val="000000"/>
          <w:sz w:val="26"/>
          <w:szCs w:val="26"/>
          <w:lang w:eastAsia="it-IT"/>
        </w:rPr>
        <w:t xml:space="preserve">si è pertanto ricordato come la </w:t>
      </w:r>
      <w:r w:rsidR="00AC004D" w:rsidRPr="00B06175">
        <w:rPr>
          <w:rFonts w:ascii="Times New Roman" w:eastAsia="Times New Roman" w:hAnsi="Times New Roman" w:cs="Times New Roman"/>
          <w:color w:val="000000"/>
          <w:sz w:val="26"/>
          <w:szCs w:val="26"/>
          <w:lang w:eastAsia="it-IT"/>
        </w:rPr>
        <w:t xml:space="preserve">tutela della salute in accezione anche solidaristica, </w:t>
      </w:r>
      <w:r>
        <w:rPr>
          <w:rFonts w:ascii="Times New Roman" w:eastAsia="Times New Roman" w:hAnsi="Times New Roman" w:cs="Times New Roman"/>
          <w:color w:val="000000"/>
          <w:sz w:val="26"/>
          <w:szCs w:val="26"/>
          <w:lang w:eastAsia="it-IT"/>
        </w:rPr>
        <w:t>sia imposta in maniera necessariamente più intensa a</w:t>
      </w:r>
      <w:r w:rsidR="00AC004D" w:rsidRPr="00B06175">
        <w:rPr>
          <w:rFonts w:ascii="Times New Roman" w:eastAsia="Times New Roman" w:hAnsi="Times New Roman" w:cs="Times New Roman"/>
          <w:color w:val="000000"/>
          <w:sz w:val="26"/>
          <w:szCs w:val="26"/>
          <w:lang w:eastAsia="it-IT"/>
        </w:rPr>
        <w:t xml:space="preserve"> chi è tenuto «</w:t>
      </w:r>
      <w:r w:rsidR="00AC004D" w:rsidRPr="00B06175">
        <w:rPr>
          <w:rFonts w:ascii="Times New Roman" w:hAnsi="Times New Roman" w:cs="Times New Roman"/>
          <w:i/>
          <w:color w:val="000000"/>
          <w:sz w:val="30"/>
          <w:szCs w:val="30"/>
        </w:rPr>
        <w:t>per legge e ancor prima per il cd. “giuramento di Ippocrate”</w:t>
      </w:r>
      <w:r w:rsidR="00AC004D" w:rsidRPr="00B06175">
        <w:rPr>
          <w:rFonts w:ascii="Times New Roman" w:hAnsi="Times New Roman" w:cs="Times New Roman"/>
          <w:color w:val="000000"/>
          <w:sz w:val="30"/>
          <w:szCs w:val="30"/>
        </w:rPr>
        <w:t xml:space="preserve">» ad adoperarsi per curare i malati, </w:t>
      </w:r>
      <w:r w:rsidR="00B06175" w:rsidRPr="00B06175">
        <w:rPr>
          <w:rFonts w:ascii="Times New Roman" w:hAnsi="Times New Roman" w:cs="Times New Roman"/>
          <w:color w:val="000000"/>
          <w:sz w:val="30"/>
          <w:szCs w:val="30"/>
        </w:rPr>
        <w:t xml:space="preserve">evitando in ogni modo di </w:t>
      </w:r>
      <w:r w:rsidR="00AC004D" w:rsidRPr="00B06175">
        <w:rPr>
          <w:rFonts w:ascii="Times New Roman" w:hAnsi="Times New Roman" w:cs="Times New Roman"/>
          <w:color w:val="000000"/>
          <w:sz w:val="30"/>
          <w:szCs w:val="30"/>
        </w:rPr>
        <w:t>creare o aggravare il pericolo di contagio del pazien</w:t>
      </w:r>
      <w:r w:rsidR="003D5C06">
        <w:rPr>
          <w:rFonts w:ascii="Times New Roman" w:hAnsi="Times New Roman" w:cs="Times New Roman"/>
          <w:color w:val="000000"/>
          <w:sz w:val="30"/>
          <w:szCs w:val="30"/>
        </w:rPr>
        <w:t>te con cui nell’esercizio dell’</w:t>
      </w:r>
      <w:r w:rsidR="00AC004D" w:rsidRPr="00B06175">
        <w:rPr>
          <w:rFonts w:ascii="Times New Roman" w:hAnsi="Times New Roman" w:cs="Times New Roman"/>
          <w:color w:val="000000"/>
          <w:sz w:val="30"/>
          <w:szCs w:val="30"/>
        </w:rPr>
        <w:t>attività professionale entri in diretto conta</w:t>
      </w:r>
      <w:r w:rsidR="00B06175" w:rsidRPr="00B06175">
        <w:rPr>
          <w:rFonts w:ascii="Times New Roman" w:hAnsi="Times New Roman" w:cs="Times New Roman"/>
          <w:color w:val="000000"/>
          <w:sz w:val="30"/>
          <w:szCs w:val="30"/>
        </w:rPr>
        <w:t>tto (</w:t>
      </w:r>
      <w:proofErr w:type="spellStart"/>
      <w:r w:rsidR="00B06175" w:rsidRPr="00B06175">
        <w:rPr>
          <w:rFonts w:ascii="Times New Roman" w:hAnsi="Times New Roman" w:cs="Times New Roman"/>
          <w:color w:val="000000"/>
          <w:sz w:val="30"/>
          <w:szCs w:val="30"/>
        </w:rPr>
        <w:t>Cons</w:t>
      </w:r>
      <w:proofErr w:type="spellEnd"/>
      <w:r w:rsidR="00B06175" w:rsidRPr="00B06175">
        <w:rPr>
          <w:rFonts w:ascii="Times New Roman" w:hAnsi="Times New Roman" w:cs="Times New Roman"/>
          <w:color w:val="000000"/>
          <w:sz w:val="30"/>
          <w:szCs w:val="30"/>
        </w:rPr>
        <w:t xml:space="preserve">. Stato, decreto del 2 dicembre 2021, n. 6401). </w:t>
      </w:r>
    </w:p>
    <w:p w:rsidR="00E93EA1" w:rsidRPr="00B06175" w:rsidRDefault="00B06175" w:rsidP="008E2068">
      <w:pPr>
        <w:pStyle w:val="popolo"/>
        <w:spacing w:before="0" w:beforeAutospacing="0" w:after="0" w:afterAutospacing="0" w:line="360" w:lineRule="auto"/>
        <w:jc w:val="both"/>
        <w:rPr>
          <w:color w:val="000000"/>
          <w:sz w:val="26"/>
          <w:szCs w:val="26"/>
        </w:rPr>
      </w:pPr>
      <w:r w:rsidRPr="00B06175">
        <w:rPr>
          <w:color w:val="000000"/>
          <w:sz w:val="26"/>
          <w:szCs w:val="26"/>
        </w:rPr>
        <w:t>Per concludere sul punto, s</w:t>
      </w:r>
      <w:r w:rsidR="00EF4495" w:rsidRPr="00B06175">
        <w:rPr>
          <w:color w:val="000000"/>
          <w:sz w:val="26"/>
          <w:szCs w:val="26"/>
        </w:rPr>
        <w:t xml:space="preserve">i segnala </w:t>
      </w:r>
      <w:r w:rsidRPr="00B06175">
        <w:rPr>
          <w:color w:val="000000"/>
          <w:sz w:val="26"/>
          <w:szCs w:val="26"/>
        </w:rPr>
        <w:t xml:space="preserve">pure, </w:t>
      </w:r>
      <w:r w:rsidR="00EF4495" w:rsidRPr="00B06175">
        <w:rPr>
          <w:color w:val="000000"/>
          <w:sz w:val="26"/>
          <w:szCs w:val="26"/>
        </w:rPr>
        <w:t xml:space="preserve">in quanto emblematica dei </w:t>
      </w:r>
      <w:r w:rsidR="00EF4495" w:rsidRPr="006051F0">
        <w:rPr>
          <w:b/>
          <w:color w:val="000000"/>
          <w:sz w:val="26"/>
          <w:szCs w:val="26"/>
        </w:rPr>
        <w:t>contrapposti atteggiamenti presenti nella popolazione</w:t>
      </w:r>
      <w:r w:rsidR="00EF4495" w:rsidRPr="00B06175">
        <w:rPr>
          <w:color w:val="000000"/>
          <w:sz w:val="26"/>
          <w:szCs w:val="26"/>
        </w:rPr>
        <w:t xml:space="preserve">, una </w:t>
      </w:r>
      <w:r w:rsidR="00420D80" w:rsidRPr="00B06175">
        <w:rPr>
          <w:color w:val="000000"/>
          <w:sz w:val="26"/>
          <w:szCs w:val="26"/>
        </w:rPr>
        <w:t>pronuncia</w:t>
      </w:r>
      <w:r w:rsidR="00EF4495" w:rsidRPr="00B06175">
        <w:rPr>
          <w:color w:val="000000"/>
          <w:sz w:val="26"/>
          <w:szCs w:val="26"/>
        </w:rPr>
        <w:t xml:space="preserve"> del TAR Sicilia costretto ad intervenire a supporto della scelta del decisore politico di non assecondare il percorso illegittimo intrapreso da alcuni cittadini che erano riusciti ad ottenere indebitamente la priorità nella somministrazione della prima dose del vaccino (T</w:t>
      </w:r>
      <w:r w:rsidR="00074B6D">
        <w:rPr>
          <w:color w:val="000000"/>
          <w:sz w:val="26"/>
          <w:szCs w:val="26"/>
        </w:rPr>
        <w:t>.</w:t>
      </w:r>
      <w:r w:rsidR="00EF4495" w:rsidRPr="00B06175">
        <w:rPr>
          <w:color w:val="000000"/>
          <w:sz w:val="26"/>
          <w:szCs w:val="26"/>
        </w:rPr>
        <w:t>A</w:t>
      </w:r>
      <w:r w:rsidR="00074B6D">
        <w:rPr>
          <w:color w:val="000000"/>
          <w:sz w:val="26"/>
          <w:szCs w:val="26"/>
        </w:rPr>
        <w:t>.</w:t>
      </w:r>
      <w:r w:rsidR="00EF4495" w:rsidRPr="00B06175">
        <w:rPr>
          <w:color w:val="000000"/>
          <w:sz w:val="26"/>
          <w:szCs w:val="26"/>
        </w:rPr>
        <w:t>R</w:t>
      </w:r>
      <w:r w:rsidR="00074B6D">
        <w:rPr>
          <w:color w:val="000000"/>
          <w:sz w:val="26"/>
          <w:szCs w:val="26"/>
        </w:rPr>
        <w:t>. per la</w:t>
      </w:r>
      <w:r w:rsidR="00EF4495" w:rsidRPr="00B06175">
        <w:rPr>
          <w:color w:val="000000"/>
          <w:sz w:val="26"/>
          <w:szCs w:val="26"/>
        </w:rPr>
        <w:t xml:space="preserve"> Sicilia, sez. IV, ordinanza 13 febbraio 2021, n. 102)</w:t>
      </w:r>
      <w:r w:rsidR="001E78E5" w:rsidRPr="00B06175">
        <w:rPr>
          <w:color w:val="000000"/>
          <w:sz w:val="26"/>
          <w:szCs w:val="26"/>
        </w:rPr>
        <w:t>.</w:t>
      </w:r>
      <w:r w:rsidR="003D5C06">
        <w:rPr>
          <w:color w:val="000000"/>
          <w:sz w:val="26"/>
          <w:szCs w:val="26"/>
        </w:rPr>
        <w:t xml:space="preserve"> È </w:t>
      </w:r>
      <w:r w:rsidR="00EF4495" w:rsidRPr="00B06175">
        <w:rPr>
          <w:color w:val="000000"/>
          <w:sz w:val="26"/>
          <w:szCs w:val="26"/>
        </w:rPr>
        <w:t xml:space="preserve">stato dunque dichiarato </w:t>
      </w:r>
      <w:r w:rsidR="00DA6B03" w:rsidRPr="00B06175">
        <w:rPr>
          <w:color w:val="000000"/>
          <w:sz w:val="26"/>
          <w:szCs w:val="26"/>
        </w:rPr>
        <w:t xml:space="preserve">legittimo il provvedimento con il quale l’Assessore </w:t>
      </w:r>
      <w:r w:rsidR="00EF4495" w:rsidRPr="00B06175">
        <w:rPr>
          <w:color w:val="000000"/>
          <w:sz w:val="26"/>
          <w:szCs w:val="26"/>
        </w:rPr>
        <w:t xml:space="preserve">alla </w:t>
      </w:r>
      <w:r w:rsidR="00DA6B03" w:rsidRPr="00B06175">
        <w:rPr>
          <w:color w:val="000000"/>
          <w:sz w:val="26"/>
          <w:szCs w:val="26"/>
        </w:rPr>
        <w:t xml:space="preserve">Salute della Regione </w:t>
      </w:r>
      <w:r w:rsidR="00E943BC" w:rsidRPr="00B06175">
        <w:rPr>
          <w:color w:val="000000"/>
          <w:sz w:val="26"/>
          <w:szCs w:val="26"/>
        </w:rPr>
        <w:t>ha</w:t>
      </w:r>
      <w:r w:rsidR="00EF4495" w:rsidRPr="00B06175">
        <w:rPr>
          <w:color w:val="000000"/>
          <w:sz w:val="26"/>
          <w:szCs w:val="26"/>
        </w:rPr>
        <w:t xml:space="preserve"> </w:t>
      </w:r>
      <w:r w:rsidR="00DA6B03" w:rsidRPr="00B06175">
        <w:rPr>
          <w:color w:val="000000"/>
          <w:sz w:val="26"/>
          <w:szCs w:val="26"/>
        </w:rPr>
        <w:t>sospeso la somministrazione della seconda dose di vaccino (richiamo) per tutti i soggetti che, non avendone diritto, avevano comunque avuto accesso alla prima dose</w:t>
      </w:r>
      <w:r w:rsidR="001E78E5" w:rsidRPr="00B06175">
        <w:rPr>
          <w:color w:val="000000"/>
          <w:sz w:val="26"/>
          <w:szCs w:val="26"/>
        </w:rPr>
        <w:t>.</w:t>
      </w:r>
      <w:r w:rsidR="00DA6B03" w:rsidRPr="00B06175">
        <w:rPr>
          <w:color w:val="000000"/>
          <w:sz w:val="26"/>
          <w:szCs w:val="26"/>
        </w:rPr>
        <w:t xml:space="preserve">  Ciò in quanto «</w:t>
      </w:r>
      <w:r w:rsidR="00DA6B03" w:rsidRPr="00B06175">
        <w:rPr>
          <w:i/>
          <w:color w:val="000000"/>
          <w:sz w:val="26"/>
          <w:szCs w:val="26"/>
        </w:rPr>
        <w:t>non risultano evidenze scientifiche di eventuali rischi derivanti dalla mancata somministrazione della seconda dose, se non quello della possibile inefficacia del vaccino, effetto che riporterebbe i ricorrenti alla situazione </w:t>
      </w:r>
      <w:r w:rsidR="00DA6B03" w:rsidRPr="00B06175">
        <w:rPr>
          <w:i/>
          <w:iCs/>
          <w:color w:val="000000"/>
          <w:sz w:val="26"/>
          <w:szCs w:val="26"/>
        </w:rPr>
        <w:t>quo ante</w:t>
      </w:r>
      <w:r w:rsidR="00DA6B03" w:rsidRPr="00B06175">
        <w:rPr>
          <w:i/>
          <w:color w:val="000000"/>
          <w:sz w:val="26"/>
          <w:szCs w:val="26"/>
        </w:rPr>
        <w:t> a quella determinata dall’aver avuto accesso alla prima dose, pur non avendone diritto</w:t>
      </w:r>
      <w:r w:rsidR="00DA6B03" w:rsidRPr="00B06175">
        <w:rPr>
          <w:color w:val="000000"/>
          <w:sz w:val="26"/>
          <w:szCs w:val="26"/>
        </w:rPr>
        <w:t xml:space="preserve">». </w:t>
      </w:r>
    </w:p>
    <w:p w:rsidR="00E93EA1" w:rsidRPr="00C15A2F" w:rsidRDefault="00E93EA1" w:rsidP="008E2068">
      <w:pPr>
        <w:pStyle w:val="popolo"/>
        <w:spacing w:before="0" w:beforeAutospacing="0" w:after="0" w:afterAutospacing="0" w:line="360" w:lineRule="auto"/>
        <w:jc w:val="both"/>
        <w:rPr>
          <w:color w:val="000000"/>
          <w:sz w:val="26"/>
          <w:szCs w:val="26"/>
        </w:rPr>
      </w:pPr>
    </w:p>
    <w:p w:rsidR="007B1238" w:rsidRPr="00C15A2F" w:rsidRDefault="00C15A2F" w:rsidP="008E2068">
      <w:pPr>
        <w:pStyle w:val="text-justify"/>
        <w:spacing w:before="0" w:beforeAutospacing="0" w:after="0" w:afterAutospacing="0" w:line="360" w:lineRule="auto"/>
        <w:jc w:val="both"/>
        <w:rPr>
          <w:color w:val="090E1D"/>
          <w:sz w:val="26"/>
          <w:szCs w:val="26"/>
        </w:rPr>
      </w:pPr>
      <w:r w:rsidRPr="00C15A2F">
        <w:rPr>
          <w:b/>
          <w:color w:val="000000"/>
          <w:sz w:val="26"/>
          <w:szCs w:val="26"/>
        </w:rPr>
        <w:t xml:space="preserve">5. </w:t>
      </w:r>
      <w:r w:rsidR="008C0407" w:rsidRPr="00C15A2F">
        <w:rPr>
          <w:b/>
          <w:color w:val="000000"/>
          <w:sz w:val="26"/>
          <w:szCs w:val="26"/>
        </w:rPr>
        <w:t xml:space="preserve">La disciplina del </w:t>
      </w:r>
      <w:r w:rsidR="008C0407" w:rsidRPr="00EC092F">
        <w:rPr>
          <w:b/>
          <w:i/>
          <w:color w:val="000000"/>
          <w:sz w:val="26"/>
          <w:szCs w:val="26"/>
        </w:rPr>
        <w:t>Green pass</w:t>
      </w:r>
      <w:r w:rsidR="008C0407" w:rsidRPr="00C15A2F">
        <w:rPr>
          <w:color w:val="000000"/>
          <w:sz w:val="26"/>
          <w:szCs w:val="26"/>
        </w:rPr>
        <w:t>.</w:t>
      </w:r>
    </w:p>
    <w:p w:rsidR="007C7095" w:rsidRDefault="004E7557" w:rsidP="008E2068">
      <w:pPr>
        <w:pStyle w:val="text-justify"/>
        <w:spacing w:before="0" w:beforeAutospacing="0" w:after="0" w:afterAutospacing="0" w:line="360" w:lineRule="auto"/>
        <w:jc w:val="both"/>
        <w:rPr>
          <w:rFonts w:cstheme="minorHAnsi"/>
        </w:rPr>
      </w:pPr>
      <w:r w:rsidRPr="00C15A2F">
        <w:rPr>
          <w:color w:val="090E1D"/>
          <w:sz w:val="26"/>
          <w:szCs w:val="26"/>
        </w:rPr>
        <w:t xml:space="preserve">Tra le varie problematiche connesse al governo dell’emergenza (pandemica), quella relativa all’uso del </w:t>
      </w:r>
      <w:r w:rsidRPr="00C15A2F">
        <w:rPr>
          <w:i/>
          <w:color w:val="090E1D"/>
          <w:sz w:val="26"/>
          <w:szCs w:val="26"/>
        </w:rPr>
        <w:t>green pass</w:t>
      </w:r>
      <w:r w:rsidRPr="00C15A2F">
        <w:rPr>
          <w:color w:val="090E1D"/>
          <w:sz w:val="26"/>
          <w:szCs w:val="26"/>
        </w:rPr>
        <w:t xml:space="preserve">, quale alternativa meno incisiva </w:t>
      </w:r>
      <w:r w:rsidR="00293BAB" w:rsidRPr="00C15A2F">
        <w:rPr>
          <w:color w:val="090E1D"/>
          <w:sz w:val="26"/>
          <w:szCs w:val="26"/>
        </w:rPr>
        <w:t xml:space="preserve">rispetto al </w:t>
      </w:r>
      <w:proofErr w:type="spellStart"/>
      <w:r w:rsidR="00293BAB" w:rsidRPr="00C15A2F">
        <w:rPr>
          <w:i/>
          <w:color w:val="090E1D"/>
          <w:sz w:val="26"/>
          <w:szCs w:val="26"/>
        </w:rPr>
        <w:t>contact</w:t>
      </w:r>
      <w:proofErr w:type="spellEnd"/>
      <w:r w:rsidR="00293BAB" w:rsidRPr="00C15A2F">
        <w:rPr>
          <w:i/>
          <w:color w:val="090E1D"/>
          <w:sz w:val="26"/>
          <w:szCs w:val="26"/>
        </w:rPr>
        <w:t xml:space="preserve"> </w:t>
      </w:r>
      <w:proofErr w:type="spellStart"/>
      <w:r w:rsidR="00293BAB" w:rsidRPr="00C15A2F">
        <w:rPr>
          <w:i/>
          <w:color w:val="090E1D"/>
          <w:sz w:val="26"/>
          <w:szCs w:val="26"/>
        </w:rPr>
        <w:t>tracing</w:t>
      </w:r>
      <w:proofErr w:type="spellEnd"/>
      <w:r w:rsidR="00293BAB" w:rsidRPr="00C15A2F">
        <w:rPr>
          <w:color w:val="090E1D"/>
          <w:sz w:val="26"/>
          <w:szCs w:val="26"/>
        </w:rPr>
        <w:t xml:space="preserve"> digitale, ha dato luogo al più intenso dibattito nell’opinione pubblic</w:t>
      </w:r>
      <w:r w:rsidR="001E78E5" w:rsidRPr="00C15A2F">
        <w:rPr>
          <w:color w:val="090E1D"/>
          <w:sz w:val="26"/>
          <w:szCs w:val="26"/>
        </w:rPr>
        <w:t>a,</w:t>
      </w:r>
      <w:r w:rsidR="00293BAB" w:rsidRPr="00C15A2F">
        <w:rPr>
          <w:color w:val="090E1D"/>
          <w:sz w:val="26"/>
          <w:szCs w:val="26"/>
        </w:rPr>
        <w:t xml:space="preserve"> determinando commendevoli forme di protesta </w:t>
      </w:r>
      <w:r w:rsidR="001E78E5" w:rsidRPr="00C15A2F">
        <w:rPr>
          <w:color w:val="090E1D"/>
          <w:sz w:val="26"/>
          <w:szCs w:val="26"/>
        </w:rPr>
        <w:t xml:space="preserve">di massa di cui si apprende ormai frequentemente dalla stampa. </w:t>
      </w:r>
      <w:r w:rsidRPr="00C15A2F">
        <w:rPr>
          <w:color w:val="090E1D"/>
          <w:sz w:val="26"/>
          <w:szCs w:val="26"/>
        </w:rPr>
        <w:t xml:space="preserve">Garantendo riservatezza sul suo presupposto (vaccino, guarigione, negatività al tampone), il </w:t>
      </w:r>
      <w:r w:rsidRPr="00C15A2F">
        <w:rPr>
          <w:i/>
          <w:color w:val="090E1D"/>
          <w:sz w:val="26"/>
          <w:szCs w:val="26"/>
        </w:rPr>
        <w:t>green pass</w:t>
      </w:r>
      <w:r w:rsidRPr="00C15A2F">
        <w:rPr>
          <w:color w:val="090E1D"/>
          <w:sz w:val="26"/>
          <w:szCs w:val="26"/>
        </w:rPr>
        <w:t xml:space="preserve"> ha anche impedito forme, dirette o indirette, di discriminazione nei confronti di quanti non possano o non vogliano vaccinarsi, pur rappresentando indubbiamente, esso stesso, una forma di promozione della vaccinazione.</w:t>
      </w:r>
      <w:r w:rsidR="00293BAB" w:rsidRPr="00C15A2F">
        <w:rPr>
          <w:color w:val="090E1D"/>
          <w:sz w:val="26"/>
          <w:szCs w:val="26"/>
        </w:rPr>
        <w:t xml:space="preserve"> </w:t>
      </w:r>
      <w:r w:rsidR="007C7095">
        <w:rPr>
          <w:color w:val="090E1D"/>
          <w:sz w:val="26"/>
          <w:szCs w:val="26"/>
        </w:rPr>
        <w:t xml:space="preserve">Il “rafforzamento” della relativa valenza, attuato con il già ricordato </w:t>
      </w:r>
      <w:proofErr w:type="spellStart"/>
      <w:r w:rsidR="007C7095">
        <w:t>d.l.</w:t>
      </w:r>
      <w:proofErr w:type="spellEnd"/>
      <w:r w:rsidR="007C7095">
        <w:t xml:space="preserve"> n. 172 del 26 novembre 2021, recante </w:t>
      </w:r>
      <w:r w:rsidR="007C7095" w:rsidRPr="00E943BC">
        <w:rPr>
          <w:rFonts w:cstheme="minorHAnsi"/>
        </w:rPr>
        <w:t>«</w:t>
      </w:r>
      <w:r w:rsidR="007C7095" w:rsidRPr="00FD5729">
        <w:rPr>
          <w:i/>
        </w:rPr>
        <w:t>Misure urgenti per il contenimento dell’epidemia da COVID-19 e per lo svolgimento in sicurezza delle attività economiche e sociali</w:t>
      </w:r>
      <w:r w:rsidR="007C7095" w:rsidRPr="00E943BC">
        <w:rPr>
          <w:rFonts w:cstheme="minorHAnsi"/>
        </w:rPr>
        <w:t xml:space="preserve">», che </w:t>
      </w:r>
      <w:r w:rsidR="007C7095">
        <w:rPr>
          <w:rFonts w:cstheme="minorHAnsi"/>
        </w:rPr>
        <w:t xml:space="preserve">per altro verso </w:t>
      </w:r>
      <w:r w:rsidR="007C7095" w:rsidRPr="00E943BC">
        <w:rPr>
          <w:rFonts w:cstheme="minorHAnsi"/>
        </w:rPr>
        <w:t>ha esteso l’obbligo vaccinale a nuove categorie di lavoratori</w:t>
      </w:r>
      <w:r w:rsidR="007C7095">
        <w:rPr>
          <w:rFonts w:cstheme="minorHAnsi"/>
        </w:rPr>
        <w:t xml:space="preserve">, non ha ancora assurto all’analisi giurisprudenziale. La nuova tipologia, cd. </w:t>
      </w:r>
      <w:proofErr w:type="gramStart"/>
      <w:r w:rsidR="007C7095">
        <w:rPr>
          <w:rFonts w:cstheme="minorHAnsi"/>
        </w:rPr>
        <w:t>rafforzata</w:t>
      </w:r>
      <w:proofErr w:type="gramEnd"/>
      <w:r w:rsidR="007C7095">
        <w:rPr>
          <w:rFonts w:cstheme="minorHAnsi"/>
        </w:rPr>
        <w:t xml:space="preserve"> o “super”, i cui presupposti sono solo la vaccinazione o la guarigione dal virus, con esclusione della negatività al tampone, costituisce  condizione per accedere solo ad attività connotate da concentrazione di persone (impianti sportivi, ristoranti, bar, spettacoli, eventi pubblici, ecc.), mentre resta la possibilità di accedere alle attività lavorative non incluse nell’obbligo vaccinale con il </w:t>
      </w:r>
      <w:r w:rsidR="007C7095" w:rsidRPr="007C7095">
        <w:rPr>
          <w:rFonts w:cstheme="minorHAnsi"/>
          <w:i/>
        </w:rPr>
        <w:t>green pass</w:t>
      </w:r>
      <w:r w:rsidR="007C7095">
        <w:rPr>
          <w:rFonts w:cstheme="minorHAnsi"/>
        </w:rPr>
        <w:t xml:space="preserve"> “semplice”. La scelta operata, dunque, pare inserirsi ancora una volta nel solco già avallato dal Consiglio di Stato, di sostanziale soccombenza del diritto del singolo a liberamente spostarsi sul territorio a fronte delle esigenze di tutela della salute collettiva, che merita di vedere compressa la sola frequentazione di luoghi non rispondenti a bisogni vitali e nel contempo capaci di insorgere a fattore di rischio di diffusione del contagio. </w:t>
      </w:r>
    </w:p>
    <w:p w:rsidR="007C7095" w:rsidRDefault="007C7095" w:rsidP="008E2068">
      <w:pPr>
        <w:pStyle w:val="text-justify"/>
        <w:spacing w:before="0" w:beforeAutospacing="0" w:after="0" w:afterAutospacing="0" w:line="360" w:lineRule="auto"/>
        <w:jc w:val="both"/>
        <w:rPr>
          <w:color w:val="090E1D"/>
          <w:sz w:val="26"/>
          <w:szCs w:val="26"/>
        </w:rPr>
      </w:pPr>
      <w:r>
        <w:rPr>
          <w:rStyle w:val="Enfasigrassetto"/>
          <w:b w:val="0"/>
          <w:color w:val="090E1D"/>
          <w:sz w:val="26"/>
          <w:szCs w:val="26"/>
        </w:rPr>
        <w:t xml:space="preserve">Prima di tale ulteriore irrigidimento della disciplina, che si risolve dunque in una sostanziale limitazione delle attività aggregative e sociali per chi non sia vaccinato, l’estensione più significativa dell’ambito applicativo del </w:t>
      </w:r>
      <w:r w:rsidRPr="006051F0">
        <w:rPr>
          <w:rStyle w:val="Enfasigrassetto"/>
          <w:b w:val="0"/>
          <w:i/>
          <w:color w:val="090E1D"/>
          <w:sz w:val="26"/>
          <w:szCs w:val="26"/>
        </w:rPr>
        <w:t>green pass</w:t>
      </w:r>
      <w:r>
        <w:rPr>
          <w:rStyle w:val="Enfasigrassetto"/>
          <w:b w:val="0"/>
          <w:color w:val="090E1D"/>
          <w:sz w:val="26"/>
          <w:szCs w:val="26"/>
        </w:rPr>
        <w:t xml:space="preserve"> era contenuta nel </w:t>
      </w:r>
      <w:proofErr w:type="spellStart"/>
      <w:r>
        <w:rPr>
          <w:rStyle w:val="Enfasigrassetto"/>
          <w:b w:val="0"/>
          <w:color w:val="090E1D"/>
          <w:sz w:val="26"/>
          <w:szCs w:val="26"/>
        </w:rPr>
        <w:t>d.l.</w:t>
      </w:r>
      <w:proofErr w:type="spellEnd"/>
      <w:r>
        <w:rPr>
          <w:rStyle w:val="Enfasigrassetto"/>
          <w:b w:val="0"/>
          <w:color w:val="090E1D"/>
          <w:sz w:val="26"/>
          <w:szCs w:val="26"/>
        </w:rPr>
        <w:t xml:space="preserve"> 127 del 2021, </w:t>
      </w:r>
      <w:r w:rsidRPr="00C15A2F">
        <w:rPr>
          <w:rStyle w:val="Enfasigrassetto"/>
          <w:b w:val="0"/>
          <w:color w:val="090E1D"/>
          <w:sz w:val="26"/>
          <w:szCs w:val="26"/>
        </w:rPr>
        <w:t xml:space="preserve"> convertito, con modificazioni, </w:t>
      </w:r>
      <w:r>
        <w:rPr>
          <w:rStyle w:val="Enfasigrassetto"/>
          <w:b w:val="0"/>
          <w:color w:val="090E1D"/>
          <w:sz w:val="26"/>
          <w:szCs w:val="26"/>
        </w:rPr>
        <w:t xml:space="preserve">dalla l. n. 165 del 19 novembre 2021, che ancora oggi ne </w:t>
      </w:r>
      <w:r w:rsidRPr="00C15A2F">
        <w:rPr>
          <w:color w:val="090E1D"/>
          <w:sz w:val="26"/>
          <w:szCs w:val="26"/>
        </w:rPr>
        <w:t>impone il possesso (e quindi l’esibizione, su richiesta)</w:t>
      </w:r>
      <w:r>
        <w:rPr>
          <w:color w:val="090E1D"/>
          <w:sz w:val="26"/>
          <w:szCs w:val="26"/>
        </w:rPr>
        <w:t>, nella sua versione “semplice” e non “rafforzata”</w:t>
      </w:r>
      <w:r w:rsidRPr="00C15A2F">
        <w:rPr>
          <w:color w:val="090E1D"/>
          <w:sz w:val="26"/>
          <w:szCs w:val="26"/>
        </w:rPr>
        <w:t xml:space="preserve"> come requisito necessario per l’accesso ai luoghi di lavoro per il settore pubblico (in regime contrattualizzato o meno, ivi inclusi gli organi a rilievo costituzionale), il settore privato e, per i soli magistrati (ma di ogni giurisdizione) agli uffici giudiziari. L’esclusione dell’obbligo per l’accesso agli uffici giudiziari da parte dei soggetti diversi dai magistrati, ivi inclusi gli avvocati e gli altri difensori, i consulenti, i periti e gli altri ausiliari del magistrato estranei alle amministrazioni della giustizia, i testimoni e le parti del processo, è spiegata con l’esigenza di evitare che l’eventuale impossibilità di accesso per testimoni, consulenti, difensori e persino per le stesse parti processuali determini conseguenze processuali pregiudizievoli, con il rischio di una vera e propria paralisi dell’attività giudiziaria.</w:t>
      </w:r>
      <w:r>
        <w:rPr>
          <w:color w:val="090E1D"/>
          <w:sz w:val="26"/>
          <w:szCs w:val="26"/>
        </w:rPr>
        <w:t xml:space="preserve"> </w:t>
      </w:r>
      <w:r w:rsidRPr="00C15A2F">
        <w:rPr>
          <w:color w:val="090E1D"/>
          <w:sz w:val="26"/>
          <w:szCs w:val="26"/>
        </w:rPr>
        <w:t xml:space="preserve"> </w:t>
      </w:r>
    </w:p>
    <w:p w:rsidR="007C7095" w:rsidRDefault="007C7095" w:rsidP="008E2068">
      <w:pPr>
        <w:pStyle w:val="text-justify"/>
        <w:spacing w:before="0" w:beforeAutospacing="0" w:after="0" w:afterAutospacing="0" w:line="360" w:lineRule="auto"/>
        <w:jc w:val="both"/>
        <w:rPr>
          <w:color w:val="090E1D"/>
          <w:sz w:val="26"/>
          <w:szCs w:val="26"/>
        </w:rPr>
      </w:pPr>
      <w:r>
        <w:rPr>
          <w:color w:val="090E1D"/>
          <w:sz w:val="26"/>
          <w:szCs w:val="26"/>
        </w:rPr>
        <w:t>Per sola completezza, si ricorda che l’i</w:t>
      </w:r>
      <w:r w:rsidRPr="00C15A2F">
        <w:rPr>
          <w:color w:val="090E1D"/>
          <w:sz w:val="26"/>
          <w:szCs w:val="26"/>
        </w:rPr>
        <w:t>ntrod</w:t>
      </w:r>
      <w:r>
        <w:rPr>
          <w:color w:val="090E1D"/>
          <w:sz w:val="26"/>
          <w:szCs w:val="26"/>
        </w:rPr>
        <w:t xml:space="preserve">uzione del </w:t>
      </w:r>
      <w:r w:rsidRPr="007C7095">
        <w:rPr>
          <w:i/>
          <w:color w:val="090E1D"/>
          <w:sz w:val="26"/>
          <w:szCs w:val="26"/>
        </w:rPr>
        <w:t>green pass</w:t>
      </w:r>
      <w:r>
        <w:rPr>
          <w:color w:val="090E1D"/>
          <w:sz w:val="26"/>
          <w:szCs w:val="26"/>
        </w:rPr>
        <w:t xml:space="preserve"> era avvenuta </w:t>
      </w:r>
      <w:r w:rsidRPr="00C15A2F">
        <w:rPr>
          <w:color w:val="090E1D"/>
          <w:sz w:val="26"/>
          <w:szCs w:val="26"/>
        </w:rPr>
        <w:t xml:space="preserve">con decreto legge n. 52 del 2021, </w:t>
      </w:r>
      <w:r>
        <w:rPr>
          <w:color w:val="090E1D"/>
          <w:sz w:val="26"/>
          <w:szCs w:val="26"/>
        </w:rPr>
        <w:t xml:space="preserve">mentre il relativo </w:t>
      </w:r>
      <w:r w:rsidRPr="00C15A2F">
        <w:rPr>
          <w:color w:val="090E1D"/>
          <w:sz w:val="26"/>
          <w:szCs w:val="26"/>
        </w:rPr>
        <w:t xml:space="preserve">utilizzo è stato via via esteso con i successivi </w:t>
      </w:r>
      <w:proofErr w:type="spellStart"/>
      <w:r w:rsidRPr="00C15A2F">
        <w:rPr>
          <w:color w:val="090E1D"/>
          <w:sz w:val="26"/>
          <w:szCs w:val="26"/>
        </w:rPr>
        <w:t>dd.ll.</w:t>
      </w:r>
      <w:proofErr w:type="spellEnd"/>
      <w:r w:rsidRPr="00C15A2F">
        <w:rPr>
          <w:color w:val="090E1D"/>
          <w:sz w:val="26"/>
          <w:szCs w:val="26"/>
        </w:rPr>
        <w:t xml:space="preserve"> 105, 111, 121 del 2021, che hanno interpolato il testo della norma originaria con l’effetto di ampliare l’ambito applicativo dagli spostamenti tra regioni di colore diverso</w:t>
      </w:r>
      <w:r>
        <w:rPr>
          <w:color w:val="090E1D"/>
          <w:sz w:val="26"/>
          <w:szCs w:val="26"/>
        </w:rPr>
        <w:t>, originariamente previsto</w:t>
      </w:r>
      <w:r w:rsidRPr="00C15A2F">
        <w:rPr>
          <w:color w:val="090E1D"/>
          <w:sz w:val="26"/>
          <w:szCs w:val="26"/>
        </w:rPr>
        <w:t>, alla partecipazione ad eventi o attività suscettibili di determinare una significativa concentrazione di persone o, comunque, condizione di potenziale circolazione virale (</w:t>
      </w:r>
      <w:proofErr w:type="spellStart"/>
      <w:r w:rsidRPr="00C15A2F">
        <w:rPr>
          <w:color w:val="090E1D"/>
          <w:sz w:val="26"/>
          <w:szCs w:val="26"/>
        </w:rPr>
        <w:t>d.l.</w:t>
      </w:r>
      <w:proofErr w:type="spellEnd"/>
      <w:r w:rsidRPr="00C15A2F">
        <w:rPr>
          <w:color w:val="090E1D"/>
          <w:sz w:val="26"/>
          <w:szCs w:val="26"/>
        </w:rPr>
        <w:t xml:space="preserve"> 105), quindi al settore dell’istruzione e dei trasporti (</w:t>
      </w:r>
      <w:proofErr w:type="spellStart"/>
      <w:r w:rsidRPr="00C15A2F">
        <w:rPr>
          <w:color w:val="090E1D"/>
          <w:sz w:val="26"/>
          <w:szCs w:val="26"/>
        </w:rPr>
        <w:t>d.l.</w:t>
      </w:r>
      <w:proofErr w:type="spellEnd"/>
      <w:r w:rsidRPr="00C15A2F">
        <w:rPr>
          <w:color w:val="090E1D"/>
          <w:sz w:val="26"/>
          <w:szCs w:val="26"/>
        </w:rPr>
        <w:t xml:space="preserve"> 111), al personale esterno di scuole e </w:t>
      </w:r>
      <w:proofErr w:type="spellStart"/>
      <w:r w:rsidRPr="00C15A2F">
        <w:rPr>
          <w:color w:val="090E1D"/>
          <w:sz w:val="26"/>
          <w:szCs w:val="26"/>
        </w:rPr>
        <w:t>r.s.a</w:t>
      </w:r>
      <w:proofErr w:type="spellEnd"/>
      <w:r w:rsidRPr="00C15A2F">
        <w:rPr>
          <w:color w:val="090E1D"/>
          <w:sz w:val="26"/>
          <w:szCs w:val="26"/>
        </w:rPr>
        <w:t>. (</w:t>
      </w:r>
      <w:proofErr w:type="spellStart"/>
      <w:r w:rsidRPr="00C15A2F">
        <w:rPr>
          <w:color w:val="090E1D"/>
          <w:sz w:val="26"/>
          <w:szCs w:val="26"/>
        </w:rPr>
        <w:t>d.l.</w:t>
      </w:r>
      <w:proofErr w:type="spellEnd"/>
      <w:r w:rsidRPr="00C15A2F">
        <w:rPr>
          <w:color w:val="090E1D"/>
          <w:sz w:val="26"/>
          <w:szCs w:val="26"/>
        </w:rPr>
        <w:t xml:space="preserve"> 121, rifluito in emendamento al disegno di legge di conversione del </w:t>
      </w:r>
      <w:proofErr w:type="spellStart"/>
      <w:r w:rsidRPr="00C15A2F">
        <w:rPr>
          <w:color w:val="090E1D"/>
          <w:sz w:val="26"/>
          <w:szCs w:val="26"/>
        </w:rPr>
        <w:t>d.l.</w:t>
      </w:r>
      <w:proofErr w:type="spellEnd"/>
      <w:r w:rsidRPr="00C15A2F">
        <w:rPr>
          <w:color w:val="090E1D"/>
          <w:sz w:val="26"/>
          <w:szCs w:val="26"/>
        </w:rPr>
        <w:t xml:space="preserve"> n. 111), infine</w:t>
      </w:r>
      <w:r>
        <w:rPr>
          <w:color w:val="090E1D"/>
          <w:sz w:val="26"/>
          <w:szCs w:val="26"/>
        </w:rPr>
        <w:t>, come detto,</w:t>
      </w:r>
      <w:r w:rsidRPr="00C15A2F">
        <w:rPr>
          <w:color w:val="090E1D"/>
          <w:sz w:val="26"/>
          <w:szCs w:val="26"/>
        </w:rPr>
        <w:t xml:space="preserve"> sostanzialmente generalizzato dal </w:t>
      </w:r>
      <w:proofErr w:type="spellStart"/>
      <w:r w:rsidRPr="00C15A2F">
        <w:rPr>
          <w:color w:val="090E1D"/>
          <w:sz w:val="26"/>
          <w:szCs w:val="26"/>
        </w:rPr>
        <w:t>d.l.</w:t>
      </w:r>
      <w:proofErr w:type="spellEnd"/>
      <w:r w:rsidRPr="00C15A2F">
        <w:rPr>
          <w:color w:val="090E1D"/>
          <w:sz w:val="26"/>
          <w:szCs w:val="26"/>
        </w:rPr>
        <w:t xml:space="preserve"> n. 127 del 2021</w:t>
      </w:r>
      <w:r>
        <w:rPr>
          <w:color w:val="090E1D"/>
          <w:sz w:val="26"/>
          <w:szCs w:val="26"/>
        </w:rPr>
        <w:t xml:space="preserve"> per l’ambito lavorativo.</w:t>
      </w:r>
    </w:p>
    <w:p w:rsidR="004E7557" w:rsidRPr="00C15A2F" w:rsidRDefault="007C7095" w:rsidP="008E2068">
      <w:pPr>
        <w:pStyle w:val="text-justify"/>
        <w:spacing w:before="0" w:beforeAutospacing="0" w:after="0" w:afterAutospacing="0" w:line="360" w:lineRule="auto"/>
        <w:jc w:val="both"/>
        <w:rPr>
          <w:color w:val="090E1D"/>
          <w:sz w:val="26"/>
          <w:szCs w:val="26"/>
        </w:rPr>
      </w:pPr>
      <w:r>
        <w:rPr>
          <w:color w:val="090E1D"/>
          <w:sz w:val="26"/>
          <w:szCs w:val="26"/>
        </w:rPr>
        <w:t xml:space="preserve"> </w:t>
      </w:r>
      <w:r w:rsidR="00293BAB" w:rsidRPr="00C15A2F">
        <w:rPr>
          <w:color w:val="090E1D"/>
          <w:sz w:val="26"/>
          <w:szCs w:val="26"/>
        </w:rPr>
        <w:t>Il Consiglio di Stato</w:t>
      </w:r>
      <w:r>
        <w:rPr>
          <w:color w:val="090E1D"/>
          <w:sz w:val="26"/>
          <w:szCs w:val="26"/>
        </w:rPr>
        <w:t xml:space="preserve">, chiamato a pronunciarsi sulla versione c.d. semplice, </w:t>
      </w:r>
      <w:r w:rsidR="00293BAB" w:rsidRPr="00C15A2F">
        <w:rPr>
          <w:color w:val="090E1D"/>
          <w:sz w:val="26"/>
          <w:szCs w:val="26"/>
        </w:rPr>
        <w:t xml:space="preserve">ha </w:t>
      </w:r>
      <w:r w:rsidR="001E78E5" w:rsidRPr="00C15A2F">
        <w:rPr>
          <w:color w:val="090E1D"/>
          <w:sz w:val="26"/>
          <w:szCs w:val="26"/>
        </w:rPr>
        <w:t xml:space="preserve">innanzi tutto precisato come </w:t>
      </w:r>
      <w:r w:rsidR="00293BAB" w:rsidRPr="00C15A2F">
        <w:rPr>
          <w:color w:val="090E1D"/>
          <w:sz w:val="26"/>
          <w:szCs w:val="26"/>
        </w:rPr>
        <w:t>l</w:t>
      </w:r>
      <w:r w:rsidR="004E7557" w:rsidRPr="00C15A2F">
        <w:rPr>
          <w:color w:val="090E1D"/>
          <w:sz w:val="26"/>
          <w:szCs w:val="26"/>
        </w:rPr>
        <w:t xml:space="preserve">a </w:t>
      </w:r>
      <w:r w:rsidR="001E78E5" w:rsidRPr="00C15A2F">
        <w:rPr>
          <w:color w:val="090E1D"/>
          <w:sz w:val="26"/>
          <w:szCs w:val="26"/>
        </w:rPr>
        <w:t xml:space="preserve">possibilità di ottenerlo in presenza di </w:t>
      </w:r>
      <w:r w:rsidR="004E7557" w:rsidRPr="00C15A2F">
        <w:rPr>
          <w:color w:val="090E1D"/>
          <w:sz w:val="26"/>
          <w:szCs w:val="26"/>
        </w:rPr>
        <w:t>presupposti, alternativi alla vaccinazione, ne esclud</w:t>
      </w:r>
      <w:r w:rsidR="00293BAB" w:rsidRPr="00C15A2F">
        <w:rPr>
          <w:color w:val="090E1D"/>
          <w:sz w:val="26"/>
          <w:szCs w:val="26"/>
        </w:rPr>
        <w:t>ono</w:t>
      </w:r>
      <w:r w:rsidR="004E7557" w:rsidRPr="00C15A2F">
        <w:rPr>
          <w:color w:val="090E1D"/>
          <w:sz w:val="26"/>
          <w:szCs w:val="26"/>
        </w:rPr>
        <w:t xml:space="preserve"> la configurabilità alla stregua di obbligo surrettizio di </w:t>
      </w:r>
      <w:r w:rsidR="001E78E5" w:rsidRPr="00C15A2F">
        <w:rPr>
          <w:color w:val="090E1D"/>
          <w:sz w:val="26"/>
          <w:szCs w:val="26"/>
        </w:rPr>
        <w:t>addivenire alla stessa</w:t>
      </w:r>
      <w:r w:rsidR="004E7557" w:rsidRPr="00C15A2F">
        <w:rPr>
          <w:color w:val="090E1D"/>
          <w:sz w:val="26"/>
          <w:szCs w:val="26"/>
        </w:rPr>
        <w:t>, assimilandolo invece alla figura giuridica dell’onere</w:t>
      </w:r>
      <w:r w:rsidR="00293BAB" w:rsidRPr="00C15A2F">
        <w:rPr>
          <w:color w:val="090E1D"/>
          <w:sz w:val="26"/>
          <w:szCs w:val="26"/>
        </w:rPr>
        <w:t>, con conseguente indebolimento dell’argomento facente leva sulla prospettata violazione dei principi di proporzionalità, parità di trattamento, uguaglianza e non  discriminazione (</w:t>
      </w:r>
      <w:proofErr w:type="spellStart"/>
      <w:r w:rsidR="00293BAB" w:rsidRPr="00C15A2F">
        <w:rPr>
          <w:color w:val="090E1D"/>
          <w:sz w:val="26"/>
          <w:szCs w:val="26"/>
        </w:rPr>
        <w:t>Cons</w:t>
      </w:r>
      <w:proofErr w:type="spellEnd"/>
      <w:r w:rsidR="00293BAB" w:rsidRPr="00C15A2F">
        <w:rPr>
          <w:color w:val="090E1D"/>
          <w:sz w:val="26"/>
          <w:szCs w:val="26"/>
        </w:rPr>
        <w:t>. Stato, sez. III, ordinanza n. 6097 dell’11 novembre 2021, concernente gli insegnanti)</w:t>
      </w:r>
      <w:r w:rsidR="004E7557" w:rsidRPr="00C15A2F">
        <w:rPr>
          <w:color w:val="090E1D"/>
          <w:sz w:val="26"/>
          <w:szCs w:val="26"/>
        </w:rPr>
        <w:t xml:space="preserve">. </w:t>
      </w:r>
    </w:p>
    <w:p w:rsidR="0062105D" w:rsidRDefault="00115F7A" w:rsidP="008E2068">
      <w:pPr>
        <w:pStyle w:val="text-justify"/>
        <w:spacing w:before="0" w:beforeAutospacing="0" w:after="0" w:afterAutospacing="0" w:line="360" w:lineRule="auto"/>
        <w:jc w:val="both"/>
        <w:rPr>
          <w:color w:val="090E1D"/>
          <w:sz w:val="26"/>
          <w:szCs w:val="26"/>
        </w:rPr>
      </w:pPr>
      <w:r w:rsidRPr="00C15A2F">
        <w:rPr>
          <w:color w:val="090E1D"/>
          <w:sz w:val="26"/>
          <w:szCs w:val="26"/>
        </w:rPr>
        <w:t xml:space="preserve">Per i dipendenti, la sua </w:t>
      </w:r>
      <w:r w:rsidR="001E78E5" w:rsidRPr="00C15A2F">
        <w:rPr>
          <w:color w:val="090E1D"/>
          <w:sz w:val="26"/>
          <w:szCs w:val="26"/>
        </w:rPr>
        <w:t xml:space="preserve">mancanza comporta </w:t>
      </w:r>
      <w:r w:rsidR="00293BAB" w:rsidRPr="00C15A2F">
        <w:rPr>
          <w:color w:val="090E1D"/>
          <w:sz w:val="26"/>
          <w:szCs w:val="26"/>
        </w:rPr>
        <w:t>la qualificazione come ingiustificata dell’assenza e la sospensione della retribuzione, pur con diritto alla conservazione del posto di lavoro e l’esclusione di conseguenze disciplinari (previste invece in caso di accesso in violazione degli obblighi).</w:t>
      </w:r>
      <w:r w:rsidR="00E47C7E" w:rsidRPr="00C15A2F">
        <w:rPr>
          <w:color w:val="090E1D"/>
          <w:sz w:val="26"/>
          <w:szCs w:val="26"/>
        </w:rPr>
        <w:t xml:space="preserve"> </w:t>
      </w:r>
      <w:r w:rsidR="00293BAB" w:rsidRPr="00C15A2F">
        <w:rPr>
          <w:color w:val="090E1D"/>
          <w:sz w:val="26"/>
          <w:szCs w:val="26"/>
        </w:rPr>
        <w:t xml:space="preserve">Lo schema-tipo su cui si modella, nelle parti comuni ai vari settori, la disciplina di cui al </w:t>
      </w:r>
      <w:proofErr w:type="spellStart"/>
      <w:r w:rsidR="00293BAB" w:rsidRPr="00C15A2F">
        <w:rPr>
          <w:color w:val="090E1D"/>
          <w:sz w:val="26"/>
          <w:szCs w:val="26"/>
        </w:rPr>
        <w:t>d.l.</w:t>
      </w:r>
      <w:proofErr w:type="spellEnd"/>
      <w:r w:rsidR="00293BAB" w:rsidRPr="00C15A2F">
        <w:rPr>
          <w:color w:val="090E1D"/>
          <w:sz w:val="26"/>
          <w:szCs w:val="26"/>
        </w:rPr>
        <w:t xml:space="preserve"> </w:t>
      </w:r>
      <w:r w:rsidR="00FD5729">
        <w:rPr>
          <w:color w:val="090E1D"/>
          <w:sz w:val="26"/>
          <w:szCs w:val="26"/>
        </w:rPr>
        <w:t xml:space="preserve">n. </w:t>
      </w:r>
      <w:r w:rsidR="00293BAB" w:rsidRPr="00C15A2F">
        <w:rPr>
          <w:color w:val="090E1D"/>
          <w:sz w:val="26"/>
          <w:szCs w:val="26"/>
        </w:rPr>
        <w:t>127</w:t>
      </w:r>
      <w:r w:rsidRPr="00C15A2F">
        <w:rPr>
          <w:color w:val="090E1D"/>
          <w:sz w:val="26"/>
          <w:szCs w:val="26"/>
        </w:rPr>
        <w:t>/2021</w:t>
      </w:r>
      <w:r w:rsidR="00293BAB" w:rsidRPr="00C15A2F">
        <w:rPr>
          <w:color w:val="090E1D"/>
          <w:sz w:val="26"/>
          <w:szCs w:val="26"/>
        </w:rPr>
        <w:t>, prevede</w:t>
      </w:r>
      <w:r w:rsidRPr="00C15A2F">
        <w:rPr>
          <w:color w:val="090E1D"/>
          <w:sz w:val="26"/>
          <w:szCs w:val="26"/>
        </w:rPr>
        <w:t>,</w:t>
      </w:r>
      <w:r w:rsidR="00293BAB" w:rsidRPr="00C15A2F">
        <w:rPr>
          <w:color w:val="090E1D"/>
          <w:sz w:val="26"/>
          <w:szCs w:val="26"/>
        </w:rPr>
        <w:t xml:space="preserve"> in linea generale</w:t>
      </w:r>
      <w:r w:rsidRPr="00C15A2F">
        <w:rPr>
          <w:color w:val="090E1D"/>
          <w:sz w:val="26"/>
          <w:szCs w:val="26"/>
        </w:rPr>
        <w:t>,</w:t>
      </w:r>
      <w:r w:rsidR="00293BAB" w:rsidRPr="00C15A2F">
        <w:rPr>
          <w:color w:val="090E1D"/>
          <w:sz w:val="26"/>
          <w:szCs w:val="26"/>
        </w:rPr>
        <w:t xml:space="preserve"> l’effettuazione dei controlli </w:t>
      </w:r>
      <w:r w:rsidRPr="00C15A2F">
        <w:rPr>
          <w:color w:val="090E1D"/>
          <w:sz w:val="26"/>
          <w:szCs w:val="26"/>
        </w:rPr>
        <w:t>«</w:t>
      </w:r>
      <w:r w:rsidR="00293BAB" w:rsidRPr="00C15A2F">
        <w:rPr>
          <w:i/>
          <w:color w:val="090E1D"/>
          <w:sz w:val="26"/>
          <w:szCs w:val="26"/>
        </w:rPr>
        <w:t>prioritariamente, ove possibile</w:t>
      </w:r>
      <w:r w:rsidRPr="00C15A2F">
        <w:rPr>
          <w:color w:val="090E1D"/>
          <w:sz w:val="26"/>
          <w:szCs w:val="26"/>
        </w:rPr>
        <w:t>»</w:t>
      </w:r>
      <w:r w:rsidR="00293BAB" w:rsidRPr="00C15A2F">
        <w:rPr>
          <w:color w:val="090E1D"/>
          <w:sz w:val="26"/>
          <w:szCs w:val="26"/>
        </w:rPr>
        <w:t xml:space="preserve"> al momento dell’accesso al luogo di lavoro, </w:t>
      </w:r>
      <w:r w:rsidRPr="00C15A2F">
        <w:rPr>
          <w:color w:val="090E1D"/>
          <w:sz w:val="26"/>
          <w:szCs w:val="26"/>
        </w:rPr>
        <w:t>«</w:t>
      </w:r>
      <w:r w:rsidR="00293BAB" w:rsidRPr="00C15A2F">
        <w:rPr>
          <w:i/>
          <w:color w:val="090E1D"/>
          <w:sz w:val="26"/>
          <w:szCs w:val="26"/>
        </w:rPr>
        <w:t>anche a campione</w:t>
      </w:r>
      <w:r w:rsidRPr="00C15A2F">
        <w:rPr>
          <w:color w:val="090E1D"/>
          <w:sz w:val="26"/>
          <w:szCs w:val="26"/>
        </w:rPr>
        <w:t>»</w:t>
      </w:r>
      <w:r w:rsidR="00293BAB" w:rsidRPr="00C15A2F">
        <w:rPr>
          <w:color w:val="090E1D"/>
          <w:sz w:val="26"/>
          <w:szCs w:val="26"/>
        </w:rPr>
        <w:t xml:space="preserve"> (commi 5 degli articoli 9-quinquies e 9-septies, rispettivamente per il settore pubblico e per quello privato, nonché, per gli uffici giudiziari, c</w:t>
      </w:r>
      <w:r w:rsidRPr="00C15A2F">
        <w:rPr>
          <w:color w:val="090E1D"/>
          <w:sz w:val="26"/>
          <w:szCs w:val="26"/>
        </w:rPr>
        <w:t>omma</w:t>
      </w:r>
      <w:r w:rsidR="00293BAB" w:rsidRPr="00C15A2F">
        <w:rPr>
          <w:color w:val="090E1D"/>
          <w:sz w:val="26"/>
          <w:szCs w:val="26"/>
        </w:rPr>
        <w:t xml:space="preserve"> 5 dell’articolo 9-sexies, che a sua volta rinvia al comma 5 dell’articolo 9-quinquies), nonché con le modalità di cui al </w:t>
      </w:r>
      <w:proofErr w:type="spellStart"/>
      <w:r w:rsidR="00293BAB" w:rsidRPr="00C15A2F">
        <w:rPr>
          <w:color w:val="090E1D"/>
          <w:sz w:val="26"/>
          <w:szCs w:val="26"/>
        </w:rPr>
        <w:t>d.P.C.M</w:t>
      </w:r>
      <w:proofErr w:type="spellEnd"/>
      <w:r w:rsidR="00293BAB" w:rsidRPr="00C15A2F">
        <w:rPr>
          <w:color w:val="090E1D"/>
          <w:sz w:val="26"/>
          <w:szCs w:val="26"/>
        </w:rPr>
        <w:t>. a</w:t>
      </w:r>
      <w:r w:rsidRPr="00C15A2F">
        <w:rPr>
          <w:color w:val="090E1D"/>
          <w:sz w:val="26"/>
          <w:szCs w:val="26"/>
        </w:rPr>
        <w:t xml:space="preserve">ttuativo, adottato </w:t>
      </w:r>
      <w:r w:rsidR="00375FEA" w:rsidRPr="00C15A2F">
        <w:rPr>
          <w:color w:val="090E1D"/>
          <w:sz w:val="26"/>
          <w:szCs w:val="26"/>
        </w:rPr>
        <w:t>il 17 giugno 2021</w:t>
      </w:r>
      <w:r w:rsidR="00293BAB" w:rsidRPr="00C15A2F">
        <w:rPr>
          <w:color w:val="090E1D"/>
          <w:sz w:val="26"/>
          <w:szCs w:val="26"/>
        </w:rPr>
        <w:t>.</w:t>
      </w:r>
      <w:r w:rsidR="00375FEA" w:rsidRPr="00C15A2F">
        <w:rPr>
          <w:color w:val="090E1D"/>
          <w:sz w:val="26"/>
          <w:szCs w:val="26"/>
        </w:rPr>
        <w:t xml:space="preserve"> Unico elemento di criticità parrebbe ad oggi la mancata adozione della disciplina </w:t>
      </w:r>
      <w:r w:rsidR="0057661C" w:rsidRPr="00C15A2F">
        <w:rPr>
          <w:color w:val="090E1D"/>
          <w:sz w:val="26"/>
          <w:szCs w:val="26"/>
        </w:rPr>
        <w:t xml:space="preserve">attuativa </w:t>
      </w:r>
      <w:r w:rsidR="00375FEA" w:rsidRPr="00C15A2F">
        <w:rPr>
          <w:color w:val="090E1D"/>
          <w:sz w:val="26"/>
          <w:szCs w:val="26"/>
        </w:rPr>
        <w:t xml:space="preserve">di carattere </w:t>
      </w:r>
      <w:r w:rsidR="00293BAB" w:rsidRPr="00C15A2F">
        <w:rPr>
          <w:color w:val="090E1D"/>
          <w:sz w:val="26"/>
          <w:szCs w:val="26"/>
        </w:rPr>
        <w:t>tecnico per la gestione digitale delle certificazioni di esenzione</w:t>
      </w:r>
      <w:r w:rsidR="00375FEA" w:rsidRPr="00C15A2F">
        <w:rPr>
          <w:color w:val="090E1D"/>
          <w:sz w:val="26"/>
          <w:szCs w:val="26"/>
        </w:rPr>
        <w:t xml:space="preserve">, sicché si continuano ad utilizzare le </w:t>
      </w:r>
      <w:r w:rsidR="00293BAB" w:rsidRPr="00C15A2F">
        <w:rPr>
          <w:color w:val="090E1D"/>
          <w:sz w:val="26"/>
          <w:szCs w:val="26"/>
        </w:rPr>
        <w:t xml:space="preserve">attestazioni cartacee, per le quali la circolare del 4 agosto 2021 del Ministero della salute esclude, doverosamente, la possibilità d’indicazione della motivazione clinica dell’esenzione. </w:t>
      </w:r>
      <w:r w:rsidRPr="00C15A2F">
        <w:rPr>
          <w:color w:val="090E1D"/>
          <w:sz w:val="26"/>
          <w:szCs w:val="26"/>
        </w:rPr>
        <w:t xml:space="preserve"> </w:t>
      </w:r>
    </w:p>
    <w:p w:rsidR="00367355" w:rsidRPr="00C15A2F" w:rsidRDefault="0057661C" w:rsidP="008E2068">
      <w:pPr>
        <w:pStyle w:val="text-justify"/>
        <w:spacing w:before="0" w:beforeAutospacing="0" w:after="0" w:afterAutospacing="0" w:line="360" w:lineRule="auto"/>
        <w:jc w:val="both"/>
        <w:rPr>
          <w:iCs/>
          <w:color w:val="000000"/>
          <w:sz w:val="26"/>
          <w:szCs w:val="26"/>
        </w:rPr>
      </w:pPr>
      <w:r w:rsidRPr="00C15A2F">
        <w:rPr>
          <w:color w:val="000000"/>
          <w:sz w:val="26"/>
          <w:szCs w:val="26"/>
        </w:rPr>
        <w:t xml:space="preserve">Il Consiglio di Stato, come sopra detto, ha già avuto modo di pronunciarsi, seppure in via cautelare, sul </w:t>
      </w:r>
      <w:r w:rsidR="00115F7A" w:rsidRPr="00C15A2F">
        <w:rPr>
          <w:color w:val="000000"/>
          <w:sz w:val="26"/>
          <w:szCs w:val="26"/>
        </w:rPr>
        <w:t xml:space="preserve">richiamato </w:t>
      </w:r>
      <w:proofErr w:type="spellStart"/>
      <w:r w:rsidR="00115F7A" w:rsidRPr="00C15A2F">
        <w:rPr>
          <w:color w:val="000000"/>
          <w:sz w:val="26"/>
          <w:szCs w:val="26"/>
        </w:rPr>
        <w:t>d.P.C.M</w:t>
      </w:r>
      <w:proofErr w:type="spellEnd"/>
      <w:r w:rsidR="00115F7A" w:rsidRPr="00C15A2F">
        <w:rPr>
          <w:color w:val="000000"/>
          <w:sz w:val="26"/>
          <w:szCs w:val="26"/>
        </w:rPr>
        <w:t>., sia a livello generale, sia con riferimento alla speciale categoria degli insegnanti. Se si tralascia la sentenza sull’obbligo vaccinale, che indirettamente richiama a</w:t>
      </w:r>
      <w:r w:rsidR="00FD5729">
        <w:rPr>
          <w:color w:val="000000"/>
          <w:sz w:val="26"/>
          <w:szCs w:val="26"/>
        </w:rPr>
        <w:t>n</w:t>
      </w:r>
      <w:r w:rsidR="00115F7A" w:rsidRPr="00C15A2F">
        <w:rPr>
          <w:color w:val="000000"/>
          <w:sz w:val="26"/>
          <w:szCs w:val="26"/>
        </w:rPr>
        <w:t xml:space="preserve">che il </w:t>
      </w:r>
      <w:r w:rsidR="00115F7A" w:rsidRPr="0062105D">
        <w:rPr>
          <w:i/>
          <w:color w:val="000000"/>
          <w:sz w:val="26"/>
          <w:szCs w:val="26"/>
        </w:rPr>
        <w:t>green pass</w:t>
      </w:r>
      <w:r w:rsidR="00115F7A" w:rsidRPr="00C15A2F">
        <w:rPr>
          <w:color w:val="000000"/>
          <w:sz w:val="26"/>
          <w:szCs w:val="26"/>
        </w:rPr>
        <w:t xml:space="preserve"> come modalità alternativa per sortire l’effetto induttivo alla vaccinazione del maggior numero possibile di persone, allo scopo, già ricordato, di addivenire all’immunità di gregge</w:t>
      </w:r>
      <w:r w:rsidR="0062105D">
        <w:rPr>
          <w:color w:val="000000"/>
          <w:sz w:val="26"/>
          <w:szCs w:val="26"/>
        </w:rPr>
        <w:t xml:space="preserve"> (</w:t>
      </w:r>
      <w:proofErr w:type="spellStart"/>
      <w:r w:rsidR="0062105D" w:rsidRPr="0062105D">
        <w:rPr>
          <w:i/>
          <w:color w:val="000000"/>
          <w:sz w:val="26"/>
          <w:szCs w:val="26"/>
        </w:rPr>
        <w:t>nudge</w:t>
      </w:r>
      <w:proofErr w:type="spellEnd"/>
      <w:r w:rsidR="0062105D">
        <w:rPr>
          <w:color w:val="000000"/>
          <w:sz w:val="26"/>
          <w:szCs w:val="26"/>
        </w:rPr>
        <w:t>, o spinta gentile verso la vaccinazione)</w:t>
      </w:r>
      <w:r w:rsidR="00115F7A" w:rsidRPr="00C15A2F">
        <w:rPr>
          <w:color w:val="000000"/>
          <w:sz w:val="26"/>
          <w:szCs w:val="26"/>
        </w:rPr>
        <w:t xml:space="preserve">, vanno ricordate due importanti decisioni adottate ancora una volta in sede cautelare. </w:t>
      </w:r>
      <w:r w:rsidR="0009160B" w:rsidRPr="00C15A2F">
        <w:rPr>
          <w:color w:val="000000"/>
          <w:sz w:val="26"/>
          <w:szCs w:val="26"/>
        </w:rPr>
        <w:t xml:space="preserve">Nel primo caso, la doglianza era a titolo per così dire preventivo, non avendo gli interessati subito o comunque lamentato una concreta ipotetica lesione dei propri diritti in conseguenza dell’applicazione della disciplina del </w:t>
      </w:r>
      <w:r w:rsidR="0009160B" w:rsidRPr="00C15A2F">
        <w:rPr>
          <w:i/>
          <w:color w:val="000000"/>
          <w:sz w:val="26"/>
          <w:szCs w:val="26"/>
        </w:rPr>
        <w:t>green pass</w:t>
      </w:r>
      <w:r w:rsidR="0009160B" w:rsidRPr="00C15A2F">
        <w:rPr>
          <w:color w:val="000000"/>
          <w:sz w:val="26"/>
          <w:szCs w:val="26"/>
        </w:rPr>
        <w:t xml:space="preserve">, </w:t>
      </w:r>
      <w:r w:rsidR="00115F7A" w:rsidRPr="00C15A2F">
        <w:rPr>
          <w:color w:val="000000"/>
          <w:sz w:val="26"/>
          <w:szCs w:val="26"/>
        </w:rPr>
        <w:t xml:space="preserve">ma contrapponendo al relativo obbligo la propria libertà di autodeterminazione, evidentemente in senso contrario rispetto al vaccino e la loro esigenza economica di non doversi sottoporre a tamponi a proprie spese per fruire di certe attività. Il </w:t>
      </w:r>
      <w:r w:rsidR="0009160B" w:rsidRPr="00C15A2F">
        <w:rPr>
          <w:color w:val="000000"/>
          <w:sz w:val="26"/>
          <w:szCs w:val="26"/>
        </w:rPr>
        <w:t xml:space="preserve"> Consiglio di Stato ha confermato la reiezione dell’istanza di sospensione del d</w:t>
      </w:r>
      <w:r w:rsidR="00367355" w:rsidRPr="00C15A2F">
        <w:rPr>
          <w:color w:val="000000"/>
          <w:sz w:val="26"/>
          <w:szCs w:val="26"/>
        </w:rPr>
        <w:t xml:space="preserve">ecreto valorizzandone in particolare la natura di atto attuativo di regole declinate dalla fonte primaria delegante, che al contrario ha </w:t>
      </w:r>
      <w:r w:rsidR="0009160B" w:rsidRPr="00C15A2F">
        <w:rPr>
          <w:color w:val="000000"/>
          <w:sz w:val="26"/>
          <w:szCs w:val="26"/>
        </w:rPr>
        <w:t>contenuti regolatori</w:t>
      </w:r>
      <w:r w:rsidR="00367355" w:rsidRPr="00C15A2F">
        <w:rPr>
          <w:color w:val="000000"/>
          <w:sz w:val="26"/>
          <w:szCs w:val="26"/>
        </w:rPr>
        <w:t xml:space="preserve"> delle </w:t>
      </w:r>
      <w:r w:rsidR="0009160B" w:rsidRPr="00C15A2F">
        <w:rPr>
          <w:color w:val="000000"/>
          <w:sz w:val="26"/>
          <w:szCs w:val="26"/>
        </w:rPr>
        <w:t>attività sociali, economiche e lavorative realizzabili dai soggetti vaccinati, o in possesso di un’attestazione di “negatività” al virus, cui sarebbero da ricondurre i lamentati effetti discriminatori (</w:t>
      </w:r>
      <w:proofErr w:type="spellStart"/>
      <w:r w:rsidR="0009160B" w:rsidRPr="00C15A2F">
        <w:rPr>
          <w:color w:val="000000"/>
          <w:sz w:val="26"/>
          <w:szCs w:val="26"/>
        </w:rPr>
        <w:t>Cons</w:t>
      </w:r>
      <w:proofErr w:type="spellEnd"/>
      <w:r w:rsidR="0009160B" w:rsidRPr="00C15A2F">
        <w:rPr>
          <w:color w:val="000000"/>
          <w:sz w:val="26"/>
          <w:szCs w:val="26"/>
        </w:rPr>
        <w:t xml:space="preserve">. Stato, sez. III, </w:t>
      </w:r>
      <w:r w:rsidR="00F30210" w:rsidRPr="00C15A2F">
        <w:rPr>
          <w:color w:val="000000"/>
          <w:sz w:val="26"/>
          <w:szCs w:val="26"/>
        </w:rPr>
        <w:t>ordinanza del 17 settembre 2021, n. 5130</w:t>
      </w:r>
      <w:r w:rsidR="0009160B" w:rsidRPr="00C15A2F">
        <w:rPr>
          <w:color w:val="000000"/>
          <w:sz w:val="26"/>
          <w:szCs w:val="26"/>
        </w:rPr>
        <w:t xml:space="preserve">). Eventuali questioni </w:t>
      </w:r>
      <w:r w:rsidR="00F30210" w:rsidRPr="00C15A2F">
        <w:rPr>
          <w:color w:val="000000"/>
          <w:sz w:val="26"/>
          <w:szCs w:val="26"/>
        </w:rPr>
        <w:t xml:space="preserve">di compatibilità, costituzionale ed </w:t>
      </w:r>
      <w:proofErr w:type="spellStart"/>
      <w:r w:rsidR="00F30210" w:rsidRPr="00C15A2F">
        <w:rPr>
          <w:color w:val="000000"/>
          <w:sz w:val="26"/>
          <w:szCs w:val="26"/>
        </w:rPr>
        <w:t>unionale</w:t>
      </w:r>
      <w:proofErr w:type="spellEnd"/>
      <w:r w:rsidR="00F30210" w:rsidRPr="00C15A2F">
        <w:rPr>
          <w:color w:val="000000"/>
          <w:sz w:val="26"/>
          <w:szCs w:val="26"/>
        </w:rPr>
        <w:t xml:space="preserve">, della disciplina, </w:t>
      </w:r>
      <w:r w:rsidR="00367355" w:rsidRPr="00C15A2F">
        <w:rPr>
          <w:color w:val="000000"/>
          <w:sz w:val="26"/>
          <w:szCs w:val="26"/>
        </w:rPr>
        <w:t xml:space="preserve">devono pertanto essere riferite a tali fonti primarie e non alla sua mera attuazione. Ha poi richiamato i principi già esplicitati in sede di decreto monocratico </w:t>
      </w:r>
      <w:r w:rsidR="0009160B" w:rsidRPr="00C15A2F">
        <w:rPr>
          <w:color w:val="000000"/>
          <w:sz w:val="26"/>
          <w:szCs w:val="26"/>
        </w:rPr>
        <w:t>(</w:t>
      </w:r>
      <w:r w:rsidR="00F30210" w:rsidRPr="00C15A2F">
        <w:rPr>
          <w:color w:val="000000"/>
          <w:sz w:val="26"/>
          <w:szCs w:val="26"/>
        </w:rPr>
        <w:t>n. 3568 del 30 giugno 2021)</w:t>
      </w:r>
      <w:r w:rsidR="00367355" w:rsidRPr="00C15A2F">
        <w:rPr>
          <w:color w:val="000000"/>
          <w:sz w:val="26"/>
          <w:szCs w:val="26"/>
        </w:rPr>
        <w:t xml:space="preserve">, ovvero la mancanza di </w:t>
      </w:r>
      <w:r w:rsidR="00F30210" w:rsidRPr="00C15A2F">
        <w:rPr>
          <w:color w:val="000000"/>
          <w:sz w:val="26"/>
          <w:szCs w:val="26"/>
        </w:rPr>
        <w:t xml:space="preserve">violazione della </w:t>
      </w:r>
      <w:r w:rsidR="00F30210" w:rsidRPr="00EC092F">
        <w:rPr>
          <w:i/>
          <w:color w:val="000000"/>
          <w:sz w:val="26"/>
          <w:szCs w:val="26"/>
        </w:rPr>
        <w:t>privacy</w:t>
      </w:r>
      <w:r w:rsidR="00F30210" w:rsidRPr="00C15A2F">
        <w:rPr>
          <w:color w:val="000000"/>
          <w:sz w:val="26"/>
          <w:szCs w:val="26"/>
        </w:rPr>
        <w:t xml:space="preserve">, stante che </w:t>
      </w:r>
      <w:r w:rsidR="00F30210" w:rsidRPr="00C15A2F">
        <w:rPr>
          <w:iCs/>
          <w:color w:val="000000"/>
          <w:sz w:val="26"/>
          <w:szCs w:val="26"/>
        </w:rPr>
        <w:t>le prescrizioni stabilite dal Garante per la riservatezza dei dati personali mantengono la loro efficacia nei confronti delle misure applicative di copertura dell’autorità sanitaria nazionale cui spetta il coordinamento delle iniziative occorrenti</w:t>
      </w:r>
      <w:r w:rsidR="00367355" w:rsidRPr="00C15A2F">
        <w:rPr>
          <w:iCs/>
          <w:color w:val="000000"/>
          <w:sz w:val="26"/>
          <w:szCs w:val="26"/>
        </w:rPr>
        <w:t>. Il</w:t>
      </w:r>
      <w:r w:rsidR="0009160B" w:rsidRPr="00C15A2F">
        <w:rPr>
          <w:iCs/>
          <w:color w:val="000000"/>
          <w:sz w:val="26"/>
          <w:szCs w:val="26"/>
        </w:rPr>
        <w:t xml:space="preserve"> </w:t>
      </w:r>
      <w:r w:rsidR="0009160B" w:rsidRPr="00C15A2F">
        <w:rPr>
          <w:i/>
          <w:iCs/>
          <w:color w:val="000000"/>
          <w:sz w:val="26"/>
          <w:szCs w:val="26"/>
        </w:rPr>
        <w:t>green pass</w:t>
      </w:r>
      <w:r w:rsidR="00367355" w:rsidRPr="00C15A2F">
        <w:rPr>
          <w:iCs/>
          <w:color w:val="000000"/>
          <w:sz w:val="26"/>
          <w:szCs w:val="26"/>
        </w:rPr>
        <w:t>, infine,</w:t>
      </w:r>
      <w:r w:rsidR="0009160B" w:rsidRPr="00C15A2F">
        <w:rPr>
          <w:iCs/>
          <w:color w:val="000000"/>
          <w:sz w:val="26"/>
          <w:szCs w:val="26"/>
        </w:rPr>
        <w:t xml:space="preserve"> </w:t>
      </w:r>
      <w:r w:rsidR="00F30210" w:rsidRPr="00C15A2F">
        <w:rPr>
          <w:i/>
          <w:iCs/>
          <w:color w:val="000000"/>
          <w:sz w:val="26"/>
          <w:szCs w:val="26"/>
        </w:rPr>
        <w:t xml:space="preserve">«rientra in un ambito di misure, concordate e definite a livello europeo e dunque non eludibili, anche per ciò che attiene la loro decorrenza temporale, e che mirano a preservare la salute pubblica in ambito sovrannazionale per consentire la fruizione delle opportunità di spostamenti e viaggi in sicurezza riducendo i controlli», </w:t>
      </w:r>
      <w:r w:rsidR="00F30210" w:rsidRPr="00C15A2F">
        <w:rPr>
          <w:iCs/>
          <w:color w:val="000000"/>
          <w:sz w:val="26"/>
          <w:szCs w:val="26"/>
        </w:rPr>
        <w:t xml:space="preserve">cui non può contrapporsi </w:t>
      </w:r>
      <w:r w:rsidR="0009160B" w:rsidRPr="00C15A2F">
        <w:rPr>
          <w:iCs/>
          <w:color w:val="000000"/>
          <w:sz w:val="26"/>
          <w:szCs w:val="26"/>
        </w:rPr>
        <w:t>l’</w:t>
      </w:r>
      <w:r w:rsidR="00F30210" w:rsidRPr="00C15A2F">
        <w:rPr>
          <w:iCs/>
          <w:color w:val="000000"/>
          <w:sz w:val="26"/>
          <w:szCs w:val="26"/>
        </w:rPr>
        <w:t xml:space="preserve">affermazione del tutto generica secondo cui </w:t>
      </w:r>
      <w:r w:rsidR="00F30210" w:rsidRPr="00C15A2F">
        <w:rPr>
          <w:i/>
          <w:iCs/>
          <w:color w:val="000000"/>
          <w:sz w:val="26"/>
          <w:szCs w:val="26"/>
        </w:rPr>
        <w:t xml:space="preserve">“allo stato delle conoscenze scientifiche” </w:t>
      </w:r>
      <w:r w:rsidR="00F30210" w:rsidRPr="00C15A2F">
        <w:rPr>
          <w:iCs/>
          <w:color w:val="000000"/>
          <w:sz w:val="26"/>
          <w:szCs w:val="26"/>
        </w:rPr>
        <w:t>non vi sarebbe piena immunizzazione e quindi si creerebbe un “</w:t>
      </w:r>
      <w:r w:rsidR="00F30210" w:rsidRPr="00C15A2F">
        <w:rPr>
          <w:i/>
          <w:iCs/>
          <w:color w:val="000000"/>
          <w:sz w:val="26"/>
          <w:szCs w:val="26"/>
        </w:rPr>
        <w:t>lasciapassare falso di immunità</w:t>
      </w:r>
      <w:r w:rsidR="00F30210" w:rsidRPr="00C15A2F">
        <w:rPr>
          <w:iCs/>
          <w:color w:val="000000"/>
          <w:sz w:val="26"/>
          <w:szCs w:val="26"/>
        </w:rPr>
        <w:t>”</w:t>
      </w:r>
      <w:r w:rsidR="0009160B" w:rsidRPr="00C15A2F">
        <w:rPr>
          <w:iCs/>
          <w:color w:val="000000"/>
          <w:sz w:val="26"/>
          <w:szCs w:val="26"/>
        </w:rPr>
        <w:t xml:space="preserve">, in quanto contrastante </w:t>
      </w:r>
      <w:r w:rsidR="00F30210" w:rsidRPr="00C15A2F">
        <w:rPr>
          <w:iCs/>
          <w:color w:val="000000"/>
          <w:sz w:val="26"/>
          <w:szCs w:val="26"/>
        </w:rPr>
        <w:t xml:space="preserve">con ampi e approfonditi studi e ricerche su cui si sono basate le decisioni europee e nazionali volte a mitigare le restrizioni anti </w:t>
      </w:r>
      <w:proofErr w:type="spellStart"/>
      <w:r w:rsidR="00F30210" w:rsidRPr="00C15A2F">
        <w:rPr>
          <w:iCs/>
          <w:color w:val="000000"/>
          <w:sz w:val="26"/>
          <w:szCs w:val="26"/>
        </w:rPr>
        <w:t>covid</w:t>
      </w:r>
      <w:proofErr w:type="spellEnd"/>
      <w:r w:rsidR="00F30210" w:rsidRPr="00C15A2F">
        <w:rPr>
          <w:iCs/>
          <w:color w:val="000000"/>
          <w:sz w:val="26"/>
          <w:szCs w:val="26"/>
        </w:rPr>
        <w:t xml:space="preserve"> a fronte di diffuse campagne vaccinali. </w:t>
      </w:r>
    </w:p>
    <w:p w:rsidR="0060520E" w:rsidRDefault="00367355" w:rsidP="008E2068">
      <w:pPr>
        <w:pStyle w:val="text-justify"/>
        <w:spacing w:before="0" w:beforeAutospacing="0" w:after="0" w:afterAutospacing="0" w:line="360" w:lineRule="auto"/>
        <w:jc w:val="both"/>
        <w:rPr>
          <w:color w:val="000000"/>
          <w:sz w:val="26"/>
          <w:szCs w:val="26"/>
        </w:rPr>
      </w:pPr>
      <w:r w:rsidRPr="00C15A2F">
        <w:rPr>
          <w:iCs/>
          <w:color w:val="000000"/>
          <w:sz w:val="26"/>
          <w:szCs w:val="26"/>
        </w:rPr>
        <w:t>La successiva</w:t>
      </w:r>
      <w:r w:rsidR="0009160B" w:rsidRPr="00C15A2F">
        <w:rPr>
          <w:iCs/>
          <w:color w:val="000000"/>
          <w:sz w:val="26"/>
          <w:szCs w:val="26"/>
        </w:rPr>
        <w:t xml:space="preserve"> </w:t>
      </w:r>
      <w:r w:rsidR="0060520E" w:rsidRPr="00C15A2F">
        <w:rPr>
          <w:iCs/>
          <w:color w:val="000000"/>
          <w:sz w:val="26"/>
          <w:szCs w:val="26"/>
        </w:rPr>
        <w:t xml:space="preserve">ordinanza n. 6097 dell’11 novembre 2021 </w:t>
      </w:r>
      <w:r w:rsidRPr="00C15A2F">
        <w:rPr>
          <w:iCs/>
          <w:color w:val="000000"/>
          <w:sz w:val="26"/>
          <w:szCs w:val="26"/>
        </w:rPr>
        <w:t xml:space="preserve">ha affrontato </w:t>
      </w:r>
      <w:r w:rsidR="0060520E" w:rsidRPr="00C15A2F">
        <w:rPr>
          <w:iCs/>
          <w:color w:val="000000"/>
          <w:sz w:val="26"/>
          <w:szCs w:val="26"/>
        </w:rPr>
        <w:t xml:space="preserve">nuovamente </w:t>
      </w:r>
      <w:r w:rsidRPr="00C15A2F">
        <w:rPr>
          <w:iCs/>
          <w:color w:val="000000"/>
          <w:sz w:val="26"/>
          <w:szCs w:val="26"/>
        </w:rPr>
        <w:t>la questione ma dalla particolare angolazione di una specifica categoria professionale, ovvero gli insegnanti, in quanto fra i primi ad essere stati assoggettati al relativo obbligo</w:t>
      </w:r>
      <w:r w:rsidR="0062105D">
        <w:rPr>
          <w:iCs/>
          <w:color w:val="000000"/>
          <w:sz w:val="26"/>
          <w:szCs w:val="26"/>
        </w:rPr>
        <w:t xml:space="preserve"> (oggi traslato in quello vaccinale)</w:t>
      </w:r>
      <w:r w:rsidRPr="00C15A2F">
        <w:rPr>
          <w:iCs/>
          <w:color w:val="000000"/>
          <w:sz w:val="26"/>
          <w:szCs w:val="26"/>
        </w:rPr>
        <w:t>. In tale occasione, d</w:t>
      </w:r>
      <w:r w:rsidR="0060520E" w:rsidRPr="00C15A2F">
        <w:rPr>
          <w:iCs/>
          <w:color w:val="000000"/>
          <w:sz w:val="26"/>
          <w:szCs w:val="26"/>
        </w:rPr>
        <w:t xml:space="preserve">a un lato è stata depotenziata la pretesa dei ricorrenti in quanto poggiante </w:t>
      </w:r>
      <w:r w:rsidR="0060520E" w:rsidRPr="00C15A2F">
        <w:rPr>
          <w:color w:val="000000"/>
          <w:sz w:val="26"/>
          <w:szCs w:val="26"/>
        </w:rPr>
        <w:t xml:space="preserve">su premesse indimostrate in fatto (come l’affermazione secondo la quale il rifiuto di sottoporsi a vaccinazione sarebbe funzionale alla tutela del diritto alla salute individuale), </w:t>
      </w:r>
      <w:r w:rsidRPr="00C15A2F">
        <w:rPr>
          <w:color w:val="000000"/>
          <w:sz w:val="26"/>
          <w:szCs w:val="26"/>
        </w:rPr>
        <w:t xml:space="preserve">che per contro è tutelata, al pari di quella collettiva, </w:t>
      </w:r>
      <w:r w:rsidR="0060520E" w:rsidRPr="00C15A2F">
        <w:rPr>
          <w:color w:val="000000"/>
          <w:sz w:val="26"/>
          <w:szCs w:val="26"/>
        </w:rPr>
        <w:t>«</w:t>
      </w:r>
      <w:r w:rsidR="0060520E" w:rsidRPr="00C15A2F">
        <w:rPr>
          <w:i/>
          <w:color w:val="000000"/>
          <w:sz w:val="26"/>
          <w:szCs w:val="26"/>
        </w:rPr>
        <w:t>secondo le evidenze scientifiche poste a fondamento dei provvedimenti gravati, non superate dalle contrarie asserzioni su cui poggia il gravame</w:t>
      </w:r>
      <w:r w:rsidR="0060520E" w:rsidRPr="00C15A2F">
        <w:rPr>
          <w:color w:val="000000"/>
          <w:sz w:val="26"/>
          <w:szCs w:val="26"/>
        </w:rPr>
        <w:t>»; dall’altra</w:t>
      </w:r>
      <w:r w:rsidRPr="00C15A2F">
        <w:rPr>
          <w:color w:val="000000"/>
          <w:sz w:val="26"/>
          <w:szCs w:val="26"/>
        </w:rPr>
        <w:t xml:space="preserve">, anche ammesso che vi sia una contrapposizione tra salute individuale e collettiva, </w:t>
      </w:r>
      <w:r w:rsidR="0060520E" w:rsidRPr="00C15A2F">
        <w:rPr>
          <w:color w:val="000000"/>
          <w:sz w:val="26"/>
          <w:szCs w:val="26"/>
        </w:rPr>
        <w:t xml:space="preserve">ha </w:t>
      </w:r>
      <w:r w:rsidRPr="00C15A2F">
        <w:rPr>
          <w:color w:val="000000"/>
          <w:sz w:val="26"/>
          <w:szCs w:val="26"/>
        </w:rPr>
        <w:t xml:space="preserve">fatto ancora una volta ricorso alla </w:t>
      </w:r>
      <w:r w:rsidR="0060520E" w:rsidRPr="00C15A2F">
        <w:rPr>
          <w:color w:val="000000"/>
          <w:sz w:val="26"/>
          <w:szCs w:val="26"/>
        </w:rPr>
        <w:t xml:space="preserve">comparazione fra interessi contrapposti, </w:t>
      </w:r>
      <w:r w:rsidRPr="00C15A2F">
        <w:rPr>
          <w:color w:val="000000"/>
          <w:sz w:val="26"/>
          <w:szCs w:val="26"/>
        </w:rPr>
        <w:t xml:space="preserve">che la vedrebbe comunque soccombente, anche in ragione dell’esistenza di doveri di solidarietà, senza che possa darsi rilievo alle </w:t>
      </w:r>
      <w:r w:rsidR="0060520E" w:rsidRPr="00C15A2F">
        <w:rPr>
          <w:color w:val="000000"/>
          <w:sz w:val="26"/>
          <w:szCs w:val="26"/>
        </w:rPr>
        <w:t>“convinzioni personali” dei singoli</w:t>
      </w:r>
      <w:r w:rsidRPr="00C15A2F">
        <w:rPr>
          <w:color w:val="000000"/>
          <w:sz w:val="26"/>
          <w:szCs w:val="26"/>
        </w:rPr>
        <w:t xml:space="preserve">. </w:t>
      </w:r>
      <w:r w:rsidR="0060520E" w:rsidRPr="00C15A2F">
        <w:rPr>
          <w:color w:val="000000"/>
          <w:sz w:val="26"/>
          <w:szCs w:val="26"/>
        </w:rPr>
        <w:t>A ciò si aggiunge la rilevanza delle mansioni svolte</w:t>
      </w:r>
      <w:r w:rsidRPr="00C15A2F">
        <w:rPr>
          <w:color w:val="000000"/>
          <w:sz w:val="26"/>
          <w:szCs w:val="26"/>
        </w:rPr>
        <w:t xml:space="preserve">, </w:t>
      </w:r>
      <w:r w:rsidR="0060520E" w:rsidRPr="00C15A2F">
        <w:rPr>
          <w:color w:val="000000"/>
          <w:sz w:val="26"/>
          <w:szCs w:val="26"/>
        </w:rPr>
        <w:t>che implicano, come già precisato anche in questo caso in sede monocratica, «</w:t>
      </w:r>
      <w:r w:rsidR="0060520E" w:rsidRPr="00C15A2F">
        <w:rPr>
          <w:i/>
          <w:iCs/>
          <w:color w:val="000000"/>
          <w:sz w:val="26"/>
          <w:szCs w:val="26"/>
        </w:rPr>
        <w:t xml:space="preserve">una responsabilità specifica e rafforzata verso i propri studenti, che costituisce componente essenziale della funzione (se non addirittura missione) di ogni docente», </w:t>
      </w:r>
      <w:r w:rsidR="0060520E" w:rsidRPr="00C15A2F">
        <w:rPr>
          <w:iCs/>
          <w:color w:val="000000"/>
          <w:sz w:val="26"/>
          <w:szCs w:val="26"/>
        </w:rPr>
        <w:t xml:space="preserve">cui non può fare da contraltare la sospensione retributiva conseguente al mancato rispetto dell’obbligo, in quanto la natura meramente economica </w:t>
      </w:r>
      <w:r w:rsidRPr="00C15A2F">
        <w:rPr>
          <w:iCs/>
          <w:color w:val="000000"/>
          <w:sz w:val="26"/>
          <w:szCs w:val="26"/>
        </w:rPr>
        <w:t xml:space="preserve">della stessa </w:t>
      </w:r>
      <w:r w:rsidR="0060520E" w:rsidRPr="00C15A2F">
        <w:rPr>
          <w:iCs/>
          <w:color w:val="000000"/>
          <w:sz w:val="26"/>
          <w:szCs w:val="26"/>
        </w:rPr>
        <w:t>è «</w:t>
      </w:r>
      <w:r w:rsidR="0060520E" w:rsidRPr="00C15A2F">
        <w:rPr>
          <w:i/>
          <w:iCs/>
          <w:color w:val="000000"/>
          <w:sz w:val="26"/>
          <w:szCs w:val="26"/>
        </w:rPr>
        <w:t>tale da escludere la irreparabilità e irreversibilità</w:t>
      </w:r>
      <w:r w:rsidR="0060520E" w:rsidRPr="00C15A2F">
        <w:rPr>
          <w:color w:val="000000"/>
          <w:sz w:val="26"/>
          <w:szCs w:val="26"/>
        </w:rPr>
        <w:t xml:space="preserve"> </w:t>
      </w:r>
      <w:r w:rsidR="0060520E" w:rsidRPr="00C15A2F">
        <w:rPr>
          <w:i/>
          <w:color w:val="000000"/>
          <w:sz w:val="26"/>
          <w:szCs w:val="26"/>
        </w:rPr>
        <w:t>del pregiudizio</w:t>
      </w:r>
      <w:r w:rsidR="008D0A15" w:rsidRPr="00C15A2F">
        <w:rPr>
          <w:color w:val="000000"/>
          <w:sz w:val="26"/>
          <w:szCs w:val="26"/>
        </w:rPr>
        <w:t xml:space="preserve">». </w:t>
      </w:r>
    </w:p>
    <w:p w:rsidR="00C15A2F" w:rsidRPr="00C15A2F" w:rsidRDefault="00C15A2F" w:rsidP="008E2068">
      <w:pPr>
        <w:pStyle w:val="text-justify"/>
        <w:spacing w:before="0" w:beforeAutospacing="0" w:after="0" w:afterAutospacing="0" w:line="360" w:lineRule="auto"/>
        <w:jc w:val="both"/>
        <w:rPr>
          <w:color w:val="000000"/>
          <w:sz w:val="26"/>
          <w:szCs w:val="26"/>
        </w:rPr>
      </w:pPr>
    </w:p>
    <w:p w:rsidR="004946D9" w:rsidRPr="00C15A2F" w:rsidRDefault="00C15A2F" w:rsidP="008E2068">
      <w:pPr>
        <w:pStyle w:val="text-justify"/>
        <w:spacing w:before="0" w:beforeAutospacing="0" w:after="0" w:afterAutospacing="0" w:line="360" w:lineRule="auto"/>
        <w:jc w:val="both"/>
        <w:rPr>
          <w:color w:val="090E1D"/>
          <w:sz w:val="26"/>
          <w:szCs w:val="26"/>
        </w:rPr>
      </w:pPr>
      <w:r w:rsidRPr="00C15A2F">
        <w:rPr>
          <w:b/>
          <w:color w:val="090E1D"/>
          <w:sz w:val="26"/>
          <w:szCs w:val="26"/>
        </w:rPr>
        <w:t xml:space="preserve">6. </w:t>
      </w:r>
      <w:r w:rsidR="00A21CE4" w:rsidRPr="00C15A2F">
        <w:rPr>
          <w:b/>
          <w:color w:val="090E1D"/>
          <w:sz w:val="26"/>
          <w:szCs w:val="26"/>
        </w:rPr>
        <w:t xml:space="preserve">Le misure di </w:t>
      </w:r>
      <w:proofErr w:type="spellStart"/>
      <w:r w:rsidR="00A21CE4" w:rsidRPr="00C15A2F">
        <w:rPr>
          <w:b/>
          <w:color w:val="090E1D"/>
          <w:sz w:val="26"/>
          <w:szCs w:val="26"/>
        </w:rPr>
        <w:t>efficientamento</w:t>
      </w:r>
      <w:proofErr w:type="spellEnd"/>
      <w:r w:rsidR="00A21CE4" w:rsidRPr="00C15A2F">
        <w:rPr>
          <w:b/>
          <w:color w:val="090E1D"/>
          <w:sz w:val="26"/>
          <w:szCs w:val="26"/>
        </w:rPr>
        <w:t xml:space="preserve"> della giustizia amministrativa previste dal Piano nazionale di r</w:t>
      </w:r>
      <w:r w:rsidR="00311234">
        <w:rPr>
          <w:b/>
          <w:color w:val="090E1D"/>
          <w:sz w:val="26"/>
          <w:szCs w:val="26"/>
        </w:rPr>
        <w:t xml:space="preserve">ipresa e </w:t>
      </w:r>
      <w:r w:rsidR="00A21CE4" w:rsidRPr="00C15A2F">
        <w:rPr>
          <w:b/>
          <w:color w:val="090E1D"/>
          <w:sz w:val="26"/>
          <w:szCs w:val="26"/>
        </w:rPr>
        <w:t>resi</w:t>
      </w:r>
      <w:r w:rsidR="00311234">
        <w:rPr>
          <w:b/>
          <w:color w:val="090E1D"/>
          <w:sz w:val="26"/>
          <w:szCs w:val="26"/>
        </w:rPr>
        <w:t>lienza</w:t>
      </w:r>
      <w:r w:rsidR="00A21CE4" w:rsidRPr="00C15A2F">
        <w:rPr>
          <w:b/>
          <w:color w:val="090E1D"/>
          <w:sz w:val="26"/>
          <w:szCs w:val="26"/>
        </w:rPr>
        <w:t xml:space="preserve"> (PNR</w:t>
      </w:r>
      <w:r w:rsidR="00A21CE4" w:rsidRPr="00EC092F">
        <w:rPr>
          <w:b/>
          <w:color w:val="090E1D"/>
          <w:sz w:val="26"/>
          <w:szCs w:val="26"/>
        </w:rPr>
        <w:t>R</w:t>
      </w:r>
      <w:r w:rsidR="00A21CE4" w:rsidRPr="00C15A2F">
        <w:rPr>
          <w:color w:val="090E1D"/>
          <w:sz w:val="26"/>
          <w:szCs w:val="26"/>
        </w:rPr>
        <w:t>)</w:t>
      </w:r>
      <w:r w:rsidR="004946D9" w:rsidRPr="00C15A2F">
        <w:rPr>
          <w:color w:val="090E1D"/>
          <w:sz w:val="26"/>
          <w:szCs w:val="26"/>
        </w:rPr>
        <w:t>.</w:t>
      </w:r>
    </w:p>
    <w:p w:rsidR="00230E0F" w:rsidRPr="00C15A2F" w:rsidRDefault="00A21CE4" w:rsidP="008E2068">
      <w:pPr>
        <w:pStyle w:val="text-justify"/>
        <w:spacing w:before="0" w:beforeAutospacing="0" w:after="0" w:afterAutospacing="0" w:line="360" w:lineRule="auto"/>
        <w:jc w:val="both"/>
        <w:rPr>
          <w:sz w:val="26"/>
          <w:szCs w:val="26"/>
        </w:rPr>
      </w:pPr>
      <w:r w:rsidRPr="00C15A2F">
        <w:rPr>
          <w:color w:val="090E1D"/>
          <w:sz w:val="26"/>
          <w:szCs w:val="26"/>
        </w:rPr>
        <w:t xml:space="preserve">Il PNRR, </w:t>
      </w:r>
      <w:r w:rsidR="001F7341" w:rsidRPr="00C15A2F">
        <w:rPr>
          <w:sz w:val="26"/>
          <w:szCs w:val="26"/>
        </w:rPr>
        <w:t xml:space="preserve">quale strumento di pianificato utilizzo dei finanziamenti disposti dall’Unione europea per fronteggiare l’eccezionale emergenza pandemica Covid-19 e i suoi drammatici effetti, </w:t>
      </w:r>
      <w:r w:rsidRPr="00C15A2F">
        <w:rPr>
          <w:sz w:val="26"/>
          <w:szCs w:val="26"/>
        </w:rPr>
        <w:t xml:space="preserve">riserva alcuni importanti passaggi al sistema giustizia e ancor più specificamente alla giustizia amministrativa. Ciò dimostra come nell’individuare la strada per </w:t>
      </w:r>
      <w:r w:rsidR="001F7341" w:rsidRPr="00C15A2F">
        <w:rPr>
          <w:sz w:val="26"/>
          <w:szCs w:val="26"/>
        </w:rPr>
        <w:t xml:space="preserve">non perdere una eccezionale e irripetibile occasione di ripartenza, </w:t>
      </w:r>
      <w:r w:rsidR="00367355" w:rsidRPr="00C15A2F">
        <w:rPr>
          <w:sz w:val="26"/>
          <w:szCs w:val="26"/>
        </w:rPr>
        <w:t>l’</w:t>
      </w:r>
      <w:r w:rsidR="00230E0F" w:rsidRPr="00C15A2F">
        <w:rPr>
          <w:sz w:val="26"/>
          <w:szCs w:val="26"/>
        </w:rPr>
        <w:t xml:space="preserve">obiettivo </w:t>
      </w:r>
      <w:r w:rsidR="001F7341" w:rsidRPr="00C15A2F">
        <w:rPr>
          <w:sz w:val="26"/>
          <w:szCs w:val="26"/>
        </w:rPr>
        <w:t>“buona amministrazione” si raggiunga anche attraverso un efficace sistema di tutela giurisdizionale sull’operato dei soggetti – pubblici e privati – che devono in concreto assicurarla</w:t>
      </w:r>
      <w:r w:rsidR="00230E0F" w:rsidRPr="00C15A2F">
        <w:rPr>
          <w:sz w:val="26"/>
          <w:szCs w:val="26"/>
        </w:rPr>
        <w:t>. Il P</w:t>
      </w:r>
      <w:r w:rsidR="00367355" w:rsidRPr="00C15A2F">
        <w:rPr>
          <w:sz w:val="26"/>
          <w:szCs w:val="26"/>
        </w:rPr>
        <w:t>iano, c</w:t>
      </w:r>
      <w:r w:rsidR="00230E0F" w:rsidRPr="00C15A2F">
        <w:rPr>
          <w:sz w:val="26"/>
          <w:szCs w:val="26"/>
        </w:rPr>
        <w:t xml:space="preserve">he il Governo italiano ha scelto di sottoporre alla approvazione del Parlamento, è stato ufficialmente trasmesso alla Commissione europea </w:t>
      </w:r>
      <w:r w:rsidR="002D1FD9" w:rsidRPr="00C15A2F">
        <w:rPr>
          <w:sz w:val="26"/>
          <w:szCs w:val="26"/>
        </w:rPr>
        <w:t>il 30 aprile 2021</w:t>
      </w:r>
      <w:r w:rsidR="00230E0F" w:rsidRPr="00C15A2F">
        <w:rPr>
          <w:sz w:val="26"/>
          <w:szCs w:val="26"/>
        </w:rPr>
        <w:t xml:space="preserve">. </w:t>
      </w:r>
    </w:p>
    <w:p w:rsidR="001E7983" w:rsidRPr="00C15A2F" w:rsidRDefault="002233C0" w:rsidP="008E2068">
      <w:pPr>
        <w:pStyle w:val="PreformattatoHTML"/>
        <w:spacing w:line="360" w:lineRule="auto"/>
        <w:jc w:val="both"/>
        <w:rPr>
          <w:rFonts w:ascii="Times New Roman" w:hAnsi="Times New Roman" w:cs="Times New Roman"/>
          <w:sz w:val="26"/>
          <w:szCs w:val="26"/>
        </w:rPr>
      </w:pPr>
      <w:r w:rsidRPr="00C15A2F">
        <w:rPr>
          <w:rFonts w:ascii="Times New Roman" w:hAnsi="Times New Roman" w:cs="Times New Roman"/>
          <w:sz w:val="26"/>
          <w:szCs w:val="26"/>
        </w:rPr>
        <w:t xml:space="preserve">Mentre per la giustizia ordinaria si prevedono anche riforme sostanziali (ad esempio, quelle concernenti il processo civile), per la giustizia amministrativa si è individuato quale strumento di </w:t>
      </w:r>
      <w:proofErr w:type="spellStart"/>
      <w:r w:rsidRPr="00C15A2F">
        <w:rPr>
          <w:rFonts w:ascii="Times New Roman" w:hAnsi="Times New Roman" w:cs="Times New Roman"/>
          <w:sz w:val="26"/>
          <w:szCs w:val="26"/>
        </w:rPr>
        <w:t>efficientamento</w:t>
      </w:r>
      <w:proofErr w:type="spellEnd"/>
      <w:r w:rsidRPr="00C15A2F">
        <w:rPr>
          <w:rFonts w:ascii="Times New Roman" w:hAnsi="Times New Roman" w:cs="Times New Roman"/>
          <w:sz w:val="26"/>
          <w:szCs w:val="26"/>
        </w:rPr>
        <w:t xml:space="preserve"> </w:t>
      </w:r>
      <w:r w:rsidR="00367355" w:rsidRPr="00C15A2F">
        <w:rPr>
          <w:rFonts w:ascii="Times New Roman" w:hAnsi="Times New Roman" w:cs="Times New Roman"/>
          <w:sz w:val="26"/>
          <w:szCs w:val="26"/>
        </w:rPr>
        <w:t>in particolare il</w:t>
      </w:r>
      <w:r w:rsidRPr="00C15A2F">
        <w:rPr>
          <w:rFonts w:ascii="Times New Roman" w:hAnsi="Times New Roman" w:cs="Times New Roman"/>
          <w:sz w:val="26"/>
          <w:szCs w:val="26"/>
        </w:rPr>
        <w:t xml:space="preserve"> rafforzamento dell’Ufficio del processo, </w:t>
      </w:r>
      <w:r w:rsidR="00367355" w:rsidRPr="00C15A2F">
        <w:rPr>
          <w:rFonts w:ascii="Times New Roman" w:hAnsi="Times New Roman" w:cs="Times New Roman"/>
          <w:sz w:val="26"/>
          <w:szCs w:val="26"/>
        </w:rPr>
        <w:t xml:space="preserve">valorizzato sia in termini di miglioramento della </w:t>
      </w:r>
      <w:r w:rsidR="001E7983" w:rsidRPr="00C15A2F">
        <w:rPr>
          <w:rFonts w:ascii="Times New Roman" w:hAnsi="Times New Roman" w:cs="Times New Roman"/>
          <w:sz w:val="26"/>
          <w:szCs w:val="26"/>
        </w:rPr>
        <w:t>digitalizzazione, sia in termini di smaltimento dell’arretrato e strumento operativo per evitarne, attraverso specifici accorgimenti, la nuova creazione. L’ambizioso e per certi versi non troppo realistico obiettivo sarebbe dunque quello di mettere in piedi una squadra di giovani laureati assunti allo scopo con procedure accelerate e finalizzate allo scopo che supporti il Presidente di ciascun ufficio giudiziario (T</w:t>
      </w:r>
      <w:r w:rsidR="007E6271">
        <w:rPr>
          <w:rFonts w:ascii="Times New Roman" w:hAnsi="Times New Roman" w:cs="Times New Roman"/>
          <w:sz w:val="26"/>
          <w:szCs w:val="26"/>
        </w:rPr>
        <w:t>.</w:t>
      </w:r>
      <w:r w:rsidR="001E7983" w:rsidRPr="00C15A2F">
        <w:rPr>
          <w:rFonts w:ascii="Times New Roman" w:hAnsi="Times New Roman" w:cs="Times New Roman"/>
          <w:sz w:val="26"/>
          <w:szCs w:val="26"/>
        </w:rPr>
        <w:t>A</w:t>
      </w:r>
      <w:r w:rsidR="007E6271">
        <w:rPr>
          <w:rFonts w:ascii="Times New Roman" w:hAnsi="Times New Roman" w:cs="Times New Roman"/>
          <w:sz w:val="26"/>
          <w:szCs w:val="26"/>
        </w:rPr>
        <w:t>.</w:t>
      </w:r>
      <w:r w:rsidR="001E7983" w:rsidRPr="00C15A2F">
        <w:rPr>
          <w:rFonts w:ascii="Times New Roman" w:hAnsi="Times New Roman" w:cs="Times New Roman"/>
          <w:sz w:val="26"/>
          <w:szCs w:val="26"/>
        </w:rPr>
        <w:t>R</w:t>
      </w:r>
      <w:r w:rsidR="007E6271">
        <w:rPr>
          <w:rFonts w:ascii="Times New Roman" w:hAnsi="Times New Roman" w:cs="Times New Roman"/>
          <w:sz w:val="26"/>
          <w:szCs w:val="26"/>
        </w:rPr>
        <w:t>.</w:t>
      </w:r>
      <w:r w:rsidR="001E7983" w:rsidRPr="00C15A2F">
        <w:rPr>
          <w:rFonts w:ascii="Times New Roman" w:hAnsi="Times New Roman" w:cs="Times New Roman"/>
          <w:sz w:val="26"/>
          <w:szCs w:val="26"/>
        </w:rPr>
        <w:t xml:space="preserve"> e sezioni giurisdizionali del Consiglio di Stato) nella quotidiana scrematura dei ricorsi di facile definizione, sì da incanalarli verso un rito camerale appositamente introdotto allo scopo mediante l’inserimento dell’art. 72 bis nel codice del processo amministrativo. </w:t>
      </w:r>
    </w:p>
    <w:p w:rsidR="001E7983" w:rsidRPr="00C15A2F" w:rsidRDefault="001E7983" w:rsidP="008E2068">
      <w:pPr>
        <w:pStyle w:val="PreformattatoHTML"/>
        <w:spacing w:line="360" w:lineRule="auto"/>
        <w:jc w:val="both"/>
        <w:rPr>
          <w:rFonts w:ascii="Times New Roman" w:hAnsi="Times New Roman" w:cs="Times New Roman"/>
          <w:sz w:val="26"/>
          <w:szCs w:val="26"/>
        </w:rPr>
      </w:pPr>
      <w:r w:rsidRPr="00C15A2F">
        <w:rPr>
          <w:rFonts w:ascii="Times New Roman" w:hAnsi="Times New Roman" w:cs="Times New Roman"/>
          <w:sz w:val="26"/>
          <w:szCs w:val="26"/>
        </w:rPr>
        <w:t xml:space="preserve">Per comprendere la portata della riforma occorre avere a mente l’attuale struttura e funzione degli uffici del processo, estesi alla giustizia amministrativa a seguito di novella alla legge 27 aprile 1982, n. 186 introdotta dalla l. 25 ottobre 2016, n. 197, che vi ha inserito l’art. 53 ter, consentendo ai giudici amministrativi di avvalersi della preziosa collaborazione di tirocinanti, con finalità rimesse all’organizzazione interna della struttura, ma senza tralasciarne le esigenze anche formative. </w:t>
      </w:r>
    </w:p>
    <w:p w:rsidR="00926BC5" w:rsidRPr="00C15A2F" w:rsidRDefault="001E7983" w:rsidP="008E2068">
      <w:pPr>
        <w:pStyle w:val="PreformattatoHTML"/>
        <w:spacing w:line="360" w:lineRule="auto"/>
        <w:jc w:val="both"/>
        <w:rPr>
          <w:rFonts w:ascii="Times New Roman" w:hAnsi="Times New Roman" w:cs="Times New Roman"/>
          <w:color w:val="444444"/>
          <w:sz w:val="26"/>
          <w:szCs w:val="26"/>
        </w:rPr>
      </w:pPr>
      <w:r w:rsidRPr="00C15A2F">
        <w:rPr>
          <w:rFonts w:ascii="Times New Roman" w:hAnsi="Times New Roman" w:cs="Times New Roman"/>
          <w:sz w:val="26"/>
          <w:szCs w:val="26"/>
        </w:rPr>
        <w:t xml:space="preserve">Con </w:t>
      </w:r>
      <w:r w:rsidR="004606C0" w:rsidRPr="00C15A2F">
        <w:rPr>
          <w:rFonts w:ascii="Times New Roman" w:hAnsi="Times New Roman" w:cs="Times New Roman"/>
          <w:sz w:val="26"/>
          <w:szCs w:val="26"/>
        </w:rPr>
        <w:t>il decreto legge</w:t>
      </w:r>
      <w:r w:rsidR="002A3237" w:rsidRPr="00C15A2F">
        <w:rPr>
          <w:rFonts w:ascii="Times New Roman" w:hAnsi="Times New Roman" w:cs="Times New Roman"/>
          <w:sz w:val="26"/>
          <w:szCs w:val="26"/>
        </w:rPr>
        <w:t xml:space="preserve"> </w:t>
      </w:r>
      <w:r w:rsidR="004606C0" w:rsidRPr="00C15A2F">
        <w:rPr>
          <w:rFonts w:ascii="Times New Roman" w:hAnsi="Times New Roman" w:cs="Times New Roman"/>
          <w:sz w:val="26"/>
          <w:szCs w:val="26"/>
        </w:rPr>
        <w:t xml:space="preserve">9 giugno 2021, n. 80, convertito con modificazioni dalla legge 6 agosto 2021, n. 113, recante </w:t>
      </w:r>
      <w:r w:rsidRPr="00C15A2F">
        <w:rPr>
          <w:rFonts w:ascii="Times New Roman" w:hAnsi="Times New Roman" w:cs="Times New Roman"/>
          <w:sz w:val="26"/>
          <w:szCs w:val="26"/>
        </w:rPr>
        <w:t>“</w:t>
      </w:r>
      <w:r w:rsidR="004606C0" w:rsidRPr="00C15A2F">
        <w:rPr>
          <w:rFonts w:ascii="Times New Roman" w:hAnsi="Times New Roman" w:cs="Times New Roman"/>
          <w:sz w:val="26"/>
          <w:szCs w:val="26"/>
        </w:rPr>
        <w:t>Misure urgenti per il rafforzamento della capacità amministrativa delle pubbliche amministrazioni funzionale all’attuazione del Piano nazionale di ripresa e resilienza (PNRR) e per l’efficienza della giustizia</w:t>
      </w:r>
      <w:r w:rsidRPr="00C15A2F">
        <w:rPr>
          <w:rFonts w:ascii="Times New Roman" w:hAnsi="Times New Roman" w:cs="Times New Roman"/>
          <w:sz w:val="26"/>
          <w:szCs w:val="26"/>
        </w:rPr>
        <w:t xml:space="preserve">”, in particolare, artt. 11-17, si è inteso “ripescare” tale articolazione organizzativa, valorizzandone l’utilizzo in funzione dello smaltimento dell’arretrato, inteso come ricorsi pendenti alla data del 31 dicembre 2019. Le Linee guida sullo smaltimento dell’arretrato, tuttavia, adottate dal Presidente del Consiglio di Stato in data 28 luglio 2021, in attuazione dell’art. </w:t>
      </w:r>
      <w:r w:rsidR="00926BC5" w:rsidRPr="00C15A2F">
        <w:rPr>
          <w:rFonts w:ascii="Times New Roman" w:hAnsi="Times New Roman" w:cs="Times New Roman"/>
          <w:sz w:val="26"/>
          <w:szCs w:val="26"/>
        </w:rPr>
        <w:t xml:space="preserve">17, comma 2, del </w:t>
      </w:r>
      <w:proofErr w:type="spellStart"/>
      <w:r w:rsidR="00926BC5" w:rsidRPr="00C15A2F">
        <w:rPr>
          <w:rFonts w:ascii="Times New Roman" w:hAnsi="Times New Roman" w:cs="Times New Roman"/>
          <w:sz w:val="26"/>
          <w:szCs w:val="26"/>
        </w:rPr>
        <w:t>d.l.</w:t>
      </w:r>
      <w:proofErr w:type="spellEnd"/>
      <w:r w:rsidR="00926BC5" w:rsidRPr="00C15A2F">
        <w:rPr>
          <w:rFonts w:ascii="Times New Roman" w:hAnsi="Times New Roman" w:cs="Times New Roman"/>
          <w:sz w:val="26"/>
          <w:szCs w:val="26"/>
        </w:rPr>
        <w:t xml:space="preserve"> n. 80/2021, tuttavia, anziché limitarsi a dare indicazioni sulla parte concernente lo smaltimento, hanno inteso indicare, tra i compiti dell’ufficio, quale modalità di segnalazione delle questioni prioritarie, un’attività da svolgere “quotidianamente” che pare presupporre competenze specifiche e carichi di lavoro compatibili con una delibazione, seppure sommaria, di tutti i ricorsi “in entrata”. L’ufficio, cioè, dovrebbe essere in grado di individuare e segnalare se vi sia </w:t>
      </w:r>
      <w:r w:rsidR="00926BC5" w:rsidRPr="00C15A2F">
        <w:rPr>
          <w:rFonts w:ascii="Times New Roman" w:hAnsi="Times New Roman" w:cs="Times New Roman"/>
          <w:i/>
          <w:color w:val="444444"/>
          <w:sz w:val="26"/>
          <w:szCs w:val="26"/>
        </w:rPr>
        <w:t xml:space="preserve">prima </w:t>
      </w:r>
      <w:proofErr w:type="spellStart"/>
      <w:r w:rsidR="00926BC5" w:rsidRPr="00C15A2F">
        <w:rPr>
          <w:rFonts w:ascii="Times New Roman" w:hAnsi="Times New Roman" w:cs="Times New Roman"/>
          <w:i/>
          <w:color w:val="444444"/>
          <w:sz w:val="26"/>
          <w:szCs w:val="26"/>
        </w:rPr>
        <w:t>facie</w:t>
      </w:r>
      <w:proofErr w:type="spellEnd"/>
      <w:r w:rsidR="00926BC5" w:rsidRPr="00C15A2F">
        <w:rPr>
          <w:rFonts w:ascii="Times New Roman" w:hAnsi="Times New Roman" w:cs="Times New Roman"/>
          <w:color w:val="444444"/>
          <w:sz w:val="26"/>
          <w:szCs w:val="26"/>
        </w:rPr>
        <w:t xml:space="preserve"> un vizio in rito, rilevabile d’ufficio dal Collegio; ovvero le controversie riguardino   questioni    affrontate     dall’ufficio     con giurisprudenza consolidata; ovvero se occorra acquisire documentazione istruttoria; oppure infine se   sia   necessario    disporre    l’integrazione    del contraddittorio. </w:t>
      </w:r>
      <w:r w:rsidR="003051C2" w:rsidRPr="00C15A2F">
        <w:rPr>
          <w:rFonts w:ascii="Times New Roman" w:hAnsi="Times New Roman" w:cs="Times New Roman"/>
          <w:color w:val="14171C"/>
          <w:sz w:val="26"/>
          <w:szCs w:val="26"/>
        </w:rPr>
        <w:t xml:space="preserve">La individuazione delle questioni che consentono la immediata definizione in rito di un processo così come il riconoscimento di questioni già affrontate in passato e sulle quali si è formata una giurisprudenza consolidata, in realtà, è questione non sempre di agevole definizione; né pare banale individuare da subito la incompletezza di un fascicolo, tale da richiedere integrazioni istruttorie, salvo le ipotesi di carenze documentali basilari e di immediata visualizzazione. </w:t>
      </w:r>
    </w:p>
    <w:p w:rsidR="0062105D" w:rsidRDefault="00926BC5" w:rsidP="008E2068">
      <w:pPr>
        <w:pStyle w:val="PreformattatoHTML"/>
        <w:spacing w:line="360" w:lineRule="auto"/>
        <w:jc w:val="both"/>
        <w:rPr>
          <w:rStyle w:val="Enfasigrassetto"/>
          <w:rFonts w:ascii="Times New Roman" w:hAnsi="Times New Roman" w:cs="Times New Roman"/>
          <w:b w:val="0"/>
          <w:iCs/>
          <w:color w:val="19191A"/>
          <w:sz w:val="26"/>
          <w:szCs w:val="26"/>
        </w:rPr>
      </w:pPr>
      <w:r w:rsidRPr="00C15A2F">
        <w:rPr>
          <w:rFonts w:ascii="Times New Roman" w:hAnsi="Times New Roman" w:cs="Times New Roman"/>
          <w:color w:val="444444"/>
          <w:sz w:val="26"/>
          <w:szCs w:val="26"/>
        </w:rPr>
        <w:t xml:space="preserve">L’apprezzabile tentativo di individuazione di una fase di </w:t>
      </w:r>
      <w:r w:rsidRPr="00C15A2F">
        <w:rPr>
          <w:rFonts w:ascii="Times New Roman" w:hAnsi="Times New Roman" w:cs="Times New Roman"/>
          <w:i/>
          <w:color w:val="444444"/>
          <w:sz w:val="26"/>
          <w:szCs w:val="26"/>
        </w:rPr>
        <w:t>screening</w:t>
      </w:r>
      <w:r w:rsidRPr="00C15A2F">
        <w:rPr>
          <w:rFonts w:ascii="Times New Roman" w:hAnsi="Times New Roman" w:cs="Times New Roman"/>
          <w:color w:val="444444"/>
          <w:sz w:val="26"/>
          <w:szCs w:val="26"/>
        </w:rPr>
        <w:t xml:space="preserve"> preliminare che consentirebbe di recuperare alla funzione decisoria di maggiore significatività l’attività del giudice, migliorando altresì la qualità delle sentenze, rischia di caricare di aspettative la capacità di analisi degli appartenenti all’ufficio, enfatizzando anche le conseguenti responsabilità del Presidente. Al fine, infatti, di evitare l’accumulo di ulteriore arretrato, il </w:t>
      </w:r>
      <w:proofErr w:type="spellStart"/>
      <w:r w:rsidRPr="00C15A2F">
        <w:rPr>
          <w:rFonts w:ascii="Times New Roman" w:hAnsi="Times New Roman" w:cs="Times New Roman"/>
          <w:color w:val="444444"/>
          <w:sz w:val="26"/>
          <w:szCs w:val="26"/>
        </w:rPr>
        <w:t>d.l.</w:t>
      </w:r>
      <w:proofErr w:type="spellEnd"/>
      <w:r w:rsidRPr="00C15A2F">
        <w:rPr>
          <w:rFonts w:ascii="Times New Roman" w:hAnsi="Times New Roman" w:cs="Times New Roman"/>
          <w:color w:val="444444"/>
          <w:sz w:val="26"/>
          <w:szCs w:val="26"/>
        </w:rPr>
        <w:t xml:space="preserve"> n. 80 del 2021 ha inserito anche alcune norme nel codice, tra le quali il già richiamato art. 72 bis il cui effettivo contenuto assume maggiore colorazione contenutistica proprio avuto riguarda alle indicazioni rivenienti dalle citate Linee guida. </w:t>
      </w:r>
      <w:r w:rsidR="00F87D92" w:rsidRPr="00C15A2F">
        <w:rPr>
          <w:rFonts w:ascii="Times New Roman" w:hAnsi="Times New Roman" w:cs="Times New Roman"/>
          <w:color w:val="444444"/>
          <w:sz w:val="26"/>
          <w:szCs w:val="26"/>
        </w:rPr>
        <w:t>La norma, infatti, fa genericamente riferimento alla “</w:t>
      </w:r>
      <w:r w:rsidR="00E335F4" w:rsidRPr="00C15A2F">
        <w:rPr>
          <w:rFonts w:ascii="Times New Roman" w:hAnsi="Times New Roman" w:cs="Times New Roman"/>
          <w:sz w:val="26"/>
          <w:szCs w:val="26"/>
        </w:rPr>
        <w:t>D</w:t>
      </w:r>
      <w:r w:rsidR="00E335F4" w:rsidRPr="00C15A2F">
        <w:rPr>
          <w:rStyle w:val="Enfasigrassetto"/>
          <w:rFonts w:ascii="Times New Roman" w:hAnsi="Times New Roman" w:cs="Times New Roman"/>
          <w:b w:val="0"/>
          <w:iCs/>
          <w:color w:val="19191A"/>
          <w:sz w:val="26"/>
          <w:szCs w:val="26"/>
        </w:rPr>
        <w:t>ecisione dei ricorsi suscettibili di immediata</w:t>
      </w:r>
      <w:r w:rsidR="00F87D92" w:rsidRPr="00C15A2F">
        <w:rPr>
          <w:rStyle w:val="Enfasigrassetto"/>
          <w:rFonts w:ascii="Times New Roman" w:hAnsi="Times New Roman" w:cs="Times New Roman"/>
          <w:b w:val="0"/>
          <w:iCs/>
          <w:color w:val="19191A"/>
          <w:sz w:val="26"/>
          <w:szCs w:val="26"/>
        </w:rPr>
        <w:t xml:space="preserve"> </w:t>
      </w:r>
      <w:r w:rsidR="00E335F4" w:rsidRPr="00C15A2F">
        <w:rPr>
          <w:rStyle w:val="Enfasigrassetto"/>
          <w:rFonts w:ascii="Times New Roman" w:hAnsi="Times New Roman" w:cs="Times New Roman"/>
          <w:b w:val="0"/>
          <w:iCs/>
          <w:color w:val="19191A"/>
          <w:sz w:val="26"/>
          <w:szCs w:val="26"/>
        </w:rPr>
        <w:t>definizione</w:t>
      </w:r>
      <w:r w:rsidR="00F87D92" w:rsidRPr="00C15A2F">
        <w:rPr>
          <w:rStyle w:val="Enfasigrassetto"/>
          <w:rFonts w:ascii="Times New Roman" w:hAnsi="Times New Roman" w:cs="Times New Roman"/>
          <w:b w:val="0"/>
          <w:iCs/>
          <w:color w:val="19191A"/>
          <w:sz w:val="26"/>
          <w:szCs w:val="26"/>
        </w:rPr>
        <w:t>”, senza precisarne i presupposti, che potrebbero pertanto essere attinti dalla elencazione esemplificativa dei casi che dovrebbe individuare il personale dell’ufficio del processo attraverso lo scrutinio quotidiano dei ricorsi, sottoponendoli al Presidente per la fissazione della prevista trattazione in camera di consiglio</w:t>
      </w:r>
      <w:r w:rsidR="00F87D92" w:rsidRPr="00C15A2F">
        <w:rPr>
          <w:rStyle w:val="Enfasigrassetto"/>
          <w:rFonts w:ascii="Times New Roman" w:hAnsi="Times New Roman" w:cs="Times New Roman"/>
          <w:iCs/>
          <w:color w:val="19191A"/>
          <w:sz w:val="26"/>
          <w:szCs w:val="26"/>
        </w:rPr>
        <w:t xml:space="preserve">. </w:t>
      </w:r>
      <w:r w:rsidR="0062105D" w:rsidRPr="0062105D">
        <w:rPr>
          <w:rStyle w:val="Enfasigrassetto"/>
          <w:rFonts w:ascii="Times New Roman" w:hAnsi="Times New Roman" w:cs="Times New Roman"/>
          <w:b w:val="0"/>
          <w:iCs/>
          <w:color w:val="19191A"/>
          <w:sz w:val="26"/>
          <w:szCs w:val="26"/>
        </w:rPr>
        <w:t xml:space="preserve">L’istituto ha già visto le sue prime, proficue, applicazioni, </w:t>
      </w:r>
      <w:r w:rsidR="0062105D">
        <w:rPr>
          <w:rStyle w:val="Enfasigrassetto"/>
          <w:rFonts w:ascii="Times New Roman" w:hAnsi="Times New Roman" w:cs="Times New Roman"/>
          <w:b w:val="0"/>
          <w:iCs/>
          <w:color w:val="19191A"/>
          <w:sz w:val="26"/>
          <w:szCs w:val="26"/>
        </w:rPr>
        <w:t xml:space="preserve">laddove ha ritenuto prevalente l’esigenza di rapida definizione del procedimento (nel caso di specie, con declaratoria di inammissibilità per tardività della notificazione) rispetto alla necessità di una previa domanda di fissazione d’udienza, che pertanto può anche non esservi stata (v. C.G.A.R.S., 3 dicembre 2021, n. 214). </w:t>
      </w:r>
    </w:p>
    <w:p w:rsidR="003051C2" w:rsidRPr="00C15A2F" w:rsidRDefault="00F87D92" w:rsidP="008E2068">
      <w:pPr>
        <w:pStyle w:val="PreformattatoHTML"/>
        <w:spacing w:line="360" w:lineRule="auto"/>
        <w:jc w:val="both"/>
        <w:rPr>
          <w:rFonts w:ascii="Times New Roman" w:hAnsi="Times New Roman" w:cs="Times New Roman"/>
          <w:color w:val="14171C"/>
          <w:sz w:val="26"/>
          <w:szCs w:val="26"/>
        </w:rPr>
      </w:pPr>
      <w:r w:rsidRPr="00C15A2F">
        <w:rPr>
          <w:rStyle w:val="Enfasigrassetto"/>
          <w:rFonts w:ascii="Times New Roman" w:hAnsi="Times New Roman" w:cs="Times New Roman"/>
          <w:b w:val="0"/>
          <w:iCs/>
          <w:color w:val="19191A"/>
          <w:sz w:val="26"/>
          <w:szCs w:val="26"/>
        </w:rPr>
        <w:t xml:space="preserve">Altre modifiche sono state introdotte per evitare </w:t>
      </w:r>
      <w:r w:rsidR="0062105D">
        <w:rPr>
          <w:rStyle w:val="Enfasigrassetto"/>
          <w:rFonts w:ascii="Times New Roman" w:hAnsi="Times New Roman" w:cs="Times New Roman"/>
          <w:b w:val="0"/>
          <w:iCs/>
          <w:color w:val="19191A"/>
          <w:sz w:val="26"/>
          <w:szCs w:val="26"/>
        </w:rPr>
        <w:t xml:space="preserve">la formazione di ulteriore </w:t>
      </w:r>
      <w:r w:rsidRPr="00C15A2F">
        <w:rPr>
          <w:rStyle w:val="Enfasigrassetto"/>
          <w:rFonts w:ascii="Times New Roman" w:hAnsi="Times New Roman" w:cs="Times New Roman"/>
          <w:b w:val="0"/>
          <w:iCs/>
          <w:color w:val="19191A"/>
          <w:sz w:val="26"/>
          <w:szCs w:val="26"/>
        </w:rPr>
        <w:t xml:space="preserve">ovvero </w:t>
      </w:r>
      <w:r w:rsidR="0062105D">
        <w:rPr>
          <w:rStyle w:val="Enfasigrassetto"/>
          <w:rFonts w:ascii="Times New Roman" w:hAnsi="Times New Roman" w:cs="Times New Roman"/>
          <w:b w:val="0"/>
          <w:iCs/>
          <w:color w:val="19191A"/>
          <w:sz w:val="26"/>
          <w:szCs w:val="26"/>
        </w:rPr>
        <w:t xml:space="preserve">comunque </w:t>
      </w:r>
      <w:r w:rsidRPr="00C15A2F">
        <w:rPr>
          <w:rStyle w:val="Enfasigrassetto"/>
          <w:rFonts w:ascii="Times New Roman" w:hAnsi="Times New Roman" w:cs="Times New Roman"/>
          <w:b w:val="0"/>
          <w:iCs/>
          <w:color w:val="19191A"/>
          <w:sz w:val="26"/>
          <w:szCs w:val="26"/>
        </w:rPr>
        <w:t xml:space="preserve">lungaggini processuali, tra i quali va ricordata la sostanziale abrogazione dell’istituto della cancellazione dal ruolo, di creazione pretoria, ma ampiamente utilizzato in ragione della natura dispositiva del processo amministrativo (art. 73, comma 1 bis, </w:t>
      </w:r>
      <w:proofErr w:type="spellStart"/>
      <w:r w:rsidRPr="00C15A2F">
        <w:rPr>
          <w:rStyle w:val="Enfasigrassetto"/>
          <w:rFonts w:ascii="Times New Roman" w:hAnsi="Times New Roman" w:cs="Times New Roman"/>
          <w:b w:val="0"/>
          <w:iCs/>
          <w:color w:val="19191A"/>
          <w:sz w:val="26"/>
          <w:szCs w:val="26"/>
        </w:rPr>
        <w:t>c.p.a</w:t>
      </w:r>
      <w:proofErr w:type="spellEnd"/>
      <w:r w:rsidRPr="00C15A2F">
        <w:rPr>
          <w:rStyle w:val="Enfasigrassetto"/>
          <w:rFonts w:ascii="Times New Roman" w:hAnsi="Times New Roman" w:cs="Times New Roman"/>
          <w:b w:val="0"/>
          <w:iCs/>
          <w:color w:val="19191A"/>
          <w:sz w:val="26"/>
          <w:szCs w:val="26"/>
        </w:rPr>
        <w:t>.</w:t>
      </w:r>
      <w:r w:rsidR="0062105D">
        <w:rPr>
          <w:rStyle w:val="Enfasigrassetto"/>
          <w:rFonts w:ascii="Times New Roman" w:hAnsi="Times New Roman" w:cs="Times New Roman"/>
          <w:b w:val="0"/>
          <w:iCs/>
          <w:color w:val="19191A"/>
          <w:sz w:val="26"/>
          <w:szCs w:val="26"/>
        </w:rPr>
        <w:t>, che tuttavia nulla dice della sorte dei molti fascicoli ad oggi collocati nel “limbo giuridico” di ridetta cancellazione</w:t>
      </w:r>
      <w:r w:rsidRPr="00C15A2F">
        <w:rPr>
          <w:rStyle w:val="Enfasigrassetto"/>
          <w:rFonts w:ascii="Times New Roman" w:hAnsi="Times New Roman" w:cs="Times New Roman"/>
          <w:b w:val="0"/>
          <w:iCs/>
          <w:color w:val="19191A"/>
          <w:sz w:val="26"/>
          <w:szCs w:val="26"/>
        </w:rPr>
        <w:t>) ovvero della codifica del principio della eccezionalità dei rinvii e dell’obbligo di verbalizzazione dei motivi.  Infine, ma non per importanza, va segnalata l’introduzione, fra i possibili contenuti del decreto del Presidente del Consiglio di aggiornamento del PAT (art. 13 dell’Allegato 2 del codice) anche delle questioni inerenti lo svolgimento da remoto delle camere di consiglio, udienze e adunanze,</w:t>
      </w:r>
      <w:r w:rsidRPr="00C15A2F">
        <w:rPr>
          <w:rStyle w:val="Enfasigrassetto"/>
          <w:rFonts w:ascii="Times New Roman" w:hAnsi="Times New Roman" w:cs="Times New Roman"/>
          <w:iCs/>
          <w:color w:val="19191A"/>
          <w:sz w:val="26"/>
          <w:szCs w:val="26"/>
        </w:rPr>
        <w:t xml:space="preserve"> </w:t>
      </w:r>
      <w:r w:rsidRPr="00C15A2F">
        <w:rPr>
          <w:rStyle w:val="Enfasigrassetto"/>
          <w:rFonts w:ascii="Times New Roman" w:hAnsi="Times New Roman" w:cs="Times New Roman"/>
          <w:b w:val="0"/>
          <w:iCs/>
          <w:color w:val="19191A"/>
          <w:sz w:val="26"/>
          <w:szCs w:val="26"/>
        </w:rPr>
        <w:t>con ciò</w:t>
      </w:r>
      <w:r w:rsidRPr="00C15A2F">
        <w:rPr>
          <w:rStyle w:val="Enfasigrassetto"/>
          <w:rFonts w:ascii="Times New Roman" w:hAnsi="Times New Roman" w:cs="Times New Roman"/>
          <w:iCs/>
          <w:color w:val="19191A"/>
          <w:sz w:val="26"/>
          <w:szCs w:val="26"/>
        </w:rPr>
        <w:t xml:space="preserve"> </w:t>
      </w:r>
      <w:r w:rsidRPr="00C15A2F">
        <w:rPr>
          <w:rStyle w:val="Enfasigrassetto"/>
          <w:rFonts w:ascii="Times New Roman" w:hAnsi="Times New Roman" w:cs="Times New Roman"/>
          <w:b w:val="0"/>
          <w:iCs/>
          <w:color w:val="19191A"/>
          <w:sz w:val="26"/>
          <w:szCs w:val="26"/>
        </w:rPr>
        <w:t>lasciando aperta la prospettiva di futuri utilizzi, non più solo emergenziali, di modalità di cui si è sperimentato innegabilmente l’efficacia, seppure a discapito d</w:t>
      </w:r>
      <w:r w:rsidR="003051C2" w:rsidRPr="00C15A2F">
        <w:rPr>
          <w:rStyle w:val="Enfasigrassetto"/>
          <w:rFonts w:ascii="Times New Roman" w:hAnsi="Times New Roman" w:cs="Times New Roman"/>
          <w:b w:val="0"/>
          <w:iCs/>
          <w:color w:val="19191A"/>
          <w:sz w:val="26"/>
          <w:szCs w:val="26"/>
        </w:rPr>
        <w:t>i quell’idea, romantica ma non solo, del processo anche come luogo fisico di “relazioni di prossimità” (</w:t>
      </w:r>
      <w:proofErr w:type="spellStart"/>
      <w:r w:rsidR="003051C2" w:rsidRPr="00C15A2F">
        <w:rPr>
          <w:rStyle w:val="Enfasigrassetto"/>
          <w:rFonts w:ascii="Times New Roman" w:hAnsi="Times New Roman" w:cs="Times New Roman"/>
          <w:b w:val="0"/>
          <w:iCs/>
          <w:color w:val="19191A"/>
          <w:sz w:val="26"/>
          <w:szCs w:val="26"/>
        </w:rPr>
        <w:t>Calamandrei</w:t>
      </w:r>
      <w:proofErr w:type="spellEnd"/>
      <w:r w:rsidR="003051C2" w:rsidRPr="00C15A2F">
        <w:rPr>
          <w:rStyle w:val="Enfasigrassetto"/>
          <w:rFonts w:ascii="Times New Roman" w:hAnsi="Times New Roman" w:cs="Times New Roman"/>
          <w:b w:val="0"/>
          <w:iCs/>
          <w:color w:val="19191A"/>
          <w:sz w:val="26"/>
          <w:szCs w:val="26"/>
        </w:rPr>
        <w:t>) che solo una “vera” pubblicità dell’udienza riesce a creare.</w:t>
      </w:r>
      <w:r w:rsidR="003051C2" w:rsidRPr="00C15A2F">
        <w:rPr>
          <w:rStyle w:val="Enfasigrassetto"/>
          <w:rFonts w:ascii="Times New Roman" w:hAnsi="Times New Roman" w:cs="Times New Roman"/>
          <w:iCs/>
          <w:color w:val="19191A"/>
          <w:sz w:val="26"/>
          <w:szCs w:val="26"/>
        </w:rPr>
        <w:t xml:space="preserve"> </w:t>
      </w:r>
      <w:r w:rsidRPr="00C15A2F">
        <w:rPr>
          <w:rStyle w:val="Enfasigrassetto"/>
          <w:rFonts w:ascii="Times New Roman" w:hAnsi="Times New Roman" w:cs="Times New Roman"/>
          <w:iCs/>
          <w:color w:val="19191A"/>
          <w:sz w:val="26"/>
          <w:szCs w:val="26"/>
        </w:rPr>
        <w:t xml:space="preserve"> </w:t>
      </w:r>
    </w:p>
    <w:p w:rsidR="00E742C0" w:rsidRPr="00C15A2F" w:rsidRDefault="00E742C0" w:rsidP="008E2068">
      <w:pPr>
        <w:pStyle w:val="PreformattatoHTML"/>
        <w:spacing w:line="360" w:lineRule="auto"/>
        <w:jc w:val="both"/>
        <w:rPr>
          <w:rFonts w:ascii="Times New Roman" w:hAnsi="Times New Roman" w:cs="Times New Roman"/>
          <w:color w:val="14171C"/>
          <w:sz w:val="26"/>
          <w:szCs w:val="26"/>
        </w:rPr>
      </w:pPr>
    </w:p>
    <w:p w:rsidR="00E742C0" w:rsidRPr="00C15A2F" w:rsidRDefault="00C45FA5" w:rsidP="008E2068">
      <w:pPr>
        <w:spacing w:after="0" w:line="360" w:lineRule="auto"/>
        <w:jc w:val="both"/>
        <w:rPr>
          <w:rFonts w:ascii="Times New Roman" w:hAnsi="Times New Roman" w:cs="Times New Roman"/>
          <w:sz w:val="26"/>
          <w:szCs w:val="26"/>
        </w:rPr>
      </w:pPr>
      <w:r w:rsidRPr="00C15A2F">
        <w:rPr>
          <w:rFonts w:ascii="Times New Roman" w:hAnsi="Times New Roman" w:cs="Times New Roman"/>
          <w:b/>
          <w:sz w:val="26"/>
          <w:szCs w:val="26"/>
        </w:rPr>
        <w:t>Conclusioni</w:t>
      </w:r>
      <w:r w:rsidRPr="00C15A2F">
        <w:rPr>
          <w:rFonts w:ascii="Times New Roman" w:hAnsi="Times New Roman" w:cs="Times New Roman"/>
          <w:sz w:val="26"/>
          <w:szCs w:val="26"/>
        </w:rPr>
        <w:t xml:space="preserve">. </w:t>
      </w:r>
    </w:p>
    <w:p w:rsidR="008E2068" w:rsidRDefault="00E17978" w:rsidP="008E2068">
      <w:pPr>
        <w:spacing w:after="0" w:line="360" w:lineRule="auto"/>
        <w:jc w:val="both"/>
        <w:rPr>
          <w:rFonts w:ascii="Times New Roman" w:hAnsi="Times New Roman" w:cs="Times New Roman"/>
          <w:sz w:val="26"/>
          <w:szCs w:val="26"/>
        </w:rPr>
      </w:pPr>
      <w:r w:rsidRPr="00C15A2F">
        <w:rPr>
          <w:rFonts w:ascii="Times New Roman" w:hAnsi="Times New Roman" w:cs="Times New Roman"/>
          <w:sz w:val="26"/>
          <w:szCs w:val="26"/>
        </w:rPr>
        <w:t xml:space="preserve">Si può dunque concludere che l’emergenza determinata dall’insorgere della pandemia ha testato le capacità di adattamento del processo amministrativo, richiedendo flessibilità ai suoi attori principali, giudici e difensori, seppure in funzione della </w:t>
      </w:r>
      <w:r w:rsidR="008D64E3" w:rsidRPr="00C15A2F">
        <w:rPr>
          <w:rFonts w:ascii="Times New Roman" w:hAnsi="Times New Roman" w:cs="Times New Roman"/>
          <w:sz w:val="26"/>
          <w:szCs w:val="26"/>
        </w:rPr>
        <w:t>celebrazione del giudizio nelle garanzie.</w:t>
      </w:r>
      <w:r w:rsidR="009255F3" w:rsidRPr="00C15A2F">
        <w:rPr>
          <w:rFonts w:ascii="Times New Roman" w:hAnsi="Times New Roman" w:cs="Times New Roman"/>
          <w:sz w:val="26"/>
          <w:szCs w:val="26"/>
        </w:rPr>
        <w:t xml:space="preserve"> </w:t>
      </w:r>
      <w:r w:rsidR="003D5C06">
        <w:rPr>
          <w:rFonts w:ascii="Times New Roman" w:hAnsi="Times New Roman" w:cs="Times New Roman"/>
          <w:sz w:val="26"/>
          <w:szCs w:val="26"/>
        </w:rPr>
        <w:t xml:space="preserve">È </w:t>
      </w:r>
      <w:r w:rsidR="00E83777" w:rsidRPr="00C15A2F">
        <w:rPr>
          <w:rFonts w:ascii="Times New Roman" w:hAnsi="Times New Roman" w:cs="Times New Roman"/>
          <w:sz w:val="26"/>
          <w:szCs w:val="26"/>
        </w:rPr>
        <w:t xml:space="preserve">dunque innegabile la buona prova di sé dalla giustizia amministrativa, tanto nei modi quanto nei contenuti, mediando tra diversi livelli istituzionali di esercizio del potere e conciliando contrapposti valori di eguale rango costituzionale. Resta da capire, guardando agli obiettivi futuri, non tanto se sarà possibile raccogliere la sfida dello smaltimento totale dell’arretrato in 5 anni, siccome preventivato in attuazione del PNRR, quanto se i rimedi approntati per evitarne la nuova formazione, processuali, ma, soprattutto, organizzativi, si riveleranno idonei allo scopo. </w:t>
      </w:r>
    </w:p>
    <w:p w:rsidR="00542E9E" w:rsidRDefault="00542E9E" w:rsidP="008E2068">
      <w:pPr>
        <w:spacing w:after="0" w:line="360" w:lineRule="auto"/>
        <w:jc w:val="both"/>
        <w:rPr>
          <w:rFonts w:ascii="Times New Roman" w:hAnsi="Times New Roman" w:cs="Times New Roman"/>
          <w:sz w:val="26"/>
          <w:szCs w:val="26"/>
        </w:rPr>
      </w:pPr>
    </w:p>
    <w:p w:rsidR="00542E9E" w:rsidRPr="00542E9E" w:rsidRDefault="00542E9E" w:rsidP="00542E9E">
      <w:pPr>
        <w:spacing w:after="0" w:line="360" w:lineRule="auto"/>
        <w:jc w:val="right"/>
        <w:rPr>
          <w:rFonts w:ascii="Times New Roman" w:hAnsi="Times New Roman" w:cs="Times New Roman"/>
          <w:b/>
          <w:sz w:val="26"/>
          <w:szCs w:val="26"/>
        </w:rPr>
      </w:pPr>
      <w:bookmarkStart w:id="0" w:name="_GoBack"/>
      <w:bookmarkEnd w:id="0"/>
      <w:r w:rsidRPr="00542E9E">
        <w:rPr>
          <w:rFonts w:ascii="Times New Roman" w:hAnsi="Times New Roman" w:cs="Times New Roman"/>
          <w:b/>
          <w:sz w:val="26"/>
          <w:szCs w:val="26"/>
        </w:rPr>
        <w:t>Antonella Manzione</w:t>
      </w:r>
    </w:p>
    <w:p w:rsidR="00542E9E" w:rsidRDefault="00542E9E" w:rsidP="00542E9E">
      <w:pPr>
        <w:spacing w:after="0" w:line="360" w:lineRule="auto"/>
        <w:jc w:val="right"/>
        <w:rPr>
          <w:rFonts w:ascii="Times New Roman" w:hAnsi="Times New Roman" w:cs="Times New Roman"/>
          <w:sz w:val="26"/>
          <w:szCs w:val="26"/>
        </w:rPr>
      </w:pPr>
      <w:r>
        <w:rPr>
          <w:rFonts w:ascii="Times New Roman" w:hAnsi="Times New Roman" w:cs="Times New Roman"/>
          <w:sz w:val="26"/>
          <w:szCs w:val="26"/>
        </w:rPr>
        <w:t>Consigliere di Stato</w:t>
      </w:r>
    </w:p>
    <w:p w:rsidR="00542E9E" w:rsidRPr="00C15A2F" w:rsidRDefault="00542E9E" w:rsidP="00542E9E">
      <w:pPr>
        <w:spacing w:after="0" w:line="360" w:lineRule="auto"/>
        <w:jc w:val="right"/>
        <w:rPr>
          <w:rFonts w:ascii="Times New Roman" w:hAnsi="Times New Roman" w:cs="Times New Roman"/>
          <w:sz w:val="26"/>
          <w:szCs w:val="26"/>
        </w:rPr>
      </w:pPr>
      <w:r>
        <w:rPr>
          <w:rFonts w:ascii="Times New Roman" w:hAnsi="Times New Roman" w:cs="Times New Roman"/>
          <w:sz w:val="26"/>
          <w:szCs w:val="26"/>
        </w:rPr>
        <w:t>Pubblicato il 23 dicembre 2021</w:t>
      </w:r>
    </w:p>
    <w:sectPr w:rsidR="00542E9E" w:rsidRPr="00C15A2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626" w:rsidRDefault="00326626" w:rsidP="00CF2962">
      <w:pPr>
        <w:spacing w:after="0" w:line="240" w:lineRule="auto"/>
      </w:pPr>
      <w:r>
        <w:separator/>
      </w:r>
    </w:p>
  </w:endnote>
  <w:endnote w:type="continuationSeparator" w:id="0">
    <w:p w:rsidR="00326626" w:rsidRDefault="00326626" w:rsidP="00CF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156797"/>
      <w:docPartObj>
        <w:docPartGallery w:val="Page Numbers (Bottom of Page)"/>
        <w:docPartUnique/>
      </w:docPartObj>
    </w:sdtPr>
    <w:sdtEndPr/>
    <w:sdtContent>
      <w:p w:rsidR="00F87D92" w:rsidRDefault="00F87D92">
        <w:pPr>
          <w:pStyle w:val="Pidipagina"/>
          <w:jc w:val="right"/>
        </w:pPr>
        <w:r>
          <w:fldChar w:fldCharType="begin"/>
        </w:r>
        <w:r>
          <w:instrText>PAGE   \* MERGEFORMAT</w:instrText>
        </w:r>
        <w:r>
          <w:fldChar w:fldCharType="separate"/>
        </w:r>
        <w:r w:rsidR="00542E9E">
          <w:rPr>
            <w:noProof/>
          </w:rPr>
          <w:t>29</w:t>
        </w:r>
        <w:r>
          <w:fldChar w:fldCharType="end"/>
        </w:r>
      </w:p>
    </w:sdtContent>
  </w:sdt>
  <w:p w:rsidR="00F87D92" w:rsidRDefault="00F87D9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626" w:rsidRDefault="00326626" w:rsidP="00CF2962">
      <w:pPr>
        <w:spacing w:after="0" w:line="240" w:lineRule="auto"/>
      </w:pPr>
      <w:r>
        <w:separator/>
      </w:r>
    </w:p>
  </w:footnote>
  <w:footnote w:type="continuationSeparator" w:id="0">
    <w:p w:rsidR="00326626" w:rsidRDefault="00326626" w:rsidP="00CF2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B55"/>
    <w:multiLevelType w:val="multilevel"/>
    <w:tmpl w:val="BF06E4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7628C3"/>
    <w:multiLevelType w:val="multilevel"/>
    <w:tmpl w:val="7994999A"/>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694550A"/>
    <w:multiLevelType w:val="hybridMultilevel"/>
    <w:tmpl w:val="CB1C6ED4"/>
    <w:lvl w:ilvl="0" w:tplc="B2A84FB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2A1B58"/>
    <w:multiLevelType w:val="multilevel"/>
    <w:tmpl w:val="4BD4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90BF4"/>
    <w:multiLevelType w:val="hybridMultilevel"/>
    <w:tmpl w:val="CF3CD226"/>
    <w:lvl w:ilvl="0" w:tplc="125E1B7C">
      <w:start w:val="3"/>
      <w:numFmt w:val="lowerLetter"/>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5" w15:restartNumberingAfterBreak="0">
    <w:nsid w:val="54CB2555"/>
    <w:multiLevelType w:val="hybridMultilevel"/>
    <w:tmpl w:val="012415A2"/>
    <w:lvl w:ilvl="0" w:tplc="F9362CEE">
      <w:start w:val="1"/>
      <w:numFmt w:val="lowerLetter"/>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6" w15:restartNumberingAfterBreak="0">
    <w:nsid w:val="59E01F49"/>
    <w:multiLevelType w:val="multilevel"/>
    <w:tmpl w:val="C3AE88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D80787"/>
    <w:multiLevelType w:val="hybridMultilevel"/>
    <w:tmpl w:val="937095D2"/>
    <w:lvl w:ilvl="0" w:tplc="7C44D9E4">
      <w:start w:val="4"/>
      <w:numFmt w:val="lowerLetter"/>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8" w15:restartNumberingAfterBreak="0">
    <w:nsid w:val="6B125755"/>
    <w:multiLevelType w:val="hybridMultilevel"/>
    <w:tmpl w:val="3DD698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6"/>
  </w:num>
  <w:num w:numId="5">
    <w:abstractNumId w:val="5"/>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it-IT" w:vendorID="64" w:dllVersion="6" w:nlCheck="1" w:checkStyle="0"/>
  <w:activeWritingStyle w:appName="MSWord" w:lang="fr-FR" w:vendorID="64" w:dllVersion="6" w:nlCheck="1" w:checkStyle="0"/>
  <w:activeWritingStyle w:appName="MSWord" w:lang="it-IT" w:vendorID="64" w:dllVersion="4096" w:nlCheck="1" w:checkStyle="0"/>
  <w:activeWritingStyle w:appName="MSWord" w:lang="fr-FR" w:vendorID="64" w:dllVersion="4096" w:nlCheck="1" w:checkStyle="0"/>
  <w:activeWritingStyle w:appName="MSWord" w:lang="it-IT" w:vendorID="64" w:dllVersion="131078" w:nlCheck="1" w:checkStyle="0"/>
  <w:activeWritingStyle w:appName="MSWord" w:lang="fr-FR"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F3"/>
    <w:rsid w:val="00002840"/>
    <w:rsid w:val="00002DDA"/>
    <w:rsid w:val="00004118"/>
    <w:rsid w:val="000041AC"/>
    <w:rsid w:val="00024EC0"/>
    <w:rsid w:val="00040C97"/>
    <w:rsid w:val="000412AD"/>
    <w:rsid w:val="000422BB"/>
    <w:rsid w:val="00046CE1"/>
    <w:rsid w:val="00055EB4"/>
    <w:rsid w:val="00071136"/>
    <w:rsid w:val="00074B6D"/>
    <w:rsid w:val="00076518"/>
    <w:rsid w:val="0009160B"/>
    <w:rsid w:val="000A2668"/>
    <w:rsid w:val="000B48CA"/>
    <w:rsid w:val="000B669F"/>
    <w:rsid w:val="000D6E8E"/>
    <w:rsid w:val="000E7834"/>
    <w:rsid w:val="000F48E0"/>
    <w:rsid w:val="000F7BDF"/>
    <w:rsid w:val="00105F27"/>
    <w:rsid w:val="00115F7A"/>
    <w:rsid w:val="001259FF"/>
    <w:rsid w:val="00144C04"/>
    <w:rsid w:val="0016344C"/>
    <w:rsid w:val="00166410"/>
    <w:rsid w:val="001723CA"/>
    <w:rsid w:val="00177596"/>
    <w:rsid w:val="00184B42"/>
    <w:rsid w:val="001B7390"/>
    <w:rsid w:val="001C2291"/>
    <w:rsid w:val="001D0741"/>
    <w:rsid w:val="001D2D32"/>
    <w:rsid w:val="001E74D9"/>
    <w:rsid w:val="001E78E5"/>
    <w:rsid w:val="001E7983"/>
    <w:rsid w:val="001F31C9"/>
    <w:rsid w:val="001F63EF"/>
    <w:rsid w:val="001F680E"/>
    <w:rsid w:val="001F7341"/>
    <w:rsid w:val="0020401B"/>
    <w:rsid w:val="0020572C"/>
    <w:rsid w:val="002073E7"/>
    <w:rsid w:val="002233C0"/>
    <w:rsid w:val="00230E0F"/>
    <w:rsid w:val="0027791F"/>
    <w:rsid w:val="00282D32"/>
    <w:rsid w:val="00293BAB"/>
    <w:rsid w:val="002A3237"/>
    <w:rsid w:val="002D1FD9"/>
    <w:rsid w:val="002F27F7"/>
    <w:rsid w:val="003011E4"/>
    <w:rsid w:val="003051C2"/>
    <w:rsid w:val="00310C7E"/>
    <w:rsid w:val="00311234"/>
    <w:rsid w:val="0031241C"/>
    <w:rsid w:val="00326626"/>
    <w:rsid w:val="003328F7"/>
    <w:rsid w:val="00333A0A"/>
    <w:rsid w:val="0034162E"/>
    <w:rsid w:val="00342E74"/>
    <w:rsid w:val="00350005"/>
    <w:rsid w:val="00353A14"/>
    <w:rsid w:val="00367355"/>
    <w:rsid w:val="00375CAE"/>
    <w:rsid w:val="00375FEA"/>
    <w:rsid w:val="0038540C"/>
    <w:rsid w:val="00387FD8"/>
    <w:rsid w:val="0039542C"/>
    <w:rsid w:val="003B1646"/>
    <w:rsid w:val="003B2500"/>
    <w:rsid w:val="003B5B46"/>
    <w:rsid w:val="003C23DC"/>
    <w:rsid w:val="003D0D2B"/>
    <w:rsid w:val="003D1DCC"/>
    <w:rsid w:val="003D5C06"/>
    <w:rsid w:val="003E3755"/>
    <w:rsid w:val="003F1A71"/>
    <w:rsid w:val="00406FB2"/>
    <w:rsid w:val="00407C4B"/>
    <w:rsid w:val="00415415"/>
    <w:rsid w:val="00420D80"/>
    <w:rsid w:val="00432283"/>
    <w:rsid w:val="00447703"/>
    <w:rsid w:val="004606C0"/>
    <w:rsid w:val="00474D40"/>
    <w:rsid w:val="00477571"/>
    <w:rsid w:val="0048758A"/>
    <w:rsid w:val="00491A92"/>
    <w:rsid w:val="004946D9"/>
    <w:rsid w:val="004955C2"/>
    <w:rsid w:val="004967D4"/>
    <w:rsid w:val="004A0869"/>
    <w:rsid w:val="004E3E9F"/>
    <w:rsid w:val="004E61CB"/>
    <w:rsid w:val="004E7557"/>
    <w:rsid w:val="00511C65"/>
    <w:rsid w:val="00514605"/>
    <w:rsid w:val="00515732"/>
    <w:rsid w:val="00525265"/>
    <w:rsid w:val="005415E5"/>
    <w:rsid w:val="00542B93"/>
    <w:rsid w:val="00542E9E"/>
    <w:rsid w:val="00551473"/>
    <w:rsid w:val="00553253"/>
    <w:rsid w:val="00563242"/>
    <w:rsid w:val="00567BA9"/>
    <w:rsid w:val="0057661C"/>
    <w:rsid w:val="00584E12"/>
    <w:rsid w:val="00593443"/>
    <w:rsid w:val="005A18FA"/>
    <w:rsid w:val="005B6D90"/>
    <w:rsid w:val="005B7B0C"/>
    <w:rsid w:val="005D11ED"/>
    <w:rsid w:val="005D233F"/>
    <w:rsid w:val="005D66A2"/>
    <w:rsid w:val="005D7AB3"/>
    <w:rsid w:val="005E191B"/>
    <w:rsid w:val="00604DE1"/>
    <w:rsid w:val="006051F0"/>
    <w:rsid w:val="0060520E"/>
    <w:rsid w:val="00607108"/>
    <w:rsid w:val="006101FB"/>
    <w:rsid w:val="0062105D"/>
    <w:rsid w:val="00627428"/>
    <w:rsid w:val="00641865"/>
    <w:rsid w:val="0064273B"/>
    <w:rsid w:val="00650034"/>
    <w:rsid w:val="00654DA4"/>
    <w:rsid w:val="0066095F"/>
    <w:rsid w:val="006637AD"/>
    <w:rsid w:val="00676C7C"/>
    <w:rsid w:val="0067728E"/>
    <w:rsid w:val="00681560"/>
    <w:rsid w:val="006859B0"/>
    <w:rsid w:val="00693494"/>
    <w:rsid w:val="00696033"/>
    <w:rsid w:val="00697F22"/>
    <w:rsid w:val="006A28DD"/>
    <w:rsid w:val="006A2A74"/>
    <w:rsid w:val="006A3B1F"/>
    <w:rsid w:val="006B23FA"/>
    <w:rsid w:val="006C120F"/>
    <w:rsid w:val="006C156D"/>
    <w:rsid w:val="006C1EB3"/>
    <w:rsid w:val="006C6E3A"/>
    <w:rsid w:val="006D37B2"/>
    <w:rsid w:val="006D72DB"/>
    <w:rsid w:val="006E041A"/>
    <w:rsid w:val="006F421F"/>
    <w:rsid w:val="006F617E"/>
    <w:rsid w:val="007024A3"/>
    <w:rsid w:val="00703C20"/>
    <w:rsid w:val="0071118D"/>
    <w:rsid w:val="00715888"/>
    <w:rsid w:val="00720F68"/>
    <w:rsid w:val="0073298E"/>
    <w:rsid w:val="00746B78"/>
    <w:rsid w:val="00774E4C"/>
    <w:rsid w:val="00776B6D"/>
    <w:rsid w:val="007915AD"/>
    <w:rsid w:val="007976B3"/>
    <w:rsid w:val="007A3A44"/>
    <w:rsid w:val="007B1238"/>
    <w:rsid w:val="007B7E27"/>
    <w:rsid w:val="007C4F79"/>
    <w:rsid w:val="007C64F8"/>
    <w:rsid w:val="007C7095"/>
    <w:rsid w:val="007D2BE2"/>
    <w:rsid w:val="007D3BE0"/>
    <w:rsid w:val="007E54E9"/>
    <w:rsid w:val="007E6271"/>
    <w:rsid w:val="007E68D3"/>
    <w:rsid w:val="008012A2"/>
    <w:rsid w:val="008035C8"/>
    <w:rsid w:val="008150A3"/>
    <w:rsid w:val="00817A8A"/>
    <w:rsid w:val="00825AB5"/>
    <w:rsid w:val="008268A7"/>
    <w:rsid w:val="0083468B"/>
    <w:rsid w:val="0083787D"/>
    <w:rsid w:val="00844311"/>
    <w:rsid w:val="008478A9"/>
    <w:rsid w:val="00847E7E"/>
    <w:rsid w:val="0087047B"/>
    <w:rsid w:val="00870F61"/>
    <w:rsid w:val="00882852"/>
    <w:rsid w:val="00886662"/>
    <w:rsid w:val="0089121C"/>
    <w:rsid w:val="008949F2"/>
    <w:rsid w:val="008A575C"/>
    <w:rsid w:val="008C0407"/>
    <w:rsid w:val="008C2777"/>
    <w:rsid w:val="008D0A15"/>
    <w:rsid w:val="008D64E3"/>
    <w:rsid w:val="008E2068"/>
    <w:rsid w:val="008E32D2"/>
    <w:rsid w:val="00902DD5"/>
    <w:rsid w:val="00917DC7"/>
    <w:rsid w:val="009255F3"/>
    <w:rsid w:val="00926BC5"/>
    <w:rsid w:val="00940B3B"/>
    <w:rsid w:val="00940D56"/>
    <w:rsid w:val="00947689"/>
    <w:rsid w:val="0095624C"/>
    <w:rsid w:val="00963193"/>
    <w:rsid w:val="009635A9"/>
    <w:rsid w:val="00963730"/>
    <w:rsid w:val="00971A1B"/>
    <w:rsid w:val="00975A1F"/>
    <w:rsid w:val="00985A90"/>
    <w:rsid w:val="00996ACA"/>
    <w:rsid w:val="00997CEC"/>
    <w:rsid w:val="009D69AE"/>
    <w:rsid w:val="00A04CE6"/>
    <w:rsid w:val="00A0626E"/>
    <w:rsid w:val="00A20AB0"/>
    <w:rsid w:val="00A21CE4"/>
    <w:rsid w:val="00A272D3"/>
    <w:rsid w:val="00A41EF3"/>
    <w:rsid w:val="00A4254E"/>
    <w:rsid w:val="00A70799"/>
    <w:rsid w:val="00A71DD6"/>
    <w:rsid w:val="00A72380"/>
    <w:rsid w:val="00A7618E"/>
    <w:rsid w:val="00A843E6"/>
    <w:rsid w:val="00AB37BD"/>
    <w:rsid w:val="00AC004D"/>
    <w:rsid w:val="00AD04BF"/>
    <w:rsid w:val="00AD30A6"/>
    <w:rsid w:val="00AD4F9D"/>
    <w:rsid w:val="00AE5207"/>
    <w:rsid w:val="00B06175"/>
    <w:rsid w:val="00B12051"/>
    <w:rsid w:val="00B226A8"/>
    <w:rsid w:val="00B31780"/>
    <w:rsid w:val="00B371A8"/>
    <w:rsid w:val="00B45AA7"/>
    <w:rsid w:val="00B47DB3"/>
    <w:rsid w:val="00B52DE2"/>
    <w:rsid w:val="00B616EA"/>
    <w:rsid w:val="00B627A0"/>
    <w:rsid w:val="00B71D70"/>
    <w:rsid w:val="00B73BA4"/>
    <w:rsid w:val="00B91609"/>
    <w:rsid w:val="00BA69DB"/>
    <w:rsid w:val="00BA6EF5"/>
    <w:rsid w:val="00BC2FFC"/>
    <w:rsid w:val="00BD2C0A"/>
    <w:rsid w:val="00BD47EC"/>
    <w:rsid w:val="00BE4491"/>
    <w:rsid w:val="00C07390"/>
    <w:rsid w:val="00C15A2F"/>
    <w:rsid w:val="00C168D8"/>
    <w:rsid w:val="00C16911"/>
    <w:rsid w:val="00C25B5E"/>
    <w:rsid w:val="00C3727F"/>
    <w:rsid w:val="00C44364"/>
    <w:rsid w:val="00C45FA5"/>
    <w:rsid w:val="00C5003D"/>
    <w:rsid w:val="00C52B6E"/>
    <w:rsid w:val="00C633FD"/>
    <w:rsid w:val="00C63A26"/>
    <w:rsid w:val="00C72FC6"/>
    <w:rsid w:val="00C74260"/>
    <w:rsid w:val="00CB3F5A"/>
    <w:rsid w:val="00CD1E28"/>
    <w:rsid w:val="00CD4C43"/>
    <w:rsid w:val="00CD50C0"/>
    <w:rsid w:val="00CE10AC"/>
    <w:rsid w:val="00CF2962"/>
    <w:rsid w:val="00D25E9F"/>
    <w:rsid w:val="00D264FC"/>
    <w:rsid w:val="00D34124"/>
    <w:rsid w:val="00D3613A"/>
    <w:rsid w:val="00D447DB"/>
    <w:rsid w:val="00D741C8"/>
    <w:rsid w:val="00D81B2A"/>
    <w:rsid w:val="00D900C1"/>
    <w:rsid w:val="00D95680"/>
    <w:rsid w:val="00DA55E9"/>
    <w:rsid w:val="00DA6B03"/>
    <w:rsid w:val="00DC6FA4"/>
    <w:rsid w:val="00DE3E9C"/>
    <w:rsid w:val="00DE51D8"/>
    <w:rsid w:val="00DE6FFE"/>
    <w:rsid w:val="00DF0EA0"/>
    <w:rsid w:val="00DF5A98"/>
    <w:rsid w:val="00E005DA"/>
    <w:rsid w:val="00E019F2"/>
    <w:rsid w:val="00E102D1"/>
    <w:rsid w:val="00E16720"/>
    <w:rsid w:val="00E17978"/>
    <w:rsid w:val="00E31136"/>
    <w:rsid w:val="00E31830"/>
    <w:rsid w:val="00E335F4"/>
    <w:rsid w:val="00E47C7E"/>
    <w:rsid w:val="00E742C0"/>
    <w:rsid w:val="00E77E6D"/>
    <w:rsid w:val="00E83777"/>
    <w:rsid w:val="00E874F7"/>
    <w:rsid w:val="00E93EA1"/>
    <w:rsid w:val="00E943BC"/>
    <w:rsid w:val="00EA1C22"/>
    <w:rsid w:val="00EA5B71"/>
    <w:rsid w:val="00EC092F"/>
    <w:rsid w:val="00EC1592"/>
    <w:rsid w:val="00EC1E58"/>
    <w:rsid w:val="00EC5601"/>
    <w:rsid w:val="00EC7CDB"/>
    <w:rsid w:val="00EE0CD9"/>
    <w:rsid w:val="00EF4495"/>
    <w:rsid w:val="00F0674D"/>
    <w:rsid w:val="00F13013"/>
    <w:rsid w:val="00F16A51"/>
    <w:rsid w:val="00F26FE5"/>
    <w:rsid w:val="00F30210"/>
    <w:rsid w:val="00F35BA9"/>
    <w:rsid w:val="00F52095"/>
    <w:rsid w:val="00F61CCA"/>
    <w:rsid w:val="00F62EA2"/>
    <w:rsid w:val="00F7255B"/>
    <w:rsid w:val="00F87D92"/>
    <w:rsid w:val="00F94BB4"/>
    <w:rsid w:val="00FC1E7A"/>
    <w:rsid w:val="00FD5729"/>
    <w:rsid w:val="00FE35BE"/>
    <w:rsid w:val="00FE46A2"/>
    <w:rsid w:val="00FF75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38913-662B-4CB9-9691-5232F0CC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29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2962"/>
  </w:style>
  <w:style w:type="paragraph" w:styleId="Pidipagina">
    <w:name w:val="footer"/>
    <w:basedOn w:val="Normale"/>
    <w:link w:val="PidipaginaCarattere"/>
    <w:uiPriority w:val="99"/>
    <w:unhideWhenUsed/>
    <w:rsid w:val="00CF29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962"/>
  </w:style>
  <w:style w:type="paragraph" w:styleId="Testonotaapidipagina">
    <w:name w:val="footnote text"/>
    <w:aliases w:val=" Carattere Carattere Carattere Carattere, Carattere Carattere Carattere Carattere Carattere Carattere Carattere Carattere,Carattere Carattere Carattere Carattere"/>
    <w:basedOn w:val="Normale"/>
    <w:link w:val="TestonotaapidipaginaCarattere"/>
    <w:uiPriority w:val="99"/>
    <w:unhideWhenUsed/>
    <w:rsid w:val="00886662"/>
    <w:pPr>
      <w:spacing w:after="0" w:line="240" w:lineRule="auto"/>
    </w:pPr>
    <w:rPr>
      <w:sz w:val="20"/>
      <w:szCs w:val="20"/>
    </w:rPr>
  </w:style>
  <w:style w:type="character" w:customStyle="1" w:styleId="TestonotaapidipaginaCarattere">
    <w:name w:val="Testo nota a piè di pagina Carattere"/>
    <w:aliases w:val=" Carattere Carattere Carattere Carattere Carattere, Carattere Carattere Carattere Carattere Carattere Carattere Carattere Carattere Carattere,Carattere Carattere Carattere Carattere Carattere"/>
    <w:basedOn w:val="Carpredefinitoparagrafo"/>
    <w:link w:val="Testonotaapidipagina"/>
    <w:uiPriority w:val="99"/>
    <w:rsid w:val="00886662"/>
    <w:rPr>
      <w:sz w:val="20"/>
      <w:szCs w:val="20"/>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basedOn w:val="Carpredefinitoparagrafo"/>
    <w:uiPriority w:val="99"/>
    <w:unhideWhenUsed/>
    <w:rsid w:val="00886662"/>
    <w:rPr>
      <w:vertAlign w:val="superscript"/>
    </w:rPr>
  </w:style>
  <w:style w:type="paragraph" w:styleId="Paragrafoelenco">
    <w:name w:val="List Paragraph"/>
    <w:basedOn w:val="Normale"/>
    <w:uiPriority w:val="34"/>
    <w:qFormat/>
    <w:rsid w:val="00C72FC6"/>
    <w:pPr>
      <w:ind w:left="720"/>
      <w:contextualSpacing/>
    </w:pPr>
  </w:style>
  <w:style w:type="paragraph" w:customStyle="1" w:styleId="popolo">
    <w:name w:val="popolo"/>
    <w:basedOn w:val="Normale"/>
    <w:rsid w:val="0064273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3A44"/>
    <w:rPr>
      <w:b/>
      <w:bCs/>
    </w:rPr>
  </w:style>
  <w:style w:type="paragraph" w:customStyle="1" w:styleId="done">
    <w:name w:val="done"/>
    <w:basedOn w:val="Normale"/>
    <w:rsid w:val="007A3A4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A3A44"/>
    <w:rPr>
      <w:i/>
      <w:iCs/>
    </w:rPr>
  </w:style>
  <w:style w:type="paragraph" w:customStyle="1" w:styleId="atext">
    <w:name w:val="atext"/>
    <w:basedOn w:val="Normale"/>
    <w:rsid w:val="003011E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011E4"/>
    <w:rPr>
      <w:color w:val="0000FF"/>
      <w:u w:val="single"/>
    </w:rPr>
  </w:style>
  <w:style w:type="paragraph" w:styleId="NormaleWeb">
    <w:name w:val="Normal (Web)"/>
    <w:basedOn w:val="Normale"/>
    <w:uiPriority w:val="99"/>
    <w:unhideWhenUsed/>
    <w:rsid w:val="003011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justify">
    <w:name w:val="text-justify"/>
    <w:basedOn w:val="Normale"/>
    <w:rsid w:val="004946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chiamoallanotaapidipagina">
    <w:name w:val="richiamoallanotaapidipagina"/>
    <w:basedOn w:val="Carpredefinitoparagrafo"/>
    <w:rsid w:val="004946D9"/>
  </w:style>
  <w:style w:type="character" w:customStyle="1" w:styleId="collegamentointernet">
    <w:name w:val="collegamentointernet"/>
    <w:basedOn w:val="Carpredefinitoparagrafo"/>
    <w:rsid w:val="004946D9"/>
  </w:style>
  <w:style w:type="paragraph" w:styleId="Testofumetto">
    <w:name w:val="Balloon Text"/>
    <w:basedOn w:val="Normale"/>
    <w:link w:val="TestofumettoCarattere"/>
    <w:uiPriority w:val="99"/>
    <w:semiHidden/>
    <w:unhideWhenUsed/>
    <w:rsid w:val="002F27F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F27F7"/>
    <w:rPr>
      <w:rFonts w:ascii="Segoe UI" w:hAnsi="Segoe UI" w:cs="Segoe UI"/>
      <w:sz w:val="18"/>
      <w:szCs w:val="18"/>
    </w:rPr>
  </w:style>
  <w:style w:type="paragraph" w:styleId="PreformattatoHTML">
    <w:name w:val="HTML Preformatted"/>
    <w:basedOn w:val="Normale"/>
    <w:link w:val="PreformattatoHTMLCarattere"/>
    <w:uiPriority w:val="99"/>
    <w:unhideWhenUsed/>
    <w:rsid w:val="00EE0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EE0CD9"/>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1071">
      <w:bodyDiv w:val="1"/>
      <w:marLeft w:val="0"/>
      <w:marRight w:val="0"/>
      <w:marTop w:val="0"/>
      <w:marBottom w:val="0"/>
      <w:divBdr>
        <w:top w:val="none" w:sz="0" w:space="0" w:color="auto"/>
        <w:left w:val="none" w:sz="0" w:space="0" w:color="auto"/>
        <w:bottom w:val="none" w:sz="0" w:space="0" w:color="auto"/>
        <w:right w:val="none" w:sz="0" w:space="0" w:color="auto"/>
      </w:divBdr>
    </w:div>
    <w:div w:id="77752081">
      <w:bodyDiv w:val="1"/>
      <w:marLeft w:val="0"/>
      <w:marRight w:val="0"/>
      <w:marTop w:val="0"/>
      <w:marBottom w:val="0"/>
      <w:divBdr>
        <w:top w:val="none" w:sz="0" w:space="0" w:color="auto"/>
        <w:left w:val="none" w:sz="0" w:space="0" w:color="auto"/>
        <w:bottom w:val="none" w:sz="0" w:space="0" w:color="auto"/>
        <w:right w:val="none" w:sz="0" w:space="0" w:color="auto"/>
      </w:divBdr>
    </w:div>
    <w:div w:id="112751113">
      <w:bodyDiv w:val="1"/>
      <w:marLeft w:val="0"/>
      <w:marRight w:val="0"/>
      <w:marTop w:val="0"/>
      <w:marBottom w:val="0"/>
      <w:divBdr>
        <w:top w:val="none" w:sz="0" w:space="0" w:color="auto"/>
        <w:left w:val="none" w:sz="0" w:space="0" w:color="auto"/>
        <w:bottom w:val="none" w:sz="0" w:space="0" w:color="auto"/>
        <w:right w:val="none" w:sz="0" w:space="0" w:color="auto"/>
      </w:divBdr>
    </w:div>
    <w:div w:id="132211219">
      <w:bodyDiv w:val="1"/>
      <w:marLeft w:val="0"/>
      <w:marRight w:val="0"/>
      <w:marTop w:val="0"/>
      <w:marBottom w:val="0"/>
      <w:divBdr>
        <w:top w:val="none" w:sz="0" w:space="0" w:color="auto"/>
        <w:left w:val="none" w:sz="0" w:space="0" w:color="auto"/>
        <w:bottom w:val="none" w:sz="0" w:space="0" w:color="auto"/>
        <w:right w:val="none" w:sz="0" w:space="0" w:color="auto"/>
      </w:divBdr>
    </w:div>
    <w:div w:id="145516972">
      <w:bodyDiv w:val="1"/>
      <w:marLeft w:val="0"/>
      <w:marRight w:val="0"/>
      <w:marTop w:val="0"/>
      <w:marBottom w:val="0"/>
      <w:divBdr>
        <w:top w:val="none" w:sz="0" w:space="0" w:color="auto"/>
        <w:left w:val="none" w:sz="0" w:space="0" w:color="auto"/>
        <w:bottom w:val="none" w:sz="0" w:space="0" w:color="auto"/>
        <w:right w:val="none" w:sz="0" w:space="0" w:color="auto"/>
      </w:divBdr>
    </w:div>
    <w:div w:id="148519135">
      <w:bodyDiv w:val="1"/>
      <w:marLeft w:val="0"/>
      <w:marRight w:val="0"/>
      <w:marTop w:val="0"/>
      <w:marBottom w:val="0"/>
      <w:divBdr>
        <w:top w:val="none" w:sz="0" w:space="0" w:color="auto"/>
        <w:left w:val="none" w:sz="0" w:space="0" w:color="auto"/>
        <w:bottom w:val="none" w:sz="0" w:space="0" w:color="auto"/>
        <w:right w:val="none" w:sz="0" w:space="0" w:color="auto"/>
      </w:divBdr>
    </w:div>
    <w:div w:id="171069453">
      <w:bodyDiv w:val="1"/>
      <w:marLeft w:val="0"/>
      <w:marRight w:val="0"/>
      <w:marTop w:val="0"/>
      <w:marBottom w:val="0"/>
      <w:divBdr>
        <w:top w:val="none" w:sz="0" w:space="0" w:color="auto"/>
        <w:left w:val="none" w:sz="0" w:space="0" w:color="auto"/>
        <w:bottom w:val="none" w:sz="0" w:space="0" w:color="auto"/>
        <w:right w:val="none" w:sz="0" w:space="0" w:color="auto"/>
      </w:divBdr>
    </w:div>
    <w:div w:id="178664633">
      <w:bodyDiv w:val="1"/>
      <w:marLeft w:val="0"/>
      <w:marRight w:val="0"/>
      <w:marTop w:val="0"/>
      <w:marBottom w:val="0"/>
      <w:divBdr>
        <w:top w:val="none" w:sz="0" w:space="0" w:color="auto"/>
        <w:left w:val="none" w:sz="0" w:space="0" w:color="auto"/>
        <w:bottom w:val="none" w:sz="0" w:space="0" w:color="auto"/>
        <w:right w:val="none" w:sz="0" w:space="0" w:color="auto"/>
      </w:divBdr>
    </w:div>
    <w:div w:id="189296749">
      <w:bodyDiv w:val="1"/>
      <w:marLeft w:val="0"/>
      <w:marRight w:val="0"/>
      <w:marTop w:val="0"/>
      <w:marBottom w:val="0"/>
      <w:divBdr>
        <w:top w:val="none" w:sz="0" w:space="0" w:color="auto"/>
        <w:left w:val="none" w:sz="0" w:space="0" w:color="auto"/>
        <w:bottom w:val="none" w:sz="0" w:space="0" w:color="auto"/>
        <w:right w:val="none" w:sz="0" w:space="0" w:color="auto"/>
      </w:divBdr>
    </w:div>
    <w:div w:id="326591653">
      <w:bodyDiv w:val="1"/>
      <w:marLeft w:val="0"/>
      <w:marRight w:val="0"/>
      <w:marTop w:val="0"/>
      <w:marBottom w:val="0"/>
      <w:divBdr>
        <w:top w:val="none" w:sz="0" w:space="0" w:color="auto"/>
        <w:left w:val="none" w:sz="0" w:space="0" w:color="auto"/>
        <w:bottom w:val="none" w:sz="0" w:space="0" w:color="auto"/>
        <w:right w:val="none" w:sz="0" w:space="0" w:color="auto"/>
      </w:divBdr>
    </w:div>
    <w:div w:id="432819192">
      <w:bodyDiv w:val="1"/>
      <w:marLeft w:val="0"/>
      <w:marRight w:val="0"/>
      <w:marTop w:val="0"/>
      <w:marBottom w:val="0"/>
      <w:divBdr>
        <w:top w:val="none" w:sz="0" w:space="0" w:color="auto"/>
        <w:left w:val="none" w:sz="0" w:space="0" w:color="auto"/>
        <w:bottom w:val="none" w:sz="0" w:space="0" w:color="auto"/>
        <w:right w:val="none" w:sz="0" w:space="0" w:color="auto"/>
      </w:divBdr>
    </w:div>
    <w:div w:id="500043434">
      <w:bodyDiv w:val="1"/>
      <w:marLeft w:val="0"/>
      <w:marRight w:val="0"/>
      <w:marTop w:val="0"/>
      <w:marBottom w:val="0"/>
      <w:divBdr>
        <w:top w:val="none" w:sz="0" w:space="0" w:color="auto"/>
        <w:left w:val="none" w:sz="0" w:space="0" w:color="auto"/>
        <w:bottom w:val="none" w:sz="0" w:space="0" w:color="auto"/>
        <w:right w:val="none" w:sz="0" w:space="0" w:color="auto"/>
      </w:divBdr>
    </w:div>
    <w:div w:id="529496803">
      <w:bodyDiv w:val="1"/>
      <w:marLeft w:val="0"/>
      <w:marRight w:val="0"/>
      <w:marTop w:val="0"/>
      <w:marBottom w:val="0"/>
      <w:divBdr>
        <w:top w:val="none" w:sz="0" w:space="0" w:color="auto"/>
        <w:left w:val="none" w:sz="0" w:space="0" w:color="auto"/>
        <w:bottom w:val="none" w:sz="0" w:space="0" w:color="auto"/>
        <w:right w:val="none" w:sz="0" w:space="0" w:color="auto"/>
      </w:divBdr>
    </w:div>
    <w:div w:id="621153491">
      <w:bodyDiv w:val="1"/>
      <w:marLeft w:val="0"/>
      <w:marRight w:val="0"/>
      <w:marTop w:val="0"/>
      <w:marBottom w:val="0"/>
      <w:divBdr>
        <w:top w:val="none" w:sz="0" w:space="0" w:color="auto"/>
        <w:left w:val="none" w:sz="0" w:space="0" w:color="auto"/>
        <w:bottom w:val="none" w:sz="0" w:space="0" w:color="auto"/>
        <w:right w:val="none" w:sz="0" w:space="0" w:color="auto"/>
      </w:divBdr>
    </w:div>
    <w:div w:id="681008765">
      <w:bodyDiv w:val="1"/>
      <w:marLeft w:val="0"/>
      <w:marRight w:val="0"/>
      <w:marTop w:val="0"/>
      <w:marBottom w:val="0"/>
      <w:divBdr>
        <w:top w:val="none" w:sz="0" w:space="0" w:color="auto"/>
        <w:left w:val="none" w:sz="0" w:space="0" w:color="auto"/>
        <w:bottom w:val="none" w:sz="0" w:space="0" w:color="auto"/>
        <w:right w:val="none" w:sz="0" w:space="0" w:color="auto"/>
      </w:divBdr>
    </w:div>
    <w:div w:id="703751774">
      <w:bodyDiv w:val="1"/>
      <w:marLeft w:val="0"/>
      <w:marRight w:val="0"/>
      <w:marTop w:val="0"/>
      <w:marBottom w:val="0"/>
      <w:divBdr>
        <w:top w:val="none" w:sz="0" w:space="0" w:color="auto"/>
        <w:left w:val="none" w:sz="0" w:space="0" w:color="auto"/>
        <w:bottom w:val="none" w:sz="0" w:space="0" w:color="auto"/>
        <w:right w:val="none" w:sz="0" w:space="0" w:color="auto"/>
      </w:divBdr>
    </w:div>
    <w:div w:id="711881479">
      <w:bodyDiv w:val="1"/>
      <w:marLeft w:val="0"/>
      <w:marRight w:val="0"/>
      <w:marTop w:val="0"/>
      <w:marBottom w:val="0"/>
      <w:divBdr>
        <w:top w:val="none" w:sz="0" w:space="0" w:color="auto"/>
        <w:left w:val="none" w:sz="0" w:space="0" w:color="auto"/>
        <w:bottom w:val="none" w:sz="0" w:space="0" w:color="auto"/>
        <w:right w:val="none" w:sz="0" w:space="0" w:color="auto"/>
      </w:divBdr>
    </w:div>
    <w:div w:id="737362267">
      <w:bodyDiv w:val="1"/>
      <w:marLeft w:val="0"/>
      <w:marRight w:val="0"/>
      <w:marTop w:val="0"/>
      <w:marBottom w:val="0"/>
      <w:divBdr>
        <w:top w:val="none" w:sz="0" w:space="0" w:color="auto"/>
        <w:left w:val="none" w:sz="0" w:space="0" w:color="auto"/>
        <w:bottom w:val="none" w:sz="0" w:space="0" w:color="auto"/>
        <w:right w:val="none" w:sz="0" w:space="0" w:color="auto"/>
      </w:divBdr>
    </w:div>
    <w:div w:id="752747245">
      <w:bodyDiv w:val="1"/>
      <w:marLeft w:val="0"/>
      <w:marRight w:val="0"/>
      <w:marTop w:val="0"/>
      <w:marBottom w:val="0"/>
      <w:divBdr>
        <w:top w:val="none" w:sz="0" w:space="0" w:color="auto"/>
        <w:left w:val="none" w:sz="0" w:space="0" w:color="auto"/>
        <w:bottom w:val="none" w:sz="0" w:space="0" w:color="auto"/>
        <w:right w:val="none" w:sz="0" w:space="0" w:color="auto"/>
      </w:divBdr>
    </w:div>
    <w:div w:id="869807381">
      <w:bodyDiv w:val="1"/>
      <w:marLeft w:val="0"/>
      <w:marRight w:val="0"/>
      <w:marTop w:val="0"/>
      <w:marBottom w:val="0"/>
      <w:divBdr>
        <w:top w:val="none" w:sz="0" w:space="0" w:color="auto"/>
        <w:left w:val="none" w:sz="0" w:space="0" w:color="auto"/>
        <w:bottom w:val="none" w:sz="0" w:space="0" w:color="auto"/>
        <w:right w:val="none" w:sz="0" w:space="0" w:color="auto"/>
      </w:divBdr>
    </w:div>
    <w:div w:id="884564485">
      <w:bodyDiv w:val="1"/>
      <w:marLeft w:val="0"/>
      <w:marRight w:val="0"/>
      <w:marTop w:val="0"/>
      <w:marBottom w:val="0"/>
      <w:divBdr>
        <w:top w:val="none" w:sz="0" w:space="0" w:color="auto"/>
        <w:left w:val="none" w:sz="0" w:space="0" w:color="auto"/>
        <w:bottom w:val="none" w:sz="0" w:space="0" w:color="auto"/>
        <w:right w:val="none" w:sz="0" w:space="0" w:color="auto"/>
      </w:divBdr>
    </w:div>
    <w:div w:id="900941132">
      <w:bodyDiv w:val="1"/>
      <w:marLeft w:val="0"/>
      <w:marRight w:val="0"/>
      <w:marTop w:val="0"/>
      <w:marBottom w:val="0"/>
      <w:divBdr>
        <w:top w:val="none" w:sz="0" w:space="0" w:color="auto"/>
        <w:left w:val="none" w:sz="0" w:space="0" w:color="auto"/>
        <w:bottom w:val="none" w:sz="0" w:space="0" w:color="auto"/>
        <w:right w:val="none" w:sz="0" w:space="0" w:color="auto"/>
      </w:divBdr>
    </w:div>
    <w:div w:id="964699002">
      <w:bodyDiv w:val="1"/>
      <w:marLeft w:val="0"/>
      <w:marRight w:val="0"/>
      <w:marTop w:val="0"/>
      <w:marBottom w:val="0"/>
      <w:divBdr>
        <w:top w:val="none" w:sz="0" w:space="0" w:color="auto"/>
        <w:left w:val="none" w:sz="0" w:space="0" w:color="auto"/>
        <w:bottom w:val="none" w:sz="0" w:space="0" w:color="auto"/>
        <w:right w:val="none" w:sz="0" w:space="0" w:color="auto"/>
      </w:divBdr>
    </w:div>
    <w:div w:id="977031083">
      <w:bodyDiv w:val="1"/>
      <w:marLeft w:val="0"/>
      <w:marRight w:val="0"/>
      <w:marTop w:val="0"/>
      <w:marBottom w:val="0"/>
      <w:divBdr>
        <w:top w:val="none" w:sz="0" w:space="0" w:color="auto"/>
        <w:left w:val="none" w:sz="0" w:space="0" w:color="auto"/>
        <w:bottom w:val="none" w:sz="0" w:space="0" w:color="auto"/>
        <w:right w:val="none" w:sz="0" w:space="0" w:color="auto"/>
      </w:divBdr>
    </w:div>
    <w:div w:id="996806737">
      <w:bodyDiv w:val="1"/>
      <w:marLeft w:val="0"/>
      <w:marRight w:val="0"/>
      <w:marTop w:val="0"/>
      <w:marBottom w:val="0"/>
      <w:divBdr>
        <w:top w:val="none" w:sz="0" w:space="0" w:color="auto"/>
        <w:left w:val="none" w:sz="0" w:space="0" w:color="auto"/>
        <w:bottom w:val="none" w:sz="0" w:space="0" w:color="auto"/>
        <w:right w:val="none" w:sz="0" w:space="0" w:color="auto"/>
      </w:divBdr>
    </w:div>
    <w:div w:id="1084567086">
      <w:bodyDiv w:val="1"/>
      <w:marLeft w:val="0"/>
      <w:marRight w:val="0"/>
      <w:marTop w:val="0"/>
      <w:marBottom w:val="0"/>
      <w:divBdr>
        <w:top w:val="none" w:sz="0" w:space="0" w:color="auto"/>
        <w:left w:val="none" w:sz="0" w:space="0" w:color="auto"/>
        <w:bottom w:val="none" w:sz="0" w:space="0" w:color="auto"/>
        <w:right w:val="none" w:sz="0" w:space="0" w:color="auto"/>
      </w:divBdr>
    </w:div>
    <w:div w:id="1152022988">
      <w:bodyDiv w:val="1"/>
      <w:marLeft w:val="0"/>
      <w:marRight w:val="0"/>
      <w:marTop w:val="0"/>
      <w:marBottom w:val="0"/>
      <w:divBdr>
        <w:top w:val="none" w:sz="0" w:space="0" w:color="auto"/>
        <w:left w:val="none" w:sz="0" w:space="0" w:color="auto"/>
        <w:bottom w:val="none" w:sz="0" w:space="0" w:color="auto"/>
        <w:right w:val="none" w:sz="0" w:space="0" w:color="auto"/>
      </w:divBdr>
    </w:div>
    <w:div w:id="1173448337">
      <w:bodyDiv w:val="1"/>
      <w:marLeft w:val="0"/>
      <w:marRight w:val="0"/>
      <w:marTop w:val="0"/>
      <w:marBottom w:val="0"/>
      <w:divBdr>
        <w:top w:val="none" w:sz="0" w:space="0" w:color="auto"/>
        <w:left w:val="none" w:sz="0" w:space="0" w:color="auto"/>
        <w:bottom w:val="none" w:sz="0" w:space="0" w:color="auto"/>
        <w:right w:val="none" w:sz="0" w:space="0" w:color="auto"/>
      </w:divBdr>
    </w:div>
    <w:div w:id="1270745285">
      <w:bodyDiv w:val="1"/>
      <w:marLeft w:val="0"/>
      <w:marRight w:val="0"/>
      <w:marTop w:val="0"/>
      <w:marBottom w:val="0"/>
      <w:divBdr>
        <w:top w:val="none" w:sz="0" w:space="0" w:color="auto"/>
        <w:left w:val="none" w:sz="0" w:space="0" w:color="auto"/>
        <w:bottom w:val="none" w:sz="0" w:space="0" w:color="auto"/>
        <w:right w:val="none" w:sz="0" w:space="0" w:color="auto"/>
      </w:divBdr>
    </w:div>
    <w:div w:id="1303804050">
      <w:bodyDiv w:val="1"/>
      <w:marLeft w:val="0"/>
      <w:marRight w:val="0"/>
      <w:marTop w:val="0"/>
      <w:marBottom w:val="0"/>
      <w:divBdr>
        <w:top w:val="none" w:sz="0" w:space="0" w:color="auto"/>
        <w:left w:val="none" w:sz="0" w:space="0" w:color="auto"/>
        <w:bottom w:val="none" w:sz="0" w:space="0" w:color="auto"/>
        <w:right w:val="none" w:sz="0" w:space="0" w:color="auto"/>
      </w:divBdr>
    </w:div>
    <w:div w:id="1339305749">
      <w:bodyDiv w:val="1"/>
      <w:marLeft w:val="0"/>
      <w:marRight w:val="0"/>
      <w:marTop w:val="0"/>
      <w:marBottom w:val="0"/>
      <w:divBdr>
        <w:top w:val="none" w:sz="0" w:space="0" w:color="auto"/>
        <w:left w:val="none" w:sz="0" w:space="0" w:color="auto"/>
        <w:bottom w:val="none" w:sz="0" w:space="0" w:color="auto"/>
        <w:right w:val="none" w:sz="0" w:space="0" w:color="auto"/>
      </w:divBdr>
    </w:div>
    <w:div w:id="1348289362">
      <w:bodyDiv w:val="1"/>
      <w:marLeft w:val="0"/>
      <w:marRight w:val="0"/>
      <w:marTop w:val="0"/>
      <w:marBottom w:val="0"/>
      <w:divBdr>
        <w:top w:val="none" w:sz="0" w:space="0" w:color="auto"/>
        <w:left w:val="none" w:sz="0" w:space="0" w:color="auto"/>
        <w:bottom w:val="none" w:sz="0" w:space="0" w:color="auto"/>
        <w:right w:val="none" w:sz="0" w:space="0" w:color="auto"/>
      </w:divBdr>
    </w:div>
    <w:div w:id="1353678639">
      <w:bodyDiv w:val="1"/>
      <w:marLeft w:val="0"/>
      <w:marRight w:val="0"/>
      <w:marTop w:val="0"/>
      <w:marBottom w:val="0"/>
      <w:divBdr>
        <w:top w:val="none" w:sz="0" w:space="0" w:color="auto"/>
        <w:left w:val="none" w:sz="0" w:space="0" w:color="auto"/>
        <w:bottom w:val="none" w:sz="0" w:space="0" w:color="auto"/>
        <w:right w:val="none" w:sz="0" w:space="0" w:color="auto"/>
      </w:divBdr>
    </w:div>
    <w:div w:id="1356035340">
      <w:bodyDiv w:val="1"/>
      <w:marLeft w:val="0"/>
      <w:marRight w:val="0"/>
      <w:marTop w:val="0"/>
      <w:marBottom w:val="0"/>
      <w:divBdr>
        <w:top w:val="none" w:sz="0" w:space="0" w:color="auto"/>
        <w:left w:val="none" w:sz="0" w:space="0" w:color="auto"/>
        <w:bottom w:val="none" w:sz="0" w:space="0" w:color="auto"/>
        <w:right w:val="none" w:sz="0" w:space="0" w:color="auto"/>
      </w:divBdr>
    </w:div>
    <w:div w:id="1429081022">
      <w:bodyDiv w:val="1"/>
      <w:marLeft w:val="0"/>
      <w:marRight w:val="0"/>
      <w:marTop w:val="0"/>
      <w:marBottom w:val="0"/>
      <w:divBdr>
        <w:top w:val="none" w:sz="0" w:space="0" w:color="auto"/>
        <w:left w:val="none" w:sz="0" w:space="0" w:color="auto"/>
        <w:bottom w:val="none" w:sz="0" w:space="0" w:color="auto"/>
        <w:right w:val="none" w:sz="0" w:space="0" w:color="auto"/>
      </w:divBdr>
    </w:div>
    <w:div w:id="1510020712">
      <w:bodyDiv w:val="1"/>
      <w:marLeft w:val="0"/>
      <w:marRight w:val="0"/>
      <w:marTop w:val="0"/>
      <w:marBottom w:val="0"/>
      <w:divBdr>
        <w:top w:val="none" w:sz="0" w:space="0" w:color="auto"/>
        <w:left w:val="none" w:sz="0" w:space="0" w:color="auto"/>
        <w:bottom w:val="none" w:sz="0" w:space="0" w:color="auto"/>
        <w:right w:val="none" w:sz="0" w:space="0" w:color="auto"/>
      </w:divBdr>
    </w:div>
    <w:div w:id="1535921566">
      <w:bodyDiv w:val="1"/>
      <w:marLeft w:val="0"/>
      <w:marRight w:val="0"/>
      <w:marTop w:val="0"/>
      <w:marBottom w:val="0"/>
      <w:divBdr>
        <w:top w:val="none" w:sz="0" w:space="0" w:color="auto"/>
        <w:left w:val="none" w:sz="0" w:space="0" w:color="auto"/>
        <w:bottom w:val="none" w:sz="0" w:space="0" w:color="auto"/>
        <w:right w:val="none" w:sz="0" w:space="0" w:color="auto"/>
      </w:divBdr>
    </w:div>
    <w:div w:id="1547637784">
      <w:bodyDiv w:val="1"/>
      <w:marLeft w:val="0"/>
      <w:marRight w:val="0"/>
      <w:marTop w:val="0"/>
      <w:marBottom w:val="0"/>
      <w:divBdr>
        <w:top w:val="none" w:sz="0" w:space="0" w:color="auto"/>
        <w:left w:val="none" w:sz="0" w:space="0" w:color="auto"/>
        <w:bottom w:val="none" w:sz="0" w:space="0" w:color="auto"/>
        <w:right w:val="none" w:sz="0" w:space="0" w:color="auto"/>
      </w:divBdr>
    </w:div>
    <w:div w:id="1617055931">
      <w:bodyDiv w:val="1"/>
      <w:marLeft w:val="0"/>
      <w:marRight w:val="0"/>
      <w:marTop w:val="0"/>
      <w:marBottom w:val="0"/>
      <w:divBdr>
        <w:top w:val="none" w:sz="0" w:space="0" w:color="auto"/>
        <w:left w:val="none" w:sz="0" w:space="0" w:color="auto"/>
        <w:bottom w:val="none" w:sz="0" w:space="0" w:color="auto"/>
        <w:right w:val="none" w:sz="0" w:space="0" w:color="auto"/>
      </w:divBdr>
    </w:div>
    <w:div w:id="1686785336">
      <w:bodyDiv w:val="1"/>
      <w:marLeft w:val="0"/>
      <w:marRight w:val="0"/>
      <w:marTop w:val="0"/>
      <w:marBottom w:val="0"/>
      <w:divBdr>
        <w:top w:val="none" w:sz="0" w:space="0" w:color="auto"/>
        <w:left w:val="none" w:sz="0" w:space="0" w:color="auto"/>
        <w:bottom w:val="none" w:sz="0" w:space="0" w:color="auto"/>
        <w:right w:val="none" w:sz="0" w:space="0" w:color="auto"/>
      </w:divBdr>
    </w:div>
    <w:div w:id="1747989719">
      <w:bodyDiv w:val="1"/>
      <w:marLeft w:val="0"/>
      <w:marRight w:val="0"/>
      <w:marTop w:val="0"/>
      <w:marBottom w:val="0"/>
      <w:divBdr>
        <w:top w:val="none" w:sz="0" w:space="0" w:color="auto"/>
        <w:left w:val="none" w:sz="0" w:space="0" w:color="auto"/>
        <w:bottom w:val="none" w:sz="0" w:space="0" w:color="auto"/>
        <w:right w:val="none" w:sz="0" w:space="0" w:color="auto"/>
      </w:divBdr>
    </w:div>
    <w:div w:id="1753231614">
      <w:bodyDiv w:val="1"/>
      <w:marLeft w:val="0"/>
      <w:marRight w:val="0"/>
      <w:marTop w:val="0"/>
      <w:marBottom w:val="0"/>
      <w:divBdr>
        <w:top w:val="none" w:sz="0" w:space="0" w:color="auto"/>
        <w:left w:val="none" w:sz="0" w:space="0" w:color="auto"/>
        <w:bottom w:val="none" w:sz="0" w:space="0" w:color="auto"/>
        <w:right w:val="none" w:sz="0" w:space="0" w:color="auto"/>
      </w:divBdr>
    </w:div>
    <w:div w:id="1848788670">
      <w:bodyDiv w:val="1"/>
      <w:marLeft w:val="0"/>
      <w:marRight w:val="0"/>
      <w:marTop w:val="0"/>
      <w:marBottom w:val="0"/>
      <w:divBdr>
        <w:top w:val="none" w:sz="0" w:space="0" w:color="auto"/>
        <w:left w:val="none" w:sz="0" w:space="0" w:color="auto"/>
        <w:bottom w:val="none" w:sz="0" w:space="0" w:color="auto"/>
        <w:right w:val="none" w:sz="0" w:space="0" w:color="auto"/>
      </w:divBdr>
    </w:div>
    <w:div w:id="1890534833">
      <w:bodyDiv w:val="1"/>
      <w:marLeft w:val="0"/>
      <w:marRight w:val="0"/>
      <w:marTop w:val="0"/>
      <w:marBottom w:val="0"/>
      <w:divBdr>
        <w:top w:val="none" w:sz="0" w:space="0" w:color="auto"/>
        <w:left w:val="none" w:sz="0" w:space="0" w:color="auto"/>
        <w:bottom w:val="none" w:sz="0" w:space="0" w:color="auto"/>
        <w:right w:val="none" w:sz="0" w:space="0" w:color="auto"/>
      </w:divBdr>
    </w:div>
    <w:div w:id="2030568335">
      <w:bodyDiv w:val="1"/>
      <w:marLeft w:val="0"/>
      <w:marRight w:val="0"/>
      <w:marTop w:val="0"/>
      <w:marBottom w:val="0"/>
      <w:divBdr>
        <w:top w:val="none" w:sz="0" w:space="0" w:color="auto"/>
        <w:left w:val="none" w:sz="0" w:space="0" w:color="auto"/>
        <w:bottom w:val="none" w:sz="0" w:space="0" w:color="auto"/>
        <w:right w:val="none" w:sz="0" w:space="0" w:color="auto"/>
      </w:divBdr>
    </w:div>
    <w:div w:id="2037852964">
      <w:bodyDiv w:val="1"/>
      <w:marLeft w:val="0"/>
      <w:marRight w:val="0"/>
      <w:marTop w:val="0"/>
      <w:marBottom w:val="0"/>
      <w:divBdr>
        <w:top w:val="none" w:sz="0" w:space="0" w:color="auto"/>
        <w:left w:val="none" w:sz="0" w:space="0" w:color="auto"/>
        <w:bottom w:val="none" w:sz="0" w:space="0" w:color="auto"/>
        <w:right w:val="none" w:sz="0" w:space="0" w:color="auto"/>
      </w:divBdr>
    </w:div>
    <w:div w:id="2057460787">
      <w:bodyDiv w:val="1"/>
      <w:marLeft w:val="0"/>
      <w:marRight w:val="0"/>
      <w:marTop w:val="0"/>
      <w:marBottom w:val="0"/>
      <w:divBdr>
        <w:top w:val="none" w:sz="0" w:space="0" w:color="auto"/>
        <w:left w:val="none" w:sz="0" w:space="0" w:color="auto"/>
        <w:bottom w:val="none" w:sz="0" w:space="0" w:color="auto"/>
        <w:right w:val="none" w:sz="0" w:space="0" w:color="auto"/>
      </w:divBdr>
    </w:div>
    <w:div w:id="2078740065">
      <w:bodyDiv w:val="1"/>
      <w:marLeft w:val="0"/>
      <w:marRight w:val="0"/>
      <w:marTop w:val="0"/>
      <w:marBottom w:val="0"/>
      <w:divBdr>
        <w:top w:val="none" w:sz="0" w:space="0" w:color="auto"/>
        <w:left w:val="none" w:sz="0" w:space="0" w:color="auto"/>
        <w:bottom w:val="none" w:sz="0" w:space="0" w:color="auto"/>
        <w:right w:val="none" w:sz="0" w:space="0" w:color="auto"/>
      </w:divBdr>
    </w:div>
    <w:div w:id="20823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7067-599D-4954-9748-D67F65EB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12210</Words>
  <Characters>69603</Characters>
  <Application>Microsoft Office Word</Application>
  <DocSecurity>0</DocSecurity>
  <Lines>580</Lines>
  <Paragraphs>163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FERRARI Giulia</cp:lastModifiedBy>
  <cp:revision>2</cp:revision>
  <cp:lastPrinted>2021-11-29T20:23:00Z</cp:lastPrinted>
  <dcterms:created xsi:type="dcterms:W3CDTF">2021-12-23T17:03:00Z</dcterms:created>
  <dcterms:modified xsi:type="dcterms:W3CDTF">2021-12-23T17:03:00Z</dcterms:modified>
</cp:coreProperties>
</file>