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EF2" w:rsidRDefault="001A6AB7" w:rsidP="008B2A47">
      <w:pPr>
        <w:jc w:val="center"/>
        <w:rPr>
          <w:rFonts w:ascii="Times New Roman" w:hAnsi="Times New Roman" w:cs="Times New Roman"/>
          <w:b/>
          <w:sz w:val="24"/>
          <w:szCs w:val="24"/>
        </w:rPr>
      </w:pPr>
      <w:r w:rsidRPr="008B2A47">
        <w:rPr>
          <w:rFonts w:ascii="Times New Roman" w:hAnsi="Times New Roman" w:cs="Times New Roman"/>
          <w:b/>
          <w:sz w:val="24"/>
          <w:szCs w:val="24"/>
        </w:rPr>
        <w:t xml:space="preserve">Il rinvio pregiudiziale fra mito e realtà </w:t>
      </w:r>
    </w:p>
    <w:p w:rsidR="00240EA0" w:rsidRPr="001B5EF2" w:rsidRDefault="001A6AB7" w:rsidP="008B2A47">
      <w:pPr>
        <w:jc w:val="center"/>
        <w:rPr>
          <w:rFonts w:ascii="Times New Roman" w:hAnsi="Times New Roman" w:cs="Times New Roman"/>
          <w:sz w:val="24"/>
          <w:szCs w:val="24"/>
        </w:rPr>
      </w:pPr>
      <w:r w:rsidRPr="001B5EF2">
        <w:rPr>
          <w:rFonts w:ascii="Times New Roman" w:hAnsi="Times New Roman" w:cs="Times New Roman"/>
          <w:sz w:val="24"/>
          <w:szCs w:val="24"/>
        </w:rPr>
        <w:t>(</w:t>
      </w:r>
      <w:proofErr w:type="gramStart"/>
      <w:r w:rsidRPr="001B5EF2">
        <w:rPr>
          <w:rFonts w:ascii="Times New Roman" w:hAnsi="Times New Roman" w:cs="Times New Roman"/>
          <w:sz w:val="24"/>
          <w:szCs w:val="24"/>
        </w:rPr>
        <w:t>brevi</w:t>
      </w:r>
      <w:proofErr w:type="gramEnd"/>
      <w:r w:rsidRPr="001B5EF2">
        <w:rPr>
          <w:rFonts w:ascii="Times New Roman" w:hAnsi="Times New Roman" w:cs="Times New Roman"/>
          <w:sz w:val="24"/>
          <w:szCs w:val="24"/>
        </w:rPr>
        <w:t xml:space="preserve"> note a primissima lettura della sentenza della Corte di Giustizia dell’U.E., Grande Sezione, 6 ottobre 2021 </w:t>
      </w:r>
      <w:r w:rsidR="001B5EF2">
        <w:rPr>
          <w:rFonts w:ascii="Times New Roman" w:hAnsi="Times New Roman" w:cs="Times New Roman"/>
          <w:sz w:val="24"/>
          <w:szCs w:val="24"/>
        </w:rPr>
        <w:t>,</w:t>
      </w:r>
      <w:bookmarkStart w:id="0" w:name="_GoBack"/>
      <w:bookmarkEnd w:id="0"/>
      <w:r w:rsidRPr="001B5EF2">
        <w:rPr>
          <w:rFonts w:ascii="Times New Roman" w:hAnsi="Times New Roman" w:cs="Times New Roman"/>
          <w:sz w:val="24"/>
          <w:szCs w:val="24"/>
        </w:rPr>
        <w:t xml:space="preserve">in causa C-561/19, Consorzio </w:t>
      </w:r>
      <w:proofErr w:type="spellStart"/>
      <w:r w:rsidRPr="001B5EF2">
        <w:rPr>
          <w:rFonts w:ascii="Times New Roman" w:hAnsi="Times New Roman" w:cs="Times New Roman"/>
          <w:sz w:val="24"/>
          <w:szCs w:val="24"/>
        </w:rPr>
        <w:t>Italian</w:t>
      </w:r>
      <w:proofErr w:type="spellEnd"/>
      <w:r w:rsidRPr="001B5EF2">
        <w:rPr>
          <w:rFonts w:ascii="Times New Roman" w:hAnsi="Times New Roman" w:cs="Times New Roman"/>
          <w:sz w:val="24"/>
          <w:szCs w:val="24"/>
        </w:rPr>
        <w:t xml:space="preserve"> Management - Catania Multiservizi </w:t>
      </w:r>
      <w:proofErr w:type="spellStart"/>
      <w:r w:rsidRPr="001B5EF2">
        <w:rPr>
          <w:rFonts w:ascii="Times New Roman" w:hAnsi="Times New Roman" w:cs="Times New Roman"/>
          <w:sz w:val="24"/>
          <w:szCs w:val="24"/>
        </w:rPr>
        <w:t>SpA</w:t>
      </w:r>
      <w:proofErr w:type="spellEnd"/>
      <w:r w:rsidRPr="001B5EF2">
        <w:rPr>
          <w:rFonts w:ascii="Times New Roman" w:hAnsi="Times New Roman" w:cs="Times New Roman"/>
          <w:sz w:val="24"/>
          <w:szCs w:val="24"/>
        </w:rPr>
        <w:t>/Rete Ferroviaria Italiana)</w:t>
      </w:r>
    </w:p>
    <w:p w:rsidR="008B2A47" w:rsidRDefault="008B2A47" w:rsidP="008B2A47">
      <w:pPr>
        <w:jc w:val="both"/>
        <w:rPr>
          <w:rFonts w:ascii="Times New Roman" w:hAnsi="Times New Roman" w:cs="Times New Roman"/>
          <w:sz w:val="24"/>
          <w:szCs w:val="24"/>
        </w:rPr>
      </w:pPr>
    </w:p>
    <w:p w:rsidR="008B2A47" w:rsidRDefault="008B2A47" w:rsidP="008B2A47">
      <w:pPr>
        <w:jc w:val="both"/>
        <w:rPr>
          <w:rFonts w:ascii="Times New Roman" w:hAnsi="Times New Roman" w:cs="Times New Roman"/>
          <w:sz w:val="24"/>
          <w:szCs w:val="24"/>
        </w:rPr>
      </w:pPr>
    </w:p>
    <w:p w:rsidR="008B2A47" w:rsidRDefault="008B2A47" w:rsidP="008B2A47">
      <w:pPr>
        <w:jc w:val="both"/>
        <w:rPr>
          <w:rFonts w:ascii="Times New Roman" w:hAnsi="Times New Roman" w:cs="Times New Roman"/>
          <w:sz w:val="24"/>
          <w:szCs w:val="24"/>
        </w:rPr>
      </w:pPr>
    </w:p>
    <w:p w:rsidR="008B2A47" w:rsidRDefault="008B2A47" w:rsidP="008B2A47">
      <w:pPr>
        <w:jc w:val="both"/>
        <w:rPr>
          <w:rFonts w:ascii="Times New Roman" w:hAnsi="Times New Roman" w:cs="Times New Roman"/>
          <w:sz w:val="24"/>
          <w:szCs w:val="24"/>
        </w:rPr>
      </w:pPr>
      <w:r>
        <w:rPr>
          <w:rFonts w:ascii="Times New Roman" w:hAnsi="Times New Roman" w:cs="Times New Roman"/>
          <w:sz w:val="24"/>
          <w:szCs w:val="24"/>
        </w:rPr>
        <w:t xml:space="preserve">1. </w:t>
      </w:r>
      <w:r w:rsidR="00BD681D">
        <w:rPr>
          <w:rFonts w:ascii="Times New Roman" w:hAnsi="Times New Roman" w:cs="Times New Roman"/>
          <w:sz w:val="24"/>
          <w:szCs w:val="24"/>
        </w:rPr>
        <w:t xml:space="preserve">Nel 1946 </w:t>
      </w:r>
      <w:r>
        <w:rPr>
          <w:rFonts w:ascii="Times New Roman" w:hAnsi="Times New Roman" w:cs="Times New Roman"/>
          <w:sz w:val="24"/>
          <w:szCs w:val="24"/>
        </w:rPr>
        <w:t>Santi Romano chiudeva la voce “</w:t>
      </w:r>
      <w:r w:rsidRPr="008B2A47">
        <w:rPr>
          <w:rFonts w:ascii="Times New Roman" w:hAnsi="Times New Roman" w:cs="Times New Roman"/>
          <w:i/>
          <w:sz w:val="24"/>
          <w:szCs w:val="24"/>
        </w:rPr>
        <w:t>Mitologia giuridica</w:t>
      </w:r>
      <w:r>
        <w:rPr>
          <w:rFonts w:ascii="Times New Roman" w:hAnsi="Times New Roman" w:cs="Times New Roman"/>
          <w:sz w:val="24"/>
          <w:szCs w:val="24"/>
        </w:rPr>
        <w:t>” dei “</w:t>
      </w:r>
      <w:r w:rsidRPr="008B2A47">
        <w:rPr>
          <w:rFonts w:ascii="Times New Roman" w:hAnsi="Times New Roman" w:cs="Times New Roman"/>
          <w:i/>
          <w:sz w:val="24"/>
          <w:szCs w:val="24"/>
        </w:rPr>
        <w:t>Frammenti di un dizionario giuridico</w:t>
      </w:r>
      <w:r>
        <w:rPr>
          <w:rFonts w:ascii="Times New Roman" w:hAnsi="Times New Roman" w:cs="Times New Roman"/>
          <w:sz w:val="24"/>
          <w:szCs w:val="24"/>
        </w:rPr>
        <w:t>” distinguendo fra i miti che costituiscono “</w:t>
      </w:r>
      <w:r w:rsidRPr="008B2A47">
        <w:rPr>
          <w:rFonts w:ascii="Times New Roman" w:hAnsi="Times New Roman" w:cs="Times New Roman"/>
          <w:i/>
          <w:sz w:val="24"/>
          <w:szCs w:val="24"/>
        </w:rPr>
        <w:t>sprone ad attività più o meno utili, ispirando riforme la cui opportunità o necessità si rivela alle coscienze in tale forma</w:t>
      </w:r>
      <w:r>
        <w:rPr>
          <w:rFonts w:ascii="Times New Roman" w:hAnsi="Times New Roman" w:cs="Times New Roman"/>
          <w:sz w:val="24"/>
          <w:szCs w:val="24"/>
        </w:rPr>
        <w:t>”, e quelli che “</w:t>
      </w:r>
      <w:r w:rsidRPr="008B2A47">
        <w:rPr>
          <w:rFonts w:ascii="Times New Roman" w:hAnsi="Times New Roman" w:cs="Times New Roman"/>
          <w:i/>
          <w:sz w:val="24"/>
          <w:szCs w:val="24"/>
        </w:rPr>
        <w:t>invece, rimasti ‘ombre vane fuor che nell’aspetto’ e nelle forviate credenze di filosofi o di giuristi, possano determinare errori gravi e non innocue utopie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
      </w:r>
    </w:p>
    <w:p w:rsidR="00BD681D" w:rsidRDefault="004A4EC5" w:rsidP="008B2A47">
      <w:pPr>
        <w:jc w:val="both"/>
        <w:rPr>
          <w:rFonts w:ascii="Times New Roman" w:hAnsi="Times New Roman" w:cs="Times New Roman"/>
          <w:sz w:val="24"/>
          <w:szCs w:val="24"/>
        </w:rPr>
      </w:pPr>
      <w:r>
        <w:rPr>
          <w:rFonts w:ascii="Times New Roman" w:hAnsi="Times New Roman" w:cs="Times New Roman"/>
          <w:sz w:val="24"/>
          <w:szCs w:val="24"/>
        </w:rPr>
        <w:t>Non è facile</w:t>
      </w:r>
      <w:r w:rsidR="00BD681D">
        <w:rPr>
          <w:rFonts w:ascii="Times New Roman" w:hAnsi="Times New Roman" w:cs="Times New Roman"/>
          <w:sz w:val="24"/>
          <w:szCs w:val="24"/>
        </w:rPr>
        <w:t xml:space="preserve"> classificare in questo </w:t>
      </w:r>
      <w:r w:rsidR="00155B9B">
        <w:rPr>
          <w:rFonts w:ascii="Times New Roman" w:hAnsi="Times New Roman" w:cs="Times New Roman"/>
          <w:sz w:val="24"/>
          <w:szCs w:val="24"/>
        </w:rPr>
        <w:t>dualismo</w:t>
      </w:r>
      <w:r w:rsidR="00BD681D">
        <w:rPr>
          <w:rFonts w:ascii="Times New Roman" w:hAnsi="Times New Roman" w:cs="Times New Roman"/>
          <w:sz w:val="24"/>
          <w:szCs w:val="24"/>
        </w:rPr>
        <w:t xml:space="preserve"> il mito dell’obbligatorietà del rinvio pregiudiziale alla Corte di Giustizia da parte del giudice di ultima istanza, come (apparentemente) reso flessibile</w:t>
      </w:r>
      <w:r w:rsidR="00E85FBE">
        <w:rPr>
          <w:rFonts w:ascii="Times New Roman" w:hAnsi="Times New Roman" w:cs="Times New Roman"/>
          <w:sz w:val="24"/>
          <w:szCs w:val="24"/>
        </w:rPr>
        <w:t xml:space="preserve"> </w:t>
      </w:r>
      <w:r w:rsidR="00BD681D">
        <w:rPr>
          <w:rFonts w:ascii="Times New Roman" w:hAnsi="Times New Roman" w:cs="Times New Roman"/>
          <w:sz w:val="24"/>
          <w:szCs w:val="24"/>
        </w:rPr>
        <w:t xml:space="preserve">dalla giurisprudenza </w:t>
      </w:r>
      <w:proofErr w:type="spellStart"/>
      <w:r w:rsidR="00BD681D" w:rsidRPr="00C67436">
        <w:rPr>
          <w:rFonts w:ascii="Times New Roman" w:hAnsi="Times New Roman" w:cs="Times New Roman"/>
          <w:i/>
          <w:sz w:val="24"/>
          <w:szCs w:val="24"/>
        </w:rPr>
        <w:t>Cilfit</w:t>
      </w:r>
      <w:proofErr w:type="spellEnd"/>
      <w:r w:rsidR="00BD681D">
        <w:rPr>
          <w:rFonts w:ascii="Times New Roman" w:hAnsi="Times New Roman" w:cs="Times New Roman"/>
          <w:sz w:val="24"/>
          <w:szCs w:val="24"/>
        </w:rPr>
        <w:t>.</w:t>
      </w:r>
    </w:p>
    <w:p w:rsidR="00BD681D" w:rsidRDefault="00BD681D" w:rsidP="008B2A47">
      <w:pPr>
        <w:jc w:val="both"/>
        <w:rPr>
          <w:rFonts w:ascii="Times New Roman" w:hAnsi="Times New Roman" w:cs="Times New Roman"/>
          <w:sz w:val="24"/>
          <w:szCs w:val="24"/>
        </w:rPr>
      </w:pPr>
      <w:r>
        <w:rPr>
          <w:rFonts w:ascii="Times New Roman" w:hAnsi="Times New Roman" w:cs="Times New Roman"/>
          <w:sz w:val="24"/>
          <w:szCs w:val="24"/>
        </w:rPr>
        <w:t xml:space="preserve">Di certo, esso è stato smascherato (in quanto mito), e conseguentemente smitizzato, dalle inequivocabili parole dell’Avvocato generale </w:t>
      </w:r>
      <w:proofErr w:type="spellStart"/>
      <w:r w:rsidR="008C6272">
        <w:rPr>
          <w:rFonts w:ascii="Times New Roman" w:hAnsi="Times New Roman" w:cs="Times New Roman"/>
          <w:sz w:val="24"/>
          <w:szCs w:val="24"/>
        </w:rPr>
        <w:t>Bobek</w:t>
      </w:r>
      <w:proofErr w:type="spellEnd"/>
      <w:r w:rsidR="008C6272">
        <w:rPr>
          <w:rFonts w:ascii="Times New Roman" w:hAnsi="Times New Roman" w:cs="Times New Roman"/>
          <w:sz w:val="24"/>
          <w:szCs w:val="24"/>
        </w:rPr>
        <w:t xml:space="preserve"> </w:t>
      </w:r>
      <w:r>
        <w:rPr>
          <w:rFonts w:ascii="Times New Roman" w:hAnsi="Times New Roman" w:cs="Times New Roman"/>
          <w:sz w:val="24"/>
          <w:szCs w:val="24"/>
        </w:rPr>
        <w:t>nelle Conclusioni rassegnate nel caso C-561/19: “</w:t>
      </w:r>
      <w:r w:rsidRPr="00BD681D">
        <w:rPr>
          <w:rFonts w:ascii="Times New Roman" w:hAnsi="Times New Roman" w:cs="Times New Roman"/>
          <w:i/>
          <w:sz w:val="24"/>
          <w:szCs w:val="24"/>
        </w:rPr>
        <w:t>Da diversi anni, l’obbligo di sottoporre una questione pregiudiziale ai sensi dell’articolo 267, terzo</w:t>
      </w:r>
      <w:r w:rsidR="008C6272">
        <w:rPr>
          <w:rFonts w:ascii="Times New Roman" w:hAnsi="Times New Roman" w:cs="Times New Roman"/>
          <w:i/>
          <w:sz w:val="24"/>
          <w:szCs w:val="24"/>
        </w:rPr>
        <w:t xml:space="preserve"> </w:t>
      </w:r>
      <w:r w:rsidRPr="00BD681D">
        <w:rPr>
          <w:rFonts w:ascii="Times New Roman" w:hAnsi="Times New Roman" w:cs="Times New Roman"/>
          <w:i/>
          <w:sz w:val="24"/>
          <w:szCs w:val="24"/>
        </w:rPr>
        <w:t>comma, TFUE, le eccezioni a tale obbligo, e soprattutto la sua attuazione, sono stati il metaforico “can che</w:t>
      </w:r>
      <w:r w:rsidR="008C6272">
        <w:rPr>
          <w:rFonts w:ascii="Times New Roman" w:hAnsi="Times New Roman" w:cs="Times New Roman"/>
          <w:i/>
          <w:sz w:val="24"/>
          <w:szCs w:val="24"/>
        </w:rPr>
        <w:t xml:space="preserve"> </w:t>
      </w:r>
      <w:r w:rsidRPr="00BD681D">
        <w:rPr>
          <w:rFonts w:ascii="Times New Roman" w:hAnsi="Times New Roman" w:cs="Times New Roman"/>
          <w:i/>
          <w:sz w:val="24"/>
          <w:szCs w:val="24"/>
        </w:rPr>
        <w:t>dorme” del diritto dell’Unione. Siamo tutti consapevoli del fatto che esistono. Siamo tutti in grado di</w:t>
      </w:r>
      <w:r w:rsidR="008C6272">
        <w:rPr>
          <w:rFonts w:ascii="Times New Roman" w:hAnsi="Times New Roman" w:cs="Times New Roman"/>
          <w:i/>
          <w:sz w:val="24"/>
          <w:szCs w:val="24"/>
        </w:rPr>
        <w:t xml:space="preserve"> </w:t>
      </w:r>
      <w:r w:rsidRPr="00BD681D">
        <w:rPr>
          <w:rFonts w:ascii="Times New Roman" w:hAnsi="Times New Roman" w:cs="Times New Roman"/>
          <w:i/>
          <w:sz w:val="24"/>
          <w:szCs w:val="24"/>
        </w:rPr>
        <w:t>discutere o addirittura di scrivere trattati accademici su tale argomento. Tuttavia, nella vita reale, è meglio</w:t>
      </w:r>
      <w:r w:rsidR="008C6272">
        <w:rPr>
          <w:rFonts w:ascii="Times New Roman" w:hAnsi="Times New Roman" w:cs="Times New Roman"/>
          <w:i/>
          <w:sz w:val="24"/>
          <w:szCs w:val="24"/>
        </w:rPr>
        <w:t xml:space="preserve"> </w:t>
      </w:r>
      <w:r w:rsidRPr="00BD681D">
        <w:rPr>
          <w:rFonts w:ascii="Times New Roman" w:hAnsi="Times New Roman" w:cs="Times New Roman"/>
          <w:i/>
          <w:sz w:val="24"/>
          <w:szCs w:val="24"/>
        </w:rPr>
        <w:t>che il cane sia lasciato indisturbato. In termini pragmatici (o cinici), l’intero sistema dei rinvii pregiudiziali</w:t>
      </w:r>
      <w:r w:rsidR="008C6272">
        <w:rPr>
          <w:rFonts w:ascii="Times New Roman" w:hAnsi="Times New Roman" w:cs="Times New Roman"/>
          <w:i/>
          <w:sz w:val="24"/>
          <w:szCs w:val="24"/>
        </w:rPr>
        <w:t xml:space="preserve"> </w:t>
      </w:r>
      <w:r w:rsidRPr="00BD681D">
        <w:rPr>
          <w:rFonts w:ascii="Times New Roman" w:hAnsi="Times New Roman" w:cs="Times New Roman"/>
          <w:i/>
          <w:sz w:val="24"/>
          <w:szCs w:val="24"/>
        </w:rPr>
        <w:t>funziona in quanto nessuno, di fatto, applica la sentenza CILFIT, certamente non alla lettera. Spesso, è</w:t>
      </w:r>
      <w:r w:rsidR="008C6272">
        <w:rPr>
          <w:rFonts w:ascii="Times New Roman" w:hAnsi="Times New Roman" w:cs="Times New Roman"/>
          <w:i/>
          <w:sz w:val="24"/>
          <w:szCs w:val="24"/>
        </w:rPr>
        <w:t xml:space="preserve"> </w:t>
      </w:r>
      <w:r w:rsidRPr="00BD681D">
        <w:rPr>
          <w:rFonts w:ascii="Times New Roman" w:hAnsi="Times New Roman" w:cs="Times New Roman"/>
          <w:i/>
          <w:sz w:val="24"/>
          <w:szCs w:val="24"/>
        </w:rPr>
        <w:t>meglio l’idea di un cane che dover trattare con l’animale in carne ed ossa</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w:t>
      </w:r>
    </w:p>
    <w:p w:rsidR="00FA7189" w:rsidRDefault="0060149D" w:rsidP="008B2A47">
      <w:pPr>
        <w:jc w:val="both"/>
        <w:rPr>
          <w:rFonts w:ascii="Times New Roman" w:hAnsi="Times New Roman" w:cs="Times New Roman"/>
          <w:sz w:val="24"/>
          <w:szCs w:val="24"/>
        </w:rPr>
      </w:pPr>
      <w:r>
        <w:rPr>
          <w:rFonts w:ascii="Times New Roman" w:hAnsi="Times New Roman" w:cs="Times New Roman"/>
          <w:sz w:val="24"/>
          <w:szCs w:val="24"/>
        </w:rPr>
        <w:t xml:space="preserve">La Corte di Giustizia, sollecitata </w:t>
      </w:r>
      <w:r w:rsidR="00E85FBE">
        <w:rPr>
          <w:rFonts w:ascii="Times New Roman" w:hAnsi="Times New Roman" w:cs="Times New Roman"/>
          <w:sz w:val="24"/>
          <w:szCs w:val="24"/>
        </w:rPr>
        <w:t>(</w:t>
      </w:r>
      <w:r>
        <w:rPr>
          <w:rFonts w:ascii="Times New Roman" w:hAnsi="Times New Roman" w:cs="Times New Roman"/>
          <w:sz w:val="24"/>
          <w:szCs w:val="24"/>
        </w:rPr>
        <w:t xml:space="preserve">dall’ordinanza della IV Sezione del Consiglio di Stato n. </w:t>
      </w:r>
      <w:r w:rsidR="00E85FBE">
        <w:rPr>
          <w:rFonts w:ascii="Times New Roman" w:hAnsi="Times New Roman" w:cs="Times New Roman"/>
          <w:sz w:val="24"/>
          <w:szCs w:val="24"/>
        </w:rPr>
        <w:t xml:space="preserve">4949/2019) </w:t>
      </w:r>
      <w:r w:rsidR="00FA7189">
        <w:rPr>
          <w:rFonts w:ascii="Times New Roman" w:hAnsi="Times New Roman" w:cs="Times New Roman"/>
          <w:sz w:val="24"/>
          <w:szCs w:val="24"/>
        </w:rPr>
        <w:t xml:space="preserve">a verificare in concreto la praticabilità della condizione dell’assenza di “ogni ragionevole dubbio” di contrasto con il diritto comunitario, ha </w:t>
      </w:r>
      <w:r w:rsidR="00E85FBE">
        <w:rPr>
          <w:rFonts w:ascii="Times New Roman" w:hAnsi="Times New Roman" w:cs="Times New Roman"/>
          <w:sz w:val="24"/>
          <w:szCs w:val="24"/>
        </w:rPr>
        <w:t xml:space="preserve">preliminarmente </w:t>
      </w:r>
      <w:r w:rsidR="00FA7189">
        <w:rPr>
          <w:rFonts w:ascii="Times New Roman" w:hAnsi="Times New Roman" w:cs="Times New Roman"/>
          <w:sz w:val="24"/>
          <w:szCs w:val="24"/>
        </w:rPr>
        <w:t xml:space="preserve">ribadito la cornice ordinamentale e le ragioni che stanno alla base della regola dell’obbligatorietà del rinvio, </w:t>
      </w:r>
      <w:r w:rsidR="00E85FBE">
        <w:rPr>
          <w:rFonts w:ascii="Times New Roman" w:hAnsi="Times New Roman" w:cs="Times New Roman"/>
          <w:sz w:val="24"/>
          <w:szCs w:val="24"/>
        </w:rPr>
        <w:t>nonché</w:t>
      </w:r>
      <w:r w:rsidR="00FA7189">
        <w:rPr>
          <w:rFonts w:ascii="Times New Roman" w:hAnsi="Times New Roman" w:cs="Times New Roman"/>
          <w:sz w:val="24"/>
          <w:szCs w:val="24"/>
        </w:rPr>
        <w:t xml:space="preserve"> l</w:t>
      </w:r>
      <w:r w:rsidR="00E85FBE">
        <w:rPr>
          <w:rFonts w:ascii="Times New Roman" w:hAnsi="Times New Roman" w:cs="Times New Roman"/>
          <w:sz w:val="24"/>
          <w:szCs w:val="24"/>
        </w:rPr>
        <w:t>a</w:t>
      </w:r>
      <w:r w:rsidR="00FA7189">
        <w:rPr>
          <w:rFonts w:ascii="Times New Roman" w:hAnsi="Times New Roman" w:cs="Times New Roman"/>
          <w:sz w:val="24"/>
          <w:szCs w:val="24"/>
        </w:rPr>
        <w:t xml:space="preserve"> perdurante validità delle “condizioni-</w:t>
      </w:r>
      <w:proofErr w:type="spellStart"/>
      <w:r w:rsidR="00FA7189" w:rsidRPr="00C67436">
        <w:rPr>
          <w:rFonts w:ascii="Times New Roman" w:hAnsi="Times New Roman" w:cs="Times New Roman"/>
          <w:i/>
          <w:sz w:val="24"/>
          <w:szCs w:val="24"/>
        </w:rPr>
        <w:t>Cilfit</w:t>
      </w:r>
      <w:proofErr w:type="spellEnd"/>
      <w:r w:rsidR="00FA7189">
        <w:rPr>
          <w:rFonts w:ascii="Times New Roman" w:hAnsi="Times New Roman" w:cs="Times New Roman"/>
          <w:sz w:val="24"/>
          <w:szCs w:val="24"/>
        </w:rPr>
        <w:t xml:space="preserve">”: non potendo, per evidenti ragioni istituzionali oltre che normative, </w:t>
      </w:r>
      <w:r w:rsidR="008C6272">
        <w:rPr>
          <w:rFonts w:ascii="Times New Roman" w:hAnsi="Times New Roman" w:cs="Times New Roman"/>
          <w:sz w:val="24"/>
          <w:szCs w:val="24"/>
        </w:rPr>
        <w:t>superare espressamente tale frontiera</w:t>
      </w:r>
      <w:r w:rsidR="00FA7189">
        <w:rPr>
          <w:rFonts w:ascii="Times New Roman" w:hAnsi="Times New Roman" w:cs="Times New Roman"/>
          <w:sz w:val="24"/>
          <w:szCs w:val="24"/>
        </w:rPr>
        <w:t>.</w:t>
      </w:r>
    </w:p>
    <w:p w:rsidR="00FA7189" w:rsidRDefault="00FA7189" w:rsidP="008B2A47">
      <w:pPr>
        <w:jc w:val="both"/>
        <w:rPr>
          <w:rFonts w:ascii="Times New Roman" w:hAnsi="Times New Roman" w:cs="Times New Roman"/>
          <w:sz w:val="24"/>
          <w:szCs w:val="24"/>
        </w:rPr>
      </w:pPr>
      <w:r>
        <w:rPr>
          <w:rFonts w:ascii="Times New Roman" w:hAnsi="Times New Roman" w:cs="Times New Roman"/>
          <w:sz w:val="24"/>
          <w:szCs w:val="24"/>
        </w:rPr>
        <w:t xml:space="preserve">Nondimeno, una attenta lettura della sentenza, alla luce di una consapevole e serena ricostruzione del dibattito fra le Corti culminato nelle richiamate Conclusioni dell’Avvocato Generale, evidenzia che la stessa Corte </w:t>
      </w:r>
      <w:r w:rsidR="00E85FBE">
        <w:rPr>
          <w:rFonts w:ascii="Times New Roman" w:hAnsi="Times New Roman" w:cs="Times New Roman"/>
          <w:sz w:val="24"/>
          <w:szCs w:val="24"/>
        </w:rPr>
        <w:t xml:space="preserve">di Giustizia ha </w:t>
      </w:r>
      <w:r>
        <w:rPr>
          <w:rFonts w:ascii="Times New Roman" w:hAnsi="Times New Roman" w:cs="Times New Roman"/>
          <w:sz w:val="24"/>
          <w:szCs w:val="24"/>
        </w:rPr>
        <w:t>co</w:t>
      </w:r>
      <w:r w:rsidR="00E85FBE">
        <w:rPr>
          <w:rFonts w:ascii="Times New Roman" w:hAnsi="Times New Roman" w:cs="Times New Roman"/>
          <w:sz w:val="24"/>
          <w:szCs w:val="24"/>
        </w:rPr>
        <w:t>lto</w:t>
      </w:r>
      <w:r>
        <w:rPr>
          <w:rFonts w:ascii="Times New Roman" w:hAnsi="Times New Roman" w:cs="Times New Roman"/>
          <w:sz w:val="24"/>
          <w:szCs w:val="24"/>
        </w:rPr>
        <w:t xml:space="preserve"> i</w:t>
      </w:r>
      <w:r w:rsidR="00155B9B">
        <w:rPr>
          <w:rFonts w:ascii="Times New Roman" w:hAnsi="Times New Roman" w:cs="Times New Roman"/>
          <w:sz w:val="24"/>
          <w:szCs w:val="24"/>
        </w:rPr>
        <w:t xml:space="preserve"> rischi connessi ad una dialogo forzato (primo fra tutti quello di</w:t>
      </w:r>
      <w:r>
        <w:rPr>
          <w:rFonts w:ascii="Times New Roman" w:hAnsi="Times New Roman" w:cs="Times New Roman"/>
          <w:sz w:val="24"/>
          <w:szCs w:val="24"/>
        </w:rPr>
        <w:t xml:space="preserve"> </w:t>
      </w:r>
      <w:r w:rsidR="004A4EC5">
        <w:rPr>
          <w:rFonts w:ascii="Times New Roman" w:hAnsi="Times New Roman" w:cs="Times New Roman"/>
          <w:sz w:val="24"/>
          <w:szCs w:val="24"/>
        </w:rPr>
        <w:t xml:space="preserve">uno </w:t>
      </w:r>
      <w:r>
        <w:rPr>
          <w:rFonts w:ascii="Times New Roman" w:hAnsi="Times New Roman" w:cs="Times New Roman"/>
          <w:sz w:val="24"/>
          <w:szCs w:val="24"/>
        </w:rPr>
        <w:t>snaturamento del rimedio</w:t>
      </w:r>
      <w:r w:rsidR="00155B9B">
        <w:rPr>
          <w:rFonts w:ascii="Times New Roman" w:hAnsi="Times New Roman" w:cs="Times New Roman"/>
          <w:sz w:val="24"/>
          <w:szCs w:val="24"/>
        </w:rPr>
        <w:t>)</w:t>
      </w:r>
      <w:r>
        <w:rPr>
          <w:rFonts w:ascii="Times New Roman" w:hAnsi="Times New Roman" w:cs="Times New Roman"/>
          <w:sz w:val="24"/>
          <w:szCs w:val="24"/>
        </w:rPr>
        <w:t xml:space="preserve">, ed </w:t>
      </w:r>
      <w:r w:rsidR="00E85FBE">
        <w:rPr>
          <w:rFonts w:ascii="Times New Roman" w:hAnsi="Times New Roman" w:cs="Times New Roman"/>
          <w:sz w:val="24"/>
          <w:szCs w:val="24"/>
        </w:rPr>
        <w:t xml:space="preserve">ha </w:t>
      </w:r>
      <w:r>
        <w:rPr>
          <w:rFonts w:ascii="Times New Roman" w:hAnsi="Times New Roman" w:cs="Times New Roman"/>
          <w:sz w:val="24"/>
          <w:szCs w:val="24"/>
        </w:rPr>
        <w:t>indica</w:t>
      </w:r>
      <w:r w:rsidR="00E85FBE">
        <w:rPr>
          <w:rFonts w:ascii="Times New Roman" w:hAnsi="Times New Roman" w:cs="Times New Roman"/>
          <w:sz w:val="24"/>
          <w:szCs w:val="24"/>
        </w:rPr>
        <w:t>to</w:t>
      </w:r>
      <w:r>
        <w:rPr>
          <w:rFonts w:ascii="Times New Roman" w:hAnsi="Times New Roman" w:cs="Times New Roman"/>
          <w:sz w:val="24"/>
          <w:szCs w:val="24"/>
        </w:rPr>
        <w:t xml:space="preserve"> la str</w:t>
      </w:r>
      <w:r w:rsidR="00F61007">
        <w:rPr>
          <w:rFonts w:ascii="Times New Roman" w:hAnsi="Times New Roman" w:cs="Times New Roman"/>
          <w:sz w:val="24"/>
          <w:szCs w:val="24"/>
        </w:rPr>
        <w:t xml:space="preserve">ada per un suo utilizzo </w:t>
      </w:r>
      <w:r w:rsidR="00155B9B">
        <w:rPr>
          <w:rFonts w:ascii="Times New Roman" w:hAnsi="Times New Roman" w:cs="Times New Roman"/>
          <w:sz w:val="24"/>
          <w:szCs w:val="24"/>
        </w:rPr>
        <w:t>non a</w:t>
      </w:r>
      <w:r w:rsidR="00F61007">
        <w:rPr>
          <w:rFonts w:ascii="Times New Roman" w:hAnsi="Times New Roman" w:cs="Times New Roman"/>
          <w:sz w:val="24"/>
          <w:szCs w:val="24"/>
        </w:rPr>
        <w:t>critico: forse smentendo, sia pure senza affermazioni eclatanti ma con significative precisazioni, chi aveva commentato tali Conclusioni osservando che “</w:t>
      </w:r>
      <w:r w:rsidR="00F61007" w:rsidRPr="00F61007">
        <w:rPr>
          <w:rFonts w:ascii="Times New Roman" w:hAnsi="Times New Roman" w:cs="Times New Roman"/>
          <w:sz w:val="24"/>
          <w:szCs w:val="24"/>
        </w:rPr>
        <w:t xml:space="preserve">Potrebbe non essere, insomma, il momento più </w:t>
      </w:r>
      <w:r w:rsidR="00F61007" w:rsidRPr="00F61007">
        <w:rPr>
          <w:rFonts w:ascii="Times New Roman" w:hAnsi="Times New Roman" w:cs="Times New Roman"/>
          <w:sz w:val="24"/>
          <w:szCs w:val="24"/>
        </w:rPr>
        <w:lastRenderedPageBreak/>
        <w:t xml:space="preserve">opportuno per una nuova e ampia ridefinizione del meccanismo ex art. 267 TFUE come quella, coraggiosa, proposta da </w:t>
      </w:r>
      <w:proofErr w:type="spellStart"/>
      <w:r w:rsidR="00F61007" w:rsidRPr="00F61007">
        <w:rPr>
          <w:rFonts w:ascii="Times New Roman" w:hAnsi="Times New Roman" w:cs="Times New Roman"/>
          <w:sz w:val="24"/>
          <w:szCs w:val="24"/>
        </w:rPr>
        <w:t>Bobek</w:t>
      </w:r>
      <w:proofErr w:type="spellEnd"/>
      <w:r w:rsidR="00F61007">
        <w:rPr>
          <w:rFonts w:ascii="Times New Roman" w:hAnsi="Times New Roman" w:cs="Times New Roman"/>
          <w:sz w:val="24"/>
          <w:szCs w:val="24"/>
        </w:rPr>
        <w:t>”</w:t>
      </w:r>
      <w:r w:rsidR="00F61007">
        <w:rPr>
          <w:rStyle w:val="Rimandonotaapidipagina"/>
          <w:rFonts w:ascii="Times New Roman" w:hAnsi="Times New Roman" w:cs="Times New Roman"/>
          <w:sz w:val="24"/>
          <w:szCs w:val="24"/>
        </w:rPr>
        <w:footnoteReference w:id="3"/>
      </w:r>
      <w:r w:rsidR="00F61007">
        <w:rPr>
          <w:rFonts w:ascii="Times New Roman" w:hAnsi="Times New Roman" w:cs="Times New Roman"/>
          <w:sz w:val="24"/>
          <w:szCs w:val="24"/>
        </w:rPr>
        <w:t xml:space="preserve">. </w:t>
      </w:r>
    </w:p>
    <w:p w:rsidR="00155B9B" w:rsidRDefault="00662198" w:rsidP="00662198">
      <w:pPr>
        <w:jc w:val="both"/>
        <w:rPr>
          <w:rFonts w:ascii="Times New Roman" w:hAnsi="Times New Roman" w:cs="Times New Roman"/>
          <w:sz w:val="24"/>
          <w:szCs w:val="24"/>
        </w:rPr>
      </w:pPr>
      <w:r>
        <w:rPr>
          <w:rFonts w:ascii="Times New Roman" w:hAnsi="Times New Roman" w:cs="Times New Roman"/>
          <w:sz w:val="24"/>
          <w:szCs w:val="24"/>
        </w:rPr>
        <w:t xml:space="preserve">2. Il dato più significativo, ad avviso di chi scrive, è il riconoscimento al giudice nazionale, anche di ultima istanza, dello spazio critico proprio di ogni organo giurisdizionale, e l’indicazione del suo ruolo di giudice comunitario di prossimità non ridotto a mero </w:t>
      </w:r>
      <w:r w:rsidR="00155B9B">
        <w:rPr>
          <w:rFonts w:ascii="Times New Roman" w:hAnsi="Times New Roman" w:cs="Times New Roman"/>
          <w:sz w:val="24"/>
          <w:szCs w:val="24"/>
        </w:rPr>
        <w:t>collezionista di statistiche di</w:t>
      </w:r>
      <w:r>
        <w:rPr>
          <w:rFonts w:ascii="Times New Roman" w:hAnsi="Times New Roman" w:cs="Times New Roman"/>
          <w:sz w:val="24"/>
          <w:szCs w:val="24"/>
        </w:rPr>
        <w:t xml:space="preserve"> questioni </w:t>
      </w:r>
      <w:r w:rsidR="00155B9B">
        <w:rPr>
          <w:rFonts w:ascii="Times New Roman" w:hAnsi="Times New Roman" w:cs="Times New Roman"/>
          <w:sz w:val="24"/>
          <w:szCs w:val="24"/>
        </w:rPr>
        <w:t>pregiudiziali</w:t>
      </w:r>
      <w:r>
        <w:rPr>
          <w:rFonts w:ascii="Times New Roman" w:hAnsi="Times New Roman" w:cs="Times New Roman"/>
          <w:sz w:val="24"/>
          <w:szCs w:val="24"/>
        </w:rPr>
        <w:t>, ma inteso come consapevole interlocuto</w:t>
      </w:r>
      <w:r w:rsidR="007030C6">
        <w:rPr>
          <w:rFonts w:ascii="Times New Roman" w:hAnsi="Times New Roman" w:cs="Times New Roman"/>
          <w:sz w:val="24"/>
          <w:szCs w:val="24"/>
        </w:rPr>
        <w:t>re di un dialogo reale, nel quale il governo del processo (e delle relative questioni di diritto</w:t>
      </w:r>
      <w:r w:rsidR="00155B9B">
        <w:rPr>
          <w:rFonts w:ascii="Times New Roman" w:hAnsi="Times New Roman" w:cs="Times New Roman"/>
          <w:sz w:val="24"/>
          <w:szCs w:val="24"/>
        </w:rPr>
        <w:t>:</w:t>
      </w:r>
      <w:r w:rsidR="007030C6">
        <w:rPr>
          <w:rFonts w:ascii="Times New Roman" w:hAnsi="Times New Roman" w:cs="Times New Roman"/>
          <w:sz w:val="24"/>
          <w:szCs w:val="24"/>
        </w:rPr>
        <w:t xml:space="preserve"> </w:t>
      </w:r>
      <w:r w:rsidR="00155B9B">
        <w:rPr>
          <w:rFonts w:ascii="Times New Roman" w:hAnsi="Times New Roman" w:cs="Times New Roman"/>
          <w:sz w:val="24"/>
          <w:szCs w:val="24"/>
        </w:rPr>
        <w:t>non solo</w:t>
      </w:r>
      <w:r w:rsidR="007030C6">
        <w:rPr>
          <w:rFonts w:ascii="Times New Roman" w:hAnsi="Times New Roman" w:cs="Times New Roman"/>
          <w:sz w:val="24"/>
          <w:szCs w:val="24"/>
        </w:rPr>
        <w:t xml:space="preserve"> sul piano</w:t>
      </w:r>
      <w:r w:rsidR="00155B9B">
        <w:rPr>
          <w:rFonts w:ascii="Times New Roman" w:hAnsi="Times New Roman" w:cs="Times New Roman"/>
          <w:sz w:val="24"/>
          <w:szCs w:val="24"/>
        </w:rPr>
        <w:t xml:space="preserve"> </w:t>
      </w:r>
      <w:r w:rsidR="007030C6">
        <w:rPr>
          <w:rFonts w:ascii="Times New Roman" w:hAnsi="Times New Roman" w:cs="Times New Roman"/>
          <w:sz w:val="24"/>
          <w:szCs w:val="24"/>
        </w:rPr>
        <w:t xml:space="preserve">della loro pertinenza al </w:t>
      </w:r>
      <w:proofErr w:type="spellStart"/>
      <w:r w:rsidR="007030C6" w:rsidRPr="007030C6">
        <w:rPr>
          <w:rFonts w:ascii="Times New Roman" w:hAnsi="Times New Roman" w:cs="Times New Roman"/>
          <w:i/>
          <w:sz w:val="24"/>
          <w:szCs w:val="24"/>
        </w:rPr>
        <w:t>thema</w:t>
      </w:r>
      <w:proofErr w:type="spellEnd"/>
      <w:r w:rsidR="007030C6" w:rsidRPr="007030C6">
        <w:rPr>
          <w:rFonts w:ascii="Times New Roman" w:hAnsi="Times New Roman" w:cs="Times New Roman"/>
          <w:i/>
          <w:sz w:val="24"/>
          <w:szCs w:val="24"/>
        </w:rPr>
        <w:t xml:space="preserve"> </w:t>
      </w:r>
      <w:proofErr w:type="spellStart"/>
      <w:r w:rsidR="007030C6" w:rsidRPr="007030C6">
        <w:rPr>
          <w:rFonts w:ascii="Times New Roman" w:hAnsi="Times New Roman" w:cs="Times New Roman"/>
          <w:i/>
          <w:sz w:val="24"/>
          <w:szCs w:val="24"/>
        </w:rPr>
        <w:t>decidendum</w:t>
      </w:r>
      <w:proofErr w:type="spellEnd"/>
      <w:r w:rsidR="007030C6">
        <w:rPr>
          <w:rFonts w:ascii="Times New Roman" w:hAnsi="Times New Roman" w:cs="Times New Roman"/>
          <w:sz w:val="24"/>
          <w:szCs w:val="24"/>
        </w:rPr>
        <w:t>) non può essere sacrificato</w:t>
      </w:r>
      <w:r w:rsidR="00155B9B">
        <w:rPr>
          <w:rFonts w:ascii="Times New Roman" w:hAnsi="Times New Roman" w:cs="Times New Roman"/>
          <w:sz w:val="24"/>
          <w:szCs w:val="24"/>
        </w:rPr>
        <w:t xml:space="preserve"> neppure in ossequio al pur preminente fine di assicurare un’interpretazione uniforme del diritto dell’U.E.</w:t>
      </w:r>
    </w:p>
    <w:p w:rsidR="007030C6" w:rsidRDefault="007030C6" w:rsidP="00662198">
      <w:pPr>
        <w:jc w:val="both"/>
        <w:rPr>
          <w:rFonts w:ascii="Times New Roman" w:hAnsi="Times New Roman" w:cs="Times New Roman"/>
          <w:sz w:val="24"/>
          <w:szCs w:val="24"/>
        </w:rPr>
      </w:pPr>
      <w:r>
        <w:rPr>
          <w:rFonts w:ascii="Times New Roman" w:hAnsi="Times New Roman" w:cs="Times New Roman"/>
          <w:sz w:val="24"/>
          <w:szCs w:val="24"/>
        </w:rPr>
        <w:t>L’ossequio sostanziale trova così prevalenza su quello formale, l’approccio sintetico su quello analitico</w:t>
      </w:r>
      <w:r w:rsidR="00155B9B">
        <w:rPr>
          <w:rFonts w:ascii="Times New Roman" w:hAnsi="Times New Roman" w:cs="Times New Roman"/>
          <w:sz w:val="24"/>
          <w:szCs w:val="24"/>
        </w:rPr>
        <w:t xml:space="preserve">: ma soprattutto, il dialogo fra Corti si alimenta di una buona dose di effettività, </w:t>
      </w:r>
      <w:proofErr w:type="spellStart"/>
      <w:r w:rsidR="00155B9B">
        <w:rPr>
          <w:rFonts w:ascii="Times New Roman" w:hAnsi="Times New Roman" w:cs="Times New Roman"/>
          <w:sz w:val="24"/>
          <w:szCs w:val="24"/>
        </w:rPr>
        <w:t>giacchè</w:t>
      </w:r>
      <w:proofErr w:type="spellEnd"/>
      <w:r w:rsidR="00155B9B">
        <w:rPr>
          <w:rFonts w:ascii="Times New Roman" w:hAnsi="Times New Roman" w:cs="Times New Roman"/>
          <w:sz w:val="24"/>
          <w:szCs w:val="24"/>
        </w:rPr>
        <w:t xml:space="preserve"> applicare con consapevolezza ed efficacia il diritto dell’Unione significa anche sfrondare il giudizio di questioni irrilevanti, manifestamente infondate</w:t>
      </w:r>
      <w:r w:rsidR="003D3402">
        <w:rPr>
          <w:rFonts w:ascii="Times New Roman" w:hAnsi="Times New Roman" w:cs="Times New Roman"/>
          <w:sz w:val="24"/>
          <w:szCs w:val="24"/>
        </w:rPr>
        <w:t xml:space="preserve"> o meramente</w:t>
      </w:r>
      <w:r w:rsidR="00155B9B">
        <w:rPr>
          <w:rFonts w:ascii="Times New Roman" w:hAnsi="Times New Roman" w:cs="Times New Roman"/>
          <w:sz w:val="24"/>
          <w:szCs w:val="24"/>
        </w:rPr>
        <w:t xml:space="preserve"> </w:t>
      </w:r>
      <w:r w:rsidR="003D3402">
        <w:rPr>
          <w:rFonts w:ascii="Times New Roman" w:hAnsi="Times New Roman" w:cs="Times New Roman"/>
          <w:sz w:val="24"/>
          <w:szCs w:val="24"/>
        </w:rPr>
        <w:t>strumentali</w:t>
      </w:r>
      <w:r>
        <w:rPr>
          <w:rFonts w:ascii="Times New Roman" w:hAnsi="Times New Roman" w:cs="Times New Roman"/>
          <w:sz w:val="24"/>
          <w:szCs w:val="24"/>
        </w:rPr>
        <w:t>.</w:t>
      </w:r>
    </w:p>
    <w:p w:rsidR="003D3402" w:rsidRDefault="003D3402" w:rsidP="00662198">
      <w:pPr>
        <w:jc w:val="both"/>
        <w:rPr>
          <w:rFonts w:ascii="Times New Roman" w:hAnsi="Times New Roman" w:cs="Times New Roman"/>
          <w:sz w:val="24"/>
          <w:szCs w:val="24"/>
        </w:rPr>
      </w:pPr>
      <w:r>
        <w:rPr>
          <w:rFonts w:ascii="Times New Roman" w:hAnsi="Times New Roman" w:cs="Times New Roman"/>
          <w:sz w:val="24"/>
          <w:szCs w:val="24"/>
        </w:rPr>
        <w:t xml:space="preserve">Molte delle “aperture” della sentenza richiamano precedenti della stessa Corte (a cominciare proprio da </w:t>
      </w:r>
      <w:proofErr w:type="spellStart"/>
      <w:r w:rsidRPr="003D3402">
        <w:rPr>
          <w:rFonts w:ascii="Times New Roman" w:hAnsi="Times New Roman" w:cs="Times New Roman"/>
          <w:i/>
          <w:sz w:val="24"/>
          <w:szCs w:val="24"/>
        </w:rPr>
        <w:t>Cilfit</w:t>
      </w:r>
      <w:proofErr w:type="spellEnd"/>
      <w:r>
        <w:rPr>
          <w:rFonts w:ascii="Times New Roman" w:hAnsi="Times New Roman" w:cs="Times New Roman"/>
          <w:sz w:val="24"/>
          <w:szCs w:val="24"/>
        </w:rPr>
        <w:t>): quasi a voler sottolineare la coerenza della decisione con la precedente giurisprudenza.</w:t>
      </w:r>
    </w:p>
    <w:p w:rsidR="003D3402" w:rsidRDefault="003D3402" w:rsidP="00662198">
      <w:pPr>
        <w:jc w:val="both"/>
        <w:rPr>
          <w:rFonts w:ascii="Times New Roman" w:hAnsi="Times New Roman" w:cs="Times New Roman"/>
          <w:sz w:val="24"/>
          <w:szCs w:val="24"/>
        </w:rPr>
      </w:pPr>
      <w:r>
        <w:rPr>
          <w:rFonts w:ascii="Times New Roman" w:hAnsi="Times New Roman" w:cs="Times New Roman"/>
          <w:sz w:val="24"/>
          <w:szCs w:val="24"/>
        </w:rPr>
        <w:t xml:space="preserve">Ciò non ne riduce tuttavia la portata innovativa: la Corte era stata chiamata infatti non a superare i criteri </w:t>
      </w:r>
      <w:proofErr w:type="spellStart"/>
      <w:r w:rsidRPr="003D3402">
        <w:rPr>
          <w:rFonts w:ascii="Times New Roman" w:hAnsi="Times New Roman" w:cs="Times New Roman"/>
          <w:i/>
          <w:sz w:val="24"/>
          <w:szCs w:val="24"/>
        </w:rPr>
        <w:t>Cilfit</w:t>
      </w:r>
      <w:proofErr w:type="spellEnd"/>
      <w:r>
        <w:rPr>
          <w:rFonts w:ascii="Times New Roman" w:hAnsi="Times New Roman" w:cs="Times New Roman"/>
          <w:sz w:val="24"/>
          <w:szCs w:val="24"/>
        </w:rPr>
        <w:t xml:space="preserve">, ma a precisarli, allo scopo di consentirne un’applicazione finora </w:t>
      </w:r>
      <w:r w:rsidR="009D1851">
        <w:rPr>
          <w:rFonts w:ascii="Times New Roman" w:hAnsi="Times New Roman" w:cs="Times New Roman"/>
          <w:sz w:val="24"/>
          <w:szCs w:val="24"/>
        </w:rPr>
        <w:t xml:space="preserve">ritenuta (proprio dall’Avvocato generale, oltre che da alcune ordinanze di rinvio pregiudiziale) </w:t>
      </w:r>
      <w:r>
        <w:rPr>
          <w:rFonts w:ascii="Times New Roman" w:hAnsi="Times New Roman" w:cs="Times New Roman"/>
          <w:sz w:val="24"/>
          <w:szCs w:val="24"/>
        </w:rPr>
        <w:t>impossibile.</w:t>
      </w:r>
    </w:p>
    <w:p w:rsidR="003D3402" w:rsidRDefault="003D3402" w:rsidP="003D3402">
      <w:pPr>
        <w:jc w:val="both"/>
        <w:rPr>
          <w:rFonts w:ascii="Times New Roman" w:hAnsi="Times New Roman" w:cs="Times New Roman"/>
          <w:sz w:val="24"/>
          <w:szCs w:val="24"/>
        </w:rPr>
      </w:pPr>
      <w:r>
        <w:rPr>
          <w:rFonts w:ascii="Times New Roman" w:hAnsi="Times New Roman" w:cs="Times New Roman"/>
          <w:sz w:val="24"/>
          <w:szCs w:val="24"/>
        </w:rPr>
        <w:t xml:space="preserve">Indicare il giudice nazionale di ultima istanza come interlocutore non acritico non </w:t>
      </w:r>
      <w:r w:rsidR="009D1851">
        <w:rPr>
          <w:rFonts w:ascii="Times New Roman" w:hAnsi="Times New Roman" w:cs="Times New Roman"/>
          <w:sz w:val="24"/>
          <w:szCs w:val="24"/>
        </w:rPr>
        <w:t>sminuisce</w:t>
      </w:r>
      <w:r>
        <w:rPr>
          <w:rFonts w:ascii="Times New Roman" w:hAnsi="Times New Roman" w:cs="Times New Roman"/>
          <w:sz w:val="24"/>
          <w:szCs w:val="24"/>
        </w:rPr>
        <w:t xml:space="preserve"> l’importanza del dialogo fra le Corti, ma evidentemente la rafforza</w:t>
      </w:r>
      <w:r w:rsidR="009D1851">
        <w:rPr>
          <w:rFonts w:ascii="Times New Roman" w:hAnsi="Times New Roman" w:cs="Times New Roman"/>
          <w:sz w:val="24"/>
          <w:szCs w:val="24"/>
        </w:rPr>
        <w:t xml:space="preserve">: perché priva tale dialogo della connotazione burocratica che la regola dell’obbligo, applicata in modo (di fatto) inflessibile, recava in sé.  </w:t>
      </w:r>
      <w:r>
        <w:rPr>
          <w:rFonts w:ascii="Times New Roman" w:hAnsi="Times New Roman" w:cs="Times New Roman"/>
          <w:sz w:val="24"/>
          <w:szCs w:val="24"/>
        </w:rPr>
        <w:t xml:space="preserve"> </w:t>
      </w:r>
    </w:p>
    <w:p w:rsidR="00662198" w:rsidRDefault="007030C6" w:rsidP="00662198">
      <w:pPr>
        <w:jc w:val="both"/>
        <w:rPr>
          <w:rFonts w:ascii="Times New Roman" w:hAnsi="Times New Roman" w:cs="Times New Roman"/>
          <w:sz w:val="24"/>
          <w:szCs w:val="24"/>
        </w:rPr>
      </w:pPr>
      <w:r>
        <w:rPr>
          <w:rFonts w:ascii="Times New Roman" w:hAnsi="Times New Roman" w:cs="Times New Roman"/>
          <w:sz w:val="24"/>
          <w:szCs w:val="24"/>
        </w:rPr>
        <w:t>3. Un primo elemento da cui si ricava la superiore conclusione è l’affermazione, ripetuta due volte (p</w:t>
      </w:r>
      <w:r w:rsidR="003D3402">
        <w:rPr>
          <w:rFonts w:ascii="Times New Roman" w:hAnsi="Times New Roman" w:cs="Times New Roman"/>
          <w:sz w:val="24"/>
          <w:szCs w:val="24"/>
        </w:rPr>
        <w:t>unti</w:t>
      </w:r>
      <w:r>
        <w:rPr>
          <w:rFonts w:ascii="Times New Roman" w:hAnsi="Times New Roman" w:cs="Times New Roman"/>
          <w:sz w:val="24"/>
          <w:szCs w:val="24"/>
        </w:rPr>
        <w:t xml:space="preserve"> 33 e 34 della sentenza), di una valutazione della </w:t>
      </w:r>
      <w:r w:rsidRPr="007030C6">
        <w:rPr>
          <w:rFonts w:ascii="Times New Roman" w:hAnsi="Times New Roman" w:cs="Times New Roman"/>
          <w:i/>
          <w:sz w:val="24"/>
          <w:szCs w:val="24"/>
        </w:rPr>
        <w:t>rilevanza</w:t>
      </w:r>
      <w:r>
        <w:rPr>
          <w:rFonts w:ascii="Times New Roman" w:hAnsi="Times New Roman" w:cs="Times New Roman"/>
          <w:sz w:val="24"/>
          <w:szCs w:val="24"/>
        </w:rPr>
        <w:t xml:space="preserve"> della questione di esclusiva competenza del giudice </w:t>
      </w:r>
      <w:r w:rsidRPr="007030C6">
        <w:rPr>
          <w:rFonts w:ascii="Times New Roman" w:hAnsi="Times New Roman" w:cs="Times New Roman"/>
          <w:i/>
          <w:sz w:val="24"/>
          <w:szCs w:val="24"/>
        </w:rPr>
        <w:t>a quo</w:t>
      </w:r>
      <w:r>
        <w:rPr>
          <w:rFonts w:ascii="Times New Roman" w:hAnsi="Times New Roman" w:cs="Times New Roman"/>
          <w:sz w:val="24"/>
          <w:szCs w:val="24"/>
        </w:rPr>
        <w:t>.</w:t>
      </w:r>
    </w:p>
    <w:p w:rsidR="007030C6" w:rsidRDefault="007030C6" w:rsidP="00662198">
      <w:pPr>
        <w:jc w:val="both"/>
        <w:rPr>
          <w:rFonts w:ascii="Times New Roman" w:hAnsi="Times New Roman" w:cs="Times New Roman"/>
          <w:sz w:val="24"/>
          <w:szCs w:val="24"/>
        </w:rPr>
      </w:pPr>
      <w:r>
        <w:rPr>
          <w:rFonts w:ascii="Times New Roman" w:hAnsi="Times New Roman" w:cs="Times New Roman"/>
          <w:sz w:val="24"/>
          <w:szCs w:val="24"/>
        </w:rPr>
        <w:t xml:space="preserve">Si tratta di una esplicitazione dei criteri </w:t>
      </w:r>
      <w:proofErr w:type="spellStart"/>
      <w:r w:rsidRPr="00691AA9">
        <w:rPr>
          <w:rFonts w:ascii="Times New Roman" w:hAnsi="Times New Roman" w:cs="Times New Roman"/>
          <w:i/>
          <w:sz w:val="24"/>
          <w:szCs w:val="24"/>
        </w:rPr>
        <w:t>Cilfit</w:t>
      </w:r>
      <w:proofErr w:type="spellEnd"/>
      <w:r>
        <w:rPr>
          <w:rFonts w:ascii="Times New Roman" w:hAnsi="Times New Roman" w:cs="Times New Roman"/>
          <w:sz w:val="24"/>
          <w:szCs w:val="24"/>
        </w:rPr>
        <w:t xml:space="preserve"> che nella giurisprudenza italiana era stata già affermata </w:t>
      </w:r>
      <w:r w:rsidR="00F61007">
        <w:rPr>
          <w:rFonts w:ascii="Times New Roman" w:hAnsi="Times New Roman" w:cs="Times New Roman"/>
          <w:sz w:val="24"/>
          <w:szCs w:val="24"/>
        </w:rPr>
        <w:t>da</w:t>
      </w:r>
      <w:r>
        <w:rPr>
          <w:rFonts w:ascii="Times New Roman" w:hAnsi="Times New Roman" w:cs="Times New Roman"/>
          <w:sz w:val="24"/>
          <w:szCs w:val="24"/>
        </w:rPr>
        <w:t>lla Corte di Cassazione.</w:t>
      </w:r>
      <w:r>
        <w:rPr>
          <w:rStyle w:val="Rimandonotaapidipagina"/>
          <w:rFonts w:ascii="Times New Roman" w:hAnsi="Times New Roman" w:cs="Times New Roman"/>
          <w:sz w:val="24"/>
          <w:szCs w:val="24"/>
        </w:rPr>
        <w:footnoteReference w:id="4"/>
      </w:r>
    </w:p>
    <w:p w:rsidR="007030C6" w:rsidRDefault="007030C6" w:rsidP="00662198">
      <w:pPr>
        <w:jc w:val="both"/>
        <w:rPr>
          <w:rFonts w:ascii="Times New Roman" w:hAnsi="Times New Roman" w:cs="Times New Roman"/>
          <w:sz w:val="24"/>
          <w:szCs w:val="24"/>
        </w:rPr>
      </w:pPr>
      <w:r>
        <w:rPr>
          <w:rFonts w:ascii="Times New Roman" w:hAnsi="Times New Roman" w:cs="Times New Roman"/>
          <w:sz w:val="24"/>
          <w:szCs w:val="24"/>
        </w:rPr>
        <w:t>Il principio viene poi specificato (p</w:t>
      </w:r>
      <w:r w:rsidR="003D3402">
        <w:rPr>
          <w:rFonts w:ascii="Times New Roman" w:hAnsi="Times New Roman" w:cs="Times New Roman"/>
          <w:sz w:val="24"/>
          <w:szCs w:val="24"/>
        </w:rPr>
        <w:t>unti</w:t>
      </w:r>
      <w:r>
        <w:rPr>
          <w:rFonts w:ascii="Times New Roman" w:hAnsi="Times New Roman" w:cs="Times New Roman"/>
          <w:sz w:val="24"/>
          <w:szCs w:val="24"/>
        </w:rPr>
        <w:t xml:space="preserve"> da 52 a 55) con l’espressa precisazione che la formulazione della questione ad opera di una delle parti non vincola per ciò solo il giudice di ultima istanza a rinviare alla Corte.</w:t>
      </w:r>
    </w:p>
    <w:p w:rsidR="00E85FBE" w:rsidRDefault="007030C6" w:rsidP="00E85FBE">
      <w:pPr>
        <w:jc w:val="both"/>
        <w:rPr>
          <w:rFonts w:ascii="Times New Roman" w:hAnsi="Times New Roman" w:cs="Times New Roman"/>
          <w:sz w:val="24"/>
          <w:szCs w:val="24"/>
        </w:rPr>
      </w:pPr>
      <w:r>
        <w:rPr>
          <w:rFonts w:ascii="Times New Roman" w:hAnsi="Times New Roman" w:cs="Times New Roman"/>
          <w:sz w:val="24"/>
          <w:szCs w:val="24"/>
        </w:rPr>
        <w:t xml:space="preserve">Quest’ultimo passaggio è </w:t>
      </w:r>
      <w:r w:rsidR="00E85FBE">
        <w:rPr>
          <w:rFonts w:ascii="Times New Roman" w:hAnsi="Times New Roman" w:cs="Times New Roman"/>
          <w:sz w:val="24"/>
          <w:szCs w:val="24"/>
        </w:rPr>
        <w:t xml:space="preserve">particolarmente </w:t>
      </w:r>
      <w:r>
        <w:rPr>
          <w:rFonts w:ascii="Times New Roman" w:hAnsi="Times New Roman" w:cs="Times New Roman"/>
          <w:sz w:val="24"/>
          <w:szCs w:val="24"/>
        </w:rPr>
        <w:t>importante</w:t>
      </w:r>
      <w:r w:rsidR="00E85FBE">
        <w:rPr>
          <w:rFonts w:ascii="Times New Roman" w:hAnsi="Times New Roman" w:cs="Times New Roman"/>
          <w:sz w:val="24"/>
          <w:szCs w:val="24"/>
        </w:rPr>
        <w:t xml:space="preserve">, perché risponde </w:t>
      </w:r>
      <w:r w:rsidR="003D3402">
        <w:rPr>
          <w:rFonts w:ascii="Times New Roman" w:hAnsi="Times New Roman" w:cs="Times New Roman"/>
          <w:sz w:val="24"/>
          <w:szCs w:val="24"/>
        </w:rPr>
        <w:t>(neutralizzandone i presupposti)</w:t>
      </w:r>
      <w:r w:rsidR="00E85FBE">
        <w:rPr>
          <w:rFonts w:ascii="Times New Roman" w:hAnsi="Times New Roman" w:cs="Times New Roman"/>
          <w:sz w:val="24"/>
          <w:szCs w:val="24"/>
        </w:rPr>
        <w:t xml:space="preserve"> alla </w:t>
      </w:r>
      <w:r w:rsidR="003D3402">
        <w:rPr>
          <w:rFonts w:ascii="Times New Roman" w:hAnsi="Times New Roman" w:cs="Times New Roman"/>
          <w:sz w:val="24"/>
          <w:szCs w:val="24"/>
        </w:rPr>
        <w:t xml:space="preserve">segnalata </w:t>
      </w:r>
      <w:r w:rsidR="00E85FBE">
        <w:rPr>
          <w:rFonts w:ascii="Times New Roman" w:hAnsi="Times New Roman" w:cs="Times New Roman"/>
          <w:sz w:val="24"/>
          <w:szCs w:val="24"/>
        </w:rPr>
        <w:t>preoccupazione che</w:t>
      </w:r>
      <w:r w:rsidR="003D3402">
        <w:rPr>
          <w:rFonts w:ascii="Times New Roman" w:hAnsi="Times New Roman" w:cs="Times New Roman"/>
          <w:sz w:val="24"/>
          <w:szCs w:val="24"/>
        </w:rPr>
        <w:t xml:space="preserve"> - </w:t>
      </w:r>
      <w:r w:rsidR="00E85FBE">
        <w:rPr>
          <w:rFonts w:ascii="Times New Roman" w:hAnsi="Times New Roman" w:cs="Times New Roman"/>
          <w:sz w:val="24"/>
          <w:szCs w:val="24"/>
        </w:rPr>
        <w:t>ove l’obbligo possa farsi discendere (sia pure quale conseguenza di una tendenza all’utilizzo “difensivo” del rimedio da parte dei giudici di ultima istanza) “alla mera enunciazione del dubbio ad opera di una delle parti”</w:t>
      </w:r>
      <w:r w:rsidR="003D3402">
        <w:rPr>
          <w:rFonts w:ascii="Times New Roman" w:hAnsi="Times New Roman" w:cs="Times New Roman"/>
          <w:sz w:val="24"/>
          <w:szCs w:val="24"/>
        </w:rPr>
        <w:t xml:space="preserve"> - </w:t>
      </w:r>
      <w:r w:rsidR="00E85FBE">
        <w:rPr>
          <w:rFonts w:ascii="Times New Roman" w:hAnsi="Times New Roman" w:cs="Times New Roman"/>
          <w:sz w:val="24"/>
          <w:szCs w:val="24"/>
        </w:rPr>
        <w:t>il rinvio pregiudiziale possa risolversi “in una sorta di diritto potestativo processuale”.</w:t>
      </w:r>
      <w:r w:rsidR="00E85FBE">
        <w:rPr>
          <w:rStyle w:val="Rimandonotaapidipagina"/>
          <w:rFonts w:ascii="Times New Roman" w:hAnsi="Times New Roman" w:cs="Times New Roman"/>
          <w:sz w:val="24"/>
          <w:szCs w:val="24"/>
        </w:rPr>
        <w:footnoteReference w:id="5"/>
      </w:r>
    </w:p>
    <w:p w:rsidR="00ED1F6D" w:rsidRDefault="00ED1F6D" w:rsidP="00E85FBE">
      <w:pPr>
        <w:jc w:val="both"/>
        <w:rPr>
          <w:rFonts w:ascii="Times New Roman" w:hAnsi="Times New Roman" w:cs="Times New Roman"/>
          <w:sz w:val="24"/>
          <w:szCs w:val="24"/>
        </w:rPr>
      </w:pPr>
      <w:r>
        <w:rPr>
          <w:rFonts w:ascii="Times New Roman" w:hAnsi="Times New Roman" w:cs="Times New Roman"/>
          <w:sz w:val="24"/>
          <w:szCs w:val="24"/>
        </w:rPr>
        <w:t>4. Un ulteriore elemento, solo apparentemente minore, è quello indicato dalla Corte al p</w:t>
      </w:r>
      <w:r w:rsidR="003D3402">
        <w:rPr>
          <w:rFonts w:ascii="Times New Roman" w:hAnsi="Times New Roman" w:cs="Times New Roman"/>
          <w:sz w:val="24"/>
          <w:szCs w:val="24"/>
        </w:rPr>
        <w:t>unto</w:t>
      </w:r>
      <w:r>
        <w:rPr>
          <w:rFonts w:ascii="Times New Roman" w:hAnsi="Times New Roman" w:cs="Times New Roman"/>
          <w:sz w:val="24"/>
          <w:szCs w:val="24"/>
        </w:rPr>
        <w:t xml:space="preserve"> 44 della motivazione: laddove esclude che si sia in presenza delle condizioni </w:t>
      </w:r>
      <w:proofErr w:type="spellStart"/>
      <w:r>
        <w:rPr>
          <w:rFonts w:ascii="Times New Roman" w:hAnsi="Times New Roman" w:cs="Times New Roman"/>
          <w:sz w:val="24"/>
          <w:szCs w:val="24"/>
        </w:rPr>
        <w:t>Cilfit</w:t>
      </w:r>
      <w:proofErr w:type="spellEnd"/>
      <w:r>
        <w:rPr>
          <w:rFonts w:ascii="Times New Roman" w:hAnsi="Times New Roman" w:cs="Times New Roman"/>
          <w:sz w:val="24"/>
          <w:szCs w:val="24"/>
        </w:rPr>
        <w:t>, e in particolare dell’assenza di ogni ragionevole dubbio legittimante la facoltà di non op</w:t>
      </w:r>
      <w:r w:rsidR="00C67436">
        <w:rPr>
          <w:rFonts w:ascii="Times New Roman" w:hAnsi="Times New Roman" w:cs="Times New Roman"/>
          <w:sz w:val="24"/>
          <w:szCs w:val="24"/>
        </w:rPr>
        <w:t>erare il rinvio pregiudiziale, quando</w:t>
      </w:r>
      <w:r>
        <w:rPr>
          <w:rFonts w:ascii="Times New Roman" w:hAnsi="Times New Roman" w:cs="Times New Roman"/>
          <w:sz w:val="24"/>
          <w:szCs w:val="24"/>
        </w:rPr>
        <w:t xml:space="preserve"> </w:t>
      </w:r>
      <w:r w:rsidR="00816AAA">
        <w:rPr>
          <w:rFonts w:ascii="Times New Roman" w:hAnsi="Times New Roman" w:cs="Times New Roman"/>
          <w:sz w:val="24"/>
          <w:szCs w:val="24"/>
        </w:rPr>
        <w:t xml:space="preserve">sussistano </w:t>
      </w:r>
      <w:r>
        <w:rPr>
          <w:rFonts w:ascii="Times New Roman" w:hAnsi="Times New Roman" w:cs="Times New Roman"/>
          <w:sz w:val="24"/>
          <w:szCs w:val="24"/>
        </w:rPr>
        <w:t>“</w:t>
      </w:r>
      <w:r w:rsidR="00816AAA" w:rsidRPr="00816AAA">
        <w:rPr>
          <w:rFonts w:ascii="Times New Roman" w:hAnsi="Times New Roman" w:cs="Times New Roman"/>
          <w:i/>
          <w:sz w:val="24"/>
          <w:szCs w:val="24"/>
        </w:rPr>
        <w:t>orientamenti giurisprudenziali divergenti – in seno agli organi giurisdizionali di un medesimo Stato membro o tra organi giurisdizionali di Stati membri diversi – relativi all’interpretazione di una disposizione del diritto dell’Unione applicabile alla controversia di cui al procedimento principale</w:t>
      </w:r>
      <w:r w:rsidR="00816AAA">
        <w:rPr>
          <w:rFonts w:ascii="Times New Roman" w:hAnsi="Times New Roman" w:cs="Times New Roman"/>
          <w:sz w:val="24"/>
          <w:szCs w:val="24"/>
        </w:rPr>
        <w:t>”.</w:t>
      </w:r>
    </w:p>
    <w:p w:rsidR="00816AAA" w:rsidRDefault="00816AAA" w:rsidP="00E85FBE">
      <w:pPr>
        <w:jc w:val="both"/>
        <w:rPr>
          <w:rFonts w:ascii="Times New Roman" w:hAnsi="Times New Roman" w:cs="Times New Roman"/>
          <w:sz w:val="24"/>
          <w:szCs w:val="24"/>
        </w:rPr>
      </w:pPr>
      <w:r>
        <w:rPr>
          <w:rFonts w:ascii="Times New Roman" w:hAnsi="Times New Roman" w:cs="Times New Roman"/>
          <w:sz w:val="24"/>
          <w:szCs w:val="24"/>
        </w:rPr>
        <w:t xml:space="preserve">Ne deriva, </w:t>
      </w:r>
      <w:r w:rsidRPr="009D1851">
        <w:rPr>
          <w:rFonts w:ascii="Times New Roman" w:hAnsi="Times New Roman" w:cs="Times New Roman"/>
          <w:i/>
          <w:sz w:val="24"/>
          <w:szCs w:val="24"/>
        </w:rPr>
        <w:t>a contrario</w:t>
      </w:r>
      <w:r>
        <w:rPr>
          <w:rFonts w:ascii="Times New Roman" w:hAnsi="Times New Roman" w:cs="Times New Roman"/>
          <w:sz w:val="24"/>
          <w:szCs w:val="24"/>
        </w:rPr>
        <w:t>, che il pacifico diritto vivente, anche riconducibile “</w:t>
      </w:r>
      <w:r w:rsidRPr="00816AAA">
        <w:rPr>
          <w:rFonts w:ascii="Times New Roman" w:hAnsi="Times New Roman" w:cs="Times New Roman"/>
          <w:i/>
          <w:sz w:val="24"/>
          <w:szCs w:val="24"/>
        </w:rPr>
        <w:t>agli organi giurisdizionali di un medesimo Stato membro</w:t>
      </w:r>
      <w:r>
        <w:rPr>
          <w:rFonts w:ascii="Times New Roman" w:hAnsi="Times New Roman" w:cs="Times New Roman"/>
          <w:sz w:val="24"/>
          <w:szCs w:val="24"/>
        </w:rPr>
        <w:t>”, è condizione sufficiente per rendere flessibile l’obbligo, e per evitare dunque l’abuso del rimedio.</w:t>
      </w:r>
    </w:p>
    <w:p w:rsidR="00F61007" w:rsidRDefault="00F61007" w:rsidP="00E85FBE">
      <w:pPr>
        <w:jc w:val="both"/>
        <w:rPr>
          <w:rFonts w:ascii="Times New Roman" w:hAnsi="Times New Roman" w:cs="Times New Roman"/>
          <w:sz w:val="24"/>
          <w:szCs w:val="24"/>
        </w:rPr>
      </w:pPr>
      <w:r>
        <w:rPr>
          <w:rFonts w:ascii="Times New Roman" w:hAnsi="Times New Roman" w:cs="Times New Roman"/>
          <w:sz w:val="24"/>
          <w:szCs w:val="24"/>
        </w:rPr>
        <w:t xml:space="preserve">Si tratta, a ben vedere, di un filtro di “non manifesta infondatezza” della questione che si aggiunge </w:t>
      </w:r>
      <w:r w:rsidR="00F9412A">
        <w:rPr>
          <w:rFonts w:ascii="Times New Roman" w:hAnsi="Times New Roman" w:cs="Times New Roman"/>
          <w:sz w:val="24"/>
          <w:szCs w:val="24"/>
        </w:rPr>
        <w:t>– nella prospettiva della necessaria “oggettività” della questione</w:t>
      </w:r>
      <w:r w:rsidR="00C67436">
        <w:rPr>
          <w:rFonts w:ascii="Times New Roman" w:hAnsi="Times New Roman" w:cs="Times New Roman"/>
          <w:sz w:val="24"/>
          <w:szCs w:val="24"/>
        </w:rPr>
        <w:t>, e comunque con riguardo alla fattispecie concreta</w:t>
      </w:r>
      <w:r w:rsidR="00F9412A">
        <w:rPr>
          <w:rFonts w:ascii="Times New Roman" w:hAnsi="Times New Roman" w:cs="Times New Roman"/>
          <w:sz w:val="24"/>
          <w:szCs w:val="24"/>
        </w:rPr>
        <w:t xml:space="preserve"> - </w:t>
      </w:r>
      <w:r>
        <w:rPr>
          <w:rFonts w:ascii="Times New Roman" w:hAnsi="Times New Roman" w:cs="Times New Roman"/>
          <w:sz w:val="24"/>
          <w:szCs w:val="24"/>
        </w:rPr>
        <w:t>a quello della rilevanza (nel senso che quand’anche la questione, pur rilevante ai fini della decisione, sia tuttavia manifestamente infondata alla luce di un contrario e consolidato orientamento giurisprudenziale, l’obbligo del rinvio v</w:t>
      </w:r>
      <w:r w:rsidR="009D1851">
        <w:rPr>
          <w:rFonts w:ascii="Times New Roman" w:hAnsi="Times New Roman" w:cs="Times New Roman"/>
          <w:sz w:val="24"/>
          <w:szCs w:val="24"/>
        </w:rPr>
        <w:t>a riconsiderato</w:t>
      </w:r>
      <w:r>
        <w:rPr>
          <w:rFonts w:ascii="Times New Roman" w:hAnsi="Times New Roman" w:cs="Times New Roman"/>
          <w:sz w:val="24"/>
          <w:szCs w:val="24"/>
        </w:rPr>
        <w:t>).</w:t>
      </w:r>
      <w:r w:rsidR="00F9412A">
        <w:rPr>
          <w:rStyle w:val="Rimandonotaapidipagina"/>
          <w:rFonts w:ascii="Times New Roman" w:hAnsi="Times New Roman" w:cs="Times New Roman"/>
          <w:sz w:val="24"/>
          <w:szCs w:val="24"/>
        </w:rPr>
        <w:footnoteReference w:id="6"/>
      </w:r>
    </w:p>
    <w:p w:rsidR="00816AAA" w:rsidRDefault="003D3402" w:rsidP="00E85FBE">
      <w:pPr>
        <w:jc w:val="both"/>
        <w:rPr>
          <w:rFonts w:ascii="Times New Roman" w:hAnsi="Times New Roman" w:cs="Times New Roman"/>
          <w:sz w:val="24"/>
          <w:szCs w:val="24"/>
        </w:rPr>
      </w:pPr>
      <w:r>
        <w:rPr>
          <w:rFonts w:ascii="Times New Roman" w:hAnsi="Times New Roman" w:cs="Times New Roman"/>
          <w:sz w:val="24"/>
          <w:szCs w:val="24"/>
        </w:rPr>
        <w:t xml:space="preserve">5. Sempre sullo stesso terreno, </w:t>
      </w:r>
      <w:r w:rsidR="00816AAA">
        <w:rPr>
          <w:rFonts w:ascii="Times New Roman" w:hAnsi="Times New Roman" w:cs="Times New Roman"/>
          <w:sz w:val="24"/>
          <w:szCs w:val="24"/>
        </w:rPr>
        <w:t xml:space="preserve">al punto 48 la </w:t>
      </w:r>
      <w:r>
        <w:rPr>
          <w:rFonts w:ascii="Times New Roman" w:hAnsi="Times New Roman" w:cs="Times New Roman"/>
          <w:sz w:val="24"/>
          <w:szCs w:val="24"/>
        </w:rPr>
        <w:t>sentenza</w:t>
      </w:r>
      <w:r w:rsidR="00816AAA">
        <w:rPr>
          <w:rFonts w:ascii="Times New Roman" w:hAnsi="Times New Roman" w:cs="Times New Roman"/>
          <w:sz w:val="24"/>
          <w:szCs w:val="24"/>
        </w:rPr>
        <w:t xml:space="preserve"> </w:t>
      </w:r>
      <w:r>
        <w:rPr>
          <w:rFonts w:ascii="Times New Roman" w:hAnsi="Times New Roman" w:cs="Times New Roman"/>
          <w:sz w:val="24"/>
          <w:szCs w:val="24"/>
        </w:rPr>
        <w:t xml:space="preserve">precisa </w:t>
      </w:r>
      <w:r w:rsidR="00816AAA">
        <w:rPr>
          <w:rFonts w:ascii="Times New Roman" w:hAnsi="Times New Roman" w:cs="Times New Roman"/>
          <w:sz w:val="24"/>
          <w:szCs w:val="24"/>
        </w:rPr>
        <w:t>“</w:t>
      </w:r>
      <w:r w:rsidR="00816AAA" w:rsidRPr="00816AAA">
        <w:rPr>
          <w:rFonts w:ascii="Times New Roman" w:hAnsi="Times New Roman" w:cs="Times New Roman"/>
          <w:i/>
          <w:sz w:val="24"/>
          <w:szCs w:val="24"/>
        </w:rPr>
        <w:t>la mera possibilità di effettuare una o diverse altre letture di una disposizione del diritto dell’Unione, nei limiti in cui nessuna di queste altre letture appaia sufficientemente plausibile al giudice nazionale interessato, segnatamente alla luce del contesto e della finalità di detta disposizione, nonché del sistema normativo in cui essa si inserisce, non può essere sufficiente per considerare che sussista un dubbio ragionevole quanto all’interpretazione corretta di tale disposizione</w:t>
      </w:r>
      <w:r w:rsidR="00816AAA">
        <w:rPr>
          <w:rFonts w:ascii="Times New Roman" w:hAnsi="Times New Roman" w:cs="Times New Roman"/>
          <w:sz w:val="24"/>
          <w:szCs w:val="24"/>
        </w:rPr>
        <w:t>”.</w:t>
      </w:r>
    </w:p>
    <w:p w:rsidR="00691AA9" w:rsidRDefault="003D3402" w:rsidP="00E85FBE">
      <w:pPr>
        <w:jc w:val="both"/>
        <w:rPr>
          <w:rFonts w:ascii="Times New Roman" w:hAnsi="Times New Roman" w:cs="Times New Roman"/>
          <w:sz w:val="24"/>
          <w:szCs w:val="24"/>
        </w:rPr>
      </w:pPr>
      <w:r>
        <w:rPr>
          <w:rFonts w:ascii="Times New Roman" w:hAnsi="Times New Roman" w:cs="Times New Roman"/>
          <w:sz w:val="24"/>
          <w:szCs w:val="24"/>
        </w:rPr>
        <w:t>La Corte, spezzando un automatismo, restituisce al giudice nazionale di ultima istanza il ruolo di interprete del diritto (anche comunitario): n</w:t>
      </w:r>
      <w:r w:rsidR="00816AAA">
        <w:rPr>
          <w:rFonts w:ascii="Times New Roman" w:hAnsi="Times New Roman" w:cs="Times New Roman"/>
          <w:sz w:val="24"/>
          <w:szCs w:val="24"/>
        </w:rPr>
        <w:t>on basta dunque allegare la possibilità di una diversa lettura, più o meno forzata o più o meno strumentale</w:t>
      </w:r>
      <w:r w:rsidR="009D1851">
        <w:rPr>
          <w:rFonts w:ascii="Times New Roman" w:hAnsi="Times New Roman" w:cs="Times New Roman"/>
          <w:sz w:val="24"/>
          <w:szCs w:val="24"/>
        </w:rPr>
        <w:t>,</w:t>
      </w:r>
      <w:r w:rsidR="00816AAA">
        <w:rPr>
          <w:rFonts w:ascii="Times New Roman" w:hAnsi="Times New Roman" w:cs="Times New Roman"/>
          <w:sz w:val="24"/>
          <w:szCs w:val="24"/>
        </w:rPr>
        <w:t xml:space="preserve"> per sancire l’obbligatorietà del rinvio</w:t>
      </w:r>
      <w:r w:rsidR="00691AA9">
        <w:rPr>
          <w:rFonts w:ascii="Times New Roman" w:hAnsi="Times New Roman" w:cs="Times New Roman"/>
          <w:sz w:val="24"/>
          <w:szCs w:val="24"/>
        </w:rPr>
        <w:t>.</w:t>
      </w:r>
    </w:p>
    <w:p w:rsidR="00816AAA" w:rsidRDefault="00691AA9" w:rsidP="00691AA9">
      <w:pPr>
        <w:jc w:val="both"/>
        <w:rPr>
          <w:rFonts w:ascii="Times New Roman" w:hAnsi="Times New Roman" w:cs="Times New Roman"/>
          <w:sz w:val="24"/>
          <w:szCs w:val="24"/>
        </w:rPr>
      </w:pPr>
      <w:r>
        <w:rPr>
          <w:rFonts w:ascii="Times New Roman" w:hAnsi="Times New Roman" w:cs="Times New Roman"/>
          <w:sz w:val="24"/>
          <w:szCs w:val="24"/>
        </w:rPr>
        <w:t xml:space="preserve">Anche in questo caso si tratta di una esplicitazione dei criteri </w:t>
      </w:r>
      <w:proofErr w:type="spellStart"/>
      <w:r w:rsidRPr="00691AA9">
        <w:rPr>
          <w:rFonts w:ascii="Times New Roman" w:hAnsi="Times New Roman" w:cs="Times New Roman"/>
          <w:i/>
          <w:sz w:val="24"/>
          <w:szCs w:val="24"/>
        </w:rPr>
        <w:t>Cilfit</w:t>
      </w:r>
      <w:proofErr w:type="spellEnd"/>
      <w:r>
        <w:rPr>
          <w:rFonts w:ascii="Times New Roman" w:hAnsi="Times New Roman" w:cs="Times New Roman"/>
          <w:sz w:val="24"/>
          <w:szCs w:val="24"/>
        </w:rPr>
        <w:t xml:space="preserve"> già prospettata da alcune pronunce del Consiglio di Stato.</w:t>
      </w:r>
      <w:r w:rsidR="004A4EC5">
        <w:rPr>
          <w:rStyle w:val="Rimandonotaapidipagina"/>
          <w:rFonts w:ascii="Times New Roman" w:hAnsi="Times New Roman" w:cs="Times New Roman"/>
          <w:sz w:val="24"/>
          <w:szCs w:val="24"/>
        </w:rPr>
        <w:footnoteReference w:id="7"/>
      </w:r>
    </w:p>
    <w:p w:rsidR="00E64C08" w:rsidRDefault="00E64C08" w:rsidP="00691AA9">
      <w:pPr>
        <w:jc w:val="both"/>
        <w:rPr>
          <w:rFonts w:ascii="Times New Roman" w:hAnsi="Times New Roman" w:cs="Times New Roman"/>
          <w:sz w:val="24"/>
          <w:szCs w:val="24"/>
        </w:rPr>
      </w:pPr>
      <w:r>
        <w:rPr>
          <w:rFonts w:ascii="Times New Roman" w:hAnsi="Times New Roman" w:cs="Times New Roman"/>
          <w:sz w:val="24"/>
          <w:szCs w:val="24"/>
        </w:rPr>
        <w:t>6. La sentenza ricorda anche (punto 35) che “</w:t>
      </w:r>
      <w:r w:rsidRPr="00C67436">
        <w:rPr>
          <w:rFonts w:ascii="Times New Roman" w:hAnsi="Times New Roman" w:cs="Times New Roman"/>
          <w:i/>
          <w:sz w:val="24"/>
          <w:szCs w:val="24"/>
        </w:rPr>
        <w:t>il giudice nazionale è l’unico competente a conoscere e valutare i fatti della controversia di cui al procedimento principale nonché ad interpretare e ad applicare il diritto nazionale</w:t>
      </w:r>
      <w:r>
        <w:rPr>
          <w:rFonts w:ascii="Times New Roman" w:hAnsi="Times New Roman" w:cs="Times New Roman"/>
          <w:sz w:val="24"/>
          <w:szCs w:val="24"/>
        </w:rPr>
        <w:t>”: precisazione non di poco momento, posto che nell’enucleazione della questione pregiudiziale uno dei termini del giudizio relazionale è dato proprio dalla corretta interpretazione della norma di diritto interno, sicché la valutazione dell’assenza di ogni ragionevole dubbio (</w:t>
      </w:r>
      <w:r w:rsidR="00C67436">
        <w:rPr>
          <w:rFonts w:ascii="Times New Roman" w:hAnsi="Times New Roman" w:cs="Times New Roman"/>
          <w:i/>
          <w:sz w:val="24"/>
          <w:szCs w:val="24"/>
        </w:rPr>
        <w:t xml:space="preserve">sub specie </w:t>
      </w:r>
      <w:r>
        <w:rPr>
          <w:rFonts w:ascii="Times New Roman" w:hAnsi="Times New Roman" w:cs="Times New Roman"/>
          <w:sz w:val="24"/>
          <w:szCs w:val="24"/>
        </w:rPr>
        <w:t xml:space="preserve">di manifesta infondatezza della questione pregiudiziale) può legittimamente conseguire alla diversa interpretazione della norma di diritto interno rispetto a quella </w:t>
      </w:r>
      <w:proofErr w:type="spellStart"/>
      <w:r>
        <w:rPr>
          <w:rFonts w:ascii="Times New Roman" w:hAnsi="Times New Roman" w:cs="Times New Roman"/>
          <w:sz w:val="24"/>
          <w:szCs w:val="24"/>
        </w:rPr>
        <w:t>posta</w:t>
      </w:r>
      <w:proofErr w:type="spellEnd"/>
      <w:r>
        <w:rPr>
          <w:rFonts w:ascii="Times New Roman" w:hAnsi="Times New Roman" w:cs="Times New Roman"/>
          <w:sz w:val="24"/>
          <w:szCs w:val="24"/>
        </w:rPr>
        <w:t xml:space="preserve"> a fondamento della prospettazione della questione medesima (nei limiti, peraltro, sopra segnalati in relazione all’esistenza di orientamenti difformi).</w:t>
      </w:r>
    </w:p>
    <w:p w:rsidR="00F9412A" w:rsidRDefault="00F9412A" w:rsidP="00F9412A">
      <w:pPr>
        <w:ind w:firstLine="708"/>
        <w:jc w:val="both"/>
        <w:rPr>
          <w:rFonts w:ascii="Times New Roman" w:hAnsi="Times New Roman" w:cs="Times New Roman"/>
          <w:sz w:val="24"/>
          <w:szCs w:val="24"/>
        </w:rPr>
      </w:pPr>
      <w:r>
        <w:rPr>
          <w:rFonts w:ascii="Times New Roman" w:hAnsi="Times New Roman" w:cs="Times New Roman"/>
          <w:sz w:val="24"/>
          <w:szCs w:val="24"/>
        </w:rPr>
        <w:t xml:space="preserve">Naturalmente, in un’ottica di utilizzo critico del rimedio, la configurazione di tale spazio interpretativo, alla stregua di quanto fin qui rilevato, ha una duplice funzione: nel senso (anche) di limitarlo rispetto a possibili rinvii (in ipotesi anche facoltativi) nei quali il contrasto fra i due sistemi normativi si ponga unicamente nella prospettiva del giudice rimettente. </w:t>
      </w:r>
    </w:p>
    <w:p w:rsidR="00E64C08" w:rsidRDefault="00F9412A" w:rsidP="00F9412A">
      <w:pPr>
        <w:ind w:firstLine="708"/>
        <w:jc w:val="both"/>
        <w:rPr>
          <w:rFonts w:ascii="Times New Roman" w:hAnsi="Times New Roman" w:cs="Times New Roman"/>
          <w:sz w:val="24"/>
          <w:szCs w:val="24"/>
        </w:rPr>
      </w:pPr>
      <w:r>
        <w:rPr>
          <w:rFonts w:ascii="Times New Roman" w:hAnsi="Times New Roman" w:cs="Times New Roman"/>
          <w:sz w:val="24"/>
          <w:szCs w:val="24"/>
        </w:rPr>
        <w:t>I</w:t>
      </w:r>
      <w:r w:rsidR="00E64C08">
        <w:rPr>
          <w:rFonts w:ascii="Times New Roman" w:hAnsi="Times New Roman" w:cs="Times New Roman"/>
          <w:sz w:val="24"/>
          <w:szCs w:val="24"/>
        </w:rPr>
        <w:t xml:space="preserve">l dubbio, come sollecitato dall’Avvocato Generale </w:t>
      </w:r>
      <w:proofErr w:type="spellStart"/>
      <w:r w:rsidR="00E64C08">
        <w:rPr>
          <w:rFonts w:ascii="Times New Roman" w:hAnsi="Times New Roman" w:cs="Times New Roman"/>
          <w:sz w:val="24"/>
          <w:szCs w:val="24"/>
        </w:rPr>
        <w:t>Bobek</w:t>
      </w:r>
      <w:proofErr w:type="spellEnd"/>
      <w:r w:rsidR="00E64C08">
        <w:rPr>
          <w:rFonts w:ascii="Times New Roman" w:hAnsi="Times New Roman" w:cs="Times New Roman"/>
          <w:sz w:val="24"/>
          <w:szCs w:val="24"/>
        </w:rPr>
        <w:t>, non deve essere soggettivo, ma oggettivo</w:t>
      </w:r>
      <w:r>
        <w:rPr>
          <w:rFonts w:ascii="Times New Roman" w:hAnsi="Times New Roman" w:cs="Times New Roman"/>
          <w:sz w:val="24"/>
          <w:szCs w:val="24"/>
        </w:rPr>
        <w:t xml:space="preserve"> (punti 4, 56, 81 e soprattutto 133 delle conclusioni): e la Corte</w:t>
      </w:r>
      <w:r w:rsidR="00E64C08">
        <w:rPr>
          <w:rFonts w:ascii="Times New Roman" w:hAnsi="Times New Roman" w:cs="Times New Roman"/>
          <w:sz w:val="24"/>
          <w:szCs w:val="24"/>
        </w:rPr>
        <w:t xml:space="preserve"> (punti da 40 a 46 della sentenza in commento)</w:t>
      </w:r>
      <w:r>
        <w:rPr>
          <w:rFonts w:ascii="Times New Roman" w:hAnsi="Times New Roman" w:cs="Times New Roman"/>
          <w:sz w:val="24"/>
          <w:szCs w:val="24"/>
        </w:rPr>
        <w:t xml:space="preserve"> sembra aderire a tale impostazione.</w:t>
      </w:r>
    </w:p>
    <w:p w:rsidR="00F9412A" w:rsidRDefault="00F9412A" w:rsidP="00F9412A">
      <w:pPr>
        <w:ind w:firstLine="708"/>
        <w:jc w:val="both"/>
        <w:rPr>
          <w:rFonts w:ascii="Times New Roman" w:hAnsi="Times New Roman" w:cs="Times New Roman"/>
          <w:sz w:val="24"/>
          <w:szCs w:val="24"/>
        </w:rPr>
      </w:pPr>
      <w:r>
        <w:rPr>
          <w:rFonts w:ascii="Times New Roman" w:hAnsi="Times New Roman" w:cs="Times New Roman"/>
          <w:sz w:val="24"/>
          <w:szCs w:val="24"/>
        </w:rPr>
        <w:t>Il rinvio pregiudiziale, insomma, è – sul piano del dialogo - una risorsa aurea: e, come tale, non va inflazionata per finalità diverse da quelle per cui è data.</w:t>
      </w:r>
    </w:p>
    <w:p w:rsidR="00E17D41" w:rsidRDefault="00E64C08" w:rsidP="00E85FBE">
      <w:pPr>
        <w:jc w:val="both"/>
        <w:rPr>
          <w:rFonts w:ascii="Times New Roman" w:hAnsi="Times New Roman" w:cs="Times New Roman"/>
          <w:sz w:val="24"/>
          <w:szCs w:val="24"/>
        </w:rPr>
      </w:pPr>
      <w:r>
        <w:rPr>
          <w:rFonts w:ascii="Times New Roman" w:hAnsi="Times New Roman" w:cs="Times New Roman"/>
          <w:sz w:val="24"/>
          <w:szCs w:val="24"/>
        </w:rPr>
        <w:t>7</w:t>
      </w:r>
      <w:r w:rsidR="00E17D41">
        <w:rPr>
          <w:rFonts w:ascii="Times New Roman" w:hAnsi="Times New Roman" w:cs="Times New Roman"/>
          <w:sz w:val="24"/>
          <w:szCs w:val="24"/>
        </w:rPr>
        <w:t xml:space="preserve">. Le aperture contenute nella sentenza sono “compensate” dalla sottolineatura </w:t>
      </w:r>
      <w:r w:rsidR="003D3402">
        <w:rPr>
          <w:rFonts w:ascii="Times New Roman" w:hAnsi="Times New Roman" w:cs="Times New Roman"/>
          <w:sz w:val="24"/>
          <w:szCs w:val="24"/>
        </w:rPr>
        <w:t>de</w:t>
      </w:r>
      <w:r w:rsidR="00E17D41">
        <w:rPr>
          <w:rFonts w:ascii="Times New Roman" w:hAnsi="Times New Roman" w:cs="Times New Roman"/>
          <w:sz w:val="24"/>
          <w:szCs w:val="24"/>
        </w:rPr>
        <w:t>ll’esigenza di motivare adeguatamente l’insussistenza delle condizioni del rinvio obbligatorio, e dai richiami alla responsabilità del giudice: sia pure con un accenno all’ “indipendenza” con la quale il giudice nazionale di ultima istanza deve valutare se tali condizioni in concreto sussistano o meno.</w:t>
      </w:r>
      <w:r w:rsidR="00E17D41">
        <w:rPr>
          <w:rStyle w:val="Rimandonotaapidipagina"/>
          <w:rFonts w:ascii="Times New Roman" w:hAnsi="Times New Roman" w:cs="Times New Roman"/>
          <w:sz w:val="24"/>
          <w:szCs w:val="24"/>
        </w:rPr>
        <w:footnoteReference w:id="8"/>
      </w:r>
    </w:p>
    <w:p w:rsidR="00ED1F6D" w:rsidRDefault="00ED1F6D" w:rsidP="00E85FBE">
      <w:pPr>
        <w:jc w:val="both"/>
        <w:rPr>
          <w:rFonts w:ascii="Times New Roman" w:hAnsi="Times New Roman" w:cs="Times New Roman"/>
          <w:sz w:val="24"/>
          <w:szCs w:val="24"/>
        </w:rPr>
      </w:pPr>
      <w:r>
        <w:rPr>
          <w:rFonts w:ascii="Times New Roman" w:hAnsi="Times New Roman" w:cs="Times New Roman"/>
          <w:sz w:val="24"/>
          <w:szCs w:val="24"/>
        </w:rPr>
        <w:t xml:space="preserve">Sulla prima può certamente convenirsi: il mancato rinvio pregiudiziale da parte del giudice di ultima istanza si configura o come privo di presupposti (è il caso del difetto di rilevanza della questione), ovvero come eccezione rispetto alla regola dell’obbligo: in entrambi i casi il giudice nazionale deve dare adeguatamente conto, pur nel contesto di una tecnica redazionale sintetica (per il processo amministrativo: artt. 3, comma 2, e 120, comma 10, cod. </w:t>
      </w:r>
      <w:proofErr w:type="spellStart"/>
      <w:r>
        <w:rPr>
          <w:rFonts w:ascii="Times New Roman" w:hAnsi="Times New Roman" w:cs="Times New Roman"/>
          <w:sz w:val="24"/>
          <w:szCs w:val="24"/>
        </w:rPr>
        <w:t>proc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amm</w:t>
      </w:r>
      <w:proofErr w:type="spellEnd"/>
      <w:r>
        <w:rPr>
          <w:rFonts w:ascii="Times New Roman" w:hAnsi="Times New Roman" w:cs="Times New Roman"/>
          <w:sz w:val="24"/>
          <w:szCs w:val="24"/>
        </w:rPr>
        <w:t xml:space="preserve">.), </w:t>
      </w:r>
      <w:r w:rsidR="00816AAA">
        <w:rPr>
          <w:rFonts w:ascii="Times New Roman" w:hAnsi="Times New Roman" w:cs="Times New Roman"/>
          <w:sz w:val="24"/>
          <w:szCs w:val="24"/>
        </w:rPr>
        <w:t>della sussistenza delle condizioni legittimanti la non applicazione dell’istituto, o la deroga alla sua obbligatorietà.</w:t>
      </w:r>
    </w:p>
    <w:p w:rsidR="00816AAA" w:rsidRDefault="00816AAA" w:rsidP="00E85FBE">
      <w:pPr>
        <w:jc w:val="both"/>
        <w:rPr>
          <w:rFonts w:ascii="Times New Roman" w:hAnsi="Times New Roman" w:cs="Times New Roman"/>
          <w:sz w:val="24"/>
          <w:szCs w:val="24"/>
        </w:rPr>
      </w:pPr>
      <w:r>
        <w:rPr>
          <w:rFonts w:ascii="Times New Roman" w:hAnsi="Times New Roman" w:cs="Times New Roman"/>
          <w:sz w:val="24"/>
          <w:szCs w:val="24"/>
        </w:rPr>
        <w:t>Il richiamo al regime della responsabilità del giudice,</w:t>
      </w:r>
      <w:r w:rsidR="00791CB3">
        <w:rPr>
          <w:rStyle w:val="Rimandonotaapidipagina"/>
          <w:rFonts w:ascii="Times New Roman" w:hAnsi="Times New Roman" w:cs="Times New Roman"/>
          <w:sz w:val="24"/>
          <w:szCs w:val="24"/>
        </w:rPr>
        <w:footnoteReference w:id="9"/>
      </w:r>
      <w:r>
        <w:rPr>
          <w:rFonts w:ascii="Times New Roman" w:hAnsi="Times New Roman" w:cs="Times New Roman"/>
          <w:sz w:val="24"/>
          <w:szCs w:val="24"/>
        </w:rPr>
        <w:t xml:space="preserve"> e il connesso rischio di incremento di rinvii pregiudiziali difensivi,</w:t>
      </w:r>
      <w:r>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xml:space="preserve"> può viceversa vanificare sia la tutela dei valori antagonisti (l’indipendenza del giudice, e la ragionevole durata dei processi), sia le aperture che la stessa sentenza opera.</w:t>
      </w:r>
    </w:p>
    <w:p w:rsidR="00791CB3" w:rsidRDefault="00791CB3" w:rsidP="00E85FBE">
      <w:pPr>
        <w:jc w:val="both"/>
        <w:rPr>
          <w:rFonts w:ascii="Times New Roman" w:hAnsi="Times New Roman" w:cs="Times New Roman"/>
          <w:sz w:val="24"/>
          <w:szCs w:val="24"/>
        </w:rPr>
      </w:pPr>
      <w:r>
        <w:rPr>
          <w:rFonts w:ascii="Times New Roman" w:hAnsi="Times New Roman" w:cs="Times New Roman"/>
          <w:sz w:val="24"/>
          <w:szCs w:val="24"/>
        </w:rPr>
        <w:t>Tuttavia tale rischio appare compensato proprio dalle ricordate aperture: nel senso che un accorto utilizzo dei nuovi spazi riconosciuti dalla Corte al giudice nazionale di ultima istanza, aumentando le “cause di giustificazione” rispetto ad una possibile pressione di tipo risarcitorio, implica la riduzione dell’area del potenziale illecito, che finisce col tipizzarsi sempre di più (con la conseguenza di consentire una valutazione meno aleatoria delle possibili conseguenze del mancato rinvio, avuto riguardo alla fattispecie concreta).</w:t>
      </w:r>
    </w:p>
    <w:p w:rsidR="009D1851" w:rsidRDefault="00E64C08" w:rsidP="00E85FBE">
      <w:pPr>
        <w:jc w:val="both"/>
        <w:rPr>
          <w:rFonts w:ascii="Times New Roman" w:hAnsi="Times New Roman" w:cs="Times New Roman"/>
          <w:sz w:val="24"/>
          <w:szCs w:val="24"/>
        </w:rPr>
      </w:pPr>
      <w:r>
        <w:rPr>
          <w:rFonts w:ascii="Times New Roman" w:hAnsi="Times New Roman" w:cs="Times New Roman"/>
          <w:sz w:val="24"/>
          <w:szCs w:val="24"/>
        </w:rPr>
        <w:t>8</w:t>
      </w:r>
      <w:r w:rsidR="009D1851">
        <w:rPr>
          <w:rFonts w:ascii="Times New Roman" w:hAnsi="Times New Roman" w:cs="Times New Roman"/>
          <w:sz w:val="24"/>
          <w:szCs w:val="24"/>
        </w:rPr>
        <w:t xml:space="preserve">. Probabilmente il “mito </w:t>
      </w:r>
      <w:proofErr w:type="spellStart"/>
      <w:r w:rsidR="009D1851" w:rsidRPr="009D1851">
        <w:rPr>
          <w:rFonts w:ascii="Times New Roman" w:hAnsi="Times New Roman" w:cs="Times New Roman"/>
          <w:i/>
          <w:sz w:val="24"/>
          <w:szCs w:val="24"/>
        </w:rPr>
        <w:t>Cilfit</w:t>
      </w:r>
      <w:proofErr w:type="spellEnd"/>
      <w:r w:rsidR="009D1851">
        <w:rPr>
          <w:rFonts w:ascii="Times New Roman" w:hAnsi="Times New Roman" w:cs="Times New Roman"/>
          <w:sz w:val="24"/>
          <w:szCs w:val="24"/>
        </w:rPr>
        <w:t>” appartiene, secondo la classificazione romaniana, a quelli necessari ad “ispirare riforme” utili.</w:t>
      </w:r>
    </w:p>
    <w:p w:rsidR="009D1851" w:rsidRDefault="009D1851" w:rsidP="00E85FBE">
      <w:pPr>
        <w:jc w:val="both"/>
        <w:rPr>
          <w:rFonts w:ascii="Times New Roman" w:hAnsi="Times New Roman" w:cs="Times New Roman"/>
          <w:sz w:val="24"/>
          <w:szCs w:val="24"/>
        </w:rPr>
      </w:pPr>
      <w:r>
        <w:rPr>
          <w:rFonts w:ascii="Times New Roman" w:hAnsi="Times New Roman" w:cs="Times New Roman"/>
          <w:sz w:val="24"/>
          <w:szCs w:val="24"/>
        </w:rPr>
        <w:t>È presto ovviamente per dire se questa decisione, e gli spunti che contiene, troveranno ulteriori conferme nella successiva giurisprudenza della Corte, e in particolare nelle future decisioni relative ai non pochi casi pendenti aventi identico oggetto.</w:t>
      </w:r>
    </w:p>
    <w:p w:rsidR="004A4EC5" w:rsidRDefault="009D1851" w:rsidP="00E85FBE">
      <w:pPr>
        <w:jc w:val="both"/>
        <w:rPr>
          <w:rFonts w:ascii="Times New Roman" w:hAnsi="Times New Roman" w:cs="Times New Roman"/>
          <w:sz w:val="24"/>
          <w:szCs w:val="24"/>
        </w:rPr>
      </w:pPr>
      <w:r>
        <w:rPr>
          <w:rFonts w:ascii="Times New Roman" w:hAnsi="Times New Roman" w:cs="Times New Roman"/>
          <w:sz w:val="24"/>
          <w:szCs w:val="24"/>
        </w:rPr>
        <w:t xml:space="preserve">È però sicuramente un segnale, soprattutto di tipo culturale, che va ad aggiungersi a quelli già </w:t>
      </w:r>
      <w:r w:rsidR="004A4EC5">
        <w:rPr>
          <w:rFonts w:ascii="Times New Roman" w:hAnsi="Times New Roman" w:cs="Times New Roman"/>
          <w:sz w:val="24"/>
          <w:szCs w:val="24"/>
        </w:rPr>
        <w:t>provenienti dalle giurisdizioni nazionali di ultima istanza, e dallo stesso Avvocato Generale.</w:t>
      </w:r>
    </w:p>
    <w:p w:rsidR="004A4EC5" w:rsidRDefault="004A4EC5" w:rsidP="00E85FBE">
      <w:pPr>
        <w:jc w:val="both"/>
        <w:rPr>
          <w:rFonts w:ascii="Times New Roman" w:hAnsi="Times New Roman" w:cs="Times New Roman"/>
          <w:sz w:val="24"/>
          <w:szCs w:val="24"/>
        </w:rPr>
      </w:pPr>
      <w:r>
        <w:rPr>
          <w:rFonts w:ascii="Times New Roman" w:hAnsi="Times New Roman" w:cs="Times New Roman"/>
          <w:sz w:val="24"/>
          <w:szCs w:val="24"/>
        </w:rPr>
        <w:t>Naturalmente il passaggio dal mito alla realtà di un efficace sistema di dialogo e cooperazione implica un consapevole e responsabile apporto di tutti gli attori del sistema.</w:t>
      </w:r>
    </w:p>
    <w:p w:rsidR="004A4EC5" w:rsidRDefault="004A4EC5" w:rsidP="00E85FBE">
      <w:pPr>
        <w:jc w:val="both"/>
        <w:rPr>
          <w:rFonts w:ascii="Times New Roman" w:hAnsi="Times New Roman" w:cs="Times New Roman"/>
          <w:sz w:val="24"/>
          <w:szCs w:val="24"/>
        </w:rPr>
      </w:pPr>
      <w:r>
        <w:rPr>
          <w:rFonts w:ascii="Times New Roman" w:hAnsi="Times New Roman" w:cs="Times New Roman"/>
          <w:sz w:val="24"/>
          <w:szCs w:val="24"/>
        </w:rPr>
        <w:t xml:space="preserve">Dopo le conclusioni particolarmente chiare ed efficaci dell’Avvocato Generale, la Corte di Giustizia sembra aver fatto il suo primo, piccolo passo. </w:t>
      </w:r>
    </w:p>
    <w:p w:rsidR="004A4EC5" w:rsidRDefault="004A4EC5" w:rsidP="004A4EC5">
      <w:pPr>
        <w:jc w:val="both"/>
        <w:rPr>
          <w:rFonts w:ascii="Times New Roman" w:hAnsi="Times New Roman" w:cs="Times New Roman"/>
          <w:sz w:val="24"/>
          <w:szCs w:val="24"/>
        </w:rPr>
      </w:pPr>
      <w:r>
        <w:rPr>
          <w:rFonts w:ascii="Times New Roman" w:hAnsi="Times New Roman" w:cs="Times New Roman"/>
          <w:sz w:val="24"/>
          <w:szCs w:val="24"/>
        </w:rPr>
        <w:t xml:space="preserve">Spetterà ora ai giudici nazionali di ultima istanza dare piena credibilità a questo modello. </w:t>
      </w:r>
    </w:p>
    <w:p w:rsidR="00816AAA" w:rsidRDefault="00816AAA" w:rsidP="00E85FBE">
      <w:pPr>
        <w:jc w:val="both"/>
        <w:rPr>
          <w:rFonts w:ascii="Times New Roman" w:hAnsi="Times New Roman" w:cs="Times New Roman"/>
          <w:sz w:val="24"/>
          <w:szCs w:val="24"/>
        </w:rPr>
      </w:pPr>
      <w:r>
        <w:rPr>
          <w:rFonts w:ascii="Times New Roman" w:hAnsi="Times New Roman" w:cs="Times New Roman"/>
          <w:sz w:val="24"/>
          <w:szCs w:val="24"/>
        </w:rPr>
        <w:t xml:space="preserve">  </w:t>
      </w:r>
    </w:p>
    <w:p w:rsidR="00BD681D" w:rsidRDefault="00BD681D" w:rsidP="008B2A47">
      <w:pPr>
        <w:jc w:val="both"/>
        <w:rPr>
          <w:rFonts w:ascii="Times New Roman" w:hAnsi="Times New Roman" w:cs="Times New Roman"/>
          <w:sz w:val="24"/>
          <w:szCs w:val="24"/>
        </w:rPr>
      </w:pPr>
    </w:p>
    <w:p w:rsidR="001B5EF2" w:rsidRPr="001B5EF2" w:rsidRDefault="008B2A47" w:rsidP="001B5EF2">
      <w:pPr>
        <w:jc w:val="right"/>
        <w:rPr>
          <w:rFonts w:ascii="Times New Roman" w:hAnsi="Times New Roman" w:cs="Times New Roman"/>
          <w:b/>
          <w:sz w:val="28"/>
          <w:szCs w:val="28"/>
        </w:rPr>
      </w:pPr>
      <w:r>
        <w:rPr>
          <w:rFonts w:ascii="Times New Roman" w:hAnsi="Times New Roman" w:cs="Times New Roman"/>
          <w:sz w:val="24"/>
          <w:szCs w:val="24"/>
        </w:rPr>
        <w:t xml:space="preserve">  </w:t>
      </w:r>
      <w:r w:rsidR="001B5EF2" w:rsidRPr="001B5EF2">
        <w:rPr>
          <w:rFonts w:ascii="Times New Roman" w:hAnsi="Times New Roman" w:cs="Times New Roman"/>
          <w:b/>
          <w:sz w:val="28"/>
          <w:szCs w:val="28"/>
        </w:rPr>
        <w:t>Giovanni Tulumello</w:t>
      </w:r>
    </w:p>
    <w:p w:rsidR="001B5EF2" w:rsidRPr="001B5EF2" w:rsidRDefault="001B5EF2" w:rsidP="001B5EF2">
      <w:pPr>
        <w:jc w:val="right"/>
        <w:rPr>
          <w:rFonts w:ascii="Times New Roman" w:hAnsi="Times New Roman" w:cs="Times New Roman"/>
          <w:sz w:val="24"/>
          <w:szCs w:val="24"/>
        </w:rPr>
      </w:pPr>
      <w:r w:rsidRPr="001B5EF2">
        <w:rPr>
          <w:rFonts w:ascii="Times New Roman" w:hAnsi="Times New Roman" w:cs="Times New Roman"/>
          <w:sz w:val="24"/>
          <w:szCs w:val="24"/>
        </w:rPr>
        <w:t>Consigliere di Stato</w:t>
      </w:r>
    </w:p>
    <w:p w:rsidR="001B5EF2" w:rsidRPr="001B5EF2" w:rsidRDefault="001B5EF2" w:rsidP="001B5EF2">
      <w:pPr>
        <w:jc w:val="right"/>
        <w:rPr>
          <w:rFonts w:ascii="Times New Roman" w:hAnsi="Times New Roman" w:cs="Times New Roman"/>
          <w:sz w:val="24"/>
          <w:szCs w:val="24"/>
        </w:rPr>
      </w:pPr>
      <w:r w:rsidRPr="001B5EF2">
        <w:rPr>
          <w:rFonts w:ascii="Times New Roman" w:hAnsi="Times New Roman" w:cs="Times New Roman"/>
          <w:sz w:val="24"/>
          <w:szCs w:val="24"/>
        </w:rPr>
        <w:t>pubblicato l’8 ottobre 2021</w:t>
      </w:r>
    </w:p>
    <w:p w:rsidR="008B2A47" w:rsidRPr="008B2A47" w:rsidRDefault="008B2A47" w:rsidP="008B2A47">
      <w:pPr>
        <w:jc w:val="both"/>
        <w:rPr>
          <w:rFonts w:ascii="Times New Roman" w:hAnsi="Times New Roman" w:cs="Times New Roman"/>
          <w:sz w:val="24"/>
          <w:szCs w:val="24"/>
        </w:rPr>
      </w:pPr>
    </w:p>
    <w:sectPr w:rsidR="008B2A47" w:rsidRPr="008B2A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A47" w:rsidRDefault="008B2A47" w:rsidP="008B2A47">
      <w:pPr>
        <w:spacing w:after="0" w:line="240" w:lineRule="auto"/>
      </w:pPr>
      <w:r>
        <w:separator/>
      </w:r>
    </w:p>
  </w:endnote>
  <w:endnote w:type="continuationSeparator" w:id="0">
    <w:p w:rsidR="008B2A47" w:rsidRDefault="008B2A47" w:rsidP="008B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A47" w:rsidRDefault="008B2A47" w:rsidP="008B2A47">
      <w:pPr>
        <w:spacing w:after="0" w:line="240" w:lineRule="auto"/>
      </w:pPr>
      <w:r>
        <w:separator/>
      </w:r>
    </w:p>
  </w:footnote>
  <w:footnote w:type="continuationSeparator" w:id="0">
    <w:p w:rsidR="008B2A47" w:rsidRDefault="008B2A47" w:rsidP="008B2A47">
      <w:pPr>
        <w:spacing w:after="0" w:line="240" w:lineRule="auto"/>
      </w:pPr>
      <w:r>
        <w:continuationSeparator/>
      </w:r>
    </w:p>
  </w:footnote>
  <w:footnote w:id="1">
    <w:p w:rsidR="008B2A47" w:rsidRPr="00F9412A" w:rsidRDefault="008B2A47"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w:t>
      </w:r>
      <w:r w:rsidRPr="00F9412A">
        <w:rPr>
          <w:rFonts w:ascii="Times New Roman" w:hAnsi="Times New Roman" w:cs="Times New Roman"/>
          <w:smallCaps/>
        </w:rPr>
        <w:t>S(anti) Romano</w:t>
      </w:r>
      <w:r w:rsidRPr="00F9412A">
        <w:rPr>
          <w:rFonts w:ascii="Times New Roman" w:hAnsi="Times New Roman" w:cs="Times New Roman"/>
        </w:rPr>
        <w:t xml:space="preserve">, </w:t>
      </w:r>
      <w:r w:rsidRPr="00F9412A">
        <w:rPr>
          <w:rFonts w:ascii="Times New Roman" w:hAnsi="Times New Roman" w:cs="Times New Roman"/>
          <w:i/>
        </w:rPr>
        <w:t>Frammenti di un dizionario giuridico</w:t>
      </w:r>
      <w:r w:rsidRPr="00F9412A">
        <w:rPr>
          <w:rFonts w:ascii="Times New Roman" w:hAnsi="Times New Roman" w:cs="Times New Roman"/>
        </w:rPr>
        <w:t xml:space="preserve">, </w:t>
      </w:r>
      <w:proofErr w:type="spellStart"/>
      <w:proofErr w:type="gramStart"/>
      <w:r w:rsidR="00BD681D" w:rsidRPr="00F9412A">
        <w:rPr>
          <w:rFonts w:ascii="Times New Roman" w:hAnsi="Times New Roman" w:cs="Times New Roman"/>
        </w:rPr>
        <w:t>rist</w:t>
      </w:r>
      <w:proofErr w:type="spellEnd"/>
      <w:r w:rsidR="00BD681D" w:rsidRPr="00F9412A">
        <w:rPr>
          <w:rFonts w:ascii="Times New Roman" w:hAnsi="Times New Roman" w:cs="Times New Roman"/>
        </w:rPr>
        <w:t>.,</w:t>
      </w:r>
      <w:proofErr w:type="gramEnd"/>
      <w:r w:rsidR="00BD681D" w:rsidRPr="00F9412A">
        <w:rPr>
          <w:rFonts w:ascii="Times New Roman" w:hAnsi="Times New Roman" w:cs="Times New Roman"/>
        </w:rPr>
        <w:t xml:space="preserve"> Milano, 1983, pag. 134.</w:t>
      </w:r>
    </w:p>
    <w:p w:rsidR="00BD681D" w:rsidRPr="00F9412A" w:rsidRDefault="00BD681D" w:rsidP="00F9412A">
      <w:pPr>
        <w:pStyle w:val="Testonotaapidipagina"/>
        <w:jc w:val="both"/>
        <w:rPr>
          <w:rFonts w:ascii="Times New Roman" w:hAnsi="Times New Roman" w:cs="Times New Roman"/>
        </w:rPr>
      </w:pPr>
    </w:p>
  </w:footnote>
  <w:footnote w:id="2">
    <w:p w:rsidR="00BD681D" w:rsidRPr="00F9412A" w:rsidRDefault="00BD681D"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In argomento sia consentito il rinvio a </w:t>
      </w:r>
      <w:r w:rsidRPr="00F9412A">
        <w:rPr>
          <w:rFonts w:ascii="Times New Roman" w:hAnsi="Times New Roman" w:cs="Times New Roman"/>
          <w:smallCaps/>
        </w:rPr>
        <w:t>G. Tulumello</w:t>
      </w:r>
      <w:r w:rsidRPr="00F9412A">
        <w:rPr>
          <w:rFonts w:ascii="Times New Roman" w:hAnsi="Times New Roman" w:cs="Times New Roman"/>
        </w:rPr>
        <w:t xml:space="preserve">, </w:t>
      </w:r>
      <w:r w:rsidRPr="00F9412A">
        <w:rPr>
          <w:rFonts w:ascii="Times New Roman" w:hAnsi="Times New Roman" w:cs="Times New Roman"/>
          <w:i/>
        </w:rPr>
        <w:t xml:space="preserve">Sui presupposti dell’obbligatorietà del rinvio pregiudiziale per i giudici nazionali di ultima istanza: segnali (convergenti) di un’esigenza di ripensamento della giurisprudenza </w:t>
      </w:r>
      <w:proofErr w:type="spellStart"/>
      <w:r w:rsidRPr="00F9412A">
        <w:rPr>
          <w:rFonts w:ascii="Times New Roman" w:hAnsi="Times New Roman" w:cs="Times New Roman"/>
        </w:rPr>
        <w:t>Cilfit</w:t>
      </w:r>
      <w:proofErr w:type="spellEnd"/>
      <w:r w:rsidRPr="00F9412A">
        <w:rPr>
          <w:rFonts w:ascii="Times New Roman" w:hAnsi="Times New Roman" w:cs="Times New Roman"/>
        </w:rPr>
        <w:t>, in giustizia-amministrativa.it, 28 settembre 2021.</w:t>
      </w:r>
      <w:r w:rsidR="00F61007" w:rsidRPr="00F9412A">
        <w:rPr>
          <w:rFonts w:ascii="Times New Roman" w:hAnsi="Times New Roman" w:cs="Times New Roman"/>
        </w:rPr>
        <w:t xml:space="preserve"> </w:t>
      </w:r>
    </w:p>
    <w:p w:rsidR="00BD681D" w:rsidRPr="00F9412A" w:rsidRDefault="00BD681D" w:rsidP="00F9412A">
      <w:pPr>
        <w:pStyle w:val="Testonotaapidipagina"/>
        <w:jc w:val="both"/>
        <w:rPr>
          <w:rFonts w:ascii="Times New Roman" w:hAnsi="Times New Roman" w:cs="Times New Roman"/>
        </w:rPr>
      </w:pPr>
    </w:p>
  </w:footnote>
  <w:footnote w:id="3">
    <w:p w:rsidR="00F61007" w:rsidRPr="00F9412A" w:rsidRDefault="00F61007"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w:t>
      </w:r>
      <w:r w:rsidRPr="00F9412A">
        <w:rPr>
          <w:rFonts w:ascii="Times New Roman" w:hAnsi="Times New Roman" w:cs="Times New Roman"/>
          <w:smallCaps/>
        </w:rPr>
        <w:t xml:space="preserve">G. </w:t>
      </w:r>
      <w:proofErr w:type="spellStart"/>
      <w:r w:rsidRPr="00F9412A">
        <w:rPr>
          <w:rFonts w:ascii="Times New Roman" w:hAnsi="Times New Roman" w:cs="Times New Roman"/>
          <w:smallCaps/>
        </w:rPr>
        <w:t>Martinico</w:t>
      </w:r>
      <w:proofErr w:type="spellEnd"/>
      <w:r w:rsidRPr="00F9412A">
        <w:rPr>
          <w:rFonts w:ascii="Times New Roman" w:hAnsi="Times New Roman" w:cs="Times New Roman"/>
          <w:smallCaps/>
        </w:rPr>
        <w:t>-L. Pierdominici</w:t>
      </w:r>
      <w:r w:rsidRPr="00F9412A">
        <w:rPr>
          <w:rFonts w:ascii="Times New Roman" w:hAnsi="Times New Roman" w:cs="Times New Roman"/>
        </w:rPr>
        <w:t xml:space="preserve">, </w:t>
      </w:r>
      <w:r w:rsidRPr="00F9412A">
        <w:rPr>
          <w:rFonts w:ascii="Times New Roman" w:hAnsi="Times New Roman" w:cs="Times New Roman"/>
          <w:i/>
        </w:rPr>
        <w:t xml:space="preserve">Rivedere CILFIT? Riflessioni </w:t>
      </w:r>
      <w:proofErr w:type="spellStart"/>
      <w:r w:rsidRPr="00F9412A">
        <w:rPr>
          <w:rFonts w:ascii="Times New Roman" w:hAnsi="Times New Roman" w:cs="Times New Roman"/>
          <w:i/>
        </w:rPr>
        <w:t>giuscomparatistiche</w:t>
      </w:r>
      <w:proofErr w:type="spellEnd"/>
      <w:r w:rsidRPr="00F9412A">
        <w:rPr>
          <w:rFonts w:ascii="Times New Roman" w:hAnsi="Times New Roman" w:cs="Times New Roman"/>
          <w:i/>
        </w:rPr>
        <w:t xml:space="preserve"> sulle conclusioni dell’avvocato generale </w:t>
      </w:r>
      <w:proofErr w:type="spellStart"/>
      <w:r w:rsidRPr="00F9412A">
        <w:rPr>
          <w:rFonts w:ascii="Times New Roman" w:hAnsi="Times New Roman" w:cs="Times New Roman"/>
          <w:i/>
        </w:rPr>
        <w:t>Bobek</w:t>
      </w:r>
      <w:proofErr w:type="spellEnd"/>
      <w:r w:rsidRPr="00F9412A">
        <w:rPr>
          <w:rFonts w:ascii="Times New Roman" w:hAnsi="Times New Roman" w:cs="Times New Roman"/>
          <w:i/>
        </w:rPr>
        <w:t xml:space="preserve"> nella causa Consorzio </w:t>
      </w:r>
      <w:proofErr w:type="spellStart"/>
      <w:r w:rsidRPr="00F9412A">
        <w:rPr>
          <w:rFonts w:ascii="Times New Roman" w:hAnsi="Times New Roman" w:cs="Times New Roman"/>
          <w:i/>
        </w:rPr>
        <w:t>Italian</w:t>
      </w:r>
      <w:proofErr w:type="spellEnd"/>
      <w:r w:rsidRPr="00F9412A">
        <w:rPr>
          <w:rFonts w:ascii="Times New Roman" w:hAnsi="Times New Roman" w:cs="Times New Roman"/>
          <w:i/>
        </w:rPr>
        <w:t xml:space="preserve"> management</w:t>
      </w:r>
      <w:r w:rsidRPr="00F9412A">
        <w:rPr>
          <w:rFonts w:ascii="Times New Roman" w:hAnsi="Times New Roman" w:cs="Times New Roman"/>
        </w:rPr>
        <w:t>, in giustiziainsieme.it</w:t>
      </w:r>
      <w:r w:rsidR="00155B9B" w:rsidRPr="00F9412A">
        <w:rPr>
          <w:rFonts w:ascii="Times New Roman" w:hAnsi="Times New Roman" w:cs="Times New Roman"/>
        </w:rPr>
        <w:t>, 17 giugno 2021: ove pure, però, l’affermazione per cui “non è però escluso che la chiamata ad una cooperazione più stretta ed equilibrata arrivi proprio in simile frangente, anche per saggiare la tenuta del sistema complessivo”.</w:t>
      </w:r>
    </w:p>
    <w:p w:rsidR="00F61007" w:rsidRPr="00F9412A" w:rsidRDefault="00F61007" w:rsidP="00F9412A">
      <w:pPr>
        <w:pStyle w:val="Testonotaapidipagina"/>
        <w:jc w:val="both"/>
        <w:rPr>
          <w:rFonts w:ascii="Times New Roman" w:hAnsi="Times New Roman" w:cs="Times New Roman"/>
        </w:rPr>
      </w:pPr>
      <w:r w:rsidRPr="00F9412A">
        <w:rPr>
          <w:rFonts w:ascii="Times New Roman" w:hAnsi="Times New Roman" w:cs="Times New Roman"/>
        </w:rPr>
        <w:t xml:space="preserve"> </w:t>
      </w:r>
    </w:p>
  </w:footnote>
  <w:footnote w:id="4">
    <w:p w:rsidR="00F61007" w:rsidRPr="00F9412A" w:rsidRDefault="007030C6"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w:t>
      </w:r>
      <w:r w:rsidR="00E85FBE" w:rsidRPr="00F9412A">
        <w:rPr>
          <w:rFonts w:ascii="Times New Roman" w:hAnsi="Times New Roman" w:cs="Times New Roman"/>
        </w:rPr>
        <w:t>Corte di Cassazione, sez. II Civile, ordinanza n. 8197/2020</w:t>
      </w:r>
      <w:r w:rsidR="004A4EC5" w:rsidRPr="00F9412A">
        <w:rPr>
          <w:rFonts w:ascii="Times New Roman" w:hAnsi="Times New Roman" w:cs="Times New Roman"/>
        </w:rPr>
        <w:t>.</w:t>
      </w:r>
    </w:p>
  </w:footnote>
  <w:footnote w:id="5">
    <w:p w:rsidR="00E85FBE" w:rsidRPr="00F9412A" w:rsidRDefault="00E85FBE"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w:t>
      </w:r>
      <w:r w:rsidRPr="00F9412A">
        <w:rPr>
          <w:rFonts w:ascii="Times New Roman" w:hAnsi="Times New Roman" w:cs="Times New Roman"/>
          <w:smallCaps/>
        </w:rPr>
        <w:t>G. Tulumello</w:t>
      </w:r>
      <w:r w:rsidRPr="00F9412A">
        <w:rPr>
          <w:rFonts w:ascii="Times New Roman" w:hAnsi="Times New Roman" w:cs="Times New Roman"/>
        </w:rPr>
        <w:t xml:space="preserve">, </w:t>
      </w:r>
      <w:r w:rsidRPr="00F9412A">
        <w:rPr>
          <w:rFonts w:ascii="Times New Roman" w:hAnsi="Times New Roman" w:cs="Times New Roman"/>
          <w:i/>
        </w:rPr>
        <w:t xml:space="preserve">Sui presupposti dell’obbligatorietà del rinvio pregiudiziale per i giudici nazionali di ultima istanza: segnali (convergenti) di un’esigenza di ripensamento della giurisprudenza </w:t>
      </w:r>
      <w:proofErr w:type="spellStart"/>
      <w:r w:rsidRPr="00F9412A">
        <w:rPr>
          <w:rFonts w:ascii="Times New Roman" w:hAnsi="Times New Roman" w:cs="Times New Roman"/>
        </w:rPr>
        <w:t>Cilfit</w:t>
      </w:r>
      <w:proofErr w:type="spellEnd"/>
      <w:r w:rsidRPr="00F9412A">
        <w:rPr>
          <w:rFonts w:ascii="Times New Roman" w:hAnsi="Times New Roman" w:cs="Times New Roman"/>
        </w:rPr>
        <w:t>, cit.</w:t>
      </w:r>
    </w:p>
    <w:p w:rsidR="00691AA9" w:rsidRPr="00F9412A" w:rsidRDefault="00691AA9" w:rsidP="00F9412A">
      <w:pPr>
        <w:pStyle w:val="Testonotaapidipagina"/>
        <w:jc w:val="both"/>
        <w:rPr>
          <w:rFonts w:ascii="Times New Roman" w:hAnsi="Times New Roman" w:cs="Times New Roman"/>
        </w:rPr>
      </w:pPr>
    </w:p>
  </w:footnote>
  <w:footnote w:id="6">
    <w:p w:rsidR="00F9412A" w:rsidRPr="00F9412A" w:rsidRDefault="00F9412A"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La sentenza sul punto sembra recepire la sollecitazione contenuta al punto 133 delle Conclusioni dell’Avvocato Generale: “</w:t>
      </w:r>
      <w:r w:rsidRPr="00F9412A">
        <w:rPr>
          <w:rFonts w:ascii="Times New Roman" w:hAnsi="Times New Roman" w:cs="Times New Roman"/>
          <w:i/>
        </w:rPr>
        <w:t>deve cambiare l’enfasi riguardo all’obbligo di rinvio pregiudiziale, passando dall’inesistenza di un ragionevole dubbio soggettivo quanto alla corretta applicazione del diritto dell’Unione riguardo a una specifica controversia all’esistenza di una divergenza oggettiva individuata nella giurisprudenza a livello nazionale, che pone quindi in pericolo l’interpretazione uniforme del diritto dell’Unione all’interno dell’Unione europea. In tal modo, l’enfasi si sposta anche dalla definizione della risposta corretta nella causa dinanzi al giudice nazionale all’individuazione della giusta tipologia di questioni</w:t>
      </w:r>
      <w:r w:rsidRPr="00F9412A">
        <w:rPr>
          <w:rFonts w:ascii="Times New Roman" w:hAnsi="Times New Roman" w:cs="Times New Roman"/>
        </w:rPr>
        <w:t>”.</w:t>
      </w:r>
    </w:p>
    <w:p w:rsidR="00F9412A" w:rsidRPr="00F9412A" w:rsidRDefault="00F9412A" w:rsidP="00F9412A">
      <w:pPr>
        <w:pStyle w:val="Testonotaapidipagina"/>
        <w:jc w:val="both"/>
        <w:rPr>
          <w:rFonts w:ascii="Times New Roman" w:hAnsi="Times New Roman" w:cs="Times New Roman"/>
        </w:rPr>
      </w:pPr>
    </w:p>
  </w:footnote>
  <w:footnote w:id="7">
    <w:p w:rsidR="004A4EC5" w:rsidRPr="00F9412A" w:rsidRDefault="004A4EC5"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Sul mancato rinvio pregiudiziale </w:t>
      </w:r>
      <w:r w:rsidR="00691AA9" w:rsidRPr="00F9412A">
        <w:rPr>
          <w:rFonts w:ascii="Times New Roman" w:hAnsi="Times New Roman" w:cs="Times New Roman"/>
        </w:rPr>
        <w:t xml:space="preserve">per manifesta infondatezza della questione prospettata (sotto il profilo dell’assenza di una effettiva relazione antinomica fra norma interna e norma comunitaria), </w:t>
      </w:r>
      <w:r w:rsidRPr="00F9412A">
        <w:rPr>
          <w:rFonts w:ascii="Times New Roman" w:hAnsi="Times New Roman" w:cs="Times New Roman"/>
        </w:rPr>
        <w:t>Consiglio di Stato, sez. III, sentenze n. 2428/2020 e n. 8089/2020.</w:t>
      </w:r>
    </w:p>
    <w:p w:rsidR="004A4EC5" w:rsidRPr="00F9412A" w:rsidRDefault="004A4EC5" w:rsidP="00F9412A">
      <w:pPr>
        <w:pStyle w:val="Testonotaapidipagina"/>
        <w:jc w:val="both"/>
        <w:rPr>
          <w:rFonts w:ascii="Times New Roman" w:hAnsi="Times New Roman" w:cs="Times New Roman"/>
        </w:rPr>
      </w:pPr>
    </w:p>
  </w:footnote>
  <w:footnote w:id="8">
    <w:p w:rsidR="00E17D41" w:rsidRPr="00F9412A" w:rsidRDefault="00E17D41"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Come ricordato </w:t>
      </w:r>
      <w:r w:rsidR="00691AA9" w:rsidRPr="00F9412A">
        <w:rPr>
          <w:rFonts w:ascii="Times New Roman" w:hAnsi="Times New Roman" w:cs="Times New Roman"/>
        </w:rPr>
        <w:t>nello scritto citato alla nota 5)</w:t>
      </w:r>
      <w:r w:rsidRPr="00F9412A">
        <w:rPr>
          <w:rFonts w:ascii="Times New Roman" w:hAnsi="Times New Roman" w:cs="Times New Roman"/>
        </w:rPr>
        <w:t xml:space="preserve">, la preoccupazione </w:t>
      </w:r>
      <w:r w:rsidR="00ED1F6D" w:rsidRPr="00F9412A">
        <w:rPr>
          <w:rFonts w:ascii="Times New Roman" w:hAnsi="Times New Roman" w:cs="Times New Roman"/>
        </w:rPr>
        <w:t xml:space="preserve">per </w:t>
      </w:r>
      <w:r w:rsidRPr="00F9412A">
        <w:rPr>
          <w:rFonts w:ascii="Times New Roman" w:hAnsi="Times New Roman" w:cs="Times New Roman"/>
        </w:rPr>
        <w:t>una minaccia alla reale indipendenza del giudice</w:t>
      </w:r>
      <w:r w:rsidR="00ED1F6D" w:rsidRPr="00F9412A">
        <w:rPr>
          <w:rFonts w:ascii="Times New Roman" w:hAnsi="Times New Roman" w:cs="Times New Roman"/>
        </w:rPr>
        <w:t>, derivante dalla dottrina dell’obbligo (solo nominalmente) flessibile,</w:t>
      </w:r>
      <w:r w:rsidRPr="00F9412A">
        <w:rPr>
          <w:rFonts w:ascii="Times New Roman" w:hAnsi="Times New Roman" w:cs="Times New Roman"/>
        </w:rPr>
        <w:t xml:space="preserve"> è stata di recente espressa alla Corte </w:t>
      </w:r>
      <w:r w:rsidR="00ED1F6D" w:rsidRPr="00F9412A">
        <w:rPr>
          <w:rFonts w:ascii="Times New Roman" w:hAnsi="Times New Roman" w:cs="Times New Roman"/>
        </w:rPr>
        <w:t>dall’ordinanza della IV Sezione del Consiglio di Stato, 14 settembre 2021, n. 6290.</w:t>
      </w:r>
    </w:p>
    <w:p w:rsidR="00791CB3" w:rsidRPr="00F9412A" w:rsidRDefault="00791CB3" w:rsidP="00F9412A">
      <w:pPr>
        <w:pStyle w:val="Testonotaapidipagina"/>
        <w:jc w:val="both"/>
        <w:rPr>
          <w:rFonts w:ascii="Times New Roman" w:hAnsi="Times New Roman" w:cs="Times New Roman"/>
        </w:rPr>
      </w:pPr>
    </w:p>
  </w:footnote>
  <w:footnote w:id="9">
    <w:p w:rsidR="00791CB3" w:rsidRPr="00F9412A" w:rsidRDefault="00791CB3"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Pr="00F9412A">
        <w:rPr>
          <w:rFonts w:ascii="Times New Roman" w:hAnsi="Times New Roman" w:cs="Times New Roman"/>
        </w:rPr>
        <w:t xml:space="preserve"> Contenuto anche nelle recenti Conclusioni dell’Avvocato Generale nel caso C-497/20, originato dalla pronuncia delle Sezioni Unite n. 19598/2020.</w:t>
      </w:r>
    </w:p>
    <w:p w:rsidR="00791CB3" w:rsidRPr="00F9412A" w:rsidRDefault="00791CB3" w:rsidP="00F9412A">
      <w:pPr>
        <w:pStyle w:val="Testonotaapidipagina"/>
        <w:jc w:val="both"/>
        <w:rPr>
          <w:rFonts w:ascii="Times New Roman" w:hAnsi="Times New Roman" w:cs="Times New Roman"/>
        </w:rPr>
      </w:pPr>
    </w:p>
  </w:footnote>
  <w:footnote w:id="10">
    <w:p w:rsidR="00816AAA" w:rsidRPr="00F9412A" w:rsidRDefault="00816AAA" w:rsidP="00F9412A">
      <w:pPr>
        <w:pStyle w:val="Testonotaapidipagina"/>
        <w:jc w:val="both"/>
        <w:rPr>
          <w:rFonts w:ascii="Times New Roman" w:hAnsi="Times New Roman" w:cs="Times New Roman"/>
        </w:rPr>
      </w:pPr>
      <w:r w:rsidRPr="00F9412A">
        <w:rPr>
          <w:rStyle w:val="Rimandonotaapidipagina"/>
          <w:rFonts w:ascii="Times New Roman" w:hAnsi="Times New Roman" w:cs="Times New Roman"/>
        </w:rPr>
        <w:footnoteRef/>
      </w:r>
      <w:r w:rsidR="00791CB3" w:rsidRPr="00F9412A">
        <w:rPr>
          <w:rFonts w:ascii="Times New Roman" w:hAnsi="Times New Roman" w:cs="Times New Roman"/>
        </w:rPr>
        <w:t xml:space="preserve"> </w:t>
      </w:r>
      <w:r w:rsidR="00791CB3" w:rsidRPr="00F9412A">
        <w:rPr>
          <w:rFonts w:ascii="Times New Roman" w:hAnsi="Times New Roman" w:cs="Times New Roman"/>
          <w:smallCaps/>
        </w:rPr>
        <w:t>M.P. Chiti</w:t>
      </w:r>
      <w:r w:rsidR="00791CB3" w:rsidRPr="00F9412A">
        <w:rPr>
          <w:rFonts w:ascii="Times New Roman" w:hAnsi="Times New Roman" w:cs="Times New Roman"/>
        </w:rPr>
        <w:t xml:space="preserve">, </w:t>
      </w:r>
      <w:r w:rsidR="00791CB3" w:rsidRPr="00F9412A">
        <w:rPr>
          <w:rFonts w:ascii="Times New Roman" w:hAnsi="Times New Roman" w:cs="Times New Roman"/>
          <w:i/>
        </w:rPr>
        <w:t xml:space="preserve">Il rinvio pregiudiziale e l’intreccio tra diritto processuale nazionale ed europeo: come custodire i custodi dagli abusi del diritto di </w:t>
      </w:r>
      <w:proofErr w:type="gramStart"/>
      <w:r w:rsidR="00791CB3" w:rsidRPr="00F9412A">
        <w:rPr>
          <w:rFonts w:ascii="Times New Roman" w:hAnsi="Times New Roman" w:cs="Times New Roman"/>
          <w:i/>
        </w:rPr>
        <w:t>difesa?</w:t>
      </w:r>
      <w:r w:rsidR="00791CB3" w:rsidRPr="00F9412A">
        <w:rPr>
          <w:rFonts w:ascii="Times New Roman" w:hAnsi="Times New Roman" w:cs="Times New Roman"/>
        </w:rPr>
        <w:t>,</w:t>
      </w:r>
      <w:proofErr w:type="gramEnd"/>
      <w:r w:rsidR="00791CB3" w:rsidRPr="00F9412A">
        <w:rPr>
          <w:rFonts w:ascii="Times New Roman" w:hAnsi="Times New Roman" w:cs="Times New Roman"/>
        </w:rPr>
        <w:t xml:space="preserve"> in </w:t>
      </w:r>
      <w:proofErr w:type="spellStart"/>
      <w:r w:rsidR="00791CB3" w:rsidRPr="00F9412A">
        <w:rPr>
          <w:rFonts w:ascii="Times New Roman" w:hAnsi="Times New Roman" w:cs="Times New Roman"/>
          <w:i/>
        </w:rPr>
        <w:t>Riv</w:t>
      </w:r>
      <w:proofErr w:type="spellEnd"/>
      <w:r w:rsidR="00791CB3" w:rsidRPr="00F9412A">
        <w:rPr>
          <w:rFonts w:ascii="Times New Roman" w:hAnsi="Times New Roman" w:cs="Times New Roman"/>
          <w:i/>
        </w:rPr>
        <w:t xml:space="preserve">. </w:t>
      </w:r>
      <w:proofErr w:type="spellStart"/>
      <w:proofErr w:type="gramStart"/>
      <w:r w:rsidR="00791CB3" w:rsidRPr="00F9412A">
        <w:rPr>
          <w:rFonts w:ascii="Times New Roman" w:hAnsi="Times New Roman" w:cs="Times New Roman"/>
          <w:i/>
        </w:rPr>
        <w:t>it</w:t>
      </w:r>
      <w:proofErr w:type="spellEnd"/>
      <w:proofErr w:type="gramEnd"/>
      <w:r w:rsidR="00791CB3" w:rsidRPr="00F9412A">
        <w:rPr>
          <w:rFonts w:ascii="Times New Roman" w:hAnsi="Times New Roman" w:cs="Times New Roman"/>
          <w:i/>
        </w:rPr>
        <w:t xml:space="preserve">. </w:t>
      </w:r>
      <w:proofErr w:type="gramStart"/>
      <w:r w:rsidR="00791CB3" w:rsidRPr="00F9412A">
        <w:rPr>
          <w:rFonts w:ascii="Times New Roman" w:hAnsi="Times New Roman" w:cs="Times New Roman"/>
          <w:i/>
        </w:rPr>
        <w:t>dir</w:t>
      </w:r>
      <w:proofErr w:type="gramEnd"/>
      <w:r w:rsidR="00791CB3" w:rsidRPr="00F9412A">
        <w:rPr>
          <w:rFonts w:ascii="Times New Roman" w:hAnsi="Times New Roman" w:cs="Times New Roman"/>
          <w:i/>
        </w:rPr>
        <w:t xml:space="preserve">. </w:t>
      </w:r>
      <w:proofErr w:type="spellStart"/>
      <w:proofErr w:type="gramStart"/>
      <w:r w:rsidR="00791CB3" w:rsidRPr="00F9412A">
        <w:rPr>
          <w:rFonts w:ascii="Times New Roman" w:hAnsi="Times New Roman" w:cs="Times New Roman"/>
          <w:i/>
        </w:rPr>
        <w:t>pubbl</w:t>
      </w:r>
      <w:proofErr w:type="spellEnd"/>
      <w:proofErr w:type="gramEnd"/>
      <w:r w:rsidR="00791CB3" w:rsidRPr="00F9412A">
        <w:rPr>
          <w:rFonts w:ascii="Times New Roman" w:hAnsi="Times New Roman" w:cs="Times New Roman"/>
          <w:i/>
        </w:rPr>
        <w:t xml:space="preserve">. </w:t>
      </w:r>
      <w:proofErr w:type="gramStart"/>
      <w:r w:rsidR="00791CB3" w:rsidRPr="00F9412A">
        <w:rPr>
          <w:rFonts w:ascii="Times New Roman" w:hAnsi="Times New Roman" w:cs="Times New Roman"/>
          <w:i/>
        </w:rPr>
        <w:t>comunitario</w:t>
      </w:r>
      <w:proofErr w:type="gramEnd"/>
      <w:r w:rsidR="00791CB3" w:rsidRPr="00F9412A">
        <w:rPr>
          <w:rFonts w:ascii="Times New Roman" w:hAnsi="Times New Roman" w:cs="Times New Roman"/>
        </w:rPr>
        <w:t xml:space="preserve">, n. 5/2012, </w:t>
      </w:r>
      <w:proofErr w:type="spellStart"/>
      <w:r w:rsidR="00791CB3" w:rsidRPr="00F9412A">
        <w:rPr>
          <w:rFonts w:ascii="Times New Roman" w:hAnsi="Times New Roman" w:cs="Times New Roman"/>
        </w:rPr>
        <w:t>pagg</w:t>
      </w:r>
      <w:proofErr w:type="spellEnd"/>
      <w:r w:rsidR="00791CB3" w:rsidRPr="00F9412A">
        <w:rPr>
          <w:rFonts w:ascii="Times New Roman" w:hAnsi="Times New Roman" w:cs="Times New Roman"/>
        </w:rPr>
        <w:t xml:space="preserve">. 745/757; </w:t>
      </w:r>
      <w:r w:rsidRPr="00F9412A">
        <w:rPr>
          <w:rFonts w:ascii="Times New Roman" w:hAnsi="Times New Roman" w:cs="Times New Roman"/>
        </w:rPr>
        <w:t xml:space="preserve"> </w:t>
      </w:r>
      <w:r w:rsidRPr="00F9412A">
        <w:rPr>
          <w:rFonts w:ascii="Times New Roman" w:hAnsi="Times New Roman" w:cs="Times New Roman"/>
          <w:smallCaps/>
        </w:rPr>
        <w:t>G. Vitale</w:t>
      </w:r>
      <w:r w:rsidRPr="00F9412A">
        <w:rPr>
          <w:rFonts w:ascii="Times New Roman" w:hAnsi="Times New Roman" w:cs="Times New Roman"/>
        </w:rPr>
        <w:t xml:space="preserve">, </w:t>
      </w:r>
      <w:r w:rsidRPr="00F9412A">
        <w:rPr>
          <w:rFonts w:ascii="Times New Roman" w:hAnsi="Times New Roman" w:cs="Times New Roman"/>
          <w:i/>
        </w:rPr>
        <w:t>La logica del rinvio pregiudiziale tra obbligo di rinvio per i giudici di ultima istanza e responsabilità</w:t>
      </w:r>
      <w:r w:rsidRPr="00F9412A">
        <w:rPr>
          <w:rFonts w:ascii="Times New Roman" w:hAnsi="Times New Roman" w:cs="Times New Roman"/>
        </w:rPr>
        <w:t>, in</w:t>
      </w:r>
      <w:r w:rsidRPr="00F9412A">
        <w:rPr>
          <w:rFonts w:ascii="Times New Roman" w:hAnsi="Times New Roman" w:cs="Times New Roman"/>
          <w:i/>
        </w:rPr>
        <w:t xml:space="preserve"> </w:t>
      </w:r>
      <w:proofErr w:type="spellStart"/>
      <w:r w:rsidRPr="00F9412A">
        <w:rPr>
          <w:rFonts w:ascii="Times New Roman" w:hAnsi="Times New Roman" w:cs="Times New Roman"/>
          <w:i/>
        </w:rPr>
        <w:t>Riv</w:t>
      </w:r>
      <w:proofErr w:type="spellEnd"/>
      <w:r w:rsidRPr="00F9412A">
        <w:rPr>
          <w:rFonts w:ascii="Times New Roman" w:hAnsi="Times New Roman" w:cs="Times New Roman"/>
          <w:i/>
        </w:rPr>
        <w:t xml:space="preserve">. </w:t>
      </w:r>
      <w:proofErr w:type="spellStart"/>
      <w:proofErr w:type="gramStart"/>
      <w:r w:rsidRPr="00F9412A">
        <w:rPr>
          <w:rFonts w:ascii="Times New Roman" w:hAnsi="Times New Roman" w:cs="Times New Roman"/>
          <w:i/>
        </w:rPr>
        <w:t>it</w:t>
      </w:r>
      <w:proofErr w:type="spellEnd"/>
      <w:proofErr w:type="gramEnd"/>
      <w:r w:rsidRPr="00F9412A">
        <w:rPr>
          <w:rFonts w:ascii="Times New Roman" w:hAnsi="Times New Roman" w:cs="Times New Roman"/>
          <w:i/>
        </w:rPr>
        <w:t xml:space="preserve">. </w:t>
      </w:r>
      <w:proofErr w:type="gramStart"/>
      <w:r w:rsidRPr="00F9412A">
        <w:rPr>
          <w:rFonts w:ascii="Times New Roman" w:hAnsi="Times New Roman" w:cs="Times New Roman"/>
          <w:i/>
        </w:rPr>
        <w:t>dir</w:t>
      </w:r>
      <w:proofErr w:type="gramEnd"/>
      <w:r w:rsidRPr="00F9412A">
        <w:rPr>
          <w:rFonts w:ascii="Times New Roman" w:hAnsi="Times New Roman" w:cs="Times New Roman"/>
          <w:i/>
        </w:rPr>
        <w:t xml:space="preserve">. </w:t>
      </w:r>
      <w:proofErr w:type="spellStart"/>
      <w:proofErr w:type="gramStart"/>
      <w:r w:rsidRPr="00F9412A">
        <w:rPr>
          <w:rFonts w:ascii="Times New Roman" w:hAnsi="Times New Roman" w:cs="Times New Roman"/>
          <w:i/>
        </w:rPr>
        <w:t>pubbl</w:t>
      </w:r>
      <w:proofErr w:type="spellEnd"/>
      <w:proofErr w:type="gramEnd"/>
      <w:r w:rsidRPr="00F9412A">
        <w:rPr>
          <w:rFonts w:ascii="Times New Roman" w:hAnsi="Times New Roman" w:cs="Times New Roman"/>
          <w:i/>
        </w:rPr>
        <w:t xml:space="preserve">. </w:t>
      </w:r>
      <w:proofErr w:type="spellStart"/>
      <w:proofErr w:type="gramStart"/>
      <w:r w:rsidRPr="00F9412A">
        <w:rPr>
          <w:rFonts w:ascii="Times New Roman" w:hAnsi="Times New Roman" w:cs="Times New Roman"/>
          <w:i/>
        </w:rPr>
        <w:t>comunit</w:t>
      </w:r>
      <w:proofErr w:type="spellEnd"/>
      <w:r w:rsidRPr="00F9412A">
        <w:rPr>
          <w:rFonts w:ascii="Times New Roman" w:hAnsi="Times New Roman" w:cs="Times New Roman"/>
        </w:rPr>
        <w:t>.,</w:t>
      </w:r>
      <w:proofErr w:type="gramEnd"/>
      <w:r w:rsidRPr="00F9412A">
        <w:rPr>
          <w:rFonts w:ascii="Times New Roman" w:hAnsi="Times New Roman" w:cs="Times New Roman"/>
        </w:rPr>
        <w:t xml:space="preserve"> fasc.1/2013, </w:t>
      </w:r>
      <w:proofErr w:type="spellStart"/>
      <w:r w:rsidRPr="00F9412A">
        <w:rPr>
          <w:rFonts w:ascii="Times New Roman" w:hAnsi="Times New Roman" w:cs="Times New Roman"/>
        </w:rPr>
        <w:t>pagg</w:t>
      </w:r>
      <w:proofErr w:type="spellEnd"/>
      <w:r w:rsidRPr="00F9412A">
        <w:rPr>
          <w:rFonts w:ascii="Times New Roman" w:hAnsi="Times New Roman" w:cs="Times New Roman"/>
        </w:rPr>
        <w:t xml:space="preserve">. 59 e segg.,; </w:t>
      </w:r>
      <w:r w:rsidRPr="00F9412A">
        <w:rPr>
          <w:rFonts w:ascii="Times New Roman" w:hAnsi="Times New Roman" w:cs="Times New Roman"/>
          <w:smallCaps/>
        </w:rPr>
        <w:t xml:space="preserve">S. </w:t>
      </w:r>
      <w:proofErr w:type="spellStart"/>
      <w:r w:rsidRPr="00F9412A">
        <w:rPr>
          <w:rFonts w:ascii="Times New Roman" w:hAnsi="Times New Roman" w:cs="Times New Roman"/>
          <w:smallCaps/>
        </w:rPr>
        <w:t>Foà</w:t>
      </w:r>
      <w:proofErr w:type="spellEnd"/>
      <w:r w:rsidRPr="00F9412A">
        <w:rPr>
          <w:rFonts w:ascii="Times New Roman" w:hAnsi="Times New Roman" w:cs="Times New Roman"/>
        </w:rPr>
        <w:t xml:space="preserve">, </w:t>
      </w:r>
      <w:r w:rsidRPr="00F9412A">
        <w:rPr>
          <w:rFonts w:ascii="Times New Roman" w:hAnsi="Times New Roman" w:cs="Times New Roman"/>
          <w:i/>
        </w:rPr>
        <w:t>Giustizia amministrativa e rinvio pregiudiziale alla CGUE: da strumento “difensivo” a mezzo per ridiscutere il sistema costituzionale</w:t>
      </w:r>
      <w:r w:rsidRPr="00F9412A">
        <w:rPr>
          <w:rFonts w:ascii="Times New Roman" w:hAnsi="Times New Roman" w:cs="Times New Roman"/>
        </w:rPr>
        <w:t>, in</w:t>
      </w:r>
      <w:r w:rsidRPr="00F9412A">
        <w:rPr>
          <w:rFonts w:ascii="Times New Roman" w:hAnsi="Times New Roman" w:cs="Times New Roman"/>
          <w:i/>
        </w:rPr>
        <w:t xml:space="preserve"> Federalismi.it</w:t>
      </w:r>
      <w:r w:rsidRPr="00F9412A">
        <w:rPr>
          <w:rFonts w:ascii="Times New Roman" w:hAnsi="Times New Roman" w:cs="Times New Roman"/>
        </w:rPr>
        <w:t xml:space="preserve">., 4/2021, pag. 133;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B7"/>
    <w:rsid w:val="000E488F"/>
    <w:rsid w:val="00155B9B"/>
    <w:rsid w:val="001A6AB7"/>
    <w:rsid w:val="001B5EF2"/>
    <w:rsid w:val="0021166E"/>
    <w:rsid w:val="002401EA"/>
    <w:rsid w:val="003D3402"/>
    <w:rsid w:val="004A4EC5"/>
    <w:rsid w:val="0060149D"/>
    <w:rsid w:val="00662198"/>
    <w:rsid w:val="00691AA9"/>
    <w:rsid w:val="007030C6"/>
    <w:rsid w:val="00791CB3"/>
    <w:rsid w:val="00814E07"/>
    <w:rsid w:val="00816AAA"/>
    <w:rsid w:val="008B2A47"/>
    <w:rsid w:val="008C6272"/>
    <w:rsid w:val="009D1851"/>
    <w:rsid w:val="00BD681D"/>
    <w:rsid w:val="00C4077E"/>
    <w:rsid w:val="00C67436"/>
    <w:rsid w:val="00D46506"/>
    <w:rsid w:val="00E11FF9"/>
    <w:rsid w:val="00E17D41"/>
    <w:rsid w:val="00E64C08"/>
    <w:rsid w:val="00E85FBE"/>
    <w:rsid w:val="00ED1F6D"/>
    <w:rsid w:val="00F61007"/>
    <w:rsid w:val="00F9412A"/>
    <w:rsid w:val="00FA71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61855-C6CF-48F4-8D46-6B467CA5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2A47"/>
    <w:pPr>
      <w:ind w:left="720"/>
      <w:contextualSpacing/>
    </w:pPr>
  </w:style>
  <w:style w:type="paragraph" w:styleId="Testonotaapidipagina">
    <w:name w:val="footnote text"/>
    <w:basedOn w:val="Normale"/>
    <w:link w:val="TestonotaapidipaginaCarattere"/>
    <w:uiPriority w:val="99"/>
    <w:semiHidden/>
    <w:unhideWhenUsed/>
    <w:rsid w:val="008B2A4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B2A47"/>
    <w:rPr>
      <w:sz w:val="20"/>
      <w:szCs w:val="20"/>
    </w:rPr>
  </w:style>
  <w:style w:type="character" w:styleId="Rimandonotaapidipagina">
    <w:name w:val="footnote reference"/>
    <w:basedOn w:val="Carpredefinitoparagrafo"/>
    <w:uiPriority w:val="99"/>
    <w:semiHidden/>
    <w:unhideWhenUsed/>
    <w:rsid w:val="008B2A47"/>
    <w:rPr>
      <w:vertAlign w:val="superscript"/>
    </w:rPr>
  </w:style>
  <w:style w:type="paragraph" w:styleId="Testofumetto">
    <w:name w:val="Balloon Text"/>
    <w:basedOn w:val="Normale"/>
    <w:link w:val="TestofumettoCarattere"/>
    <w:uiPriority w:val="99"/>
    <w:semiHidden/>
    <w:unhideWhenUsed/>
    <w:rsid w:val="00F610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0DF56-72B1-4432-8767-8AFA28E9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10927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FERRARI Giulia</cp:lastModifiedBy>
  <cp:revision>2</cp:revision>
  <cp:lastPrinted>2021-10-07T07:56:00Z</cp:lastPrinted>
  <dcterms:created xsi:type="dcterms:W3CDTF">2021-10-07T20:27:00Z</dcterms:created>
  <dcterms:modified xsi:type="dcterms:W3CDTF">2021-10-07T20:27:00Z</dcterms:modified>
</cp:coreProperties>
</file>