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6F" w:rsidRPr="00DB28E5" w:rsidRDefault="0040046F" w:rsidP="0040046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Times New Roman"/>
          <w:b/>
          <w:smallCaps/>
          <w:sz w:val="28"/>
          <w:szCs w:val="28"/>
          <w:lang w:eastAsia="it-IT"/>
        </w:rPr>
      </w:pPr>
      <w:r w:rsidRPr="00DB28E5">
        <w:rPr>
          <w:rFonts w:ascii="Garamond" w:hAnsi="Garamond" w:cs="Times New Roman"/>
          <w:b/>
          <w:smallCaps/>
          <w:sz w:val="28"/>
          <w:szCs w:val="28"/>
          <w:lang w:eastAsia="it-IT"/>
        </w:rPr>
        <w:t>La decadenza, tra princìpi generali</w:t>
      </w:r>
    </w:p>
    <w:p w:rsidR="00140827" w:rsidRPr="00DB28E5" w:rsidRDefault="0040046F" w:rsidP="0040046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Times New Roman"/>
          <w:b/>
          <w:smallCaps/>
          <w:sz w:val="28"/>
          <w:szCs w:val="28"/>
          <w:lang w:eastAsia="it-IT"/>
        </w:rPr>
      </w:pPr>
      <w:r w:rsidRPr="00DB28E5">
        <w:rPr>
          <w:rFonts w:ascii="Garamond" w:hAnsi="Garamond" w:cs="Times New Roman"/>
          <w:b/>
          <w:smallCaps/>
          <w:sz w:val="28"/>
          <w:szCs w:val="28"/>
          <w:lang w:eastAsia="it-IT"/>
        </w:rPr>
        <w:t>ed applicazioni amministrative e tributarie</w:t>
      </w:r>
      <w:r w:rsidR="00284758" w:rsidRPr="00284758">
        <w:rPr>
          <w:rFonts w:ascii="Garamond" w:hAnsi="Garamond" w:cs="Times New Roman"/>
          <w:b/>
          <w:smallCaps/>
          <w:sz w:val="28"/>
          <w:szCs w:val="28"/>
          <w:vertAlign w:val="superscript"/>
          <w:lang w:eastAsia="it-IT"/>
        </w:rPr>
        <w:t xml:space="preserve"> (*)</w:t>
      </w:r>
    </w:p>
    <w:p w:rsidR="004F5AD1" w:rsidRPr="00DB28E5" w:rsidRDefault="004F5AD1" w:rsidP="004F5AD1">
      <w:pPr>
        <w:spacing w:before="100" w:beforeAutospacing="1" w:after="100" w:afterAutospacing="1" w:line="240" w:lineRule="auto"/>
        <w:ind w:left="720"/>
        <w:jc w:val="both"/>
        <w:rPr>
          <w:rFonts w:ascii="Garamond" w:eastAsia="Times New Roman" w:hAnsi="Garamond" w:cs="Times New Roman"/>
          <w:b/>
          <w:sz w:val="28"/>
          <w:szCs w:val="28"/>
          <w:lang w:eastAsia="it-IT"/>
        </w:rPr>
      </w:pPr>
    </w:p>
    <w:p w:rsidR="00CE5719" w:rsidRPr="00DB28E5" w:rsidRDefault="0040046F" w:rsidP="006D4C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it-IT"/>
        </w:rPr>
      </w:pPr>
      <w:r w:rsidRPr="00DB28E5">
        <w:rPr>
          <w:rFonts w:ascii="Garamond" w:eastAsia="Times New Roman" w:hAnsi="Garamond" w:cs="Times New Roman"/>
          <w:b/>
          <w:sz w:val="28"/>
          <w:szCs w:val="28"/>
          <w:lang w:eastAsia="it-IT"/>
        </w:rPr>
        <w:t>I</w:t>
      </w:r>
      <w:r w:rsidR="00D23B7A" w:rsidRPr="00DB28E5">
        <w:rPr>
          <w:rFonts w:ascii="Garamond" w:eastAsia="Times New Roman" w:hAnsi="Garamond" w:cs="Times New Roman"/>
          <w:b/>
          <w:sz w:val="28"/>
          <w:szCs w:val="28"/>
          <w:lang w:eastAsia="it-IT"/>
        </w:rPr>
        <w:t xml:space="preserve"> p</w:t>
      </w:r>
      <w:r w:rsidR="00CE5719" w:rsidRPr="00DB28E5">
        <w:rPr>
          <w:rFonts w:ascii="Garamond" w:eastAsia="Times New Roman" w:hAnsi="Garamond" w:cs="Times New Roman"/>
          <w:b/>
          <w:sz w:val="28"/>
          <w:szCs w:val="28"/>
          <w:lang w:eastAsia="it-IT"/>
        </w:rPr>
        <w:t>rincìpi generali</w:t>
      </w:r>
      <w:r w:rsidR="006D4C48" w:rsidRPr="00DB28E5">
        <w:rPr>
          <w:rFonts w:ascii="Garamond" w:eastAsia="Times New Roman" w:hAnsi="Garamond" w:cs="Times New Roman"/>
          <w:b/>
          <w:sz w:val="28"/>
          <w:szCs w:val="28"/>
          <w:lang w:eastAsia="it-IT"/>
        </w:rPr>
        <w:t>.</w:t>
      </w:r>
    </w:p>
    <w:p w:rsidR="00772B05" w:rsidRPr="00DB28E5" w:rsidRDefault="004F5AD1" w:rsidP="004F5AD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C</w:t>
      </w:r>
      <w:r w:rsidR="00772B0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om</w:t>
      </w:r>
      <w:r w:rsidR="00C9536D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e</w:t>
      </w:r>
      <w:r w:rsidR="00772B0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la</w:t>
      </w:r>
      <w:r w:rsidR="00C9536D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p</w:t>
      </w:r>
      <w:r w:rsidR="006610B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rescrizione</w:t>
      </w:r>
      <w:r w:rsidR="00CE6DB9" w:rsidRPr="00DB28E5">
        <w:rPr>
          <w:rStyle w:val="Rimandonotaapidipagina"/>
          <w:rFonts w:ascii="Garamond" w:eastAsia="Times New Roman" w:hAnsi="Garamond" w:cs="Times New Roman"/>
          <w:sz w:val="28"/>
          <w:szCs w:val="28"/>
          <w:lang w:eastAsia="it-IT"/>
        </w:rPr>
        <w:footnoteReference w:id="1"/>
      </w:r>
      <w:r w:rsidR="00772B0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,</w:t>
      </w:r>
      <w:r w:rsidR="006610B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la decadenza </w:t>
      </w:r>
      <w:r w:rsidR="00772B0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è una</w:t>
      </w:r>
      <w:r w:rsidR="006610B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caus</w:t>
      </w:r>
      <w:r w:rsidR="00772B0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a</w:t>
      </w:r>
      <w:r w:rsidR="006610B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FF2CED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tipic</w:t>
      </w:r>
      <w:r w:rsidR="00772B0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a</w:t>
      </w:r>
      <w:r w:rsidR="00FF2CED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di </w:t>
      </w:r>
      <w:r w:rsidR="006610B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estin</w:t>
      </w:r>
      <w:r w:rsidR="00FF2CED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zione</w:t>
      </w:r>
      <w:r w:rsidR="006610B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d</w:t>
      </w:r>
      <w:r w:rsidR="00772B0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elle</w:t>
      </w:r>
      <w:r w:rsidR="006610B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posizion</w:t>
      </w:r>
      <w:r w:rsidR="00772B0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i</w:t>
      </w:r>
      <w:r w:rsidR="006610B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giuridic</w:t>
      </w:r>
      <w:r w:rsidR="00772B0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he</w:t>
      </w:r>
      <w:r w:rsidR="006610B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772B0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soggettive</w:t>
      </w:r>
      <w:r w:rsidR="006610B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3E7C23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in </w:t>
      </w:r>
      <w:r w:rsidR="006610B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conseguen</w:t>
      </w:r>
      <w:r w:rsidR="003E7C23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za</w:t>
      </w:r>
      <w:r w:rsidR="006610B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3E7C23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de</w:t>
      </w:r>
      <w:r w:rsidR="006610B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ll’inerzia del titolare</w:t>
      </w:r>
      <w:r w:rsidR="003E7C23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.</w:t>
      </w:r>
    </w:p>
    <w:p w:rsidR="00284784" w:rsidRDefault="003E7C23" w:rsidP="001257B5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S</w:t>
      </w:r>
      <w:r w:rsidR="0003465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i tratta di </w:t>
      </w:r>
      <w:r w:rsidR="00772B0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due </w:t>
      </w:r>
      <w:r w:rsidR="008022A0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istituti </w:t>
      </w:r>
      <w:r w:rsidR="002669F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che operano sul piano sostanziale, </w:t>
      </w:r>
      <w:r w:rsidR="006610B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volti alla tutela del soggetto passivo</w:t>
      </w:r>
      <w:r w:rsidR="008022A0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,</w:t>
      </w:r>
      <w:r w:rsidR="006610B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il quale, attraverso l’estinzione del rapporto, ottiene la liberazione dall’obblig</w:t>
      </w:r>
      <w:r w:rsidR="003E57F0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azi</w:t>
      </w:r>
      <w:r w:rsidR="006610B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o</w:t>
      </w:r>
      <w:r w:rsidR="003E57F0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ne</w:t>
      </w:r>
      <w:r w:rsidR="001257B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e che</w:t>
      </w:r>
      <w:r w:rsidR="000E302B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s</w:t>
      </w:r>
      <w:r w:rsidR="008E330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i differenziano</w:t>
      </w:r>
      <w:r w:rsidR="007A3C17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sol </w:t>
      </w:r>
      <w:r w:rsidR="008E330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perché </w:t>
      </w:r>
      <w:r w:rsidR="008022A0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l</w:t>
      </w:r>
      <w:r w:rsidR="00512A50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a decadenza</w:t>
      </w:r>
      <w:r w:rsidR="008E330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assicura maggiore certezza al rapporto giuridico,</w:t>
      </w:r>
      <w:r w:rsidR="00C77282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perfeziona</w:t>
      </w:r>
      <w:r w:rsidR="008E330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ndosi</w:t>
      </w:r>
      <w:r w:rsidR="00C77282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8E330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in modo</w:t>
      </w:r>
      <w:r w:rsidR="007A3C17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più</w:t>
      </w:r>
      <w:r w:rsidR="008E330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C77282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celer</w:t>
      </w:r>
      <w:r w:rsidR="008E330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e</w:t>
      </w:r>
      <w:r w:rsidR="00C77282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e perentori</w:t>
      </w:r>
      <w:r w:rsidR="008E330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o</w:t>
      </w:r>
      <w:r w:rsidR="002669FF" w:rsidRPr="00DB28E5">
        <w:rPr>
          <w:rStyle w:val="Rimandonotaapidipagina"/>
          <w:rFonts w:ascii="Garamond" w:eastAsia="Times New Roman" w:hAnsi="Garamond" w:cs="Times New Roman"/>
          <w:sz w:val="28"/>
          <w:szCs w:val="28"/>
          <w:lang w:eastAsia="it-IT"/>
        </w:rPr>
        <w:footnoteReference w:id="2"/>
      </w:r>
      <w:r w:rsidR="00284784">
        <w:rPr>
          <w:rFonts w:ascii="Garamond" w:eastAsia="Times New Roman" w:hAnsi="Garamond" w:cs="Times New Roman"/>
          <w:sz w:val="28"/>
          <w:szCs w:val="28"/>
          <w:lang w:eastAsia="it-IT"/>
        </w:rPr>
        <w:t>.</w:t>
      </w:r>
    </w:p>
    <w:p w:rsidR="006610B5" w:rsidRPr="00DB28E5" w:rsidRDefault="001257B5" w:rsidP="00CE571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>La</w:t>
      </w:r>
      <w:r w:rsidRPr="00536F9E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decadenza, </w:t>
      </w:r>
      <w:r w:rsidR="007754E3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infatti,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i</w:t>
      </w:r>
      <w:r w:rsidR="00536F9E">
        <w:rPr>
          <w:rFonts w:ascii="Garamond" w:eastAsia="Times New Roman" w:hAnsi="Garamond" w:cs="Times New Roman"/>
          <w:sz w:val="28"/>
          <w:szCs w:val="28"/>
          <w:lang w:eastAsia="it-IT"/>
        </w:rPr>
        <w:t>n</w:t>
      </w:r>
      <w:r w:rsidR="008E330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03465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applicaz</w:t>
      </w:r>
      <w:r w:rsidR="008E330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ione</w:t>
      </w:r>
      <w:r w:rsidR="00096343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dei princìpi generali</w:t>
      </w:r>
      <w:r w:rsidR="00284784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sanciti dal codice civile</w:t>
      </w:r>
      <w:r w:rsidR="00CC2C2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:</w:t>
      </w:r>
    </w:p>
    <w:p w:rsidR="00AF790A" w:rsidRPr="00DB28E5" w:rsidRDefault="00CC2C2C" w:rsidP="004F5AD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1)</w:t>
      </w:r>
      <w:r w:rsidR="003929AB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536F9E">
        <w:rPr>
          <w:rFonts w:ascii="Garamond" w:eastAsia="Times New Roman" w:hAnsi="Garamond" w:cs="Times New Roman"/>
          <w:sz w:val="28"/>
          <w:szCs w:val="28"/>
          <w:lang w:eastAsia="it-IT"/>
        </w:rPr>
        <w:t>ha</w:t>
      </w:r>
      <w:r w:rsidR="00A64FF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7754E3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termini </w:t>
      </w:r>
      <w:r w:rsidR="001257B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ordinariamente </w:t>
      </w:r>
      <w:r w:rsidR="00512A50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brev</w:t>
      </w:r>
      <w:r w:rsidR="006B0CC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i</w:t>
      </w:r>
      <w:r w:rsidR="001257B5">
        <w:rPr>
          <w:rFonts w:ascii="Garamond" w:eastAsia="Times New Roman" w:hAnsi="Garamond" w:cs="Times New Roman"/>
          <w:sz w:val="28"/>
          <w:szCs w:val="28"/>
          <w:lang w:eastAsia="it-IT"/>
        </w:rPr>
        <w:t>,</w:t>
      </w:r>
      <w:r w:rsidR="00536F9E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AF790A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non sogge</w:t>
      </w:r>
      <w:r w:rsidR="00E95ACE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tt</w:t>
      </w:r>
      <w:r w:rsidR="006B0CC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i</w:t>
      </w:r>
      <w:r w:rsidR="00AF790A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ad </w:t>
      </w:r>
      <w:hyperlink r:id="rId8" w:tooltip="Dizionario Giuridico: Interruzione della prescrizione" w:history="1">
        <w:r w:rsidR="00AF790A" w:rsidRPr="00DB28E5">
          <w:rPr>
            <w:rFonts w:ascii="Garamond" w:eastAsia="Times New Roman" w:hAnsi="Garamond" w:cs="Times New Roman"/>
            <w:sz w:val="28"/>
            <w:szCs w:val="28"/>
            <w:lang w:eastAsia="it-IT"/>
          </w:rPr>
          <w:t>interruzione</w:t>
        </w:r>
      </w:hyperlink>
      <w:r w:rsidR="00AF790A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, né </w:t>
      </w:r>
      <w:r w:rsidR="002A1AC0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a </w:t>
      </w:r>
      <w:hyperlink r:id="rId9" w:tooltip="Dizionario Giuridico: Sospensione della prescrizione" w:history="1">
        <w:r w:rsidR="002A1AC0" w:rsidRPr="00DB28E5">
          <w:rPr>
            <w:rFonts w:ascii="Garamond" w:eastAsia="Times New Roman" w:hAnsi="Garamond" w:cs="Times New Roman"/>
            <w:sz w:val="28"/>
            <w:szCs w:val="28"/>
            <w:lang w:eastAsia="it-IT"/>
          </w:rPr>
          <w:t>sospensione</w:t>
        </w:r>
      </w:hyperlink>
      <w:r w:rsidR="002A1AC0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AF790A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– salvo </w:t>
      </w:r>
      <w:r w:rsidR="002A1AC0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eccezioni</w:t>
      </w:r>
      <w:r w:rsidR="004F5AD1" w:rsidRPr="00DB28E5">
        <w:rPr>
          <w:rFonts w:ascii="Garamond" w:eastAsia="Times New Roman" w:hAnsi="Garamond" w:cs="Times New Roman"/>
          <w:i/>
          <w:sz w:val="28"/>
          <w:szCs w:val="28"/>
          <w:lang w:eastAsia="it-IT"/>
        </w:rPr>
        <w:t xml:space="preserve"> ex</w:t>
      </w:r>
      <w:r w:rsidR="009C071E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art. 2964</w:t>
      </w:r>
      <w:r w:rsidR="002A1AC0" w:rsidRPr="00DB28E5">
        <w:rPr>
          <w:rStyle w:val="Rimandonotaapidipagina"/>
          <w:rFonts w:ascii="Garamond" w:eastAsia="Times New Roman" w:hAnsi="Garamond" w:cs="Times New Roman"/>
          <w:sz w:val="28"/>
          <w:szCs w:val="28"/>
          <w:lang w:eastAsia="it-IT"/>
        </w:rPr>
        <w:footnoteReference w:id="3"/>
      </w:r>
      <w:r w:rsidR="00AF790A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– cosicch</w:t>
      </w:r>
      <w:r w:rsidR="007A3C17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é, una </w:t>
      </w:r>
      <w:r w:rsidR="0052055E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volta </w:t>
      </w:r>
      <w:r w:rsidR="0052055E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che essa è </w:t>
      </w:r>
      <w:r w:rsidR="007A3C17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impedita,</w:t>
      </w:r>
      <w:r w:rsidR="00AF790A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“il diritto rimane soggetto alle disposizioni </w:t>
      </w:r>
      <w:r w:rsidR="003929AB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che regolano la prescrizione</w:t>
      </w:r>
      <w:r w:rsidR="008E330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”</w:t>
      </w:r>
      <w:r w:rsidR="003929AB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(art. 2967)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;</w:t>
      </w:r>
    </w:p>
    <w:p w:rsidR="00096343" w:rsidRPr="00DB28E5" w:rsidRDefault="00096343" w:rsidP="00096343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2) nella materie sottratte</w:t>
      </w:r>
      <w:r w:rsidR="00536F9E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alla disponibilità delle parti,</w:t>
      </w:r>
      <w:r w:rsidR="009C071E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non è rinunciabile (art. 2968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) ed è rilevabile dal giudice</w:t>
      </w:r>
      <w:r w:rsidR="00CE5F79" w:rsidRPr="00CE5F79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CE5F79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d’ufficio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, quale causa </w:t>
      </w:r>
      <w:proofErr w:type="gramStart"/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d’improponibilità</w:t>
      </w:r>
      <w:proofErr w:type="gramEnd"/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dell’azione (art. 2969);</w:t>
      </w:r>
    </w:p>
    <w:p w:rsidR="006F3BD0" w:rsidRPr="00DB28E5" w:rsidRDefault="00096343" w:rsidP="004F5AD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lastRenderedPageBreak/>
        <w:t>3</w:t>
      </w:r>
      <w:r w:rsidR="006F3BD0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) </w:t>
      </w:r>
      <w:r w:rsidR="00885B2D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è impedita dal compimento dell’atto previsto dalla legge o dal </w:t>
      </w:r>
      <w:hyperlink r:id="rId10" w:tooltip="Dizionario Giuridico: Contratto" w:history="1">
        <w:r w:rsidR="00885B2D" w:rsidRPr="00DB28E5">
          <w:rPr>
            <w:rFonts w:ascii="Garamond" w:eastAsia="Times New Roman" w:hAnsi="Garamond" w:cs="Times New Roman"/>
            <w:sz w:val="28"/>
            <w:szCs w:val="28"/>
            <w:lang w:eastAsia="it-IT"/>
          </w:rPr>
          <w:t>contratto</w:t>
        </w:r>
      </w:hyperlink>
      <w:r w:rsidR="009C071E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(art. 2966, comma 1</w:t>
      </w:r>
      <w:r w:rsidR="00885B2D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)</w:t>
      </w:r>
      <w:r w:rsidR="002379B1" w:rsidRPr="00DB28E5">
        <w:rPr>
          <w:rStyle w:val="Rimandonotaapidipagina"/>
          <w:rFonts w:ascii="Garamond" w:eastAsia="Times New Roman" w:hAnsi="Garamond" w:cs="Times New Roman"/>
          <w:sz w:val="28"/>
          <w:szCs w:val="28"/>
          <w:lang w:eastAsia="it-IT"/>
        </w:rPr>
        <w:footnoteReference w:id="4"/>
      </w:r>
      <w:r w:rsidR="00AA2E03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e,</w:t>
      </w:r>
      <w:r w:rsidR="00885B2D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2379B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per</w:t>
      </w:r>
      <w:r w:rsidR="006F3BD0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2379B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i </w:t>
      </w:r>
      <w:hyperlink r:id="rId11" w:tooltip="Dizionario Giuridico: Diritti disponibili ed indisponibili" w:history="1">
        <w:r w:rsidR="002379B1" w:rsidRPr="00DB28E5">
          <w:rPr>
            <w:rFonts w:ascii="Garamond" w:eastAsia="Times New Roman" w:hAnsi="Garamond" w:cs="Times New Roman"/>
            <w:sz w:val="28"/>
            <w:szCs w:val="28"/>
            <w:lang w:eastAsia="it-IT"/>
          </w:rPr>
          <w:t>diritti disponibili</w:t>
        </w:r>
      </w:hyperlink>
      <w:r w:rsidR="002379B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, anche </w:t>
      </w:r>
      <w:r w:rsidR="00AA2E03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da</w:t>
      </w:r>
      <w:r w:rsidR="008E330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l riconoscimento del diritto </w:t>
      </w:r>
      <w:r w:rsidR="002379B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da parte dell’obbligato </w:t>
      </w:r>
      <w:r w:rsidR="00885B2D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(comma 2)</w:t>
      </w:r>
      <w:r w:rsidR="00D524C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;</w:t>
      </w:r>
    </w:p>
    <w:p w:rsidR="00F45A7A" w:rsidRPr="00DB28E5" w:rsidRDefault="00096343" w:rsidP="001E0D44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4</w:t>
      </w:r>
      <w:r w:rsidR="00885B2D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) </w:t>
      </w:r>
      <w:r w:rsidR="00536F9E">
        <w:rPr>
          <w:rFonts w:ascii="Garamond" w:eastAsia="Times New Roman" w:hAnsi="Garamond" w:cs="Times New Roman"/>
          <w:sz w:val="28"/>
          <w:szCs w:val="28"/>
          <w:lang w:eastAsia="it-IT"/>
        </w:rPr>
        <w:t>può avere</w:t>
      </w:r>
      <w:r w:rsidR="00E95ACE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536F9E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fonte </w:t>
      </w:r>
      <w:r w:rsidR="0092032E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legale</w:t>
      </w:r>
      <w:r w:rsidR="00F45A7A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667C8A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o</w:t>
      </w:r>
      <w:r w:rsidR="00F45A7A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volontaria </w:t>
      </w:r>
      <w:r w:rsidR="00C21EA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(unilaterale </w:t>
      </w:r>
      <w:r w:rsidR="00F45A7A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o </w:t>
      </w:r>
      <w:r w:rsidR="0003465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pattizia</w:t>
      </w:r>
      <w:r w:rsidR="00C21EA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)</w:t>
      </w:r>
      <w:r w:rsidR="00ED069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, </w:t>
      </w:r>
      <w:r w:rsidR="0003465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ma</w:t>
      </w:r>
      <w:r w:rsidR="00C21EA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il</w:t>
      </w:r>
      <w:r w:rsidR="009E71A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1E0D44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patt</w:t>
      </w:r>
      <w:r w:rsidR="001E0C78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o </w:t>
      </w:r>
      <w:r w:rsidR="00F4539E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è nullo</w:t>
      </w:r>
      <w:r w:rsidR="009E71A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,</w:t>
      </w:r>
      <w:r w:rsidR="00F4539E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9E71A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s</w:t>
      </w:r>
      <w:r w:rsidR="00F4539E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e </w:t>
      </w:r>
      <w:r w:rsidR="00F261B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rend</w:t>
      </w:r>
      <w:r w:rsidR="009E71A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e</w:t>
      </w:r>
      <w:r w:rsidR="00F261B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C21EA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“</w:t>
      </w:r>
      <w:r w:rsidR="00F261B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eccessivamente difficile a una delle parti l’esercizio del diritto”</w:t>
      </w:r>
      <w:r w:rsidR="001E0C78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9C071E">
        <w:rPr>
          <w:rFonts w:ascii="Garamond" w:eastAsia="Times New Roman" w:hAnsi="Garamond" w:cs="Times New Roman"/>
          <w:sz w:val="28"/>
          <w:szCs w:val="28"/>
          <w:lang w:eastAsia="it-IT"/>
        </w:rPr>
        <w:t>(art. 2965</w:t>
      </w:r>
      <w:r w:rsidR="00C21EA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);</w:t>
      </w:r>
    </w:p>
    <w:p w:rsidR="00ED0695" w:rsidRPr="00DB28E5" w:rsidRDefault="00096343" w:rsidP="006F3BD0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5) </w:t>
      </w:r>
      <w:r w:rsidR="00536F9E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è immodificabile dalle parti </w:t>
      </w:r>
      <w:r w:rsidR="00536F9E">
        <w:rPr>
          <w:rFonts w:ascii="Garamond" w:eastAsia="Times New Roman" w:hAnsi="Garamond" w:cs="Times New Roman"/>
          <w:sz w:val="28"/>
          <w:szCs w:val="28"/>
          <w:lang w:eastAsia="it-IT"/>
        </w:rPr>
        <w:t>quanto al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la d</w:t>
      </w:r>
      <w:r w:rsidR="009C071E">
        <w:rPr>
          <w:rFonts w:ascii="Garamond" w:eastAsia="Times New Roman" w:hAnsi="Garamond" w:cs="Times New Roman"/>
          <w:sz w:val="28"/>
          <w:szCs w:val="28"/>
          <w:lang w:eastAsia="it-IT"/>
        </w:rPr>
        <w:t>isciplina legale (art. 2968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).</w:t>
      </w:r>
    </w:p>
    <w:p w:rsidR="009E03D3" w:rsidRPr="00DB28E5" w:rsidRDefault="00735602" w:rsidP="006227B7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>Accanto alla decadenza sostanziale</w:t>
      </w:r>
      <w:r w:rsidR="003108D2">
        <w:rPr>
          <w:rFonts w:ascii="Garamond" w:eastAsia="Times New Roman" w:hAnsi="Garamond" w:cs="Times New Roman"/>
          <w:sz w:val="28"/>
          <w:szCs w:val="28"/>
          <w:lang w:eastAsia="it-IT"/>
        </w:rPr>
        <w:t>, esiste poi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3108D2">
        <w:rPr>
          <w:rFonts w:ascii="Garamond" w:eastAsia="Times New Roman" w:hAnsi="Garamond" w:cs="Times New Roman"/>
          <w:sz w:val="28"/>
          <w:szCs w:val="28"/>
          <w:lang w:eastAsia="it-IT"/>
        </w:rPr>
        <w:t>l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a</w:t>
      </w:r>
      <w:r w:rsidR="009E71A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4D1B5D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decadenza processuale</w:t>
      </w:r>
      <w:r w:rsidR="00CE5F79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,</w:t>
      </w:r>
      <w:r w:rsidR="004F5899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182188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legata al decorso del tempo e </w:t>
      </w:r>
      <w:r w:rsidR="001D305A">
        <w:rPr>
          <w:rFonts w:ascii="Garamond" w:eastAsia="Times New Roman" w:hAnsi="Garamond" w:cs="Times New Roman"/>
          <w:sz w:val="28"/>
          <w:szCs w:val="28"/>
          <w:lang w:eastAsia="it-IT"/>
        </w:rPr>
        <w:t>regola</w:t>
      </w:r>
      <w:r w:rsidR="001D305A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ta </w:t>
      </w:r>
      <w:r w:rsidR="004F351B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dalla legge o da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atti de</w:t>
      </w:r>
      <w:r w:rsidR="004F351B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l giudice</w:t>
      </w:r>
      <w:r w:rsidR="004F351B" w:rsidRPr="00DB28E5">
        <w:rPr>
          <w:rStyle w:val="Rimandonotaapidipagina"/>
          <w:rFonts w:ascii="Garamond" w:eastAsia="Times New Roman" w:hAnsi="Garamond" w:cs="Times New Roman"/>
          <w:sz w:val="28"/>
          <w:szCs w:val="28"/>
          <w:lang w:eastAsia="it-IT"/>
        </w:rPr>
        <w:footnoteReference w:id="5"/>
      </w:r>
      <w:r w:rsidR="00CE5F79">
        <w:rPr>
          <w:rFonts w:ascii="Garamond" w:eastAsia="Times New Roman" w:hAnsi="Garamond" w:cs="Times New Roman"/>
          <w:sz w:val="28"/>
          <w:szCs w:val="28"/>
          <w:lang w:eastAsia="it-IT"/>
        </w:rPr>
        <w:t>,</w:t>
      </w:r>
      <w:r w:rsidR="004F351B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CE5F79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che </w:t>
      </w:r>
      <w:r w:rsidR="0092032E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rappresenta</w:t>
      </w:r>
      <w:r w:rsidR="004F351B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non </w:t>
      </w:r>
      <w:r w:rsidR="0002411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tanto </w:t>
      </w:r>
      <w:r w:rsidR="004F5899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una</w:t>
      </w:r>
      <w:r w:rsidR="004D1B5D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1E0C78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causa </w:t>
      </w:r>
      <w:r w:rsidR="004F351B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estintiva d</w:t>
      </w:r>
      <w:r w:rsidR="00C42DCF">
        <w:rPr>
          <w:rFonts w:ascii="Garamond" w:eastAsia="Times New Roman" w:hAnsi="Garamond" w:cs="Times New Roman"/>
          <w:sz w:val="28"/>
          <w:szCs w:val="28"/>
          <w:lang w:eastAsia="it-IT"/>
        </w:rPr>
        <w:t>i</w:t>
      </w:r>
      <w:r w:rsidR="004F351B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situazion</w:t>
      </w:r>
      <w:r w:rsidR="0092032E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i</w:t>
      </w:r>
      <w:r w:rsidR="004F351B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92685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giuridic</w:t>
      </w:r>
      <w:r w:rsidR="0092032E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he</w:t>
      </w:r>
      <w:r w:rsidR="0092685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4F351B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soggettiv</w:t>
      </w:r>
      <w:r w:rsidR="0092032E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e</w:t>
      </w:r>
      <w:r w:rsidR="004F351B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, </w:t>
      </w:r>
      <w:r w:rsidR="0092032E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qu</w:t>
      </w:r>
      <w:r w:rsidR="004F351B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a</w:t>
      </w:r>
      <w:r w:rsidR="0092032E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nto</w:t>
      </w:r>
      <w:r w:rsidR="004F351B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4F5899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una</w:t>
      </w:r>
      <w:r w:rsidR="004F351B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B20D73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preclusione</w:t>
      </w:r>
      <w:r w:rsidR="004F351B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a</w:t>
      </w:r>
      <w:r w:rsidR="00B10AE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lla</w:t>
      </w:r>
      <w:r w:rsidR="00C911A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tutela </w:t>
      </w:r>
      <w:r w:rsidR="004F5899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giurisdizionale</w:t>
      </w:r>
      <w:r w:rsidR="00D11EB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1D305A">
        <w:rPr>
          <w:rFonts w:ascii="Garamond" w:eastAsia="Times New Roman" w:hAnsi="Garamond" w:cs="Times New Roman"/>
          <w:sz w:val="28"/>
          <w:szCs w:val="28"/>
          <w:lang w:eastAsia="it-IT"/>
        </w:rPr>
        <w:t>dovuta</w:t>
      </w:r>
      <w:r w:rsidR="00D11EB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1D305A">
        <w:rPr>
          <w:rFonts w:ascii="Garamond" w:eastAsia="Times New Roman" w:hAnsi="Garamond" w:cs="Times New Roman"/>
          <w:sz w:val="28"/>
          <w:szCs w:val="28"/>
          <w:lang w:eastAsia="it-IT"/>
        </w:rPr>
        <w:t>al</w:t>
      </w:r>
      <w:r w:rsidR="00D11EB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l’</w:t>
      </w:r>
      <w:r w:rsidR="0092032E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inter</w:t>
      </w:r>
      <w:r w:rsidR="00D11EB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venuta </w:t>
      </w:r>
      <w:r w:rsidR="00D11EB6" w:rsidRPr="00DB28E5">
        <w:rPr>
          <w:rFonts w:ascii="Garamond" w:hAnsi="Garamond" w:cs="Times New Roman"/>
          <w:sz w:val="28"/>
          <w:szCs w:val="28"/>
        </w:rPr>
        <w:t>consumazione d’un</w:t>
      </w:r>
      <w:r w:rsidR="00C42DCF">
        <w:rPr>
          <w:rFonts w:ascii="Garamond" w:hAnsi="Garamond" w:cs="Times New Roman"/>
          <w:sz w:val="28"/>
          <w:szCs w:val="28"/>
        </w:rPr>
        <w:t xml:space="preserve"> potere</w:t>
      </w:r>
      <w:r w:rsidR="00D11EB6" w:rsidRPr="00DB28E5">
        <w:rPr>
          <w:rFonts w:ascii="Garamond" w:hAnsi="Garamond" w:cs="Times New Roman"/>
          <w:sz w:val="28"/>
          <w:szCs w:val="28"/>
        </w:rPr>
        <w:t xml:space="preserve"> processuale</w:t>
      </w:r>
      <w:r w:rsidR="00B20D73" w:rsidRPr="00DB28E5">
        <w:rPr>
          <w:rStyle w:val="Rimandonotaapidipagina"/>
          <w:rFonts w:ascii="Garamond" w:eastAsia="Times New Roman" w:hAnsi="Garamond" w:cs="Times New Roman"/>
          <w:sz w:val="28"/>
          <w:szCs w:val="28"/>
          <w:lang w:eastAsia="it-IT"/>
        </w:rPr>
        <w:footnoteReference w:id="6"/>
      </w:r>
      <w:r w:rsidR="009E03D3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.</w:t>
      </w:r>
    </w:p>
    <w:p w:rsidR="00C42DCF" w:rsidRPr="00DB28E5" w:rsidRDefault="00724C24" w:rsidP="00C42DCF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>La</w:t>
      </w:r>
      <w:r w:rsidR="00C42DC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decadenza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processuale</w:t>
      </w:r>
      <w:r w:rsidR="00735602">
        <w:rPr>
          <w:rFonts w:ascii="Garamond" w:eastAsia="Times New Roman" w:hAnsi="Garamond" w:cs="Times New Roman"/>
          <w:sz w:val="28"/>
          <w:szCs w:val="28"/>
          <w:lang w:eastAsia="it-IT"/>
        </w:rPr>
        <w:t>, se</w:t>
      </w:r>
      <w:r w:rsidR="00C42DC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costituisce la regola nel processo amministrativo di legittimità sull’interesse legittimo</w:t>
      </w:r>
      <w:r w:rsidR="00C42DCF" w:rsidRPr="00DB28E5">
        <w:rPr>
          <w:rStyle w:val="Rimandonotaapidipagina"/>
          <w:rFonts w:ascii="Garamond" w:eastAsia="Times New Roman" w:hAnsi="Garamond" w:cs="Times New Roman"/>
          <w:sz w:val="28"/>
          <w:szCs w:val="28"/>
          <w:lang w:eastAsia="it-IT"/>
        </w:rPr>
        <w:footnoteReference w:id="7"/>
      </w:r>
      <w:r w:rsidR="00C42DC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, non è infrequente ne</w:t>
      </w:r>
      <w:r w:rsidR="00735602">
        <w:rPr>
          <w:rFonts w:ascii="Garamond" w:eastAsia="Times New Roman" w:hAnsi="Garamond" w:cs="Times New Roman"/>
          <w:sz w:val="28"/>
          <w:szCs w:val="28"/>
          <w:lang w:eastAsia="it-IT"/>
        </w:rPr>
        <w:t>i</w:t>
      </w:r>
      <w:r w:rsidR="00C42DC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process</w:t>
      </w:r>
      <w:r w:rsidR="00735602">
        <w:rPr>
          <w:rFonts w:ascii="Garamond" w:eastAsia="Times New Roman" w:hAnsi="Garamond" w:cs="Times New Roman"/>
          <w:sz w:val="28"/>
          <w:szCs w:val="28"/>
          <w:lang w:eastAsia="it-IT"/>
        </w:rPr>
        <w:t>i</w:t>
      </w:r>
      <w:r w:rsidR="00C42DC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735602">
        <w:rPr>
          <w:rFonts w:ascii="Garamond" w:eastAsia="Times New Roman" w:hAnsi="Garamond" w:cs="Times New Roman"/>
          <w:sz w:val="28"/>
          <w:szCs w:val="28"/>
          <w:lang w:eastAsia="it-IT"/>
        </w:rPr>
        <w:t>di</w:t>
      </w:r>
      <w:r w:rsidR="00C42DC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diritto soggettivo, come, ad esempio,</w:t>
      </w:r>
      <w:r w:rsidR="00C42DCF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nel</w:t>
      </w:r>
      <w:r w:rsidR="00C42DC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l’</w:t>
      </w:r>
      <w:r w:rsidR="00C42DCF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impugnazione </w:t>
      </w:r>
      <w:r w:rsidR="00C42DC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delle delibere societarie (art. 2377, comma 6, c.c.) e condominiali (art. 1137 c.c.), </w:t>
      </w:r>
      <w:r w:rsidR="00C42DCF">
        <w:rPr>
          <w:rFonts w:ascii="Garamond" w:eastAsia="Times New Roman" w:hAnsi="Garamond" w:cs="Times New Roman"/>
          <w:sz w:val="28"/>
          <w:szCs w:val="28"/>
          <w:lang w:eastAsia="it-IT"/>
        </w:rPr>
        <w:t>nel</w:t>
      </w:r>
      <w:r w:rsidR="00C42DC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l’impugnazione del licenziamento (art. 6 della legge n. 604/1966), </w:t>
      </w:r>
      <w:r w:rsidR="00C42DCF">
        <w:rPr>
          <w:rFonts w:ascii="Garamond" w:eastAsia="Times New Roman" w:hAnsi="Garamond" w:cs="Times New Roman"/>
          <w:sz w:val="28"/>
          <w:szCs w:val="28"/>
          <w:lang w:eastAsia="it-IT"/>
        </w:rPr>
        <w:t>nel</w:t>
      </w:r>
      <w:r w:rsidR="00C42DC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l’opposizione a sanzione amministrativa (art. 22 della legge n. 686/1981), </w:t>
      </w:r>
      <w:r w:rsidR="00C42DCF">
        <w:rPr>
          <w:rFonts w:ascii="Garamond" w:eastAsia="Times New Roman" w:hAnsi="Garamond" w:cs="Times New Roman"/>
          <w:sz w:val="28"/>
          <w:szCs w:val="28"/>
          <w:lang w:eastAsia="it-IT"/>
        </w:rPr>
        <w:t>nel</w:t>
      </w:r>
      <w:r w:rsidR="00C42DC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l’opposizione alla stima definitiva dell’indennità di esproprio dinanzi alla Corte d’appello (art. 54 del D.P.R. n. 327/2001), </w:t>
      </w:r>
      <w:r w:rsidR="00C42DCF">
        <w:rPr>
          <w:rFonts w:ascii="Garamond" w:eastAsia="Times New Roman" w:hAnsi="Garamond" w:cs="Times New Roman"/>
          <w:sz w:val="28"/>
          <w:szCs w:val="28"/>
          <w:lang w:eastAsia="it-IT"/>
        </w:rPr>
        <w:t>nel</w:t>
      </w:r>
      <w:r w:rsidR="00C42DC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la </w:t>
      </w:r>
      <w:r w:rsidR="00C42DCF">
        <w:rPr>
          <w:rFonts w:ascii="Garamond" w:eastAsia="Times New Roman" w:hAnsi="Garamond" w:cs="Times New Roman"/>
          <w:sz w:val="28"/>
          <w:szCs w:val="28"/>
          <w:lang w:eastAsia="it-IT"/>
        </w:rPr>
        <w:t>domanda</w:t>
      </w:r>
      <w:r w:rsidR="00C42DC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di prestazioni previdenziali (art. 47, commi 2 e 3, del D.P.R. n. 639/1970) o </w:t>
      </w:r>
      <w:r w:rsidR="00C42DCF">
        <w:rPr>
          <w:rFonts w:ascii="Garamond" w:eastAsia="Times New Roman" w:hAnsi="Garamond" w:cs="Times New Roman"/>
          <w:sz w:val="28"/>
          <w:szCs w:val="28"/>
          <w:lang w:eastAsia="it-IT"/>
        </w:rPr>
        <w:t>nell</w:t>
      </w:r>
      <w:r w:rsidR="00C42DC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a </w:t>
      </w:r>
      <w:r w:rsidR="00C42DCF">
        <w:rPr>
          <w:rFonts w:ascii="Garamond" w:eastAsia="Times New Roman" w:hAnsi="Garamond" w:cs="Times New Roman"/>
          <w:sz w:val="28"/>
          <w:szCs w:val="28"/>
          <w:lang w:eastAsia="it-IT"/>
        </w:rPr>
        <w:t>domanda</w:t>
      </w:r>
      <w:r w:rsidR="00C42DC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C42DCF">
        <w:rPr>
          <w:rFonts w:ascii="Garamond" w:eastAsia="Times New Roman" w:hAnsi="Garamond" w:cs="Times New Roman"/>
          <w:sz w:val="28"/>
          <w:szCs w:val="28"/>
          <w:lang w:eastAsia="it-IT"/>
        </w:rPr>
        <w:t>di</w:t>
      </w:r>
      <w:r w:rsidR="00C42DC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risarcimento per lesione di interessi legittimi (art. 30, comma 3, c.p.a.).</w:t>
      </w:r>
    </w:p>
    <w:p w:rsidR="00C911A1" w:rsidRPr="00DB28E5" w:rsidRDefault="00CA309A" w:rsidP="00FB1A27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>I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l legislatore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,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difatti</w:t>
      </w:r>
      <w:r w:rsidR="00C42DCF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, 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gode di ampia discrezionalità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C42DCF">
        <w:rPr>
          <w:rFonts w:ascii="Garamond" w:eastAsia="Times New Roman" w:hAnsi="Garamond" w:cs="Times New Roman"/>
          <w:sz w:val="28"/>
          <w:szCs w:val="28"/>
          <w:lang w:eastAsia="it-IT"/>
        </w:rPr>
        <w:t>n</w:t>
      </w:r>
      <w:r w:rsidR="003D59C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el </w:t>
      </w:r>
      <w:r w:rsidR="0092032E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prevede</w:t>
      </w:r>
      <w:r w:rsidR="00F4539E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re </w:t>
      </w:r>
      <w:r w:rsidR="0092032E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fattispecie</w:t>
      </w:r>
      <w:r w:rsidR="003D59C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di decadenza processuale, </w:t>
      </w:r>
      <w:r w:rsidR="00CF3F9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incontrando</w:t>
      </w:r>
      <w:r w:rsidR="006762CA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141FE4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i</w:t>
      </w:r>
      <w:r w:rsidR="006762CA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l</w:t>
      </w:r>
      <w:r w:rsidR="00141FE4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CF3F9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solo limite della salvaguardia del </w:t>
      </w:r>
      <w:r w:rsidR="00141FE4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nucleo minimo d</w:t>
      </w:r>
      <w:r w:rsidR="00CF3F9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i</w:t>
      </w:r>
      <w:r w:rsidR="006762CA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garanzie </w:t>
      </w:r>
      <w:r w:rsidR="00C42DCF">
        <w:rPr>
          <w:rFonts w:ascii="Garamond" w:eastAsia="Times New Roman" w:hAnsi="Garamond" w:cs="Times New Roman"/>
          <w:sz w:val="28"/>
          <w:szCs w:val="28"/>
          <w:lang w:eastAsia="it-IT"/>
        </w:rPr>
        <w:t>rientranti ne</w:t>
      </w:r>
      <w:r w:rsidR="006762CA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l </w:t>
      </w:r>
      <w:r w:rsidR="00C42DCF">
        <w:rPr>
          <w:rFonts w:ascii="Garamond" w:eastAsia="Times New Roman" w:hAnsi="Garamond" w:cs="Times New Roman"/>
          <w:sz w:val="28"/>
          <w:szCs w:val="28"/>
          <w:lang w:eastAsia="it-IT"/>
        </w:rPr>
        <w:t>“</w:t>
      </w:r>
      <w:r w:rsidR="006762CA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giusto processo</w:t>
      </w:r>
      <w:r w:rsidR="00C42DCF">
        <w:rPr>
          <w:rFonts w:ascii="Garamond" w:eastAsia="Times New Roman" w:hAnsi="Garamond" w:cs="Times New Roman"/>
          <w:sz w:val="28"/>
          <w:szCs w:val="28"/>
          <w:lang w:eastAsia="it-IT"/>
        </w:rPr>
        <w:t>”</w:t>
      </w:r>
      <w:r w:rsidR="009E03D3" w:rsidRPr="00DB28E5">
        <w:rPr>
          <w:rStyle w:val="Rimandonotaapidipagina"/>
          <w:rFonts w:ascii="Garamond" w:eastAsia="Times New Roman" w:hAnsi="Garamond" w:cs="Times New Roman"/>
          <w:sz w:val="28"/>
          <w:szCs w:val="28"/>
          <w:lang w:eastAsia="it-IT"/>
        </w:rPr>
        <w:footnoteReference w:id="8"/>
      </w:r>
      <w:r w:rsidR="00C911A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.</w:t>
      </w:r>
    </w:p>
    <w:p w:rsidR="00984EA4" w:rsidRPr="00DB28E5" w:rsidRDefault="00984EA4" w:rsidP="00D23B7A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:rsidR="00CE5719" w:rsidRPr="00DB28E5" w:rsidRDefault="00CE5719" w:rsidP="006D4C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it-IT"/>
        </w:rPr>
      </w:pPr>
      <w:r w:rsidRPr="00DB28E5">
        <w:rPr>
          <w:rFonts w:ascii="Garamond" w:eastAsia="Times New Roman" w:hAnsi="Garamond" w:cs="Times New Roman"/>
          <w:b/>
          <w:sz w:val="28"/>
          <w:szCs w:val="28"/>
          <w:lang w:eastAsia="it-IT"/>
        </w:rPr>
        <w:t>Le applicazioni amministrative</w:t>
      </w:r>
      <w:r w:rsidR="006D4C48" w:rsidRPr="00DB28E5">
        <w:rPr>
          <w:rFonts w:ascii="Garamond" w:eastAsia="Times New Roman" w:hAnsi="Garamond" w:cs="Times New Roman"/>
          <w:b/>
          <w:sz w:val="28"/>
          <w:szCs w:val="28"/>
          <w:lang w:eastAsia="it-IT"/>
        </w:rPr>
        <w:t>.</w:t>
      </w:r>
    </w:p>
    <w:p w:rsidR="002D05BA" w:rsidRPr="00DB28E5" w:rsidRDefault="002D05BA" w:rsidP="00CE571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Come nel diritto civile, anche nel diritto amministrativo la decadenza </w:t>
      </w:r>
      <w:r w:rsidR="0012126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può avere natura 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sostanziale e processuale.</w:t>
      </w:r>
    </w:p>
    <w:p w:rsidR="0012126F" w:rsidRPr="00DB28E5" w:rsidRDefault="004B7D04" w:rsidP="006D4C48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>L</w:t>
      </w:r>
      <w:r w:rsidR="002D05BA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a decadenza </w:t>
      </w:r>
      <w:r w:rsidR="0012126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sostanziale</w:t>
      </w:r>
      <w:r w:rsidR="00866BB7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ha un</w:t>
      </w:r>
      <w:r w:rsidR="00474632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a</w:t>
      </w:r>
      <w:r w:rsidR="00866BB7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474632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conformazione</w:t>
      </w:r>
      <w:r w:rsidR="00866BB7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duplice, </w:t>
      </w:r>
      <w:r w:rsidR="0012126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c</w:t>
      </w:r>
      <w:r w:rsidR="009B6A08">
        <w:rPr>
          <w:rFonts w:ascii="Garamond" w:eastAsia="Times New Roman" w:hAnsi="Garamond" w:cs="Times New Roman"/>
          <w:sz w:val="28"/>
          <w:szCs w:val="28"/>
          <w:lang w:eastAsia="it-IT"/>
        </w:rPr>
        <w:t>onfigur</w:t>
      </w:r>
      <w:r w:rsidR="0012126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a</w:t>
      </w:r>
      <w:r w:rsidR="009B6A08">
        <w:rPr>
          <w:rFonts w:ascii="Garamond" w:eastAsia="Times New Roman" w:hAnsi="Garamond" w:cs="Times New Roman"/>
          <w:sz w:val="28"/>
          <w:szCs w:val="28"/>
          <w:lang w:eastAsia="it-IT"/>
        </w:rPr>
        <w:t>ndosi</w:t>
      </w:r>
      <w:r w:rsidR="0012126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come reazione</w:t>
      </w:r>
      <w:r w:rsidR="00866BB7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12126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d</w:t>
      </w:r>
      <w:r w:rsidR="00460CA3">
        <w:rPr>
          <w:rFonts w:ascii="Garamond" w:eastAsia="Times New Roman" w:hAnsi="Garamond" w:cs="Times New Roman"/>
          <w:sz w:val="28"/>
          <w:szCs w:val="28"/>
          <w:lang w:eastAsia="it-IT"/>
        </w:rPr>
        <w:t>e</w:t>
      </w:r>
      <w:r w:rsidR="0012126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ll’ordinamento</w:t>
      </w:r>
      <w:r w:rsidR="009B6A08">
        <w:rPr>
          <w:rFonts w:ascii="Garamond" w:eastAsia="Times New Roman" w:hAnsi="Garamond" w:cs="Times New Roman"/>
          <w:sz w:val="28"/>
          <w:szCs w:val="28"/>
          <w:lang w:eastAsia="it-IT"/>
        </w:rPr>
        <w:t>,</w:t>
      </w:r>
      <w:r w:rsidR="0012126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866BB7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vuoi</w:t>
      </w:r>
      <w:r w:rsidR="0012126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a</w:t>
      </w:r>
      <w:r w:rsidR="00E43F7A">
        <w:rPr>
          <w:rFonts w:ascii="Garamond" w:eastAsia="Times New Roman" w:hAnsi="Garamond" w:cs="Times New Roman"/>
          <w:sz w:val="28"/>
          <w:szCs w:val="28"/>
          <w:lang w:eastAsia="it-IT"/>
        </w:rPr>
        <w:t>ll’inutile decors</w:t>
      </w:r>
      <w:r w:rsidR="0012126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o </w:t>
      </w:r>
      <w:r w:rsidR="00E43F7A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del tempo </w:t>
      </w:r>
      <w:r w:rsidR="00E43F7A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(c.d. decadenza </w:t>
      </w:r>
      <w:r w:rsidR="00E43F7A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da </w:t>
      </w:r>
      <w:r w:rsidR="00D23B7A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inerzia</w:t>
      </w:r>
      <w:r w:rsidR="00E43F7A">
        <w:rPr>
          <w:rFonts w:ascii="Garamond" w:eastAsia="Times New Roman" w:hAnsi="Garamond" w:cs="Times New Roman"/>
          <w:sz w:val="28"/>
          <w:szCs w:val="28"/>
          <w:lang w:eastAsia="it-IT"/>
        </w:rPr>
        <w:t>)</w:t>
      </w:r>
      <w:r w:rsidR="0012126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, </w:t>
      </w:r>
      <w:r w:rsidR="00866BB7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vuoi</w:t>
      </w:r>
      <w:r w:rsidR="0012126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a</w:t>
      </w:r>
      <w:r w:rsidR="00866BB7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ll</w:t>
      </w:r>
      <w:r w:rsidR="0012126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a violazione di regole di condotta</w:t>
      </w:r>
      <w:r w:rsidR="007754E3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(c.d. decadenza sanzionatoria)</w:t>
      </w:r>
      <w:r w:rsidR="0012126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.</w:t>
      </w:r>
    </w:p>
    <w:p w:rsidR="003569C4" w:rsidRPr="00DB28E5" w:rsidRDefault="003569C4" w:rsidP="002506F0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Ambedue</w:t>
      </w:r>
      <w:r w:rsidR="00866BB7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i tipi 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di decadenza amministrativa </w:t>
      </w:r>
      <w:r w:rsidR="00866BB7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sono accomunati dalla </w:t>
      </w:r>
      <w:r w:rsidR="004B7D04">
        <w:rPr>
          <w:rFonts w:ascii="Garamond" w:eastAsia="Times New Roman" w:hAnsi="Garamond" w:cs="Times New Roman"/>
          <w:sz w:val="28"/>
          <w:szCs w:val="28"/>
          <w:lang w:eastAsia="it-IT"/>
        </w:rPr>
        <w:t>medesim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a </w:t>
      </w:r>
      <w:r w:rsidR="00866BB7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funzione di tutela dell’interesse pubblico alla certezza ed alla regolarità dei rapporti amministrativi, ma so</w:t>
      </w:r>
      <w:r w:rsidR="0012126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l</w:t>
      </w:r>
      <w:r w:rsidR="00866BB7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o il</w:t>
      </w:r>
      <w:r w:rsidR="00112228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primo tipo </w:t>
      </w:r>
      <w:r w:rsidR="00866BB7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è affine alla decadenza civile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,</w:t>
      </w:r>
      <w:r w:rsidR="00866BB7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112228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matura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ndo</w:t>
      </w:r>
      <w:r w:rsidR="0012126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a</w:t>
      </w:r>
      <w:r w:rsidR="00584DF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l </w:t>
      </w:r>
      <w:r w:rsidR="004B7D04" w:rsidRPr="004B7D04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consumarsi </w:t>
      </w:r>
      <w:r w:rsidR="00584DF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di un termine perentorio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.</w:t>
      </w:r>
    </w:p>
    <w:p w:rsidR="00FA1FE4" w:rsidRPr="00DB28E5" w:rsidRDefault="007754E3" w:rsidP="002506F0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>La</w:t>
      </w:r>
      <w:r w:rsidR="003569C4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decadenza</w:t>
      </w:r>
      <w:r w:rsidR="00584DF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da inerzia </w:t>
      </w:r>
      <w:r w:rsidR="00584DF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determina</w:t>
      </w:r>
      <w:r w:rsidR="00866BB7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, a</w:t>
      </w:r>
      <w:r w:rsidR="003569C4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seconda dei casi</w:t>
      </w:r>
      <w:r w:rsidR="00FA1FE4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:</w:t>
      </w:r>
    </w:p>
    <w:p w:rsidR="00FA1FE4" w:rsidRPr="00DB28E5" w:rsidRDefault="001E2272" w:rsidP="002506F0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a</w:t>
      </w:r>
      <w:r w:rsidR="00FA1FE4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) </w:t>
      </w:r>
      <w:r w:rsidR="00584DF6" w:rsidRPr="006512EE">
        <w:rPr>
          <w:rFonts w:ascii="Garamond" w:eastAsia="Times New Roman" w:hAnsi="Garamond" w:cs="Times New Roman"/>
          <w:sz w:val="28"/>
          <w:szCs w:val="28"/>
          <w:lang w:eastAsia="it-IT"/>
        </w:rPr>
        <w:t>l’</w:t>
      </w:r>
      <w:r w:rsidR="00FA1FE4" w:rsidRPr="006512EE">
        <w:rPr>
          <w:rFonts w:ascii="Garamond" w:eastAsia="Times New Roman" w:hAnsi="Garamond" w:cs="Times New Roman"/>
          <w:sz w:val="28"/>
          <w:szCs w:val="28"/>
          <w:lang w:eastAsia="it-IT"/>
        </w:rPr>
        <w:t>estinzione di facoltà procedimental</w:t>
      </w:r>
      <w:r w:rsidR="00866BB7" w:rsidRPr="006512EE">
        <w:rPr>
          <w:rFonts w:ascii="Garamond" w:eastAsia="Times New Roman" w:hAnsi="Garamond" w:cs="Times New Roman"/>
          <w:sz w:val="28"/>
          <w:szCs w:val="28"/>
          <w:lang w:eastAsia="it-IT"/>
        </w:rPr>
        <w:t>i</w:t>
      </w:r>
      <w:r w:rsidR="00E43F7A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del privato</w:t>
      </w:r>
      <w:r w:rsidR="00FA1FE4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, </w:t>
      </w:r>
      <w:r w:rsidR="00584DF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qual</w:t>
      </w:r>
      <w:r w:rsidR="00866BB7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i</w:t>
      </w:r>
      <w:r w:rsidR="00112228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, ad esempio,</w:t>
      </w:r>
      <w:r w:rsidR="00584DF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FA1FE4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la partecipazione ad una selezione pubblica (concorso, bando di gara, bando per erogazione di contributi, </w:t>
      </w:r>
      <w:proofErr w:type="spellStart"/>
      <w:r w:rsidR="00FA1FE4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ecc</w:t>
      </w:r>
      <w:proofErr w:type="spellEnd"/>
      <w:r w:rsidR="00FA1FE4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…) </w:t>
      </w:r>
      <w:r w:rsidR="00584DF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o la produ</w:t>
      </w:r>
      <w:r w:rsidR="00D4725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zion</w:t>
      </w:r>
      <w:r w:rsidR="00584DF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e</w:t>
      </w:r>
      <w:r w:rsidR="00D4725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di</w:t>
      </w:r>
      <w:r w:rsidR="00584DF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memorie e documenti (art. 10-</w:t>
      </w:r>
      <w:r w:rsidR="00584DF6" w:rsidRPr="00DB28E5">
        <w:rPr>
          <w:rFonts w:ascii="Garamond" w:eastAsia="Times New Roman" w:hAnsi="Garamond" w:cs="Times New Roman"/>
          <w:i/>
          <w:sz w:val="28"/>
          <w:szCs w:val="28"/>
          <w:lang w:eastAsia="it-IT"/>
        </w:rPr>
        <w:t>bis</w:t>
      </w:r>
      <w:r w:rsidR="00584DF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, comma 3, della legge n. 241/1990</w:t>
      </w:r>
      <w:r w:rsidR="00291BA8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; art. 18</w:t>
      </w:r>
      <w:r w:rsidR="0002411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, comma 1,</w:t>
      </w:r>
      <w:r w:rsidR="00291BA8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della legge n. 689/1981</w:t>
      </w:r>
      <w:r w:rsidR="00584DF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);</w:t>
      </w:r>
    </w:p>
    <w:p w:rsidR="00FA1FE4" w:rsidRPr="00DB28E5" w:rsidRDefault="001E2272" w:rsidP="006D4C48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b</w:t>
      </w:r>
      <w:r w:rsidR="00FA1FE4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) </w:t>
      </w:r>
      <w:r w:rsidR="00584DF6" w:rsidRPr="006512EE">
        <w:rPr>
          <w:rFonts w:ascii="Garamond" w:eastAsia="Times New Roman" w:hAnsi="Garamond" w:cs="Times New Roman"/>
          <w:sz w:val="28"/>
          <w:szCs w:val="28"/>
          <w:lang w:eastAsia="it-IT"/>
        </w:rPr>
        <w:t>l</w:t>
      </w:r>
      <w:r w:rsidR="003569C4" w:rsidRPr="006512EE">
        <w:rPr>
          <w:rFonts w:ascii="Garamond" w:eastAsia="Times New Roman" w:hAnsi="Garamond" w:cs="Times New Roman"/>
          <w:sz w:val="28"/>
          <w:szCs w:val="28"/>
          <w:lang w:eastAsia="it-IT"/>
        </w:rPr>
        <w:t>a preclus</w:t>
      </w:r>
      <w:r w:rsidR="00FA1FE4" w:rsidRPr="006512EE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ione </w:t>
      </w:r>
      <w:r w:rsidR="00E43F7A">
        <w:rPr>
          <w:rFonts w:ascii="Garamond" w:eastAsia="Times New Roman" w:hAnsi="Garamond" w:cs="Times New Roman"/>
          <w:sz w:val="28"/>
          <w:szCs w:val="28"/>
          <w:lang w:eastAsia="it-IT"/>
        </w:rPr>
        <w:t>de</w:t>
      </w:r>
      <w:r w:rsidR="003569C4" w:rsidRPr="006512EE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ll’adozione </w:t>
      </w:r>
      <w:r w:rsidR="00FA1FE4" w:rsidRPr="006512EE">
        <w:rPr>
          <w:rFonts w:ascii="Garamond" w:eastAsia="Times New Roman" w:hAnsi="Garamond" w:cs="Times New Roman"/>
          <w:sz w:val="28"/>
          <w:szCs w:val="28"/>
          <w:lang w:eastAsia="it-IT"/>
        </w:rPr>
        <w:t>d</w:t>
      </w:r>
      <w:r w:rsidR="00112228" w:rsidRPr="006512EE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i </w:t>
      </w:r>
      <w:r w:rsidR="003569C4" w:rsidRPr="006512EE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provvedimenti </w:t>
      </w:r>
      <w:r w:rsidR="00584DF6" w:rsidRPr="006512EE">
        <w:rPr>
          <w:rFonts w:ascii="Garamond" w:eastAsia="Times New Roman" w:hAnsi="Garamond" w:cs="Times New Roman"/>
          <w:sz w:val="28"/>
          <w:szCs w:val="28"/>
          <w:lang w:eastAsia="it-IT"/>
        </w:rPr>
        <w:t>a</w:t>
      </w:r>
      <w:r w:rsidR="00866BB7" w:rsidRPr="006512EE">
        <w:rPr>
          <w:rFonts w:ascii="Garamond" w:eastAsia="Times New Roman" w:hAnsi="Garamond" w:cs="Times New Roman"/>
          <w:sz w:val="28"/>
          <w:szCs w:val="28"/>
          <w:lang w:eastAsia="it-IT"/>
        </w:rPr>
        <w:t>utoritativi</w:t>
      </w:r>
      <w:r w:rsidR="00584DF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, </w:t>
      </w:r>
      <w:r w:rsidR="003569C4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quali, ad esempio, </w:t>
      </w:r>
      <w:r w:rsidR="002061D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l’annullamento d’ufficio del provvedimento illegittimo (art. 21-</w:t>
      </w:r>
      <w:r w:rsidR="002061DC" w:rsidRPr="00DB28E5">
        <w:rPr>
          <w:rFonts w:ascii="Garamond" w:eastAsia="Times New Roman" w:hAnsi="Garamond" w:cs="Times New Roman"/>
          <w:i/>
          <w:sz w:val="28"/>
          <w:szCs w:val="28"/>
          <w:lang w:eastAsia="it-IT"/>
        </w:rPr>
        <w:t>nonies</w:t>
      </w:r>
      <w:r w:rsidR="002061D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della legge n. 241</w:t>
      </w:r>
      <w:r w:rsidR="00115EFB">
        <w:rPr>
          <w:rFonts w:ascii="Garamond" w:eastAsia="Times New Roman" w:hAnsi="Garamond" w:cs="Times New Roman"/>
          <w:sz w:val="28"/>
          <w:szCs w:val="28"/>
          <w:lang w:eastAsia="it-IT"/>
        </w:rPr>
        <w:t>/</w:t>
      </w:r>
      <w:r w:rsidR="002061D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1990), </w:t>
      </w:r>
      <w:r w:rsidR="00DF4B79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il divieto</w:t>
      </w:r>
      <w:r w:rsidR="00584DF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di prosecuzione dell’attività </w:t>
      </w:r>
      <w:r w:rsidR="00385FC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oggetto di</w:t>
      </w:r>
      <w:r w:rsidR="00584DF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SCIA</w:t>
      </w:r>
      <w:r w:rsidR="00DF4B79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(</w:t>
      </w:r>
      <w:r w:rsidR="00584DF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art. 19, comma 3, della legge n. 241/1990)</w:t>
      </w:r>
      <w:r w:rsidR="00D4725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,</w:t>
      </w:r>
      <w:r w:rsidR="004376DB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DF4B79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il </w:t>
      </w:r>
      <w:r w:rsidR="004376DB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decreto di espropri</w:t>
      </w:r>
      <w:r w:rsidR="00385FC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o</w:t>
      </w:r>
      <w:r w:rsidR="004376DB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DF4B79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(</w:t>
      </w:r>
      <w:r w:rsidR="008A064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art. 13 del D.P.R. n. 327/2001</w:t>
      </w:r>
      <w:r w:rsidR="00DF4B79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, </w:t>
      </w:r>
      <w:r w:rsidR="003569C4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alla</w:t>
      </w:r>
      <w:r w:rsidR="00DF4B79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scadenza </w:t>
      </w:r>
      <w:r w:rsidR="003569C4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dei termini </w:t>
      </w:r>
      <w:r w:rsidR="00DF4B79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d</w:t>
      </w:r>
      <w:r w:rsidR="003569C4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i durata d</w:t>
      </w:r>
      <w:r w:rsidR="00DF4B79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el vincolo preordinato all’esproprio o della dic</w:t>
      </w:r>
      <w:r w:rsidR="00667C8A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hiarazione di pubblica utilità)</w:t>
      </w:r>
      <w:r w:rsidR="00DF4B79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ovvero </w:t>
      </w:r>
      <w:r w:rsidR="007754E3">
        <w:rPr>
          <w:rFonts w:ascii="Garamond" w:eastAsia="Times New Roman" w:hAnsi="Garamond" w:cs="Times New Roman"/>
          <w:sz w:val="28"/>
          <w:szCs w:val="28"/>
          <w:lang w:eastAsia="it-IT"/>
        </w:rPr>
        <w:t>la</w:t>
      </w:r>
      <w:r w:rsidR="00DF4B79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385FC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rinnova</w:t>
      </w:r>
      <w:r w:rsidR="00D4725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zion</w:t>
      </w:r>
      <w:r w:rsidR="00DF4B79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e </w:t>
      </w:r>
      <w:r w:rsidR="00D4725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de</w:t>
      </w:r>
      <w:r w:rsidR="00385FC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l procedimento disciplinare annullato in sede giurisdizionale</w:t>
      </w:r>
      <w:r w:rsidR="00DF4B79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(art. 119 del D.P.R. n. 3/1957)</w:t>
      </w:r>
      <w:r w:rsidR="00584DF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;</w:t>
      </w:r>
    </w:p>
    <w:p w:rsidR="00FA1FE4" w:rsidRPr="00DB28E5" w:rsidRDefault="001E2272" w:rsidP="00112228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c</w:t>
      </w:r>
      <w:r w:rsidR="00FA1FE4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) </w:t>
      </w:r>
      <w:r w:rsidR="00D47251" w:rsidRPr="006512EE">
        <w:rPr>
          <w:rFonts w:ascii="Garamond" w:eastAsia="Times New Roman" w:hAnsi="Garamond" w:cs="Times New Roman"/>
          <w:sz w:val="28"/>
          <w:szCs w:val="28"/>
          <w:lang w:eastAsia="it-IT"/>
        </w:rPr>
        <w:t>la</w:t>
      </w:r>
      <w:r w:rsidR="00FA1FE4" w:rsidRPr="006512EE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cessazione dell’efficacia di provvediment</w:t>
      </w:r>
      <w:r w:rsidR="00A3366B" w:rsidRPr="006512EE">
        <w:rPr>
          <w:rFonts w:ascii="Garamond" w:eastAsia="Times New Roman" w:hAnsi="Garamond" w:cs="Times New Roman"/>
          <w:sz w:val="28"/>
          <w:szCs w:val="28"/>
          <w:lang w:eastAsia="it-IT"/>
        </w:rPr>
        <w:t>i</w:t>
      </w:r>
      <w:r w:rsidR="00DF4B79" w:rsidRPr="006512EE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già emanat</w:t>
      </w:r>
      <w:r w:rsidR="00A3366B" w:rsidRPr="006512EE">
        <w:rPr>
          <w:rFonts w:ascii="Garamond" w:eastAsia="Times New Roman" w:hAnsi="Garamond" w:cs="Times New Roman"/>
          <w:sz w:val="28"/>
          <w:szCs w:val="28"/>
          <w:lang w:eastAsia="it-IT"/>
        </w:rPr>
        <w:t>i</w:t>
      </w:r>
      <w:r w:rsidR="00DF4B79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, </w:t>
      </w:r>
      <w:r w:rsidR="0010284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qual</w:t>
      </w:r>
      <w:r w:rsidR="00A3366B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i</w:t>
      </w:r>
      <w:r w:rsidR="003569C4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, ad esempio,</w:t>
      </w:r>
      <w:r w:rsidR="00DF4B79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il permesso di costruire</w:t>
      </w:r>
      <w:r w:rsidR="00112228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00745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(</w:t>
      </w:r>
      <w:r w:rsidR="00DF4B79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art. 15 del D.P.R. n. 380/2001</w:t>
      </w:r>
      <w:r w:rsidR="00667C8A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, per l’inutile decorso del termine di inizio o di ultimazione dei lavori</w:t>
      </w:r>
      <w:r w:rsidR="00DF4B79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)</w:t>
      </w:r>
      <w:r w:rsidR="0000745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o </w:t>
      </w:r>
      <w:r w:rsidR="009F233D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il decreto di assunzione</w:t>
      </w:r>
      <w:r w:rsidR="00112228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9F233D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(art. 127, lett. c</w:t>
      </w:r>
      <w:r w:rsidR="00112228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,</w:t>
      </w:r>
      <w:r w:rsidR="009F233D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del D.P.R. n. 3/1957</w:t>
      </w:r>
      <w:r w:rsidR="00605BA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, riguardo all’impiegato in regime pubblicistico che, “senza giustificato motivo, non assuma o non riassuma servizio entro il termine prefissogli, ovvero rimanga assente dall’ufficio per un periodo non inferiore a quindici giorni”</w:t>
      </w:r>
      <w:r w:rsidR="00F00F7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).</w:t>
      </w:r>
    </w:p>
    <w:p w:rsidR="002D05BA" w:rsidRPr="00DB28E5" w:rsidRDefault="002D05BA" w:rsidP="002506F0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lastRenderedPageBreak/>
        <w:t xml:space="preserve">In tal senso, la decadenza </w:t>
      </w:r>
      <w:r w:rsidR="006512EE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– e questo vale certamente per le ipotesi di cui alle precedenti lettere b) e c) – </w:t>
      </w:r>
      <w:r w:rsidR="00605BA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è stata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definita “l’estinzione di un potere di modificazione giuridica per non averlo esercitato entro il termine”</w:t>
      </w:r>
      <w:r w:rsidR="0012126F" w:rsidRPr="00DB28E5">
        <w:rPr>
          <w:rStyle w:val="Rimandonotaapidipagina"/>
          <w:rFonts w:ascii="Garamond" w:eastAsia="Times New Roman" w:hAnsi="Garamond" w:cs="Times New Roman"/>
          <w:sz w:val="28"/>
          <w:szCs w:val="28"/>
          <w:lang w:eastAsia="it-IT"/>
        </w:rPr>
        <w:footnoteReference w:id="9"/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.</w:t>
      </w:r>
    </w:p>
    <w:p w:rsidR="00F00F7C" w:rsidRPr="00DB28E5" w:rsidRDefault="007754E3" w:rsidP="003569C4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>L’altr</w:t>
      </w:r>
      <w:r w:rsidR="0012126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o t</w:t>
      </w:r>
      <w:r w:rsidR="0010284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ip</w:t>
      </w:r>
      <w:r w:rsidR="0012126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o</w:t>
      </w:r>
      <w:r w:rsidR="0010284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di</w:t>
      </w:r>
      <w:r w:rsidR="0012126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decadenza assume</w:t>
      </w:r>
      <w:r w:rsidR="003569C4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, invece,</w:t>
      </w:r>
      <w:r w:rsidR="0012126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una valenza </w:t>
      </w:r>
      <w:r w:rsidR="00F00F7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sanzionat</w:t>
      </w:r>
      <w:r w:rsidR="0012126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oria</w:t>
      </w:r>
      <w:r w:rsidR="0010284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non correlata al decorso del tempo e, quindi, esorbita dall’alveo civilistico dell’istituto</w:t>
      </w:r>
      <w:r w:rsidR="00F00F7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.</w:t>
      </w:r>
    </w:p>
    <w:p w:rsidR="00F00F7C" w:rsidRPr="00DB28E5" w:rsidRDefault="0012126F" w:rsidP="002506F0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Ne sono </w:t>
      </w:r>
      <w:r w:rsidR="001A15EF">
        <w:rPr>
          <w:rFonts w:ascii="Garamond" w:eastAsia="Times New Roman" w:hAnsi="Garamond" w:cs="Times New Roman"/>
          <w:sz w:val="28"/>
          <w:szCs w:val="28"/>
          <w:lang w:eastAsia="it-IT"/>
        </w:rPr>
        <w:t>esempio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F00F7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la decadenza della concessione demaniale marittima (art. 47 cod. </w:t>
      </w:r>
      <w:proofErr w:type="spellStart"/>
      <w:r w:rsidR="00F00F7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nav</w:t>
      </w:r>
      <w:proofErr w:type="spellEnd"/>
      <w:r w:rsidR="00F00F7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.)</w:t>
      </w:r>
      <w:r w:rsidR="00F8014A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,</w:t>
      </w:r>
      <w:r w:rsidR="00F00F7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la decadenza dall’impiego in regime pubblicistico</w:t>
      </w:r>
      <w:r w:rsidR="00F8014A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(art. 127 del D.P.R. n. 3</w:t>
      </w:r>
      <w:r w:rsidR="00357AD8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/1957), la decadenza dal</w:t>
      </w:r>
      <w:r w:rsidR="00F8014A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contributo (art. 1, comma 5, del D.lgs. n. 50/2016)</w:t>
      </w:r>
      <w:r w:rsidR="009E7754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,</w:t>
      </w:r>
      <w:r w:rsidR="00F8014A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la decadenza dall’affidamento di un incanto (art. 103</w:t>
      </w:r>
      <w:r w:rsidR="00447EE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, comma 3</w:t>
      </w:r>
      <w:r w:rsidR="00F8014A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e 144, comma 7, del D.lgs. n. 50/2016)</w:t>
      </w:r>
      <w:r w:rsidR="009E7754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:</w:t>
      </w:r>
      <w:r w:rsidR="00F8014A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tutte ipotesi ricollegabili alla mancanza, originaria o sopravvenuta, dei requisiti ovvero ad inadempienze o violazioni di obblighi di vario genere.</w:t>
      </w:r>
    </w:p>
    <w:p w:rsidR="001E2272" w:rsidRPr="00DB28E5" w:rsidRDefault="006564CC" w:rsidP="002506F0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>A</w:t>
      </w:r>
      <w:r w:rsidR="001E2272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lla decadenza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amministrativa da</w:t>
      </w:r>
      <w:r w:rsidR="001E2272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in</w:t>
      </w:r>
      <w:r w:rsidR="0010284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erzia si</w:t>
      </w:r>
      <w:r w:rsidR="001E2272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10284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attagliano i </w:t>
      </w:r>
      <w:r w:rsidR="001E2272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princìpi generali visti nel paragrafo precedente, con qualche p</w:t>
      </w:r>
      <w:r w:rsidR="003569C4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recisazione.</w:t>
      </w:r>
    </w:p>
    <w:p w:rsidR="003569C4" w:rsidRPr="00DB28E5" w:rsidRDefault="007B7F8A" w:rsidP="003569C4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>Essa, a</w:t>
      </w:r>
      <w:r w:rsidR="0074720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nzitutto, </w:t>
      </w:r>
      <w:r w:rsidR="003569C4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non può avere fonte volontaria.</w:t>
      </w:r>
    </w:p>
    <w:p w:rsidR="00687AA4" w:rsidRPr="00DB28E5" w:rsidRDefault="00687D8F" w:rsidP="00086E9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I termini</w:t>
      </w:r>
      <w:r w:rsidR="0074720F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E51CF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si prestano</w:t>
      </w:r>
      <w:r w:rsidR="00471D61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E51CF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ad essere</w:t>
      </w:r>
      <w:r w:rsidR="00471D61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sia</w:t>
      </w:r>
      <w:r w:rsidR="00E51CF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1063C1" w:rsidRPr="00DB28E5">
        <w:rPr>
          <w:rFonts w:ascii="Garamond" w:eastAsia="Times New Roman" w:hAnsi="Garamond" w:cs="Times New Roman"/>
          <w:iCs/>
          <w:sz w:val="28"/>
          <w:szCs w:val="28"/>
          <w:lang w:eastAsia="it-IT"/>
        </w:rPr>
        <w:t>interrotti (</w:t>
      </w:r>
      <w:r w:rsidR="001063C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art. 19, comma 3, della legge n. 241/1990</w:t>
      </w:r>
      <w:r w:rsidR="001063C1" w:rsidRPr="00DB28E5">
        <w:rPr>
          <w:rFonts w:ascii="Garamond" w:eastAsia="Times New Roman" w:hAnsi="Garamond" w:cs="Times New Roman"/>
          <w:iCs/>
          <w:sz w:val="28"/>
          <w:szCs w:val="28"/>
          <w:lang w:eastAsia="it-IT"/>
        </w:rPr>
        <w:t>)</w:t>
      </w:r>
      <w:r w:rsidR="00471D61">
        <w:rPr>
          <w:rFonts w:ascii="Garamond" w:eastAsia="Times New Roman" w:hAnsi="Garamond" w:cs="Times New Roman"/>
          <w:iCs/>
          <w:sz w:val="28"/>
          <w:szCs w:val="28"/>
          <w:lang w:eastAsia="it-IT"/>
        </w:rPr>
        <w:t>, sia</w:t>
      </w:r>
      <w:r w:rsidR="001063C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E51CF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sospesi </w:t>
      </w:r>
      <w:r w:rsidR="00086E9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per ragioni istruttorie </w:t>
      </w:r>
      <w:r w:rsidR="00AF210D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(art. 2, comma 7, della legge n. 241/1990)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,</w:t>
      </w:r>
      <w:r w:rsidR="00086E9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per</w:t>
      </w:r>
      <w:r w:rsidR="00086E91" w:rsidRPr="00DB28E5">
        <w:rPr>
          <w:rFonts w:ascii="Garamond" w:eastAsia="Times New Roman" w:hAnsi="Garamond" w:cs="Times New Roman"/>
          <w:i/>
          <w:iCs/>
          <w:sz w:val="28"/>
          <w:szCs w:val="28"/>
          <w:lang w:eastAsia="it-IT"/>
        </w:rPr>
        <w:t xml:space="preserve"> </w:t>
      </w:r>
      <w:r w:rsidR="00A3366B" w:rsidRPr="00DB28E5">
        <w:rPr>
          <w:rFonts w:ascii="Garamond" w:eastAsia="Times New Roman" w:hAnsi="Garamond" w:cs="Times New Roman"/>
          <w:i/>
          <w:iCs/>
          <w:sz w:val="28"/>
          <w:szCs w:val="28"/>
          <w:lang w:eastAsia="it-IT"/>
        </w:rPr>
        <w:t xml:space="preserve">vis </w:t>
      </w:r>
      <w:proofErr w:type="spellStart"/>
      <w:r w:rsidR="00A3366B" w:rsidRPr="00DB28E5">
        <w:rPr>
          <w:rFonts w:ascii="Garamond" w:eastAsia="Times New Roman" w:hAnsi="Garamond" w:cs="Times New Roman"/>
          <w:i/>
          <w:iCs/>
          <w:sz w:val="28"/>
          <w:szCs w:val="28"/>
          <w:lang w:eastAsia="it-IT"/>
        </w:rPr>
        <w:t>maior</w:t>
      </w:r>
      <w:proofErr w:type="spellEnd"/>
      <w:r w:rsidR="00A3366B" w:rsidRPr="00DB28E5">
        <w:rPr>
          <w:rFonts w:ascii="Garamond" w:eastAsia="Times New Roman" w:hAnsi="Garamond" w:cs="Times New Roman"/>
          <w:i/>
          <w:iCs/>
          <w:sz w:val="28"/>
          <w:szCs w:val="28"/>
          <w:lang w:eastAsia="it-IT"/>
        </w:rPr>
        <w:t xml:space="preserve"> </w:t>
      </w:r>
      <w:r w:rsidR="00A3366B" w:rsidRPr="00DB28E5">
        <w:rPr>
          <w:rFonts w:ascii="Garamond" w:eastAsia="Times New Roman" w:hAnsi="Garamond" w:cs="Times New Roman"/>
          <w:iCs/>
          <w:sz w:val="28"/>
          <w:szCs w:val="28"/>
          <w:lang w:eastAsia="it-IT"/>
        </w:rPr>
        <w:t>o</w:t>
      </w:r>
      <w:r w:rsidR="00A3366B" w:rsidRPr="00DB28E5">
        <w:rPr>
          <w:rFonts w:ascii="Garamond" w:eastAsia="Times New Roman" w:hAnsi="Garamond" w:cs="Times New Roman"/>
          <w:i/>
          <w:iCs/>
          <w:sz w:val="28"/>
          <w:szCs w:val="28"/>
          <w:lang w:eastAsia="it-IT"/>
        </w:rPr>
        <w:t xml:space="preserve"> </w:t>
      </w:r>
      <w:r w:rsidR="00086E91" w:rsidRPr="00DB28E5">
        <w:rPr>
          <w:rFonts w:ascii="Garamond" w:eastAsia="Times New Roman" w:hAnsi="Garamond" w:cs="Times New Roman"/>
          <w:i/>
          <w:iCs/>
          <w:sz w:val="28"/>
          <w:szCs w:val="28"/>
          <w:lang w:eastAsia="it-IT"/>
        </w:rPr>
        <w:t xml:space="preserve">factum </w:t>
      </w:r>
      <w:proofErr w:type="spellStart"/>
      <w:r w:rsidR="00086E91" w:rsidRPr="00DB28E5">
        <w:rPr>
          <w:rFonts w:ascii="Garamond" w:eastAsia="Times New Roman" w:hAnsi="Garamond" w:cs="Times New Roman"/>
          <w:i/>
          <w:iCs/>
          <w:sz w:val="28"/>
          <w:szCs w:val="28"/>
          <w:lang w:eastAsia="it-IT"/>
        </w:rPr>
        <w:t>principis</w:t>
      </w:r>
      <w:proofErr w:type="spellEnd"/>
      <w:r w:rsidR="00A3366B" w:rsidRPr="00DB28E5">
        <w:rPr>
          <w:rStyle w:val="Rimandonotaapidipagina"/>
          <w:rFonts w:ascii="Garamond" w:eastAsia="Times New Roman" w:hAnsi="Garamond" w:cs="Times New Roman"/>
          <w:sz w:val="28"/>
          <w:szCs w:val="28"/>
          <w:lang w:eastAsia="it-IT"/>
        </w:rPr>
        <w:footnoteReference w:id="10"/>
      </w:r>
      <w:r w:rsidR="003569C4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.</w:t>
      </w:r>
    </w:p>
    <w:p w:rsidR="001E2272" w:rsidRPr="00DB28E5" w:rsidRDefault="0074720F" w:rsidP="001E2272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V</w:t>
      </w:r>
      <w:r w:rsidR="00357AD8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erte</w:t>
      </w:r>
      <w:r w:rsidR="001E2272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ndosi </w:t>
      </w:r>
      <w:r w:rsidR="00357AD8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su</w:t>
      </w:r>
      <w:r w:rsidR="001E2272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1063C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posizioni di </w:t>
      </w:r>
      <w:r w:rsidR="001E2272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interesse legittimo, una volta </w:t>
      </w:r>
      <w:r w:rsidR="00357AD8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impedita la decadenza</w:t>
      </w:r>
      <w:r w:rsidR="001E2272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non vi è spazio per la prescrizione</w:t>
      </w:r>
      <w:r w:rsidR="001063C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, </w:t>
      </w:r>
      <w:r w:rsidR="00474632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stante</w:t>
      </w:r>
      <w:r w:rsidR="001063C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2061D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la tradizionale </w:t>
      </w:r>
      <w:r w:rsidR="0077003D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conformazione</w:t>
      </w:r>
      <w:r w:rsidR="001063C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del potere amministrativo</w:t>
      </w:r>
      <w:r w:rsidR="002061D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quale situazione giuridica soggettiva “di carattere astratto e generico, preliminare cioè ai singoli rapporti (nei quali opera invece la situazione giuridica particolare di volta in volta individuata)</w:t>
      </w:r>
      <w:r w:rsidR="00357AD8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,</w:t>
      </w:r>
      <w:r w:rsidR="002061D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contrassegnata dal carattere dell’irrinunciabilità, inconsumabilità ed imprescrittibilità”</w:t>
      </w:r>
      <w:r w:rsidR="002061DC" w:rsidRPr="00DB28E5">
        <w:rPr>
          <w:rStyle w:val="Rimandonotaapidipagina"/>
          <w:rFonts w:ascii="Garamond" w:eastAsia="Times New Roman" w:hAnsi="Garamond" w:cs="Times New Roman"/>
          <w:sz w:val="28"/>
          <w:szCs w:val="28"/>
          <w:lang w:eastAsia="it-IT"/>
        </w:rPr>
        <w:footnoteReference w:id="11"/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.</w:t>
      </w:r>
    </w:p>
    <w:p w:rsidR="001E2272" w:rsidRPr="00DB28E5" w:rsidRDefault="0074720F" w:rsidP="001E2272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Infine,</w:t>
      </w:r>
      <w:r w:rsidR="001E2272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la decadenza </w:t>
      </w:r>
      <w:r w:rsidR="00BC5F3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dell’atto amministrativo impugnato</w:t>
      </w:r>
      <w:r w:rsidR="006D4C48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,</w:t>
      </w:r>
      <w:r w:rsidR="00BC5F3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107A1C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se </w:t>
      </w:r>
      <w:r w:rsidR="00BC5F3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non </w:t>
      </w:r>
      <w:r w:rsidR="006D4C48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dedott</w:t>
      </w:r>
      <w:r w:rsidR="00BC5F3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a </w:t>
      </w:r>
      <w:r w:rsidR="006D4C48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ne</w:t>
      </w:r>
      <w:r w:rsidR="00BC5F3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i motivi di ricorso, </w:t>
      </w:r>
      <w:r w:rsidR="001E2272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non è rilevabile d’ufficio dal giudice</w:t>
      </w:r>
      <w:r w:rsidR="00F13230" w:rsidRPr="00DB28E5">
        <w:rPr>
          <w:rStyle w:val="Rimandonotaapidipagina"/>
          <w:rFonts w:ascii="Garamond" w:eastAsia="Times New Roman" w:hAnsi="Garamond" w:cs="Times New Roman"/>
          <w:sz w:val="28"/>
          <w:szCs w:val="28"/>
          <w:lang w:eastAsia="it-IT"/>
        </w:rPr>
        <w:footnoteReference w:id="12"/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.</w:t>
      </w:r>
    </w:p>
    <w:p w:rsidR="00F8014A" w:rsidRPr="00DB28E5" w:rsidRDefault="00F8014A" w:rsidP="002506F0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:rsidR="00FA1FE4" w:rsidRPr="00DB28E5" w:rsidRDefault="00E84C79" w:rsidP="00F77A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it-IT"/>
        </w:rPr>
      </w:pPr>
      <w:r w:rsidRPr="00DB28E5">
        <w:rPr>
          <w:rFonts w:ascii="Garamond" w:eastAsia="Times New Roman" w:hAnsi="Garamond" w:cs="Times New Roman"/>
          <w:b/>
          <w:sz w:val="28"/>
          <w:szCs w:val="28"/>
          <w:lang w:eastAsia="it-IT"/>
        </w:rPr>
        <w:t>Le applicazioni tributarie</w:t>
      </w:r>
      <w:r w:rsidR="006D4C48" w:rsidRPr="00DB28E5">
        <w:rPr>
          <w:rFonts w:ascii="Garamond" w:eastAsia="Times New Roman" w:hAnsi="Garamond" w:cs="Times New Roman"/>
          <w:b/>
          <w:sz w:val="28"/>
          <w:szCs w:val="28"/>
          <w:lang w:eastAsia="it-IT"/>
        </w:rPr>
        <w:t>.</w:t>
      </w:r>
    </w:p>
    <w:p w:rsidR="00F77A5B" w:rsidRPr="00DB28E5" w:rsidRDefault="00AC4759" w:rsidP="00F77A5B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>Particolarmente avvertita</w:t>
      </w:r>
      <w:r w:rsidR="006E0D4A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984EA4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n</w:t>
      </w:r>
      <w:r w:rsidR="00F77A5B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el diritto tributario è l’esigenza di pervenire ad una definizione rapida e certa del</w:t>
      </w:r>
      <w:r w:rsidR="009C75BE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rapporto </w:t>
      </w:r>
      <w:r w:rsidR="00F77A5B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imposi</w:t>
      </w:r>
      <w:r w:rsidR="009C75BE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tivo</w:t>
      </w:r>
      <w:r w:rsidR="00F77A5B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.</w:t>
      </w:r>
    </w:p>
    <w:p w:rsidR="00F77A5B" w:rsidRPr="00DB28E5" w:rsidRDefault="00F77A5B" w:rsidP="00A33535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Ciò avviene, per l’appunto, </w:t>
      </w:r>
      <w:r w:rsidR="006E0D4A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mediante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036839">
        <w:rPr>
          <w:rFonts w:ascii="Garamond" w:eastAsia="Times New Roman" w:hAnsi="Garamond" w:cs="Times New Roman"/>
          <w:sz w:val="28"/>
          <w:szCs w:val="28"/>
          <w:lang w:eastAsia="it-IT"/>
        </w:rPr>
        <w:t>l’</w:t>
      </w:r>
      <w:r w:rsidR="00036839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introd</w:t>
      </w:r>
      <w:r w:rsidR="00036839">
        <w:rPr>
          <w:rFonts w:ascii="Garamond" w:eastAsia="Times New Roman" w:hAnsi="Garamond" w:cs="Times New Roman"/>
          <w:sz w:val="28"/>
          <w:szCs w:val="28"/>
          <w:lang w:eastAsia="it-IT"/>
        </w:rPr>
        <w:t>uz</w:t>
      </w:r>
      <w:r w:rsidR="00036839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i</w:t>
      </w:r>
      <w:r w:rsidR="00036839">
        <w:rPr>
          <w:rFonts w:ascii="Garamond" w:eastAsia="Times New Roman" w:hAnsi="Garamond" w:cs="Times New Roman"/>
          <w:sz w:val="28"/>
          <w:szCs w:val="28"/>
          <w:lang w:eastAsia="it-IT"/>
        </w:rPr>
        <w:t>one</w:t>
      </w:r>
      <w:r w:rsidR="00036839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036839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di 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termini decadenziali</w:t>
      </w:r>
      <w:r w:rsidR="00ED34D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su base </w:t>
      </w:r>
      <w:r w:rsidR="000E435B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esclusivamente </w:t>
      </w:r>
      <w:r w:rsidR="00ED34D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legislativa e </w:t>
      </w:r>
      <w:r w:rsidR="000E435B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mai</w:t>
      </w:r>
      <w:r w:rsidR="00ED34D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volontaria, 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entro cui chi intende far valere un </w:t>
      </w:r>
      <w:r w:rsidR="006E0D4A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potere od un 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diritto</w:t>
      </w:r>
      <w:r w:rsidR="00773EEE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,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o </w:t>
      </w:r>
      <w:r w:rsidR="008C16F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chi 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intende contestare l’altrui </w:t>
      </w:r>
      <w:r w:rsidR="006E0D4A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potere o </w:t>
      </w:r>
      <w:r w:rsidR="006F7552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l’altrui 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diritto, è tenuto a compiere una data attività.</w:t>
      </w:r>
    </w:p>
    <w:p w:rsidR="00ED34D1" w:rsidRPr="00DB28E5" w:rsidRDefault="00036839" w:rsidP="008C16F6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>Per quanto r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i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guarda 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l’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amministrazione finanziaria, 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la decadenza colpisce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d</w:t>
      </w:r>
      <w:r w:rsidR="00107A1C">
        <w:rPr>
          <w:rFonts w:ascii="Garamond" w:eastAsia="Times New Roman" w:hAnsi="Garamond" w:cs="Times New Roman"/>
          <w:sz w:val="28"/>
          <w:szCs w:val="28"/>
          <w:lang w:eastAsia="it-IT"/>
        </w:rPr>
        <w:t>i massima</w:t>
      </w:r>
      <w:r w:rsidR="00ED34D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i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l potere impositivo</w:t>
      </w:r>
      <w:r w:rsidR="00107A1C">
        <w:rPr>
          <w:rFonts w:ascii="Garamond" w:eastAsia="Times New Roman" w:hAnsi="Garamond" w:cs="Times New Roman"/>
          <w:sz w:val="28"/>
          <w:szCs w:val="28"/>
          <w:lang w:eastAsia="it-IT"/>
        </w:rPr>
        <w:t>,</w:t>
      </w:r>
      <w:r w:rsidR="00E02D14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c</w:t>
      </w:r>
      <w:r w:rsidR="00D1234E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he si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concretizza</w:t>
      </w:r>
      <w:r w:rsidR="00D1234E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nelle </w:t>
      </w:r>
      <w:r w:rsidR="0037143A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fasi</w:t>
      </w:r>
      <w:r w:rsidR="00D1234E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37143A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prope</w:t>
      </w:r>
      <w:r w:rsidR="00107A1C">
        <w:rPr>
          <w:rFonts w:ascii="Garamond" w:eastAsia="Times New Roman" w:hAnsi="Garamond" w:cs="Times New Roman"/>
          <w:sz w:val="28"/>
          <w:szCs w:val="28"/>
          <w:lang w:eastAsia="it-IT"/>
        </w:rPr>
        <w:t>deutiche all’esecuzione forzata</w:t>
      </w:r>
      <w:r w:rsidR="006F7552">
        <w:rPr>
          <w:rFonts w:ascii="Garamond" w:eastAsia="Times New Roman" w:hAnsi="Garamond" w:cs="Times New Roman"/>
          <w:sz w:val="28"/>
          <w:szCs w:val="28"/>
          <w:lang w:eastAsia="it-IT"/>
        </w:rPr>
        <w:t>, ovverosia</w:t>
      </w:r>
      <w:r w:rsidR="0037143A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976A8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l’</w:t>
      </w:r>
      <w:r w:rsidR="00ED34D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accerta</w:t>
      </w:r>
      <w:r w:rsidR="00D1234E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m</w:t>
      </w:r>
      <w:r w:rsidR="00ED34D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e</w:t>
      </w:r>
      <w:r w:rsidR="00107A1C">
        <w:rPr>
          <w:rFonts w:ascii="Garamond" w:eastAsia="Times New Roman" w:hAnsi="Garamond" w:cs="Times New Roman"/>
          <w:sz w:val="28"/>
          <w:szCs w:val="28"/>
          <w:lang w:eastAsia="it-IT"/>
        </w:rPr>
        <w:t>nto,</w:t>
      </w:r>
      <w:r w:rsidR="00ED34D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107A1C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la </w:t>
      </w:r>
      <w:r w:rsidR="00ED34D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liquida</w:t>
      </w:r>
      <w:r w:rsidR="00D1234E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zion</w:t>
      </w:r>
      <w:r w:rsidR="00ED34D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e</w:t>
      </w:r>
      <w:r w:rsidR="00D1234E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del tributo</w:t>
      </w:r>
      <w:r w:rsidR="00ED34D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, </w:t>
      </w:r>
      <w:r w:rsidR="00976A8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l’</w:t>
      </w:r>
      <w:r w:rsidR="00ED34D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irroga</w:t>
      </w:r>
      <w:r w:rsidR="00D1234E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zione dell</w:t>
      </w:r>
      <w:r w:rsidR="00ED34D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e sanzioni</w:t>
      </w:r>
      <w:r w:rsidR="00D1234E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e</w:t>
      </w:r>
      <w:r w:rsidR="00982944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976A8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l</w:t>
      </w:r>
      <w:r w:rsidR="00982944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’</w:t>
      </w:r>
      <w:r w:rsidR="00D1234E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iscrizione a ruolo del</w:t>
      </w:r>
      <w:r w:rsidR="00982944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l’</w:t>
      </w:r>
      <w:r w:rsidR="00D1234E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importo </w:t>
      </w:r>
      <w:r w:rsidR="00982944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complessivamente </w:t>
      </w:r>
      <w:r w:rsidR="00D1234E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dovuto</w:t>
      </w:r>
      <w:r w:rsidR="00ED34D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.</w:t>
      </w:r>
    </w:p>
    <w:p w:rsidR="008C16F6" w:rsidRPr="00DB28E5" w:rsidRDefault="00036839" w:rsidP="008C16F6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>L’apposizione di termini di decadenza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è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senza dubbio funzionale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a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lla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salvaguard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i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a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d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el diritto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di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difesa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del contribuente,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di cui all’art. 24 Cost.,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avendo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680502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la Corte costituzionale, </w:t>
      </w:r>
      <w:r w:rsidR="00ED34D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n</w:t>
      </w:r>
      <w:r w:rsidR="009C2A5E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el</w:t>
      </w:r>
      <w:r w:rsidR="008C16F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dichiara</w:t>
      </w:r>
      <w:r w:rsidR="009C2A5E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re</w:t>
      </w:r>
      <w:r w:rsidR="008C16F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l’</w:t>
      </w:r>
      <w:r w:rsidR="009C2A5E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illegittimità dell’</w:t>
      </w:r>
      <w:r w:rsidR="008C16F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art. 25 del D.P.R. n. 602/1973 </w:t>
      </w:r>
      <w:r w:rsidR="00982944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– </w:t>
      </w:r>
      <w:r w:rsidR="008C16F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nell</w:t>
      </w:r>
      <w:r w:rsidR="009C2A5E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a</w:t>
      </w:r>
      <w:r w:rsidR="008C16F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part</w:t>
      </w:r>
      <w:r w:rsidR="009C2A5E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e</w:t>
      </w:r>
      <w:r w:rsidR="008C16F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in cui, a seguito di una sopravvenuta soppressione, non prevedeva più termini decadenziali per la notifica della cartella di pagamento</w:t>
      </w:r>
      <w:r w:rsidR="005C03A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ai sensi dell’art. 36-</w:t>
      </w:r>
      <w:r w:rsidR="005C03A5" w:rsidRPr="00DB28E5">
        <w:rPr>
          <w:rFonts w:ascii="Garamond" w:eastAsia="Times New Roman" w:hAnsi="Garamond" w:cs="Times New Roman"/>
          <w:i/>
          <w:sz w:val="28"/>
          <w:szCs w:val="28"/>
          <w:lang w:eastAsia="it-IT"/>
        </w:rPr>
        <w:t>bis</w:t>
      </w:r>
      <w:r w:rsidR="00680502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del D.P.R. n. 600/1973</w:t>
      </w:r>
      <w:r w:rsidR="00982944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–</w:t>
      </w:r>
      <w:r w:rsidR="008A274D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, </w:t>
      </w:r>
      <w:r w:rsidR="00982944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espress</w:t>
      </w:r>
      <w:r w:rsidR="00680502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amente</w:t>
      </w:r>
      <w:r w:rsidR="005C03A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an</w:t>
      </w:r>
      <w:r w:rsidR="009C2A5E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notato </w:t>
      </w:r>
      <w:r w:rsidR="005C03A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come, </w:t>
      </w:r>
      <w:r w:rsidR="00F4260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dal</w:t>
      </w:r>
      <w:r w:rsidR="0024238E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la </w:t>
      </w:r>
      <w:r w:rsidR="00065BB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precedente </w:t>
      </w:r>
      <w:r w:rsidR="009C2A5E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“</w:t>
      </w:r>
      <w:r w:rsidR="0024238E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concatenazione di atti </w:t>
      </w:r>
      <w:r w:rsidR="00972DD6">
        <w:rPr>
          <w:rFonts w:ascii="Garamond" w:eastAsia="Times New Roman" w:hAnsi="Garamond" w:cs="Times New Roman"/>
          <w:sz w:val="28"/>
          <w:szCs w:val="28"/>
          <w:lang w:eastAsia="it-IT"/>
        </w:rPr>
        <w:t>[</w:t>
      </w:r>
      <w:r w:rsidR="00F4260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…</w:t>
      </w:r>
      <w:r w:rsidR="00972DD6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] </w:t>
      </w:r>
      <w:r w:rsidR="0024238E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scandita da termini, a partire da ciascuno dei quali decorreva il successivo</w:t>
      </w:r>
      <w:r w:rsidR="00F4260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, </w:t>
      </w:r>
      <w:r w:rsidR="00972DD6">
        <w:rPr>
          <w:rFonts w:ascii="Garamond" w:eastAsia="Times New Roman" w:hAnsi="Garamond" w:cs="Times New Roman"/>
          <w:sz w:val="28"/>
          <w:szCs w:val="28"/>
          <w:lang w:eastAsia="it-IT"/>
        </w:rPr>
        <w:t>[</w:t>
      </w:r>
      <w:r w:rsidR="00F4260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…</w:t>
      </w:r>
      <w:r w:rsidR="00972DD6">
        <w:rPr>
          <w:rFonts w:ascii="Garamond" w:eastAsia="Times New Roman" w:hAnsi="Garamond" w:cs="Times New Roman"/>
          <w:sz w:val="28"/>
          <w:szCs w:val="28"/>
          <w:lang w:eastAsia="it-IT"/>
        </w:rPr>
        <w:t>]</w:t>
      </w:r>
      <w:r w:rsidR="008C16F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6D4C48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derivava – </w:t>
      </w:r>
      <w:r w:rsidR="008C16F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per quanto generosi, rispetto all’elementare attività demandata all’</w:t>
      </w:r>
      <w:r w:rsidR="0024238E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a</w:t>
      </w:r>
      <w:r w:rsidR="008C16F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mministrazione, fossero quei termini – certezza relativamente al termine ultimo entro il quale il contribuente doveva venire a conoscenza della pretesa del fisco</w:t>
      </w:r>
      <w:r w:rsidR="0024238E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”</w:t>
      </w:r>
      <w:r w:rsidR="0024238E" w:rsidRPr="00DB28E5">
        <w:rPr>
          <w:rStyle w:val="Rimandonotaapidipagina"/>
          <w:rFonts w:ascii="Garamond" w:eastAsia="Times New Roman" w:hAnsi="Garamond" w:cs="Times New Roman"/>
          <w:sz w:val="28"/>
          <w:szCs w:val="28"/>
          <w:lang w:eastAsia="it-IT"/>
        </w:rPr>
        <w:footnoteReference w:id="13"/>
      </w:r>
      <w:r w:rsidR="008C16F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.</w:t>
      </w:r>
    </w:p>
    <w:p w:rsidR="007469FC" w:rsidRDefault="0037143A" w:rsidP="00B559BC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Diversamente,</w:t>
      </w:r>
      <w:r w:rsidR="00ED34D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sui </w:t>
      </w:r>
      <w:r w:rsidR="002B723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poteri di riscossione coattiva</w:t>
      </w:r>
      <w:r w:rsidR="00C8592F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opera </w:t>
      </w:r>
      <w:r w:rsidR="004F4DBB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in </w:t>
      </w:r>
      <w:r w:rsidR="00C8592F">
        <w:rPr>
          <w:rFonts w:ascii="Garamond" w:eastAsia="Times New Roman" w:hAnsi="Garamond" w:cs="Times New Roman"/>
          <w:sz w:val="28"/>
          <w:szCs w:val="28"/>
          <w:lang w:eastAsia="it-IT"/>
        </w:rPr>
        <w:t>genere la prescrizione</w:t>
      </w:r>
      <w:r w:rsidR="00EB3B04">
        <w:rPr>
          <w:rFonts w:ascii="Garamond" w:eastAsia="Times New Roman" w:hAnsi="Garamond" w:cs="Times New Roman"/>
          <w:sz w:val="28"/>
          <w:szCs w:val="28"/>
          <w:lang w:eastAsia="it-IT"/>
        </w:rPr>
        <w:t>,</w:t>
      </w:r>
      <w:r w:rsidR="00C8592F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EB3B04">
        <w:rPr>
          <w:rFonts w:ascii="Garamond" w:eastAsia="Times New Roman" w:hAnsi="Garamond" w:cs="Times New Roman"/>
          <w:sz w:val="28"/>
          <w:szCs w:val="28"/>
          <w:lang w:eastAsia="it-IT"/>
        </w:rPr>
        <w:t>in</w:t>
      </w:r>
      <w:r w:rsidR="00C8592F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ED34D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quan</w:t>
      </w:r>
      <w:r w:rsidR="00EB3B04">
        <w:rPr>
          <w:rFonts w:ascii="Garamond" w:eastAsia="Times New Roman" w:hAnsi="Garamond" w:cs="Times New Roman"/>
          <w:sz w:val="28"/>
          <w:szCs w:val="28"/>
          <w:lang w:eastAsia="it-IT"/>
        </w:rPr>
        <w:t>t</w:t>
      </w:r>
      <w:r w:rsidR="00ED34D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o </w:t>
      </w:r>
      <w:r w:rsidR="004C6812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il procedimento di </w:t>
      </w:r>
      <w:r w:rsidR="004C6812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determina</w:t>
      </w:r>
      <w:r w:rsidR="004C6812">
        <w:rPr>
          <w:rFonts w:ascii="Garamond" w:eastAsia="Times New Roman" w:hAnsi="Garamond" w:cs="Times New Roman"/>
          <w:sz w:val="28"/>
          <w:szCs w:val="28"/>
          <w:lang w:eastAsia="it-IT"/>
        </w:rPr>
        <w:t>zione</w:t>
      </w:r>
      <w:r w:rsidR="004C6812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4C6812">
        <w:rPr>
          <w:rFonts w:ascii="Garamond" w:eastAsia="Times New Roman" w:hAnsi="Garamond" w:cs="Times New Roman"/>
          <w:sz w:val="28"/>
          <w:szCs w:val="28"/>
          <w:lang w:eastAsia="it-IT"/>
        </w:rPr>
        <w:t>del</w:t>
      </w:r>
      <w:r w:rsidR="002B723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l’obbligazione tributaria </w:t>
      </w:r>
      <w:r w:rsidR="00EB3B04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si </w:t>
      </w:r>
      <w:r w:rsidR="002B723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è</w:t>
      </w:r>
      <w:r w:rsidR="000C2B2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ormai</w:t>
      </w:r>
      <w:r w:rsidR="002B723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4C6812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concluso </w:t>
      </w:r>
      <w:r w:rsidR="00CF0D3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tramite </w:t>
      </w:r>
      <w:r w:rsidR="00EB3B04">
        <w:rPr>
          <w:rFonts w:ascii="Garamond" w:eastAsia="Times New Roman" w:hAnsi="Garamond" w:cs="Times New Roman"/>
          <w:sz w:val="28"/>
          <w:szCs w:val="28"/>
          <w:lang w:eastAsia="it-IT"/>
        </w:rPr>
        <w:t>l’</w:t>
      </w:r>
      <w:r w:rsidR="00ED34D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iscrizione a ruolo, c</w:t>
      </w:r>
      <w:r w:rsidR="00EB3B04">
        <w:rPr>
          <w:rFonts w:ascii="Garamond" w:eastAsia="Times New Roman" w:hAnsi="Garamond" w:cs="Times New Roman"/>
          <w:sz w:val="28"/>
          <w:szCs w:val="28"/>
          <w:lang w:eastAsia="it-IT"/>
        </w:rPr>
        <w:t>he segna</w:t>
      </w:r>
      <w:r w:rsidR="00ED34D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il pa</w:t>
      </w:r>
      <w:r w:rsidR="002B723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ssaggio 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di </w:t>
      </w:r>
      <w:r w:rsidR="002B723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consegne tra la fase imposi</w:t>
      </w:r>
      <w:r w:rsidR="00EB3B04">
        <w:rPr>
          <w:rFonts w:ascii="Garamond" w:eastAsia="Times New Roman" w:hAnsi="Garamond" w:cs="Times New Roman"/>
          <w:sz w:val="28"/>
          <w:szCs w:val="28"/>
          <w:lang w:eastAsia="it-IT"/>
        </w:rPr>
        <w:t>tiva</w:t>
      </w:r>
      <w:r w:rsidR="002B723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e quella </w:t>
      </w:r>
      <w:r w:rsidR="00EB3B04">
        <w:rPr>
          <w:rFonts w:ascii="Garamond" w:eastAsia="Times New Roman" w:hAnsi="Garamond" w:cs="Times New Roman"/>
          <w:sz w:val="28"/>
          <w:szCs w:val="28"/>
          <w:lang w:eastAsia="it-IT"/>
        </w:rPr>
        <w:t>esecutiva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;</w:t>
      </w:r>
      <w:r w:rsidR="00170572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pur non mancando previsioni decadenziali 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operanti </w:t>
      </w:r>
      <w:r w:rsidR="00170572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anche dopo che il credito 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è</w:t>
      </w:r>
      <w:r w:rsidR="00170572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stato affidato all’agente della riscossione</w:t>
      </w:r>
      <w:r w:rsidR="00484E03" w:rsidRPr="00DB28E5">
        <w:rPr>
          <w:rStyle w:val="Rimandonotaapidipagina"/>
          <w:rFonts w:ascii="Garamond" w:eastAsia="Times New Roman" w:hAnsi="Garamond" w:cs="Times New Roman"/>
          <w:sz w:val="28"/>
          <w:szCs w:val="28"/>
          <w:lang w:eastAsia="it-IT"/>
        </w:rPr>
        <w:footnoteReference w:id="14"/>
      </w:r>
      <w:r w:rsidR="00ED34D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.</w:t>
      </w:r>
    </w:p>
    <w:p w:rsidR="00036839" w:rsidRPr="00DB28E5" w:rsidRDefault="00036839" w:rsidP="0003683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In base al</w:t>
      </w:r>
      <w:r w:rsidR="00FB3631">
        <w:rPr>
          <w:rFonts w:ascii="Garamond" w:eastAsia="Times New Roman" w:hAnsi="Garamond" w:cs="Times New Roman"/>
          <w:sz w:val="28"/>
          <w:szCs w:val="28"/>
          <w:lang w:eastAsia="it-IT"/>
        </w:rPr>
        <w:t>le regole su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ll’onere della prova, a fronte della censura del contribuente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su</w:t>
      </w:r>
      <w:r w:rsidR="00FF2FE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ll’inveramento 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del termine di decadenza, </w:t>
      </w:r>
      <w:r w:rsidR="00FF2FE0">
        <w:rPr>
          <w:rFonts w:ascii="Garamond" w:eastAsia="Times New Roman" w:hAnsi="Garamond" w:cs="Times New Roman"/>
          <w:sz w:val="28"/>
          <w:szCs w:val="28"/>
          <w:lang w:eastAsia="it-IT"/>
        </w:rPr>
        <w:t>spett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a </w:t>
      </w:r>
      <w:r w:rsidR="00FF2FE0">
        <w:rPr>
          <w:rFonts w:ascii="Garamond" w:eastAsia="Times New Roman" w:hAnsi="Garamond" w:cs="Times New Roman"/>
          <w:sz w:val="28"/>
          <w:szCs w:val="28"/>
          <w:lang w:eastAsia="it-IT"/>
        </w:rPr>
        <w:t>a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ll’amministrazione finanziaria dimostrare di averlo rispettato</w:t>
      </w:r>
      <w:r w:rsidR="00FF2FE0">
        <w:rPr>
          <w:rFonts w:ascii="Garamond" w:eastAsia="Times New Roman" w:hAnsi="Garamond" w:cs="Times New Roman"/>
          <w:sz w:val="28"/>
          <w:szCs w:val="28"/>
          <w:lang w:eastAsia="it-IT"/>
        </w:rPr>
        <w:t>,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ovvero di 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lastRenderedPageBreak/>
        <w:t xml:space="preserve">aver tenuto presente </w:t>
      </w:r>
      <w:r w:rsidR="00FF2FE0">
        <w:rPr>
          <w:rFonts w:ascii="Garamond" w:eastAsia="Times New Roman" w:hAnsi="Garamond" w:cs="Times New Roman"/>
          <w:sz w:val="28"/>
          <w:szCs w:val="28"/>
          <w:lang w:eastAsia="it-IT"/>
        </w:rPr>
        <w:t>un termine diverso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applicabile nella fattispecie concreta</w:t>
      </w:r>
      <w:r w:rsidRPr="00DB28E5">
        <w:rPr>
          <w:rStyle w:val="Rimandonotaapidipagina"/>
          <w:rFonts w:ascii="Garamond" w:eastAsia="Times New Roman" w:hAnsi="Garamond" w:cs="Times New Roman"/>
          <w:sz w:val="28"/>
          <w:szCs w:val="28"/>
          <w:lang w:eastAsia="it-IT"/>
        </w:rPr>
        <w:footnoteReference w:id="15"/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.</w:t>
      </w:r>
    </w:p>
    <w:p w:rsidR="000E435B" w:rsidRPr="00DB28E5" w:rsidRDefault="00036839" w:rsidP="000E435B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>L</w:t>
      </w:r>
      <w:r w:rsidR="000E435B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a giurisprudenza tributaria tende</w:t>
      </w:r>
      <w:r w:rsidR="00D94B96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0E435B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ad escludere che</w:t>
      </w:r>
      <w:r w:rsidRPr="00036839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la perentorietà del termine di decadenza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per 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l’esercizio del potere pubblico possa</w:t>
      </w:r>
      <w:r w:rsidRPr="00CF0D3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ritorcersi</w:t>
      </w:r>
      <w:r w:rsidR="000E435B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, nel processo,</w:t>
      </w:r>
      <w:r w:rsidR="000C2B2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0E435B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in danno </w:t>
      </w:r>
      <w:r w:rsidR="00A5210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del </w:t>
      </w:r>
      <w:r w:rsidR="000E435B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contribuente che ha ragione.</w:t>
      </w:r>
    </w:p>
    <w:p w:rsidR="000E435B" w:rsidRPr="00DB28E5" w:rsidRDefault="00E00DE7" w:rsidP="00B559BC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>Tan</w:t>
      </w:r>
      <w:r w:rsidR="00976A8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to, i</w:t>
      </w:r>
      <w:r w:rsidR="000E435B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n particolare, </w:t>
      </w:r>
      <w:r w:rsidR="00976A8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quando </w:t>
      </w:r>
      <w:r w:rsidR="000E435B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l’amministrazione si avveda che una contestazione del ricorso sia corretta e da accogliere, </w:t>
      </w:r>
      <w:r w:rsidR="00976A8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allorché non le è consentito</w:t>
      </w:r>
      <w:r w:rsidR="000E435B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trincerarsi dietro al fatto che la rinnovazione del procedimento amministrativo è ormai preclusa dalla scadenza dei termini di decadenza, a</w:t>
      </w:r>
      <w:r w:rsidR="00976A8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vendo</w:t>
      </w:r>
      <w:r w:rsidR="000E435B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il potere-dovere di ridurre semplicemente la domanda, rinunciando anche in giudizio ad una parte di essa</w:t>
      </w:r>
      <w:r w:rsidR="000E435B" w:rsidRPr="00DB28E5">
        <w:rPr>
          <w:rStyle w:val="Rimandonotaapidipagina"/>
          <w:rFonts w:ascii="Garamond" w:eastAsia="Times New Roman" w:hAnsi="Garamond" w:cs="Times New Roman"/>
          <w:sz w:val="28"/>
          <w:szCs w:val="28"/>
          <w:lang w:eastAsia="it-IT"/>
        </w:rPr>
        <w:footnoteReference w:id="16"/>
      </w:r>
      <w:r w:rsidR="000E435B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.</w:t>
      </w:r>
    </w:p>
    <w:p w:rsidR="00127443" w:rsidRPr="00DB28E5" w:rsidRDefault="00127443" w:rsidP="00127443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Anche il diritto del contribuente al rimborso del versamento tributario non dovuto è </w:t>
      </w:r>
      <w:r w:rsidR="00F2215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soggett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o a</w:t>
      </w:r>
      <w:r w:rsidR="00FE069F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t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ermine di decadenza, </w:t>
      </w:r>
      <w:r w:rsidR="00EB3B04">
        <w:rPr>
          <w:rFonts w:ascii="Garamond" w:eastAsia="Times New Roman" w:hAnsi="Garamond" w:cs="Times New Roman"/>
          <w:sz w:val="28"/>
          <w:szCs w:val="28"/>
          <w:lang w:eastAsia="it-IT"/>
        </w:rPr>
        <w:t>ordinariamente pari a due anni</w:t>
      </w:r>
      <w:r w:rsidR="00D94B96">
        <w:rPr>
          <w:rFonts w:ascii="Garamond" w:eastAsia="Times New Roman" w:hAnsi="Garamond" w:cs="Times New Roman"/>
          <w:sz w:val="28"/>
          <w:szCs w:val="28"/>
          <w:lang w:eastAsia="it-IT"/>
        </w:rPr>
        <w:t>,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EB3B04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a partire 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dal giorno in cui la pretesa dell’amministrazione finanziaria si è resa definitiva</w:t>
      </w:r>
      <w:r w:rsidRPr="00DB28E5">
        <w:rPr>
          <w:rStyle w:val="Rimandonotaapidipagina"/>
          <w:rFonts w:ascii="Garamond" w:eastAsia="Times New Roman" w:hAnsi="Garamond" w:cs="Times New Roman"/>
          <w:sz w:val="28"/>
          <w:szCs w:val="28"/>
          <w:lang w:eastAsia="it-IT"/>
        </w:rPr>
        <w:footnoteReference w:id="17"/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(art. 21, comma 2, del D.lgs. n. 546/1992)</w:t>
      </w:r>
      <w:r w:rsidR="00D94B96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e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fatti salvi i diversi termini speciali.</w:t>
      </w:r>
    </w:p>
    <w:p w:rsidR="00127443" w:rsidRDefault="00F2215C" w:rsidP="00127443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Dunque, p</w:t>
      </w:r>
      <w:r w:rsidR="00127443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er effetto d</w:t>
      </w:r>
      <w:r w:rsidR="00E00DE7">
        <w:rPr>
          <w:rFonts w:ascii="Garamond" w:eastAsia="Times New Roman" w:hAnsi="Garamond" w:cs="Times New Roman"/>
          <w:sz w:val="28"/>
          <w:szCs w:val="28"/>
          <w:lang w:eastAsia="it-IT"/>
        </w:rPr>
        <w:t>ella</w:t>
      </w:r>
      <w:r w:rsidR="00127443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decadenz</w:t>
      </w:r>
      <w:r w:rsidR="00E00DE7">
        <w:rPr>
          <w:rFonts w:ascii="Garamond" w:eastAsia="Times New Roman" w:hAnsi="Garamond" w:cs="Times New Roman"/>
          <w:sz w:val="28"/>
          <w:szCs w:val="28"/>
          <w:lang w:eastAsia="it-IT"/>
        </w:rPr>
        <w:t>a</w:t>
      </w:r>
      <w:r w:rsidR="00127443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, se l’attività prevista non è compiuta </w:t>
      </w:r>
      <w:r w:rsidR="00D94B96">
        <w:rPr>
          <w:rFonts w:ascii="Garamond" w:eastAsia="Times New Roman" w:hAnsi="Garamond" w:cs="Times New Roman"/>
          <w:sz w:val="28"/>
          <w:szCs w:val="28"/>
          <w:lang w:eastAsia="it-IT"/>
        </w:rPr>
        <w:t>ne</w:t>
      </w:r>
      <w:r w:rsidR="00127443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l termine dato, il potere dell’amministrazione </w:t>
      </w:r>
      <w:r w:rsidR="004F4DBB">
        <w:rPr>
          <w:rFonts w:ascii="Garamond" w:eastAsia="Times New Roman" w:hAnsi="Garamond" w:cs="Times New Roman"/>
          <w:sz w:val="28"/>
          <w:szCs w:val="28"/>
          <w:lang w:eastAsia="it-IT"/>
        </w:rPr>
        <w:t>o</w:t>
      </w:r>
      <w:r w:rsidR="00127443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il diritto del contribuente non possono più essere esercitati, a meno che non sia p</w:t>
      </w:r>
      <w:r w:rsidR="009A7381">
        <w:rPr>
          <w:rFonts w:ascii="Garamond" w:eastAsia="Times New Roman" w:hAnsi="Garamond" w:cs="Times New Roman"/>
          <w:sz w:val="28"/>
          <w:szCs w:val="28"/>
          <w:lang w:eastAsia="it-IT"/>
        </w:rPr>
        <w:t>ossibile</w:t>
      </w:r>
      <w:r w:rsidR="00127443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una riapertura o una proroga</w:t>
      </w:r>
      <w:r w:rsidR="009A7381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dello stesso</w:t>
      </w:r>
      <w:r w:rsidR="00127443" w:rsidRPr="00DB28E5">
        <w:rPr>
          <w:rStyle w:val="Rimandonotaapidipagina"/>
          <w:rFonts w:ascii="Garamond" w:eastAsia="Times New Roman" w:hAnsi="Garamond" w:cs="Times New Roman"/>
          <w:sz w:val="28"/>
          <w:szCs w:val="28"/>
          <w:lang w:eastAsia="it-IT"/>
        </w:rPr>
        <w:footnoteReference w:id="18"/>
      </w:r>
      <w:r w:rsidR="00127443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.</w:t>
      </w:r>
    </w:p>
    <w:p w:rsidR="00EB0405" w:rsidRDefault="00EB0405" w:rsidP="00EB0405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A livello di princìpi generali, va comunque segnalato che l’art. 3 dello Statuto del contribuente (legge n. 212/2000) vieta che possano essere prorogati i termini di prescrizione e decadenza per gli accertamenti d’imposta.</w:t>
      </w:r>
    </w:p>
    <w:p w:rsidR="00040F5E" w:rsidRDefault="00040F5E" w:rsidP="00127443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>In base all</w:t>
      </w:r>
      <w:r w:rsidR="00D63E32">
        <w:rPr>
          <w:rFonts w:ascii="Garamond" w:eastAsia="Times New Roman" w:hAnsi="Garamond" w:cs="Times New Roman"/>
          <w:sz w:val="28"/>
          <w:szCs w:val="28"/>
          <w:lang w:eastAsia="it-IT"/>
        </w:rPr>
        <w:t>a formulazione originaria dell’</w:t>
      </w:r>
      <w:r w:rsidRPr="00EB3B04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art. 43, comma 3, del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D</w:t>
      </w:r>
      <w:r w:rsidRPr="00EB3B04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.P.R. n. 600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/</w:t>
      </w:r>
      <w:r w:rsidRPr="00EB3B04">
        <w:rPr>
          <w:rFonts w:ascii="Garamond" w:eastAsia="Times New Roman" w:hAnsi="Garamond" w:cs="Times New Roman"/>
          <w:sz w:val="28"/>
          <w:szCs w:val="28"/>
          <w:lang w:eastAsia="it-IT"/>
        </w:rPr>
        <w:t>1973 e</w:t>
      </w:r>
      <w:r w:rsidR="00D63E32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d</w:t>
      </w:r>
      <w:r w:rsidR="00D63E32">
        <w:rPr>
          <w:rFonts w:ascii="Garamond" w:eastAsia="Times New Roman" w:hAnsi="Garamond" w:cs="Times New Roman"/>
          <w:sz w:val="28"/>
          <w:szCs w:val="28"/>
          <w:lang w:eastAsia="it-IT"/>
        </w:rPr>
        <w:t>e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ll’art. </w:t>
      </w:r>
      <w:r w:rsidRPr="00EB3B04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57, comma 3, del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D</w:t>
      </w:r>
      <w:r w:rsidRPr="00EB3B04">
        <w:rPr>
          <w:rFonts w:ascii="Garamond" w:eastAsia="Times New Roman" w:hAnsi="Garamond" w:cs="Times New Roman"/>
          <w:sz w:val="28"/>
          <w:szCs w:val="28"/>
          <w:lang w:eastAsia="it-IT"/>
        </w:rPr>
        <w:t>.P.R. n. 633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/</w:t>
      </w:r>
      <w:r w:rsidRPr="00EB3B04">
        <w:rPr>
          <w:rFonts w:ascii="Garamond" w:eastAsia="Times New Roman" w:hAnsi="Garamond" w:cs="Times New Roman"/>
          <w:sz w:val="28"/>
          <w:szCs w:val="28"/>
          <w:lang w:eastAsia="it-IT"/>
        </w:rPr>
        <w:t>1972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, i </w:t>
      </w:r>
      <w:r w:rsidRPr="00EB3B04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termini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decadenziali d’accertamento </w:t>
      </w:r>
      <w:r w:rsidR="00D63E32">
        <w:rPr>
          <w:rFonts w:ascii="Garamond" w:eastAsia="Times New Roman" w:hAnsi="Garamond" w:cs="Times New Roman"/>
          <w:sz w:val="28"/>
          <w:szCs w:val="28"/>
          <w:lang w:eastAsia="it-IT"/>
        </w:rPr>
        <w:t>so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no automaticamente </w:t>
      </w:r>
      <w:r w:rsidRPr="00EB3B04">
        <w:rPr>
          <w:rFonts w:ascii="Garamond" w:eastAsia="Times New Roman" w:hAnsi="Garamond" w:cs="Times New Roman"/>
          <w:sz w:val="28"/>
          <w:szCs w:val="28"/>
          <w:lang w:eastAsia="it-IT"/>
        </w:rPr>
        <w:t>raddoppi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ati</w:t>
      </w:r>
      <w:r w:rsidR="00EB3B04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,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in caso</w:t>
      </w:r>
      <w:r w:rsidR="00EB040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EB3B04" w:rsidRPr="00EB3B04">
        <w:rPr>
          <w:rFonts w:ascii="Garamond" w:eastAsia="Times New Roman" w:hAnsi="Garamond" w:cs="Times New Roman"/>
          <w:sz w:val="28"/>
          <w:szCs w:val="28"/>
          <w:lang w:eastAsia="it-IT"/>
        </w:rPr>
        <w:t>di denuncia penale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Pr="00040F5E">
        <w:rPr>
          <w:rFonts w:ascii="Garamond" w:eastAsia="Times New Roman" w:hAnsi="Garamond" w:cs="Times New Roman"/>
          <w:i/>
          <w:sz w:val="28"/>
          <w:szCs w:val="28"/>
          <w:lang w:eastAsia="it-IT"/>
        </w:rPr>
        <w:t>ex</w:t>
      </w:r>
      <w:r w:rsidRPr="00040F5E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art. 331 c.p.p., </w:t>
      </w:r>
      <w:r w:rsidRPr="00EB3B04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per uno dei reati previsti dal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D</w:t>
      </w:r>
      <w:r w:rsidRPr="00EB3B04">
        <w:rPr>
          <w:rFonts w:ascii="Garamond" w:eastAsia="Times New Roman" w:hAnsi="Garamond" w:cs="Times New Roman"/>
          <w:sz w:val="28"/>
          <w:szCs w:val="28"/>
          <w:lang w:eastAsia="it-IT"/>
        </w:rPr>
        <w:t>.lgs. n. 74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/</w:t>
      </w:r>
      <w:r w:rsidRPr="00EB3B04">
        <w:rPr>
          <w:rFonts w:ascii="Garamond" w:eastAsia="Times New Roman" w:hAnsi="Garamond" w:cs="Times New Roman"/>
          <w:sz w:val="28"/>
          <w:szCs w:val="28"/>
          <w:lang w:eastAsia="it-IT"/>
        </w:rPr>
        <w:t>2000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.</w:t>
      </w:r>
    </w:p>
    <w:p w:rsidR="00EB3B04" w:rsidRPr="00040F5E" w:rsidRDefault="00040F5E" w:rsidP="00127443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lastRenderedPageBreak/>
        <w:t xml:space="preserve">Per il raddoppio </w:t>
      </w:r>
      <w:r w:rsidR="00D63E32">
        <w:rPr>
          <w:rFonts w:ascii="Garamond" w:eastAsia="Times New Roman" w:hAnsi="Garamond" w:cs="Times New Roman"/>
          <w:sz w:val="28"/>
          <w:szCs w:val="28"/>
          <w:lang w:eastAsia="it-IT"/>
        </w:rPr>
        <w:t>è</w:t>
      </w:r>
      <w:r w:rsidR="009F6D8D" w:rsidRPr="00040F5E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sufficiente la presentazione della denuncia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, non </w:t>
      </w:r>
      <w:r w:rsidR="00D63E32">
        <w:rPr>
          <w:rFonts w:ascii="Garamond" w:eastAsia="Times New Roman" w:hAnsi="Garamond" w:cs="Times New Roman"/>
          <w:sz w:val="28"/>
          <w:szCs w:val="28"/>
          <w:lang w:eastAsia="it-IT"/>
        </w:rPr>
        <w:t>importando</w:t>
      </w:r>
      <w:r w:rsidRPr="00040F5E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né l’avvio dell’azione penale prima del decorso dei termini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ordinari</w:t>
      </w:r>
      <w:r w:rsidRPr="00040F5E">
        <w:rPr>
          <w:rFonts w:ascii="Garamond" w:eastAsia="Times New Roman" w:hAnsi="Garamond" w:cs="Times New Roman"/>
          <w:sz w:val="28"/>
          <w:szCs w:val="28"/>
          <w:lang w:eastAsia="it-IT"/>
        </w:rPr>
        <w:t>, né l’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eventuale </w:t>
      </w:r>
      <w:r w:rsidRPr="00040F5E">
        <w:rPr>
          <w:rFonts w:ascii="Garamond" w:eastAsia="Times New Roman" w:hAnsi="Garamond" w:cs="Times New Roman"/>
          <w:sz w:val="28"/>
          <w:szCs w:val="28"/>
          <w:lang w:eastAsia="it-IT"/>
        </w:rPr>
        <w:t>esito di tale azione</w:t>
      </w:r>
      <w:r w:rsidR="00D63E32">
        <w:rPr>
          <w:rFonts w:ascii="Garamond" w:eastAsia="Times New Roman" w:hAnsi="Garamond" w:cs="Times New Roman"/>
          <w:sz w:val="28"/>
          <w:szCs w:val="28"/>
          <w:lang w:eastAsia="it-IT"/>
        </w:rPr>
        <w:t>. E’ comunque essenziale che</w:t>
      </w:r>
      <w:r w:rsidRPr="00040F5E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D63E32">
        <w:rPr>
          <w:rFonts w:ascii="Garamond" w:eastAsia="Times New Roman" w:hAnsi="Garamond" w:cs="Times New Roman"/>
          <w:sz w:val="28"/>
          <w:szCs w:val="28"/>
          <w:lang w:eastAsia="it-IT"/>
        </w:rPr>
        <w:t>“</w:t>
      </w:r>
      <w:r w:rsidRPr="00040F5E">
        <w:rPr>
          <w:rFonts w:ascii="Garamond" w:eastAsia="Times New Roman" w:hAnsi="Garamond" w:cs="Times New Roman"/>
          <w:sz w:val="28"/>
          <w:szCs w:val="28"/>
          <w:lang w:eastAsia="it-IT"/>
        </w:rPr>
        <w:t>il pubblico ufficiale sia in grado di individuare con sicurezza gli elementi del reato da denunciare (escluse le cause di estinzione o di non punibilità, che possono essere valutate solo dall’autorità giudiziaria), non essendo sufficiente il generico sospetto di una eventuale attività illecit</w:t>
      </w:r>
      <w:r w:rsidR="00D63E32">
        <w:rPr>
          <w:rFonts w:ascii="Garamond" w:eastAsia="Times New Roman" w:hAnsi="Garamond" w:cs="Times New Roman"/>
          <w:sz w:val="28"/>
          <w:szCs w:val="28"/>
          <w:lang w:eastAsia="it-IT"/>
        </w:rPr>
        <w:t>a</w:t>
      </w:r>
      <w:r w:rsidRPr="00040F5E">
        <w:rPr>
          <w:rFonts w:ascii="Garamond" w:eastAsia="Times New Roman" w:hAnsi="Garamond" w:cs="Times New Roman"/>
          <w:sz w:val="28"/>
          <w:szCs w:val="28"/>
          <w:lang w:eastAsia="it-IT"/>
        </w:rPr>
        <w:t>”</w:t>
      </w:r>
      <w:r w:rsidRPr="00040F5E">
        <w:rPr>
          <w:rStyle w:val="Rimandonotaapidipagina"/>
          <w:rFonts w:ascii="Garamond" w:hAnsi="Garamond" w:cs="Garamond"/>
          <w:sz w:val="28"/>
          <w:szCs w:val="28"/>
        </w:rPr>
        <w:footnoteReference w:id="19"/>
      </w:r>
      <w:r w:rsidR="00D94B96" w:rsidRPr="00040F5E">
        <w:rPr>
          <w:rFonts w:ascii="Garamond" w:eastAsia="Times New Roman" w:hAnsi="Garamond" w:cs="Times New Roman"/>
          <w:sz w:val="28"/>
          <w:szCs w:val="28"/>
          <w:lang w:eastAsia="it-IT"/>
        </w:rPr>
        <w:t>.</w:t>
      </w:r>
    </w:p>
    <w:p w:rsidR="00EB0405" w:rsidRPr="00EB0405" w:rsidRDefault="00D63E32" w:rsidP="00EB0405">
      <w:pPr>
        <w:spacing w:before="100" w:beforeAutospacing="1" w:after="100" w:afterAutospacing="1" w:line="240" w:lineRule="auto"/>
        <w:jc w:val="both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>Ad ogni modo, l</w:t>
      </w:r>
      <w:r w:rsidR="00EB0405">
        <w:rPr>
          <w:rFonts w:ascii="Garamond" w:eastAsia="Times New Roman" w:hAnsi="Garamond" w:cs="Times New Roman"/>
          <w:sz w:val="28"/>
          <w:szCs w:val="28"/>
          <w:lang w:eastAsia="it-IT"/>
        </w:rPr>
        <w:t>a previsione del raddoppio dei termini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, già </w:t>
      </w:r>
      <w:r w:rsidR="00EB0405">
        <w:rPr>
          <w:rFonts w:ascii="Garamond" w:eastAsia="Times New Roman" w:hAnsi="Garamond" w:cs="Times New Roman"/>
          <w:sz w:val="28"/>
          <w:szCs w:val="28"/>
          <w:lang w:eastAsia="it-IT"/>
        </w:rPr>
        <w:t>depotenziata con il D</w:t>
      </w:r>
      <w:r w:rsidR="00EB0405" w:rsidRPr="00EB0405">
        <w:rPr>
          <w:rFonts w:ascii="Garamond" w:hAnsi="Garamond" w:cs="Garamond"/>
          <w:color w:val="000000"/>
          <w:sz w:val="28"/>
          <w:szCs w:val="28"/>
        </w:rPr>
        <w:t>.lgs. n. 128</w:t>
      </w:r>
      <w:r w:rsidR="00D94B96">
        <w:rPr>
          <w:rFonts w:ascii="Garamond" w:hAnsi="Garamond" w:cs="Garamond"/>
          <w:color w:val="000000"/>
          <w:sz w:val="28"/>
          <w:szCs w:val="28"/>
        </w:rPr>
        <w:t>/</w:t>
      </w:r>
      <w:r w:rsidR="00EB0405" w:rsidRPr="00EB0405">
        <w:rPr>
          <w:rFonts w:ascii="Garamond" w:hAnsi="Garamond" w:cs="Garamond"/>
          <w:color w:val="000000"/>
          <w:sz w:val="28"/>
          <w:szCs w:val="28"/>
        </w:rPr>
        <w:t xml:space="preserve">2015, </w:t>
      </w:r>
      <w:r>
        <w:rPr>
          <w:rFonts w:ascii="Garamond" w:hAnsi="Garamond" w:cs="Garamond"/>
          <w:color w:val="000000"/>
          <w:sz w:val="28"/>
          <w:szCs w:val="28"/>
        </w:rPr>
        <w:t>nel senso</w:t>
      </w:r>
      <w:r w:rsidR="00EB0405" w:rsidRPr="00EB0405">
        <w:rPr>
          <w:rFonts w:ascii="Garamond" w:hAnsi="Garamond" w:cs="Garamond"/>
          <w:color w:val="000000"/>
          <w:sz w:val="28"/>
          <w:szCs w:val="28"/>
        </w:rPr>
        <w:t xml:space="preserve"> che la denuncia dell’</w:t>
      </w:r>
      <w:r w:rsidR="00EB0405">
        <w:rPr>
          <w:rFonts w:ascii="Garamond" w:hAnsi="Garamond" w:cs="Garamond"/>
          <w:color w:val="000000"/>
          <w:sz w:val="28"/>
          <w:szCs w:val="28"/>
        </w:rPr>
        <w:t>a</w:t>
      </w:r>
      <w:r w:rsidR="00EB0405" w:rsidRPr="00EB0405">
        <w:rPr>
          <w:rFonts w:ascii="Garamond" w:hAnsi="Garamond" w:cs="Garamond"/>
          <w:color w:val="000000"/>
          <w:sz w:val="28"/>
          <w:szCs w:val="28"/>
        </w:rPr>
        <w:t>mministrazione finanziaria d</w:t>
      </w:r>
      <w:r w:rsidR="00EB0405">
        <w:rPr>
          <w:rFonts w:ascii="Garamond" w:hAnsi="Garamond" w:cs="Garamond"/>
          <w:color w:val="000000"/>
          <w:sz w:val="28"/>
          <w:szCs w:val="28"/>
        </w:rPr>
        <w:t>ebb</w:t>
      </w:r>
      <w:r w:rsidR="00EB0405" w:rsidRPr="00EB0405">
        <w:rPr>
          <w:rFonts w:ascii="Garamond" w:hAnsi="Garamond" w:cs="Garamond"/>
          <w:color w:val="000000"/>
          <w:sz w:val="28"/>
          <w:szCs w:val="28"/>
        </w:rPr>
        <w:t xml:space="preserve">a </w:t>
      </w:r>
      <w:r w:rsidR="00EB0405">
        <w:rPr>
          <w:rFonts w:ascii="Garamond" w:hAnsi="Garamond" w:cs="Garamond"/>
          <w:color w:val="000000"/>
          <w:sz w:val="28"/>
          <w:szCs w:val="28"/>
        </w:rPr>
        <w:t>esse</w:t>
      </w:r>
      <w:r w:rsidR="00EB0405" w:rsidRPr="00EB0405">
        <w:rPr>
          <w:rFonts w:ascii="Garamond" w:hAnsi="Garamond" w:cs="Garamond"/>
          <w:color w:val="000000"/>
          <w:sz w:val="28"/>
          <w:szCs w:val="28"/>
        </w:rPr>
        <w:t xml:space="preserve">re </w:t>
      </w:r>
      <w:r w:rsidRPr="00EB0405">
        <w:rPr>
          <w:rFonts w:ascii="Garamond" w:hAnsi="Garamond" w:cs="Garamond"/>
          <w:color w:val="000000"/>
          <w:sz w:val="28"/>
          <w:szCs w:val="28"/>
        </w:rPr>
        <w:t xml:space="preserve">necessariamente </w:t>
      </w:r>
      <w:r w:rsidR="00EB0405">
        <w:rPr>
          <w:rFonts w:ascii="Garamond" w:hAnsi="Garamond" w:cs="Garamond"/>
          <w:color w:val="000000"/>
          <w:sz w:val="28"/>
          <w:szCs w:val="28"/>
        </w:rPr>
        <w:t xml:space="preserve">effettuata </w:t>
      </w:r>
      <w:r w:rsidR="00EB0405" w:rsidRPr="00EB0405">
        <w:rPr>
          <w:rFonts w:ascii="Garamond" w:hAnsi="Garamond" w:cs="Garamond"/>
          <w:color w:val="000000"/>
          <w:sz w:val="28"/>
          <w:szCs w:val="28"/>
        </w:rPr>
        <w:t xml:space="preserve">entro i termini </w:t>
      </w:r>
      <w:r>
        <w:rPr>
          <w:rFonts w:ascii="Garamond" w:hAnsi="Garamond" w:cs="Garamond"/>
          <w:color w:val="000000"/>
          <w:sz w:val="28"/>
          <w:szCs w:val="28"/>
        </w:rPr>
        <w:t xml:space="preserve">ordinari </w:t>
      </w:r>
      <w:r w:rsidR="00EB0405">
        <w:rPr>
          <w:rFonts w:ascii="Garamond" w:hAnsi="Garamond" w:cs="Garamond"/>
          <w:color w:val="000000"/>
          <w:sz w:val="28"/>
          <w:szCs w:val="28"/>
        </w:rPr>
        <w:t>d’accertamento, è stata i</w:t>
      </w:r>
      <w:r>
        <w:rPr>
          <w:rFonts w:ascii="Garamond" w:hAnsi="Garamond" w:cs="Garamond"/>
          <w:color w:val="000000"/>
          <w:sz w:val="28"/>
          <w:szCs w:val="28"/>
        </w:rPr>
        <w:t>nfine</w:t>
      </w:r>
      <w:r w:rsidR="00EB0405"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="00EB0405" w:rsidRPr="00EB0405">
        <w:rPr>
          <w:rFonts w:ascii="Garamond" w:hAnsi="Garamond" w:cs="Garamond"/>
          <w:color w:val="000000"/>
          <w:sz w:val="28"/>
          <w:szCs w:val="28"/>
        </w:rPr>
        <w:t>abrogat</w:t>
      </w:r>
      <w:r w:rsidR="00EB0405">
        <w:rPr>
          <w:rFonts w:ascii="Garamond" w:hAnsi="Garamond" w:cs="Garamond"/>
          <w:color w:val="000000"/>
          <w:sz w:val="28"/>
          <w:szCs w:val="28"/>
        </w:rPr>
        <w:t>a</w:t>
      </w:r>
      <w:r w:rsidR="00EB0405" w:rsidRPr="00EB0405">
        <w:rPr>
          <w:rFonts w:ascii="Garamond" w:hAnsi="Garamond" w:cs="Garamond"/>
          <w:color w:val="000000"/>
          <w:sz w:val="28"/>
          <w:szCs w:val="28"/>
        </w:rPr>
        <w:t xml:space="preserve"> dalla l</w:t>
      </w:r>
      <w:r w:rsidR="00EB0405">
        <w:rPr>
          <w:rFonts w:ascii="Garamond" w:hAnsi="Garamond" w:cs="Garamond"/>
          <w:color w:val="000000"/>
          <w:sz w:val="28"/>
          <w:szCs w:val="28"/>
        </w:rPr>
        <w:t>egge</w:t>
      </w:r>
      <w:r w:rsidR="00EB0405" w:rsidRPr="00EB0405">
        <w:rPr>
          <w:rFonts w:ascii="Garamond" w:hAnsi="Garamond" w:cs="Garamond"/>
          <w:color w:val="000000"/>
          <w:sz w:val="28"/>
          <w:szCs w:val="28"/>
        </w:rPr>
        <w:t xml:space="preserve"> n. 208</w:t>
      </w:r>
      <w:r w:rsidR="00EB0405">
        <w:rPr>
          <w:rFonts w:ascii="Garamond" w:hAnsi="Garamond" w:cs="Garamond"/>
          <w:color w:val="000000"/>
          <w:sz w:val="28"/>
          <w:szCs w:val="28"/>
        </w:rPr>
        <w:t>/</w:t>
      </w:r>
      <w:r w:rsidR="00EB0405" w:rsidRPr="00EB0405">
        <w:rPr>
          <w:rFonts w:ascii="Garamond" w:hAnsi="Garamond" w:cs="Garamond"/>
          <w:color w:val="000000"/>
          <w:sz w:val="28"/>
          <w:szCs w:val="28"/>
        </w:rPr>
        <w:t xml:space="preserve">2015, con effetto dagli avvisi relativi al </w:t>
      </w:r>
      <w:r>
        <w:rPr>
          <w:rFonts w:ascii="Garamond" w:hAnsi="Garamond" w:cs="Garamond"/>
          <w:color w:val="000000"/>
          <w:sz w:val="28"/>
          <w:szCs w:val="28"/>
        </w:rPr>
        <w:t xml:space="preserve">successivo </w:t>
      </w:r>
      <w:r w:rsidR="00EB0405" w:rsidRPr="00EB0405">
        <w:rPr>
          <w:rFonts w:ascii="Garamond" w:hAnsi="Garamond" w:cs="Garamond"/>
          <w:color w:val="000000"/>
          <w:sz w:val="28"/>
          <w:szCs w:val="28"/>
        </w:rPr>
        <w:t xml:space="preserve">periodo d’imposta. </w:t>
      </w:r>
    </w:p>
    <w:p w:rsidR="00306441" w:rsidRPr="00DB28E5" w:rsidRDefault="00326D33" w:rsidP="00326D33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L</w:t>
      </w:r>
      <w:r w:rsidR="0030644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a previsione di un termine di decadenza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,</w:t>
      </w:r>
      <w:r w:rsidR="0030644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anziché</w:t>
      </w:r>
      <w:r w:rsidR="0030644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di prescrizione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, determina conseguenze diversi</w:t>
      </w:r>
      <w:r w:rsidR="00127443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ficate</w:t>
      </w:r>
      <w:r w:rsidR="007B769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circa il momento in cui </w:t>
      </w:r>
      <w:r w:rsidR="00907F20">
        <w:rPr>
          <w:rFonts w:ascii="Garamond" w:eastAsia="Times New Roman" w:hAnsi="Garamond" w:cs="Times New Roman"/>
          <w:sz w:val="28"/>
          <w:szCs w:val="28"/>
          <w:lang w:eastAsia="it-IT"/>
        </w:rPr>
        <w:t>esso</w:t>
      </w:r>
      <w:r w:rsidR="007B769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è utilmente consumato</w:t>
      </w:r>
      <w:r w:rsidR="0030644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.</w:t>
      </w:r>
    </w:p>
    <w:p w:rsidR="00306441" w:rsidRPr="00DB28E5" w:rsidRDefault="00890359" w:rsidP="00B559BC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Per vero</w:t>
      </w:r>
      <w:r w:rsidR="0037143A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, l</w:t>
      </w:r>
      <w:r w:rsidR="00921B72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’</w:t>
      </w:r>
      <w:r w:rsidR="0030644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insuscettibil</w:t>
      </w:r>
      <w:r w:rsidR="00921B72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ità</w:t>
      </w:r>
      <w:r w:rsidR="0030644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921B72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della decadenza a</w:t>
      </w:r>
      <w:r w:rsidR="0030644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d</w:t>
      </w:r>
      <w:r w:rsidR="00921B72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essere </w:t>
      </w:r>
      <w:r w:rsidR="0030644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interro</w:t>
      </w:r>
      <w:r w:rsidR="00921B72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tta</w:t>
      </w:r>
      <w:r w:rsidR="0030644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fa sì che</w:t>
      </w:r>
      <w:r w:rsidR="00921B72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, </w:t>
      </w:r>
      <w:r w:rsidR="0037143A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ai fini del rispetto del termine</w:t>
      </w:r>
      <w:r w:rsidR="0030644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, assuma rilievo la data in cui l’ente ha posto in essere gli adempimenti necessari ai fini della notifica dell’</w:t>
      </w:r>
      <w:r w:rsidR="0037143A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atto</w:t>
      </w:r>
      <w:r w:rsidR="00DB28E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–</w:t>
      </w:r>
      <w:r w:rsidR="00A903A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e quindi </w:t>
      </w:r>
      <w:r w:rsidR="009A7381">
        <w:rPr>
          <w:rFonts w:ascii="Garamond" w:eastAsia="Times New Roman" w:hAnsi="Garamond" w:cs="Times New Roman"/>
          <w:sz w:val="28"/>
          <w:szCs w:val="28"/>
          <w:lang w:eastAsia="it-IT"/>
        </w:rPr>
        <w:t>il momento</w:t>
      </w:r>
      <w:r w:rsidR="00DB28E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d</w:t>
      </w:r>
      <w:r w:rsidR="009A7381">
        <w:rPr>
          <w:rFonts w:ascii="Garamond" w:eastAsia="Times New Roman" w:hAnsi="Garamond" w:cs="Times New Roman"/>
          <w:sz w:val="28"/>
          <w:szCs w:val="28"/>
          <w:lang w:eastAsia="it-IT"/>
        </w:rPr>
        <w:t>ella</w:t>
      </w:r>
      <w:r w:rsidR="00DB28E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A903A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consegna dell</w:t>
      </w:r>
      <w:r w:rsidR="00DB28E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’att</w:t>
      </w:r>
      <w:r w:rsidR="00A903A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o all’agente notificatore</w:t>
      </w:r>
      <w:r w:rsidR="00267210" w:rsidRPr="00DB28E5">
        <w:rPr>
          <w:rStyle w:val="Rimandonotaapidipagina"/>
          <w:rFonts w:ascii="Garamond" w:eastAsia="Times New Roman" w:hAnsi="Garamond" w:cs="Times New Roman"/>
          <w:sz w:val="28"/>
          <w:szCs w:val="28"/>
          <w:lang w:eastAsia="it-IT"/>
        </w:rPr>
        <w:footnoteReference w:id="20"/>
      </w:r>
      <w:r w:rsidR="00DB28E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–</w:t>
      </w:r>
      <w:r w:rsidR="00306441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e non quella, successiva, di conoscenza dello stesso da parte del contribuente</w:t>
      </w:r>
      <w:r w:rsidR="00921B72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, come a</w:t>
      </w:r>
      <w:r w:rsidR="00F731D1">
        <w:rPr>
          <w:rFonts w:ascii="Garamond" w:eastAsia="Times New Roman" w:hAnsi="Garamond" w:cs="Times New Roman"/>
          <w:sz w:val="28"/>
          <w:szCs w:val="28"/>
          <w:lang w:eastAsia="it-IT"/>
        </w:rPr>
        <w:t>vvien</w:t>
      </w:r>
      <w:r w:rsidR="00921B72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e per la prescrizione</w:t>
      </w:r>
      <w:r w:rsidR="00267210" w:rsidRPr="00DB28E5">
        <w:rPr>
          <w:rStyle w:val="Rimandonotaapidipagina"/>
          <w:rFonts w:ascii="Garamond" w:eastAsia="Times New Roman" w:hAnsi="Garamond" w:cs="Times New Roman"/>
          <w:sz w:val="28"/>
          <w:szCs w:val="28"/>
          <w:lang w:eastAsia="it-IT"/>
        </w:rPr>
        <w:footnoteReference w:id="21"/>
      </w:r>
      <w:r w:rsidR="00FC4C4A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.</w:t>
      </w:r>
    </w:p>
    <w:p w:rsidR="00B50FBF" w:rsidRPr="00DB28E5" w:rsidRDefault="00907F20" w:rsidP="00B559BC">
      <w:pPr>
        <w:spacing w:before="100" w:beforeAutospacing="1" w:after="100" w:afterAutospacing="1" w:line="240" w:lineRule="auto"/>
        <w:jc w:val="both"/>
        <w:rPr>
          <w:rFonts w:ascii="Garamond" w:hAnsi="Garamond" w:cs="Tahoma"/>
          <w:color w:val="0C0C0F"/>
          <w:sz w:val="28"/>
          <w:szCs w:val="28"/>
          <w:shd w:val="clear" w:color="auto" w:fill="FFFFFF"/>
        </w:rPr>
      </w:pPr>
      <w:r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Quest</w:t>
      </w:r>
      <w:r w:rsidR="004D2C7B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’</w:t>
      </w:r>
      <w:r w:rsidR="00B50FBF" w:rsidRPr="00DB28E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a</w:t>
      </w:r>
      <w:r w:rsidR="0083748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rr</w:t>
      </w:r>
      <w:r w:rsidR="00B50FBF" w:rsidRPr="00DB28E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e</w:t>
      </w:r>
      <w:r w:rsidR="0083748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sto</w:t>
      </w:r>
      <w:r w:rsidR="00B50FBF" w:rsidRPr="00DB28E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 xml:space="preserve"> </w:t>
      </w:r>
      <w:r w:rsidR="009A7381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è</w:t>
      </w:r>
      <w:r w:rsidR="00B50FBF" w:rsidRPr="00DB28E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 xml:space="preserve"> un corollario del principio di diritto affermato dalle Sezioni unite, </w:t>
      </w:r>
      <w:r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se</w:t>
      </w:r>
      <w:r w:rsidR="00B50FBF" w:rsidRPr="00DB28E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c</w:t>
      </w:r>
      <w:r w:rsidR="0083748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on</w:t>
      </w:r>
      <w:r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do</w:t>
      </w:r>
      <w:r w:rsidR="0083748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 xml:space="preserve"> cui</w:t>
      </w:r>
      <w:r w:rsidR="00B50FBF" w:rsidRPr="00DB28E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 xml:space="preserve"> </w:t>
      </w:r>
      <w:r w:rsidR="00DF2C7E" w:rsidRPr="00DB28E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la regola della scissione degli effetti della notificazione tra il notificante ed il destinatario</w:t>
      </w:r>
      <w:r w:rsidR="00DF2C7E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 xml:space="preserve"> </w:t>
      </w:r>
      <w:r w:rsidR="009A7381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stabilita dalla Corte costituzionale</w:t>
      </w:r>
      <w:r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 xml:space="preserve"> ai fini processuali</w:t>
      </w:r>
      <w:r w:rsidR="009A7381">
        <w:rPr>
          <w:rStyle w:val="Rimandonotaapidipagina"/>
          <w:rFonts w:ascii="Garamond" w:hAnsi="Garamond" w:cs="Tahoma"/>
          <w:color w:val="0C0C0F"/>
          <w:sz w:val="28"/>
          <w:szCs w:val="28"/>
          <w:shd w:val="clear" w:color="auto" w:fill="FFFFFF"/>
        </w:rPr>
        <w:footnoteReference w:id="22"/>
      </w:r>
      <w:r w:rsidR="009A7381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 xml:space="preserve"> </w:t>
      </w:r>
      <w:r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v</w:t>
      </w:r>
      <w:r w:rsidR="006737FA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a</w:t>
      </w:r>
      <w:r w:rsidR="00B50FBF" w:rsidRPr="00DB28E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 xml:space="preserve"> estes</w:t>
      </w:r>
      <w:r w:rsidR="0083748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a</w:t>
      </w:r>
      <w:r w:rsidR="00B50FBF" w:rsidRPr="00DB28E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 xml:space="preserve"> </w:t>
      </w:r>
      <w:r w:rsidR="00DF2C7E" w:rsidRPr="00DB28E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 xml:space="preserve">agli atti del procedimento amministrativo (nella </w:t>
      </w:r>
      <w:r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fatti</w:t>
      </w:r>
      <w:r w:rsidR="00DF2C7E" w:rsidRPr="00DB28E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specie</w:t>
      </w:r>
      <w:r w:rsidR="004D2C7B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,</w:t>
      </w:r>
      <w:r w:rsidR="00DF2C7E" w:rsidRPr="00DB28E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 xml:space="preserve"> sanzionatorio)</w:t>
      </w:r>
      <w:r w:rsidR="00B50FBF" w:rsidRPr="00DB28E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 xml:space="preserve">, </w:t>
      </w:r>
      <w:r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ogni qual</w:t>
      </w:r>
      <w:r w:rsidR="00B50FBF" w:rsidRPr="00DB28E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 xml:space="preserve"> volt</w:t>
      </w:r>
      <w:r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a</w:t>
      </w:r>
      <w:r w:rsidR="00B50FBF" w:rsidRPr="00DB28E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 xml:space="preserve"> </w:t>
      </w:r>
      <w:r w:rsidR="00DB7EBC" w:rsidRPr="00DB28E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 xml:space="preserve">i termini per l’esercizio del diritto di difesa decorrano </w:t>
      </w:r>
      <w:r w:rsidR="00B50FBF" w:rsidRPr="00DB28E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 xml:space="preserve">dalla conoscenza dell’atto stesso e, ad un tempo, </w:t>
      </w:r>
      <w:r w:rsidR="00DB7EBC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l’</w:t>
      </w:r>
      <w:r w:rsidR="00B50FBF" w:rsidRPr="00DB28E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 xml:space="preserve">omessa comunicazione entro un certo termine </w:t>
      </w:r>
      <w:r w:rsidR="00DB7EBC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determini</w:t>
      </w:r>
      <w:r w:rsidR="00B50FBF" w:rsidRPr="00DB28E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 xml:space="preserve"> la decadenza dell’amministrazione.</w:t>
      </w:r>
    </w:p>
    <w:p w:rsidR="00B50FBF" w:rsidRPr="00DB28E5" w:rsidRDefault="009B028B" w:rsidP="00B559BC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 xml:space="preserve">Per gli </w:t>
      </w:r>
      <w:r w:rsidR="00B50FBF" w:rsidRPr="00DB28E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 xml:space="preserve">atti amministrativi, la regola </w:t>
      </w:r>
      <w:r w:rsidR="00DB7EBC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è stat</w:t>
      </w:r>
      <w:r w:rsidR="00B50FBF" w:rsidRPr="00DB28E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a</w:t>
      </w:r>
      <w:r w:rsidR="00DB7EBC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 xml:space="preserve"> però</w:t>
      </w:r>
      <w:r w:rsidR="00B50FBF" w:rsidRPr="00DB28E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 xml:space="preserve"> corretta nel senso che la decadenza del potere </w:t>
      </w:r>
      <w:r w:rsidR="00DB7EBC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è impedit</w:t>
      </w:r>
      <w:r w:rsidR="00B50FBF" w:rsidRPr="00DB28E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 xml:space="preserve">a </w:t>
      </w:r>
      <w:r w:rsidR="00842BD1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dal</w:t>
      </w:r>
      <w:r w:rsidR="00B50FBF" w:rsidRPr="00DB28E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 xml:space="preserve">la </w:t>
      </w:r>
      <w:r w:rsidR="00907F20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 xml:space="preserve">solo </w:t>
      </w:r>
      <w:r w:rsidR="00842BD1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spedizione</w:t>
      </w:r>
      <w:r w:rsidR="00B50FBF" w:rsidRPr="00DB28E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 xml:space="preserve"> </w:t>
      </w:r>
      <w:r w:rsidR="00907F20" w:rsidRPr="00DB28E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dell’atto</w:t>
      </w:r>
      <w:r w:rsidR="00907F20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,</w:t>
      </w:r>
      <w:r w:rsidR="00907F20" w:rsidRPr="00DB28E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 xml:space="preserve"> </w:t>
      </w:r>
      <w:r w:rsidR="00907F20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s</w:t>
      </w:r>
      <w:r w:rsidR="00B50FBF" w:rsidRPr="00DB28E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e</w:t>
      </w:r>
      <w:r w:rsidR="00907F20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nza che occorra</w:t>
      </w:r>
      <w:r w:rsidR="00B50FBF" w:rsidRPr="00DB28E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 xml:space="preserve"> l’effettiva conoscenza </w:t>
      </w:r>
      <w:r w:rsidR="00DB7EBC" w:rsidRPr="00DB28E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 xml:space="preserve"> </w:t>
      </w:r>
      <w:r w:rsidR="00B50FBF" w:rsidRPr="00DB28E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da parte del destinatario</w:t>
      </w:r>
      <w:r w:rsidR="00DB7EBC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:</w:t>
      </w:r>
      <w:r w:rsidR="00B50FBF" w:rsidRPr="00DB28E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 xml:space="preserve"> ciò allo scopo di </w:t>
      </w:r>
      <w:r w:rsidR="00B50FBF" w:rsidRPr="00DB28E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lastRenderedPageBreak/>
        <w:t>bilanciare l’interesse del notificante</w:t>
      </w:r>
      <w:r w:rsidR="00907F20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,</w:t>
      </w:r>
      <w:r w:rsidR="00B50FBF" w:rsidRPr="00DB28E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 xml:space="preserve"> a non vedersi imputare </w:t>
      </w:r>
      <w:r w:rsidR="004D2C7B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 xml:space="preserve">le </w:t>
      </w:r>
      <w:r w:rsidR="00B50FBF" w:rsidRPr="00DB28E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conseguenze negative per il mancato perfezionamento della fattispecie a causa d</w:t>
      </w:r>
      <w:r w:rsidR="00571C24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el</w:t>
      </w:r>
      <w:r w:rsidR="00B50FBF" w:rsidRPr="00DB28E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 xml:space="preserve"> fatto d</w:t>
      </w:r>
      <w:r w:rsidR="00DB7EBC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ell’agente della notifica</w:t>
      </w:r>
      <w:r w:rsidR="00907F20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,</w:t>
      </w:r>
      <w:r w:rsidR="002A4ABB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 xml:space="preserve"> con q</w:t>
      </w:r>
      <w:r w:rsidR="00B50FBF" w:rsidRPr="00DB28E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uello del destinatario</w:t>
      </w:r>
      <w:r w:rsidR="00907F20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,</w:t>
      </w:r>
      <w:r w:rsidR="00B50FBF" w:rsidRPr="00DB28E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 xml:space="preserve"> a</w:t>
      </w:r>
      <w:r w:rsidR="00842BD1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 xml:space="preserve"> poter esercitare </w:t>
      </w:r>
      <w:r w:rsidR="00B50FBF" w:rsidRPr="00DB28E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i propri diritti</w:t>
      </w:r>
      <w:r w:rsidR="00DB7EBC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 xml:space="preserve"> </w:t>
      </w:r>
      <w:r w:rsidR="00842BD1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 xml:space="preserve">difensivi </w:t>
      </w:r>
      <w:r w:rsidR="00DB7EBC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solo</w:t>
      </w:r>
      <w:r w:rsidR="00B50FBF" w:rsidRPr="00DB28E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 xml:space="preserve"> a seguito dell</w:t>
      </w:r>
      <w:r w:rsidR="00DB7EBC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’</w:t>
      </w:r>
      <w:r w:rsidR="00B50FBF" w:rsidRPr="00DB28E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acquisita conoscenza del contenuto dell</w:t>
      </w:r>
      <w:r w:rsidR="00DB7EBC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’</w:t>
      </w:r>
      <w:r w:rsidR="00B50FBF" w:rsidRPr="00DB28E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atto medesimo</w:t>
      </w:r>
      <w:r w:rsidR="00B50FBF" w:rsidRPr="00DB28E5">
        <w:rPr>
          <w:rStyle w:val="Rimandonotaapidipagina"/>
          <w:rFonts w:ascii="Garamond" w:hAnsi="Garamond" w:cs="Tahoma"/>
          <w:color w:val="0C0C0F"/>
          <w:sz w:val="28"/>
          <w:szCs w:val="28"/>
          <w:shd w:val="clear" w:color="auto" w:fill="FFFFFF"/>
        </w:rPr>
        <w:footnoteReference w:id="23"/>
      </w:r>
      <w:r w:rsidR="00B50FBF" w:rsidRPr="00DB28E5">
        <w:rPr>
          <w:rFonts w:ascii="Garamond" w:hAnsi="Garamond" w:cs="Tahoma"/>
          <w:color w:val="0C0C0F"/>
          <w:sz w:val="28"/>
          <w:szCs w:val="28"/>
          <w:shd w:val="clear" w:color="auto" w:fill="FFFFFF"/>
        </w:rPr>
        <w:t>.</w:t>
      </w:r>
    </w:p>
    <w:p w:rsidR="00E818E2" w:rsidRPr="00DB28E5" w:rsidRDefault="002868A0" w:rsidP="00821A96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La questione della scissione dei termini di notifica degli atti tributari impositivi </w:t>
      </w:r>
      <w:r w:rsidR="00E818E2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è stata </w:t>
      </w:r>
      <w:r w:rsidR="00921B72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recentemente </w:t>
      </w:r>
      <w:r w:rsidR="00E818E2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oggetto di rimessione alla Sezioni unite</w:t>
      </w:r>
      <w:r w:rsidR="00B02F59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, </w:t>
      </w:r>
      <w:r w:rsidR="00921B72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dandosi atto</w:t>
      </w:r>
      <w:r w:rsidR="00B02F59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di un pregresso orientamento di segno opposto</w:t>
      </w:r>
      <w:r w:rsidR="00E818E2" w:rsidRPr="00DB28E5">
        <w:rPr>
          <w:rFonts w:ascii="Garamond" w:hAnsi="Garamond"/>
          <w:sz w:val="28"/>
          <w:szCs w:val="28"/>
          <w:vertAlign w:val="superscript"/>
        </w:rPr>
        <w:footnoteReference w:id="24"/>
      </w:r>
      <w:r w:rsidR="00E818E2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.</w:t>
      </w:r>
    </w:p>
    <w:p w:rsidR="00AA1CED" w:rsidRDefault="00890359" w:rsidP="00B559BC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Il</w:t>
      </w:r>
      <w:r w:rsidR="00B559B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parallelismo tra la posizione dell’amministrazione e quella del contribuente</w:t>
      </w:r>
      <w:r w:rsidR="00907F20">
        <w:rPr>
          <w:rFonts w:ascii="Garamond" w:eastAsia="Times New Roman" w:hAnsi="Garamond" w:cs="Times New Roman"/>
          <w:sz w:val="28"/>
          <w:szCs w:val="28"/>
          <w:lang w:eastAsia="it-IT"/>
        </w:rPr>
        <w:t>,</w:t>
      </w:r>
      <w:r w:rsidR="00B559B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907F20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sin qui descritto</w:t>
      </w:r>
      <w:r w:rsidR="00907F20">
        <w:rPr>
          <w:rFonts w:ascii="Garamond" w:eastAsia="Times New Roman" w:hAnsi="Garamond" w:cs="Times New Roman"/>
          <w:sz w:val="28"/>
          <w:szCs w:val="28"/>
          <w:lang w:eastAsia="it-IT"/>
        </w:rPr>
        <w:t>,</w:t>
      </w:r>
      <w:r w:rsidR="00907F20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B559B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s</w:t>
      </w:r>
      <w:r w:rsidR="00907F20">
        <w:rPr>
          <w:rFonts w:ascii="Garamond" w:eastAsia="Times New Roman" w:hAnsi="Garamond" w:cs="Times New Roman"/>
          <w:sz w:val="28"/>
          <w:szCs w:val="28"/>
          <w:lang w:eastAsia="it-IT"/>
        </w:rPr>
        <w:t>ub</w:t>
      </w:r>
      <w:r w:rsidR="00B60077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isce</w:t>
      </w:r>
      <w:r w:rsidR="00B559B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AA1CED">
        <w:rPr>
          <w:rFonts w:ascii="Garamond" w:eastAsia="Times New Roman" w:hAnsi="Garamond" w:cs="Times New Roman"/>
          <w:sz w:val="28"/>
          <w:szCs w:val="28"/>
          <w:lang w:eastAsia="it-IT"/>
        </w:rPr>
        <w:t>significative</w:t>
      </w:r>
      <w:r w:rsidR="00B559B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907F20">
        <w:rPr>
          <w:rFonts w:ascii="Garamond" w:eastAsia="Times New Roman" w:hAnsi="Garamond" w:cs="Times New Roman"/>
          <w:sz w:val="28"/>
          <w:szCs w:val="28"/>
          <w:lang w:eastAsia="it-IT"/>
        </w:rPr>
        <w:t>rotture</w:t>
      </w:r>
      <w:r w:rsidR="00AA1CED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sia sul piano sostanziale che su quello processuale.</w:t>
      </w:r>
    </w:p>
    <w:p w:rsidR="00AA1CED" w:rsidRDefault="00AA1CED" w:rsidP="00AA1CED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>Sul piano sostanziale,</w:t>
      </w:r>
      <w:r w:rsidRPr="00AA1CED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907F20">
        <w:rPr>
          <w:rFonts w:ascii="Garamond" w:eastAsia="Times New Roman" w:hAnsi="Garamond" w:cs="Times New Roman"/>
          <w:sz w:val="28"/>
          <w:szCs w:val="28"/>
          <w:lang w:eastAsia="it-IT"/>
        </w:rPr>
        <w:t>si richiama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l’orientamento giurisprudenziale secondo cui, quando la </w:t>
      </w:r>
      <w:r w:rsidRPr="00AA1CED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ripresa a tassazione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di </w:t>
      </w:r>
      <w:r w:rsidRPr="00AA1CED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costi pluriennali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non riguarda l’</w:t>
      </w:r>
      <w:r w:rsidRPr="008846FF">
        <w:rPr>
          <w:rFonts w:ascii="Garamond" w:eastAsia="Times New Roman" w:hAnsi="Garamond" w:cs="Times New Roman"/>
          <w:sz w:val="28"/>
          <w:szCs w:val="28"/>
          <w:lang w:eastAsia="it-IT"/>
        </w:rPr>
        <w:t>errato computo del singolo rateo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,</w:t>
      </w:r>
      <w:r w:rsidRPr="008846FF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ma riguarda, a monte, il fatto generatore </w:t>
      </w:r>
      <w:r w:rsidR="00571C24">
        <w:rPr>
          <w:rFonts w:ascii="Garamond" w:eastAsia="Times New Roman" w:hAnsi="Garamond" w:cs="Times New Roman"/>
          <w:sz w:val="28"/>
          <w:szCs w:val="28"/>
          <w:lang w:eastAsia="it-IT"/>
        </w:rPr>
        <w:t>o</w:t>
      </w:r>
      <w:r w:rsidRPr="008846FF">
        <w:rPr>
          <w:rFonts w:ascii="Garamond" w:eastAsia="Times New Roman" w:hAnsi="Garamond" w:cs="Times New Roman"/>
          <w:sz w:val="28"/>
          <w:szCs w:val="28"/>
          <w:lang w:eastAsia="it-IT"/>
        </w:rPr>
        <w:t>d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i</w:t>
      </w:r>
      <w:r w:rsidRPr="008846FF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l presupposto costitutivo di esso,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i</w:t>
      </w:r>
      <w:r w:rsidRPr="008846FF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l termine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decadenziale </w:t>
      </w:r>
      <w:r w:rsidRPr="008846FF">
        <w:rPr>
          <w:rFonts w:ascii="Garamond" w:eastAsia="Times New Roman" w:hAnsi="Garamond" w:cs="Times New Roman"/>
          <w:sz w:val="28"/>
          <w:szCs w:val="28"/>
          <w:lang w:eastAsia="it-IT"/>
        </w:rPr>
        <w:t>per l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’</w:t>
      </w:r>
      <w:r w:rsidRPr="008846FF">
        <w:rPr>
          <w:rFonts w:ascii="Garamond" w:eastAsia="Times New Roman" w:hAnsi="Garamond" w:cs="Times New Roman"/>
          <w:sz w:val="28"/>
          <w:szCs w:val="28"/>
          <w:lang w:eastAsia="it-IT"/>
        </w:rPr>
        <w:t>accertamento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, ai sensi dell’</w:t>
      </w:r>
      <w:r w:rsidRPr="008846FF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art. 43 del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D</w:t>
      </w:r>
      <w:r w:rsidRPr="008846FF">
        <w:rPr>
          <w:rFonts w:ascii="Garamond" w:eastAsia="Times New Roman" w:hAnsi="Garamond" w:cs="Times New Roman"/>
          <w:sz w:val="28"/>
          <w:szCs w:val="28"/>
          <w:lang w:eastAsia="it-IT"/>
        </w:rPr>
        <w:t>.P.R. n. 600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/</w:t>
      </w:r>
      <w:r w:rsidRPr="008846FF">
        <w:rPr>
          <w:rFonts w:ascii="Garamond" w:eastAsia="Times New Roman" w:hAnsi="Garamond" w:cs="Times New Roman"/>
          <w:sz w:val="28"/>
          <w:szCs w:val="28"/>
          <w:lang w:eastAsia="it-IT"/>
        </w:rPr>
        <w:t>1973</w:t>
      </w:r>
      <w:r>
        <w:rPr>
          <w:rStyle w:val="Rimandonotaapidipagina"/>
          <w:rFonts w:ascii="Garamond" w:eastAsia="Times New Roman" w:hAnsi="Garamond" w:cs="Times New Roman"/>
          <w:sz w:val="28"/>
          <w:szCs w:val="28"/>
          <w:lang w:eastAsia="it-IT"/>
        </w:rPr>
        <w:footnoteReference w:id="25"/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, non decorre</w:t>
      </w:r>
      <w:r w:rsidRPr="00CE3729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da</w:t>
      </w:r>
      <w:r w:rsidRPr="008846FF">
        <w:rPr>
          <w:rFonts w:ascii="Garamond" w:eastAsia="Times New Roman" w:hAnsi="Garamond" w:cs="Times New Roman"/>
          <w:sz w:val="28"/>
          <w:szCs w:val="28"/>
          <w:lang w:eastAsia="it-IT"/>
        </w:rPr>
        <w:t>l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l’annualità d’imposta in cui</w:t>
      </w:r>
      <w:r w:rsidRPr="008846FF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quel componente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sia</w:t>
      </w:r>
      <w:r w:rsidRPr="008846FF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maturato o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d</w:t>
      </w:r>
      <w:r w:rsidRPr="008846FF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iscritto per la prima volta in bilancio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, ma da</w:t>
      </w:r>
      <w:r w:rsidRPr="008846FF">
        <w:rPr>
          <w:rFonts w:ascii="Garamond" w:eastAsia="Times New Roman" w:hAnsi="Garamond" w:cs="Times New Roman"/>
          <w:sz w:val="28"/>
          <w:szCs w:val="28"/>
          <w:lang w:eastAsia="it-IT"/>
        </w:rPr>
        <w:t>l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l’annualità d’imposta della </w:t>
      </w:r>
      <w:r w:rsidRPr="008A1D9A">
        <w:rPr>
          <w:rFonts w:ascii="Garamond" w:eastAsia="Times New Roman" w:hAnsi="Garamond" w:cs="Times New Roman"/>
          <w:sz w:val="28"/>
          <w:szCs w:val="28"/>
          <w:lang w:eastAsia="it-IT"/>
        </w:rPr>
        <w:t>dichiarazione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dove è</w:t>
      </w:r>
      <w:r w:rsidRPr="008846FF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indicato il rateo di suddivisione del componente pluriennale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su cui è sorta la contestazione, atteso che, </w:t>
      </w:r>
      <w:r w:rsidRPr="00D71F30">
        <w:rPr>
          <w:rFonts w:ascii="Garamond" w:eastAsia="Times New Roman" w:hAnsi="Garamond" w:cs="Times New Roman"/>
          <w:sz w:val="28"/>
          <w:szCs w:val="28"/>
          <w:lang w:eastAsia="it-IT"/>
        </w:rPr>
        <w:t>per l’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E</w:t>
      </w:r>
      <w:r w:rsidRPr="00D71F30">
        <w:rPr>
          <w:rFonts w:ascii="Garamond" w:eastAsia="Times New Roman" w:hAnsi="Garamond" w:cs="Times New Roman"/>
          <w:sz w:val="28"/>
          <w:szCs w:val="28"/>
          <w:lang w:eastAsia="it-IT"/>
        </w:rPr>
        <w:t>rario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,</w:t>
      </w:r>
      <w:r>
        <w:rPr>
          <w:rStyle w:val="Rimandonotaapidipagina"/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Pr="00D71F3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l’immediato disconoscimento del costo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riporta</w:t>
      </w:r>
      <w:r w:rsidRPr="00D71F30">
        <w:rPr>
          <w:rFonts w:ascii="Garamond" w:eastAsia="Times New Roman" w:hAnsi="Garamond" w:cs="Times New Roman"/>
          <w:sz w:val="28"/>
          <w:szCs w:val="28"/>
          <w:lang w:eastAsia="it-IT"/>
        </w:rPr>
        <w:t>to su più esercizi è una facoltà e non un obbligo</w:t>
      </w:r>
      <w:r>
        <w:rPr>
          <w:rStyle w:val="Rimandonotaapidipagina"/>
          <w:rFonts w:ascii="Garamond" w:eastAsia="Times New Roman" w:hAnsi="Garamond" w:cs="Times New Roman"/>
          <w:sz w:val="28"/>
          <w:szCs w:val="28"/>
          <w:lang w:eastAsia="it-IT"/>
        </w:rPr>
        <w:footnoteReference w:id="26"/>
      </w:r>
      <w:r w:rsidRPr="008846FF">
        <w:rPr>
          <w:rFonts w:ascii="Garamond" w:eastAsia="Times New Roman" w:hAnsi="Garamond" w:cs="Times New Roman"/>
          <w:sz w:val="28"/>
          <w:szCs w:val="28"/>
          <w:lang w:eastAsia="it-IT"/>
        </w:rPr>
        <w:t>.</w:t>
      </w:r>
    </w:p>
    <w:p w:rsidR="00AA1CED" w:rsidRDefault="00AA1CED" w:rsidP="00AA1CED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>Ne consegue</w:t>
      </w:r>
      <w:r w:rsidRPr="00A07F4B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che l’accertamento può intervenire a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d</w:t>
      </w:r>
      <w:r w:rsidRPr="00A07F4B">
        <w:rPr>
          <w:rFonts w:ascii="Garamond" w:eastAsia="Times New Roman" w:hAnsi="Garamond" w:cs="Times New Roman"/>
          <w:sz w:val="28"/>
          <w:szCs w:val="28"/>
          <w:lang w:eastAsia="it-IT"/>
        </w:rPr>
        <w:t>i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stanza di svariati</w:t>
      </w:r>
      <w:r w:rsidRPr="00A07F4B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anni dall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’</w:t>
      </w:r>
      <w:r w:rsidRPr="00A07F4B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iscrizione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in bilancio </w:t>
      </w:r>
      <w:r w:rsidRPr="00A07F4B">
        <w:rPr>
          <w:rFonts w:ascii="Garamond" w:eastAsia="Times New Roman" w:hAnsi="Garamond" w:cs="Times New Roman"/>
          <w:sz w:val="28"/>
          <w:szCs w:val="28"/>
          <w:lang w:eastAsia="it-IT"/>
        </w:rPr>
        <w:t>del primo rateo.</w:t>
      </w:r>
    </w:p>
    <w:p w:rsidR="00AA1CED" w:rsidRDefault="00496853" w:rsidP="00C35BF7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>Tuttavia, del tutto a</w:t>
      </w:r>
      <w:r w:rsidR="00AA1CED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simmetricamente, </w:t>
      </w:r>
      <w:r w:rsidR="00AA1CED" w:rsidRPr="00C433D3">
        <w:rPr>
          <w:rFonts w:ascii="Garamond" w:eastAsia="Times New Roman" w:hAnsi="Garamond" w:cs="Times New Roman"/>
          <w:sz w:val="28"/>
          <w:szCs w:val="28"/>
          <w:lang w:eastAsia="it-IT"/>
        </w:rPr>
        <w:t>nell</w:t>
      </w:r>
      <w:r w:rsidR="00907F20">
        <w:rPr>
          <w:rFonts w:ascii="Garamond" w:eastAsia="Times New Roman" w:hAnsi="Garamond" w:cs="Times New Roman"/>
          <w:sz w:val="28"/>
          <w:szCs w:val="28"/>
          <w:lang w:eastAsia="it-IT"/>
        </w:rPr>
        <w:t>’</w:t>
      </w:r>
      <w:r w:rsidR="00907F20" w:rsidRPr="00C433D3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ipotesi </w:t>
      </w:r>
      <w:r w:rsidR="00A40F68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invertita </w:t>
      </w:r>
      <w:r w:rsidR="00AA1CED" w:rsidRPr="00C433D3">
        <w:rPr>
          <w:rFonts w:ascii="Garamond" w:eastAsia="Times New Roman" w:hAnsi="Garamond" w:cs="Times New Roman"/>
          <w:sz w:val="28"/>
          <w:szCs w:val="28"/>
          <w:lang w:eastAsia="it-IT"/>
        </w:rPr>
        <w:t>d</w:t>
      </w:r>
      <w:r w:rsidR="00907F20">
        <w:rPr>
          <w:rFonts w:ascii="Garamond" w:eastAsia="Times New Roman" w:hAnsi="Garamond" w:cs="Times New Roman"/>
          <w:sz w:val="28"/>
          <w:szCs w:val="28"/>
          <w:lang w:eastAsia="it-IT"/>
        </w:rPr>
        <w:t>ella</w:t>
      </w:r>
      <w:r w:rsidR="00AA1CED" w:rsidRPr="00C433D3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C35BF7">
        <w:rPr>
          <w:rFonts w:ascii="Garamond" w:eastAsia="Times New Roman" w:hAnsi="Garamond" w:cs="Times New Roman"/>
          <w:sz w:val="28"/>
          <w:szCs w:val="28"/>
          <w:lang w:eastAsia="it-IT"/>
        </w:rPr>
        <w:t>maggiore imposta versata</w:t>
      </w:r>
      <w:r w:rsidR="00C35BF7" w:rsidRPr="00C35BF7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C35BF7">
        <w:rPr>
          <w:rFonts w:ascii="Garamond" w:eastAsia="Times New Roman" w:hAnsi="Garamond" w:cs="Times New Roman"/>
          <w:sz w:val="28"/>
          <w:szCs w:val="28"/>
          <w:lang w:eastAsia="it-IT"/>
        </w:rPr>
        <w:t>del contribuente in più ratei</w:t>
      </w:r>
      <w:r w:rsidR="00AA1CED" w:rsidRPr="00C433D3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,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la giurisprudenza </w:t>
      </w:r>
      <w:r w:rsidR="00907F2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afferma che </w:t>
      </w:r>
      <w:r w:rsidR="00AA1CED">
        <w:rPr>
          <w:rFonts w:ascii="Garamond" w:eastAsia="Times New Roman" w:hAnsi="Garamond" w:cs="Times New Roman"/>
          <w:sz w:val="28"/>
          <w:szCs w:val="28"/>
          <w:lang w:eastAsia="it-IT"/>
        </w:rPr>
        <w:t>la decadenza biennale</w:t>
      </w:r>
      <w:r w:rsidR="00C35BF7" w:rsidRPr="00C35BF7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C35BF7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dal </w:t>
      </w:r>
      <w:r w:rsidR="00C35BF7" w:rsidRPr="00C433D3">
        <w:rPr>
          <w:rFonts w:ascii="Garamond" w:eastAsia="Times New Roman" w:hAnsi="Garamond" w:cs="Times New Roman"/>
          <w:sz w:val="28"/>
          <w:szCs w:val="28"/>
          <w:lang w:eastAsia="it-IT"/>
        </w:rPr>
        <w:t>diritto al rimborso</w:t>
      </w:r>
      <w:r w:rsidR="00C35BF7" w:rsidRPr="00C35BF7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C35BF7">
        <w:rPr>
          <w:rFonts w:ascii="Garamond" w:eastAsia="Times New Roman" w:hAnsi="Garamond" w:cs="Times New Roman"/>
          <w:sz w:val="28"/>
          <w:szCs w:val="28"/>
          <w:lang w:eastAsia="it-IT"/>
        </w:rPr>
        <w:t>dell’intera somma eccedanea</w:t>
      </w:r>
      <w:r w:rsidR="00AA1CED">
        <w:rPr>
          <w:rFonts w:ascii="Garamond" w:eastAsia="Times New Roman" w:hAnsi="Garamond" w:cs="Times New Roman"/>
          <w:sz w:val="28"/>
          <w:szCs w:val="28"/>
          <w:lang w:eastAsia="it-IT"/>
        </w:rPr>
        <w:t>,</w:t>
      </w:r>
      <w:r w:rsidR="00AA1CED" w:rsidRPr="00C433D3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AA1CED" w:rsidRPr="00AA1CED">
        <w:rPr>
          <w:rFonts w:ascii="Garamond" w:eastAsia="Times New Roman" w:hAnsi="Garamond" w:cs="Times New Roman"/>
          <w:i/>
          <w:sz w:val="28"/>
          <w:szCs w:val="28"/>
          <w:lang w:eastAsia="it-IT"/>
        </w:rPr>
        <w:t>ex</w:t>
      </w:r>
      <w:r w:rsidR="00AA1CED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AA1CED" w:rsidRPr="00C433D3">
        <w:rPr>
          <w:rFonts w:ascii="Garamond" w:eastAsia="Times New Roman" w:hAnsi="Garamond" w:cs="Times New Roman"/>
          <w:sz w:val="28"/>
          <w:szCs w:val="28"/>
          <w:lang w:eastAsia="it-IT"/>
        </w:rPr>
        <w:t>art. 21, comma 2, del D.lgs. n. 546/1992</w:t>
      </w:r>
      <w:r w:rsidR="00AA1CED">
        <w:rPr>
          <w:rFonts w:ascii="Garamond" w:eastAsia="Times New Roman" w:hAnsi="Garamond" w:cs="Times New Roman"/>
          <w:sz w:val="28"/>
          <w:szCs w:val="28"/>
          <w:lang w:eastAsia="it-IT"/>
        </w:rPr>
        <w:t>,</w:t>
      </w:r>
      <w:r w:rsidR="00AA1CED" w:rsidRPr="00C433D3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decorre da ciascuno dei pagamenti</w:t>
      </w:r>
      <w:r w:rsidR="00907F20">
        <w:rPr>
          <w:rFonts w:ascii="Garamond" w:eastAsia="Times New Roman" w:hAnsi="Garamond" w:cs="Times New Roman"/>
          <w:sz w:val="28"/>
          <w:szCs w:val="28"/>
          <w:lang w:eastAsia="it-IT"/>
        </w:rPr>
        <w:t>,</w:t>
      </w:r>
      <w:r w:rsidR="00AA1CED" w:rsidRPr="00C433D3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907F2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anziché </w:t>
      </w:r>
      <w:r w:rsidR="00AA1CED" w:rsidRPr="00C433D3">
        <w:rPr>
          <w:rFonts w:ascii="Garamond" w:eastAsia="Times New Roman" w:hAnsi="Garamond" w:cs="Times New Roman"/>
          <w:sz w:val="28"/>
          <w:szCs w:val="28"/>
          <w:lang w:eastAsia="it-IT"/>
        </w:rPr>
        <w:t>dalla data dell</w:t>
      </w:r>
      <w:r w:rsidR="00AA1CED">
        <w:rPr>
          <w:rFonts w:ascii="Garamond" w:eastAsia="Times New Roman" w:hAnsi="Garamond" w:cs="Times New Roman"/>
          <w:sz w:val="28"/>
          <w:szCs w:val="28"/>
          <w:lang w:eastAsia="it-IT"/>
        </w:rPr>
        <w:t>’</w:t>
      </w:r>
      <w:r w:rsidR="00AA1CED" w:rsidRPr="00C433D3">
        <w:rPr>
          <w:rFonts w:ascii="Garamond" w:eastAsia="Times New Roman" w:hAnsi="Garamond" w:cs="Times New Roman"/>
          <w:sz w:val="28"/>
          <w:szCs w:val="28"/>
          <w:lang w:eastAsia="it-IT"/>
        </w:rPr>
        <w:t>ultim</w:t>
      </w:r>
      <w:r w:rsidR="00B607FB">
        <w:rPr>
          <w:rFonts w:ascii="Garamond" w:eastAsia="Times New Roman" w:hAnsi="Garamond" w:cs="Times New Roman"/>
          <w:sz w:val="28"/>
          <w:szCs w:val="28"/>
          <w:lang w:eastAsia="it-IT"/>
        </w:rPr>
        <w:t>o</w:t>
      </w:r>
      <w:r w:rsidR="00AA1CED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pagamento frazionato</w:t>
      </w:r>
      <w:r w:rsidR="00AA1CED">
        <w:rPr>
          <w:rStyle w:val="Rimandonotaapidipagina"/>
          <w:rFonts w:ascii="Garamond" w:eastAsia="Times New Roman" w:hAnsi="Garamond" w:cs="Times New Roman"/>
          <w:sz w:val="28"/>
          <w:szCs w:val="28"/>
          <w:lang w:eastAsia="it-IT"/>
        </w:rPr>
        <w:footnoteReference w:id="27"/>
      </w:r>
      <w:r w:rsidR="00AA1CED">
        <w:rPr>
          <w:rFonts w:ascii="Garamond" w:eastAsia="Times New Roman" w:hAnsi="Garamond" w:cs="Times New Roman"/>
          <w:sz w:val="28"/>
          <w:szCs w:val="28"/>
          <w:lang w:eastAsia="it-IT"/>
        </w:rPr>
        <w:t>.</w:t>
      </w:r>
    </w:p>
    <w:p w:rsidR="00B559BC" w:rsidRPr="00DB28E5" w:rsidRDefault="00C35BF7" w:rsidP="00B559BC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lastRenderedPageBreak/>
        <w:t>Sul piano processale, uno squilibrio no</w:t>
      </w:r>
      <w:r w:rsidR="00496853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tevole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si </w:t>
      </w:r>
      <w:r w:rsidR="00496853">
        <w:rPr>
          <w:rFonts w:ascii="Garamond" w:eastAsia="Times New Roman" w:hAnsi="Garamond" w:cs="Times New Roman"/>
          <w:sz w:val="28"/>
          <w:szCs w:val="28"/>
          <w:lang w:eastAsia="it-IT"/>
        </w:rPr>
        <w:t>rinviene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496853">
        <w:rPr>
          <w:rFonts w:ascii="Garamond" w:eastAsia="Times New Roman" w:hAnsi="Garamond" w:cs="Times New Roman"/>
          <w:sz w:val="28"/>
          <w:szCs w:val="28"/>
          <w:lang w:eastAsia="it-IT"/>
        </w:rPr>
        <w:t>ne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l</w:t>
      </w:r>
      <w:r w:rsidR="00496853">
        <w:rPr>
          <w:rFonts w:ascii="Garamond" w:eastAsia="Times New Roman" w:hAnsi="Garamond" w:cs="Times New Roman"/>
          <w:sz w:val="28"/>
          <w:szCs w:val="28"/>
          <w:lang w:eastAsia="it-IT"/>
        </w:rPr>
        <w:t>la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496853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rilevabil</w:t>
      </w:r>
      <w:r w:rsidR="00496853">
        <w:rPr>
          <w:rFonts w:ascii="Garamond" w:eastAsia="Times New Roman" w:hAnsi="Garamond" w:cs="Times New Roman"/>
          <w:sz w:val="28"/>
          <w:szCs w:val="28"/>
          <w:lang w:eastAsia="it-IT"/>
        </w:rPr>
        <w:t>ità</w:t>
      </w:r>
      <w:r w:rsidR="00496853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d’ufficio</w:t>
      </w:r>
      <w:r w:rsidR="00496853">
        <w:rPr>
          <w:rFonts w:ascii="Garamond" w:eastAsia="Times New Roman" w:hAnsi="Garamond" w:cs="Times New Roman"/>
          <w:sz w:val="28"/>
          <w:szCs w:val="28"/>
          <w:lang w:eastAsia="it-IT"/>
        </w:rPr>
        <w:t>,</w:t>
      </w:r>
      <w:r w:rsidR="00496853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da parte del giudice</w:t>
      </w:r>
      <w:r w:rsidR="00496853">
        <w:rPr>
          <w:rFonts w:ascii="Garamond" w:eastAsia="Times New Roman" w:hAnsi="Garamond" w:cs="Times New Roman"/>
          <w:sz w:val="28"/>
          <w:szCs w:val="28"/>
          <w:lang w:eastAsia="it-IT"/>
        </w:rPr>
        <w:t>,</w:t>
      </w:r>
      <w:r w:rsidR="00496853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B559B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solo </w:t>
      </w:r>
      <w:r w:rsidR="00496853">
        <w:rPr>
          <w:rFonts w:ascii="Garamond" w:eastAsia="Times New Roman" w:hAnsi="Garamond" w:cs="Times New Roman"/>
          <w:sz w:val="28"/>
          <w:szCs w:val="28"/>
          <w:lang w:eastAsia="it-IT"/>
        </w:rPr>
        <w:t>del</w:t>
      </w:r>
      <w:r w:rsidR="00B559B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la decadenza </w:t>
      </w:r>
      <w:r w:rsidR="00496853">
        <w:rPr>
          <w:rFonts w:ascii="Garamond" w:eastAsia="Times New Roman" w:hAnsi="Garamond" w:cs="Times New Roman"/>
          <w:sz w:val="28"/>
          <w:szCs w:val="28"/>
          <w:lang w:eastAsia="it-IT"/>
        </w:rPr>
        <w:t>in cui è incorso</w:t>
      </w:r>
      <w:r w:rsidR="00B559B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496853">
        <w:rPr>
          <w:rFonts w:ascii="Garamond" w:eastAsia="Times New Roman" w:hAnsi="Garamond" w:cs="Times New Roman"/>
          <w:sz w:val="28"/>
          <w:szCs w:val="28"/>
          <w:lang w:eastAsia="it-IT"/>
        </w:rPr>
        <w:t>i</w:t>
      </w:r>
      <w:r w:rsidR="00B559B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l contribuente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e </w:t>
      </w:r>
      <w:r w:rsidR="003B7F19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non </w:t>
      </w:r>
      <w:r w:rsidR="00496853">
        <w:rPr>
          <w:rFonts w:ascii="Garamond" w:eastAsia="Times New Roman" w:hAnsi="Garamond" w:cs="Times New Roman"/>
          <w:sz w:val="28"/>
          <w:szCs w:val="28"/>
          <w:lang w:eastAsia="it-IT"/>
        </w:rPr>
        <w:t>di</w:t>
      </w:r>
      <w:r w:rsidR="003B7F19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quella </w:t>
      </w:r>
      <w:r w:rsidR="00496853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in cui è incorsa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l’amministrazione</w:t>
      </w:r>
      <w:r w:rsidR="00B559B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.</w:t>
      </w:r>
    </w:p>
    <w:p w:rsidR="004F4966" w:rsidRDefault="00970DE6" w:rsidP="00B559BC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>Ciò in quanto</w:t>
      </w:r>
      <w:r w:rsidR="00B60077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, p</w:t>
      </w:r>
      <w:r w:rsidR="00B559B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er costante orientamento giurisprudenziale, </w:t>
      </w:r>
      <w:r w:rsidR="004F4966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mentre </w:t>
      </w:r>
      <w:r w:rsidR="00B559B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il termine di decadenza stabilito</w:t>
      </w:r>
      <w:r w:rsidR="004A6766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–</w:t>
      </w:r>
      <w:r w:rsidR="00B559B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a carico dell’ufficio tributario ed in favore del contribuente</w:t>
      </w:r>
      <w:r w:rsidR="004A6766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–</w:t>
      </w:r>
      <w:r w:rsidR="00B559B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per l’esercizio del potere impositivo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B559B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incide</w:t>
      </w:r>
      <w:r w:rsidR="00E3265B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B559B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sul diritto </w:t>
      </w:r>
      <w:r w:rsidR="000C36F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(disponibile) </w:t>
      </w:r>
      <w:r w:rsidR="00B559BC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del contribuente a non vedere esposto il proprio patrimonio alle pretese del fisco oltre un certo limite di tempo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,</w:t>
      </w:r>
      <w:r w:rsidRPr="00970DE6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i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l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termine di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decadenza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stabilito</w:t>
      </w:r>
      <w:r w:rsidR="004A6766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–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a carico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del contribuente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ed in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favore dell’ufficio tributario</w:t>
      </w:r>
      <w:r w:rsidR="004A6766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–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per l’esercizio de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l di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ritto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al 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rimborso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dell’indebit</w:t>
      </w:r>
      <w:r w:rsidR="0066134F">
        <w:rPr>
          <w:rFonts w:ascii="Garamond" w:eastAsia="Times New Roman" w:hAnsi="Garamond" w:cs="Times New Roman"/>
          <w:sz w:val="28"/>
          <w:szCs w:val="28"/>
          <w:lang w:eastAsia="it-IT"/>
        </w:rPr>
        <w:t>o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4F4966">
        <w:rPr>
          <w:rFonts w:ascii="Garamond" w:eastAsia="Times New Roman" w:hAnsi="Garamond" w:cs="Times New Roman"/>
          <w:sz w:val="28"/>
          <w:szCs w:val="28"/>
          <w:lang w:eastAsia="it-IT"/>
        </w:rPr>
        <w:t>incide sul</w:t>
      </w:r>
      <w:r w:rsidR="000C36F5">
        <w:rPr>
          <w:rFonts w:ascii="Garamond" w:eastAsia="Times New Roman" w:hAnsi="Garamond" w:cs="Times New Roman"/>
          <w:sz w:val="28"/>
          <w:szCs w:val="28"/>
          <w:lang w:eastAsia="it-IT"/>
        </w:rPr>
        <w:t>la materia</w:t>
      </w:r>
      <w:r w:rsidR="004F496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0C36F5">
        <w:rPr>
          <w:rFonts w:ascii="Garamond" w:eastAsia="Times New Roman" w:hAnsi="Garamond" w:cs="Times New Roman"/>
          <w:sz w:val="28"/>
          <w:szCs w:val="28"/>
          <w:lang w:eastAsia="it-IT"/>
        </w:rPr>
        <w:t>(</w:t>
      </w:r>
      <w:r w:rsidR="004F496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indisponibil</w:t>
      </w:r>
      <w:r w:rsidR="004F4966">
        <w:rPr>
          <w:rFonts w:ascii="Garamond" w:eastAsia="Times New Roman" w:hAnsi="Garamond" w:cs="Times New Roman"/>
          <w:sz w:val="28"/>
          <w:szCs w:val="28"/>
          <w:lang w:eastAsia="it-IT"/>
        </w:rPr>
        <w:t>e</w:t>
      </w:r>
      <w:r w:rsidR="000C36F5">
        <w:rPr>
          <w:rFonts w:ascii="Garamond" w:eastAsia="Times New Roman" w:hAnsi="Garamond" w:cs="Times New Roman"/>
          <w:sz w:val="28"/>
          <w:szCs w:val="28"/>
          <w:lang w:eastAsia="it-IT"/>
        </w:rPr>
        <w:t>)</w:t>
      </w:r>
      <w:r w:rsidR="004F496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0C36F5">
        <w:rPr>
          <w:rFonts w:ascii="Garamond" w:eastAsia="Times New Roman" w:hAnsi="Garamond" w:cs="Times New Roman"/>
          <w:sz w:val="28"/>
          <w:szCs w:val="28"/>
          <w:lang w:eastAsia="it-IT"/>
        </w:rPr>
        <w:t>de</w:t>
      </w:r>
      <w:r w:rsidR="000C36F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lla </w:t>
      </w:r>
      <w:r w:rsidR="000C36F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regolare </w:t>
      </w:r>
      <w:r w:rsidR="000C36F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percezione d</w:t>
      </w:r>
      <w:r w:rsidR="000C36F5">
        <w:rPr>
          <w:rFonts w:ascii="Garamond" w:eastAsia="Times New Roman" w:hAnsi="Garamond" w:cs="Times New Roman"/>
          <w:sz w:val="28"/>
          <w:szCs w:val="28"/>
          <w:lang w:eastAsia="it-IT"/>
        </w:rPr>
        <w:t>e</w:t>
      </w:r>
      <w:r w:rsidR="000C36F5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i tributi </w:t>
      </w:r>
      <w:r w:rsidR="000C36F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da parte </w:t>
      </w:r>
      <w:r w:rsidR="004F496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dello Stato</w:t>
      </w:r>
      <w:r w:rsidR="004F4966">
        <w:rPr>
          <w:rFonts w:ascii="Garamond" w:eastAsia="Times New Roman" w:hAnsi="Garamond" w:cs="Times New Roman"/>
          <w:sz w:val="28"/>
          <w:szCs w:val="28"/>
          <w:lang w:eastAsia="it-IT"/>
        </w:rPr>
        <w:t>.</w:t>
      </w:r>
    </w:p>
    <w:p w:rsidR="00970DE6" w:rsidRDefault="00496853" w:rsidP="00B559BC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>Pertanto</w:t>
      </w:r>
      <w:r w:rsidR="0051742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, </w:t>
      </w:r>
      <w:r w:rsidR="002971E0">
        <w:rPr>
          <w:rFonts w:ascii="Garamond" w:eastAsia="Times New Roman" w:hAnsi="Garamond" w:cs="Times New Roman"/>
          <w:sz w:val="28"/>
          <w:szCs w:val="28"/>
          <w:lang w:eastAsia="it-IT"/>
        </w:rPr>
        <w:t>ri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entran</w:t>
      </w:r>
      <w:r w:rsidR="002971E0">
        <w:rPr>
          <w:rFonts w:ascii="Garamond" w:eastAsia="Times New Roman" w:hAnsi="Garamond" w:cs="Times New Roman"/>
          <w:sz w:val="28"/>
          <w:szCs w:val="28"/>
          <w:lang w:eastAsia="it-IT"/>
        </w:rPr>
        <w:t>do</w:t>
      </w:r>
      <w:r w:rsidR="002971E0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tra i diritti disponibili </w:t>
      </w:r>
      <w:r w:rsidR="002971E0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del contribuente </w:t>
      </w:r>
      <w:r w:rsidR="004F496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la scelta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sul se</w:t>
      </w:r>
      <w:r w:rsidR="004F496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avvalersi, o meno, </w:t>
      </w:r>
      <w:r w:rsidR="004F4966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della decadenza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del potere </w:t>
      </w:r>
      <w:r w:rsidR="004F4966">
        <w:rPr>
          <w:rFonts w:ascii="Garamond" w:eastAsia="Times New Roman" w:hAnsi="Garamond" w:cs="Times New Roman"/>
          <w:sz w:val="28"/>
          <w:szCs w:val="28"/>
          <w:lang w:eastAsia="it-IT"/>
        </w:rPr>
        <w:t>amministra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tivo</w:t>
      </w:r>
      <w:r w:rsidR="004D148E" w:rsidRPr="00DB28E5">
        <w:rPr>
          <w:rStyle w:val="Rimandonotaapidipagina"/>
          <w:rFonts w:ascii="Garamond" w:eastAsia="Times New Roman" w:hAnsi="Garamond" w:cs="Times New Roman"/>
          <w:sz w:val="28"/>
          <w:szCs w:val="28"/>
          <w:lang w:eastAsia="it-IT"/>
        </w:rPr>
        <w:footnoteReference w:id="28"/>
      </w:r>
      <w:r w:rsidR="004F4966"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,</w:t>
      </w:r>
      <w:r w:rsidR="004F4966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2971E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solo </w:t>
      </w:r>
      <w:r w:rsidR="00813E7E">
        <w:rPr>
          <w:rFonts w:ascii="Garamond" w:eastAsia="Times New Roman" w:hAnsi="Garamond" w:cs="Times New Roman"/>
          <w:sz w:val="28"/>
          <w:szCs w:val="28"/>
          <w:lang w:eastAsia="it-IT"/>
        </w:rPr>
        <w:t>l</w:t>
      </w:r>
      <w:r w:rsidR="004F4966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a decadenza </w:t>
      </w:r>
      <w:r w:rsidR="002971E0">
        <w:rPr>
          <w:rFonts w:ascii="Garamond" w:eastAsia="Times New Roman" w:hAnsi="Garamond" w:cs="Times New Roman"/>
          <w:sz w:val="28"/>
          <w:szCs w:val="28"/>
          <w:lang w:eastAsia="it-IT"/>
        </w:rPr>
        <w:t>in cui è incorso i</w:t>
      </w:r>
      <w:r w:rsidR="004F4966">
        <w:rPr>
          <w:rFonts w:ascii="Garamond" w:eastAsia="Times New Roman" w:hAnsi="Garamond" w:cs="Times New Roman"/>
          <w:sz w:val="28"/>
          <w:szCs w:val="28"/>
          <w:lang w:eastAsia="it-IT"/>
        </w:rPr>
        <w:t>l contribuente</w:t>
      </w:r>
      <w:r w:rsidR="004F4966" w:rsidRPr="00970DE6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può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essere rilevata d’ufficio dal giudice,</w:t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107329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e ciò </w:t>
      </w:r>
      <w:bookmarkStart w:id="0" w:name="_GoBack"/>
      <w:bookmarkEnd w:id="0"/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anche in grado d’appello</w:t>
      </w:r>
      <w:r w:rsidRPr="00DB28E5">
        <w:rPr>
          <w:rStyle w:val="Rimandonotaapidipagina"/>
          <w:rFonts w:ascii="Garamond" w:eastAsia="Times New Roman" w:hAnsi="Garamond" w:cs="Times New Roman"/>
          <w:sz w:val="28"/>
          <w:szCs w:val="28"/>
          <w:lang w:eastAsia="it-IT"/>
        </w:rPr>
        <w:footnoteReference w:id="29"/>
      </w:r>
      <w:r w:rsidRPr="00DB28E5">
        <w:rPr>
          <w:rFonts w:ascii="Garamond" w:eastAsia="Times New Roman" w:hAnsi="Garamond" w:cs="Times New Roman"/>
          <w:sz w:val="28"/>
          <w:szCs w:val="28"/>
          <w:lang w:eastAsia="it-IT"/>
        </w:rPr>
        <w:t>.</w:t>
      </w:r>
    </w:p>
    <w:p w:rsidR="008846FF" w:rsidRDefault="008846FF" w:rsidP="00B559BC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:rsidR="0040046F" w:rsidRPr="00DB28E5" w:rsidRDefault="0040046F" w:rsidP="0040046F">
      <w:pPr>
        <w:pStyle w:val="Nessunaspaziatura"/>
        <w:ind w:left="4248" w:firstLine="708"/>
        <w:rPr>
          <w:rFonts w:ascii="Garamond" w:hAnsi="Garamond"/>
          <w:sz w:val="28"/>
          <w:szCs w:val="28"/>
          <w:lang w:eastAsia="it-IT"/>
        </w:rPr>
      </w:pPr>
      <w:r w:rsidRPr="00DB28E5">
        <w:rPr>
          <w:rFonts w:ascii="Garamond" w:hAnsi="Garamond"/>
          <w:sz w:val="28"/>
          <w:szCs w:val="28"/>
          <w:lang w:eastAsia="it-IT"/>
        </w:rPr>
        <w:t>Nicola Durante</w:t>
      </w:r>
    </w:p>
    <w:p w:rsidR="0040046F" w:rsidRPr="00C2767C" w:rsidRDefault="0040046F" w:rsidP="0040046F">
      <w:pPr>
        <w:pStyle w:val="Nessunaspaziatura"/>
        <w:ind w:left="4248"/>
        <w:rPr>
          <w:rFonts w:ascii="Garamond" w:hAnsi="Garamond"/>
          <w:i/>
          <w:sz w:val="28"/>
          <w:szCs w:val="28"/>
          <w:lang w:eastAsia="it-IT"/>
        </w:rPr>
      </w:pPr>
      <w:r w:rsidRPr="00C2767C">
        <w:rPr>
          <w:rFonts w:ascii="Garamond" w:hAnsi="Garamond"/>
          <w:i/>
          <w:sz w:val="28"/>
          <w:szCs w:val="28"/>
          <w:lang w:eastAsia="it-IT"/>
        </w:rPr>
        <w:t xml:space="preserve">    </w:t>
      </w:r>
      <w:r w:rsidR="00C2767C">
        <w:rPr>
          <w:rFonts w:ascii="Garamond" w:hAnsi="Garamond"/>
          <w:i/>
          <w:sz w:val="28"/>
          <w:szCs w:val="28"/>
          <w:lang w:eastAsia="it-IT"/>
        </w:rPr>
        <w:t xml:space="preserve"> </w:t>
      </w:r>
      <w:r w:rsidRPr="00C2767C">
        <w:rPr>
          <w:rFonts w:ascii="Garamond" w:hAnsi="Garamond"/>
          <w:i/>
          <w:sz w:val="28"/>
          <w:szCs w:val="28"/>
          <w:lang w:eastAsia="it-IT"/>
        </w:rPr>
        <w:t>Pres. Sez. T</w:t>
      </w:r>
      <w:r w:rsidR="00C2767C">
        <w:rPr>
          <w:rFonts w:ascii="Garamond" w:hAnsi="Garamond"/>
          <w:i/>
          <w:sz w:val="28"/>
          <w:szCs w:val="28"/>
          <w:lang w:eastAsia="it-IT"/>
        </w:rPr>
        <w:t>.</w:t>
      </w:r>
      <w:r w:rsidRPr="00C2767C">
        <w:rPr>
          <w:rFonts w:ascii="Garamond" w:hAnsi="Garamond"/>
          <w:i/>
          <w:sz w:val="28"/>
          <w:szCs w:val="28"/>
          <w:lang w:eastAsia="it-IT"/>
        </w:rPr>
        <w:t>A</w:t>
      </w:r>
      <w:r w:rsidR="00C2767C">
        <w:rPr>
          <w:rFonts w:ascii="Garamond" w:hAnsi="Garamond"/>
          <w:i/>
          <w:sz w:val="28"/>
          <w:szCs w:val="28"/>
          <w:lang w:eastAsia="it-IT"/>
        </w:rPr>
        <w:t>.</w:t>
      </w:r>
      <w:r w:rsidRPr="00C2767C">
        <w:rPr>
          <w:rFonts w:ascii="Garamond" w:hAnsi="Garamond"/>
          <w:i/>
          <w:sz w:val="28"/>
          <w:szCs w:val="28"/>
          <w:lang w:eastAsia="it-IT"/>
        </w:rPr>
        <w:t>R</w:t>
      </w:r>
      <w:r w:rsidR="00C2767C">
        <w:rPr>
          <w:rFonts w:ascii="Garamond" w:hAnsi="Garamond"/>
          <w:i/>
          <w:sz w:val="28"/>
          <w:szCs w:val="28"/>
          <w:lang w:eastAsia="it-IT"/>
        </w:rPr>
        <w:t>.</w:t>
      </w:r>
      <w:r w:rsidRPr="00C2767C">
        <w:rPr>
          <w:rFonts w:ascii="Garamond" w:hAnsi="Garamond"/>
          <w:i/>
          <w:sz w:val="28"/>
          <w:szCs w:val="28"/>
          <w:lang w:eastAsia="it-IT"/>
        </w:rPr>
        <w:t xml:space="preserve"> Salerno</w:t>
      </w:r>
    </w:p>
    <w:p w:rsidR="003D4287" w:rsidRPr="00C2767C" w:rsidRDefault="003D4287" w:rsidP="0040046F">
      <w:pPr>
        <w:pStyle w:val="Nessunaspaziatura"/>
        <w:ind w:left="4248"/>
        <w:rPr>
          <w:rFonts w:ascii="Garamond" w:hAnsi="Garamond"/>
          <w:i/>
          <w:sz w:val="28"/>
          <w:szCs w:val="28"/>
          <w:lang w:eastAsia="it-IT"/>
        </w:rPr>
      </w:pPr>
      <w:r w:rsidRPr="00C2767C">
        <w:rPr>
          <w:rFonts w:ascii="Garamond" w:hAnsi="Garamond"/>
          <w:i/>
          <w:sz w:val="28"/>
          <w:szCs w:val="28"/>
          <w:lang w:eastAsia="it-IT"/>
        </w:rPr>
        <w:t xml:space="preserve">    </w:t>
      </w:r>
      <w:r w:rsidR="00C2767C">
        <w:rPr>
          <w:rFonts w:ascii="Garamond" w:hAnsi="Garamond"/>
          <w:i/>
          <w:sz w:val="28"/>
          <w:szCs w:val="28"/>
          <w:lang w:eastAsia="it-IT"/>
        </w:rPr>
        <w:t xml:space="preserve"> </w:t>
      </w:r>
      <w:r w:rsidRPr="00C2767C">
        <w:rPr>
          <w:rFonts w:ascii="Garamond" w:hAnsi="Garamond"/>
          <w:i/>
          <w:sz w:val="28"/>
          <w:szCs w:val="28"/>
          <w:lang w:eastAsia="it-IT"/>
        </w:rPr>
        <w:t>Pres. Sez. C</w:t>
      </w:r>
      <w:r w:rsidR="00C2767C">
        <w:rPr>
          <w:rFonts w:ascii="Garamond" w:hAnsi="Garamond"/>
          <w:i/>
          <w:sz w:val="28"/>
          <w:szCs w:val="28"/>
          <w:lang w:eastAsia="it-IT"/>
        </w:rPr>
        <w:t>.</w:t>
      </w:r>
      <w:r w:rsidRPr="00C2767C">
        <w:rPr>
          <w:rFonts w:ascii="Garamond" w:hAnsi="Garamond"/>
          <w:i/>
          <w:sz w:val="28"/>
          <w:szCs w:val="28"/>
          <w:lang w:eastAsia="it-IT"/>
        </w:rPr>
        <w:t>T</w:t>
      </w:r>
      <w:r w:rsidR="00C2767C">
        <w:rPr>
          <w:rFonts w:ascii="Garamond" w:hAnsi="Garamond"/>
          <w:i/>
          <w:sz w:val="28"/>
          <w:szCs w:val="28"/>
          <w:lang w:eastAsia="it-IT"/>
        </w:rPr>
        <w:t>.</w:t>
      </w:r>
      <w:r w:rsidRPr="00C2767C">
        <w:rPr>
          <w:rFonts w:ascii="Garamond" w:hAnsi="Garamond"/>
          <w:i/>
          <w:sz w:val="28"/>
          <w:szCs w:val="28"/>
          <w:lang w:eastAsia="it-IT"/>
        </w:rPr>
        <w:t>P</w:t>
      </w:r>
      <w:r w:rsidR="00C2767C">
        <w:rPr>
          <w:rFonts w:ascii="Garamond" w:hAnsi="Garamond"/>
          <w:i/>
          <w:sz w:val="28"/>
          <w:szCs w:val="28"/>
          <w:lang w:eastAsia="it-IT"/>
        </w:rPr>
        <w:t>.</w:t>
      </w:r>
      <w:r w:rsidRPr="00C2767C">
        <w:rPr>
          <w:rFonts w:ascii="Garamond" w:hAnsi="Garamond"/>
          <w:i/>
          <w:sz w:val="28"/>
          <w:szCs w:val="28"/>
          <w:lang w:eastAsia="it-IT"/>
        </w:rPr>
        <w:t xml:space="preserve"> Cosenza</w:t>
      </w:r>
    </w:p>
    <w:sectPr w:rsidR="003D4287" w:rsidRPr="00C2767C" w:rsidSect="00474632">
      <w:footerReference w:type="default" r:id="rId12"/>
      <w:pgSz w:w="11906" w:h="16838"/>
      <w:pgMar w:top="1418" w:right="2125" w:bottom="170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B5D" w:rsidRDefault="00955B5D" w:rsidP="00424498">
      <w:pPr>
        <w:spacing w:after="0" w:line="240" w:lineRule="auto"/>
      </w:pPr>
      <w:r>
        <w:separator/>
      </w:r>
    </w:p>
  </w:endnote>
  <w:endnote w:type="continuationSeparator" w:id="0">
    <w:p w:rsidR="00955B5D" w:rsidRDefault="00955B5D" w:rsidP="0042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2433992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D5FD7" w:rsidRPr="004F5AD1" w:rsidRDefault="00ED5FD7" w:rsidP="004F5AD1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4F5AD1">
          <w:rPr>
            <w:rFonts w:ascii="Garamond" w:hAnsi="Garamond" w:cs="Times New Roman"/>
            <w:sz w:val="18"/>
            <w:szCs w:val="18"/>
          </w:rPr>
          <w:fldChar w:fldCharType="begin"/>
        </w:r>
        <w:r w:rsidRPr="004F5AD1">
          <w:rPr>
            <w:rFonts w:ascii="Garamond" w:hAnsi="Garamond" w:cs="Times New Roman"/>
            <w:sz w:val="18"/>
            <w:szCs w:val="18"/>
          </w:rPr>
          <w:instrText>PAGE   \* MERGEFORMAT</w:instrText>
        </w:r>
        <w:r w:rsidRPr="004F5AD1">
          <w:rPr>
            <w:rFonts w:ascii="Garamond" w:hAnsi="Garamond" w:cs="Times New Roman"/>
            <w:sz w:val="18"/>
            <w:szCs w:val="18"/>
          </w:rPr>
          <w:fldChar w:fldCharType="separate"/>
        </w:r>
        <w:r w:rsidR="00107329">
          <w:rPr>
            <w:rFonts w:ascii="Garamond" w:hAnsi="Garamond" w:cs="Times New Roman"/>
            <w:noProof/>
            <w:sz w:val="18"/>
            <w:szCs w:val="18"/>
          </w:rPr>
          <w:t>8</w:t>
        </w:r>
        <w:r w:rsidRPr="004F5AD1">
          <w:rPr>
            <w:rFonts w:ascii="Garamond" w:hAnsi="Garamond" w:cs="Times New Roman"/>
            <w:sz w:val="18"/>
            <w:szCs w:val="18"/>
          </w:rPr>
          <w:fldChar w:fldCharType="end"/>
        </w:r>
      </w:p>
    </w:sdtContent>
  </w:sdt>
  <w:p w:rsidR="00ED5FD7" w:rsidRDefault="00ED5F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B5D" w:rsidRDefault="00955B5D" w:rsidP="00424498">
      <w:pPr>
        <w:spacing w:after="0" w:line="240" w:lineRule="auto"/>
      </w:pPr>
      <w:r>
        <w:separator/>
      </w:r>
    </w:p>
  </w:footnote>
  <w:footnote w:type="continuationSeparator" w:id="0">
    <w:p w:rsidR="00955B5D" w:rsidRDefault="00955B5D" w:rsidP="00424498">
      <w:pPr>
        <w:spacing w:after="0" w:line="240" w:lineRule="auto"/>
      </w:pPr>
      <w:r>
        <w:continuationSeparator/>
      </w:r>
    </w:p>
  </w:footnote>
  <w:footnote w:id="1">
    <w:p w:rsidR="00284758" w:rsidRPr="00284758" w:rsidRDefault="00284758" w:rsidP="00284758">
      <w:pPr>
        <w:pStyle w:val="Testonotaapidipagina"/>
        <w:jc w:val="both"/>
        <w:rPr>
          <w:rFonts w:ascii="Garamond" w:eastAsia="Times New Roman" w:hAnsi="Garamond" w:cs="Times New Roman"/>
          <w:lang w:eastAsia="it-IT"/>
        </w:rPr>
      </w:pPr>
      <w:r w:rsidRPr="00284758">
        <w:rPr>
          <w:rFonts w:ascii="Garamond" w:hAnsi="Garamond" w:cs="Times New Roman"/>
          <w:smallCaps/>
          <w:vertAlign w:val="superscript"/>
          <w:lang w:eastAsia="it-IT"/>
        </w:rPr>
        <w:t>(*)</w:t>
      </w:r>
      <w:r>
        <w:rPr>
          <w:rFonts w:ascii="Garamond" w:hAnsi="Garamond" w:cs="Times New Roman"/>
          <w:smallCaps/>
          <w:vertAlign w:val="superscript"/>
          <w:lang w:eastAsia="it-IT"/>
        </w:rPr>
        <w:t xml:space="preserve"> </w:t>
      </w:r>
      <w:r w:rsidRPr="00284758">
        <w:rPr>
          <w:rFonts w:ascii="Garamond" w:eastAsia="Times New Roman" w:hAnsi="Garamond" w:cs="Times New Roman"/>
          <w:lang w:eastAsia="it-IT"/>
        </w:rPr>
        <w:t>Relazione svolta al convegno di studi sul tema “Le decadenze nel sistema tributario</w:t>
      </w:r>
      <w:r>
        <w:rPr>
          <w:rFonts w:ascii="Garamond" w:eastAsia="Times New Roman" w:hAnsi="Garamond" w:cs="Times New Roman"/>
          <w:lang w:eastAsia="it-IT"/>
        </w:rPr>
        <w:t>”, organizzato</w:t>
      </w:r>
      <w:r w:rsidR="001979B6">
        <w:rPr>
          <w:rFonts w:ascii="Garamond" w:eastAsia="Times New Roman" w:hAnsi="Garamond" w:cs="Times New Roman"/>
          <w:lang w:eastAsia="it-IT"/>
        </w:rPr>
        <w:t>,</w:t>
      </w:r>
      <w:r>
        <w:rPr>
          <w:rFonts w:ascii="Garamond" w:eastAsia="Times New Roman" w:hAnsi="Garamond" w:cs="Times New Roman"/>
          <w:lang w:eastAsia="it-IT"/>
        </w:rPr>
        <w:t xml:space="preserve"> in collegamento da remoto</w:t>
      </w:r>
      <w:r w:rsidR="001979B6">
        <w:rPr>
          <w:rFonts w:ascii="Garamond" w:eastAsia="Times New Roman" w:hAnsi="Garamond" w:cs="Times New Roman"/>
          <w:lang w:eastAsia="it-IT"/>
        </w:rPr>
        <w:t>,</w:t>
      </w:r>
      <w:r>
        <w:rPr>
          <w:rFonts w:ascii="Garamond" w:eastAsia="Times New Roman" w:hAnsi="Garamond" w:cs="Times New Roman"/>
          <w:lang w:eastAsia="it-IT"/>
        </w:rPr>
        <w:t xml:space="preserve"> dall’Università degli studi della Calabria </w:t>
      </w:r>
      <w:r w:rsidR="00EC0BD3">
        <w:rPr>
          <w:rFonts w:ascii="Garamond" w:eastAsia="Times New Roman" w:hAnsi="Garamond" w:cs="Times New Roman"/>
          <w:lang w:eastAsia="it-IT"/>
        </w:rPr>
        <w:t>e dall’Associazione italiana dei Professori e degli Studiosi di diritto tributario</w:t>
      </w:r>
      <w:r w:rsidR="007F13A1" w:rsidRPr="007F13A1">
        <w:rPr>
          <w:rFonts w:ascii="Garamond" w:eastAsia="Times New Roman" w:hAnsi="Garamond" w:cs="Times New Roman"/>
          <w:lang w:eastAsia="it-IT"/>
        </w:rPr>
        <w:t>, col patrocinio del Consiglio di Presidenza della Giustizia Tributaria</w:t>
      </w:r>
      <w:r w:rsidR="00EC0BD3">
        <w:rPr>
          <w:rFonts w:ascii="Garamond" w:eastAsia="Times New Roman" w:hAnsi="Garamond" w:cs="Times New Roman"/>
          <w:lang w:eastAsia="it-IT"/>
        </w:rPr>
        <w:t xml:space="preserve">, </w:t>
      </w:r>
      <w:r>
        <w:rPr>
          <w:rFonts w:ascii="Garamond" w:eastAsia="Times New Roman" w:hAnsi="Garamond" w:cs="Times New Roman"/>
          <w:lang w:eastAsia="it-IT"/>
        </w:rPr>
        <w:t>il</w:t>
      </w:r>
      <w:r w:rsidRPr="00284758">
        <w:rPr>
          <w:rFonts w:ascii="Garamond" w:eastAsia="Times New Roman" w:hAnsi="Garamond" w:cs="Times New Roman"/>
          <w:lang w:eastAsia="it-IT"/>
        </w:rPr>
        <w:t xml:space="preserve"> 28 aprile 2021</w:t>
      </w:r>
      <w:r>
        <w:rPr>
          <w:rFonts w:ascii="Garamond" w:eastAsia="Times New Roman" w:hAnsi="Garamond" w:cs="Times New Roman"/>
          <w:lang w:eastAsia="it-IT"/>
        </w:rPr>
        <w:t>.</w:t>
      </w:r>
    </w:p>
    <w:p w:rsidR="00CE6DB9" w:rsidRPr="007B7F8A" w:rsidRDefault="00CE6DB9" w:rsidP="00CE6DB9">
      <w:pPr>
        <w:pStyle w:val="Testonotaapidipagina"/>
        <w:jc w:val="both"/>
        <w:rPr>
          <w:rFonts w:ascii="Garamond" w:eastAsia="Times New Roman" w:hAnsi="Garamond" w:cs="Times New Roman"/>
          <w:lang w:eastAsia="it-IT"/>
        </w:rPr>
      </w:pPr>
      <w:r w:rsidRPr="007B7F8A">
        <w:rPr>
          <w:rFonts w:ascii="Garamond" w:eastAsia="Times New Roman" w:hAnsi="Garamond" w:cs="Times New Roman"/>
          <w:vertAlign w:val="superscript"/>
          <w:lang w:eastAsia="it-IT"/>
        </w:rPr>
        <w:footnoteRef/>
      </w:r>
      <w:r w:rsidRPr="007B7F8A">
        <w:rPr>
          <w:rFonts w:ascii="Garamond" w:eastAsia="Times New Roman" w:hAnsi="Garamond" w:cs="Times New Roman"/>
          <w:lang w:eastAsia="it-IT"/>
        </w:rPr>
        <w:t xml:space="preserve"> </w:t>
      </w:r>
      <w:r w:rsidR="0032300F" w:rsidRPr="007B7F8A">
        <w:rPr>
          <w:rFonts w:ascii="Garamond" w:eastAsia="Times New Roman" w:hAnsi="Garamond" w:cs="Times New Roman"/>
          <w:lang w:eastAsia="it-IT"/>
        </w:rPr>
        <w:t xml:space="preserve">Per </w:t>
      </w:r>
      <w:proofErr w:type="spellStart"/>
      <w:r w:rsidR="005F256B" w:rsidRPr="007B7F8A">
        <w:rPr>
          <w:rFonts w:ascii="Garamond" w:eastAsia="Times New Roman" w:hAnsi="Garamond" w:cs="Times New Roman"/>
          <w:smallCaps/>
          <w:lang w:eastAsia="it-IT"/>
        </w:rPr>
        <w:t>Auricchio</w:t>
      </w:r>
      <w:proofErr w:type="spellEnd"/>
      <w:r w:rsidR="000031AE" w:rsidRPr="007B7F8A">
        <w:rPr>
          <w:rFonts w:ascii="Garamond" w:eastAsia="Times New Roman" w:hAnsi="Garamond" w:cs="Times New Roman"/>
          <w:lang w:eastAsia="it-IT"/>
        </w:rPr>
        <w:t xml:space="preserve"> A.</w:t>
      </w:r>
      <w:r w:rsidR="005F256B" w:rsidRPr="007B7F8A">
        <w:rPr>
          <w:rFonts w:ascii="Garamond" w:eastAsia="Times New Roman" w:hAnsi="Garamond" w:cs="Times New Roman"/>
          <w:lang w:eastAsia="it-IT"/>
        </w:rPr>
        <w:t>,</w:t>
      </w:r>
      <w:r w:rsidR="000031AE" w:rsidRPr="007B7F8A">
        <w:rPr>
          <w:rFonts w:ascii="Garamond" w:eastAsia="Times New Roman" w:hAnsi="Garamond" w:cs="Times New Roman"/>
          <w:lang w:eastAsia="it-IT"/>
        </w:rPr>
        <w:t xml:space="preserve"> </w:t>
      </w:r>
      <w:r w:rsidR="000031AE" w:rsidRPr="007B7F8A">
        <w:rPr>
          <w:rFonts w:ascii="Garamond" w:eastAsia="Times New Roman" w:hAnsi="Garamond" w:cs="Times New Roman"/>
          <w:i/>
          <w:lang w:eastAsia="it-IT"/>
        </w:rPr>
        <w:t>Appunti sulla prescrizione</w:t>
      </w:r>
      <w:r w:rsidR="000031AE" w:rsidRPr="007B7F8A">
        <w:rPr>
          <w:rFonts w:ascii="Garamond" w:eastAsia="Times New Roman" w:hAnsi="Garamond" w:cs="Times New Roman"/>
          <w:lang w:eastAsia="it-IT"/>
        </w:rPr>
        <w:t xml:space="preserve">, Napoli, 1971, </w:t>
      </w:r>
      <w:r w:rsidRPr="007B7F8A">
        <w:rPr>
          <w:rFonts w:ascii="Garamond" w:eastAsia="Times New Roman" w:hAnsi="Garamond" w:cs="Times New Roman"/>
          <w:lang w:eastAsia="it-IT"/>
        </w:rPr>
        <w:t xml:space="preserve">la </w:t>
      </w:r>
      <w:r w:rsidR="000031AE" w:rsidRPr="007B7F8A">
        <w:rPr>
          <w:rFonts w:ascii="Garamond" w:eastAsia="Times New Roman" w:hAnsi="Garamond" w:cs="Times New Roman"/>
          <w:lang w:eastAsia="it-IT"/>
        </w:rPr>
        <w:t>prescrizione ha</w:t>
      </w:r>
      <w:r w:rsidR="00ED0695" w:rsidRPr="007B7F8A">
        <w:rPr>
          <w:rFonts w:ascii="Garamond" w:eastAsia="Times New Roman" w:hAnsi="Garamond" w:cs="Times New Roman"/>
          <w:lang w:eastAsia="it-IT"/>
        </w:rPr>
        <w:t xml:space="preserve"> natura sostanziale,</w:t>
      </w:r>
      <w:r w:rsidR="000031AE" w:rsidRPr="007B7F8A">
        <w:rPr>
          <w:rFonts w:ascii="Garamond" w:eastAsia="Times New Roman" w:hAnsi="Garamond" w:cs="Times New Roman"/>
          <w:lang w:eastAsia="it-IT"/>
        </w:rPr>
        <w:t xml:space="preserve"> </w:t>
      </w:r>
      <w:r w:rsidRPr="007B7F8A">
        <w:rPr>
          <w:rFonts w:ascii="Garamond" w:eastAsia="Times New Roman" w:hAnsi="Garamond" w:cs="Times New Roman"/>
          <w:lang w:eastAsia="it-IT"/>
        </w:rPr>
        <w:t>de</w:t>
      </w:r>
      <w:r w:rsidR="000031AE" w:rsidRPr="007B7F8A">
        <w:rPr>
          <w:rFonts w:ascii="Garamond" w:eastAsia="Times New Roman" w:hAnsi="Garamond" w:cs="Times New Roman"/>
          <w:lang w:eastAsia="it-IT"/>
        </w:rPr>
        <w:t>termina</w:t>
      </w:r>
      <w:r w:rsidR="00ED0695" w:rsidRPr="007B7F8A">
        <w:rPr>
          <w:rFonts w:ascii="Garamond" w:eastAsia="Times New Roman" w:hAnsi="Garamond" w:cs="Times New Roman"/>
          <w:lang w:eastAsia="it-IT"/>
        </w:rPr>
        <w:t>ndo,</w:t>
      </w:r>
      <w:r w:rsidR="000031AE" w:rsidRPr="007B7F8A">
        <w:rPr>
          <w:rFonts w:ascii="Garamond" w:eastAsia="Times New Roman" w:hAnsi="Garamond" w:cs="Times New Roman"/>
          <w:lang w:eastAsia="it-IT"/>
        </w:rPr>
        <w:t xml:space="preserve"> </w:t>
      </w:r>
      <w:r w:rsidR="00ED0695" w:rsidRPr="007B7F8A">
        <w:rPr>
          <w:rFonts w:ascii="Garamond" w:eastAsia="Times New Roman" w:hAnsi="Garamond" w:cs="Times New Roman"/>
          <w:lang w:eastAsia="it-IT"/>
        </w:rPr>
        <w:t>al</w:t>
      </w:r>
      <w:r w:rsidR="00CE5F79" w:rsidRPr="007B7F8A">
        <w:rPr>
          <w:rFonts w:ascii="Garamond" w:eastAsia="Times New Roman" w:hAnsi="Garamond" w:cs="Times New Roman"/>
          <w:lang w:eastAsia="it-IT"/>
        </w:rPr>
        <w:t>l’inutile</w:t>
      </w:r>
      <w:r w:rsidR="004B7D04" w:rsidRPr="007B7F8A">
        <w:rPr>
          <w:rFonts w:ascii="Garamond" w:eastAsia="Times New Roman" w:hAnsi="Garamond" w:cs="Times New Roman"/>
          <w:lang w:eastAsia="it-IT"/>
        </w:rPr>
        <w:t xml:space="preserve"> perimersi</w:t>
      </w:r>
      <w:r w:rsidR="00ED0695" w:rsidRPr="007B7F8A">
        <w:rPr>
          <w:rFonts w:ascii="Garamond" w:eastAsia="Times New Roman" w:hAnsi="Garamond" w:cs="Times New Roman"/>
          <w:lang w:eastAsia="it-IT"/>
        </w:rPr>
        <w:t xml:space="preserve"> del termine, </w:t>
      </w:r>
      <w:r w:rsidRPr="007B7F8A">
        <w:rPr>
          <w:rFonts w:ascii="Garamond" w:eastAsia="Times New Roman" w:hAnsi="Garamond" w:cs="Times New Roman"/>
          <w:lang w:eastAsia="it-IT"/>
        </w:rPr>
        <w:t>l</w:t>
      </w:r>
      <w:r w:rsidR="000031AE" w:rsidRPr="007B7F8A">
        <w:rPr>
          <w:rFonts w:ascii="Garamond" w:eastAsia="Times New Roman" w:hAnsi="Garamond" w:cs="Times New Roman"/>
          <w:lang w:eastAsia="it-IT"/>
        </w:rPr>
        <w:t>’estinzione de</w:t>
      </w:r>
      <w:r w:rsidRPr="007B7F8A">
        <w:rPr>
          <w:rFonts w:ascii="Garamond" w:eastAsia="Times New Roman" w:hAnsi="Garamond" w:cs="Times New Roman"/>
          <w:lang w:eastAsia="it-IT"/>
        </w:rPr>
        <w:t xml:space="preserve">l rapporto giuridico </w:t>
      </w:r>
      <w:r w:rsidR="000031AE" w:rsidRPr="007B7F8A">
        <w:rPr>
          <w:rFonts w:ascii="Garamond" w:eastAsia="Times New Roman" w:hAnsi="Garamond" w:cs="Times New Roman"/>
          <w:lang w:eastAsia="it-IT"/>
        </w:rPr>
        <w:t>e la modificazione strutturale dell’obbligazione</w:t>
      </w:r>
      <w:r w:rsidR="002A2283" w:rsidRPr="007B7F8A">
        <w:rPr>
          <w:rFonts w:ascii="Garamond" w:eastAsia="Times New Roman" w:hAnsi="Garamond" w:cs="Times New Roman"/>
          <w:lang w:eastAsia="it-IT"/>
        </w:rPr>
        <w:t>,</w:t>
      </w:r>
      <w:r w:rsidR="000031AE" w:rsidRPr="007B7F8A">
        <w:rPr>
          <w:rFonts w:ascii="Garamond" w:eastAsia="Times New Roman" w:hAnsi="Garamond" w:cs="Times New Roman"/>
          <w:lang w:eastAsia="it-IT"/>
        </w:rPr>
        <w:t xml:space="preserve"> che da civile degrada a naturale</w:t>
      </w:r>
      <w:r w:rsidRPr="007B7F8A">
        <w:rPr>
          <w:rFonts w:ascii="Garamond" w:eastAsia="Times New Roman" w:hAnsi="Garamond" w:cs="Times New Roman"/>
          <w:lang w:eastAsia="it-IT"/>
        </w:rPr>
        <w:t xml:space="preserve">, </w:t>
      </w:r>
      <w:r w:rsidR="000031AE" w:rsidRPr="007B7F8A">
        <w:rPr>
          <w:rFonts w:ascii="Garamond" w:eastAsia="Times New Roman" w:hAnsi="Garamond" w:cs="Times New Roman"/>
          <w:lang w:eastAsia="it-IT"/>
        </w:rPr>
        <w:t xml:space="preserve">per </w:t>
      </w:r>
      <w:r w:rsidR="002A2283" w:rsidRPr="007B7F8A">
        <w:rPr>
          <w:rFonts w:ascii="Garamond" w:eastAsia="Times New Roman" w:hAnsi="Garamond" w:cs="Times New Roman"/>
          <w:lang w:eastAsia="it-IT"/>
        </w:rPr>
        <w:t xml:space="preserve">poi </w:t>
      </w:r>
      <w:r w:rsidRPr="007B7F8A">
        <w:rPr>
          <w:rFonts w:ascii="Garamond" w:eastAsia="Times New Roman" w:hAnsi="Garamond" w:cs="Times New Roman"/>
          <w:lang w:eastAsia="it-IT"/>
        </w:rPr>
        <w:t>estingue</w:t>
      </w:r>
      <w:r w:rsidR="000031AE" w:rsidRPr="007B7F8A">
        <w:rPr>
          <w:rFonts w:ascii="Garamond" w:eastAsia="Times New Roman" w:hAnsi="Garamond" w:cs="Times New Roman"/>
          <w:lang w:eastAsia="it-IT"/>
        </w:rPr>
        <w:t>rsi definitivamente</w:t>
      </w:r>
      <w:r w:rsidRPr="007B7F8A">
        <w:rPr>
          <w:rFonts w:ascii="Garamond" w:eastAsia="Times New Roman" w:hAnsi="Garamond" w:cs="Times New Roman"/>
          <w:lang w:eastAsia="it-IT"/>
        </w:rPr>
        <w:t xml:space="preserve"> con la vittoriosa proposizione dell’eccezione</w:t>
      </w:r>
      <w:r w:rsidR="000031AE" w:rsidRPr="007B7F8A">
        <w:rPr>
          <w:rFonts w:ascii="Garamond" w:eastAsia="Times New Roman" w:hAnsi="Garamond" w:cs="Times New Roman"/>
          <w:lang w:eastAsia="it-IT"/>
        </w:rPr>
        <w:t>.</w:t>
      </w:r>
      <w:r w:rsidRPr="007B7F8A">
        <w:rPr>
          <w:rFonts w:ascii="Garamond" w:eastAsia="Times New Roman" w:hAnsi="Garamond" w:cs="Times New Roman"/>
          <w:lang w:eastAsia="it-IT"/>
        </w:rPr>
        <w:t xml:space="preserve"> I</w:t>
      </w:r>
      <w:r w:rsidR="000031AE" w:rsidRPr="007B7F8A">
        <w:rPr>
          <w:rFonts w:ascii="Garamond" w:eastAsia="Times New Roman" w:hAnsi="Garamond" w:cs="Times New Roman"/>
          <w:lang w:eastAsia="it-IT"/>
        </w:rPr>
        <w:t>n tal senso,</w:t>
      </w:r>
      <w:r w:rsidRPr="007B7F8A">
        <w:rPr>
          <w:rFonts w:ascii="Garamond" w:eastAsia="Times New Roman" w:hAnsi="Garamond" w:cs="Times New Roman"/>
          <w:lang w:eastAsia="it-IT"/>
        </w:rPr>
        <w:t xml:space="preserve"> l’art. 2940 c.c. (</w:t>
      </w:r>
      <w:r w:rsidR="0032300F" w:rsidRPr="007B7F8A">
        <w:rPr>
          <w:rFonts w:ascii="Garamond" w:eastAsia="Times New Roman" w:hAnsi="Garamond" w:cs="Times New Roman"/>
          <w:lang w:eastAsia="it-IT"/>
        </w:rPr>
        <w:t>secondo cui “</w:t>
      </w:r>
      <w:r w:rsidRPr="007B7F8A">
        <w:rPr>
          <w:rFonts w:ascii="Garamond" w:eastAsia="Times New Roman" w:hAnsi="Garamond" w:cs="Times New Roman"/>
          <w:lang w:eastAsia="it-IT"/>
        </w:rPr>
        <w:t>non è ammessa la ripetizione di ciò che è stato spontaneamente pagato in adempimento di un debito prescritto”)</w:t>
      </w:r>
      <w:r w:rsidR="000031AE" w:rsidRPr="007B7F8A">
        <w:rPr>
          <w:rFonts w:ascii="Garamond" w:eastAsia="Times New Roman" w:hAnsi="Garamond" w:cs="Times New Roman"/>
          <w:lang w:eastAsia="it-IT"/>
        </w:rPr>
        <w:t xml:space="preserve"> va</w:t>
      </w:r>
      <w:r w:rsidRPr="007B7F8A">
        <w:rPr>
          <w:rFonts w:ascii="Garamond" w:eastAsia="Times New Roman" w:hAnsi="Garamond" w:cs="Times New Roman"/>
          <w:lang w:eastAsia="it-IT"/>
        </w:rPr>
        <w:t xml:space="preserve"> riferi</w:t>
      </w:r>
      <w:r w:rsidR="000031AE" w:rsidRPr="007B7F8A">
        <w:rPr>
          <w:rFonts w:ascii="Garamond" w:eastAsia="Times New Roman" w:hAnsi="Garamond" w:cs="Times New Roman"/>
          <w:lang w:eastAsia="it-IT"/>
        </w:rPr>
        <w:t>to</w:t>
      </w:r>
      <w:r w:rsidRPr="007B7F8A">
        <w:rPr>
          <w:rFonts w:ascii="Garamond" w:eastAsia="Times New Roman" w:hAnsi="Garamond" w:cs="Times New Roman"/>
          <w:lang w:eastAsia="it-IT"/>
        </w:rPr>
        <w:t xml:space="preserve"> non al</w:t>
      </w:r>
      <w:r w:rsidR="002A2283" w:rsidRPr="007B7F8A">
        <w:rPr>
          <w:rFonts w:ascii="Garamond" w:eastAsia="Times New Roman" w:hAnsi="Garamond" w:cs="Times New Roman"/>
          <w:lang w:eastAsia="it-IT"/>
        </w:rPr>
        <w:t xml:space="preserve">l’obbligazione </w:t>
      </w:r>
      <w:r w:rsidRPr="007B7F8A">
        <w:rPr>
          <w:rFonts w:ascii="Garamond" w:eastAsia="Times New Roman" w:hAnsi="Garamond" w:cs="Times New Roman"/>
          <w:lang w:eastAsia="it-IT"/>
        </w:rPr>
        <w:t>estint</w:t>
      </w:r>
      <w:r w:rsidR="002A2283" w:rsidRPr="007B7F8A">
        <w:rPr>
          <w:rFonts w:ascii="Garamond" w:eastAsia="Times New Roman" w:hAnsi="Garamond" w:cs="Times New Roman"/>
          <w:lang w:eastAsia="it-IT"/>
        </w:rPr>
        <w:t>a</w:t>
      </w:r>
      <w:r w:rsidRPr="007B7F8A">
        <w:rPr>
          <w:rFonts w:ascii="Garamond" w:eastAsia="Times New Roman" w:hAnsi="Garamond" w:cs="Times New Roman"/>
          <w:lang w:eastAsia="it-IT"/>
        </w:rPr>
        <w:t xml:space="preserve"> </w:t>
      </w:r>
      <w:r w:rsidR="002A2283" w:rsidRPr="007B7F8A">
        <w:rPr>
          <w:rFonts w:ascii="Garamond" w:eastAsia="Times New Roman" w:hAnsi="Garamond" w:cs="Times New Roman"/>
          <w:lang w:eastAsia="it-IT"/>
        </w:rPr>
        <w:t>per</w:t>
      </w:r>
      <w:r w:rsidRPr="007B7F8A">
        <w:rPr>
          <w:rFonts w:ascii="Garamond" w:eastAsia="Times New Roman" w:hAnsi="Garamond" w:cs="Times New Roman"/>
          <w:lang w:eastAsia="it-IT"/>
        </w:rPr>
        <w:t xml:space="preserve"> prescrizione, ma a</w:t>
      </w:r>
      <w:r w:rsidR="002A2283" w:rsidRPr="007B7F8A">
        <w:rPr>
          <w:rFonts w:ascii="Garamond" w:eastAsia="Times New Roman" w:hAnsi="Garamond" w:cs="Times New Roman"/>
          <w:lang w:eastAsia="it-IT"/>
        </w:rPr>
        <w:t xml:space="preserve"> quel</w:t>
      </w:r>
      <w:r w:rsidRPr="007B7F8A">
        <w:rPr>
          <w:rFonts w:ascii="Garamond" w:eastAsia="Times New Roman" w:hAnsi="Garamond" w:cs="Times New Roman"/>
          <w:lang w:eastAsia="it-IT"/>
        </w:rPr>
        <w:t>l</w:t>
      </w:r>
      <w:r w:rsidR="002A2283" w:rsidRPr="007B7F8A">
        <w:rPr>
          <w:rFonts w:ascii="Garamond" w:eastAsia="Times New Roman" w:hAnsi="Garamond" w:cs="Times New Roman"/>
          <w:lang w:eastAsia="it-IT"/>
        </w:rPr>
        <w:t>a</w:t>
      </w:r>
      <w:r w:rsidRPr="007B7F8A">
        <w:rPr>
          <w:rFonts w:ascii="Garamond" w:eastAsia="Times New Roman" w:hAnsi="Garamond" w:cs="Times New Roman"/>
          <w:lang w:eastAsia="it-IT"/>
        </w:rPr>
        <w:t xml:space="preserve"> naturale.</w:t>
      </w:r>
    </w:p>
    <w:p w:rsidR="000031AE" w:rsidRPr="007B7F8A" w:rsidRDefault="00DA3C0E" w:rsidP="00CE6DB9">
      <w:pPr>
        <w:pStyle w:val="Testonotaapidipagina"/>
        <w:jc w:val="both"/>
        <w:rPr>
          <w:rFonts w:ascii="Garamond" w:eastAsia="Times New Roman" w:hAnsi="Garamond" w:cs="Times New Roman"/>
          <w:lang w:eastAsia="it-IT"/>
        </w:rPr>
      </w:pPr>
      <w:r w:rsidRPr="007B7F8A">
        <w:rPr>
          <w:rFonts w:ascii="Garamond" w:eastAsia="Times New Roman" w:hAnsi="Garamond" w:cs="Times New Roman"/>
          <w:lang w:eastAsia="it-IT"/>
        </w:rPr>
        <w:t>Di contro, s</w:t>
      </w:r>
      <w:r w:rsidR="000031AE" w:rsidRPr="007B7F8A">
        <w:rPr>
          <w:rFonts w:ascii="Garamond" w:eastAsia="Times New Roman" w:hAnsi="Garamond" w:cs="Times New Roman"/>
          <w:lang w:eastAsia="it-IT"/>
        </w:rPr>
        <w:t>econdo l</w:t>
      </w:r>
      <w:r w:rsidR="00D6270C" w:rsidRPr="007B7F8A">
        <w:rPr>
          <w:rFonts w:ascii="Garamond" w:eastAsia="Times New Roman" w:hAnsi="Garamond" w:cs="Times New Roman"/>
          <w:lang w:eastAsia="it-IT"/>
        </w:rPr>
        <w:t>’</w:t>
      </w:r>
      <w:r w:rsidR="000031AE" w:rsidRPr="007B7F8A">
        <w:rPr>
          <w:rFonts w:ascii="Garamond" w:eastAsia="Times New Roman" w:hAnsi="Garamond" w:cs="Times New Roman"/>
          <w:lang w:eastAsia="it-IT"/>
        </w:rPr>
        <w:t xml:space="preserve">accezione processuale, la prescrizione </w:t>
      </w:r>
      <w:r w:rsidR="004F5AD1" w:rsidRPr="007B7F8A">
        <w:rPr>
          <w:rFonts w:ascii="Garamond" w:eastAsia="Times New Roman" w:hAnsi="Garamond" w:cs="Times New Roman"/>
          <w:lang w:eastAsia="it-IT"/>
        </w:rPr>
        <w:t xml:space="preserve">non </w:t>
      </w:r>
      <w:r w:rsidR="000031AE" w:rsidRPr="007B7F8A">
        <w:rPr>
          <w:rFonts w:ascii="Garamond" w:eastAsia="Times New Roman" w:hAnsi="Garamond" w:cs="Times New Roman"/>
          <w:lang w:eastAsia="it-IT"/>
        </w:rPr>
        <w:t>estingue il diritto, ma l’azione (</w:t>
      </w:r>
      <w:r w:rsidR="005F256B" w:rsidRPr="007B7F8A">
        <w:rPr>
          <w:rFonts w:ascii="Garamond" w:eastAsia="Times New Roman" w:hAnsi="Garamond" w:cs="Times New Roman"/>
          <w:smallCaps/>
          <w:lang w:eastAsia="it-IT"/>
        </w:rPr>
        <w:t>Panza</w:t>
      </w:r>
      <w:r w:rsidR="000031AE" w:rsidRPr="007B7F8A">
        <w:rPr>
          <w:rFonts w:ascii="Garamond" w:eastAsia="Times New Roman" w:hAnsi="Garamond" w:cs="Times New Roman"/>
          <w:lang w:eastAsia="it-IT"/>
        </w:rPr>
        <w:t xml:space="preserve"> G., </w:t>
      </w:r>
      <w:r w:rsidR="000031AE" w:rsidRPr="007B7F8A">
        <w:rPr>
          <w:rFonts w:ascii="Garamond" w:eastAsia="Times New Roman" w:hAnsi="Garamond" w:cs="Times New Roman"/>
          <w:i/>
          <w:iCs/>
          <w:lang w:eastAsia="it-IT"/>
        </w:rPr>
        <w:t>Contributo allo studio della prescrizione</w:t>
      </w:r>
      <w:r w:rsidR="000031AE" w:rsidRPr="007B7F8A">
        <w:rPr>
          <w:rFonts w:ascii="Garamond" w:eastAsia="Times New Roman" w:hAnsi="Garamond" w:cs="Times New Roman"/>
          <w:lang w:eastAsia="it-IT"/>
        </w:rPr>
        <w:t>, Napoli, 1984)</w:t>
      </w:r>
      <w:r w:rsidR="002506F0" w:rsidRPr="007B7F8A">
        <w:rPr>
          <w:rFonts w:ascii="Garamond" w:eastAsia="Times New Roman" w:hAnsi="Garamond" w:cs="Times New Roman"/>
          <w:lang w:eastAsia="it-IT"/>
        </w:rPr>
        <w:t>,</w:t>
      </w:r>
      <w:r w:rsidRPr="007B7F8A">
        <w:rPr>
          <w:rFonts w:ascii="Garamond" w:eastAsia="Times New Roman" w:hAnsi="Garamond" w:cs="Times New Roman"/>
          <w:lang w:eastAsia="it-IT"/>
        </w:rPr>
        <w:t xml:space="preserve"> sort</w:t>
      </w:r>
      <w:r w:rsidR="000031AE" w:rsidRPr="007B7F8A">
        <w:rPr>
          <w:rFonts w:ascii="Garamond" w:eastAsia="Times New Roman" w:hAnsi="Garamond" w:cs="Times New Roman"/>
          <w:lang w:eastAsia="it-IT"/>
        </w:rPr>
        <w:t>e</w:t>
      </w:r>
      <w:r w:rsidRPr="007B7F8A">
        <w:rPr>
          <w:rFonts w:ascii="Garamond" w:eastAsia="Times New Roman" w:hAnsi="Garamond" w:cs="Times New Roman"/>
          <w:lang w:eastAsia="it-IT"/>
        </w:rPr>
        <w:t>ndo</w:t>
      </w:r>
      <w:r w:rsidR="000031AE" w:rsidRPr="007B7F8A">
        <w:rPr>
          <w:rFonts w:ascii="Garamond" w:eastAsia="Times New Roman" w:hAnsi="Garamond" w:cs="Times New Roman"/>
          <w:lang w:eastAsia="it-IT"/>
        </w:rPr>
        <w:t xml:space="preserve"> l’effetto di inibire ogni giudizio sulla fondatezza della pretesa fatta valere (</w:t>
      </w:r>
      <w:r w:rsidR="000031AE" w:rsidRPr="007B7F8A">
        <w:rPr>
          <w:rFonts w:ascii="Garamond" w:eastAsia="Times New Roman" w:hAnsi="Garamond" w:cs="Times New Roman"/>
          <w:smallCaps/>
          <w:lang w:eastAsia="it-IT"/>
        </w:rPr>
        <w:t>Falzea</w:t>
      </w:r>
      <w:r w:rsidR="000031AE" w:rsidRPr="007B7F8A">
        <w:rPr>
          <w:rFonts w:ascii="Garamond" w:eastAsia="Times New Roman" w:hAnsi="Garamond" w:cs="Times New Roman"/>
          <w:lang w:eastAsia="it-IT"/>
        </w:rPr>
        <w:t xml:space="preserve"> A., </w:t>
      </w:r>
      <w:r w:rsidR="000031AE" w:rsidRPr="007B7F8A">
        <w:rPr>
          <w:rFonts w:ascii="Garamond" w:eastAsia="Times New Roman" w:hAnsi="Garamond" w:cs="Times New Roman"/>
          <w:i/>
          <w:iCs/>
          <w:lang w:eastAsia="it-IT"/>
        </w:rPr>
        <w:t>Efficacia giuridica</w:t>
      </w:r>
      <w:r w:rsidR="000031AE" w:rsidRPr="007B7F8A">
        <w:rPr>
          <w:rFonts w:ascii="Garamond" w:eastAsia="Times New Roman" w:hAnsi="Garamond" w:cs="Times New Roman"/>
          <w:lang w:eastAsia="it-IT"/>
        </w:rPr>
        <w:t xml:space="preserve">, in </w:t>
      </w:r>
      <w:proofErr w:type="spellStart"/>
      <w:r w:rsidR="000031AE" w:rsidRPr="007B7F8A">
        <w:rPr>
          <w:rFonts w:ascii="Garamond" w:eastAsia="Times New Roman" w:hAnsi="Garamond" w:cs="Times New Roman"/>
          <w:i/>
          <w:iCs/>
          <w:lang w:eastAsia="it-IT"/>
        </w:rPr>
        <w:t>Enc</w:t>
      </w:r>
      <w:proofErr w:type="spellEnd"/>
      <w:r w:rsidR="000031AE" w:rsidRPr="007B7F8A">
        <w:rPr>
          <w:rFonts w:ascii="Garamond" w:eastAsia="Times New Roman" w:hAnsi="Garamond" w:cs="Times New Roman"/>
          <w:i/>
          <w:iCs/>
          <w:lang w:eastAsia="it-IT"/>
        </w:rPr>
        <w:t xml:space="preserve">. </w:t>
      </w:r>
      <w:proofErr w:type="gramStart"/>
      <w:r w:rsidR="000031AE" w:rsidRPr="007B7F8A">
        <w:rPr>
          <w:rFonts w:ascii="Garamond" w:eastAsia="Times New Roman" w:hAnsi="Garamond" w:cs="Times New Roman"/>
          <w:i/>
          <w:iCs/>
          <w:lang w:eastAsia="it-IT"/>
        </w:rPr>
        <w:t>dir.,</w:t>
      </w:r>
      <w:proofErr w:type="gramEnd"/>
      <w:r w:rsidR="000031AE" w:rsidRPr="007B7F8A">
        <w:rPr>
          <w:rFonts w:ascii="Garamond" w:eastAsia="Times New Roman" w:hAnsi="Garamond" w:cs="Times New Roman"/>
          <w:lang w:eastAsia="it-IT"/>
        </w:rPr>
        <w:t xml:space="preserve"> Milano</w:t>
      </w:r>
      <w:r w:rsidR="0032300F" w:rsidRPr="007B7F8A">
        <w:rPr>
          <w:rFonts w:ascii="Garamond" w:eastAsia="Times New Roman" w:hAnsi="Garamond" w:cs="Times New Roman"/>
          <w:lang w:eastAsia="it-IT"/>
        </w:rPr>
        <w:t>,</w:t>
      </w:r>
      <w:r w:rsidR="000031AE" w:rsidRPr="007B7F8A">
        <w:rPr>
          <w:rFonts w:ascii="Garamond" w:eastAsia="Times New Roman" w:hAnsi="Garamond" w:cs="Times New Roman"/>
          <w:lang w:eastAsia="it-IT"/>
        </w:rPr>
        <w:t xml:space="preserve"> 1965, 498 ss</w:t>
      </w:r>
      <w:r w:rsidR="0032300F" w:rsidRPr="007B7F8A">
        <w:rPr>
          <w:rFonts w:ascii="Garamond" w:eastAsia="Times New Roman" w:hAnsi="Garamond" w:cs="Times New Roman"/>
          <w:lang w:eastAsia="it-IT"/>
        </w:rPr>
        <w:t>.</w:t>
      </w:r>
      <w:r w:rsidR="000031AE" w:rsidRPr="007B7F8A">
        <w:rPr>
          <w:rFonts w:ascii="Garamond" w:eastAsia="Times New Roman" w:hAnsi="Garamond" w:cs="Times New Roman"/>
          <w:lang w:eastAsia="it-IT"/>
        </w:rPr>
        <w:t>)</w:t>
      </w:r>
      <w:r w:rsidRPr="007B7F8A">
        <w:rPr>
          <w:rFonts w:ascii="Garamond" w:eastAsia="Times New Roman" w:hAnsi="Garamond" w:cs="Times New Roman"/>
          <w:lang w:eastAsia="it-IT"/>
        </w:rPr>
        <w:t>.</w:t>
      </w:r>
    </w:p>
  </w:footnote>
  <w:footnote w:id="2">
    <w:p w:rsidR="002669FF" w:rsidRPr="007B7F8A" w:rsidRDefault="002669FF" w:rsidP="002669F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7B7F8A">
        <w:rPr>
          <w:rStyle w:val="Rimandonotaapidipagina"/>
          <w:rFonts w:ascii="Garamond" w:hAnsi="Garamond" w:cs="Times New Roman"/>
          <w:sz w:val="20"/>
          <w:szCs w:val="20"/>
        </w:rPr>
        <w:footnoteRef/>
      </w:r>
      <w:r w:rsidRPr="007B7F8A">
        <w:rPr>
          <w:rFonts w:ascii="Garamond" w:hAnsi="Garamond" w:cs="Times New Roman"/>
          <w:sz w:val="20"/>
          <w:szCs w:val="20"/>
        </w:rPr>
        <w:t xml:space="preserve"> </w:t>
      </w:r>
      <w:r w:rsidRPr="007B7F8A">
        <w:rPr>
          <w:rFonts w:ascii="Garamond" w:eastAsia="Times New Roman" w:hAnsi="Garamond" w:cs="Times New Roman"/>
          <w:smallCaps/>
          <w:sz w:val="20"/>
          <w:szCs w:val="20"/>
          <w:lang w:eastAsia="it-IT"/>
        </w:rPr>
        <w:t>Alpa</w:t>
      </w:r>
      <w:r w:rsidRPr="007B7F8A">
        <w:rPr>
          <w:rFonts w:ascii="Garamond" w:hAnsi="Garamond" w:cs="Times New Roman"/>
          <w:sz w:val="20"/>
          <w:szCs w:val="20"/>
        </w:rPr>
        <w:t xml:space="preserve"> G., </w:t>
      </w:r>
      <w:r w:rsidRPr="007B7F8A">
        <w:rPr>
          <w:rFonts w:ascii="Garamond" w:hAnsi="Garamond" w:cs="Times New Roman"/>
          <w:i/>
          <w:sz w:val="20"/>
          <w:szCs w:val="20"/>
        </w:rPr>
        <w:t>Istituzioni di diritto privato</w:t>
      </w:r>
      <w:r w:rsidRPr="007B7F8A">
        <w:rPr>
          <w:rFonts w:ascii="Garamond" w:hAnsi="Garamond" w:cs="Times New Roman"/>
          <w:sz w:val="20"/>
          <w:szCs w:val="20"/>
        </w:rPr>
        <w:t>, Torino, 1997, 1203</w:t>
      </w:r>
      <w:r w:rsidRPr="007B7F8A">
        <w:rPr>
          <w:rFonts w:ascii="Garamond" w:eastAsia="Times New Roman" w:hAnsi="Garamond" w:cs="Times New Roman"/>
          <w:smallCaps/>
          <w:sz w:val="20"/>
          <w:szCs w:val="20"/>
          <w:lang w:eastAsia="it-IT"/>
        </w:rPr>
        <w:t xml:space="preserve"> </w:t>
      </w:r>
      <w:r w:rsidRPr="007B7F8A">
        <w:rPr>
          <w:rFonts w:ascii="Garamond" w:eastAsia="Times New Roman" w:hAnsi="Garamond" w:cs="Times New Roman"/>
          <w:sz w:val="20"/>
          <w:szCs w:val="20"/>
          <w:lang w:eastAsia="it-IT"/>
        </w:rPr>
        <w:t>ss</w:t>
      </w:r>
      <w:r w:rsidRPr="007B7F8A">
        <w:rPr>
          <w:rFonts w:ascii="Garamond" w:eastAsia="Times New Roman" w:hAnsi="Garamond" w:cs="Times New Roman"/>
          <w:smallCaps/>
          <w:sz w:val="20"/>
          <w:szCs w:val="20"/>
          <w:lang w:eastAsia="it-IT"/>
        </w:rPr>
        <w:t>.; Grasso</w:t>
      </w:r>
      <w:r w:rsidRPr="007B7F8A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B., </w:t>
      </w:r>
      <w:r w:rsidRPr="007B7F8A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t>Sulla distinzione tra prescrizione e decadenza</w:t>
      </w:r>
      <w:r w:rsidRPr="007B7F8A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, </w:t>
      </w:r>
      <w:proofErr w:type="spellStart"/>
      <w:r w:rsidRPr="007B7F8A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t>Riv</w:t>
      </w:r>
      <w:proofErr w:type="spellEnd"/>
      <w:r w:rsidRPr="007B7F8A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t xml:space="preserve">. trim. dir. </w:t>
      </w:r>
      <w:proofErr w:type="spellStart"/>
      <w:proofErr w:type="gramStart"/>
      <w:r w:rsidRPr="007B7F8A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t>proc</w:t>
      </w:r>
      <w:proofErr w:type="spellEnd"/>
      <w:proofErr w:type="gramEnd"/>
      <w:r w:rsidRPr="007B7F8A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t xml:space="preserve">. </w:t>
      </w:r>
      <w:proofErr w:type="gramStart"/>
      <w:r w:rsidRPr="007B7F8A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t>civ.,</w:t>
      </w:r>
      <w:proofErr w:type="gramEnd"/>
      <w:r w:rsidRPr="007B7F8A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t xml:space="preserve"> </w:t>
      </w:r>
      <w:r w:rsidRPr="007B7F8A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1970, 886 ss. e </w:t>
      </w:r>
      <w:r w:rsidRPr="007B7F8A">
        <w:rPr>
          <w:rFonts w:ascii="Garamond" w:eastAsia="Times New Roman" w:hAnsi="Garamond" w:cs="Times New Roman"/>
          <w:i/>
          <w:sz w:val="20"/>
          <w:szCs w:val="20"/>
          <w:lang w:eastAsia="it-IT"/>
        </w:rPr>
        <w:t>Prescrizione e decadenza (dir. civ.)</w:t>
      </w:r>
      <w:r w:rsidRPr="007B7F8A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, in </w:t>
      </w:r>
      <w:r w:rsidRPr="007B7F8A">
        <w:rPr>
          <w:rFonts w:ascii="Garamond" w:eastAsia="Times New Roman" w:hAnsi="Garamond" w:cs="Times New Roman"/>
          <w:i/>
          <w:sz w:val="20"/>
          <w:szCs w:val="20"/>
          <w:lang w:eastAsia="it-IT"/>
        </w:rPr>
        <w:t>Treccani online</w:t>
      </w:r>
      <w:r w:rsidRPr="007B7F8A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, 2015; </w:t>
      </w:r>
      <w:proofErr w:type="spellStart"/>
      <w:r w:rsidRPr="007B7F8A">
        <w:rPr>
          <w:rFonts w:ascii="Garamond" w:eastAsia="Times New Roman" w:hAnsi="Garamond" w:cs="Times New Roman"/>
          <w:smallCaps/>
          <w:sz w:val="20"/>
          <w:szCs w:val="20"/>
          <w:lang w:eastAsia="it-IT"/>
        </w:rPr>
        <w:t>Messineo</w:t>
      </w:r>
      <w:proofErr w:type="spellEnd"/>
      <w:r w:rsidRPr="007B7F8A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F., </w:t>
      </w:r>
      <w:r w:rsidRPr="007B7F8A">
        <w:rPr>
          <w:rFonts w:ascii="Garamond" w:eastAsia="Times New Roman" w:hAnsi="Garamond" w:cs="Times New Roman"/>
          <w:i/>
          <w:sz w:val="20"/>
          <w:szCs w:val="20"/>
          <w:lang w:eastAsia="it-IT"/>
        </w:rPr>
        <w:t>Manuale di diritto civile e commerciale</w:t>
      </w:r>
      <w:r w:rsidRPr="007B7F8A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, Milano, 1957, </w:t>
      </w:r>
      <w:r w:rsidR="00AA34FC" w:rsidRPr="007B7F8A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I, </w:t>
      </w:r>
      <w:r w:rsidRPr="007B7F8A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178 ss.; </w:t>
      </w:r>
      <w:r w:rsidRPr="007B7F8A">
        <w:rPr>
          <w:rFonts w:ascii="Garamond" w:eastAsia="Times New Roman" w:hAnsi="Garamond" w:cs="Times New Roman"/>
          <w:smallCaps/>
          <w:sz w:val="20"/>
          <w:szCs w:val="20"/>
          <w:lang w:eastAsia="it-IT"/>
        </w:rPr>
        <w:t>Travaglino</w:t>
      </w:r>
      <w:r w:rsidRPr="007B7F8A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G., </w:t>
      </w:r>
      <w:r w:rsidRPr="007B7F8A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t>Decadenza e prescrizione nella elaborazione dottrinale</w:t>
      </w:r>
      <w:r w:rsidRPr="007B7F8A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, in </w:t>
      </w:r>
      <w:proofErr w:type="spellStart"/>
      <w:proofErr w:type="gramStart"/>
      <w:r w:rsidRPr="007B7F8A">
        <w:rPr>
          <w:rFonts w:ascii="Garamond" w:eastAsia="Times New Roman" w:hAnsi="Garamond" w:cs="Times New Roman"/>
          <w:smallCaps/>
          <w:sz w:val="20"/>
          <w:szCs w:val="20"/>
          <w:lang w:eastAsia="it-IT"/>
        </w:rPr>
        <w:t>Aa.Vv</w:t>
      </w:r>
      <w:proofErr w:type="spellEnd"/>
      <w:r w:rsidRPr="007B7F8A">
        <w:rPr>
          <w:rFonts w:ascii="Garamond" w:eastAsia="Times New Roman" w:hAnsi="Garamond" w:cs="Times New Roman"/>
          <w:sz w:val="20"/>
          <w:szCs w:val="20"/>
          <w:lang w:eastAsia="it-IT"/>
        </w:rPr>
        <w:t>.,</w:t>
      </w:r>
      <w:proofErr w:type="gramEnd"/>
      <w:r w:rsidRPr="007B7F8A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Pr="007B7F8A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t>La prescrizione e la decadenza</w:t>
      </w:r>
      <w:r w:rsidRPr="007B7F8A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, Milano, 2008, </w:t>
      </w:r>
      <w:r w:rsidR="00AA34FC" w:rsidRPr="007B7F8A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III ed., </w:t>
      </w:r>
      <w:r w:rsidRPr="007B7F8A">
        <w:rPr>
          <w:rFonts w:ascii="Garamond" w:eastAsia="Times New Roman" w:hAnsi="Garamond" w:cs="Times New Roman"/>
          <w:sz w:val="20"/>
          <w:szCs w:val="20"/>
          <w:lang w:eastAsia="it-IT"/>
        </w:rPr>
        <w:t>379 ss. In giurisprudenza</w:t>
      </w:r>
      <w:r w:rsidR="00F4539E" w:rsidRPr="007B7F8A">
        <w:rPr>
          <w:rFonts w:ascii="Garamond" w:eastAsia="Times New Roman" w:hAnsi="Garamond" w:cs="Times New Roman"/>
          <w:sz w:val="20"/>
          <w:szCs w:val="20"/>
          <w:lang w:eastAsia="it-IT"/>
        </w:rPr>
        <w:t>:</w:t>
      </w:r>
      <w:r w:rsidRPr="007B7F8A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Cass. </w:t>
      </w:r>
      <w:proofErr w:type="gramStart"/>
      <w:r w:rsidRPr="007B7F8A">
        <w:rPr>
          <w:rFonts w:ascii="Garamond" w:eastAsia="Times New Roman" w:hAnsi="Garamond" w:cs="Times New Roman"/>
          <w:sz w:val="20"/>
          <w:szCs w:val="20"/>
          <w:lang w:eastAsia="it-IT"/>
        </w:rPr>
        <w:t>civ</w:t>
      </w:r>
      <w:r w:rsidR="00AA34FC">
        <w:rPr>
          <w:rFonts w:ascii="Garamond" w:eastAsia="Times New Roman" w:hAnsi="Garamond" w:cs="Times New Roman"/>
          <w:sz w:val="20"/>
          <w:szCs w:val="20"/>
          <w:lang w:eastAsia="it-IT"/>
        </w:rPr>
        <w:t>.</w:t>
      </w:r>
      <w:r w:rsidRPr="007B7F8A">
        <w:rPr>
          <w:rFonts w:ascii="Garamond" w:eastAsia="Times New Roman" w:hAnsi="Garamond" w:cs="Times New Roman"/>
          <w:sz w:val="20"/>
          <w:szCs w:val="20"/>
          <w:lang w:eastAsia="it-IT"/>
        </w:rPr>
        <w:t>,</w:t>
      </w:r>
      <w:proofErr w:type="gramEnd"/>
      <w:r w:rsidRPr="007B7F8A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Sez. un., 21 agosto 1972, n. 2690</w:t>
      </w:r>
      <w:r w:rsidR="00AD11DA" w:rsidRPr="007B7F8A">
        <w:rPr>
          <w:rFonts w:ascii="Garamond" w:hAnsi="Garamond" w:cs="Times New Roman"/>
        </w:rPr>
        <w:t xml:space="preserve">, in </w:t>
      </w:r>
      <w:r w:rsidR="00031ECD">
        <w:rPr>
          <w:rFonts w:ascii="Garamond" w:hAnsi="Garamond" w:cs="Times New Roman"/>
          <w:i/>
        </w:rPr>
        <w:t>www.ital</w:t>
      </w:r>
      <w:r w:rsidR="00AD11DA" w:rsidRPr="007B7F8A">
        <w:rPr>
          <w:rFonts w:ascii="Garamond" w:hAnsi="Garamond" w:cs="Times New Roman"/>
          <w:i/>
        </w:rPr>
        <w:t>giureweb.it</w:t>
      </w:r>
      <w:r w:rsidRPr="007B7F8A">
        <w:rPr>
          <w:rFonts w:ascii="Garamond" w:eastAsia="Times New Roman" w:hAnsi="Garamond" w:cs="Times New Roman"/>
          <w:sz w:val="20"/>
          <w:szCs w:val="20"/>
          <w:lang w:eastAsia="it-IT"/>
        </w:rPr>
        <w:t>.</w:t>
      </w:r>
    </w:p>
  </w:footnote>
  <w:footnote w:id="3">
    <w:p w:rsidR="002A1AC0" w:rsidRPr="007B7F8A" w:rsidRDefault="002A1AC0" w:rsidP="002A1AC0">
      <w:pPr>
        <w:pStyle w:val="Testonotaapidipagina"/>
        <w:jc w:val="both"/>
        <w:rPr>
          <w:rFonts w:ascii="Garamond" w:eastAsia="Times New Roman" w:hAnsi="Garamond" w:cs="Times New Roman"/>
          <w:lang w:eastAsia="it-IT"/>
        </w:rPr>
      </w:pPr>
      <w:r w:rsidRPr="007B7F8A">
        <w:rPr>
          <w:rStyle w:val="Rimandonotaapidipagina"/>
          <w:rFonts w:ascii="Garamond" w:hAnsi="Garamond" w:cs="Times New Roman"/>
        </w:rPr>
        <w:footnoteRef/>
      </w:r>
      <w:r w:rsidRPr="007B7F8A">
        <w:rPr>
          <w:rFonts w:ascii="Garamond" w:hAnsi="Garamond" w:cs="Times New Roman"/>
        </w:rPr>
        <w:t xml:space="preserve"> </w:t>
      </w:r>
      <w:r w:rsidRPr="007B7F8A">
        <w:rPr>
          <w:rFonts w:ascii="Garamond" w:eastAsia="Times New Roman" w:hAnsi="Garamond" w:cs="Times New Roman"/>
          <w:lang w:eastAsia="it-IT"/>
        </w:rPr>
        <w:t>Cfr., ad esempio, l’art. 61 del</w:t>
      </w:r>
      <w:r w:rsidR="00AA2E03" w:rsidRPr="007B7F8A">
        <w:rPr>
          <w:rFonts w:ascii="Garamond" w:eastAsia="Times New Roman" w:hAnsi="Garamond" w:cs="Times New Roman"/>
          <w:lang w:eastAsia="it-IT"/>
        </w:rPr>
        <w:t>la legge cambiaria, secondo cui</w:t>
      </w:r>
      <w:r w:rsidRPr="007B7F8A">
        <w:rPr>
          <w:rFonts w:ascii="Garamond" w:eastAsia="Times New Roman" w:hAnsi="Garamond" w:cs="Times New Roman"/>
          <w:lang w:eastAsia="it-IT"/>
        </w:rPr>
        <w:t xml:space="preserve"> “se un ostacolo insormontabile impedisce di presentare la cambiale o di levare il protesto nei termini stabiliti, questi sono prolungati”.</w:t>
      </w:r>
    </w:p>
  </w:footnote>
  <w:footnote w:id="4">
    <w:p w:rsidR="002379B1" w:rsidRPr="007B7F8A" w:rsidRDefault="002379B1" w:rsidP="002379B1">
      <w:pPr>
        <w:pStyle w:val="Testonotaapidipagina"/>
        <w:jc w:val="both"/>
        <w:rPr>
          <w:rFonts w:ascii="Garamond" w:eastAsia="Times New Roman" w:hAnsi="Garamond" w:cs="Times New Roman"/>
          <w:lang w:eastAsia="it-IT"/>
        </w:rPr>
      </w:pPr>
      <w:r w:rsidRPr="007B7F8A">
        <w:rPr>
          <w:rFonts w:ascii="Garamond" w:eastAsia="Times New Roman" w:hAnsi="Garamond" w:cs="Times New Roman"/>
          <w:vertAlign w:val="superscript"/>
          <w:lang w:eastAsia="it-IT"/>
        </w:rPr>
        <w:footnoteRef/>
      </w:r>
      <w:r w:rsidRPr="007B7F8A">
        <w:rPr>
          <w:rFonts w:ascii="Garamond" w:eastAsia="Times New Roman" w:hAnsi="Garamond" w:cs="Times New Roman"/>
          <w:lang w:eastAsia="it-IT"/>
        </w:rPr>
        <w:t xml:space="preserve"> A tal proposito, è utile </w:t>
      </w:r>
      <w:r w:rsidR="00A05EEC" w:rsidRPr="007B7F8A">
        <w:rPr>
          <w:rFonts w:ascii="Garamond" w:eastAsia="Times New Roman" w:hAnsi="Garamond" w:cs="Times New Roman"/>
          <w:lang w:eastAsia="it-IT"/>
        </w:rPr>
        <w:t>segnalare</w:t>
      </w:r>
      <w:r w:rsidRPr="007B7F8A">
        <w:rPr>
          <w:rFonts w:ascii="Garamond" w:eastAsia="Times New Roman" w:hAnsi="Garamond" w:cs="Times New Roman"/>
          <w:lang w:eastAsia="it-IT"/>
        </w:rPr>
        <w:t xml:space="preserve"> </w:t>
      </w:r>
      <w:r w:rsidR="00585BC9" w:rsidRPr="007B7F8A">
        <w:rPr>
          <w:rFonts w:ascii="Garamond" w:eastAsia="Times New Roman" w:hAnsi="Garamond" w:cs="Times New Roman"/>
          <w:lang w:eastAsia="it-IT"/>
        </w:rPr>
        <w:t>il carattere infungibile del</w:t>
      </w:r>
      <w:r w:rsidRPr="007B7F8A">
        <w:rPr>
          <w:rFonts w:ascii="Garamond" w:eastAsia="Times New Roman" w:hAnsi="Garamond" w:cs="Times New Roman"/>
          <w:lang w:eastAsia="it-IT"/>
        </w:rPr>
        <w:t xml:space="preserve">l’atto interruttivo </w:t>
      </w:r>
      <w:r w:rsidR="00681053" w:rsidRPr="007B7F8A">
        <w:rPr>
          <w:rFonts w:ascii="Garamond" w:eastAsia="Times New Roman" w:hAnsi="Garamond" w:cs="Times New Roman"/>
          <w:lang w:eastAsia="it-IT"/>
        </w:rPr>
        <w:t xml:space="preserve">dell’inerzia richiesto al </w:t>
      </w:r>
      <w:r w:rsidR="00681053" w:rsidRPr="007B7F8A">
        <w:rPr>
          <w:rFonts w:ascii="Garamond" w:eastAsia="Times New Roman" w:hAnsi="Garamond" w:cs="Times New Roman"/>
          <w:i/>
          <w:lang w:eastAsia="it-IT"/>
        </w:rPr>
        <w:t>dominus</w:t>
      </w:r>
      <w:r w:rsidR="00681053" w:rsidRPr="007B7F8A">
        <w:rPr>
          <w:rFonts w:ascii="Garamond" w:eastAsia="Times New Roman" w:hAnsi="Garamond" w:cs="Times New Roman"/>
          <w:lang w:eastAsia="it-IT"/>
        </w:rPr>
        <w:t xml:space="preserve"> n</w:t>
      </w:r>
      <w:r w:rsidRPr="007B7F8A">
        <w:rPr>
          <w:rFonts w:ascii="Garamond" w:eastAsia="Times New Roman" w:hAnsi="Garamond" w:cs="Times New Roman"/>
          <w:lang w:eastAsia="it-IT"/>
        </w:rPr>
        <w:t>ella prescrizione</w:t>
      </w:r>
      <w:r w:rsidR="00ED0695" w:rsidRPr="007B7F8A">
        <w:rPr>
          <w:rFonts w:ascii="Garamond" w:eastAsia="Times New Roman" w:hAnsi="Garamond" w:cs="Times New Roman"/>
          <w:lang w:eastAsia="it-IT"/>
        </w:rPr>
        <w:t xml:space="preserve"> (</w:t>
      </w:r>
      <w:r w:rsidRPr="007B7F8A">
        <w:rPr>
          <w:rFonts w:ascii="Garamond" w:eastAsia="Times New Roman" w:hAnsi="Garamond" w:cs="Times New Roman"/>
          <w:lang w:eastAsia="it-IT"/>
        </w:rPr>
        <w:t>che</w:t>
      </w:r>
      <w:r w:rsidR="00ED0695" w:rsidRPr="007B7F8A">
        <w:rPr>
          <w:rFonts w:ascii="Garamond" w:eastAsia="Times New Roman" w:hAnsi="Garamond" w:cs="Times New Roman"/>
          <w:lang w:eastAsia="it-IT"/>
        </w:rPr>
        <w:t>,</w:t>
      </w:r>
      <w:r w:rsidRPr="007B7F8A">
        <w:rPr>
          <w:rFonts w:ascii="Garamond" w:eastAsia="Times New Roman" w:hAnsi="Garamond" w:cs="Times New Roman"/>
          <w:lang w:eastAsia="it-IT"/>
        </w:rPr>
        <w:t xml:space="preserve"> per gli artt. 2934 e 2943 c.c.</w:t>
      </w:r>
      <w:r w:rsidR="00ED0695" w:rsidRPr="007B7F8A">
        <w:rPr>
          <w:rFonts w:ascii="Garamond" w:eastAsia="Times New Roman" w:hAnsi="Garamond" w:cs="Times New Roman"/>
          <w:lang w:eastAsia="it-IT"/>
        </w:rPr>
        <w:t>,</w:t>
      </w:r>
      <w:r w:rsidRPr="007B7F8A">
        <w:rPr>
          <w:rFonts w:ascii="Garamond" w:eastAsia="Times New Roman" w:hAnsi="Garamond" w:cs="Times New Roman"/>
          <w:lang w:eastAsia="it-IT"/>
        </w:rPr>
        <w:t xml:space="preserve"> consiste </w:t>
      </w:r>
      <w:r w:rsidR="00585BC9" w:rsidRPr="007B7F8A">
        <w:rPr>
          <w:rFonts w:ascii="Garamond" w:eastAsia="Times New Roman" w:hAnsi="Garamond" w:cs="Times New Roman"/>
          <w:lang w:eastAsia="it-IT"/>
        </w:rPr>
        <w:t xml:space="preserve">esclusivamente </w:t>
      </w:r>
      <w:r w:rsidRPr="007B7F8A">
        <w:rPr>
          <w:rFonts w:ascii="Garamond" w:eastAsia="Times New Roman" w:hAnsi="Garamond" w:cs="Times New Roman"/>
          <w:lang w:eastAsia="it-IT"/>
        </w:rPr>
        <w:t>nell’esercizio del diritto</w:t>
      </w:r>
      <w:r w:rsidR="00ED0695" w:rsidRPr="007B7F8A">
        <w:rPr>
          <w:rFonts w:ascii="Garamond" w:eastAsia="Times New Roman" w:hAnsi="Garamond" w:cs="Times New Roman"/>
          <w:lang w:eastAsia="it-IT"/>
        </w:rPr>
        <w:t xml:space="preserve">) </w:t>
      </w:r>
      <w:r w:rsidRPr="007B7F8A">
        <w:rPr>
          <w:rFonts w:ascii="Garamond" w:eastAsia="Times New Roman" w:hAnsi="Garamond" w:cs="Times New Roman"/>
          <w:lang w:eastAsia="it-IT"/>
        </w:rPr>
        <w:t>e l</w:t>
      </w:r>
      <w:r w:rsidR="00585BC9" w:rsidRPr="007B7F8A">
        <w:rPr>
          <w:rFonts w:ascii="Garamond" w:eastAsia="Times New Roman" w:hAnsi="Garamond" w:cs="Times New Roman"/>
          <w:lang w:eastAsia="it-IT"/>
        </w:rPr>
        <w:t>a tendenziale duttilità dell</w:t>
      </w:r>
      <w:r w:rsidRPr="007B7F8A">
        <w:rPr>
          <w:rFonts w:ascii="Garamond" w:eastAsia="Times New Roman" w:hAnsi="Garamond" w:cs="Times New Roman"/>
          <w:lang w:eastAsia="it-IT"/>
        </w:rPr>
        <w:t xml:space="preserve">’atto impeditivo della decadenza </w:t>
      </w:r>
      <w:r w:rsidR="00ED0695" w:rsidRPr="007B7F8A">
        <w:rPr>
          <w:rFonts w:ascii="Garamond" w:eastAsia="Times New Roman" w:hAnsi="Garamond" w:cs="Times New Roman"/>
          <w:lang w:eastAsia="it-IT"/>
        </w:rPr>
        <w:t>(</w:t>
      </w:r>
      <w:r w:rsidRPr="007B7F8A">
        <w:rPr>
          <w:rFonts w:ascii="Garamond" w:eastAsia="Times New Roman" w:hAnsi="Garamond" w:cs="Times New Roman"/>
          <w:lang w:eastAsia="it-IT"/>
        </w:rPr>
        <w:t>che, per l’art. 2966 c.c., è di volta in volta “previsto dalla legge o dal </w:t>
      </w:r>
      <w:hyperlink r:id="rId1" w:tooltip="Dizionario Giuridico: Contratto" w:history="1">
        <w:r w:rsidRPr="007B7F8A">
          <w:rPr>
            <w:rFonts w:ascii="Garamond" w:eastAsia="Times New Roman" w:hAnsi="Garamond" w:cs="Times New Roman"/>
            <w:lang w:eastAsia="it-IT"/>
          </w:rPr>
          <w:t>contratto</w:t>
        </w:r>
      </w:hyperlink>
      <w:r w:rsidRPr="007B7F8A">
        <w:rPr>
          <w:rFonts w:ascii="Garamond" w:eastAsia="Times New Roman" w:hAnsi="Garamond" w:cs="Times New Roman"/>
          <w:lang w:eastAsia="it-IT"/>
        </w:rPr>
        <w:t>”</w:t>
      </w:r>
      <w:r w:rsidR="00ED0695" w:rsidRPr="007B7F8A">
        <w:rPr>
          <w:rFonts w:ascii="Garamond" w:eastAsia="Times New Roman" w:hAnsi="Garamond" w:cs="Times New Roman"/>
          <w:lang w:eastAsia="it-IT"/>
        </w:rPr>
        <w:t>)</w:t>
      </w:r>
      <w:r w:rsidRPr="007B7F8A">
        <w:rPr>
          <w:rFonts w:ascii="Garamond" w:eastAsia="Times New Roman" w:hAnsi="Garamond" w:cs="Times New Roman"/>
          <w:lang w:eastAsia="it-IT"/>
        </w:rPr>
        <w:t>.</w:t>
      </w:r>
    </w:p>
  </w:footnote>
  <w:footnote w:id="5">
    <w:p w:rsidR="004F351B" w:rsidRPr="007B7F8A" w:rsidRDefault="004F351B" w:rsidP="004F351B">
      <w:pPr>
        <w:pStyle w:val="Testonotaapidipagina"/>
        <w:jc w:val="both"/>
        <w:rPr>
          <w:rFonts w:ascii="Garamond" w:eastAsia="Times New Roman" w:hAnsi="Garamond" w:cs="Times New Roman"/>
          <w:lang w:eastAsia="it-IT"/>
        </w:rPr>
      </w:pPr>
      <w:r w:rsidRPr="007B7F8A">
        <w:rPr>
          <w:rFonts w:ascii="Garamond" w:eastAsia="Times New Roman" w:hAnsi="Garamond" w:cs="Times New Roman"/>
          <w:vertAlign w:val="superscript"/>
          <w:lang w:eastAsia="it-IT"/>
        </w:rPr>
        <w:footnoteRef/>
      </w:r>
      <w:r w:rsidRPr="007B7F8A">
        <w:rPr>
          <w:rFonts w:ascii="Garamond" w:eastAsia="Times New Roman" w:hAnsi="Garamond" w:cs="Times New Roman"/>
          <w:vertAlign w:val="superscript"/>
          <w:lang w:eastAsia="it-IT"/>
        </w:rPr>
        <w:t xml:space="preserve"> </w:t>
      </w:r>
      <w:r w:rsidRPr="007B7F8A">
        <w:rPr>
          <w:rFonts w:ascii="Garamond" w:eastAsia="Times New Roman" w:hAnsi="Garamond" w:cs="Times New Roman"/>
          <w:lang w:eastAsia="it-IT"/>
        </w:rPr>
        <w:t>Cfr. l’art. 52, comma 1, c.p.a., secondo cui “i termini assegnati dal giudice, salva diversa previsione, sono perentori”, che esprime una regola opposta a quella dell’art. 173, comma 1, c.p.c., secondo cui “i </w:t>
      </w:r>
      <w:hyperlink r:id="rId2" w:tooltip="Dizionario Giuridico: Termini" w:history="1">
        <w:r w:rsidRPr="007B7F8A">
          <w:rPr>
            <w:rFonts w:ascii="Garamond" w:eastAsia="Times New Roman" w:hAnsi="Garamond" w:cs="Times New Roman"/>
            <w:lang w:eastAsia="it-IT"/>
          </w:rPr>
          <w:t>termini</w:t>
        </w:r>
      </w:hyperlink>
      <w:r w:rsidRPr="007B7F8A">
        <w:rPr>
          <w:rFonts w:ascii="Garamond" w:eastAsia="Times New Roman" w:hAnsi="Garamond" w:cs="Times New Roman"/>
          <w:lang w:eastAsia="it-IT"/>
        </w:rPr>
        <w:t> si considerano stabiliti a pena di decadenza soltanto nei casi previsti dalla legge”.</w:t>
      </w:r>
    </w:p>
  </w:footnote>
  <w:footnote w:id="6">
    <w:p w:rsidR="00B20D73" w:rsidRPr="007B7F8A" w:rsidRDefault="00B20D73" w:rsidP="00CE571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7B7F8A">
        <w:rPr>
          <w:rStyle w:val="Rimandonotaapidipagina"/>
          <w:rFonts w:ascii="Garamond" w:hAnsi="Garamond" w:cs="Times New Roman"/>
          <w:sz w:val="20"/>
          <w:szCs w:val="20"/>
        </w:rPr>
        <w:footnoteRef/>
      </w:r>
      <w:r w:rsidRPr="007B7F8A">
        <w:rPr>
          <w:rFonts w:ascii="Garamond" w:hAnsi="Garamond" w:cs="Times New Roman"/>
          <w:sz w:val="20"/>
          <w:szCs w:val="20"/>
        </w:rPr>
        <w:t xml:space="preserve"> </w:t>
      </w:r>
      <w:r w:rsidR="00CE5719" w:rsidRPr="007B7F8A">
        <w:rPr>
          <w:rFonts w:ascii="Garamond" w:eastAsia="Times New Roman" w:hAnsi="Garamond" w:cs="Times New Roman"/>
          <w:smallCaps/>
          <w:sz w:val="20"/>
          <w:szCs w:val="20"/>
          <w:lang w:eastAsia="it-IT"/>
        </w:rPr>
        <w:t>Andrioli V.</w:t>
      </w:r>
      <w:r w:rsidR="00CE5719" w:rsidRPr="007B7F8A">
        <w:rPr>
          <w:rFonts w:ascii="Garamond" w:hAnsi="Garamond" w:cs="Times New Roman"/>
          <w:sz w:val="20"/>
          <w:szCs w:val="20"/>
        </w:rPr>
        <w:t xml:space="preserve">, </w:t>
      </w:r>
      <w:r w:rsidR="00CE5719" w:rsidRPr="007B7F8A">
        <w:rPr>
          <w:rFonts w:ascii="Garamond" w:hAnsi="Garamond" w:cs="Times New Roman"/>
          <w:i/>
          <w:iCs/>
          <w:sz w:val="20"/>
          <w:szCs w:val="20"/>
        </w:rPr>
        <w:t xml:space="preserve">Preclusione (dir. </w:t>
      </w:r>
      <w:proofErr w:type="spellStart"/>
      <w:proofErr w:type="gramStart"/>
      <w:r w:rsidR="00CE5719" w:rsidRPr="007B7F8A">
        <w:rPr>
          <w:rFonts w:ascii="Garamond" w:hAnsi="Garamond" w:cs="Times New Roman"/>
          <w:i/>
          <w:iCs/>
          <w:sz w:val="20"/>
          <w:szCs w:val="20"/>
        </w:rPr>
        <w:t>proc</w:t>
      </w:r>
      <w:proofErr w:type="spellEnd"/>
      <w:proofErr w:type="gramEnd"/>
      <w:r w:rsidR="00CE5719" w:rsidRPr="007B7F8A">
        <w:rPr>
          <w:rFonts w:ascii="Garamond" w:hAnsi="Garamond" w:cs="Times New Roman"/>
          <w:i/>
          <w:iCs/>
          <w:sz w:val="20"/>
          <w:szCs w:val="20"/>
        </w:rPr>
        <w:t>. civ.)</w:t>
      </w:r>
      <w:r w:rsidR="00CE5719" w:rsidRPr="007B7F8A">
        <w:rPr>
          <w:rFonts w:ascii="Garamond" w:hAnsi="Garamond" w:cs="Times New Roman"/>
          <w:sz w:val="20"/>
          <w:szCs w:val="20"/>
        </w:rPr>
        <w:t xml:space="preserve">, </w:t>
      </w:r>
      <w:proofErr w:type="spellStart"/>
      <w:r w:rsidR="00CE5719" w:rsidRPr="007B7F8A">
        <w:rPr>
          <w:rFonts w:ascii="Garamond" w:hAnsi="Garamond" w:cs="Times New Roman"/>
          <w:i/>
          <w:iCs/>
          <w:sz w:val="20"/>
          <w:szCs w:val="20"/>
        </w:rPr>
        <w:t>Nss</w:t>
      </w:r>
      <w:proofErr w:type="spellEnd"/>
      <w:r w:rsidR="00CE5719" w:rsidRPr="007B7F8A">
        <w:rPr>
          <w:rFonts w:ascii="Garamond" w:hAnsi="Garamond" w:cs="Times New Roman"/>
          <w:i/>
          <w:iCs/>
          <w:sz w:val="20"/>
          <w:szCs w:val="20"/>
        </w:rPr>
        <w:t xml:space="preserve">. </w:t>
      </w:r>
      <w:proofErr w:type="spellStart"/>
      <w:proofErr w:type="gramStart"/>
      <w:r w:rsidR="00CE5719" w:rsidRPr="007B7F8A">
        <w:rPr>
          <w:rFonts w:ascii="Garamond" w:hAnsi="Garamond" w:cs="Times New Roman"/>
          <w:i/>
          <w:iCs/>
          <w:sz w:val="20"/>
          <w:szCs w:val="20"/>
        </w:rPr>
        <w:t>dig</w:t>
      </w:r>
      <w:proofErr w:type="spellEnd"/>
      <w:proofErr w:type="gramEnd"/>
      <w:r w:rsidR="00CE5719" w:rsidRPr="007B7F8A">
        <w:rPr>
          <w:rFonts w:ascii="Garamond" w:hAnsi="Garamond" w:cs="Times New Roman"/>
          <w:i/>
          <w:iCs/>
          <w:sz w:val="20"/>
          <w:szCs w:val="20"/>
        </w:rPr>
        <w:t xml:space="preserve">. </w:t>
      </w:r>
      <w:proofErr w:type="spellStart"/>
      <w:proofErr w:type="gramStart"/>
      <w:r w:rsidR="00CE5719" w:rsidRPr="007B7F8A">
        <w:rPr>
          <w:rFonts w:ascii="Garamond" w:hAnsi="Garamond" w:cs="Times New Roman"/>
          <w:i/>
          <w:iCs/>
          <w:sz w:val="20"/>
          <w:szCs w:val="20"/>
        </w:rPr>
        <w:t>it</w:t>
      </w:r>
      <w:proofErr w:type="spellEnd"/>
      <w:r w:rsidR="00CE5719" w:rsidRPr="007B7F8A">
        <w:rPr>
          <w:rFonts w:ascii="Garamond" w:hAnsi="Garamond" w:cs="Times New Roman"/>
          <w:i/>
          <w:iCs/>
          <w:sz w:val="20"/>
          <w:szCs w:val="20"/>
        </w:rPr>
        <w:t>.</w:t>
      </w:r>
      <w:r w:rsidR="00CE5719" w:rsidRPr="007B7F8A">
        <w:rPr>
          <w:rFonts w:ascii="Garamond" w:hAnsi="Garamond" w:cs="Times New Roman"/>
          <w:sz w:val="20"/>
          <w:szCs w:val="20"/>
        </w:rPr>
        <w:t>,</w:t>
      </w:r>
      <w:proofErr w:type="gramEnd"/>
      <w:r w:rsidR="00CE5719" w:rsidRPr="007B7F8A">
        <w:rPr>
          <w:rFonts w:ascii="Garamond" w:hAnsi="Garamond" w:cs="Times New Roman"/>
          <w:sz w:val="20"/>
          <w:szCs w:val="20"/>
        </w:rPr>
        <w:t xml:space="preserve"> XIII, Torino, 1966, 567 ss.; </w:t>
      </w:r>
      <w:r w:rsidRPr="007B7F8A">
        <w:rPr>
          <w:rFonts w:ascii="Garamond" w:eastAsia="Times New Roman" w:hAnsi="Garamond" w:cs="Times New Roman"/>
          <w:smallCaps/>
          <w:sz w:val="20"/>
          <w:szCs w:val="20"/>
          <w:lang w:eastAsia="it-IT"/>
        </w:rPr>
        <w:t>Chiovenda G.</w:t>
      </w:r>
      <w:r w:rsidRPr="007B7F8A">
        <w:rPr>
          <w:rFonts w:ascii="Garamond" w:hAnsi="Garamond" w:cs="Times New Roman"/>
          <w:sz w:val="20"/>
          <w:szCs w:val="20"/>
        </w:rPr>
        <w:t xml:space="preserve">, </w:t>
      </w:r>
      <w:r w:rsidR="00CE5719" w:rsidRPr="007B7F8A">
        <w:rPr>
          <w:rFonts w:ascii="Garamond" w:hAnsi="Garamond" w:cs="Times New Roman"/>
          <w:i/>
          <w:iCs/>
          <w:sz w:val="20"/>
          <w:szCs w:val="20"/>
        </w:rPr>
        <w:t>Principii di diritto processuale civile</w:t>
      </w:r>
      <w:r w:rsidR="00CE5719" w:rsidRPr="007B7F8A">
        <w:rPr>
          <w:rFonts w:ascii="Garamond" w:hAnsi="Garamond" w:cs="Times New Roman"/>
          <w:sz w:val="20"/>
          <w:szCs w:val="20"/>
        </w:rPr>
        <w:t>, Napoli, 1923, 859 ss.</w:t>
      </w:r>
      <w:r w:rsidRPr="007B7F8A">
        <w:rPr>
          <w:rFonts w:ascii="Garamond" w:hAnsi="Garamond" w:cs="Times New Roman"/>
          <w:sz w:val="20"/>
          <w:szCs w:val="20"/>
        </w:rPr>
        <w:t xml:space="preserve">; </w:t>
      </w:r>
      <w:proofErr w:type="spellStart"/>
      <w:r w:rsidRPr="007B7F8A">
        <w:rPr>
          <w:rFonts w:ascii="Garamond" w:eastAsia="Times New Roman" w:hAnsi="Garamond" w:cs="Times New Roman"/>
          <w:smallCaps/>
          <w:sz w:val="20"/>
          <w:szCs w:val="20"/>
          <w:lang w:eastAsia="it-IT"/>
        </w:rPr>
        <w:t>Taruffo</w:t>
      </w:r>
      <w:proofErr w:type="spellEnd"/>
      <w:r w:rsidRPr="007B7F8A">
        <w:rPr>
          <w:rFonts w:ascii="Garamond" w:eastAsia="Times New Roman" w:hAnsi="Garamond" w:cs="Times New Roman"/>
          <w:smallCaps/>
          <w:sz w:val="20"/>
          <w:szCs w:val="20"/>
          <w:lang w:eastAsia="it-IT"/>
        </w:rPr>
        <w:t xml:space="preserve"> M.</w:t>
      </w:r>
      <w:r w:rsidRPr="007B7F8A">
        <w:rPr>
          <w:rFonts w:ascii="Garamond" w:hAnsi="Garamond" w:cs="Times New Roman"/>
          <w:sz w:val="20"/>
          <w:szCs w:val="20"/>
        </w:rPr>
        <w:t xml:space="preserve">, voce </w:t>
      </w:r>
      <w:r w:rsidRPr="007B7F8A">
        <w:rPr>
          <w:rFonts w:ascii="Garamond" w:hAnsi="Garamond" w:cs="Times New Roman"/>
          <w:i/>
          <w:iCs/>
          <w:sz w:val="20"/>
          <w:szCs w:val="20"/>
        </w:rPr>
        <w:t xml:space="preserve">Preclusioni (dir. </w:t>
      </w:r>
      <w:proofErr w:type="spellStart"/>
      <w:proofErr w:type="gramStart"/>
      <w:r w:rsidRPr="007B7F8A">
        <w:rPr>
          <w:rFonts w:ascii="Garamond" w:hAnsi="Garamond" w:cs="Times New Roman"/>
          <w:i/>
          <w:iCs/>
          <w:sz w:val="20"/>
          <w:szCs w:val="20"/>
        </w:rPr>
        <w:t>proc</w:t>
      </w:r>
      <w:proofErr w:type="spellEnd"/>
      <w:proofErr w:type="gramEnd"/>
      <w:r w:rsidRPr="007B7F8A">
        <w:rPr>
          <w:rFonts w:ascii="Garamond" w:hAnsi="Garamond" w:cs="Times New Roman"/>
          <w:i/>
          <w:iCs/>
          <w:sz w:val="20"/>
          <w:szCs w:val="20"/>
        </w:rPr>
        <w:t>. civ.)</w:t>
      </w:r>
      <w:r w:rsidRPr="007B7F8A">
        <w:rPr>
          <w:rFonts w:ascii="Garamond" w:hAnsi="Garamond" w:cs="Times New Roman"/>
          <w:sz w:val="20"/>
          <w:szCs w:val="20"/>
        </w:rPr>
        <w:t xml:space="preserve">, in </w:t>
      </w:r>
      <w:proofErr w:type="spellStart"/>
      <w:r w:rsidRPr="007B7F8A">
        <w:rPr>
          <w:rFonts w:ascii="Garamond" w:hAnsi="Garamond" w:cs="Times New Roman"/>
          <w:i/>
          <w:iCs/>
          <w:sz w:val="20"/>
          <w:szCs w:val="20"/>
        </w:rPr>
        <w:t>Enc</w:t>
      </w:r>
      <w:proofErr w:type="spellEnd"/>
      <w:r w:rsidRPr="007B7F8A">
        <w:rPr>
          <w:rFonts w:ascii="Garamond" w:hAnsi="Garamond" w:cs="Times New Roman"/>
          <w:i/>
          <w:iCs/>
          <w:sz w:val="20"/>
          <w:szCs w:val="20"/>
        </w:rPr>
        <w:t xml:space="preserve">. </w:t>
      </w:r>
      <w:proofErr w:type="gramStart"/>
      <w:r w:rsidRPr="007B7F8A">
        <w:rPr>
          <w:rFonts w:ascii="Garamond" w:hAnsi="Garamond" w:cs="Times New Roman"/>
          <w:i/>
          <w:iCs/>
          <w:sz w:val="20"/>
          <w:szCs w:val="20"/>
        </w:rPr>
        <w:t>dir.,</w:t>
      </w:r>
      <w:proofErr w:type="gramEnd"/>
      <w:r w:rsidRPr="007B7F8A">
        <w:rPr>
          <w:rFonts w:ascii="Garamond" w:hAnsi="Garamond" w:cs="Times New Roman"/>
          <w:i/>
          <w:iCs/>
          <w:sz w:val="20"/>
          <w:szCs w:val="20"/>
        </w:rPr>
        <w:t xml:space="preserve"> </w:t>
      </w:r>
      <w:r w:rsidRPr="007B7F8A">
        <w:rPr>
          <w:rFonts w:ascii="Garamond" w:hAnsi="Garamond" w:cs="Times New Roman"/>
          <w:sz w:val="20"/>
          <w:szCs w:val="20"/>
        </w:rPr>
        <w:t>Milano, 1997, 794 ss.</w:t>
      </w:r>
    </w:p>
  </w:footnote>
  <w:footnote w:id="7">
    <w:p w:rsidR="00C42DCF" w:rsidRPr="007B7F8A" w:rsidRDefault="00C42DCF" w:rsidP="00C42DCF">
      <w:pPr>
        <w:pStyle w:val="Testonotaapidipagina"/>
        <w:jc w:val="both"/>
        <w:rPr>
          <w:rFonts w:ascii="Garamond" w:hAnsi="Garamond" w:cs="Times New Roman"/>
        </w:rPr>
      </w:pPr>
      <w:r w:rsidRPr="007B7F8A">
        <w:rPr>
          <w:rStyle w:val="Rimandonotaapidipagina"/>
          <w:rFonts w:ascii="Garamond" w:hAnsi="Garamond" w:cs="Times New Roman"/>
        </w:rPr>
        <w:footnoteRef/>
      </w:r>
      <w:r w:rsidRPr="007B7F8A">
        <w:rPr>
          <w:rFonts w:ascii="Garamond" w:hAnsi="Garamond" w:cs="Times New Roman"/>
        </w:rPr>
        <w:t xml:space="preserve"> </w:t>
      </w:r>
      <w:r w:rsidRPr="007B7F8A">
        <w:rPr>
          <w:rFonts w:ascii="Garamond" w:eastAsia="Times New Roman" w:hAnsi="Garamond" w:cs="Times New Roman"/>
          <w:lang w:eastAsia="it-IT"/>
        </w:rPr>
        <w:t>Si pensi alla decadenza dei termini di notifica, deposito e trasposizione del ricorso, ai sensi degli artt. 41, comma 2, 45, comma 1 e 48, comma 1, c.p.a.</w:t>
      </w:r>
    </w:p>
  </w:footnote>
  <w:footnote w:id="8">
    <w:p w:rsidR="009E03D3" w:rsidRPr="007B7F8A" w:rsidRDefault="009E03D3" w:rsidP="009E03D3">
      <w:pPr>
        <w:pStyle w:val="Testonotaapidipagina"/>
        <w:jc w:val="both"/>
        <w:rPr>
          <w:rFonts w:ascii="Garamond" w:hAnsi="Garamond" w:cs="Times New Roman"/>
        </w:rPr>
      </w:pPr>
      <w:r w:rsidRPr="007B7F8A">
        <w:rPr>
          <w:rStyle w:val="Rimandonotaapidipagina"/>
          <w:rFonts w:ascii="Garamond" w:hAnsi="Garamond" w:cs="Times New Roman"/>
        </w:rPr>
        <w:footnoteRef/>
      </w:r>
      <w:r w:rsidRPr="007B7F8A">
        <w:rPr>
          <w:rFonts w:ascii="Garamond" w:hAnsi="Garamond" w:cs="Times New Roman"/>
        </w:rPr>
        <w:t xml:space="preserve"> </w:t>
      </w:r>
      <w:r w:rsidRPr="007B7F8A">
        <w:rPr>
          <w:rFonts w:ascii="Garamond" w:eastAsia="Times New Roman" w:hAnsi="Garamond" w:cs="Times New Roman"/>
          <w:smallCaps/>
          <w:lang w:eastAsia="it-IT"/>
        </w:rPr>
        <w:t>Sorrenti</w:t>
      </w:r>
      <w:r w:rsidRPr="007B7F8A">
        <w:rPr>
          <w:rFonts w:ascii="Garamond" w:eastAsia="Times New Roman" w:hAnsi="Garamond" w:cs="Times New Roman"/>
          <w:lang w:eastAsia="it-IT"/>
        </w:rPr>
        <w:t xml:space="preserve"> G., </w:t>
      </w:r>
      <w:r w:rsidRPr="007B7F8A">
        <w:rPr>
          <w:rFonts w:ascii="Garamond" w:eastAsia="Times New Roman" w:hAnsi="Garamond" w:cs="Times New Roman"/>
          <w:i/>
          <w:lang w:eastAsia="it-IT"/>
        </w:rPr>
        <w:t>Riserva di legge in materia processuale e latitudine del sindacato di costituzionalità</w:t>
      </w:r>
      <w:r w:rsidRPr="007B7F8A">
        <w:rPr>
          <w:rFonts w:ascii="Garamond" w:eastAsia="Times New Roman" w:hAnsi="Garamond" w:cs="Times New Roman"/>
          <w:lang w:eastAsia="it-IT"/>
        </w:rPr>
        <w:t xml:space="preserve">, in </w:t>
      </w:r>
      <w:r w:rsidRPr="007B7F8A">
        <w:rPr>
          <w:rFonts w:ascii="Garamond" w:eastAsia="Times New Roman" w:hAnsi="Garamond" w:cs="Times New Roman"/>
          <w:i/>
          <w:lang w:eastAsia="it-IT"/>
        </w:rPr>
        <w:t xml:space="preserve">Dir. </w:t>
      </w:r>
      <w:proofErr w:type="spellStart"/>
      <w:proofErr w:type="gramStart"/>
      <w:r w:rsidRPr="007B7F8A">
        <w:rPr>
          <w:rFonts w:ascii="Garamond" w:eastAsia="Times New Roman" w:hAnsi="Garamond" w:cs="Times New Roman"/>
          <w:i/>
          <w:lang w:eastAsia="it-IT"/>
        </w:rPr>
        <w:t>pubbl</w:t>
      </w:r>
      <w:proofErr w:type="spellEnd"/>
      <w:r w:rsidRPr="007B7F8A">
        <w:rPr>
          <w:rFonts w:ascii="Garamond" w:eastAsia="Times New Roman" w:hAnsi="Garamond" w:cs="Times New Roman"/>
          <w:i/>
          <w:lang w:eastAsia="it-IT"/>
        </w:rPr>
        <w:t>.</w:t>
      </w:r>
      <w:r w:rsidRPr="007B7F8A">
        <w:rPr>
          <w:rFonts w:ascii="Garamond" w:eastAsia="Times New Roman" w:hAnsi="Garamond" w:cs="Times New Roman"/>
          <w:lang w:eastAsia="it-IT"/>
        </w:rPr>
        <w:t>,</w:t>
      </w:r>
      <w:proofErr w:type="gramEnd"/>
      <w:r w:rsidRPr="007B7F8A">
        <w:rPr>
          <w:rFonts w:ascii="Garamond" w:eastAsia="Times New Roman" w:hAnsi="Garamond" w:cs="Times New Roman"/>
          <w:lang w:eastAsia="it-IT"/>
        </w:rPr>
        <w:t xml:space="preserve"> 2014, 832 ss.</w:t>
      </w:r>
    </w:p>
  </w:footnote>
  <w:footnote w:id="9">
    <w:p w:rsidR="0012126F" w:rsidRPr="007B7F8A" w:rsidRDefault="0012126F" w:rsidP="0012126F">
      <w:pPr>
        <w:pStyle w:val="Testonotaapidipagina"/>
        <w:jc w:val="both"/>
        <w:rPr>
          <w:rFonts w:ascii="Garamond" w:hAnsi="Garamond" w:cs="Times New Roman"/>
        </w:rPr>
      </w:pPr>
      <w:r w:rsidRPr="007B7F8A">
        <w:rPr>
          <w:rStyle w:val="Rimandonotaapidipagina"/>
          <w:rFonts w:ascii="Garamond" w:hAnsi="Garamond" w:cs="Times New Roman"/>
        </w:rPr>
        <w:footnoteRef/>
      </w:r>
      <w:r w:rsidRPr="007B7F8A">
        <w:rPr>
          <w:rFonts w:ascii="Garamond" w:hAnsi="Garamond" w:cs="Times New Roman"/>
        </w:rPr>
        <w:t xml:space="preserve"> </w:t>
      </w:r>
      <w:r w:rsidRPr="007B7F8A">
        <w:rPr>
          <w:rFonts w:ascii="Garamond" w:eastAsia="Times New Roman" w:hAnsi="Garamond" w:cs="Times New Roman"/>
          <w:smallCaps/>
          <w:lang w:eastAsia="it-IT"/>
        </w:rPr>
        <w:t>Marra A.</w:t>
      </w:r>
      <w:r w:rsidRPr="007B7F8A">
        <w:rPr>
          <w:rFonts w:ascii="Garamond" w:eastAsia="Times New Roman" w:hAnsi="Garamond" w:cs="Times New Roman"/>
          <w:lang w:eastAsia="it-IT"/>
        </w:rPr>
        <w:t xml:space="preserve">, </w:t>
      </w:r>
      <w:r w:rsidRPr="007B7F8A">
        <w:rPr>
          <w:rFonts w:ascii="Garamond" w:eastAsia="Times New Roman" w:hAnsi="Garamond" w:cs="Times New Roman"/>
          <w:i/>
          <w:lang w:eastAsia="it-IT"/>
        </w:rPr>
        <w:t>Il termine di decadenza nel processo amministrativo</w:t>
      </w:r>
      <w:r w:rsidRPr="007B7F8A">
        <w:rPr>
          <w:rFonts w:ascii="Garamond" w:eastAsia="Times New Roman" w:hAnsi="Garamond" w:cs="Times New Roman"/>
          <w:lang w:eastAsia="it-IT"/>
        </w:rPr>
        <w:t>, Milano, 2012, 72.</w:t>
      </w:r>
    </w:p>
  </w:footnote>
  <w:footnote w:id="10">
    <w:p w:rsidR="00A3366B" w:rsidRPr="007B7F8A" w:rsidRDefault="00A3366B" w:rsidP="00A3366B">
      <w:pPr>
        <w:pStyle w:val="Testonotaapidipagina"/>
        <w:jc w:val="both"/>
        <w:rPr>
          <w:rFonts w:ascii="Garamond" w:eastAsia="Times New Roman" w:hAnsi="Garamond" w:cs="Times New Roman"/>
          <w:lang w:eastAsia="it-IT"/>
        </w:rPr>
      </w:pPr>
      <w:r w:rsidRPr="007B7F8A">
        <w:rPr>
          <w:rFonts w:ascii="Garamond" w:eastAsia="Times New Roman" w:hAnsi="Garamond" w:cs="Times New Roman"/>
          <w:vertAlign w:val="superscript"/>
          <w:lang w:eastAsia="it-IT"/>
        </w:rPr>
        <w:footnoteRef/>
      </w:r>
      <w:r w:rsidRPr="007B7F8A">
        <w:rPr>
          <w:rFonts w:ascii="Garamond" w:eastAsia="Times New Roman" w:hAnsi="Garamond" w:cs="Times New Roman"/>
          <w:lang w:eastAsia="it-IT"/>
        </w:rPr>
        <w:t xml:space="preserve"> Cons. Stato,</w:t>
      </w:r>
      <w:hyperlink w:history="1">
        <w:r w:rsidR="00AD11DA" w:rsidRPr="007B7F8A">
          <w:rPr>
            <w:rStyle w:val="Collegamentoipertestuale"/>
            <w:rFonts w:ascii="Garamond" w:eastAsia="Times New Roman" w:hAnsi="Garamond" w:cs="Times New Roman"/>
            <w:color w:val="auto"/>
            <w:u w:val="none"/>
            <w:lang w:eastAsia="it-IT"/>
          </w:rPr>
          <w:t> Sez. IV, 23 febbraio 2012, n. 974, in tema di decadenza del permesso di costruire</w:t>
        </w:r>
        <w:r w:rsidR="00AD11DA" w:rsidRPr="007B7F8A">
          <w:rPr>
            <w:rStyle w:val="Collegamentoipertestuale"/>
            <w:rFonts w:ascii="Garamond" w:hAnsi="Garamond" w:cs="Times New Roman"/>
            <w:color w:val="auto"/>
            <w:u w:val="none"/>
          </w:rPr>
          <w:t xml:space="preserve">, in </w:t>
        </w:r>
        <w:r w:rsidR="00AD11DA" w:rsidRPr="007B7F8A">
          <w:rPr>
            <w:rStyle w:val="Collegamentoipertestuale"/>
            <w:rFonts w:ascii="Garamond" w:hAnsi="Garamond" w:cs="Times New Roman"/>
            <w:i/>
            <w:color w:val="auto"/>
            <w:u w:val="none"/>
          </w:rPr>
          <w:t>www.giustizia-amministrativa.it</w:t>
        </w:r>
        <w:r w:rsidR="00AD11DA" w:rsidRPr="007B7F8A">
          <w:rPr>
            <w:rStyle w:val="Collegamentoipertestuale"/>
            <w:rFonts w:ascii="Garamond" w:eastAsia="Times New Roman" w:hAnsi="Garamond" w:cs="Times New Roman"/>
            <w:color w:val="auto"/>
            <w:u w:val="none"/>
            <w:lang w:eastAsia="it-IT"/>
          </w:rPr>
          <w:t>.</w:t>
        </w:r>
      </w:hyperlink>
    </w:p>
  </w:footnote>
  <w:footnote w:id="11">
    <w:p w:rsidR="002061DC" w:rsidRPr="007B7F8A" w:rsidRDefault="002061DC" w:rsidP="002061DC">
      <w:pPr>
        <w:pStyle w:val="Testonotaapidipagina"/>
        <w:jc w:val="both"/>
        <w:rPr>
          <w:rFonts w:ascii="Garamond" w:hAnsi="Garamond" w:cs="Times New Roman"/>
        </w:rPr>
      </w:pPr>
      <w:r w:rsidRPr="007B7F8A">
        <w:rPr>
          <w:rStyle w:val="Rimandonotaapidipagina"/>
          <w:rFonts w:ascii="Garamond" w:hAnsi="Garamond" w:cs="Times New Roman"/>
        </w:rPr>
        <w:footnoteRef/>
      </w:r>
      <w:r w:rsidRPr="007B7F8A">
        <w:rPr>
          <w:rFonts w:ascii="Garamond" w:hAnsi="Garamond" w:cs="Times New Roman"/>
        </w:rPr>
        <w:t xml:space="preserve"> </w:t>
      </w:r>
      <w:r w:rsidRPr="007B7F8A">
        <w:rPr>
          <w:rFonts w:ascii="Garamond" w:hAnsi="Garamond" w:cs="Times New Roman"/>
          <w:smallCaps/>
        </w:rPr>
        <w:t>Romano</w:t>
      </w:r>
      <w:r w:rsidRPr="007B7F8A">
        <w:rPr>
          <w:rFonts w:ascii="Garamond" w:hAnsi="Garamond" w:cs="Times New Roman"/>
        </w:rPr>
        <w:t xml:space="preserve"> S., </w:t>
      </w:r>
      <w:r w:rsidRPr="007B7F8A">
        <w:rPr>
          <w:rFonts w:ascii="Garamond" w:hAnsi="Garamond" w:cs="Times New Roman"/>
          <w:i/>
        </w:rPr>
        <w:t>Poteri, potestà</w:t>
      </w:r>
      <w:r w:rsidRPr="007B7F8A">
        <w:rPr>
          <w:rFonts w:ascii="Garamond" w:hAnsi="Garamond" w:cs="Times New Roman"/>
        </w:rPr>
        <w:t xml:space="preserve">, in </w:t>
      </w:r>
      <w:r w:rsidRPr="007B7F8A">
        <w:rPr>
          <w:rFonts w:ascii="Garamond" w:hAnsi="Garamond" w:cs="Times New Roman"/>
          <w:i/>
        </w:rPr>
        <w:t>Frammenti di un dizionario giuridico</w:t>
      </w:r>
      <w:r w:rsidRPr="007B7F8A">
        <w:rPr>
          <w:rFonts w:ascii="Garamond" w:hAnsi="Garamond" w:cs="Times New Roman"/>
        </w:rPr>
        <w:t xml:space="preserve">, Milano, 1947, 172; </w:t>
      </w:r>
      <w:r w:rsidRPr="007B7F8A">
        <w:rPr>
          <w:rFonts w:ascii="Garamond" w:hAnsi="Garamond" w:cs="Times New Roman"/>
          <w:smallCaps/>
        </w:rPr>
        <w:t>Mortati C.</w:t>
      </w:r>
      <w:r w:rsidRPr="007B7F8A">
        <w:rPr>
          <w:rFonts w:ascii="Garamond" w:hAnsi="Garamond" w:cs="Times New Roman"/>
        </w:rPr>
        <w:t xml:space="preserve">, </w:t>
      </w:r>
      <w:r w:rsidRPr="007B7F8A">
        <w:rPr>
          <w:rFonts w:ascii="Garamond" w:hAnsi="Garamond" w:cs="Times New Roman"/>
          <w:i/>
        </w:rPr>
        <w:t>Istituzioni di diritto pubblico</w:t>
      </w:r>
      <w:r w:rsidRPr="007B7F8A">
        <w:rPr>
          <w:rFonts w:ascii="Garamond" w:hAnsi="Garamond" w:cs="Times New Roman"/>
        </w:rPr>
        <w:t>, Padova, 1975, 171.</w:t>
      </w:r>
    </w:p>
  </w:footnote>
  <w:footnote w:id="12">
    <w:p w:rsidR="00F13230" w:rsidRPr="007B7F8A" w:rsidRDefault="00F13230" w:rsidP="00F13230">
      <w:pPr>
        <w:pStyle w:val="Testonotaapidipagina"/>
        <w:jc w:val="both"/>
        <w:rPr>
          <w:rFonts w:ascii="Garamond" w:hAnsi="Garamond" w:cs="Times New Roman"/>
        </w:rPr>
      </w:pPr>
      <w:r w:rsidRPr="007B7F8A">
        <w:rPr>
          <w:rStyle w:val="Rimandonotaapidipagina"/>
          <w:rFonts w:ascii="Garamond" w:hAnsi="Garamond" w:cs="Times New Roman"/>
        </w:rPr>
        <w:footnoteRef/>
      </w:r>
      <w:r w:rsidRPr="007B7F8A">
        <w:rPr>
          <w:rFonts w:ascii="Garamond" w:hAnsi="Garamond" w:cs="Times New Roman"/>
        </w:rPr>
        <w:t xml:space="preserve"> L’unica pregiudiziale di merito che al giudice amministrativo è consentito rilevare d’ufficio riguarda la nullità dell’atto, in quanto che la stessa può sempre essere opposta dalla parte resistente (art. 31, comma 4, c.p.a.).</w:t>
      </w:r>
    </w:p>
  </w:footnote>
  <w:footnote w:id="13">
    <w:p w:rsidR="0024238E" w:rsidRPr="007B7F8A" w:rsidRDefault="0024238E" w:rsidP="0024238E">
      <w:pPr>
        <w:pStyle w:val="Testonotaapidipagina"/>
        <w:jc w:val="both"/>
        <w:rPr>
          <w:rFonts w:ascii="Garamond" w:hAnsi="Garamond" w:cs="Times New Roman"/>
        </w:rPr>
      </w:pPr>
      <w:r w:rsidRPr="007B7F8A">
        <w:rPr>
          <w:rStyle w:val="Rimandonotaapidipagina"/>
          <w:rFonts w:ascii="Garamond" w:hAnsi="Garamond" w:cs="Times New Roman"/>
        </w:rPr>
        <w:footnoteRef/>
      </w:r>
      <w:r w:rsidRPr="007B7F8A">
        <w:rPr>
          <w:rFonts w:ascii="Garamond" w:hAnsi="Garamond" w:cs="Times New Roman"/>
        </w:rPr>
        <w:t xml:space="preserve"> </w:t>
      </w:r>
      <w:r w:rsidRPr="007B7F8A">
        <w:rPr>
          <w:rFonts w:ascii="Garamond" w:eastAsia="Times New Roman" w:hAnsi="Garamond" w:cs="Times New Roman"/>
          <w:lang w:eastAsia="it-IT"/>
        </w:rPr>
        <w:t xml:space="preserve">Corte </w:t>
      </w:r>
      <w:proofErr w:type="spellStart"/>
      <w:r w:rsidRPr="007B7F8A">
        <w:rPr>
          <w:rFonts w:ascii="Garamond" w:eastAsia="Times New Roman" w:hAnsi="Garamond" w:cs="Times New Roman"/>
          <w:lang w:eastAsia="it-IT"/>
        </w:rPr>
        <w:t>cost</w:t>
      </w:r>
      <w:proofErr w:type="spellEnd"/>
      <w:r w:rsidRPr="007B7F8A">
        <w:rPr>
          <w:rFonts w:ascii="Garamond" w:eastAsia="Times New Roman" w:hAnsi="Garamond" w:cs="Times New Roman"/>
          <w:lang w:eastAsia="it-IT"/>
        </w:rPr>
        <w:t>. 15 luglio 2005, n. 280</w:t>
      </w:r>
      <w:r w:rsidR="00AD11DA" w:rsidRPr="007B7F8A">
        <w:rPr>
          <w:rFonts w:ascii="Garamond" w:hAnsi="Garamond" w:cs="Times New Roman"/>
        </w:rPr>
        <w:t xml:space="preserve">, in </w:t>
      </w:r>
      <w:r w:rsidR="00AD11DA" w:rsidRPr="007B7F8A">
        <w:rPr>
          <w:rFonts w:ascii="Garamond" w:hAnsi="Garamond" w:cs="Times New Roman"/>
          <w:i/>
        </w:rPr>
        <w:t>www.cortecostituzionale.it</w:t>
      </w:r>
      <w:r w:rsidRPr="007B7F8A">
        <w:rPr>
          <w:rFonts w:ascii="Garamond" w:eastAsia="Times New Roman" w:hAnsi="Garamond" w:cs="Times New Roman"/>
          <w:lang w:eastAsia="it-IT"/>
        </w:rPr>
        <w:t>.</w:t>
      </w:r>
    </w:p>
  </w:footnote>
  <w:footnote w:id="14">
    <w:p w:rsidR="00484E03" w:rsidRPr="007B7F8A" w:rsidRDefault="00484E03" w:rsidP="000963F6">
      <w:pPr>
        <w:pStyle w:val="Testonotaapidipagina"/>
        <w:jc w:val="both"/>
        <w:rPr>
          <w:rFonts w:ascii="Garamond" w:hAnsi="Garamond"/>
        </w:rPr>
      </w:pPr>
      <w:r w:rsidRPr="007B7F8A">
        <w:rPr>
          <w:rStyle w:val="Rimandonotaapidipagina"/>
          <w:rFonts w:ascii="Garamond" w:hAnsi="Garamond"/>
        </w:rPr>
        <w:footnoteRef/>
      </w:r>
      <w:r w:rsidRPr="007B7F8A">
        <w:rPr>
          <w:rFonts w:ascii="Garamond" w:hAnsi="Garamond"/>
        </w:rPr>
        <w:t xml:space="preserve"> </w:t>
      </w:r>
      <w:proofErr w:type="spellStart"/>
      <w:r w:rsidRPr="007B7F8A">
        <w:rPr>
          <w:rFonts w:ascii="Garamond" w:hAnsi="Garamond"/>
          <w:smallCaps/>
        </w:rPr>
        <w:t>Basilavecchia</w:t>
      </w:r>
      <w:proofErr w:type="spellEnd"/>
      <w:r w:rsidRPr="007B7F8A">
        <w:rPr>
          <w:rFonts w:ascii="Garamond" w:hAnsi="Garamond"/>
        </w:rPr>
        <w:t xml:space="preserve"> M., </w:t>
      </w:r>
      <w:r w:rsidRPr="007B7F8A">
        <w:rPr>
          <w:rStyle w:val="Enfasigrassetto"/>
          <w:rFonts w:ascii="Garamond" w:hAnsi="Garamond"/>
          <w:b w:val="0"/>
          <w:i/>
        </w:rPr>
        <w:t>Prescrizione e crediti tributari</w:t>
      </w:r>
      <w:r w:rsidRPr="007B7F8A">
        <w:rPr>
          <w:rStyle w:val="Enfasigrassetto"/>
          <w:rFonts w:ascii="Garamond" w:hAnsi="Garamond"/>
          <w:b w:val="0"/>
        </w:rPr>
        <w:t xml:space="preserve">, in </w:t>
      </w:r>
      <w:proofErr w:type="spellStart"/>
      <w:proofErr w:type="gramStart"/>
      <w:r w:rsidRPr="007B7F8A">
        <w:rPr>
          <w:rFonts w:ascii="Garamond" w:hAnsi="Garamond"/>
          <w:bCs/>
          <w:smallCaps/>
        </w:rPr>
        <w:t>Aa.Vv</w:t>
      </w:r>
      <w:proofErr w:type="spellEnd"/>
      <w:r w:rsidRPr="007B7F8A">
        <w:rPr>
          <w:rFonts w:ascii="Garamond" w:hAnsi="Garamond"/>
          <w:bCs/>
          <w:smallCaps/>
        </w:rPr>
        <w:t>.</w:t>
      </w:r>
      <w:r w:rsidRPr="007B7F8A">
        <w:rPr>
          <w:rStyle w:val="Enfasigrassetto"/>
          <w:rFonts w:ascii="Garamond" w:hAnsi="Garamond"/>
          <w:b w:val="0"/>
        </w:rPr>
        <w:t>,</w:t>
      </w:r>
      <w:proofErr w:type="gramEnd"/>
      <w:r w:rsidRPr="007B7F8A">
        <w:rPr>
          <w:rStyle w:val="Enfasigrassetto"/>
          <w:rFonts w:ascii="Garamond" w:hAnsi="Garamond"/>
        </w:rPr>
        <w:t xml:space="preserve"> </w:t>
      </w:r>
      <w:r w:rsidRPr="007B7F8A">
        <w:rPr>
          <w:rFonts w:ascii="Garamond" w:hAnsi="Garamond"/>
          <w:i/>
        </w:rPr>
        <w:t>Il libro dell’</w:t>
      </w:r>
      <w:r w:rsidR="00870F42" w:rsidRPr="007B7F8A">
        <w:rPr>
          <w:rFonts w:ascii="Garamond" w:hAnsi="Garamond"/>
          <w:i/>
        </w:rPr>
        <w:t>anno del diritto</w:t>
      </w:r>
      <w:r w:rsidR="00870F42" w:rsidRPr="007B7F8A">
        <w:rPr>
          <w:rFonts w:ascii="Garamond" w:hAnsi="Garamond"/>
        </w:rPr>
        <w:t>, Treccani,</w:t>
      </w:r>
      <w:r w:rsidR="00870F42" w:rsidRPr="007B7F8A">
        <w:rPr>
          <w:rFonts w:ascii="Garamond" w:hAnsi="Garamond"/>
          <w:i/>
        </w:rPr>
        <w:t xml:space="preserve"> </w:t>
      </w:r>
      <w:r w:rsidRPr="007B7F8A">
        <w:rPr>
          <w:rFonts w:ascii="Garamond" w:hAnsi="Garamond"/>
        </w:rPr>
        <w:t>2018</w:t>
      </w:r>
      <w:r w:rsidR="000963F6" w:rsidRPr="007B7F8A">
        <w:rPr>
          <w:rFonts w:ascii="Garamond" w:hAnsi="Garamond"/>
        </w:rPr>
        <w:t>.</w:t>
      </w:r>
    </w:p>
  </w:footnote>
  <w:footnote w:id="15">
    <w:p w:rsidR="00036839" w:rsidRPr="007B7F8A" w:rsidRDefault="00036839" w:rsidP="00036839">
      <w:pPr>
        <w:pStyle w:val="Testonotaapidipagina"/>
        <w:jc w:val="both"/>
        <w:rPr>
          <w:rFonts w:ascii="Garamond" w:hAnsi="Garamond" w:cs="Times New Roman"/>
        </w:rPr>
      </w:pPr>
      <w:r w:rsidRPr="007B7F8A">
        <w:rPr>
          <w:rStyle w:val="Rimandonotaapidipagina"/>
          <w:rFonts w:ascii="Garamond" w:hAnsi="Garamond" w:cs="Times New Roman"/>
        </w:rPr>
        <w:footnoteRef/>
      </w:r>
      <w:r w:rsidRPr="007B7F8A">
        <w:rPr>
          <w:rFonts w:ascii="Garamond" w:hAnsi="Garamond" w:cs="Times New Roman"/>
        </w:rPr>
        <w:t xml:space="preserve"> Cass. </w:t>
      </w:r>
      <w:proofErr w:type="gramStart"/>
      <w:r w:rsidRPr="007B7F8A">
        <w:rPr>
          <w:rFonts w:ascii="Garamond" w:hAnsi="Garamond" w:cs="Times New Roman"/>
        </w:rPr>
        <w:t>civ.,</w:t>
      </w:r>
      <w:proofErr w:type="gramEnd"/>
      <w:r w:rsidRPr="007B7F8A">
        <w:rPr>
          <w:rFonts w:ascii="Garamond" w:hAnsi="Garamond" w:cs="Times New Roman"/>
        </w:rPr>
        <w:t xml:space="preserve"> Sez. trib., 22 gennaio 2020, 1291, in </w:t>
      </w:r>
      <w:r w:rsidR="00031ECD">
        <w:rPr>
          <w:rFonts w:ascii="Garamond" w:hAnsi="Garamond" w:cs="Times New Roman"/>
          <w:i/>
        </w:rPr>
        <w:t>www.ital</w:t>
      </w:r>
      <w:r w:rsidRPr="007B7F8A">
        <w:rPr>
          <w:rFonts w:ascii="Garamond" w:hAnsi="Garamond" w:cs="Times New Roman"/>
          <w:i/>
        </w:rPr>
        <w:t>giureweb.it</w:t>
      </w:r>
      <w:r w:rsidRPr="007B7F8A">
        <w:rPr>
          <w:rFonts w:ascii="Garamond" w:hAnsi="Garamond" w:cs="Times New Roman"/>
        </w:rPr>
        <w:t>.</w:t>
      </w:r>
    </w:p>
  </w:footnote>
  <w:footnote w:id="16">
    <w:p w:rsidR="000E435B" w:rsidRPr="007B7F8A" w:rsidRDefault="000E435B" w:rsidP="000E435B">
      <w:pPr>
        <w:pStyle w:val="Testonotaapidipagina"/>
        <w:jc w:val="both"/>
        <w:rPr>
          <w:rFonts w:ascii="Garamond" w:hAnsi="Garamond" w:cs="Times New Roman"/>
        </w:rPr>
      </w:pPr>
      <w:r w:rsidRPr="007B7F8A">
        <w:rPr>
          <w:rStyle w:val="Rimandonotaapidipagina"/>
          <w:rFonts w:ascii="Garamond" w:hAnsi="Garamond" w:cs="Times New Roman"/>
        </w:rPr>
        <w:footnoteRef/>
      </w:r>
      <w:r w:rsidRPr="007F13A1">
        <w:rPr>
          <w:rFonts w:ascii="Garamond" w:hAnsi="Garamond" w:cs="Times New Roman"/>
          <w:lang w:val="fr-FR"/>
        </w:rPr>
        <w:t xml:space="preserve"> Cass. </w:t>
      </w:r>
      <w:proofErr w:type="gramStart"/>
      <w:r w:rsidRPr="007F13A1">
        <w:rPr>
          <w:rFonts w:ascii="Garamond" w:hAnsi="Garamond" w:cs="Times New Roman"/>
          <w:lang w:val="fr-FR"/>
        </w:rPr>
        <w:t>civ.,</w:t>
      </w:r>
      <w:proofErr w:type="gramEnd"/>
      <w:r w:rsidRPr="007F13A1">
        <w:rPr>
          <w:rFonts w:ascii="Garamond" w:hAnsi="Garamond" w:cs="Times New Roman"/>
          <w:lang w:val="fr-FR"/>
        </w:rPr>
        <w:t xml:space="preserve"> </w:t>
      </w:r>
      <w:proofErr w:type="spellStart"/>
      <w:r w:rsidRPr="007F13A1">
        <w:rPr>
          <w:rFonts w:ascii="Garamond" w:hAnsi="Garamond" w:cs="Times New Roman"/>
          <w:lang w:val="fr-FR"/>
        </w:rPr>
        <w:t>Sez</w:t>
      </w:r>
      <w:proofErr w:type="spellEnd"/>
      <w:r w:rsidRPr="007F13A1">
        <w:rPr>
          <w:rFonts w:ascii="Garamond" w:hAnsi="Garamond" w:cs="Times New Roman"/>
          <w:lang w:val="fr-FR"/>
        </w:rPr>
        <w:t xml:space="preserve">. </w:t>
      </w:r>
      <w:proofErr w:type="gramStart"/>
      <w:r w:rsidRPr="007F13A1">
        <w:rPr>
          <w:rFonts w:ascii="Garamond" w:hAnsi="Garamond" w:cs="Times New Roman"/>
          <w:lang w:val="fr-FR"/>
        </w:rPr>
        <w:t>trib.,</w:t>
      </w:r>
      <w:proofErr w:type="gramEnd"/>
      <w:r w:rsidRPr="007F13A1">
        <w:rPr>
          <w:rFonts w:ascii="Garamond" w:hAnsi="Garamond" w:cs="Times New Roman"/>
          <w:lang w:val="fr-FR"/>
        </w:rPr>
        <w:t xml:space="preserve"> 29 </w:t>
      </w:r>
      <w:proofErr w:type="spellStart"/>
      <w:r w:rsidRPr="007F13A1">
        <w:rPr>
          <w:rFonts w:ascii="Garamond" w:hAnsi="Garamond" w:cs="Times New Roman"/>
          <w:lang w:val="fr-FR"/>
        </w:rPr>
        <w:t>dicembre</w:t>
      </w:r>
      <w:proofErr w:type="spellEnd"/>
      <w:r w:rsidRPr="007F13A1">
        <w:rPr>
          <w:rFonts w:ascii="Garamond" w:hAnsi="Garamond" w:cs="Times New Roman"/>
          <w:lang w:val="fr-FR"/>
        </w:rPr>
        <w:t xml:space="preserve"> 2020, n. </w:t>
      </w:r>
      <w:hyperlink r:id="rId3" w:tgtFrame="_blank" w:history="1">
        <w:r w:rsidRPr="007B7F8A">
          <w:rPr>
            <w:rFonts w:ascii="Garamond" w:hAnsi="Garamond" w:cs="Times New Roman"/>
          </w:rPr>
          <w:t>29732</w:t>
        </w:r>
      </w:hyperlink>
      <w:r w:rsidRPr="007B7F8A">
        <w:rPr>
          <w:rFonts w:ascii="Garamond" w:hAnsi="Garamond" w:cs="Times New Roman"/>
        </w:rPr>
        <w:t xml:space="preserve">, in </w:t>
      </w:r>
      <w:r w:rsidR="00031ECD">
        <w:rPr>
          <w:rFonts w:ascii="Garamond" w:hAnsi="Garamond" w:cs="Times New Roman"/>
          <w:i/>
        </w:rPr>
        <w:t>www.ital</w:t>
      </w:r>
      <w:r w:rsidRPr="007B7F8A">
        <w:rPr>
          <w:rFonts w:ascii="Garamond" w:hAnsi="Garamond" w:cs="Times New Roman"/>
          <w:i/>
        </w:rPr>
        <w:t>giureweb.it</w:t>
      </w:r>
      <w:r w:rsidRPr="007B7F8A">
        <w:rPr>
          <w:rFonts w:ascii="Garamond" w:hAnsi="Garamond" w:cs="Times New Roman"/>
        </w:rPr>
        <w:t>.</w:t>
      </w:r>
    </w:p>
  </w:footnote>
  <w:footnote w:id="17">
    <w:p w:rsidR="00127443" w:rsidRPr="007B7F8A" w:rsidRDefault="00127443" w:rsidP="00127443">
      <w:pPr>
        <w:pStyle w:val="Testonotaapidipagina"/>
        <w:jc w:val="both"/>
        <w:rPr>
          <w:rFonts w:ascii="Garamond" w:hAnsi="Garamond" w:cs="Times New Roman"/>
        </w:rPr>
      </w:pPr>
      <w:r w:rsidRPr="007B7F8A">
        <w:rPr>
          <w:rStyle w:val="Rimandonotaapidipagina"/>
          <w:rFonts w:ascii="Garamond" w:hAnsi="Garamond" w:cs="Times New Roman"/>
        </w:rPr>
        <w:footnoteRef/>
      </w:r>
      <w:r w:rsidRPr="007B7F8A">
        <w:rPr>
          <w:rFonts w:ascii="Garamond" w:hAnsi="Garamond" w:cs="Times New Roman"/>
        </w:rPr>
        <w:t xml:space="preserve"> Cass. </w:t>
      </w:r>
      <w:proofErr w:type="gramStart"/>
      <w:r w:rsidRPr="007B7F8A">
        <w:rPr>
          <w:rFonts w:ascii="Garamond" w:hAnsi="Garamond" w:cs="Times New Roman"/>
        </w:rPr>
        <w:t>civ.,</w:t>
      </w:r>
      <w:proofErr w:type="gramEnd"/>
      <w:r w:rsidRPr="007B7F8A">
        <w:rPr>
          <w:rFonts w:ascii="Garamond" w:hAnsi="Garamond" w:cs="Times New Roman"/>
        </w:rPr>
        <w:t xml:space="preserve"> Sez. trib., 3 febbraio 2021, 2420, in </w:t>
      </w:r>
      <w:r w:rsidR="00031ECD">
        <w:rPr>
          <w:rFonts w:ascii="Garamond" w:hAnsi="Garamond" w:cs="Times New Roman"/>
          <w:i/>
        </w:rPr>
        <w:t>www.ital</w:t>
      </w:r>
      <w:r w:rsidRPr="007B7F8A">
        <w:rPr>
          <w:rFonts w:ascii="Garamond" w:hAnsi="Garamond" w:cs="Times New Roman"/>
          <w:i/>
        </w:rPr>
        <w:t>giureweb.it</w:t>
      </w:r>
      <w:r w:rsidRPr="007B7F8A">
        <w:rPr>
          <w:rFonts w:ascii="Garamond" w:hAnsi="Garamond" w:cs="Times New Roman"/>
        </w:rPr>
        <w:t>.</w:t>
      </w:r>
    </w:p>
  </w:footnote>
  <w:footnote w:id="18">
    <w:p w:rsidR="00127443" w:rsidRPr="007B7F8A" w:rsidRDefault="00127443" w:rsidP="00127443">
      <w:pPr>
        <w:pStyle w:val="Testonotaapidipagina"/>
        <w:jc w:val="both"/>
        <w:rPr>
          <w:rFonts w:ascii="Garamond" w:hAnsi="Garamond" w:cs="Times New Roman"/>
        </w:rPr>
      </w:pPr>
      <w:r w:rsidRPr="007B7F8A">
        <w:rPr>
          <w:rStyle w:val="Rimandonotaapidipagina"/>
          <w:rFonts w:ascii="Garamond" w:hAnsi="Garamond" w:cs="Times New Roman"/>
        </w:rPr>
        <w:footnoteRef/>
      </w:r>
      <w:r w:rsidRPr="007B7F8A">
        <w:rPr>
          <w:rFonts w:ascii="Garamond" w:hAnsi="Garamond" w:cs="Times New Roman"/>
        </w:rPr>
        <w:t xml:space="preserve"> L’art. 1 del </w:t>
      </w:r>
      <w:proofErr w:type="spellStart"/>
      <w:r w:rsidRPr="007B7F8A">
        <w:rPr>
          <w:rFonts w:ascii="Garamond" w:hAnsi="Garamond" w:cs="Times New Roman"/>
        </w:rPr>
        <w:t>d.l.</w:t>
      </w:r>
      <w:proofErr w:type="spellEnd"/>
      <w:r w:rsidRPr="007B7F8A">
        <w:rPr>
          <w:rFonts w:ascii="Garamond" w:hAnsi="Garamond" w:cs="Times New Roman"/>
        </w:rPr>
        <w:t xml:space="preserve"> 1961 n. 498/1961, </w:t>
      </w:r>
      <w:proofErr w:type="spellStart"/>
      <w:r w:rsidRPr="007B7F8A">
        <w:rPr>
          <w:rFonts w:ascii="Garamond" w:hAnsi="Garamond" w:cs="Times New Roman"/>
        </w:rPr>
        <w:t>conv</w:t>
      </w:r>
      <w:proofErr w:type="spellEnd"/>
      <w:r w:rsidRPr="007B7F8A">
        <w:rPr>
          <w:rFonts w:ascii="Garamond" w:hAnsi="Garamond" w:cs="Times New Roman"/>
        </w:rPr>
        <w:t xml:space="preserve">. </w:t>
      </w:r>
      <w:proofErr w:type="gramStart"/>
      <w:r w:rsidRPr="007B7F8A">
        <w:rPr>
          <w:rFonts w:ascii="Garamond" w:hAnsi="Garamond" w:cs="Times New Roman"/>
        </w:rPr>
        <w:t>in</w:t>
      </w:r>
      <w:proofErr w:type="gramEnd"/>
      <w:r w:rsidRPr="007B7F8A">
        <w:rPr>
          <w:rFonts w:ascii="Garamond" w:hAnsi="Garamond" w:cs="Times New Roman"/>
        </w:rPr>
        <w:t xml:space="preserve"> legge n. 770/1961, prevede che, “qualora gli uffici finanziari non siano in grado di funzionare regolarmente a causa di eventi di carattere eccezionale, non riconducibili a disfunzioni organizzative dell’amministrazione finanziaria”, i termini di prescrizione e decadenza possano essere prorogati con D.M.</w:t>
      </w:r>
    </w:p>
    <w:p w:rsidR="00127443" w:rsidRPr="007B7F8A" w:rsidRDefault="00127443" w:rsidP="00127443">
      <w:pPr>
        <w:pStyle w:val="Testonotaapidipagina"/>
        <w:jc w:val="both"/>
        <w:rPr>
          <w:rFonts w:ascii="Garamond" w:hAnsi="Garamond" w:cs="Times New Roman"/>
        </w:rPr>
      </w:pPr>
      <w:r w:rsidRPr="007B7F8A">
        <w:rPr>
          <w:rFonts w:ascii="Garamond" w:hAnsi="Garamond" w:cs="Times New Roman"/>
        </w:rPr>
        <w:t>In epoca più recente, l’art. 10 della legge n. 289/2002 ha prorogato di un anno i termini di decadenza per l’accertamento nei confronti dei contribuenti che non si fossero avvalsi nel condono tributario “tombale”</w:t>
      </w:r>
      <w:r w:rsidR="009A7381">
        <w:rPr>
          <w:rFonts w:ascii="Garamond" w:hAnsi="Garamond" w:cs="Times New Roman"/>
        </w:rPr>
        <w:t>,</w:t>
      </w:r>
      <w:r w:rsidRPr="007B7F8A">
        <w:rPr>
          <w:rFonts w:ascii="Garamond" w:hAnsi="Garamond" w:cs="Times New Roman"/>
        </w:rPr>
        <w:t xml:space="preserve"> introdotto nei precedenti artt. 7, 8 e 9.</w:t>
      </w:r>
    </w:p>
  </w:footnote>
  <w:footnote w:id="19">
    <w:p w:rsidR="00040F5E" w:rsidRPr="00B169A0" w:rsidRDefault="00040F5E" w:rsidP="00040F5E">
      <w:pPr>
        <w:pStyle w:val="Testonotaapidipagina"/>
        <w:jc w:val="both"/>
        <w:rPr>
          <w:rFonts w:ascii="Garamond" w:hAnsi="Garamond"/>
        </w:rPr>
      </w:pPr>
      <w:r w:rsidRPr="00167063">
        <w:rPr>
          <w:rStyle w:val="Rimandonotaapidipagina"/>
          <w:rFonts w:ascii="Garamond" w:hAnsi="Garamond"/>
        </w:rPr>
        <w:footnoteRef/>
      </w:r>
      <w:r w:rsidRPr="00167063">
        <w:rPr>
          <w:rFonts w:ascii="Garamond" w:hAnsi="Garamond"/>
        </w:rPr>
        <w:t xml:space="preserve"> </w:t>
      </w:r>
      <w:r w:rsidRPr="00167063">
        <w:rPr>
          <w:rFonts w:ascii="Garamond" w:eastAsia="Times New Roman" w:hAnsi="Garamond" w:cs="Times New Roman"/>
          <w:lang w:eastAsia="it-IT"/>
        </w:rPr>
        <w:t xml:space="preserve">Corte </w:t>
      </w:r>
      <w:proofErr w:type="spellStart"/>
      <w:r w:rsidRPr="00167063">
        <w:rPr>
          <w:rFonts w:ascii="Garamond" w:eastAsia="Times New Roman" w:hAnsi="Garamond" w:cs="Times New Roman"/>
          <w:lang w:eastAsia="it-IT"/>
        </w:rPr>
        <w:t>cost</w:t>
      </w:r>
      <w:proofErr w:type="spellEnd"/>
      <w:r w:rsidRPr="00167063">
        <w:rPr>
          <w:rFonts w:ascii="Garamond" w:eastAsia="Times New Roman" w:hAnsi="Garamond" w:cs="Times New Roman"/>
          <w:lang w:eastAsia="it-IT"/>
        </w:rPr>
        <w:t>. 20 luglio 2011, n. 247</w:t>
      </w:r>
      <w:r w:rsidRPr="00B169A0">
        <w:rPr>
          <w:rFonts w:ascii="Garamond" w:hAnsi="Garamond" w:cs="Times New Roman"/>
        </w:rPr>
        <w:t xml:space="preserve">, in </w:t>
      </w:r>
      <w:r w:rsidRPr="00B169A0">
        <w:rPr>
          <w:rFonts w:ascii="Garamond" w:hAnsi="Garamond" w:cs="Times New Roman"/>
          <w:i/>
        </w:rPr>
        <w:t>www.cortecostituzionale.it</w:t>
      </w:r>
      <w:r>
        <w:rPr>
          <w:rFonts w:ascii="Garamond" w:eastAsia="Times New Roman" w:hAnsi="Garamond" w:cs="Times New Roman"/>
          <w:lang w:eastAsia="it-IT"/>
        </w:rPr>
        <w:t>.</w:t>
      </w:r>
    </w:p>
  </w:footnote>
  <w:footnote w:id="20">
    <w:p w:rsidR="00267210" w:rsidRPr="007B7F8A" w:rsidRDefault="00267210" w:rsidP="00267210">
      <w:pPr>
        <w:pStyle w:val="Testonotaapidipagina"/>
        <w:jc w:val="both"/>
        <w:rPr>
          <w:rFonts w:ascii="Garamond" w:hAnsi="Garamond"/>
        </w:rPr>
      </w:pPr>
      <w:r w:rsidRPr="007B7F8A">
        <w:rPr>
          <w:rStyle w:val="Rimandonotaapidipagina"/>
          <w:rFonts w:ascii="Garamond" w:hAnsi="Garamond"/>
        </w:rPr>
        <w:footnoteRef/>
      </w:r>
      <w:r w:rsidRPr="007B7F8A">
        <w:rPr>
          <w:rFonts w:ascii="Garamond" w:hAnsi="Garamond"/>
        </w:rPr>
        <w:t xml:space="preserve"> </w:t>
      </w:r>
      <w:r w:rsidRPr="007B7F8A">
        <w:rPr>
          <w:rFonts w:ascii="Garamond" w:hAnsi="Garamond" w:cs="Times New Roman"/>
        </w:rPr>
        <w:t xml:space="preserve">Cass. civ., Sez. trib., 19 aprile 2018, n. 9749, in tema di accertamento IMU; </w:t>
      </w:r>
      <w:r w:rsidRPr="007B7F8A">
        <w:rPr>
          <w:rFonts w:ascii="Garamond" w:hAnsi="Garamond" w:cs="Times New Roman"/>
          <w:i/>
        </w:rPr>
        <w:t>idem</w:t>
      </w:r>
      <w:r w:rsidRPr="007B7F8A">
        <w:rPr>
          <w:rFonts w:ascii="Garamond" w:hAnsi="Garamond" w:cs="Times New Roman"/>
        </w:rPr>
        <w:t xml:space="preserve">, 1 dicembre 2019, n. </w:t>
      </w:r>
      <w:hyperlink r:id="rId4" w:tgtFrame="_blank" w:history="1">
        <w:r w:rsidRPr="007B7F8A">
          <w:rPr>
            <w:rFonts w:ascii="Garamond" w:hAnsi="Garamond" w:cs="Times New Roman"/>
          </w:rPr>
          <w:t>3091</w:t>
        </w:r>
      </w:hyperlink>
      <w:r w:rsidRPr="007B7F8A">
        <w:rPr>
          <w:rFonts w:ascii="Garamond" w:hAnsi="Garamond" w:cs="Times New Roman"/>
        </w:rPr>
        <w:t xml:space="preserve">, </w:t>
      </w:r>
      <w:r w:rsidRPr="007B7F8A">
        <w:rPr>
          <w:rFonts w:ascii="Garamond" w:eastAsia="Times New Roman" w:hAnsi="Garamond" w:cs="Times New Roman"/>
          <w:lang w:eastAsia="it-IT"/>
        </w:rPr>
        <w:t xml:space="preserve">in tema di cartella di pagamento per errato rimborso </w:t>
      </w:r>
      <w:r w:rsidRPr="007B7F8A">
        <w:rPr>
          <w:rFonts w:ascii="Garamond" w:eastAsia="Times New Roman" w:hAnsi="Garamond" w:cs="Times New Roman"/>
          <w:i/>
          <w:lang w:eastAsia="it-IT"/>
        </w:rPr>
        <w:t>ex</w:t>
      </w:r>
      <w:r w:rsidRPr="007B7F8A">
        <w:rPr>
          <w:rFonts w:ascii="Garamond" w:eastAsia="Times New Roman" w:hAnsi="Garamond" w:cs="Times New Roman"/>
          <w:lang w:eastAsia="it-IT"/>
        </w:rPr>
        <w:t xml:space="preserve"> art. 43 D.P.R. n. 602/1973</w:t>
      </w:r>
      <w:r w:rsidR="0007620B" w:rsidRPr="007B7F8A">
        <w:rPr>
          <w:rFonts w:ascii="Garamond" w:hAnsi="Garamond" w:cs="Times New Roman"/>
        </w:rPr>
        <w:t>; tutte</w:t>
      </w:r>
      <w:r w:rsidRPr="007B7F8A">
        <w:rPr>
          <w:rFonts w:ascii="Garamond" w:hAnsi="Garamond" w:cs="Times New Roman"/>
        </w:rPr>
        <w:t xml:space="preserve"> in </w:t>
      </w:r>
      <w:hyperlink r:id="rId5" w:history="1">
        <w:r w:rsidR="00031ECD" w:rsidRPr="00031ECD">
          <w:rPr>
            <w:rStyle w:val="Collegamentoipertestuale"/>
            <w:rFonts w:ascii="Garamond" w:hAnsi="Garamond" w:cs="Times New Roman"/>
            <w:i/>
            <w:color w:val="auto"/>
            <w:u w:val="none"/>
          </w:rPr>
          <w:t>www.italgiureweb.it</w:t>
        </w:r>
      </w:hyperlink>
      <w:r w:rsidRPr="00031ECD">
        <w:rPr>
          <w:rStyle w:val="Collegamentoipertestuale"/>
          <w:i/>
          <w:color w:val="auto"/>
          <w:u w:val="none"/>
        </w:rPr>
        <w:t>.</w:t>
      </w:r>
    </w:p>
  </w:footnote>
  <w:footnote w:id="21">
    <w:p w:rsidR="00267210" w:rsidRPr="007B7F8A" w:rsidRDefault="00267210" w:rsidP="00267210">
      <w:pPr>
        <w:pStyle w:val="Testonotaapidipagina"/>
        <w:jc w:val="both"/>
        <w:rPr>
          <w:rFonts w:ascii="Garamond" w:hAnsi="Garamond"/>
        </w:rPr>
      </w:pPr>
      <w:r w:rsidRPr="007B7F8A">
        <w:rPr>
          <w:rStyle w:val="Rimandonotaapidipagina"/>
          <w:rFonts w:ascii="Garamond" w:hAnsi="Garamond"/>
        </w:rPr>
        <w:footnoteRef/>
      </w:r>
      <w:r w:rsidRPr="007B7F8A">
        <w:rPr>
          <w:rFonts w:ascii="Garamond" w:hAnsi="Garamond"/>
        </w:rPr>
        <w:t xml:space="preserve"> </w:t>
      </w:r>
      <w:r w:rsidRPr="007B7F8A">
        <w:rPr>
          <w:rFonts w:ascii="Garamond" w:hAnsi="Garamond" w:cs="Times New Roman"/>
        </w:rPr>
        <w:t xml:space="preserve">Cass. civ., Sez. trib., 7 febbraio 2019, n. </w:t>
      </w:r>
      <w:hyperlink r:id="rId6" w:tgtFrame="_blank" w:history="1">
        <w:r w:rsidRPr="007B7F8A">
          <w:rPr>
            <w:rFonts w:ascii="Garamond" w:hAnsi="Garamond" w:cs="Times New Roman"/>
          </w:rPr>
          <w:t>3560</w:t>
        </w:r>
      </w:hyperlink>
      <w:r w:rsidRPr="007B7F8A">
        <w:rPr>
          <w:rFonts w:ascii="Garamond" w:hAnsi="Garamond" w:cs="Times New Roman"/>
        </w:rPr>
        <w:t xml:space="preserve">, </w:t>
      </w:r>
      <w:r w:rsidR="00321EA8" w:rsidRPr="007B7F8A">
        <w:rPr>
          <w:rFonts w:ascii="Garamond" w:hAnsi="Garamond" w:cs="Times New Roman"/>
        </w:rPr>
        <w:t xml:space="preserve">che riferisce di “un principio consolidato di questa Corte” al riguardo, </w:t>
      </w:r>
      <w:r w:rsidRPr="007B7F8A">
        <w:rPr>
          <w:rFonts w:ascii="Garamond" w:hAnsi="Garamond" w:cs="Times New Roman"/>
        </w:rPr>
        <w:t xml:space="preserve">in </w:t>
      </w:r>
      <w:hyperlink r:id="rId7" w:history="1">
        <w:r w:rsidR="00031ECD" w:rsidRPr="00031ECD">
          <w:rPr>
            <w:rStyle w:val="Collegamentoipertestuale"/>
            <w:rFonts w:ascii="Garamond" w:hAnsi="Garamond" w:cs="Times New Roman"/>
            <w:i/>
            <w:color w:val="auto"/>
            <w:u w:val="none"/>
          </w:rPr>
          <w:t>www.italgiureweb.it</w:t>
        </w:r>
      </w:hyperlink>
      <w:r w:rsidRPr="00031ECD">
        <w:rPr>
          <w:rFonts w:ascii="Garamond" w:hAnsi="Garamond" w:cs="Times New Roman"/>
        </w:rPr>
        <w:t>.</w:t>
      </w:r>
    </w:p>
  </w:footnote>
  <w:footnote w:id="22">
    <w:p w:rsidR="009A7381" w:rsidRPr="009A7381" w:rsidRDefault="009A7381" w:rsidP="009A7381">
      <w:pPr>
        <w:pStyle w:val="Testonotaapidipagina"/>
        <w:jc w:val="both"/>
        <w:rPr>
          <w:rFonts w:ascii="Garamond" w:hAnsi="Garamond"/>
        </w:rPr>
      </w:pPr>
      <w:r w:rsidRPr="009A7381">
        <w:rPr>
          <w:rStyle w:val="Rimandonotaapidipagina"/>
          <w:rFonts w:ascii="Garamond" w:hAnsi="Garamond"/>
        </w:rPr>
        <w:footnoteRef/>
      </w:r>
      <w:r w:rsidRPr="009A7381">
        <w:rPr>
          <w:rFonts w:ascii="Garamond" w:hAnsi="Garamond"/>
        </w:rPr>
        <w:t xml:space="preserve"> </w:t>
      </w:r>
      <w:r w:rsidRPr="009A7381">
        <w:rPr>
          <w:rFonts w:ascii="Garamond" w:hAnsi="Garamond"/>
          <w:color w:val="000000"/>
          <w:shd w:val="clear" w:color="auto" w:fill="FFFFFF"/>
        </w:rPr>
        <w:t xml:space="preserve">Corte </w:t>
      </w:r>
      <w:proofErr w:type="spellStart"/>
      <w:r w:rsidRPr="009A7381">
        <w:rPr>
          <w:rFonts w:ascii="Garamond" w:hAnsi="Garamond"/>
          <w:color w:val="000000"/>
          <w:shd w:val="clear" w:color="auto" w:fill="FFFFFF"/>
        </w:rPr>
        <w:t>cos</w:t>
      </w:r>
      <w:r>
        <w:rPr>
          <w:rFonts w:ascii="Garamond" w:hAnsi="Garamond"/>
          <w:color w:val="000000"/>
          <w:shd w:val="clear" w:color="auto" w:fill="FFFFFF"/>
        </w:rPr>
        <w:t>t</w:t>
      </w:r>
      <w:proofErr w:type="spellEnd"/>
      <w:r>
        <w:rPr>
          <w:rFonts w:ascii="Garamond" w:hAnsi="Garamond"/>
          <w:color w:val="000000"/>
          <w:shd w:val="clear" w:color="auto" w:fill="FFFFFF"/>
        </w:rPr>
        <w:t>.</w:t>
      </w:r>
      <w:r w:rsidRPr="009A7381">
        <w:rPr>
          <w:rFonts w:ascii="Garamond" w:hAnsi="Garamond"/>
          <w:color w:val="000000"/>
          <w:shd w:val="clear" w:color="auto" w:fill="FFFFFF"/>
        </w:rPr>
        <w:t xml:space="preserve"> 26 novembre 2002, n. 477, in </w:t>
      </w:r>
      <w:proofErr w:type="spellStart"/>
      <w:r w:rsidRPr="009A7381">
        <w:rPr>
          <w:rFonts w:ascii="Garamond" w:hAnsi="Garamond"/>
          <w:i/>
          <w:iCs/>
          <w:color w:val="000000"/>
          <w:shd w:val="clear" w:color="auto" w:fill="FFFFFF"/>
        </w:rPr>
        <w:t>Riv</w:t>
      </w:r>
      <w:proofErr w:type="spellEnd"/>
      <w:r w:rsidRPr="009A7381">
        <w:rPr>
          <w:rFonts w:ascii="Garamond" w:hAnsi="Garamond"/>
          <w:i/>
          <w:iCs/>
          <w:color w:val="000000"/>
          <w:shd w:val="clear" w:color="auto" w:fill="FFFFFF"/>
        </w:rPr>
        <w:t xml:space="preserve">. </w:t>
      </w:r>
      <w:proofErr w:type="gramStart"/>
      <w:r w:rsidRPr="009A7381">
        <w:rPr>
          <w:rFonts w:ascii="Garamond" w:hAnsi="Garamond"/>
          <w:i/>
          <w:iCs/>
          <w:color w:val="000000"/>
          <w:shd w:val="clear" w:color="auto" w:fill="FFFFFF"/>
        </w:rPr>
        <w:t>dir</w:t>
      </w:r>
      <w:proofErr w:type="gramEnd"/>
      <w:r w:rsidRPr="009A7381">
        <w:rPr>
          <w:rFonts w:ascii="Garamond" w:hAnsi="Garamond"/>
          <w:i/>
          <w:iCs/>
          <w:color w:val="000000"/>
          <w:shd w:val="clear" w:color="auto" w:fill="FFFFFF"/>
        </w:rPr>
        <w:t xml:space="preserve">. </w:t>
      </w:r>
      <w:proofErr w:type="gramStart"/>
      <w:r w:rsidRPr="009A7381">
        <w:rPr>
          <w:rFonts w:ascii="Garamond" w:hAnsi="Garamond"/>
          <w:i/>
          <w:iCs/>
          <w:color w:val="000000"/>
          <w:shd w:val="clear" w:color="auto" w:fill="FFFFFF"/>
        </w:rPr>
        <w:t>trib.,</w:t>
      </w:r>
      <w:proofErr w:type="gramEnd"/>
      <w:r w:rsidRPr="009A7381">
        <w:rPr>
          <w:rFonts w:ascii="Garamond" w:hAnsi="Garamond"/>
          <w:color w:val="000000"/>
          <w:shd w:val="clear" w:color="auto" w:fill="FFFFFF"/>
        </w:rPr>
        <w:t> 2003, II, 131 ss</w:t>
      </w:r>
      <w:r w:rsidR="00970DE6">
        <w:rPr>
          <w:rFonts w:ascii="Garamond" w:hAnsi="Garamond"/>
          <w:color w:val="000000"/>
          <w:shd w:val="clear" w:color="auto" w:fill="FFFFFF"/>
        </w:rPr>
        <w:t>.</w:t>
      </w:r>
      <w:r w:rsidRPr="009A7381">
        <w:rPr>
          <w:rFonts w:ascii="Garamond" w:hAnsi="Garamond"/>
          <w:color w:val="000000"/>
          <w:shd w:val="clear" w:color="auto" w:fill="FFFFFF"/>
        </w:rPr>
        <w:t xml:space="preserve">, con nota di </w:t>
      </w:r>
      <w:r w:rsidRPr="009A7381">
        <w:rPr>
          <w:rFonts w:ascii="Garamond" w:hAnsi="Garamond"/>
          <w:smallCaps/>
          <w:color w:val="000000"/>
          <w:shd w:val="clear" w:color="auto" w:fill="FFFFFF"/>
        </w:rPr>
        <w:t>Lupi</w:t>
      </w:r>
      <w:r>
        <w:rPr>
          <w:rFonts w:ascii="Garamond" w:hAnsi="Garamond"/>
          <w:color w:val="000000"/>
          <w:shd w:val="clear" w:color="auto" w:fill="FFFFFF"/>
        </w:rPr>
        <w:t xml:space="preserve"> R.</w:t>
      </w:r>
      <w:r w:rsidRPr="009A7381">
        <w:rPr>
          <w:rFonts w:ascii="Garamond" w:hAnsi="Garamond"/>
          <w:color w:val="000000"/>
          <w:shd w:val="clear" w:color="auto" w:fill="FFFFFF"/>
        </w:rPr>
        <w:t>, </w:t>
      </w:r>
      <w:r w:rsidRPr="009A7381">
        <w:rPr>
          <w:rFonts w:ascii="Garamond" w:hAnsi="Garamond"/>
          <w:i/>
          <w:iCs/>
          <w:color w:val="000000"/>
          <w:shd w:val="clear" w:color="auto" w:fill="FFFFFF"/>
        </w:rPr>
        <w:t>Sulla legittimità della costituzione in giudizio a mezzo posta, con spedizione degli atti entro i termini per la costituzione</w:t>
      </w:r>
      <w:r w:rsidR="007D0A60">
        <w:rPr>
          <w:rFonts w:ascii="Garamond" w:hAnsi="Garamond"/>
          <w:color w:val="000000"/>
          <w:shd w:val="clear" w:color="auto" w:fill="FFFFFF"/>
        </w:rPr>
        <w:t>.</w:t>
      </w:r>
    </w:p>
  </w:footnote>
  <w:footnote w:id="23">
    <w:p w:rsidR="00B50FBF" w:rsidRPr="00031ECD" w:rsidRDefault="00B50FBF" w:rsidP="00B50FBF">
      <w:pPr>
        <w:pStyle w:val="Testonotaapidipagina"/>
        <w:jc w:val="both"/>
        <w:rPr>
          <w:rFonts w:ascii="Garamond" w:hAnsi="Garamond"/>
        </w:rPr>
      </w:pPr>
      <w:r w:rsidRPr="007B7F8A">
        <w:rPr>
          <w:rStyle w:val="Rimandonotaapidipagina"/>
          <w:rFonts w:ascii="Garamond" w:hAnsi="Garamond"/>
        </w:rPr>
        <w:footnoteRef/>
      </w:r>
      <w:r w:rsidRPr="007B7F8A">
        <w:rPr>
          <w:rFonts w:ascii="Garamond" w:hAnsi="Garamond"/>
        </w:rPr>
        <w:t xml:space="preserve"> Cass. </w:t>
      </w:r>
      <w:proofErr w:type="gramStart"/>
      <w:r w:rsidRPr="007B7F8A">
        <w:rPr>
          <w:rFonts w:ascii="Garamond" w:hAnsi="Garamond"/>
        </w:rPr>
        <w:t>civ.,</w:t>
      </w:r>
      <w:proofErr w:type="gramEnd"/>
      <w:r w:rsidRPr="007B7F8A">
        <w:rPr>
          <w:rFonts w:ascii="Garamond" w:hAnsi="Garamond"/>
        </w:rPr>
        <w:t xml:space="preserve"> Sez. un., 17 maggio 2017, n. 12332</w:t>
      </w:r>
      <w:r w:rsidR="004D2C7B" w:rsidRPr="007B7F8A">
        <w:rPr>
          <w:rFonts w:ascii="Garamond" w:hAnsi="Garamond" w:cs="Times New Roman"/>
        </w:rPr>
        <w:t xml:space="preserve">, in </w:t>
      </w:r>
      <w:hyperlink r:id="rId8" w:history="1">
        <w:r w:rsidR="00031ECD" w:rsidRPr="00031ECD">
          <w:rPr>
            <w:rStyle w:val="Collegamentoipertestuale"/>
            <w:rFonts w:ascii="Garamond" w:hAnsi="Garamond" w:cs="Times New Roman"/>
            <w:i/>
            <w:color w:val="auto"/>
            <w:u w:val="none"/>
          </w:rPr>
          <w:t>www.italgiureweb.it</w:t>
        </w:r>
      </w:hyperlink>
      <w:r w:rsidRPr="00031ECD">
        <w:rPr>
          <w:rFonts w:ascii="Garamond" w:hAnsi="Garamond"/>
        </w:rPr>
        <w:t>.</w:t>
      </w:r>
    </w:p>
  </w:footnote>
  <w:footnote w:id="24">
    <w:p w:rsidR="00E818E2" w:rsidRPr="007B7F8A" w:rsidRDefault="00E818E2" w:rsidP="002868A0">
      <w:pPr>
        <w:pStyle w:val="Testonotaapidipagina"/>
        <w:jc w:val="both"/>
        <w:rPr>
          <w:rFonts w:ascii="Garamond" w:hAnsi="Garamond"/>
        </w:rPr>
      </w:pPr>
      <w:r w:rsidRPr="007B7F8A">
        <w:rPr>
          <w:rStyle w:val="Rimandonotaapidipagina"/>
          <w:rFonts w:ascii="Garamond" w:hAnsi="Garamond"/>
        </w:rPr>
        <w:footnoteRef/>
      </w:r>
      <w:r w:rsidRPr="007B7F8A">
        <w:rPr>
          <w:rFonts w:ascii="Garamond" w:hAnsi="Garamond"/>
        </w:rPr>
        <w:t xml:space="preserve"> </w:t>
      </w:r>
      <w:r w:rsidR="002868A0" w:rsidRPr="007B7F8A">
        <w:rPr>
          <w:rFonts w:ascii="Garamond" w:hAnsi="Garamond" w:cs="Times New Roman"/>
        </w:rPr>
        <w:t xml:space="preserve">Cass. </w:t>
      </w:r>
      <w:proofErr w:type="gramStart"/>
      <w:r w:rsidR="002868A0" w:rsidRPr="007B7F8A">
        <w:rPr>
          <w:rFonts w:ascii="Garamond" w:hAnsi="Garamond" w:cs="Times New Roman"/>
        </w:rPr>
        <w:t>civ.,</w:t>
      </w:r>
      <w:proofErr w:type="gramEnd"/>
      <w:r w:rsidR="002868A0" w:rsidRPr="007B7F8A">
        <w:rPr>
          <w:rFonts w:ascii="Garamond" w:hAnsi="Garamond" w:cs="Times New Roman"/>
        </w:rPr>
        <w:t xml:space="preserve"> Sez. trib.,</w:t>
      </w:r>
      <w:r w:rsidR="002868A0" w:rsidRPr="007B7F8A">
        <w:rPr>
          <w:rFonts w:ascii="Garamond" w:hAnsi="Garamond" w:cs="Arial"/>
          <w:shd w:val="clear" w:color="auto" w:fill="FFFFFF"/>
        </w:rPr>
        <w:t xml:space="preserve"> 21 luglio 2020, n. 15545</w:t>
      </w:r>
      <w:r w:rsidR="00321EA8" w:rsidRPr="007B7F8A">
        <w:rPr>
          <w:rFonts w:ascii="Garamond" w:hAnsi="Garamond" w:cs="Times New Roman"/>
        </w:rPr>
        <w:t xml:space="preserve">, in </w:t>
      </w:r>
      <w:hyperlink r:id="rId9" w:history="1">
        <w:r w:rsidR="00031ECD" w:rsidRPr="00031ECD">
          <w:rPr>
            <w:rStyle w:val="Collegamentoipertestuale"/>
            <w:rFonts w:ascii="Garamond" w:hAnsi="Garamond" w:cs="Times New Roman"/>
            <w:i/>
            <w:color w:val="auto"/>
            <w:u w:val="none"/>
          </w:rPr>
          <w:t>www.italgiureweb.it</w:t>
        </w:r>
      </w:hyperlink>
      <w:r w:rsidR="00321EA8" w:rsidRPr="00031ECD">
        <w:rPr>
          <w:rFonts w:ascii="Garamond" w:hAnsi="Garamond" w:cs="Times New Roman"/>
        </w:rPr>
        <w:t>.</w:t>
      </w:r>
    </w:p>
  </w:footnote>
  <w:footnote w:id="25">
    <w:p w:rsidR="00AA1CED" w:rsidRPr="008A1D9A" w:rsidRDefault="00AA1CED" w:rsidP="00AA1CED">
      <w:pPr>
        <w:pStyle w:val="Testonotaapidipagina"/>
        <w:jc w:val="both"/>
        <w:rPr>
          <w:rFonts w:ascii="Garamond" w:hAnsi="Garamond" w:cs="Times New Roman"/>
        </w:rPr>
      </w:pPr>
      <w:r w:rsidRPr="008A1D9A">
        <w:rPr>
          <w:rStyle w:val="Rimandonotaapidipagina"/>
        </w:rPr>
        <w:footnoteRef/>
      </w:r>
      <w:r w:rsidRPr="008A1D9A">
        <w:rPr>
          <w:rFonts w:ascii="Garamond" w:hAnsi="Garamond" w:cs="Times New Roman"/>
        </w:rPr>
        <w:t xml:space="preserve"> Secondo cui: </w:t>
      </w:r>
      <w:r>
        <w:rPr>
          <w:rFonts w:ascii="Garamond" w:hAnsi="Garamond" w:cs="Times New Roman"/>
        </w:rPr>
        <w:t>“</w:t>
      </w:r>
      <w:r w:rsidRPr="008A1D9A">
        <w:rPr>
          <w:rFonts w:ascii="Garamond" w:hAnsi="Garamond" w:cs="Times New Roman"/>
        </w:rPr>
        <w:t>gli avvisi di accertamento devono essere notificati,</w:t>
      </w:r>
      <w:r>
        <w:rPr>
          <w:rFonts w:ascii="Garamond" w:hAnsi="Garamond" w:cs="Times New Roman"/>
        </w:rPr>
        <w:t xml:space="preserve"> </w:t>
      </w:r>
      <w:r w:rsidRPr="008A1D9A">
        <w:rPr>
          <w:rFonts w:ascii="Garamond" w:hAnsi="Garamond" w:cs="Times New Roman"/>
        </w:rPr>
        <w:t>a pena di decadenza,</w:t>
      </w:r>
      <w:r>
        <w:rPr>
          <w:rFonts w:ascii="Garamond" w:hAnsi="Garamond" w:cs="Times New Roman"/>
        </w:rPr>
        <w:t xml:space="preserve"> </w:t>
      </w:r>
      <w:r w:rsidRPr="008A1D9A">
        <w:rPr>
          <w:rFonts w:ascii="Garamond" w:hAnsi="Garamond" w:cs="Times New Roman"/>
        </w:rPr>
        <w:t>entro il 31 dicembre del quinto anno successivo a quello in cui è stata presentata la dichiarazione</w:t>
      </w:r>
      <w:r>
        <w:rPr>
          <w:rFonts w:ascii="Garamond" w:hAnsi="Garamond" w:cs="Times New Roman"/>
        </w:rPr>
        <w:t>”.</w:t>
      </w:r>
    </w:p>
  </w:footnote>
  <w:footnote w:id="26">
    <w:p w:rsidR="00AA1CED" w:rsidRPr="00546AD3" w:rsidRDefault="00AA1CED" w:rsidP="00AA1CED">
      <w:pPr>
        <w:pStyle w:val="Testonotaapidipagina"/>
        <w:jc w:val="both"/>
        <w:rPr>
          <w:rFonts w:ascii="Garamond" w:hAnsi="Garamond"/>
        </w:rPr>
      </w:pPr>
      <w:r w:rsidRPr="00546AD3">
        <w:rPr>
          <w:rStyle w:val="Rimandonotaapidipagina"/>
          <w:rFonts w:ascii="Garamond" w:hAnsi="Garamond"/>
        </w:rPr>
        <w:footnoteRef/>
      </w:r>
      <w:r w:rsidRPr="00C433D3">
        <w:rPr>
          <w:rFonts w:ascii="Garamond" w:hAnsi="Garamond"/>
        </w:rPr>
        <w:t xml:space="preserve"> </w:t>
      </w:r>
      <w:r w:rsidRPr="00C433D3">
        <w:rPr>
          <w:rFonts w:ascii="Garamond" w:hAnsi="Garamond" w:cs="Times New Roman"/>
        </w:rPr>
        <w:t xml:space="preserve">Cass. </w:t>
      </w:r>
      <w:proofErr w:type="gramStart"/>
      <w:r w:rsidRPr="00C433D3">
        <w:rPr>
          <w:rFonts w:ascii="Garamond" w:hAnsi="Garamond" w:cs="Times New Roman"/>
        </w:rPr>
        <w:t>civ.,</w:t>
      </w:r>
      <w:proofErr w:type="gramEnd"/>
      <w:r w:rsidRPr="00C433D3">
        <w:rPr>
          <w:rFonts w:ascii="Garamond" w:hAnsi="Garamond" w:cs="Times New Roman"/>
        </w:rPr>
        <w:t xml:space="preserve"> Sez. un., 25 marzo 2021, n. </w:t>
      </w:r>
      <w:hyperlink r:id="rId10" w:history="1">
        <w:r w:rsidRPr="005924AE">
          <w:rPr>
            <w:rFonts w:ascii="Garamond" w:hAnsi="Garamond"/>
          </w:rPr>
          <w:t>8500</w:t>
        </w:r>
      </w:hyperlink>
      <w:r w:rsidRPr="005924AE">
        <w:rPr>
          <w:rFonts w:ascii="Garamond" w:hAnsi="Garamond" w:cs="Times New Roman"/>
        </w:rPr>
        <w:t xml:space="preserve">, sulla questione </w:t>
      </w:r>
      <w:r>
        <w:rPr>
          <w:rFonts w:ascii="Garamond" w:hAnsi="Garamond" w:cs="Times New Roman"/>
        </w:rPr>
        <w:t>de</w:t>
      </w:r>
      <w:r w:rsidRPr="005924AE">
        <w:rPr>
          <w:rFonts w:ascii="Garamond" w:hAnsi="Garamond" w:cs="Times New Roman"/>
        </w:rPr>
        <w:t>lla conservazione delle scritture per eventuali accertamenti relativi alla rettifica dei costi pluriennali derivati da acquisti riferiti a periodi di imposta per cui il potere di rettifica dell’amministrazione sarebbe decaduto,</w:t>
      </w:r>
      <w:r w:rsidRPr="00546AD3">
        <w:rPr>
          <w:rFonts w:ascii="Garamond" w:hAnsi="Garamond" w:cs="Times New Roman"/>
        </w:rPr>
        <w:t xml:space="preserve"> in </w:t>
      </w:r>
      <w:r w:rsidR="00031ECD">
        <w:rPr>
          <w:rFonts w:ascii="Garamond" w:hAnsi="Garamond" w:cs="Times New Roman"/>
          <w:i/>
        </w:rPr>
        <w:t>www.ital</w:t>
      </w:r>
      <w:r w:rsidRPr="00546AD3">
        <w:rPr>
          <w:rFonts w:ascii="Garamond" w:hAnsi="Garamond" w:cs="Times New Roman"/>
          <w:i/>
        </w:rPr>
        <w:t>giureweb.it</w:t>
      </w:r>
      <w:r w:rsidRPr="00546AD3">
        <w:rPr>
          <w:rFonts w:ascii="Garamond" w:hAnsi="Garamond" w:cs="Times New Roman"/>
        </w:rPr>
        <w:t>.</w:t>
      </w:r>
    </w:p>
  </w:footnote>
  <w:footnote w:id="27">
    <w:p w:rsidR="00AA1CED" w:rsidRPr="00AA1CED" w:rsidRDefault="00AA1CED" w:rsidP="00AA1CED">
      <w:pPr>
        <w:pStyle w:val="Testonotaapidipagina"/>
        <w:jc w:val="both"/>
        <w:rPr>
          <w:rFonts w:ascii="Garamond" w:hAnsi="Garamond"/>
        </w:rPr>
      </w:pPr>
      <w:r w:rsidRPr="00AA1CED">
        <w:rPr>
          <w:rStyle w:val="Rimandonotaapidipagina"/>
          <w:rFonts w:ascii="Garamond" w:hAnsi="Garamond"/>
        </w:rPr>
        <w:footnoteRef/>
      </w:r>
      <w:r w:rsidRPr="00AA1CED">
        <w:rPr>
          <w:rFonts w:ascii="Garamond" w:hAnsi="Garamond"/>
        </w:rPr>
        <w:t xml:space="preserve"> </w:t>
      </w:r>
      <w:r w:rsidRPr="00AA1CED">
        <w:rPr>
          <w:rFonts w:ascii="Garamond" w:hAnsi="Garamond" w:cs="Times New Roman"/>
        </w:rPr>
        <w:t xml:space="preserve">Cass. </w:t>
      </w:r>
      <w:proofErr w:type="gramStart"/>
      <w:r w:rsidRPr="00AA1CED">
        <w:rPr>
          <w:rFonts w:ascii="Garamond" w:hAnsi="Garamond" w:cs="Times New Roman"/>
        </w:rPr>
        <w:t>civ.,</w:t>
      </w:r>
      <w:proofErr w:type="gramEnd"/>
      <w:r w:rsidRPr="00AA1CED">
        <w:rPr>
          <w:rFonts w:ascii="Garamond" w:hAnsi="Garamond" w:cs="Times New Roman"/>
        </w:rPr>
        <w:t xml:space="preserve"> Sez. trib., </w:t>
      </w:r>
      <w:r>
        <w:rPr>
          <w:rFonts w:ascii="Garamond" w:hAnsi="Garamond" w:cs="Times New Roman"/>
        </w:rPr>
        <w:t>3 febbraio</w:t>
      </w:r>
      <w:r w:rsidRPr="00AA1CED">
        <w:rPr>
          <w:rFonts w:ascii="Garamond" w:hAnsi="Garamond" w:cs="Times New Roman"/>
        </w:rPr>
        <w:t xml:space="preserve"> 20</w:t>
      </w:r>
      <w:r>
        <w:rPr>
          <w:rFonts w:ascii="Garamond" w:hAnsi="Garamond" w:cs="Times New Roman"/>
        </w:rPr>
        <w:t>2</w:t>
      </w:r>
      <w:r w:rsidRPr="00AA1CED">
        <w:rPr>
          <w:rFonts w:ascii="Garamond" w:hAnsi="Garamond" w:cs="Times New Roman"/>
        </w:rPr>
        <w:t>1</w:t>
      </w:r>
      <w:r>
        <w:rPr>
          <w:rFonts w:ascii="Garamond" w:hAnsi="Garamond" w:cs="Times New Roman"/>
        </w:rPr>
        <w:t>, 2</w:t>
      </w:r>
      <w:r w:rsidRPr="00AA1CED">
        <w:rPr>
          <w:rFonts w:ascii="Garamond" w:hAnsi="Garamond" w:cs="Times New Roman"/>
        </w:rPr>
        <w:t>4</w:t>
      </w:r>
      <w:r>
        <w:rPr>
          <w:rFonts w:ascii="Garamond" w:hAnsi="Garamond" w:cs="Times New Roman"/>
        </w:rPr>
        <w:t>2</w:t>
      </w:r>
      <w:r w:rsidRPr="00AA1CED">
        <w:rPr>
          <w:rFonts w:ascii="Garamond" w:hAnsi="Garamond" w:cs="Times New Roman"/>
        </w:rPr>
        <w:t xml:space="preserve">0, in </w:t>
      </w:r>
      <w:r w:rsidR="00031ECD">
        <w:rPr>
          <w:rFonts w:ascii="Garamond" w:hAnsi="Garamond" w:cs="Times New Roman"/>
          <w:i/>
        </w:rPr>
        <w:t>www.ital</w:t>
      </w:r>
      <w:r w:rsidRPr="00AA1CED">
        <w:rPr>
          <w:rFonts w:ascii="Garamond" w:hAnsi="Garamond" w:cs="Times New Roman"/>
          <w:i/>
        </w:rPr>
        <w:t>giureweb.it</w:t>
      </w:r>
      <w:r w:rsidRPr="00AA1CED">
        <w:rPr>
          <w:rFonts w:ascii="Garamond" w:hAnsi="Garamond" w:cs="Times New Roman"/>
        </w:rPr>
        <w:t>.</w:t>
      </w:r>
    </w:p>
  </w:footnote>
  <w:footnote w:id="28">
    <w:p w:rsidR="004D148E" w:rsidRPr="007B7F8A" w:rsidRDefault="004D148E" w:rsidP="004D148E">
      <w:pPr>
        <w:pStyle w:val="Testonotaapidipagina"/>
        <w:jc w:val="both"/>
        <w:rPr>
          <w:rFonts w:ascii="Garamond" w:hAnsi="Garamond" w:cs="Times New Roman"/>
        </w:rPr>
      </w:pPr>
      <w:r w:rsidRPr="007B7F8A">
        <w:rPr>
          <w:rFonts w:ascii="Garamond" w:hAnsi="Garamond" w:cs="Times New Roman"/>
          <w:vertAlign w:val="superscript"/>
        </w:rPr>
        <w:footnoteRef/>
      </w:r>
      <w:r w:rsidRPr="007B7F8A">
        <w:rPr>
          <w:rFonts w:ascii="Garamond" w:hAnsi="Garamond" w:cs="Times New Roman"/>
        </w:rPr>
        <w:t xml:space="preserve"> Cass. </w:t>
      </w:r>
      <w:proofErr w:type="gramStart"/>
      <w:r w:rsidRPr="007B7F8A">
        <w:rPr>
          <w:rFonts w:ascii="Garamond" w:hAnsi="Garamond" w:cs="Times New Roman"/>
        </w:rPr>
        <w:t>civ.,</w:t>
      </w:r>
      <w:proofErr w:type="gramEnd"/>
      <w:r w:rsidRPr="007B7F8A">
        <w:rPr>
          <w:rFonts w:ascii="Garamond" w:hAnsi="Garamond" w:cs="Times New Roman"/>
        </w:rPr>
        <w:t xml:space="preserve"> Sez. trib., 10 ottobre 2019, 25450, in </w:t>
      </w:r>
      <w:r w:rsidR="00031ECD">
        <w:rPr>
          <w:rFonts w:ascii="Garamond" w:hAnsi="Garamond" w:cs="Times New Roman"/>
          <w:i/>
        </w:rPr>
        <w:t>www.ital</w:t>
      </w:r>
      <w:r w:rsidRPr="007B7F8A">
        <w:rPr>
          <w:rFonts w:ascii="Garamond" w:hAnsi="Garamond" w:cs="Times New Roman"/>
          <w:i/>
        </w:rPr>
        <w:t>giureweb.it</w:t>
      </w:r>
      <w:r w:rsidRPr="007B7F8A">
        <w:rPr>
          <w:rFonts w:ascii="Garamond" w:hAnsi="Garamond" w:cs="Times New Roman"/>
        </w:rPr>
        <w:t>.</w:t>
      </w:r>
    </w:p>
  </w:footnote>
  <w:footnote w:id="29">
    <w:p w:rsidR="00496853" w:rsidRPr="007B7F8A" w:rsidRDefault="00496853" w:rsidP="00496853">
      <w:pPr>
        <w:pStyle w:val="Testonotaapidipagina"/>
        <w:jc w:val="both"/>
        <w:rPr>
          <w:rFonts w:ascii="Garamond" w:hAnsi="Garamond" w:cs="Times New Roman"/>
        </w:rPr>
      </w:pPr>
      <w:r w:rsidRPr="007B7F8A">
        <w:rPr>
          <w:rFonts w:ascii="Garamond" w:hAnsi="Garamond" w:cs="Times New Roman"/>
          <w:vertAlign w:val="superscript"/>
        </w:rPr>
        <w:footnoteRef/>
      </w:r>
      <w:r w:rsidRPr="007B7F8A">
        <w:rPr>
          <w:rFonts w:ascii="Garamond" w:hAnsi="Garamond" w:cs="Times New Roman"/>
        </w:rPr>
        <w:t xml:space="preserve"> Cass. </w:t>
      </w:r>
      <w:proofErr w:type="gramStart"/>
      <w:r w:rsidRPr="007B7F8A">
        <w:rPr>
          <w:rFonts w:ascii="Garamond" w:hAnsi="Garamond" w:cs="Times New Roman"/>
        </w:rPr>
        <w:t>civ.,</w:t>
      </w:r>
      <w:proofErr w:type="gramEnd"/>
      <w:r w:rsidRPr="007B7F8A">
        <w:rPr>
          <w:rFonts w:ascii="Garamond" w:hAnsi="Garamond" w:cs="Times New Roman"/>
        </w:rPr>
        <w:t xml:space="preserve"> Sez. trib., 17 ottobre 2019, n. </w:t>
      </w:r>
      <w:hyperlink r:id="rId11" w:tgtFrame="_blank" w:history="1">
        <w:r w:rsidRPr="007B7F8A">
          <w:rPr>
            <w:rFonts w:ascii="Garamond" w:hAnsi="Garamond" w:cs="Times New Roman"/>
          </w:rPr>
          <w:t>26378</w:t>
        </w:r>
      </w:hyperlink>
      <w:r w:rsidRPr="007B7F8A">
        <w:rPr>
          <w:rFonts w:ascii="Garamond" w:hAnsi="Garamond" w:cs="Times New Roman"/>
        </w:rPr>
        <w:t xml:space="preserve"> e 5 ottobre 2018, n. 24478, in </w:t>
      </w:r>
      <w:r w:rsidR="00031ECD">
        <w:rPr>
          <w:rFonts w:ascii="Garamond" w:hAnsi="Garamond" w:cs="Times New Roman"/>
          <w:i/>
        </w:rPr>
        <w:t>www.ital</w:t>
      </w:r>
      <w:r w:rsidRPr="007B7F8A">
        <w:rPr>
          <w:rFonts w:ascii="Garamond" w:hAnsi="Garamond" w:cs="Times New Roman"/>
          <w:i/>
        </w:rPr>
        <w:t>giureweb.it</w:t>
      </w:r>
      <w:r w:rsidRPr="007B7F8A">
        <w:rPr>
          <w:rFonts w:ascii="Garamond" w:hAnsi="Garamond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C3F73"/>
    <w:multiLevelType w:val="hybridMultilevel"/>
    <w:tmpl w:val="46EC1E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21B0"/>
    <w:multiLevelType w:val="hybridMultilevel"/>
    <w:tmpl w:val="570CE5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C4"/>
    <w:rsid w:val="000031AE"/>
    <w:rsid w:val="00007451"/>
    <w:rsid w:val="00024116"/>
    <w:rsid w:val="00024E5F"/>
    <w:rsid w:val="00031ECD"/>
    <w:rsid w:val="0003465C"/>
    <w:rsid w:val="00036839"/>
    <w:rsid w:val="000370D3"/>
    <w:rsid w:val="00040F5E"/>
    <w:rsid w:val="00040F9E"/>
    <w:rsid w:val="00065BB1"/>
    <w:rsid w:val="0007620B"/>
    <w:rsid w:val="00086E91"/>
    <w:rsid w:val="00096343"/>
    <w:rsid w:val="000963F6"/>
    <w:rsid w:val="000C2B25"/>
    <w:rsid w:val="000C36F5"/>
    <w:rsid w:val="000C451D"/>
    <w:rsid w:val="000D3376"/>
    <w:rsid w:val="000E302B"/>
    <w:rsid w:val="000E435B"/>
    <w:rsid w:val="000F1098"/>
    <w:rsid w:val="00102841"/>
    <w:rsid w:val="001063C1"/>
    <w:rsid w:val="00107329"/>
    <w:rsid w:val="00107A1C"/>
    <w:rsid w:val="00112228"/>
    <w:rsid w:val="00115EFB"/>
    <w:rsid w:val="0012126F"/>
    <w:rsid w:val="00121E9D"/>
    <w:rsid w:val="001257B5"/>
    <w:rsid w:val="001272C2"/>
    <w:rsid w:val="00127443"/>
    <w:rsid w:val="001353BE"/>
    <w:rsid w:val="00135C6C"/>
    <w:rsid w:val="00140576"/>
    <w:rsid w:val="00140827"/>
    <w:rsid w:val="00141217"/>
    <w:rsid w:val="00141FE4"/>
    <w:rsid w:val="00163551"/>
    <w:rsid w:val="00163C35"/>
    <w:rsid w:val="00167063"/>
    <w:rsid w:val="00170134"/>
    <w:rsid w:val="00170572"/>
    <w:rsid w:val="00182188"/>
    <w:rsid w:val="00184AD4"/>
    <w:rsid w:val="001979B6"/>
    <w:rsid w:val="001A064E"/>
    <w:rsid w:val="001A15EF"/>
    <w:rsid w:val="001A6EF7"/>
    <w:rsid w:val="001B2581"/>
    <w:rsid w:val="001B2957"/>
    <w:rsid w:val="001D305A"/>
    <w:rsid w:val="001E01B8"/>
    <w:rsid w:val="001E0C78"/>
    <w:rsid w:val="001E0D44"/>
    <w:rsid w:val="001E2272"/>
    <w:rsid w:val="001F57B7"/>
    <w:rsid w:val="001F5A87"/>
    <w:rsid w:val="002061DC"/>
    <w:rsid w:val="00217F9F"/>
    <w:rsid w:val="00236388"/>
    <w:rsid w:val="002379B1"/>
    <w:rsid w:val="00237D23"/>
    <w:rsid w:val="0024238E"/>
    <w:rsid w:val="002506F0"/>
    <w:rsid w:val="00252F74"/>
    <w:rsid w:val="00254E55"/>
    <w:rsid w:val="002604A8"/>
    <w:rsid w:val="002669FF"/>
    <w:rsid w:val="00267210"/>
    <w:rsid w:val="00273FE2"/>
    <w:rsid w:val="00274E3E"/>
    <w:rsid w:val="00275A42"/>
    <w:rsid w:val="00284758"/>
    <w:rsid w:val="00284784"/>
    <w:rsid w:val="00285348"/>
    <w:rsid w:val="0028665B"/>
    <w:rsid w:val="002868A0"/>
    <w:rsid w:val="00291BA8"/>
    <w:rsid w:val="002971E0"/>
    <w:rsid w:val="002A1AC0"/>
    <w:rsid w:val="002A2283"/>
    <w:rsid w:val="002A4ABB"/>
    <w:rsid w:val="002A4C9E"/>
    <w:rsid w:val="002B723C"/>
    <w:rsid w:val="002D05BA"/>
    <w:rsid w:val="002D5A7A"/>
    <w:rsid w:val="002D6B9A"/>
    <w:rsid w:val="002E6E75"/>
    <w:rsid w:val="00306441"/>
    <w:rsid w:val="003065DD"/>
    <w:rsid w:val="003073CE"/>
    <w:rsid w:val="00307794"/>
    <w:rsid w:val="003108D2"/>
    <w:rsid w:val="003167C4"/>
    <w:rsid w:val="003171E0"/>
    <w:rsid w:val="00321EA8"/>
    <w:rsid w:val="0032300F"/>
    <w:rsid w:val="003265F1"/>
    <w:rsid w:val="00326D33"/>
    <w:rsid w:val="00332011"/>
    <w:rsid w:val="003531C2"/>
    <w:rsid w:val="003569C4"/>
    <w:rsid w:val="00357AD8"/>
    <w:rsid w:val="00363D5B"/>
    <w:rsid w:val="00366BBD"/>
    <w:rsid w:val="0037143A"/>
    <w:rsid w:val="00385FC5"/>
    <w:rsid w:val="003929AB"/>
    <w:rsid w:val="003B7F19"/>
    <w:rsid w:val="003D4287"/>
    <w:rsid w:val="003D59CC"/>
    <w:rsid w:val="003D6954"/>
    <w:rsid w:val="003D74B2"/>
    <w:rsid w:val="003E0631"/>
    <w:rsid w:val="003E57F0"/>
    <w:rsid w:val="003E7C23"/>
    <w:rsid w:val="0040046F"/>
    <w:rsid w:val="00404C0B"/>
    <w:rsid w:val="00424498"/>
    <w:rsid w:val="004302B6"/>
    <w:rsid w:val="004376DB"/>
    <w:rsid w:val="00447EE6"/>
    <w:rsid w:val="00457BE6"/>
    <w:rsid w:val="00460CA3"/>
    <w:rsid w:val="004638B9"/>
    <w:rsid w:val="004716C1"/>
    <w:rsid w:val="00471D61"/>
    <w:rsid w:val="00474632"/>
    <w:rsid w:val="00475473"/>
    <w:rsid w:val="00484E03"/>
    <w:rsid w:val="00496853"/>
    <w:rsid w:val="004A59B1"/>
    <w:rsid w:val="004A6766"/>
    <w:rsid w:val="004B7D04"/>
    <w:rsid w:val="004C1253"/>
    <w:rsid w:val="004C6812"/>
    <w:rsid w:val="004D148E"/>
    <w:rsid w:val="004D1B55"/>
    <w:rsid w:val="004D1B5D"/>
    <w:rsid w:val="004D2C7B"/>
    <w:rsid w:val="004F04A4"/>
    <w:rsid w:val="004F351B"/>
    <w:rsid w:val="004F4966"/>
    <w:rsid w:val="004F4DBB"/>
    <w:rsid w:val="004F5899"/>
    <w:rsid w:val="004F5AD1"/>
    <w:rsid w:val="00512A50"/>
    <w:rsid w:val="00512FEA"/>
    <w:rsid w:val="00517425"/>
    <w:rsid w:val="0052055E"/>
    <w:rsid w:val="00536F9E"/>
    <w:rsid w:val="00546AD3"/>
    <w:rsid w:val="00551BC5"/>
    <w:rsid w:val="005644F4"/>
    <w:rsid w:val="00571C24"/>
    <w:rsid w:val="005740B9"/>
    <w:rsid w:val="00584DF6"/>
    <w:rsid w:val="00585BC9"/>
    <w:rsid w:val="005924AE"/>
    <w:rsid w:val="00597973"/>
    <w:rsid w:val="005C03A5"/>
    <w:rsid w:val="005E506D"/>
    <w:rsid w:val="005F256B"/>
    <w:rsid w:val="005F7612"/>
    <w:rsid w:val="00605BA1"/>
    <w:rsid w:val="006227B7"/>
    <w:rsid w:val="00624410"/>
    <w:rsid w:val="006352BB"/>
    <w:rsid w:val="006512EE"/>
    <w:rsid w:val="006564CC"/>
    <w:rsid w:val="0066056D"/>
    <w:rsid w:val="006610B5"/>
    <w:rsid w:val="0066134F"/>
    <w:rsid w:val="00667C8A"/>
    <w:rsid w:val="006737FA"/>
    <w:rsid w:val="006762CA"/>
    <w:rsid w:val="00680502"/>
    <w:rsid w:val="00681053"/>
    <w:rsid w:val="00687AA4"/>
    <w:rsid w:val="00687D8F"/>
    <w:rsid w:val="0069095B"/>
    <w:rsid w:val="0069109A"/>
    <w:rsid w:val="00695ACE"/>
    <w:rsid w:val="006A22EC"/>
    <w:rsid w:val="006A2A30"/>
    <w:rsid w:val="006A348F"/>
    <w:rsid w:val="006B0CC1"/>
    <w:rsid w:val="006B2EB4"/>
    <w:rsid w:val="006C146B"/>
    <w:rsid w:val="006C5713"/>
    <w:rsid w:val="006D4C48"/>
    <w:rsid w:val="006E0D4A"/>
    <w:rsid w:val="006E446F"/>
    <w:rsid w:val="006F3BD0"/>
    <w:rsid w:val="006F7552"/>
    <w:rsid w:val="00711D95"/>
    <w:rsid w:val="00715F66"/>
    <w:rsid w:val="00724C24"/>
    <w:rsid w:val="007316BE"/>
    <w:rsid w:val="00735602"/>
    <w:rsid w:val="00742D05"/>
    <w:rsid w:val="00745243"/>
    <w:rsid w:val="007469FC"/>
    <w:rsid w:val="0074720F"/>
    <w:rsid w:val="00752BE3"/>
    <w:rsid w:val="0075415C"/>
    <w:rsid w:val="0075692D"/>
    <w:rsid w:val="00763146"/>
    <w:rsid w:val="00765986"/>
    <w:rsid w:val="0077003D"/>
    <w:rsid w:val="00772B05"/>
    <w:rsid w:val="00773EEE"/>
    <w:rsid w:val="007754E3"/>
    <w:rsid w:val="007808F5"/>
    <w:rsid w:val="00781EA8"/>
    <w:rsid w:val="007A0D3D"/>
    <w:rsid w:val="007A3C17"/>
    <w:rsid w:val="007B769C"/>
    <w:rsid w:val="007B7F8A"/>
    <w:rsid w:val="007C7C40"/>
    <w:rsid w:val="007D0A60"/>
    <w:rsid w:val="007D7B9B"/>
    <w:rsid w:val="007F13A1"/>
    <w:rsid w:val="008022A0"/>
    <w:rsid w:val="00810D6B"/>
    <w:rsid w:val="00813E7E"/>
    <w:rsid w:val="00821A96"/>
    <w:rsid w:val="00837485"/>
    <w:rsid w:val="00837D3C"/>
    <w:rsid w:val="00842BD1"/>
    <w:rsid w:val="00842E9D"/>
    <w:rsid w:val="00866BB7"/>
    <w:rsid w:val="00870F42"/>
    <w:rsid w:val="00871DD1"/>
    <w:rsid w:val="00873446"/>
    <w:rsid w:val="0088123D"/>
    <w:rsid w:val="008846FF"/>
    <w:rsid w:val="00885B2D"/>
    <w:rsid w:val="00890359"/>
    <w:rsid w:val="008A0641"/>
    <w:rsid w:val="008A1AC8"/>
    <w:rsid w:val="008A1D9A"/>
    <w:rsid w:val="008A274D"/>
    <w:rsid w:val="008C16F6"/>
    <w:rsid w:val="008D31CB"/>
    <w:rsid w:val="008D386B"/>
    <w:rsid w:val="008D3B93"/>
    <w:rsid w:val="008E330F"/>
    <w:rsid w:val="00907F20"/>
    <w:rsid w:val="00911E79"/>
    <w:rsid w:val="0092032E"/>
    <w:rsid w:val="00921B72"/>
    <w:rsid w:val="00926855"/>
    <w:rsid w:val="009324A7"/>
    <w:rsid w:val="00934321"/>
    <w:rsid w:val="009408A5"/>
    <w:rsid w:val="00944BCC"/>
    <w:rsid w:val="00946496"/>
    <w:rsid w:val="00953230"/>
    <w:rsid w:val="00955B5D"/>
    <w:rsid w:val="00966268"/>
    <w:rsid w:val="00970DE6"/>
    <w:rsid w:val="00972DD6"/>
    <w:rsid w:val="009741AF"/>
    <w:rsid w:val="00976A86"/>
    <w:rsid w:val="00982944"/>
    <w:rsid w:val="00984EA4"/>
    <w:rsid w:val="009971FA"/>
    <w:rsid w:val="009A7381"/>
    <w:rsid w:val="009B028B"/>
    <w:rsid w:val="009B1C1D"/>
    <w:rsid w:val="009B2A90"/>
    <w:rsid w:val="009B6A08"/>
    <w:rsid w:val="009C071E"/>
    <w:rsid w:val="009C2A5E"/>
    <w:rsid w:val="009C75BE"/>
    <w:rsid w:val="009E03D3"/>
    <w:rsid w:val="009E3F35"/>
    <w:rsid w:val="009E6F2D"/>
    <w:rsid w:val="009E71A5"/>
    <w:rsid w:val="009E7754"/>
    <w:rsid w:val="009F233D"/>
    <w:rsid w:val="009F24D0"/>
    <w:rsid w:val="009F6D8D"/>
    <w:rsid w:val="00A03500"/>
    <w:rsid w:val="00A05EEC"/>
    <w:rsid w:val="00A07F4B"/>
    <w:rsid w:val="00A33535"/>
    <w:rsid w:val="00A3366B"/>
    <w:rsid w:val="00A375E6"/>
    <w:rsid w:val="00A40F68"/>
    <w:rsid w:val="00A51D54"/>
    <w:rsid w:val="00A52100"/>
    <w:rsid w:val="00A64FFC"/>
    <w:rsid w:val="00A67D19"/>
    <w:rsid w:val="00A903A5"/>
    <w:rsid w:val="00AA1CED"/>
    <w:rsid w:val="00AA2E03"/>
    <w:rsid w:val="00AA34FC"/>
    <w:rsid w:val="00AC4759"/>
    <w:rsid w:val="00AD11DA"/>
    <w:rsid w:val="00AD5613"/>
    <w:rsid w:val="00AF210D"/>
    <w:rsid w:val="00AF790A"/>
    <w:rsid w:val="00B02F59"/>
    <w:rsid w:val="00B04DD0"/>
    <w:rsid w:val="00B10AEC"/>
    <w:rsid w:val="00B169A0"/>
    <w:rsid w:val="00B20D73"/>
    <w:rsid w:val="00B276EB"/>
    <w:rsid w:val="00B40C96"/>
    <w:rsid w:val="00B50FBF"/>
    <w:rsid w:val="00B559BC"/>
    <w:rsid w:val="00B60077"/>
    <w:rsid w:val="00B607FB"/>
    <w:rsid w:val="00B8140B"/>
    <w:rsid w:val="00BA2EE8"/>
    <w:rsid w:val="00BC5F35"/>
    <w:rsid w:val="00BD3E5D"/>
    <w:rsid w:val="00BD4752"/>
    <w:rsid w:val="00BF422D"/>
    <w:rsid w:val="00C0504D"/>
    <w:rsid w:val="00C13610"/>
    <w:rsid w:val="00C21EAF"/>
    <w:rsid w:val="00C2767C"/>
    <w:rsid w:val="00C35BF7"/>
    <w:rsid w:val="00C362B7"/>
    <w:rsid w:val="00C42DCF"/>
    <w:rsid w:val="00C433D3"/>
    <w:rsid w:val="00C46F89"/>
    <w:rsid w:val="00C56685"/>
    <w:rsid w:val="00C77282"/>
    <w:rsid w:val="00C83A79"/>
    <w:rsid w:val="00C8592F"/>
    <w:rsid w:val="00C911A1"/>
    <w:rsid w:val="00C9536D"/>
    <w:rsid w:val="00C9702F"/>
    <w:rsid w:val="00CA309A"/>
    <w:rsid w:val="00CB0F84"/>
    <w:rsid w:val="00CC2C2C"/>
    <w:rsid w:val="00CE1016"/>
    <w:rsid w:val="00CE3729"/>
    <w:rsid w:val="00CE5719"/>
    <w:rsid w:val="00CE5F79"/>
    <w:rsid w:val="00CE6DB9"/>
    <w:rsid w:val="00CF0D30"/>
    <w:rsid w:val="00CF3F9F"/>
    <w:rsid w:val="00CF40A3"/>
    <w:rsid w:val="00CF72FE"/>
    <w:rsid w:val="00D11EB6"/>
    <w:rsid w:val="00D1234E"/>
    <w:rsid w:val="00D23B7A"/>
    <w:rsid w:val="00D255F4"/>
    <w:rsid w:val="00D47251"/>
    <w:rsid w:val="00D50CB0"/>
    <w:rsid w:val="00D524CC"/>
    <w:rsid w:val="00D5275E"/>
    <w:rsid w:val="00D6270C"/>
    <w:rsid w:val="00D63E32"/>
    <w:rsid w:val="00D70BE6"/>
    <w:rsid w:val="00D71F30"/>
    <w:rsid w:val="00D94B96"/>
    <w:rsid w:val="00DA3C0E"/>
    <w:rsid w:val="00DA3C47"/>
    <w:rsid w:val="00DB28E5"/>
    <w:rsid w:val="00DB356D"/>
    <w:rsid w:val="00DB7EBC"/>
    <w:rsid w:val="00DC2B65"/>
    <w:rsid w:val="00DD0471"/>
    <w:rsid w:val="00DE7538"/>
    <w:rsid w:val="00DF2C7E"/>
    <w:rsid w:val="00DF369A"/>
    <w:rsid w:val="00DF4B79"/>
    <w:rsid w:val="00E00DE7"/>
    <w:rsid w:val="00E02D14"/>
    <w:rsid w:val="00E3265B"/>
    <w:rsid w:val="00E43F7A"/>
    <w:rsid w:val="00E51CFC"/>
    <w:rsid w:val="00E818E2"/>
    <w:rsid w:val="00E84C79"/>
    <w:rsid w:val="00E95ACE"/>
    <w:rsid w:val="00E969EE"/>
    <w:rsid w:val="00EB0405"/>
    <w:rsid w:val="00EB3B04"/>
    <w:rsid w:val="00EC0BD3"/>
    <w:rsid w:val="00ED0695"/>
    <w:rsid w:val="00ED34D1"/>
    <w:rsid w:val="00ED5FD7"/>
    <w:rsid w:val="00EF6810"/>
    <w:rsid w:val="00F00F7C"/>
    <w:rsid w:val="00F13230"/>
    <w:rsid w:val="00F144E2"/>
    <w:rsid w:val="00F2215C"/>
    <w:rsid w:val="00F222FF"/>
    <w:rsid w:val="00F23401"/>
    <w:rsid w:val="00F23EA1"/>
    <w:rsid w:val="00F261B5"/>
    <w:rsid w:val="00F33F60"/>
    <w:rsid w:val="00F42601"/>
    <w:rsid w:val="00F4539E"/>
    <w:rsid w:val="00F45A7A"/>
    <w:rsid w:val="00F50AF7"/>
    <w:rsid w:val="00F62D5E"/>
    <w:rsid w:val="00F64DFC"/>
    <w:rsid w:val="00F731D1"/>
    <w:rsid w:val="00F77A5B"/>
    <w:rsid w:val="00F8014A"/>
    <w:rsid w:val="00F82949"/>
    <w:rsid w:val="00F8641C"/>
    <w:rsid w:val="00F940B5"/>
    <w:rsid w:val="00F9794B"/>
    <w:rsid w:val="00FA1FE4"/>
    <w:rsid w:val="00FB10C6"/>
    <w:rsid w:val="00FB1A27"/>
    <w:rsid w:val="00FB247D"/>
    <w:rsid w:val="00FB3631"/>
    <w:rsid w:val="00FB735F"/>
    <w:rsid w:val="00FC4C4A"/>
    <w:rsid w:val="00FE069F"/>
    <w:rsid w:val="00FF2CED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8E7BB-C6D8-4047-8B47-EE72C16A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67C4"/>
  </w:style>
  <w:style w:type="paragraph" w:styleId="Titolo2">
    <w:name w:val="heading 2"/>
    <w:basedOn w:val="Normale"/>
    <w:link w:val="Titolo2Carattere"/>
    <w:uiPriority w:val="9"/>
    <w:qFormat/>
    <w:rsid w:val="001E0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1C1D"/>
    <w:rPr>
      <w:color w:val="0000FF"/>
      <w:u w:val="single"/>
    </w:rPr>
  </w:style>
  <w:style w:type="paragraph" w:customStyle="1" w:styleId="comma">
    <w:name w:val="comma"/>
    <w:basedOn w:val="Normale"/>
    <w:rsid w:val="009B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2449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2449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24498"/>
    <w:rPr>
      <w:vertAlign w:val="superscript"/>
    </w:rPr>
  </w:style>
  <w:style w:type="paragraph" w:customStyle="1" w:styleId="Default">
    <w:name w:val="Default"/>
    <w:rsid w:val="0014082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testoart">
    <w:name w:val="testoart"/>
    <w:link w:val="testoartCarattere"/>
    <w:rsid w:val="000F1098"/>
    <w:pPr>
      <w:widowControl w:val="0"/>
      <w:autoSpaceDE w:val="0"/>
      <w:autoSpaceDN w:val="0"/>
      <w:adjustRightInd w:val="0"/>
      <w:spacing w:after="0" w:line="214" w:lineRule="exact"/>
      <w:ind w:firstLine="255"/>
      <w:jc w:val="both"/>
    </w:pPr>
    <w:rPr>
      <w:rFonts w:ascii="Times New Roman" w:eastAsia="Times New Roman" w:hAnsi="Times New Roman" w:cs="Times New Roman"/>
      <w:b/>
      <w:bCs/>
      <w:sz w:val="19"/>
      <w:szCs w:val="18"/>
      <w:lang w:eastAsia="it-IT"/>
    </w:rPr>
  </w:style>
  <w:style w:type="character" w:customStyle="1" w:styleId="testoartCarattere">
    <w:name w:val="testoart Carattere"/>
    <w:link w:val="testoart"/>
    <w:rsid w:val="000F1098"/>
    <w:rPr>
      <w:rFonts w:ascii="Times New Roman" w:eastAsia="Times New Roman" w:hAnsi="Times New Roman" w:cs="Times New Roman"/>
      <w:b/>
      <w:bCs/>
      <w:sz w:val="19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E01B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1E01B8"/>
    <w:rPr>
      <w:b/>
      <w:bCs/>
    </w:rPr>
  </w:style>
  <w:style w:type="character" w:customStyle="1" w:styleId="risultato">
    <w:name w:val="risultato"/>
    <w:basedOn w:val="Carpredefinitoparagrafo"/>
    <w:rsid w:val="007316BE"/>
  </w:style>
  <w:style w:type="paragraph" w:styleId="Intestazione">
    <w:name w:val="header"/>
    <w:basedOn w:val="Normale"/>
    <w:link w:val="IntestazioneCarattere"/>
    <w:uiPriority w:val="99"/>
    <w:unhideWhenUsed/>
    <w:rsid w:val="00ED5F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5FD7"/>
  </w:style>
  <w:style w:type="paragraph" w:styleId="Pidipagina">
    <w:name w:val="footer"/>
    <w:basedOn w:val="Normale"/>
    <w:link w:val="PidipaginaCarattere"/>
    <w:uiPriority w:val="99"/>
    <w:unhideWhenUsed/>
    <w:rsid w:val="00ED5F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5FD7"/>
  </w:style>
  <w:style w:type="character" w:styleId="Numeroriga">
    <w:name w:val="line number"/>
    <w:basedOn w:val="Carpredefinitoparagrafo"/>
    <w:uiPriority w:val="99"/>
    <w:semiHidden/>
    <w:unhideWhenUsed/>
    <w:rsid w:val="00112228"/>
  </w:style>
  <w:style w:type="character" w:styleId="Enfasicorsivo">
    <w:name w:val="Emphasis"/>
    <w:basedOn w:val="Carpredefinitoparagrafo"/>
    <w:uiPriority w:val="20"/>
    <w:qFormat/>
    <w:rsid w:val="00086E91"/>
    <w:rPr>
      <w:i/>
      <w:iCs/>
    </w:rPr>
  </w:style>
  <w:style w:type="character" w:customStyle="1" w:styleId="resultlisthighlightterm1">
    <w:name w:val="resultlisthighlightterm1"/>
    <w:basedOn w:val="Carpredefinitoparagrafo"/>
    <w:rsid w:val="00946496"/>
    <w:rPr>
      <w:b/>
      <w:bCs/>
      <w:color w:val="101D2E"/>
      <w:shd w:val="clear" w:color="auto" w:fill="FFFF00"/>
    </w:rPr>
  </w:style>
  <w:style w:type="paragraph" w:styleId="Nessunaspaziatura">
    <w:name w:val="No Spacing"/>
    <w:uiPriority w:val="1"/>
    <w:qFormat/>
    <w:rsid w:val="00400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43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0954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1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0320">
                                  <w:marLeft w:val="-315"/>
                                  <w:marRight w:val="-3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1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96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55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15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399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919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51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437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1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19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8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062964">
                                  <w:marLeft w:val="-315"/>
                                  <w:marRight w:val="-3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36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43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5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24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57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16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5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8129">
          <w:marLeft w:val="45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9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cardi.it/dizionario/3448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ocardi.it/dizionario/347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rocardi.it/dizionario/169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ocardi.it/dizionario/3447.htm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lgiureweb.it" TargetMode="External"/><Relationship Id="rId3" Type="http://schemas.openxmlformats.org/officeDocument/2006/relationships/hyperlink" Target="http://www.italgiure.giustizia.it/xway/application/nif/isapi/hc.dll?host=&amp;port=-1&amp;_sid=%7b411948C3%7d&amp;db=snciv&amp;verbo=query&amp;xverb=tit&amp;query=%5bnumero%20decisione%5d=26378%20AND%20%5banno%20decisione%5d=2019%20AND%20%5bsezione%5d=5&amp;user=&amp;uri=/xway/application/nif/isapi/hc.dll&amp;pwd=&amp;_hcf=&amp;_hca=&amp;cId=&amp;cIsPublic=&amp;cName=&amp;cquery=93335&amp;sele=&amp;selid=&amp;pos=&amp;lang=it" TargetMode="External"/><Relationship Id="rId7" Type="http://schemas.openxmlformats.org/officeDocument/2006/relationships/hyperlink" Target="http://www.italgiureweb.it" TargetMode="External"/><Relationship Id="rId2" Type="http://schemas.openxmlformats.org/officeDocument/2006/relationships/hyperlink" Target="https://www.brocardi.it/dizionario/5656.html" TargetMode="External"/><Relationship Id="rId1" Type="http://schemas.openxmlformats.org/officeDocument/2006/relationships/hyperlink" Target="https://www.brocardi.it/dizionario/1690.html" TargetMode="External"/><Relationship Id="rId6" Type="http://schemas.openxmlformats.org/officeDocument/2006/relationships/hyperlink" Target="http://www.italgiure.giustizia.it/xway/application/nif/isapi/hc.dll?host=&amp;port=-1&amp;_sid=%7b411948C3%7d&amp;db=snciv&amp;verbo=query&amp;xverb=tit&amp;query=%5bnumero%20decisione%5d=26378%20AND%20%5banno%20decisione%5d=2019%20AND%20%5bsezione%5d=5&amp;user=&amp;uri=/xway/application/nif/isapi/hc.dll&amp;pwd=&amp;_hcf=&amp;_hca=&amp;cId=&amp;cIsPublic=&amp;cName=&amp;cquery=93335&amp;sele=&amp;selid=&amp;pos=&amp;lang=it" TargetMode="External"/><Relationship Id="rId11" Type="http://schemas.openxmlformats.org/officeDocument/2006/relationships/hyperlink" Target="http://www.italgiure.giustizia.it/xway/application/nif/isapi/hc.dll?host=&amp;port=-1&amp;_sid=%7b411948C3%7d&amp;db=snciv&amp;verbo=query&amp;xverb=tit&amp;query=%5bnumero%20decisione%5d=26378%20AND%20%5banno%20decisione%5d=2019%20AND%20%5bsezione%5d=5&amp;user=&amp;uri=/xway/application/nif/isapi/hc.dll&amp;pwd=&amp;_hcf=&amp;_hca=&amp;cId=&amp;cIsPublic=&amp;cName=&amp;cquery=93335&amp;sele=&amp;selid=&amp;pos=&amp;lang=it" TargetMode="External"/><Relationship Id="rId5" Type="http://schemas.openxmlformats.org/officeDocument/2006/relationships/hyperlink" Target="http://www.italgiureweb.it" TargetMode="External"/><Relationship Id="rId10" Type="http://schemas.openxmlformats.org/officeDocument/2006/relationships/hyperlink" Target="http://8500" TargetMode="External"/><Relationship Id="rId4" Type="http://schemas.openxmlformats.org/officeDocument/2006/relationships/hyperlink" Target="http://www.italgiure.giustizia.it/xway/application/nif/isapi/hc.dll?host=&amp;port=-1&amp;_sid=%7b411948C3%7d&amp;db=snciv&amp;verbo=query&amp;xverb=tit&amp;query=%5bnumero%20decisione%5d=26378%20AND%20%5banno%20decisione%5d=2019%20AND%20%5bsezione%5d=5&amp;user=&amp;uri=/xway/application/nif/isapi/hc.dll&amp;pwd=&amp;_hcf=&amp;_hca=&amp;cId=&amp;cIsPublic=&amp;cName=&amp;cquery=93335&amp;sele=&amp;selid=&amp;pos=&amp;lang=it" TargetMode="External"/><Relationship Id="rId9" Type="http://schemas.openxmlformats.org/officeDocument/2006/relationships/hyperlink" Target="http://www.italgiurewe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8B400-0613-4E61-97F8-A5AEF4DE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9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DURANTE Nicola</dc:creator>
  <cp:keywords/>
  <dc:description/>
  <cp:lastModifiedBy>DURANTE Nicola</cp:lastModifiedBy>
  <cp:revision>87</cp:revision>
  <dcterms:created xsi:type="dcterms:W3CDTF">2021-04-10T14:15:00Z</dcterms:created>
  <dcterms:modified xsi:type="dcterms:W3CDTF">2021-04-28T14:23:00Z</dcterms:modified>
</cp:coreProperties>
</file>