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DE" w:rsidRPr="00295363" w:rsidRDefault="00F805DE" w:rsidP="00BE4FF1">
      <w:pPr>
        <w:spacing w:line="480" w:lineRule="auto"/>
        <w:rPr>
          <w:rFonts w:ascii="Garamond" w:hAnsi="Garamond"/>
          <w:bCs/>
          <w:iCs/>
          <w:sz w:val="32"/>
          <w:szCs w:val="32"/>
        </w:rPr>
      </w:pPr>
      <w:r w:rsidRPr="00295363">
        <w:rPr>
          <w:rFonts w:ascii="Garamond" w:hAnsi="Garamond"/>
          <w:bCs/>
          <w:iCs/>
          <w:sz w:val="36"/>
          <w:szCs w:val="36"/>
        </w:rPr>
        <w:t xml:space="preserve">La responsabilità </w:t>
      </w:r>
      <w:proofErr w:type="spellStart"/>
      <w:r w:rsidRPr="00295363">
        <w:rPr>
          <w:rFonts w:ascii="Garamond" w:hAnsi="Garamond"/>
          <w:bCs/>
          <w:iCs/>
          <w:sz w:val="36"/>
          <w:szCs w:val="36"/>
        </w:rPr>
        <w:t>pre</w:t>
      </w:r>
      <w:proofErr w:type="spellEnd"/>
      <w:r w:rsidRPr="00295363">
        <w:rPr>
          <w:rFonts w:ascii="Garamond" w:hAnsi="Garamond"/>
          <w:bCs/>
          <w:iCs/>
          <w:sz w:val="36"/>
          <w:szCs w:val="36"/>
        </w:rPr>
        <w:t>-contrattuale della P</w:t>
      </w:r>
      <w:r w:rsidR="00F60C85" w:rsidRPr="00295363">
        <w:rPr>
          <w:rFonts w:ascii="Garamond" w:hAnsi="Garamond"/>
          <w:bCs/>
          <w:iCs/>
          <w:sz w:val="36"/>
          <w:szCs w:val="36"/>
        </w:rPr>
        <w:t xml:space="preserve">ubblica </w:t>
      </w:r>
      <w:r w:rsidR="0001495F" w:rsidRPr="00295363">
        <w:rPr>
          <w:rFonts w:ascii="Garamond" w:hAnsi="Garamond"/>
          <w:bCs/>
          <w:iCs/>
          <w:sz w:val="36"/>
          <w:szCs w:val="36"/>
        </w:rPr>
        <w:t>A</w:t>
      </w:r>
      <w:r w:rsidR="00F60C85" w:rsidRPr="00295363">
        <w:rPr>
          <w:rFonts w:ascii="Garamond" w:hAnsi="Garamond"/>
          <w:bCs/>
          <w:iCs/>
          <w:sz w:val="36"/>
          <w:szCs w:val="36"/>
        </w:rPr>
        <w:t>mministrazione</w:t>
      </w:r>
      <w:r w:rsidRPr="00295363">
        <w:rPr>
          <w:rFonts w:ascii="Garamond" w:hAnsi="Garamond"/>
          <w:bCs/>
          <w:iCs/>
          <w:sz w:val="36"/>
          <w:szCs w:val="36"/>
        </w:rPr>
        <w:t xml:space="preserve"> tra </w:t>
      </w:r>
      <w:r w:rsidR="004D10EB" w:rsidRPr="00295363">
        <w:rPr>
          <w:rFonts w:ascii="Garamond" w:hAnsi="Garamond"/>
          <w:bCs/>
          <w:iCs/>
          <w:sz w:val="36"/>
          <w:szCs w:val="36"/>
        </w:rPr>
        <w:t xml:space="preserve">tutela dell’interesse </w:t>
      </w:r>
      <w:r w:rsidRPr="00295363">
        <w:rPr>
          <w:rFonts w:ascii="Garamond" w:hAnsi="Garamond"/>
          <w:bCs/>
          <w:iCs/>
          <w:sz w:val="36"/>
          <w:szCs w:val="36"/>
        </w:rPr>
        <w:t xml:space="preserve">pubblico </w:t>
      </w:r>
      <w:r w:rsidR="004D10EB" w:rsidRPr="00295363">
        <w:rPr>
          <w:rFonts w:ascii="Garamond" w:hAnsi="Garamond"/>
          <w:bCs/>
          <w:iCs/>
          <w:sz w:val="36"/>
          <w:szCs w:val="36"/>
        </w:rPr>
        <w:t>e privato</w:t>
      </w:r>
      <w:r w:rsidR="00A605DD" w:rsidRPr="00A605DD">
        <w:rPr>
          <w:rStyle w:val="Rimandonotaapidipagina"/>
          <w:rFonts w:ascii="Garamond" w:hAnsi="Garamond"/>
          <w:bCs/>
          <w:iCs/>
          <w:sz w:val="36"/>
          <w:szCs w:val="36"/>
        </w:rPr>
        <w:footnoteReference w:customMarkFollows="1" w:id="1"/>
        <w:sym w:font="Symbol" w:char="F02A"/>
      </w:r>
    </w:p>
    <w:p w:rsidR="00C25F40" w:rsidRPr="00295363" w:rsidRDefault="00C25F40" w:rsidP="00C25F40">
      <w:pPr>
        <w:spacing w:line="480" w:lineRule="auto"/>
        <w:rPr>
          <w:rFonts w:ascii="Garamond" w:hAnsi="Garamond"/>
          <w:bCs/>
          <w:iCs/>
          <w:sz w:val="28"/>
          <w:szCs w:val="28"/>
        </w:rPr>
      </w:pPr>
    </w:p>
    <w:p w:rsidR="00F805DE" w:rsidRDefault="00295363" w:rsidP="00F805DE">
      <w:pPr>
        <w:spacing w:line="480" w:lineRule="auto"/>
        <w:rPr>
          <w:rFonts w:ascii="Garamond" w:hAnsi="Garamond"/>
          <w:bCs/>
          <w:iCs/>
          <w:sz w:val="24"/>
          <w:szCs w:val="24"/>
        </w:rPr>
      </w:pPr>
      <w:r w:rsidRPr="00295363">
        <w:rPr>
          <w:rFonts w:ascii="Garamond" w:hAnsi="Garamond"/>
          <w:b/>
          <w:bCs/>
          <w:iCs/>
          <w:sz w:val="24"/>
          <w:szCs w:val="24"/>
          <w:u w:val="single"/>
        </w:rPr>
        <w:t>Sommario</w:t>
      </w:r>
      <w:r w:rsidRPr="00295363">
        <w:rPr>
          <w:rFonts w:ascii="Garamond" w:hAnsi="Garamond"/>
          <w:b/>
          <w:bCs/>
          <w:iCs/>
          <w:sz w:val="24"/>
          <w:szCs w:val="24"/>
        </w:rPr>
        <w:t xml:space="preserve">: </w:t>
      </w:r>
      <w:r w:rsidRPr="00207FCB">
        <w:rPr>
          <w:rFonts w:ascii="Garamond" w:hAnsi="Garamond"/>
          <w:bCs/>
          <w:iCs/>
          <w:sz w:val="24"/>
          <w:szCs w:val="24"/>
        </w:rPr>
        <w:t>1</w:t>
      </w:r>
      <w:r w:rsidRPr="00295363">
        <w:rPr>
          <w:rFonts w:ascii="Garamond" w:hAnsi="Garamond"/>
          <w:b/>
          <w:bCs/>
          <w:iCs/>
          <w:sz w:val="24"/>
          <w:szCs w:val="24"/>
        </w:rPr>
        <w:t>.</w:t>
      </w:r>
      <w:r w:rsidR="009B5903">
        <w:rPr>
          <w:rFonts w:ascii="Garamond" w:hAnsi="Garamond"/>
          <w:b/>
          <w:bCs/>
          <w:iCs/>
          <w:sz w:val="24"/>
          <w:szCs w:val="24"/>
        </w:rPr>
        <w:t xml:space="preserve"> </w:t>
      </w:r>
      <w:r w:rsidR="005B6A7D">
        <w:rPr>
          <w:rFonts w:ascii="Garamond" w:hAnsi="Garamond"/>
          <w:bCs/>
          <w:iCs/>
          <w:sz w:val="24"/>
          <w:szCs w:val="24"/>
        </w:rPr>
        <w:t>R</w:t>
      </w:r>
      <w:r>
        <w:rPr>
          <w:rFonts w:ascii="Garamond" w:hAnsi="Garamond"/>
          <w:bCs/>
          <w:iCs/>
          <w:sz w:val="24"/>
          <w:szCs w:val="24"/>
        </w:rPr>
        <w:t>egole di “validità” e regole di “</w:t>
      </w:r>
      <w:r w:rsidR="005B6A7D">
        <w:rPr>
          <w:rFonts w:ascii="Garamond" w:hAnsi="Garamond"/>
          <w:bCs/>
          <w:iCs/>
          <w:sz w:val="24"/>
          <w:szCs w:val="24"/>
        </w:rPr>
        <w:t>responsabilità</w:t>
      </w:r>
      <w:r>
        <w:rPr>
          <w:rFonts w:ascii="Garamond" w:hAnsi="Garamond"/>
          <w:bCs/>
          <w:iCs/>
          <w:sz w:val="24"/>
          <w:szCs w:val="24"/>
        </w:rPr>
        <w:t xml:space="preserve">”. </w:t>
      </w:r>
      <w:r w:rsidRPr="007775CA">
        <w:rPr>
          <w:rFonts w:ascii="Garamond" w:hAnsi="Garamond"/>
          <w:bCs/>
          <w:iCs/>
          <w:sz w:val="24"/>
          <w:szCs w:val="24"/>
        </w:rPr>
        <w:t>2</w:t>
      </w:r>
      <w:r>
        <w:rPr>
          <w:rFonts w:ascii="Garamond" w:hAnsi="Garamond"/>
          <w:b/>
          <w:bCs/>
          <w:iCs/>
          <w:sz w:val="24"/>
          <w:szCs w:val="24"/>
        </w:rPr>
        <w:t>.</w:t>
      </w:r>
      <w:r>
        <w:rPr>
          <w:rFonts w:ascii="Garamond" w:hAnsi="Garamond"/>
          <w:bCs/>
          <w:iCs/>
          <w:sz w:val="24"/>
          <w:szCs w:val="24"/>
        </w:rPr>
        <w:t xml:space="preserve"> La responsabilità </w:t>
      </w:r>
      <w:r w:rsidR="00A87486">
        <w:rPr>
          <w:rFonts w:ascii="Garamond" w:hAnsi="Garamond"/>
          <w:bCs/>
          <w:iCs/>
          <w:sz w:val="24"/>
          <w:szCs w:val="24"/>
        </w:rPr>
        <w:t>extra</w:t>
      </w:r>
      <w:r>
        <w:rPr>
          <w:rFonts w:ascii="Garamond" w:hAnsi="Garamond"/>
          <w:bCs/>
          <w:iCs/>
          <w:sz w:val="24"/>
          <w:szCs w:val="24"/>
        </w:rPr>
        <w:t xml:space="preserve">contrattuale </w:t>
      </w:r>
      <w:r w:rsidR="00A87486">
        <w:rPr>
          <w:rFonts w:ascii="Garamond" w:hAnsi="Garamond"/>
          <w:bCs/>
          <w:iCs/>
          <w:sz w:val="24"/>
          <w:szCs w:val="24"/>
        </w:rPr>
        <w:t xml:space="preserve">da lesione di interessi legittimi e </w:t>
      </w:r>
      <w:r>
        <w:rPr>
          <w:rFonts w:ascii="Garamond" w:hAnsi="Garamond"/>
          <w:bCs/>
          <w:iCs/>
          <w:sz w:val="24"/>
          <w:szCs w:val="24"/>
        </w:rPr>
        <w:t>contrattuale</w:t>
      </w:r>
      <w:r w:rsidR="006C58C3">
        <w:rPr>
          <w:rFonts w:ascii="Garamond" w:hAnsi="Garamond"/>
          <w:bCs/>
          <w:iCs/>
          <w:sz w:val="24"/>
          <w:szCs w:val="24"/>
        </w:rPr>
        <w:t xml:space="preserve"> </w:t>
      </w:r>
      <w:r w:rsidR="00A87486">
        <w:rPr>
          <w:rFonts w:ascii="Garamond" w:hAnsi="Garamond"/>
          <w:bCs/>
          <w:iCs/>
          <w:sz w:val="24"/>
          <w:szCs w:val="24"/>
        </w:rPr>
        <w:t xml:space="preserve">per lesione dello affidamento. 3. La responsabilità da affidamento. 4. Le ordinanze </w:t>
      </w:r>
      <w:r w:rsidR="00AD402A">
        <w:rPr>
          <w:rFonts w:ascii="Garamond" w:hAnsi="Garamond"/>
          <w:bCs/>
          <w:iCs/>
          <w:sz w:val="24"/>
          <w:szCs w:val="24"/>
        </w:rPr>
        <w:t xml:space="preserve">del 2011 e </w:t>
      </w:r>
      <w:r w:rsidR="00F61211">
        <w:rPr>
          <w:rFonts w:ascii="Garamond" w:hAnsi="Garamond"/>
          <w:bCs/>
          <w:iCs/>
          <w:sz w:val="24"/>
          <w:szCs w:val="24"/>
        </w:rPr>
        <w:t>del 2020</w:t>
      </w:r>
      <w:r w:rsidR="00FE6B46">
        <w:rPr>
          <w:rFonts w:ascii="Garamond" w:hAnsi="Garamond"/>
          <w:bCs/>
          <w:iCs/>
          <w:sz w:val="24"/>
          <w:szCs w:val="24"/>
        </w:rPr>
        <w:t xml:space="preserve"> </w:t>
      </w:r>
      <w:r w:rsidR="00A87486">
        <w:rPr>
          <w:rFonts w:ascii="Garamond" w:hAnsi="Garamond"/>
          <w:bCs/>
          <w:iCs/>
          <w:sz w:val="24"/>
          <w:szCs w:val="24"/>
        </w:rPr>
        <w:t xml:space="preserve">della </w:t>
      </w:r>
      <w:r w:rsidR="00AD402A">
        <w:rPr>
          <w:rFonts w:ascii="Garamond" w:hAnsi="Garamond"/>
          <w:bCs/>
          <w:iCs/>
          <w:sz w:val="24"/>
          <w:szCs w:val="24"/>
        </w:rPr>
        <w:t xml:space="preserve">Corte di </w:t>
      </w:r>
      <w:r w:rsidR="00A87486">
        <w:rPr>
          <w:rFonts w:ascii="Garamond" w:hAnsi="Garamond"/>
          <w:bCs/>
          <w:iCs/>
          <w:sz w:val="24"/>
          <w:szCs w:val="24"/>
        </w:rPr>
        <w:t>Cassazione. 5. La natura unitaria della responsabilità come responsabilità da rapporto</w:t>
      </w:r>
      <w:r w:rsidR="00EF377D">
        <w:rPr>
          <w:rFonts w:ascii="Garamond" w:hAnsi="Garamond"/>
          <w:bCs/>
          <w:iCs/>
          <w:sz w:val="24"/>
          <w:szCs w:val="24"/>
        </w:rPr>
        <w:t>,</w:t>
      </w:r>
      <w:r w:rsidR="00A87486">
        <w:rPr>
          <w:rFonts w:ascii="Garamond" w:hAnsi="Garamond"/>
          <w:bCs/>
          <w:iCs/>
          <w:sz w:val="24"/>
          <w:szCs w:val="24"/>
        </w:rPr>
        <w:t xml:space="preserve"> ingenerato dal contatto sociale.</w:t>
      </w:r>
    </w:p>
    <w:p w:rsidR="00295363" w:rsidRPr="00295363" w:rsidRDefault="00295363" w:rsidP="00F805DE">
      <w:pPr>
        <w:spacing w:line="480" w:lineRule="auto"/>
        <w:rPr>
          <w:rFonts w:ascii="Garamond" w:hAnsi="Garamond"/>
          <w:bCs/>
          <w:iCs/>
          <w:sz w:val="24"/>
          <w:szCs w:val="24"/>
        </w:rPr>
      </w:pPr>
    </w:p>
    <w:p w:rsidR="00073691" w:rsidRPr="00073691" w:rsidRDefault="005B6A7D" w:rsidP="00073691">
      <w:pPr>
        <w:pStyle w:val="Paragrafoelenco"/>
        <w:numPr>
          <w:ilvl w:val="0"/>
          <w:numId w:val="9"/>
        </w:numPr>
        <w:rPr>
          <w:rFonts w:ascii="Garamond" w:hAnsi="Garamond"/>
          <w:sz w:val="24"/>
          <w:szCs w:val="24"/>
        </w:rPr>
      </w:pPr>
      <w:r>
        <w:rPr>
          <w:rFonts w:ascii="Garamond" w:hAnsi="Garamond"/>
          <w:b/>
          <w:bCs/>
          <w:iCs/>
          <w:sz w:val="24"/>
          <w:szCs w:val="24"/>
        </w:rPr>
        <w:t>R</w:t>
      </w:r>
      <w:r w:rsidR="00C06E2B" w:rsidRPr="00073691">
        <w:rPr>
          <w:rFonts w:ascii="Garamond" w:hAnsi="Garamond"/>
          <w:b/>
          <w:bCs/>
          <w:iCs/>
          <w:sz w:val="24"/>
          <w:szCs w:val="24"/>
        </w:rPr>
        <w:t>egole di “validità” e regole di “</w:t>
      </w:r>
      <w:r>
        <w:rPr>
          <w:rFonts w:ascii="Garamond" w:hAnsi="Garamond"/>
          <w:b/>
          <w:bCs/>
          <w:iCs/>
          <w:sz w:val="24"/>
          <w:szCs w:val="24"/>
        </w:rPr>
        <w:t>responsabilità</w:t>
      </w:r>
      <w:r w:rsidR="00DD0A08">
        <w:rPr>
          <w:rFonts w:ascii="Garamond" w:hAnsi="Garamond"/>
          <w:b/>
          <w:bCs/>
          <w:iCs/>
          <w:sz w:val="24"/>
          <w:szCs w:val="24"/>
        </w:rPr>
        <w:t>”</w:t>
      </w:r>
      <w:r w:rsidR="00C06E2B" w:rsidRPr="00073691">
        <w:rPr>
          <w:rFonts w:ascii="Garamond" w:hAnsi="Garamond"/>
          <w:sz w:val="24"/>
          <w:szCs w:val="24"/>
        </w:rPr>
        <w:t xml:space="preserve">. </w:t>
      </w:r>
    </w:p>
    <w:p w:rsidR="00F805DE" w:rsidRPr="003A3E49" w:rsidRDefault="004818D5" w:rsidP="003A3E49">
      <w:pPr>
        <w:rPr>
          <w:rFonts w:ascii="Garamond" w:hAnsi="Garamond"/>
          <w:sz w:val="24"/>
          <w:szCs w:val="24"/>
        </w:rPr>
      </w:pPr>
      <w:r w:rsidRPr="003A3E49">
        <w:rPr>
          <w:rFonts w:ascii="Garamond" w:hAnsi="Garamond"/>
          <w:sz w:val="24"/>
          <w:szCs w:val="24"/>
        </w:rPr>
        <w:t>Va osservato</w:t>
      </w:r>
      <w:r w:rsidR="003A3E49">
        <w:rPr>
          <w:rFonts w:ascii="Garamond" w:hAnsi="Garamond"/>
          <w:sz w:val="24"/>
          <w:szCs w:val="24"/>
        </w:rPr>
        <w:t>,</w:t>
      </w:r>
      <w:r w:rsidRPr="003A3E49">
        <w:rPr>
          <w:rFonts w:ascii="Garamond" w:hAnsi="Garamond"/>
          <w:sz w:val="24"/>
          <w:szCs w:val="24"/>
        </w:rPr>
        <w:t xml:space="preserve"> in primo luogo</w:t>
      </w:r>
      <w:r w:rsidR="003A3E49">
        <w:rPr>
          <w:rFonts w:ascii="Garamond" w:hAnsi="Garamond"/>
          <w:sz w:val="24"/>
          <w:szCs w:val="24"/>
        </w:rPr>
        <w:t>,</w:t>
      </w:r>
      <w:r w:rsidR="005B6A7D" w:rsidRPr="003A3E49">
        <w:rPr>
          <w:rFonts w:ascii="Garamond" w:hAnsi="Garamond"/>
          <w:sz w:val="24"/>
          <w:szCs w:val="24"/>
        </w:rPr>
        <w:t xml:space="preserve"> che n</w:t>
      </w:r>
      <w:r w:rsidR="00F805DE" w:rsidRPr="003A3E49">
        <w:rPr>
          <w:rFonts w:ascii="Garamond" w:hAnsi="Garamond"/>
          <w:sz w:val="24"/>
          <w:szCs w:val="24"/>
        </w:rPr>
        <w:t xml:space="preserve">on è stato agevole </w:t>
      </w:r>
      <w:r w:rsidRPr="003A3E49">
        <w:rPr>
          <w:rFonts w:ascii="Garamond" w:hAnsi="Garamond"/>
          <w:sz w:val="24"/>
          <w:szCs w:val="24"/>
        </w:rPr>
        <w:t xml:space="preserve">affermare </w:t>
      </w:r>
      <w:r w:rsidR="00F805DE" w:rsidRPr="003A3E49">
        <w:rPr>
          <w:rFonts w:ascii="Garamond" w:hAnsi="Garamond"/>
          <w:sz w:val="24"/>
          <w:szCs w:val="24"/>
        </w:rPr>
        <w:t>che, anche per la Pubblica Amministrazione</w:t>
      </w:r>
      <w:r w:rsidR="00AD402A">
        <w:rPr>
          <w:rFonts w:ascii="Garamond" w:hAnsi="Garamond"/>
          <w:sz w:val="24"/>
          <w:szCs w:val="24"/>
        </w:rPr>
        <w:t xml:space="preserve"> (</w:t>
      </w:r>
      <w:r w:rsidR="003A3E49">
        <w:rPr>
          <w:rFonts w:ascii="Garamond" w:hAnsi="Garamond"/>
          <w:sz w:val="24"/>
          <w:szCs w:val="24"/>
        </w:rPr>
        <w:t>P.A.)</w:t>
      </w:r>
      <w:r w:rsidR="00F805DE" w:rsidRPr="003A3E49">
        <w:rPr>
          <w:rFonts w:ascii="Garamond" w:hAnsi="Garamond"/>
          <w:sz w:val="24"/>
          <w:szCs w:val="24"/>
        </w:rPr>
        <w:t xml:space="preserve">, la quale, nell’esercizio </w:t>
      </w:r>
      <w:r w:rsidR="00595B32" w:rsidRPr="003A3E49">
        <w:rPr>
          <w:rFonts w:ascii="Garamond" w:hAnsi="Garamond"/>
          <w:sz w:val="24"/>
          <w:szCs w:val="24"/>
        </w:rPr>
        <w:t>del suo operato</w:t>
      </w:r>
      <w:r w:rsidR="00F805DE" w:rsidRPr="003A3E49">
        <w:rPr>
          <w:rFonts w:ascii="Garamond" w:hAnsi="Garamond"/>
          <w:sz w:val="24"/>
          <w:szCs w:val="24"/>
        </w:rPr>
        <w:t>, esercita un pubblico potere,</w:t>
      </w:r>
      <w:r w:rsidR="005B6A7D" w:rsidRPr="003A3E49">
        <w:rPr>
          <w:rFonts w:ascii="Garamond" w:hAnsi="Garamond"/>
          <w:sz w:val="24"/>
          <w:szCs w:val="24"/>
        </w:rPr>
        <w:t xml:space="preserve"> ossia un potere di supremazia, soggetto solo ai limiti di legge posti nel pubblico interesse,</w:t>
      </w:r>
      <w:r w:rsidR="00F805DE" w:rsidRPr="003A3E49">
        <w:rPr>
          <w:rFonts w:ascii="Garamond" w:hAnsi="Garamond"/>
          <w:sz w:val="24"/>
          <w:szCs w:val="24"/>
        </w:rPr>
        <w:t xml:space="preserve"> possano avere rilevanza ad altro fine anche</w:t>
      </w:r>
      <w:r w:rsidR="003A3E49">
        <w:rPr>
          <w:rFonts w:ascii="Garamond" w:hAnsi="Garamond"/>
          <w:sz w:val="24"/>
          <w:szCs w:val="24"/>
        </w:rPr>
        <w:t xml:space="preserve"> le</w:t>
      </w:r>
      <w:r w:rsidR="006C58C3">
        <w:rPr>
          <w:rFonts w:ascii="Garamond" w:hAnsi="Garamond"/>
          <w:sz w:val="24"/>
          <w:szCs w:val="24"/>
        </w:rPr>
        <w:t xml:space="preserve"> </w:t>
      </w:r>
      <w:r w:rsidRPr="003A3E49">
        <w:rPr>
          <w:rFonts w:ascii="Garamond" w:hAnsi="Garamond"/>
          <w:sz w:val="24"/>
          <w:szCs w:val="24"/>
        </w:rPr>
        <w:t>c.d.</w:t>
      </w:r>
      <w:r w:rsidR="00F805DE" w:rsidRPr="003A3E49">
        <w:rPr>
          <w:rFonts w:ascii="Garamond" w:hAnsi="Garamond"/>
          <w:sz w:val="24"/>
          <w:szCs w:val="24"/>
        </w:rPr>
        <w:t xml:space="preserve"> regole di </w:t>
      </w:r>
      <w:r w:rsidR="005B6A7D" w:rsidRPr="003A3E49">
        <w:rPr>
          <w:rFonts w:ascii="Garamond" w:hAnsi="Garamond"/>
          <w:sz w:val="24"/>
          <w:szCs w:val="24"/>
        </w:rPr>
        <w:t xml:space="preserve">responsabilità </w:t>
      </w:r>
      <w:r w:rsidR="00F805DE" w:rsidRPr="003A3E49">
        <w:rPr>
          <w:rFonts w:ascii="Garamond" w:hAnsi="Garamond"/>
          <w:sz w:val="24"/>
          <w:szCs w:val="24"/>
        </w:rPr>
        <w:t xml:space="preserve">e cioè </w:t>
      </w:r>
      <w:r w:rsidR="005B6A7D" w:rsidRPr="003A3E49">
        <w:rPr>
          <w:rFonts w:ascii="Garamond" w:hAnsi="Garamond"/>
          <w:sz w:val="24"/>
          <w:szCs w:val="24"/>
        </w:rPr>
        <w:t xml:space="preserve">regole </w:t>
      </w:r>
      <w:r w:rsidR="00F805DE" w:rsidRPr="003A3E49">
        <w:rPr>
          <w:rFonts w:ascii="Garamond" w:hAnsi="Garamond"/>
          <w:sz w:val="24"/>
          <w:szCs w:val="24"/>
        </w:rPr>
        <w:t>che non si ricollegano</w:t>
      </w:r>
      <w:r w:rsidRPr="003A3E49">
        <w:rPr>
          <w:rFonts w:ascii="Garamond" w:hAnsi="Garamond"/>
          <w:sz w:val="24"/>
          <w:szCs w:val="24"/>
        </w:rPr>
        <w:t>,</w:t>
      </w:r>
      <w:r w:rsidR="00F805DE" w:rsidRPr="003A3E49">
        <w:rPr>
          <w:rFonts w:ascii="Garamond" w:hAnsi="Garamond"/>
          <w:sz w:val="24"/>
          <w:szCs w:val="24"/>
        </w:rPr>
        <w:t xml:space="preserve"> né in via diretta che indiretta</w:t>
      </w:r>
      <w:r w:rsidRPr="003A3E49">
        <w:rPr>
          <w:rFonts w:ascii="Garamond" w:hAnsi="Garamond"/>
          <w:sz w:val="24"/>
          <w:szCs w:val="24"/>
        </w:rPr>
        <w:t>,</w:t>
      </w:r>
      <w:r w:rsidR="00F805DE" w:rsidRPr="003A3E49">
        <w:rPr>
          <w:rFonts w:ascii="Garamond" w:hAnsi="Garamond"/>
          <w:sz w:val="24"/>
          <w:szCs w:val="24"/>
        </w:rPr>
        <w:t xml:space="preserve"> all’esercizio del pubblico potere</w:t>
      </w:r>
      <w:r w:rsidR="00021CAD" w:rsidRPr="003A3E49">
        <w:rPr>
          <w:rFonts w:ascii="Garamond" w:hAnsi="Garamond"/>
          <w:sz w:val="24"/>
          <w:szCs w:val="24"/>
        </w:rPr>
        <w:t xml:space="preserve"> ma, più in generale, a </w:t>
      </w:r>
      <w:r w:rsidR="005B6A7D" w:rsidRPr="003A3E49">
        <w:rPr>
          <w:rFonts w:ascii="Garamond" w:hAnsi="Garamond"/>
          <w:sz w:val="24"/>
          <w:szCs w:val="24"/>
        </w:rPr>
        <w:t>più semplici comportamenti o condotte, che sono propri di ogni rapporto che può instaurarsi tra soggetti</w:t>
      </w:r>
      <w:r w:rsidR="00021CAD" w:rsidRPr="003A3E49">
        <w:rPr>
          <w:rFonts w:ascii="Garamond" w:hAnsi="Garamond"/>
          <w:sz w:val="24"/>
          <w:szCs w:val="24"/>
        </w:rPr>
        <w:t>.</w:t>
      </w:r>
    </w:p>
    <w:p w:rsidR="005B6A7D" w:rsidRDefault="005B6A7D" w:rsidP="003A3E49">
      <w:pPr>
        <w:rPr>
          <w:rFonts w:ascii="Garamond" w:hAnsi="Garamond"/>
          <w:sz w:val="24"/>
          <w:szCs w:val="24"/>
        </w:rPr>
      </w:pPr>
      <w:r>
        <w:rPr>
          <w:rFonts w:ascii="Garamond" w:hAnsi="Garamond"/>
          <w:sz w:val="24"/>
          <w:szCs w:val="24"/>
        </w:rPr>
        <w:t xml:space="preserve">La distinzione </w:t>
      </w:r>
      <w:r w:rsidRPr="005B6A7D">
        <w:rPr>
          <w:rFonts w:ascii="Garamond" w:hAnsi="Garamond"/>
          <w:b/>
          <w:bCs/>
          <w:i/>
          <w:iCs/>
          <w:sz w:val="24"/>
          <w:szCs w:val="24"/>
        </w:rPr>
        <w:t>tra regole di validità</w:t>
      </w:r>
      <w:r>
        <w:rPr>
          <w:rFonts w:ascii="Garamond" w:hAnsi="Garamond"/>
          <w:sz w:val="24"/>
          <w:szCs w:val="24"/>
        </w:rPr>
        <w:t xml:space="preserve"> e </w:t>
      </w:r>
      <w:r w:rsidRPr="005B6A7D">
        <w:rPr>
          <w:rFonts w:ascii="Garamond" w:hAnsi="Garamond"/>
          <w:b/>
          <w:bCs/>
          <w:i/>
          <w:iCs/>
          <w:sz w:val="24"/>
          <w:szCs w:val="24"/>
        </w:rPr>
        <w:t>regole di responsabilità</w:t>
      </w:r>
      <w:r>
        <w:rPr>
          <w:rFonts w:ascii="Garamond" w:hAnsi="Garamond"/>
          <w:sz w:val="24"/>
          <w:szCs w:val="24"/>
        </w:rPr>
        <w:t xml:space="preserve"> ha ori</w:t>
      </w:r>
      <w:r w:rsidR="003A3E49">
        <w:rPr>
          <w:rFonts w:ascii="Garamond" w:hAnsi="Garamond"/>
          <w:sz w:val="24"/>
          <w:szCs w:val="24"/>
        </w:rPr>
        <w:t xml:space="preserve">gine civilistica e </w:t>
      </w:r>
      <w:r>
        <w:rPr>
          <w:rFonts w:ascii="Garamond" w:hAnsi="Garamond"/>
          <w:sz w:val="24"/>
          <w:szCs w:val="24"/>
        </w:rPr>
        <w:t>ha avuto l’autorevole avallo della Corte di Cassazione (</w:t>
      </w:r>
      <w:r w:rsidR="00D153CC">
        <w:rPr>
          <w:rStyle w:val="Rimandonotaapidipagina"/>
          <w:rFonts w:ascii="Garamond" w:hAnsi="Garamond"/>
          <w:sz w:val="24"/>
          <w:szCs w:val="24"/>
        </w:rPr>
        <w:footnoteReference w:id="2"/>
      </w:r>
      <w:r>
        <w:rPr>
          <w:rFonts w:ascii="Garamond" w:hAnsi="Garamond"/>
          <w:sz w:val="24"/>
          <w:szCs w:val="24"/>
        </w:rPr>
        <w:t>).</w:t>
      </w:r>
    </w:p>
    <w:p w:rsidR="005B6A7D" w:rsidRDefault="005B6A7D" w:rsidP="003A3E49">
      <w:pPr>
        <w:rPr>
          <w:rFonts w:ascii="Garamond" w:hAnsi="Garamond"/>
          <w:sz w:val="24"/>
          <w:szCs w:val="24"/>
        </w:rPr>
      </w:pPr>
      <w:r>
        <w:rPr>
          <w:rFonts w:ascii="Garamond" w:hAnsi="Garamond"/>
          <w:sz w:val="24"/>
          <w:szCs w:val="24"/>
        </w:rPr>
        <w:lastRenderedPageBreak/>
        <w:t>Le prime attengono alla validità degli atti o dei negozi, come quelle che fissano ad es. i requisiti che deve rivestire il contratto per essere valido (art. 1325</w:t>
      </w:r>
      <w:r w:rsidR="003A3E49">
        <w:rPr>
          <w:rFonts w:ascii="Garamond" w:hAnsi="Garamond"/>
          <w:sz w:val="24"/>
          <w:szCs w:val="24"/>
        </w:rPr>
        <w:t xml:space="preserve"> c.c.</w:t>
      </w:r>
      <w:r>
        <w:rPr>
          <w:rFonts w:ascii="Garamond" w:hAnsi="Garamond"/>
          <w:sz w:val="24"/>
          <w:szCs w:val="24"/>
        </w:rPr>
        <w:t xml:space="preserve">), le altre si ricollegano all’osservanza di doveri, siano essi generali o specifici, </w:t>
      </w:r>
      <w:r w:rsidR="00743BA6">
        <w:rPr>
          <w:rFonts w:ascii="Garamond" w:hAnsi="Garamond"/>
          <w:sz w:val="24"/>
          <w:szCs w:val="24"/>
        </w:rPr>
        <w:t>e inducono la responsabilità del soggetto che non li osservi.</w:t>
      </w:r>
    </w:p>
    <w:p w:rsidR="00743BA6" w:rsidRDefault="00743BA6" w:rsidP="003A3E49">
      <w:pPr>
        <w:rPr>
          <w:rFonts w:ascii="Garamond" w:hAnsi="Garamond"/>
          <w:sz w:val="24"/>
          <w:szCs w:val="24"/>
        </w:rPr>
      </w:pPr>
      <w:r>
        <w:rPr>
          <w:rFonts w:ascii="Garamond" w:hAnsi="Garamond"/>
          <w:sz w:val="24"/>
          <w:szCs w:val="24"/>
        </w:rPr>
        <w:t>Nell’ambito ad es. dei contratti, la mancata osservanza del rispetto dei requisiti del contratto (art. 1325</w:t>
      </w:r>
      <w:r w:rsidR="003A3E49">
        <w:rPr>
          <w:rFonts w:ascii="Garamond" w:hAnsi="Garamond"/>
          <w:sz w:val="24"/>
          <w:szCs w:val="24"/>
        </w:rPr>
        <w:t xml:space="preserve"> c.c.</w:t>
      </w:r>
      <w:r w:rsidR="0097127E">
        <w:rPr>
          <w:rFonts w:ascii="Garamond" w:hAnsi="Garamond"/>
          <w:sz w:val="24"/>
          <w:szCs w:val="24"/>
        </w:rPr>
        <w:t xml:space="preserve">) </w:t>
      </w:r>
      <w:r>
        <w:rPr>
          <w:rFonts w:ascii="Garamond" w:hAnsi="Garamond"/>
          <w:sz w:val="24"/>
          <w:szCs w:val="24"/>
        </w:rPr>
        <w:t xml:space="preserve">provoca la invalidità del contratto ma non la responsabilità del soggetto, che può avere avuto </w:t>
      </w:r>
      <w:r w:rsidR="00D153CC">
        <w:rPr>
          <w:rFonts w:ascii="Garamond" w:hAnsi="Garamond"/>
          <w:sz w:val="24"/>
          <w:szCs w:val="24"/>
        </w:rPr>
        <w:t xml:space="preserve">anche </w:t>
      </w:r>
      <w:r>
        <w:rPr>
          <w:rFonts w:ascii="Garamond" w:hAnsi="Garamond"/>
          <w:sz w:val="24"/>
          <w:szCs w:val="24"/>
        </w:rPr>
        <w:t xml:space="preserve">causa indiretta in tale mancata osservanza. </w:t>
      </w:r>
    </w:p>
    <w:p w:rsidR="00743BA6" w:rsidRDefault="00743BA6" w:rsidP="003A3E49">
      <w:pPr>
        <w:rPr>
          <w:rFonts w:ascii="Garamond" w:hAnsi="Garamond"/>
          <w:sz w:val="24"/>
          <w:szCs w:val="24"/>
        </w:rPr>
      </w:pPr>
      <w:r>
        <w:rPr>
          <w:rFonts w:ascii="Garamond" w:hAnsi="Garamond"/>
          <w:sz w:val="24"/>
          <w:szCs w:val="24"/>
        </w:rPr>
        <w:t>Per esservi responsabilità del soggetto, in tal caso dovrà aggiungersi che esso, pur a conoscenza della invalidità del contratto, non ne ha dato conoscenza</w:t>
      </w:r>
      <w:r w:rsidR="007559C6">
        <w:rPr>
          <w:rFonts w:ascii="Garamond" w:hAnsi="Garamond"/>
          <w:sz w:val="24"/>
          <w:szCs w:val="24"/>
        </w:rPr>
        <w:t xml:space="preserve"> alla controparte (art. 1338 c. c</w:t>
      </w:r>
      <w:r>
        <w:rPr>
          <w:rFonts w:ascii="Garamond" w:hAnsi="Garamond"/>
          <w:sz w:val="24"/>
          <w:szCs w:val="24"/>
        </w:rPr>
        <w:t>.). In tal caso il dovere</w:t>
      </w:r>
      <w:r w:rsidR="007559C6">
        <w:rPr>
          <w:rFonts w:ascii="Garamond" w:hAnsi="Garamond"/>
          <w:sz w:val="24"/>
          <w:szCs w:val="24"/>
        </w:rPr>
        <w:t>,</w:t>
      </w:r>
      <w:r>
        <w:rPr>
          <w:rFonts w:ascii="Garamond" w:hAnsi="Garamond"/>
          <w:sz w:val="24"/>
          <w:szCs w:val="24"/>
        </w:rPr>
        <w:t xml:space="preserve"> cui esso è venuto meno</w:t>
      </w:r>
      <w:r w:rsidR="007559C6">
        <w:rPr>
          <w:rFonts w:ascii="Garamond" w:hAnsi="Garamond"/>
          <w:sz w:val="24"/>
          <w:szCs w:val="24"/>
        </w:rPr>
        <w:t>,</w:t>
      </w:r>
      <w:r>
        <w:rPr>
          <w:rFonts w:ascii="Garamond" w:hAnsi="Garamond"/>
          <w:sz w:val="24"/>
          <w:szCs w:val="24"/>
        </w:rPr>
        <w:t xml:space="preserve"> è quello di correttezza (art. 1337 c.c.)</w:t>
      </w:r>
      <w:r w:rsidR="00D153CC">
        <w:rPr>
          <w:rFonts w:ascii="Garamond" w:hAnsi="Garamond"/>
          <w:sz w:val="24"/>
          <w:szCs w:val="24"/>
        </w:rPr>
        <w:t xml:space="preserve"> (</w:t>
      </w:r>
      <w:r w:rsidR="00D153CC">
        <w:rPr>
          <w:rStyle w:val="Rimandonotaapidipagina"/>
          <w:rFonts w:ascii="Garamond" w:hAnsi="Garamond"/>
          <w:sz w:val="24"/>
          <w:szCs w:val="24"/>
        </w:rPr>
        <w:footnoteReference w:id="3"/>
      </w:r>
      <w:r w:rsidR="00D153CC">
        <w:rPr>
          <w:rFonts w:ascii="Garamond" w:hAnsi="Garamond"/>
          <w:sz w:val="24"/>
          <w:szCs w:val="24"/>
        </w:rPr>
        <w:t>)</w:t>
      </w:r>
      <w:r w:rsidR="00187EA1">
        <w:rPr>
          <w:rFonts w:ascii="Garamond" w:hAnsi="Garamond"/>
          <w:sz w:val="24"/>
          <w:szCs w:val="24"/>
        </w:rPr>
        <w:t xml:space="preserve"> (</w:t>
      </w:r>
      <w:r w:rsidR="00187EA1">
        <w:rPr>
          <w:rStyle w:val="Rimandonotaapidipagina"/>
          <w:rFonts w:ascii="Garamond" w:hAnsi="Garamond"/>
          <w:sz w:val="24"/>
          <w:szCs w:val="24"/>
        </w:rPr>
        <w:footnoteReference w:id="4"/>
      </w:r>
      <w:r w:rsidR="00187EA1">
        <w:rPr>
          <w:rFonts w:ascii="Garamond" w:hAnsi="Garamond"/>
          <w:sz w:val="24"/>
          <w:szCs w:val="24"/>
        </w:rPr>
        <w:t>)</w:t>
      </w:r>
      <w:r>
        <w:rPr>
          <w:rFonts w:ascii="Garamond" w:hAnsi="Garamond"/>
          <w:sz w:val="24"/>
          <w:szCs w:val="24"/>
        </w:rPr>
        <w:t>.</w:t>
      </w:r>
    </w:p>
    <w:p w:rsidR="00743BA6" w:rsidRDefault="00743BA6" w:rsidP="007559C6">
      <w:pPr>
        <w:rPr>
          <w:rFonts w:ascii="Garamond" w:hAnsi="Garamond"/>
          <w:sz w:val="24"/>
          <w:szCs w:val="24"/>
        </w:rPr>
      </w:pPr>
      <w:r>
        <w:rPr>
          <w:rFonts w:ascii="Garamond" w:hAnsi="Garamond"/>
          <w:sz w:val="24"/>
          <w:szCs w:val="24"/>
        </w:rPr>
        <w:lastRenderedPageBreak/>
        <w:t>Ciò premesso, è da verificare se una siffatta distinzione, ormai acquisita nel campo dei rapporti civili, può essere anche presente nel campo del rapporto tra Pu</w:t>
      </w:r>
      <w:r w:rsidR="00A26D69">
        <w:rPr>
          <w:rFonts w:ascii="Garamond" w:hAnsi="Garamond"/>
          <w:sz w:val="24"/>
          <w:szCs w:val="24"/>
        </w:rPr>
        <w:t>bblica Amministrazione e privati (</w:t>
      </w:r>
      <w:r w:rsidR="00A26D69">
        <w:rPr>
          <w:rStyle w:val="Rimandonotaapidipagina"/>
          <w:rFonts w:ascii="Garamond" w:hAnsi="Garamond"/>
          <w:sz w:val="24"/>
          <w:szCs w:val="24"/>
        </w:rPr>
        <w:footnoteReference w:id="5"/>
      </w:r>
      <w:r w:rsidR="00A26D69">
        <w:rPr>
          <w:rFonts w:ascii="Garamond" w:hAnsi="Garamond"/>
          <w:sz w:val="24"/>
          <w:szCs w:val="24"/>
        </w:rPr>
        <w:t>)</w:t>
      </w:r>
      <w:r>
        <w:rPr>
          <w:rFonts w:ascii="Garamond" w:hAnsi="Garamond"/>
          <w:sz w:val="24"/>
          <w:szCs w:val="24"/>
        </w:rPr>
        <w:t>.</w:t>
      </w:r>
    </w:p>
    <w:p w:rsidR="007559C6" w:rsidRDefault="00743BA6" w:rsidP="007559C6">
      <w:pPr>
        <w:rPr>
          <w:rFonts w:ascii="Garamond" w:hAnsi="Garamond"/>
          <w:sz w:val="24"/>
          <w:szCs w:val="24"/>
        </w:rPr>
      </w:pPr>
      <w:r>
        <w:rPr>
          <w:rFonts w:ascii="Garamond" w:hAnsi="Garamond"/>
          <w:sz w:val="24"/>
          <w:szCs w:val="24"/>
        </w:rPr>
        <w:t>Si tratta cioè di vedere se</w:t>
      </w:r>
      <w:r w:rsidR="007559C6">
        <w:rPr>
          <w:rFonts w:ascii="Garamond" w:hAnsi="Garamond"/>
          <w:sz w:val="24"/>
          <w:szCs w:val="24"/>
        </w:rPr>
        <w:t>,</w:t>
      </w:r>
      <w:r>
        <w:rPr>
          <w:rFonts w:ascii="Garamond" w:hAnsi="Garamond"/>
          <w:sz w:val="24"/>
          <w:szCs w:val="24"/>
        </w:rPr>
        <w:t xml:space="preserve"> a fronte dell’interesse (legittimo) del privato </w:t>
      </w:r>
      <w:proofErr w:type="spellStart"/>
      <w:r>
        <w:rPr>
          <w:rFonts w:ascii="Garamond" w:hAnsi="Garamond"/>
          <w:sz w:val="24"/>
          <w:szCs w:val="24"/>
        </w:rPr>
        <w:t>acchè</w:t>
      </w:r>
      <w:proofErr w:type="spellEnd"/>
      <w:r>
        <w:rPr>
          <w:rFonts w:ascii="Garamond" w:hAnsi="Garamond"/>
          <w:sz w:val="24"/>
          <w:szCs w:val="24"/>
        </w:rPr>
        <w:t xml:space="preserve"> l’esercizio del potere da parte del</w:t>
      </w:r>
      <w:r w:rsidR="007559C6">
        <w:rPr>
          <w:rFonts w:ascii="Garamond" w:hAnsi="Garamond"/>
          <w:sz w:val="24"/>
          <w:szCs w:val="24"/>
        </w:rPr>
        <w:t>la P.A. si svolga secondo legge</w:t>
      </w:r>
      <w:r>
        <w:rPr>
          <w:rFonts w:ascii="Garamond" w:hAnsi="Garamond"/>
          <w:sz w:val="24"/>
          <w:szCs w:val="24"/>
        </w:rPr>
        <w:t xml:space="preserve"> così da confermare la legittimità del provv</w:t>
      </w:r>
      <w:r w:rsidR="0097127E">
        <w:rPr>
          <w:rFonts w:ascii="Garamond" w:hAnsi="Garamond"/>
          <w:sz w:val="24"/>
          <w:szCs w:val="24"/>
        </w:rPr>
        <w:t xml:space="preserve">edimento, sussista anche un </w:t>
      </w:r>
      <w:r>
        <w:rPr>
          <w:rFonts w:ascii="Garamond" w:hAnsi="Garamond"/>
          <w:sz w:val="24"/>
          <w:szCs w:val="24"/>
        </w:rPr>
        <w:t>interesse giuridicamente tutelato</w:t>
      </w:r>
      <w:r w:rsidR="0097127E">
        <w:rPr>
          <w:rFonts w:ascii="Garamond" w:hAnsi="Garamond"/>
          <w:sz w:val="24"/>
          <w:szCs w:val="24"/>
        </w:rPr>
        <w:t xml:space="preserve"> del privato</w:t>
      </w:r>
      <w:r w:rsidR="006C58C3">
        <w:rPr>
          <w:rFonts w:ascii="Garamond" w:hAnsi="Garamond"/>
          <w:sz w:val="24"/>
          <w:szCs w:val="24"/>
        </w:rPr>
        <w:t xml:space="preserve"> </w:t>
      </w:r>
      <w:proofErr w:type="spellStart"/>
      <w:r>
        <w:rPr>
          <w:rFonts w:ascii="Garamond" w:hAnsi="Garamond"/>
          <w:sz w:val="24"/>
          <w:szCs w:val="24"/>
        </w:rPr>
        <w:t>acchè</w:t>
      </w:r>
      <w:proofErr w:type="spellEnd"/>
      <w:r>
        <w:rPr>
          <w:rFonts w:ascii="Garamond" w:hAnsi="Garamond"/>
          <w:sz w:val="24"/>
          <w:szCs w:val="24"/>
        </w:rPr>
        <w:t xml:space="preserve"> la P.A., nel rap</w:t>
      </w:r>
      <w:r w:rsidR="0097127E">
        <w:rPr>
          <w:rFonts w:ascii="Garamond" w:hAnsi="Garamond"/>
          <w:sz w:val="24"/>
          <w:szCs w:val="24"/>
        </w:rPr>
        <w:t>porto instaurato con esso</w:t>
      </w:r>
      <w:r>
        <w:rPr>
          <w:rFonts w:ascii="Garamond" w:hAnsi="Garamond"/>
          <w:sz w:val="24"/>
          <w:szCs w:val="24"/>
        </w:rPr>
        <w:t xml:space="preserve"> e per i comportamenti e/o condotte </w:t>
      </w:r>
      <w:r w:rsidR="0097127E">
        <w:rPr>
          <w:rFonts w:ascii="Garamond" w:hAnsi="Garamond"/>
          <w:sz w:val="24"/>
          <w:szCs w:val="24"/>
        </w:rPr>
        <w:t>nel rapporto</w:t>
      </w:r>
      <w:r w:rsidR="007559C6">
        <w:rPr>
          <w:rFonts w:ascii="Garamond" w:hAnsi="Garamond"/>
          <w:sz w:val="24"/>
          <w:szCs w:val="24"/>
        </w:rPr>
        <w:t xml:space="preserve"> tenuti, si sia comportata</w:t>
      </w:r>
      <w:r>
        <w:rPr>
          <w:rFonts w:ascii="Garamond" w:hAnsi="Garamond"/>
          <w:sz w:val="24"/>
          <w:szCs w:val="24"/>
        </w:rPr>
        <w:t xml:space="preserve"> nell’osservanza di quei doveri di correttezza e buona fede cui è tenuto qualsiasi </w:t>
      </w:r>
      <w:r w:rsidR="004818D5">
        <w:rPr>
          <w:rFonts w:ascii="Garamond" w:hAnsi="Garamond"/>
          <w:sz w:val="24"/>
          <w:szCs w:val="24"/>
        </w:rPr>
        <w:t>soggetto</w:t>
      </w:r>
      <w:r w:rsidR="0097127E">
        <w:rPr>
          <w:rFonts w:ascii="Garamond" w:hAnsi="Garamond"/>
          <w:sz w:val="24"/>
          <w:szCs w:val="24"/>
        </w:rPr>
        <w:t>, quando tratta con altri</w:t>
      </w:r>
      <w:r w:rsidR="00B37E9A">
        <w:rPr>
          <w:rFonts w:ascii="Garamond" w:hAnsi="Garamond"/>
          <w:sz w:val="24"/>
          <w:szCs w:val="24"/>
        </w:rPr>
        <w:t xml:space="preserve"> (</w:t>
      </w:r>
      <w:r w:rsidR="00B37E9A">
        <w:rPr>
          <w:rStyle w:val="Rimandonotaapidipagina"/>
          <w:rFonts w:ascii="Garamond" w:hAnsi="Garamond"/>
          <w:sz w:val="24"/>
          <w:szCs w:val="24"/>
        </w:rPr>
        <w:footnoteReference w:id="6"/>
      </w:r>
      <w:r w:rsidR="00B37E9A">
        <w:rPr>
          <w:rFonts w:ascii="Garamond" w:hAnsi="Garamond"/>
          <w:sz w:val="24"/>
          <w:szCs w:val="24"/>
        </w:rPr>
        <w:t>)</w:t>
      </w:r>
      <w:r w:rsidR="0097127E">
        <w:rPr>
          <w:rFonts w:ascii="Garamond" w:hAnsi="Garamond"/>
          <w:sz w:val="24"/>
          <w:szCs w:val="24"/>
        </w:rPr>
        <w:t>.</w:t>
      </w:r>
    </w:p>
    <w:p w:rsidR="00207FCB" w:rsidRPr="009B5903" w:rsidRDefault="009B5903" w:rsidP="009B5903">
      <w:pPr>
        <w:rPr>
          <w:rFonts w:ascii="Garamond" w:hAnsi="Garamond"/>
          <w:bCs/>
          <w:iCs/>
          <w:sz w:val="24"/>
          <w:szCs w:val="24"/>
        </w:rPr>
      </w:pPr>
      <w:r w:rsidRPr="009B5903">
        <w:rPr>
          <w:rFonts w:ascii="Garamond" w:hAnsi="Garamond"/>
          <w:bCs/>
          <w:iCs/>
          <w:sz w:val="24"/>
          <w:szCs w:val="24"/>
        </w:rPr>
        <w:t>2.</w:t>
      </w:r>
      <w:r w:rsidR="00207FCB" w:rsidRPr="009B5903">
        <w:rPr>
          <w:rFonts w:ascii="Garamond" w:hAnsi="Garamond"/>
          <w:b/>
          <w:bCs/>
          <w:iCs/>
          <w:sz w:val="24"/>
          <w:szCs w:val="24"/>
        </w:rPr>
        <w:t xml:space="preserve"> </w:t>
      </w:r>
      <w:r>
        <w:rPr>
          <w:rFonts w:ascii="Garamond" w:hAnsi="Garamond"/>
          <w:b/>
          <w:bCs/>
          <w:iCs/>
          <w:sz w:val="24"/>
          <w:szCs w:val="24"/>
        </w:rPr>
        <w:t xml:space="preserve">La </w:t>
      </w:r>
      <w:r w:rsidR="00207FCB" w:rsidRPr="009B5903">
        <w:rPr>
          <w:rFonts w:ascii="Garamond" w:hAnsi="Garamond"/>
          <w:b/>
          <w:bCs/>
          <w:iCs/>
          <w:sz w:val="24"/>
          <w:szCs w:val="24"/>
        </w:rPr>
        <w:t>responsabilità extracontrattuale da lesione di interessi legittimi e</w:t>
      </w:r>
      <w:r w:rsidR="00F064A5" w:rsidRPr="009B5903">
        <w:rPr>
          <w:rFonts w:ascii="Garamond" w:hAnsi="Garamond"/>
          <w:b/>
          <w:bCs/>
          <w:iCs/>
          <w:sz w:val="24"/>
          <w:szCs w:val="24"/>
        </w:rPr>
        <w:t xml:space="preserve"> contrattuale per lesione dell’</w:t>
      </w:r>
      <w:r w:rsidR="00207FCB" w:rsidRPr="009B5903">
        <w:rPr>
          <w:rFonts w:ascii="Garamond" w:hAnsi="Garamond"/>
          <w:b/>
          <w:bCs/>
          <w:iCs/>
          <w:sz w:val="24"/>
          <w:szCs w:val="24"/>
        </w:rPr>
        <w:t>affidamento</w:t>
      </w:r>
      <w:r w:rsidR="00207FCB" w:rsidRPr="009B5903">
        <w:rPr>
          <w:rFonts w:ascii="Garamond" w:hAnsi="Garamond"/>
          <w:bCs/>
          <w:iCs/>
          <w:sz w:val="24"/>
          <w:szCs w:val="24"/>
        </w:rPr>
        <w:t>.</w:t>
      </w:r>
    </w:p>
    <w:p w:rsidR="008C3AEA" w:rsidRPr="00207FCB" w:rsidRDefault="008246A0" w:rsidP="00207FCB">
      <w:pPr>
        <w:rPr>
          <w:rFonts w:ascii="Garamond" w:hAnsi="Garamond"/>
          <w:sz w:val="24"/>
          <w:szCs w:val="24"/>
        </w:rPr>
      </w:pPr>
      <w:r>
        <w:rPr>
          <w:rFonts w:ascii="Garamond" w:hAnsi="Garamond"/>
          <w:sz w:val="24"/>
          <w:szCs w:val="24"/>
        </w:rPr>
        <w:t xml:space="preserve">Si premette </w:t>
      </w:r>
      <w:r w:rsidR="00743BA6" w:rsidRPr="00207FCB">
        <w:rPr>
          <w:rFonts w:ascii="Garamond" w:hAnsi="Garamond"/>
          <w:sz w:val="24"/>
          <w:szCs w:val="24"/>
        </w:rPr>
        <w:t xml:space="preserve">che la questione della eventuale responsabilità della P.A. non può che porsi, in linea generale, </w:t>
      </w:r>
      <w:r w:rsidR="008C3AEA" w:rsidRPr="00207FCB">
        <w:rPr>
          <w:rFonts w:ascii="Garamond" w:hAnsi="Garamond"/>
          <w:sz w:val="24"/>
          <w:szCs w:val="24"/>
        </w:rPr>
        <w:t>in due fondamentali fattispecie e cioè che</w:t>
      </w:r>
      <w:r w:rsidR="00A87486" w:rsidRPr="00207FCB">
        <w:rPr>
          <w:rFonts w:ascii="Garamond" w:hAnsi="Garamond"/>
          <w:sz w:val="24"/>
          <w:szCs w:val="24"/>
        </w:rPr>
        <w:t>,</w:t>
      </w:r>
      <w:r w:rsidR="008C3AEA" w:rsidRPr="00207FCB">
        <w:rPr>
          <w:rFonts w:ascii="Garamond" w:hAnsi="Garamond"/>
          <w:sz w:val="24"/>
          <w:szCs w:val="24"/>
        </w:rPr>
        <w:t xml:space="preserve"> nell’un</w:t>
      </w:r>
      <w:r w:rsidR="00A87486" w:rsidRPr="00207FCB">
        <w:rPr>
          <w:rFonts w:ascii="Garamond" w:hAnsi="Garamond"/>
          <w:sz w:val="24"/>
          <w:szCs w:val="24"/>
        </w:rPr>
        <w:t>a</w:t>
      </w:r>
      <w:r w:rsidR="00EF377D" w:rsidRPr="00207FCB">
        <w:rPr>
          <w:rFonts w:ascii="Garamond" w:hAnsi="Garamond"/>
          <w:sz w:val="24"/>
          <w:szCs w:val="24"/>
        </w:rPr>
        <w:t>,</w:t>
      </w:r>
      <w:r w:rsidR="009F63C7">
        <w:rPr>
          <w:rFonts w:ascii="Garamond" w:hAnsi="Garamond"/>
          <w:sz w:val="24"/>
          <w:szCs w:val="24"/>
        </w:rPr>
        <w:t xml:space="preserve"> </w:t>
      </w:r>
      <w:r w:rsidR="00743BA6" w:rsidRPr="00207FCB">
        <w:rPr>
          <w:rFonts w:ascii="Garamond" w:hAnsi="Garamond"/>
          <w:sz w:val="24"/>
          <w:szCs w:val="24"/>
        </w:rPr>
        <w:t xml:space="preserve">a seguito dell’esercizio </w:t>
      </w:r>
      <w:r w:rsidR="00743BA6" w:rsidRPr="00207FCB">
        <w:rPr>
          <w:rFonts w:ascii="Garamond" w:hAnsi="Garamond"/>
          <w:b/>
          <w:bCs/>
          <w:i/>
          <w:iCs/>
          <w:sz w:val="24"/>
          <w:szCs w:val="24"/>
        </w:rPr>
        <w:t>illegittimo</w:t>
      </w:r>
      <w:r w:rsidR="00743BA6" w:rsidRPr="00207FCB">
        <w:rPr>
          <w:rFonts w:ascii="Garamond" w:hAnsi="Garamond"/>
          <w:sz w:val="24"/>
          <w:szCs w:val="24"/>
        </w:rPr>
        <w:t xml:space="preserve"> del pubblico potere, </w:t>
      </w:r>
      <w:r w:rsidR="00A87486" w:rsidRPr="00207FCB">
        <w:rPr>
          <w:rFonts w:ascii="Garamond" w:hAnsi="Garamond"/>
          <w:sz w:val="24"/>
          <w:szCs w:val="24"/>
        </w:rPr>
        <w:t xml:space="preserve">viene negato </w:t>
      </w:r>
      <w:r w:rsidR="008C3AEA" w:rsidRPr="00207FCB">
        <w:rPr>
          <w:rFonts w:ascii="Garamond" w:hAnsi="Garamond"/>
          <w:sz w:val="24"/>
          <w:szCs w:val="24"/>
        </w:rPr>
        <w:t xml:space="preserve">al privato un bene della vita </w:t>
      </w:r>
      <w:r w:rsidR="00A87486" w:rsidRPr="00207FCB">
        <w:rPr>
          <w:rFonts w:ascii="Garamond" w:hAnsi="Garamond"/>
          <w:sz w:val="24"/>
          <w:szCs w:val="24"/>
        </w:rPr>
        <w:t xml:space="preserve">ad esso spettante </w:t>
      </w:r>
      <w:r w:rsidR="001B1D10">
        <w:rPr>
          <w:rFonts w:ascii="Garamond" w:hAnsi="Garamond"/>
          <w:sz w:val="24"/>
          <w:szCs w:val="24"/>
        </w:rPr>
        <w:t xml:space="preserve">(ad es. concessione negata) </w:t>
      </w:r>
      <w:r w:rsidR="008C3AEA" w:rsidRPr="00207FCB">
        <w:rPr>
          <w:rFonts w:ascii="Garamond" w:hAnsi="Garamond"/>
          <w:sz w:val="24"/>
          <w:szCs w:val="24"/>
        </w:rPr>
        <w:t>o</w:t>
      </w:r>
      <w:r w:rsidR="00A87486" w:rsidRPr="00207FCB">
        <w:rPr>
          <w:rFonts w:ascii="Garamond" w:hAnsi="Garamond"/>
          <w:sz w:val="24"/>
          <w:szCs w:val="24"/>
        </w:rPr>
        <w:t>, invece,</w:t>
      </w:r>
      <w:r w:rsidR="008C3AEA" w:rsidRPr="00207FCB">
        <w:rPr>
          <w:rFonts w:ascii="Garamond" w:hAnsi="Garamond"/>
          <w:sz w:val="24"/>
          <w:szCs w:val="24"/>
        </w:rPr>
        <w:t xml:space="preserve"> nel comprimerlo</w:t>
      </w:r>
      <w:r w:rsidR="001B1D10">
        <w:rPr>
          <w:rFonts w:ascii="Garamond" w:hAnsi="Garamond"/>
          <w:sz w:val="24"/>
          <w:szCs w:val="24"/>
        </w:rPr>
        <w:t xml:space="preserve"> (attraverso atti ablativi)</w:t>
      </w:r>
      <w:r w:rsidR="008C3AEA" w:rsidRPr="00207FCB">
        <w:rPr>
          <w:rFonts w:ascii="Garamond" w:hAnsi="Garamond"/>
          <w:sz w:val="24"/>
          <w:szCs w:val="24"/>
        </w:rPr>
        <w:t>, così</w:t>
      </w:r>
      <w:r w:rsidR="00A87486" w:rsidRPr="00207FCB">
        <w:rPr>
          <w:rFonts w:ascii="Garamond" w:hAnsi="Garamond"/>
          <w:sz w:val="24"/>
          <w:szCs w:val="24"/>
        </w:rPr>
        <w:t xml:space="preserve"> da</w:t>
      </w:r>
      <w:r w:rsidR="008C3AEA" w:rsidRPr="00207FCB">
        <w:rPr>
          <w:rFonts w:ascii="Garamond" w:hAnsi="Garamond"/>
          <w:sz w:val="24"/>
          <w:szCs w:val="24"/>
        </w:rPr>
        <w:t xml:space="preserve"> provoca</w:t>
      </w:r>
      <w:r w:rsidR="00A87486" w:rsidRPr="00207FCB">
        <w:rPr>
          <w:rFonts w:ascii="Garamond" w:hAnsi="Garamond"/>
          <w:sz w:val="24"/>
          <w:szCs w:val="24"/>
        </w:rPr>
        <w:t>re un danno al privato, da definire sicuramente “ingiusto”</w:t>
      </w:r>
      <w:r w:rsidR="00EF377D" w:rsidRPr="00207FCB">
        <w:rPr>
          <w:rFonts w:ascii="Garamond" w:hAnsi="Garamond"/>
          <w:sz w:val="24"/>
          <w:szCs w:val="24"/>
        </w:rPr>
        <w:t>,</w:t>
      </w:r>
      <w:r w:rsidR="00A87486" w:rsidRPr="00207FCB">
        <w:rPr>
          <w:rFonts w:ascii="Garamond" w:hAnsi="Garamond"/>
          <w:sz w:val="24"/>
          <w:szCs w:val="24"/>
        </w:rPr>
        <w:t xml:space="preserve"> data la spettanza al privato del </w:t>
      </w:r>
      <w:r w:rsidR="001B1D10">
        <w:rPr>
          <w:rFonts w:ascii="Garamond" w:hAnsi="Garamond"/>
          <w:sz w:val="24"/>
          <w:szCs w:val="24"/>
        </w:rPr>
        <w:t>bene disconosciuto o compresso</w:t>
      </w:r>
      <w:r w:rsidR="006C58C3">
        <w:rPr>
          <w:rFonts w:ascii="Garamond" w:hAnsi="Garamond"/>
          <w:sz w:val="24"/>
          <w:szCs w:val="24"/>
        </w:rPr>
        <w:t xml:space="preserve"> </w:t>
      </w:r>
      <w:r w:rsidR="008C3AEA" w:rsidRPr="00207FCB">
        <w:rPr>
          <w:rFonts w:ascii="Garamond" w:hAnsi="Garamond"/>
          <w:sz w:val="24"/>
          <w:szCs w:val="24"/>
        </w:rPr>
        <w:t>e</w:t>
      </w:r>
      <w:r w:rsidR="00EF377D" w:rsidRPr="00207FCB">
        <w:rPr>
          <w:rFonts w:ascii="Garamond" w:hAnsi="Garamond"/>
          <w:sz w:val="24"/>
          <w:szCs w:val="24"/>
        </w:rPr>
        <w:t>,</w:t>
      </w:r>
      <w:r w:rsidR="008C3AEA" w:rsidRPr="00207FCB">
        <w:rPr>
          <w:rFonts w:ascii="Garamond" w:hAnsi="Garamond"/>
          <w:sz w:val="24"/>
          <w:szCs w:val="24"/>
        </w:rPr>
        <w:t xml:space="preserve"> nell’altr</w:t>
      </w:r>
      <w:r w:rsidR="00A87486" w:rsidRPr="00207FCB">
        <w:rPr>
          <w:rFonts w:ascii="Garamond" w:hAnsi="Garamond"/>
          <w:sz w:val="24"/>
          <w:szCs w:val="24"/>
        </w:rPr>
        <w:t>a</w:t>
      </w:r>
      <w:r w:rsidR="001B1D10">
        <w:rPr>
          <w:rFonts w:ascii="Garamond" w:hAnsi="Garamond"/>
          <w:sz w:val="24"/>
          <w:szCs w:val="24"/>
        </w:rPr>
        <w:t xml:space="preserve"> ipotesi</w:t>
      </w:r>
      <w:r w:rsidR="00EF377D" w:rsidRPr="00207FCB">
        <w:rPr>
          <w:rFonts w:ascii="Garamond" w:hAnsi="Garamond"/>
          <w:sz w:val="24"/>
          <w:szCs w:val="24"/>
        </w:rPr>
        <w:t>,</w:t>
      </w:r>
      <w:r w:rsidR="008C3AEA" w:rsidRPr="00207FCB">
        <w:rPr>
          <w:rFonts w:ascii="Garamond" w:hAnsi="Garamond"/>
          <w:sz w:val="24"/>
          <w:szCs w:val="24"/>
        </w:rPr>
        <w:t xml:space="preserve"> nell’aver leso </w:t>
      </w:r>
      <w:r w:rsidR="008C3AEA" w:rsidRPr="00207FCB">
        <w:rPr>
          <w:rFonts w:ascii="Garamond" w:hAnsi="Garamond"/>
          <w:b/>
          <w:bCs/>
          <w:i/>
          <w:iCs/>
          <w:sz w:val="24"/>
          <w:szCs w:val="24"/>
        </w:rPr>
        <w:t>un affidamento</w:t>
      </w:r>
      <w:r w:rsidR="008C3AEA" w:rsidRPr="00207FCB">
        <w:rPr>
          <w:rFonts w:ascii="Garamond" w:hAnsi="Garamond"/>
          <w:sz w:val="24"/>
          <w:szCs w:val="24"/>
        </w:rPr>
        <w:t xml:space="preserve"> del privato riposto nella soddisfazione di un proprio interesse materiale</w:t>
      </w:r>
      <w:r w:rsidR="00A87486" w:rsidRPr="00207FCB">
        <w:rPr>
          <w:rFonts w:ascii="Garamond" w:hAnsi="Garamond"/>
          <w:sz w:val="24"/>
          <w:szCs w:val="24"/>
        </w:rPr>
        <w:t>,</w:t>
      </w:r>
      <w:r w:rsidR="009F63C7">
        <w:rPr>
          <w:rFonts w:ascii="Garamond" w:hAnsi="Garamond"/>
          <w:sz w:val="24"/>
          <w:szCs w:val="24"/>
        </w:rPr>
        <w:t xml:space="preserve"> </w:t>
      </w:r>
      <w:r w:rsidR="001B1D10">
        <w:rPr>
          <w:rFonts w:ascii="Garamond" w:hAnsi="Garamond"/>
          <w:sz w:val="24"/>
          <w:szCs w:val="24"/>
        </w:rPr>
        <w:t xml:space="preserve">soddisfazione </w:t>
      </w:r>
      <w:r w:rsidR="00EF377D" w:rsidRPr="00207FCB">
        <w:rPr>
          <w:rFonts w:ascii="Garamond" w:hAnsi="Garamond"/>
          <w:sz w:val="24"/>
          <w:szCs w:val="24"/>
        </w:rPr>
        <w:t>più che probabile</w:t>
      </w:r>
      <w:r w:rsidR="00D50EEB" w:rsidRPr="00207FCB">
        <w:rPr>
          <w:rFonts w:ascii="Garamond" w:hAnsi="Garamond"/>
          <w:sz w:val="24"/>
          <w:szCs w:val="24"/>
        </w:rPr>
        <w:t>,</w:t>
      </w:r>
      <w:r w:rsidR="0018247F" w:rsidRPr="00207FCB">
        <w:rPr>
          <w:rFonts w:ascii="Garamond" w:hAnsi="Garamond"/>
          <w:sz w:val="24"/>
          <w:szCs w:val="24"/>
        </w:rPr>
        <w:t xml:space="preserve"> sotteso all’</w:t>
      </w:r>
      <w:r w:rsidR="008C3AEA" w:rsidRPr="00207FCB">
        <w:rPr>
          <w:rFonts w:ascii="Garamond" w:hAnsi="Garamond"/>
          <w:sz w:val="24"/>
          <w:szCs w:val="24"/>
        </w:rPr>
        <w:t>interesse legittimo</w:t>
      </w:r>
      <w:r w:rsidR="006C58C3">
        <w:rPr>
          <w:rFonts w:ascii="Garamond" w:hAnsi="Garamond"/>
          <w:sz w:val="24"/>
          <w:szCs w:val="24"/>
        </w:rPr>
        <w:t xml:space="preserve"> </w:t>
      </w:r>
      <w:r w:rsidR="00EF377D" w:rsidRPr="00207FCB">
        <w:rPr>
          <w:rFonts w:ascii="Garamond" w:hAnsi="Garamond"/>
          <w:sz w:val="24"/>
          <w:szCs w:val="24"/>
        </w:rPr>
        <w:t xml:space="preserve">e ciò </w:t>
      </w:r>
      <w:r w:rsidR="00A87486" w:rsidRPr="00207FCB">
        <w:rPr>
          <w:rFonts w:ascii="Garamond" w:hAnsi="Garamond"/>
          <w:sz w:val="24"/>
          <w:szCs w:val="24"/>
        </w:rPr>
        <w:t>all’esito di un pr</w:t>
      </w:r>
      <w:r w:rsidR="0018247F" w:rsidRPr="00207FCB">
        <w:rPr>
          <w:rFonts w:ascii="Garamond" w:hAnsi="Garamond"/>
          <w:sz w:val="24"/>
          <w:szCs w:val="24"/>
        </w:rPr>
        <w:t>ocedimento amministrati</w:t>
      </w:r>
      <w:r w:rsidR="00A87486" w:rsidRPr="00207FCB">
        <w:rPr>
          <w:rFonts w:ascii="Garamond" w:hAnsi="Garamond"/>
          <w:sz w:val="24"/>
          <w:szCs w:val="24"/>
        </w:rPr>
        <w:t>vo</w:t>
      </w:r>
      <w:r>
        <w:rPr>
          <w:rFonts w:ascii="Garamond" w:hAnsi="Garamond"/>
          <w:sz w:val="24"/>
          <w:szCs w:val="24"/>
        </w:rPr>
        <w:t>. Ebbene, ciò premesso</w:t>
      </w:r>
      <w:r w:rsidR="001B1D10">
        <w:rPr>
          <w:rFonts w:ascii="Garamond" w:hAnsi="Garamond"/>
          <w:sz w:val="24"/>
          <w:szCs w:val="24"/>
        </w:rPr>
        <w:t>, si tratta di meglio qualificare il rapporto tra queste due forme di responsabilità.</w:t>
      </w:r>
    </w:p>
    <w:p w:rsidR="008C3AEA" w:rsidRDefault="00EF377D" w:rsidP="007559C6">
      <w:pPr>
        <w:rPr>
          <w:rFonts w:ascii="Garamond" w:hAnsi="Garamond"/>
          <w:sz w:val="24"/>
          <w:szCs w:val="24"/>
        </w:rPr>
      </w:pPr>
      <w:r>
        <w:rPr>
          <w:rFonts w:ascii="Garamond" w:hAnsi="Garamond"/>
          <w:sz w:val="24"/>
          <w:szCs w:val="24"/>
        </w:rPr>
        <w:t xml:space="preserve">Quanto alla tutela </w:t>
      </w:r>
      <w:r w:rsidRPr="008246A0">
        <w:rPr>
          <w:rFonts w:ascii="Garamond" w:hAnsi="Garamond"/>
          <w:b/>
          <w:bCs/>
          <w:i/>
          <w:iCs/>
          <w:sz w:val="24"/>
          <w:szCs w:val="24"/>
        </w:rPr>
        <w:t>dell’affidamento</w:t>
      </w:r>
      <w:r w:rsidR="008C3AEA">
        <w:rPr>
          <w:rFonts w:ascii="Garamond" w:hAnsi="Garamond"/>
          <w:sz w:val="24"/>
          <w:szCs w:val="24"/>
        </w:rPr>
        <w:t xml:space="preserve">, così come </w:t>
      </w:r>
      <w:r w:rsidR="008246A0">
        <w:rPr>
          <w:rFonts w:ascii="Garamond" w:hAnsi="Garamond"/>
          <w:sz w:val="24"/>
          <w:szCs w:val="24"/>
        </w:rPr>
        <w:t xml:space="preserve">enunciato per i </w:t>
      </w:r>
      <w:r w:rsidR="008C3AEA">
        <w:rPr>
          <w:rFonts w:ascii="Garamond" w:hAnsi="Garamond"/>
          <w:sz w:val="24"/>
          <w:szCs w:val="24"/>
        </w:rPr>
        <w:t xml:space="preserve">rapporti civili, </w:t>
      </w:r>
      <w:r w:rsidR="001B1D10">
        <w:rPr>
          <w:rFonts w:ascii="Garamond" w:hAnsi="Garamond"/>
          <w:sz w:val="24"/>
          <w:szCs w:val="24"/>
        </w:rPr>
        <w:t xml:space="preserve">si pone diversamente </w:t>
      </w:r>
      <w:r w:rsidR="008C3AEA">
        <w:rPr>
          <w:rFonts w:ascii="Garamond" w:hAnsi="Garamond"/>
          <w:sz w:val="24"/>
          <w:szCs w:val="24"/>
        </w:rPr>
        <w:t xml:space="preserve">la spettanza di un bene della vita, che è oggetto di un preciso </w:t>
      </w:r>
      <w:r w:rsidR="00A87486">
        <w:rPr>
          <w:rFonts w:ascii="Garamond" w:hAnsi="Garamond"/>
          <w:sz w:val="24"/>
          <w:szCs w:val="24"/>
        </w:rPr>
        <w:t>diritto soggettivo</w:t>
      </w:r>
      <w:r w:rsidR="008C3AEA">
        <w:rPr>
          <w:rFonts w:ascii="Garamond" w:hAnsi="Garamond"/>
          <w:sz w:val="24"/>
          <w:szCs w:val="24"/>
        </w:rPr>
        <w:t xml:space="preserve">, </w:t>
      </w:r>
      <w:r w:rsidR="001B1D10">
        <w:rPr>
          <w:rFonts w:ascii="Garamond" w:hAnsi="Garamond"/>
          <w:sz w:val="24"/>
          <w:szCs w:val="24"/>
        </w:rPr>
        <w:t xml:space="preserve">rispetto al </w:t>
      </w:r>
      <w:r w:rsidR="008C3AEA">
        <w:rPr>
          <w:rFonts w:ascii="Garamond" w:hAnsi="Garamond"/>
          <w:sz w:val="24"/>
          <w:szCs w:val="24"/>
        </w:rPr>
        <w:t xml:space="preserve">bene della vita che può attendersi </w:t>
      </w:r>
      <w:r w:rsidR="00CB4DEC">
        <w:rPr>
          <w:rFonts w:ascii="Garamond" w:hAnsi="Garamond"/>
          <w:sz w:val="24"/>
          <w:szCs w:val="24"/>
        </w:rPr>
        <w:t xml:space="preserve">solo </w:t>
      </w:r>
      <w:r w:rsidR="008C3AEA">
        <w:rPr>
          <w:rFonts w:ascii="Garamond" w:hAnsi="Garamond"/>
          <w:sz w:val="24"/>
          <w:szCs w:val="24"/>
        </w:rPr>
        <w:t xml:space="preserve">da un successivo </w:t>
      </w:r>
      <w:r w:rsidR="00A87486">
        <w:rPr>
          <w:rFonts w:ascii="Garamond" w:hAnsi="Garamond"/>
          <w:sz w:val="24"/>
          <w:szCs w:val="24"/>
        </w:rPr>
        <w:t xml:space="preserve">atto o </w:t>
      </w:r>
      <w:r w:rsidR="008C3AEA">
        <w:rPr>
          <w:rFonts w:ascii="Garamond" w:hAnsi="Garamond"/>
          <w:sz w:val="24"/>
          <w:szCs w:val="24"/>
        </w:rPr>
        <w:t xml:space="preserve">contratto </w:t>
      </w:r>
      <w:r w:rsidR="00A87486">
        <w:rPr>
          <w:rFonts w:ascii="Garamond" w:hAnsi="Garamond"/>
          <w:sz w:val="24"/>
          <w:szCs w:val="24"/>
        </w:rPr>
        <w:t xml:space="preserve">e rispetto al quale </w:t>
      </w:r>
      <w:r w:rsidR="004902CA">
        <w:rPr>
          <w:rFonts w:ascii="Garamond" w:hAnsi="Garamond"/>
          <w:sz w:val="24"/>
          <w:szCs w:val="24"/>
        </w:rPr>
        <w:t xml:space="preserve">un </w:t>
      </w:r>
      <w:r w:rsidR="00A87486" w:rsidRPr="00A87486">
        <w:rPr>
          <w:rFonts w:ascii="Garamond" w:hAnsi="Garamond"/>
          <w:b/>
          <w:bCs/>
          <w:i/>
          <w:iCs/>
          <w:sz w:val="24"/>
          <w:szCs w:val="24"/>
        </w:rPr>
        <w:t>corretto</w:t>
      </w:r>
      <w:r w:rsidR="006C58C3">
        <w:rPr>
          <w:rFonts w:ascii="Garamond" w:hAnsi="Garamond"/>
          <w:b/>
          <w:bCs/>
          <w:i/>
          <w:iCs/>
          <w:sz w:val="24"/>
          <w:szCs w:val="24"/>
        </w:rPr>
        <w:t xml:space="preserve"> </w:t>
      </w:r>
      <w:r w:rsidR="004902CA">
        <w:rPr>
          <w:rFonts w:ascii="Garamond" w:hAnsi="Garamond"/>
          <w:sz w:val="24"/>
          <w:szCs w:val="24"/>
        </w:rPr>
        <w:t xml:space="preserve">comportamento della </w:t>
      </w:r>
      <w:r w:rsidR="00CB4DEC">
        <w:rPr>
          <w:rFonts w:ascii="Garamond" w:hAnsi="Garamond"/>
          <w:sz w:val="24"/>
          <w:szCs w:val="24"/>
        </w:rPr>
        <w:t>P.A. viene a</w:t>
      </w:r>
      <w:r w:rsidR="004902CA">
        <w:rPr>
          <w:rFonts w:ascii="Garamond" w:hAnsi="Garamond"/>
          <w:sz w:val="24"/>
          <w:szCs w:val="24"/>
        </w:rPr>
        <w:t xml:space="preserve"> costituire </w:t>
      </w:r>
      <w:r w:rsidRPr="00D50EEB">
        <w:rPr>
          <w:rFonts w:ascii="Garamond" w:hAnsi="Garamond"/>
          <w:b/>
          <w:bCs/>
          <w:i/>
          <w:iCs/>
          <w:sz w:val="24"/>
          <w:szCs w:val="24"/>
        </w:rPr>
        <w:t xml:space="preserve">ma solo </w:t>
      </w:r>
      <w:r w:rsidR="00A87486" w:rsidRPr="00D50EEB">
        <w:rPr>
          <w:rFonts w:ascii="Garamond" w:hAnsi="Garamond"/>
          <w:b/>
          <w:bCs/>
          <w:i/>
          <w:iCs/>
          <w:sz w:val="24"/>
          <w:szCs w:val="24"/>
        </w:rPr>
        <w:t>uno dei</w:t>
      </w:r>
      <w:r w:rsidR="004902CA" w:rsidRPr="00D50EEB">
        <w:rPr>
          <w:rFonts w:ascii="Garamond" w:hAnsi="Garamond"/>
          <w:b/>
          <w:bCs/>
          <w:i/>
          <w:iCs/>
          <w:sz w:val="24"/>
          <w:szCs w:val="24"/>
        </w:rPr>
        <w:t xml:space="preserve"> presuppost</w:t>
      </w:r>
      <w:r w:rsidR="00A87486" w:rsidRPr="00D50EEB">
        <w:rPr>
          <w:rFonts w:ascii="Garamond" w:hAnsi="Garamond"/>
          <w:b/>
          <w:bCs/>
          <w:i/>
          <w:iCs/>
          <w:sz w:val="24"/>
          <w:szCs w:val="24"/>
        </w:rPr>
        <w:t>i</w:t>
      </w:r>
      <w:r w:rsidR="004902CA">
        <w:rPr>
          <w:rFonts w:ascii="Garamond" w:hAnsi="Garamond"/>
          <w:sz w:val="24"/>
          <w:szCs w:val="24"/>
        </w:rPr>
        <w:t xml:space="preserve"> perché </w:t>
      </w:r>
      <w:r w:rsidR="00A87486">
        <w:rPr>
          <w:rFonts w:ascii="Garamond" w:hAnsi="Garamond"/>
          <w:sz w:val="24"/>
          <w:szCs w:val="24"/>
        </w:rPr>
        <w:t xml:space="preserve">il soggetto </w:t>
      </w:r>
      <w:r w:rsidR="004902CA">
        <w:rPr>
          <w:rFonts w:ascii="Garamond" w:hAnsi="Garamond"/>
          <w:sz w:val="24"/>
          <w:szCs w:val="24"/>
        </w:rPr>
        <w:t xml:space="preserve">possa ricevere </w:t>
      </w:r>
      <w:r>
        <w:rPr>
          <w:rFonts w:ascii="Garamond" w:hAnsi="Garamond"/>
          <w:sz w:val="24"/>
          <w:szCs w:val="24"/>
        </w:rPr>
        <w:t xml:space="preserve">alla fine </w:t>
      </w:r>
      <w:r w:rsidR="004902CA">
        <w:rPr>
          <w:rFonts w:ascii="Garamond" w:hAnsi="Garamond"/>
          <w:sz w:val="24"/>
          <w:szCs w:val="24"/>
        </w:rPr>
        <w:t xml:space="preserve">il bene della vita </w:t>
      </w:r>
      <w:r w:rsidR="00A87486">
        <w:rPr>
          <w:rFonts w:ascii="Garamond" w:hAnsi="Garamond"/>
          <w:sz w:val="24"/>
          <w:szCs w:val="24"/>
        </w:rPr>
        <w:t xml:space="preserve">o l’utilità </w:t>
      </w:r>
      <w:r w:rsidR="004902CA">
        <w:rPr>
          <w:rFonts w:ascii="Garamond" w:hAnsi="Garamond"/>
          <w:sz w:val="24"/>
          <w:szCs w:val="24"/>
        </w:rPr>
        <w:t>auspicat</w:t>
      </w:r>
      <w:r w:rsidR="00B37E9A">
        <w:rPr>
          <w:rFonts w:ascii="Garamond" w:hAnsi="Garamond"/>
          <w:sz w:val="24"/>
          <w:szCs w:val="24"/>
        </w:rPr>
        <w:t>a (</w:t>
      </w:r>
      <w:r w:rsidR="00B37E9A">
        <w:rPr>
          <w:rStyle w:val="Rimandonotaapidipagina"/>
          <w:rFonts w:ascii="Garamond" w:hAnsi="Garamond"/>
          <w:sz w:val="24"/>
          <w:szCs w:val="24"/>
        </w:rPr>
        <w:footnoteReference w:id="7"/>
      </w:r>
      <w:r w:rsidR="00B37E9A">
        <w:rPr>
          <w:rFonts w:ascii="Garamond" w:hAnsi="Garamond"/>
          <w:sz w:val="24"/>
          <w:szCs w:val="24"/>
        </w:rPr>
        <w:t>).</w:t>
      </w:r>
    </w:p>
    <w:p w:rsidR="004902CA" w:rsidRDefault="004902CA" w:rsidP="007559C6">
      <w:pPr>
        <w:rPr>
          <w:rFonts w:ascii="Garamond" w:hAnsi="Garamond"/>
          <w:sz w:val="24"/>
          <w:szCs w:val="24"/>
        </w:rPr>
      </w:pPr>
      <w:r>
        <w:rPr>
          <w:rFonts w:ascii="Garamond" w:hAnsi="Garamond"/>
          <w:sz w:val="24"/>
          <w:szCs w:val="24"/>
        </w:rPr>
        <w:t>Nei rapporti di diritto pubblico, le cose non si pongono in forma totalmente divers</w:t>
      </w:r>
      <w:r w:rsidR="00EF377D">
        <w:rPr>
          <w:rFonts w:ascii="Garamond" w:hAnsi="Garamond"/>
          <w:sz w:val="24"/>
          <w:szCs w:val="24"/>
        </w:rPr>
        <w:t>a</w:t>
      </w:r>
      <w:r>
        <w:rPr>
          <w:rFonts w:ascii="Garamond" w:hAnsi="Garamond"/>
          <w:sz w:val="24"/>
          <w:szCs w:val="24"/>
        </w:rPr>
        <w:t>.</w:t>
      </w:r>
    </w:p>
    <w:p w:rsidR="004902CA" w:rsidRDefault="004902CA" w:rsidP="007559C6">
      <w:pPr>
        <w:rPr>
          <w:rFonts w:ascii="Garamond" w:hAnsi="Garamond"/>
          <w:sz w:val="24"/>
          <w:szCs w:val="24"/>
        </w:rPr>
      </w:pPr>
      <w:r>
        <w:rPr>
          <w:rFonts w:ascii="Garamond" w:hAnsi="Garamond"/>
          <w:sz w:val="24"/>
          <w:szCs w:val="24"/>
        </w:rPr>
        <w:t>Anche in essi, una aggiudicazione già decretata e poi illegittimamente annullata</w:t>
      </w:r>
      <w:r w:rsidR="00A87486">
        <w:rPr>
          <w:rFonts w:ascii="Garamond" w:hAnsi="Garamond"/>
          <w:sz w:val="24"/>
          <w:szCs w:val="24"/>
        </w:rPr>
        <w:t xml:space="preserve"> o per la quale non si è addivenuti alla concl</w:t>
      </w:r>
      <w:r w:rsidR="00CB4DEC">
        <w:rPr>
          <w:rFonts w:ascii="Garamond" w:hAnsi="Garamond"/>
          <w:sz w:val="24"/>
          <w:szCs w:val="24"/>
        </w:rPr>
        <w:t>usione del successivo contratto</w:t>
      </w:r>
      <w:r w:rsidR="006C58C3">
        <w:rPr>
          <w:rFonts w:ascii="Garamond" w:hAnsi="Garamond"/>
          <w:sz w:val="24"/>
          <w:szCs w:val="24"/>
        </w:rPr>
        <w:t xml:space="preserve"> </w:t>
      </w:r>
      <w:r>
        <w:rPr>
          <w:rFonts w:ascii="Garamond" w:hAnsi="Garamond"/>
          <w:sz w:val="24"/>
          <w:szCs w:val="24"/>
        </w:rPr>
        <w:t xml:space="preserve">va equiparata alla lesione di un diritto già acquisito al soggetto, con tutti gli effetti che ne conseguono. </w:t>
      </w:r>
      <w:r w:rsidR="00EF377D">
        <w:rPr>
          <w:rFonts w:ascii="Garamond" w:hAnsi="Garamond"/>
          <w:sz w:val="24"/>
          <w:szCs w:val="24"/>
        </w:rPr>
        <w:t xml:space="preserve">Di qui la responsabilità extra-contrattuale della P.A. </w:t>
      </w:r>
      <w:r>
        <w:rPr>
          <w:rFonts w:ascii="Garamond" w:hAnsi="Garamond"/>
          <w:sz w:val="24"/>
          <w:szCs w:val="24"/>
        </w:rPr>
        <w:t xml:space="preserve">Ove </w:t>
      </w:r>
      <w:r w:rsidR="00EF377D">
        <w:rPr>
          <w:rFonts w:ascii="Garamond" w:hAnsi="Garamond"/>
          <w:sz w:val="24"/>
          <w:szCs w:val="24"/>
        </w:rPr>
        <w:t xml:space="preserve">invece l’aggiudicazione </w:t>
      </w:r>
      <w:r w:rsidR="00E339B7">
        <w:rPr>
          <w:rFonts w:ascii="Garamond" w:hAnsi="Garamond"/>
          <w:sz w:val="24"/>
          <w:szCs w:val="24"/>
        </w:rPr>
        <w:t xml:space="preserve">non sia ancora avvenuta, ma ove ne sussistano </w:t>
      </w:r>
      <w:r w:rsidR="00A87486">
        <w:rPr>
          <w:rFonts w:ascii="Garamond" w:hAnsi="Garamond"/>
          <w:sz w:val="24"/>
          <w:szCs w:val="24"/>
        </w:rPr>
        <w:t xml:space="preserve">tutti </w:t>
      </w:r>
      <w:r w:rsidR="00E339B7">
        <w:rPr>
          <w:rFonts w:ascii="Garamond" w:hAnsi="Garamond"/>
          <w:sz w:val="24"/>
          <w:szCs w:val="24"/>
        </w:rPr>
        <w:t xml:space="preserve">i presupposti, illegittimamente negati dalla P.A., si può sempre ragionare in termini di lesione di una </w:t>
      </w:r>
      <w:r w:rsidR="00E339B7" w:rsidRPr="00E339B7">
        <w:rPr>
          <w:rFonts w:ascii="Garamond" w:hAnsi="Garamond"/>
          <w:b/>
          <w:bCs/>
          <w:i/>
          <w:iCs/>
          <w:sz w:val="24"/>
          <w:szCs w:val="24"/>
        </w:rPr>
        <w:t>chance</w:t>
      </w:r>
      <w:r w:rsidR="00E339B7">
        <w:rPr>
          <w:rFonts w:ascii="Garamond" w:hAnsi="Garamond"/>
          <w:sz w:val="24"/>
          <w:szCs w:val="24"/>
        </w:rPr>
        <w:t xml:space="preserve">, che ha ormai la consistenza di un </w:t>
      </w:r>
      <w:r w:rsidR="00A87486">
        <w:rPr>
          <w:rFonts w:ascii="Garamond" w:hAnsi="Garamond"/>
          <w:sz w:val="24"/>
          <w:szCs w:val="24"/>
        </w:rPr>
        <w:t>bene patrimoniale già acquisito al soggetto</w:t>
      </w:r>
      <w:r w:rsidR="00BD5B32">
        <w:rPr>
          <w:rFonts w:ascii="Garamond" w:hAnsi="Garamond"/>
          <w:sz w:val="24"/>
          <w:szCs w:val="24"/>
        </w:rPr>
        <w:t xml:space="preserve"> (</w:t>
      </w:r>
      <w:r w:rsidR="00BD5B32">
        <w:rPr>
          <w:rStyle w:val="Rimandonotaapidipagina"/>
          <w:rFonts w:ascii="Garamond" w:hAnsi="Garamond"/>
          <w:sz w:val="24"/>
          <w:szCs w:val="24"/>
        </w:rPr>
        <w:footnoteReference w:id="8"/>
      </w:r>
      <w:r w:rsidR="00BD5B32">
        <w:rPr>
          <w:rFonts w:ascii="Garamond" w:hAnsi="Garamond"/>
          <w:sz w:val="24"/>
          <w:szCs w:val="24"/>
        </w:rPr>
        <w:t>)</w:t>
      </w:r>
      <w:r w:rsidR="00E339B7">
        <w:rPr>
          <w:rFonts w:ascii="Garamond" w:hAnsi="Garamond"/>
          <w:sz w:val="24"/>
          <w:szCs w:val="24"/>
        </w:rPr>
        <w:t>.</w:t>
      </w:r>
    </w:p>
    <w:p w:rsidR="00EF377D" w:rsidRDefault="00EF377D" w:rsidP="007559C6">
      <w:pPr>
        <w:rPr>
          <w:rFonts w:ascii="Garamond" w:hAnsi="Garamond"/>
          <w:sz w:val="24"/>
          <w:szCs w:val="24"/>
        </w:rPr>
      </w:pPr>
      <w:r>
        <w:rPr>
          <w:rFonts w:ascii="Garamond" w:hAnsi="Garamond"/>
          <w:sz w:val="24"/>
          <w:szCs w:val="24"/>
        </w:rPr>
        <w:t xml:space="preserve">Resta quale terza fattispecie quella della responsabilità </w:t>
      </w:r>
      <w:r w:rsidRPr="00EF377D">
        <w:rPr>
          <w:rFonts w:ascii="Garamond" w:hAnsi="Garamond"/>
          <w:b/>
          <w:bCs/>
          <w:i/>
          <w:iCs/>
          <w:sz w:val="24"/>
          <w:szCs w:val="24"/>
        </w:rPr>
        <w:t>da affidamento</w:t>
      </w:r>
      <w:r>
        <w:rPr>
          <w:rFonts w:ascii="Garamond" w:hAnsi="Garamond"/>
          <w:sz w:val="24"/>
          <w:szCs w:val="24"/>
        </w:rPr>
        <w:t xml:space="preserve"> nel comportamento della P.A.</w:t>
      </w:r>
    </w:p>
    <w:p w:rsidR="00E339B7" w:rsidRDefault="00EF377D" w:rsidP="007559C6">
      <w:pPr>
        <w:rPr>
          <w:rFonts w:ascii="Garamond" w:hAnsi="Garamond"/>
          <w:sz w:val="24"/>
          <w:szCs w:val="24"/>
        </w:rPr>
      </w:pPr>
      <w:r>
        <w:rPr>
          <w:rFonts w:ascii="Garamond" w:hAnsi="Garamond"/>
          <w:sz w:val="24"/>
          <w:szCs w:val="24"/>
        </w:rPr>
        <w:t>Quanto a quest’ultima</w:t>
      </w:r>
      <w:r w:rsidR="00A87486">
        <w:rPr>
          <w:rFonts w:ascii="Garamond" w:hAnsi="Garamond"/>
          <w:sz w:val="24"/>
          <w:szCs w:val="24"/>
        </w:rPr>
        <w:t xml:space="preserve">, va dunque ribadito come </w:t>
      </w:r>
      <w:r w:rsidR="00E339B7">
        <w:rPr>
          <w:rFonts w:ascii="Garamond" w:hAnsi="Garamond"/>
          <w:sz w:val="24"/>
          <w:szCs w:val="24"/>
        </w:rPr>
        <w:t>non sussist</w:t>
      </w:r>
      <w:r w:rsidR="008246A0">
        <w:rPr>
          <w:rFonts w:ascii="Garamond" w:hAnsi="Garamond"/>
          <w:sz w:val="24"/>
          <w:szCs w:val="24"/>
        </w:rPr>
        <w:t>endo già</w:t>
      </w:r>
      <w:r w:rsidR="00E339B7">
        <w:rPr>
          <w:rFonts w:ascii="Garamond" w:hAnsi="Garamond"/>
          <w:sz w:val="24"/>
          <w:szCs w:val="24"/>
        </w:rPr>
        <w:t xml:space="preserve"> una situazione soggettiva già chiaramente delineata ma </w:t>
      </w:r>
      <w:r w:rsidR="008246A0">
        <w:rPr>
          <w:rFonts w:ascii="Garamond" w:hAnsi="Garamond"/>
          <w:sz w:val="24"/>
          <w:szCs w:val="24"/>
        </w:rPr>
        <w:t xml:space="preserve">essendosi </w:t>
      </w:r>
      <w:r w:rsidR="00E339B7">
        <w:rPr>
          <w:rFonts w:ascii="Garamond" w:hAnsi="Garamond"/>
          <w:sz w:val="24"/>
          <w:szCs w:val="24"/>
        </w:rPr>
        <w:t xml:space="preserve">ancora nel campo di situazioni </w:t>
      </w:r>
      <w:r w:rsidR="00E339B7" w:rsidRPr="00E339B7">
        <w:rPr>
          <w:rFonts w:ascii="Garamond" w:hAnsi="Garamond"/>
          <w:b/>
          <w:bCs/>
          <w:i/>
          <w:iCs/>
          <w:sz w:val="24"/>
          <w:szCs w:val="24"/>
        </w:rPr>
        <w:t>in fieri</w:t>
      </w:r>
      <w:r w:rsidR="00E339B7">
        <w:rPr>
          <w:rFonts w:ascii="Garamond" w:hAnsi="Garamond"/>
          <w:sz w:val="24"/>
          <w:szCs w:val="24"/>
        </w:rPr>
        <w:t>, che attendono il</w:t>
      </w:r>
      <w:r w:rsidR="0018247F">
        <w:rPr>
          <w:rFonts w:ascii="Garamond" w:hAnsi="Garamond"/>
          <w:sz w:val="24"/>
          <w:szCs w:val="24"/>
        </w:rPr>
        <w:t xml:space="preserve"> maturarsi del procedimento amministrati</w:t>
      </w:r>
      <w:r w:rsidR="00E339B7">
        <w:rPr>
          <w:rFonts w:ascii="Garamond" w:hAnsi="Garamond"/>
          <w:sz w:val="24"/>
          <w:szCs w:val="24"/>
        </w:rPr>
        <w:t xml:space="preserve">vo, entrano in campo non solo le norme di legge da seguire ma anche </w:t>
      </w:r>
      <w:r w:rsidR="00E339B7" w:rsidRPr="00D50EEB">
        <w:rPr>
          <w:rFonts w:ascii="Garamond" w:hAnsi="Garamond"/>
          <w:b/>
          <w:bCs/>
          <w:i/>
          <w:iCs/>
          <w:sz w:val="24"/>
          <w:szCs w:val="24"/>
        </w:rPr>
        <w:t>doveri di comportamento o di condotta</w:t>
      </w:r>
      <w:r w:rsidR="00E339B7">
        <w:rPr>
          <w:rFonts w:ascii="Garamond" w:hAnsi="Garamond"/>
          <w:sz w:val="24"/>
          <w:szCs w:val="24"/>
        </w:rPr>
        <w:t>, a fronte di in</w:t>
      </w:r>
      <w:r w:rsidR="0018247F">
        <w:rPr>
          <w:rFonts w:ascii="Garamond" w:hAnsi="Garamond"/>
          <w:sz w:val="24"/>
          <w:szCs w:val="24"/>
        </w:rPr>
        <w:t>teressi del soggetto con cui l’Amministrazione</w:t>
      </w:r>
      <w:r w:rsidR="00E339B7">
        <w:rPr>
          <w:rFonts w:ascii="Garamond" w:hAnsi="Garamond"/>
          <w:sz w:val="24"/>
          <w:szCs w:val="24"/>
        </w:rPr>
        <w:t xml:space="preserve"> è entrata in rapporto e che possono avere veste di diritti soggettivi o di interesse giuridicamente </w:t>
      </w:r>
      <w:r w:rsidR="00A87486">
        <w:rPr>
          <w:rFonts w:ascii="Garamond" w:hAnsi="Garamond"/>
          <w:sz w:val="24"/>
          <w:szCs w:val="24"/>
        </w:rPr>
        <w:t>protetti</w:t>
      </w:r>
      <w:r w:rsidR="00E339B7">
        <w:rPr>
          <w:rFonts w:ascii="Garamond" w:hAnsi="Garamond"/>
          <w:sz w:val="24"/>
          <w:szCs w:val="24"/>
        </w:rPr>
        <w:t>.</w:t>
      </w:r>
    </w:p>
    <w:p w:rsidR="00E339B7" w:rsidRDefault="00E339B7" w:rsidP="007559C6">
      <w:pPr>
        <w:rPr>
          <w:rFonts w:ascii="Garamond" w:hAnsi="Garamond"/>
          <w:sz w:val="24"/>
          <w:szCs w:val="24"/>
        </w:rPr>
      </w:pPr>
      <w:r>
        <w:rPr>
          <w:rFonts w:ascii="Garamond" w:hAnsi="Garamond"/>
          <w:sz w:val="24"/>
          <w:szCs w:val="24"/>
        </w:rPr>
        <w:t xml:space="preserve">E’ codesto il macro - settore </w:t>
      </w:r>
      <w:r w:rsidRPr="00A87486">
        <w:rPr>
          <w:rFonts w:ascii="Garamond" w:hAnsi="Garamond"/>
          <w:b/>
          <w:bCs/>
          <w:i/>
          <w:iCs/>
          <w:sz w:val="24"/>
          <w:szCs w:val="24"/>
        </w:rPr>
        <w:t>dell’affidamento</w:t>
      </w:r>
      <w:r>
        <w:rPr>
          <w:rFonts w:ascii="Garamond" w:hAnsi="Garamond"/>
          <w:sz w:val="24"/>
          <w:szCs w:val="24"/>
        </w:rPr>
        <w:t>, che anche i rapporti di diritto pubblico possono creare nei soggetti ad esso sottoposti</w:t>
      </w:r>
      <w:r w:rsidR="00BD5B32">
        <w:rPr>
          <w:rFonts w:ascii="Garamond" w:hAnsi="Garamond"/>
          <w:sz w:val="24"/>
          <w:szCs w:val="24"/>
        </w:rPr>
        <w:t xml:space="preserve"> (</w:t>
      </w:r>
      <w:r w:rsidR="00BD5B32">
        <w:rPr>
          <w:rStyle w:val="Rimandonotaapidipagina"/>
          <w:rFonts w:ascii="Garamond" w:hAnsi="Garamond"/>
          <w:sz w:val="24"/>
          <w:szCs w:val="24"/>
        </w:rPr>
        <w:footnoteReference w:id="9"/>
      </w:r>
      <w:r w:rsidR="00BD5B32">
        <w:rPr>
          <w:rFonts w:ascii="Garamond" w:hAnsi="Garamond"/>
          <w:sz w:val="24"/>
          <w:szCs w:val="24"/>
        </w:rPr>
        <w:t>)</w:t>
      </w:r>
      <w:r>
        <w:rPr>
          <w:rFonts w:ascii="Garamond" w:hAnsi="Garamond"/>
          <w:sz w:val="24"/>
          <w:szCs w:val="24"/>
        </w:rPr>
        <w:t>.</w:t>
      </w:r>
    </w:p>
    <w:p w:rsidR="00E339B7" w:rsidRDefault="00E339B7" w:rsidP="004C6C48">
      <w:pPr>
        <w:rPr>
          <w:rFonts w:ascii="Garamond" w:hAnsi="Garamond"/>
          <w:sz w:val="24"/>
          <w:szCs w:val="24"/>
        </w:rPr>
      </w:pPr>
      <w:r>
        <w:rPr>
          <w:rFonts w:ascii="Garamond" w:hAnsi="Garamond"/>
          <w:sz w:val="24"/>
          <w:szCs w:val="24"/>
        </w:rPr>
        <w:t>L</w:t>
      </w:r>
      <w:r w:rsidR="00743BA6" w:rsidRPr="007559C6">
        <w:rPr>
          <w:rFonts w:ascii="Garamond" w:hAnsi="Garamond"/>
          <w:sz w:val="24"/>
          <w:szCs w:val="24"/>
        </w:rPr>
        <w:t xml:space="preserve">’oggetto del presente contributo si confronta esclusivamente </w:t>
      </w:r>
      <w:r w:rsidR="00743BA6" w:rsidRPr="007559C6">
        <w:rPr>
          <w:rFonts w:ascii="Garamond" w:hAnsi="Garamond"/>
          <w:b/>
          <w:bCs/>
          <w:i/>
          <w:iCs/>
          <w:sz w:val="24"/>
          <w:szCs w:val="24"/>
        </w:rPr>
        <w:t xml:space="preserve">con la </w:t>
      </w:r>
      <w:r>
        <w:rPr>
          <w:rFonts w:ascii="Garamond" w:hAnsi="Garamond"/>
          <w:b/>
          <w:bCs/>
          <w:i/>
          <w:iCs/>
          <w:sz w:val="24"/>
          <w:szCs w:val="24"/>
        </w:rPr>
        <w:t>fattispecie</w:t>
      </w:r>
      <w:r w:rsidR="006C58C3">
        <w:rPr>
          <w:rFonts w:ascii="Garamond" w:hAnsi="Garamond"/>
          <w:b/>
          <w:bCs/>
          <w:i/>
          <w:iCs/>
          <w:sz w:val="24"/>
          <w:szCs w:val="24"/>
        </w:rPr>
        <w:t xml:space="preserve"> </w:t>
      </w:r>
      <w:r w:rsidRPr="00D50EEB">
        <w:rPr>
          <w:rFonts w:ascii="Garamond" w:hAnsi="Garamond"/>
          <w:b/>
          <w:bCs/>
          <w:i/>
          <w:iCs/>
          <w:sz w:val="24"/>
          <w:szCs w:val="24"/>
        </w:rPr>
        <w:t>dell’affidamento</w:t>
      </w:r>
      <w:r>
        <w:rPr>
          <w:rFonts w:ascii="Garamond" w:hAnsi="Garamond"/>
          <w:sz w:val="24"/>
          <w:szCs w:val="24"/>
        </w:rPr>
        <w:t xml:space="preserve"> riposto dal privato e che si colloca in una </w:t>
      </w:r>
      <w:r w:rsidR="00CB4DEC">
        <w:rPr>
          <w:rFonts w:ascii="Garamond" w:hAnsi="Garamond"/>
          <w:sz w:val="24"/>
          <w:szCs w:val="24"/>
        </w:rPr>
        <w:t>zona</w:t>
      </w:r>
      <w:r>
        <w:rPr>
          <w:rFonts w:ascii="Garamond" w:hAnsi="Garamond"/>
          <w:sz w:val="24"/>
          <w:szCs w:val="24"/>
        </w:rPr>
        <w:t xml:space="preserve">, che si può definire </w:t>
      </w:r>
      <w:r w:rsidR="00D50EEB">
        <w:rPr>
          <w:rFonts w:ascii="Garamond" w:hAnsi="Garamond"/>
          <w:b/>
          <w:bCs/>
          <w:i/>
          <w:iCs/>
          <w:sz w:val="24"/>
          <w:szCs w:val="24"/>
        </w:rPr>
        <w:t xml:space="preserve">a mezza strada </w:t>
      </w:r>
      <w:r>
        <w:rPr>
          <w:rFonts w:ascii="Garamond" w:hAnsi="Garamond"/>
          <w:sz w:val="24"/>
          <w:szCs w:val="24"/>
        </w:rPr>
        <w:t xml:space="preserve">perché a cavallo tra l’interesse pubblico e quello privato. Di qui anche il titolo del presente </w:t>
      </w:r>
      <w:r w:rsidR="00EF377D">
        <w:rPr>
          <w:rFonts w:ascii="Garamond" w:hAnsi="Garamond"/>
          <w:sz w:val="24"/>
          <w:szCs w:val="24"/>
        </w:rPr>
        <w:t>C</w:t>
      </w:r>
      <w:r>
        <w:rPr>
          <w:rFonts w:ascii="Garamond" w:hAnsi="Garamond"/>
          <w:sz w:val="24"/>
          <w:szCs w:val="24"/>
        </w:rPr>
        <w:t>ontributo.</w:t>
      </w:r>
    </w:p>
    <w:p w:rsidR="00207FCB" w:rsidRDefault="0018247F" w:rsidP="001D5672">
      <w:pPr>
        <w:rPr>
          <w:rFonts w:ascii="Garamond" w:hAnsi="Garamond"/>
          <w:sz w:val="24"/>
          <w:szCs w:val="24"/>
        </w:rPr>
      </w:pPr>
      <w:r>
        <w:rPr>
          <w:rFonts w:ascii="Garamond" w:hAnsi="Garamond"/>
          <w:sz w:val="24"/>
          <w:szCs w:val="24"/>
        </w:rPr>
        <w:t xml:space="preserve">3.  </w:t>
      </w:r>
      <w:r w:rsidR="00207FCB" w:rsidRPr="00207FCB">
        <w:rPr>
          <w:rFonts w:ascii="Garamond" w:hAnsi="Garamond"/>
          <w:b/>
          <w:bCs/>
          <w:iCs/>
          <w:sz w:val="24"/>
          <w:szCs w:val="24"/>
        </w:rPr>
        <w:t>La responsabilità da affidamento</w:t>
      </w:r>
      <w:r w:rsidR="00207FCB">
        <w:rPr>
          <w:rFonts w:ascii="Garamond" w:hAnsi="Garamond"/>
          <w:b/>
          <w:bCs/>
          <w:iCs/>
          <w:sz w:val="24"/>
          <w:szCs w:val="24"/>
        </w:rPr>
        <w:t>.</w:t>
      </w:r>
    </w:p>
    <w:p w:rsidR="00130D2B" w:rsidRPr="0018247F" w:rsidRDefault="0018247F" w:rsidP="00207FCB">
      <w:pPr>
        <w:rPr>
          <w:rFonts w:ascii="Garamond" w:hAnsi="Garamond"/>
          <w:sz w:val="24"/>
          <w:szCs w:val="24"/>
        </w:rPr>
      </w:pPr>
      <w:r>
        <w:rPr>
          <w:rFonts w:ascii="Garamond" w:hAnsi="Garamond"/>
          <w:sz w:val="24"/>
          <w:szCs w:val="24"/>
        </w:rPr>
        <w:t>Qu</w:t>
      </w:r>
      <w:r w:rsidR="00130D2B" w:rsidRPr="0018247F">
        <w:rPr>
          <w:rFonts w:ascii="Garamond" w:hAnsi="Garamond"/>
          <w:sz w:val="24"/>
          <w:szCs w:val="24"/>
        </w:rPr>
        <w:t xml:space="preserve">anto </w:t>
      </w:r>
      <w:r w:rsidR="00E339B7" w:rsidRPr="0018247F">
        <w:rPr>
          <w:rFonts w:ascii="Garamond" w:hAnsi="Garamond"/>
          <w:sz w:val="24"/>
          <w:szCs w:val="24"/>
        </w:rPr>
        <w:t>dunque</w:t>
      </w:r>
      <w:r w:rsidR="00130D2B" w:rsidRPr="0018247F">
        <w:rPr>
          <w:rFonts w:ascii="Garamond" w:hAnsi="Garamond"/>
          <w:sz w:val="24"/>
          <w:szCs w:val="24"/>
        </w:rPr>
        <w:t xml:space="preserve"> alla </w:t>
      </w:r>
      <w:r w:rsidR="00E339B7" w:rsidRPr="0018247F">
        <w:rPr>
          <w:rFonts w:ascii="Garamond" w:hAnsi="Garamond"/>
          <w:sz w:val="24"/>
          <w:szCs w:val="24"/>
        </w:rPr>
        <w:t>fattispecie</w:t>
      </w:r>
      <w:r w:rsidR="00D50EEB" w:rsidRPr="0018247F">
        <w:rPr>
          <w:rFonts w:ascii="Garamond" w:hAnsi="Garamond"/>
          <w:sz w:val="24"/>
          <w:szCs w:val="24"/>
        </w:rPr>
        <w:t xml:space="preserve"> dell’affidamento</w:t>
      </w:r>
      <w:r w:rsidR="00130D2B" w:rsidRPr="0018247F">
        <w:rPr>
          <w:rFonts w:ascii="Garamond" w:hAnsi="Garamond"/>
          <w:sz w:val="24"/>
          <w:szCs w:val="24"/>
        </w:rPr>
        <w:t xml:space="preserve">, riguardante non più l’esercizio del pubblico potere bensì la più generale condotta della P.A. nel rapporto instaurato con il privato e quindi, come tale, fonte </w:t>
      </w:r>
      <w:r w:rsidR="00A87486" w:rsidRPr="0018247F">
        <w:rPr>
          <w:rFonts w:ascii="Garamond" w:hAnsi="Garamond"/>
          <w:sz w:val="24"/>
          <w:szCs w:val="24"/>
        </w:rPr>
        <w:t xml:space="preserve">eventuale </w:t>
      </w:r>
      <w:r w:rsidR="00130D2B" w:rsidRPr="0018247F">
        <w:rPr>
          <w:rFonts w:ascii="Garamond" w:hAnsi="Garamond"/>
          <w:sz w:val="24"/>
          <w:szCs w:val="24"/>
        </w:rPr>
        <w:t>di responsabilità, su di essa si sono arrovellate da tempo giurisprudenza e dottrina</w:t>
      </w:r>
      <w:r w:rsidR="004818D5" w:rsidRPr="0018247F">
        <w:rPr>
          <w:rFonts w:ascii="Garamond" w:hAnsi="Garamond"/>
          <w:sz w:val="24"/>
          <w:szCs w:val="24"/>
        </w:rPr>
        <w:t>,</w:t>
      </w:r>
      <w:r w:rsidR="00130D2B" w:rsidRPr="0018247F">
        <w:rPr>
          <w:rFonts w:ascii="Garamond" w:hAnsi="Garamond"/>
          <w:sz w:val="24"/>
          <w:szCs w:val="24"/>
        </w:rPr>
        <w:t xml:space="preserve"> specie avendo riguardo alla questione della alternativa tr</w:t>
      </w:r>
      <w:r w:rsidR="004C6C48" w:rsidRPr="0018247F">
        <w:rPr>
          <w:rFonts w:ascii="Garamond" w:hAnsi="Garamond"/>
          <w:sz w:val="24"/>
          <w:szCs w:val="24"/>
        </w:rPr>
        <w:t>a giurisdizione ordinaria e amministrati</w:t>
      </w:r>
      <w:r w:rsidR="00130D2B" w:rsidRPr="0018247F">
        <w:rPr>
          <w:rFonts w:ascii="Garamond" w:hAnsi="Garamond"/>
          <w:sz w:val="24"/>
          <w:szCs w:val="24"/>
        </w:rPr>
        <w:t>va.</w:t>
      </w:r>
    </w:p>
    <w:p w:rsidR="00130D2B" w:rsidRPr="004C6C48" w:rsidRDefault="00130D2B" w:rsidP="004C6C48">
      <w:pPr>
        <w:rPr>
          <w:rFonts w:ascii="Garamond" w:hAnsi="Garamond"/>
          <w:sz w:val="24"/>
          <w:szCs w:val="24"/>
        </w:rPr>
      </w:pPr>
      <w:r w:rsidRPr="004C6C48">
        <w:rPr>
          <w:rFonts w:ascii="Garamond" w:hAnsi="Garamond"/>
          <w:sz w:val="24"/>
          <w:szCs w:val="24"/>
        </w:rPr>
        <w:t>Dai fautori della sup</w:t>
      </w:r>
      <w:r w:rsidR="004C6C48">
        <w:rPr>
          <w:rFonts w:ascii="Garamond" w:hAnsi="Garamond"/>
          <w:sz w:val="24"/>
          <w:szCs w:val="24"/>
        </w:rPr>
        <w:t>remazia della giurisdizione amministrati</w:t>
      </w:r>
      <w:r w:rsidRPr="004C6C48">
        <w:rPr>
          <w:rFonts w:ascii="Garamond" w:hAnsi="Garamond"/>
          <w:sz w:val="24"/>
          <w:szCs w:val="24"/>
        </w:rPr>
        <w:t xml:space="preserve">va si è sempre sostenuto la difficoltà di distinguere tra </w:t>
      </w:r>
      <w:r w:rsidR="00EF377D">
        <w:rPr>
          <w:rFonts w:ascii="Garamond" w:hAnsi="Garamond"/>
          <w:sz w:val="24"/>
          <w:szCs w:val="24"/>
        </w:rPr>
        <w:t xml:space="preserve">la più generale </w:t>
      </w:r>
      <w:r w:rsidRPr="004C6C48">
        <w:rPr>
          <w:rFonts w:ascii="Garamond" w:hAnsi="Garamond"/>
          <w:sz w:val="24"/>
          <w:szCs w:val="24"/>
        </w:rPr>
        <w:t>condotta della P.A. e l’esercizio del pubblico potere, data la interferenza tra l’una e l’altra e l’impossibilità di ravvisare nella condotta una fonte di responsabilità</w:t>
      </w:r>
      <w:r w:rsidR="004818D5" w:rsidRPr="004C6C48">
        <w:rPr>
          <w:rFonts w:ascii="Garamond" w:hAnsi="Garamond"/>
          <w:sz w:val="24"/>
          <w:szCs w:val="24"/>
        </w:rPr>
        <w:t>,</w:t>
      </w:r>
      <w:r w:rsidRPr="004C6C48">
        <w:rPr>
          <w:rFonts w:ascii="Garamond" w:hAnsi="Garamond"/>
          <w:sz w:val="24"/>
          <w:szCs w:val="24"/>
        </w:rPr>
        <w:t xml:space="preserve"> a prescindere dall’esercizio del pubblico potere cui essa</w:t>
      </w:r>
      <w:r w:rsidR="00EF377D">
        <w:rPr>
          <w:rFonts w:ascii="Garamond" w:hAnsi="Garamond"/>
          <w:sz w:val="24"/>
          <w:szCs w:val="24"/>
        </w:rPr>
        <w:t xml:space="preserve">, in ultima analisi, </w:t>
      </w:r>
      <w:r w:rsidRPr="004C6C48">
        <w:rPr>
          <w:rFonts w:ascii="Garamond" w:hAnsi="Garamond"/>
          <w:sz w:val="24"/>
          <w:szCs w:val="24"/>
        </w:rPr>
        <w:t>è sempre collegata</w:t>
      </w:r>
      <w:r w:rsidR="00BD5B32">
        <w:rPr>
          <w:rFonts w:ascii="Garamond" w:hAnsi="Garamond"/>
          <w:sz w:val="24"/>
          <w:szCs w:val="24"/>
        </w:rPr>
        <w:t xml:space="preserve"> (</w:t>
      </w:r>
      <w:r w:rsidR="00BD5B32">
        <w:rPr>
          <w:rStyle w:val="Rimandonotaapidipagina"/>
          <w:rFonts w:ascii="Garamond" w:hAnsi="Garamond"/>
          <w:sz w:val="24"/>
          <w:szCs w:val="24"/>
        </w:rPr>
        <w:footnoteReference w:id="10"/>
      </w:r>
      <w:r w:rsidR="00BD5B32">
        <w:rPr>
          <w:rFonts w:ascii="Garamond" w:hAnsi="Garamond"/>
          <w:sz w:val="24"/>
          <w:szCs w:val="24"/>
        </w:rPr>
        <w:t>)</w:t>
      </w:r>
      <w:r w:rsidRPr="004C6C48">
        <w:rPr>
          <w:rFonts w:ascii="Garamond" w:hAnsi="Garamond"/>
          <w:sz w:val="24"/>
          <w:szCs w:val="24"/>
        </w:rPr>
        <w:t>.</w:t>
      </w:r>
    </w:p>
    <w:p w:rsidR="008246A0" w:rsidRDefault="00F805DE" w:rsidP="00130D2B">
      <w:pPr>
        <w:ind w:firstLine="708"/>
        <w:rPr>
          <w:rFonts w:ascii="Garamond" w:hAnsi="Garamond"/>
          <w:sz w:val="24"/>
          <w:szCs w:val="24"/>
        </w:rPr>
      </w:pPr>
      <w:r w:rsidRPr="00295363">
        <w:rPr>
          <w:rFonts w:ascii="Garamond" w:hAnsi="Garamond"/>
          <w:sz w:val="24"/>
          <w:szCs w:val="24"/>
        </w:rPr>
        <w:t>Eppure, codesto indirizzo</w:t>
      </w:r>
      <w:r w:rsidR="006C58C3">
        <w:rPr>
          <w:rFonts w:ascii="Garamond" w:hAnsi="Garamond"/>
          <w:sz w:val="24"/>
          <w:szCs w:val="24"/>
        </w:rPr>
        <w:t xml:space="preserve"> </w:t>
      </w:r>
      <w:r w:rsidR="00EF377D">
        <w:rPr>
          <w:rFonts w:ascii="Garamond" w:hAnsi="Garamond"/>
          <w:sz w:val="24"/>
          <w:szCs w:val="24"/>
        </w:rPr>
        <w:t>è persistito per lungo tempo</w:t>
      </w:r>
      <w:r w:rsidRPr="00295363">
        <w:rPr>
          <w:rFonts w:ascii="Garamond" w:hAnsi="Garamond"/>
          <w:sz w:val="24"/>
          <w:szCs w:val="24"/>
        </w:rPr>
        <w:t xml:space="preserve">, </w:t>
      </w:r>
      <w:r w:rsidR="00D153CC">
        <w:rPr>
          <w:rFonts w:ascii="Garamond" w:hAnsi="Garamond"/>
          <w:sz w:val="24"/>
          <w:szCs w:val="24"/>
        </w:rPr>
        <w:t xml:space="preserve">se ancora nel 2017 le Sezioni </w:t>
      </w:r>
      <w:r w:rsidR="004C6C48">
        <w:rPr>
          <w:rFonts w:ascii="Garamond" w:hAnsi="Garamond"/>
          <w:sz w:val="24"/>
          <w:szCs w:val="24"/>
        </w:rPr>
        <w:t xml:space="preserve">Unite della </w:t>
      </w:r>
      <w:r w:rsidR="00F61211">
        <w:rPr>
          <w:rFonts w:ascii="Garamond" w:hAnsi="Garamond"/>
          <w:sz w:val="24"/>
          <w:szCs w:val="24"/>
        </w:rPr>
        <w:t xml:space="preserve">Corte di </w:t>
      </w:r>
      <w:r w:rsidR="004C6C48">
        <w:rPr>
          <w:rFonts w:ascii="Garamond" w:hAnsi="Garamond"/>
          <w:sz w:val="24"/>
          <w:szCs w:val="24"/>
        </w:rPr>
        <w:t>Cassazione (</w:t>
      </w:r>
      <w:r w:rsidR="000A226E">
        <w:rPr>
          <w:rStyle w:val="Rimandonotaapidipagina"/>
          <w:rFonts w:ascii="Garamond" w:hAnsi="Garamond"/>
          <w:sz w:val="24"/>
          <w:szCs w:val="24"/>
        </w:rPr>
        <w:footnoteReference w:id="11"/>
      </w:r>
      <w:r w:rsidR="000A226E">
        <w:rPr>
          <w:rFonts w:ascii="Garamond" w:hAnsi="Garamond"/>
          <w:sz w:val="24"/>
          <w:szCs w:val="24"/>
        </w:rPr>
        <w:t>)</w:t>
      </w:r>
      <w:r w:rsidR="00D153CC">
        <w:rPr>
          <w:rFonts w:ascii="Garamond" w:hAnsi="Garamond"/>
          <w:sz w:val="24"/>
          <w:szCs w:val="24"/>
        </w:rPr>
        <w:t xml:space="preserve"> affermavano essere </w:t>
      </w:r>
      <w:proofErr w:type="spellStart"/>
      <w:r w:rsidR="00D153CC" w:rsidRPr="00D153CC">
        <w:rPr>
          <w:rFonts w:ascii="Garamond" w:hAnsi="Garamond"/>
          <w:b/>
          <w:bCs/>
          <w:i/>
          <w:iCs/>
          <w:sz w:val="24"/>
          <w:szCs w:val="24"/>
        </w:rPr>
        <w:t>jus</w:t>
      </w:r>
      <w:proofErr w:type="spellEnd"/>
      <w:r w:rsidR="006C58C3">
        <w:rPr>
          <w:rFonts w:ascii="Garamond" w:hAnsi="Garamond"/>
          <w:b/>
          <w:bCs/>
          <w:i/>
          <w:iCs/>
          <w:sz w:val="24"/>
          <w:szCs w:val="24"/>
        </w:rPr>
        <w:t xml:space="preserve"> </w:t>
      </w:r>
      <w:proofErr w:type="spellStart"/>
      <w:r w:rsidR="00D153CC" w:rsidRPr="00D153CC">
        <w:rPr>
          <w:rFonts w:ascii="Garamond" w:hAnsi="Garamond"/>
          <w:b/>
          <w:bCs/>
          <w:i/>
          <w:iCs/>
          <w:sz w:val="24"/>
          <w:szCs w:val="24"/>
        </w:rPr>
        <w:t>receptum</w:t>
      </w:r>
      <w:proofErr w:type="spellEnd"/>
      <w:r w:rsidR="004C6C48">
        <w:rPr>
          <w:rFonts w:ascii="Garamond" w:hAnsi="Garamond"/>
          <w:sz w:val="24"/>
          <w:szCs w:val="24"/>
        </w:rPr>
        <w:t xml:space="preserve"> che la responsabilità</w:t>
      </w:r>
      <w:r w:rsidR="00D153CC">
        <w:rPr>
          <w:rFonts w:ascii="Garamond" w:hAnsi="Garamond"/>
          <w:sz w:val="24"/>
          <w:szCs w:val="24"/>
        </w:rPr>
        <w:t xml:space="preserve"> precontrattuale della P.A. </w:t>
      </w:r>
      <w:r w:rsidR="00A87486">
        <w:rPr>
          <w:rFonts w:ascii="Garamond" w:hAnsi="Garamond"/>
          <w:sz w:val="24"/>
          <w:szCs w:val="24"/>
        </w:rPr>
        <w:t xml:space="preserve">ha riguardo </w:t>
      </w:r>
      <w:r w:rsidR="008246A0">
        <w:rPr>
          <w:rFonts w:ascii="Garamond" w:hAnsi="Garamond"/>
          <w:sz w:val="24"/>
          <w:szCs w:val="24"/>
        </w:rPr>
        <w:t xml:space="preserve">ma solo </w:t>
      </w:r>
      <w:r w:rsidR="00A87486">
        <w:rPr>
          <w:rFonts w:ascii="Garamond" w:hAnsi="Garamond"/>
          <w:sz w:val="24"/>
          <w:szCs w:val="24"/>
        </w:rPr>
        <w:t>all’</w:t>
      </w:r>
      <w:r w:rsidR="00D153CC">
        <w:rPr>
          <w:rFonts w:ascii="Garamond" w:hAnsi="Garamond"/>
          <w:sz w:val="24"/>
          <w:szCs w:val="24"/>
        </w:rPr>
        <w:t xml:space="preserve">agire </w:t>
      </w:r>
      <w:proofErr w:type="spellStart"/>
      <w:r w:rsidR="001C4F2B" w:rsidRPr="001C4F2B">
        <w:rPr>
          <w:rFonts w:ascii="Garamond" w:hAnsi="Garamond"/>
          <w:b/>
          <w:bCs/>
          <w:i/>
          <w:iCs/>
          <w:sz w:val="24"/>
          <w:szCs w:val="24"/>
        </w:rPr>
        <w:t>jure</w:t>
      </w:r>
      <w:proofErr w:type="spellEnd"/>
      <w:r w:rsidR="006C58C3">
        <w:rPr>
          <w:rFonts w:ascii="Garamond" w:hAnsi="Garamond"/>
          <w:b/>
          <w:bCs/>
          <w:i/>
          <w:iCs/>
          <w:sz w:val="24"/>
          <w:szCs w:val="24"/>
        </w:rPr>
        <w:t xml:space="preserve"> </w:t>
      </w:r>
      <w:proofErr w:type="spellStart"/>
      <w:r w:rsidR="006C58C3">
        <w:rPr>
          <w:rFonts w:ascii="Garamond" w:hAnsi="Garamond"/>
          <w:b/>
          <w:bCs/>
          <w:i/>
          <w:iCs/>
          <w:sz w:val="24"/>
          <w:szCs w:val="24"/>
        </w:rPr>
        <w:t>privatorum</w:t>
      </w:r>
      <w:proofErr w:type="spellEnd"/>
      <w:r w:rsidR="006C58C3">
        <w:rPr>
          <w:rFonts w:ascii="Garamond" w:hAnsi="Garamond"/>
          <w:b/>
          <w:bCs/>
          <w:i/>
          <w:iCs/>
          <w:sz w:val="24"/>
          <w:szCs w:val="24"/>
        </w:rPr>
        <w:t xml:space="preserve"> </w:t>
      </w:r>
      <w:r w:rsidR="00A87486">
        <w:rPr>
          <w:rFonts w:ascii="Garamond" w:hAnsi="Garamond"/>
          <w:sz w:val="24"/>
          <w:szCs w:val="24"/>
        </w:rPr>
        <w:t>della P.A</w:t>
      </w:r>
      <w:r w:rsidR="004C6C48" w:rsidRPr="004C6C48">
        <w:rPr>
          <w:rFonts w:ascii="Garamond" w:hAnsi="Garamond"/>
          <w:bCs/>
          <w:iCs/>
          <w:sz w:val="24"/>
          <w:szCs w:val="24"/>
        </w:rPr>
        <w:t>,</w:t>
      </w:r>
      <w:r w:rsidR="001C4F2B">
        <w:rPr>
          <w:rFonts w:ascii="Garamond" w:hAnsi="Garamond"/>
          <w:sz w:val="24"/>
          <w:szCs w:val="24"/>
        </w:rPr>
        <w:t xml:space="preserve"> in occasione di trattative finalizzate alla stipulazione di un contratto di diritto privato. </w:t>
      </w:r>
      <w:r w:rsidR="008246A0">
        <w:rPr>
          <w:rFonts w:ascii="Garamond" w:hAnsi="Garamond"/>
          <w:sz w:val="24"/>
          <w:szCs w:val="24"/>
        </w:rPr>
        <w:t>Occorre allora chiedersi: analoga tu</w:t>
      </w:r>
      <w:r w:rsidR="006C58C3">
        <w:rPr>
          <w:rFonts w:ascii="Garamond" w:hAnsi="Garamond"/>
          <w:sz w:val="24"/>
          <w:szCs w:val="24"/>
        </w:rPr>
        <w:t xml:space="preserve">tela è prevista </w:t>
      </w:r>
      <w:proofErr w:type="spellStart"/>
      <w:r w:rsidR="006C58C3">
        <w:rPr>
          <w:rFonts w:ascii="Garamond" w:hAnsi="Garamond"/>
          <w:sz w:val="24"/>
          <w:szCs w:val="24"/>
        </w:rPr>
        <w:t>allorchè</w:t>
      </w:r>
      <w:proofErr w:type="spellEnd"/>
      <w:r w:rsidR="006C58C3">
        <w:rPr>
          <w:rFonts w:ascii="Garamond" w:hAnsi="Garamond"/>
          <w:sz w:val="24"/>
          <w:szCs w:val="24"/>
        </w:rPr>
        <w:t xml:space="preserve"> l’Amministrazion</w:t>
      </w:r>
      <w:r w:rsidR="008246A0">
        <w:rPr>
          <w:rFonts w:ascii="Garamond" w:hAnsi="Garamond"/>
          <w:sz w:val="24"/>
          <w:szCs w:val="24"/>
        </w:rPr>
        <w:t>e ha agito in base al proprio potere di supremazia, rispetto al quale, con il limite del rispetto della norma di legge</w:t>
      </w:r>
      <w:r w:rsidR="00F349E9">
        <w:rPr>
          <w:rFonts w:ascii="Garamond" w:hAnsi="Garamond"/>
          <w:sz w:val="24"/>
          <w:szCs w:val="24"/>
        </w:rPr>
        <w:t>,</w:t>
      </w:r>
      <w:r w:rsidR="008246A0">
        <w:rPr>
          <w:rFonts w:ascii="Garamond" w:hAnsi="Garamond"/>
          <w:sz w:val="24"/>
          <w:szCs w:val="24"/>
        </w:rPr>
        <w:t xml:space="preserve"> è soggetto il privato? </w:t>
      </w:r>
    </w:p>
    <w:p w:rsidR="00D153CC" w:rsidRDefault="00E82EDD" w:rsidP="00130D2B">
      <w:pPr>
        <w:ind w:firstLine="708"/>
        <w:rPr>
          <w:rFonts w:ascii="Garamond" w:hAnsi="Garamond"/>
          <w:sz w:val="24"/>
          <w:szCs w:val="24"/>
        </w:rPr>
      </w:pPr>
      <w:r>
        <w:rPr>
          <w:rFonts w:ascii="Garamond" w:hAnsi="Garamond"/>
          <w:sz w:val="24"/>
          <w:szCs w:val="24"/>
        </w:rPr>
        <w:t xml:space="preserve">Ebbene, a fronte di tale visuale, portata a negare che, anche nei rapporti nei quali la P.A. agisce quale soggetto investito di autorità, </w:t>
      </w:r>
      <w:r w:rsidR="008246A0">
        <w:rPr>
          <w:rFonts w:ascii="Garamond" w:hAnsi="Garamond"/>
          <w:sz w:val="24"/>
          <w:szCs w:val="24"/>
        </w:rPr>
        <w:t xml:space="preserve">sia prevista una tutela del privato al di là del proprio interesse legittimo, </w:t>
      </w:r>
      <w:r>
        <w:rPr>
          <w:rFonts w:ascii="Garamond" w:hAnsi="Garamond"/>
          <w:sz w:val="24"/>
          <w:szCs w:val="24"/>
        </w:rPr>
        <w:t>si è venuta evolvendo una diversa visuale che avendo riguardo, in primo luogo, al fatto che, a prescindere dall’atto fin</w:t>
      </w:r>
      <w:r w:rsidR="006C58C3">
        <w:rPr>
          <w:rFonts w:ascii="Garamond" w:hAnsi="Garamond"/>
          <w:sz w:val="24"/>
          <w:szCs w:val="24"/>
        </w:rPr>
        <w:t>ale autoritativo, con cui l’A</w:t>
      </w:r>
      <w:r w:rsidR="00CB4DEC">
        <w:rPr>
          <w:rFonts w:ascii="Garamond" w:hAnsi="Garamond"/>
          <w:sz w:val="24"/>
          <w:szCs w:val="24"/>
        </w:rPr>
        <w:t>mministrazio</w:t>
      </w:r>
      <w:r>
        <w:rPr>
          <w:rFonts w:ascii="Garamond" w:hAnsi="Garamond"/>
          <w:sz w:val="24"/>
          <w:szCs w:val="24"/>
        </w:rPr>
        <w:t xml:space="preserve">ne esercita il pubblico – potere, esiste pur tuttavia </w:t>
      </w:r>
      <w:r w:rsidRPr="00EF377D">
        <w:rPr>
          <w:rFonts w:ascii="Garamond" w:hAnsi="Garamond"/>
          <w:b/>
          <w:bCs/>
          <w:i/>
          <w:iCs/>
          <w:sz w:val="24"/>
          <w:szCs w:val="24"/>
        </w:rPr>
        <w:t>un rapporto</w:t>
      </w:r>
      <w:r>
        <w:rPr>
          <w:rFonts w:ascii="Garamond" w:hAnsi="Garamond"/>
          <w:sz w:val="24"/>
          <w:szCs w:val="24"/>
        </w:rPr>
        <w:t xml:space="preserve"> con il soggetto privato, e nel quale la posizione del privato non è solo di soggetto che subisce l’esercizio del pubblico potere</w:t>
      </w:r>
      <w:r w:rsidR="003E7944">
        <w:rPr>
          <w:rFonts w:ascii="Garamond" w:hAnsi="Garamond"/>
          <w:sz w:val="24"/>
          <w:szCs w:val="24"/>
        </w:rPr>
        <w:t>,</w:t>
      </w:r>
      <w:r>
        <w:rPr>
          <w:rFonts w:ascii="Garamond" w:hAnsi="Garamond"/>
          <w:sz w:val="24"/>
          <w:szCs w:val="24"/>
        </w:rPr>
        <w:t xml:space="preserve"> pur con il limite della sua conformità a legge, ma di soggetto che è anch’esso portato</w:t>
      </w:r>
      <w:r w:rsidR="003E7944">
        <w:rPr>
          <w:rFonts w:ascii="Garamond" w:hAnsi="Garamond"/>
          <w:sz w:val="24"/>
          <w:szCs w:val="24"/>
        </w:rPr>
        <w:t>re</w:t>
      </w:r>
      <w:r>
        <w:rPr>
          <w:rFonts w:ascii="Garamond" w:hAnsi="Garamond"/>
          <w:sz w:val="24"/>
          <w:szCs w:val="24"/>
        </w:rPr>
        <w:t xml:space="preserve"> di interessi giuridicamente rilevanti e degni di protezione.</w:t>
      </w:r>
    </w:p>
    <w:p w:rsidR="008246A0" w:rsidRDefault="008246A0" w:rsidP="00130D2B">
      <w:pPr>
        <w:ind w:firstLine="708"/>
        <w:rPr>
          <w:rFonts w:ascii="Garamond" w:hAnsi="Garamond"/>
          <w:sz w:val="24"/>
          <w:szCs w:val="24"/>
        </w:rPr>
      </w:pPr>
      <w:r>
        <w:rPr>
          <w:rFonts w:ascii="Garamond" w:hAnsi="Garamond"/>
          <w:sz w:val="24"/>
          <w:szCs w:val="24"/>
        </w:rPr>
        <w:t>Potrebbero valere le seguenti osservazioni.</w:t>
      </w:r>
    </w:p>
    <w:p w:rsidR="00F805DE" w:rsidRPr="00295363" w:rsidRDefault="003B364A" w:rsidP="00E82EDD">
      <w:pPr>
        <w:ind w:firstLine="708"/>
        <w:rPr>
          <w:rFonts w:ascii="Garamond" w:hAnsi="Garamond"/>
          <w:sz w:val="24"/>
          <w:szCs w:val="24"/>
        </w:rPr>
      </w:pPr>
      <w:r w:rsidRPr="00295363">
        <w:rPr>
          <w:rFonts w:ascii="Garamond" w:hAnsi="Garamond"/>
          <w:sz w:val="24"/>
          <w:szCs w:val="24"/>
        </w:rPr>
        <w:t xml:space="preserve">Sarebbe infatti incompatibile con uno stato di diritto se il soggetto, </w:t>
      </w:r>
      <w:r w:rsidR="00213ED6" w:rsidRPr="00295363">
        <w:rPr>
          <w:rFonts w:ascii="Garamond" w:hAnsi="Garamond"/>
          <w:sz w:val="24"/>
          <w:szCs w:val="24"/>
        </w:rPr>
        <w:t xml:space="preserve">pur </w:t>
      </w:r>
      <w:r w:rsidRPr="00295363">
        <w:rPr>
          <w:rFonts w:ascii="Garamond" w:hAnsi="Garamond"/>
          <w:sz w:val="24"/>
          <w:szCs w:val="24"/>
        </w:rPr>
        <w:t xml:space="preserve">nella persona della Pubblica Amministrazione, in occasione dell’esercizio di una pubblica funzione, fosse tenuto a rispettare solo le norme che, nell’interesse pubblico, </w:t>
      </w:r>
      <w:r w:rsidR="00E82EDD">
        <w:rPr>
          <w:rFonts w:ascii="Garamond" w:hAnsi="Garamond"/>
          <w:sz w:val="24"/>
          <w:szCs w:val="24"/>
        </w:rPr>
        <w:t xml:space="preserve">lo </w:t>
      </w:r>
      <w:r w:rsidRPr="00295363">
        <w:rPr>
          <w:rFonts w:ascii="Garamond" w:hAnsi="Garamond"/>
          <w:sz w:val="24"/>
          <w:szCs w:val="24"/>
        </w:rPr>
        <w:t xml:space="preserve">vincolano e non anche quelle che, </w:t>
      </w:r>
      <w:r w:rsidR="00E82EDD">
        <w:rPr>
          <w:rFonts w:ascii="Garamond" w:hAnsi="Garamond"/>
          <w:sz w:val="24"/>
          <w:szCs w:val="24"/>
        </w:rPr>
        <w:t xml:space="preserve">anche </w:t>
      </w:r>
      <w:r w:rsidRPr="00295363">
        <w:rPr>
          <w:rFonts w:ascii="Garamond" w:hAnsi="Garamond"/>
          <w:sz w:val="24"/>
          <w:szCs w:val="24"/>
        </w:rPr>
        <w:t xml:space="preserve">nell’interesse del soggetto privato, sono a tutelare l’interesse di </w:t>
      </w:r>
      <w:r w:rsidR="00213ED6" w:rsidRPr="00295363">
        <w:rPr>
          <w:rFonts w:ascii="Garamond" w:hAnsi="Garamond"/>
          <w:sz w:val="24"/>
          <w:szCs w:val="24"/>
        </w:rPr>
        <w:t>quest’ultimo</w:t>
      </w:r>
      <w:r w:rsidR="006C58C3">
        <w:rPr>
          <w:rFonts w:ascii="Garamond" w:hAnsi="Garamond"/>
          <w:sz w:val="24"/>
          <w:szCs w:val="24"/>
        </w:rPr>
        <w:t xml:space="preserve"> </w:t>
      </w:r>
      <w:r w:rsidR="00E82EDD">
        <w:rPr>
          <w:rFonts w:ascii="Garamond" w:hAnsi="Garamond"/>
          <w:sz w:val="24"/>
          <w:szCs w:val="24"/>
        </w:rPr>
        <w:t>non già con riguardo alla spettanza del bene della vita, in ordine al quale la unica fonte è l’esercizio del pubblico potere</w:t>
      </w:r>
      <w:r w:rsidR="00CB4DEC">
        <w:rPr>
          <w:rFonts w:ascii="Garamond" w:hAnsi="Garamond"/>
          <w:sz w:val="24"/>
          <w:szCs w:val="24"/>
        </w:rPr>
        <w:t>,</w:t>
      </w:r>
      <w:r w:rsidR="00E82EDD">
        <w:rPr>
          <w:rFonts w:ascii="Garamond" w:hAnsi="Garamond"/>
          <w:sz w:val="24"/>
          <w:szCs w:val="24"/>
        </w:rPr>
        <w:t xml:space="preserve"> bensì </w:t>
      </w:r>
      <w:r w:rsidRPr="00295363">
        <w:rPr>
          <w:rFonts w:ascii="Garamond" w:hAnsi="Garamond"/>
          <w:sz w:val="24"/>
          <w:szCs w:val="24"/>
        </w:rPr>
        <w:t>alla correttezza e trasparenza della contrattazione.</w:t>
      </w:r>
    </w:p>
    <w:p w:rsidR="00F805DE" w:rsidRPr="00295363" w:rsidRDefault="003B364A" w:rsidP="009B5903">
      <w:pPr>
        <w:ind w:firstLine="708"/>
        <w:rPr>
          <w:rFonts w:ascii="Garamond" w:hAnsi="Garamond"/>
          <w:sz w:val="24"/>
          <w:szCs w:val="24"/>
        </w:rPr>
      </w:pPr>
      <w:r w:rsidRPr="00295363">
        <w:rPr>
          <w:rFonts w:ascii="Garamond" w:hAnsi="Garamond"/>
          <w:sz w:val="24"/>
          <w:szCs w:val="24"/>
        </w:rPr>
        <w:t>Il vero è che</w:t>
      </w:r>
      <w:r w:rsidR="006C58C3">
        <w:rPr>
          <w:rFonts w:ascii="Garamond" w:hAnsi="Garamond"/>
          <w:sz w:val="24"/>
          <w:szCs w:val="24"/>
        </w:rPr>
        <w:t xml:space="preserve"> </w:t>
      </w:r>
      <w:r w:rsidRPr="00295363">
        <w:rPr>
          <w:rFonts w:ascii="Garamond" w:hAnsi="Garamond"/>
          <w:sz w:val="24"/>
          <w:szCs w:val="24"/>
        </w:rPr>
        <w:t>della interferenza tra i due piani di regole, quell</w:t>
      </w:r>
      <w:r w:rsidR="00021CAD" w:rsidRPr="00295363">
        <w:rPr>
          <w:rFonts w:ascii="Garamond" w:hAnsi="Garamond"/>
          <w:sz w:val="24"/>
          <w:szCs w:val="24"/>
        </w:rPr>
        <w:t>e</w:t>
      </w:r>
      <w:r w:rsidRPr="00295363">
        <w:rPr>
          <w:rFonts w:ascii="Garamond" w:hAnsi="Garamond"/>
          <w:sz w:val="24"/>
          <w:szCs w:val="24"/>
        </w:rPr>
        <w:t xml:space="preserve"> di </w:t>
      </w:r>
      <w:r w:rsidRPr="00295363">
        <w:rPr>
          <w:rFonts w:ascii="Garamond" w:hAnsi="Garamond"/>
          <w:b/>
          <w:bCs/>
          <w:i/>
          <w:iCs/>
          <w:sz w:val="24"/>
          <w:szCs w:val="24"/>
        </w:rPr>
        <w:t>validità</w:t>
      </w:r>
      <w:r w:rsidR="00021CAD" w:rsidRPr="00295363">
        <w:rPr>
          <w:rFonts w:ascii="Garamond" w:hAnsi="Garamond"/>
          <w:sz w:val="24"/>
          <w:szCs w:val="24"/>
        </w:rPr>
        <w:t xml:space="preserve"> e/o di legittimità</w:t>
      </w:r>
      <w:r w:rsidRPr="00295363">
        <w:rPr>
          <w:rFonts w:ascii="Garamond" w:hAnsi="Garamond"/>
          <w:sz w:val="24"/>
          <w:szCs w:val="24"/>
        </w:rPr>
        <w:t>, riguardant</w:t>
      </w:r>
      <w:r w:rsidR="00021CAD" w:rsidRPr="00295363">
        <w:rPr>
          <w:rFonts w:ascii="Garamond" w:hAnsi="Garamond"/>
          <w:sz w:val="24"/>
          <w:szCs w:val="24"/>
        </w:rPr>
        <w:t>i</w:t>
      </w:r>
      <w:r w:rsidRPr="00295363">
        <w:rPr>
          <w:rFonts w:ascii="Garamond" w:hAnsi="Garamond"/>
          <w:sz w:val="24"/>
          <w:szCs w:val="24"/>
        </w:rPr>
        <w:t xml:space="preserve"> l’esercizio del pubblico potere</w:t>
      </w:r>
      <w:r w:rsidR="00595B32" w:rsidRPr="00295363">
        <w:rPr>
          <w:rFonts w:ascii="Garamond" w:hAnsi="Garamond"/>
          <w:sz w:val="24"/>
          <w:szCs w:val="24"/>
        </w:rPr>
        <w:t>,</w:t>
      </w:r>
      <w:r w:rsidRPr="00295363">
        <w:rPr>
          <w:rFonts w:ascii="Garamond" w:hAnsi="Garamond"/>
          <w:sz w:val="24"/>
          <w:szCs w:val="24"/>
        </w:rPr>
        <w:t xml:space="preserve"> e quell</w:t>
      </w:r>
      <w:r w:rsidR="00021CAD" w:rsidRPr="00295363">
        <w:rPr>
          <w:rFonts w:ascii="Garamond" w:hAnsi="Garamond"/>
          <w:sz w:val="24"/>
          <w:szCs w:val="24"/>
        </w:rPr>
        <w:t>e</w:t>
      </w:r>
      <w:r w:rsidRPr="00295363">
        <w:rPr>
          <w:rFonts w:ascii="Garamond" w:hAnsi="Garamond"/>
          <w:sz w:val="24"/>
          <w:szCs w:val="24"/>
        </w:rPr>
        <w:t xml:space="preserve"> di </w:t>
      </w:r>
      <w:r w:rsidRPr="00295363">
        <w:rPr>
          <w:rFonts w:ascii="Garamond" w:hAnsi="Garamond"/>
          <w:b/>
          <w:bCs/>
          <w:i/>
          <w:iCs/>
          <w:sz w:val="24"/>
          <w:szCs w:val="24"/>
        </w:rPr>
        <w:t>responsabilità,</w:t>
      </w:r>
      <w:r w:rsidRPr="00295363">
        <w:rPr>
          <w:rFonts w:ascii="Garamond" w:hAnsi="Garamond"/>
          <w:sz w:val="24"/>
          <w:szCs w:val="24"/>
        </w:rPr>
        <w:t xml:space="preserve"> riguardanti la singola condotta</w:t>
      </w:r>
      <w:r w:rsidR="00021CAD" w:rsidRPr="00295363">
        <w:rPr>
          <w:rFonts w:ascii="Garamond" w:hAnsi="Garamond"/>
          <w:sz w:val="24"/>
          <w:szCs w:val="24"/>
        </w:rPr>
        <w:t>, tenuta dalla P.A.</w:t>
      </w:r>
      <w:r w:rsidRPr="00295363">
        <w:rPr>
          <w:rFonts w:ascii="Garamond" w:hAnsi="Garamond"/>
          <w:sz w:val="24"/>
          <w:szCs w:val="24"/>
        </w:rPr>
        <w:t xml:space="preserve">, si è avuto sempre timore, appunto nei giudizi </w:t>
      </w:r>
      <w:r w:rsidR="00021CAD" w:rsidRPr="00295363">
        <w:rPr>
          <w:rFonts w:ascii="Garamond" w:hAnsi="Garamond"/>
          <w:sz w:val="24"/>
          <w:szCs w:val="24"/>
        </w:rPr>
        <w:t>aventi ad oggetto l’interesse pubblico</w:t>
      </w:r>
      <w:r w:rsidR="00213ED6" w:rsidRPr="00295363">
        <w:rPr>
          <w:rFonts w:ascii="Garamond" w:hAnsi="Garamond"/>
          <w:sz w:val="24"/>
          <w:szCs w:val="24"/>
        </w:rPr>
        <w:t xml:space="preserve">, </w:t>
      </w:r>
      <w:r w:rsidR="00595B32" w:rsidRPr="00295363">
        <w:rPr>
          <w:rFonts w:ascii="Garamond" w:hAnsi="Garamond"/>
          <w:sz w:val="24"/>
          <w:szCs w:val="24"/>
        </w:rPr>
        <w:t xml:space="preserve">e per il fatto </w:t>
      </w:r>
      <w:r w:rsidRPr="00295363">
        <w:rPr>
          <w:rFonts w:ascii="Garamond" w:hAnsi="Garamond"/>
          <w:sz w:val="24"/>
          <w:szCs w:val="24"/>
        </w:rPr>
        <w:t>che la mancata osservanza di regole di condotta avesse a determinare anche la illegittimità dell’atto amministrativo e ciò con risultati di obiettiva incertezza, così come viceversa, che atti amministrativi potessero essere considerati fonti di responsabilità</w:t>
      </w:r>
      <w:r w:rsidR="00595B32" w:rsidRPr="00295363">
        <w:rPr>
          <w:rFonts w:ascii="Garamond" w:hAnsi="Garamond"/>
          <w:sz w:val="24"/>
          <w:szCs w:val="24"/>
        </w:rPr>
        <w:t>,</w:t>
      </w:r>
      <w:r w:rsidRPr="00295363">
        <w:rPr>
          <w:rFonts w:ascii="Garamond" w:hAnsi="Garamond"/>
          <w:sz w:val="24"/>
          <w:szCs w:val="24"/>
        </w:rPr>
        <w:t xml:space="preserve"> nella misura in cui la P.A. non avesse osservato regole di </w:t>
      </w:r>
      <w:r w:rsidR="00213ED6" w:rsidRPr="00295363">
        <w:rPr>
          <w:rFonts w:ascii="Garamond" w:hAnsi="Garamond"/>
          <w:sz w:val="24"/>
          <w:szCs w:val="24"/>
        </w:rPr>
        <w:t>condotta</w:t>
      </w:r>
      <w:r w:rsidRPr="00295363">
        <w:rPr>
          <w:rFonts w:ascii="Garamond" w:hAnsi="Garamond"/>
          <w:sz w:val="24"/>
          <w:szCs w:val="24"/>
        </w:rPr>
        <w:t>.</w:t>
      </w:r>
    </w:p>
    <w:p w:rsidR="00F805DE" w:rsidRPr="00295363" w:rsidRDefault="003B364A" w:rsidP="009B5903">
      <w:pPr>
        <w:ind w:firstLine="708"/>
        <w:rPr>
          <w:rFonts w:ascii="Garamond" w:hAnsi="Garamond"/>
          <w:sz w:val="24"/>
          <w:szCs w:val="24"/>
        </w:rPr>
      </w:pPr>
      <w:r w:rsidRPr="00295363">
        <w:rPr>
          <w:rFonts w:ascii="Garamond" w:hAnsi="Garamond"/>
          <w:sz w:val="24"/>
          <w:szCs w:val="24"/>
        </w:rPr>
        <w:t xml:space="preserve">Codesti timori avevano bene la loro ragione d’essere, dato il diverso piano su cui si collocano gli atti </w:t>
      </w:r>
      <w:r w:rsidR="00595B32" w:rsidRPr="00295363">
        <w:rPr>
          <w:rFonts w:ascii="Garamond" w:hAnsi="Garamond"/>
          <w:sz w:val="24"/>
          <w:szCs w:val="24"/>
        </w:rPr>
        <w:t>pubblici autoritativi</w:t>
      </w:r>
      <w:r w:rsidRPr="00295363">
        <w:rPr>
          <w:rFonts w:ascii="Garamond" w:hAnsi="Garamond"/>
          <w:sz w:val="24"/>
          <w:szCs w:val="24"/>
        </w:rPr>
        <w:t xml:space="preserve"> rispetto a quelli negoziali dei privati</w:t>
      </w:r>
      <w:r w:rsidR="00B4122E">
        <w:rPr>
          <w:rFonts w:ascii="Garamond" w:hAnsi="Garamond"/>
          <w:sz w:val="24"/>
          <w:szCs w:val="24"/>
        </w:rPr>
        <w:t xml:space="preserve"> (</w:t>
      </w:r>
      <w:r w:rsidR="00B4122E">
        <w:rPr>
          <w:rStyle w:val="Rimandonotaapidipagina"/>
          <w:rFonts w:ascii="Garamond" w:hAnsi="Garamond"/>
          <w:sz w:val="24"/>
          <w:szCs w:val="24"/>
        </w:rPr>
        <w:footnoteReference w:id="12"/>
      </w:r>
      <w:r w:rsidR="00B4122E">
        <w:rPr>
          <w:rFonts w:ascii="Garamond" w:hAnsi="Garamond"/>
          <w:sz w:val="24"/>
          <w:szCs w:val="24"/>
        </w:rPr>
        <w:t>)</w:t>
      </w:r>
      <w:r w:rsidRPr="00295363">
        <w:rPr>
          <w:rFonts w:ascii="Garamond" w:hAnsi="Garamond"/>
          <w:sz w:val="24"/>
          <w:szCs w:val="24"/>
        </w:rPr>
        <w:t>.</w:t>
      </w:r>
    </w:p>
    <w:p w:rsidR="00F805DE" w:rsidRPr="00295363" w:rsidRDefault="003B364A" w:rsidP="009B5903">
      <w:pPr>
        <w:ind w:firstLine="708"/>
        <w:rPr>
          <w:rFonts w:ascii="Garamond" w:hAnsi="Garamond"/>
          <w:sz w:val="24"/>
          <w:szCs w:val="24"/>
        </w:rPr>
      </w:pPr>
      <w:r w:rsidRPr="00295363">
        <w:rPr>
          <w:rFonts w:ascii="Garamond" w:hAnsi="Garamond"/>
          <w:sz w:val="24"/>
          <w:szCs w:val="24"/>
        </w:rPr>
        <w:t>Il sostenere ad es. che una Pubblica Amministrazione potesse essere ritenuta responsabile per la mancata approvazione del progetto esecutivo di un’opera, pur giustificata, codesta mancata approvazione, dall’interesse pubblico</w:t>
      </w:r>
      <w:r w:rsidR="00595B32" w:rsidRPr="00295363">
        <w:rPr>
          <w:rFonts w:ascii="Garamond" w:hAnsi="Garamond"/>
          <w:sz w:val="24"/>
          <w:szCs w:val="24"/>
        </w:rPr>
        <w:t xml:space="preserve"> specie sopravvenuto</w:t>
      </w:r>
      <w:r w:rsidRPr="00295363">
        <w:rPr>
          <w:rFonts w:ascii="Garamond" w:hAnsi="Garamond"/>
          <w:sz w:val="24"/>
          <w:szCs w:val="24"/>
        </w:rPr>
        <w:t xml:space="preserve"> e ciò allorquando l’opera era</w:t>
      </w:r>
      <w:r w:rsidR="00595B32" w:rsidRPr="00295363">
        <w:rPr>
          <w:rFonts w:ascii="Garamond" w:hAnsi="Garamond"/>
          <w:sz w:val="24"/>
          <w:szCs w:val="24"/>
        </w:rPr>
        <w:t xml:space="preserve"> già</w:t>
      </w:r>
      <w:r w:rsidRPr="00295363">
        <w:rPr>
          <w:rFonts w:ascii="Garamond" w:hAnsi="Garamond"/>
          <w:sz w:val="24"/>
          <w:szCs w:val="24"/>
        </w:rPr>
        <w:t xml:space="preserve"> stata legittimamente aggiudicata al soggetto</w:t>
      </w:r>
      <w:r w:rsidR="00213ED6" w:rsidRPr="00295363">
        <w:rPr>
          <w:rFonts w:ascii="Garamond" w:hAnsi="Garamond"/>
          <w:sz w:val="24"/>
          <w:szCs w:val="24"/>
        </w:rPr>
        <w:t>,</w:t>
      </w:r>
      <w:r w:rsidRPr="00295363">
        <w:rPr>
          <w:rFonts w:ascii="Garamond" w:hAnsi="Garamond"/>
          <w:sz w:val="24"/>
          <w:szCs w:val="24"/>
        </w:rPr>
        <w:t xml:space="preserve"> appariva una conseguenza non conforme a legge e, in ogni caso, contraria ai principi che regolano l’esercizio del pubblico potere (</w:t>
      </w:r>
      <w:r w:rsidRPr="00295363">
        <w:rPr>
          <w:rStyle w:val="Rimandonotaapidipagina"/>
          <w:rFonts w:ascii="Garamond" w:hAnsi="Garamond"/>
          <w:sz w:val="24"/>
          <w:szCs w:val="24"/>
        </w:rPr>
        <w:footnoteReference w:id="13"/>
      </w:r>
      <w:r w:rsidRPr="00295363">
        <w:rPr>
          <w:rFonts w:ascii="Garamond" w:hAnsi="Garamond"/>
          <w:sz w:val="24"/>
          <w:szCs w:val="24"/>
        </w:rPr>
        <w:t>).</w:t>
      </w:r>
    </w:p>
    <w:p w:rsidR="00F805DE" w:rsidRDefault="003B364A" w:rsidP="009B5903">
      <w:pPr>
        <w:ind w:firstLine="708"/>
        <w:rPr>
          <w:rFonts w:ascii="Garamond" w:hAnsi="Garamond"/>
          <w:sz w:val="24"/>
          <w:szCs w:val="24"/>
        </w:rPr>
      </w:pPr>
      <w:r w:rsidRPr="00295363">
        <w:rPr>
          <w:rFonts w:ascii="Garamond" w:hAnsi="Garamond"/>
          <w:sz w:val="24"/>
          <w:szCs w:val="24"/>
        </w:rPr>
        <w:t>Lo stesso dicasi del caso, abbastanza frequente, della mancata stipula del contratto in presenza di una aggiudicazione valida</w:t>
      </w:r>
      <w:r w:rsidR="00595B32" w:rsidRPr="00295363">
        <w:rPr>
          <w:rFonts w:ascii="Garamond" w:hAnsi="Garamond"/>
          <w:sz w:val="24"/>
          <w:szCs w:val="24"/>
        </w:rPr>
        <w:t>,</w:t>
      </w:r>
      <w:r w:rsidRPr="00295363">
        <w:rPr>
          <w:rFonts w:ascii="Garamond" w:hAnsi="Garamond"/>
          <w:sz w:val="24"/>
          <w:szCs w:val="24"/>
        </w:rPr>
        <w:t xml:space="preserve"> allorquando il privato abbia fatto un ragionevole affidamento sulla conclusione del contratto (</w:t>
      </w:r>
      <w:r w:rsidRPr="00295363">
        <w:rPr>
          <w:rStyle w:val="Rimandonotaapidipagina"/>
          <w:rFonts w:ascii="Garamond" w:hAnsi="Garamond"/>
          <w:sz w:val="24"/>
          <w:szCs w:val="24"/>
        </w:rPr>
        <w:footnoteReference w:id="14"/>
      </w:r>
      <w:r w:rsidRPr="00295363">
        <w:rPr>
          <w:rFonts w:ascii="Garamond" w:hAnsi="Garamond"/>
          <w:sz w:val="24"/>
          <w:szCs w:val="24"/>
        </w:rPr>
        <w:t>).</w:t>
      </w:r>
      <w:r w:rsidR="00130D2B">
        <w:rPr>
          <w:rFonts w:ascii="Garamond" w:hAnsi="Garamond"/>
          <w:sz w:val="24"/>
          <w:szCs w:val="24"/>
        </w:rPr>
        <w:t xml:space="preserve"> E può aggiungersi anche l’ipotesi in cui la P.A.</w:t>
      </w:r>
      <w:r w:rsidR="00410FA3">
        <w:rPr>
          <w:rFonts w:ascii="Garamond" w:hAnsi="Garamond"/>
          <w:sz w:val="24"/>
          <w:szCs w:val="24"/>
        </w:rPr>
        <w:t>,</w:t>
      </w:r>
      <w:r w:rsidR="00130D2B">
        <w:rPr>
          <w:rFonts w:ascii="Garamond" w:hAnsi="Garamond"/>
          <w:sz w:val="24"/>
          <w:szCs w:val="24"/>
        </w:rPr>
        <w:t xml:space="preserve"> con il proprio comportamento (ad es. approvativo di un progetto)</w:t>
      </w:r>
      <w:r w:rsidR="00410FA3">
        <w:rPr>
          <w:rFonts w:ascii="Garamond" w:hAnsi="Garamond"/>
          <w:sz w:val="24"/>
          <w:szCs w:val="24"/>
        </w:rPr>
        <w:t>,</w:t>
      </w:r>
      <w:r w:rsidR="00130D2B">
        <w:rPr>
          <w:rFonts w:ascii="Garamond" w:hAnsi="Garamond"/>
          <w:sz w:val="24"/>
          <w:szCs w:val="24"/>
        </w:rPr>
        <w:t xml:space="preserve"> abbia creato affidamento nel privato sulla conclusione del procedimento, ma con esito diverso a seguito di un ripensamento della P.A.</w:t>
      </w:r>
    </w:p>
    <w:p w:rsidR="00207FCB" w:rsidRPr="00CB4DEC" w:rsidRDefault="009A34AD" w:rsidP="00CB4DEC">
      <w:pPr>
        <w:ind w:firstLine="0"/>
        <w:rPr>
          <w:rFonts w:ascii="Garamond" w:hAnsi="Garamond"/>
          <w:sz w:val="24"/>
          <w:szCs w:val="24"/>
        </w:rPr>
      </w:pPr>
      <w:r>
        <w:rPr>
          <w:rFonts w:ascii="Garamond" w:hAnsi="Garamond"/>
          <w:sz w:val="24"/>
          <w:szCs w:val="24"/>
        </w:rPr>
        <w:tab/>
      </w:r>
      <w:r w:rsidR="00F61211">
        <w:rPr>
          <w:rFonts w:ascii="Garamond" w:hAnsi="Garamond"/>
          <w:sz w:val="24"/>
          <w:szCs w:val="24"/>
        </w:rPr>
        <w:t>4</w:t>
      </w:r>
      <w:r w:rsidR="0018247F">
        <w:rPr>
          <w:rFonts w:ascii="Garamond" w:hAnsi="Garamond"/>
          <w:sz w:val="24"/>
          <w:szCs w:val="24"/>
        </w:rPr>
        <w:t xml:space="preserve">. </w:t>
      </w:r>
      <w:r w:rsidR="00207FCB" w:rsidRPr="00207FCB">
        <w:rPr>
          <w:rFonts w:ascii="Garamond" w:hAnsi="Garamond"/>
          <w:b/>
          <w:bCs/>
          <w:iCs/>
          <w:sz w:val="24"/>
          <w:szCs w:val="24"/>
        </w:rPr>
        <w:t xml:space="preserve">Le ordinanze </w:t>
      </w:r>
      <w:r w:rsidR="00CB4DEC">
        <w:rPr>
          <w:rFonts w:ascii="Garamond" w:hAnsi="Garamond"/>
          <w:b/>
          <w:bCs/>
          <w:iCs/>
          <w:sz w:val="24"/>
          <w:szCs w:val="24"/>
        </w:rPr>
        <w:t>del 2011 e</w:t>
      </w:r>
      <w:r w:rsidR="00F61211">
        <w:rPr>
          <w:rFonts w:ascii="Garamond" w:hAnsi="Garamond"/>
          <w:b/>
          <w:bCs/>
          <w:iCs/>
          <w:sz w:val="24"/>
          <w:szCs w:val="24"/>
        </w:rPr>
        <w:t xml:space="preserve"> del 20</w:t>
      </w:r>
      <w:r w:rsidR="00CB4DEC">
        <w:rPr>
          <w:rFonts w:ascii="Garamond" w:hAnsi="Garamond"/>
          <w:b/>
          <w:bCs/>
          <w:iCs/>
          <w:sz w:val="24"/>
          <w:szCs w:val="24"/>
        </w:rPr>
        <w:t xml:space="preserve">20 </w:t>
      </w:r>
      <w:r w:rsidR="00207FCB" w:rsidRPr="00207FCB">
        <w:rPr>
          <w:rFonts w:ascii="Garamond" w:hAnsi="Garamond"/>
          <w:b/>
          <w:bCs/>
          <w:iCs/>
          <w:sz w:val="24"/>
          <w:szCs w:val="24"/>
        </w:rPr>
        <w:t xml:space="preserve">della </w:t>
      </w:r>
      <w:r w:rsidR="00CB4DEC">
        <w:rPr>
          <w:rFonts w:ascii="Garamond" w:hAnsi="Garamond"/>
          <w:b/>
          <w:bCs/>
          <w:iCs/>
          <w:sz w:val="24"/>
          <w:szCs w:val="24"/>
        </w:rPr>
        <w:t xml:space="preserve">Corte di </w:t>
      </w:r>
      <w:r w:rsidR="00207FCB" w:rsidRPr="00207FCB">
        <w:rPr>
          <w:rFonts w:ascii="Garamond" w:hAnsi="Garamond"/>
          <w:b/>
          <w:bCs/>
          <w:iCs/>
          <w:sz w:val="24"/>
          <w:szCs w:val="24"/>
        </w:rPr>
        <w:t>Cassazione</w:t>
      </w:r>
      <w:r w:rsidR="00207FCB">
        <w:rPr>
          <w:rFonts w:ascii="Garamond" w:hAnsi="Garamond"/>
          <w:b/>
          <w:bCs/>
          <w:iCs/>
          <w:sz w:val="24"/>
          <w:szCs w:val="24"/>
        </w:rPr>
        <w:t>.</w:t>
      </w:r>
    </w:p>
    <w:p w:rsidR="009A34AD" w:rsidRPr="0018247F" w:rsidRDefault="0018247F" w:rsidP="0018247F">
      <w:pPr>
        <w:rPr>
          <w:rFonts w:ascii="Garamond" w:hAnsi="Garamond"/>
          <w:sz w:val="24"/>
          <w:szCs w:val="24"/>
        </w:rPr>
      </w:pPr>
      <w:r>
        <w:rPr>
          <w:rFonts w:ascii="Garamond" w:hAnsi="Garamond"/>
          <w:sz w:val="24"/>
          <w:szCs w:val="24"/>
        </w:rPr>
        <w:t xml:space="preserve">Per </w:t>
      </w:r>
      <w:r w:rsidR="00E82EDD" w:rsidRPr="0018247F">
        <w:rPr>
          <w:rFonts w:ascii="Garamond" w:hAnsi="Garamond"/>
          <w:sz w:val="24"/>
          <w:szCs w:val="24"/>
        </w:rPr>
        <w:t xml:space="preserve">cogliere </w:t>
      </w:r>
      <w:r w:rsidR="00E82EDD" w:rsidRPr="0018247F">
        <w:rPr>
          <w:rFonts w:ascii="Garamond" w:hAnsi="Garamond"/>
          <w:bCs/>
          <w:iCs/>
          <w:sz w:val="24"/>
          <w:szCs w:val="24"/>
        </w:rPr>
        <w:t>il</w:t>
      </w:r>
      <w:r w:rsidR="00E82EDD" w:rsidRPr="0018247F">
        <w:rPr>
          <w:rFonts w:ascii="Garamond" w:hAnsi="Garamond"/>
          <w:b/>
          <w:bCs/>
          <w:i/>
          <w:iCs/>
          <w:sz w:val="24"/>
          <w:szCs w:val="24"/>
        </w:rPr>
        <w:t xml:space="preserve"> revirement</w:t>
      </w:r>
      <w:r w:rsidR="00E82EDD" w:rsidRPr="0018247F">
        <w:rPr>
          <w:rFonts w:ascii="Garamond" w:hAnsi="Garamond"/>
          <w:sz w:val="24"/>
          <w:szCs w:val="24"/>
        </w:rPr>
        <w:t xml:space="preserve"> che si è avuto, specie ad opera della giurisdizione ordinaria, si può muovere </w:t>
      </w:r>
      <w:r w:rsidR="00F61211">
        <w:rPr>
          <w:rFonts w:ascii="Garamond" w:hAnsi="Garamond"/>
          <w:sz w:val="24"/>
          <w:szCs w:val="24"/>
        </w:rPr>
        <w:t xml:space="preserve">da tre ordinanze delle Sezioni Unite della </w:t>
      </w:r>
      <w:r w:rsidR="009A34AD" w:rsidRPr="0018247F">
        <w:rPr>
          <w:rFonts w:ascii="Garamond" w:hAnsi="Garamond"/>
          <w:sz w:val="24"/>
          <w:szCs w:val="24"/>
        </w:rPr>
        <w:t xml:space="preserve">Corte di Cassazione </w:t>
      </w:r>
      <w:r w:rsidR="000A226E" w:rsidRPr="0018247F">
        <w:rPr>
          <w:rFonts w:ascii="Garamond" w:hAnsi="Garamond"/>
          <w:sz w:val="24"/>
          <w:szCs w:val="24"/>
        </w:rPr>
        <w:t xml:space="preserve">del 2011 </w:t>
      </w:r>
      <w:r w:rsidR="009A34AD" w:rsidRPr="0018247F">
        <w:rPr>
          <w:rFonts w:ascii="Garamond" w:hAnsi="Garamond"/>
          <w:sz w:val="24"/>
          <w:szCs w:val="24"/>
        </w:rPr>
        <w:t>(</w:t>
      </w:r>
      <w:r w:rsidR="000A226E">
        <w:rPr>
          <w:rStyle w:val="Rimandonotaapidipagina"/>
          <w:rFonts w:ascii="Garamond" w:hAnsi="Garamond"/>
          <w:sz w:val="24"/>
          <w:szCs w:val="24"/>
        </w:rPr>
        <w:footnoteReference w:id="15"/>
      </w:r>
      <w:r w:rsidR="000A226E" w:rsidRPr="0018247F">
        <w:rPr>
          <w:rFonts w:ascii="Garamond" w:hAnsi="Garamond"/>
          <w:sz w:val="24"/>
          <w:szCs w:val="24"/>
        </w:rPr>
        <w:t>)</w:t>
      </w:r>
      <w:r w:rsidR="00E82EDD" w:rsidRPr="0018247F">
        <w:rPr>
          <w:rFonts w:ascii="Garamond" w:hAnsi="Garamond"/>
          <w:sz w:val="24"/>
          <w:szCs w:val="24"/>
        </w:rPr>
        <w:t>. E</w:t>
      </w:r>
      <w:r w:rsidR="009A34AD" w:rsidRPr="0018247F">
        <w:rPr>
          <w:rFonts w:ascii="Garamond" w:hAnsi="Garamond"/>
          <w:sz w:val="24"/>
          <w:szCs w:val="24"/>
        </w:rPr>
        <w:t>sse</w:t>
      </w:r>
      <w:r w:rsidR="006C58C3">
        <w:rPr>
          <w:rFonts w:ascii="Garamond" w:hAnsi="Garamond"/>
          <w:sz w:val="24"/>
          <w:szCs w:val="24"/>
        </w:rPr>
        <w:t xml:space="preserve"> </w:t>
      </w:r>
      <w:r w:rsidR="009A34AD" w:rsidRPr="0018247F">
        <w:rPr>
          <w:rFonts w:ascii="Garamond" w:hAnsi="Garamond"/>
          <w:sz w:val="24"/>
          <w:szCs w:val="24"/>
        </w:rPr>
        <w:t>hanno deciso che spetta al giudice ordinario:</w:t>
      </w:r>
    </w:p>
    <w:p w:rsidR="009A34AD" w:rsidRDefault="009A34AD" w:rsidP="009A34AD">
      <w:pPr>
        <w:pStyle w:val="Paragrafoelenco"/>
        <w:numPr>
          <w:ilvl w:val="0"/>
          <w:numId w:val="11"/>
        </w:numPr>
        <w:rPr>
          <w:rFonts w:ascii="Garamond" w:hAnsi="Garamond"/>
          <w:sz w:val="24"/>
          <w:szCs w:val="24"/>
        </w:rPr>
      </w:pPr>
      <w:r>
        <w:rPr>
          <w:rFonts w:ascii="Garamond" w:hAnsi="Garamond"/>
          <w:sz w:val="24"/>
          <w:szCs w:val="24"/>
        </w:rPr>
        <w:t>La controversia sul risarcimento del danno per lesione dell’affidamento ingenerato dal provvedimento favorevole (nella specie, una concessione edilizia)</w:t>
      </w:r>
      <w:r w:rsidR="004818D5">
        <w:rPr>
          <w:rFonts w:ascii="Garamond" w:hAnsi="Garamond"/>
          <w:sz w:val="24"/>
          <w:szCs w:val="24"/>
        </w:rPr>
        <w:t>,</w:t>
      </w:r>
      <w:r>
        <w:rPr>
          <w:rFonts w:ascii="Garamond" w:hAnsi="Garamond"/>
          <w:sz w:val="24"/>
          <w:szCs w:val="24"/>
        </w:rPr>
        <w:t xml:space="preserve"> poi legittimamente annullato in via di autotutela;</w:t>
      </w:r>
    </w:p>
    <w:p w:rsidR="009A34AD" w:rsidRDefault="009A34AD" w:rsidP="009A34AD">
      <w:pPr>
        <w:pStyle w:val="Paragrafoelenco"/>
        <w:numPr>
          <w:ilvl w:val="0"/>
          <w:numId w:val="11"/>
        </w:numPr>
        <w:rPr>
          <w:rFonts w:ascii="Garamond" w:hAnsi="Garamond"/>
          <w:sz w:val="24"/>
          <w:szCs w:val="24"/>
        </w:rPr>
      </w:pPr>
      <w:r>
        <w:rPr>
          <w:rFonts w:ascii="Garamond" w:hAnsi="Garamond"/>
          <w:sz w:val="24"/>
          <w:szCs w:val="24"/>
        </w:rPr>
        <w:t>La controversia avente ad oggetto il risarcimento del danno per lesione dell’affidamento riposto nell’attendibilità della attestazione rilasciata dalla P.A. circa la edificabilità di una area;</w:t>
      </w:r>
    </w:p>
    <w:p w:rsidR="009A34AD" w:rsidRDefault="009A34AD" w:rsidP="009A34AD">
      <w:pPr>
        <w:pStyle w:val="Paragrafoelenco"/>
        <w:numPr>
          <w:ilvl w:val="0"/>
          <w:numId w:val="11"/>
        </w:numPr>
        <w:rPr>
          <w:rFonts w:ascii="Garamond" w:hAnsi="Garamond"/>
          <w:sz w:val="24"/>
          <w:szCs w:val="24"/>
        </w:rPr>
      </w:pPr>
      <w:r>
        <w:rPr>
          <w:rFonts w:ascii="Garamond" w:hAnsi="Garamond"/>
          <w:sz w:val="24"/>
          <w:szCs w:val="24"/>
        </w:rPr>
        <w:t>La controversia avente ad oggetto il risa</w:t>
      </w:r>
      <w:r w:rsidR="006723D0">
        <w:rPr>
          <w:rFonts w:ascii="Garamond" w:hAnsi="Garamond"/>
          <w:sz w:val="24"/>
          <w:szCs w:val="24"/>
        </w:rPr>
        <w:t>rcimento del danno da colui che</w:t>
      </w:r>
      <w:r w:rsidR="006C58C3">
        <w:rPr>
          <w:rFonts w:ascii="Garamond" w:hAnsi="Garamond"/>
          <w:sz w:val="24"/>
          <w:szCs w:val="24"/>
        </w:rPr>
        <w:t xml:space="preserve"> </w:t>
      </w:r>
      <w:r w:rsidR="004818D5">
        <w:rPr>
          <w:rFonts w:ascii="Garamond" w:hAnsi="Garamond"/>
          <w:sz w:val="24"/>
          <w:szCs w:val="24"/>
        </w:rPr>
        <w:t xml:space="preserve">ha </w:t>
      </w:r>
      <w:r>
        <w:rPr>
          <w:rFonts w:ascii="Garamond" w:hAnsi="Garamond"/>
          <w:sz w:val="24"/>
          <w:szCs w:val="24"/>
        </w:rPr>
        <w:t>ottenuto una aggiudicazione di una gara per l’appalto successiva</w:t>
      </w:r>
      <w:r w:rsidR="006723D0">
        <w:rPr>
          <w:rFonts w:ascii="Garamond" w:hAnsi="Garamond"/>
          <w:sz w:val="24"/>
          <w:szCs w:val="24"/>
        </w:rPr>
        <w:t>mente annullata dal giudice amministrati</w:t>
      </w:r>
      <w:r>
        <w:rPr>
          <w:rFonts w:ascii="Garamond" w:hAnsi="Garamond"/>
          <w:sz w:val="24"/>
          <w:szCs w:val="24"/>
        </w:rPr>
        <w:t>vo.</w:t>
      </w:r>
    </w:p>
    <w:p w:rsidR="004818D5" w:rsidRPr="006723D0" w:rsidRDefault="009A34AD" w:rsidP="00DD7719">
      <w:pPr>
        <w:rPr>
          <w:rFonts w:ascii="Garamond" w:hAnsi="Garamond"/>
          <w:sz w:val="24"/>
          <w:szCs w:val="24"/>
        </w:rPr>
      </w:pPr>
      <w:r w:rsidRPr="006723D0">
        <w:rPr>
          <w:rFonts w:ascii="Garamond" w:hAnsi="Garamond"/>
          <w:sz w:val="24"/>
          <w:szCs w:val="24"/>
        </w:rPr>
        <w:t xml:space="preserve">Emerge allora dall’indirizzo riferito come, nei casi considerati, non si ha tanto riguardo all’esercizio del pubblico potere, rappresentato da un provvedimento </w:t>
      </w:r>
      <w:r w:rsidR="008246A0">
        <w:rPr>
          <w:rFonts w:ascii="Garamond" w:hAnsi="Garamond"/>
          <w:sz w:val="24"/>
          <w:szCs w:val="24"/>
        </w:rPr>
        <w:t xml:space="preserve">che risulta </w:t>
      </w:r>
      <w:r w:rsidRPr="006723D0">
        <w:rPr>
          <w:rFonts w:ascii="Garamond" w:hAnsi="Garamond"/>
          <w:sz w:val="24"/>
          <w:szCs w:val="24"/>
        </w:rPr>
        <w:t>addirittura favorevole per il privato e poi legittimamente annullato</w:t>
      </w:r>
      <w:r w:rsidR="009375B8" w:rsidRPr="006723D0">
        <w:rPr>
          <w:rFonts w:ascii="Garamond" w:hAnsi="Garamond"/>
          <w:sz w:val="24"/>
          <w:szCs w:val="24"/>
        </w:rPr>
        <w:t xml:space="preserve"> – </w:t>
      </w:r>
      <w:r w:rsidR="008246A0">
        <w:rPr>
          <w:rFonts w:ascii="Garamond" w:hAnsi="Garamond"/>
          <w:sz w:val="24"/>
          <w:szCs w:val="24"/>
        </w:rPr>
        <w:t>del provvedimento favorevole</w:t>
      </w:r>
      <w:r w:rsidR="009375B8" w:rsidRPr="006723D0">
        <w:rPr>
          <w:rFonts w:ascii="Garamond" w:hAnsi="Garamond"/>
          <w:sz w:val="24"/>
          <w:szCs w:val="24"/>
        </w:rPr>
        <w:t xml:space="preserve"> il privato non avrebbe </w:t>
      </w:r>
      <w:r w:rsidR="008246A0">
        <w:rPr>
          <w:rFonts w:ascii="Garamond" w:hAnsi="Garamond"/>
          <w:sz w:val="24"/>
          <w:szCs w:val="24"/>
        </w:rPr>
        <w:t xml:space="preserve">certo </w:t>
      </w:r>
      <w:r w:rsidR="009375B8" w:rsidRPr="006723D0">
        <w:rPr>
          <w:rFonts w:ascii="Garamond" w:hAnsi="Garamond"/>
          <w:sz w:val="24"/>
          <w:szCs w:val="24"/>
        </w:rPr>
        <w:t xml:space="preserve">ragione di lamentarsi – </w:t>
      </w:r>
      <w:r w:rsidR="009375B8" w:rsidRPr="006723D0">
        <w:rPr>
          <w:rFonts w:ascii="Garamond" w:hAnsi="Garamond"/>
          <w:b/>
          <w:bCs/>
          <w:i/>
          <w:iCs/>
          <w:sz w:val="24"/>
          <w:szCs w:val="24"/>
        </w:rPr>
        <w:t>bensì del fatto che egli ha confidato nella legittimità del provvedimento</w:t>
      </w:r>
      <w:r w:rsidR="004818D5" w:rsidRPr="006723D0">
        <w:rPr>
          <w:rFonts w:ascii="Garamond" w:hAnsi="Garamond"/>
          <w:sz w:val="24"/>
          <w:szCs w:val="24"/>
        </w:rPr>
        <w:t xml:space="preserve"> e ciò nella presunzione che la P.A. quando agisce, </w:t>
      </w:r>
      <w:r w:rsidR="00DD7719">
        <w:rPr>
          <w:rFonts w:ascii="Garamond" w:hAnsi="Garamond"/>
          <w:sz w:val="24"/>
          <w:szCs w:val="24"/>
        </w:rPr>
        <w:t>agisce nel rispetto delle leggi</w:t>
      </w:r>
      <w:r w:rsidR="009375B8" w:rsidRPr="006723D0">
        <w:rPr>
          <w:rFonts w:ascii="Garamond" w:hAnsi="Garamond"/>
          <w:sz w:val="24"/>
          <w:szCs w:val="24"/>
        </w:rPr>
        <w:t xml:space="preserve">. Ed è inutile eccepire che, anche in tal caso, </w:t>
      </w:r>
      <w:r w:rsidR="00F349E9">
        <w:rPr>
          <w:rFonts w:ascii="Garamond" w:hAnsi="Garamond"/>
          <w:sz w:val="24"/>
          <w:szCs w:val="24"/>
        </w:rPr>
        <w:t xml:space="preserve">pur venendo </w:t>
      </w:r>
      <w:r w:rsidR="009375B8" w:rsidRPr="006723D0">
        <w:rPr>
          <w:rFonts w:ascii="Garamond" w:hAnsi="Garamond"/>
          <w:sz w:val="24"/>
          <w:szCs w:val="24"/>
        </w:rPr>
        <w:t>in questione l’esercizio del potere pubblico, quale rappresentato dal provvedimento</w:t>
      </w:r>
      <w:r w:rsidR="00F349E9">
        <w:rPr>
          <w:rFonts w:ascii="Garamond" w:hAnsi="Garamond"/>
          <w:sz w:val="24"/>
          <w:szCs w:val="24"/>
        </w:rPr>
        <w:t xml:space="preserve"> di </w:t>
      </w:r>
      <w:r w:rsidR="009375B8" w:rsidRPr="006723D0">
        <w:rPr>
          <w:rFonts w:ascii="Garamond" w:hAnsi="Garamond"/>
          <w:sz w:val="24"/>
          <w:szCs w:val="24"/>
        </w:rPr>
        <w:t>annullamento</w:t>
      </w:r>
      <w:r w:rsidR="00224151">
        <w:rPr>
          <w:rFonts w:ascii="Garamond" w:hAnsi="Garamond"/>
          <w:sz w:val="24"/>
          <w:szCs w:val="24"/>
        </w:rPr>
        <w:t>,</w:t>
      </w:r>
      <w:r w:rsidR="009F63C7">
        <w:rPr>
          <w:rFonts w:ascii="Garamond" w:hAnsi="Garamond"/>
          <w:sz w:val="24"/>
          <w:szCs w:val="24"/>
        </w:rPr>
        <w:t xml:space="preserve"> </w:t>
      </w:r>
      <w:r w:rsidR="008246A0">
        <w:rPr>
          <w:rFonts w:ascii="Garamond" w:hAnsi="Garamond"/>
          <w:sz w:val="24"/>
          <w:szCs w:val="24"/>
        </w:rPr>
        <w:t xml:space="preserve">tuttavia </w:t>
      </w:r>
      <w:r w:rsidR="009375B8" w:rsidRPr="006723D0">
        <w:rPr>
          <w:rFonts w:ascii="Garamond" w:hAnsi="Garamond"/>
          <w:sz w:val="24"/>
          <w:szCs w:val="24"/>
        </w:rPr>
        <w:t xml:space="preserve">il privato non avrebbe ragione a dolersi </w:t>
      </w:r>
      <w:r w:rsidR="00F349E9">
        <w:rPr>
          <w:rFonts w:ascii="Garamond" w:hAnsi="Garamond"/>
          <w:sz w:val="24"/>
          <w:szCs w:val="24"/>
        </w:rPr>
        <w:t xml:space="preserve">di esso </w:t>
      </w:r>
      <w:r w:rsidR="008246A0">
        <w:rPr>
          <w:rFonts w:ascii="Garamond" w:hAnsi="Garamond"/>
          <w:sz w:val="24"/>
          <w:szCs w:val="24"/>
        </w:rPr>
        <w:t xml:space="preserve">perché conforme al pubblico interesse </w:t>
      </w:r>
      <w:r w:rsidR="009375B8" w:rsidRPr="006723D0">
        <w:rPr>
          <w:rFonts w:ascii="Garamond" w:hAnsi="Garamond"/>
          <w:sz w:val="24"/>
          <w:szCs w:val="24"/>
        </w:rPr>
        <w:t>– onde l</w:t>
      </w:r>
      <w:r w:rsidR="006723D0" w:rsidRPr="006723D0">
        <w:rPr>
          <w:rFonts w:ascii="Garamond" w:hAnsi="Garamond"/>
          <w:sz w:val="24"/>
          <w:szCs w:val="24"/>
        </w:rPr>
        <w:t>a giurisdizione del giudice amministrati</w:t>
      </w:r>
      <w:r w:rsidR="009375B8" w:rsidRPr="006723D0">
        <w:rPr>
          <w:rFonts w:ascii="Garamond" w:hAnsi="Garamond"/>
          <w:sz w:val="24"/>
          <w:szCs w:val="24"/>
        </w:rPr>
        <w:t xml:space="preserve">vo – bensì </w:t>
      </w:r>
      <w:r w:rsidR="00F349E9">
        <w:rPr>
          <w:rFonts w:ascii="Garamond" w:hAnsi="Garamond"/>
          <w:sz w:val="24"/>
          <w:szCs w:val="24"/>
        </w:rPr>
        <w:t xml:space="preserve">del </w:t>
      </w:r>
      <w:r w:rsidR="009375B8" w:rsidRPr="006723D0">
        <w:rPr>
          <w:rFonts w:ascii="Garamond" w:hAnsi="Garamond"/>
          <w:sz w:val="24"/>
          <w:szCs w:val="24"/>
        </w:rPr>
        <w:t xml:space="preserve">comportamento della P.A., che, emanando il provvedimento, ha ingenerato giustamente nel privato </w:t>
      </w:r>
      <w:r w:rsidR="009375B8" w:rsidRPr="008246A0">
        <w:rPr>
          <w:rFonts w:ascii="Garamond" w:hAnsi="Garamond"/>
          <w:b/>
          <w:bCs/>
          <w:i/>
          <w:iCs/>
          <w:sz w:val="24"/>
          <w:szCs w:val="24"/>
        </w:rPr>
        <w:t>l’affidamento</w:t>
      </w:r>
      <w:r w:rsidR="009375B8" w:rsidRPr="006723D0">
        <w:rPr>
          <w:rFonts w:ascii="Garamond" w:hAnsi="Garamond"/>
          <w:sz w:val="24"/>
          <w:szCs w:val="24"/>
        </w:rPr>
        <w:t xml:space="preserve"> nella sua legittimità. Oggetto di censura è dunque non già il provvedimento (di per sé favorevole al privato) ma l’averlo emesso</w:t>
      </w:r>
      <w:r w:rsidR="00F349E9">
        <w:rPr>
          <w:rFonts w:ascii="Garamond" w:hAnsi="Garamond"/>
          <w:sz w:val="24"/>
          <w:szCs w:val="24"/>
        </w:rPr>
        <w:t xml:space="preserve"> e poi annullato</w:t>
      </w:r>
      <w:r w:rsidR="009375B8" w:rsidRPr="006723D0">
        <w:rPr>
          <w:rFonts w:ascii="Garamond" w:hAnsi="Garamond"/>
          <w:sz w:val="24"/>
          <w:szCs w:val="24"/>
        </w:rPr>
        <w:t xml:space="preserve">, generando </w:t>
      </w:r>
      <w:r w:rsidR="009375B8" w:rsidRPr="00F349E9">
        <w:rPr>
          <w:rFonts w:ascii="Garamond" w:hAnsi="Garamond"/>
          <w:b/>
          <w:bCs/>
          <w:i/>
          <w:iCs/>
          <w:sz w:val="24"/>
          <w:szCs w:val="24"/>
        </w:rPr>
        <w:t>affidamento</w:t>
      </w:r>
      <w:r w:rsidR="009375B8" w:rsidRPr="006723D0">
        <w:rPr>
          <w:rFonts w:ascii="Garamond" w:hAnsi="Garamond"/>
          <w:sz w:val="24"/>
          <w:szCs w:val="24"/>
        </w:rPr>
        <w:t xml:space="preserve"> nel destinatario. </w:t>
      </w:r>
    </w:p>
    <w:p w:rsidR="009375B8" w:rsidRPr="006723D0" w:rsidRDefault="009375B8" w:rsidP="006723D0">
      <w:pPr>
        <w:rPr>
          <w:rFonts w:ascii="Garamond" w:hAnsi="Garamond"/>
          <w:sz w:val="24"/>
          <w:szCs w:val="24"/>
        </w:rPr>
      </w:pPr>
      <w:r w:rsidRPr="006723D0">
        <w:rPr>
          <w:rFonts w:ascii="Garamond" w:hAnsi="Garamond"/>
          <w:sz w:val="24"/>
          <w:szCs w:val="24"/>
        </w:rPr>
        <w:t>Di qui certo la difficoltà, anche concettuale, di distinguere l’atto di esercizio del pubblico potere, quale il provvedimento</w:t>
      </w:r>
      <w:r w:rsidR="008246A0">
        <w:rPr>
          <w:rFonts w:ascii="Garamond" w:hAnsi="Garamond"/>
          <w:sz w:val="24"/>
          <w:szCs w:val="24"/>
        </w:rPr>
        <w:t>,</w:t>
      </w:r>
      <w:r w:rsidR="004818D5" w:rsidRPr="006723D0">
        <w:rPr>
          <w:rFonts w:ascii="Garamond" w:hAnsi="Garamond"/>
          <w:sz w:val="24"/>
          <w:szCs w:val="24"/>
        </w:rPr>
        <w:t xml:space="preserve"> con </w:t>
      </w:r>
      <w:r w:rsidRPr="006723D0">
        <w:rPr>
          <w:rFonts w:ascii="Garamond" w:hAnsi="Garamond"/>
          <w:sz w:val="24"/>
          <w:szCs w:val="24"/>
        </w:rPr>
        <w:t>il comportamento da esso rappresentato</w:t>
      </w:r>
      <w:r w:rsidR="008246A0">
        <w:rPr>
          <w:rFonts w:ascii="Garamond" w:hAnsi="Garamond"/>
          <w:sz w:val="24"/>
          <w:szCs w:val="24"/>
        </w:rPr>
        <w:t xml:space="preserve"> poi fulminato da illegittimità nel suo aspetto di atto di esercizio di un pubblico potere</w:t>
      </w:r>
      <w:r w:rsidRPr="006723D0">
        <w:rPr>
          <w:rFonts w:ascii="Garamond" w:hAnsi="Garamond"/>
          <w:sz w:val="24"/>
          <w:szCs w:val="24"/>
        </w:rPr>
        <w:t>.</w:t>
      </w:r>
    </w:p>
    <w:p w:rsidR="009375B8" w:rsidRDefault="009375B8" w:rsidP="009375B8">
      <w:pPr>
        <w:rPr>
          <w:rFonts w:ascii="Garamond" w:hAnsi="Garamond"/>
          <w:sz w:val="24"/>
          <w:szCs w:val="24"/>
        </w:rPr>
      </w:pPr>
      <w:r>
        <w:rPr>
          <w:rFonts w:ascii="Garamond" w:hAnsi="Garamond"/>
          <w:sz w:val="24"/>
          <w:szCs w:val="24"/>
        </w:rPr>
        <w:tab/>
        <w:t xml:space="preserve">Ma è proprio ciò che si è andato progressivamente evolvendo con riguardo all’operato della P.A., distinguendo tra gli atti che si riconducono al pubblico potere ed i comportamenti da essi rappresentati e che possono rilevare non già ai fini dell’interesse pubblico, ma dell’interesse di colui che entra in rapporto con la </w:t>
      </w:r>
      <w:proofErr w:type="gramStart"/>
      <w:r>
        <w:rPr>
          <w:rFonts w:ascii="Garamond" w:hAnsi="Garamond"/>
          <w:sz w:val="24"/>
          <w:szCs w:val="24"/>
        </w:rPr>
        <w:t>P.A.</w:t>
      </w:r>
      <w:r w:rsidR="001C4F2B">
        <w:rPr>
          <w:rFonts w:ascii="Garamond" w:hAnsi="Garamond"/>
          <w:sz w:val="24"/>
          <w:szCs w:val="24"/>
        </w:rPr>
        <w:t>(</w:t>
      </w:r>
      <w:proofErr w:type="gramEnd"/>
      <w:r w:rsidR="001C4F2B">
        <w:rPr>
          <w:rStyle w:val="Rimandonotaapidipagina"/>
          <w:rFonts w:ascii="Garamond" w:hAnsi="Garamond"/>
          <w:sz w:val="24"/>
          <w:szCs w:val="24"/>
        </w:rPr>
        <w:footnoteReference w:id="16"/>
      </w:r>
      <w:r w:rsidR="001C4F2B">
        <w:rPr>
          <w:rFonts w:ascii="Garamond" w:hAnsi="Garamond"/>
          <w:sz w:val="24"/>
          <w:szCs w:val="24"/>
        </w:rPr>
        <w:t>).</w:t>
      </w:r>
    </w:p>
    <w:p w:rsidR="009375B8" w:rsidRDefault="009375B8" w:rsidP="009375B8">
      <w:pPr>
        <w:rPr>
          <w:rFonts w:ascii="Garamond" w:hAnsi="Garamond"/>
          <w:sz w:val="24"/>
          <w:szCs w:val="24"/>
        </w:rPr>
      </w:pPr>
      <w:r>
        <w:rPr>
          <w:rFonts w:ascii="Garamond" w:hAnsi="Garamond"/>
          <w:sz w:val="24"/>
          <w:szCs w:val="24"/>
        </w:rPr>
        <w:t>Ebbene, proprio a seguito d</w:t>
      </w:r>
      <w:r w:rsidR="006723D0">
        <w:rPr>
          <w:rFonts w:ascii="Garamond" w:hAnsi="Garamond"/>
          <w:sz w:val="24"/>
          <w:szCs w:val="24"/>
        </w:rPr>
        <w:t>ell’indirizzo seguito dalle citate ordinanze dell</w:t>
      </w:r>
      <w:r w:rsidR="00F61211">
        <w:rPr>
          <w:rFonts w:ascii="Garamond" w:hAnsi="Garamond"/>
          <w:sz w:val="24"/>
          <w:szCs w:val="24"/>
        </w:rPr>
        <w:t>e Sezioni Unite dell</w:t>
      </w:r>
      <w:r w:rsidR="006723D0">
        <w:rPr>
          <w:rFonts w:ascii="Garamond" w:hAnsi="Garamond"/>
          <w:sz w:val="24"/>
          <w:szCs w:val="24"/>
        </w:rPr>
        <w:t>a Corte di Cassazione (</w:t>
      </w:r>
      <w:r w:rsidR="006723D0">
        <w:rPr>
          <w:rStyle w:val="Rimandonotaapidipagina"/>
          <w:rFonts w:ascii="Garamond" w:hAnsi="Garamond"/>
          <w:sz w:val="24"/>
          <w:szCs w:val="24"/>
        </w:rPr>
        <w:footnoteReference w:id="17"/>
      </w:r>
      <w:r w:rsidR="006723D0">
        <w:rPr>
          <w:rFonts w:ascii="Garamond" w:hAnsi="Garamond"/>
          <w:sz w:val="24"/>
          <w:szCs w:val="24"/>
        </w:rPr>
        <w:t>)</w:t>
      </w:r>
      <w:r>
        <w:rPr>
          <w:rFonts w:ascii="Garamond" w:hAnsi="Garamond"/>
          <w:sz w:val="24"/>
          <w:szCs w:val="24"/>
        </w:rPr>
        <w:t xml:space="preserve"> e alle critiche che esse hanno incontrato</w:t>
      </w:r>
      <w:r w:rsidR="006723D0">
        <w:rPr>
          <w:rFonts w:ascii="Garamond" w:hAnsi="Garamond"/>
          <w:sz w:val="24"/>
          <w:szCs w:val="24"/>
        </w:rPr>
        <w:t>,</w:t>
      </w:r>
      <w:r>
        <w:rPr>
          <w:rFonts w:ascii="Garamond" w:hAnsi="Garamond"/>
          <w:sz w:val="24"/>
          <w:szCs w:val="24"/>
        </w:rPr>
        <w:t xml:space="preserve"> è da affermare che esse hanno rappresentato </w:t>
      </w:r>
      <w:r w:rsidRPr="00E82EDD">
        <w:rPr>
          <w:rFonts w:ascii="Garamond" w:hAnsi="Garamond"/>
          <w:b/>
          <w:bCs/>
          <w:i/>
          <w:iCs/>
          <w:sz w:val="24"/>
          <w:szCs w:val="24"/>
        </w:rPr>
        <w:t>un elemento di discontinuità</w:t>
      </w:r>
      <w:r>
        <w:rPr>
          <w:rFonts w:ascii="Garamond" w:hAnsi="Garamond"/>
          <w:sz w:val="24"/>
          <w:szCs w:val="24"/>
        </w:rPr>
        <w:t xml:space="preserve"> rispetto all’indirizzo precedente, anche della Corte di legittimità (ad es. Cass. n. 8511/2009)</w:t>
      </w:r>
      <w:r w:rsidR="004818D5">
        <w:rPr>
          <w:rFonts w:ascii="Garamond" w:hAnsi="Garamond"/>
          <w:sz w:val="24"/>
          <w:szCs w:val="24"/>
        </w:rPr>
        <w:t>,</w:t>
      </w:r>
      <w:r>
        <w:rPr>
          <w:rFonts w:ascii="Garamond" w:hAnsi="Garamond"/>
          <w:sz w:val="24"/>
          <w:szCs w:val="24"/>
        </w:rPr>
        <w:t xml:space="preserve"> la quale aveva sempre ritenuto sufficiente, per affermar</w:t>
      </w:r>
      <w:r w:rsidR="009F1D81">
        <w:rPr>
          <w:rFonts w:ascii="Garamond" w:hAnsi="Garamond"/>
          <w:sz w:val="24"/>
          <w:szCs w:val="24"/>
        </w:rPr>
        <w:t>e la giurisdizione amministrati</w:t>
      </w:r>
      <w:r>
        <w:rPr>
          <w:rFonts w:ascii="Garamond" w:hAnsi="Garamond"/>
          <w:sz w:val="24"/>
          <w:szCs w:val="24"/>
        </w:rPr>
        <w:t>va, il mero collegamento della controversia con le m</w:t>
      </w:r>
      <w:r w:rsidR="009F1D81">
        <w:rPr>
          <w:rFonts w:ascii="Garamond" w:hAnsi="Garamond"/>
          <w:sz w:val="24"/>
          <w:szCs w:val="24"/>
        </w:rPr>
        <w:t>aterie indicate dalla legge amministrati</w:t>
      </w:r>
      <w:r>
        <w:rPr>
          <w:rFonts w:ascii="Garamond" w:hAnsi="Garamond"/>
          <w:sz w:val="24"/>
          <w:szCs w:val="24"/>
        </w:rPr>
        <w:t>va come p</w:t>
      </w:r>
      <w:r w:rsidR="009F1D81">
        <w:rPr>
          <w:rFonts w:ascii="Garamond" w:hAnsi="Garamond"/>
          <w:sz w:val="24"/>
          <w:szCs w:val="24"/>
        </w:rPr>
        <w:t>roprie della giurisprudenza amministrati</w:t>
      </w:r>
      <w:r>
        <w:rPr>
          <w:rFonts w:ascii="Garamond" w:hAnsi="Garamond"/>
          <w:sz w:val="24"/>
          <w:szCs w:val="24"/>
        </w:rPr>
        <w:t>va</w:t>
      </w:r>
      <w:r w:rsidR="001C4F2B">
        <w:rPr>
          <w:rFonts w:ascii="Garamond" w:hAnsi="Garamond"/>
          <w:sz w:val="24"/>
          <w:szCs w:val="24"/>
        </w:rPr>
        <w:t xml:space="preserve"> (</w:t>
      </w:r>
      <w:r w:rsidR="001C4F2B">
        <w:rPr>
          <w:rStyle w:val="Rimandonotaapidipagina"/>
          <w:rFonts w:ascii="Garamond" w:hAnsi="Garamond"/>
          <w:sz w:val="24"/>
          <w:szCs w:val="24"/>
        </w:rPr>
        <w:footnoteReference w:id="18"/>
      </w:r>
      <w:r w:rsidR="00F91221">
        <w:rPr>
          <w:rFonts w:ascii="Garamond" w:hAnsi="Garamond"/>
          <w:sz w:val="24"/>
          <w:szCs w:val="24"/>
        </w:rPr>
        <w:t>).</w:t>
      </w:r>
    </w:p>
    <w:p w:rsidR="009375B8" w:rsidRDefault="009375B8" w:rsidP="009375B8">
      <w:pPr>
        <w:rPr>
          <w:rFonts w:ascii="Garamond" w:hAnsi="Garamond"/>
          <w:sz w:val="24"/>
          <w:szCs w:val="24"/>
        </w:rPr>
      </w:pPr>
      <w:r>
        <w:rPr>
          <w:rFonts w:ascii="Garamond" w:hAnsi="Garamond"/>
          <w:sz w:val="24"/>
          <w:szCs w:val="24"/>
        </w:rPr>
        <w:t xml:space="preserve">Invece, l’indirizzo </w:t>
      </w:r>
      <w:r w:rsidR="00F91221">
        <w:rPr>
          <w:rFonts w:ascii="Garamond" w:hAnsi="Garamond"/>
          <w:sz w:val="24"/>
          <w:szCs w:val="24"/>
        </w:rPr>
        <w:t xml:space="preserve">più recente </w:t>
      </w:r>
      <w:r w:rsidR="00F61211">
        <w:rPr>
          <w:rFonts w:ascii="Garamond" w:hAnsi="Garamond"/>
          <w:sz w:val="24"/>
          <w:szCs w:val="24"/>
        </w:rPr>
        <w:t xml:space="preserve">della Corte di </w:t>
      </w:r>
      <w:r>
        <w:rPr>
          <w:rFonts w:ascii="Garamond" w:hAnsi="Garamond"/>
          <w:sz w:val="24"/>
          <w:szCs w:val="24"/>
        </w:rPr>
        <w:t xml:space="preserve">Cassazione tende a valorizzare, come nei casi considerati, </w:t>
      </w:r>
      <w:r w:rsidR="004818D5">
        <w:rPr>
          <w:rFonts w:ascii="Garamond" w:hAnsi="Garamond"/>
          <w:sz w:val="24"/>
          <w:szCs w:val="24"/>
        </w:rPr>
        <w:t xml:space="preserve">il fatto che </w:t>
      </w:r>
      <w:r>
        <w:rPr>
          <w:rFonts w:ascii="Garamond" w:hAnsi="Garamond"/>
          <w:sz w:val="24"/>
          <w:szCs w:val="24"/>
        </w:rPr>
        <w:t xml:space="preserve">il privato non si lamenta della lesione del proprio interesse legittimo ad ottenere un provvedimento </w:t>
      </w:r>
      <w:r w:rsidR="006723D0">
        <w:rPr>
          <w:rFonts w:ascii="Garamond" w:hAnsi="Garamond"/>
          <w:sz w:val="24"/>
          <w:szCs w:val="24"/>
        </w:rPr>
        <w:t xml:space="preserve">amministrativo </w:t>
      </w:r>
      <w:r>
        <w:rPr>
          <w:rFonts w:ascii="Garamond" w:hAnsi="Garamond"/>
          <w:sz w:val="24"/>
          <w:szCs w:val="24"/>
        </w:rPr>
        <w:t xml:space="preserve">favorevole bensì dell’affidamento che </w:t>
      </w:r>
      <w:r w:rsidR="004818D5">
        <w:rPr>
          <w:rFonts w:ascii="Garamond" w:hAnsi="Garamond"/>
          <w:sz w:val="24"/>
          <w:szCs w:val="24"/>
        </w:rPr>
        <w:t xml:space="preserve">esso </w:t>
      </w:r>
      <w:r>
        <w:rPr>
          <w:rFonts w:ascii="Garamond" w:hAnsi="Garamond"/>
          <w:sz w:val="24"/>
          <w:szCs w:val="24"/>
        </w:rPr>
        <w:t xml:space="preserve">ha </w:t>
      </w:r>
      <w:r w:rsidR="004818D5">
        <w:rPr>
          <w:rFonts w:ascii="Garamond" w:hAnsi="Garamond"/>
          <w:sz w:val="24"/>
          <w:szCs w:val="24"/>
        </w:rPr>
        <w:t>ri</w:t>
      </w:r>
      <w:r>
        <w:rPr>
          <w:rFonts w:ascii="Garamond" w:hAnsi="Garamond"/>
          <w:sz w:val="24"/>
          <w:szCs w:val="24"/>
        </w:rPr>
        <w:t>posto nella legittimità del provvedimento che gli ha riconosciuto il bene desiderato</w:t>
      </w:r>
      <w:r w:rsidR="006D0EA6">
        <w:rPr>
          <w:rFonts w:ascii="Garamond" w:hAnsi="Garamond"/>
          <w:sz w:val="24"/>
          <w:szCs w:val="24"/>
        </w:rPr>
        <w:t xml:space="preserve"> (</w:t>
      </w:r>
      <w:r w:rsidR="006D0EA6">
        <w:rPr>
          <w:rStyle w:val="Rimandonotaapidipagina"/>
          <w:rFonts w:ascii="Garamond" w:hAnsi="Garamond"/>
          <w:sz w:val="24"/>
          <w:szCs w:val="24"/>
        </w:rPr>
        <w:footnoteReference w:id="19"/>
      </w:r>
      <w:r w:rsidR="006D0EA6">
        <w:rPr>
          <w:rFonts w:ascii="Garamond" w:hAnsi="Garamond"/>
          <w:sz w:val="24"/>
          <w:szCs w:val="24"/>
        </w:rPr>
        <w:t>)</w:t>
      </w:r>
      <w:r>
        <w:rPr>
          <w:rFonts w:ascii="Garamond" w:hAnsi="Garamond"/>
          <w:sz w:val="24"/>
          <w:szCs w:val="24"/>
        </w:rPr>
        <w:t>.</w:t>
      </w:r>
    </w:p>
    <w:p w:rsidR="009375B8" w:rsidRDefault="009375B8" w:rsidP="009375B8">
      <w:pPr>
        <w:rPr>
          <w:rFonts w:ascii="Garamond" w:hAnsi="Garamond"/>
          <w:sz w:val="24"/>
          <w:szCs w:val="24"/>
        </w:rPr>
      </w:pPr>
      <w:r>
        <w:rPr>
          <w:rFonts w:ascii="Garamond" w:hAnsi="Garamond"/>
          <w:sz w:val="24"/>
          <w:szCs w:val="24"/>
        </w:rPr>
        <w:t>Trattasi dunque della lesione di una situazione giuridica soggettiva (quella ingenerata dall’affidamento)</w:t>
      </w:r>
      <w:r w:rsidR="004818D5">
        <w:rPr>
          <w:rFonts w:ascii="Garamond" w:hAnsi="Garamond"/>
          <w:sz w:val="24"/>
          <w:szCs w:val="24"/>
        </w:rPr>
        <w:t>,</w:t>
      </w:r>
      <w:r>
        <w:rPr>
          <w:rFonts w:ascii="Garamond" w:hAnsi="Garamond"/>
          <w:sz w:val="24"/>
          <w:szCs w:val="24"/>
        </w:rPr>
        <w:t xml:space="preserve"> diversa dall’interesse legittimo</w:t>
      </w:r>
      <w:r w:rsidR="00335EE3">
        <w:rPr>
          <w:rFonts w:ascii="Garamond" w:hAnsi="Garamond"/>
          <w:sz w:val="24"/>
          <w:szCs w:val="24"/>
        </w:rPr>
        <w:t xml:space="preserve"> (</w:t>
      </w:r>
      <w:r w:rsidR="00335EE3">
        <w:rPr>
          <w:rStyle w:val="Rimandonotaapidipagina"/>
          <w:rFonts w:ascii="Garamond" w:hAnsi="Garamond"/>
          <w:sz w:val="24"/>
          <w:szCs w:val="24"/>
        </w:rPr>
        <w:footnoteReference w:id="20"/>
      </w:r>
      <w:r w:rsidR="00335EE3">
        <w:rPr>
          <w:rFonts w:ascii="Garamond" w:hAnsi="Garamond"/>
          <w:sz w:val="24"/>
          <w:szCs w:val="24"/>
        </w:rPr>
        <w:t>)</w:t>
      </w:r>
      <w:r>
        <w:rPr>
          <w:rFonts w:ascii="Garamond" w:hAnsi="Garamond"/>
          <w:sz w:val="24"/>
          <w:szCs w:val="24"/>
        </w:rPr>
        <w:t>. Si tratta cioè di una fattispecie complessa che richiede il concorso, con tale illegittimità</w:t>
      </w:r>
      <w:r w:rsidR="00EC5E9D">
        <w:rPr>
          <w:rFonts w:ascii="Garamond" w:hAnsi="Garamond"/>
          <w:sz w:val="24"/>
          <w:szCs w:val="24"/>
        </w:rPr>
        <w:t>, di ulteriori circostanze</w:t>
      </w:r>
      <w:r w:rsidR="00E14C11">
        <w:rPr>
          <w:rFonts w:ascii="Garamond" w:hAnsi="Garamond"/>
          <w:sz w:val="24"/>
          <w:szCs w:val="24"/>
        </w:rPr>
        <w:t xml:space="preserve">, la cui attitudine a fondare la fiducia incolpevole deve essere valutata </w:t>
      </w:r>
      <w:r w:rsidR="00E14C11" w:rsidRPr="004818D5">
        <w:rPr>
          <w:rFonts w:ascii="Garamond" w:hAnsi="Garamond"/>
          <w:b/>
          <w:bCs/>
          <w:i/>
          <w:iCs/>
          <w:sz w:val="24"/>
          <w:szCs w:val="24"/>
        </w:rPr>
        <w:t>caso per caso</w:t>
      </w:r>
      <w:r w:rsidR="00E14C11">
        <w:rPr>
          <w:rFonts w:ascii="Garamond" w:hAnsi="Garamond"/>
          <w:sz w:val="24"/>
          <w:szCs w:val="24"/>
        </w:rPr>
        <w:t>.</w:t>
      </w:r>
      <w:r w:rsidR="00F91221">
        <w:rPr>
          <w:rFonts w:ascii="Garamond" w:hAnsi="Garamond"/>
          <w:sz w:val="24"/>
          <w:szCs w:val="24"/>
        </w:rPr>
        <w:t xml:space="preserve"> Ed è questo proprio l’ambito di una responsabilità, come quella civile, il cui modello implica un giudizio che comprenda elementi soggettivi (colpa o dolo) ed oggettivi (danno ingiusto) nonché un giudizio complessivo che è anche attento “alle circostanze del caso”.</w:t>
      </w:r>
    </w:p>
    <w:p w:rsidR="00E14C11" w:rsidRDefault="00E14C11" w:rsidP="009375B8">
      <w:pPr>
        <w:rPr>
          <w:rFonts w:ascii="Garamond" w:hAnsi="Garamond"/>
          <w:sz w:val="24"/>
          <w:szCs w:val="24"/>
        </w:rPr>
      </w:pPr>
      <w:r>
        <w:rPr>
          <w:rFonts w:ascii="Garamond" w:hAnsi="Garamond"/>
          <w:sz w:val="24"/>
          <w:szCs w:val="24"/>
        </w:rPr>
        <w:t>In definitiva, atto di esercizio del pubblico potere e comportamenti (fonte di responsabilità) si collocano, ciascuno, in una diversa dimensione.</w:t>
      </w:r>
    </w:p>
    <w:p w:rsidR="00E14C11" w:rsidRDefault="00E82EDD" w:rsidP="009375B8">
      <w:pPr>
        <w:rPr>
          <w:rFonts w:ascii="Garamond" w:hAnsi="Garamond"/>
          <w:sz w:val="24"/>
          <w:szCs w:val="24"/>
        </w:rPr>
      </w:pPr>
      <w:r>
        <w:rPr>
          <w:rFonts w:ascii="Garamond" w:hAnsi="Garamond"/>
          <w:sz w:val="24"/>
          <w:szCs w:val="24"/>
        </w:rPr>
        <w:t>Già si è detto come</w:t>
      </w:r>
      <w:r w:rsidR="00DD7719">
        <w:rPr>
          <w:rFonts w:ascii="Garamond" w:hAnsi="Garamond"/>
          <w:sz w:val="24"/>
          <w:szCs w:val="24"/>
        </w:rPr>
        <w:t>,</w:t>
      </w:r>
      <w:r>
        <w:rPr>
          <w:rFonts w:ascii="Garamond" w:hAnsi="Garamond"/>
          <w:sz w:val="24"/>
          <w:szCs w:val="24"/>
        </w:rPr>
        <w:t xml:space="preserve"> a</w:t>
      </w:r>
      <w:r w:rsidR="00E14C11">
        <w:rPr>
          <w:rFonts w:ascii="Garamond" w:hAnsi="Garamond"/>
          <w:sz w:val="24"/>
          <w:szCs w:val="24"/>
        </w:rPr>
        <w:t xml:space="preserve"> fronte dell’atto di esercizio del pubblico potere</w:t>
      </w:r>
      <w:r w:rsidR="00DD7719">
        <w:rPr>
          <w:rFonts w:ascii="Garamond" w:hAnsi="Garamond"/>
          <w:sz w:val="24"/>
          <w:szCs w:val="24"/>
        </w:rPr>
        <w:t>,</w:t>
      </w:r>
      <w:r w:rsidR="00E14C11">
        <w:rPr>
          <w:rFonts w:ascii="Garamond" w:hAnsi="Garamond"/>
          <w:sz w:val="24"/>
          <w:szCs w:val="24"/>
        </w:rPr>
        <w:t xml:space="preserve"> il privato non si trova in una dimensione relazionale, ma in quella di soggetto che è destinato a subire l’esercizio del pubblico potere, </w:t>
      </w:r>
      <w:proofErr w:type="spellStart"/>
      <w:r w:rsidR="00E14C11">
        <w:rPr>
          <w:rFonts w:ascii="Garamond" w:hAnsi="Garamond"/>
          <w:sz w:val="24"/>
          <w:szCs w:val="24"/>
        </w:rPr>
        <w:t>purchè</w:t>
      </w:r>
      <w:proofErr w:type="spellEnd"/>
      <w:r w:rsidR="00E14C11">
        <w:rPr>
          <w:rFonts w:ascii="Garamond" w:hAnsi="Garamond"/>
          <w:sz w:val="24"/>
          <w:szCs w:val="24"/>
        </w:rPr>
        <w:t xml:space="preserve"> secondo legge. </w:t>
      </w:r>
      <w:r w:rsidR="004818D5">
        <w:rPr>
          <w:rFonts w:ascii="Garamond" w:hAnsi="Garamond"/>
          <w:sz w:val="24"/>
          <w:szCs w:val="24"/>
        </w:rPr>
        <w:t xml:space="preserve">Nel caso invece della rilevanza di un mero comportamento, il soggetto </w:t>
      </w:r>
      <w:r w:rsidR="00E14C11">
        <w:rPr>
          <w:rFonts w:ascii="Garamond" w:hAnsi="Garamond"/>
          <w:sz w:val="24"/>
          <w:szCs w:val="24"/>
        </w:rPr>
        <w:t xml:space="preserve">invece si trova in una dimensione </w:t>
      </w:r>
      <w:r w:rsidR="00E14C11" w:rsidRPr="00F349E9">
        <w:rPr>
          <w:rFonts w:ascii="Garamond" w:hAnsi="Garamond"/>
          <w:b/>
          <w:bCs/>
          <w:i/>
          <w:iCs/>
          <w:sz w:val="24"/>
          <w:szCs w:val="24"/>
        </w:rPr>
        <w:t>relazion</w:t>
      </w:r>
      <w:r w:rsidR="004818D5" w:rsidRPr="00F349E9">
        <w:rPr>
          <w:rFonts w:ascii="Garamond" w:hAnsi="Garamond"/>
          <w:b/>
          <w:bCs/>
          <w:i/>
          <w:iCs/>
          <w:sz w:val="24"/>
          <w:szCs w:val="24"/>
        </w:rPr>
        <w:t>al</w:t>
      </w:r>
      <w:r w:rsidR="00E14C11" w:rsidRPr="00F349E9">
        <w:rPr>
          <w:rFonts w:ascii="Garamond" w:hAnsi="Garamond"/>
          <w:b/>
          <w:bCs/>
          <w:i/>
          <w:iCs/>
          <w:sz w:val="24"/>
          <w:szCs w:val="24"/>
        </w:rPr>
        <w:t>e</w:t>
      </w:r>
      <w:r w:rsidR="00E14C11">
        <w:rPr>
          <w:rFonts w:ascii="Garamond" w:hAnsi="Garamond"/>
          <w:sz w:val="24"/>
          <w:szCs w:val="24"/>
        </w:rPr>
        <w:t xml:space="preserve">, ove si </w:t>
      </w:r>
      <w:r w:rsidR="008246A0">
        <w:rPr>
          <w:rFonts w:ascii="Garamond" w:hAnsi="Garamond"/>
          <w:sz w:val="24"/>
          <w:szCs w:val="24"/>
        </w:rPr>
        <w:t xml:space="preserve">ha </w:t>
      </w:r>
      <w:r w:rsidR="00E14C11">
        <w:rPr>
          <w:rFonts w:ascii="Garamond" w:hAnsi="Garamond"/>
          <w:sz w:val="24"/>
          <w:szCs w:val="24"/>
        </w:rPr>
        <w:t xml:space="preserve">riguardo al rapporto intrattenuto con la P.A. e ai doveri che ne conseguono. In tal caso potrebbe addirittura non esservi neanche </w:t>
      </w:r>
      <w:r w:rsidR="008246A0">
        <w:rPr>
          <w:rFonts w:ascii="Garamond" w:hAnsi="Garamond"/>
          <w:sz w:val="24"/>
          <w:szCs w:val="24"/>
        </w:rPr>
        <w:t xml:space="preserve">un </w:t>
      </w:r>
      <w:r w:rsidR="00E14C11">
        <w:rPr>
          <w:rFonts w:ascii="Garamond" w:hAnsi="Garamond"/>
          <w:sz w:val="24"/>
          <w:szCs w:val="24"/>
        </w:rPr>
        <w:t xml:space="preserve">atto di esercizio di pubblico potere (come nel caso </w:t>
      </w:r>
      <w:r w:rsidR="00F61211">
        <w:rPr>
          <w:rFonts w:ascii="Garamond" w:hAnsi="Garamond"/>
          <w:sz w:val="24"/>
          <w:szCs w:val="24"/>
        </w:rPr>
        <w:t xml:space="preserve">oggetto delle Sezioni Unite della </w:t>
      </w:r>
      <w:r w:rsidR="005462E3">
        <w:rPr>
          <w:rFonts w:ascii="Garamond" w:hAnsi="Garamond"/>
          <w:sz w:val="24"/>
          <w:szCs w:val="24"/>
        </w:rPr>
        <w:t>Corte di Cassazione,</w:t>
      </w:r>
      <w:r w:rsidR="00E14C11">
        <w:rPr>
          <w:rFonts w:ascii="Garamond" w:hAnsi="Garamond"/>
          <w:sz w:val="24"/>
          <w:szCs w:val="24"/>
        </w:rPr>
        <w:t xml:space="preserve"> n. 8</w:t>
      </w:r>
      <w:r w:rsidR="005462E3">
        <w:rPr>
          <w:rFonts w:ascii="Garamond" w:hAnsi="Garamond"/>
          <w:sz w:val="24"/>
          <w:szCs w:val="24"/>
        </w:rPr>
        <w:t xml:space="preserve">236 del </w:t>
      </w:r>
      <w:r w:rsidR="00E14C11">
        <w:rPr>
          <w:rFonts w:ascii="Garamond" w:hAnsi="Garamond"/>
          <w:sz w:val="24"/>
          <w:szCs w:val="24"/>
        </w:rPr>
        <w:t>2020</w:t>
      </w:r>
      <w:r w:rsidR="005462E3">
        <w:rPr>
          <w:rStyle w:val="Rimandonotaapidipagina"/>
          <w:rFonts w:ascii="Garamond" w:hAnsi="Garamond"/>
          <w:sz w:val="24"/>
          <w:szCs w:val="24"/>
        </w:rPr>
        <w:footnoteReference w:id="21"/>
      </w:r>
      <w:r w:rsidR="004818D5">
        <w:rPr>
          <w:rFonts w:ascii="Garamond" w:hAnsi="Garamond"/>
          <w:sz w:val="24"/>
          <w:szCs w:val="24"/>
        </w:rPr>
        <w:t>,</w:t>
      </w:r>
      <w:r w:rsidR="00E14C11">
        <w:rPr>
          <w:rFonts w:ascii="Garamond" w:hAnsi="Garamond"/>
          <w:sz w:val="24"/>
          <w:szCs w:val="24"/>
        </w:rPr>
        <w:t xml:space="preserve"> ove la P.A. non </w:t>
      </w:r>
      <w:r w:rsidR="004818D5">
        <w:rPr>
          <w:rFonts w:ascii="Garamond" w:hAnsi="Garamond"/>
          <w:sz w:val="24"/>
          <w:szCs w:val="24"/>
        </w:rPr>
        <w:t xml:space="preserve">abbia </w:t>
      </w:r>
      <w:r w:rsidR="00E14C11">
        <w:rPr>
          <w:rFonts w:ascii="Garamond" w:hAnsi="Garamond"/>
          <w:sz w:val="24"/>
          <w:szCs w:val="24"/>
        </w:rPr>
        <w:t xml:space="preserve">emanato alcun provvedimento ma </w:t>
      </w:r>
      <w:r w:rsidR="008246A0">
        <w:rPr>
          <w:rFonts w:ascii="Garamond" w:hAnsi="Garamond"/>
          <w:sz w:val="24"/>
          <w:szCs w:val="24"/>
        </w:rPr>
        <w:t>avendo richiesto solo a</w:t>
      </w:r>
      <w:r w:rsidR="00E14C11">
        <w:rPr>
          <w:rFonts w:ascii="Garamond" w:hAnsi="Garamond"/>
          <w:sz w:val="24"/>
          <w:szCs w:val="24"/>
        </w:rPr>
        <w:t xml:space="preserve">l privato ulteriore documentazione </w:t>
      </w:r>
      <w:r w:rsidR="008246A0">
        <w:rPr>
          <w:rFonts w:ascii="Garamond" w:hAnsi="Garamond"/>
          <w:sz w:val="24"/>
          <w:szCs w:val="24"/>
        </w:rPr>
        <w:t xml:space="preserve">per decidere </w:t>
      </w:r>
      <w:r w:rsidR="00E14C11">
        <w:rPr>
          <w:rFonts w:ascii="Garamond" w:hAnsi="Garamond"/>
          <w:sz w:val="24"/>
          <w:szCs w:val="24"/>
        </w:rPr>
        <w:t xml:space="preserve">e facendo </w:t>
      </w:r>
      <w:r w:rsidR="008246A0">
        <w:rPr>
          <w:rFonts w:ascii="Garamond" w:hAnsi="Garamond"/>
          <w:sz w:val="24"/>
          <w:szCs w:val="24"/>
        </w:rPr>
        <w:t xml:space="preserve">così </w:t>
      </w:r>
      <w:r w:rsidR="00E14C11">
        <w:rPr>
          <w:rFonts w:ascii="Garamond" w:hAnsi="Garamond"/>
          <w:sz w:val="24"/>
          <w:szCs w:val="24"/>
        </w:rPr>
        <w:t>venir meno i termini proce</w:t>
      </w:r>
      <w:r w:rsidR="005462E3">
        <w:rPr>
          <w:rFonts w:ascii="Garamond" w:hAnsi="Garamond"/>
          <w:sz w:val="24"/>
          <w:szCs w:val="24"/>
        </w:rPr>
        <w:t>dimentali. E la difesa dell’Amministrazio</w:t>
      </w:r>
      <w:r w:rsidR="00E14C11">
        <w:rPr>
          <w:rFonts w:ascii="Garamond" w:hAnsi="Garamond"/>
          <w:sz w:val="24"/>
          <w:szCs w:val="24"/>
        </w:rPr>
        <w:t>ne</w:t>
      </w:r>
      <w:r w:rsidR="004818D5">
        <w:rPr>
          <w:rFonts w:ascii="Garamond" w:hAnsi="Garamond"/>
          <w:sz w:val="24"/>
          <w:szCs w:val="24"/>
        </w:rPr>
        <w:t>, nel caso di specie,</w:t>
      </w:r>
      <w:r w:rsidR="00E14C11">
        <w:rPr>
          <w:rFonts w:ascii="Garamond" w:hAnsi="Garamond"/>
          <w:sz w:val="24"/>
          <w:szCs w:val="24"/>
        </w:rPr>
        <w:t xml:space="preserve"> aveva insistito sulla </w:t>
      </w:r>
      <w:r w:rsidR="008246A0">
        <w:rPr>
          <w:rFonts w:ascii="Garamond" w:hAnsi="Garamond"/>
          <w:sz w:val="24"/>
          <w:szCs w:val="24"/>
        </w:rPr>
        <w:t xml:space="preserve">mancanza </w:t>
      </w:r>
      <w:r w:rsidR="00E14C11">
        <w:rPr>
          <w:rFonts w:ascii="Garamond" w:hAnsi="Garamond"/>
          <w:sz w:val="24"/>
          <w:szCs w:val="24"/>
        </w:rPr>
        <w:t>di alcun provvedimento positivo, tale da generare affidamento, onde il privato avrebbe potuto lamentarsi solo del danno da ritardo</w:t>
      </w:r>
      <w:r w:rsidR="006C58C3">
        <w:rPr>
          <w:rFonts w:ascii="Garamond" w:hAnsi="Garamond"/>
          <w:sz w:val="24"/>
          <w:szCs w:val="24"/>
        </w:rPr>
        <w:t>)</w:t>
      </w:r>
      <w:r w:rsidR="00E14C11">
        <w:rPr>
          <w:rFonts w:ascii="Garamond" w:hAnsi="Garamond"/>
          <w:sz w:val="24"/>
          <w:szCs w:val="24"/>
        </w:rPr>
        <w:t>.</w:t>
      </w:r>
    </w:p>
    <w:p w:rsidR="00207FCB" w:rsidRDefault="00E82EDD" w:rsidP="00207FCB">
      <w:pPr>
        <w:rPr>
          <w:rFonts w:ascii="Garamond" w:hAnsi="Garamond"/>
          <w:bCs/>
          <w:iCs/>
          <w:sz w:val="24"/>
          <w:szCs w:val="24"/>
        </w:rPr>
      </w:pPr>
      <w:r>
        <w:rPr>
          <w:rFonts w:ascii="Garamond" w:hAnsi="Garamond"/>
          <w:sz w:val="24"/>
          <w:szCs w:val="24"/>
        </w:rPr>
        <w:t>5</w:t>
      </w:r>
      <w:r w:rsidR="005462E3">
        <w:rPr>
          <w:rFonts w:ascii="Garamond" w:hAnsi="Garamond"/>
          <w:sz w:val="24"/>
          <w:szCs w:val="24"/>
        </w:rPr>
        <w:t>.</w:t>
      </w:r>
      <w:r w:rsidR="009B5903">
        <w:rPr>
          <w:rFonts w:ascii="Garamond" w:hAnsi="Garamond"/>
          <w:sz w:val="24"/>
          <w:szCs w:val="24"/>
        </w:rPr>
        <w:t xml:space="preserve"> </w:t>
      </w:r>
      <w:r w:rsidR="00207FCB" w:rsidRPr="00207FCB">
        <w:rPr>
          <w:rFonts w:ascii="Garamond" w:hAnsi="Garamond"/>
          <w:b/>
          <w:bCs/>
          <w:iCs/>
          <w:sz w:val="24"/>
          <w:szCs w:val="24"/>
        </w:rPr>
        <w:t>La natura unitaria della responsabilità come responsabilità da rapporto, ingenerato dal contatto sociale</w:t>
      </w:r>
      <w:r w:rsidR="00207FCB">
        <w:rPr>
          <w:rFonts w:ascii="Garamond" w:hAnsi="Garamond"/>
          <w:bCs/>
          <w:iCs/>
          <w:sz w:val="24"/>
          <w:szCs w:val="24"/>
        </w:rPr>
        <w:t>.</w:t>
      </w:r>
    </w:p>
    <w:p w:rsidR="00F805DE" w:rsidRPr="005462E3" w:rsidRDefault="0018247F" w:rsidP="00207FCB">
      <w:pPr>
        <w:rPr>
          <w:rFonts w:ascii="Garamond" w:hAnsi="Garamond"/>
          <w:sz w:val="24"/>
          <w:szCs w:val="24"/>
        </w:rPr>
      </w:pPr>
      <w:r>
        <w:rPr>
          <w:rFonts w:ascii="Garamond" w:hAnsi="Garamond"/>
          <w:sz w:val="24"/>
          <w:szCs w:val="24"/>
        </w:rPr>
        <w:t xml:space="preserve">E’ </w:t>
      </w:r>
      <w:r w:rsidR="003B364A" w:rsidRPr="005462E3">
        <w:rPr>
          <w:rFonts w:ascii="Garamond" w:hAnsi="Garamond"/>
          <w:sz w:val="24"/>
          <w:szCs w:val="24"/>
        </w:rPr>
        <w:t xml:space="preserve">dunque da interrogarsi qual è stato </w:t>
      </w:r>
      <w:r w:rsidR="00851AC3" w:rsidRPr="003E7944">
        <w:rPr>
          <w:rFonts w:ascii="Garamond" w:hAnsi="Garamond"/>
          <w:b/>
          <w:bCs/>
          <w:i/>
          <w:iCs/>
          <w:sz w:val="24"/>
          <w:szCs w:val="24"/>
        </w:rPr>
        <w:t xml:space="preserve">il </w:t>
      </w:r>
      <w:r w:rsidR="009A34AD" w:rsidRPr="003E7944">
        <w:rPr>
          <w:rFonts w:ascii="Garamond" w:hAnsi="Garamond"/>
          <w:b/>
          <w:bCs/>
          <w:i/>
          <w:iCs/>
          <w:sz w:val="24"/>
          <w:szCs w:val="24"/>
        </w:rPr>
        <w:t xml:space="preserve">supporto </w:t>
      </w:r>
      <w:r w:rsidR="003B364A" w:rsidRPr="003E7944">
        <w:rPr>
          <w:rFonts w:ascii="Garamond" w:hAnsi="Garamond"/>
          <w:b/>
          <w:bCs/>
          <w:i/>
          <w:iCs/>
          <w:sz w:val="24"/>
          <w:szCs w:val="24"/>
        </w:rPr>
        <w:t>teorico</w:t>
      </w:r>
      <w:r w:rsidR="003B364A" w:rsidRPr="005462E3">
        <w:rPr>
          <w:rFonts w:ascii="Garamond" w:hAnsi="Garamond"/>
          <w:sz w:val="24"/>
          <w:szCs w:val="24"/>
        </w:rPr>
        <w:t xml:space="preserve"> che ha con</w:t>
      </w:r>
      <w:r w:rsidR="006047DC" w:rsidRPr="005462E3">
        <w:rPr>
          <w:rFonts w:ascii="Garamond" w:hAnsi="Garamond"/>
          <w:sz w:val="24"/>
          <w:szCs w:val="24"/>
        </w:rPr>
        <w:t>sentito alla giurisprudenza amministrati</w:t>
      </w:r>
      <w:r w:rsidR="003B364A" w:rsidRPr="005462E3">
        <w:rPr>
          <w:rFonts w:ascii="Garamond" w:hAnsi="Garamond"/>
          <w:sz w:val="24"/>
          <w:szCs w:val="24"/>
        </w:rPr>
        <w:t xml:space="preserve">va di superare quella che può definirsi una vera e propria </w:t>
      </w:r>
      <w:r w:rsidR="003B364A" w:rsidRPr="005462E3">
        <w:rPr>
          <w:rFonts w:ascii="Garamond" w:hAnsi="Garamond"/>
          <w:b/>
          <w:bCs/>
          <w:i/>
          <w:iCs/>
          <w:sz w:val="24"/>
          <w:szCs w:val="24"/>
        </w:rPr>
        <w:t>impasse</w:t>
      </w:r>
      <w:r w:rsidR="003B364A" w:rsidRPr="005462E3">
        <w:rPr>
          <w:rFonts w:ascii="Garamond" w:hAnsi="Garamond"/>
          <w:sz w:val="24"/>
          <w:szCs w:val="24"/>
        </w:rPr>
        <w:t xml:space="preserve"> nei rapporti tra tutela offerta in via ordinaria ai soggetti</w:t>
      </w:r>
      <w:r w:rsidR="00595B32" w:rsidRPr="005462E3">
        <w:rPr>
          <w:rFonts w:ascii="Garamond" w:hAnsi="Garamond"/>
          <w:sz w:val="24"/>
          <w:szCs w:val="24"/>
        </w:rPr>
        <w:t xml:space="preserve"> delle contrattazioni, </w:t>
      </w:r>
      <w:r w:rsidR="00021CAD" w:rsidRPr="005462E3">
        <w:rPr>
          <w:rFonts w:ascii="Garamond" w:hAnsi="Garamond"/>
          <w:sz w:val="24"/>
          <w:szCs w:val="24"/>
        </w:rPr>
        <w:t xml:space="preserve">pubblici e privati, </w:t>
      </w:r>
      <w:r w:rsidR="004D10EB" w:rsidRPr="005462E3">
        <w:rPr>
          <w:rFonts w:ascii="Garamond" w:hAnsi="Garamond"/>
          <w:sz w:val="24"/>
          <w:szCs w:val="24"/>
        </w:rPr>
        <w:t xml:space="preserve">che essi fossero, </w:t>
      </w:r>
      <w:r w:rsidR="003B364A" w:rsidRPr="005462E3">
        <w:rPr>
          <w:rFonts w:ascii="Garamond" w:hAnsi="Garamond"/>
          <w:sz w:val="24"/>
          <w:szCs w:val="24"/>
        </w:rPr>
        <w:t xml:space="preserve">e </w:t>
      </w:r>
      <w:r w:rsidR="00851AC3" w:rsidRPr="005462E3">
        <w:rPr>
          <w:rFonts w:ascii="Garamond" w:hAnsi="Garamond"/>
          <w:sz w:val="24"/>
          <w:szCs w:val="24"/>
        </w:rPr>
        <w:t xml:space="preserve">la </w:t>
      </w:r>
      <w:r w:rsidR="003B364A" w:rsidRPr="005462E3">
        <w:rPr>
          <w:rFonts w:ascii="Garamond" w:hAnsi="Garamond"/>
          <w:sz w:val="24"/>
          <w:szCs w:val="24"/>
        </w:rPr>
        <w:t>tutela offerta in via amministrativa</w:t>
      </w:r>
      <w:r w:rsidR="0048196A">
        <w:rPr>
          <w:rFonts w:ascii="Garamond" w:hAnsi="Garamond"/>
          <w:sz w:val="24"/>
          <w:szCs w:val="24"/>
        </w:rPr>
        <w:t xml:space="preserve"> (</w:t>
      </w:r>
      <w:r w:rsidR="0048196A">
        <w:rPr>
          <w:rStyle w:val="Rimandonotaapidipagina"/>
          <w:rFonts w:ascii="Garamond" w:hAnsi="Garamond"/>
          <w:sz w:val="24"/>
          <w:szCs w:val="24"/>
        </w:rPr>
        <w:footnoteReference w:id="22"/>
      </w:r>
      <w:r w:rsidR="0048196A">
        <w:rPr>
          <w:rFonts w:ascii="Garamond" w:hAnsi="Garamond"/>
          <w:sz w:val="24"/>
          <w:szCs w:val="24"/>
        </w:rPr>
        <w:t>)</w:t>
      </w:r>
      <w:r w:rsidR="003B364A" w:rsidRPr="005462E3">
        <w:rPr>
          <w:rFonts w:ascii="Garamond" w:hAnsi="Garamond"/>
          <w:sz w:val="24"/>
          <w:szCs w:val="24"/>
        </w:rPr>
        <w:t>.</w:t>
      </w:r>
    </w:p>
    <w:p w:rsidR="00F805DE" w:rsidRPr="00295363" w:rsidRDefault="003B364A" w:rsidP="004818D5">
      <w:pPr>
        <w:rPr>
          <w:rFonts w:ascii="Garamond" w:hAnsi="Garamond"/>
          <w:sz w:val="24"/>
          <w:szCs w:val="24"/>
        </w:rPr>
      </w:pPr>
      <w:r w:rsidRPr="00295363">
        <w:rPr>
          <w:rFonts w:ascii="Garamond" w:hAnsi="Garamond"/>
          <w:sz w:val="24"/>
          <w:szCs w:val="24"/>
        </w:rPr>
        <w:t xml:space="preserve">Ebbene, da larga giurisprudenza amministrativa questo </w:t>
      </w:r>
      <w:r w:rsidR="004818D5">
        <w:rPr>
          <w:rFonts w:ascii="Garamond" w:hAnsi="Garamond"/>
          <w:sz w:val="24"/>
          <w:szCs w:val="24"/>
        </w:rPr>
        <w:t xml:space="preserve">supporto </w:t>
      </w:r>
      <w:r w:rsidRPr="00295363">
        <w:rPr>
          <w:rFonts w:ascii="Garamond" w:hAnsi="Garamond"/>
          <w:sz w:val="24"/>
          <w:szCs w:val="24"/>
        </w:rPr>
        <w:t xml:space="preserve">è stato rinvenuto abbastanza facilmente, nella asserita </w:t>
      </w:r>
      <w:r w:rsidR="00851AC3" w:rsidRPr="00295363">
        <w:rPr>
          <w:rFonts w:ascii="Garamond" w:hAnsi="Garamond"/>
          <w:sz w:val="24"/>
          <w:szCs w:val="24"/>
        </w:rPr>
        <w:t>co-</w:t>
      </w:r>
      <w:r w:rsidRPr="00295363">
        <w:rPr>
          <w:rFonts w:ascii="Garamond" w:hAnsi="Garamond"/>
          <w:sz w:val="24"/>
          <w:szCs w:val="24"/>
        </w:rPr>
        <w:t xml:space="preserve">esistenza accanto al procedimento amministrativo che regola l’esercizio del pubblico potere e che è fonte di regole </w:t>
      </w:r>
      <w:r w:rsidRPr="00295363">
        <w:rPr>
          <w:rFonts w:ascii="Garamond" w:hAnsi="Garamond"/>
          <w:b/>
          <w:bCs/>
          <w:i/>
          <w:iCs/>
          <w:sz w:val="24"/>
          <w:szCs w:val="24"/>
        </w:rPr>
        <w:t>di validità</w:t>
      </w:r>
      <w:r w:rsidRPr="00295363">
        <w:rPr>
          <w:rFonts w:ascii="Garamond" w:hAnsi="Garamond"/>
          <w:sz w:val="24"/>
          <w:szCs w:val="24"/>
        </w:rPr>
        <w:t>, in quanto connesse all’interesse pubblico (ad es. il buon andamento della P.A. art. 97 Cost.)</w:t>
      </w:r>
      <w:r w:rsidR="00595B32" w:rsidRPr="00295363">
        <w:rPr>
          <w:rFonts w:ascii="Garamond" w:hAnsi="Garamond"/>
          <w:sz w:val="24"/>
          <w:szCs w:val="24"/>
        </w:rPr>
        <w:t>,</w:t>
      </w:r>
      <w:r w:rsidRPr="00295363">
        <w:rPr>
          <w:rFonts w:ascii="Garamond" w:hAnsi="Garamond"/>
          <w:sz w:val="24"/>
          <w:szCs w:val="24"/>
        </w:rPr>
        <w:t xml:space="preserve"> di un </w:t>
      </w:r>
      <w:r w:rsidR="004818D5">
        <w:rPr>
          <w:rFonts w:ascii="Garamond" w:hAnsi="Garamond"/>
          <w:sz w:val="24"/>
          <w:szCs w:val="24"/>
        </w:rPr>
        <w:t xml:space="preserve">parallelo </w:t>
      </w:r>
      <w:r w:rsidRPr="00295363">
        <w:rPr>
          <w:rFonts w:ascii="Garamond" w:hAnsi="Garamond"/>
          <w:sz w:val="24"/>
          <w:szCs w:val="24"/>
        </w:rPr>
        <w:t>procedimento negoziale (</w:t>
      </w:r>
      <w:r w:rsidRPr="00295363">
        <w:rPr>
          <w:rStyle w:val="Rimandonotaapidipagina"/>
          <w:rFonts w:ascii="Garamond" w:hAnsi="Garamond"/>
          <w:sz w:val="24"/>
          <w:szCs w:val="24"/>
        </w:rPr>
        <w:footnoteReference w:id="23"/>
      </w:r>
      <w:r w:rsidRPr="00295363">
        <w:rPr>
          <w:rFonts w:ascii="Garamond" w:hAnsi="Garamond"/>
          <w:sz w:val="24"/>
          <w:szCs w:val="24"/>
        </w:rPr>
        <w:t>).</w:t>
      </w:r>
    </w:p>
    <w:p w:rsidR="00F805DE" w:rsidRPr="00295363" w:rsidRDefault="003B364A" w:rsidP="005462E3">
      <w:pPr>
        <w:rPr>
          <w:rFonts w:ascii="Garamond" w:hAnsi="Garamond"/>
          <w:sz w:val="24"/>
          <w:szCs w:val="24"/>
        </w:rPr>
      </w:pPr>
      <w:r w:rsidRPr="00295363">
        <w:rPr>
          <w:rFonts w:ascii="Garamond" w:hAnsi="Garamond"/>
          <w:sz w:val="24"/>
          <w:szCs w:val="24"/>
        </w:rPr>
        <w:t xml:space="preserve">Si sostiene infatti “come la previsione legislativa di un procedimento pubblicistico imponga necessariamente che anche la volontà negoziale si formi in maniera progressiva nel rispetto di determinate regole procedimentali predefinite, non derogabili dalle parti, che </w:t>
      </w:r>
      <w:r w:rsidR="001B029B" w:rsidRPr="00295363">
        <w:rPr>
          <w:rFonts w:ascii="Garamond" w:hAnsi="Garamond"/>
          <w:sz w:val="24"/>
          <w:szCs w:val="24"/>
        </w:rPr>
        <w:t>articolano normalmente l’iter formativo in un invito ad offrire della P.A. cui segue la proposta della controparte, e l’accettazione finale della stessa P.A.</w:t>
      </w:r>
      <w:r w:rsidR="00213ED6" w:rsidRPr="00295363">
        <w:rPr>
          <w:rFonts w:ascii="Garamond" w:hAnsi="Garamond"/>
          <w:sz w:val="24"/>
          <w:szCs w:val="24"/>
        </w:rPr>
        <w:t>”</w:t>
      </w:r>
      <w:r w:rsidR="001B029B" w:rsidRPr="00295363">
        <w:rPr>
          <w:rFonts w:ascii="Garamond" w:hAnsi="Garamond"/>
          <w:sz w:val="24"/>
          <w:szCs w:val="24"/>
        </w:rPr>
        <w:t xml:space="preserve"> (</w:t>
      </w:r>
      <w:r w:rsidR="001B029B" w:rsidRPr="00295363">
        <w:rPr>
          <w:rStyle w:val="Rimandonotaapidipagina"/>
          <w:rFonts w:ascii="Garamond" w:hAnsi="Garamond"/>
          <w:sz w:val="24"/>
          <w:szCs w:val="24"/>
        </w:rPr>
        <w:footnoteReference w:id="24"/>
      </w:r>
      <w:r w:rsidR="001B029B" w:rsidRPr="00295363">
        <w:rPr>
          <w:rFonts w:ascii="Garamond" w:hAnsi="Garamond"/>
          <w:sz w:val="24"/>
          <w:szCs w:val="24"/>
        </w:rPr>
        <w:t>).</w:t>
      </w:r>
    </w:p>
    <w:p w:rsidR="00F805DE" w:rsidRPr="00295363" w:rsidRDefault="001B029B" w:rsidP="005462E3">
      <w:pPr>
        <w:rPr>
          <w:rFonts w:ascii="Garamond" w:hAnsi="Garamond"/>
          <w:sz w:val="24"/>
          <w:szCs w:val="24"/>
        </w:rPr>
      </w:pPr>
      <w:r w:rsidRPr="00295363">
        <w:rPr>
          <w:rFonts w:ascii="Garamond" w:hAnsi="Garamond"/>
          <w:sz w:val="24"/>
          <w:szCs w:val="24"/>
        </w:rPr>
        <w:t>Si sostiene, dal giudice amministrativo, che i motivi di carattere pubblico, se giuridicamente irrilevanti nel procedimento negoziale privato</w:t>
      </w:r>
      <w:r w:rsidR="00213ED6" w:rsidRPr="00295363">
        <w:rPr>
          <w:rFonts w:ascii="Garamond" w:hAnsi="Garamond"/>
          <w:sz w:val="24"/>
          <w:szCs w:val="24"/>
        </w:rPr>
        <w:t>,</w:t>
      </w:r>
      <w:r w:rsidR="009F63C7">
        <w:rPr>
          <w:rFonts w:ascii="Garamond" w:hAnsi="Garamond"/>
          <w:sz w:val="24"/>
          <w:szCs w:val="24"/>
        </w:rPr>
        <w:t xml:space="preserve"> </w:t>
      </w:r>
      <w:r w:rsidR="00021CAD" w:rsidRPr="00295363">
        <w:rPr>
          <w:rFonts w:ascii="Garamond" w:hAnsi="Garamond"/>
          <w:sz w:val="24"/>
          <w:szCs w:val="24"/>
        </w:rPr>
        <w:t>perché meri “motivi”</w:t>
      </w:r>
      <w:r w:rsidR="00595B32" w:rsidRPr="00295363">
        <w:rPr>
          <w:rFonts w:ascii="Garamond" w:hAnsi="Garamond"/>
          <w:sz w:val="24"/>
          <w:szCs w:val="24"/>
        </w:rPr>
        <w:t>,</w:t>
      </w:r>
      <w:r w:rsidR="009F63C7">
        <w:rPr>
          <w:rFonts w:ascii="Garamond" w:hAnsi="Garamond"/>
          <w:sz w:val="24"/>
          <w:szCs w:val="24"/>
        </w:rPr>
        <w:t xml:space="preserve"> </w:t>
      </w:r>
      <w:r w:rsidRPr="00295363">
        <w:rPr>
          <w:rFonts w:ascii="Garamond" w:hAnsi="Garamond"/>
          <w:sz w:val="24"/>
          <w:szCs w:val="24"/>
        </w:rPr>
        <w:t>sono invece rilevanti nel procedimento amministrativo.</w:t>
      </w:r>
    </w:p>
    <w:p w:rsidR="00F805DE" w:rsidRPr="00295363" w:rsidRDefault="001B029B" w:rsidP="005462E3">
      <w:pPr>
        <w:rPr>
          <w:rFonts w:ascii="Garamond" w:hAnsi="Garamond"/>
          <w:sz w:val="24"/>
          <w:szCs w:val="24"/>
        </w:rPr>
      </w:pPr>
      <w:r w:rsidRPr="00295363">
        <w:rPr>
          <w:rFonts w:ascii="Garamond" w:hAnsi="Garamond"/>
          <w:sz w:val="24"/>
          <w:szCs w:val="24"/>
        </w:rPr>
        <w:t xml:space="preserve">In buona sostanza, </w:t>
      </w:r>
      <w:r w:rsidR="00851AC3" w:rsidRPr="00295363">
        <w:rPr>
          <w:rFonts w:ascii="Garamond" w:hAnsi="Garamond"/>
          <w:sz w:val="24"/>
          <w:szCs w:val="24"/>
        </w:rPr>
        <w:t xml:space="preserve">sussiste </w:t>
      </w:r>
      <w:r w:rsidRPr="00295363">
        <w:rPr>
          <w:rFonts w:ascii="Garamond" w:hAnsi="Garamond"/>
          <w:sz w:val="24"/>
          <w:szCs w:val="24"/>
        </w:rPr>
        <w:t>netta separazione tra i due piani, quell</w:t>
      </w:r>
      <w:r w:rsidR="00851AC3" w:rsidRPr="00295363">
        <w:rPr>
          <w:rFonts w:ascii="Garamond" w:hAnsi="Garamond"/>
          <w:sz w:val="24"/>
          <w:szCs w:val="24"/>
        </w:rPr>
        <w:t>o</w:t>
      </w:r>
      <w:r w:rsidRPr="00295363">
        <w:rPr>
          <w:rFonts w:ascii="Garamond" w:hAnsi="Garamond"/>
          <w:sz w:val="24"/>
          <w:szCs w:val="24"/>
        </w:rPr>
        <w:t xml:space="preserve"> delle regole </w:t>
      </w:r>
      <w:r w:rsidR="00213ED6" w:rsidRPr="00295363">
        <w:rPr>
          <w:rFonts w:ascii="Garamond" w:hAnsi="Garamond"/>
          <w:sz w:val="24"/>
          <w:szCs w:val="24"/>
        </w:rPr>
        <w:t>“</w:t>
      </w:r>
      <w:r w:rsidRPr="00295363">
        <w:rPr>
          <w:rFonts w:ascii="Garamond" w:hAnsi="Garamond"/>
          <w:sz w:val="24"/>
          <w:szCs w:val="24"/>
        </w:rPr>
        <w:t>di validità</w:t>
      </w:r>
      <w:r w:rsidR="00213ED6" w:rsidRPr="00295363">
        <w:rPr>
          <w:rFonts w:ascii="Garamond" w:hAnsi="Garamond"/>
          <w:sz w:val="24"/>
          <w:szCs w:val="24"/>
        </w:rPr>
        <w:t>”</w:t>
      </w:r>
      <w:r w:rsidRPr="00295363">
        <w:rPr>
          <w:rFonts w:ascii="Garamond" w:hAnsi="Garamond"/>
          <w:sz w:val="24"/>
          <w:szCs w:val="24"/>
        </w:rPr>
        <w:t>, operative nel campo del procedimento amministrativo e del provvedimento che ne è alla fine</w:t>
      </w:r>
      <w:r w:rsidR="00F65C14">
        <w:rPr>
          <w:rFonts w:ascii="Garamond" w:hAnsi="Garamond"/>
          <w:sz w:val="24"/>
          <w:szCs w:val="24"/>
        </w:rPr>
        <w:t>,</w:t>
      </w:r>
      <w:r w:rsidRPr="00295363">
        <w:rPr>
          <w:rFonts w:ascii="Garamond" w:hAnsi="Garamond"/>
          <w:sz w:val="24"/>
          <w:szCs w:val="24"/>
        </w:rPr>
        <w:t xml:space="preserve"> e quello delle regole </w:t>
      </w:r>
      <w:r w:rsidR="00213ED6" w:rsidRPr="00295363">
        <w:rPr>
          <w:rFonts w:ascii="Garamond" w:hAnsi="Garamond"/>
          <w:sz w:val="24"/>
          <w:szCs w:val="24"/>
        </w:rPr>
        <w:t>“</w:t>
      </w:r>
      <w:r w:rsidRPr="00295363">
        <w:rPr>
          <w:rFonts w:ascii="Garamond" w:hAnsi="Garamond"/>
          <w:sz w:val="24"/>
          <w:szCs w:val="24"/>
        </w:rPr>
        <w:t xml:space="preserve">di </w:t>
      </w:r>
      <w:r w:rsidR="00021CAD" w:rsidRPr="00295363">
        <w:rPr>
          <w:rFonts w:ascii="Garamond" w:hAnsi="Garamond"/>
          <w:sz w:val="24"/>
          <w:szCs w:val="24"/>
        </w:rPr>
        <w:t>condotta</w:t>
      </w:r>
      <w:r w:rsidR="00213ED6" w:rsidRPr="00295363">
        <w:rPr>
          <w:rFonts w:ascii="Garamond" w:hAnsi="Garamond"/>
          <w:sz w:val="24"/>
          <w:szCs w:val="24"/>
        </w:rPr>
        <w:t>”</w:t>
      </w:r>
      <w:r w:rsidR="00021CAD" w:rsidRPr="00295363">
        <w:rPr>
          <w:rFonts w:ascii="Garamond" w:hAnsi="Garamond"/>
          <w:sz w:val="24"/>
          <w:szCs w:val="24"/>
        </w:rPr>
        <w:t>, e quindi di responsabilità</w:t>
      </w:r>
      <w:r w:rsidR="00595B32" w:rsidRPr="00295363">
        <w:rPr>
          <w:rFonts w:ascii="Garamond" w:hAnsi="Garamond"/>
          <w:sz w:val="24"/>
          <w:szCs w:val="24"/>
        </w:rPr>
        <w:t>,</w:t>
      </w:r>
      <w:r w:rsidR="00021CAD" w:rsidRPr="00295363">
        <w:rPr>
          <w:rFonts w:ascii="Garamond" w:hAnsi="Garamond"/>
          <w:sz w:val="24"/>
          <w:szCs w:val="24"/>
        </w:rPr>
        <w:t xml:space="preserve"> ove violate,</w:t>
      </w:r>
      <w:r w:rsidRPr="00295363">
        <w:rPr>
          <w:rFonts w:ascii="Garamond" w:hAnsi="Garamond"/>
          <w:sz w:val="24"/>
          <w:szCs w:val="24"/>
        </w:rPr>
        <w:t xml:space="preserve"> operative nel versante per c.d. privatistico dell’operato della P.A.</w:t>
      </w:r>
      <w:r w:rsidR="00851AC3" w:rsidRPr="00295363">
        <w:rPr>
          <w:rFonts w:ascii="Garamond" w:hAnsi="Garamond"/>
          <w:sz w:val="24"/>
          <w:szCs w:val="24"/>
        </w:rPr>
        <w:t xml:space="preserve"> al di là dell’esercizio del pubblico potere.</w:t>
      </w:r>
    </w:p>
    <w:p w:rsidR="00F805DE" w:rsidRPr="00295363" w:rsidRDefault="001B029B" w:rsidP="005462E3">
      <w:pPr>
        <w:rPr>
          <w:rFonts w:ascii="Garamond" w:hAnsi="Garamond"/>
          <w:sz w:val="24"/>
          <w:szCs w:val="24"/>
        </w:rPr>
      </w:pPr>
      <w:r w:rsidRPr="00295363">
        <w:rPr>
          <w:rFonts w:ascii="Garamond" w:hAnsi="Garamond"/>
          <w:sz w:val="24"/>
          <w:szCs w:val="24"/>
        </w:rPr>
        <w:t xml:space="preserve">L’illegittimità in cui la P.A. può incorrere nel procedimento amministrativo si pone, in via autonoma, rispetto alla responsabilità in cui </w:t>
      </w:r>
      <w:r w:rsidR="00213ED6" w:rsidRPr="00295363">
        <w:rPr>
          <w:rFonts w:ascii="Garamond" w:hAnsi="Garamond"/>
          <w:sz w:val="24"/>
          <w:szCs w:val="24"/>
        </w:rPr>
        <w:t xml:space="preserve">essa </w:t>
      </w:r>
      <w:r w:rsidRPr="00295363">
        <w:rPr>
          <w:rFonts w:ascii="Garamond" w:hAnsi="Garamond"/>
          <w:sz w:val="24"/>
          <w:szCs w:val="24"/>
        </w:rPr>
        <w:t xml:space="preserve">può incorrere </w:t>
      </w:r>
      <w:r w:rsidR="00213ED6" w:rsidRPr="00295363">
        <w:rPr>
          <w:rFonts w:ascii="Garamond" w:hAnsi="Garamond"/>
          <w:sz w:val="24"/>
          <w:szCs w:val="24"/>
        </w:rPr>
        <w:t>per la sua condotta</w:t>
      </w:r>
      <w:r w:rsidR="00595B32" w:rsidRPr="00295363">
        <w:rPr>
          <w:rFonts w:ascii="Garamond" w:hAnsi="Garamond"/>
          <w:sz w:val="24"/>
          <w:szCs w:val="24"/>
        </w:rPr>
        <w:t>, non ricollegabile all’esercizio del pubblico potere</w:t>
      </w:r>
      <w:r w:rsidRPr="00295363">
        <w:rPr>
          <w:rFonts w:ascii="Garamond" w:hAnsi="Garamond"/>
          <w:sz w:val="24"/>
          <w:szCs w:val="24"/>
        </w:rPr>
        <w:t>.</w:t>
      </w:r>
    </w:p>
    <w:p w:rsidR="00F805DE" w:rsidRPr="00295363" w:rsidRDefault="001B029B" w:rsidP="005462E3">
      <w:pPr>
        <w:rPr>
          <w:rFonts w:ascii="Garamond" w:hAnsi="Garamond"/>
          <w:sz w:val="24"/>
          <w:szCs w:val="24"/>
        </w:rPr>
      </w:pPr>
      <w:r w:rsidRPr="00295363">
        <w:rPr>
          <w:rFonts w:ascii="Garamond" w:hAnsi="Garamond"/>
          <w:sz w:val="24"/>
          <w:szCs w:val="24"/>
        </w:rPr>
        <w:t xml:space="preserve">Onde è stato affermato che, anche </w:t>
      </w:r>
      <w:r w:rsidR="00213ED6" w:rsidRPr="00295363">
        <w:rPr>
          <w:rFonts w:ascii="Garamond" w:hAnsi="Garamond"/>
          <w:sz w:val="24"/>
          <w:szCs w:val="24"/>
        </w:rPr>
        <w:t xml:space="preserve">se </w:t>
      </w:r>
      <w:r w:rsidR="006047DC" w:rsidRPr="00295363">
        <w:rPr>
          <w:rFonts w:ascii="Garamond" w:hAnsi="Garamond"/>
          <w:sz w:val="24"/>
          <w:szCs w:val="24"/>
        </w:rPr>
        <w:t>legittimo il provvedimento amministrati</w:t>
      </w:r>
      <w:r w:rsidRPr="00295363">
        <w:rPr>
          <w:rFonts w:ascii="Garamond" w:hAnsi="Garamond"/>
          <w:sz w:val="24"/>
          <w:szCs w:val="24"/>
        </w:rPr>
        <w:t xml:space="preserve">vo finale, può </w:t>
      </w:r>
      <w:r w:rsidR="00213ED6" w:rsidRPr="00295363">
        <w:rPr>
          <w:rFonts w:ascii="Garamond" w:hAnsi="Garamond"/>
          <w:sz w:val="24"/>
          <w:szCs w:val="24"/>
        </w:rPr>
        <w:t xml:space="preserve">non </w:t>
      </w:r>
      <w:r w:rsidRPr="00295363">
        <w:rPr>
          <w:rFonts w:ascii="Garamond" w:hAnsi="Garamond"/>
          <w:sz w:val="24"/>
          <w:szCs w:val="24"/>
        </w:rPr>
        <w:t xml:space="preserve">essere esclusa la responsabilità della P.A. per violazione di regole di </w:t>
      </w:r>
      <w:r w:rsidR="00213ED6" w:rsidRPr="00295363">
        <w:rPr>
          <w:rFonts w:ascii="Garamond" w:hAnsi="Garamond"/>
          <w:sz w:val="24"/>
          <w:szCs w:val="24"/>
        </w:rPr>
        <w:t>condotta</w:t>
      </w:r>
      <w:r w:rsidR="00595B32" w:rsidRPr="00295363">
        <w:rPr>
          <w:rFonts w:ascii="Garamond" w:hAnsi="Garamond"/>
          <w:sz w:val="24"/>
          <w:szCs w:val="24"/>
        </w:rPr>
        <w:t>,</w:t>
      </w:r>
      <w:r w:rsidR="009F63C7">
        <w:rPr>
          <w:rFonts w:ascii="Garamond" w:hAnsi="Garamond"/>
          <w:sz w:val="24"/>
          <w:szCs w:val="24"/>
        </w:rPr>
        <w:t xml:space="preserve"> </w:t>
      </w:r>
      <w:r w:rsidRPr="00295363">
        <w:rPr>
          <w:rFonts w:ascii="Garamond" w:hAnsi="Garamond"/>
          <w:sz w:val="24"/>
          <w:szCs w:val="24"/>
        </w:rPr>
        <w:t xml:space="preserve">realizzanti una responsabilità </w:t>
      </w:r>
      <w:proofErr w:type="spellStart"/>
      <w:r w:rsidRPr="00295363">
        <w:rPr>
          <w:rFonts w:ascii="Garamond" w:hAnsi="Garamond"/>
          <w:sz w:val="24"/>
          <w:szCs w:val="24"/>
        </w:rPr>
        <w:t>pre</w:t>
      </w:r>
      <w:proofErr w:type="spellEnd"/>
      <w:r w:rsidRPr="00295363">
        <w:rPr>
          <w:rFonts w:ascii="Garamond" w:hAnsi="Garamond"/>
          <w:sz w:val="24"/>
          <w:szCs w:val="24"/>
        </w:rPr>
        <w:t>-contrattuale della P.A. (</w:t>
      </w:r>
      <w:r w:rsidRPr="00295363">
        <w:rPr>
          <w:rStyle w:val="Rimandonotaapidipagina"/>
          <w:rFonts w:ascii="Garamond" w:hAnsi="Garamond"/>
          <w:sz w:val="24"/>
          <w:szCs w:val="24"/>
        </w:rPr>
        <w:footnoteReference w:id="25"/>
      </w:r>
      <w:r w:rsidRPr="00295363">
        <w:rPr>
          <w:rFonts w:ascii="Garamond" w:hAnsi="Garamond"/>
          <w:sz w:val="24"/>
          <w:szCs w:val="24"/>
        </w:rPr>
        <w:t>).</w:t>
      </w:r>
    </w:p>
    <w:p w:rsidR="00F805DE" w:rsidRPr="00073691" w:rsidRDefault="001B029B" w:rsidP="006F0F99">
      <w:pPr>
        <w:rPr>
          <w:rFonts w:ascii="Garamond" w:hAnsi="Garamond"/>
          <w:bCs/>
          <w:iCs/>
          <w:sz w:val="24"/>
          <w:szCs w:val="24"/>
        </w:rPr>
      </w:pPr>
      <w:r w:rsidRPr="00073691">
        <w:rPr>
          <w:rFonts w:ascii="Garamond" w:hAnsi="Garamond"/>
          <w:sz w:val="24"/>
          <w:szCs w:val="24"/>
        </w:rPr>
        <w:t xml:space="preserve">La prospettazione così delineata non può non indurre a riflessione. Essa seziona </w:t>
      </w:r>
      <w:r w:rsidR="0016299A">
        <w:rPr>
          <w:rFonts w:ascii="Garamond" w:hAnsi="Garamond"/>
          <w:sz w:val="24"/>
          <w:szCs w:val="24"/>
        </w:rPr>
        <w:t>in due parti</w:t>
      </w:r>
      <w:r w:rsidRPr="00073691">
        <w:rPr>
          <w:rFonts w:ascii="Garamond" w:hAnsi="Garamond"/>
          <w:sz w:val="24"/>
          <w:szCs w:val="24"/>
        </w:rPr>
        <w:t xml:space="preserve"> un proced</w:t>
      </w:r>
      <w:r w:rsidR="0016299A">
        <w:rPr>
          <w:rFonts w:ascii="Garamond" w:hAnsi="Garamond"/>
          <w:sz w:val="24"/>
          <w:szCs w:val="24"/>
        </w:rPr>
        <w:t>imento che si presenta unitario</w:t>
      </w:r>
      <w:r w:rsidRPr="00073691">
        <w:rPr>
          <w:rFonts w:ascii="Garamond" w:hAnsi="Garamond"/>
          <w:sz w:val="24"/>
          <w:szCs w:val="24"/>
        </w:rPr>
        <w:t xml:space="preserve"> e orientato</w:t>
      </w:r>
      <w:r w:rsidR="004D10EB" w:rsidRPr="00073691">
        <w:rPr>
          <w:rFonts w:ascii="Garamond" w:hAnsi="Garamond"/>
          <w:sz w:val="24"/>
          <w:szCs w:val="24"/>
        </w:rPr>
        <w:t xml:space="preserve">, nella sua </w:t>
      </w:r>
      <w:r w:rsidR="004818D5">
        <w:rPr>
          <w:rFonts w:ascii="Garamond" w:hAnsi="Garamond"/>
          <w:sz w:val="24"/>
          <w:szCs w:val="24"/>
        </w:rPr>
        <w:t>destinazione</w:t>
      </w:r>
      <w:r w:rsidR="004D10EB" w:rsidRPr="00073691">
        <w:rPr>
          <w:rFonts w:ascii="Garamond" w:hAnsi="Garamond"/>
          <w:sz w:val="24"/>
          <w:szCs w:val="24"/>
        </w:rPr>
        <w:t>,</w:t>
      </w:r>
      <w:r w:rsidRPr="00073691">
        <w:rPr>
          <w:rFonts w:ascii="Garamond" w:hAnsi="Garamond"/>
          <w:sz w:val="24"/>
          <w:szCs w:val="24"/>
        </w:rPr>
        <w:t xml:space="preserve"> all’interesse pubblico e che non sembra possa essere scisso</w:t>
      </w:r>
      <w:r w:rsidR="00213ED6" w:rsidRPr="00073691">
        <w:rPr>
          <w:rFonts w:ascii="Garamond" w:hAnsi="Garamond"/>
          <w:sz w:val="24"/>
          <w:szCs w:val="24"/>
        </w:rPr>
        <w:t>,</w:t>
      </w:r>
      <w:r w:rsidRPr="00073691">
        <w:rPr>
          <w:rFonts w:ascii="Garamond" w:hAnsi="Garamond"/>
          <w:sz w:val="24"/>
          <w:szCs w:val="24"/>
        </w:rPr>
        <w:t xml:space="preserve"> a tal punto da determinare l’osservanza di regole differenti</w:t>
      </w:r>
      <w:r w:rsidR="004818D5">
        <w:rPr>
          <w:rFonts w:ascii="Garamond" w:hAnsi="Garamond"/>
          <w:sz w:val="24"/>
          <w:szCs w:val="24"/>
        </w:rPr>
        <w:t xml:space="preserve"> aventi diversa destinazione</w:t>
      </w:r>
      <w:r w:rsidRPr="00073691">
        <w:rPr>
          <w:rFonts w:ascii="Garamond" w:hAnsi="Garamond"/>
          <w:sz w:val="24"/>
          <w:szCs w:val="24"/>
        </w:rPr>
        <w:t xml:space="preserve">. </w:t>
      </w:r>
      <w:r w:rsidR="00CD3004" w:rsidRPr="00073691">
        <w:rPr>
          <w:rFonts w:ascii="Garamond" w:hAnsi="Garamond"/>
          <w:sz w:val="24"/>
          <w:szCs w:val="24"/>
        </w:rPr>
        <w:t>L’un piano è</w:t>
      </w:r>
      <w:r w:rsidRPr="00073691">
        <w:rPr>
          <w:rFonts w:ascii="Garamond" w:hAnsi="Garamond"/>
          <w:sz w:val="24"/>
          <w:szCs w:val="24"/>
        </w:rPr>
        <w:t xml:space="preserve"> orientat</w:t>
      </w:r>
      <w:r w:rsidR="00CD3004" w:rsidRPr="00073691">
        <w:rPr>
          <w:rFonts w:ascii="Garamond" w:hAnsi="Garamond"/>
          <w:sz w:val="24"/>
          <w:szCs w:val="24"/>
        </w:rPr>
        <w:t>o</w:t>
      </w:r>
      <w:r w:rsidRPr="00073691">
        <w:rPr>
          <w:rFonts w:ascii="Garamond" w:hAnsi="Garamond"/>
          <w:sz w:val="24"/>
          <w:szCs w:val="24"/>
        </w:rPr>
        <w:t xml:space="preserve"> alla tutela dello interesse pubblico</w:t>
      </w:r>
      <w:r w:rsidR="00CD3004" w:rsidRPr="00073691">
        <w:rPr>
          <w:rFonts w:ascii="Garamond" w:hAnsi="Garamond"/>
          <w:sz w:val="24"/>
          <w:szCs w:val="24"/>
        </w:rPr>
        <w:t xml:space="preserve"> (procedimento amm</w:t>
      </w:r>
      <w:r w:rsidR="006047DC" w:rsidRPr="00073691">
        <w:rPr>
          <w:rFonts w:ascii="Garamond" w:hAnsi="Garamond"/>
          <w:sz w:val="24"/>
          <w:szCs w:val="24"/>
        </w:rPr>
        <w:t>inistrati</w:t>
      </w:r>
      <w:r w:rsidR="00CD3004" w:rsidRPr="00073691">
        <w:rPr>
          <w:rFonts w:ascii="Garamond" w:hAnsi="Garamond"/>
          <w:sz w:val="24"/>
          <w:szCs w:val="24"/>
        </w:rPr>
        <w:t>vo)</w:t>
      </w:r>
      <w:r w:rsidRPr="00073691">
        <w:rPr>
          <w:rFonts w:ascii="Garamond" w:hAnsi="Garamond"/>
          <w:sz w:val="24"/>
          <w:szCs w:val="24"/>
        </w:rPr>
        <w:t xml:space="preserve">, </w:t>
      </w:r>
      <w:r w:rsidR="00CD3004" w:rsidRPr="00073691">
        <w:rPr>
          <w:rFonts w:ascii="Garamond" w:hAnsi="Garamond"/>
          <w:sz w:val="24"/>
          <w:szCs w:val="24"/>
        </w:rPr>
        <w:t xml:space="preserve">l’altro </w:t>
      </w:r>
      <w:r w:rsidRPr="00073691">
        <w:rPr>
          <w:rFonts w:ascii="Garamond" w:hAnsi="Garamond"/>
          <w:sz w:val="24"/>
          <w:szCs w:val="24"/>
        </w:rPr>
        <w:t>a quell</w:t>
      </w:r>
      <w:r w:rsidR="00CD3004" w:rsidRPr="00073691">
        <w:rPr>
          <w:rFonts w:ascii="Garamond" w:hAnsi="Garamond"/>
          <w:sz w:val="24"/>
          <w:szCs w:val="24"/>
        </w:rPr>
        <w:t>o</w:t>
      </w:r>
      <w:r w:rsidRPr="00073691">
        <w:rPr>
          <w:rFonts w:ascii="Garamond" w:hAnsi="Garamond"/>
          <w:sz w:val="24"/>
          <w:szCs w:val="24"/>
        </w:rPr>
        <w:t xml:space="preserve"> del privato</w:t>
      </w:r>
      <w:r w:rsidR="00CD3004" w:rsidRPr="00073691">
        <w:rPr>
          <w:rFonts w:ascii="Garamond" w:hAnsi="Garamond"/>
          <w:sz w:val="24"/>
          <w:szCs w:val="24"/>
        </w:rPr>
        <w:t xml:space="preserve"> (procedimento negoziale)</w:t>
      </w:r>
      <w:r w:rsidRPr="00073691">
        <w:rPr>
          <w:rFonts w:ascii="Garamond" w:hAnsi="Garamond"/>
          <w:sz w:val="24"/>
          <w:szCs w:val="24"/>
        </w:rPr>
        <w:t>.</w:t>
      </w:r>
    </w:p>
    <w:p w:rsidR="001B029B" w:rsidRPr="00295363" w:rsidRDefault="001B029B" w:rsidP="006F0F99">
      <w:pPr>
        <w:rPr>
          <w:rFonts w:ascii="Garamond" w:hAnsi="Garamond"/>
          <w:sz w:val="24"/>
          <w:szCs w:val="24"/>
        </w:rPr>
      </w:pPr>
      <w:r w:rsidRPr="00295363">
        <w:rPr>
          <w:rFonts w:ascii="Garamond" w:hAnsi="Garamond"/>
          <w:sz w:val="24"/>
          <w:szCs w:val="24"/>
        </w:rPr>
        <w:t>In primo luogo, le procedure amministrative, nel campo del diritto pubblico, non sono eguali.</w:t>
      </w:r>
      <w:r w:rsidR="0016299A">
        <w:rPr>
          <w:rFonts w:ascii="Garamond" w:hAnsi="Garamond"/>
          <w:sz w:val="24"/>
          <w:szCs w:val="24"/>
        </w:rPr>
        <w:t xml:space="preserve"> </w:t>
      </w:r>
      <w:r w:rsidRPr="00295363">
        <w:rPr>
          <w:rFonts w:ascii="Garamond" w:hAnsi="Garamond"/>
          <w:sz w:val="24"/>
          <w:szCs w:val="24"/>
        </w:rPr>
        <w:t xml:space="preserve">Esistono le procedure </w:t>
      </w:r>
      <w:r w:rsidR="00213ED6" w:rsidRPr="00295363">
        <w:rPr>
          <w:rFonts w:ascii="Garamond" w:hAnsi="Garamond"/>
          <w:sz w:val="24"/>
          <w:szCs w:val="24"/>
        </w:rPr>
        <w:t>“</w:t>
      </w:r>
      <w:r w:rsidRPr="00295363">
        <w:rPr>
          <w:rFonts w:ascii="Garamond" w:hAnsi="Garamond"/>
          <w:sz w:val="24"/>
          <w:szCs w:val="24"/>
        </w:rPr>
        <w:t>negoziate</w:t>
      </w:r>
      <w:r w:rsidR="00213ED6" w:rsidRPr="00295363">
        <w:rPr>
          <w:rFonts w:ascii="Garamond" w:hAnsi="Garamond"/>
          <w:sz w:val="24"/>
          <w:szCs w:val="24"/>
        </w:rPr>
        <w:t>”</w:t>
      </w:r>
      <w:r w:rsidRPr="00295363">
        <w:rPr>
          <w:rFonts w:ascii="Garamond" w:hAnsi="Garamond"/>
          <w:sz w:val="24"/>
          <w:szCs w:val="24"/>
        </w:rPr>
        <w:t xml:space="preserve"> e quelle </w:t>
      </w:r>
      <w:r w:rsidR="00213ED6" w:rsidRPr="00295363">
        <w:rPr>
          <w:rFonts w:ascii="Garamond" w:hAnsi="Garamond"/>
          <w:sz w:val="24"/>
          <w:szCs w:val="24"/>
        </w:rPr>
        <w:t>“</w:t>
      </w:r>
      <w:r w:rsidRPr="00295363">
        <w:rPr>
          <w:rFonts w:ascii="Garamond" w:hAnsi="Garamond"/>
          <w:sz w:val="24"/>
          <w:szCs w:val="24"/>
        </w:rPr>
        <w:t>non negoziate</w:t>
      </w:r>
      <w:r w:rsidR="00213ED6" w:rsidRPr="00295363">
        <w:rPr>
          <w:rFonts w:ascii="Garamond" w:hAnsi="Garamond"/>
          <w:sz w:val="24"/>
          <w:szCs w:val="24"/>
        </w:rPr>
        <w:t>”</w:t>
      </w:r>
      <w:r w:rsidRPr="00295363">
        <w:rPr>
          <w:rFonts w:ascii="Garamond" w:hAnsi="Garamond"/>
          <w:sz w:val="24"/>
          <w:szCs w:val="24"/>
        </w:rPr>
        <w:t>.</w:t>
      </w:r>
    </w:p>
    <w:p w:rsidR="001B029B" w:rsidRPr="00295363" w:rsidRDefault="001B029B" w:rsidP="006F0F99">
      <w:pPr>
        <w:rPr>
          <w:rFonts w:ascii="Garamond" w:hAnsi="Garamond"/>
          <w:sz w:val="24"/>
          <w:szCs w:val="24"/>
        </w:rPr>
      </w:pPr>
      <w:r w:rsidRPr="00295363">
        <w:rPr>
          <w:rFonts w:ascii="Garamond" w:hAnsi="Garamond"/>
          <w:sz w:val="24"/>
          <w:szCs w:val="24"/>
        </w:rPr>
        <w:t>E’ discutibile che</w:t>
      </w:r>
      <w:r w:rsidR="00213ED6" w:rsidRPr="00295363">
        <w:rPr>
          <w:rFonts w:ascii="Garamond" w:hAnsi="Garamond"/>
          <w:sz w:val="24"/>
          <w:szCs w:val="24"/>
        </w:rPr>
        <w:t>,</w:t>
      </w:r>
      <w:r w:rsidRPr="00295363">
        <w:rPr>
          <w:rFonts w:ascii="Garamond" w:hAnsi="Garamond"/>
          <w:sz w:val="24"/>
          <w:szCs w:val="24"/>
        </w:rPr>
        <w:t xml:space="preserve"> per le seconde</w:t>
      </w:r>
      <w:r w:rsidR="00213ED6" w:rsidRPr="00295363">
        <w:rPr>
          <w:rFonts w:ascii="Garamond" w:hAnsi="Garamond"/>
          <w:sz w:val="24"/>
          <w:szCs w:val="24"/>
        </w:rPr>
        <w:t>,</w:t>
      </w:r>
      <w:r w:rsidRPr="00295363">
        <w:rPr>
          <w:rFonts w:ascii="Garamond" w:hAnsi="Garamond"/>
          <w:sz w:val="24"/>
          <w:szCs w:val="24"/>
        </w:rPr>
        <w:t xml:space="preserve"> abbia a parlarsi di “una trattativa” tra le parti, tale da generare l’affidamento legittimo del privato nella sua conclusione. Si giustifica dunque quell’indirizzo del g</w:t>
      </w:r>
      <w:r w:rsidR="00F65C14">
        <w:rPr>
          <w:rFonts w:ascii="Garamond" w:hAnsi="Garamond"/>
          <w:sz w:val="24"/>
          <w:szCs w:val="24"/>
        </w:rPr>
        <w:t>iudice amministrativo che limita</w:t>
      </w:r>
      <w:r w:rsidRPr="00295363">
        <w:rPr>
          <w:rFonts w:ascii="Garamond" w:hAnsi="Garamond"/>
          <w:sz w:val="24"/>
          <w:szCs w:val="24"/>
        </w:rPr>
        <w:t xml:space="preserve"> l’operatività delle regole di </w:t>
      </w:r>
      <w:r w:rsidR="00213ED6" w:rsidRPr="00295363">
        <w:rPr>
          <w:rFonts w:ascii="Garamond" w:hAnsi="Garamond"/>
          <w:sz w:val="24"/>
          <w:szCs w:val="24"/>
        </w:rPr>
        <w:t>condotta</w:t>
      </w:r>
      <w:r w:rsidRPr="00295363">
        <w:rPr>
          <w:rFonts w:ascii="Garamond" w:hAnsi="Garamond"/>
          <w:sz w:val="24"/>
          <w:szCs w:val="24"/>
        </w:rPr>
        <w:t xml:space="preserve"> alle procedure </w:t>
      </w:r>
      <w:r w:rsidR="00595B32" w:rsidRPr="00295363">
        <w:rPr>
          <w:rFonts w:ascii="Garamond" w:hAnsi="Garamond"/>
          <w:sz w:val="24"/>
          <w:szCs w:val="24"/>
        </w:rPr>
        <w:t>“</w:t>
      </w:r>
      <w:r w:rsidRPr="00295363">
        <w:rPr>
          <w:rFonts w:ascii="Garamond" w:hAnsi="Garamond"/>
          <w:sz w:val="24"/>
          <w:szCs w:val="24"/>
        </w:rPr>
        <w:t>negoziate</w:t>
      </w:r>
      <w:r w:rsidR="00595B32" w:rsidRPr="00295363">
        <w:rPr>
          <w:rFonts w:ascii="Garamond" w:hAnsi="Garamond"/>
          <w:sz w:val="24"/>
          <w:szCs w:val="24"/>
        </w:rPr>
        <w:t>”</w:t>
      </w:r>
      <w:r w:rsidRPr="00295363">
        <w:rPr>
          <w:rFonts w:ascii="Garamond" w:hAnsi="Garamond"/>
          <w:sz w:val="24"/>
          <w:szCs w:val="24"/>
        </w:rPr>
        <w:t>. Oppure, se si è in presenza di una procedura non negoziata</w:t>
      </w:r>
      <w:r w:rsidR="00213ED6" w:rsidRPr="00295363">
        <w:rPr>
          <w:rFonts w:ascii="Garamond" w:hAnsi="Garamond"/>
          <w:sz w:val="24"/>
          <w:szCs w:val="24"/>
        </w:rPr>
        <w:t>,</w:t>
      </w:r>
      <w:r w:rsidR="009F63C7">
        <w:rPr>
          <w:rFonts w:ascii="Garamond" w:hAnsi="Garamond"/>
          <w:sz w:val="24"/>
          <w:szCs w:val="24"/>
        </w:rPr>
        <w:t xml:space="preserve"> </w:t>
      </w:r>
      <w:r w:rsidR="00595B32" w:rsidRPr="00295363">
        <w:rPr>
          <w:rFonts w:ascii="Garamond" w:hAnsi="Garamond"/>
          <w:sz w:val="24"/>
          <w:szCs w:val="24"/>
        </w:rPr>
        <w:t>tale tutela è relativa</w:t>
      </w:r>
      <w:r w:rsidRPr="00295363">
        <w:rPr>
          <w:rFonts w:ascii="Garamond" w:hAnsi="Garamond"/>
          <w:sz w:val="24"/>
          <w:szCs w:val="24"/>
        </w:rPr>
        <w:t xml:space="preserve"> alla fase successiva alla scelta del contraente</w:t>
      </w:r>
      <w:r w:rsidR="00595B32" w:rsidRPr="00295363">
        <w:rPr>
          <w:rFonts w:ascii="Garamond" w:hAnsi="Garamond"/>
          <w:sz w:val="24"/>
          <w:szCs w:val="24"/>
        </w:rPr>
        <w:t>,</w:t>
      </w:r>
      <w:r w:rsidR="009F63C7">
        <w:rPr>
          <w:rFonts w:ascii="Garamond" w:hAnsi="Garamond"/>
          <w:sz w:val="24"/>
          <w:szCs w:val="24"/>
        </w:rPr>
        <w:t xml:space="preserve"> </w:t>
      </w:r>
      <w:r w:rsidR="00021CAD" w:rsidRPr="00295363">
        <w:rPr>
          <w:rFonts w:ascii="Garamond" w:hAnsi="Garamond"/>
          <w:sz w:val="24"/>
          <w:szCs w:val="24"/>
        </w:rPr>
        <w:t xml:space="preserve">nella quale cioè si individua il soggetto portatore di un interesse </w:t>
      </w:r>
      <w:r w:rsidRPr="00295363">
        <w:rPr>
          <w:rFonts w:ascii="Garamond" w:hAnsi="Garamond"/>
          <w:sz w:val="24"/>
          <w:szCs w:val="24"/>
        </w:rPr>
        <w:t>(</w:t>
      </w:r>
      <w:r w:rsidRPr="00295363">
        <w:rPr>
          <w:rStyle w:val="Rimandonotaapidipagina"/>
          <w:rFonts w:ascii="Garamond" w:hAnsi="Garamond"/>
          <w:sz w:val="24"/>
          <w:szCs w:val="24"/>
        </w:rPr>
        <w:footnoteReference w:id="26"/>
      </w:r>
      <w:r w:rsidRPr="00295363">
        <w:rPr>
          <w:rFonts w:ascii="Garamond" w:hAnsi="Garamond"/>
          <w:sz w:val="24"/>
          <w:szCs w:val="24"/>
        </w:rPr>
        <w:t>).</w:t>
      </w:r>
    </w:p>
    <w:p w:rsidR="001B029B" w:rsidRPr="00295363" w:rsidRDefault="00A02751" w:rsidP="00D17620">
      <w:pPr>
        <w:rPr>
          <w:rFonts w:ascii="Garamond" w:hAnsi="Garamond"/>
          <w:sz w:val="24"/>
          <w:szCs w:val="24"/>
        </w:rPr>
      </w:pPr>
      <w:r w:rsidRPr="00295363">
        <w:rPr>
          <w:rFonts w:ascii="Garamond" w:hAnsi="Garamond"/>
          <w:sz w:val="24"/>
          <w:szCs w:val="24"/>
        </w:rPr>
        <w:t>E’ da tenere conto tuttavia come la te</w:t>
      </w:r>
      <w:r w:rsidR="00A7265B" w:rsidRPr="00295363">
        <w:rPr>
          <w:rFonts w:ascii="Garamond" w:hAnsi="Garamond"/>
          <w:sz w:val="24"/>
          <w:szCs w:val="24"/>
        </w:rPr>
        <w:t>si dell’allineamento della responsabilità</w:t>
      </w:r>
      <w:r w:rsidR="0016299A">
        <w:rPr>
          <w:rFonts w:ascii="Garamond" w:hAnsi="Garamond"/>
          <w:sz w:val="24"/>
          <w:szCs w:val="24"/>
        </w:rPr>
        <w:t xml:space="preserve"> </w:t>
      </w:r>
      <w:proofErr w:type="spellStart"/>
      <w:r w:rsidRPr="00295363">
        <w:rPr>
          <w:rFonts w:ascii="Garamond" w:hAnsi="Garamond"/>
          <w:sz w:val="24"/>
          <w:szCs w:val="24"/>
        </w:rPr>
        <w:t>pre</w:t>
      </w:r>
      <w:proofErr w:type="spellEnd"/>
      <w:r w:rsidRPr="00295363">
        <w:rPr>
          <w:rFonts w:ascii="Garamond" w:hAnsi="Garamond"/>
          <w:sz w:val="24"/>
          <w:szCs w:val="24"/>
        </w:rPr>
        <w:t>-contrattuale della P.A.</w:t>
      </w:r>
      <w:r w:rsidR="00826611">
        <w:rPr>
          <w:rFonts w:ascii="Garamond" w:hAnsi="Garamond"/>
          <w:sz w:val="24"/>
          <w:szCs w:val="24"/>
        </w:rPr>
        <w:t>,</w:t>
      </w:r>
      <w:r w:rsidRPr="00295363">
        <w:rPr>
          <w:rFonts w:ascii="Garamond" w:hAnsi="Garamond"/>
          <w:sz w:val="24"/>
          <w:szCs w:val="24"/>
        </w:rPr>
        <w:t xml:space="preserve"> sul modello di quella privatistica del codice civile</w:t>
      </w:r>
      <w:r w:rsidR="00826611">
        <w:rPr>
          <w:rFonts w:ascii="Garamond" w:hAnsi="Garamond"/>
          <w:sz w:val="24"/>
          <w:szCs w:val="24"/>
        </w:rPr>
        <w:t>,</w:t>
      </w:r>
      <w:r w:rsidRPr="00295363">
        <w:rPr>
          <w:rFonts w:ascii="Garamond" w:hAnsi="Garamond"/>
          <w:sz w:val="24"/>
          <w:szCs w:val="24"/>
        </w:rPr>
        <w:t xml:space="preserve"> è destinata ad incontrare non pochi ostacoli nel suo cammino.</w:t>
      </w:r>
    </w:p>
    <w:p w:rsidR="00A02751" w:rsidRPr="00295363" w:rsidRDefault="00A02751" w:rsidP="00826611">
      <w:pPr>
        <w:rPr>
          <w:rFonts w:ascii="Garamond" w:hAnsi="Garamond"/>
          <w:b/>
          <w:bCs/>
          <w:sz w:val="24"/>
          <w:szCs w:val="24"/>
        </w:rPr>
      </w:pPr>
      <w:r w:rsidRPr="00295363">
        <w:rPr>
          <w:rFonts w:ascii="Garamond" w:hAnsi="Garamond"/>
          <w:sz w:val="24"/>
          <w:szCs w:val="24"/>
        </w:rPr>
        <w:t xml:space="preserve">Essa non sembra reggere all’eccezione che l’interesse che </w:t>
      </w:r>
      <w:r w:rsidR="00021CAD" w:rsidRPr="00295363">
        <w:rPr>
          <w:rFonts w:ascii="Garamond" w:hAnsi="Garamond"/>
          <w:sz w:val="24"/>
          <w:szCs w:val="24"/>
        </w:rPr>
        <w:t xml:space="preserve">qui </w:t>
      </w:r>
      <w:r w:rsidR="00410FA3">
        <w:rPr>
          <w:rFonts w:ascii="Garamond" w:hAnsi="Garamond"/>
          <w:sz w:val="24"/>
          <w:szCs w:val="24"/>
        </w:rPr>
        <w:t xml:space="preserve">si assume </w:t>
      </w:r>
      <w:proofErr w:type="gramStart"/>
      <w:r w:rsidR="00410FA3">
        <w:rPr>
          <w:rFonts w:ascii="Garamond" w:hAnsi="Garamond"/>
          <w:sz w:val="24"/>
          <w:szCs w:val="24"/>
        </w:rPr>
        <w:t xml:space="preserve">violato, </w:t>
      </w:r>
      <w:r w:rsidRPr="00295363">
        <w:rPr>
          <w:rFonts w:ascii="Garamond" w:hAnsi="Garamond"/>
          <w:sz w:val="24"/>
          <w:szCs w:val="24"/>
        </w:rPr>
        <w:t xml:space="preserve"> cioè</w:t>
      </w:r>
      <w:proofErr w:type="gramEnd"/>
      <w:r w:rsidRPr="00295363">
        <w:rPr>
          <w:rFonts w:ascii="Garamond" w:hAnsi="Garamond"/>
          <w:sz w:val="24"/>
          <w:szCs w:val="24"/>
        </w:rPr>
        <w:t xml:space="preserve"> quello </w:t>
      </w:r>
      <w:r w:rsidRPr="00295363">
        <w:rPr>
          <w:rFonts w:ascii="Garamond" w:hAnsi="Garamond"/>
          <w:b/>
          <w:bCs/>
          <w:i/>
          <w:iCs/>
          <w:sz w:val="24"/>
          <w:szCs w:val="24"/>
        </w:rPr>
        <w:t>alla correttezza</w:t>
      </w:r>
      <w:r w:rsidRPr="00295363">
        <w:rPr>
          <w:rFonts w:ascii="Garamond" w:hAnsi="Garamond"/>
          <w:sz w:val="24"/>
          <w:szCs w:val="24"/>
        </w:rPr>
        <w:t xml:space="preserve"> dell’azione della P.A.</w:t>
      </w:r>
      <w:r w:rsidR="00410FA3">
        <w:rPr>
          <w:rFonts w:ascii="Garamond" w:hAnsi="Garamond"/>
          <w:sz w:val="24"/>
          <w:szCs w:val="24"/>
        </w:rPr>
        <w:t>,</w:t>
      </w:r>
      <w:r w:rsidRPr="00295363">
        <w:rPr>
          <w:rFonts w:ascii="Garamond" w:hAnsi="Garamond"/>
          <w:sz w:val="24"/>
          <w:szCs w:val="24"/>
        </w:rPr>
        <w:t xml:space="preserve"> è un interesse meramente </w:t>
      </w:r>
      <w:r w:rsidRPr="00295363">
        <w:rPr>
          <w:rFonts w:ascii="Garamond" w:hAnsi="Garamond"/>
          <w:b/>
          <w:bCs/>
          <w:i/>
          <w:iCs/>
          <w:sz w:val="24"/>
          <w:szCs w:val="24"/>
        </w:rPr>
        <w:t>strumentale</w:t>
      </w:r>
      <w:r w:rsidRPr="00295363">
        <w:rPr>
          <w:rFonts w:ascii="Garamond" w:hAnsi="Garamond"/>
          <w:sz w:val="24"/>
          <w:szCs w:val="24"/>
        </w:rPr>
        <w:t>, che, come tale</w:t>
      </w:r>
      <w:r w:rsidR="00F65C14">
        <w:rPr>
          <w:rFonts w:ascii="Garamond" w:hAnsi="Garamond"/>
          <w:sz w:val="24"/>
          <w:szCs w:val="24"/>
        </w:rPr>
        <w:t>,</w:t>
      </w:r>
      <w:r w:rsidR="009F63C7">
        <w:rPr>
          <w:rFonts w:ascii="Garamond" w:hAnsi="Garamond"/>
          <w:sz w:val="24"/>
          <w:szCs w:val="24"/>
        </w:rPr>
        <w:t xml:space="preserve"> </w:t>
      </w:r>
      <w:r w:rsidR="00021CAD" w:rsidRPr="00295363">
        <w:rPr>
          <w:rFonts w:ascii="Garamond" w:hAnsi="Garamond"/>
          <w:sz w:val="24"/>
          <w:szCs w:val="24"/>
        </w:rPr>
        <w:t>“</w:t>
      </w:r>
      <w:r w:rsidRPr="00295363">
        <w:rPr>
          <w:rFonts w:ascii="Garamond" w:hAnsi="Garamond"/>
          <w:sz w:val="24"/>
          <w:szCs w:val="24"/>
        </w:rPr>
        <w:t>non è qualificabile, quale bene della vita, suscettibile di rappresentare un danno autonomamente risarcibile</w:t>
      </w:r>
      <w:r w:rsidR="00021CAD" w:rsidRPr="00295363">
        <w:rPr>
          <w:rFonts w:ascii="Garamond" w:hAnsi="Garamond"/>
          <w:sz w:val="24"/>
          <w:szCs w:val="24"/>
        </w:rPr>
        <w:t>”</w:t>
      </w:r>
      <w:r w:rsidRPr="00295363">
        <w:rPr>
          <w:rFonts w:ascii="Garamond" w:hAnsi="Garamond"/>
          <w:sz w:val="24"/>
          <w:szCs w:val="24"/>
        </w:rPr>
        <w:t xml:space="preserve"> (</w:t>
      </w:r>
      <w:r w:rsidR="00794FD5" w:rsidRPr="00295363">
        <w:rPr>
          <w:rStyle w:val="Rimandonotaapidipagina"/>
          <w:rFonts w:ascii="Garamond" w:hAnsi="Garamond"/>
          <w:sz w:val="24"/>
          <w:szCs w:val="24"/>
        </w:rPr>
        <w:footnoteReference w:id="27"/>
      </w:r>
      <w:r w:rsidR="00794FD5" w:rsidRPr="00295363">
        <w:rPr>
          <w:rFonts w:ascii="Garamond" w:hAnsi="Garamond"/>
          <w:sz w:val="24"/>
          <w:szCs w:val="24"/>
        </w:rPr>
        <w:t>).</w:t>
      </w:r>
      <w:r w:rsidR="00021CAD" w:rsidRPr="00295363">
        <w:rPr>
          <w:rFonts w:ascii="Garamond" w:hAnsi="Garamond"/>
          <w:sz w:val="24"/>
          <w:szCs w:val="24"/>
        </w:rPr>
        <w:t xml:space="preserve"> Non è detto che l’agire </w:t>
      </w:r>
      <w:r w:rsidR="00595B32" w:rsidRPr="00295363">
        <w:rPr>
          <w:rFonts w:ascii="Garamond" w:hAnsi="Garamond"/>
          <w:sz w:val="24"/>
          <w:szCs w:val="24"/>
        </w:rPr>
        <w:t>“</w:t>
      </w:r>
      <w:r w:rsidR="00021CAD" w:rsidRPr="00295363">
        <w:rPr>
          <w:rFonts w:ascii="Garamond" w:hAnsi="Garamond"/>
          <w:sz w:val="24"/>
          <w:szCs w:val="24"/>
        </w:rPr>
        <w:t>corretto</w:t>
      </w:r>
      <w:r w:rsidR="00595B32" w:rsidRPr="00295363">
        <w:rPr>
          <w:rFonts w:ascii="Garamond" w:hAnsi="Garamond"/>
          <w:sz w:val="24"/>
          <w:szCs w:val="24"/>
        </w:rPr>
        <w:t>”</w:t>
      </w:r>
      <w:r w:rsidR="00021CAD" w:rsidRPr="00295363">
        <w:rPr>
          <w:rFonts w:ascii="Garamond" w:hAnsi="Garamond"/>
          <w:sz w:val="24"/>
          <w:szCs w:val="24"/>
        </w:rPr>
        <w:t xml:space="preserve"> avrebbe soddisfatto</w:t>
      </w:r>
      <w:r w:rsidR="007B22E8">
        <w:rPr>
          <w:rFonts w:ascii="Garamond" w:hAnsi="Garamond"/>
          <w:sz w:val="24"/>
          <w:szCs w:val="24"/>
        </w:rPr>
        <w:t xml:space="preserve">, di per sé, </w:t>
      </w:r>
      <w:r w:rsidR="00021CAD" w:rsidRPr="00295363">
        <w:rPr>
          <w:rFonts w:ascii="Garamond" w:hAnsi="Garamond"/>
          <w:sz w:val="24"/>
          <w:szCs w:val="24"/>
        </w:rPr>
        <w:t>l’interesse del privato, nel riconoscergli il bene della vita.</w:t>
      </w:r>
      <w:r w:rsidR="00595B32" w:rsidRPr="00295363">
        <w:rPr>
          <w:rFonts w:ascii="Garamond" w:hAnsi="Garamond"/>
          <w:sz w:val="24"/>
          <w:szCs w:val="24"/>
        </w:rPr>
        <w:t xml:space="preserve"> Anche la ripetizione dell’atto, pur corretto, </w:t>
      </w:r>
      <w:r w:rsidR="007B22E8">
        <w:rPr>
          <w:rFonts w:ascii="Garamond" w:hAnsi="Garamond"/>
          <w:sz w:val="24"/>
          <w:szCs w:val="24"/>
        </w:rPr>
        <w:t xml:space="preserve">avrebbe potuto </w:t>
      </w:r>
      <w:r w:rsidR="00595B32" w:rsidRPr="00295363">
        <w:rPr>
          <w:rFonts w:ascii="Garamond" w:hAnsi="Garamond"/>
          <w:sz w:val="24"/>
          <w:szCs w:val="24"/>
        </w:rPr>
        <w:t>dare analogo risultato</w:t>
      </w:r>
      <w:r w:rsidR="00477611">
        <w:rPr>
          <w:rFonts w:ascii="Garamond" w:hAnsi="Garamond"/>
          <w:sz w:val="24"/>
          <w:szCs w:val="24"/>
        </w:rPr>
        <w:t xml:space="preserve"> (</w:t>
      </w:r>
      <w:r w:rsidR="00477611">
        <w:rPr>
          <w:rStyle w:val="Rimandonotaapidipagina"/>
          <w:rFonts w:ascii="Garamond" w:hAnsi="Garamond"/>
          <w:sz w:val="24"/>
          <w:szCs w:val="24"/>
        </w:rPr>
        <w:footnoteReference w:id="28"/>
      </w:r>
      <w:r w:rsidR="00477611">
        <w:rPr>
          <w:rFonts w:ascii="Garamond" w:hAnsi="Garamond"/>
          <w:sz w:val="24"/>
          <w:szCs w:val="24"/>
        </w:rPr>
        <w:t>)</w:t>
      </w:r>
      <w:r w:rsidR="00595B32" w:rsidRPr="00295363">
        <w:rPr>
          <w:rFonts w:ascii="Garamond" w:hAnsi="Garamond"/>
          <w:sz w:val="24"/>
          <w:szCs w:val="24"/>
        </w:rPr>
        <w:t>.</w:t>
      </w:r>
    </w:p>
    <w:p w:rsidR="00A02751" w:rsidRPr="00295363" w:rsidRDefault="00A02751" w:rsidP="00826611">
      <w:pPr>
        <w:rPr>
          <w:rFonts w:ascii="Garamond" w:hAnsi="Garamond"/>
          <w:sz w:val="24"/>
          <w:szCs w:val="24"/>
        </w:rPr>
      </w:pPr>
      <w:r w:rsidRPr="00295363">
        <w:rPr>
          <w:rFonts w:ascii="Garamond" w:hAnsi="Garamond"/>
          <w:sz w:val="24"/>
          <w:szCs w:val="24"/>
        </w:rPr>
        <w:t xml:space="preserve">Essa sembra </w:t>
      </w:r>
      <w:r w:rsidR="00021CAD" w:rsidRPr="00295363">
        <w:rPr>
          <w:rFonts w:ascii="Garamond" w:hAnsi="Garamond"/>
          <w:sz w:val="24"/>
          <w:szCs w:val="24"/>
        </w:rPr>
        <w:t xml:space="preserve">inoltre </w:t>
      </w:r>
      <w:r w:rsidRPr="00295363">
        <w:rPr>
          <w:rFonts w:ascii="Garamond" w:hAnsi="Garamond"/>
          <w:sz w:val="24"/>
          <w:szCs w:val="24"/>
        </w:rPr>
        <w:t>presupporre che il soggetto privato venga già individuato, quale soggetto beneficiario dell’atto amministrativo (ad es. concessione), onde del suo (successivo) annullamento esso possa avere titolo a lamentarsi</w:t>
      </w:r>
      <w:r w:rsidR="00E970D6">
        <w:rPr>
          <w:rFonts w:ascii="Garamond" w:hAnsi="Garamond"/>
          <w:sz w:val="24"/>
          <w:szCs w:val="24"/>
        </w:rPr>
        <w:t xml:space="preserve"> (</w:t>
      </w:r>
      <w:r w:rsidR="00E970D6">
        <w:rPr>
          <w:rStyle w:val="Rimandonotaapidipagina"/>
          <w:rFonts w:ascii="Garamond" w:hAnsi="Garamond"/>
          <w:sz w:val="24"/>
          <w:szCs w:val="24"/>
        </w:rPr>
        <w:footnoteReference w:id="29"/>
      </w:r>
      <w:r w:rsidR="00E970D6">
        <w:rPr>
          <w:rFonts w:ascii="Garamond" w:hAnsi="Garamond"/>
          <w:sz w:val="24"/>
          <w:szCs w:val="24"/>
        </w:rPr>
        <w:t>)</w:t>
      </w:r>
      <w:r w:rsidRPr="00295363">
        <w:rPr>
          <w:rFonts w:ascii="Garamond" w:hAnsi="Garamond"/>
          <w:sz w:val="24"/>
          <w:szCs w:val="24"/>
        </w:rPr>
        <w:t>.</w:t>
      </w:r>
    </w:p>
    <w:p w:rsidR="00A02751" w:rsidRPr="00295363" w:rsidRDefault="00A02751" w:rsidP="00826611">
      <w:pPr>
        <w:rPr>
          <w:rFonts w:ascii="Garamond" w:hAnsi="Garamond"/>
          <w:sz w:val="24"/>
          <w:szCs w:val="24"/>
        </w:rPr>
      </w:pPr>
      <w:r w:rsidRPr="00295363">
        <w:rPr>
          <w:rFonts w:ascii="Garamond" w:hAnsi="Garamond"/>
          <w:sz w:val="24"/>
          <w:szCs w:val="24"/>
        </w:rPr>
        <w:t>Ma ciò è in contrasto con ampia</w:t>
      </w:r>
      <w:r w:rsidR="0016299A">
        <w:rPr>
          <w:rFonts w:ascii="Garamond" w:hAnsi="Garamond"/>
          <w:sz w:val="24"/>
          <w:szCs w:val="24"/>
        </w:rPr>
        <w:t xml:space="preserve"> </w:t>
      </w:r>
      <w:r w:rsidRPr="00295363">
        <w:rPr>
          <w:rFonts w:ascii="Garamond" w:hAnsi="Garamond"/>
          <w:sz w:val="24"/>
          <w:szCs w:val="24"/>
        </w:rPr>
        <w:t>giurisprudenza</w:t>
      </w:r>
      <w:r w:rsidR="00F65C14">
        <w:rPr>
          <w:rFonts w:ascii="Garamond" w:hAnsi="Garamond"/>
          <w:sz w:val="24"/>
          <w:szCs w:val="24"/>
        </w:rPr>
        <w:t>,</w:t>
      </w:r>
      <w:r w:rsidRPr="00295363">
        <w:rPr>
          <w:rFonts w:ascii="Garamond" w:hAnsi="Garamond"/>
          <w:sz w:val="24"/>
          <w:szCs w:val="24"/>
        </w:rPr>
        <w:t xml:space="preserve"> secondo la quale la tutela del privato si può configurare anche </w:t>
      </w:r>
      <w:r w:rsidRPr="007B22E8">
        <w:rPr>
          <w:rFonts w:ascii="Garamond" w:hAnsi="Garamond"/>
          <w:b/>
          <w:bCs/>
          <w:i/>
          <w:iCs/>
          <w:sz w:val="24"/>
          <w:szCs w:val="24"/>
        </w:rPr>
        <w:t>nel momento precedente</w:t>
      </w:r>
      <w:r w:rsidRPr="00295363">
        <w:rPr>
          <w:rFonts w:ascii="Garamond" w:hAnsi="Garamond"/>
          <w:sz w:val="24"/>
          <w:szCs w:val="24"/>
        </w:rPr>
        <w:t xml:space="preserve"> alla aggiudicazione. E, in realtà, se l’aggiudicazione segue il momento in cui </w:t>
      </w:r>
      <w:r w:rsidR="00595B32" w:rsidRPr="00295363">
        <w:rPr>
          <w:rFonts w:ascii="Garamond" w:hAnsi="Garamond"/>
          <w:sz w:val="24"/>
          <w:szCs w:val="24"/>
        </w:rPr>
        <w:t>prende consistenza</w:t>
      </w:r>
      <w:r w:rsidRPr="00295363">
        <w:rPr>
          <w:rFonts w:ascii="Garamond" w:hAnsi="Garamond"/>
          <w:sz w:val="24"/>
          <w:szCs w:val="24"/>
        </w:rPr>
        <w:t xml:space="preserve"> il danno patrimoniale subito dal privato, è però da convenire che l’interesse </w:t>
      </w:r>
      <w:r w:rsidR="00595B32" w:rsidRPr="00295363">
        <w:rPr>
          <w:rFonts w:ascii="Garamond" w:hAnsi="Garamond"/>
          <w:sz w:val="24"/>
          <w:szCs w:val="24"/>
        </w:rPr>
        <w:t>di esso e che può risultare pregiudicato può trovarsi</w:t>
      </w:r>
      <w:r w:rsidRPr="00295363">
        <w:rPr>
          <w:rFonts w:ascii="Garamond" w:hAnsi="Garamond"/>
          <w:sz w:val="24"/>
          <w:szCs w:val="24"/>
        </w:rPr>
        <w:t xml:space="preserve"> collocato nella fase precedente (ad es. per omissione informativa)</w:t>
      </w:r>
      <w:r w:rsidR="00F91221">
        <w:rPr>
          <w:rFonts w:ascii="Garamond" w:hAnsi="Garamond"/>
          <w:sz w:val="24"/>
          <w:szCs w:val="24"/>
        </w:rPr>
        <w:t xml:space="preserve"> (</w:t>
      </w:r>
      <w:r w:rsidR="00F91221">
        <w:rPr>
          <w:rStyle w:val="Rimandonotaapidipagina"/>
          <w:rFonts w:ascii="Garamond" w:hAnsi="Garamond"/>
          <w:sz w:val="24"/>
          <w:szCs w:val="24"/>
        </w:rPr>
        <w:footnoteReference w:id="30"/>
      </w:r>
      <w:r w:rsidR="00F91221">
        <w:rPr>
          <w:rFonts w:ascii="Garamond" w:hAnsi="Garamond"/>
          <w:sz w:val="24"/>
          <w:szCs w:val="24"/>
        </w:rPr>
        <w:t>)</w:t>
      </w:r>
      <w:r w:rsidRPr="00295363">
        <w:rPr>
          <w:rFonts w:ascii="Garamond" w:hAnsi="Garamond"/>
          <w:sz w:val="24"/>
          <w:szCs w:val="24"/>
        </w:rPr>
        <w:t>.</w:t>
      </w:r>
      <w:r w:rsidR="00A01A2F" w:rsidRPr="00295363">
        <w:rPr>
          <w:rFonts w:ascii="Garamond" w:hAnsi="Garamond"/>
          <w:sz w:val="24"/>
          <w:szCs w:val="24"/>
        </w:rPr>
        <w:t xml:space="preserve"> La ve</w:t>
      </w:r>
      <w:r w:rsidR="00F65C14">
        <w:rPr>
          <w:rFonts w:ascii="Garamond" w:hAnsi="Garamond"/>
          <w:sz w:val="24"/>
          <w:szCs w:val="24"/>
        </w:rPr>
        <w:t xml:space="preserve">rità è che il rapporto tra P.A. </w:t>
      </w:r>
      <w:r w:rsidR="00A01A2F" w:rsidRPr="00295363">
        <w:rPr>
          <w:rFonts w:ascii="Garamond" w:hAnsi="Garamond"/>
          <w:sz w:val="24"/>
          <w:szCs w:val="24"/>
        </w:rPr>
        <w:t>e privato non deriva so</w:t>
      </w:r>
      <w:r w:rsidR="00614A3B" w:rsidRPr="00295363">
        <w:rPr>
          <w:rFonts w:ascii="Garamond" w:hAnsi="Garamond"/>
          <w:sz w:val="24"/>
          <w:szCs w:val="24"/>
        </w:rPr>
        <w:t>lo dall’emissione dell’atto amministrati</w:t>
      </w:r>
      <w:r w:rsidR="00826611">
        <w:rPr>
          <w:rFonts w:ascii="Garamond" w:hAnsi="Garamond"/>
          <w:sz w:val="24"/>
          <w:szCs w:val="24"/>
        </w:rPr>
        <w:t>vo ma è ad esso precedente</w:t>
      </w:r>
      <w:r w:rsidR="00A01A2F" w:rsidRPr="00295363">
        <w:rPr>
          <w:rFonts w:ascii="Garamond" w:hAnsi="Garamond"/>
          <w:sz w:val="24"/>
          <w:szCs w:val="24"/>
        </w:rPr>
        <w:t xml:space="preserve"> ed inizia dal c.d. “contatto” che può avere vari aspetti, </w:t>
      </w:r>
      <w:r w:rsidR="004D10EB" w:rsidRPr="00295363">
        <w:rPr>
          <w:rFonts w:ascii="Garamond" w:hAnsi="Garamond"/>
          <w:sz w:val="24"/>
          <w:szCs w:val="24"/>
        </w:rPr>
        <w:t xml:space="preserve">e </w:t>
      </w:r>
      <w:r w:rsidR="00A01A2F" w:rsidRPr="00295363">
        <w:rPr>
          <w:rFonts w:ascii="Garamond" w:hAnsi="Garamond"/>
          <w:sz w:val="24"/>
          <w:szCs w:val="24"/>
        </w:rPr>
        <w:t>non solo formali</w:t>
      </w:r>
      <w:r w:rsidR="004D10EB" w:rsidRPr="00295363">
        <w:rPr>
          <w:rFonts w:ascii="Garamond" w:hAnsi="Garamond"/>
          <w:sz w:val="24"/>
          <w:szCs w:val="24"/>
        </w:rPr>
        <w:t xml:space="preserve"> e dal rapporto che ne consegue</w:t>
      </w:r>
      <w:r w:rsidR="00A01A2F" w:rsidRPr="00295363">
        <w:rPr>
          <w:rFonts w:ascii="Garamond" w:hAnsi="Garamond"/>
          <w:sz w:val="24"/>
          <w:szCs w:val="24"/>
        </w:rPr>
        <w:t>.</w:t>
      </w:r>
    </w:p>
    <w:p w:rsidR="00A02751" w:rsidRPr="00295363" w:rsidRDefault="00A02751" w:rsidP="00826611">
      <w:pPr>
        <w:rPr>
          <w:rFonts w:ascii="Garamond" w:hAnsi="Garamond"/>
          <w:sz w:val="24"/>
          <w:szCs w:val="24"/>
        </w:rPr>
      </w:pPr>
      <w:r w:rsidRPr="00295363">
        <w:rPr>
          <w:rFonts w:ascii="Garamond" w:hAnsi="Garamond"/>
          <w:sz w:val="24"/>
          <w:szCs w:val="24"/>
        </w:rPr>
        <w:t xml:space="preserve">Ma se codesto è il quadro degli interessi da cui partire è necessario andare anche al di là della prospettiva </w:t>
      </w:r>
      <w:r w:rsidR="004D10EB" w:rsidRPr="00295363">
        <w:rPr>
          <w:rFonts w:ascii="Garamond" w:hAnsi="Garamond"/>
          <w:sz w:val="24"/>
          <w:szCs w:val="24"/>
        </w:rPr>
        <w:t xml:space="preserve">privatistica </w:t>
      </w:r>
      <w:r w:rsidRPr="00295363">
        <w:rPr>
          <w:rFonts w:ascii="Garamond" w:hAnsi="Garamond"/>
          <w:sz w:val="24"/>
          <w:szCs w:val="24"/>
        </w:rPr>
        <w:t xml:space="preserve">della responsabilità “da </w:t>
      </w:r>
      <w:r w:rsidR="004D10EB" w:rsidRPr="00295363">
        <w:rPr>
          <w:rFonts w:ascii="Garamond" w:hAnsi="Garamond"/>
          <w:sz w:val="24"/>
          <w:szCs w:val="24"/>
        </w:rPr>
        <w:t>trattative</w:t>
      </w:r>
      <w:r w:rsidRPr="00295363">
        <w:rPr>
          <w:rFonts w:ascii="Garamond" w:hAnsi="Garamond"/>
          <w:sz w:val="24"/>
          <w:szCs w:val="24"/>
        </w:rPr>
        <w:t>”, in ragione della quale</w:t>
      </w:r>
      <w:r w:rsidR="00021CAD" w:rsidRPr="00295363">
        <w:rPr>
          <w:rFonts w:ascii="Garamond" w:hAnsi="Garamond"/>
          <w:sz w:val="24"/>
          <w:szCs w:val="24"/>
        </w:rPr>
        <w:t>,</w:t>
      </w:r>
      <w:r w:rsidRPr="00295363">
        <w:rPr>
          <w:rFonts w:ascii="Garamond" w:hAnsi="Garamond"/>
          <w:sz w:val="24"/>
          <w:szCs w:val="24"/>
        </w:rPr>
        <w:t xml:space="preserve"> a seguito </w:t>
      </w:r>
      <w:r w:rsidR="004D10EB" w:rsidRPr="00295363">
        <w:rPr>
          <w:rFonts w:ascii="Garamond" w:hAnsi="Garamond"/>
          <w:sz w:val="24"/>
          <w:szCs w:val="24"/>
        </w:rPr>
        <w:t>di esse</w:t>
      </w:r>
      <w:r w:rsidR="00021CAD" w:rsidRPr="00295363">
        <w:rPr>
          <w:rFonts w:ascii="Garamond" w:hAnsi="Garamond"/>
          <w:sz w:val="24"/>
          <w:szCs w:val="24"/>
        </w:rPr>
        <w:t>,</w:t>
      </w:r>
      <w:r w:rsidRPr="00295363">
        <w:rPr>
          <w:rFonts w:ascii="Garamond" w:hAnsi="Garamond"/>
          <w:sz w:val="24"/>
          <w:szCs w:val="24"/>
        </w:rPr>
        <w:t xml:space="preserve"> prende inizio un parallelo procedimento negoziale accanto a quello amministrativo, fonte di regole di </w:t>
      </w:r>
      <w:r w:rsidR="00021CAD" w:rsidRPr="00295363">
        <w:rPr>
          <w:rFonts w:ascii="Garamond" w:hAnsi="Garamond"/>
          <w:sz w:val="24"/>
          <w:szCs w:val="24"/>
        </w:rPr>
        <w:t>condotta</w:t>
      </w:r>
      <w:r w:rsidRPr="00295363">
        <w:rPr>
          <w:rFonts w:ascii="Garamond" w:hAnsi="Garamond"/>
          <w:sz w:val="24"/>
          <w:szCs w:val="24"/>
        </w:rPr>
        <w:t>, per pensare invece alla tutela della posizione del privato</w:t>
      </w:r>
      <w:r w:rsidR="00021CAD" w:rsidRPr="00295363">
        <w:rPr>
          <w:rFonts w:ascii="Garamond" w:hAnsi="Garamond"/>
          <w:sz w:val="24"/>
          <w:szCs w:val="24"/>
        </w:rPr>
        <w:t xml:space="preserve"> che</w:t>
      </w:r>
      <w:r w:rsidRPr="00295363">
        <w:rPr>
          <w:rFonts w:ascii="Garamond" w:hAnsi="Garamond"/>
          <w:sz w:val="24"/>
          <w:szCs w:val="24"/>
        </w:rPr>
        <w:t xml:space="preserve"> si trova n</w:t>
      </w:r>
      <w:r w:rsidR="002042F3" w:rsidRPr="00295363">
        <w:rPr>
          <w:rFonts w:ascii="Garamond" w:hAnsi="Garamond"/>
          <w:sz w:val="24"/>
          <w:szCs w:val="24"/>
        </w:rPr>
        <w:t>ella necessità</w:t>
      </w:r>
      <w:r w:rsidR="004D10EB" w:rsidRPr="00295363">
        <w:rPr>
          <w:rFonts w:ascii="Garamond" w:hAnsi="Garamond"/>
          <w:sz w:val="24"/>
          <w:szCs w:val="24"/>
        </w:rPr>
        <w:t>,</w:t>
      </w:r>
      <w:r w:rsidR="00A01A2F" w:rsidRPr="00295363">
        <w:rPr>
          <w:rFonts w:ascii="Garamond" w:hAnsi="Garamond"/>
          <w:sz w:val="24"/>
          <w:szCs w:val="24"/>
        </w:rPr>
        <w:t xml:space="preserve"> già nel procedimento di carattere pubblico</w:t>
      </w:r>
      <w:r w:rsidR="004D10EB" w:rsidRPr="00295363">
        <w:rPr>
          <w:rFonts w:ascii="Garamond" w:hAnsi="Garamond"/>
          <w:sz w:val="24"/>
          <w:szCs w:val="24"/>
        </w:rPr>
        <w:t>,</w:t>
      </w:r>
      <w:r w:rsidR="002042F3" w:rsidRPr="00295363">
        <w:rPr>
          <w:rFonts w:ascii="Garamond" w:hAnsi="Garamond"/>
          <w:sz w:val="24"/>
          <w:szCs w:val="24"/>
        </w:rPr>
        <w:t xml:space="preserve"> di dovere</w:t>
      </w:r>
      <w:r w:rsidR="004818D5">
        <w:rPr>
          <w:rFonts w:ascii="Garamond" w:hAnsi="Garamond"/>
          <w:sz w:val="24"/>
          <w:szCs w:val="24"/>
        </w:rPr>
        <w:t xml:space="preserve"> altresì</w:t>
      </w:r>
      <w:r w:rsidR="0016299A">
        <w:rPr>
          <w:rFonts w:ascii="Garamond" w:hAnsi="Garamond"/>
          <w:sz w:val="24"/>
          <w:szCs w:val="24"/>
        </w:rPr>
        <w:t xml:space="preserve"> </w:t>
      </w:r>
      <w:r w:rsidR="002042F3" w:rsidRPr="00295363">
        <w:rPr>
          <w:rFonts w:ascii="Garamond" w:hAnsi="Garamond"/>
          <w:b/>
          <w:bCs/>
          <w:i/>
          <w:iCs/>
          <w:sz w:val="24"/>
          <w:szCs w:val="24"/>
        </w:rPr>
        <w:t>autonomamente e consapevolmente</w:t>
      </w:r>
      <w:r w:rsidR="0018247F">
        <w:rPr>
          <w:rFonts w:ascii="Garamond" w:hAnsi="Garamond"/>
          <w:sz w:val="24"/>
          <w:szCs w:val="24"/>
        </w:rPr>
        <w:t xml:space="preserve"> a</w:t>
      </w:r>
      <w:r w:rsidR="00A01A2F" w:rsidRPr="00295363">
        <w:rPr>
          <w:rFonts w:ascii="Garamond" w:hAnsi="Garamond"/>
          <w:sz w:val="24"/>
          <w:szCs w:val="24"/>
        </w:rPr>
        <w:t xml:space="preserve">ssumere una </w:t>
      </w:r>
      <w:r w:rsidR="00F349E9">
        <w:rPr>
          <w:rFonts w:ascii="Garamond" w:hAnsi="Garamond"/>
          <w:sz w:val="24"/>
          <w:szCs w:val="24"/>
        </w:rPr>
        <w:t xml:space="preserve">propria </w:t>
      </w:r>
      <w:r w:rsidR="00A01A2F" w:rsidRPr="00295363">
        <w:rPr>
          <w:rFonts w:ascii="Garamond" w:hAnsi="Garamond"/>
          <w:sz w:val="24"/>
          <w:szCs w:val="24"/>
        </w:rPr>
        <w:t>decisione</w:t>
      </w:r>
      <w:r w:rsidR="0016299A">
        <w:rPr>
          <w:rFonts w:ascii="Garamond" w:hAnsi="Garamond"/>
          <w:sz w:val="24"/>
          <w:szCs w:val="24"/>
        </w:rPr>
        <w:t xml:space="preserve"> </w:t>
      </w:r>
      <w:r w:rsidR="00F349E9">
        <w:rPr>
          <w:rFonts w:ascii="Garamond" w:hAnsi="Garamond"/>
          <w:sz w:val="24"/>
          <w:szCs w:val="24"/>
        </w:rPr>
        <w:t xml:space="preserve">consapevole </w:t>
      </w:r>
      <w:r w:rsidR="004D10EB" w:rsidRPr="00295363">
        <w:rPr>
          <w:rFonts w:ascii="Garamond" w:hAnsi="Garamond"/>
          <w:sz w:val="24"/>
          <w:szCs w:val="24"/>
        </w:rPr>
        <w:t>nel rapporto con la P.A.</w:t>
      </w:r>
    </w:p>
    <w:p w:rsidR="002042F3" w:rsidRPr="00295363" w:rsidRDefault="002042F3" w:rsidP="00826611">
      <w:pPr>
        <w:rPr>
          <w:rFonts w:ascii="Garamond" w:hAnsi="Garamond"/>
          <w:sz w:val="24"/>
          <w:szCs w:val="24"/>
        </w:rPr>
      </w:pPr>
      <w:r w:rsidRPr="00295363">
        <w:rPr>
          <w:rFonts w:ascii="Garamond" w:hAnsi="Garamond"/>
          <w:sz w:val="24"/>
          <w:szCs w:val="24"/>
        </w:rPr>
        <w:t xml:space="preserve">Né più e meno trattasi del diritto di </w:t>
      </w:r>
      <w:r w:rsidRPr="00295363">
        <w:rPr>
          <w:rFonts w:ascii="Garamond" w:hAnsi="Garamond"/>
          <w:b/>
          <w:bCs/>
          <w:i/>
          <w:iCs/>
          <w:sz w:val="24"/>
          <w:szCs w:val="24"/>
        </w:rPr>
        <w:t>autodeterminazione</w:t>
      </w:r>
      <w:r w:rsidRPr="00295363">
        <w:rPr>
          <w:rFonts w:ascii="Garamond" w:hAnsi="Garamond"/>
          <w:sz w:val="24"/>
          <w:szCs w:val="24"/>
        </w:rPr>
        <w:t>, la cui rilevanza non può fare differenza a seconda che esso si collochi in un rapporto privato o in uno pubblico.</w:t>
      </w:r>
    </w:p>
    <w:p w:rsidR="002042F3" w:rsidRPr="00295363" w:rsidRDefault="002042F3" w:rsidP="00826611">
      <w:pPr>
        <w:rPr>
          <w:rFonts w:ascii="Garamond" w:hAnsi="Garamond"/>
          <w:sz w:val="24"/>
          <w:szCs w:val="24"/>
        </w:rPr>
      </w:pPr>
      <w:r w:rsidRPr="00295363">
        <w:rPr>
          <w:rFonts w:ascii="Garamond" w:hAnsi="Garamond"/>
          <w:sz w:val="24"/>
          <w:szCs w:val="24"/>
        </w:rPr>
        <w:t xml:space="preserve">E tale diritto merita autonoma tutela anche nell’ambito di un </w:t>
      </w:r>
      <w:r w:rsidR="006F745E" w:rsidRPr="00295363">
        <w:rPr>
          <w:rFonts w:ascii="Garamond" w:hAnsi="Garamond"/>
          <w:sz w:val="24"/>
          <w:szCs w:val="24"/>
        </w:rPr>
        <w:t>rapporto di diritto pubblico</w:t>
      </w:r>
      <w:r w:rsidRPr="00295363">
        <w:rPr>
          <w:rFonts w:ascii="Garamond" w:hAnsi="Garamond"/>
          <w:sz w:val="24"/>
          <w:szCs w:val="24"/>
        </w:rPr>
        <w:t>.</w:t>
      </w:r>
    </w:p>
    <w:p w:rsidR="002042F3" w:rsidRPr="00295363" w:rsidRDefault="002042F3" w:rsidP="00826611">
      <w:pPr>
        <w:rPr>
          <w:rFonts w:ascii="Garamond" w:hAnsi="Garamond"/>
          <w:sz w:val="24"/>
          <w:szCs w:val="24"/>
        </w:rPr>
      </w:pPr>
      <w:r w:rsidRPr="00295363">
        <w:rPr>
          <w:rFonts w:ascii="Garamond" w:hAnsi="Garamond"/>
          <w:sz w:val="24"/>
          <w:szCs w:val="24"/>
        </w:rPr>
        <w:t xml:space="preserve">Ancor più si può dire </w:t>
      </w:r>
      <w:r w:rsidR="004818D5">
        <w:rPr>
          <w:rFonts w:ascii="Garamond" w:hAnsi="Garamond"/>
          <w:sz w:val="24"/>
          <w:szCs w:val="24"/>
        </w:rPr>
        <w:t xml:space="preserve">che ciò vale </w:t>
      </w:r>
      <w:r w:rsidR="00A01A2F" w:rsidRPr="00295363">
        <w:rPr>
          <w:rFonts w:ascii="Garamond" w:hAnsi="Garamond"/>
          <w:sz w:val="24"/>
          <w:szCs w:val="24"/>
        </w:rPr>
        <w:t xml:space="preserve">nel </w:t>
      </w:r>
      <w:r w:rsidR="007B22E8">
        <w:rPr>
          <w:rFonts w:ascii="Garamond" w:hAnsi="Garamond"/>
          <w:sz w:val="24"/>
          <w:szCs w:val="24"/>
        </w:rPr>
        <w:t xml:space="preserve">rapporto di diritto </w:t>
      </w:r>
      <w:r w:rsidR="00A01A2F" w:rsidRPr="00295363">
        <w:rPr>
          <w:rFonts w:ascii="Garamond" w:hAnsi="Garamond"/>
          <w:sz w:val="24"/>
          <w:szCs w:val="24"/>
        </w:rPr>
        <w:t xml:space="preserve">pubblico </w:t>
      </w:r>
      <w:proofErr w:type="spellStart"/>
      <w:r w:rsidR="00A01A2F" w:rsidRPr="00295363">
        <w:rPr>
          <w:rFonts w:ascii="Garamond" w:hAnsi="Garamond"/>
          <w:sz w:val="24"/>
          <w:szCs w:val="24"/>
        </w:rPr>
        <w:t>anzichè</w:t>
      </w:r>
      <w:proofErr w:type="spellEnd"/>
      <w:r w:rsidRPr="00295363">
        <w:rPr>
          <w:rFonts w:ascii="Garamond" w:hAnsi="Garamond"/>
          <w:sz w:val="24"/>
          <w:szCs w:val="24"/>
        </w:rPr>
        <w:t xml:space="preserve"> in un procedimento negoziale tra privati, che vede una parità tra soggetti.</w:t>
      </w:r>
    </w:p>
    <w:p w:rsidR="002042F3" w:rsidRPr="00295363" w:rsidRDefault="002042F3" w:rsidP="00826611">
      <w:pPr>
        <w:rPr>
          <w:rFonts w:ascii="Garamond" w:hAnsi="Garamond"/>
          <w:sz w:val="24"/>
          <w:szCs w:val="24"/>
        </w:rPr>
      </w:pPr>
      <w:r w:rsidRPr="00295363">
        <w:rPr>
          <w:rFonts w:ascii="Garamond" w:hAnsi="Garamond"/>
          <w:sz w:val="24"/>
          <w:szCs w:val="24"/>
        </w:rPr>
        <w:t xml:space="preserve">Il che significa che, a seguito “del </w:t>
      </w:r>
      <w:r w:rsidR="004D10EB" w:rsidRPr="00295363">
        <w:rPr>
          <w:rFonts w:ascii="Garamond" w:hAnsi="Garamond"/>
          <w:sz w:val="24"/>
          <w:szCs w:val="24"/>
        </w:rPr>
        <w:t>rapporto</w:t>
      </w:r>
      <w:r w:rsidRPr="00295363">
        <w:rPr>
          <w:rFonts w:ascii="Garamond" w:hAnsi="Garamond"/>
          <w:sz w:val="24"/>
          <w:szCs w:val="24"/>
        </w:rPr>
        <w:t>” con la P.A.</w:t>
      </w:r>
      <w:r w:rsidR="006F745E" w:rsidRPr="00295363">
        <w:rPr>
          <w:rFonts w:ascii="Garamond" w:hAnsi="Garamond"/>
          <w:sz w:val="24"/>
          <w:szCs w:val="24"/>
        </w:rPr>
        <w:t>,</w:t>
      </w:r>
      <w:r w:rsidRPr="00295363">
        <w:rPr>
          <w:rFonts w:ascii="Garamond" w:hAnsi="Garamond"/>
          <w:sz w:val="24"/>
          <w:szCs w:val="24"/>
        </w:rPr>
        <w:t xml:space="preserve"> il soggetto privato deve essere, in primo luogo, </w:t>
      </w:r>
      <w:r w:rsidR="004818D5">
        <w:rPr>
          <w:rFonts w:ascii="Garamond" w:hAnsi="Garamond"/>
          <w:sz w:val="24"/>
          <w:szCs w:val="24"/>
        </w:rPr>
        <w:t xml:space="preserve">garantito </w:t>
      </w:r>
      <w:r w:rsidR="00876BE8" w:rsidRPr="00295363">
        <w:rPr>
          <w:rFonts w:ascii="Garamond" w:hAnsi="Garamond"/>
          <w:b/>
          <w:bCs/>
          <w:i/>
          <w:iCs/>
          <w:sz w:val="24"/>
          <w:szCs w:val="24"/>
        </w:rPr>
        <w:t>nella sua capacità di auto</w:t>
      </w:r>
      <w:r w:rsidRPr="00295363">
        <w:rPr>
          <w:rFonts w:ascii="Garamond" w:hAnsi="Garamond"/>
          <w:b/>
          <w:bCs/>
          <w:i/>
          <w:iCs/>
          <w:sz w:val="24"/>
          <w:szCs w:val="24"/>
        </w:rPr>
        <w:t>determinazione</w:t>
      </w:r>
      <w:r w:rsidR="0016299A">
        <w:rPr>
          <w:rFonts w:ascii="Garamond" w:hAnsi="Garamond"/>
          <w:b/>
          <w:bCs/>
          <w:i/>
          <w:iCs/>
          <w:sz w:val="24"/>
          <w:szCs w:val="24"/>
        </w:rPr>
        <w:t xml:space="preserve"> </w:t>
      </w:r>
      <w:r w:rsidR="00A01A2F" w:rsidRPr="00295363">
        <w:rPr>
          <w:rFonts w:ascii="Garamond" w:hAnsi="Garamond"/>
          <w:sz w:val="24"/>
          <w:szCs w:val="24"/>
        </w:rPr>
        <w:t>in ordine</w:t>
      </w:r>
      <w:r w:rsidR="0016299A">
        <w:rPr>
          <w:rFonts w:ascii="Garamond" w:hAnsi="Garamond"/>
          <w:sz w:val="24"/>
          <w:szCs w:val="24"/>
        </w:rPr>
        <w:t xml:space="preserve"> </w:t>
      </w:r>
      <w:r w:rsidR="00A01A2F" w:rsidRPr="00295363">
        <w:rPr>
          <w:rFonts w:ascii="Garamond" w:hAnsi="Garamond"/>
          <w:sz w:val="24"/>
          <w:szCs w:val="24"/>
        </w:rPr>
        <w:t>al</w:t>
      </w:r>
      <w:r w:rsidRPr="00295363">
        <w:rPr>
          <w:rFonts w:ascii="Garamond" w:hAnsi="Garamond"/>
          <w:sz w:val="24"/>
          <w:szCs w:val="24"/>
        </w:rPr>
        <w:t xml:space="preserve">l’assetto di interessi </w:t>
      </w:r>
      <w:r w:rsidR="004D10EB" w:rsidRPr="00295363">
        <w:rPr>
          <w:rFonts w:ascii="Garamond" w:hAnsi="Garamond"/>
          <w:sz w:val="24"/>
          <w:szCs w:val="24"/>
        </w:rPr>
        <w:t xml:space="preserve">che dovrà venire in essere </w:t>
      </w:r>
      <w:r w:rsidRPr="00295363">
        <w:rPr>
          <w:rFonts w:ascii="Garamond" w:hAnsi="Garamond"/>
          <w:sz w:val="24"/>
          <w:szCs w:val="24"/>
        </w:rPr>
        <w:t>con la P.A. Onde</w:t>
      </w:r>
      <w:r w:rsidR="00851AC3" w:rsidRPr="00295363">
        <w:rPr>
          <w:rFonts w:ascii="Garamond" w:hAnsi="Garamond"/>
          <w:sz w:val="24"/>
          <w:szCs w:val="24"/>
        </w:rPr>
        <w:t xml:space="preserve"> a fronte di u</w:t>
      </w:r>
      <w:r w:rsidRPr="00295363">
        <w:rPr>
          <w:rFonts w:ascii="Garamond" w:hAnsi="Garamond"/>
          <w:sz w:val="24"/>
          <w:szCs w:val="24"/>
        </w:rPr>
        <w:t>na qualsiasi omissione</w:t>
      </w:r>
      <w:r w:rsidR="00851AC3" w:rsidRPr="00295363">
        <w:rPr>
          <w:rFonts w:ascii="Garamond" w:hAnsi="Garamond"/>
          <w:sz w:val="24"/>
          <w:szCs w:val="24"/>
        </w:rPr>
        <w:t>,</w:t>
      </w:r>
      <w:r w:rsidR="00A01A2F" w:rsidRPr="00295363">
        <w:rPr>
          <w:rFonts w:ascii="Garamond" w:hAnsi="Garamond"/>
          <w:sz w:val="24"/>
          <w:szCs w:val="24"/>
        </w:rPr>
        <w:t xml:space="preserve"> sia in buona che </w:t>
      </w:r>
      <w:r w:rsidR="009B5903">
        <w:rPr>
          <w:rFonts w:ascii="Garamond" w:hAnsi="Garamond"/>
          <w:sz w:val="24"/>
          <w:szCs w:val="24"/>
        </w:rPr>
        <w:t xml:space="preserve">in </w:t>
      </w:r>
      <w:r w:rsidR="00A01A2F" w:rsidRPr="00295363">
        <w:rPr>
          <w:rFonts w:ascii="Garamond" w:hAnsi="Garamond"/>
          <w:sz w:val="24"/>
          <w:szCs w:val="24"/>
        </w:rPr>
        <w:t>mala fede</w:t>
      </w:r>
      <w:r w:rsidR="00851AC3" w:rsidRPr="00295363">
        <w:rPr>
          <w:rFonts w:ascii="Garamond" w:hAnsi="Garamond"/>
          <w:sz w:val="24"/>
          <w:szCs w:val="24"/>
        </w:rPr>
        <w:t>,</w:t>
      </w:r>
      <w:r w:rsidR="006F745E" w:rsidRPr="00295363">
        <w:rPr>
          <w:rFonts w:ascii="Garamond" w:hAnsi="Garamond"/>
          <w:sz w:val="24"/>
          <w:szCs w:val="24"/>
        </w:rPr>
        <w:t xml:space="preserve"> da parte</w:t>
      </w:r>
      <w:r w:rsidRPr="00295363">
        <w:rPr>
          <w:rFonts w:ascii="Garamond" w:hAnsi="Garamond"/>
          <w:sz w:val="24"/>
          <w:szCs w:val="24"/>
        </w:rPr>
        <w:t xml:space="preserve"> di </w:t>
      </w:r>
      <w:r w:rsidR="00A01A2F" w:rsidRPr="00295363">
        <w:rPr>
          <w:rFonts w:ascii="Garamond" w:hAnsi="Garamond"/>
          <w:sz w:val="24"/>
          <w:szCs w:val="24"/>
        </w:rPr>
        <w:t>quest’ultima</w:t>
      </w:r>
      <w:r w:rsidRPr="00295363">
        <w:rPr>
          <w:rFonts w:ascii="Garamond" w:hAnsi="Garamond"/>
          <w:sz w:val="24"/>
          <w:szCs w:val="24"/>
        </w:rPr>
        <w:t xml:space="preserve">, </w:t>
      </w:r>
      <w:r w:rsidR="00CD3004" w:rsidRPr="00295363">
        <w:rPr>
          <w:rFonts w:ascii="Garamond" w:hAnsi="Garamond"/>
          <w:sz w:val="24"/>
          <w:szCs w:val="24"/>
        </w:rPr>
        <w:t xml:space="preserve">e per </w:t>
      </w:r>
      <w:r w:rsidR="004D10EB" w:rsidRPr="00295363">
        <w:rPr>
          <w:rFonts w:ascii="Garamond" w:hAnsi="Garamond"/>
          <w:sz w:val="24"/>
          <w:szCs w:val="24"/>
        </w:rPr>
        <w:t>aspett</w:t>
      </w:r>
      <w:r w:rsidR="00CD3004" w:rsidRPr="00295363">
        <w:rPr>
          <w:rFonts w:ascii="Garamond" w:hAnsi="Garamond"/>
          <w:sz w:val="24"/>
          <w:szCs w:val="24"/>
        </w:rPr>
        <w:t>i</w:t>
      </w:r>
      <w:r w:rsidR="004D10EB" w:rsidRPr="00295363">
        <w:rPr>
          <w:rFonts w:ascii="Garamond" w:hAnsi="Garamond"/>
          <w:sz w:val="24"/>
          <w:szCs w:val="24"/>
        </w:rPr>
        <w:t xml:space="preserve"> rilevant</w:t>
      </w:r>
      <w:r w:rsidR="00CD3004" w:rsidRPr="00295363">
        <w:rPr>
          <w:rFonts w:ascii="Garamond" w:hAnsi="Garamond"/>
          <w:sz w:val="24"/>
          <w:szCs w:val="24"/>
        </w:rPr>
        <w:t>i</w:t>
      </w:r>
      <w:r w:rsidR="004D10EB" w:rsidRPr="00295363">
        <w:rPr>
          <w:rFonts w:ascii="Garamond" w:hAnsi="Garamond"/>
          <w:sz w:val="24"/>
          <w:szCs w:val="24"/>
        </w:rPr>
        <w:t xml:space="preserve"> per tale assetto di interessi</w:t>
      </w:r>
      <w:r w:rsidR="00CD3004" w:rsidRPr="00295363">
        <w:rPr>
          <w:rFonts w:ascii="Garamond" w:hAnsi="Garamond"/>
          <w:sz w:val="24"/>
          <w:szCs w:val="24"/>
        </w:rPr>
        <w:t>,</w:t>
      </w:r>
      <w:r w:rsidR="004D10EB" w:rsidRPr="00295363">
        <w:rPr>
          <w:rFonts w:ascii="Garamond" w:hAnsi="Garamond"/>
          <w:sz w:val="24"/>
          <w:szCs w:val="24"/>
        </w:rPr>
        <w:t xml:space="preserve"> e ciò </w:t>
      </w:r>
      <w:r w:rsidRPr="00295363">
        <w:rPr>
          <w:rFonts w:ascii="Garamond" w:hAnsi="Garamond"/>
          <w:sz w:val="24"/>
          <w:szCs w:val="24"/>
        </w:rPr>
        <w:t xml:space="preserve">sia prima che </w:t>
      </w:r>
      <w:r w:rsidR="00CD3004" w:rsidRPr="00295363">
        <w:rPr>
          <w:rFonts w:ascii="Garamond" w:hAnsi="Garamond"/>
          <w:sz w:val="24"/>
          <w:szCs w:val="24"/>
        </w:rPr>
        <w:t xml:space="preserve">successivamente </w:t>
      </w:r>
      <w:r w:rsidRPr="00295363">
        <w:rPr>
          <w:rFonts w:ascii="Garamond" w:hAnsi="Garamond"/>
          <w:sz w:val="24"/>
          <w:szCs w:val="24"/>
        </w:rPr>
        <w:t>alla individuazione del soggetto vittorioso nella aggiudicazione e/o quale titolare del contratto</w:t>
      </w:r>
      <w:r w:rsidR="006F745E" w:rsidRPr="00295363">
        <w:rPr>
          <w:rFonts w:ascii="Garamond" w:hAnsi="Garamond"/>
          <w:sz w:val="24"/>
          <w:szCs w:val="24"/>
        </w:rPr>
        <w:t>,</w:t>
      </w:r>
      <w:r w:rsidR="009F63C7">
        <w:rPr>
          <w:rFonts w:ascii="Garamond" w:hAnsi="Garamond"/>
          <w:sz w:val="24"/>
          <w:szCs w:val="24"/>
        </w:rPr>
        <w:t xml:space="preserve"> </w:t>
      </w:r>
      <w:r w:rsidR="00CD3004" w:rsidRPr="00295363">
        <w:rPr>
          <w:rFonts w:ascii="Garamond" w:hAnsi="Garamond"/>
          <w:sz w:val="24"/>
          <w:szCs w:val="24"/>
        </w:rPr>
        <w:t xml:space="preserve">il soggetto privato </w:t>
      </w:r>
      <w:r w:rsidRPr="00295363">
        <w:rPr>
          <w:rFonts w:ascii="Garamond" w:hAnsi="Garamond"/>
          <w:sz w:val="24"/>
          <w:szCs w:val="24"/>
        </w:rPr>
        <w:t xml:space="preserve">deve essere tutelato nella sua capacità di </w:t>
      </w:r>
      <w:r w:rsidRPr="00295363">
        <w:rPr>
          <w:rFonts w:ascii="Garamond" w:hAnsi="Garamond"/>
          <w:b/>
          <w:bCs/>
          <w:i/>
          <w:iCs/>
          <w:sz w:val="24"/>
          <w:szCs w:val="24"/>
        </w:rPr>
        <w:t>autodeterminazione</w:t>
      </w:r>
      <w:r w:rsidRPr="00295363">
        <w:rPr>
          <w:rFonts w:ascii="Garamond" w:hAnsi="Garamond"/>
          <w:sz w:val="24"/>
          <w:szCs w:val="24"/>
        </w:rPr>
        <w:t>.</w:t>
      </w:r>
    </w:p>
    <w:p w:rsidR="002042F3" w:rsidRPr="00295363" w:rsidRDefault="002042F3" w:rsidP="00826611">
      <w:pPr>
        <w:rPr>
          <w:rFonts w:ascii="Garamond" w:hAnsi="Garamond"/>
          <w:sz w:val="24"/>
          <w:szCs w:val="24"/>
        </w:rPr>
      </w:pPr>
      <w:r w:rsidRPr="00295363">
        <w:rPr>
          <w:rFonts w:ascii="Garamond" w:hAnsi="Garamond"/>
          <w:sz w:val="24"/>
          <w:szCs w:val="24"/>
        </w:rPr>
        <w:t xml:space="preserve">La circostanza che, </w:t>
      </w:r>
      <w:r w:rsidR="00A01A2F" w:rsidRPr="00295363">
        <w:rPr>
          <w:rFonts w:ascii="Garamond" w:hAnsi="Garamond"/>
          <w:sz w:val="24"/>
          <w:szCs w:val="24"/>
        </w:rPr>
        <w:t xml:space="preserve">solo </w:t>
      </w:r>
      <w:r w:rsidRPr="00295363">
        <w:rPr>
          <w:rFonts w:ascii="Garamond" w:hAnsi="Garamond"/>
          <w:sz w:val="24"/>
          <w:szCs w:val="24"/>
        </w:rPr>
        <w:t xml:space="preserve">successivamente, esso </w:t>
      </w:r>
      <w:r w:rsidR="00A01A2F" w:rsidRPr="00295363">
        <w:rPr>
          <w:rFonts w:ascii="Garamond" w:hAnsi="Garamond"/>
          <w:sz w:val="24"/>
          <w:szCs w:val="24"/>
        </w:rPr>
        <w:t>potrà risultare</w:t>
      </w:r>
      <w:r w:rsidRPr="00295363">
        <w:rPr>
          <w:rFonts w:ascii="Garamond" w:hAnsi="Garamond"/>
          <w:sz w:val="24"/>
          <w:szCs w:val="24"/>
        </w:rPr>
        <w:t xml:space="preserve"> aggiudicatario della concessione cui ha concorso, potrà determinare</w:t>
      </w:r>
      <w:r w:rsidR="00851AC3" w:rsidRPr="00295363">
        <w:rPr>
          <w:rFonts w:ascii="Garamond" w:hAnsi="Garamond"/>
          <w:sz w:val="24"/>
          <w:szCs w:val="24"/>
        </w:rPr>
        <w:t xml:space="preserve">, solo da questo momento, </w:t>
      </w:r>
      <w:r w:rsidRPr="00295363">
        <w:rPr>
          <w:rFonts w:ascii="Garamond" w:hAnsi="Garamond"/>
          <w:sz w:val="24"/>
          <w:szCs w:val="24"/>
        </w:rPr>
        <w:t xml:space="preserve">la rilevanza di un danno patrimoniale risarcibile ex art. 2043 </w:t>
      </w:r>
      <w:r w:rsidR="00614A3B" w:rsidRPr="00295363">
        <w:rPr>
          <w:rFonts w:ascii="Garamond" w:hAnsi="Garamond"/>
          <w:sz w:val="24"/>
          <w:szCs w:val="24"/>
        </w:rPr>
        <w:t xml:space="preserve">c.c. </w:t>
      </w:r>
      <w:r w:rsidR="002A3B69">
        <w:rPr>
          <w:rFonts w:ascii="Garamond" w:hAnsi="Garamond"/>
          <w:sz w:val="24"/>
          <w:szCs w:val="24"/>
        </w:rPr>
        <w:t>(</w:t>
      </w:r>
      <w:r w:rsidR="002A3B69">
        <w:rPr>
          <w:rStyle w:val="Rimandonotaapidipagina"/>
          <w:rFonts w:ascii="Garamond" w:hAnsi="Garamond"/>
          <w:sz w:val="24"/>
          <w:szCs w:val="24"/>
        </w:rPr>
        <w:footnoteReference w:id="31"/>
      </w:r>
      <w:r w:rsidR="002A3B69">
        <w:rPr>
          <w:rFonts w:ascii="Garamond" w:hAnsi="Garamond"/>
          <w:sz w:val="24"/>
          <w:szCs w:val="24"/>
        </w:rPr>
        <w:t xml:space="preserve">) </w:t>
      </w:r>
      <w:r w:rsidRPr="00295363">
        <w:rPr>
          <w:rFonts w:ascii="Garamond" w:hAnsi="Garamond"/>
          <w:sz w:val="24"/>
          <w:szCs w:val="24"/>
        </w:rPr>
        <w:t xml:space="preserve">ma non potrà condizionare la sua legittimazione attiva ad agire per la violazione </w:t>
      </w:r>
      <w:r w:rsidRPr="004818D5">
        <w:rPr>
          <w:rFonts w:ascii="Garamond" w:hAnsi="Garamond"/>
          <w:b/>
          <w:bCs/>
          <w:i/>
          <w:iCs/>
          <w:sz w:val="24"/>
          <w:szCs w:val="24"/>
        </w:rPr>
        <w:t>del suo diritto all’autode</w:t>
      </w:r>
      <w:r w:rsidR="006F745E" w:rsidRPr="004818D5">
        <w:rPr>
          <w:rFonts w:ascii="Garamond" w:hAnsi="Garamond"/>
          <w:b/>
          <w:bCs/>
          <w:i/>
          <w:iCs/>
          <w:sz w:val="24"/>
          <w:szCs w:val="24"/>
        </w:rPr>
        <w:t>terminazione</w:t>
      </w:r>
      <w:r w:rsidRPr="00295363">
        <w:rPr>
          <w:rFonts w:ascii="Garamond" w:hAnsi="Garamond"/>
          <w:sz w:val="24"/>
          <w:szCs w:val="24"/>
        </w:rPr>
        <w:t>.</w:t>
      </w:r>
    </w:p>
    <w:p w:rsidR="002042F3" w:rsidRPr="00295363" w:rsidRDefault="002042F3" w:rsidP="00295363">
      <w:pPr>
        <w:ind w:firstLine="0"/>
        <w:rPr>
          <w:rFonts w:ascii="Garamond" w:hAnsi="Garamond"/>
          <w:sz w:val="24"/>
          <w:szCs w:val="24"/>
        </w:rPr>
      </w:pPr>
      <w:r w:rsidRPr="00295363">
        <w:rPr>
          <w:rFonts w:ascii="Garamond" w:hAnsi="Garamond"/>
          <w:sz w:val="24"/>
          <w:szCs w:val="24"/>
        </w:rPr>
        <w:t xml:space="preserve">Sembra che, in tal modo, sia consentito anche di superare la preordinata diffidenza verso l’interferenza tra i due piani </w:t>
      </w:r>
      <w:r w:rsidR="00851AC3" w:rsidRPr="00295363">
        <w:rPr>
          <w:rFonts w:ascii="Garamond" w:hAnsi="Garamond"/>
          <w:sz w:val="24"/>
          <w:szCs w:val="24"/>
        </w:rPr>
        <w:t xml:space="preserve">delineati </w:t>
      </w:r>
      <w:r w:rsidRPr="00295363">
        <w:rPr>
          <w:rFonts w:ascii="Garamond" w:hAnsi="Garamond"/>
          <w:sz w:val="24"/>
          <w:szCs w:val="24"/>
        </w:rPr>
        <w:t xml:space="preserve">della responsabilità, quella, extracontrattuale, per lesione </w:t>
      </w:r>
      <w:r w:rsidRPr="00295363">
        <w:rPr>
          <w:rFonts w:ascii="Garamond" w:hAnsi="Garamond"/>
          <w:b/>
          <w:bCs/>
          <w:i/>
          <w:iCs/>
          <w:sz w:val="24"/>
          <w:szCs w:val="24"/>
        </w:rPr>
        <w:t>dell’interesse legittimo</w:t>
      </w:r>
      <w:r w:rsidR="0016299A">
        <w:rPr>
          <w:rFonts w:ascii="Garamond" w:hAnsi="Garamond"/>
          <w:b/>
          <w:bCs/>
          <w:i/>
          <w:iCs/>
          <w:sz w:val="24"/>
          <w:szCs w:val="24"/>
        </w:rPr>
        <w:t xml:space="preserve"> </w:t>
      </w:r>
      <w:r w:rsidR="004D10EB" w:rsidRPr="00295363">
        <w:rPr>
          <w:rFonts w:ascii="Garamond" w:hAnsi="Garamond"/>
          <w:b/>
          <w:bCs/>
          <w:i/>
          <w:iCs/>
          <w:sz w:val="24"/>
          <w:szCs w:val="24"/>
        </w:rPr>
        <w:t>alla spettanza di un bene della vita</w:t>
      </w:r>
      <w:r w:rsidR="0016299A">
        <w:rPr>
          <w:rFonts w:ascii="Garamond" w:hAnsi="Garamond"/>
          <w:b/>
          <w:bCs/>
          <w:i/>
          <w:iCs/>
          <w:sz w:val="24"/>
          <w:szCs w:val="24"/>
        </w:rPr>
        <w:t xml:space="preserve"> </w:t>
      </w:r>
      <w:r w:rsidRPr="00295363">
        <w:rPr>
          <w:rFonts w:ascii="Garamond" w:hAnsi="Garamond"/>
          <w:sz w:val="24"/>
          <w:szCs w:val="24"/>
        </w:rPr>
        <w:t>e ciò a seguito dell’</w:t>
      </w:r>
      <w:r w:rsidR="006F745E" w:rsidRPr="00295363">
        <w:rPr>
          <w:rFonts w:ascii="Garamond" w:hAnsi="Garamond"/>
          <w:sz w:val="24"/>
          <w:szCs w:val="24"/>
        </w:rPr>
        <w:t>illegittimità</w:t>
      </w:r>
      <w:r w:rsidRPr="00295363">
        <w:rPr>
          <w:rFonts w:ascii="Garamond" w:hAnsi="Garamond"/>
          <w:sz w:val="24"/>
          <w:szCs w:val="24"/>
        </w:rPr>
        <w:t xml:space="preserve"> dell’atto</w:t>
      </w:r>
      <w:r w:rsidR="00614A3B" w:rsidRPr="00295363">
        <w:rPr>
          <w:rFonts w:ascii="Garamond" w:hAnsi="Garamond"/>
          <w:sz w:val="24"/>
          <w:szCs w:val="24"/>
        </w:rPr>
        <w:t xml:space="preserve"> amministrati</w:t>
      </w:r>
      <w:r w:rsidR="006F745E" w:rsidRPr="00295363">
        <w:rPr>
          <w:rFonts w:ascii="Garamond" w:hAnsi="Garamond"/>
          <w:sz w:val="24"/>
          <w:szCs w:val="24"/>
        </w:rPr>
        <w:t>vo</w:t>
      </w:r>
      <w:r w:rsidRPr="00295363">
        <w:rPr>
          <w:rFonts w:ascii="Garamond" w:hAnsi="Garamond"/>
          <w:sz w:val="24"/>
          <w:szCs w:val="24"/>
        </w:rPr>
        <w:t xml:space="preserve"> e quello, </w:t>
      </w:r>
      <w:r w:rsidR="00A01A2F" w:rsidRPr="00295363">
        <w:rPr>
          <w:rFonts w:ascii="Garamond" w:hAnsi="Garamond"/>
          <w:sz w:val="24"/>
          <w:szCs w:val="24"/>
        </w:rPr>
        <w:t>anch’</w:t>
      </w:r>
      <w:r w:rsidRPr="00295363">
        <w:rPr>
          <w:rFonts w:ascii="Garamond" w:hAnsi="Garamond"/>
          <w:sz w:val="24"/>
          <w:szCs w:val="24"/>
        </w:rPr>
        <w:t xml:space="preserve">esso extracontrattuale, </w:t>
      </w:r>
      <w:r w:rsidRPr="00295363">
        <w:rPr>
          <w:rFonts w:ascii="Garamond" w:hAnsi="Garamond"/>
          <w:b/>
          <w:bCs/>
          <w:i/>
          <w:iCs/>
          <w:sz w:val="24"/>
          <w:szCs w:val="24"/>
        </w:rPr>
        <w:t>per lesione dell’affidamento del privato nel provvedimento ad esso favorevole</w:t>
      </w:r>
      <w:r w:rsidRPr="00295363">
        <w:rPr>
          <w:rFonts w:ascii="Garamond" w:hAnsi="Garamond"/>
          <w:sz w:val="24"/>
          <w:szCs w:val="24"/>
        </w:rPr>
        <w:t>. In</w:t>
      </w:r>
      <w:r w:rsidR="00A01A2F" w:rsidRPr="00295363">
        <w:rPr>
          <w:rFonts w:ascii="Garamond" w:hAnsi="Garamond"/>
          <w:sz w:val="24"/>
          <w:szCs w:val="24"/>
        </w:rPr>
        <w:t xml:space="preserve"> realtà</w:t>
      </w:r>
      <w:r w:rsidRPr="00295363">
        <w:rPr>
          <w:rFonts w:ascii="Garamond" w:hAnsi="Garamond"/>
          <w:sz w:val="24"/>
          <w:szCs w:val="24"/>
        </w:rPr>
        <w:t xml:space="preserve">, la responsabilità </w:t>
      </w:r>
      <w:r w:rsidR="006F745E" w:rsidRPr="00295363">
        <w:rPr>
          <w:rFonts w:ascii="Garamond" w:hAnsi="Garamond"/>
          <w:sz w:val="24"/>
          <w:szCs w:val="24"/>
        </w:rPr>
        <w:t>è destinata</w:t>
      </w:r>
      <w:r w:rsidRPr="00295363">
        <w:rPr>
          <w:rFonts w:ascii="Garamond" w:hAnsi="Garamond"/>
          <w:sz w:val="24"/>
          <w:szCs w:val="24"/>
        </w:rPr>
        <w:t xml:space="preserve"> ad avere una fonte unica, è quella </w:t>
      </w:r>
      <w:r w:rsidR="004D10EB" w:rsidRPr="00295363">
        <w:rPr>
          <w:rFonts w:ascii="Garamond" w:hAnsi="Garamond"/>
          <w:sz w:val="24"/>
          <w:szCs w:val="24"/>
        </w:rPr>
        <w:t>“</w:t>
      </w:r>
      <w:r w:rsidRPr="00295363">
        <w:rPr>
          <w:rFonts w:ascii="Garamond" w:hAnsi="Garamond"/>
          <w:sz w:val="24"/>
          <w:szCs w:val="24"/>
        </w:rPr>
        <w:t>del rapporto</w:t>
      </w:r>
      <w:r w:rsidR="004D10EB" w:rsidRPr="00295363">
        <w:rPr>
          <w:rFonts w:ascii="Garamond" w:hAnsi="Garamond"/>
          <w:sz w:val="24"/>
          <w:szCs w:val="24"/>
        </w:rPr>
        <w:t>”</w:t>
      </w:r>
      <w:r w:rsidR="006F745E" w:rsidRPr="00295363">
        <w:rPr>
          <w:rFonts w:ascii="Garamond" w:hAnsi="Garamond"/>
          <w:sz w:val="24"/>
          <w:szCs w:val="24"/>
        </w:rPr>
        <w:t xml:space="preserve"> nato da “contatto”</w:t>
      </w:r>
      <w:r w:rsidRPr="00295363">
        <w:rPr>
          <w:rFonts w:ascii="Garamond" w:hAnsi="Garamond"/>
          <w:sz w:val="24"/>
          <w:szCs w:val="24"/>
        </w:rPr>
        <w:t xml:space="preserve"> instaurato con la P.A. e, nel procedimento amministrativo da esso derivante, ove convivono, in pari grado,</w:t>
      </w:r>
      <w:r w:rsidR="006F745E" w:rsidRPr="00295363">
        <w:rPr>
          <w:rFonts w:ascii="Garamond" w:hAnsi="Garamond"/>
          <w:sz w:val="24"/>
          <w:szCs w:val="24"/>
        </w:rPr>
        <w:t xml:space="preserve"> accanto ai</w:t>
      </w:r>
      <w:r w:rsidRPr="00295363">
        <w:rPr>
          <w:rFonts w:ascii="Garamond" w:hAnsi="Garamond"/>
          <w:sz w:val="24"/>
          <w:szCs w:val="24"/>
        </w:rPr>
        <w:t xml:space="preserve"> poteri</w:t>
      </w:r>
      <w:r w:rsidR="00280026" w:rsidRPr="00295363">
        <w:rPr>
          <w:rFonts w:ascii="Garamond" w:hAnsi="Garamond"/>
          <w:sz w:val="24"/>
          <w:szCs w:val="24"/>
        </w:rPr>
        <w:t xml:space="preserve"> della P.A., i diritti del privato, che non possono essere compre</w:t>
      </w:r>
      <w:r w:rsidR="006F745E" w:rsidRPr="00295363">
        <w:rPr>
          <w:rFonts w:ascii="Garamond" w:hAnsi="Garamond"/>
          <w:sz w:val="24"/>
          <w:szCs w:val="24"/>
        </w:rPr>
        <w:t>s</w:t>
      </w:r>
      <w:r w:rsidR="00280026" w:rsidRPr="00295363">
        <w:rPr>
          <w:rFonts w:ascii="Garamond" w:hAnsi="Garamond"/>
          <w:sz w:val="24"/>
          <w:szCs w:val="24"/>
        </w:rPr>
        <w:t>si dalla P.A.</w:t>
      </w:r>
      <w:r w:rsidR="00A01A2F" w:rsidRPr="00295363">
        <w:rPr>
          <w:rFonts w:ascii="Garamond" w:hAnsi="Garamond"/>
          <w:sz w:val="24"/>
          <w:szCs w:val="24"/>
        </w:rPr>
        <w:t>,</w:t>
      </w:r>
      <w:r w:rsidR="00280026" w:rsidRPr="00295363">
        <w:rPr>
          <w:rFonts w:ascii="Garamond" w:hAnsi="Garamond"/>
          <w:sz w:val="24"/>
          <w:szCs w:val="24"/>
        </w:rPr>
        <w:t xml:space="preserve"> perché inerenti alla capacità negoziale, ad esso riconosciut</w:t>
      </w:r>
      <w:r w:rsidR="006F745E" w:rsidRPr="00295363">
        <w:rPr>
          <w:rFonts w:ascii="Garamond" w:hAnsi="Garamond"/>
          <w:sz w:val="24"/>
          <w:szCs w:val="24"/>
        </w:rPr>
        <w:t>a</w:t>
      </w:r>
      <w:r w:rsidR="00280026" w:rsidRPr="00295363">
        <w:rPr>
          <w:rFonts w:ascii="Garamond" w:hAnsi="Garamond"/>
          <w:sz w:val="24"/>
          <w:szCs w:val="24"/>
        </w:rPr>
        <w:t>, di potersi autonomamente determinare, nei rapporti con terzi (e quindi anche con la P.A.).</w:t>
      </w:r>
    </w:p>
    <w:p w:rsidR="00280026" w:rsidRPr="00295363" w:rsidRDefault="00280026" w:rsidP="00207FCB">
      <w:pPr>
        <w:ind w:firstLine="708"/>
        <w:rPr>
          <w:rFonts w:ascii="Garamond" w:hAnsi="Garamond"/>
          <w:sz w:val="24"/>
          <w:szCs w:val="24"/>
        </w:rPr>
      </w:pPr>
      <w:r w:rsidRPr="00295363">
        <w:rPr>
          <w:rFonts w:ascii="Garamond" w:hAnsi="Garamond"/>
          <w:sz w:val="24"/>
          <w:szCs w:val="24"/>
        </w:rPr>
        <w:t xml:space="preserve">Ed è destinato anche a restare irrilevante il riferimento al carattere meramente </w:t>
      </w:r>
      <w:r w:rsidRPr="00295363">
        <w:rPr>
          <w:rFonts w:ascii="Garamond" w:hAnsi="Garamond"/>
          <w:b/>
          <w:bCs/>
          <w:i/>
          <w:iCs/>
          <w:sz w:val="24"/>
          <w:szCs w:val="24"/>
        </w:rPr>
        <w:t>strumentale</w:t>
      </w:r>
      <w:r w:rsidRPr="00295363">
        <w:rPr>
          <w:rFonts w:ascii="Garamond" w:hAnsi="Garamond"/>
          <w:sz w:val="24"/>
          <w:szCs w:val="24"/>
        </w:rPr>
        <w:t xml:space="preserve"> dell’interesse </w:t>
      </w:r>
      <w:r w:rsidR="00A01A2F" w:rsidRPr="00295363">
        <w:rPr>
          <w:rFonts w:ascii="Garamond" w:hAnsi="Garamond"/>
          <w:sz w:val="24"/>
          <w:szCs w:val="24"/>
        </w:rPr>
        <w:t>“</w:t>
      </w:r>
      <w:r w:rsidRPr="00295363">
        <w:rPr>
          <w:rFonts w:ascii="Garamond" w:hAnsi="Garamond"/>
          <w:sz w:val="24"/>
          <w:szCs w:val="24"/>
        </w:rPr>
        <w:t>alla correttezza</w:t>
      </w:r>
      <w:r w:rsidR="00A01A2F" w:rsidRPr="00295363">
        <w:rPr>
          <w:rFonts w:ascii="Garamond" w:hAnsi="Garamond"/>
          <w:sz w:val="24"/>
          <w:szCs w:val="24"/>
        </w:rPr>
        <w:t>”</w:t>
      </w:r>
      <w:r w:rsidRPr="00295363">
        <w:rPr>
          <w:rFonts w:ascii="Garamond" w:hAnsi="Garamond"/>
          <w:sz w:val="24"/>
          <w:szCs w:val="24"/>
        </w:rPr>
        <w:t xml:space="preserve"> della P.A., </w:t>
      </w:r>
      <w:r w:rsidR="00CD3004" w:rsidRPr="00295363">
        <w:rPr>
          <w:rFonts w:ascii="Garamond" w:hAnsi="Garamond"/>
          <w:sz w:val="24"/>
          <w:szCs w:val="24"/>
        </w:rPr>
        <w:t>perché</w:t>
      </w:r>
      <w:r w:rsidR="004818D5">
        <w:rPr>
          <w:rFonts w:ascii="Garamond" w:hAnsi="Garamond"/>
          <w:sz w:val="24"/>
          <w:szCs w:val="24"/>
        </w:rPr>
        <w:t>, si osserva,</w:t>
      </w:r>
      <w:r w:rsidR="007B22E8">
        <w:rPr>
          <w:rFonts w:ascii="Garamond" w:hAnsi="Garamond"/>
          <w:sz w:val="24"/>
          <w:szCs w:val="24"/>
        </w:rPr>
        <w:t xml:space="preserve"> a </w:t>
      </w:r>
      <w:r w:rsidR="007B22E8" w:rsidRPr="007B22E8">
        <w:rPr>
          <w:rFonts w:ascii="Garamond" w:hAnsi="Garamond"/>
          <w:b/>
          <w:bCs/>
          <w:i/>
          <w:iCs/>
          <w:sz w:val="24"/>
          <w:szCs w:val="24"/>
        </w:rPr>
        <w:t>contrario</w:t>
      </w:r>
      <w:r w:rsidR="007B22E8">
        <w:rPr>
          <w:rFonts w:ascii="Garamond" w:hAnsi="Garamond"/>
          <w:sz w:val="24"/>
          <w:szCs w:val="24"/>
        </w:rPr>
        <w:t xml:space="preserve"> che</w:t>
      </w:r>
      <w:r w:rsidR="004818D5">
        <w:rPr>
          <w:rFonts w:ascii="Garamond" w:hAnsi="Garamond"/>
          <w:sz w:val="24"/>
          <w:szCs w:val="24"/>
        </w:rPr>
        <w:t xml:space="preserve"> esso non </w:t>
      </w:r>
      <w:r w:rsidR="007B22E8">
        <w:rPr>
          <w:rFonts w:ascii="Garamond" w:hAnsi="Garamond"/>
          <w:sz w:val="24"/>
          <w:szCs w:val="24"/>
        </w:rPr>
        <w:t xml:space="preserve">avrebbe </w:t>
      </w:r>
      <w:r w:rsidR="004D10EB" w:rsidRPr="00295363">
        <w:rPr>
          <w:rFonts w:ascii="Garamond" w:hAnsi="Garamond"/>
          <w:sz w:val="24"/>
          <w:szCs w:val="24"/>
        </w:rPr>
        <w:t xml:space="preserve">diretta connessione con il bene della vita cui invece aspira </w:t>
      </w:r>
      <w:r w:rsidR="004D10EB" w:rsidRPr="00F349E9">
        <w:rPr>
          <w:rFonts w:ascii="Garamond" w:hAnsi="Garamond"/>
          <w:b/>
          <w:bCs/>
          <w:i/>
          <w:iCs/>
          <w:sz w:val="24"/>
          <w:szCs w:val="24"/>
        </w:rPr>
        <w:t>l’interesse legittimo</w:t>
      </w:r>
      <w:r w:rsidR="004D10EB" w:rsidRPr="00295363">
        <w:rPr>
          <w:rFonts w:ascii="Garamond" w:hAnsi="Garamond"/>
          <w:sz w:val="24"/>
          <w:szCs w:val="24"/>
        </w:rPr>
        <w:t xml:space="preserve">, </w:t>
      </w:r>
      <w:r w:rsidRPr="00295363">
        <w:rPr>
          <w:rFonts w:ascii="Garamond" w:hAnsi="Garamond"/>
          <w:sz w:val="24"/>
          <w:szCs w:val="24"/>
        </w:rPr>
        <w:t>come sostenuto in</w:t>
      </w:r>
      <w:r w:rsidR="00614A3B" w:rsidRPr="00295363">
        <w:rPr>
          <w:rFonts w:ascii="Garamond" w:hAnsi="Garamond"/>
          <w:sz w:val="24"/>
          <w:szCs w:val="24"/>
        </w:rPr>
        <w:t xml:space="preserve"> molte sentenze dei giudici amministrati</w:t>
      </w:r>
      <w:r w:rsidRPr="00295363">
        <w:rPr>
          <w:rFonts w:ascii="Garamond" w:hAnsi="Garamond"/>
          <w:sz w:val="24"/>
          <w:szCs w:val="24"/>
        </w:rPr>
        <w:t>vi</w:t>
      </w:r>
      <w:r w:rsidR="00F91221">
        <w:rPr>
          <w:rFonts w:ascii="Garamond" w:hAnsi="Garamond"/>
          <w:sz w:val="24"/>
          <w:szCs w:val="24"/>
        </w:rPr>
        <w:t xml:space="preserve"> (</w:t>
      </w:r>
      <w:r w:rsidR="00F91221">
        <w:rPr>
          <w:rStyle w:val="Rimandonotaapidipagina"/>
          <w:rFonts w:ascii="Garamond" w:hAnsi="Garamond"/>
          <w:sz w:val="24"/>
          <w:szCs w:val="24"/>
        </w:rPr>
        <w:footnoteReference w:id="32"/>
      </w:r>
      <w:r w:rsidR="00E4657C">
        <w:rPr>
          <w:rFonts w:ascii="Garamond" w:hAnsi="Garamond"/>
          <w:sz w:val="24"/>
          <w:szCs w:val="24"/>
        </w:rPr>
        <w:t>)</w:t>
      </w:r>
      <w:r w:rsidRPr="00295363">
        <w:rPr>
          <w:rFonts w:ascii="Garamond" w:hAnsi="Garamond"/>
          <w:sz w:val="24"/>
          <w:szCs w:val="24"/>
        </w:rPr>
        <w:t>.</w:t>
      </w:r>
    </w:p>
    <w:p w:rsidR="00280026" w:rsidRPr="00295363" w:rsidRDefault="007B22E8" w:rsidP="00034F67">
      <w:pPr>
        <w:ind w:firstLine="708"/>
        <w:rPr>
          <w:rFonts w:ascii="Garamond" w:hAnsi="Garamond"/>
          <w:sz w:val="24"/>
          <w:szCs w:val="24"/>
        </w:rPr>
      </w:pPr>
      <w:r>
        <w:rPr>
          <w:rFonts w:ascii="Garamond" w:hAnsi="Garamond"/>
          <w:sz w:val="24"/>
          <w:szCs w:val="24"/>
        </w:rPr>
        <w:t>Vale invece l’opposto. S</w:t>
      </w:r>
      <w:r w:rsidR="00280026" w:rsidRPr="00295363">
        <w:rPr>
          <w:rFonts w:ascii="Garamond" w:hAnsi="Garamond"/>
          <w:sz w:val="24"/>
          <w:szCs w:val="24"/>
        </w:rPr>
        <w:t>ussistendo infatti una violazione del principio di auto-determinazione nell’esercizio di un proprio diritto</w:t>
      </w:r>
      <w:r w:rsidR="00C134B2">
        <w:rPr>
          <w:rFonts w:ascii="Garamond" w:hAnsi="Garamond"/>
          <w:sz w:val="24"/>
          <w:szCs w:val="24"/>
        </w:rPr>
        <w:t xml:space="preserve"> e spettante al soggetto che è in rapporto con la P.A.</w:t>
      </w:r>
      <w:r w:rsidR="00280026" w:rsidRPr="00295363">
        <w:rPr>
          <w:rFonts w:ascii="Garamond" w:hAnsi="Garamond"/>
          <w:sz w:val="24"/>
          <w:szCs w:val="24"/>
        </w:rPr>
        <w:t xml:space="preserve"> ed </w:t>
      </w:r>
      <w:r w:rsidR="00A01A2F" w:rsidRPr="00295363">
        <w:rPr>
          <w:rFonts w:ascii="Garamond" w:hAnsi="Garamond"/>
          <w:sz w:val="24"/>
          <w:szCs w:val="24"/>
        </w:rPr>
        <w:t xml:space="preserve">una volta </w:t>
      </w:r>
      <w:r w:rsidR="00280026" w:rsidRPr="00295363">
        <w:rPr>
          <w:rFonts w:ascii="Garamond" w:hAnsi="Garamond"/>
          <w:sz w:val="24"/>
          <w:szCs w:val="24"/>
        </w:rPr>
        <w:t>accertato il pregiudizio che da tale violazione</w:t>
      </w:r>
      <w:r w:rsidR="004D10EB" w:rsidRPr="00295363">
        <w:rPr>
          <w:rFonts w:ascii="Garamond" w:hAnsi="Garamond"/>
          <w:sz w:val="24"/>
          <w:szCs w:val="24"/>
        </w:rPr>
        <w:t xml:space="preserve"> può</w:t>
      </w:r>
      <w:r w:rsidR="00280026" w:rsidRPr="00295363">
        <w:rPr>
          <w:rFonts w:ascii="Garamond" w:hAnsi="Garamond"/>
          <w:sz w:val="24"/>
          <w:szCs w:val="24"/>
        </w:rPr>
        <w:t xml:space="preserve"> deriva</w:t>
      </w:r>
      <w:r w:rsidR="004D10EB" w:rsidRPr="00295363">
        <w:rPr>
          <w:rFonts w:ascii="Garamond" w:hAnsi="Garamond"/>
          <w:sz w:val="24"/>
          <w:szCs w:val="24"/>
        </w:rPr>
        <w:t xml:space="preserve">re anche </w:t>
      </w:r>
      <w:r w:rsidR="00F448DE" w:rsidRPr="00295363">
        <w:rPr>
          <w:rFonts w:ascii="Garamond" w:hAnsi="Garamond"/>
          <w:sz w:val="24"/>
          <w:szCs w:val="24"/>
        </w:rPr>
        <w:t>“</w:t>
      </w:r>
      <w:r w:rsidR="004D10EB" w:rsidRPr="00295363">
        <w:rPr>
          <w:rFonts w:ascii="Garamond" w:hAnsi="Garamond"/>
          <w:sz w:val="24"/>
          <w:szCs w:val="24"/>
        </w:rPr>
        <w:t>al bene della vita</w:t>
      </w:r>
      <w:r w:rsidR="00F448DE" w:rsidRPr="00295363">
        <w:rPr>
          <w:rFonts w:ascii="Garamond" w:hAnsi="Garamond"/>
          <w:sz w:val="24"/>
          <w:szCs w:val="24"/>
        </w:rPr>
        <w:t>”</w:t>
      </w:r>
      <w:r w:rsidR="004D10EB" w:rsidRPr="00295363">
        <w:rPr>
          <w:rFonts w:ascii="Garamond" w:hAnsi="Garamond"/>
          <w:sz w:val="24"/>
          <w:szCs w:val="24"/>
        </w:rPr>
        <w:t xml:space="preserve"> cui il privato aspira</w:t>
      </w:r>
      <w:r w:rsidR="006F745E" w:rsidRPr="00295363">
        <w:rPr>
          <w:rFonts w:ascii="Garamond" w:hAnsi="Garamond"/>
          <w:sz w:val="24"/>
          <w:szCs w:val="24"/>
        </w:rPr>
        <w:t>,</w:t>
      </w:r>
      <w:r w:rsidR="009F63C7">
        <w:rPr>
          <w:rFonts w:ascii="Garamond" w:hAnsi="Garamond"/>
          <w:sz w:val="24"/>
          <w:szCs w:val="24"/>
        </w:rPr>
        <w:t xml:space="preserve"> </w:t>
      </w:r>
      <w:r w:rsidR="00F448DE" w:rsidRPr="00295363">
        <w:rPr>
          <w:rFonts w:ascii="Garamond" w:hAnsi="Garamond"/>
          <w:sz w:val="24"/>
          <w:szCs w:val="24"/>
        </w:rPr>
        <w:t xml:space="preserve">sia pure </w:t>
      </w:r>
      <w:r w:rsidR="00C134B2">
        <w:rPr>
          <w:rFonts w:ascii="Garamond" w:hAnsi="Garamond"/>
          <w:sz w:val="24"/>
          <w:szCs w:val="24"/>
        </w:rPr>
        <w:t xml:space="preserve">per la via indiretta </w:t>
      </w:r>
      <w:r w:rsidR="00C134B2" w:rsidRPr="00F349E9">
        <w:rPr>
          <w:rFonts w:ascii="Garamond" w:hAnsi="Garamond"/>
          <w:b/>
          <w:bCs/>
          <w:i/>
          <w:iCs/>
          <w:sz w:val="24"/>
          <w:szCs w:val="24"/>
        </w:rPr>
        <w:t>dell’</w:t>
      </w:r>
      <w:r w:rsidR="00F448DE" w:rsidRPr="00F349E9">
        <w:rPr>
          <w:rFonts w:ascii="Garamond" w:hAnsi="Garamond"/>
          <w:b/>
          <w:bCs/>
          <w:i/>
          <w:iCs/>
          <w:sz w:val="24"/>
          <w:szCs w:val="24"/>
        </w:rPr>
        <w:t>interesse legittimo</w:t>
      </w:r>
      <w:r w:rsidR="00F448DE" w:rsidRPr="00295363">
        <w:rPr>
          <w:rFonts w:ascii="Garamond" w:hAnsi="Garamond"/>
          <w:sz w:val="24"/>
          <w:szCs w:val="24"/>
        </w:rPr>
        <w:t xml:space="preserve">, </w:t>
      </w:r>
      <w:r w:rsidR="00034F67">
        <w:rPr>
          <w:rFonts w:ascii="Garamond" w:hAnsi="Garamond"/>
          <w:sz w:val="24"/>
          <w:szCs w:val="24"/>
        </w:rPr>
        <w:t xml:space="preserve">e non per </w:t>
      </w:r>
      <w:r w:rsidR="00F349E9">
        <w:rPr>
          <w:rFonts w:ascii="Garamond" w:hAnsi="Garamond"/>
          <w:sz w:val="24"/>
          <w:szCs w:val="24"/>
        </w:rPr>
        <w:t xml:space="preserve">la </w:t>
      </w:r>
      <w:r w:rsidR="00034F67">
        <w:rPr>
          <w:rFonts w:ascii="Garamond" w:hAnsi="Garamond"/>
          <w:sz w:val="24"/>
          <w:szCs w:val="24"/>
        </w:rPr>
        <w:t>via di un diritto soggettivo</w:t>
      </w:r>
      <w:r>
        <w:rPr>
          <w:rFonts w:ascii="Garamond" w:hAnsi="Garamond"/>
          <w:sz w:val="24"/>
          <w:szCs w:val="24"/>
        </w:rPr>
        <w:t xml:space="preserve"> a pretenderlo</w:t>
      </w:r>
      <w:r w:rsidR="00034F67">
        <w:rPr>
          <w:rFonts w:ascii="Garamond" w:hAnsi="Garamond"/>
          <w:sz w:val="24"/>
          <w:szCs w:val="24"/>
        </w:rPr>
        <w:t xml:space="preserve">, </w:t>
      </w:r>
      <w:r w:rsidR="00280026" w:rsidRPr="00295363">
        <w:rPr>
          <w:rFonts w:ascii="Garamond" w:hAnsi="Garamond"/>
          <w:sz w:val="24"/>
          <w:szCs w:val="24"/>
        </w:rPr>
        <w:t xml:space="preserve">non v’è più posto per sostenere che tale violazione abbia carattere </w:t>
      </w:r>
      <w:r w:rsidR="00280026" w:rsidRPr="00295363">
        <w:rPr>
          <w:rFonts w:ascii="Garamond" w:hAnsi="Garamond"/>
          <w:b/>
          <w:bCs/>
          <w:i/>
          <w:iCs/>
          <w:sz w:val="24"/>
          <w:szCs w:val="24"/>
        </w:rPr>
        <w:t>meramente strumentale</w:t>
      </w:r>
      <w:r w:rsidR="00280026" w:rsidRPr="00295363">
        <w:rPr>
          <w:rFonts w:ascii="Garamond" w:hAnsi="Garamond"/>
          <w:sz w:val="24"/>
          <w:szCs w:val="24"/>
        </w:rPr>
        <w:t>.</w:t>
      </w:r>
    </w:p>
    <w:p w:rsidR="0089045C" w:rsidRPr="00295363" w:rsidRDefault="0000434B" w:rsidP="00207FCB">
      <w:pPr>
        <w:ind w:firstLine="708"/>
        <w:rPr>
          <w:rFonts w:ascii="Garamond" w:hAnsi="Garamond"/>
          <w:sz w:val="24"/>
          <w:szCs w:val="24"/>
        </w:rPr>
      </w:pPr>
      <w:r w:rsidRPr="00295363">
        <w:rPr>
          <w:rFonts w:ascii="Garamond" w:hAnsi="Garamond"/>
          <w:sz w:val="24"/>
          <w:szCs w:val="24"/>
        </w:rPr>
        <w:t>In entrambi i casi, la responsabilità ha una comune natura, come sostenuto da una sentenza del Consiglio di Stato (</w:t>
      </w:r>
      <w:r w:rsidR="0089045C" w:rsidRPr="00295363">
        <w:rPr>
          <w:rStyle w:val="Rimandonotaapidipagina"/>
          <w:rFonts w:ascii="Garamond" w:hAnsi="Garamond"/>
          <w:sz w:val="24"/>
          <w:szCs w:val="24"/>
        </w:rPr>
        <w:footnoteReference w:id="33"/>
      </w:r>
      <w:r w:rsidR="0089045C" w:rsidRPr="00295363">
        <w:rPr>
          <w:rFonts w:ascii="Garamond" w:hAnsi="Garamond"/>
          <w:sz w:val="24"/>
          <w:szCs w:val="24"/>
        </w:rPr>
        <w:t>)</w:t>
      </w:r>
      <w:r w:rsidR="00614A3B" w:rsidRPr="00295363">
        <w:rPr>
          <w:rFonts w:ascii="Garamond" w:hAnsi="Garamond"/>
          <w:sz w:val="24"/>
          <w:szCs w:val="24"/>
        </w:rPr>
        <w:t xml:space="preserve">, </w:t>
      </w:r>
      <w:r w:rsidR="004D10EB" w:rsidRPr="00295363">
        <w:rPr>
          <w:rFonts w:ascii="Garamond" w:hAnsi="Garamond"/>
          <w:sz w:val="24"/>
          <w:szCs w:val="24"/>
        </w:rPr>
        <w:t xml:space="preserve">la quale sostiene che </w:t>
      </w:r>
      <w:r w:rsidR="00851AC3" w:rsidRPr="00295363">
        <w:rPr>
          <w:rFonts w:ascii="Garamond" w:hAnsi="Garamond"/>
          <w:sz w:val="24"/>
          <w:szCs w:val="24"/>
        </w:rPr>
        <w:t xml:space="preserve">è fuori posto parlare, in entrambi i casi, di responsabilità extracontrattuale. </w:t>
      </w:r>
      <w:r w:rsidR="004D10EB" w:rsidRPr="00295363">
        <w:rPr>
          <w:rFonts w:ascii="Garamond" w:hAnsi="Garamond"/>
          <w:sz w:val="24"/>
          <w:szCs w:val="24"/>
        </w:rPr>
        <w:t>La responsabilità</w:t>
      </w:r>
      <w:r w:rsidRPr="00295363">
        <w:rPr>
          <w:rFonts w:ascii="Garamond" w:hAnsi="Garamond"/>
          <w:sz w:val="24"/>
          <w:szCs w:val="24"/>
        </w:rPr>
        <w:t>, data l’esistenza</w:t>
      </w:r>
      <w:r w:rsidR="00851AC3" w:rsidRPr="00295363">
        <w:rPr>
          <w:rFonts w:ascii="Garamond" w:hAnsi="Garamond"/>
          <w:sz w:val="24"/>
          <w:szCs w:val="24"/>
        </w:rPr>
        <w:t>,</w:t>
      </w:r>
      <w:r w:rsidR="009F63C7">
        <w:rPr>
          <w:rFonts w:ascii="Garamond" w:hAnsi="Garamond"/>
          <w:sz w:val="24"/>
          <w:szCs w:val="24"/>
        </w:rPr>
        <w:t xml:space="preserve"> </w:t>
      </w:r>
      <w:r w:rsidR="00851AC3" w:rsidRPr="00295363">
        <w:rPr>
          <w:rFonts w:ascii="Garamond" w:hAnsi="Garamond"/>
          <w:sz w:val="24"/>
          <w:szCs w:val="24"/>
        </w:rPr>
        <w:t xml:space="preserve">a monte, </w:t>
      </w:r>
      <w:r w:rsidRPr="00295363">
        <w:rPr>
          <w:rFonts w:ascii="Garamond" w:hAnsi="Garamond"/>
          <w:sz w:val="24"/>
          <w:szCs w:val="24"/>
        </w:rPr>
        <w:t>“di un contatto”</w:t>
      </w:r>
      <w:r w:rsidR="00A01A2F" w:rsidRPr="00295363">
        <w:rPr>
          <w:rFonts w:ascii="Garamond" w:hAnsi="Garamond"/>
          <w:sz w:val="24"/>
          <w:szCs w:val="24"/>
        </w:rPr>
        <w:t xml:space="preserve"> rilevante giuridicamente</w:t>
      </w:r>
      <w:r w:rsidRPr="00295363">
        <w:rPr>
          <w:rFonts w:ascii="Garamond" w:hAnsi="Garamond"/>
          <w:sz w:val="24"/>
          <w:szCs w:val="24"/>
        </w:rPr>
        <w:t xml:space="preserve">, impedisce che si </w:t>
      </w:r>
      <w:r w:rsidR="00851AC3" w:rsidRPr="00295363">
        <w:rPr>
          <w:rFonts w:ascii="Garamond" w:hAnsi="Garamond"/>
          <w:sz w:val="24"/>
          <w:szCs w:val="24"/>
        </w:rPr>
        <w:t xml:space="preserve">possa parlare </w:t>
      </w:r>
      <w:r w:rsidRPr="00295363">
        <w:rPr>
          <w:rFonts w:ascii="Garamond" w:hAnsi="Garamond"/>
          <w:sz w:val="24"/>
          <w:szCs w:val="24"/>
        </w:rPr>
        <w:t>della responsabilità di un soggetto non avente alcun rapporto con la parte danneggiata</w:t>
      </w:r>
      <w:r w:rsidR="00876BE8" w:rsidRPr="00295363">
        <w:rPr>
          <w:rFonts w:ascii="Garamond" w:hAnsi="Garamond"/>
          <w:sz w:val="24"/>
          <w:szCs w:val="24"/>
        </w:rPr>
        <w:t xml:space="preserve"> (responsabilità</w:t>
      </w:r>
      <w:r w:rsidR="00A01A2F" w:rsidRPr="00295363">
        <w:rPr>
          <w:rFonts w:ascii="Garamond" w:hAnsi="Garamond"/>
          <w:sz w:val="24"/>
          <w:szCs w:val="24"/>
        </w:rPr>
        <w:t xml:space="preserve"> extracontrattuale)</w:t>
      </w:r>
      <w:r w:rsidR="009F63C7">
        <w:rPr>
          <w:rFonts w:ascii="Garamond" w:hAnsi="Garamond"/>
          <w:sz w:val="24"/>
          <w:szCs w:val="24"/>
        </w:rPr>
        <w:t xml:space="preserve"> </w:t>
      </w:r>
      <w:r w:rsidR="00851AC3" w:rsidRPr="00295363">
        <w:rPr>
          <w:rFonts w:ascii="Garamond" w:hAnsi="Garamond"/>
          <w:sz w:val="24"/>
          <w:szCs w:val="24"/>
        </w:rPr>
        <w:t>così come</w:t>
      </w:r>
      <w:r w:rsidR="004D10EB" w:rsidRPr="00295363">
        <w:rPr>
          <w:rFonts w:ascii="Garamond" w:hAnsi="Garamond"/>
          <w:sz w:val="24"/>
          <w:szCs w:val="24"/>
        </w:rPr>
        <w:t xml:space="preserve">, per altro verso, </w:t>
      </w:r>
      <w:r w:rsidR="007B22E8">
        <w:rPr>
          <w:rFonts w:ascii="Garamond" w:hAnsi="Garamond"/>
          <w:sz w:val="24"/>
          <w:szCs w:val="24"/>
        </w:rPr>
        <w:t xml:space="preserve">accade </w:t>
      </w:r>
      <w:r w:rsidRPr="00295363">
        <w:rPr>
          <w:rFonts w:ascii="Garamond" w:hAnsi="Garamond"/>
          <w:sz w:val="24"/>
          <w:szCs w:val="24"/>
        </w:rPr>
        <w:t xml:space="preserve">con un soggetto </w:t>
      </w:r>
      <w:r w:rsidR="00F349E9">
        <w:rPr>
          <w:rFonts w:ascii="Garamond" w:hAnsi="Garamond"/>
          <w:sz w:val="24"/>
          <w:szCs w:val="24"/>
        </w:rPr>
        <w:t>con il quale già ci si trova in rapporto</w:t>
      </w:r>
      <w:r w:rsidRPr="00295363">
        <w:rPr>
          <w:rFonts w:ascii="Garamond" w:hAnsi="Garamond"/>
          <w:sz w:val="24"/>
          <w:szCs w:val="24"/>
        </w:rPr>
        <w:t>. E, se</w:t>
      </w:r>
      <w:r w:rsidR="00851AC3" w:rsidRPr="00295363">
        <w:rPr>
          <w:rFonts w:ascii="Garamond" w:hAnsi="Garamond"/>
          <w:sz w:val="24"/>
          <w:szCs w:val="24"/>
        </w:rPr>
        <w:t>,</w:t>
      </w:r>
      <w:r w:rsidRPr="00295363">
        <w:rPr>
          <w:rFonts w:ascii="Garamond" w:hAnsi="Garamond"/>
          <w:sz w:val="24"/>
          <w:szCs w:val="24"/>
        </w:rPr>
        <w:t xml:space="preserve"> nell’un caso, della responsabilità </w:t>
      </w:r>
      <w:r w:rsidRPr="00D50EEB">
        <w:rPr>
          <w:rFonts w:ascii="Garamond" w:hAnsi="Garamond"/>
          <w:b/>
          <w:bCs/>
          <w:i/>
          <w:iCs/>
          <w:sz w:val="24"/>
          <w:szCs w:val="24"/>
        </w:rPr>
        <w:t>da esercizio illegittimo del pubblico potere</w:t>
      </w:r>
      <w:r w:rsidRPr="00295363">
        <w:rPr>
          <w:rFonts w:ascii="Garamond" w:hAnsi="Garamond"/>
          <w:sz w:val="24"/>
          <w:szCs w:val="24"/>
        </w:rPr>
        <w:t xml:space="preserve">, v’è quale fonte </w:t>
      </w:r>
      <w:r w:rsidRPr="00295363">
        <w:rPr>
          <w:rFonts w:ascii="Garamond" w:hAnsi="Garamond"/>
          <w:b/>
          <w:bCs/>
          <w:i/>
          <w:iCs/>
          <w:sz w:val="24"/>
          <w:szCs w:val="24"/>
        </w:rPr>
        <w:t>la lesione dell’interesse legittimo</w:t>
      </w:r>
      <w:r w:rsidR="00034F67">
        <w:rPr>
          <w:rFonts w:ascii="Garamond" w:hAnsi="Garamond"/>
          <w:sz w:val="24"/>
          <w:szCs w:val="24"/>
        </w:rPr>
        <w:t xml:space="preserve"> anch’ess</w:t>
      </w:r>
      <w:r w:rsidR="00540EE1">
        <w:rPr>
          <w:rFonts w:ascii="Garamond" w:hAnsi="Garamond"/>
          <w:sz w:val="24"/>
          <w:szCs w:val="24"/>
        </w:rPr>
        <w:t xml:space="preserve">o </w:t>
      </w:r>
      <w:r w:rsidR="007B22E8">
        <w:rPr>
          <w:rFonts w:ascii="Garamond" w:hAnsi="Garamond"/>
          <w:sz w:val="24"/>
          <w:szCs w:val="24"/>
        </w:rPr>
        <w:t xml:space="preserve">rappresentante una </w:t>
      </w:r>
      <w:r w:rsidR="00540EE1">
        <w:rPr>
          <w:rFonts w:ascii="Garamond" w:hAnsi="Garamond"/>
          <w:sz w:val="24"/>
          <w:szCs w:val="24"/>
        </w:rPr>
        <w:t>situazione giuridica soggettiva,</w:t>
      </w:r>
      <w:r w:rsidR="007B22E8">
        <w:rPr>
          <w:rFonts w:ascii="Garamond" w:hAnsi="Garamond"/>
          <w:sz w:val="24"/>
          <w:szCs w:val="24"/>
        </w:rPr>
        <w:t xml:space="preserve"> sia pure meno forte del diritto soggettivo, in quanto solo “occasionalmente” prote</w:t>
      </w:r>
      <w:r w:rsidR="00224151">
        <w:rPr>
          <w:rFonts w:ascii="Garamond" w:hAnsi="Garamond"/>
          <w:sz w:val="24"/>
          <w:szCs w:val="24"/>
        </w:rPr>
        <w:t>tt</w:t>
      </w:r>
      <w:r w:rsidR="007B22E8">
        <w:rPr>
          <w:rFonts w:ascii="Garamond" w:hAnsi="Garamond"/>
          <w:sz w:val="24"/>
          <w:szCs w:val="24"/>
        </w:rPr>
        <w:t xml:space="preserve">a ove la P.A. non </w:t>
      </w:r>
      <w:r w:rsidR="00F349E9">
        <w:rPr>
          <w:rFonts w:ascii="Garamond" w:hAnsi="Garamond"/>
          <w:sz w:val="24"/>
          <w:szCs w:val="24"/>
        </w:rPr>
        <w:t xml:space="preserve">abbia </w:t>
      </w:r>
      <w:r w:rsidR="007B22E8">
        <w:rPr>
          <w:rFonts w:ascii="Garamond" w:hAnsi="Garamond"/>
          <w:sz w:val="24"/>
          <w:szCs w:val="24"/>
        </w:rPr>
        <w:t>rispett</w:t>
      </w:r>
      <w:r w:rsidR="00F349E9">
        <w:rPr>
          <w:rFonts w:ascii="Garamond" w:hAnsi="Garamond"/>
          <w:sz w:val="24"/>
          <w:szCs w:val="24"/>
        </w:rPr>
        <w:t>ato</w:t>
      </w:r>
      <w:r w:rsidR="007B22E8">
        <w:rPr>
          <w:rFonts w:ascii="Garamond" w:hAnsi="Garamond"/>
          <w:sz w:val="24"/>
          <w:szCs w:val="24"/>
        </w:rPr>
        <w:t xml:space="preserve"> le norme di legge,</w:t>
      </w:r>
      <w:r w:rsidRPr="00295363">
        <w:rPr>
          <w:rFonts w:ascii="Garamond" w:hAnsi="Garamond"/>
          <w:sz w:val="24"/>
          <w:szCs w:val="24"/>
        </w:rPr>
        <w:t xml:space="preserve"> nel</w:t>
      </w:r>
      <w:r w:rsidR="00851AC3" w:rsidRPr="00295363">
        <w:rPr>
          <w:rFonts w:ascii="Garamond" w:hAnsi="Garamond"/>
          <w:sz w:val="24"/>
          <w:szCs w:val="24"/>
        </w:rPr>
        <w:t xml:space="preserve">la responsabilità </w:t>
      </w:r>
      <w:proofErr w:type="spellStart"/>
      <w:r w:rsidR="00851AC3" w:rsidRPr="00295363">
        <w:rPr>
          <w:rFonts w:ascii="Garamond" w:hAnsi="Garamond"/>
          <w:sz w:val="24"/>
          <w:szCs w:val="24"/>
        </w:rPr>
        <w:t>pre</w:t>
      </w:r>
      <w:proofErr w:type="spellEnd"/>
      <w:r w:rsidR="00851AC3" w:rsidRPr="00295363">
        <w:rPr>
          <w:rFonts w:ascii="Garamond" w:hAnsi="Garamond"/>
          <w:sz w:val="24"/>
          <w:szCs w:val="24"/>
        </w:rPr>
        <w:t>-contrattuale</w:t>
      </w:r>
      <w:r w:rsidR="00913C9D">
        <w:rPr>
          <w:rFonts w:ascii="Garamond" w:hAnsi="Garamond"/>
          <w:sz w:val="24"/>
          <w:szCs w:val="24"/>
        </w:rPr>
        <w:t xml:space="preserve"> </w:t>
      </w:r>
      <w:r w:rsidR="007B22E8">
        <w:rPr>
          <w:rFonts w:ascii="Garamond" w:hAnsi="Garamond"/>
          <w:sz w:val="24"/>
          <w:szCs w:val="24"/>
        </w:rPr>
        <w:t xml:space="preserve">invece </w:t>
      </w:r>
      <w:r w:rsidR="00540EE1">
        <w:rPr>
          <w:rFonts w:ascii="Garamond" w:hAnsi="Garamond"/>
          <w:sz w:val="24"/>
          <w:szCs w:val="24"/>
        </w:rPr>
        <w:t>v‘è</w:t>
      </w:r>
      <w:r w:rsidR="00913C9D">
        <w:rPr>
          <w:rFonts w:ascii="Garamond" w:hAnsi="Garamond"/>
          <w:sz w:val="24"/>
          <w:szCs w:val="24"/>
        </w:rPr>
        <w:t xml:space="preserve"> </w:t>
      </w:r>
      <w:r w:rsidR="00851AC3" w:rsidRPr="00295363">
        <w:rPr>
          <w:rFonts w:ascii="Garamond" w:hAnsi="Garamond"/>
          <w:sz w:val="24"/>
          <w:szCs w:val="24"/>
        </w:rPr>
        <w:t xml:space="preserve">la </w:t>
      </w:r>
      <w:r w:rsidRPr="00295363">
        <w:rPr>
          <w:rFonts w:ascii="Garamond" w:hAnsi="Garamond"/>
          <w:sz w:val="24"/>
          <w:szCs w:val="24"/>
        </w:rPr>
        <w:t xml:space="preserve">violazione di regole di condotta, </w:t>
      </w:r>
      <w:r w:rsidR="007B22E8">
        <w:rPr>
          <w:rFonts w:ascii="Garamond" w:hAnsi="Garamond"/>
          <w:sz w:val="24"/>
          <w:szCs w:val="24"/>
        </w:rPr>
        <w:t>che vanno osservate anche nell’esercizio di un pubblico potere e specialmente ove esse si trovino a tutelare</w:t>
      </w:r>
      <w:r w:rsidR="00913C9D">
        <w:rPr>
          <w:rFonts w:ascii="Garamond" w:hAnsi="Garamond"/>
          <w:sz w:val="24"/>
          <w:szCs w:val="24"/>
        </w:rPr>
        <w:t xml:space="preserve"> </w:t>
      </w:r>
      <w:r w:rsidRPr="00295363">
        <w:rPr>
          <w:rFonts w:ascii="Garamond" w:hAnsi="Garamond"/>
          <w:b/>
          <w:bCs/>
          <w:i/>
          <w:iCs/>
          <w:sz w:val="24"/>
          <w:szCs w:val="24"/>
        </w:rPr>
        <w:t>un diritto fondamentale del privato alla capacità di autodeterminarsi nel rapporto con la P.A.</w:t>
      </w:r>
      <w:r w:rsidR="00913C9D">
        <w:rPr>
          <w:rFonts w:ascii="Garamond" w:hAnsi="Garamond"/>
          <w:b/>
          <w:bCs/>
          <w:i/>
          <w:iCs/>
          <w:sz w:val="24"/>
          <w:szCs w:val="24"/>
        </w:rPr>
        <w:t xml:space="preserve"> </w:t>
      </w:r>
      <w:r w:rsidRPr="00295363">
        <w:rPr>
          <w:rFonts w:ascii="Garamond" w:hAnsi="Garamond"/>
          <w:sz w:val="24"/>
          <w:szCs w:val="24"/>
        </w:rPr>
        <w:t xml:space="preserve">Esattamente </w:t>
      </w:r>
      <w:r w:rsidR="00054093" w:rsidRPr="00295363">
        <w:rPr>
          <w:rFonts w:ascii="Garamond" w:hAnsi="Garamond"/>
          <w:sz w:val="24"/>
          <w:szCs w:val="24"/>
        </w:rPr>
        <w:t>una sentenza del Consiglio di Stato (</w:t>
      </w:r>
      <w:r w:rsidR="0089045C" w:rsidRPr="00295363">
        <w:rPr>
          <w:rStyle w:val="Rimandonotaapidipagina"/>
          <w:rFonts w:ascii="Garamond" w:hAnsi="Garamond"/>
          <w:sz w:val="24"/>
          <w:szCs w:val="24"/>
        </w:rPr>
        <w:footnoteReference w:id="34"/>
      </w:r>
      <w:r w:rsidR="0089045C" w:rsidRPr="00295363">
        <w:rPr>
          <w:rFonts w:ascii="Garamond" w:hAnsi="Garamond"/>
          <w:sz w:val="24"/>
          <w:szCs w:val="24"/>
        </w:rPr>
        <w:t>)</w:t>
      </w:r>
      <w:r w:rsidR="00054093" w:rsidRPr="00295363">
        <w:rPr>
          <w:rFonts w:ascii="Garamond" w:hAnsi="Garamond"/>
          <w:sz w:val="24"/>
          <w:szCs w:val="24"/>
        </w:rPr>
        <w:t xml:space="preserve"> parla</w:t>
      </w:r>
      <w:r w:rsidR="00851AC3" w:rsidRPr="00295363">
        <w:rPr>
          <w:rFonts w:ascii="Garamond" w:hAnsi="Garamond"/>
          <w:sz w:val="24"/>
          <w:szCs w:val="24"/>
        </w:rPr>
        <w:t>, in tal caso,</w:t>
      </w:r>
      <w:r w:rsidR="00054093" w:rsidRPr="00295363">
        <w:rPr>
          <w:rFonts w:ascii="Garamond" w:hAnsi="Garamond"/>
          <w:sz w:val="24"/>
          <w:szCs w:val="24"/>
        </w:rPr>
        <w:t xml:space="preserve"> di “abuso della libertà negoziale della parte pubblica che, in contrasto con la buona fede</w:t>
      </w:r>
      <w:r w:rsidR="0089045C" w:rsidRPr="00295363">
        <w:rPr>
          <w:rFonts w:ascii="Garamond" w:hAnsi="Garamond"/>
          <w:sz w:val="24"/>
          <w:szCs w:val="24"/>
        </w:rPr>
        <w:t xml:space="preserve"> (artt. 1337-1338 cod. civ.),</w:t>
      </w:r>
      <w:r w:rsidR="00054093" w:rsidRPr="00295363">
        <w:rPr>
          <w:rFonts w:ascii="Garamond" w:hAnsi="Garamond"/>
          <w:sz w:val="24"/>
          <w:szCs w:val="24"/>
        </w:rPr>
        <w:t xml:space="preserve"> intesa come lealtà di comportamento, incide sulla libertà negoziale dei partecipanti nella fase delle trattative</w:t>
      </w:r>
      <w:r w:rsidR="00851AC3" w:rsidRPr="00295363">
        <w:rPr>
          <w:rFonts w:ascii="Garamond" w:hAnsi="Garamond"/>
          <w:sz w:val="24"/>
          <w:szCs w:val="24"/>
        </w:rPr>
        <w:t>”</w:t>
      </w:r>
      <w:r w:rsidR="00054093" w:rsidRPr="00295363">
        <w:rPr>
          <w:rFonts w:ascii="Garamond" w:hAnsi="Garamond"/>
          <w:sz w:val="24"/>
          <w:szCs w:val="24"/>
        </w:rPr>
        <w:t xml:space="preserve"> (</w:t>
      </w:r>
      <w:r w:rsidR="0089045C" w:rsidRPr="00295363">
        <w:rPr>
          <w:rStyle w:val="Rimandonotaapidipagina"/>
          <w:rFonts w:ascii="Garamond" w:hAnsi="Garamond"/>
          <w:sz w:val="24"/>
          <w:szCs w:val="24"/>
        </w:rPr>
        <w:footnoteReference w:id="35"/>
      </w:r>
      <w:r w:rsidR="0089045C" w:rsidRPr="00295363">
        <w:rPr>
          <w:rFonts w:ascii="Garamond" w:hAnsi="Garamond"/>
          <w:sz w:val="24"/>
          <w:szCs w:val="24"/>
        </w:rPr>
        <w:t>).</w:t>
      </w:r>
      <w:r w:rsidR="00F42808">
        <w:rPr>
          <w:rFonts w:ascii="Garamond" w:hAnsi="Garamond"/>
          <w:sz w:val="24"/>
          <w:szCs w:val="24"/>
        </w:rPr>
        <w:t xml:space="preserve"> E tale abuso, è evidente, data la posizione asimmetrica che caratterizza quella del privato rispetto alla P.A.</w:t>
      </w:r>
    </w:p>
    <w:p w:rsidR="00280026" w:rsidRDefault="00851AC3" w:rsidP="00207FCB">
      <w:pPr>
        <w:ind w:firstLine="708"/>
        <w:rPr>
          <w:rFonts w:ascii="Garamond" w:hAnsi="Garamond"/>
          <w:sz w:val="24"/>
          <w:szCs w:val="24"/>
        </w:rPr>
      </w:pPr>
      <w:r w:rsidRPr="00295363">
        <w:rPr>
          <w:rFonts w:ascii="Garamond" w:hAnsi="Garamond"/>
          <w:sz w:val="24"/>
          <w:szCs w:val="24"/>
        </w:rPr>
        <w:t>Di qui forse, come risulta da qualche accenno della</w:t>
      </w:r>
      <w:r w:rsidR="004D10EB" w:rsidRPr="00295363">
        <w:rPr>
          <w:rFonts w:ascii="Garamond" w:hAnsi="Garamond"/>
          <w:sz w:val="24"/>
          <w:szCs w:val="24"/>
        </w:rPr>
        <w:t xml:space="preserve"> stessa</w:t>
      </w:r>
      <w:r w:rsidRPr="00295363">
        <w:rPr>
          <w:rFonts w:ascii="Garamond" w:hAnsi="Garamond"/>
          <w:sz w:val="24"/>
          <w:szCs w:val="24"/>
        </w:rPr>
        <w:t xml:space="preserve"> giuris</w:t>
      </w:r>
      <w:r w:rsidR="00156A31">
        <w:rPr>
          <w:rFonts w:ascii="Garamond" w:hAnsi="Garamond"/>
          <w:sz w:val="24"/>
          <w:szCs w:val="24"/>
        </w:rPr>
        <w:t>prudenza</w:t>
      </w:r>
      <w:r w:rsidRPr="00295363">
        <w:rPr>
          <w:rFonts w:ascii="Garamond" w:hAnsi="Garamond"/>
          <w:sz w:val="24"/>
          <w:szCs w:val="24"/>
        </w:rPr>
        <w:t xml:space="preserve"> amministrativa, di una responsabilità a carattere </w:t>
      </w:r>
      <w:r w:rsidRPr="00295363">
        <w:rPr>
          <w:rFonts w:ascii="Garamond" w:hAnsi="Garamond"/>
          <w:b/>
          <w:bCs/>
          <w:i/>
          <w:iCs/>
          <w:sz w:val="24"/>
          <w:szCs w:val="24"/>
        </w:rPr>
        <w:t>speciale</w:t>
      </w:r>
      <w:r w:rsidRPr="00295363">
        <w:rPr>
          <w:rFonts w:ascii="Garamond" w:hAnsi="Garamond"/>
          <w:sz w:val="24"/>
          <w:szCs w:val="24"/>
        </w:rPr>
        <w:t xml:space="preserve"> (</w:t>
      </w:r>
      <w:r w:rsidRPr="00295363">
        <w:rPr>
          <w:rStyle w:val="Rimandonotaapidipagina"/>
          <w:rFonts w:ascii="Garamond" w:hAnsi="Garamond"/>
          <w:sz w:val="24"/>
          <w:szCs w:val="24"/>
        </w:rPr>
        <w:footnoteReference w:id="36"/>
      </w:r>
      <w:r w:rsidRPr="00295363">
        <w:rPr>
          <w:rFonts w:ascii="Garamond" w:hAnsi="Garamond"/>
          <w:sz w:val="24"/>
          <w:szCs w:val="24"/>
        </w:rPr>
        <w:t xml:space="preserve">), che si sottrae alla alternativa tra responsabilità contrattuale ed extracontrattuale. Può parlarsi di una responsabilità </w:t>
      </w:r>
      <w:r w:rsidRPr="00295363">
        <w:rPr>
          <w:rFonts w:ascii="Garamond" w:hAnsi="Garamond"/>
          <w:b/>
          <w:bCs/>
          <w:i/>
          <w:iCs/>
          <w:sz w:val="24"/>
          <w:szCs w:val="24"/>
        </w:rPr>
        <w:t>d</w:t>
      </w:r>
      <w:r w:rsidR="004D10EB" w:rsidRPr="00295363">
        <w:rPr>
          <w:rFonts w:ascii="Garamond" w:hAnsi="Garamond"/>
          <w:b/>
          <w:bCs/>
          <w:i/>
          <w:iCs/>
          <w:sz w:val="24"/>
          <w:szCs w:val="24"/>
        </w:rPr>
        <w:t>a</w:t>
      </w:r>
      <w:r w:rsidRPr="00295363">
        <w:rPr>
          <w:rFonts w:ascii="Garamond" w:hAnsi="Garamond"/>
          <w:b/>
          <w:bCs/>
          <w:i/>
          <w:iCs/>
          <w:sz w:val="24"/>
          <w:szCs w:val="24"/>
        </w:rPr>
        <w:t xml:space="preserve"> rapporto</w:t>
      </w:r>
      <w:r w:rsidRPr="00295363">
        <w:rPr>
          <w:rFonts w:ascii="Garamond" w:hAnsi="Garamond"/>
          <w:sz w:val="24"/>
          <w:szCs w:val="24"/>
        </w:rPr>
        <w:t xml:space="preserve">, </w:t>
      </w:r>
      <w:r w:rsidR="003E7944">
        <w:rPr>
          <w:rFonts w:ascii="Garamond" w:hAnsi="Garamond"/>
          <w:sz w:val="24"/>
          <w:szCs w:val="24"/>
        </w:rPr>
        <w:t xml:space="preserve">così come indotto da un “contatto sociale”, </w:t>
      </w:r>
      <w:r w:rsidR="007B22E8">
        <w:rPr>
          <w:rFonts w:ascii="Garamond" w:hAnsi="Garamond"/>
          <w:sz w:val="24"/>
          <w:szCs w:val="24"/>
        </w:rPr>
        <w:t xml:space="preserve">rapporto </w:t>
      </w:r>
      <w:r w:rsidR="003E7944">
        <w:rPr>
          <w:rFonts w:ascii="Garamond" w:hAnsi="Garamond"/>
          <w:sz w:val="24"/>
          <w:szCs w:val="24"/>
        </w:rPr>
        <w:t>che va al di là</w:t>
      </w:r>
      <w:r w:rsidR="00540EE1">
        <w:rPr>
          <w:rFonts w:ascii="Garamond" w:hAnsi="Garamond"/>
          <w:sz w:val="24"/>
          <w:szCs w:val="24"/>
        </w:rPr>
        <w:t xml:space="preserve"> dell’esercizio dell’atto del </w:t>
      </w:r>
      <w:r w:rsidR="003E7944">
        <w:rPr>
          <w:rFonts w:ascii="Garamond" w:hAnsi="Garamond"/>
          <w:sz w:val="24"/>
          <w:szCs w:val="24"/>
        </w:rPr>
        <w:t xml:space="preserve">pubblico potere e che in certo qual modo </w:t>
      </w:r>
      <w:r w:rsidR="003E7944" w:rsidRPr="00D50EEB">
        <w:rPr>
          <w:rFonts w:ascii="Garamond" w:hAnsi="Garamond"/>
          <w:b/>
          <w:bCs/>
          <w:i/>
          <w:iCs/>
          <w:sz w:val="24"/>
          <w:szCs w:val="24"/>
        </w:rPr>
        <w:t>lo precede</w:t>
      </w:r>
      <w:r w:rsidR="003E7944">
        <w:rPr>
          <w:rFonts w:ascii="Garamond" w:hAnsi="Garamond"/>
          <w:sz w:val="24"/>
          <w:szCs w:val="24"/>
        </w:rPr>
        <w:t xml:space="preserve"> (</w:t>
      </w:r>
      <w:r w:rsidR="003E7944">
        <w:rPr>
          <w:rStyle w:val="Rimandonotaapidipagina"/>
          <w:rFonts w:ascii="Garamond" w:hAnsi="Garamond"/>
          <w:sz w:val="24"/>
          <w:szCs w:val="24"/>
        </w:rPr>
        <w:footnoteReference w:id="37"/>
      </w:r>
      <w:r w:rsidR="009F00D2">
        <w:rPr>
          <w:rFonts w:ascii="Garamond" w:hAnsi="Garamond"/>
          <w:sz w:val="24"/>
          <w:szCs w:val="24"/>
        </w:rPr>
        <w:t>)</w:t>
      </w:r>
      <w:r w:rsidR="007B22E8">
        <w:rPr>
          <w:rFonts w:ascii="Garamond" w:hAnsi="Garamond"/>
          <w:sz w:val="24"/>
          <w:szCs w:val="24"/>
        </w:rPr>
        <w:t xml:space="preserve"> e lo accompagna. Detto </w:t>
      </w:r>
      <w:r w:rsidR="00D50EEB">
        <w:rPr>
          <w:rFonts w:ascii="Garamond" w:hAnsi="Garamond"/>
          <w:sz w:val="24"/>
          <w:szCs w:val="24"/>
        </w:rPr>
        <w:t>rapporto, si può dire,</w:t>
      </w:r>
      <w:r w:rsidR="009F63C7">
        <w:rPr>
          <w:rFonts w:ascii="Garamond" w:hAnsi="Garamond"/>
          <w:sz w:val="24"/>
          <w:szCs w:val="24"/>
        </w:rPr>
        <w:t xml:space="preserve"> </w:t>
      </w:r>
      <w:r w:rsidR="007B22E8">
        <w:rPr>
          <w:rFonts w:ascii="Garamond" w:hAnsi="Garamond"/>
          <w:sz w:val="24"/>
          <w:szCs w:val="24"/>
        </w:rPr>
        <w:t xml:space="preserve">si presenta </w:t>
      </w:r>
      <w:r w:rsidR="004D10EB" w:rsidRPr="007B22E8">
        <w:rPr>
          <w:rFonts w:ascii="Garamond" w:hAnsi="Garamond"/>
          <w:b/>
          <w:bCs/>
          <w:i/>
          <w:iCs/>
          <w:sz w:val="24"/>
          <w:szCs w:val="24"/>
        </w:rPr>
        <w:t>a carattere misto</w:t>
      </w:r>
      <w:r w:rsidRPr="00295363">
        <w:rPr>
          <w:rFonts w:ascii="Garamond" w:hAnsi="Garamond"/>
          <w:sz w:val="24"/>
          <w:szCs w:val="24"/>
        </w:rPr>
        <w:t>, in cui confluiscono regole diverse, le une a tutela dell’interesse pubblico, le altre a quell</w:t>
      </w:r>
      <w:r w:rsidR="004D10EB" w:rsidRPr="00295363">
        <w:rPr>
          <w:rFonts w:ascii="Garamond" w:hAnsi="Garamond"/>
          <w:sz w:val="24"/>
          <w:szCs w:val="24"/>
        </w:rPr>
        <w:t>a</w:t>
      </w:r>
      <w:r w:rsidRPr="00295363">
        <w:rPr>
          <w:rFonts w:ascii="Garamond" w:hAnsi="Garamond"/>
          <w:sz w:val="24"/>
          <w:szCs w:val="24"/>
        </w:rPr>
        <w:t xml:space="preserve"> del privato.</w:t>
      </w:r>
    </w:p>
    <w:p w:rsidR="009F00D2" w:rsidRDefault="009F00D2" w:rsidP="009F00D2">
      <w:pPr>
        <w:ind w:firstLine="708"/>
        <w:rPr>
          <w:rFonts w:ascii="Garamond" w:hAnsi="Garamond"/>
          <w:sz w:val="24"/>
          <w:szCs w:val="24"/>
        </w:rPr>
      </w:pPr>
      <w:r>
        <w:rPr>
          <w:rFonts w:ascii="Garamond" w:hAnsi="Garamond"/>
          <w:sz w:val="24"/>
          <w:szCs w:val="24"/>
        </w:rPr>
        <w:t xml:space="preserve">La responsabilità </w:t>
      </w:r>
      <w:proofErr w:type="spellStart"/>
      <w:r>
        <w:rPr>
          <w:rFonts w:ascii="Garamond" w:hAnsi="Garamond"/>
          <w:sz w:val="24"/>
          <w:szCs w:val="24"/>
        </w:rPr>
        <w:t>pre</w:t>
      </w:r>
      <w:proofErr w:type="spellEnd"/>
      <w:r>
        <w:rPr>
          <w:rFonts w:ascii="Garamond" w:hAnsi="Garamond"/>
          <w:sz w:val="24"/>
          <w:szCs w:val="24"/>
        </w:rPr>
        <w:t xml:space="preserve">-contrattuale della P.A. va </w:t>
      </w:r>
      <w:r w:rsidR="007B22E8">
        <w:rPr>
          <w:rFonts w:ascii="Garamond" w:hAnsi="Garamond"/>
          <w:sz w:val="24"/>
          <w:szCs w:val="24"/>
        </w:rPr>
        <w:t>collocata in tale contesto normativo</w:t>
      </w:r>
      <w:r>
        <w:rPr>
          <w:rFonts w:ascii="Garamond" w:hAnsi="Garamond"/>
          <w:sz w:val="24"/>
          <w:szCs w:val="24"/>
        </w:rPr>
        <w:t>.</w:t>
      </w:r>
    </w:p>
    <w:p w:rsidR="009F00D2" w:rsidRDefault="009F00D2" w:rsidP="009F00D2">
      <w:pPr>
        <w:ind w:firstLine="708"/>
        <w:rPr>
          <w:rFonts w:ascii="Garamond" w:hAnsi="Garamond"/>
          <w:sz w:val="24"/>
          <w:szCs w:val="24"/>
        </w:rPr>
      </w:pPr>
      <w:r>
        <w:rPr>
          <w:rFonts w:ascii="Garamond" w:hAnsi="Garamond"/>
          <w:sz w:val="24"/>
          <w:szCs w:val="24"/>
        </w:rPr>
        <w:t>Essa</w:t>
      </w:r>
      <w:r w:rsidR="007B22E8">
        <w:rPr>
          <w:rFonts w:ascii="Garamond" w:hAnsi="Garamond"/>
          <w:sz w:val="24"/>
          <w:szCs w:val="24"/>
        </w:rPr>
        <w:t>, si è visto,</w:t>
      </w:r>
      <w:r>
        <w:rPr>
          <w:rFonts w:ascii="Garamond" w:hAnsi="Garamond"/>
          <w:sz w:val="24"/>
          <w:szCs w:val="24"/>
        </w:rPr>
        <w:t xml:space="preserve"> è a mezza strada tra </w:t>
      </w:r>
      <w:r w:rsidR="00D50EEB">
        <w:rPr>
          <w:rFonts w:ascii="Garamond" w:hAnsi="Garamond"/>
          <w:sz w:val="24"/>
          <w:szCs w:val="24"/>
        </w:rPr>
        <w:t xml:space="preserve">la responsabilità </w:t>
      </w:r>
      <w:r w:rsidRPr="00F349E9">
        <w:rPr>
          <w:rFonts w:ascii="Garamond" w:hAnsi="Garamond"/>
          <w:b/>
          <w:bCs/>
          <w:i/>
          <w:iCs/>
          <w:sz w:val="24"/>
          <w:szCs w:val="24"/>
        </w:rPr>
        <w:t>extracontrattuale</w:t>
      </w:r>
      <w:r>
        <w:rPr>
          <w:rFonts w:ascii="Garamond" w:hAnsi="Garamond"/>
          <w:sz w:val="24"/>
          <w:szCs w:val="24"/>
        </w:rPr>
        <w:t xml:space="preserve"> derivante da lesione di interessi legittimi </w:t>
      </w:r>
      <w:r w:rsidR="00540EE1">
        <w:rPr>
          <w:rFonts w:ascii="Garamond" w:hAnsi="Garamond"/>
          <w:sz w:val="24"/>
          <w:szCs w:val="24"/>
        </w:rPr>
        <w:t xml:space="preserve">a seguito di atto amministrativo illegittimo </w:t>
      </w:r>
      <w:r>
        <w:rPr>
          <w:rFonts w:ascii="Garamond" w:hAnsi="Garamond"/>
          <w:sz w:val="24"/>
          <w:szCs w:val="24"/>
        </w:rPr>
        <w:t xml:space="preserve">e quella </w:t>
      </w:r>
      <w:r w:rsidRPr="00F349E9">
        <w:rPr>
          <w:rFonts w:ascii="Garamond" w:hAnsi="Garamond"/>
          <w:b/>
          <w:bCs/>
          <w:i/>
          <w:iCs/>
          <w:sz w:val="24"/>
          <w:szCs w:val="24"/>
        </w:rPr>
        <w:t>contrattuale</w:t>
      </w:r>
      <w:r>
        <w:rPr>
          <w:rFonts w:ascii="Garamond" w:hAnsi="Garamond"/>
          <w:sz w:val="24"/>
          <w:szCs w:val="24"/>
        </w:rPr>
        <w:t xml:space="preserve"> per violazione di diritti stabilmente acquisiti</w:t>
      </w:r>
      <w:r w:rsidR="00540EE1">
        <w:rPr>
          <w:rFonts w:ascii="Garamond" w:hAnsi="Garamond"/>
          <w:sz w:val="24"/>
          <w:szCs w:val="24"/>
        </w:rPr>
        <w:t>,</w:t>
      </w:r>
      <w:r w:rsidR="00D50EEB">
        <w:rPr>
          <w:rFonts w:ascii="Garamond" w:hAnsi="Garamond"/>
          <w:sz w:val="24"/>
          <w:szCs w:val="24"/>
        </w:rPr>
        <w:t xml:space="preserve"> derivante ad es. da convenzioni che la P.A. ha stipulato con il privato o da atti assolutamente vincolati e non discrezionali.</w:t>
      </w:r>
      <w:r w:rsidR="00913C9D">
        <w:rPr>
          <w:rFonts w:ascii="Garamond" w:hAnsi="Garamond"/>
          <w:sz w:val="24"/>
          <w:szCs w:val="24"/>
        </w:rPr>
        <w:t xml:space="preserve"> </w:t>
      </w:r>
      <w:r w:rsidR="007551F2">
        <w:rPr>
          <w:rFonts w:ascii="Garamond" w:hAnsi="Garamond"/>
          <w:sz w:val="24"/>
          <w:szCs w:val="24"/>
        </w:rPr>
        <w:t>La</w:t>
      </w:r>
      <w:r w:rsidR="00540EE1">
        <w:rPr>
          <w:rFonts w:ascii="Garamond" w:hAnsi="Garamond"/>
          <w:sz w:val="24"/>
          <w:szCs w:val="24"/>
        </w:rPr>
        <w:t xml:space="preserve"> responsabilità </w:t>
      </w:r>
      <w:proofErr w:type="spellStart"/>
      <w:r w:rsidR="00540EE1">
        <w:rPr>
          <w:rFonts w:ascii="Garamond" w:hAnsi="Garamond"/>
          <w:sz w:val="24"/>
          <w:szCs w:val="24"/>
        </w:rPr>
        <w:t>pre</w:t>
      </w:r>
      <w:proofErr w:type="spellEnd"/>
      <w:r w:rsidR="00540EE1">
        <w:rPr>
          <w:rFonts w:ascii="Garamond" w:hAnsi="Garamond"/>
          <w:sz w:val="24"/>
          <w:szCs w:val="24"/>
        </w:rPr>
        <w:t xml:space="preserve">-contrattuale non ha di fronte a sé alcun interesse legittimo ma la violazione di regole di condotta che </w:t>
      </w:r>
      <w:r w:rsidR="007B22E8">
        <w:rPr>
          <w:rFonts w:ascii="Garamond" w:hAnsi="Garamond"/>
          <w:sz w:val="24"/>
          <w:szCs w:val="24"/>
        </w:rPr>
        <w:t>impongono al</w:t>
      </w:r>
      <w:r w:rsidR="00913C9D">
        <w:rPr>
          <w:rFonts w:ascii="Garamond" w:hAnsi="Garamond"/>
          <w:sz w:val="24"/>
          <w:szCs w:val="24"/>
        </w:rPr>
        <w:t>la P.A.</w:t>
      </w:r>
      <w:r w:rsidR="007B22E8">
        <w:rPr>
          <w:rFonts w:ascii="Garamond" w:hAnsi="Garamond"/>
          <w:sz w:val="24"/>
          <w:szCs w:val="24"/>
        </w:rPr>
        <w:t xml:space="preserve"> di agire </w:t>
      </w:r>
      <w:r w:rsidR="00540EE1">
        <w:rPr>
          <w:rFonts w:ascii="Garamond" w:hAnsi="Garamond"/>
          <w:sz w:val="24"/>
          <w:szCs w:val="24"/>
        </w:rPr>
        <w:t xml:space="preserve"> corrett</w:t>
      </w:r>
      <w:r w:rsidR="007B22E8">
        <w:rPr>
          <w:rFonts w:ascii="Garamond" w:hAnsi="Garamond"/>
          <w:sz w:val="24"/>
          <w:szCs w:val="24"/>
        </w:rPr>
        <w:t xml:space="preserve">amente, </w:t>
      </w:r>
      <w:r w:rsidR="00F349E9">
        <w:rPr>
          <w:rFonts w:ascii="Garamond" w:hAnsi="Garamond"/>
          <w:sz w:val="24"/>
          <w:szCs w:val="24"/>
        </w:rPr>
        <w:t xml:space="preserve">anche al di </w:t>
      </w:r>
      <w:r w:rsidR="00913C9D">
        <w:rPr>
          <w:rFonts w:ascii="Garamond" w:hAnsi="Garamond"/>
          <w:sz w:val="24"/>
          <w:szCs w:val="24"/>
        </w:rPr>
        <w:t>là del rispetto delle leggi amministrati</w:t>
      </w:r>
      <w:r w:rsidR="00F349E9">
        <w:rPr>
          <w:rFonts w:ascii="Garamond" w:hAnsi="Garamond"/>
          <w:sz w:val="24"/>
          <w:szCs w:val="24"/>
        </w:rPr>
        <w:t xml:space="preserve">ve, </w:t>
      </w:r>
      <w:r w:rsidR="007B22E8">
        <w:rPr>
          <w:rFonts w:ascii="Garamond" w:hAnsi="Garamond"/>
          <w:sz w:val="24"/>
          <w:szCs w:val="24"/>
        </w:rPr>
        <w:t>così ad es., tra</w:t>
      </w:r>
      <w:r w:rsidR="00913C9D">
        <w:rPr>
          <w:rFonts w:ascii="Garamond" w:hAnsi="Garamond"/>
          <w:sz w:val="24"/>
          <w:szCs w:val="24"/>
        </w:rPr>
        <w:t>ttandosi di un procedimento amministrati</w:t>
      </w:r>
      <w:r w:rsidR="007B22E8">
        <w:rPr>
          <w:rFonts w:ascii="Garamond" w:hAnsi="Garamond"/>
          <w:sz w:val="24"/>
          <w:szCs w:val="24"/>
        </w:rPr>
        <w:t xml:space="preserve">vo, e nell’inserimento in esso di una trattativa negoziale, </w:t>
      </w:r>
      <w:r w:rsidR="00F349E9">
        <w:rPr>
          <w:rFonts w:ascii="Garamond" w:hAnsi="Garamond"/>
          <w:sz w:val="24"/>
          <w:szCs w:val="24"/>
        </w:rPr>
        <w:t>a</w:t>
      </w:r>
      <w:r w:rsidR="007B22E8">
        <w:rPr>
          <w:rFonts w:ascii="Garamond" w:hAnsi="Garamond"/>
          <w:sz w:val="24"/>
          <w:szCs w:val="24"/>
        </w:rPr>
        <w:t xml:space="preserve"> tutela</w:t>
      </w:r>
      <w:r w:rsidR="00F349E9">
        <w:rPr>
          <w:rFonts w:ascii="Garamond" w:hAnsi="Garamond"/>
          <w:sz w:val="24"/>
          <w:szCs w:val="24"/>
        </w:rPr>
        <w:t xml:space="preserve"> del</w:t>
      </w:r>
      <w:r w:rsidR="007B22E8">
        <w:rPr>
          <w:rFonts w:ascii="Garamond" w:hAnsi="Garamond"/>
          <w:sz w:val="24"/>
          <w:szCs w:val="24"/>
        </w:rPr>
        <w:t xml:space="preserve"> pari diritto del privato ad essere garantito, specie a livello informativo, nelle proprie legittime aspettative o addirittura nel diritto ad essere in grado di autodetermina</w:t>
      </w:r>
      <w:r w:rsidR="00F349E9">
        <w:rPr>
          <w:rFonts w:ascii="Garamond" w:hAnsi="Garamond"/>
          <w:sz w:val="24"/>
          <w:szCs w:val="24"/>
        </w:rPr>
        <w:t>rsi</w:t>
      </w:r>
      <w:r w:rsidR="007B22E8">
        <w:rPr>
          <w:rFonts w:ascii="Garamond" w:hAnsi="Garamond"/>
          <w:sz w:val="24"/>
          <w:szCs w:val="24"/>
        </w:rPr>
        <w:t>.</w:t>
      </w:r>
      <w:r w:rsidR="00F349E9">
        <w:rPr>
          <w:rFonts w:ascii="Garamond" w:hAnsi="Garamond"/>
          <w:sz w:val="24"/>
          <w:szCs w:val="24"/>
        </w:rPr>
        <w:t xml:space="preserve"> Ove la P.A. non abbia rispettato il dovere di correttamente agire, essa risponde del danno risentito dal privato, ove sussista connessione causale tra l’agire scorretto e il danno dal privato subito (sia pure nel limite dell’interesse </w:t>
      </w:r>
      <w:r w:rsidR="00F349E9" w:rsidRPr="00224151">
        <w:rPr>
          <w:rFonts w:ascii="Garamond" w:hAnsi="Garamond"/>
          <w:b/>
          <w:bCs/>
          <w:i/>
          <w:iCs/>
          <w:sz w:val="24"/>
          <w:szCs w:val="24"/>
        </w:rPr>
        <w:t>negativo</w:t>
      </w:r>
      <w:r w:rsidR="00F349E9">
        <w:rPr>
          <w:rFonts w:ascii="Garamond" w:hAnsi="Garamond"/>
          <w:sz w:val="24"/>
          <w:szCs w:val="24"/>
        </w:rPr>
        <w:t xml:space="preserve"> e non già con riguardo al mancato conseguimento del bene della vita).</w:t>
      </w:r>
    </w:p>
    <w:p w:rsidR="007B22E8" w:rsidRDefault="00C25F40" w:rsidP="00C25F40">
      <w:pPr>
        <w:ind w:firstLine="708"/>
        <w:jc w:val="right"/>
        <w:rPr>
          <w:rFonts w:ascii="Garamond" w:hAnsi="Garamond"/>
          <w:b/>
          <w:bCs/>
          <w:sz w:val="24"/>
          <w:szCs w:val="24"/>
        </w:rPr>
      </w:pPr>
      <w:r>
        <w:rPr>
          <w:rFonts w:ascii="Garamond" w:hAnsi="Garamond"/>
          <w:b/>
          <w:bCs/>
          <w:sz w:val="24"/>
          <w:szCs w:val="24"/>
        </w:rPr>
        <w:t xml:space="preserve">Alessandro di Majo </w:t>
      </w:r>
    </w:p>
    <w:p w:rsidR="00C25F40" w:rsidRPr="00C25F40" w:rsidRDefault="00C25F40" w:rsidP="00C25F40">
      <w:pPr>
        <w:ind w:firstLine="708"/>
        <w:jc w:val="right"/>
        <w:rPr>
          <w:rFonts w:ascii="Garamond" w:hAnsi="Garamond"/>
          <w:i/>
          <w:iCs/>
          <w:sz w:val="24"/>
          <w:szCs w:val="24"/>
        </w:rPr>
      </w:pPr>
      <w:r w:rsidRPr="00C25F40">
        <w:rPr>
          <w:rFonts w:ascii="Garamond" w:hAnsi="Garamond"/>
          <w:i/>
          <w:iCs/>
          <w:sz w:val="24"/>
          <w:szCs w:val="24"/>
        </w:rPr>
        <w:t>Professore Universitario</w:t>
      </w:r>
    </w:p>
    <w:p w:rsidR="00C25F40" w:rsidRDefault="00C25F40" w:rsidP="00C25F40">
      <w:pPr>
        <w:ind w:firstLine="708"/>
        <w:jc w:val="right"/>
        <w:rPr>
          <w:rFonts w:ascii="Garamond" w:hAnsi="Garamond"/>
          <w:i/>
          <w:iCs/>
          <w:sz w:val="24"/>
          <w:szCs w:val="24"/>
        </w:rPr>
      </w:pPr>
      <w:r w:rsidRPr="00C25F40">
        <w:rPr>
          <w:rFonts w:ascii="Garamond" w:hAnsi="Garamond"/>
          <w:i/>
          <w:iCs/>
          <w:sz w:val="24"/>
          <w:szCs w:val="24"/>
        </w:rPr>
        <w:t>Avvocato in Roma</w:t>
      </w:r>
    </w:p>
    <w:p w:rsidR="006556D8" w:rsidRDefault="006556D8" w:rsidP="00C25F40">
      <w:pPr>
        <w:ind w:firstLine="708"/>
        <w:jc w:val="right"/>
        <w:rPr>
          <w:rFonts w:ascii="Garamond" w:hAnsi="Garamond"/>
          <w:i/>
          <w:iCs/>
          <w:sz w:val="24"/>
          <w:szCs w:val="24"/>
        </w:rPr>
      </w:pPr>
    </w:p>
    <w:p w:rsidR="006556D8" w:rsidRPr="006556D8" w:rsidRDefault="006556D8" w:rsidP="00C25F40">
      <w:pPr>
        <w:ind w:firstLine="708"/>
        <w:jc w:val="right"/>
        <w:rPr>
          <w:rFonts w:ascii="Garamond" w:hAnsi="Garamond"/>
          <w:iCs/>
          <w:sz w:val="24"/>
          <w:szCs w:val="24"/>
        </w:rPr>
      </w:pPr>
      <w:r>
        <w:rPr>
          <w:rFonts w:ascii="Garamond" w:hAnsi="Garamond"/>
          <w:iCs/>
          <w:sz w:val="24"/>
          <w:szCs w:val="24"/>
        </w:rPr>
        <w:t>Pubblicato il 19 gennaio 2021</w:t>
      </w:r>
      <w:bookmarkStart w:id="1" w:name="_GoBack"/>
      <w:bookmarkEnd w:id="1"/>
    </w:p>
    <w:sectPr w:rsidR="006556D8" w:rsidRPr="006556D8" w:rsidSect="00F805DE">
      <w:headerReference w:type="default" r:id="rId8"/>
      <w:footnotePr>
        <w:pos w:val="beneathText"/>
      </w:footnotePr>
      <w:pgSz w:w="11906" w:h="16838"/>
      <w:pgMar w:top="1588" w:right="2211" w:bottom="164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C" w:rsidRDefault="00367F0C" w:rsidP="003B364A">
      <w:pPr>
        <w:spacing w:line="240" w:lineRule="auto"/>
      </w:pPr>
      <w:r>
        <w:separator/>
      </w:r>
    </w:p>
  </w:endnote>
  <w:endnote w:type="continuationSeparator" w:id="0">
    <w:p w:rsidR="00367F0C" w:rsidRDefault="00367F0C" w:rsidP="003B3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C" w:rsidRDefault="00367F0C" w:rsidP="003B364A">
      <w:pPr>
        <w:spacing w:line="240" w:lineRule="auto"/>
      </w:pPr>
      <w:r>
        <w:separator/>
      </w:r>
    </w:p>
  </w:footnote>
  <w:footnote w:type="continuationSeparator" w:id="0">
    <w:p w:rsidR="00367F0C" w:rsidRDefault="00367F0C" w:rsidP="003B364A">
      <w:pPr>
        <w:spacing w:line="240" w:lineRule="auto"/>
      </w:pPr>
      <w:r>
        <w:continuationSeparator/>
      </w:r>
    </w:p>
  </w:footnote>
  <w:footnote w:id="1">
    <w:p w:rsidR="00A605DD" w:rsidRDefault="00A605DD">
      <w:pPr>
        <w:pStyle w:val="Testonotaapidipagina"/>
      </w:pPr>
      <w:r w:rsidRPr="00A605DD">
        <w:rPr>
          <w:rStyle w:val="Rimandonotaapidipagina"/>
        </w:rPr>
        <w:sym w:font="Symbol" w:char="F02A"/>
      </w:r>
      <w:r>
        <w:t xml:space="preserve"> Scritto pubblicato nella “</w:t>
      </w:r>
      <w:r w:rsidRPr="00A55E2C">
        <w:rPr>
          <w:i/>
          <w:iCs/>
        </w:rPr>
        <w:t>Rivista Giuridica dell’Edilizia</w:t>
      </w:r>
      <w:r>
        <w:t>”, n.4/2020</w:t>
      </w:r>
      <w:r w:rsidR="00A55E2C">
        <w:t>, pagine 291-304</w:t>
      </w:r>
      <w:r>
        <w:t>.</w:t>
      </w:r>
    </w:p>
  </w:footnote>
  <w:footnote w:id="2">
    <w:p w:rsidR="0035364F" w:rsidRDefault="0035364F" w:rsidP="00972408">
      <w:pPr>
        <w:pStyle w:val="Testonotaapidipagina"/>
      </w:pPr>
      <w:r>
        <w:rPr>
          <w:rStyle w:val="Rimandonotaapidipagina"/>
        </w:rPr>
        <w:footnoteRef/>
      </w:r>
      <w:r>
        <w:t xml:space="preserve"> </w:t>
      </w:r>
      <w:r w:rsidRPr="00D153CC">
        <w:t>Cass.</w:t>
      </w:r>
      <w:r>
        <w:t>, Sez. Un. civ., 19 dicembre 2007,</w:t>
      </w:r>
      <w:r w:rsidRPr="00D153CC">
        <w:t xml:space="preserve"> n. 2</w:t>
      </w:r>
      <w:r>
        <w:t xml:space="preserve">6724. Sull’argomento cfr. in dottrina: AA.VV., </w:t>
      </w:r>
      <w:r>
        <w:rPr>
          <w:i/>
        </w:rPr>
        <w:t xml:space="preserve">La responsabilità civile della Pubblica Amministrazione </w:t>
      </w:r>
      <w:r>
        <w:t xml:space="preserve">(a cura di F. Caringella  e M. Protto), Bologna-Roma, 2005; A. Albanese, </w:t>
      </w:r>
      <w:r w:rsidRPr="00E70A1F">
        <w:rPr>
          <w:i/>
        </w:rPr>
        <w:t>Regole di condotta e regole di validità nell’attività di intermediazione finanziaria: quale tutela per gli investitori delusi</w:t>
      </w:r>
      <w:r>
        <w:rPr>
          <w:i/>
        </w:rPr>
        <w:t xml:space="preserve"> </w:t>
      </w:r>
      <w:r w:rsidRPr="00E70A1F">
        <w:rPr>
          <w:i/>
        </w:rPr>
        <w:t>?,</w:t>
      </w:r>
      <w:r>
        <w:t xml:space="preserve"> in </w:t>
      </w:r>
      <w:proofErr w:type="spellStart"/>
      <w:r w:rsidRPr="00E70A1F">
        <w:rPr>
          <w:i/>
        </w:rPr>
        <w:t>Corr</w:t>
      </w:r>
      <w:proofErr w:type="spellEnd"/>
      <w:r w:rsidRPr="00E70A1F">
        <w:rPr>
          <w:i/>
        </w:rPr>
        <w:t>. Giur</w:t>
      </w:r>
      <w:r>
        <w:t xml:space="preserve">., 2008, 107 e ss.; </w:t>
      </w:r>
      <w:r w:rsidR="00787781">
        <w:t xml:space="preserve">A. Carbone - E.C. Bonacci, </w:t>
      </w:r>
      <w:r w:rsidR="00787781" w:rsidRPr="00787781">
        <w:rPr>
          <w:i/>
        </w:rPr>
        <w:t>La responsabilità precontrattuale del privato e della pubblica amministrazione</w:t>
      </w:r>
      <w:r w:rsidR="00787781">
        <w:t xml:space="preserve">, </w:t>
      </w:r>
      <w:r w:rsidR="00787781">
        <w:rPr>
          <w:i/>
        </w:rPr>
        <w:t xml:space="preserve">in </w:t>
      </w:r>
      <w:hyperlink r:id="rId1" w:history="1">
        <w:r w:rsidR="00787781" w:rsidRPr="00787781">
          <w:rPr>
            <w:rStyle w:val="Collegamentoipertestuale"/>
            <w:i/>
          </w:rPr>
          <w:t>www.ambientediritto.it</w:t>
        </w:r>
      </w:hyperlink>
      <w:r w:rsidR="00787781">
        <w:t xml:space="preserve">; </w:t>
      </w:r>
      <w:r>
        <w:t xml:space="preserve">C. Castronovo, </w:t>
      </w:r>
      <w:r>
        <w:rPr>
          <w:i/>
        </w:rPr>
        <w:t xml:space="preserve">Responsabilità civile, </w:t>
      </w:r>
      <w:r>
        <w:t xml:space="preserve">Milano, 2018, 219 e ss.; </w:t>
      </w:r>
      <w:r w:rsidR="00A308A0">
        <w:t xml:space="preserve">V. Cerulli Irelli, </w:t>
      </w:r>
      <w:r w:rsidR="00A308A0" w:rsidRPr="00BC432B">
        <w:rPr>
          <w:i/>
        </w:rPr>
        <w:t>Lineamenti di diritto amministrativo</w:t>
      </w:r>
      <w:r w:rsidR="00A308A0" w:rsidRPr="00BC432B">
        <w:t>,</w:t>
      </w:r>
      <w:r w:rsidR="00A308A0">
        <w:t xml:space="preserve"> Torino, 2019, 312 e ss.; </w:t>
      </w:r>
      <w:r>
        <w:t xml:space="preserve">G.P. Cirillo, </w:t>
      </w:r>
      <w:r w:rsidRPr="00B37E9A">
        <w:rPr>
          <w:i/>
        </w:rPr>
        <w:t>Sistema istituzionale di diritto comune</w:t>
      </w:r>
      <w:r>
        <w:t xml:space="preserve">, Milano, 2018, 290; G. D’Amico, </w:t>
      </w:r>
      <w:r w:rsidRPr="00327B8E">
        <w:rPr>
          <w:i/>
        </w:rPr>
        <w:t>Regole di validità e principio di correttezza nella formazione del contratto</w:t>
      </w:r>
      <w:r>
        <w:rPr>
          <w:i/>
        </w:rPr>
        <w:t>,</w:t>
      </w:r>
      <w:r w:rsidRPr="00327B8E">
        <w:rPr>
          <w:i/>
        </w:rPr>
        <w:t xml:space="preserve"> </w:t>
      </w:r>
      <w:r>
        <w:t xml:space="preserve">Napoli, 1996, 245 e ss.; Ad. di Majo, </w:t>
      </w:r>
      <w:r w:rsidRPr="0077181E">
        <w:rPr>
          <w:i/>
        </w:rPr>
        <w:t>Regole di validità e di comportamento nei c</w:t>
      </w:r>
      <w:r>
        <w:rPr>
          <w:i/>
        </w:rPr>
        <w:t>o</w:t>
      </w:r>
      <w:r w:rsidRPr="0077181E">
        <w:rPr>
          <w:i/>
        </w:rPr>
        <w:t>ntratti con la P.A</w:t>
      </w:r>
      <w:r>
        <w:t xml:space="preserve">., in </w:t>
      </w:r>
      <w:proofErr w:type="spellStart"/>
      <w:r w:rsidRPr="0077181E">
        <w:rPr>
          <w:i/>
        </w:rPr>
        <w:t>Corr</w:t>
      </w:r>
      <w:proofErr w:type="spellEnd"/>
      <w:r w:rsidRPr="0077181E">
        <w:rPr>
          <w:i/>
        </w:rPr>
        <w:t>. Giur</w:t>
      </w:r>
      <w:r>
        <w:t xml:space="preserve">., 2010, 540 e ss.; Id., </w:t>
      </w:r>
      <w:r>
        <w:rPr>
          <w:i/>
        </w:rPr>
        <w:t xml:space="preserve">Il linguaggio dei rimedi, </w:t>
      </w:r>
      <w:r w:rsidRPr="00327B8E">
        <w:t>in</w:t>
      </w:r>
      <w:r>
        <w:rPr>
          <w:i/>
        </w:rPr>
        <w:t xml:space="preserve"> Europa e Dir. </w:t>
      </w:r>
      <w:proofErr w:type="spellStart"/>
      <w:r>
        <w:rPr>
          <w:i/>
        </w:rPr>
        <w:t>priv</w:t>
      </w:r>
      <w:proofErr w:type="spellEnd"/>
      <w:r>
        <w:rPr>
          <w:i/>
        </w:rPr>
        <w:t xml:space="preserve">., </w:t>
      </w:r>
      <w:r w:rsidRPr="00327B8E">
        <w:t>2005, n.2, 341;</w:t>
      </w:r>
      <w:r>
        <w:t xml:space="preserve"> V. Mariconda, </w:t>
      </w:r>
      <w:r>
        <w:rPr>
          <w:i/>
        </w:rPr>
        <w:t xml:space="preserve">L’insegnamento delle Sezioni Unite sulla rilevanza della distinzione tra norme di comportamento e norme di validità, </w:t>
      </w:r>
      <w:r w:rsidRPr="00E70A1F">
        <w:t>in</w:t>
      </w:r>
      <w:r>
        <w:rPr>
          <w:i/>
        </w:rPr>
        <w:t xml:space="preserve"> </w:t>
      </w:r>
      <w:proofErr w:type="spellStart"/>
      <w:r>
        <w:rPr>
          <w:i/>
        </w:rPr>
        <w:t>Corr</w:t>
      </w:r>
      <w:proofErr w:type="spellEnd"/>
      <w:r>
        <w:rPr>
          <w:i/>
        </w:rPr>
        <w:t>. Giur</w:t>
      </w:r>
      <w:r w:rsidRPr="00E70A1F">
        <w:t>., 2008, 230</w:t>
      </w:r>
      <w:r>
        <w:rPr>
          <w:i/>
        </w:rPr>
        <w:t xml:space="preserve"> </w:t>
      </w:r>
      <w:r w:rsidRPr="0077181E">
        <w:t>e ss.;</w:t>
      </w:r>
      <w:r>
        <w:t xml:space="preserve"> E. </w:t>
      </w:r>
      <w:proofErr w:type="spellStart"/>
      <w:r>
        <w:t>Navarretta</w:t>
      </w:r>
      <w:proofErr w:type="spellEnd"/>
      <w:r>
        <w:t xml:space="preserve">, </w:t>
      </w:r>
      <w:r>
        <w:rPr>
          <w:i/>
        </w:rPr>
        <w:t xml:space="preserve">La complessità del rapporto tra interessi e rimedi, in </w:t>
      </w:r>
      <w:proofErr w:type="spellStart"/>
      <w:r>
        <w:rPr>
          <w:i/>
        </w:rPr>
        <w:t>Remedies</w:t>
      </w:r>
      <w:proofErr w:type="spellEnd"/>
      <w:r>
        <w:rPr>
          <w:i/>
        </w:rPr>
        <w:t xml:space="preserve"> in </w:t>
      </w:r>
      <w:proofErr w:type="spellStart"/>
      <w:r>
        <w:rPr>
          <w:i/>
        </w:rPr>
        <w:t>Contract</w:t>
      </w:r>
      <w:proofErr w:type="spellEnd"/>
      <w:r>
        <w:rPr>
          <w:i/>
        </w:rPr>
        <w:t xml:space="preserve">, </w:t>
      </w:r>
      <w:r w:rsidRPr="0077181E">
        <w:t>2008, 167 e ss.;</w:t>
      </w:r>
      <w:r>
        <w:rPr>
          <w:i/>
        </w:rPr>
        <w:t xml:space="preserve"> </w:t>
      </w:r>
      <w:r>
        <w:t xml:space="preserve">V. </w:t>
      </w:r>
      <w:proofErr w:type="spellStart"/>
      <w:r>
        <w:t>Roppo</w:t>
      </w:r>
      <w:proofErr w:type="spellEnd"/>
      <w:r>
        <w:t xml:space="preserve">, </w:t>
      </w:r>
      <w:r w:rsidRPr="0077181E">
        <w:rPr>
          <w:i/>
        </w:rPr>
        <w:t>Il contratto asim</w:t>
      </w:r>
      <w:r w:rsidR="008527D1">
        <w:rPr>
          <w:i/>
        </w:rPr>
        <w:t>met</w:t>
      </w:r>
      <w:r w:rsidRPr="0077181E">
        <w:rPr>
          <w:i/>
        </w:rPr>
        <w:t xml:space="preserve">rico, </w:t>
      </w:r>
      <w:r>
        <w:t xml:space="preserve">in </w:t>
      </w:r>
      <w:proofErr w:type="spellStart"/>
      <w:r w:rsidRPr="0077181E">
        <w:rPr>
          <w:i/>
        </w:rPr>
        <w:t>Remedies</w:t>
      </w:r>
      <w:proofErr w:type="spellEnd"/>
      <w:r w:rsidRPr="0077181E">
        <w:rPr>
          <w:i/>
        </w:rPr>
        <w:t xml:space="preserve"> in </w:t>
      </w:r>
      <w:proofErr w:type="spellStart"/>
      <w:r w:rsidRPr="0077181E">
        <w:rPr>
          <w:i/>
        </w:rPr>
        <w:t>Contract</w:t>
      </w:r>
      <w:proofErr w:type="spellEnd"/>
      <w:r w:rsidRPr="0077181E">
        <w:rPr>
          <w:i/>
        </w:rPr>
        <w:t>,</w:t>
      </w:r>
      <w:r>
        <w:t xml:space="preserve"> 2008, 207 e ss.; </w:t>
      </w:r>
      <w:r>
        <w:rPr>
          <w:i/>
        </w:rPr>
        <w:t xml:space="preserve"> </w:t>
      </w:r>
      <w:r>
        <w:t xml:space="preserve">E. Scoditti, </w:t>
      </w:r>
      <w:r w:rsidRPr="00CE62A2">
        <w:rPr>
          <w:i/>
        </w:rPr>
        <w:t>Regole di</w:t>
      </w:r>
      <w:r>
        <w:t xml:space="preserve"> </w:t>
      </w:r>
      <w:r w:rsidRPr="00CE62A2">
        <w:rPr>
          <w:i/>
        </w:rPr>
        <w:t xml:space="preserve">comportamento e regole di validità: i nuovi sviluppi della responsabilità precontrattuale, </w:t>
      </w:r>
      <w:r w:rsidRPr="00CE62A2">
        <w:t>in</w:t>
      </w:r>
      <w:r>
        <w:t xml:space="preserve"> </w:t>
      </w:r>
      <w:r w:rsidRPr="00CE62A2">
        <w:rPr>
          <w:i/>
        </w:rPr>
        <w:t xml:space="preserve">Foro </w:t>
      </w:r>
      <w:proofErr w:type="spellStart"/>
      <w:r w:rsidRPr="00CE62A2">
        <w:rPr>
          <w:i/>
        </w:rPr>
        <w:t>it</w:t>
      </w:r>
      <w:proofErr w:type="spellEnd"/>
      <w:r>
        <w:t xml:space="preserve">., 2006, I, 1105; C. Scognamiglio, </w:t>
      </w:r>
      <w:r w:rsidRPr="00E70A1F">
        <w:rPr>
          <w:i/>
        </w:rPr>
        <w:t>Regole di validità e regole di comportamento nel nuovo diritto dei contratti: il caso dell’intermediario</w:t>
      </w:r>
      <w:r>
        <w:t xml:space="preserve">, in </w:t>
      </w:r>
      <w:hyperlink r:id="rId2" w:history="1">
        <w:r w:rsidRPr="00F630E3">
          <w:rPr>
            <w:rStyle w:val="Collegamentoipertestuale"/>
          </w:rPr>
          <w:t>www.personaedanno.it</w:t>
        </w:r>
      </w:hyperlink>
      <w:r>
        <w:t xml:space="preserve">; S. Sica, </w:t>
      </w:r>
      <w:r w:rsidRPr="008C5128">
        <w:rPr>
          <w:i/>
        </w:rPr>
        <w:t>La responsabilità precontrattuale</w:t>
      </w:r>
      <w:r>
        <w:t xml:space="preserve">, in AA.VV., </w:t>
      </w:r>
      <w:r w:rsidRPr="008C5128">
        <w:rPr>
          <w:i/>
        </w:rPr>
        <w:t>Studi in onore di Pasquale  Stanzione</w:t>
      </w:r>
      <w:r>
        <w:rPr>
          <w:i/>
        </w:rPr>
        <w:t>,</w:t>
      </w:r>
      <w:r>
        <w:t xml:space="preserve"> Napoli, 2018, 1935-1936;  G.  Vettori, </w:t>
      </w:r>
      <w:r w:rsidRPr="00327B8E">
        <w:rPr>
          <w:i/>
        </w:rPr>
        <w:t>Regole di validità e di responsabilità di fronte alle Sezioni Unite. La buona fede come rimedio risarcitorio</w:t>
      </w:r>
      <w:r>
        <w:t xml:space="preserve">, in </w:t>
      </w:r>
      <w:hyperlink r:id="rId3" w:history="1">
        <w:r w:rsidRPr="00F630E3">
          <w:rPr>
            <w:rStyle w:val="Collegamentoipertestuale"/>
          </w:rPr>
          <w:t>www.personaemercato.it</w:t>
        </w:r>
      </w:hyperlink>
      <w:r>
        <w:t xml:space="preserve">. </w:t>
      </w:r>
    </w:p>
  </w:footnote>
  <w:footnote w:id="3">
    <w:p w:rsidR="0035364F" w:rsidRPr="00D153CC" w:rsidRDefault="0035364F" w:rsidP="00C73E8C">
      <w:pPr>
        <w:pStyle w:val="Testonotaapidipagina"/>
      </w:pPr>
      <w:r>
        <w:rPr>
          <w:rStyle w:val="Rimandonotaapidipagina"/>
        </w:rPr>
        <w:footnoteRef/>
      </w:r>
      <w:r>
        <w:t xml:space="preserve"> La nozione di </w:t>
      </w:r>
      <w:r w:rsidRPr="00D153CC">
        <w:rPr>
          <w:b/>
          <w:i/>
        </w:rPr>
        <w:t xml:space="preserve">culpa in </w:t>
      </w:r>
      <w:proofErr w:type="spellStart"/>
      <w:r w:rsidRPr="00D153CC">
        <w:rPr>
          <w:b/>
          <w:i/>
        </w:rPr>
        <w:t>contrahendo</w:t>
      </w:r>
      <w:proofErr w:type="spellEnd"/>
      <w:r w:rsidRPr="00D153CC">
        <w:t xml:space="preserve"> ha trovato da tempo riconoscimento in numerose codificazioni (v. per la nostra artt. 1337-1338 c.c.; </w:t>
      </w:r>
      <w:proofErr w:type="spellStart"/>
      <w:r w:rsidRPr="00D153CC">
        <w:t>parr</w:t>
      </w:r>
      <w:proofErr w:type="spellEnd"/>
      <w:r w:rsidRPr="00D153CC">
        <w:t xml:space="preserve">. 122 e 307 codice tedesco), alla stregua della quale l'un contraente può essere ritenuto “responsabile” per avere determinato nell'altro </w:t>
      </w:r>
      <w:r w:rsidRPr="00D153CC">
        <w:rPr>
          <w:b/>
          <w:i/>
        </w:rPr>
        <w:t>il ragionevole affidamento</w:t>
      </w:r>
      <w:r w:rsidRPr="00D153CC">
        <w:t xml:space="preserve"> che il contratto si sarebbe concluso o non sarebbe stato affetto da vizi tali da invalidarlo. Rigorosamente parlando, la responsabilità in cui si incorre in tal caso non deriva da contratto e/o da una obbligazione contrattuale (</w:t>
      </w:r>
      <w:proofErr w:type="spellStart"/>
      <w:r w:rsidRPr="00D153CC">
        <w:t>perchè</w:t>
      </w:r>
      <w:proofErr w:type="spellEnd"/>
      <w:r w:rsidRPr="00D153CC">
        <w:t xml:space="preserve"> il contratto non è stato concluso o è stato invalidato) ma dalla mancata osservanza </w:t>
      </w:r>
      <w:r w:rsidRPr="00D153CC">
        <w:rPr>
          <w:b/>
          <w:bCs/>
          <w:i/>
          <w:iCs/>
        </w:rPr>
        <w:t>di doveri di comportamento</w:t>
      </w:r>
      <w:r w:rsidRPr="00D153CC">
        <w:t xml:space="preserve"> (ad esempio di correttezza)</w:t>
      </w:r>
      <w:r>
        <w:t>,</w:t>
      </w:r>
      <w:r w:rsidRPr="00D153CC">
        <w:t xml:space="preserve"> che </w:t>
      </w:r>
      <w:proofErr w:type="spellStart"/>
      <w:r w:rsidRPr="00D153CC">
        <w:t>pre</w:t>
      </w:r>
      <w:proofErr w:type="spellEnd"/>
      <w:r w:rsidRPr="00D153CC">
        <w:t>-esistono al contratto e che sostanzialmente rappresentano un «limite» alla libert</w:t>
      </w:r>
      <w:r>
        <w:t>à</w:t>
      </w:r>
      <w:r w:rsidRPr="00D153CC">
        <w:t xml:space="preserve"> contrattuale del soggetto.</w:t>
      </w:r>
    </w:p>
    <w:p w:rsidR="0035364F" w:rsidRPr="00D153CC" w:rsidRDefault="0035364F" w:rsidP="00D153CC">
      <w:pPr>
        <w:pStyle w:val="Testonotaapidipagina"/>
      </w:pPr>
      <w:r w:rsidRPr="00D153CC">
        <w:t xml:space="preserve">Si tratta di scelte di politica del diritto del legislatore. Ordinamenti diversi da quelli di </w:t>
      </w:r>
      <w:proofErr w:type="spellStart"/>
      <w:r w:rsidRPr="00D153CC">
        <w:rPr>
          <w:i/>
          <w:iCs/>
        </w:rPr>
        <w:t>Civil</w:t>
      </w:r>
      <w:proofErr w:type="spellEnd"/>
      <w:r>
        <w:rPr>
          <w:i/>
          <w:iCs/>
        </w:rPr>
        <w:t xml:space="preserve"> </w:t>
      </w:r>
      <w:r w:rsidRPr="00D153CC">
        <w:rPr>
          <w:i/>
          <w:iCs/>
        </w:rPr>
        <w:t>Law</w:t>
      </w:r>
      <w:r w:rsidRPr="00D153CC">
        <w:t xml:space="preserve">, come quello di </w:t>
      </w:r>
      <w:r w:rsidRPr="00D153CC">
        <w:rPr>
          <w:i/>
          <w:iCs/>
        </w:rPr>
        <w:t>Common Law</w:t>
      </w:r>
      <w:r w:rsidRPr="00D153CC">
        <w:t xml:space="preserve">, più attenti a garantire la libertà contrattuale dei soggetti </w:t>
      </w:r>
      <w:proofErr w:type="spellStart"/>
      <w:r w:rsidRPr="00D153CC">
        <w:t>perchè</w:t>
      </w:r>
      <w:proofErr w:type="spellEnd"/>
      <w:r w:rsidRPr="00D153CC">
        <w:t xml:space="preserve"> va difeso il carattere intrinsecamente «aleatorio» della negoziazione contrattuale</w:t>
      </w:r>
      <w:r>
        <w:t>,</w:t>
      </w:r>
      <w:r w:rsidRPr="00D153CC">
        <w:t xml:space="preserve"> nel senso che l’esito di essa è per definizione incerto — non concepiscono che, in tale fase, possa esservi una obbligazione di </w:t>
      </w:r>
      <w:r w:rsidRPr="00D153CC">
        <w:rPr>
          <w:b/>
          <w:i/>
        </w:rPr>
        <w:t xml:space="preserve">fair </w:t>
      </w:r>
      <w:proofErr w:type="spellStart"/>
      <w:r w:rsidRPr="00D153CC">
        <w:rPr>
          <w:b/>
          <w:i/>
        </w:rPr>
        <w:t>dealing</w:t>
      </w:r>
      <w:proofErr w:type="spellEnd"/>
      <w:r w:rsidRPr="00D153CC">
        <w:t xml:space="preserve"> e c</w:t>
      </w:r>
      <w:r>
        <w:t>ioè di onestamente comportarsi</w:t>
      </w:r>
      <w:r w:rsidRPr="00D153CC">
        <w:t>. Questa obbligazione è invece propria della fase della esecuzione (</w:t>
      </w:r>
      <w:proofErr w:type="spellStart"/>
      <w:r w:rsidRPr="00D153CC">
        <w:rPr>
          <w:b/>
          <w:i/>
        </w:rPr>
        <w:t>good</w:t>
      </w:r>
      <w:proofErr w:type="spellEnd"/>
      <w:r w:rsidRPr="00D153CC">
        <w:rPr>
          <w:b/>
          <w:i/>
        </w:rPr>
        <w:t xml:space="preserve"> </w:t>
      </w:r>
      <w:proofErr w:type="spellStart"/>
      <w:r w:rsidRPr="00D153CC">
        <w:rPr>
          <w:b/>
          <w:i/>
        </w:rPr>
        <w:t>faith</w:t>
      </w:r>
      <w:proofErr w:type="spellEnd"/>
      <w:r w:rsidRPr="00D153CC">
        <w:rPr>
          <w:b/>
          <w:i/>
        </w:rPr>
        <w:t xml:space="preserve"> in performance</w:t>
      </w:r>
      <w:r w:rsidRPr="00D153CC">
        <w:t>).</w:t>
      </w:r>
    </w:p>
    <w:p w:rsidR="0035364F" w:rsidRPr="00D153CC" w:rsidRDefault="0035364F" w:rsidP="00D153CC">
      <w:pPr>
        <w:pStyle w:val="Testonotaapidipagina"/>
      </w:pPr>
      <w:r w:rsidRPr="00D153CC">
        <w:t>Ma si può aggiungere</w:t>
      </w:r>
      <w:r>
        <w:t xml:space="preserve"> qualcosa di più in ordine all’</w:t>
      </w:r>
      <w:r w:rsidRPr="00D153CC">
        <w:t xml:space="preserve">ambito della responsabilità </w:t>
      </w:r>
      <w:proofErr w:type="spellStart"/>
      <w:r w:rsidRPr="00D153CC">
        <w:t>pre</w:t>
      </w:r>
      <w:proofErr w:type="spellEnd"/>
      <w:r w:rsidRPr="00D153CC">
        <w:t xml:space="preserve">-contrattuale. Questa è venuta estendendosi, al di là delle ipotesi tradizionali del mancato contratto e/o della successiva invalidazione di esso, per comprendere ipotesi in cui il comportamento del contraente ha riguardo non già ad accadimenti </w:t>
      </w:r>
      <w:r w:rsidRPr="00D153CC">
        <w:rPr>
          <w:b/>
          <w:i/>
        </w:rPr>
        <w:t>esterni</w:t>
      </w:r>
      <w:r w:rsidRPr="00D153CC">
        <w:t xml:space="preserve"> al contratto (quali i vizi della volontà) </w:t>
      </w:r>
      <w:r w:rsidRPr="00D153CC">
        <w:rPr>
          <w:b/>
          <w:i/>
        </w:rPr>
        <w:t xml:space="preserve">ma al contenuto </w:t>
      </w:r>
      <w:r w:rsidRPr="00D153CC">
        <w:t xml:space="preserve">di esso. A tale eventualità, del resto, ha dato occasione lo stesso codice, ove parla di “buona fede” anche </w:t>
      </w:r>
      <w:r w:rsidRPr="00D153CC">
        <w:rPr>
          <w:b/>
          <w:i/>
        </w:rPr>
        <w:t>nella formazione del contratto</w:t>
      </w:r>
      <w:r w:rsidRPr="00D153CC">
        <w:t xml:space="preserve"> (art. 1337</w:t>
      </w:r>
      <w:r>
        <w:t xml:space="preserve"> c.c.</w:t>
      </w:r>
      <w:r w:rsidRPr="00D153CC">
        <w:t xml:space="preserve">). La formazione del contratto allude ad una fase diversa da quella </w:t>
      </w:r>
      <w:r w:rsidRPr="00D153CC">
        <w:rPr>
          <w:b/>
          <w:i/>
        </w:rPr>
        <w:t>delle trattative</w:t>
      </w:r>
      <w:r w:rsidRPr="00D153CC">
        <w:t xml:space="preserve">. E’ quella che investe più direttamente </w:t>
      </w:r>
      <w:r w:rsidRPr="00D153CC">
        <w:rPr>
          <w:b/>
          <w:i/>
        </w:rPr>
        <w:t>la costruzione</w:t>
      </w:r>
      <w:r w:rsidRPr="00D153CC">
        <w:t xml:space="preserve"> del contratto. </w:t>
      </w:r>
    </w:p>
    <w:p w:rsidR="0035364F" w:rsidRDefault="0035364F">
      <w:pPr>
        <w:pStyle w:val="Testonotaapidipagina"/>
      </w:pPr>
    </w:p>
  </w:footnote>
  <w:footnote w:id="4">
    <w:p w:rsidR="0035364F" w:rsidRPr="00D14DE0" w:rsidRDefault="0035364F">
      <w:pPr>
        <w:pStyle w:val="Testonotaapidipagina"/>
      </w:pPr>
      <w:r>
        <w:rPr>
          <w:rStyle w:val="Rimandonotaapidipagina"/>
        </w:rPr>
        <w:footnoteRef/>
      </w:r>
      <w:r>
        <w:t xml:space="preserve"> Sull’argomento cfr. </w:t>
      </w:r>
      <w:r w:rsidRPr="00187EA1">
        <w:rPr>
          <w:i/>
        </w:rPr>
        <w:t xml:space="preserve">ex </w:t>
      </w:r>
      <w:proofErr w:type="spellStart"/>
      <w:r w:rsidRPr="00187EA1">
        <w:rPr>
          <w:i/>
        </w:rPr>
        <w:t>multis</w:t>
      </w:r>
      <w:proofErr w:type="spellEnd"/>
      <w:r>
        <w:t xml:space="preserve">: </w:t>
      </w:r>
      <w:r w:rsidR="00BC432B">
        <w:t xml:space="preserve">F. Benatti, </w:t>
      </w:r>
      <w:r w:rsidR="00BC432B">
        <w:rPr>
          <w:i/>
        </w:rPr>
        <w:t xml:space="preserve">La responsabilità precontrattuale, </w:t>
      </w:r>
      <w:r w:rsidR="00BC432B">
        <w:t xml:space="preserve">Camerino, 2012, 36, 53 e 145; </w:t>
      </w:r>
      <w:r>
        <w:t xml:space="preserve">C.M. Bianca, </w:t>
      </w:r>
      <w:r w:rsidRPr="00790C01">
        <w:rPr>
          <w:i/>
        </w:rPr>
        <w:t>Diritto civile</w:t>
      </w:r>
      <w:r>
        <w:t xml:space="preserve">, vol. 3, </w:t>
      </w:r>
      <w:r w:rsidRPr="00790C01">
        <w:rPr>
          <w:i/>
        </w:rPr>
        <w:t>Il contratto</w:t>
      </w:r>
      <w:r>
        <w:t xml:space="preserve">, Milano, 2015, 175; </w:t>
      </w:r>
      <w:r w:rsidR="00787781">
        <w:t xml:space="preserve">A. Carbone - E.C. Bonacci, </w:t>
      </w:r>
      <w:r w:rsidR="00787781">
        <w:rPr>
          <w:i/>
        </w:rPr>
        <w:t>op.cit.</w:t>
      </w:r>
      <w:r w:rsidR="00787781">
        <w:t xml:space="preserve">; </w:t>
      </w:r>
      <w:r w:rsidR="00CE4561">
        <w:t xml:space="preserve">V. </w:t>
      </w:r>
      <w:r w:rsidR="00144E03">
        <w:t xml:space="preserve">Carbone, </w:t>
      </w:r>
      <w:r>
        <w:rPr>
          <w:i/>
        </w:rPr>
        <w:t xml:space="preserve">Responsabilità precontrattuale della P.A. che non adempie l’obbligazione </w:t>
      </w:r>
      <w:r>
        <w:t xml:space="preserve">ex lege </w:t>
      </w:r>
      <w:r>
        <w:rPr>
          <w:i/>
        </w:rPr>
        <w:t xml:space="preserve">di comportarsi secondo buona fede, </w:t>
      </w:r>
      <w:r w:rsidR="00144E03">
        <w:t xml:space="preserve">in </w:t>
      </w:r>
      <w:r w:rsidR="00144E03">
        <w:rPr>
          <w:i/>
        </w:rPr>
        <w:t xml:space="preserve">Danno </w:t>
      </w:r>
      <w:r w:rsidR="00144E03">
        <w:t xml:space="preserve">e </w:t>
      </w:r>
      <w:r w:rsidR="00144E03">
        <w:rPr>
          <w:i/>
        </w:rPr>
        <w:t>Resp.,</w:t>
      </w:r>
      <w:r>
        <w:rPr>
          <w:i/>
        </w:rPr>
        <w:t xml:space="preserve"> </w:t>
      </w:r>
      <w:r>
        <w:t xml:space="preserve">2016, </w:t>
      </w:r>
      <w:r w:rsidR="00144E03">
        <w:t>1058</w:t>
      </w:r>
      <w:r w:rsidR="00F83DE0">
        <w:t xml:space="preserve"> e ss.</w:t>
      </w:r>
      <w:r>
        <w:t>;</w:t>
      </w:r>
      <w:r w:rsidR="00BC432B">
        <w:t xml:space="preserve"> V. Cerulli Irelli, </w:t>
      </w:r>
      <w:r w:rsidR="00BC432B" w:rsidRPr="00BC432B">
        <w:rPr>
          <w:i/>
        </w:rPr>
        <w:t>op.cit</w:t>
      </w:r>
      <w:r w:rsidR="00BC432B">
        <w:t>.</w:t>
      </w:r>
      <w:r w:rsidR="00704853">
        <w:t xml:space="preserve">, </w:t>
      </w:r>
      <w:r w:rsidR="00BC432B">
        <w:t xml:space="preserve">2019, 312 e ss.; </w:t>
      </w:r>
      <w:r>
        <w:t xml:space="preserve"> C. Cicero, </w:t>
      </w:r>
      <w:r w:rsidRPr="0043025E">
        <w:rPr>
          <w:i/>
        </w:rPr>
        <w:t>Contratto pubblico e principi di diritto privato</w:t>
      </w:r>
      <w:r>
        <w:t>, Padova, 2001, 87 e 96-97;</w:t>
      </w:r>
      <w:r w:rsidR="00BC432B">
        <w:t xml:space="preserve"> V. Cuffaro, voce </w:t>
      </w:r>
      <w:r w:rsidR="00BC432B" w:rsidRPr="00BC432B">
        <w:rPr>
          <w:i/>
        </w:rPr>
        <w:t>Responsabilità precontrattuale</w:t>
      </w:r>
      <w:r w:rsidR="00674B5D">
        <w:t xml:space="preserve">, </w:t>
      </w:r>
      <w:r w:rsidR="00BC432B">
        <w:t xml:space="preserve">in </w:t>
      </w:r>
      <w:proofErr w:type="spellStart"/>
      <w:r w:rsidR="00BC432B" w:rsidRPr="00BC432B">
        <w:rPr>
          <w:i/>
        </w:rPr>
        <w:t>Enc</w:t>
      </w:r>
      <w:proofErr w:type="spellEnd"/>
      <w:r w:rsidR="00BC432B" w:rsidRPr="00BC432B">
        <w:rPr>
          <w:i/>
        </w:rPr>
        <w:t>. Dir</w:t>
      </w:r>
      <w:r w:rsidR="00BC432B">
        <w:t xml:space="preserve">., XXXIX, 1988, Milano, 1265 e </w:t>
      </w:r>
      <w:proofErr w:type="gramStart"/>
      <w:r w:rsidR="00BC432B">
        <w:t xml:space="preserve">1272; </w:t>
      </w:r>
      <w:r>
        <w:t xml:space="preserve"> Ad</w:t>
      </w:r>
      <w:proofErr w:type="gramEnd"/>
      <w:r>
        <w:t xml:space="preserve">. </w:t>
      </w:r>
      <w:proofErr w:type="gramStart"/>
      <w:r>
        <w:t>di</w:t>
      </w:r>
      <w:proofErr w:type="gramEnd"/>
      <w:r>
        <w:t xml:space="preserve"> Majo, </w:t>
      </w:r>
      <w:r w:rsidRPr="00D14DE0">
        <w:rPr>
          <w:i/>
        </w:rPr>
        <w:t>La</w:t>
      </w:r>
      <w:r>
        <w:t xml:space="preserve"> culpa in </w:t>
      </w:r>
      <w:proofErr w:type="spellStart"/>
      <w:r>
        <w:t>contrahendo</w:t>
      </w:r>
      <w:proofErr w:type="spellEnd"/>
      <w:r>
        <w:t xml:space="preserve"> </w:t>
      </w:r>
      <w:r w:rsidRPr="00946A5E">
        <w:rPr>
          <w:i/>
        </w:rPr>
        <w:t>tra contratto e torto</w:t>
      </w:r>
      <w:r>
        <w:t xml:space="preserve">, in </w:t>
      </w:r>
      <w:r w:rsidRPr="00D14DE0">
        <w:rPr>
          <w:i/>
        </w:rPr>
        <w:t xml:space="preserve">Giur. </w:t>
      </w:r>
      <w:proofErr w:type="spellStart"/>
      <w:r w:rsidRPr="00D14DE0">
        <w:rPr>
          <w:i/>
        </w:rPr>
        <w:t>it</w:t>
      </w:r>
      <w:proofErr w:type="spellEnd"/>
      <w:r w:rsidRPr="00D14DE0">
        <w:rPr>
          <w:i/>
        </w:rPr>
        <w:t>.,</w:t>
      </w:r>
      <w:r>
        <w:t xml:space="preserve"> 2016,</w:t>
      </w:r>
      <w:r w:rsidR="00CE4561">
        <w:t xml:space="preserve"> 2565; G.P. </w:t>
      </w:r>
      <w:r>
        <w:t xml:space="preserve">Cirillo, </w:t>
      </w:r>
      <w:r>
        <w:rPr>
          <w:i/>
        </w:rPr>
        <w:t xml:space="preserve">op.cit., </w:t>
      </w:r>
      <w:r w:rsidR="00CE4561">
        <w:t xml:space="preserve">315; F. </w:t>
      </w:r>
      <w:proofErr w:type="spellStart"/>
      <w:r>
        <w:t>Gazzoni</w:t>
      </w:r>
      <w:proofErr w:type="spellEnd"/>
      <w:r>
        <w:t xml:space="preserve">, </w:t>
      </w:r>
      <w:r w:rsidRPr="00790C01">
        <w:rPr>
          <w:i/>
        </w:rPr>
        <w:t>Manuale di diritto privato</w:t>
      </w:r>
      <w:r>
        <w:t xml:space="preserve">, Napoli, 2019, 882; A.M. </w:t>
      </w:r>
      <w:proofErr w:type="spellStart"/>
      <w:r>
        <w:t>Musy</w:t>
      </w:r>
      <w:proofErr w:type="spellEnd"/>
      <w:r>
        <w:t xml:space="preserve">, voce </w:t>
      </w:r>
      <w:r w:rsidRPr="00D14DE0">
        <w:rPr>
          <w:i/>
        </w:rPr>
        <w:t>Responsabilità precontrattuale (</w:t>
      </w:r>
      <w:r w:rsidRPr="00C22E06">
        <w:t xml:space="preserve">culpa in </w:t>
      </w:r>
      <w:proofErr w:type="spellStart"/>
      <w:r w:rsidRPr="00C22E06">
        <w:t>contrahendo</w:t>
      </w:r>
      <w:proofErr w:type="spellEnd"/>
      <w:r w:rsidRPr="00D14DE0">
        <w:rPr>
          <w:i/>
        </w:rPr>
        <w:t>)</w:t>
      </w:r>
      <w:r>
        <w:t xml:space="preserve">, in </w:t>
      </w:r>
      <w:proofErr w:type="spellStart"/>
      <w:r w:rsidRPr="00D14DE0">
        <w:rPr>
          <w:i/>
        </w:rPr>
        <w:t>Dig</w:t>
      </w:r>
      <w:proofErr w:type="spellEnd"/>
      <w:r w:rsidRPr="00D14DE0">
        <w:rPr>
          <w:i/>
        </w:rPr>
        <w:t xml:space="preserve">. Disc. </w:t>
      </w:r>
      <w:proofErr w:type="spellStart"/>
      <w:r w:rsidRPr="00D14DE0">
        <w:rPr>
          <w:i/>
        </w:rPr>
        <w:t>pr</w:t>
      </w:r>
      <w:r>
        <w:rPr>
          <w:i/>
        </w:rPr>
        <w:t>i</w:t>
      </w:r>
      <w:r w:rsidRPr="00D14DE0">
        <w:rPr>
          <w:i/>
        </w:rPr>
        <w:t>v</w:t>
      </w:r>
      <w:proofErr w:type="spellEnd"/>
      <w:r w:rsidRPr="00D14DE0">
        <w:rPr>
          <w:i/>
        </w:rPr>
        <w:t>., sez. civ</w:t>
      </w:r>
      <w:r>
        <w:t xml:space="preserve">., XVII, Torino, 1990, 391 e ss. e 398-399; R. Sacco, voce </w:t>
      </w:r>
      <w:r>
        <w:rPr>
          <w:i/>
        </w:rPr>
        <w:t xml:space="preserve">Trattativa, </w:t>
      </w:r>
      <w:r w:rsidRPr="00D14DE0">
        <w:t>in</w:t>
      </w:r>
      <w:r>
        <w:rPr>
          <w:i/>
        </w:rPr>
        <w:t xml:space="preserve"> </w:t>
      </w:r>
      <w:proofErr w:type="spellStart"/>
      <w:r>
        <w:rPr>
          <w:i/>
        </w:rPr>
        <w:t>Dig</w:t>
      </w:r>
      <w:proofErr w:type="spellEnd"/>
      <w:r>
        <w:rPr>
          <w:i/>
        </w:rPr>
        <w:t xml:space="preserve">. Disc. </w:t>
      </w:r>
      <w:proofErr w:type="spellStart"/>
      <w:r>
        <w:rPr>
          <w:i/>
        </w:rPr>
        <w:t>priv</w:t>
      </w:r>
      <w:proofErr w:type="spellEnd"/>
      <w:r>
        <w:rPr>
          <w:i/>
        </w:rPr>
        <w:t xml:space="preserve">., sez. civ., </w:t>
      </w:r>
      <w:proofErr w:type="spellStart"/>
      <w:r w:rsidRPr="00D14DE0">
        <w:t>Agg</w:t>
      </w:r>
      <w:proofErr w:type="spellEnd"/>
      <w:r w:rsidRPr="00D14DE0">
        <w:t>. VII, Torino, 2012, 1087 e ss</w:t>
      </w:r>
      <w:r>
        <w:t xml:space="preserve">.; S. Sica, </w:t>
      </w:r>
      <w:r>
        <w:rPr>
          <w:i/>
        </w:rPr>
        <w:t xml:space="preserve">op.cit., </w:t>
      </w:r>
      <w:r>
        <w:t>1934 e ss.</w:t>
      </w:r>
    </w:p>
  </w:footnote>
  <w:footnote w:id="5">
    <w:p w:rsidR="0035364F" w:rsidRPr="00C22E06" w:rsidRDefault="0035364F">
      <w:pPr>
        <w:pStyle w:val="Testonotaapidipagina"/>
      </w:pPr>
      <w:r>
        <w:rPr>
          <w:rStyle w:val="Rimandonotaapidipagina"/>
        </w:rPr>
        <w:footnoteRef/>
      </w:r>
      <w:r>
        <w:t xml:space="preserve"> Cfr.: F. Caringella, </w:t>
      </w:r>
      <w:r w:rsidRPr="00A26D69">
        <w:rPr>
          <w:i/>
        </w:rPr>
        <w:t>Manuale di diritto amministrativo</w:t>
      </w:r>
      <w:r>
        <w:t xml:space="preserve">, Roma, 2017, 304; Id., </w:t>
      </w:r>
      <w:r w:rsidRPr="00717A69">
        <w:rPr>
          <w:i/>
        </w:rPr>
        <w:t>Responsabilità precontrattuale della P.A. tra schemi privatistici e moduli procedimentali,</w:t>
      </w:r>
      <w:r>
        <w:t xml:space="preserve"> in </w:t>
      </w:r>
      <w:proofErr w:type="spellStart"/>
      <w:r w:rsidRPr="00717A69">
        <w:rPr>
          <w:i/>
        </w:rPr>
        <w:t>Corr</w:t>
      </w:r>
      <w:proofErr w:type="spellEnd"/>
      <w:r w:rsidRPr="00717A69">
        <w:rPr>
          <w:i/>
        </w:rPr>
        <w:t xml:space="preserve">. </w:t>
      </w:r>
      <w:r>
        <w:rPr>
          <w:i/>
        </w:rPr>
        <w:t>G</w:t>
      </w:r>
      <w:r w:rsidRPr="00717A69">
        <w:rPr>
          <w:i/>
        </w:rPr>
        <w:t>iur</w:t>
      </w:r>
      <w:r>
        <w:t xml:space="preserve">., 1996, 294; S. Cassese, </w:t>
      </w:r>
      <w:r>
        <w:rPr>
          <w:i/>
        </w:rPr>
        <w:t xml:space="preserve">Istituzioni di diritto amministrativo, </w:t>
      </w:r>
      <w:r>
        <w:t xml:space="preserve">Milano, 2006, 391; S. </w:t>
      </w:r>
      <w:proofErr w:type="spellStart"/>
      <w:r>
        <w:t>Salvago</w:t>
      </w:r>
      <w:proofErr w:type="spellEnd"/>
      <w:r>
        <w:t xml:space="preserve">, </w:t>
      </w:r>
      <w:r>
        <w:rPr>
          <w:i/>
        </w:rPr>
        <w:t xml:space="preserve">Danno da affidamento in rapporto all’attività illegittima della pubblica amministrazione e giurisdizione, </w:t>
      </w:r>
      <w:r>
        <w:t xml:space="preserve">in </w:t>
      </w:r>
      <w:proofErr w:type="spellStart"/>
      <w:r>
        <w:rPr>
          <w:i/>
        </w:rPr>
        <w:t>Giust</w:t>
      </w:r>
      <w:proofErr w:type="spellEnd"/>
      <w:r>
        <w:rPr>
          <w:i/>
        </w:rPr>
        <w:t xml:space="preserve">. civ., </w:t>
      </w:r>
      <w:r>
        <w:t>2012, n. 11-12, 2769.</w:t>
      </w:r>
    </w:p>
  </w:footnote>
  <w:footnote w:id="6">
    <w:p w:rsidR="0035364F" w:rsidRPr="00B37E9A" w:rsidRDefault="0035364F">
      <w:pPr>
        <w:pStyle w:val="Testonotaapidipagina"/>
      </w:pPr>
      <w:r>
        <w:rPr>
          <w:rStyle w:val="Rimandonotaapidipagina"/>
        </w:rPr>
        <w:footnoteRef/>
      </w:r>
      <w:r>
        <w:t xml:space="preserve"> Cfr. sul punto: G.P. Cirillo, </w:t>
      </w:r>
      <w:r>
        <w:rPr>
          <w:i/>
        </w:rPr>
        <w:t xml:space="preserve">op.cit., </w:t>
      </w:r>
      <w:r>
        <w:t xml:space="preserve">293 e 297; F.G. </w:t>
      </w:r>
      <w:proofErr w:type="spellStart"/>
      <w:r>
        <w:t>Scoca</w:t>
      </w:r>
      <w:proofErr w:type="spellEnd"/>
      <w:r>
        <w:t xml:space="preserve">, </w:t>
      </w:r>
      <w:r>
        <w:rPr>
          <w:i/>
        </w:rPr>
        <w:t xml:space="preserve">L’interesse legittimo, storia e teoria, </w:t>
      </w:r>
      <w:r>
        <w:t>Torino, 2018, 150 e ss.</w:t>
      </w:r>
    </w:p>
  </w:footnote>
  <w:footnote w:id="7">
    <w:p w:rsidR="0035364F" w:rsidRDefault="0035364F">
      <w:pPr>
        <w:pStyle w:val="Testonotaapidipagina"/>
      </w:pPr>
      <w:r>
        <w:rPr>
          <w:rStyle w:val="Rimandonotaapidipagina"/>
        </w:rPr>
        <w:footnoteRef/>
      </w:r>
      <w:r>
        <w:t xml:space="preserve"> In tema v.: G.P. Cirillo, </w:t>
      </w:r>
      <w:r w:rsidRPr="00B37E9A">
        <w:rPr>
          <w:i/>
        </w:rPr>
        <w:t>op.cit</w:t>
      </w:r>
      <w:r>
        <w:t>., 292, 299, 311 e 317 e ss.</w:t>
      </w:r>
    </w:p>
  </w:footnote>
  <w:footnote w:id="8">
    <w:p w:rsidR="0035364F" w:rsidRDefault="0035364F" w:rsidP="0035364F">
      <w:pPr>
        <w:pStyle w:val="Testonotaapidipagina"/>
      </w:pPr>
      <w:r>
        <w:rPr>
          <w:rStyle w:val="Rimandonotaapidipagina"/>
        </w:rPr>
        <w:footnoteRef/>
      </w:r>
      <w:r>
        <w:t xml:space="preserve"> Sul punto cfr.: Cons. St., Sez. V, 28 gennaio 2019, n. 697; Cons. St., Sez. V, 27 marzo 2017, n. 1364; Cons. St., Adunanza </w:t>
      </w:r>
      <w:r w:rsidR="00FC2F96">
        <w:t>Plenaria, 5 settembre 2005, n. 6</w:t>
      </w:r>
      <w:r>
        <w:t xml:space="preserve">. </w:t>
      </w:r>
    </w:p>
    <w:p w:rsidR="0035364F" w:rsidRDefault="0035364F" w:rsidP="0035364F">
      <w:pPr>
        <w:pStyle w:val="Testonotaapidipagina"/>
      </w:pPr>
      <w:r>
        <w:t xml:space="preserve">In dottrina cfr.: D. Barbierato, </w:t>
      </w:r>
      <w:r w:rsidRPr="00191598">
        <w:rPr>
          <w:i/>
        </w:rPr>
        <w:t>La responsabilità precontrattuale della stazione appaltante. Profili risarcitori, in Responsabilità Civile e Previdenza,</w:t>
      </w:r>
      <w:r>
        <w:t xml:space="preserve"> n.6, 2014, 2070; F.D. Busnelli, </w:t>
      </w:r>
      <w:r>
        <w:rPr>
          <w:i/>
        </w:rPr>
        <w:t xml:space="preserve">Lesione di interessi legittimi dal “muro di sbarramento” alla “rete di contenimento”, </w:t>
      </w:r>
      <w:r>
        <w:t xml:space="preserve">in </w:t>
      </w:r>
      <w:r>
        <w:rPr>
          <w:i/>
        </w:rPr>
        <w:t xml:space="preserve">Danno e Responsabilità, </w:t>
      </w:r>
      <w:r w:rsidRPr="00284BAB">
        <w:t>1997, 269 e 272</w:t>
      </w:r>
      <w:r>
        <w:rPr>
          <w:i/>
        </w:rPr>
        <w:t xml:space="preserve">; </w:t>
      </w:r>
      <w:r w:rsidRPr="007122C6">
        <w:t xml:space="preserve">S. Cassese, </w:t>
      </w:r>
      <w:r w:rsidRPr="007122C6">
        <w:rPr>
          <w:i/>
        </w:rPr>
        <w:t>op.cit</w:t>
      </w:r>
      <w:r w:rsidRPr="007122C6">
        <w:t>., 391;</w:t>
      </w:r>
      <w:r>
        <w:rPr>
          <w:i/>
        </w:rPr>
        <w:t xml:space="preserve"> </w:t>
      </w:r>
      <w:r>
        <w:t xml:space="preserve">C. Castronovo, </w:t>
      </w:r>
      <w:r>
        <w:rPr>
          <w:i/>
        </w:rPr>
        <w:t xml:space="preserve">op.cit., </w:t>
      </w:r>
      <w:r>
        <w:t xml:space="preserve">226; G.P. Cirillo, </w:t>
      </w:r>
      <w:r w:rsidRPr="007122C6">
        <w:rPr>
          <w:i/>
        </w:rPr>
        <w:t>op.cit.,</w:t>
      </w:r>
      <w:r>
        <w:t xml:space="preserve"> 312 e 326 e ss.; G. Falcon, </w:t>
      </w:r>
      <w:r w:rsidRPr="00191598">
        <w:rPr>
          <w:i/>
        </w:rPr>
        <w:t xml:space="preserve">Il giudice amministrativo tra giurisdizione di legittimità e giurisdizione di spettanza, </w:t>
      </w:r>
      <w:r>
        <w:t xml:space="preserve">in </w:t>
      </w:r>
      <w:r w:rsidRPr="00191598">
        <w:rPr>
          <w:i/>
        </w:rPr>
        <w:t xml:space="preserve">Dir. proc. </w:t>
      </w:r>
      <w:proofErr w:type="spellStart"/>
      <w:r w:rsidRPr="00191598">
        <w:rPr>
          <w:i/>
        </w:rPr>
        <w:t>amm</w:t>
      </w:r>
      <w:proofErr w:type="spellEnd"/>
      <w:r>
        <w:t xml:space="preserve">., 2001, 291; F. G. </w:t>
      </w:r>
      <w:proofErr w:type="spellStart"/>
      <w:r>
        <w:t>Scoca</w:t>
      </w:r>
      <w:proofErr w:type="spellEnd"/>
      <w:r>
        <w:t xml:space="preserve">, </w:t>
      </w:r>
      <w:r w:rsidRPr="0097574D">
        <w:rPr>
          <w:i/>
        </w:rPr>
        <w:t xml:space="preserve">La teoria del provvedimento dalla sua formulazione alla legge sul procedimento, </w:t>
      </w:r>
      <w:r>
        <w:t xml:space="preserve">in </w:t>
      </w:r>
      <w:r w:rsidRPr="0097574D">
        <w:rPr>
          <w:i/>
        </w:rPr>
        <w:t xml:space="preserve">Dir. </w:t>
      </w:r>
      <w:proofErr w:type="spellStart"/>
      <w:r w:rsidRPr="0097574D">
        <w:rPr>
          <w:i/>
        </w:rPr>
        <w:t>Amm</w:t>
      </w:r>
      <w:proofErr w:type="spellEnd"/>
      <w:r>
        <w:t xml:space="preserve">., 1995, 1 e ss.; F. Trimarchi Banfi, </w:t>
      </w:r>
      <w:r w:rsidRPr="00191598">
        <w:rPr>
          <w:i/>
        </w:rPr>
        <w:t>L’aggiudicazione degli appalti pubblici e la responsabilità dell’amministrazione</w:t>
      </w:r>
      <w:r>
        <w:t xml:space="preserve">, in </w:t>
      </w:r>
      <w:r w:rsidRPr="00191598">
        <w:rPr>
          <w:i/>
        </w:rPr>
        <w:t xml:space="preserve">Dir. Proc. </w:t>
      </w:r>
      <w:proofErr w:type="spellStart"/>
      <w:r w:rsidRPr="00191598">
        <w:rPr>
          <w:i/>
        </w:rPr>
        <w:t>A</w:t>
      </w:r>
      <w:r>
        <w:rPr>
          <w:i/>
        </w:rPr>
        <w:t>m</w:t>
      </w:r>
      <w:r w:rsidRPr="00191598">
        <w:rPr>
          <w:i/>
        </w:rPr>
        <w:t>m</w:t>
      </w:r>
      <w:proofErr w:type="spellEnd"/>
      <w:r>
        <w:t>., n.1, 2015, 1-16.</w:t>
      </w:r>
    </w:p>
  </w:footnote>
  <w:footnote w:id="9">
    <w:p w:rsidR="0035364F" w:rsidRDefault="0035364F">
      <w:pPr>
        <w:pStyle w:val="Testonotaapidipagina"/>
      </w:pPr>
      <w:r>
        <w:rPr>
          <w:rStyle w:val="Rimandonotaapidipagina"/>
        </w:rPr>
        <w:footnoteRef/>
      </w:r>
      <w:r>
        <w:t xml:space="preserve"> Sull’argomento cfr.: C. Castronovo, </w:t>
      </w:r>
      <w:r w:rsidRPr="00BD5B32">
        <w:rPr>
          <w:i/>
        </w:rPr>
        <w:t>op.cit</w:t>
      </w:r>
      <w:r>
        <w:t xml:space="preserve">., 551; G.P. Cirillo, </w:t>
      </w:r>
      <w:r w:rsidRPr="007122C6">
        <w:rPr>
          <w:i/>
        </w:rPr>
        <w:t>op.cit.,</w:t>
      </w:r>
      <w:r>
        <w:t xml:space="preserve"> 299 e 311; S. </w:t>
      </w:r>
      <w:proofErr w:type="spellStart"/>
      <w:r>
        <w:t>Faillace</w:t>
      </w:r>
      <w:proofErr w:type="spellEnd"/>
      <w:r>
        <w:t xml:space="preserve">, </w:t>
      </w:r>
      <w:r w:rsidRPr="0043025E">
        <w:rPr>
          <w:i/>
        </w:rPr>
        <w:t>La responsabilità da contatto sociale</w:t>
      </w:r>
      <w:r>
        <w:t xml:space="preserve">, Padova, 2004, 123; V. Montani, </w:t>
      </w:r>
      <w:r w:rsidRPr="0043025E">
        <w:rPr>
          <w:i/>
        </w:rPr>
        <w:t>Tra responsabilità</w:t>
      </w:r>
      <w:r>
        <w:rPr>
          <w:i/>
        </w:rPr>
        <w:t xml:space="preserve"> civile e contrattuale: il cont</w:t>
      </w:r>
      <w:r w:rsidRPr="0043025E">
        <w:rPr>
          <w:i/>
        </w:rPr>
        <w:t>atto sociale</w:t>
      </w:r>
      <w:r>
        <w:t xml:space="preserve">, in </w:t>
      </w:r>
      <w:proofErr w:type="spellStart"/>
      <w:r w:rsidRPr="006F1B3F">
        <w:rPr>
          <w:i/>
        </w:rPr>
        <w:t>Nuov</w:t>
      </w:r>
      <w:proofErr w:type="spellEnd"/>
      <w:r w:rsidRPr="006F1B3F">
        <w:rPr>
          <w:i/>
        </w:rPr>
        <w:t xml:space="preserve">. giur. </w:t>
      </w:r>
      <w:proofErr w:type="spellStart"/>
      <w:r w:rsidRPr="006F1B3F">
        <w:rPr>
          <w:i/>
        </w:rPr>
        <w:t>Civ</w:t>
      </w:r>
      <w:proofErr w:type="spellEnd"/>
      <w:r w:rsidRPr="006F1B3F">
        <w:rPr>
          <w:i/>
        </w:rPr>
        <w:t>. Comm</w:t>
      </w:r>
      <w:r>
        <w:t xml:space="preserve">., 2012, 178; </w:t>
      </w:r>
    </w:p>
  </w:footnote>
  <w:footnote w:id="10">
    <w:p w:rsidR="0035364F" w:rsidRDefault="0035364F">
      <w:pPr>
        <w:pStyle w:val="Testonotaapidipagina"/>
      </w:pPr>
      <w:r>
        <w:rPr>
          <w:rStyle w:val="Rimandonotaapidipagina"/>
        </w:rPr>
        <w:footnoteRef/>
      </w:r>
      <w:r>
        <w:t xml:space="preserve"> In tema cfr.: E. Casetta, </w:t>
      </w:r>
      <w:r w:rsidRPr="00717A69">
        <w:rPr>
          <w:i/>
        </w:rPr>
        <w:t>Manuale di diritto amministrativo</w:t>
      </w:r>
      <w:r>
        <w:t xml:space="preserve">, a cura di F. Fracchia, Milano, 2016, 662 e ss.; R. Chieppa – R. Giovagnoli, </w:t>
      </w:r>
      <w:r w:rsidRPr="00FF2D56">
        <w:rPr>
          <w:i/>
        </w:rPr>
        <w:t>Manuale di diritto amministrativo</w:t>
      </w:r>
      <w:r>
        <w:t xml:space="preserve">, 2011, 720; S. </w:t>
      </w:r>
      <w:proofErr w:type="spellStart"/>
      <w:r>
        <w:t>Faillace</w:t>
      </w:r>
      <w:proofErr w:type="spellEnd"/>
      <w:r>
        <w:t xml:space="preserve">, </w:t>
      </w:r>
      <w:r>
        <w:rPr>
          <w:i/>
        </w:rPr>
        <w:t xml:space="preserve">op.cit., </w:t>
      </w:r>
      <w:r w:rsidRPr="002C45C9">
        <w:t>123;</w:t>
      </w:r>
      <w:r>
        <w:t xml:space="preserve"> M. Corradino, </w:t>
      </w:r>
      <w:r w:rsidRPr="00FF2D56">
        <w:rPr>
          <w:i/>
        </w:rPr>
        <w:t>Il diritto amministrativo alla luce della recente giurisprudenza,</w:t>
      </w:r>
      <w:r>
        <w:t xml:space="preserve"> Padova, 2007, 795; C. </w:t>
      </w:r>
      <w:proofErr w:type="spellStart"/>
      <w:r>
        <w:t>Giurdanella</w:t>
      </w:r>
      <w:proofErr w:type="spellEnd"/>
      <w:r>
        <w:t xml:space="preserve"> – M. Matta, </w:t>
      </w:r>
      <w:r w:rsidRPr="00FF2D56">
        <w:rPr>
          <w:i/>
        </w:rPr>
        <w:t>La responsabilità precontrattuale della pubblica amministrazione rientra nella giurisdizione esclusiva del giudice a</w:t>
      </w:r>
      <w:r>
        <w:rPr>
          <w:i/>
        </w:rPr>
        <w:t>mmi</w:t>
      </w:r>
      <w:r w:rsidRPr="00FF2D56">
        <w:rPr>
          <w:i/>
        </w:rPr>
        <w:t>nistrativo</w:t>
      </w:r>
      <w:r>
        <w:t xml:space="preserve">, in </w:t>
      </w:r>
      <w:hyperlink r:id="rId4" w:history="1">
        <w:r w:rsidRPr="00FF2D56">
          <w:rPr>
            <w:rStyle w:val="Collegamentoipertestuale"/>
            <w:i/>
          </w:rPr>
          <w:t>www.giustamm.it</w:t>
        </w:r>
      </w:hyperlink>
      <w:r w:rsidRPr="00FF2D56">
        <w:rPr>
          <w:i/>
        </w:rPr>
        <w:t xml:space="preserve">, </w:t>
      </w:r>
      <w:r>
        <w:t xml:space="preserve">n.12, 2005; V. Montani, </w:t>
      </w:r>
      <w:r w:rsidRPr="002C45C9">
        <w:rPr>
          <w:i/>
        </w:rPr>
        <w:t>op.cit</w:t>
      </w:r>
      <w:r>
        <w:t xml:space="preserve">., 178; V. Tenore – L. Palamara – B. Marzocchi Buratti, </w:t>
      </w:r>
      <w:r w:rsidRPr="00FF2D56">
        <w:rPr>
          <w:i/>
        </w:rPr>
        <w:t>Le cinque responsabilità del pubblico dipendente,</w:t>
      </w:r>
      <w:r>
        <w:t xml:space="preserve"> Milano, 2013, 5 e ss.</w:t>
      </w:r>
    </w:p>
  </w:footnote>
  <w:footnote w:id="11">
    <w:p w:rsidR="0035364F" w:rsidRPr="000A226E" w:rsidRDefault="0035364F">
      <w:pPr>
        <w:pStyle w:val="Testonotaapidipagina"/>
      </w:pPr>
      <w:r>
        <w:rPr>
          <w:rStyle w:val="Rimandonotaapidipagina"/>
        </w:rPr>
        <w:footnoteRef/>
      </w:r>
      <w:r w:rsidRPr="000A226E">
        <w:t xml:space="preserve"> Cass., Sez. Un. </w:t>
      </w:r>
      <w:proofErr w:type="gramStart"/>
      <w:r w:rsidRPr="000A226E">
        <w:t>civ.,</w:t>
      </w:r>
      <w:proofErr w:type="gramEnd"/>
      <w:r w:rsidRPr="000A226E">
        <w:t xml:space="preserve">  </w:t>
      </w:r>
      <w:r>
        <w:t xml:space="preserve">27 aprile 2017, </w:t>
      </w:r>
      <w:r w:rsidRPr="000A226E">
        <w:t>n</w:t>
      </w:r>
      <w:r>
        <w:t>. 10413.</w:t>
      </w:r>
    </w:p>
  </w:footnote>
  <w:footnote w:id="12">
    <w:p w:rsidR="0035364F" w:rsidRDefault="0035364F">
      <w:pPr>
        <w:pStyle w:val="Testonotaapidipagina"/>
      </w:pPr>
      <w:r>
        <w:rPr>
          <w:rStyle w:val="Rimandonotaapidipagina"/>
        </w:rPr>
        <w:footnoteRef/>
      </w:r>
      <w:r>
        <w:t xml:space="preserve"> Cfr.: R. Chieppa – R. Giovagnoli, </w:t>
      </w:r>
      <w:r>
        <w:rPr>
          <w:i/>
        </w:rPr>
        <w:t xml:space="preserve">op.cit., </w:t>
      </w:r>
      <w:r>
        <w:t xml:space="preserve">720; G.P. Cirillo, </w:t>
      </w:r>
      <w:r w:rsidRPr="00335EE3">
        <w:rPr>
          <w:i/>
        </w:rPr>
        <w:t>op.cit</w:t>
      </w:r>
      <w:r>
        <w:t>., 311 e 312; M.</w:t>
      </w:r>
      <w:r w:rsidRPr="00C67A35">
        <w:t xml:space="preserve"> </w:t>
      </w:r>
      <w:r>
        <w:t xml:space="preserve">Corradino, </w:t>
      </w:r>
      <w:r>
        <w:rPr>
          <w:i/>
        </w:rPr>
        <w:t>op.cit.</w:t>
      </w:r>
      <w:r>
        <w:t xml:space="preserve">, </w:t>
      </w:r>
      <w:proofErr w:type="gramStart"/>
      <w:r>
        <w:t>795;  C.</w:t>
      </w:r>
      <w:proofErr w:type="gramEnd"/>
      <w:r>
        <w:t xml:space="preserve"> </w:t>
      </w:r>
      <w:proofErr w:type="spellStart"/>
      <w:r>
        <w:t>Giurdanella</w:t>
      </w:r>
      <w:proofErr w:type="spellEnd"/>
      <w:r>
        <w:t xml:space="preserve"> – M. Matta, </w:t>
      </w:r>
      <w:r w:rsidRPr="0097574D">
        <w:rPr>
          <w:i/>
        </w:rPr>
        <w:t>op.cit</w:t>
      </w:r>
      <w:r>
        <w:t xml:space="preserve">.; G. Morbidelli, </w:t>
      </w:r>
      <w:r w:rsidRPr="00FF2D56">
        <w:rPr>
          <w:i/>
        </w:rPr>
        <w:t xml:space="preserve">Della responsabilità contrattuale  (e di quella </w:t>
      </w:r>
      <w:r>
        <w:rPr>
          <w:i/>
        </w:rPr>
        <w:t>provvedi</w:t>
      </w:r>
      <w:r w:rsidRPr="00FF2D56">
        <w:rPr>
          <w:i/>
        </w:rPr>
        <w:t xml:space="preserve">mentale) dei dirigenti, </w:t>
      </w:r>
      <w:r>
        <w:t xml:space="preserve">in </w:t>
      </w:r>
      <w:r w:rsidRPr="00FF2D56">
        <w:rPr>
          <w:i/>
        </w:rPr>
        <w:t xml:space="preserve">Dir. </w:t>
      </w:r>
      <w:proofErr w:type="spellStart"/>
      <w:r w:rsidRPr="00FF2D56">
        <w:rPr>
          <w:i/>
        </w:rPr>
        <w:t>Amm</w:t>
      </w:r>
      <w:proofErr w:type="spellEnd"/>
      <w:r w:rsidRPr="00FF2D56">
        <w:rPr>
          <w:i/>
        </w:rPr>
        <w:t xml:space="preserve">., </w:t>
      </w:r>
      <w:r>
        <w:t xml:space="preserve">1999, n.2, 199 e ss.; V. Tenore – L.  Palamara – B. Marzocchi Buratti, </w:t>
      </w:r>
      <w:r>
        <w:rPr>
          <w:i/>
        </w:rPr>
        <w:t xml:space="preserve">op.cit., </w:t>
      </w:r>
      <w:r w:rsidRPr="00C67A35">
        <w:t>5</w:t>
      </w:r>
      <w:r>
        <w:rPr>
          <w:i/>
        </w:rPr>
        <w:t xml:space="preserve"> </w:t>
      </w:r>
      <w:r>
        <w:t>e ss.</w:t>
      </w:r>
    </w:p>
  </w:footnote>
  <w:footnote w:id="13">
    <w:p w:rsidR="0035364F" w:rsidRPr="003A3E49" w:rsidRDefault="0035364F">
      <w:pPr>
        <w:pStyle w:val="Testonotaapidipagina"/>
        <w:rPr>
          <w:lang w:val="en-US"/>
        </w:rPr>
      </w:pPr>
      <w:r>
        <w:rPr>
          <w:rStyle w:val="Rimandonotaapidipagina"/>
        </w:rPr>
        <w:footnoteRef/>
      </w:r>
      <w:bookmarkStart w:id="0" w:name="_Hlk37923919"/>
      <w:r w:rsidRPr="00B4122E">
        <w:t xml:space="preserve"> Cons. </w:t>
      </w:r>
      <w:r w:rsidRPr="00410FA3">
        <w:t xml:space="preserve">St., Sez. </w:t>
      </w:r>
      <w:r w:rsidRPr="003A3E49">
        <w:rPr>
          <w:lang w:val="en-US"/>
        </w:rPr>
        <w:t xml:space="preserve">IV, 3 </w:t>
      </w:r>
      <w:proofErr w:type="spellStart"/>
      <w:r w:rsidRPr="003A3E49">
        <w:rPr>
          <w:lang w:val="en-US"/>
        </w:rPr>
        <w:t>gennaio</w:t>
      </w:r>
      <w:proofErr w:type="spellEnd"/>
      <w:r w:rsidRPr="003A3E49">
        <w:rPr>
          <w:lang w:val="en-US"/>
        </w:rPr>
        <w:t xml:space="preserve"> 2020, n. 6</w:t>
      </w:r>
      <w:bookmarkEnd w:id="0"/>
      <w:r w:rsidRPr="003A3E49">
        <w:rPr>
          <w:lang w:val="en-US"/>
        </w:rPr>
        <w:t>1.</w:t>
      </w:r>
    </w:p>
    <w:p w:rsidR="0035364F" w:rsidRPr="003A3E49" w:rsidRDefault="0035364F">
      <w:pPr>
        <w:pStyle w:val="Testonotaapidipagina"/>
        <w:rPr>
          <w:lang w:val="en-US"/>
        </w:rPr>
      </w:pPr>
    </w:p>
  </w:footnote>
  <w:footnote w:id="14">
    <w:p w:rsidR="0035364F" w:rsidRPr="00410FA3" w:rsidRDefault="0035364F">
      <w:pPr>
        <w:pStyle w:val="Testonotaapidipagina"/>
      </w:pPr>
      <w:r>
        <w:rPr>
          <w:rStyle w:val="Rimandonotaapidipagina"/>
        </w:rPr>
        <w:footnoteRef/>
      </w:r>
      <w:r w:rsidRPr="003A3E49">
        <w:rPr>
          <w:lang w:val="en-US"/>
        </w:rPr>
        <w:t xml:space="preserve"> Cons. St., Sez. </w:t>
      </w:r>
      <w:r w:rsidRPr="00410FA3">
        <w:t>III, 15 aprile 2016, n. 1532.</w:t>
      </w:r>
    </w:p>
    <w:p w:rsidR="0035364F" w:rsidRPr="00410FA3" w:rsidRDefault="0035364F">
      <w:pPr>
        <w:pStyle w:val="Testonotaapidipagina"/>
      </w:pPr>
    </w:p>
  </w:footnote>
  <w:footnote w:id="15">
    <w:p w:rsidR="0035364F" w:rsidRPr="00BA4641" w:rsidRDefault="0035364F" w:rsidP="00BA4641">
      <w:pPr>
        <w:pStyle w:val="Testonotaapidipagina"/>
        <w:rPr>
          <w:rFonts w:ascii="Garamond" w:hAnsi="Garamond"/>
          <w:sz w:val="24"/>
          <w:szCs w:val="24"/>
        </w:rPr>
      </w:pPr>
      <w:r>
        <w:rPr>
          <w:rStyle w:val="Rimandonotaapidipagina"/>
        </w:rPr>
        <w:footnoteRef/>
      </w:r>
      <w:r>
        <w:t xml:space="preserve"> Cass., Sez. Un. civ., 23 marzo 2011, </w:t>
      </w:r>
      <w:proofErr w:type="spellStart"/>
      <w:r w:rsidRPr="00343B1C">
        <w:t>nn</w:t>
      </w:r>
      <w:proofErr w:type="spellEnd"/>
      <w:r w:rsidRPr="00343B1C">
        <w:t>. 6594, 6595 e 6596</w:t>
      </w:r>
      <w:r>
        <w:rPr>
          <w:rFonts w:ascii="Garamond" w:hAnsi="Garamond"/>
          <w:sz w:val="24"/>
          <w:szCs w:val="24"/>
        </w:rPr>
        <w:t xml:space="preserve">. </w:t>
      </w:r>
      <w:r w:rsidRPr="00F04DDE">
        <w:t>In dottrina cfr.:</w:t>
      </w:r>
      <w:r>
        <w:t xml:space="preserve"> G.P. Cirillo, </w:t>
      </w:r>
      <w:r w:rsidRPr="00335EE3">
        <w:rPr>
          <w:i/>
        </w:rPr>
        <w:t>op.cit</w:t>
      </w:r>
      <w:r>
        <w:t>., 317 e ss.;</w:t>
      </w:r>
      <w:r w:rsidRPr="00F04DDE">
        <w:t xml:space="preserve"> L. D’Angelo, </w:t>
      </w:r>
      <w:r w:rsidRPr="00F04DDE">
        <w:rPr>
          <w:i/>
        </w:rPr>
        <w:t>Le sezioni unite scrivono un nuovo capitolo sull’illecito della pubblica amministrazione e la giurisdizione del giudice amministrativo</w:t>
      </w:r>
      <w:proofErr w:type="gramStart"/>
      <w:r w:rsidRPr="00F04DDE">
        <w:rPr>
          <w:i/>
        </w:rPr>
        <w:t xml:space="preserve"> ?</w:t>
      </w:r>
      <w:r>
        <w:t>,</w:t>
      </w:r>
      <w:proofErr w:type="gramEnd"/>
      <w:r>
        <w:t xml:space="preserve"> in </w:t>
      </w:r>
      <w:proofErr w:type="spellStart"/>
      <w:r w:rsidRPr="00F04DDE">
        <w:rPr>
          <w:i/>
        </w:rPr>
        <w:t>Giu</w:t>
      </w:r>
      <w:r>
        <w:rPr>
          <w:i/>
        </w:rPr>
        <w:t>st</w:t>
      </w:r>
      <w:proofErr w:type="spellEnd"/>
      <w:r w:rsidRPr="00F04DDE">
        <w:rPr>
          <w:i/>
        </w:rPr>
        <w:t xml:space="preserve">. </w:t>
      </w:r>
      <w:proofErr w:type="spellStart"/>
      <w:r w:rsidRPr="00F04DDE">
        <w:rPr>
          <w:i/>
        </w:rPr>
        <w:t>Civ</w:t>
      </w:r>
      <w:proofErr w:type="spellEnd"/>
      <w:r>
        <w:t xml:space="preserve">., 2011, n.10, 2316; A. </w:t>
      </w:r>
      <w:proofErr w:type="spellStart"/>
      <w:r>
        <w:t>Lamorgese</w:t>
      </w:r>
      <w:proofErr w:type="spellEnd"/>
      <w:r>
        <w:t xml:space="preserve">, </w:t>
      </w:r>
      <w:r>
        <w:rPr>
          <w:i/>
        </w:rPr>
        <w:t xml:space="preserve">Stop della Cassazione alla concentrazione della giurisdizione a senso unico, </w:t>
      </w:r>
      <w:r>
        <w:t xml:space="preserve">in </w:t>
      </w:r>
      <w:proofErr w:type="spellStart"/>
      <w:r>
        <w:rPr>
          <w:i/>
        </w:rPr>
        <w:t>Giust</w:t>
      </w:r>
      <w:proofErr w:type="spellEnd"/>
      <w:r>
        <w:rPr>
          <w:i/>
        </w:rPr>
        <w:t xml:space="preserve">. civ., </w:t>
      </w:r>
      <w:r w:rsidRPr="00F04DDE">
        <w:t>2011, n.5, 1209;</w:t>
      </w:r>
      <w:r>
        <w:t xml:space="preserve"> S. </w:t>
      </w:r>
      <w:proofErr w:type="spellStart"/>
      <w:r>
        <w:t>Salvago</w:t>
      </w:r>
      <w:proofErr w:type="spellEnd"/>
      <w:r>
        <w:t xml:space="preserve">, </w:t>
      </w:r>
      <w:r>
        <w:rPr>
          <w:i/>
        </w:rPr>
        <w:t xml:space="preserve">op.cit., </w:t>
      </w:r>
      <w:r>
        <w:t xml:space="preserve">2769; C. Scognamiglio, </w:t>
      </w:r>
      <w:r>
        <w:rPr>
          <w:i/>
        </w:rPr>
        <w:t xml:space="preserve">Lesione dell’affidamento e responsabilità civile della pubblica amministrazione, </w:t>
      </w:r>
      <w:r>
        <w:t xml:space="preserve">in </w:t>
      </w:r>
      <w:r>
        <w:rPr>
          <w:i/>
        </w:rPr>
        <w:t xml:space="preserve">Resp. civ. e </w:t>
      </w:r>
      <w:proofErr w:type="spellStart"/>
      <w:r>
        <w:rPr>
          <w:i/>
        </w:rPr>
        <w:t>prev</w:t>
      </w:r>
      <w:proofErr w:type="spellEnd"/>
      <w:r>
        <w:rPr>
          <w:i/>
        </w:rPr>
        <w:t xml:space="preserve">., </w:t>
      </w:r>
      <w:r>
        <w:t>2011, n. 9, 1743.</w:t>
      </w:r>
    </w:p>
  </w:footnote>
  <w:footnote w:id="16">
    <w:p w:rsidR="0035364F" w:rsidRDefault="0035364F">
      <w:pPr>
        <w:pStyle w:val="Testonotaapidipagina"/>
      </w:pPr>
      <w:r>
        <w:rPr>
          <w:rStyle w:val="Rimandonotaapidipagina"/>
        </w:rPr>
        <w:footnoteRef/>
      </w:r>
      <w:r>
        <w:t xml:space="preserve"> Secondo, ad es., il Tar Lazio, Sez. I, 25 novembre 2019, n. 13508, “la legittimità del provvedimento emesso dalla Pubblica Amministrazione non è tale da scongiurare la responsabilità </w:t>
      </w:r>
      <w:proofErr w:type="spellStart"/>
      <w:r>
        <w:t>pre</w:t>
      </w:r>
      <w:proofErr w:type="spellEnd"/>
      <w:r>
        <w:t xml:space="preserve">-contrattuale della stessa, atteso che il presupposto di tale fattispecie di responsabilità non è l’illegittimità del provvedimento finale, che darebbe tuttavia luogo ad ipotesi di responsabilità extra-contrattuale, bensì il generale comportamento tenuto dall’Amministrazione prima della stipulazione del contratto”. Sul punto cfr. altresì: Tar Lazio, Sez. I, 26 aprile 2019, n. 5280. </w:t>
      </w:r>
    </w:p>
  </w:footnote>
  <w:footnote w:id="17">
    <w:p w:rsidR="0035364F" w:rsidRDefault="0035364F">
      <w:pPr>
        <w:pStyle w:val="Testonotaapidipagina"/>
      </w:pPr>
      <w:r>
        <w:rPr>
          <w:rStyle w:val="Rimandonotaapidipagina"/>
        </w:rPr>
        <w:footnoteRef/>
      </w:r>
      <w:r>
        <w:t xml:space="preserve"> V. la nota n.14.</w:t>
      </w:r>
    </w:p>
  </w:footnote>
  <w:footnote w:id="18">
    <w:p w:rsidR="0035364F" w:rsidRDefault="0035364F">
      <w:pPr>
        <w:pStyle w:val="Testonotaapidipagina"/>
      </w:pPr>
      <w:r>
        <w:rPr>
          <w:rStyle w:val="Rimandonotaapidipagina"/>
        </w:rPr>
        <w:footnoteRef/>
      </w:r>
      <w:r>
        <w:t xml:space="preserve"> Ai sensi di detta sentenza della Corte di Cassazione (n. 8511/2009) è stato stabilito che “la previsione della giurisdizione esclusiva amministrativa comporta che il riparto della giurisdizione non deve avvenire sulla base della consistenza della situazione giuridico soggettiva dedotta in giudizio (interesse legittimo o diritto soggettivo) ma esclusivamente in base all’insorgenza della controversia alla materia devoluta dalla legge alla competenza esclusiva del giudice amministrativo.</w:t>
      </w:r>
    </w:p>
    <w:p w:rsidR="0035364F" w:rsidRDefault="0035364F">
      <w:pPr>
        <w:pStyle w:val="Testonotaapidipagina"/>
      </w:pPr>
      <w:r>
        <w:t>E ciò comporta che la qualificazione della situazione giuridica dedotta in giudizio deve essere operata dall’unico giudice che conosce di tutte le controversie inerenti alla materia”.</w:t>
      </w:r>
    </w:p>
    <w:p w:rsidR="0035364F" w:rsidRDefault="0035364F">
      <w:pPr>
        <w:pStyle w:val="Testonotaapidipagina"/>
      </w:pPr>
      <w:r>
        <w:t>“</w:t>
      </w:r>
      <w:r w:rsidRPr="00F91221">
        <w:t>In conclusione, il quadro normativo così ricostruito esclude che, nelle controversie relative a materie devolute alla giurisdizione esclusiva, la competenza del giudice amministrativo venga riconosciuta soltanto se la lite abbia ad oggetto la contestazione di attività autoritative dell'amministrazione. In tal caso, infatti, la giurisdizione amministrativa sarebbe quella generale di legittimità, nel cui ambito trovano, nell'attuale assetto normativo, tutela anche soggettivi consequenziali alla verifica di illegittimità dell'esercizio del potere amministrativo (vedi i riferimenti contenuti sub n. 4)</w:t>
      </w:r>
      <w:r>
        <w:t>”</w:t>
      </w:r>
      <w:r w:rsidRPr="00F91221">
        <w:t xml:space="preserve">. </w:t>
      </w:r>
      <w:r>
        <w:t>“</w:t>
      </w:r>
      <w:r w:rsidRPr="00F91221">
        <w:t xml:space="preserve">Anzi, in linea generale, la scelta legislativa di attribuire determinate materie alla giurisdizione esclusiva (rispettosa del precetto costituzionale se la materia stessa vede la compresenza, in astratto e non certo nella controversia concreta, di poteri e di atti c.d. "paritetici") comporta l'attribuzione alla competenza del giudice amministrativo della totalità delle controversie, nessuna esclusa, inerenti alla materia (come avviene per le controversie di lavoro del personale in regime di diritto pubblico, ai sensi del </w:t>
      </w:r>
      <w:proofErr w:type="spellStart"/>
      <w:r w:rsidRPr="00F91221">
        <w:t>D.Lgs.</w:t>
      </w:r>
      <w:proofErr w:type="spellEnd"/>
      <w:r w:rsidRPr="00F91221">
        <w:t xml:space="preserve"> n. 165 del 2001, art. 3 e art. 63, comma 4, comprese persino quelle aventi ad oggetto il pagamento di crediti già riconosciuti dall'amministrazione: vedi Cass.</w:t>
      </w:r>
      <w:r>
        <w:t>,</w:t>
      </w:r>
      <w:r w:rsidRPr="00F91221">
        <w:t xml:space="preserve"> S</w:t>
      </w:r>
      <w:r>
        <w:t>ez</w:t>
      </w:r>
      <w:r w:rsidRPr="00F91221">
        <w:t>.</w:t>
      </w:r>
      <w:r>
        <w:t xml:space="preserve"> Un.,</w:t>
      </w:r>
      <w:r w:rsidRPr="00F91221">
        <w:t xml:space="preserve"> 14 gennaio 2005, n. 601)</w:t>
      </w:r>
      <w:r>
        <w:t>”</w:t>
      </w:r>
      <w:r w:rsidRPr="00F91221">
        <w:t>.</w:t>
      </w:r>
    </w:p>
    <w:p w:rsidR="0035364F" w:rsidRDefault="0035364F">
      <w:pPr>
        <w:pStyle w:val="Testonotaapidipagina"/>
      </w:pPr>
      <w:r>
        <w:t xml:space="preserve">Alla stregua di tale indirizzo sembrerebbe non aver spazio la giurisdizione ordinaria in materia di responsabilità </w:t>
      </w:r>
      <w:proofErr w:type="spellStart"/>
      <w:r>
        <w:t>pre</w:t>
      </w:r>
      <w:proofErr w:type="spellEnd"/>
      <w:r>
        <w:t>-contrattuale della P.A., in materia di competenza esclusiva del giudice amministrativo, essendo per tale materia fissata la competenza del giudice amministrativo in ragione della inerenza di ogni questione alla materia.</w:t>
      </w:r>
    </w:p>
  </w:footnote>
  <w:footnote w:id="19">
    <w:p w:rsidR="0035364F" w:rsidRDefault="0035364F">
      <w:pPr>
        <w:pStyle w:val="Testonotaapidipagina"/>
      </w:pPr>
      <w:r>
        <w:rPr>
          <w:rStyle w:val="Rimandonotaapidipagina"/>
        </w:rPr>
        <w:footnoteRef/>
      </w:r>
      <w:r>
        <w:t xml:space="preserve"> V. le ordinanze di cui alla nota n.14. Sul punto cfr. anche l’ordinanza della Cass., Sez. Un. civ., 28 aprile 2020, n. 8236, la quale ha sostenuto che “spetta alla giurisdizione dell’autorità giudiziaria ordinaria la controversia relativa ad una pretesa risarcitoria fondata sulla lesione dell’affidamento del privato nell’emanazione di un provvedimento amministrativo a causa di una condotta della pubblica amministrazione che si assume difforme dai canoni di correttezza e buona fede, atteso che la responsabilità della P.A. per il danno prodotto al privato, quale conseguenza della violazione dell’affidamento dal medesimo riposto nella correttezza dell’azione amministrativa, sorge da un rapporto tra soggetti (la pubblica amministrazione ed il privato che con questa sia entrato in relazione), inquadrabile nella responsabilità di tipo contrattuale, secondo lo schema della responsabilità relazionale o da “contatto sociale qualificato”, inteso come fatto idoneo a produrre obbligazioni ex art. 1173 c.c., e ciò non solo nel caso in cui tale danno derivi dalla emanazione e dal successivo annullamento di un atto amministrativo, ma anche nel caso in cui nessun provvedimento amministrativo sia stato emanato, </w:t>
      </w:r>
      <w:proofErr w:type="spellStart"/>
      <w:r>
        <w:t>cosicchè</w:t>
      </w:r>
      <w:proofErr w:type="spellEnd"/>
      <w:r>
        <w:t xml:space="preserve"> il privato abbia riposto il proprio affidamento in un mero comportamento dell’amministrazione”. Sul punto cfr. altresì: Cass., Sez. Un. </w:t>
      </w:r>
      <w:proofErr w:type="spellStart"/>
      <w:r>
        <w:t>Civ</w:t>
      </w:r>
      <w:proofErr w:type="spellEnd"/>
      <w:r>
        <w:t>., 24 settembre 2018, n. 22435; Cass., Sez. I, 27 ottobre 2017, n. 25644; Cass., Sez. I, 12 luglio 2016, n. 14188.</w:t>
      </w:r>
    </w:p>
  </w:footnote>
  <w:footnote w:id="20">
    <w:p w:rsidR="0035364F" w:rsidRDefault="0035364F">
      <w:pPr>
        <w:pStyle w:val="Testonotaapidipagina"/>
      </w:pPr>
      <w:r>
        <w:rPr>
          <w:rStyle w:val="Rimandonotaapidipagina"/>
        </w:rPr>
        <w:footnoteRef/>
      </w:r>
      <w:r>
        <w:t xml:space="preserve"> In tema cfr.: G.P. Cirillo, </w:t>
      </w:r>
      <w:r w:rsidRPr="00335EE3">
        <w:rPr>
          <w:i/>
        </w:rPr>
        <w:t>op.cit</w:t>
      </w:r>
      <w:r>
        <w:t>., 291 e ss.</w:t>
      </w:r>
    </w:p>
  </w:footnote>
  <w:footnote w:id="21">
    <w:p w:rsidR="0035364F" w:rsidRDefault="0035364F">
      <w:pPr>
        <w:pStyle w:val="Testonotaapidipagina"/>
      </w:pPr>
      <w:r>
        <w:rPr>
          <w:rStyle w:val="Rimandonotaapidipagina"/>
        </w:rPr>
        <w:footnoteRef/>
      </w:r>
      <w:r>
        <w:t xml:space="preserve"> Cass., Sez. Un. civ., 28 aprile 2020, n. 8236. V. anche la nota n.18.</w:t>
      </w:r>
    </w:p>
  </w:footnote>
  <w:footnote w:id="22">
    <w:p w:rsidR="0035364F" w:rsidRDefault="0035364F" w:rsidP="0048196A">
      <w:pPr>
        <w:pStyle w:val="Testonotaapidipagina"/>
      </w:pPr>
      <w:r>
        <w:rPr>
          <w:rStyle w:val="Rimandonotaapidipagina"/>
        </w:rPr>
        <w:footnoteRef/>
      </w:r>
      <w:r>
        <w:t xml:space="preserve"> Sull’argomento cfr.: F.D. Busnelli,</w:t>
      </w:r>
      <w:r>
        <w:rPr>
          <w:i/>
        </w:rPr>
        <w:t xml:space="preserve"> op.cit.,</w:t>
      </w:r>
      <w:r>
        <w:t xml:space="preserve"> 272; F. Caringella, </w:t>
      </w:r>
      <w:r>
        <w:rPr>
          <w:i/>
        </w:rPr>
        <w:t xml:space="preserve">Responsabilità precontrattuale della </w:t>
      </w:r>
      <w:proofErr w:type="gramStart"/>
      <w:r>
        <w:rPr>
          <w:i/>
        </w:rPr>
        <w:t>P.A..</w:t>
      </w:r>
      <w:proofErr w:type="gramEnd"/>
      <w:r>
        <w:rPr>
          <w:i/>
        </w:rPr>
        <w:t xml:space="preserve">, </w:t>
      </w:r>
      <w:r>
        <w:t xml:space="preserve">cit., </w:t>
      </w:r>
      <w:r w:rsidRPr="0048196A">
        <w:t>294</w:t>
      </w:r>
      <w:r>
        <w:rPr>
          <w:i/>
        </w:rPr>
        <w:t xml:space="preserve">; </w:t>
      </w:r>
      <w:r>
        <w:t xml:space="preserve">C. Castronovo, </w:t>
      </w:r>
      <w:r w:rsidRPr="00DF673E">
        <w:rPr>
          <w:i/>
        </w:rPr>
        <w:t>op.cit</w:t>
      </w:r>
      <w:r>
        <w:t xml:space="preserve">., 221; R. Chieppa – R. Giovagnoli, </w:t>
      </w:r>
      <w:r>
        <w:rPr>
          <w:i/>
        </w:rPr>
        <w:t xml:space="preserve">op.cit., </w:t>
      </w:r>
      <w:r>
        <w:t xml:space="preserve">720; G.P. Cirillo, </w:t>
      </w:r>
      <w:r w:rsidRPr="00335EE3">
        <w:rPr>
          <w:i/>
        </w:rPr>
        <w:t>op.cit.,</w:t>
      </w:r>
      <w:r>
        <w:t xml:space="preserve"> 305; M.</w:t>
      </w:r>
      <w:r w:rsidRPr="00C67A35">
        <w:t xml:space="preserve"> </w:t>
      </w:r>
      <w:r>
        <w:t xml:space="preserve">Corradino, </w:t>
      </w:r>
      <w:r>
        <w:rPr>
          <w:i/>
        </w:rPr>
        <w:t>op.cit.</w:t>
      </w:r>
      <w:r>
        <w:t xml:space="preserve">, 795; G. D’Amico, </w:t>
      </w:r>
      <w:r>
        <w:rPr>
          <w:i/>
        </w:rPr>
        <w:t xml:space="preserve">op.cit., </w:t>
      </w:r>
      <w:r>
        <w:t xml:space="preserve"> 247; Ad. di Majo, </w:t>
      </w:r>
      <w:r>
        <w:rPr>
          <w:i/>
        </w:rPr>
        <w:t xml:space="preserve">Il linguaggio dei rimedi, </w:t>
      </w:r>
      <w:r>
        <w:t>cit.,</w:t>
      </w:r>
      <w:r w:rsidRPr="00327B8E">
        <w:t xml:space="preserve"> 341;</w:t>
      </w:r>
      <w:r>
        <w:t xml:space="preserve"> C. </w:t>
      </w:r>
      <w:proofErr w:type="spellStart"/>
      <w:r>
        <w:t>Giurdanella</w:t>
      </w:r>
      <w:proofErr w:type="spellEnd"/>
      <w:r>
        <w:t xml:space="preserve"> – M. Matta, </w:t>
      </w:r>
      <w:r w:rsidRPr="0097574D">
        <w:rPr>
          <w:i/>
        </w:rPr>
        <w:t>op.cit</w:t>
      </w:r>
      <w:r>
        <w:t xml:space="preserve">.;  G. Morbidelli, </w:t>
      </w:r>
      <w:r>
        <w:rPr>
          <w:i/>
        </w:rPr>
        <w:t>op.cit.,</w:t>
      </w:r>
      <w:r>
        <w:t xml:space="preserve"> 202;</w:t>
      </w:r>
      <w:r w:rsidRPr="00BA4641">
        <w:t xml:space="preserve"> </w:t>
      </w:r>
      <w:r>
        <w:t xml:space="preserve">S. </w:t>
      </w:r>
      <w:proofErr w:type="spellStart"/>
      <w:r>
        <w:t>Salvago</w:t>
      </w:r>
      <w:proofErr w:type="spellEnd"/>
      <w:r>
        <w:t xml:space="preserve">, </w:t>
      </w:r>
      <w:r>
        <w:rPr>
          <w:i/>
        </w:rPr>
        <w:t xml:space="preserve">op.cit., </w:t>
      </w:r>
      <w:r>
        <w:t xml:space="preserve"> 2769; M.A. </w:t>
      </w:r>
      <w:proofErr w:type="spellStart"/>
      <w:r>
        <w:t>Sandulli</w:t>
      </w:r>
      <w:proofErr w:type="spellEnd"/>
      <w:r>
        <w:t xml:space="preserve">, </w:t>
      </w:r>
      <w:r w:rsidRPr="00710110">
        <w:rPr>
          <w:i/>
        </w:rPr>
        <w:t>Il risarcimento del danno nei confronti delle Pubbliche Amministrazioni: tra soluzione di vecchi problemi e nascita di nuove questioni</w:t>
      </w:r>
      <w:r>
        <w:t xml:space="preserve">, in </w:t>
      </w:r>
      <w:hyperlink r:id="rId5" w:history="1">
        <w:r w:rsidRPr="00710110">
          <w:rPr>
            <w:rStyle w:val="Collegamentoipertestuale"/>
            <w:i/>
          </w:rPr>
          <w:t>www.Federalismi.it</w:t>
        </w:r>
      </w:hyperlink>
      <w:r w:rsidRPr="00710110">
        <w:rPr>
          <w:i/>
        </w:rPr>
        <w:t xml:space="preserve">, </w:t>
      </w:r>
      <w:r>
        <w:t xml:space="preserve">n.7/2011; F.G. </w:t>
      </w:r>
      <w:proofErr w:type="spellStart"/>
      <w:r>
        <w:t>Scoca</w:t>
      </w:r>
      <w:proofErr w:type="spellEnd"/>
      <w:r>
        <w:t xml:space="preserve">, </w:t>
      </w:r>
      <w:r>
        <w:rPr>
          <w:i/>
        </w:rPr>
        <w:t xml:space="preserve">La teoria del provvedimento, </w:t>
      </w:r>
      <w:r>
        <w:t xml:space="preserve">cit., 3 e ss.; E. Scoditti, </w:t>
      </w:r>
      <w:r>
        <w:rPr>
          <w:i/>
        </w:rPr>
        <w:t>op.cit.,</w:t>
      </w:r>
      <w:r>
        <w:t xml:space="preserve"> 1105; C. Scognamiglio, </w:t>
      </w:r>
      <w:r>
        <w:rPr>
          <w:i/>
        </w:rPr>
        <w:t xml:space="preserve">op.cit., </w:t>
      </w:r>
      <w:r>
        <w:t xml:space="preserve">1743; V. Tenore – L.  Palamara – B. Marzocchi Buratti, </w:t>
      </w:r>
      <w:r>
        <w:rPr>
          <w:i/>
        </w:rPr>
        <w:t xml:space="preserve">op.cit., </w:t>
      </w:r>
      <w:r w:rsidRPr="00C67A35">
        <w:t>5</w:t>
      </w:r>
      <w:r>
        <w:rPr>
          <w:i/>
        </w:rPr>
        <w:t xml:space="preserve"> </w:t>
      </w:r>
      <w:r>
        <w:t>e ss.</w:t>
      </w:r>
    </w:p>
    <w:p w:rsidR="0035364F" w:rsidRPr="0048196A" w:rsidRDefault="0035364F" w:rsidP="0048196A">
      <w:pPr>
        <w:pStyle w:val="Testonotaapidipagina"/>
      </w:pPr>
    </w:p>
    <w:p w:rsidR="0035364F" w:rsidRDefault="0035364F">
      <w:pPr>
        <w:pStyle w:val="Testonotaapidipagina"/>
      </w:pPr>
    </w:p>
  </w:footnote>
  <w:footnote w:id="23">
    <w:p w:rsidR="0035364F" w:rsidRDefault="0035364F">
      <w:pPr>
        <w:pStyle w:val="Testonotaapidipagina"/>
      </w:pPr>
      <w:r>
        <w:rPr>
          <w:rStyle w:val="Rimandonotaapidipagina"/>
        </w:rPr>
        <w:footnoteRef/>
      </w:r>
      <w:r>
        <w:t xml:space="preserve"> In tal senso Tar Calabria, n. 627/2009.</w:t>
      </w:r>
    </w:p>
  </w:footnote>
  <w:footnote w:id="24">
    <w:p w:rsidR="0035364F" w:rsidRDefault="0035364F">
      <w:pPr>
        <w:pStyle w:val="Testonotaapidipagina"/>
      </w:pPr>
      <w:r>
        <w:rPr>
          <w:rStyle w:val="Rimandonotaapidipagina"/>
        </w:rPr>
        <w:footnoteRef/>
      </w:r>
      <w:r>
        <w:t xml:space="preserve"> Sempre Tar Calabria, n. 627/2009, cit.</w:t>
      </w:r>
    </w:p>
  </w:footnote>
  <w:footnote w:id="25">
    <w:p w:rsidR="0035364F" w:rsidRDefault="0035364F">
      <w:pPr>
        <w:pStyle w:val="Testonotaapidipagina"/>
      </w:pPr>
      <w:r>
        <w:rPr>
          <w:rStyle w:val="Rimandonotaapidipagina"/>
        </w:rPr>
        <w:footnoteRef/>
      </w:r>
      <w:r>
        <w:t xml:space="preserve"> Cfr. TAR Lazio, Sez. I, 25 novembre 2019, n. 13508. La decisione riguardava l’annullamento di una gara per mancata considerazione del progetto dell’opera e quindi violazione delle regole di buona fede e correttezza “per non essere stato comunicato all’interessato tempestivamente il procedimento di annullamento di ufficio”.</w:t>
      </w:r>
    </w:p>
  </w:footnote>
  <w:footnote w:id="26">
    <w:p w:rsidR="0035364F" w:rsidRPr="00A55E2C" w:rsidRDefault="0035364F">
      <w:pPr>
        <w:pStyle w:val="Testonotaapidipagina"/>
        <w:rPr>
          <w:lang w:val="en-US"/>
        </w:rPr>
      </w:pPr>
      <w:r>
        <w:rPr>
          <w:rStyle w:val="Rimandonotaapidipagina"/>
        </w:rPr>
        <w:footnoteRef/>
      </w:r>
      <w:r w:rsidRPr="003A3E49">
        <w:rPr>
          <w:lang w:val="en-US"/>
        </w:rPr>
        <w:t xml:space="preserve"> Cons. St., Sez. </w:t>
      </w:r>
      <w:r w:rsidRPr="006556D8">
        <w:rPr>
          <w:lang w:val="en-US"/>
        </w:rPr>
        <w:t xml:space="preserve">IV, 11 novembre 2008, n. 5633 e Cons. </w:t>
      </w:r>
      <w:r w:rsidRPr="003A3E49">
        <w:rPr>
          <w:lang w:val="en-US"/>
        </w:rPr>
        <w:t xml:space="preserve">St., Sez. </w:t>
      </w:r>
      <w:r w:rsidRPr="00A55E2C">
        <w:rPr>
          <w:lang w:val="en-US"/>
        </w:rPr>
        <w:t xml:space="preserve">IV, 7 </w:t>
      </w:r>
      <w:proofErr w:type="spellStart"/>
      <w:r w:rsidRPr="00A55E2C">
        <w:rPr>
          <w:lang w:val="en-US"/>
        </w:rPr>
        <w:t>marzo</w:t>
      </w:r>
      <w:proofErr w:type="spellEnd"/>
      <w:r w:rsidRPr="00A55E2C">
        <w:rPr>
          <w:lang w:val="en-US"/>
        </w:rPr>
        <w:t xml:space="preserve"> 2005, n. 920. </w:t>
      </w:r>
    </w:p>
    <w:p w:rsidR="0035364F" w:rsidRDefault="0035364F">
      <w:pPr>
        <w:pStyle w:val="Testonotaapidipagina"/>
      </w:pPr>
      <w:r>
        <w:t>Sul punto cfr. in dottrina:</w:t>
      </w:r>
      <w:r w:rsidRPr="0045097F">
        <w:t xml:space="preserve"> </w:t>
      </w:r>
      <w:r>
        <w:t xml:space="preserve">C. Castronovo, </w:t>
      </w:r>
      <w:r w:rsidRPr="00410FA3">
        <w:rPr>
          <w:i/>
        </w:rPr>
        <w:t>op.cit</w:t>
      </w:r>
      <w:r>
        <w:t xml:space="preserve">., 224 e </w:t>
      </w:r>
      <w:proofErr w:type="gramStart"/>
      <w:r>
        <w:t>225;  G.P.</w:t>
      </w:r>
      <w:proofErr w:type="gramEnd"/>
      <w:r>
        <w:t xml:space="preserve"> Cirillo, </w:t>
      </w:r>
      <w:r w:rsidRPr="000D012A">
        <w:rPr>
          <w:i/>
        </w:rPr>
        <w:t>op.cit</w:t>
      </w:r>
      <w:r>
        <w:t xml:space="preserve">., 311; Ad. di Majo, </w:t>
      </w:r>
      <w:r w:rsidRPr="0045097F">
        <w:rPr>
          <w:i/>
        </w:rPr>
        <w:t>Responsabilità e danni nelle violazioni comunitarie ad opera dello Stato,</w:t>
      </w:r>
      <w:r>
        <w:t xml:space="preserve"> in </w:t>
      </w:r>
      <w:r>
        <w:rPr>
          <w:i/>
        </w:rPr>
        <w:t xml:space="preserve">Europa e dir. </w:t>
      </w:r>
      <w:proofErr w:type="spellStart"/>
      <w:r>
        <w:rPr>
          <w:i/>
        </w:rPr>
        <w:t>pri</w:t>
      </w:r>
      <w:r w:rsidRPr="0045097F">
        <w:rPr>
          <w:i/>
        </w:rPr>
        <w:t>v</w:t>
      </w:r>
      <w:proofErr w:type="spellEnd"/>
      <w:r>
        <w:t xml:space="preserve">., 1998, 757; V.  Montani, </w:t>
      </w:r>
      <w:r w:rsidRPr="00410FA3">
        <w:rPr>
          <w:i/>
        </w:rPr>
        <w:t>op.cit</w:t>
      </w:r>
      <w:r>
        <w:t>., 178.</w:t>
      </w:r>
    </w:p>
    <w:p w:rsidR="0035364F" w:rsidRDefault="0035364F">
      <w:pPr>
        <w:pStyle w:val="Testonotaapidipagina"/>
      </w:pPr>
    </w:p>
  </w:footnote>
  <w:footnote w:id="27">
    <w:p w:rsidR="0035364F" w:rsidRDefault="0035364F">
      <w:pPr>
        <w:pStyle w:val="Testonotaapidipagina"/>
      </w:pPr>
      <w:r>
        <w:rPr>
          <w:rStyle w:val="Rimandonotaapidipagina"/>
        </w:rPr>
        <w:footnoteRef/>
      </w:r>
      <w:r>
        <w:t xml:space="preserve"> In un caso deciso dal Consiglio di Stato (Cons. St., Sez. IV, 3 gennaio 2020, n. 61), una società chiedeva non solo il risarcimento pieno del danno a seguito dell’annullamento di atti espropriativi, finalizzati alla realizzazione di interventi di edilizia agevolata e convenzionata, ma anche il danno per violazione di obblighi procedimentali per responsabilità precontrattuale. </w:t>
      </w:r>
    </w:p>
    <w:p w:rsidR="0035364F" w:rsidRDefault="0035364F" w:rsidP="00B943D7">
      <w:pPr>
        <w:pStyle w:val="Testonotaapidipagina"/>
      </w:pPr>
      <w:r>
        <w:t xml:space="preserve">In particolare, la società prospettava la responsabilità “da contatto” dell’Amministrazione, nella violazione di obblighi di buona fede derivanti dagli artt. 1337 e 1338 c.c. e nella violazione di obblighi procedimentali. Ed a tal riguardo il Consiglio di Stato ha ritenuto di non potere accogliere la domanda di responsabilità per colpa </w:t>
      </w:r>
      <w:r w:rsidRPr="00B943D7">
        <w:rPr>
          <w:b/>
          <w:bCs/>
          <w:i/>
          <w:iCs/>
        </w:rPr>
        <w:t xml:space="preserve">in </w:t>
      </w:r>
      <w:proofErr w:type="spellStart"/>
      <w:r w:rsidRPr="00B943D7">
        <w:rPr>
          <w:b/>
          <w:bCs/>
          <w:i/>
          <w:iCs/>
        </w:rPr>
        <w:t>contrahendo</w:t>
      </w:r>
      <w:proofErr w:type="spellEnd"/>
      <w:r>
        <w:t xml:space="preserve"> perché “non può trovare risarcimento il mero interesse procedimentale, inteso quale interesse alla correttezza della complessiva gestione del procedimento da parte dell’Amministrazione, poiché lo stesso si pone quale situazione meramente strumentale alla tutela di una posizione di interesse legittimo”. “L’interesse procedimentale quindi non di per sé è qualificabile come bene della vita, suscettibile di autonoma protezione mediante il risarcimento del danno e resta avulso da ogni riferimento alla spettanza dell’interesse sostanziale, al cui conseguimento il procedimento stesso è finalizzato” (cfr. anche: Cons. St., Sez. V, 18 marzo 2019, n. 1740, con riguardo al danno da ritardo). </w:t>
      </w:r>
    </w:p>
    <w:p w:rsidR="0035364F" w:rsidRDefault="0035364F" w:rsidP="00B943D7">
      <w:pPr>
        <w:pStyle w:val="Testonotaapidipagina"/>
        <w:ind w:firstLine="0"/>
      </w:pPr>
    </w:p>
  </w:footnote>
  <w:footnote w:id="28">
    <w:p w:rsidR="0035364F" w:rsidRDefault="0035364F">
      <w:pPr>
        <w:pStyle w:val="Testonotaapidipagina"/>
      </w:pPr>
      <w:r>
        <w:rPr>
          <w:rStyle w:val="Rimandonotaapidipagina"/>
        </w:rPr>
        <w:footnoteRef/>
      </w:r>
      <w:r>
        <w:t xml:space="preserve"> Sull’argomento cfr.: F. Benvenuti, </w:t>
      </w:r>
      <w:r w:rsidRPr="0045097F">
        <w:rPr>
          <w:i/>
        </w:rPr>
        <w:t>Appunti di diritto amministrativo</w:t>
      </w:r>
      <w:r>
        <w:t xml:space="preserve">, Padova, 1987, 232; E. Brugnoli, </w:t>
      </w:r>
      <w:r w:rsidRPr="00E970D6">
        <w:rPr>
          <w:i/>
        </w:rPr>
        <w:t xml:space="preserve">La responsabilità precontrattuale della pubblica amministrazione si configura solo dopo l’aggiudicazione, </w:t>
      </w:r>
      <w:r>
        <w:t xml:space="preserve">in </w:t>
      </w:r>
      <w:r w:rsidRPr="00E970D6">
        <w:rPr>
          <w:i/>
        </w:rPr>
        <w:t>Giornale di diritto amministrativo</w:t>
      </w:r>
      <w:r>
        <w:t>, n.5/2009, 503.</w:t>
      </w:r>
    </w:p>
  </w:footnote>
  <w:footnote w:id="29">
    <w:p w:rsidR="0035364F" w:rsidRPr="00774174" w:rsidRDefault="0035364F">
      <w:pPr>
        <w:pStyle w:val="Testonotaapidipagina"/>
        <w:rPr>
          <w:i/>
        </w:rPr>
      </w:pPr>
      <w:r>
        <w:rPr>
          <w:rStyle w:val="Rimandonotaapidipagina"/>
        </w:rPr>
        <w:footnoteRef/>
      </w:r>
      <w:r>
        <w:t xml:space="preserve"> Cfr.: E. Brugnoli, </w:t>
      </w:r>
      <w:r w:rsidRPr="00E970D6">
        <w:rPr>
          <w:i/>
        </w:rPr>
        <w:t>op.cit</w:t>
      </w:r>
      <w:r>
        <w:t xml:space="preserve">., 503; R. </w:t>
      </w:r>
      <w:proofErr w:type="spellStart"/>
      <w:r>
        <w:t>Caponigro</w:t>
      </w:r>
      <w:proofErr w:type="spellEnd"/>
      <w:r>
        <w:t xml:space="preserve">, </w:t>
      </w:r>
      <w:r>
        <w:rPr>
          <w:i/>
        </w:rPr>
        <w:t xml:space="preserve">Annullamento dell’aggiudicazione ed effetti sul contratto, </w:t>
      </w:r>
      <w:r w:rsidRPr="00774174">
        <w:t>in</w:t>
      </w:r>
      <w:r>
        <w:rPr>
          <w:i/>
        </w:rPr>
        <w:t xml:space="preserve"> Foro </w:t>
      </w:r>
      <w:proofErr w:type="spellStart"/>
      <w:r>
        <w:rPr>
          <w:i/>
        </w:rPr>
        <w:t>Amm</w:t>
      </w:r>
      <w:proofErr w:type="spellEnd"/>
      <w:r>
        <w:rPr>
          <w:i/>
        </w:rPr>
        <w:t xml:space="preserve">., </w:t>
      </w:r>
      <w:r w:rsidRPr="00774174">
        <w:t>2009, 2423 e ss.</w:t>
      </w:r>
    </w:p>
  </w:footnote>
  <w:footnote w:id="30">
    <w:p w:rsidR="0035364F" w:rsidRDefault="0035364F">
      <w:pPr>
        <w:pStyle w:val="Testonotaapidipagina"/>
      </w:pPr>
      <w:r>
        <w:rPr>
          <w:rStyle w:val="Rimandonotaapidipagina"/>
        </w:rPr>
        <w:footnoteRef/>
      </w:r>
      <w:r>
        <w:t xml:space="preserve"> V. Cons. </w:t>
      </w:r>
      <w:proofErr w:type="gramStart"/>
      <w:r>
        <w:t>St.,</w:t>
      </w:r>
      <w:proofErr w:type="gramEnd"/>
      <w:r>
        <w:t xml:space="preserve"> Adunanza Plenaria, 4 maggio 2018, n.5, che ha sostenuto che “Nell’ambito del procedimento di evidenza pubblica, i doveri di correttezza e buona fede sussistono, anche prima e a prescindere dell’aggiudicazione, in seno a tutte le fasi della procedura ad evidenza pubblica, con conseguente possibilità di configurare una responsabilità precontrattuale da comportamento scorretto nonostante la legittimità dei singoli provvedimenti  che scandiscono il procedimento”. </w:t>
      </w:r>
    </w:p>
    <w:p w:rsidR="0035364F" w:rsidRDefault="0035364F">
      <w:pPr>
        <w:pStyle w:val="Testonotaapidipagina"/>
      </w:pPr>
      <w:r>
        <w:t xml:space="preserve">Sul punto cfr. in dottrina: V. Montani, </w:t>
      </w:r>
      <w:r w:rsidRPr="007E449B">
        <w:rPr>
          <w:i/>
        </w:rPr>
        <w:t>Responsabilità precontrattuale e abbandono ingiustificato delle trattative: un rapporto da</w:t>
      </w:r>
      <w:r>
        <w:t xml:space="preserve"> </w:t>
      </w:r>
      <w:proofErr w:type="spellStart"/>
      <w:r>
        <w:t>genus</w:t>
      </w:r>
      <w:proofErr w:type="spellEnd"/>
      <w:r>
        <w:t xml:space="preserve"> a </w:t>
      </w:r>
      <w:proofErr w:type="spellStart"/>
      <w:r>
        <w:t>species</w:t>
      </w:r>
      <w:proofErr w:type="spellEnd"/>
      <w:r>
        <w:t xml:space="preserve">, in </w:t>
      </w:r>
      <w:r w:rsidRPr="007E449B">
        <w:rPr>
          <w:i/>
        </w:rPr>
        <w:t>Danno e responsabilità</w:t>
      </w:r>
      <w:r>
        <w:t xml:space="preserve">, n. 11, 2012, 1103 e ss.; R. Giovagnoli, </w:t>
      </w:r>
      <w:r w:rsidRPr="004C43B2">
        <w:rPr>
          <w:i/>
        </w:rPr>
        <w:t xml:space="preserve">Commento a Corte Europea di </w:t>
      </w:r>
      <w:r>
        <w:rPr>
          <w:i/>
        </w:rPr>
        <w:t>G</w:t>
      </w:r>
      <w:r w:rsidRPr="004C43B2">
        <w:rPr>
          <w:i/>
        </w:rPr>
        <w:t>iustizia 30 settembre 2010</w:t>
      </w:r>
      <w:r>
        <w:t xml:space="preserve">, C-314/09, in </w:t>
      </w:r>
      <w:r>
        <w:rPr>
          <w:i/>
        </w:rPr>
        <w:t xml:space="preserve">Urbanistica, </w:t>
      </w:r>
      <w:r w:rsidRPr="004C43B2">
        <w:rPr>
          <w:i/>
        </w:rPr>
        <w:t>app</w:t>
      </w:r>
      <w:r>
        <w:t>., 2011, 408.</w:t>
      </w:r>
    </w:p>
  </w:footnote>
  <w:footnote w:id="31">
    <w:p w:rsidR="0035364F" w:rsidRDefault="0035364F">
      <w:pPr>
        <w:pStyle w:val="Testonotaapidipagina"/>
      </w:pPr>
      <w:r>
        <w:rPr>
          <w:rStyle w:val="Rimandonotaapidipagina"/>
        </w:rPr>
        <w:footnoteRef/>
      </w:r>
      <w:r>
        <w:t xml:space="preserve"> In tema cfr.: </w:t>
      </w:r>
      <w:r w:rsidR="00787781">
        <w:t xml:space="preserve">A. Carbone - E.C. Bonacci, </w:t>
      </w:r>
      <w:r w:rsidR="00787781">
        <w:rPr>
          <w:i/>
        </w:rPr>
        <w:t>op.cit.</w:t>
      </w:r>
      <w:r w:rsidR="00787781">
        <w:t xml:space="preserve">; </w:t>
      </w:r>
      <w:r>
        <w:t xml:space="preserve">G. </w:t>
      </w:r>
      <w:proofErr w:type="spellStart"/>
      <w:r>
        <w:t>Chinè</w:t>
      </w:r>
      <w:proofErr w:type="spellEnd"/>
      <w:r>
        <w:t xml:space="preserve">- M. Fratini- A. Zoppini, </w:t>
      </w:r>
      <w:r>
        <w:rPr>
          <w:i/>
        </w:rPr>
        <w:t xml:space="preserve">Manuale di diritto civile, </w:t>
      </w:r>
      <w:r w:rsidRPr="00F05D2E">
        <w:t>in</w:t>
      </w:r>
      <w:r>
        <w:rPr>
          <w:i/>
        </w:rPr>
        <w:t xml:space="preserve"> I nuovi manuali superiori, </w:t>
      </w:r>
      <w:r w:rsidRPr="00F05D2E">
        <w:t xml:space="preserve">diretti da G. Alpa, R. </w:t>
      </w:r>
      <w:proofErr w:type="spellStart"/>
      <w:r w:rsidRPr="00F05D2E">
        <w:t>Garofoli</w:t>
      </w:r>
      <w:proofErr w:type="spellEnd"/>
      <w:r w:rsidRPr="00F05D2E">
        <w:t>, Roma, 2017, 2138;</w:t>
      </w:r>
      <w:r>
        <w:t xml:space="preserve"> G.P. Cirillo, </w:t>
      </w:r>
      <w:r w:rsidRPr="00774174">
        <w:rPr>
          <w:i/>
        </w:rPr>
        <w:t>op.cit</w:t>
      </w:r>
      <w:r>
        <w:t xml:space="preserve">., 333; R. De Nictolis,  </w:t>
      </w:r>
      <w:r>
        <w:rPr>
          <w:i/>
        </w:rPr>
        <w:t xml:space="preserve">Il risarcimento dei danni cagionati dalla Pubblica Amministrazione, </w:t>
      </w:r>
      <w:r>
        <w:t xml:space="preserve">Roma, 2006, 15 e ss.; F. Francario, </w:t>
      </w:r>
      <w:r w:rsidRPr="00100654">
        <w:rPr>
          <w:i/>
        </w:rPr>
        <w:t>Inapplicabilità del provvedimento amministrativo ed azione risarcitoria,</w:t>
      </w:r>
      <w:r>
        <w:t xml:space="preserve"> in </w:t>
      </w:r>
      <w:r w:rsidRPr="00100654">
        <w:rPr>
          <w:i/>
        </w:rPr>
        <w:t xml:space="preserve">Dir. </w:t>
      </w:r>
      <w:proofErr w:type="spellStart"/>
      <w:r w:rsidRPr="00100654">
        <w:rPr>
          <w:i/>
        </w:rPr>
        <w:t>Amm</w:t>
      </w:r>
      <w:proofErr w:type="spellEnd"/>
      <w:r>
        <w:t xml:space="preserve">., 2002, 23;  A. Liberati, </w:t>
      </w:r>
      <w:r>
        <w:rPr>
          <w:i/>
        </w:rPr>
        <w:t>La responsabilità civile della pubblica amministrazione</w:t>
      </w:r>
      <w:r w:rsidRPr="004E2ECC">
        <w:t>, I</w:t>
      </w:r>
      <w:r>
        <w:rPr>
          <w:i/>
        </w:rPr>
        <w:t xml:space="preserve">, </w:t>
      </w:r>
      <w:r w:rsidRPr="00F05D2E">
        <w:t>in</w:t>
      </w:r>
      <w:r>
        <w:rPr>
          <w:i/>
        </w:rPr>
        <w:t xml:space="preserve"> La responsabilità della pubblica amministrazione e dei suoi dipendenti, </w:t>
      </w:r>
      <w:r>
        <w:t>a cura di P</w:t>
      </w:r>
      <w:r w:rsidRPr="00F05D2E">
        <w:t xml:space="preserve">. </w:t>
      </w:r>
      <w:proofErr w:type="spellStart"/>
      <w:r w:rsidRPr="00F05D2E">
        <w:t>Garofoli</w:t>
      </w:r>
      <w:proofErr w:type="spellEnd"/>
      <w:r w:rsidRPr="00F05D2E">
        <w:t>, A. Liberati, Tomo II,</w:t>
      </w:r>
      <w:r>
        <w:rPr>
          <w:i/>
        </w:rPr>
        <w:t xml:space="preserve"> Responsabilità civile, responsabilità disciplinare, responsabilità penale, </w:t>
      </w:r>
      <w:r w:rsidRPr="00F05D2E">
        <w:t>Mil</w:t>
      </w:r>
      <w:r>
        <w:t>ano, 2005, 591 e ss.;</w:t>
      </w:r>
      <w:r w:rsidRPr="00812E25">
        <w:t xml:space="preserve"> </w:t>
      </w:r>
      <w:r>
        <w:t xml:space="preserve">S. </w:t>
      </w:r>
      <w:proofErr w:type="spellStart"/>
      <w:r>
        <w:t>Salvago</w:t>
      </w:r>
      <w:proofErr w:type="spellEnd"/>
      <w:r>
        <w:t xml:space="preserve">, </w:t>
      </w:r>
      <w:r>
        <w:rPr>
          <w:i/>
        </w:rPr>
        <w:t xml:space="preserve">op.cit., </w:t>
      </w:r>
      <w:r>
        <w:t xml:space="preserve"> 2769; M. A. Sandulli, </w:t>
      </w:r>
      <w:r>
        <w:rPr>
          <w:i/>
        </w:rPr>
        <w:t>op.cit.</w:t>
      </w:r>
      <w:r>
        <w:t xml:space="preserve">; C. Scognamiglio, </w:t>
      </w:r>
      <w:r>
        <w:rPr>
          <w:i/>
        </w:rPr>
        <w:t xml:space="preserve">op.cit., </w:t>
      </w:r>
      <w:r>
        <w:t xml:space="preserve">1743; V. Tenore, </w:t>
      </w:r>
      <w:r w:rsidRPr="002D0B88">
        <w:rPr>
          <w:i/>
        </w:rPr>
        <w:t>La responsabilità civile, amministrativo-contabile e penale dei pubblici dipendenti, in Manuale del pubblico impiego privatizzato</w:t>
      </w:r>
      <w:r>
        <w:t>, Roma, 2015,7 e ss.</w:t>
      </w:r>
    </w:p>
  </w:footnote>
  <w:footnote w:id="32">
    <w:p w:rsidR="0035364F" w:rsidRDefault="0035364F">
      <w:pPr>
        <w:pStyle w:val="Testonotaapidipagina"/>
      </w:pPr>
      <w:r>
        <w:rPr>
          <w:rStyle w:val="Rimandonotaapidipagina"/>
        </w:rPr>
        <w:footnoteRef/>
      </w:r>
      <w:r>
        <w:t xml:space="preserve"> Ha sostenuto il Cons. </w:t>
      </w:r>
      <w:proofErr w:type="gramStart"/>
      <w:r>
        <w:t>St.,</w:t>
      </w:r>
      <w:proofErr w:type="gramEnd"/>
      <w:r>
        <w:t xml:space="preserve"> Sez. V, 1 aprile 2011, n. 2031, che in materia di risarcimento del danno da attività provvedimentale è necessaria la prova rigorosa della spettanza del bene della vita in stretta relazione con il giudicato. E tale non sussisterebbe nel caso degli interessi procedimentali puri cioè delle mere aspettative o dei ritardi procedimentali (cfr. anche: Cons. St., Sez. V, 10 febbraio 2015, n. 675). </w:t>
      </w:r>
    </w:p>
    <w:p w:rsidR="0035364F" w:rsidRDefault="0035364F">
      <w:pPr>
        <w:pStyle w:val="Testonotaapidipagina"/>
      </w:pPr>
      <w:r>
        <w:t xml:space="preserve">In dottrina cfr.: L. Barra Caracciolo, </w:t>
      </w:r>
      <w:r w:rsidRPr="002A3B69">
        <w:rPr>
          <w:i/>
        </w:rPr>
        <w:t>L’azione risarcitoria nel processo amministrativo e i principi di diritto comune,</w:t>
      </w:r>
      <w:r>
        <w:t xml:space="preserve"> </w:t>
      </w:r>
      <w:r w:rsidRPr="002A3B69">
        <w:t>in</w:t>
      </w:r>
      <w:r w:rsidRPr="002A3B69">
        <w:rPr>
          <w:i/>
        </w:rPr>
        <w:t xml:space="preserve"> Contratto e Impresa</w:t>
      </w:r>
      <w:r>
        <w:t xml:space="preserve">, 2011, 759; F. Benvenuti, </w:t>
      </w:r>
      <w:r>
        <w:rPr>
          <w:i/>
        </w:rPr>
        <w:t xml:space="preserve">op.cit., </w:t>
      </w:r>
      <w:r>
        <w:t xml:space="preserve">232.; C. Castronovo, </w:t>
      </w:r>
      <w:r>
        <w:rPr>
          <w:i/>
        </w:rPr>
        <w:t xml:space="preserve">op.cit., </w:t>
      </w:r>
      <w:r w:rsidRPr="002A3B69">
        <w:t>224</w:t>
      </w:r>
      <w:r>
        <w:t xml:space="preserve">; C. Scognamiglio, </w:t>
      </w:r>
      <w:r w:rsidRPr="002A3B69">
        <w:rPr>
          <w:i/>
        </w:rPr>
        <w:t>op.cit</w:t>
      </w:r>
      <w:r>
        <w:t>., 1743</w:t>
      </w:r>
      <w:r w:rsidRPr="002A3B69">
        <w:t>;</w:t>
      </w:r>
      <w:r>
        <w:t xml:space="preserve"> S. Sica, </w:t>
      </w:r>
      <w:r>
        <w:rPr>
          <w:i/>
        </w:rPr>
        <w:t xml:space="preserve">op.cit., </w:t>
      </w:r>
      <w:r>
        <w:t>1942-1944.</w:t>
      </w:r>
    </w:p>
  </w:footnote>
  <w:footnote w:id="33">
    <w:p w:rsidR="0035364F" w:rsidRDefault="0035364F">
      <w:pPr>
        <w:pStyle w:val="Testonotaapidipagina"/>
      </w:pPr>
      <w:r>
        <w:rPr>
          <w:rStyle w:val="Rimandonotaapidipagina"/>
        </w:rPr>
        <w:footnoteRef/>
      </w:r>
      <w:r>
        <w:t xml:space="preserve"> Cons. St., Sez. VI, 10 dicembre 2015, n. 5611. Ma vedi in senso opposto Cons. St., Sez. IV, 3 gennaio 2020, n. 61, secondo il quale la responsabilità extra-contrattuale della P.A. presuppone che: a) l’interesse materiale o il bene della vita finale non sia contra </w:t>
      </w:r>
      <w:proofErr w:type="spellStart"/>
      <w:r>
        <w:t>jus</w:t>
      </w:r>
      <w:proofErr w:type="spellEnd"/>
      <w:r>
        <w:t xml:space="preserve">; b) che esso spetti al soggetto; c) e che occorre osservare in un giudizio complessivo anche i doveri di solidarietà sociale (art. 2 Cost.) rivolti anche ai soggetti privati. Il modello sembra essere quello civilistico della responsabilità extracontrattuale. Sul punto cfr. altresì: Cons. </w:t>
      </w:r>
      <w:proofErr w:type="gramStart"/>
      <w:r>
        <w:t>St.,</w:t>
      </w:r>
      <w:proofErr w:type="gramEnd"/>
      <w:r>
        <w:t xml:space="preserve"> Adunanza Plenaria, 27 aprile 2015, n.5; Cons. St., Adunanza Plenaria, 25 febbraio 2014, n.9 e Cons. St., Sez. IV,  27 novembre 2010, n. 8291.</w:t>
      </w:r>
      <w:r w:rsidR="00F01B61">
        <w:t xml:space="preserve"> In tema cfr. a</w:t>
      </w:r>
      <w:r w:rsidR="00B663E5">
        <w:t>nche</w:t>
      </w:r>
      <w:r w:rsidR="00F01B61">
        <w:t>: Cons. St., Sez. V, 22 ottobre 2019, n. 7160.</w:t>
      </w:r>
    </w:p>
  </w:footnote>
  <w:footnote w:id="34">
    <w:p w:rsidR="0035364F" w:rsidRDefault="0035364F">
      <w:pPr>
        <w:pStyle w:val="Testonotaapidipagina"/>
      </w:pPr>
      <w:r>
        <w:rPr>
          <w:rStyle w:val="Rimandonotaapidipagina"/>
        </w:rPr>
        <w:footnoteRef/>
      </w:r>
      <w:r>
        <w:t xml:space="preserve"> Cons. St., Sez. VI, 10 dicembre 2015, n. 5611.</w:t>
      </w:r>
    </w:p>
  </w:footnote>
  <w:footnote w:id="35">
    <w:p w:rsidR="0035364F" w:rsidRPr="0089045C" w:rsidRDefault="0035364F" w:rsidP="00F05D2E">
      <w:pPr>
        <w:spacing w:line="480" w:lineRule="auto"/>
        <w:rPr>
          <w:sz w:val="20"/>
          <w:szCs w:val="20"/>
        </w:rPr>
      </w:pPr>
      <w:r>
        <w:rPr>
          <w:rStyle w:val="Rimandonotaapidipagina"/>
        </w:rPr>
        <w:footnoteRef/>
      </w:r>
      <w:r>
        <w:rPr>
          <w:sz w:val="20"/>
          <w:szCs w:val="20"/>
        </w:rPr>
        <w:t xml:space="preserve"> V. nota 33. </w:t>
      </w:r>
      <w:r w:rsidRPr="0089045C">
        <w:rPr>
          <w:sz w:val="20"/>
          <w:szCs w:val="20"/>
        </w:rPr>
        <w:t>Cfr. anche</w:t>
      </w:r>
      <w:r>
        <w:rPr>
          <w:sz w:val="20"/>
          <w:szCs w:val="20"/>
        </w:rPr>
        <w:t xml:space="preserve"> Cass. c</w:t>
      </w:r>
      <w:r w:rsidRPr="0089045C">
        <w:rPr>
          <w:sz w:val="20"/>
          <w:szCs w:val="20"/>
        </w:rPr>
        <w:t>iv.</w:t>
      </w:r>
      <w:r>
        <w:rPr>
          <w:sz w:val="20"/>
          <w:szCs w:val="20"/>
        </w:rPr>
        <w:t>, Sez. I, 12 maggio 2015, n. 9636</w:t>
      </w:r>
      <w:r w:rsidRPr="0089045C">
        <w:rPr>
          <w:sz w:val="20"/>
          <w:szCs w:val="20"/>
        </w:rPr>
        <w:t>.</w:t>
      </w:r>
      <w:r>
        <w:rPr>
          <w:sz w:val="20"/>
          <w:szCs w:val="20"/>
        </w:rPr>
        <w:t xml:space="preserve"> In dottrina </w:t>
      </w:r>
      <w:proofErr w:type="spellStart"/>
      <w:r>
        <w:rPr>
          <w:sz w:val="20"/>
          <w:szCs w:val="20"/>
        </w:rPr>
        <w:t>cfr</w:t>
      </w:r>
      <w:proofErr w:type="spellEnd"/>
      <w:r>
        <w:rPr>
          <w:sz w:val="20"/>
          <w:szCs w:val="20"/>
        </w:rPr>
        <w:t xml:space="preserve">: G.P. Cirillo, </w:t>
      </w:r>
      <w:r w:rsidRPr="004E2ECC">
        <w:rPr>
          <w:i/>
          <w:sz w:val="20"/>
          <w:szCs w:val="20"/>
        </w:rPr>
        <w:t>op.cit</w:t>
      </w:r>
      <w:r>
        <w:rPr>
          <w:sz w:val="20"/>
          <w:szCs w:val="20"/>
        </w:rPr>
        <w:t xml:space="preserve">., 305; V. Montani </w:t>
      </w:r>
      <w:proofErr w:type="spellStart"/>
      <w:r w:rsidRPr="00E15C92">
        <w:rPr>
          <w:i/>
          <w:sz w:val="20"/>
          <w:szCs w:val="20"/>
        </w:rPr>
        <w:t>op.ult</w:t>
      </w:r>
      <w:proofErr w:type="spellEnd"/>
      <w:r w:rsidRPr="00E15C92">
        <w:rPr>
          <w:i/>
          <w:sz w:val="20"/>
          <w:szCs w:val="20"/>
        </w:rPr>
        <w:t>. cit</w:t>
      </w:r>
      <w:r>
        <w:rPr>
          <w:sz w:val="20"/>
          <w:szCs w:val="20"/>
        </w:rPr>
        <w:t>., 1103.</w:t>
      </w:r>
    </w:p>
    <w:p w:rsidR="0035364F" w:rsidRDefault="0035364F">
      <w:pPr>
        <w:pStyle w:val="Testonotaapidipagina"/>
      </w:pPr>
    </w:p>
  </w:footnote>
  <w:footnote w:id="36">
    <w:p w:rsidR="0035364F" w:rsidRPr="00E15C92" w:rsidRDefault="0035364F">
      <w:pPr>
        <w:pStyle w:val="Testonotaapidipagina"/>
      </w:pPr>
      <w:r>
        <w:rPr>
          <w:rStyle w:val="Rimandonotaapidipagina"/>
        </w:rPr>
        <w:footnoteRef/>
      </w:r>
      <w:r>
        <w:t xml:space="preserve"> Cons. St., Sez. VI, 10 dicembre 2015, n. 5611. In dottrina cfr.: C. </w:t>
      </w:r>
      <w:proofErr w:type="gramStart"/>
      <w:r>
        <w:t xml:space="preserve">Castronovo,  </w:t>
      </w:r>
      <w:r>
        <w:rPr>
          <w:i/>
        </w:rPr>
        <w:t>op.cit.</w:t>
      </w:r>
      <w:proofErr w:type="gramEnd"/>
      <w:r>
        <w:rPr>
          <w:i/>
        </w:rPr>
        <w:t xml:space="preserve">, </w:t>
      </w:r>
      <w:r>
        <w:t xml:space="preserve">551, V. Montani, </w:t>
      </w:r>
      <w:r>
        <w:rPr>
          <w:i/>
        </w:rPr>
        <w:t xml:space="preserve">Tra responsabilità civile e contrattuale., </w:t>
      </w:r>
      <w:r>
        <w:t xml:space="preserve">cit., 178; S. </w:t>
      </w:r>
      <w:proofErr w:type="spellStart"/>
      <w:r>
        <w:t>Faillace</w:t>
      </w:r>
      <w:proofErr w:type="spellEnd"/>
      <w:r>
        <w:t xml:space="preserve">, </w:t>
      </w:r>
      <w:r>
        <w:rPr>
          <w:i/>
        </w:rPr>
        <w:t xml:space="preserve">op.cit., </w:t>
      </w:r>
      <w:r>
        <w:t>123.</w:t>
      </w:r>
    </w:p>
  </w:footnote>
  <w:footnote w:id="37">
    <w:p w:rsidR="0035364F" w:rsidRDefault="0035364F" w:rsidP="00C61A60">
      <w:pPr>
        <w:pStyle w:val="Testonotaapidipagina"/>
      </w:pPr>
      <w:r>
        <w:rPr>
          <w:rStyle w:val="Rimandonotaapidipagina"/>
        </w:rPr>
        <w:footnoteRef/>
      </w:r>
      <w:r>
        <w:t xml:space="preserve"> V. sulla responsabilità “da contatto” Cass., Sez. I, 11 luglio 2012, n. 11642, ove si richiama la responsabilità derivante dalla attività e funzione esercitata dai soggetti, in ragione del loro </w:t>
      </w:r>
      <w:r w:rsidRPr="009F00D2">
        <w:rPr>
          <w:i/>
          <w:iCs/>
        </w:rPr>
        <w:t>status</w:t>
      </w:r>
      <w:r>
        <w:t xml:space="preserve"> professionale ma ciò non implica che tale responsabilità “oltre il contratto” debba definirsi contrattuale e non aquiliana, laddove il contatto, sia pure definito “qualificato”, derivi poi dall’applicazione degli artt. 1175 e 1375 c.c. Sul punto cfr. altresì: Cass., Sez. I, 27 ottobre 2017, n. 25644; Cass., Sez. I, 12 luglio 2016, n. 14188.</w:t>
      </w:r>
    </w:p>
    <w:p w:rsidR="0035364F" w:rsidRDefault="0035364F" w:rsidP="00C61A60">
      <w:pPr>
        <w:pStyle w:val="Testonotaapidipagina"/>
      </w:pPr>
      <w:r>
        <w:t>È codesto l’errore di Cass., Sez. III, 13 ottobre 2017, n. 24071, con riguardo alla mancata assistenza prestata ai pazienti di un istituto termale da parte dei dipendenti dell’azienda. Delle due dunque l’una: ove il “contatto” viene riferito al principio di buona fede recato dagli artt. 1175 e 1375 c.c., la nozione di “contatto sociale” si rileva inutile, perché doppiata dall’obbligo di agire secondo buona fede; ove invece esso si ponga autonomamente, perché situato “oltre il contratto”, come sembrerebbe nel caso di specie, si conferma una responsabilità da rapporto.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997398"/>
      <w:docPartObj>
        <w:docPartGallery w:val="Page Numbers (Top of Page)"/>
        <w:docPartUnique/>
      </w:docPartObj>
    </w:sdtPr>
    <w:sdtEndPr/>
    <w:sdtContent>
      <w:p w:rsidR="0035364F" w:rsidRDefault="00414CE5">
        <w:pPr>
          <w:pStyle w:val="Intestazione"/>
          <w:jc w:val="right"/>
        </w:pPr>
        <w:r>
          <w:fldChar w:fldCharType="begin"/>
        </w:r>
        <w:r>
          <w:instrText>PAGE   \* MERGEFORMAT</w:instrText>
        </w:r>
        <w:r>
          <w:fldChar w:fldCharType="separate"/>
        </w:r>
        <w:r w:rsidR="006556D8">
          <w:rPr>
            <w:noProof/>
          </w:rPr>
          <w:t>15</w:t>
        </w:r>
        <w:r>
          <w:rPr>
            <w:noProof/>
          </w:rPr>
          <w:fldChar w:fldCharType="end"/>
        </w:r>
      </w:p>
    </w:sdtContent>
  </w:sdt>
  <w:p w:rsidR="0035364F" w:rsidRDefault="0035364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55D97"/>
    <w:multiLevelType w:val="hybridMultilevel"/>
    <w:tmpl w:val="8A464A46"/>
    <w:lvl w:ilvl="0" w:tplc="5046F66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6057DD4"/>
    <w:multiLevelType w:val="hybridMultilevel"/>
    <w:tmpl w:val="8042FE0E"/>
    <w:lvl w:ilvl="0" w:tplc="F09ACFE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5C62C2"/>
    <w:multiLevelType w:val="hybridMultilevel"/>
    <w:tmpl w:val="DCE011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13994"/>
    <w:multiLevelType w:val="hybridMultilevel"/>
    <w:tmpl w:val="569E80A8"/>
    <w:lvl w:ilvl="0" w:tplc="675485AA">
      <w:start w:val="4"/>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2C527244"/>
    <w:multiLevelType w:val="hybridMultilevel"/>
    <w:tmpl w:val="B42A35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755D38"/>
    <w:multiLevelType w:val="hybridMultilevel"/>
    <w:tmpl w:val="2F5A004C"/>
    <w:lvl w:ilvl="0" w:tplc="77E85C9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EA306B"/>
    <w:multiLevelType w:val="hybridMultilevel"/>
    <w:tmpl w:val="BC688C38"/>
    <w:lvl w:ilvl="0" w:tplc="0DC0F41E">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7" w15:restartNumberingAfterBreak="0">
    <w:nsid w:val="3E725F7B"/>
    <w:multiLevelType w:val="hybridMultilevel"/>
    <w:tmpl w:val="8C3C7C9C"/>
    <w:lvl w:ilvl="0" w:tplc="D34A5774">
      <w:start w:val="1"/>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8" w15:restartNumberingAfterBreak="0">
    <w:nsid w:val="49FC07CE"/>
    <w:multiLevelType w:val="hybridMultilevel"/>
    <w:tmpl w:val="5C14D36A"/>
    <w:lvl w:ilvl="0" w:tplc="48963616">
      <w:start w:val="4"/>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9" w15:restartNumberingAfterBreak="0">
    <w:nsid w:val="676A13CF"/>
    <w:multiLevelType w:val="hybridMultilevel"/>
    <w:tmpl w:val="86F4AD3C"/>
    <w:lvl w:ilvl="0" w:tplc="7D580BE4">
      <w:start w:val="3"/>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0" w15:restartNumberingAfterBreak="0">
    <w:nsid w:val="68303A3D"/>
    <w:multiLevelType w:val="hybridMultilevel"/>
    <w:tmpl w:val="DD4AF676"/>
    <w:lvl w:ilvl="0" w:tplc="2BBC32BC">
      <w:start w:val="1"/>
      <w:numFmt w:val="decimal"/>
      <w:lvlText w:val="%1."/>
      <w:lvlJc w:val="left"/>
      <w:pPr>
        <w:ind w:left="814" w:hanging="360"/>
      </w:pPr>
      <w:rPr>
        <w:rFonts w:hint="default"/>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1" w15:restartNumberingAfterBreak="0">
    <w:nsid w:val="69505D18"/>
    <w:multiLevelType w:val="hybridMultilevel"/>
    <w:tmpl w:val="5D40CD2C"/>
    <w:lvl w:ilvl="0" w:tplc="2A8202D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C9772DE"/>
    <w:multiLevelType w:val="hybridMultilevel"/>
    <w:tmpl w:val="3970080E"/>
    <w:lvl w:ilvl="0" w:tplc="97F62C1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3"/>
  </w:num>
  <w:num w:numId="5">
    <w:abstractNumId w:val="5"/>
  </w:num>
  <w:num w:numId="6">
    <w:abstractNumId w:val="2"/>
  </w:num>
  <w:num w:numId="7">
    <w:abstractNumId w:val="4"/>
  </w:num>
  <w:num w:numId="8">
    <w:abstractNumId w:val="11"/>
  </w:num>
  <w:num w:numId="9">
    <w:abstractNumId w:val="1"/>
  </w:num>
  <w:num w:numId="10">
    <w:abstractNumId w:val="6"/>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4D"/>
    <w:rsid w:val="0000256D"/>
    <w:rsid w:val="0000434B"/>
    <w:rsid w:val="0000445A"/>
    <w:rsid w:val="0001421C"/>
    <w:rsid w:val="0001495F"/>
    <w:rsid w:val="00016A38"/>
    <w:rsid w:val="00021CAD"/>
    <w:rsid w:val="00030CC4"/>
    <w:rsid w:val="00031AAC"/>
    <w:rsid w:val="000322B5"/>
    <w:rsid w:val="00033FF2"/>
    <w:rsid w:val="00034D19"/>
    <w:rsid w:val="00034F67"/>
    <w:rsid w:val="00037567"/>
    <w:rsid w:val="00054093"/>
    <w:rsid w:val="0006490C"/>
    <w:rsid w:val="00073691"/>
    <w:rsid w:val="000A226E"/>
    <w:rsid w:val="000C3975"/>
    <w:rsid w:val="000C5564"/>
    <w:rsid w:val="000D012A"/>
    <w:rsid w:val="000D6343"/>
    <w:rsid w:val="000D7D10"/>
    <w:rsid w:val="000E6458"/>
    <w:rsid w:val="000F272E"/>
    <w:rsid w:val="000F5A88"/>
    <w:rsid w:val="000F6045"/>
    <w:rsid w:val="00100654"/>
    <w:rsid w:val="00103EDB"/>
    <w:rsid w:val="001132B2"/>
    <w:rsid w:val="00130D2B"/>
    <w:rsid w:val="00140ABE"/>
    <w:rsid w:val="00144E03"/>
    <w:rsid w:val="00147D44"/>
    <w:rsid w:val="00156A31"/>
    <w:rsid w:val="0016299A"/>
    <w:rsid w:val="00171CC0"/>
    <w:rsid w:val="001807FB"/>
    <w:rsid w:val="0018247F"/>
    <w:rsid w:val="00187EA1"/>
    <w:rsid w:val="00190116"/>
    <w:rsid w:val="00191598"/>
    <w:rsid w:val="00194ED0"/>
    <w:rsid w:val="001A04D7"/>
    <w:rsid w:val="001B029B"/>
    <w:rsid w:val="001B1D10"/>
    <w:rsid w:val="001C4F2B"/>
    <w:rsid w:val="001D04B8"/>
    <w:rsid w:val="001D5672"/>
    <w:rsid w:val="001E052F"/>
    <w:rsid w:val="002042F3"/>
    <w:rsid w:val="00207B93"/>
    <w:rsid w:val="00207FCB"/>
    <w:rsid w:val="00213ED6"/>
    <w:rsid w:val="00214F92"/>
    <w:rsid w:val="00222151"/>
    <w:rsid w:val="00224151"/>
    <w:rsid w:val="00235631"/>
    <w:rsid w:val="00236C9D"/>
    <w:rsid w:val="0027420E"/>
    <w:rsid w:val="00280026"/>
    <w:rsid w:val="00284BAB"/>
    <w:rsid w:val="002912D7"/>
    <w:rsid w:val="00291FC0"/>
    <w:rsid w:val="002934F7"/>
    <w:rsid w:val="00295363"/>
    <w:rsid w:val="002A3B69"/>
    <w:rsid w:val="002B2B64"/>
    <w:rsid w:val="002C2B7C"/>
    <w:rsid w:val="002C45C9"/>
    <w:rsid w:val="002C5343"/>
    <w:rsid w:val="002D0B88"/>
    <w:rsid w:val="002D5492"/>
    <w:rsid w:val="002E2F0D"/>
    <w:rsid w:val="00327B8E"/>
    <w:rsid w:val="00335EE3"/>
    <w:rsid w:val="00343B1C"/>
    <w:rsid w:val="003510C9"/>
    <w:rsid w:val="00352E3E"/>
    <w:rsid w:val="00353353"/>
    <w:rsid w:val="0035364F"/>
    <w:rsid w:val="0036336B"/>
    <w:rsid w:val="00367F0C"/>
    <w:rsid w:val="003A3E49"/>
    <w:rsid w:val="003B364A"/>
    <w:rsid w:val="003E29CB"/>
    <w:rsid w:val="003E7944"/>
    <w:rsid w:val="00410FA3"/>
    <w:rsid w:val="00414CE5"/>
    <w:rsid w:val="0043025E"/>
    <w:rsid w:val="0045097F"/>
    <w:rsid w:val="00456E4B"/>
    <w:rsid w:val="004622A3"/>
    <w:rsid w:val="004754BC"/>
    <w:rsid w:val="00477611"/>
    <w:rsid w:val="004818D5"/>
    <w:rsid w:val="0048196A"/>
    <w:rsid w:val="00482491"/>
    <w:rsid w:val="004902CA"/>
    <w:rsid w:val="00494013"/>
    <w:rsid w:val="004B6713"/>
    <w:rsid w:val="004C43B2"/>
    <w:rsid w:val="004C6C48"/>
    <w:rsid w:val="004D0ECF"/>
    <w:rsid w:val="004D10EB"/>
    <w:rsid w:val="004E2ECC"/>
    <w:rsid w:val="004F634B"/>
    <w:rsid w:val="005318C7"/>
    <w:rsid w:val="00540EE1"/>
    <w:rsid w:val="00543A67"/>
    <w:rsid w:val="005462E3"/>
    <w:rsid w:val="00567EE9"/>
    <w:rsid w:val="00582833"/>
    <w:rsid w:val="00592743"/>
    <w:rsid w:val="00592EFD"/>
    <w:rsid w:val="00594075"/>
    <w:rsid w:val="00595B32"/>
    <w:rsid w:val="00595EB4"/>
    <w:rsid w:val="005A225B"/>
    <w:rsid w:val="005A2E26"/>
    <w:rsid w:val="005B38BA"/>
    <w:rsid w:val="005B6A7D"/>
    <w:rsid w:val="005C0A1F"/>
    <w:rsid w:val="005C41DF"/>
    <w:rsid w:val="005D5B34"/>
    <w:rsid w:val="0060063F"/>
    <w:rsid w:val="00604050"/>
    <w:rsid w:val="006047DC"/>
    <w:rsid w:val="00614A3B"/>
    <w:rsid w:val="006545BC"/>
    <w:rsid w:val="006556D8"/>
    <w:rsid w:val="006723D0"/>
    <w:rsid w:val="00674B5D"/>
    <w:rsid w:val="006763AC"/>
    <w:rsid w:val="006A4A80"/>
    <w:rsid w:val="006B740C"/>
    <w:rsid w:val="006C58C3"/>
    <w:rsid w:val="006C5E20"/>
    <w:rsid w:val="006D0EA6"/>
    <w:rsid w:val="006D425E"/>
    <w:rsid w:val="006D4495"/>
    <w:rsid w:val="006F0F99"/>
    <w:rsid w:val="006F1B3F"/>
    <w:rsid w:val="006F3A9C"/>
    <w:rsid w:val="006F745E"/>
    <w:rsid w:val="00701019"/>
    <w:rsid w:val="00704853"/>
    <w:rsid w:val="00710110"/>
    <w:rsid w:val="007122C6"/>
    <w:rsid w:val="007155BF"/>
    <w:rsid w:val="00717A69"/>
    <w:rsid w:val="00742509"/>
    <w:rsid w:val="00743BA6"/>
    <w:rsid w:val="00743F38"/>
    <w:rsid w:val="007551F2"/>
    <w:rsid w:val="007559C6"/>
    <w:rsid w:val="0077181E"/>
    <w:rsid w:val="00774174"/>
    <w:rsid w:val="007775CA"/>
    <w:rsid w:val="00787781"/>
    <w:rsid w:val="00790C01"/>
    <w:rsid w:val="00794FD5"/>
    <w:rsid w:val="007A2157"/>
    <w:rsid w:val="007A3520"/>
    <w:rsid w:val="007B22E8"/>
    <w:rsid w:val="007B4E26"/>
    <w:rsid w:val="007B645B"/>
    <w:rsid w:val="007B78E4"/>
    <w:rsid w:val="007D2D38"/>
    <w:rsid w:val="007E449B"/>
    <w:rsid w:val="008050E0"/>
    <w:rsid w:val="00812E25"/>
    <w:rsid w:val="00815F69"/>
    <w:rsid w:val="008246A0"/>
    <w:rsid w:val="00826611"/>
    <w:rsid w:val="00851AC3"/>
    <w:rsid w:val="008527D1"/>
    <w:rsid w:val="00862B5E"/>
    <w:rsid w:val="00876BE8"/>
    <w:rsid w:val="0089045C"/>
    <w:rsid w:val="00891D23"/>
    <w:rsid w:val="0089328C"/>
    <w:rsid w:val="008B07FE"/>
    <w:rsid w:val="008C3AEA"/>
    <w:rsid w:val="008C5128"/>
    <w:rsid w:val="008D5E69"/>
    <w:rsid w:val="008E44B7"/>
    <w:rsid w:val="00901D6D"/>
    <w:rsid w:val="00903B4C"/>
    <w:rsid w:val="00913C9D"/>
    <w:rsid w:val="00914CB1"/>
    <w:rsid w:val="0093627C"/>
    <w:rsid w:val="009375B8"/>
    <w:rsid w:val="00946A5E"/>
    <w:rsid w:val="0097127E"/>
    <w:rsid w:val="00972408"/>
    <w:rsid w:val="0097574D"/>
    <w:rsid w:val="009819DB"/>
    <w:rsid w:val="009A34AD"/>
    <w:rsid w:val="009B5903"/>
    <w:rsid w:val="009E2146"/>
    <w:rsid w:val="009E4CF4"/>
    <w:rsid w:val="009F00D2"/>
    <w:rsid w:val="009F1D81"/>
    <w:rsid w:val="009F63C7"/>
    <w:rsid w:val="00A01A2F"/>
    <w:rsid w:val="00A02751"/>
    <w:rsid w:val="00A26D69"/>
    <w:rsid w:val="00A308A0"/>
    <w:rsid w:val="00A50A33"/>
    <w:rsid w:val="00A55E2C"/>
    <w:rsid w:val="00A605DD"/>
    <w:rsid w:val="00A7265B"/>
    <w:rsid w:val="00A73F3C"/>
    <w:rsid w:val="00A745D4"/>
    <w:rsid w:val="00A87486"/>
    <w:rsid w:val="00AB57E3"/>
    <w:rsid w:val="00AD294C"/>
    <w:rsid w:val="00AD402A"/>
    <w:rsid w:val="00B026F3"/>
    <w:rsid w:val="00B2564E"/>
    <w:rsid w:val="00B27D65"/>
    <w:rsid w:val="00B302AF"/>
    <w:rsid w:val="00B30AD7"/>
    <w:rsid w:val="00B37E9A"/>
    <w:rsid w:val="00B40E96"/>
    <w:rsid w:val="00B4122E"/>
    <w:rsid w:val="00B4366B"/>
    <w:rsid w:val="00B64BF0"/>
    <w:rsid w:val="00B663E5"/>
    <w:rsid w:val="00B7295A"/>
    <w:rsid w:val="00B81C80"/>
    <w:rsid w:val="00B83094"/>
    <w:rsid w:val="00B859AE"/>
    <w:rsid w:val="00B943D7"/>
    <w:rsid w:val="00B94D33"/>
    <w:rsid w:val="00BA4641"/>
    <w:rsid w:val="00BB47B6"/>
    <w:rsid w:val="00BC432B"/>
    <w:rsid w:val="00BD01D3"/>
    <w:rsid w:val="00BD3365"/>
    <w:rsid w:val="00BD4242"/>
    <w:rsid w:val="00BD5B32"/>
    <w:rsid w:val="00BE4FF1"/>
    <w:rsid w:val="00BF11A3"/>
    <w:rsid w:val="00BF6430"/>
    <w:rsid w:val="00C02C2C"/>
    <w:rsid w:val="00C06E2B"/>
    <w:rsid w:val="00C122DC"/>
    <w:rsid w:val="00C134B2"/>
    <w:rsid w:val="00C22E06"/>
    <w:rsid w:val="00C25F40"/>
    <w:rsid w:val="00C460B1"/>
    <w:rsid w:val="00C61A60"/>
    <w:rsid w:val="00C61EA2"/>
    <w:rsid w:val="00C67A35"/>
    <w:rsid w:val="00C73E8C"/>
    <w:rsid w:val="00C763F7"/>
    <w:rsid w:val="00C77A91"/>
    <w:rsid w:val="00C80A73"/>
    <w:rsid w:val="00C84201"/>
    <w:rsid w:val="00C8613E"/>
    <w:rsid w:val="00CA6D0C"/>
    <w:rsid w:val="00CB4DEC"/>
    <w:rsid w:val="00CB5BF2"/>
    <w:rsid w:val="00CD0985"/>
    <w:rsid w:val="00CD3004"/>
    <w:rsid w:val="00CE4197"/>
    <w:rsid w:val="00CE4561"/>
    <w:rsid w:val="00CE62A2"/>
    <w:rsid w:val="00CE7ADC"/>
    <w:rsid w:val="00D06B16"/>
    <w:rsid w:val="00D14DE0"/>
    <w:rsid w:val="00D153CC"/>
    <w:rsid w:val="00D17620"/>
    <w:rsid w:val="00D2371A"/>
    <w:rsid w:val="00D435E7"/>
    <w:rsid w:val="00D50EEB"/>
    <w:rsid w:val="00D5163A"/>
    <w:rsid w:val="00D52558"/>
    <w:rsid w:val="00DA233D"/>
    <w:rsid w:val="00DA7C59"/>
    <w:rsid w:val="00DB19C9"/>
    <w:rsid w:val="00DB1B34"/>
    <w:rsid w:val="00DD0A08"/>
    <w:rsid w:val="00DD7719"/>
    <w:rsid w:val="00DF268E"/>
    <w:rsid w:val="00DF673E"/>
    <w:rsid w:val="00E013FD"/>
    <w:rsid w:val="00E14C11"/>
    <w:rsid w:val="00E15114"/>
    <w:rsid w:val="00E15C92"/>
    <w:rsid w:val="00E339B7"/>
    <w:rsid w:val="00E4657C"/>
    <w:rsid w:val="00E54A2E"/>
    <w:rsid w:val="00E55E67"/>
    <w:rsid w:val="00E62E94"/>
    <w:rsid w:val="00E70A1F"/>
    <w:rsid w:val="00E82EDD"/>
    <w:rsid w:val="00E908B4"/>
    <w:rsid w:val="00E970D6"/>
    <w:rsid w:val="00E97F47"/>
    <w:rsid w:val="00EA2F83"/>
    <w:rsid w:val="00EC066D"/>
    <w:rsid w:val="00EC5E9D"/>
    <w:rsid w:val="00EF0D4D"/>
    <w:rsid w:val="00EF377D"/>
    <w:rsid w:val="00F01B61"/>
    <w:rsid w:val="00F04DDE"/>
    <w:rsid w:val="00F05D2E"/>
    <w:rsid w:val="00F064A5"/>
    <w:rsid w:val="00F067D7"/>
    <w:rsid w:val="00F07824"/>
    <w:rsid w:val="00F134E0"/>
    <w:rsid w:val="00F1391F"/>
    <w:rsid w:val="00F33B3F"/>
    <w:rsid w:val="00F349E9"/>
    <w:rsid w:val="00F350C7"/>
    <w:rsid w:val="00F42808"/>
    <w:rsid w:val="00F448DE"/>
    <w:rsid w:val="00F46207"/>
    <w:rsid w:val="00F60A55"/>
    <w:rsid w:val="00F60C85"/>
    <w:rsid w:val="00F61211"/>
    <w:rsid w:val="00F65C14"/>
    <w:rsid w:val="00F743F1"/>
    <w:rsid w:val="00F7652B"/>
    <w:rsid w:val="00F805DE"/>
    <w:rsid w:val="00F83DE0"/>
    <w:rsid w:val="00F91221"/>
    <w:rsid w:val="00FC2F96"/>
    <w:rsid w:val="00FC65AD"/>
    <w:rsid w:val="00FE0F00"/>
    <w:rsid w:val="00FE647D"/>
    <w:rsid w:val="00FE6B46"/>
    <w:rsid w:val="00FF15C2"/>
    <w:rsid w:val="00FF2D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355FF-B521-4AD2-BC7E-85F81314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360" w:lineRule="auto"/>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01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4201"/>
    <w:pPr>
      <w:ind w:left="720"/>
      <w:contextualSpacing/>
    </w:pPr>
  </w:style>
  <w:style w:type="paragraph" w:styleId="Testonotaapidipagina">
    <w:name w:val="footnote text"/>
    <w:basedOn w:val="Normale"/>
    <w:link w:val="TestonotaapidipaginaCarattere"/>
    <w:uiPriority w:val="99"/>
    <w:semiHidden/>
    <w:unhideWhenUsed/>
    <w:rsid w:val="003B364A"/>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364A"/>
    <w:rPr>
      <w:sz w:val="20"/>
      <w:szCs w:val="20"/>
    </w:rPr>
  </w:style>
  <w:style w:type="character" w:styleId="Rimandonotaapidipagina">
    <w:name w:val="footnote reference"/>
    <w:basedOn w:val="Carpredefinitoparagrafo"/>
    <w:uiPriority w:val="99"/>
    <w:semiHidden/>
    <w:unhideWhenUsed/>
    <w:rsid w:val="003B364A"/>
    <w:rPr>
      <w:vertAlign w:val="superscript"/>
    </w:rPr>
  </w:style>
  <w:style w:type="paragraph" w:styleId="Intestazione">
    <w:name w:val="header"/>
    <w:basedOn w:val="Normale"/>
    <w:link w:val="IntestazioneCarattere"/>
    <w:uiPriority w:val="99"/>
    <w:unhideWhenUsed/>
    <w:rsid w:val="00F7652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7652B"/>
  </w:style>
  <w:style w:type="paragraph" w:styleId="Pidipagina">
    <w:name w:val="footer"/>
    <w:basedOn w:val="Normale"/>
    <w:link w:val="PidipaginaCarattere"/>
    <w:uiPriority w:val="99"/>
    <w:unhideWhenUsed/>
    <w:rsid w:val="00F7652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7652B"/>
  </w:style>
  <w:style w:type="paragraph" w:styleId="Testofumetto">
    <w:name w:val="Balloon Text"/>
    <w:basedOn w:val="Normale"/>
    <w:link w:val="TestofumettoCarattere"/>
    <w:uiPriority w:val="99"/>
    <w:semiHidden/>
    <w:unhideWhenUsed/>
    <w:rsid w:val="00A02751"/>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2751"/>
    <w:rPr>
      <w:rFonts w:ascii="Segoe UI" w:hAnsi="Segoe UI" w:cs="Segoe UI"/>
      <w:sz w:val="18"/>
      <w:szCs w:val="18"/>
    </w:rPr>
  </w:style>
  <w:style w:type="character" w:styleId="Collegamentoipertestuale">
    <w:name w:val="Hyperlink"/>
    <w:basedOn w:val="Carpredefinitoparagrafo"/>
    <w:uiPriority w:val="99"/>
    <w:unhideWhenUsed/>
    <w:rsid w:val="00103E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ersonaemercato.it" TargetMode="External"/><Relationship Id="rId2" Type="http://schemas.openxmlformats.org/officeDocument/2006/relationships/hyperlink" Target="http://www.personaedanno.it" TargetMode="External"/><Relationship Id="rId1" Type="http://schemas.openxmlformats.org/officeDocument/2006/relationships/hyperlink" Target="http://www.ambientediritto.it" TargetMode="External"/><Relationship Id="rId5" Type="http://schemas.openxmlformats.org/officeDocument/2006/relationships/hyperlink" Target="http://www.Federalismi.it" TargetMode="External"/><Relationship Id="rId4"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DEC19-9BF4-4B91-A64A-04F33F3E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4220</Words>
  <Characters>24059</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Adolfo di Majo</dc:creator>
  <cp:lastModifiedBy>FERRARI Giulia</cp:lastModifiedBy>
  <cp:revision>2</cp:revision>
  <cp:lastPrinted>2020-06-10T16:14:00Z</cp:lastPrinted>
  <dcterms:created xsi:type="dcterms:W3CDTF">2021-01-19T20:55:00Z</dcterms:created>
  <dcterms:modified xsi:type="dcterms:W3CDTF">2021-01-19T20:55:00Z</dcterms:modified>
</cp:coreProperties>
</file>