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AEE09" w14:textId="77777777" w:rsidR="0044122C" w:rsidRDefault="0044122C" w:rsidP="00BC5F18">
      <w:pPr>
        <w:spacing w:line="360" w:lineRule="auto"/>
        <w:ind w:left="567" w:right="567"/>
        <w:jc w:val="both"/>
        <w:rPr>
          <w:rFonts w:ascii="Garamond" w:eastAsia="Lucida Sans Unicode" w:hAnsi="Garamond" w:cs="Times New Roman"/>
          <w:b/>
          <w:color w:val="000000" w:themeColor="text1"/>
          <w:sz w:val="36"/>
          <w:szCs w:val="36"/>
        </w:rPr>
      </w:pPr>
    </w:p>
    <w:p w14:paraId="365782CA" w14:textId="623B25ED" w:rsidR="00406353" w:rsidRPr="00A00C9E" w:rsidRDefault="00A00C9E" w:rsidP="0009660B">
      <w:pPr>
        <w:spacing w:line="360" w:lineRule="auto"/>
        <w:ind w:left="567" w:right="567"/>
        <w:jc w:val="center"/>
        <w:rPr>
          <w:rFonts w:ascii="Garamond" w:hAnsi="Garamond" w:cs="Times New Roman"/>
          <w:color w:val="000000" w:themeColor="text1"/>
          <w:sz w:val="28"/>
          <w:szCs w:val="28"/>
          <w:u w:val="single"/>
        </w:rPr>
      </w:pPr>
      <w:r>
        <w:rPr>
          <w:rFonts w:ascii="Garamond" w:eastAsia="Lucida Sans Unicode" w:hAnsi="Garamond" w:cs="Times New Roman"/>
          <w:b/>
          <w:color w:val="000000" w:themeColor="text1"/>
          <w:sz w:val="36"/>
          <w:szCs w:val="36"/>
        </w:rPr>
        <w:t>I</w:t>
      </w:r>
      <w:r w:rsidR="00BC5F18">
        <w:rPr>
          <w:rFonts w:ascii="Garamond" w:eastAsia="Lucida Sans Unicode" w:hAnsi="Garamond" w:cs="Times New Roman"/>
          <w:b/>
          <w:color w:val="000000" w:themeColor="text1"/>
          <w:sz w:val="36"/>
          <w:szCs w:val="36"/>
        </w:rPr>
        <w:t xml:space="preserve">l </w:t>
      </w:r>
      <w:r w:rsidR="005753EB">
        <w:rPr>
          <w:rFonts w:ascii="Garamond" w:eastAsia="Lucida Sans Unicode" w:hAnsi="Garamond" w:cs="Times New Roman"/>
          <w:b/>
          <w:color w:val="000000" w:themeColor="text1"/>
          <w:sz w:val="36"/>
          <w:szCs w:val="36"/>
        </w:rPr>
        <w:t>dedalo</w:t>
      </w:r>
      <w:r w:rsidR="00BC5F18">
        <w:rPr>
          <w:rFonts w:ascii="Garamond" w:eastAsia="Lucida Sans Unicode" w:hAnsi="Garamond" w:cs="Times New Roman"/>
          <w:b/>
          <w:color w:val="000000" w:themeColor="text1"/>
          <w:sz w:val="36"/>
          <w:szCs w:val="36"/>
        </w:rPr>
        <w:t xml:space="preserve"> delle limitazioni assolute dell’accesso civico generalizzato</w:t>
      </w:r>
    </w:p>
    <w:p w14:paraId="5641540D" w14:textId="77777777" w:rsidR="00B71E9A" w:rsidRPr="00F83D35" w:rsidRDefault="005D5323" w:rsidP="00792D4B">
      <w:pPr>
        <w:spacing w:line="360" w:lineRule="auto"/>
        <w:ind w:left="567" w:right="567"/>
        <w:jc w:val="both"/>
        <w:rPr>
          <w:rFonts w:ascii="Garamond" w:hAnsi="Garamond" w:cs="Times New Roman"/>
          <w:b/>
          <w:color w:val="000000" w:themeColor="text1"/>
          <w:sz w:val="28"/>
          <w:szCs w:val="26"/>
          <w:u w:val="single"/>
        </w:rPr>
      </w:pPr>
      <w:r>
        <w:rPr>
          <w:rFonts w:ascii="Garamond" w:hAnsi="Garamond" w:cs="Times New Roman"/>
          <w:b/>
          <w:noProof/>
          <w:color w:val="000000" w:themeColor="text1"/>
          <w:sz w:val="26"/>
          <w:szCs w:val="26"/>
          <w:u w:val="single"/>
        </w:rPr>
        <mc:AlternateContent>
          <mc:Choice Requires="wps">
            <w:drawing>
              <wp:anchor distT="0" distB="0" distL="114300" distR="114300" simplePos="0" relativeHeight="251658240" behindDoc="0" locked="0" layoutInCell="1" allowOverlap="1" wp14:anchorId="54678E3B" wp14:editId="23C84E2B">
                <wp:simplePos x="0" y="0"/>
                <wp:positionH relativeFrom="column">
                  <wp:posOffset>334010</wp:posOffset>
                </wp:positionH>
                <wp:positionV relativeFrom="paragraph">
                  <wp:posOffset>186055</wp:posOffset>
                </wp:positionV>
                <wp:extent cx="5454650" cy="4135120"/>
                <wp:effectExtent l="6350" t="9525" r="635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135120"/>
                        </a:xfrm>
                        <a:prstGeom prst="rect">
                          <a:avLst/>
                        </a:prstGeom>
                        <a:solidFill>
                          <a:srgbClr val="FFFFFF"/>
                        </a:solidFill>
                        <a:ln w="9525">
                          <a:solidFill>
                            <a:srgbClr val="000000"/>
                          </a:solidFill>
                          <a:miter lim="800000"/>
                          <a:headEnd/>
                          <a:tailEnd/>
                        </a:ln>
                      </wps:spPr>
                      <wps:txbx>
                        <w:txbxContent>
                          <w:p w14:paraId="1C19ADE7" w14:textId="130AE331" w:rsidR="00C8026A" w:rsidRDefault="00C8026A" w:rsidP="003B4922">
                            <w:pPr>
                              <w:jc w:val="both"/>
                              <w:rPr>
                                <w:rFonts w:ascii="Garamond" w:eastAsia="Cambria" w:hAnsi="Garamond" w:cs="Times New Roman"/>
                                <w:color w:val="000000" w:themeColor="text1"/>
                                <w:sz w:val="26"/>
                                <w:szCs w:val="26"/>
                              </w:rPr>
                            </w:pPr>
                            <w:r>
                              <w:rPr>
                                <w:rFonts w:ascii="Garamond" w:eastAsia="Cambria" w:hAnsi="Garamond" w:cs="Times New Roman"/>
                                <w:color w:val="000000" w:themeColor="text1"/>
                                <w:sz w:val="26"/>
                                <w:szCs w:val="26"/>
                              </w:rPr>
                              <w:t xml:space="preserve">Il sistema di limitazioni dell’accesso civico generalizzato si </w:t>
                            </w:r>
                            <w:r w:rsidR="00E20910">
                              <w:rPr>
                                <w:rFonts w:ascii="Garamond" w:eastAsia="Cambria" w:hAnsi="Garamond" w:cs="Times New Roman"/>
                                <w:color w:val="000000" w:themeColor="text1"/>
                                <w:sz w:val="26"/>
                                <w:szCs w:val="26"/>
                              </w:rPr>
                              <w:t xml:space="preserve">fonda </w:t>
                            </w:r>
                            <w:r>
                              <w:rPr>
                                <w:rFonts w:ascii="Garamond" w:eastAsia="Cambria" w:hAnsi="Garamond" w:cs="Times New Roman"/>
                                <w:color w:val="000000" w:themeColor="text1"/>
                                <w:sz w:val="26"/>
                                <w:szCs w:val="26"/>
                              </w:rPr>
                              <w:t xml:space="preserve">su una netta </w:t>
                            </w:r>
                            <w:r w:rsidR="00A263E6">
                              <w:rPr>
                                <w:rFonts w:ascii="Garamond" w:eastAsia="Cambria" w:hAnsi="Garamond" w:cs="Times New Roman"/>
                                <w:color w:val="000000" w:themeColor="text1"/>
                                <w:sz w:val="26"/>
                                <w:szCs w:val="26"/>
                              </w:rPr>
                              <w:t xml:space="preserve">linea di demarcazione </w:t>
                            </w:r>
                            <w:r>
                              <w:rPr>
                                <w:rFonts w:ascii="Garamond" w:eastAsia="Cambria" w:hAnsi="Garamond" w:cs="Times New Roman"/>
                                <w:color w:val="000000" w:themeColor="text1"/>
                                <w:sz w:val="26"/>
                                <w:szCs w:val="26"/>
                              </w:rPr>
                              <w:t xml:space="preserve">tra limiti “assoluti”, </w:t>
                            </w:r>
                            <w:r w:rsidR="00E20910">
                              <w:rPr>
                                <w:rFonts w:ascii="Garamond" w:eastAsia="Cambria" w:hAnsi="Garamond" w:cs="Times New Roman"/>
                                <w:color w:val="000000" w:themeColor="text1"/>
                                <w:sz w:val="26"/>
                                <w:szCs w:val="26"/>
                              </w:rPr>
                              <w:t xml:space="preserve">in cui il giudizio di meritevolezza dell’istanza è già escluso a monte dal legislatore (art. 5-bis, comma 3, d.lgs. n. 33 del 2013) </w:t>
                            </w:r>
                            <w:r>
                              <w:rPr>
                                <w:rFonts w:ascii="Garamond" w:eastAsia="Cambria" w:hAnsi="Garamond" w:cs="Times New Roman"/>
                                <w:color w:val="000000" w:themeColor="text1"/>
                                <w:sz w:val="26"/>
                                <w:szCs w:val="26"/>
                              </w:rPr>
                              <w:t>e limiti “relativi”</w:t>
                            </w:r>
                            <w:r w:rsidR="00E20910">
                              <w:rPr>
                                <w:rFonts w:ascii="Garamond" w:eastAsia="Cambria" w:hAnsi="Garamond" w:cs="Times New Roman"/>
                                <w:color w:val="000000" w:themeColor="text1"/>
                                <w:sz w:val="26"/>
                                <w:szCs w:val="26"/>
                              </w:rPr>
                              <w:t xml:space="preserve"> che impongono, volta per volta, all’Amministrazione una delicata attività di ponderazione del diritto di accesso civico con gli interessi (pubblici e privati) al riserbo considerati dalla norma</w:t>
                            </w:r>
                            <w:r w:rsidR="00E47194">
                              <w:rPr>
                                <w:rFonts w:ascii="Garamond" w:eastAsia="Cambria" w:hAnsi="Garamond" w:cs="Times New Roman"/>
                                <w:color w:val="000000" w:themeColor="text1"/>
                                <w:sz w:val="26"/>
                                <w:szCs w:val="26"/>
                              </w:rPr>
                              <w:t xml:space="preserve">, al fine di stabilire quale dei due diritti prevalga nel caso concreto </w:t>
                            </w:r>
                            <w:r w:rsidR="00E20910">
                              <w:rPr>
                                <w:rFonts w:ascii="Garamond" w:eastAsia="Cambria" w:hAnsi="Garamond" w:cs="Times New Roman"/>
                                <w:color w:val="000000" w:themeColor="text1"/>
                                <w:sz w:val="26"/>
                                <w:szCs w:val="26"/>
                              </w:rPr>
                              <w:t xml:space="preserve">(art. 5-bis, commi 1 e 2 d.lgs. n. 33 del 2013). </w:t>
                            </w:r>
                          </w:p>
                          <w:p w14:paraId="6B0FD1A8" w14:textId="00E1C0DF" w:rsidR="00E20910" w:rsidRDefault="00E20910" w:rsidP="003B4922">
                            <w:pPr>
                              <w:jc w:val="both"/>
                              <w:rPr>
                                <w:rFonts w:ascii="Garamond" w:eastAsia="Cambria" w:hAnsi="Garamond" w:cs="Times New Roman"/>
                                <w:color w:val="000000" w:themeColor="text1"/>
                                <w:sz w:val="26"/>
                                <w:szCs w:val="26"/>
                              </w:rPr>
                            </w:pPr>
                            <w:r>
                              <w:rPr>
                                <w:rFonts w:ascii="Garamond" w:eastAsia="Cambria" w:hAnsi="Garamond" w:cs="Times New Roman"/>
                                <w:color w:val="000000" w:themeColor="text1"/>
                                <w:sz w:val="26"/>
                                <w:szCs w:val="26"/>
                              </w:rPr>
                              <w:t>Senonchè, nel</w:t>
                            </w:r>
                            <w:r w:rsidR="005068EB">
                              <w:rPr>
                                <w:rFonts w:ascii="Garamond" w:eastAsia="Cambria" w:hAnsi="Garamond" w:cs="Times New Roman"/>
                                <w:color w:val="000000" w:themeColor="text1"/>
                                <w:sz w:val="26"/>
                                <w:szCs w:val="26"/>
                              </w:rPr>
                              <w:t xml:space="preserve">lo stabilire </w:t>
                            </w:r>
                            <w:r>
                              <w:rPr>
                                <w:rFonts w:ascii="Garamond" w:eastAsia="Cambria" w:hAnsi="Garamond" w:cs="Times New Roman"/>
                                <w:color w:val="000000" w:themeColor="text1"/>
                                <w:sz w:val="26"/>
                                <w:szCs w:val="26"/>
                              </w:rPr>
                              <w:t xml:space="preserve">i casi di esclusione “assoluta”, il legislatore, anziché </w:t>
                            </w:r>
                            <w:r w:rsidR="005068EB">
                              <w:rPr>
                                <w:rFonts w:ascii="Garamond" w:eastAsia="Cambria" w:hAnsi="Garamond" w:cs="Times New Roman"/>
                                <w:color w:val="000000" w:themeColor="text1"/>
                                <w:sz w:val="26"/>
                                <w:szCs w:val="26"/>
                              </w:rPr>
                              <w:t xml:space="preserve">individuarli direttamente, lo ha fatto con la tecnica del “rinvio” all’art. 24, comma 1, legge n. 241 del 1990, norma che, a sua volta, contiene una serie di “rinvii” ad altre normative, alcune delle quali di rango “secondario”, </w:t>
                            </w:r>
                            <w:r w:rsidR="00A263E6">
                              <w:rPr>
                                <w:rFonts w:ascii="Garamond" w:eastAsia="Cambria" w:hAnsi="Garamond" w:cs="Times New Roman"/>
                                <w:color w:val="000000" w:themeColor="text1"/>
                                <w:sz w:val="26"/>
                                <w:szCs w:val="26"/>
                              </w:rPr>
                              <w:t xml:space="preserve">che in gran parte non sono ancora state emanate ed </w:t>
                            </w:r>
                            <w:r w:rsidR="005068EB">
                              <w:rPr>
                                <w:rFonts w:ascii="Garamond" w:eastAsia="Cambria" w:hAnsi="Garamond" w:cs="Times New Roman"/>
                                <w:color w:val="000000" w:themeColor="text1"/>
                                <w:sz w:val="26"/>
                                <w:szCs w:val="26"/>
                              </w:rPr>
                              <w:t>il cui spazio regolamentare non è di agevole decifrazione</w:t>
                            </w:r>
                            <w:r w:rsidR="00A263E6">
                              <w:rPr>
                                <w:rFonts w:ascii="Garamond" w:eastAsia="Cambria" w:hAnsi="Garamond" w:cs="Times New Roman"/>
                                <w:color w:val="000000" w:themeColor="text1"/>
                                <w:sz w:val="26"/>
                                <w:szCs w:val="26"/>
                              </w:rPr>
                              <w:t>.</w:t>
                            </w:r>
                            <w:r w:rsidR="005068EB">
                              <w:rPr>
                                <w:rFonts w:ascii="Garamond" w:eastAsia="Cambria" w:hAnsi="Garamond" w:cs="Times New Roman"/>
                                <w:color w:val="000000" w:themeColor="text1"/>
                                <w:sz w:val="26"/>
                                <w:szCs w:val="26"/>
                              </w:rPr>
                              <w:t xml:space="preserve"> </w:t>
                            </w:r>
                          </w:p>
                          <w:p w14:paraId="0B09817E" w14:textId="2CC7D7DE" w:rsidR="005068EB" w:rsidRDefault="005068EB" w:rsidP="003B4922">
                            <w:pPr>
                              <w:jc w:val="both"/>
                              <w:rPr>
                                <w:rFonts w:ascii="Garamond" w:eastAsia="Cambria" w:hAnsi="Garamond" w:cs="Times New Roman"/>
                                <w:color w:val="000000" w:themeColor="text1"/>
                                <w:sz w:val="26"/>
                                <w:szCs w:val="26"/>
                              </w:rPr>
                            </w:pPr>
                            <w:r>
                              <w:rPr>
                                <w:rFonts w:ascii="Garamond" w:eastAsia="Cambria" w:hAnsi="Garamond" w:cs="Times New Roman"/>
                                <w:color w:val="000000" w:themeColor="text1"/>
                                <w:sz w:val="26"/>
                                <w:szCs w:val="26"/>
                              </w:rPr>
                              <w:t xml:space="preserve">Il </w:t>
                            </w:r>
                            <w:r w:rsidR="00E20910">
                              <w:rPr>
                                <w:rFonts w:ascii="Garamond" w:eastAsia="Cambria" w:hAnsi="Garamond" w:cs="Times New Roman"/>
                                <w:color w:val="000000" w:themeColor="text1"/>
                                <w:sz w:val="26"/>
                                <w:szCs w:val="26"/>
                              </w:rPr>
                              <w:t>sistema rischia</w:t>
                            </w:r>
                            <w:r>
                              <w:rPr>
                                <w:rFonts w:ascii="Garamond" w:eastAsia="Cambria" w:hAnsi="Garamond" w:cs="Times New Roman"/>
                                <w:color w:val="000000" w:themeColor="text1"/>
                                <w:sz w:val="26"/>
                                <w:szCs w:val="26"/>
                              </w:rPr>
                              <w:t xml:space="preserve"> </w:t>
                            </w:r>
                            <w:r w:rsidR="00E20910">
                              <w:rPr>
                                <w:rFonts w:ascii="Garamond" w:eastAsia="Cambria" w:hAnsi="Garamond" w:cs="Times New Roman"/>
                                <w:color w:val="000000" w:themeColor="text1"/>
                                <w:sz w:val="26"/>
                                <w:szCs w:val="26"/>
                              </w:rPr>
                              <w:t>di entrare in crisi nella misura in cui</w:t>
                            </w:r>
                            <w:r>
                              <w:rPr>
                                <w:rFonts w:ascii="Garamond" w:eastAsia="Cambria" w:hAnsi="Garamond" w:cs="Times New Roman"/>
                                <w:color w:val="000000" w:themeColor="text1"/>
                                <w:sz w:val="26"/>
                                <w:szCs w:val="26"/>
                              </w:rPr>
                              <w:t xml:space="preserve"> </w:t>
                            </w:r>
                            <w:r w:rsidR="00A263E6">
                              <w:rPr>
                                <w:rFonts w:ascii="Garamond" w:eastAsia="Cambria" w:hAnsi="Garamond" w:cs="Times New Roman"/>
                                <w:color w:val="000000" w:themeColor="text1"/>
                                <w:sz w:val="26"/>
                                <w:szCs w:val="26"/>
                              </w:rPr>
                              <w:t>questo meccanismo di “rinvii multipli a cascata” a fonti regolamentari non trascini nell’ambito delle limitazioni “assolute” anche le categorie di interessi elencati dall’art. 5-bis</w:t>
                            </w:r>
                            <w:r w:rsidR="00E47194">
                              <w:rPr>
                                <w:rFonts w:ascii="Garamond" w:eastAsia="Cambria" w:hAnsi="Garamond" w:cs="Times New Roman"/>
                                <w:color w:val="000000" w:themeColor="text1"/>
                                <w:sz w:val="26"/>
                                <w:szCs w:val="26"/>
                              </w:rPr>
                              <w:t xml:space="preserve">, commi 1 e 2, d.lgs. n. 33 del 2013, privando queste ultime disposizioni </w:t>
                            </w:r>
                            <w:r w:rsidR="00A263E6">
                              <w:rPr>
                                <w:rFonts w:ascii="Garamond" w:eastAsia="Cambria" w:hAnsi="Garamond" w:cs="Times New Roman"/>
                                <w:color w:val="000000" w:themeColor="text1"/>
                                <w:sz w:val="26"/>
                                <w:szCs w:val="26"/>
                              </w:rPr>
                              <w:t xml:space="preserve">di un </w:t>
                            </w:r>
                            <w:r w:rsidR="00E47194">
                              <w:rPr>
                                <w:rFonts w:ascii="Garamond" w:eastAsia="Cambria" w:hAnsi="Garamond" w:cs="Times New Roman"/>
                                <w:color w:val="000000" w:themeColor="text1"/>
                                <w:sz w:val="26"/>
                                <w:szCs w:val="26"/>
                              </w:rPr>
                              <w:t xml:space="preserve">distinto ed </w:t>
                            </w:r>
                            <w:r w:rsidR="00A263E6">
                              <w:rPr>
                                <w:rFonts w:ascii="Garamond" w:eastAsia="Cambria" w:hAnsi="Garamond" w:cs="Times New Roman"/>
                                <w:color w:val="000000" w:themeColor="text1"/>
                                <w:sz w:val="26"/>
                                <w:szCs w:val="26"/>
                              </w:rPr>
                              <w:t>autonomo spazio applica</w:t>
                            </w:r>
                            <w:bookmarkStart w:id="0" w:name="_GoBack"/>
                            <w:bookmarkEnd w:id="0"/>
                            <w:r w:rsidR="00A263E6">
                              <w:rPr>
                                <w:rFonts w:ascii="Garamond" w:eastAsia="Cambria" w:hAnsi="Garamond" w:cs="Times New Roman"/>
                                <w:color w:val="000000" w:themeColor="text1"/>
                                <w:sz w:val="26"/>
                                <w:szCs w:val="26"/>
                              </w:rPr>
                              <w:t>tivo</w:t>
                            </w:r>
                            <w:r w:rsidR="00E47194">
                              <w:rPr>
                                <w:rFonts w:ascii="Garamond" w:eastAsia="Cambria" w:hAnsi="Garamond" w:cs="Times New Roman"/>
                                <w:color w:val="000000" w:themeColor="text1"/>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78E3B" id="_x0000_t202" coordsize="21600,21600" o:spt="202" path="m,l,21600r21600,l21600,xe">
                <v:stroke joinstyle="miter"/>
                <v:path gradientshapeok="t" o:connecttype="rect"/>
              </v:shapetype>
              <v:shape id="Text Box 2" o:spid="_x0000_s1026" type="#_x0000_t202" style="position:absolute;left:0;text-align:left;margin-left:26.3pt;margin-top:14.65pt;width:429.5pt;height:3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">
                <v:textbox>
                  <w:txbxContent>
                    <w:p w14:paraId="1C19ADE7" w14:textId="130AE331" w:rsidR="00C8026A" w:rsidRDefault="00C8026A" w:rsidP="003B4922">
                      <w:pPr>
                        <w:jc w:val="both"/>
                        <w:rPr>
                          <w:rFonts w:ascii="Garamond" w:eastAsia="Cambria" w:hAnsi="Garamond" w:cs="Times New Roman"/>
                          <w:color w:val="000000" w:themeColor="text1"/>
                          <w:sz w:val="26"/>
                          <w:szCs w:val="26"/>
                        </w:rPr>
                      </w:pPr>
                      <w:r>
                        <w:rPr>
                          <w:rFonts w:ascii="Garamond" w:eastAsia="Cambria" w:hAnsi="Garamond" w:cs="Times New Roman"/>
                          <w:color w:val="000000" w:themeColor="text1"/>
                          <w:sz w:val="26"/>
                          <w:szCs w:val="26"/>
                        </w:rPr>
                        <w:t xml:space="preserve">Il sistema di limitazioni dell’accesso civico generalizzato si </w:t>
                      </w:r>
                      <w:r w:rsidR="00E20910">
                        <w:rPr>
                          <w:rFonts w:ascii="Garamond" w:eastAsia="Cambria" w:hAnsi="Garamond" w:cs="Times New Roman"/>
                          <w:color w:val="000000" w:themeColor="text1"/>
                          <w:sz w:val="26"/>
                          <w:szCs w:val="26"/>
                        </w:rPr>
                        <w:t xml:space="preserve">fonda </w:t>
                      </w:r>
                      <w:r>
                        <w:rPr>
                          <w:rFonts w:ascii="Garamond" w:eastAsia="Cambria" w:hAnsi="Garamond" w:cs="Times New Roman"/>
                          <w:color w:val="000000" w:themeColor="text1"/>
                          <w:sz w:val="26"/>
                          <w:szCs w:val="26"/>
                        </w:rPr>
                        <w:t xml:space="preserve">su una netta </w:t>
                      </w:r>
                      <w:r w:rsidR="00A263E6">
                        <w:rPr>
                          <w:rFonts w:ascii="Garamond" w:eastAsia="Cambria" w:hAnsi="Garamond" w:cs="Times New Roman"/>
                          <w:color w:val="000000" w:themeColor="text1"/>
                          <w:sz w:val="26"/>
                          <w:szCs w:val="26"/>
                        </w:rPr>
                        <w:t xml:space="preserve">linea di demarcazione </w:t>
                      </w:r>
                      <w:r>
                        <w:rPr>
                          <w:rFonts w:ascii="Garamond" w:eastAsia="Cambria" w:hAnsi="Garamond" w:cs="Times New Roman"/>
                          <w:color w:val="000000" w:themeColor="text1"/>
                          <w:sz w:val="26"/>
                          <w:szCs w:val="26"/>
                        </w:rPr>
                        <w:t xml:space="preserve">tra limiti “assoluti”, </w:t>
                      </w:r>
                      <w:r w:rsidR="00E20910">
                        <w:rPr>
                          <w:rFonts w:ascii="Garamond" w:eastAsia="Cambria" w:hAnsi="Garamond" w:cs="Times New Roman"/>
                          <w:color w:val="000000" w:themeColor="text1"/>
                          <w:sz w:val="26"/>
                          <w:szCs w:val="26"/>
                        </w:rPr>
                        <w:t xml:space="preserve">in cui il giudizio di meritevolezza dell’istanza è già escluso a monte dal legislatore (art. 5-bis, comma 3, d.lgs. n. 33 del 2013) </w:t>
                      </w:r>
                      <w:r>
                        <w:rPr>
                          <w:rFonts w:ascii="Garamond" w:eastAsia="Cambria" w:hAnsi="Garamond" w:cs="Times New Roman"/>
                          <w:color w:val="000000" w:themeColor="text1"/>
                          <w:sz w:val="26"/>
                          <w:szCs w:val="26"/>
                        </w:rPr>
                        <w:t>e limiti “relativi”</w:t>
                      </w:r>
                      <w:r w:rsidR="00E20910">
                        <w:rPr>
                          <w:rFonts w:ascii="Garamond" w:eastAsia="Cambria" w:hAnsi="Garamond" w:cs="Times New Roman"/>
                          <w:color w:val="000000" w:themeColor="text1"/>
                          <w:sz w:val="26"/>
                          <w:szCs w:val="26"/>
                        </w:rPr>
                        <w:t xml:space="preserve"> che impongono, volta per volta, all’Amministrazione una delicata attività di ponderazione del diritto di accesso civico con gli interessi (pubblici e privati) al riserbo considerati dalla norma</w:t>
                      </w:r>
                      <w:r w:rsidR="00E47194">
                        <w:rPr>
                          <w:rFonts w:ascii="Garamond" w:eastAsia="Cambria" w:hAnsi="Garamond" w:cs="Times New Roman"/>
                          <w:color w:val="000000" w:themeColor="text1"/>
                          <w:sz w:val="26"/>
                          <w:szCs w:val="26"/>
                        </w:rPr>
                        <w:t xml:space="preserve">, al fine di stabilire quale dei due diritti prevalga nel caso concreto </w:t>
                      </w:r>
                      <w:r w:rsidR="00E20910">
                        <w:rPr>
                          <w:rFonts w:ascii="Garamond" w:eastAsia="Cambria" w:hAnsi="Garamond" w:cs="Times New Roman"/>
                          <w:color w:val="000000" w:themeColor="text1"/>
                          <w:sz w:val="26"/>
                          <w:szCs w:val="26"/>
                        </w:rPr>
                        <w:t xml:space="preserve">(art. 5-bis, commi 1 e 2 d.lgs. n. 33 del 2013). </w:t>
                      </w:r>
                    </w:p>
                    <w:p w14:paraId="6B0FD1A8" w14:textId="00E1C0DF" w:rsidR="00E20910" w:rsidRDefault="00E20910" w:rsidP="003B4922">
                      <w:pPr>
                        <w:jc w:val="both"/>
                        <w:rPr>
                          <w:rFonts w:ascii="Garamond" w:eastAsia="Cambria" w:hAnsi="Garamond" w:cs="Times New Roman"/>
                          <w:color w:val="000000" w:themeColor="text1"/>
                          <w:sz w:val="26"/>
                          <w:szCs w:val="26"/>
                        </w:rPr>
                      </w:pPr>
                      <w:r>
                        <w:rPr>
                          <w:rFonts w:ascii="Garamond" w:eastAsia="Cambria" w:hAnsi="Garamond" w:cs="Times New Roman"/>
                          <w:color w:val="000000" w:themeColor="text1"/>
                          <w:sz w:val="26"/>
                          <w:szCs w:val="26"/>
                        </w:rPr>
                        <w:t>Senonchè, nel</w:t>
                      </w:r>
                      <w:r w:rsidR="005068EB">
                        <w:rPr>
                          <w:rFonts w:ascii="Garamond" w:eastAsia="Cambria" w:hAnsi="Garamond" w:cs="Times New Roman"/>
                          <w:color w:val="000000" w:themeColor="text1"/>
                          <w:sz w:val="26"/>
                          <w:szCs w:val="26"/>
                        </w:rPr>
                        <w:t xml:space="preserve">lo stabilire </w:t>
                      </w:r>
                      <w:r>
                        <w:rPr>
                          <w:rFonts w:ascii="Garamond" w:eastAsia="Cambria" w:hAnsi="Garamond" w:cs="Times New Roman"/>
                          <w:color w:val="000000" w:themeColor="text1"/>
                          <w:sz w:val="26"/>
                          <w:szCs w:val="26"/>
                        </w:rPr>
                        <w:t xml:space="preserve">i casi di esclusione “assoluta”, il legislatore, anziché </w:t>
                      </w:r>
                      <w:r w:rsidR="005068EB">
                        <w:rPr>
                          <w:rFonts w:ascii="Garamond" w:eastAsia="Cambria" w:hAnsi="Garamond" w:cs="Times New Roman"/>
                          <w:color w:val="000000" w:themeColor="text1"/>
                          <w:sz w:val="26"/>
                          <w:szCs w:val="26"/>
                        </w:rPr>
                        <w:t xml:space="preserve">individuarli direttamente, lo ha fatto con la tecnica del “rinvio” all’art. 24, comma 1, legge n. 241 del 1990, norma che, a sua volta, contiene una serie di “rinvii” ad altre normative, alcune delle quali di rango “secondario”, </w:t>
                      </w:r>
                      <w:r w:rsidR="00A263E6">
                        <w:rPr>
                          <w:rFonts w:ascii="Garamond" w:eastAsia="Cambria" w:hAnsi="Garamond" w:cs="Times New Roman"/>
                          <w:color w:val="000000" w:themeColor="text1"/>
                          <w:sz w:val="26"/>
                          <w:szCs w:val="26"/>
                        </w:rPr>
                        <w:t xml:space="preserve">che in gran parte non sono ancora state emanate ed </w:t>
                      </w:r>
                      <w:r w:rsidR="005068EB">
                        <w:rPr>
                          <w:rFonts w:ascii="Garamond" w:eastAsia="Cambria" w:hAnsi="Garamond" w:cs="Times New Roman"/>
                          <w:color w:val="000000" w:themeColor="text1"/>
                          <w:sz w:val="26"/>
                          <w:szCs w:val="26"/>
                        </w:rPr>
                        <w:t>il cui spazio regolamentare non è di agevole decifrazione</w:t>
                      </w:r>
                      <w:r w:rsidR="00A263E6">
                        <w:rPr>
                          <w:rFonts w:ascii="Garamond" w:eastAsia="Cambria" w:hAnsi="Garamond" w:cs="Times New Roman"/>
                          <w:color w:val="000000" w:themeColor="text1"/>
                          <w:sz w:val="26"/>
                          <w:szCs w:val="26"/>
                        </w:rPr>
                        <w:t>.</w:t>
                      </w:r>
                      <w:r w:rsidR="005068EB">
                        <w:rPr>
                          <w:rFonts w:ascii="Garamond" w:eastAsia="Cambria" w:hAnsi="Garamond" w:cs="Times New Roman"/>
                          <w:color w:val="000000" w:themeColor="text1"/>
                          <w:sz w:val="26"/>
                          <w:szCs w:val="26"/>
                        </w:rPr>
                        <w:t xml:space="preserve"> </w:t>
                      </w:r>
                    </w:p>
                    <w:p w14:paraId="0B09817E" w14:textId="2CC7D7DE" w:rsidR="005068EB" w:rsidRDefault="005068EB" w:rsidP="003B4922">
                      <w:pPr>
                        <w:jc w:val="both"/>
                        <w:rPr>
                          <w:rFonts w:ascii="Garamond" w:eastAsia="Cambria" w:hAnsi="Garamond" w:cs="Times New Roman"/>
                          <w:color w:val="000000" w:themeColor="text1"/>
                          <w:sz w:val="26"/>
                          <w:szCs w:val="26"/>
                        </w:rPr>
                      </w:pPr>
                      <w:r>
                        <w:rPr>
                          <w:rFonts w:ascii="Garamond" w:eastAsia="Cambria" w:hAnsi="Garamond" w:cs="Times New Roman"/>
                          <w:color w:val="000000" w:themeColor="text1"/>
                          <w:sz w:val="26"/>
                          <w:szCs w:val="26"/>
                        </w:rPr>
                        <w:t xml:space="preserve">Il </w:t>
                      </w:r>
                      <w:r w:rsidR="00E20910">
                        <w:rPr>
                          <w:rFonts w:ascii="Garamond" w:eastAsia="Cambria" w:hAnsi="Garamond" w:cs="Times New Roman"/>
                          <w:color w:val="000000" w:themeColor="text1"/>
                          <w:sz w:val="26"/>
                          <w:szCs w:val="26"/>
                        </w:rPr>
                        <w:t>sistema rischia</w:t>
                      </w:r>
                      <w:r>
                        <w:rPr>
                          <w:rFonts w:ascii="Garamond" w:eastAsia="Cambria" w:hAnsi="Garamond" w:cs="Times New Roman"/>
                          <w:color w:val="000000" w:themeColor="text1"/>
                          <w:sz w:val="26"/>
                          <w:szCs w:val="26"/>
                        </w:rPr>
                        <w:t xml:space="preserve"> </w:t>
                      </w:r>
                      <w:r w:rsidR="00E20910">
                        <w:rPr>
                          <w:rFonts w:ascii="Garamond" w:eastAsia="Cambria" w:hAnsi="Garamond" w:cs="Times New Roman"/>
                          <w:color w:val="000000" w:themeColor="text1"/>
                          <w:sz w:val="26"/>
                          <w:szCs w:val="26"/>
                        </w:rPr>
                        <w:t>di entrare in crisi nella misura in cui</w:t>
                      </w:r>
                      <w:r>
                        <w:rPr>
                          <w:rFonts w:ascii="Garamond" w:eastAsia="Cambria" w:hAnsi="Garamond" w:cs="Times New Roman"/>
                          <w:color w:val="000000" w:themeColor="text1"/>
                          <w:sz w:val="26"/>
                          <w:szCs w:val="26"/>
                        </w:rPr>
                        <w:t xml:space="preserve"> </w:t>
                      </w:r>
                      <w:r w:rsidR="00A263E6">
                        <w:rPr>
                          <w:rFonts w:ascii="Garamond" w:eastAsia="Cambria" w:hAnsi="Garamond" w:cs="Times New Roman"/>
                          <w:color w:val="000000" w:themeColor="text1"/>
                          <w:sz w:val="26"/>
                          <w:szCs w:val="26"/>
                        </w:rPr>
                        <w:t>questo meccanismo di “rinvii multipli a cascata” a fonti regolamentari non trascini nell’ambito delle limitazioni “assolute” anche le categorie di interessi elencati dall’art. 5-bis</w:t>
                      </w:r>
                      <w:r w:rsidR="00E47194">
                        <w:rPr>
                          <w:rFonts w:ascii="Garamond" w:eastAsia="Cambria" w:hAnsi="Garamond" w:cs="Times New Roman"/>
                          <w:color w:val="000000" w:themeColor="text1"/>
                          <w:sz w:val="26"/>
                          <w:szCs w:val="26"/>
                        </w:rPr>
                        <w:t xml:space="preserve">, commi 1 e 2, d.lgs. n. 33 del 2013, privando queste ultime disposizioni </w:t>
                      </w:r>
                      <w:r w:rsidR="00A263E6">
                        <w:rPr>
                          <w:rFonts w:ascii="Garamond" w:eastAsia="Cambria" w:hAnsi="Garamond" w:cs="Times New Roman"/>
                          <w:color w:val="000000" w:themeColor="text1"/>
                          <w:sz w:val="26"/>
                          <w:szCs w:val="26"/>
                        </w:rPr>
                        <w:t xml:space="preserve">di un </w:t>
                      </w:r>
                      <w:r w:rsidR="00E47194">
                        <w:rPr>
                          <w:rFonts w:ascii="Garamond" w:eastAsia="Cambria" w:hAnsi="Garamond" w:cs="Times New Roman"/>
                          <w:color w:val="000000" w:themeColor="text1"/>
                          <w:sz w:val="26"/>
                          <w:szCs w:val="26"/>
                        </w:rPr>
                        <w:t xml:space="preserve">distinto ed </w:t>
                      </w:r>
                      <w:r w:rsidR="00A263E6">
                        <w:rPr>
                          <w:rFonts w:ascii="Garamond" w:eastAsia="Cambria" w:hAnsi="Garamond" w:cs="Times New Roman"/>
                          <w:color w:val="000000" w:themeColor="text1"/>
                          <w:sz w:val="26"/>
                          <w:szCs w:val="26"/>
                        </w:rPr>
                        <w:t>autonomo spazio applica</w:t>
                      </w:r>
                      <w:bookmarkStart w:id="1" w:name="_GoBack"/>
                      <w:bookmarkEnd w:id="1"/>
                      <w:r w:rsidR="00A263E6">
                        <w:rPr>
                          <w:rFonts w:ascii="Garamond" w:eastAsia="Cambria" w:hAnsi="Garamond" w:cs="Times New Roman"/>
                          <w:color w:val="000000" w:themeColor="text1"/>
                          <w:sz w:val="26"/>
                          <w:szCs w:val="26"/>
                        </w:rPr>
                        <w:t>tivo</w:t>
                      </w:r>
                      <w:r w:rsidR="00E47194">
                        <w:rPr>
                          <w:rFonts w:ascii="Garamond" w:eastAsia="Cambria" w:hAnsi="Garamond" w:cs="Times New Roman"/>
                          <w:color w:val="000000" w:themeColor="text1"/>
                          <w:sz w:val="26"/>
                          <w:szCs w:val="26"/>
                        </w:rPr>
                        <w:t>.</w:t>
                      </w:r>
                    </w:p>
                  </w:txbxContent>
                </v:textbox>
              </v:shape>
            </w:pict>
          </mc:Fallback>
        </mc:AlternateContent>
      </w:r>
    </w:p>
    <w:p w14:paraId="23425A4E" w14:textId="77777777" w:rsidR="00B71E9A" w:rsidRDefault="00B71E9A" w:rsidP="00792D4B">
      <w:pPr>
        <w:spacing w:line="360" w:lineRule="auto"/>
        <w:ind w:left="567" w:right="567"/>
        <w:jc w:val="both"/>
        <w:rPr>
          <w:rFonts w:ascii="Garamond" w:hAnsi="Garamond" w:cs="Times New Roman"/>
          <w:b/>
          <w:color w:val="000000" w:themeColor="text1"/>
          <w:sz w:val="26"/>
          <w:szCs w:val="26"/>
          <w:u w:val="single"/>
        </w:rPr>
      </w:pPr>
    </w:p>
    <w:p w14:paraId="438F252C" w14:textId="505C33E3" w:rsidR="00B71E9A" w:rsidRDefault="00B71E9A" w:rsidP="00792D4B">
      <w:pPr>
        <w:spacing w:line="360" w:lineRule="auto"/>
        <w:ind w:left="567" w:right="567"/>
        <w:jc w:val="both"/>
        <w:rPr>
          <w:rFonts w:ascii="Garamond" w:hAnsi="Garamond" w:cs="Times New Roman"/>
          <w:b/>
          <w:color w:val="000000" w:themeColor="text1"/>
          <w:sz w:val="26"/>
          <w:szCs w:val="26"/>
          <w:u w:val="single"/>
        </w:rPr>
      </w:pPr>
    </w:p>
    <w:p w14:paraId="7C3F5963" w14:textId="1655C914" w:rsidR="00C8026A" w:rsidRDefault="00C8026A" w:rsidP="00792D4B">
      <w:pPr>
        <w:spacing w:line="360" w:lineRule="auto"/>
        <w:ind w:left="567" w:right="567"/>
        <w:jc w:val="both"/>
        <w:rPr>
          <w:rFonts w:ascii="Garamond" w:hAnsi="Garamond" w:cs="Times New Roman"/>
          <w:b/>
          <w:color w:val="000000" w:themeColor="text1"/>
          <w:sz w:val="26"/>
          <w:szCs w:val="26"/>
          <w:u w:val="single"/>
        </w:rPr>
      </w:pPr>
      <w:r>
        <w:rPr>
          <w:rFonts w:ascii="Garamond" w:hAnsi="Garamond" w:cs="Times New Roman"/>
          <w:b/>
          <w:color w:val="000000" w:themeColor="text1"/>
          <w:sz w:val="26"/>
          <w:szCs w:val="26"/>
          <w:u w:val="single"/>
        </w:rPr>
        <w:t xml:space="preserve">Il </w:t>
      </w:r>
      <w:proofErr w:type="spellStart"/>
      <w:r>
        <w:rPr>
          <w:rFonts w:ascii="Garamond" w:hAnsi="Garamond" w:cs="Times New Roman"/>
          <w:b/>
          <w:color w:val="000000" w:themeColor="text1"/>
          <w:sz w:val="26"/>
          <w:szCs w:val="26"/>
          <w:u w:val="single"/>
        </w:rPr>
        <w:t>illll</w:t>
      </w:r>
      <w:proofErr w:type="spellEnd"/>
    </w:p>
    <w:p w14:paraId="6591E3B8" w14:textId="30087ACF" w:rsidR="00B71E9A" w:rsidRDefault="00C8026A" w:rsidP="00792D4B">
      <w:pPr>
        <w:spacing w:line="360" w:lineRule="auto"/>
        <w:ind w:left="567" w:right="567"/>
        <w:jc w:val="both"/>
        <w:rPr>
          <w:rFonts w:ascii="Garamond" w:hAnsi="Garamond" w:cs="Times New Roman"/>
          <w:b/>
          <w:color w:val="000000" w:themeColor="text1"/>
          <w:sz w:val="26"/>
          <w:szCs w:val="26"/>
          <w:u w:val="single"/>
        </w:rPr>
      </w:pPr>
      <w:proofErr w:type="spellStart"/>
      <w:r>
        <w:rPr>
          <w:rFonts w:ascii="Garamond" w:hAnsi="Garamond" w:cs="Times New Roman"/>
          <w:b/>
          <w:color w:val="000000" w:themeColor="text1"/>
          <w:sz w:val="26"/>
          <w:szCs w:val="26"/>
          <w:u w:val="single"/>
        </w:rPr>
        <w:t>IIl</w:t>
      </w:r>
      <w:proofErr w:type="spellEnd"/>
    </w:p>
    <w:p w14:paraId="28DA08C6" w14:textId="77777777" w:rsidR="00B71E9A" w:rsidRDefault="00B71E9A" w:rsidP="00792D4B">
      <w:pPr>
        <w:spacing w:line="360" w:lineRule="auto"/>
        <w:ind w:left="567" w:right="567"/>
        <w:jc w:val="both"/>
        <w:rPr>
          <w:rFonts w:ascii="Garamond" w:hAnsi="Garamond" w:cs="Times New Roman"/>
          <w:b/>
          <w:color w:val="000000" w:themeColor="text1"/>
          <w:sz w:val="26"/>
          <w:szCs w:val="26"/>
          <w:u w:val="single"/>
        </w:rPr>
      </w:pPr>
    </w:p>
    <w:p w14:paraId="4F8F623B" w14:textId="77777777" w:rsidR="00B71E9A" w:rsidRDefault="00B71E9A" w:rsidP="00792D4B">
      <w:pPr>
        <w:spacing w:line="360" w:lineRule="auto"/>
        <w:ind w:left="567" w:right="567"/>
        <w:jc w:val="both"/>
        <w:rPr>
          <w:rFonts w:ascii="Garamond" w:hAnsi="Garamond" w:cs="Times New Roman"/>
          <w:b/>
          <w:color w:val="000000" w:themeColor="text1"/>
          <w:sz w:val="26"/>
          <w:szCs w:val="26"/>
          <w:u w:val="single"/>
        </w:rPr>
      </w:pPr>
    </w:p>
    <w:p w14:paraId="4AB84427" w14:textId="77777777" w:rsidR="00B71E9A" w:rsidRDefault="00B71E9A" w:rsidP="00792D4B">
      <w:pPr>
        <w:spacing w:line="360" w:lineRule="auto"/>
        <w:ind w:left="567" w:right="567"/>
        <w:jc w:val="both"/>
        <w:rPr>
          <w:rFonts w:ascii="Garamond" w:hAnsi="Garamond" w:cs="Times New Roman"/>
          <w:b/>
          <w:color w:val="000000" w:themeColor="text1"/>
          <w:sz w:val="26"/>
          <w:szCs w:val="26"/>
          <w:u w:val="single"/>
        </w:rPr>
      </w:pPr>
    </w:p>
    <w:p w14:paraId="1A1B7A64" w14:textId="77777777" w:rsidR="003536D7" w:rsidRDefault="003536D7" w:rsidP="00792D4B">
      <w:pPr>
        <w:spacing w:line="360" w:lineRule="auto"/>
        <w:ind w:left="567" w:right="567"/>
        <w:jc w:val="both"/>
        <w:rPr>
          <w:rFonts w:ascii="Garamond" w:hAnsi="Garamond" w:cs="Times New Roman"/>
          <w:b/>
          <w:color w:val="000000" w:themeColor="text1"/>
          <w:sz w:val="26"/>
          <w:szCs w:val="26"/>
          <w:u w:val="single"/>
        </w:rPr>
      </w:pPr>
    </w:p>
    <w:p w14:paraId="2B330939" w14:textId="77777777" w:rsidR="003536D7" w:rsidRDefault="003536D7" w:rsidP="00792D4B">
      <w:pPr>
        <w:spacing w:line="360" w:lineRule="auto"/>
        <w:ind w:left="567" w:right="567"/>
        <w:jc w:val="both"/>
        <w:rPr>
          <w:rFonts w:ascii="Garamond" w:hAnsi="Garamond" w:cs="Times New Roman"/>
          <w:b/>
          <w:color w:val="000000" w:themeColor="text1"/>
          <w:sz w:val="26"/>
          <w:szCs w:val="26"/>
          <w:u w:val="single"/>
        </w:rPr>
      </w:pPr>
    </w:p>
    <w:p w14:paraId="5FF5A0B4" w14:textId="77777777" w:rsidR="003536D7" w:rsidRDefault="003536D7" w:rsidP="00792D4B">
      <w:pPr>
        <w:spacing w:line="360" w:lineRule="auto"/>
        <w:ind w:left="567" w:right="567"/>
        <w:jc w:val="both"/>
        <w:rPr>
          <w:rFonts w:ascii="Garamond" w:hAnsi="Garamond" w:cs="Times New Roman"/>
          <w:b/>
          <w:color w:val="000000" w:themeColor="text1"/>
          <w:sz w:val="26"/>
          <w:szCs w:val="26"/>
          <w:u w:val="single"/>
        </w:rPr>
      </w:pPr>
    </w:p>
    <w:p w14:paraId="6D2300CA" w14:textId="77777777" w:rsidR="003536D7" w:rsidRDefault="003536D7" w:rsidP="00792D4B">
      <w:pPr>
        <w:spacing w:line="360" w:lineRule="auto"/>
        <w:ind w:left="567" w:right="567"/>
        <w:jc w:val="both"/>
        <w:rPr>
          <w:rFonts w:ascii="Garamond" w:hAnsi="Garamond" w:cs="Times New Roman"/>
          <w:b/>
          <w:color w:val="000000" w:themeColor="text1"/>
          <w:sz w:val="26"/>
          <w:szCs w:val="26"/>
          <w:u w:val="single"/>
        </w:rPr>
      </w:pPr>
    </w:p>
    <w:p w14:paraId="72E238B2" w14:textId="77777777" w:rsidR="003536D7" w:rsidRDefault="003536D7" w:rsidP="00792D4B">
      <w:pPr>
        <w:spacing w:line="360" w:lineRule="auto"/>
        <w:ind w:left="567" w:right="567"/>
        <w:jc w:val="both"/>
        <w:rPr>
          <w:rFonts w:ascii="Garamond" w:hAnsi="Garamond" w:cs="Times New Roman"/>
          <w:b/>
          <w:color w:val="000000" w:themeColor="text1"/>
          <w:sz w:val="26"/>
          <w:szCs w:val="26"/>
          <w:u w:val="single"/>
        </w:rPr>
      </w:pPr>
    </w:p>
    <w:p w14:paraId="6BA5F37B" w14:textId="77777777" w:rsidR="003536D7" w:rsidRDefault="003536D7" w:rsidP="00792D4B">
      <w:pPr>
        <w:spacing w:line="360" w:lineRule="auto"/>
        <w:ind w:left="567" w:right="567"/>
        <w:jc w:val="both"/>
        <w:rPr>
          <w:rFonts w:ascii="Garamond" w:hAnsi="Garamond" w:cs="Times New Roman"/>
          <w:b/>
          <w:color w:val="000000" w:themeColor="text1"/>
          <w:sz w:val="26"/>
          <w:szCs w:val="26"/>
          <w:u w:val="single"/>
        </w:rPr>
      </w:pPr>
    </w:p>
    <w:p w14:paraId="587AA866" w14:textId="77777777" w:rsidR="003536D7" w:rsidRDefault="003536D7" w:rsidP="00792D4B">
      <w:pPr>
        <w:spacing w:line="360" w:lineRule="auto"/>
        <w:ind w:left="567" w:right="567"/>
        <w:jc w:val="both"/>
        <w:rPr>
          <w:rFonts w:ascii="Garamond" w:hAnsi="Garamond" w:cs="Times New Roman"/>
          <w:b/>
          <w:color w:val="000000" w:themeColor="text1"/>
          <w:sz w:val="26"/>
          <w:szCs w:val="26"/>
          <w:u w:val="single"/>
        </w:rPr>
      </w:pPr>
    </w:p>
    <w:p w14:paraId="749B2E7D" w14:textId="77777777" w:rsidR="003536D7" w:rsidRDefault="003536D7" w:rsidP="00792D4B">
      <w:pPr>
        <w:spacing w:line="360" w:lineRule="auto"/>
        <w:ind w:left="567" w:right="567"/>
        <w:jc w:val="both"/>
        <w:rPr>
          <w:rFonts w:ascii="Garamond" w:hAnsi="Garamond" w:cs="Times New Roman"/>
          <w:b/>
          <w:color w:val="000000" w:themeColor="text1"/>
          <w:sz w:val="26"/>
          <w:szCs w:val="26"/>
          <w:u w:val="single"/>
        </w:rPr>
      </w:pPr>
    </w:p>
    <w:p w14:paraId="00535EA9" w14:textId="77777777" w:rsidR="00F83D35" w:rsidRDefault="00F83D35" w:rsidP="003536D7">
      <w:pPr>
        <w:ind w:left="567" w:right="567"/>
        <w:jc w:val="both"/>
        <w:rPr>
          <w:rFonts w:ascii="Garamond" w:hAnsi="Garamond" w:cs="Times New Roman"/>
          <w:b/>
          <w:color w:val="000000" w:themeColor="text1"/>
          <w:sz w:val="26"/>
          <w:szCs w:val="26"/>
          <w:u w:val="single"/>
        </w:rPr>
      </w:pPr>
    </w:p>
    <w:p w14:paraId="19632694" w14:textId="77777777" w:rsidR="00F83D35" w:rsidRDefault="00F83D35" w:rsidP="003536D7">
      <w:pPr>
        <w:ind w:left="567" w:right="567"/>
        <w:jc w:val="both"/>
        <w:rPr>
          <w:rFonts w:ascii="Garamond" w:hAnsi="Garamond" w:cs="Times New Roman"/>
          <w:b/>
          <w:color w:val="000000" w:themeColor="text1"/>
          <w:sz w:val="26"/>
          <w:szCs w:val="26"/>
          <w:u w:val="single"/>
        </w:rPr>
      </w:pPr>
    </w:p>
    <w:p w14:paraId="2319BA84" w14:textId="79FFA634" w:rsidR="003D73B9" w:rsidRDefault="00D70FCF" w:rsidP="00B708DA">
      <w:pPr>
        <w:spacing w:line="360" w:lineRule="auto"/>
        <w:ind w:left="567" w:right="567"/>
        <w:jc w:val="both"/>
        <w:rPr>
          <w:rFonts w:ascii="Garamond" w:hAnsi="Garamond" w:cs="Arial"/>
          <w:color w:val="000000"/>
          <w:sz w:val="26"/>
          <w:szCs w:val="26"/>
        </w:rPr>
      </w:pPr>
      <w:r w:rsidRPr="00B97122">
        <w:rPr>
          <w:rFonts w:ascii="Garamond" w:hAnsi="Garamond" w:cs="Times New Roman"/>
          <w:b/>
          <w:color w:val="000000" w:themeColor="text1"/>
          <w:sz w:val="26"/>
          <w:szCs w:val="26"/>
          <w:u w:val="single"/>
        </w:rPr>
        <w:t>Sommario</w:t>
      </w:r>
      <w:r w:rsidRPr="00B97122">
        <w:rPr>
          <w:rFonts w:ascii="Garamond" w:hAnsi="Garamond" w:cs="Times New Roman"/>
          <w:b/>
          <w:color w:val="000000" w:themeColor="text1"/>
          <w:sz w:val="26"/>
          <w:szCs w:val="26"/>
        </w:rPr>
        <w:t xml:space="preserve">: </w:t>
      </w:r>
      <w:r w:rsidR="003D73B9">
        <w:rPr>
          <w:rFonts w:ascii="Garamond" w:hAnsi="Garamond" w:cs="Times New Roman"/>
          <w:b/>
          <w:color w:val="000000" w:themeColor="text1"/>
          <w:sz w:val="26"/>
          <w:szCs w:val="26"/>
        </w:rPr>
        <w:t xml:space="preserve">1. </w:t>
      </w:r>
      <w:r w:rsidR="00BC5F18">
        <w:rPr>
          <w:rFonts w:ascii="Garamond" w:hAnsi="Garamond" w:cs="Times New Roman"/>
          <w:b/>
          <w:color w:val="000000" w:themeColor="text1"/>
          <w:sz w:val="26"/>
          <w:szCs w:val="26"/>
        </w:rPr>
        <w:t>Premessa.</w:t>
      </w:r>
      <w:r w:rsidR="00B708DA">
        <w:rPr>
          <w:rFonts w:ascii="Garamond" w:hAnsi="Garamond" w:cs="Times New Roman"/>
          <w:b/>
          <w:color w:val="000000" w:themeColor="text1"/>
          <w:sz w:val="26"/>
          <w:szCs w:val="26"/>
        </w:rPr>
        <w:t xml:space="preserve"> </w:t>
      </w:r>
      <w:r w:rsidR="00B708DA" w:rsidRPr="00D85912">
        <w:rPr>
          <w:rFonts w:ascii="Garamond" w:hAnsi="Garamond" w:cs="Times New Roman"/>
          <w:b/>
          <w:bCs/>
          <w:color w:val="000000" w:themeColor="text1"/>
          <w:sz w:val="26"/>
          <w:szCs w:val="26"/>
        </w:rPr>
        <w:t>2. La disciplina delle limitazioni assolute dell’accesso civico generalizzato (art. 5-bis, comma 3, d.lgs. n. 33 del 2013).</w:t>
      </w:r>
      <w:r w:rsidR="00B708DA">
        <w:rPr>
          <w:rFonts w:ascii="Garamond" w:hAnsi="Garamond" w:cs="Times New Roman"/>
          <w:b/>
          <w:bCs/>
          <w:color w:val="000000" w:themeColor="text1"/>
          <w:sz w:val="26"/>
          <w:szCs w:val="26"/>
        </w:rPr>
        <w:t xml:space="preserve"> 3.</w:t>
      </w:r>
      <w:r w:rsidR="00B708DA" w:rsidRPr="00D85912">
        <w:rPr>
          <w:rFonts w:ascii="Garamond" w:hAnsi="Garamond" w:cs="Times New Roman"/>
          <w:b/>
          <w:bCs/>
          <w:color w:val="000000" w:themeColor="text1"/>
          <w:sz w:val="26"/>
          <w:szCs w:val="26"/>
        </w:rPr>
        <w:t xml:space="preserve"> </w:t>
      </w:r>
      <w:r w:rsidR="00B708DA">
        <w:rPr>
          <w:rFonts w:ascii="Garamond" w:hAnsi="Garamond" w:cs="Times New Roman"/>
          <w:b/>
          <w:bCs/>
          <w:color w:val="000000" w:themeColor="text1"/>
          <w:sz w:val="26"/>
          <w:szCs w:val="26"/>
        </w:rPr>
        <w:t>Il rinvio ai casi direttamente previsti dall’art. 24, comma 1, legge n. 241 del 1990 ed agli alt</w:t>
      </w:r>
      <w:r w:rsidR="00B708DA" w:rsidRPr="00C037E1">
        <w:rPr>
          <w:rFonts w:ascii="Garamond" w:hAnsi="Garamond" w:cs="Times New Roman"/>
          <w:b/>
          <w:bCs/>
          <w:color w:val="000000" w:themeColor="text1"/>
          <w:sz w:val="26"/>
          <w:szCs w:val="26"/>
        </w:rPr>
        <w:t xml:space="preserve">ri </w:t>
      </w:r>
      <w:r w:rsidR="00B708DA" w:rsidRPr="00C037E1">
        <w:rPr>
          <w:rFonts w:ascii="Garamond" w:hAnsi="Garamond"/>
          <w:b/>
          <w:bCs/>
          <w:color w:val="000000"/>
          <w:sz w:val="26"/>
          <w:szCs w:val="26"/>
        </w:rPr>
        <w:t>casi di segreto o di divieto di divulgazione espressamente previsti dalla legge</w:t>
      </w:r>
      <w:r w:rsidR="00B708DA">
        <w:rPr>
          <w:rFonts w:ascii="Garamond" w:hAnsi="Garamond"/>
          <w:b/>
          <w:bCs/>
          <w:color w:val="000000"/>
          <w:sz w:val="26"/>
          <w:szCs w:val="26"/>
        </w:rPr>
        <w:t xml:space="preserve">. </w:t>
      </w:r>
      <w:r w:rsidR="00B708DA" w:rsidRPr="005565AE">
        <w:rPr>
          <w:rFonts w:ascii="Garamond" w:hAnsi="Garamond" w:cs="Times New Roman"/>
          <w:b/>
          <w:bCs/>
          <w:color w:val="000000" w:themeColor="text1"/>
          <w:sz w:val="26"/>
          <w:szCs w:val="26"/>
        </w:rPr>
        <w:t xml:space="preserve">4. Il rinvio ai casi </w:t>
      </w:r>
      <w:r w:rsidR="00B708DA" w:rsidRPr="005565AE">
        <w:rPr>
          <w:rFonts w:ascii="Garamond" w:hAnsi="Garamond"/>
          <w:b/>
          <w:bCs/>
          <w:color w:val="000000"/>
          <w:sz w:val="26"/>
          <w:szCs w:val="26"/>
        </w:rPr>
        <w:t>di segreto o di divieto di divulgazione espressamente previsti dal regolamento governativo di cui al comma 6 dell’art. 24 legge n. 241 del 1990.</w:t>
      </w:r>
      <w:r w:rsidR="00B708DA">
        <w:rPr>
          <w:rFonts w:ascii="Garamond" w:hAnsi="Garamond"/>
          <w:b/>
          <w:bCs/>
          <w:color w:val="000000"/>
          <w:sz w:val="26"/>
          <w:szCs w:val="26"/>
        </w:rPr>
        <w:t xml:space="preserve"> </w:t>
      </w:r>
      <w:r w:rsidR="00B708DA" w:rsidRPr="008C34F0">
        <w:rPr>
          <w:rFonts w:ascii="Garamond" w:hAnsi="Garamond" w:cs="Times New Roman"/>
          <w:b/>
          <w:bCs/>
          <w:color w:val="000000" w:themeColor="text1"/>
          <w:sz w:val="26"/>
          <w:szCs w:val="26"/>
        </w:rPr>
        <w:t xml:space="preserve">5. </w:t>
      </w:r>
      <w:r w:rsidR="00B708DA">
        <w:rPr>
          <w:rFonts w:ascii="Garamond" w:hAnsi="Garamond" w:cs="Times New Roman"/>
          <w:b/>
          <w:bCs/>
          <w:color w:val="000000" w:themeColor="text1"/>
          <w:sz w:val="26"/>
          <w:szCs w:val="26"/>
        </w:rPr>
        <w:t xml:space="preserve">I regolamenti amministrativi delle singole Amministrazioni ex art. 24, comma 2, legge n. 241 del 1990. 6. </w:t>
      </w:r>
      <w:r w:rsidR="00B708DA" w:rsidRPr="008C34F0">
        <w:rPr>
          <w:rFonts w:ascii="Garamond" w:hAnsi="Garamond" w:cs="Times New Roman"/>
          <w:b/>
          <w:bCs/>
          <w:color w:val="000000" w:themeColor="text1"/>
          <w:sz w:val="26"/>
          <w:szCs w:val="26"/>
        </w:rPr>
        <w:t xml:space="preserve">Il rinvio </w:t>
      </w:r>
      <w:r w:rsidR="00B708DA">
        <w:rPr>
          <w:rFonts w:ascii="Garamond" w:hAnsi="Garamond" w:cs="Times New Roman"/>
          <w:b/>
          <w:bCs/>
          <w:color w:val="000000" w:themeColor="text1"/>
          <w:sz w:val="26"/>
          <w:szCs w:val="26"/>
        </w:rPr>
        <w:t xml:space="preserve">di cui all’art. 5-bis, comma 3, d.lgs. n. 33 del 2013 </w:t>
      </w:r>
      <w:r w:rsidR="00B708DA" w:rsidRPr="008C34F0">
        <w:rPr>
          <w:rFonts w:ascii="Garamond" w:hAnsi="Garamond" w:cs="Times New Roman"/>
          <w:b/>
          <w:bCs/>
          <w:color w:val="000000" w:themeColor="text1"/>
          <w:sz w:val="26"/>
          <w:szCs w:val="26"/>
        </w:rPr>
        <w:t xml:space="preserve">ai casi </w:t>
      </w:r>
      <w:r w:rsidR="00B708DA" w:rsidRPr="008C34F0">
        <w:rPr>
          <w:rFonts w:ascii="Garamond" w:hAnsi="Garamond"/>
          <w:b/>
          <w:bCs/>
          <w:color w:val="000000"/>
          <w:sz w:val="26"/>
          <w:szCs w:val="26"/>
        </w:rPr>
        <w:t>di segreto o di divieto di divulgazione previsti dalle P.A. ai sensi del comma 2 dell’art. 24 legge n. 241 del 1990.</w:t>
      </w:r>
    </w:p>
    <w:p w14:paraId="669A9B66" w14:textId="77777777" w:rsidR="00B708DA" w:rsidRDefault="00B708DA" w:rsidP="00EF34FD">
      <w:pPr>
        <w:spacing w:line="360" w:lineRule="auto"/>
        <w:ind w:left="567" w:right="567"/>
        <w:jc w:val="both"/>
        <w:rPr>
          <w:rFonts w:ascii="Garamond" w:hAnsi="Garamond" w:cs="Times New Roman"/>
          <w:b/>
          <w:color w:val="000000" w:themeColor="text1"/>
          <w:sz w:val="26"/>
          <w:szCs w:val="26"/>
        </w:rPr>
      </w:pPr>
    </w:p>
    <w:p w14:paraId="2D153220" w14:textId="38300BCB" w:rsidR="00AF47E9" w:rsidRDefault="009A097C" w:rsidP="00EF34FD">
      <w:pPr>
        <w:spacing w:line="360" w:lineRule="auto"/>
        <w:ind w:left="567" w:right="567"/>
        <w:jc w:val="both"/>
        <w:rPr>
          <w:rFonts w:ascii="Garamond" w:hAnsi="Garamond" w:cs="Times New Roman"/>
          <w:b/>
          <w:color w:val="000000" w:themeColor="text1"/>
          <w:sz w:val="26"/>
          <w:szCs w:val="26"/>
        </w:rPr>
      </w:pPr>
      <w:r>
        <w:rPr>
          <w:rFonts w:ascii="Garamond" w:hAnsi="Garamond" w:cs="Times New Roman"/>
          <w:b/>
          <w:color w:val="000000" w:themeColor="text1"/>
          <w:sz w:val="26"/>
          <w:szCs w:val="26"/>
        </w:rPr>
        <w:t>1</w:t>
      </w:r>
      <w:r w:rsidR="003D73B9">
        <w:rPr>
          <w:rFonts w:ascii="Garamond" w:hAnsi="Garamond" w:cs="Times New Roman"/>
          <w:b/>
          <w:color w:val="000000" w:themeColor="text1"/>
          <w:sz w:val="26"/>
          <w:szCs w:val="26"/>
        </w:rPr>
        <w:t>.</w:t>
      </w:r>
      <w:r w:rsidR="00EF34FD" w:rsidRPr="00B97122">
        <w:rPr>
          <w:rFonts w:ascii="Garamond" w:hAnsi="Garamond" w:cs="Times New Roman"/>
          <w:b/>
          <w:color w:val="000000" w:themeColor="text1"/>
          <w:sz w:val="26"/>
          <w:szCs w:val="26"/>
        </w:rPr>
        <w:t xml:space="preserve"> </w:t>
      </w:r>
      <w:r w:rsidR="00AF47E9">
        <w:rPr>
          <w:rFonts w:ascii="Garamond" w:hAnsi="Garamond" w:cs="Times New Roman"/>
          <w:b/>
          <w:color w:val="000000" w:themeColor="text1"/>
          <w:sz w:val="26"/>
          <w:szCs w:val="26"/>
        </w:rPr>
        <w:t>Premessa.</w:t>
      </w:r>
    </w:p>
    <w:p w14:paraId="3C4948FE" w14:textId="51F514CA" w:rsidR="0013536D" w:rsidRPr="0013536D" w:rsidRDefault="005753EB" w:rsidP="0013536D">
      <w:pPr>
        <w:spacing w:line="360" w:lineRule="auto"/>
        <w:ind w:left="567" w:right="567" w:firstLine="141"/>
        <w:jc w:val="both"/>
        <w:rPr>
          <w:rFonts w:ascii="Garamond" w:eastAsia="Arial" w:hAnsi="Garamond" w:cs="Arial"/>
          <w:sz w:val="26"/>
          <w:szCs w:val="26"/>
        </w:rPr>
      </w:pPr>
      <w:r>
        <w:rPr>
          <w:rFonts w:ascii="Garamond" w:hAnsi="Garamond" w:cs="Times New Roman"/>
          <w:color w:val="000000" w:themeColor="text1"/>
          <w:sz w:val="26"/>
          <w:szCs w:val="26"/>
        </w:rPr>
        <w:t xml:space="preserve">Certamente </w:t>
      </w:r>
      <w:r w:rsidR="00FD327C">
        <w:rPr>
          <w:rFonts w:ascii="Garamond" w:hAnsi="Garamond" w:cs="Times New Roman"/>
          <w:color w:val="000000" w:themeColor="text1"/>
          <w:sz w:val="26"/>
          <w:szCs w:val="26"/>
        </w:rPr>
        <w:t>l’introduzione dell’accesso civico</w:t>
      </w:r>
      <w:r>
        <w:rPr>
          <w:rFonts w:ascii="Garamond" w:hAnsi="Garamond" w:cs="Times New Roman"/>
          <w:color w:val="000000" w:themeColor="text1"/>
          <w:sz w:val="26"/>
          <w:szCs w:val="26"/>
        </w:rPr>
        <w:t xml:space="preserve"> generalizzato nel nostro ordinamento</w:t>
      </w:r>
      <w:r w:rsidR="00FD327C">
        <w:rPr>
          <w:rFonts w:ascii="Garamond" w:hAnsi="Garamond" w:cs="Times New Roman"/>
          <w:color w:val="000000" w:themeColor="text1"/>
          <w:sz w:val="26"/>
          <w:szCs w:val="26"/>
        </w:rPr>
        <w:t xml:space="preserve"> </w:t>
      </w:r>
      <w:r w:rsidR="000E013E">
        <w:rPr>
          <w:rFonts w:ascii="Garamond" w:eastAsia="Arial" w:hAnsi="Garamond" w:cs="Arial"/>
          <w:sz w:val="26"/>
          <w:szCs w:val="26"/>
        </w:rPr>
        <w:t>ha</w:t>
      </w:r>
      <w:r w:rsidR="00FD327C">
        <w:rPr>
          <w:rFonts w:ascii="Garamond" w:eastAsia="Arial" w:hAnsi="Garamond" w:cs="Arial"/>
          <w:sz w:val="26"/>
          <w:szCs w:val="26"/>
        </w:rPr>
        <w:t xml:space="preserve"> </w:t>
      </w:r>
      <w:r w:rsidR="000E013E">
        <w:rPr>
          <w:rFonts w:ascii="Garamond" w:eastAsia="Arial" w:hAnsi="Garamond" w:cs="Arial"/>
          <w:sz w:val="26"/>
          <w:szCs w:val="26"/>
        </w:rPr>
        <w:t xml:space="preserve">costituito </w:t>
      </w:r>
      <w:r w:rsidR="00FD327C">
        <w:rPr>
          <w:rFonts w:ascii="Garamond" w:eastAsia="Arial" w:hAnsi="Garamond" w:cs="Arial"/>
          <w:sz w:val="26"/>
          <w:szCs w:val="26"/>
        </w:rPr>
        <w:t xml:space="preserve">un notevole passo in avanti </w:t>
      </w:r>
      <w:r w:rsidR="0074230B">
        <w:rPr>
          <w:rFonts w:ascii="Garamond" w:eastAsia="Arial" w:hAnsi="Garamond" w:cs="Arial"/>
          <w:sz w:val="26"/>
          <w:szCs w:val="26"/>
        </w:rPr>
        <w:t xml:space="preserve">verso la effettiva realizzazione del “principio di trasparenza” </w:t>
      </w:r>
      <w:r w:rsidR="0074230B" w:rsidRPr="00B97122">
        <w:rPr>
          <w:rStyle w:val="Rimandonotaapidipagina"/>
          <w:rFonts w:ascii="Garamond" w:hAnsi="Garamond" w:cs="Times New Roman"/>
          <w:color w:val="000000" w:themeColor="text1"/>
          <w:sz w:val="26"/>
          <w:szCs w:val="26"/>
        </w:rPr>
        <w:footnoteReference w:id="1"/>
      </w:r>
      <w:r w:rsidR="0074230B">
        <w:rPr>
          <w:rFonts w:ascii="Garamond" w:eastAsia="Arial" w:hAnsi="Garamond" w:cs="Arial"/>
          <w:sz w:val="26"/>
          <w:szCs w:val="26"/>
        </w:rPr>
        <w:t xml:space="preserve"> e dei suoi c</w:t>
      </w:r>
      <w:r w:rsidR="0074230B" w:rsidRPr="0013536D">
        <w:rPr>
          <w:rFonts w:ascii="Garamond" w:eastAsia="Arial" w:hAnsi="Garamond" w:cs="Arial"/>
          <w:sz w:val="26"/>
          <w:szCs w:val="26"/>
        </w:rPr>
        <w:t xml:space="preserve">orrelati valori costituzionali, </w:t>
      </w:r>
      <w:r w:rsidR="00B708DA">
        <w:rPr>
          <w:rFonts w:ascii="Garamond" w:eastAsia="Arial" w:hAnsi="Garamond" w:cs="Arial"/>
          <w:sz w:val="26"/>
          <w:szCs w:val="26"/>
        </w:rPr>
        <w:t xml:space="preserve">a cominciare dallo stesso </w:t>
      </w:r>
      <w:r w:rsidR="0074230B" w:rsidRPr="0013536D">
        <w:rPr>
          <w:rFonts w:ascii="Garamond" w:eastAsia="Arial" w:hAnsi="Garamond" w:cs="Arial"/>
          <w:sz w:val="26"/>
          <w:szCs w:val="26"/>
        </w:rPr>
        <w:t xml:space="preserve">“principio di democraticità” </w:t>
      </w:r>
      <w:r w:rsidR="00057C6D" w:rsidRPr="0013536D">
        <w:rPr>
          <w:rFonts w:ascii="Garamond" w:eastAsia="Arial" w:hAnsi="Garamond" w:cs="Arial"/>
          <w:sz w:val="26"/>
          <w:szCs w:val="26"/>
        </w:rPr>
        <w:t>(</w:t>
      </w:r>
      <w:r w:rsidR="0074230B" w:rsidRPr="0013536D">
        <w:rPr>
          <w:rFonts w:ascii="Garamond" w:eastAsia="Arial" w:hAnsi="Garamond" w:cs="Arial"/>
          <w:sz w:val="26"/>
          <w:szCs w:val="26"/>
        </w:rPr>
        <w:t>art. 1 Cost.</w:t>
      </w:r>
      <w:r w:rsidR="00057C6D" w:rsidRPr="0013536D">
        <w:rPr>
          <w:rFonts w:ascii="Garamond" w:eastAsia="Arial" w:hAnsi="Garamond" w:cs="Arial"/>
          <w:sz w:val="26"/>
          <w:szCs w:val="26"/>
        </w:rPr>
        <w:t>)</w:t>
      </w:r>
      <w:r w:rsidR="0074230B" w:rsidRPr="0013536D">
        <w:rPr>
          <w:rFonts w:ascii="Garamond" w:eastAsia="Arial" w:hAnsi="Garamond" w:cs="Arial"/>
          <w:sz w:val="26"/>
          <w:szCs w:val="26"/>
        </w:rPr>
        <w:t xml:space="preserve"> </w:t>
      </w:r>
      <w:r w:rsidR="00057C6D" w:rsidRPr="0013536D">
        <w:rPr>
          <w:rStyle w:val="Rimandonotaapidipagina"/>
          <w:rFonts w:ascii="Garamond" w:hAnsi="Garamond" w:cs="Times New Roman"/>
          <w:color w:val="000000" w:themeColor="text1"/>
          <w:sz w:val="26"/>
          <w:szCs w:val="26"/>
        </w:rPr>
        <w:footnoteReference w:id="2"/>
      </w:r>
      <w:r w:rsidR="0074230B" w:rsidRPr="0013536D">
        <w:rPr>
          <w:rFonts w:ascii="Garamond" w:eastAsia="Arial" w:hAnsi="Garamond" w:cs="Arial"/>
          <w:sz w:val="26"/>
          <w:szCs w:val="26"/>
        </w:rPr>
        <w:t>.</w:t>
      </w:r>
      <w:bookmarkStart w:id="2" w:name="_Hlk48406406"/>
    </w:p>
    <w:p w14:paraId="78D74F69" w14:textId="766A7BB7" w:rsidR="00FD327C" w:rsidRPr="009620DF" w:rsidRDefault="00057C6D" w:rsidP="0013536D">
      <w:pPr>
        <w:spacing w:line="360" w:lineRule="auto"/>
        <w:ind w:left="567" w:right="567" w:firstLine="141"/>
        <w:jc w:val="both"/>
        <w:rPr>
          <w:rFonts w:ascii="Garamond" w:hAnsi="Garamond"/>
          <w:sz w:val="26"/>
          <w:szCs w:val="26"/>
        </w:rPr>
      </w:pPr>
      <w:r w:rsidRPr="0013536D">
        <w:rPr>
          <w:rFonts w:ascii="Garamond" w:hAnsi="Garamond"/>
          <w:sz w:val="26"/>
          <w:szCs w:val="26"/>
        </w:rPr>
        <w:t xml:space="preserve">Sappiamo, </w:t>
      </w:r>
      <w:r w:rsidR="0013536D" w:rsidRPr="0013536D">
        <w:rPr>
          <w:rFonts w:ascii="Garamond" w:hAnsi="Garamond"/>
          <w:sz w:val="26"/>
          <w:szCs w:val="26"/>
        </w:rPr>
        <w:t>nel contempo</w:t>
      </w:r>
      <w:r w:rsidRPr="0013536D">
        <w:rPr>
          <w:rFonts w:ascii="Garamond" w:hAnsi="Garamond"/>
          <w:sz w:val="26"/>
          <w:szCs w:val="26"/>
        </w:rPr>
        <w:t xml:space="preserve">, </w:t>
      </w:r>
      <w:r w:rsidR="0013536D" w:rsidRPr="0013536D">
        <w:rPr>
          <w:rFonts w:ascii="Garamond" w:hAnsi="Garamond"/>
          <w:sz w:val="26"/>
          <w:szCs w:val="26"/>
        </w:rPr>
        <w:t xml:space="preserve">che la riforma </w:t>
      </w:r>
      <w:r w:rsidR="000E013E">
        <w:rPr>
          <w:rFonts w:ascii="Garamond" w:hAnsi="Garamond"/>
          <w:sz w:val="26"/>
          <w:szCs w:val="26"/>
        </w:rPr>
        <w:t xml:space="preserve">attuata con il </w:t>
      </w:r>
      <w:r w:rsidR="0013536D" w:rsidRPr="0013536D">
        <w:rPr>
          <w:rFonts w:ascii="Garamond" w:hAnsi="Garamond"/>
          <w:sz w:val="26"/>
          <w:szCs w:val="26"/>
        </w:rPr>
        <w:t xml:space="preserve">d.lgs. n. 97 del 2016 </w:t>
      </w:r>
      <w:r w:rsidR="000E013E">
        <w:rPr>
          <w:rFonts w:ascii="Garamond" w:hAnsi="Garamond"/>
          <w:sz w:val="26"/>
          <w:szCs w:val="26"/>
        </w:rPr>
        <w:t xml:space="preserve">è </w:t>
      </w:r>
      <w:r w:rsidR="0013536D" w:rsidRPr="0013536D">
        <w:rPr>
          <w:rFonts w:ascii="Garamond" w:hAnsi="Garamond"/>
          <w:sz w:val="26"/>
          <w:szCs w:val="26"/>
        </w:rPr>
        <w:t>interven</w:t>
      </w:r>
      <w:r w:rsidR="000E013E">
        <w:rPr>
          <w:rFonts w:ascii="Garamond" w:hAnsi="Garamond"/>
          <w:sz w:val="26"/>
          <w:szCs w:val="26"/>
        </w:rPr>
        <w:t>uta</w:t>
      </w:r>
      <w:r w:rsidR="0013536D" w:rsidRPr="0013536D">
        <w:rPr>
          <w:rFonts w:ascii="Garamond" w:hAnsi="Garamond"/>
          <w:sz w:val="26"/>
          <w:szCs w:val="26"/>
        </w:rPr>
        <w:t xml:space="preserve"> su un te</w:t>
      </w:r>
      <w:r w:rsidR="0013536D" w:rsidRPr="009620DF">
        <w:rPr>
          <w:rFonts w:ascii="Garamond" w:hAnsi="Garamond"/>
          <w:sz w:val="26"/>
          <w:szCs w:val="26"/>
        </w:rPr>
        <w:t xml:space="preserve">ssuto normativo già strutturato e </w:t>
      </w:r>
      <w:r w:rsidR="0057590B">
        <w:rPr>
          <w:rFonts w:ascii="Garamond" w:hAnsi="Garamond"/>
          <w:sz w:val="26"/>
          <w:szCs w:val="26"/>
        </w:rPr>
        <w:t xml:space="preserve">stratificato da tempo, </w:t>
      </w:r>
      <w:r w:rsidR="0013536D" w:rsidRPr="009620DF">
        <w:rPr>
          <w:rFonts w:ascii="Garamond" w:hAnsi="Garamond"/>
          <w:sz w:val="26"/>
          <w:szCs w:val="26"/>
        </w:rPr>
        <w:t>prevedente eterogenee tipologie di accesso ai documenti amministrativi</w:t>
      </w:r>
      <w:r w:rsidR="0057590B">
        <w:rPr>
          <w:rFonts w:ascii="Garamond" w:hAnsi="Garamond"/>
          <w:sz w:val="26"/>
          <w:szCs w:val="26"/>
        </w:rPr>
        <w:t xml:space="preserve"> ed alle informazioni detenute dalla P.A.</w:t>
      </w:r>
      <w:r w:rsidR="0013536D" w:rsidRPr="009620DF">
        <w:rPr>
          <w:rFonts w:ascii="Garamond" w:hAnsi="Garamond"/>
          <w:sz w:val="26"/>
          <w:szCs w:val="26"/>
        </w:rPr>
        <w:t xml:space="preserve">, rispetto alle quali </w:t>
      </w:r>
      <w:r w:rsidR="004C629C">
        <w:rPr>
          <w:rFonts w:ascii="Garamond" w:hAnsi="Garamond"/>
          <w:sz w:val="26"/>
          <w:szCs w:val="26"/>
        </w:rPr>
        <w:t xml:space="preserve">non sono stati approntati </w:t>
      </w:r>
      <w:r w:rsidR="005753EB">
        <w:rPr>
          <w:rFonts w:ascii="Garamond" w:hAnsi="Garamond"/>
          <w:sz w:val="26"/>
          <w:szCs w:val="26"/>
        </w:rPr>
        <w:t xml:space="preserve">lineari ed </w:t>
      </w:r>
      <w:r w:rsidR="00A74420">
        <w:rPr>
          <w:rFonts w:ascii="Garamond" w:hAnsi="Garamond"/>
          <w:sz w:val="26"/>
          <w:szCs w:val="26"/>
        </w:rPr>
        <w:t xml:space="preserve">efficaci </w:t>
      </w:r>
      <w:r w:rsidR="000E013E">
        <w:rPr>
          <w:rFonts w:ascii="Garamond" w:hAnsi="Garamond"/>
          <w:sz w:val="26"/>
          <w:szCs w:val="26"/>
        </w:rPr>
        <w:t xml:space="preserve">strumenti </w:t>
      </w:r>
      <w:r w:rsidR="0013536D" w:rsidRPr="009620DF">
        <w:rPr>
          <w:rFonts w:ascii="Garamond" w:hAnsi="Garamond"/>
          <w:sz w:val="26"/>
          <w:szCs w:val="26"/>
        </w:rPr>
        <w:t xml:space="preserve">di coordinamento </w:t>
      </w:r>
      <w:r w:rsidR="0013536D" w:rsidRPr="009620DF">
        <w:rPr>
          <w:rStyle w:val="Rimandonotaapidipagina"/>
          <w:rFonts w:ascii="Garamond" w:hAnsi="Garamond" w:cs="Times New Roman"/>
          <w:color w:val="000000" w:themeColor="text1"/>
          <w:sz w:val="26"/>
          <w:szCs w:val="26"/>
        </w:rPr>
        <w:footnoteReference w:id="3"/>
      </w:r>
      <w:r w:rsidR="0013536D" w:rsidRPr="009620DF">
        <w:rPr>
          <w:rFonts w:ascii="Garamond" w:hAnsi="Garamond"/>
          <w:sz w:val="26"/>
          <w:szCs w:val="26"/>
        </w:rPr>
        <w:t xml:space="preserve">. </w:t>
      </w:r>
    </w:p>
    <w:bookmarkEnd w:id="2"/>
    <w:p w14:paraId="0F4B2FC6" w14:textId="194FBD2C" w:rsidR="00BC5F18" w:rsidRPr="009620DF" w:rsidRDefault="009620DF" w:rsidP="00E01B29">
      <w:pPr>
        <w:spacing w:line="360" w:lineRule="auto"/>
        <w:ind w:left="567" w:right="567" w:firstLine="141"/>
        <w:jc w:val="both"/>
        <w:rPr>
          <w:rFonts w:ascii="Garamond" w:hAnsi="Garamond" w:cs="Times New Roman"/>
          <w:color w:val="000000" w:themeColor="text1"/>
          <w:sz w:val="26"/>
          <w:szCs w:val="26"/>
        </w:rPr>
      </w:pPr>
      <w:r w:rsidRPr="009620DF">
        <w:rPr>
          <w:rFonts w:ascii="Garamond" w:hAnsi="Garamond" w:cs="Times New Roman"/>
          <w:color w:val="000000" w:themeColor="text1"/>
          <w:sz w:val="26"/>
          <w:szCs w:val="26"/>
        </w:rPr>
        <w:t xml:space="preserve">Di qui lo sforzo dell’interprete </w:t>
      </w:r>
      <w:r w:rsidRPr="009620DF">
        <w:rPr>
          <w:rFonts w:ascii="Garamond" w:hAnsi="Garamond"/>
          <w:color w:val="000000"/>
          <w:sz w:val="26"/>
          <w:szCs w:val="26"/>
        </w:rPr>
        <w:t xml:space="preserve">di addivenire ad una </w:t>
      </w:r>
      <w:r w:rsidRPr="009620DF">
        <w:rPr>
          <w:rFonts w:ascii="Garamond" w:hAnsi="Garamond"/>
          <w:i/>
          <w:color w:val="000000"/>
          <w:sz w:val="26"/>
          <w:szCs w:val="26"/>
        </w:rPr>
        <w:t>&lt;&lt; lettura unitaria, armonizzante, integratrice tra le singole discipline … in termini di complementarietà … &gt;&gt;</w:t>
      </w:r>
      <w:r w:rsidRPr="009620DF">
        <w:rPr>
          <w:rFonts w:ascii="Garamond" w:hAnsi="Garamond"/>
          <w:iCs/>
          <w:color w:val="000000"/>
          <w:sz w:val="26"/>
          <w:szCs w:val="26"/>
        </w:rPr>
        <w:t>,</w:t>
      </w:r>
      <w:r w:rsidRPr="009620DF">
        <w:rPr>
          <w:rFonts w:ascii="Garamond" w:hAnsi="Garamond"/>
          <w:i/>
          <w:color w:val="000000"/>
          <w:sz w:val="26"/>
          <w:szCs w:val="26"/>
        </w:rPr>
        <w:t xml:space="preserve"> </w:t>
      </w:r>
      <w:r w:rsidRPr="009620DF">
        <w:rPr>
          <w:rFonts w:ascii="Garamond" w:hAnsi="Garamond"/>
          <w:color w:val="000000"/>
          <w:sz w:val="26"/>
          <w:szCs w:val="26"/>
        </w:rPr>
        <w:t>da estender</w:t>
      </w:r>
      <w:r w:rsidR="005753EB">
        <w:rPr>
          <w:rFonts w:ascii="Garamond" w:hAnsi="Garamond"/>
          <w:color w:val="000000"/>
          <w:sz w:val="26"/>
          <w:szCs w:val="26"/>
        </w:rPr>
        <w:t>e</w:t>
      </w:r>
      <w:r w:rsidRPr="009620DF">
        <w:rPr>
          <w:rFonts w:ascii="Garamond" w:hAnsi="Garamond"/>
          <w:color w:val="000000"/>
          <w:sz w:val="26"/>
          <w:szCs w:val="26"/>
        </w:rPr>
        <w:t xml:space="preserve"> a tutte le tipologie di accesso</w:t>
      </w:r>
      <w:r>
        <w:rPr>
          <w:rFonts w:ascii="Garamond" w:hAnsi="Garamond"/>
          <w:color w:val="000000"/>
          <w:sz w:val="26"/>
          <w:szCs w:val="26"/>
        </w:rPr>
        <w:t xml:space="preserve"> in una </w:t>
      </w:r>
      <w:r w:rsidRPr="009620DF">
        <w:rPr>
          <w:rFonts w:ascii="Garamond" w:hAnsi="Garamond"/>
          <w:i/>
          <w:color w:val="000000"/>
          <w:sz w:val="26"/>
          <w:szCs w:val="26"/>
        </w:rPr>
        <w:t>&lt;&lt; logica ermeneutica di integrazione &gt;&gt;</w:t>
      </w:r>
      <w:r w:rsidRPr="009620DF">
        <w:rPr>
          <w:rFonts w:ascii="Garamond" w:hAnsi="Garamond"/>
          <w:color w:val="000000"/>
          <w:sz w:val="26"/>
          <w:szCs w:val="26"/>
        </w:rPr>
        <w:t xml:space="preserve"> </w:t>
      </w:r>
      <w:r w:rsidRPr="009620DF">
        <w:rPr>
          <w:rStyle w:val="Rimandonotaapidipagina"/>
          <w:rFonts w:ascii="Garamond" w:hAnsi="Garamond" w:cs="Times New Roman"/>
          <w:color w:val="000000" w:themeColor="text1"/>
          <w:sz w:val="26"/>
          <w:szCs w:val="26"/>
        </w:rPr>
        <w:footnoteReference w:id="4"/>
      </w:r>
      <w:r w:rsidRPr="009620DF">
        <w:rPr>
          <w:rFonts w:ascii="Garamond" w:hAnsi="Garamond"/>
          <w:color w:val="000000"/>
          <w:sz w:val="26"/>
          <w:szCs w:val="26"/>
        </w:rPr>
        <w:t>.</w:t>
      </w:r>
    </w:p>
    <w:p w14:paraId="322F6856" w14:textId="4D4E4F5A" w:rsidR="00FD327C" w:rsidRDefault="00616DCD" w:rsidP="00E01B29">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Vero è</w:t>
      </w:r>
      <w:r w:rsidR="004C629C">
        <w:rPr>
          <w:rFonts w:ascii="Garamond" w:hAnsi="Garamond" w:cs="Times New Roman"/>
          <w:color w:val="000000" w:themeColor="text1"/>
          <w:sz w:val="26"/>
          <w:szCs w:val="26"/>
        </w:rPr>
        <w:t>, però,</w:t>
      </w:r>
      <w:r>
        <w:rPr>
          <w:rFonts w:ascii="Garamond" w:hAnsi="Garamond" w:cs="Times New Roman"/>
          <w:color w:val="000000" w:themeColor="text1"/>
          <w:sz w:val="26"/>
          <w:szCs w:val="26"/>
        </w:rPr>
        <w:t xml:space="preserve"> che</w:t>
      </w:r>
      <w:r w:rsidR="0057590B">
        <w:rPr>
          <w:rFonts w:ascii="Garamond" w:hAnsi="Garamond" w:cs="Times New Roman"/>
          <w:color w:val="000000" w:themeColor="text1"/>
          <w:sz w:val="26"/>
          <w:szCs w:val="26"/>
        </w:rPr>
        <w:t xml:space="preserve"> </w:t>
      </w:r>
      <w:r>
        <w:rPr>
          <w:rFonts w:ascii="Garamond" w:hAnsi="Garamond" w:cs="Times New Roman"/>
          <w:color w:val="000000" w:themeColor="text1"/>
          <w:sz w:val="26"/>
          <w:szCs w:val="26"/>
        </w:rPr>
        <w:t xml:space="preserve">il trapianto di organi su tessuti </w:t>
      </w:r>
      <w:r w:rsidR="000E013E">
        <w:rPr>
          <w:rFonts w:ascii="Garamond" w:hAnsi="Garamond" w:cs="Times New Roman"/>
          <w:color w:val="000000" w:themeColor="text1"/>
          <w:sz w:val="26"/>
          <w:szCs w:val="26"/>
        </w:rPr>
        <w:t xml:space="preserve">preesistenti </w:t>
      </w:r>
      <w:r w:rsidR="00A74420">
        <w:rPr>
          <w:rFonts w:ascii="Garamond" w:hAnsi="Garamond" w:cs="Times New Roman"/>
          <w:color w:val="000000" w:themeColor="text1"/>
          <w:sz w:val="26"/>
          <w:szCs w:val="26"/>
        </w:rPr>
        <w:t xml:space="preserve">può ingenerare fenomeni di “rigetto”, </w:t>
      </w:r>
      <w:r w:rsidR="000E013E">
        <w:rPr>
          <w:rFonts w:ascii="Garamond" w:hAnsi="Garamond" w:cs="Times New Roman"/>
          <w:color w:val="000000" w:themeColor="text1"/>
          <w:sz w:val="26"/>
          <w:szCs w:val="26"/>
        </w:rPr>
        <w:t xml:space="preserve">soprattutto quando </w:t>
      </w:r>
      <w:r w:rsidR="0057590B">
        <w:rPr>
          <w:rFonts w:ascii="Garamond" w:hAnsi="Garamond" w:cs="Times New Roman"/>
          <w:color w:val="000000" w:themeColor="text1"/>
          <w:sz w:val="26"/>
          <w:szCs w:val="26"/>
        </w:rPr>
        <w:t xml:space="preserve">non </w:t>
      </w:r>
      <w:r w:rsidR="00A74420">
        <w:rPr>
          <w:rFonts w:ascii="Garamond" w:hAnsi="Garamond" w:cs="Times New Roman"/>
          <w:color w:val="000000" w:themeColor="text1"/>
          <w:sz w:val="26"/>
          <w:szCs w:val="26"/>
        </w:rPr>
        <w:t>si tenga in debito conto l</w:t>
      </w:r>
      <w:r w:rsidR="004C629C">
        <w:rPr>
          <w:rFonts w:ascii="Garamond" w:hAnsi="Garamond" w:cs="Times New Roman"/>
          <w:color w:val="000000" w:themeColor="text1"/>
          <w:sz w:val="26"/>
          <w:szCs w:val="26"/>
        </w:rPr>
        <w:t>e</w:t>
      </w:r>
      <w:r w:rsidR="00A74420">
        <w:rPr>
          <w:rFonts w:ascii="Garamond" w:hAnsi="Garamond" w:cs="Times New Roman"/>
          <w:color w:val="000000" w:themeColor="text1"/>
          <w:sz w:val="26"/>
          <w:szCs w:val="26"/>
        </w:rPr>
        <w:t xml:space="preserve"> different</w:t>
      </w:r>
      <w:r w:rsidR="004C629C">
        <w:rPr>
          <w:rFonts w:ascii="Garamond" w:hAnsi="Garamond" w:cs="Times New Roman"/>
          <w:color w:val="000000" w:themeColor="text1"/>
          <w:sz w:val="26"/>
          <w:szCs w:val="26"/>
        </w:rPr>
        <w:t>i</w:t>
      </w:r>
      <w:r w:rsidR="00A74420">
        <w:rPr>
          <w:rFonts w:ascii="Garamond" w:hAnsi="Garamond" w:cs="Times New Roman"/>
          <w:color w:val="000000" w:themeColor="text1"/>
          <w:sz w:val="26"/>
          <w:szCs w:val="26"/>
        </w:rPr>
        <w:t xml:space="preserve"> </w:t>
      </w:r>
      <w:r w:rsidR="004C629C">
        <w:rPr>
          <w:rFonts w:ascii="Garamond" w:hAnsi="Garamond" w:cs="Times New Roman"/>
          <w:color w:val="000000" w:themeColor="text1"/>
          <w:sz w:val="26"/>
          <w:szCs w:val="26"/>
        </w:rPr>
        <w:lastRenderedPageBreak/>
        <w:t xml:space="preserve">caratteristiche </w:t>
      </w:r>
      <w:r w:rsidR="00A74420">
        <w:rPr>
          <w:rFonts w:ascii="Garamond" w:hAnsi="Garamond" w:cs="Times New Roman"/>
          <w:color w:val="000000" w:themeColor="text1"/>
          <w:sz w:val="26"/>
          <w:szCs w:val="26"/>
        </w:rPr>
        <w:t>del</w:t>
      </w:r>
      <w:r w:rsidR="0057590B">
        <w:rPr>
          <w:rFonts w:ascii="Garamond" w:hAnsi="Garamond" w:cs="Times New Roman"/>
          <w:color w:val="000000" w:themeColor="text1"/>
          <w:sz w:val="26"/>
          <w:szCs w:val="26"/>
        </w:rPr>
        <w:t>l’</w:t>
      </w:r>
      <w:r w:rsidR="00A74420">
        <w:rPr>
          <w:rFonts w:ascii="Garamond" w:hAnsi="Garamond" w:cs="Times New Roman"/>
          <w:color w:val="000000" w:themeColor="text1"/>
          <w:sz w:val="26"/>
          <w:szCs w:val="26"/>
        </w:rPr>
        <w:t xml:space="preserve">organo </w:t>
      </w:r>
      <w:r w:rsidR="0057590B">
        <w:rPr>
          <w:rFonts w:ascii="Garamond" w:hAnsi="Garamond" w:cs="Times New Roman"/>
          <w:color w:val="000000" w:themeColor="text1"/>
          <w:sz w:val="26"/>
          <w:szCs w:val="26"/>
        </w:rPr>
        <w:t xml:space="preserve">ospitato </w:t>
      </w:r>
      <w:r w:rsidR="00A74420">
        <w:rPr>
          <w:rFonts w:ascii="Garamond" w:hAnsi="Garamond" w:cs="Times New Roman"/>
          <w:color w:val="000000" w:themeColor="text1"/>
          <w:sz w:val="26"/>
          <w:szCs w:val="26"/>
        </w:rPr>
        <w:t xml:space="preserve">rispetto al tessuto </w:t>
      </w:r>
      <w:r w:rsidR="000E013E">
        <w:rPr>
          <w:rFonts w:ascii="Garamond" w:hAnsi="Garamond" w:cs="Times New Roman"/>
          <w:color w:val="000000" w:themeColor="text1"/>
          <w:sz w:val="26"/>
          <w:szCs w:val="26"/>
        </w:rPr>
        <w:t>ospitante</w:t>
      </w:r>
      <w:r w:rsidR="004C629C">
        <w:rPr>
          <w:rFonts w:ascii="Garamond" w:hAnsi="Garamond" w:cs="Times New Roman"/>
          <w:color w:val="000000" w:themeColor="text1"/>
          <w:sz w:val="26"/>
          <w:szCs w:val="26"/>
        </w:rPr>
        <w:t xml:space="preserve"> e</w:t>
      </w:r>
      <w:r w:rsidR="0057590B">
        <w:rPr>
          <w:rFonts w:ascii="Garamond" w:hAnsi="Garamond" w:cs="Times New Roman"/>
          <w:color w:val="000000" w:themeColor="text1"/>
          <w:sz w:val="26"/>
          <w:szCs w:val="26"/>
        </w:rPr>
        <w:t xml:space="preserve"> </w:t>
      </w:r>
      <w:r w:rsidR="00A74420">
        <w:rPr>
          <w:rFonts w:ascii="Garamond" w:hAnsi="Garamond" w:cs="Times New Roman"/>
          <w:color w:val="000000" w:themeColor="text1"/>
          <w:sz w:val="26"/>
          <w:szCs w:val="26"/>
        </w:rPr>
        <w:t>le condizioni di salute di quest’ultimo.</w:t>
      </w:r>
    </w:p>
    <w:p w14:paraId="2FD59FD8" w14:textId="0A78E33A" w:rsidR="00A74420" w:rsidRDefault="00A74420" w:rsidP="00E01B29">
      <w:pPr>
        <w:spacing w:line="360" w:lineRule="auto"/>
        <w:ind w:left="567" w:right="567" w:firstLine="141"/>
        <w:jc w:val="both"/>
        <w:rPr>
          <w:rFonts w:ascii="Garamond" w:hAnsi="Garamond" w:cs="Times New Roman"/>
          <w:color w:val="000000" w:themeColor="text1"/>
          <w:sz w:val="26"/>
          <w:szCs w:val="26"/>
        </w:rPr>
      </w:pPr>
      <w:r>
        <w:rPr>
          <w:rFonts w:ascii="Garamond" w:hAnsi="Garamond" w:cs="Times New Roman"/>
          <w:color w:val="000000" w:themeColor="text1"/>
          <w:sz w:val="26"/>
          <w:szCs w:val="26"/>
        </w:rPr>
        <w:t xml:space="preserve">E pare proprio che una </w:t>
      </w:r>
      <w:r w:rsidR="005753EB">
        <w:rPr>
          <w:rFonts w:ascii="Garamond" w:hAnsi="Garamond" w:cs="Times New Roman"/>
          <w:color w:val="000000" w:themeColor="text1"/>
          <w:sz w:val="26"/>
          <w:szCs w:val="26"/>
        </w:rPr>
        <w:t xml:space="preserve">qualche </w:t>
      </w:r>
      <w:r>
        <w:rPr>
          <w:rFonts w:ascii="Garamond" w:hAnsi="Garamond" w:cs="Times New Roman"/>
          <w:color w:val="000000" w:themeColor="text1"/>
          <w:sz w:val="26"/>
          <w:szCs w:val="26"/>
        </w:rPr>
        <w:t xml:space="preserve">sottovalutazione di </w:t>
      </w:r>
      <w:r w:rsidR="005753EB">
        <w:rPr>
          <w:rFonts w:ascii="Garamond" w:hAnsi="Garamond" w:cs="Times New Roman"/>
          <w:color w:val="000000" w:themeColor="text1"/>
          <w:sz w:val="26"/>
          <w:szCs w:val="26"/>
        </w:rPr>
        <w:t xml:space="preserve">questo rischio </w:t>
      </w:r>
      <w:r>
        <w:rPr>
          <w:rFonts w:ascii="Garamond" w:hAnsi="Garamond" w:cs="Times New Roman"/>
          <w:color w:val="000000" w:themeColor="text1"/>
          <w:sz w:val="26"/>
          <w:szCs w:val="26"/>
        </w:rPr>
        <w:t xml:space="preserve">si sia verificata nel </w:t>
      </w:r>
      <w:r w:rsidR="0057590B">
        <w:rPr>
          <w:rFonts w:ascii="Garamond" w:hAnsi="Garamond" w:cs="Times New Roman"/>
          <w:color w:val="000000" w:themeColor="text1"/>
          <w:sz w:val="26"/>
          <w:szCs w:val="26"/>
        </w:rPr>
        <w:t>concepi</w:t>
      </w:r>
      <w:r w:rsidR="000E013E">
        <w:rPr>
          <w:rFonts w:ascii="Garamond" w:hAnsi="Garamond" w:cs="Times New Roman"/>
          <w:color w:val="000000" w:themeColor="text1"/>
          <w:sz w:val="26"/>
          <w:szCs w:val="26"/>
        </w:rPr>
        <w:t>mento</w:t>
      </w:r>
      <w:r w:rsidR="0057590B">
        <w:rPr>
          <w:rFonts w:ascii="Garamond" w:hAnsi="Garamond" w:cs="Times New Roman"/>
          <w:color w:val="000000" w:themeColor="text1"/>
          <w:sz w:val="26"/>
          <w:szCs w:val="26"/>
        </w:rPr>
        <w:t xml:space="preserve"> </w:t>
      </w:r>
      <w:r w:rsidR="000E013E">
        <w:rPr>
          <w:rFonts w:ascii="Garamond" w:hAnsi="Garamond" w:cs="Times New Roman"/>
          <w:color w:val="000000" w:themeColor="text1"/>
          <w:sz w:val="26"/>
          <w:szCs w:val="26"/>
        </w:rPr>
        <w:t>del</w:t>
      </w:r>
      <w:r w:rsidR="00AC66F7">
        <w:rPr>
          <w:rFonts w:ascii="Garamond" w:hAnsi="Garamond" w:cs="Times New Roman"/>
          <w:color w:val="000000" w:themeColor="text1"/>
          <w:sz w:val="26"/>
          <w:szCs w:val="26"/>
        </w:rPr>
        <w:t>la disciplina del</w:t>
      </w:r>
      <w:r>
        <w:rPr>
          <w:rFonts w:ascii="Garamond" w:hAnsi="Garamond" w:cs="Times New Roman"/>
          <w:color w:val="000000" w:themeColor="text1"/>
          <w:sz w:val="26"/>
          <w:szCs w:val="26"/>
        </w:rPr>
        <w:t>le “limitazioni assolute” dell’accesso civico generalizzato</w:t>
      </w:r>
      <w:r w:rsidR="00AC66F7">
        <w:rPr>
          <w:rFonts w:ascii="Garamond" w:hAnsi="Garamond" w:cs="Times New Roman"/>
          <w:color w:val="000000" w:themeColor="text1"/>
          <w:sz w:val="26"/>
          <w:szCs w:val="26"/>
        </w:rPr>
        <w:t xml:space="preserve"> (art. 5-bis, comma 3, d.lgs. n. 33 del 2013) che, con un gioco di rimandi alla disciplina dell’accesso documentale (art. 24 legge n. 241 del 1990), </w:t>
      </w:r>
      <w:r w:rsidR="000E013E">
        <w:rPr>
          <w:rFonts w:ascii="Garamond" w:hAnsi="Garamond" w:cs="Times New Roman"/>
          <w:color w:val="000000" w:themeColor="text1"/>
          <w:sz w:val="26"/>
          <w:szCs w:val="26"/>
        </w:rPr>
        <w:t xml:space="preserve">sembra </w:t>
      </w:r>
      <w:r w:rsidR="00AC66F7">
        <w:rPr>
          <w:rFonts w:ascii="Garamond" w:hAnsi="Garamond" w:cs="Times New Roman"/>
          <w:color w:val="000000" w:themeColor="text1"/>
          <w:sz w:val="26"/>
          <w:szCs w:val="26"/>
        </w:rPr>
        <w:t xml:space="preserve">un vero e proprio </w:t>
      </w:r>
      <w:r w:rsidR="005753EB">
        <w:rPr>
          <w:rFonts w:ascii="Garamond" w:hAnsi="Garamond" w:cs="Times New Roman"/>
          <w:color w:val="000000" w:themeColor="text1"/>
          <w:sz w:val="26"/>
          <w:szCs w:val="26"/>
        </w:rPr>
        <w:t>dedalo</w:t>
      </w:r>
      <w:r w:rsidR="00AC66F7">
        <w:rPr>
          <w:rFonts w:ascii="Garamond" w:hAnsi="Garamond" w:cs="Times New Roman"/>
          <w:color w:val="000000" w:themeColor="text1"/>
          <w:sz w:val="26"/>
          <w:szCs w:val="26"/>
        </w:rPr>
        <w:t xml:space="preserve"> scuro ed inestricabile, </w:t>
      </w:r>
      <w:r w:rsidR="004C629C">
        <w:rPr>
          <w:rFonts w:ascii="Garamond" w:hAnsi="Garamond" w:cs="Times New Roman"/>
          <w:color w:val="000000" w:themeColor="text1"/>
          <w:sz w:val="26"/>
          <w:szCs w:val="26"/>
        </w:rPr>
        <w:t xml:space="preserve">la cui via di uscita non </w:t>
      </w:r>
      <w:r w:rsidR="00AC66F7">
        <w:rPr>
          <w:rFonts w:ascii="Garamond" w:hAnsi="Garamond" w:cs="Times New Roman"/>
          <w:color w:val="000000" w:themeColor="text1"/>
          <w:sz w:val="26"/>
          <w:szCs w:val="26"/>
        </w:rPr>
        <w:t xml:space="preserve">è </w:t>
      </w:r>
      <w:r w:rsidR="004C629C">
        <w:rPr>
          <w:rFonts w:ascii="Garamond" w:hAnsi="Garamond" w:cs="Times New Roman"/>
          <w:color w:val="000000" w:themeColor="text1"/>
          <w:sz w:val="26"/>
          <w:szCs w:val="26"/>
        </w:rPr>
        <w:t>agevole trovare</w:t>
      </w:r>
      <w:r w:rsidR="0057590B">
        <w:rPr>
          <w:rFonts w:ascii="Garamond" w:hAnsi="Garamond" w:cs="Times New Roman"/>
          <w:color w:val="000000" w:themeColor="text1"/>
          <w:sz w:val="26"/>
          <w:szCs w:val="26"/>
        </w:rPr>
        <w:t>.</w:t>
      </w:r>
    </w:p>
    <w:p w14:paraId="2FEFEBCD" w14:textId="77777777" w:rsidR="00846D5C" w:rsidRDefault="00846D5C" w:rsidP="00AC66F7">
      <w:pPr>
        <w:spacing w:line="360" w:lineRule="auto"/>
        <w:ind w:left="567" w:right="567"/>
        <w:jc w:val="both"/>
        <w:rPr>
          <w:rFonts w:ascii="Garamond" w:hAnsi="Garamond" w:cs="Times New Roman"/>
          <w:b/>
          <w:bCs/>
          <w:color w:val="000000" w:themeColor="text1"/>
          <w:sz w:val="26"/>
          <w:szCs w:val="26"/>
        </w:rPr>
      </w:pPr>
    </w:p>
    <w:p w14:paraId="036E79A3" w14:textId="5875CF6E" w:rsidR="00AC66F7" w:rsidRPr="00D85912" w:rsidRDefault="00AC66F7" w:rsidP="00D85912">
      <w:pPr>
        <w:spacing w:line="360" w:lineRule="auto"/>
        <w:ind w:left="567" w:right="567"/>
        <w:jc w:val="both"/>
        <w:rPr>
          <w:rFonts w:ascii="Garamond" w:hAnsi="Garamond" w:cs="Times New Roman"/>
          <w:b/>
          <w:bCs/>
          <w:color w:val="000000" w:themeColor="text1"/>
          <w:sz w:val="26"/>
          <w:szCs w:val="26"/>
        </w:rPr>
      </w:pPr>
      <w:r w:rsidRPr="00D85912">
        <w:rPr>
          <w:rFonts w:ascii="Garamond" w:hAnsi="Garamond" w:cs="Times New Roman"/>
          <w:b/>
          <w:bCs/>
          <w:color w:val="000000" w:themeColor="text1"/>
          <w:sz w:val="26"/>
          <w:szCs w:val="26"/>
        </w:rPr>
        <w:t>2. La disciplina delle limitazioni assolute dell’accesso civico generalizzato (art. 5-bis, comma 3, d.lgs. n. 33 del 2013).</w:t>
      </w:r>
    </w:p>
    <w:p w14:paraId="2075DC93" w14:textId="135496B2" w:rsidR="00D85912" w:rsidRPr="00D85912" w:rsidRDefault="00D85912" w:rsidP="00D85912">
      <w:pPr>
        <w:pStyle w:val="Standard"/>
        <w:spacing w:line="360" w:lineRule="auto"/>
        <w:ind w:left="567" w:right="567" w:firstLine="141"/>
        <w:jc w:val="both"/>
        <w:rPr>
          <w:rFonts w:ascii="Garamond" w:hAnsi="Garamond"/>
          <w:sz w:val="26"/>
          <w:szCs w:val="26"/>
          <w:lang w:val="it-IT"/>
        </w:rPr>
      </w:pPr>
      <w:r w:rsidRPr="00D85912">
        <w:rPr>
          <w:rFonts w:ascii="Garamond" w:hAnsi="Garamond"/>
          <w:sz w:val="26"/>
          <w:szCs w:val="26"/>
          <w:lang w:val="it-IT"/>
        </w:rPr>
        <w:t>L’art. 5-bis</w:t>
      </w:r>
      <w:r>
        <w:rPr>
          <w:rFonts w:ascii="Garamond" w:hAnsi="Garamond"/>
          <w:sz w:val="26"/>
          <w:szCs w:val="26"/>
          <w:lang w:val="it-IT"/>
        </w:rPr>
        <w:t>,</w:t>
      </w:r>
      <w:r w:rsidRPr="00D85912">
        <w:rPr>
          <w:rFonts w:ascii="Garamond" w:hAnsi="Garamond"/>
          <w:sz w:val="26"/>
          <w:szCs w:val="26"/>
          <w:lang w:val="it-IT"/>
        </w:rPr>
        <w:t xml:space="preserve"> comma 3</w:t>
      </w:r>
      <w:r>
        <w:rPr>
          <w:rFonts w:ascii="Garamond" w:hAnsi="Garamond"/>
          <w:sz w:val="26"/>
          <w:szCs w:val="26"/>
          <w:lang w:val="it-IT"/>
        </w:rPr>
        <w:t>,</w:t>
      </w:r>
      <w:r w:rsidRPr="00D85912">
        <w:rPr>
          <w:rFonts w:ascii="Garamond" w:hAnsi="Garamond"/>
          <w:sz w:val="26"/>
          <w:szCs w:val="26"/>
          <w:lang w:val="it-IT"/>
        </w:rPr>
        <w:t xml:space="preserve"> </w:t>
      </w:r>
      <w:r>
        <w:rPr>
          <w:rFonts w:ascii="Garamond" w:hAnsi="Garamond"/>
          <w:sz w:val="26"/>
          <w:szCs w:val="26"/>
          <w:lang w:val="it-IT"/>
        </w:rPr>
        <w:t xml:space="preserve">d.lgs. n. 33 del 2013 </w:t>
      </w:r>
      <w:r w:rsidRPr="00D85912">
        <w:rPr>
          <w:rFonts w:ascii="Garamond" w:hAnsi="Garamond"/>
          <w:sz w:val="26"/>
          <w:szCs w:val="26"/>
          <w:lang w:val="it-IT"/>
        </w:rPr>
        <w:t>individua una serie di limiti all’accesso civico in considerazione di alcuni rilevanti interessi (pubblici e privati) ritenuti dallo stesso legislatore assolutamente prevalenti rispetto al diritto di accesso (</w:t>
      </w:r>
      <w:r w:rsidRPr="00D85912">
        <w:rPr>
          <w:rFonts w:ascii="Garamond" w:hAnsi="Garamond"/>
          <w:i/>
          <w:sz w:val="26"/>
          <w:szCs w:val="26"/>
          <w:lang w:val="it-IT"/>
        </w:rPr>
        <w:t>“Il diritto di cui all’articolo 5, comma 2, accesso è escluso nei casi di …“</w:t>
      </w:r>
      <w:r w:rsidRPr="00D85912">
        <w:rPr>
          <w:rFonts w:ascii="Garamond" w:hAnsi="Garamond"/>
          <w:sz w:val="26"/>
          <w:szCs w:val="26"/>
          <w:lang w:val="it-IT"/>
        </w:rPr>
        <w:t>)</w:t>
      </w:r>
      <w:r>
        <w:rPr>
          <w:rFonts w:ascii="Garamond" w:hAnsi="Garamond"/>
          <w:sz w:val="26"/>
          <w:szCs w:val="26"/>
          <w:lang w:val="it-IT"/>
        </w:rPr>
        <w:t xml:space="preserve"> </w:t>
      </w:r>
      <w:r w:rsidRPr="009620DF">
        <w:rPr>
          <w:rStyle w:val="Rimandonotaapidipagina"/>
          <w:rFonts w:ascii="Garamond" w:hAnsi="Garamond" w:cs="Times New Roman"/>
          <w:color w:val="000000" w:themeColor="text1"/>
          <w:sz w:val="26"/>
          <w:szCs w:val="26"/>
        </w:rPr>
        <w:footnoteReference w:id="5"/>
      </w:r>
      <w:r>
        <w:rPr>
          <w:rFonts w:ascii="Garamond" w:hAnsi="Garamond"/>
          <w:sz w:val="26"/>
          <w:szCs w:val="26"/>
          <w:lang w:val="it-IT"/>
        </w:rPr>
        <w:t>.</w:t>
      </w:r>
    </w:p>
    <w:p w14:paraId="1A63AB34" w14:textId="3A8F30EC" w:rsidR="00D85912" w:rsidRDefault="00D85912" w:rsidP="00D85912">
      <w:pPr>
        <w:pStyle w:val="Standard"/>
        <w:spacing w:line="360" w:lineRule="auto"/>
        <w:ind w:left="567" w:right="567" w:firstLine="141"/>
        <w:jc w:val="both"/>
        <w:rPr>
          <w:rFonts w:ascii="Garamond" w:hAnsi="Garamond"/>
          <w:sz w:val="26"/>
          <w:szCs w:val="26"/>
          <w:lang w:val="it-IT"/>
        </w:rPr>
      </w:pPr>
      <w:r>
        <w:rPr>
          <w:rFonts w:ascii="Garamond" w:hAnsi="Garamond"/>
          <w:sz w:val="26"/>
          <w:szCs w:val="26"/>
          <w:lang w:val="it-IT"/>
        </w:rPr>
        <w:t>L</w:t>
      </w:r>
      <w:r w:rsidR="004C629C">
        <w:rPr>
          <w:rFonts w:ascii="Garamond" w:hAnsi="Garamond"/>
          <w:sz w:val="26"/>
          <w:szCs w:val="26"/>
          <w:lang w:val="it-IT"/>
        </w:rPr>
        <w:t xml:space="preserve">a determinazione </w:t>
      </w:r>
      <w:r w:rsidRPr="00D85912">
        <w:rPr>
          <w:rFonts w:ascii="Garamond" w:hAnsi="Garamond"/>
          <w:sz w:val="26"/>
          <w:szCs w:val="26"/>
          <w:lang w:val="it-IT"/>
        </w:rPr>
        <w:t xml:space="preserve">dei </w:t>
      </w:r>
      <w:r>
        <w:rPr>
          <w:rFonts w:ascii="Garamond" w:hAnsi="Garamond"/>
          <w:sz w:val="26"/>
          <w:szCs w:val="26"/>
          <w:lang w:val="it-IT"/>
        </w:rPr>
        <w:t xml:space="preserve">suddetti limiti </w:t>
      </w:r>
      <w:r w:rsidRPr="00D85912">
        <w:rPr>
          <w:rFonts w:ascii="Garamond" w:hAnsi="Garamond"/>
          <w:sz w:val="26"/>
          <w:szCs w:val="26"/>
          <w:lang w:val="it-IT"/>
        </w:rPr>
        <w:t>è coperta d</w:t>
      </w:r>
      <w:r w:rsidR="00F7403A">
        <w:rPr>
          <w:rFonts w:ascii="Garamond" w:hAnsi="Garamond"/>
          <w:sz w:val="26"/>
          <w:szCs w:val="26"/>
          <w:lang w:val="it-IT"/>
        </w:rPr>
        <w:t>a</w:t>
      </w:r>
      <w:r w:rsidRPr="00D85912">
        <w:rPr>
          <w:rFonts w:ascii="Garamond" w:hAnsi="Garamond"/>
          <w:sz w:val="26"/>
          <w:szCs w:val="26"/>
          <w:lang w:val="it-IT"/>
        </w:rPr>
        <w:t xml:space="preserve"> “riserva di legge” </w:t>
      </w:r>
      <w:r w:rsidRPr="009620DF">
        <w:rPr>
          <w:rStyle w:val="Rimandonotaapidipagina"/>
          <w:rFonts w:ascii="Garamond" w:hAnsi="Garamond" w:cs="Times New Roman"/>
          <w:color w:val="000000" w:themeColor="text1"/>
          <w:sz w:val="26"/>
          <w:szCs w:val="26"/>
        </w:rPr>
        <w:footnoteReference w:id="6"/>
      </w:r>
      <w:r w:rsidR="00F7403A">
        <w:rPr>
          <w:rFonts w:ascii="Garamond" w:hAnsi="Garamond"/>
          <w:sz w:val="26"/>
          <w:szCs w:val="26"/>
          <w:lang w:val="it-IT"/>
        </w:rPr>
        <w:t xml:space="preserve">, con conseguente divieto per le fonti regolamentari di intervenire </w:t>
      </w:r>
      <w:r w:rsidR="000E013E">
        <w:rPr>
          <w:rFonts w:ascii="Garamond" w:hAnsi="Garamond"/>
          <w:sz w:val="26"/>
          <w:szCs w:val="26"/>
          <w:lang w:val="it-IT"/>
        </w:rPr>
        <w:t xml:space="preserve">a disciplinare </w:t>
      </w:r>
      <w:r w:rsidR="00F7403A">
        <w:rPr>
          <w:rFonts w:ascii="Garamond" w:hAnsi="Garamond"/>
          <w:sz w:val="26"/>
          <w:szCs w:val="26"/>
          <w:lang w:val="it-IT"/>
        </w:rPr>
        <w:t>gli oggetti riservati</w:t>
      </w:r>
      <w:r w:rsidR="000E013E">
        <w:rPr>
          <w:rFonts w:ascii="Garamond" w:hAnsi="Garamond"/>
          <w:sz w:val="26"/>
          <w:szCs w:val="26"/>
          <w:lang w:val="it-IT"/>
        </w:rPr>
        <w:t>.</w:t>
      </w:r>
      <w:r w:rsidR="00F7403A">
        <w:rPr>
          <w:rFonts w:ascii="Garamond" w:hAnsi="Garamond"/>
          <w:sz w:val="26"/>
          <w:szCs w:val="26"/>
          <w:lang w:val="it-IT"/>
        </w:rPr>
        <w:t xml:space="preserve"> </w:t>
      </w:r>
    </w:p>
    <w:p w14:paraId="301E1188" w14:textId="77777777" w:rsidR="00370CB1" w:rsidRDefault="00F7403A" w:rsidP="00FD4BA9">
      <w:pPr>
        <w:pStyle w:val="Standard"/>
        <w:spacing w:line="360" w:lineRule="auto"/>
        <w:ind w:left="567" w:right="567"/>
        <w:jc w:val="both"/>
        <w:rPr>
          <w:rFonts w:ascii="Garamond" w:hAnsi="Garamond"/>
          <w:color w:val="000000"/>
          <w:sz w:val="26"/>
          <w:szCs w:val="26"/>
          <w:shd w:val="clear" w:color="auto" w:fill="FFFFFF"/>
          <w:lang w:val="it-IT"/>
        </w:rPr>
      </w:pPr>
      <w:r>
        <w:rPr>
          <w:rFonts w:ascii="Garamond" w:hAnsi="Garamond"/>
          <w:color w:val="000000"/>
          <w:sz w:val="26"/>
          <w:szCs w:val="26"/>
          <w:shd w:val="clear" w:color="auto" w:fill="FFFFFF"/>
          <w:lang w:val="it-IT"/>
        </w:rPr>
        <w:tab/>
      </w:r>
      <w:r w:rsidR="003F40E6">
        <w:rPr>
          <w:rFonts w:ascii="Garamond" w:hAnsi="Garamond"/>
          <w:color w:val="000000"/>
          <w:sz w:val="26"/>
          <w:szCs w:val="26"/>
          <w:shd w:val="clear" w:color="auto" w:fill="FFFFFF"/>
          <w:lang w:val="it-IT"/>
        </w:rPr>
        <w:t>Benchè la norma utilizzi una terminologia apparentemente evocativa di una “riserva assoluta” (</w:t>
      </w:r>
      <w:r w:rsidR="003F40E6">
        <w:rPr>
          <w:rFonts w:ascii="Garamond" w:hAnsi="Garamond"/>
          <w:i/>
          <w:iCs/>
          <w:color w:val="000000"/>
          <w:sz w:val="26"/>
          <w:szCs w:val="26"/>
          <w:shd w:val="clear" w:color="auto" w:fill="FFFFFF"/>
          <w:lang w:val="it-IT"/>
        </w:rPr>
        <w:t>“nei casi di</w:t>
      </w:r>
      <w:proofErr w:type="gramStart"/>
      <w:r w:rsidR="003F40E6">
        <w:rPr>
          <w:rFonts w:ascii="Garamond" w:hAnsi="Garamond"/>
          <w:i/>
          <w:iCs/>
          <w:color w:val="000000"/>
          <w:sz w:val="26"/>
          <w:szCs w:val="26"/>
          <w:shd w:val="clear" w:color="auto" w:fill="FFFFFF"/>
          <w:lang w:val="it-IT"/>
        </w:rPr>
        <w:t xml:space="preserve"> ..</w:t>
      </w:r>
      <w:proofErr w:type="gramEnd"/>
      <w:r w:rsidR="003F40E6">
        <w:rPr>
          <w:rFonts w:ascii="Garamond" w:hAnsi="Garamond"/>
          <w:i/>
          <w:iCs/>
          <w:color w:val="000000"/>
          <w:sz w:val="26"/>
          <w:szCs w:val="26"/>
          <w:shd w:val="clear" w:color="auto" w:fill="FFFFFF"/>
          <w:lang w:val="it-IT"/>
        </w:rPr>
        <w:t>”</w:t>
      </w:r>
      <w:r w:rsidR="003F40E6">
        <w:rPr>
          <w:rFonts w:ascii="Garamond" w:hAnsi="Garamond"/>
          <w:color w:val="000000"/>
          <w:sz w:val="26"/>
          <w:szCs w:val="26"/>
          <w:shd w:val="clear" w:color="auto" w:fill="FFFFFF"/>
          <w:lang w:val="it-IT"/>
        </w:rPr>
        <w:t>), n</w:t>
      </w:r>
      <w:r>
        <w:rPr>
          <w:rFonts w:ascii="Garamond" w:hAnsi="Garamond"/>
          <w:color w:val="000000"/>
          <w:sz w:val="26"/>
          <w:szCs w:val="26"/>
          <w:shd w:val="clear" w:color="auto" w:fill="FFFFFF"/>
          <w:lang w:val="it-IT"/>
        </w:rPr>
        <w:t>on pare dubitabile</w:t>
      </w:r>
      <w:r w:rsidR="003F40E6">
        <w:rPr>
          <w:rFonts w:ascii="Garamond" w:hAnsi="Garamond"/>
          <w:color w:val="000000"/>
          <w:sz w:val="26"/>
          <w:szCs w:val="26"/>
          <w:shd w:val="clear" w:color="auto" w:fill="FFFFFF"/>
          <w:lang w:val="it-IT"/>
        </w:rPr>
        <w:t xml:space="preserve"> che detta “riserva di legge” sia da intendere come “relativa”</w:t>
      </w:r>
      <w:r w:rsidR="00370CB1">
        <w:rPr>
          <w:rFonts w:ascii="Garamond" w:hAnsi="Garamond"/>
          <w:color w:val="000000"/>
          <w:sz w:val="26"/>
          <w:szCs w:val="26"/>
          <w:shd w:val="clear" w:color="auto" w:fill="FFFFFF"/>
          <w:lang w:val="it-IT"/>
        </w:rPr>
        <w:t>.</w:t>
      </w:r>
    </w:p>
    <w:p w14:paraId="4680D712" w14:textId="7A8BCEB1" w:rsidR="00FD4BA9" w:rsidRDefault="003F40E6" w:rsidP="00FD4BA9">
      <w:pPr>
        <w:pStyle w:val="Standard"/>
        <w:spacing w:line="360" w:lineRule="auto"/>
        <w:ind w:left="567" w:right="567"/>
        <w:jc w:val="both"/>
        <w:rPr>
          <w:rFonts w:ascii="Garamond" w:hAnsi="Garamond"/>
          <w:sz w:val="26"/>
          <w:szCs w:val="26"/>
          <w:lang w:val="it-IT"/>
        </w:rPr>
      </w:pPr>
      <w:r w:rsidRPr="00FD4BA9">
        <w:rPr>
          <w:rFonts w:ascii="Garamond" w:hAnsi="Garamond"/>
          <w:color w:val="000000"/>
          <w:sz w:val="26"/>
          <w:szCs w:val="26"/>
          <w:shd w:val="clear" w:color="auto" w:fill="FFFFFF"/>
          <w:lang w:val="it-IT"/>
        </w:rPr>
        <w:tab/>
      </w:r>
      <w:r w:rsidR="00FD4BA9" w:rsidRPr="00FD4BA9">
        <w:rPr>
          <w:rFonts w:ascii="Garamond" w:hAnsi="Garamond"/>
          <w:color w:val="000000"/>
          <w:sz w:val="26"/>
          <w:szCs w:val="26"/>
          <w:shd w:val="clear" w:color="auto" w:fill="FFFFFF"/>
          <w:lang w:val="it-IT"/>
        </w:rPr>
        <w:t>Né è dubitabile</w:t>
      </w:r>
      <w:r w:rsidR="00FD4BA9">
        <w:rPr>
          <w:rFonts w:ascii="Garamond" w:hAnsi="Garamond"/>
          <w:color w:val="000000"/>
          <w:sz w:val="26"/>
          <w:szCs w:val="26"/>
          <w:shd w:val="clear" w:color="auto" w:fill="FFFFFF"/>
          <w:lang w:val="it-IT"/>
        </w:rPr>
        <w:t>, stante il principio generale di trasparenza e la valenza costituzionale del connesso diritto, che</w:t>
      </w:r>
      <w:r w:rsidR="00A00806">
        <w:rPr>
          <w:rFonts w:ascii="Garamond" w:hAnsi="Garamond"/>
          <w:color w:val="000000"/>
          <w:sz w:val="26"/>
          <w:szCs w:val="26"/>
          <w:shd w:val="clear" w:color="auto" w:fill="FFFFFF"/>
          <w:lang w:val="it-IT"/>
        </w:rPr>
        <w:t xml:space="preserve"> le </w:t>
      </w:r>
      <w:r w:rsidR="00FD4BA9" w:rsidRPr="00FD4BA9">
        <w:rPr>
          <w:rFonts w:ascii="Garamond" w:hAnsi="Garamond"/>
          <w:sz w:val="26"/>
          <w:szCs w:val="26"/>
          <w:lang w:val="it-IT"/>
        </w:rPr>
        <w:t xml:space="preserve">limitazioni </w:t>
      </w:r>
      <w:r w:rsidR="00A00806">
        <w:rPr>
          <w:rFonts w:ascii="Garamond" w:hAnsi="Garamond"/>
          <w:sz w:val="26"/>
          <w:szCs w:val="26"/>
          <w:lang w:val="it-IT"/>
        </w:rPr>
        <w:t xml:space="preserve">dell’accesso civico generalizzato (ed in specie quelle previste dal comma 3 dell’art. 5-bis) </w:t>
      </w:r>
      <w:r w:rsidR="00FD4BA9" w:rsidRPr="00FD4BA9">
        <w:rPr>
          <w:rFonts w:ascii="Garamond" w:hAnsi="Garamond"/>
          <w:sz w:val="26"/>
          <w:szCs w:val="26"/>
          <w:lang w:val="it-IT"/>
        </w:rPr>
        <w:t>de</w:t>
      </w:r>
      <w:r w:rsidR="00A00806">
        <w:rPr>
          <w:rFonts w:ascii="Garamond" w:hAnsi="Garamond"/>
          <w:sz w:val="26"/>
          <w:szCs w:val="26"/>
          <w:lang w:val="it-IT"/>
        </w:rPr>
        <w:t xml:space="preserve">bbano </w:t>
      </w:r>
      <w:r w:rsidR="00FD4BA9" w:rsidRPr="00FD4BA9">
        <w:rPr>
          <w:rFonts w:ascii="Garamond" w:hAnsi="Garamond"/>
          <w:sz w:val="26"/>
          <w:szCs w:val="26"/>
          <w:lang w:val="it-IT"/>
        </w:rPr>
        <w:t xml:space="preserve">considerarsi fattispecie </w:t>
      </w:r>
      <w:r w:rsidR="00FD4BA9">
        <w:rPr>
          <w:rFonts w:ascii="Garamond" w:hAnsi="Garamond"/>
          <w:sz w:val="26"/>
          <w:szCs w:val="26"/>
          <w:lang w:val="it-IT"/>
        </w:rPr>
        <w:t>“</w:t>
      </w:r>
      <w:r w:rsidR="00FD4BA9" w:rsidRPr="00FD4BA9">
        <w:rPr>
          <w:rFonts w:ascii="Garamond" w:hAnsi="Garamond"/>
          <w:sz w:val="26"/>
          <w:szCs w:val="26"/>
          <w:lang w:val="it-IT"/>
        </w:rPr>
        <w:t>eccezionali</w:t>
      </w:r>
      <w:r w:rsidR="00FD4BA9">
        <w:rPr>
          <w:rFonts w:ascii="Garamond" w:hAnsi="Garamond"/>
          <w:sz w:val="26"/>
          <w:szCs w:val="26"/>
          <w:lang w:val="it-IT"/>
        </w:rPr>
        <w:t>”</w:t>
      </w:r>
      <w:r w:rsidR="00FD4BA9" w:rsidRPr="00FD4BA9">
        <w:rPr>
          <w:rFonts w:ascii="Garamond" w:hAnsi="Garamond"/>
          <w:sz w:val="26"/>
          <w:szCs w:val="26"/>
          <w:lang w:val="it-IT"/>
        </w:rPr>
        <w:t xml:space="preserve">, </w:t>
      </w:r>
      <w:r w:rsidR="00A00806">
        <w:rPr>
          <w:rFonts w:ascii="Garamond" w:hAnsi="Garamond"/>
          <w:sz w:val="26"/>
          <w:szCs w:val="26"/>
          <w:lang w:val="it-IT"/>
        </w:rPr>
        <w:t xml:space="preserve">con conseguente divieto di </w:t>
      </w:r>
      <w:r w:rsidR="00FD4BA9" w:rsidRPr="00FD4BA9">
        <w:rPr>
          <w:rFonts w:ascii="Garamond" w:hAnsi="Garamond"/>
          <w:sz w:val="26"/>
          <w:szCs w:val="26"/>
          <w:lang w:val="it-IT"/>
        </w:rPr>
        <w:t xml:space="preserve">interpretazione estensiva e </w:t>
      </w:r>
      <w:r w:rsidR="00A00806">
        <w:rPr>
          <w:rFonts w:ascii="Garamond" w:hAnsi="Garamond"/>
          <w:sz w:val="26"/>
          <w:szCs w:val="26"/>
          <w:lang w:val="it-IT"/>
        </w:rPr>
        <w:t xml:space="preserve">di </w:t>
      </w:r>
      <w:r w:rsidR="00FD4BA9" w:rsidRPr="00FD4BA9">
        <w:rPr>
          <w:rFonts w:ascii="Garamond" w:hAnsi="Garamond"/>
          <w:sz w:val="26"/>
          <w:szCs w:val="26"/>
          <w:lang w:val="it-IT"/>
        </w:rPr>
        <w:t xml:space="preserve">applicazione analogica </w:t>
      </w:r>
      <w:r w:rsidR="00FD4BA9" w:rsidRPr="009620DF">
        <w:rPr>
          <w:rStyle w:val="Rimandonotaapidipagina"/>
          <w:rFonts w:ascii="Garamond" w:hAnsi="Garamond" w:cs="Times New Roman"/>
          <w:color w:val="000000" w:themeColor="text1"/>
          <w:sz w:val="26"/>
          <w:szCs w:val="26"/>
        </w:rPr>
        <w:footnoteReference w:id="7"/>
      </w:r>
      <w:r w:rsidR="00FD4BA9">
        <w:rPr>
          <w:rFonts w:ascii="Garamond" w:hAnsi="Garamond"/>
          <w:sz w:val="26"/>
          <w:szCs w:val="26"/>
          <w:lang w:val="it-IT"/>
        </w:rPr>
        <w:t>.</w:t>
      </w:r>
    </w:p>
    <w:p w14:paraId="4D56F822" w14:textId="224C9DD9" w:rsidR="00D85912" w:rsidRPr="00D85912" w:rsidRDefault="00D85912" w:rsidP="00A00806">
      <w:pPr>
        <w:pStyle w:val="Standard"/>
        <w:spacing w:line="360" w:lineRule="auto"/>
        <w:ind w:left="567" w:right="567" w:firstLine="141"/>
        <w:jc w:val="both"/>
        <w:rPr>
          <w:rFonts w:ascii="Garamond" w:hAnsi="Garamond"/>
          <w:sz w:val="26"/>
          <w:szCs w:val="26"/>
          <w:lang w:val="it-IT"/>
        </w:rPr>
      </w:pPr>
      <w:r w:rsidRPr="00D85912">
        <w:rPr>
          <w:rFonts w:ascii="Garamond" w:hAnsi="Garamond"/>
          <w:color w:val="000000"/>
          <w:sz w:val="26"/>
          <w:szCs w:val="26"/>
          <w:shd w:val="clear" w:color="auto" w:fill="FFFFFF"/>
          <w:lang w:val="it-IT"/>
        </w:rPr>
        <w:lastRenderedPageBreak/>
        <w:t xml:space="preserve">Dette limitazioni sono </w:t>
      </w:r>
      <w:r w:rsidR="00A00806">
        <w:rPr>
          <w:rFonts w:ascii="Garamond" w:hAnsi="Garamond"/>
          <w:color w:val="000000"/>
          <w:sz w:val="26"/>
          <w:szCs w:val="26"/>
          <w:shd w:val="clear" w:color="auto" w:fill="FFFFFF"/>
          <w:lang w:val="it-IT"/>
        </w:rPr>
        <w:t xml:space="preserve">definite </w:t>
      </w:r>
      <w:r w:rsidRPr="00D85912">
        <w:rPr>
          <w:rFonts w:ascii="Garamond" w:hAnsi="Garamond"/>
          <w:color w:val="000000"/>
          <w:sz w:val="26"/>
          <w:szCs w:val="26"/>
          <w:shd w:val="clear" w:color="auto" w:fill="FFFFFF"/>
          <w:lang w:val="it-IT"/>
        </w:rPr>
        <w:t>“assolute”</w:t>
      </w:r>
      <w:r w:rsidR="00A00806">
        <w:rPr>
          <w:rFonts w:ascii="Garamond" w:hAnsi="Garamond"/>
          <w:color w:val="000000"/>
          <w:sz w:val="26"/>
          <w:szCs w:val="26"/>
          <w:shd w:val="clear" w:color="auto" w:fill="FFFFFF"/>
          <w:lang w:val="it-IT"/>
        </w:rPr>
        <w:t>,</w:t>
      </w:r>
      <w:r w:rsidRPr="00D85912">
        <w:rPr>
          <w:rFonts w:ascii="Garamond" w:hAnsi="Garamond"/>
          <w:color w:val="000000"/>
          <w:sz w:val="26"/>
          <w:szCs w:val="26"/>
          <w:shd w:val="clear" w:color="auto" w:fill="FFFFFF"/>
          <w:lang w:val="it-IT"/>
        </w:rPr>
        <w:t xml:space="preserve"> nel senso che vincolano tutte le P.A., </w:t>
      </w:r>
      <w:r w:rsidRPr="00D85912">
        <w:rPr>
          <w:rFonts w:ascii="Garamond" w:hAnsi="Garamond"/>
          <w:sz w:val="26"/>
          <w:szCs w:val="26"/>
          <w:lang w:val="it-IT"/>
        </w:rPr>
        <w:t>senza che residui alcun margine di apprezzamento discrezionale del caso concreto</w:t>
      </w:r>
      <w:r w:rsidRPr="00D85912">
        <w:rPr>
          <w:rFonts w:ascii="Garamond" w:hAnsi="Garamond"/>
          <w:color w:val="000000"/>
          <w:sz w:val="26"/>
          <w:szCs w:val="26"/>
          <w:shd w:val="clear" w:color="auto" w:fill="FFFFFF"/>
          <w:lang w:val="it-IT"/>
        </w:rPr>
        <w:t xml:space="preserve">, </w:t>
      </w:r>
      <w:r w:rsidR="00A00806">
        <w:rPr>
          <w:rFonts w:ascii="Garamond" w:hAnsi="Garamond"/>
          <w:color w:val="000000"/>
          <w:sz w:val="26"/>
          <w:szCs w:val="26"/>
          <w:shd w:val="clear" w:color="auto" w:fill="FFFFFF"/>
          <w:lang w:val="it-IT"/>
        </w:rPr>
        <w:t xml:space="preserve">stante che </w:t>
      </w:r>
      <w:r w:rsidRPr="00D85912">
        <w:rPr>
          <w:rFonts w:ascii="Garamond" w:hAnsi="Garamond"/>
          <w:color w:val="000000"/>
          <w:sz w:val="26"/>
          <w:szCs w:val="26"/>
          <w:shd w:val="clear" w:color="auto" w:fill="FFFFFF"/>
          <w:lang w:val="it-IT"/>
        </w:rPr>
        <w:t xml:space="preserve">il giudizio di meritevolezza dell’istanza è già definito in astratto </w:t>
      </w:r>
      <w:r w:rsidR="00A00806">
        <w:rPr>
          <w:rFonts w:ascii="Garamond" w:hAnsi="Garamond"/>
          <w:color w:val="000000"/>
          <w:sz w:val="26"/>
          <w:szCs w:val="26"/>
          <w:shd w:val="clear" w:color="auto" w:fill="FFFFFF"/>
          <w:lang w:val="it-IT"/>
        </w:rPr>
        <w:t xml:space="preserve">dal legislatore: ne deriva </w:t>
      </w:r>
      <w:r w:rsidRPr="00D85912">
        <w:rPr>
          <w:rFonts w:ascii="Garamond" w:hAnsi="Garamond"/>
          <w:color w:val="000000"/>
          <w:sz w:val="26"/>
          <w:szCs w:val="26"/>
          <w:shd w:val="clear" w:color="auto" w:fill="FFFFFF"/>
          <w:lang w:val="it-IT"/>
        </w:rPr>
        <w:t xml:space="preserve">che nei casi suddetti </w:t>
      </w:r>
      <w:r w:rsidRPr="00D85912">
        <w:rPr>
          <w:rFonts w:ascii="Garamond" w:hAnsi="Garamond"/>
          <w:sz w:val="26"/>
          <w:szCs w:val="26"/>
          <w:lang w:val="it-IT"/>
        </w:rPr>
        <w:t xml:space="preserve">l'Amministrazione esercita un potere vincolato, dovendo soltanto </w:t>
      </w:r>
      <w:r w:rsidRPr="00D85912">
        <w:rPr>
          <w:rFonts w:ascii="Garamond" w:hAnsi="Garamond"/>
          <w:color w:val="000000"/>
          <w:sz w:val="26"/>
          <w:szCs w:val="26"/>
          <w:shd w:val="clear" w:color="auto" w:fill="FFFFFF"/>
          <w:lang w:val="it-IT"/>
        </w:rPr>
        <w:t xml:space="preserve">verificare la ascrivibilità della fattispecie concreta alla categoria di limitazioni prevista dalla norma e, </w:t>
      </w:r>
      <w:r w:rsidR="000E013E">
        <w:rPr>
          <w:rFonts w:ascii="Garamond" w:hAnsi="Garamond"/>
          <w:color w:val="000000"/>
          <w:sz w:val="26"/>
          <w:szCs w:val="26"/>
          <w:shd w:val="clear" w:color="auto" w:fill="FFFFFF"/>
          <w:lang w:val="it-IT"/>
        </w:rPr>
        <w:t xml:space="preserve">qualora </w:t>
      </w:r>
      <w:r w:rsidRPr="00D85912">
        <w:rPr>
          <w:rFonts w:ascii="Garamond" w:hAnsi="Garamond"/>
          <w:color w:val="000000"/>
          <w:sz w:val="26"/>
          <w:szCs w:val="26"/>
          <w:shd w:val="clear" w:color="auto" w:fill="FFFFFF"/>
          <w:lang w:val="it-IT"/>
        </w:rPr>
        <w:t xml:space="preserve">detta verifica dia esito positivo, </w:t>
      </w:r>
      <w:r w:rsidRPr="00D85912">
        <w:rPr>
          <w:rFonts w:ascii="Garamond" w:hAnsi="Garamond"/>
          <w:sz w:val="26"/>
          <w:szCs w:val="26"/>
          <w:lang w:val="it-IT"/>
        </w:rPr>
        <w:t>negare l'accesso</w:t>
      </w:r>
      <w:r w:rsidR="00F40766">
        <w:rPr>
          <w:rFonts w:ascii="Garamond" w:hAnsi="Garamond"/>
          <w:sz w:val="26"/>
          <w:szCs w:val="26"/>
          <w:lang w:val="it-IT"/>
        </w:rPr>
        <w:t xml:space="preserve"> </w:t>
      </w:r>
      <w:r w:rsidR="00F40766" w:rsidRPr="001D37A6">
        <w:rPr>
          <w:rStyle w:val="Rimandonotaapidipagina"/>
          <w:rFonts w:ascii="Garamond" w:hAnsi="Garamond" w:cs="Times New Roman"/>
          <w:color w:val="000000" w:themeColor="text1"/>
          <w:sz w:val="26"/>
          <w:szCs w:val="26"/>
          <w:lang w:val="it-IT"/>
        </w:rPr>
        <w:footnoteReference w:id="8"/>
      </w:r>
      <w:r w:rsidR="00F40766">
        <w:rPr>
          <w:rFonts w:ascii="Garamond" w:hAnsi="Garamond"/>
          <w:sz w:val="26"/>
          <w:szCs w:val="26"/>
          <w:lang w:val="it-IT"/>
        </w:rPr>
        <w:t>.</w:t>
      </w:r>
    </w:p>
    <w:p w14:paraId="75D489EF" w14:textId="77777777" w:rsidR="00CB107B" w:rsidRDefault="00D6622B" w:rsidP="00CB107B">
      <w:pPr>
        <w:pStyle w:val="Standard"/>
        <w:spacing w:line="360" w:lineRule="auto"/>
        <w:ind w:left="567" w:right="567" w:firstLine="141"/>
        <w:jc w:val="both"/>
        <w:rPr>
          <w:rFonts w:ascii="Garamond" w:hAnsi="Garamond"/>
          <w:color w:val="000000"/>
          <w:sz w:val="26"/>
          <w:szCs w:val="26"/>
          <w:shd w:val="clear" w:color="auto" w:fill="FFFFFF"/>
          <w:lang w:val="it-IT"/>
        </w:rPr>
      </w:pPr>
      <w:r>
        <w:rPr>
          <w:rFonts w:ascii="Garamond" w:hAnsi="Garamond"/>
          <w:color w:val="000000"/>
          <w:sz w:val="26"/>
          <w:szCs w:val="26"/>
          <w:shd w:val="clear" w:color="auto" w:fill="FFFFFF"/>
          <w:lang w:val="it-IT"/>
        </w:rPr>
        <w:t xml:space="preserve">Sin qui </w:t>
      </w:r>
      <w:r>
        <w:rPr>
          <w:rFonts w:ascii="Garamond" w:hAnsi="Garamond"/>
          <w:i/>
          <w:iCs/>
          <w:color w:val="000000"/>
          <w:sz w:val="26"/>
          <w:szCs w:val="26"/>
          <w:shd w:val="clear" w:color="auto" w:fill="FFFFFF"/>
          <w:lang w:val="it-IT"/>
        </w:rPr>
        <w:t>nulla quaestio</w:t>
      </w:r>
      <w:r>
        <w:rPr>
          <w:rFonts w:ascii="Garamond" w:hAnsi="Garamond"/>
          <w:color w:val="000000"/>
          <w:sz w:val="26"/>
          <w:szCs w:val="26"/>
          <w:shd w:val="clear" w:color="auto" w:fill="FFFFFF"/>
          <w:lang w:val="it-IT"/>
        </w:rPr>
        <w:t>.</w:t>
      </w:r>
    </w:p>
    <w:p w14:paraId="15CEA48B" w14:textId="67E56D23" w:rsidR="00CB107B" w:rsidRPr="00C037E1" w:rsidRDefault="00D6622B" w:rsidP="00CB107B">
      <w:pPr>
        <w:pStyle w:val="Standard"/>
        <w:spacing w:line="360" w:lineRule="auto"/>
        <w:ind w:left="567" w:right="567" w:firstLine="141"/>
        <w:jc w:val="both"/>
        <w:rPr>
          <w:rFonts w:ascii="Garamond" w:hAnsi="Garamond"/>
          <w:sz w:val="26"/>
          <w:szCs w:val="26"/>
          <w:lang w:val="it-IT"/>
        </w:rPr>
      </w:pPr>
      <w:r w:rsidRPr="00D6622B">
        <w:rPr>
          <w:rFonts w:ascii="Garamond" w:hAnsi="Garamond"/>
          <w:color w:val="000000"/>
          <w:sz w:val="26"/>
          <w:szCs w:val="26"/>
          <w:shd w:val="clear" w:color="auto" w:fill="FFFFFF"/>
          <w:lang w:val="it-IT"/>
        </w:rPr>
        <w:t xml:space="preserve">Senonchè, nel momento in cui il legislatore ha </w:t>
      </w:r>
      <w:r w:rsidR="00CB107B">
        <w:rPr>
          <w:rFonts w:ascii="Garamond" w:hAnsi="Garamond"/>
          <w:color w:val="000000"/>
          <w:sz w:val="26"/>
          <w:szCs w:val="26"/>
          <w:shd w:val="clear" w:color="auto" w:fill="FFFFFF"/>
          <w:lang w:val="it-IT"/>
        </w:rPr>
        <w:t>stabili</w:t>
      </w:r>
      <w:r w:rsidR="004C629C">
        <w:rPr>
          <w:rFonts w:ascii="Garamond" w:hAnsi="Garamond"/>
          <w:color w:val="000000"/>
          <w:sz w:val="26"/>
          <w:szCs w:val="26"/>
          <w:shd w:val="clear" w:color="auto" w:fill="FFFFFF"/>
          <w:lang w:val="it-IT"/>
        </w:rPr>
        <w:t>to</w:t>
      </w:r>
      <w:r w:rsidR="00CB107B">
        <w:rPr>
          <w:rFonts w:ascii="Garamond" w:hAnsi="Garamond"/>
          <w:color w:val="000000"/>
          <w:sz w:val="26"/>
          <w:szCs w:val="26"/>
          <w:shd w:val="clear" w:color="auto" w:fill="FFFFFF"/>
          <w:lang w:val="it-IT"/>
        </w:rPr>
        <w:t xml:space="preserve"> </w:t>
      </w:r>
      <w:r w:rsidRPr="00D6622B">
        <w:rPr>
          <w:rFonts w:ascii="Garamond" w:hAnsi="Garamond"/>
          <w:color w:val="000000"/>
          <w:sz w:val="26"/>
          <w:szCs w:val="26"/>
          <w:shd w:val="clear" w:color="auto" w:fill="FFFFFF"/>
          <w:lang w:val="it-IT"/>
        </w:rPr>
        <w:t xml:space="preserve">i </w:t>
      </w:r>
      <w:r w:rsidRPr="00D6622B">
        <w:rPr>
          <w:rFonts w:ascii="Garamond" w:hAnsi="Garamond"/>
          <w:sz w:val="26"/>
          <w:szCs w:val="26"/>
          <w:lang w:val="it-IT"/>
        </w:rPr>
        <w:t xml:space="preserve">casi di esclusione </w:t>
      </w:r>
      <w:r w:rsidR="000A3F3D">
        <w:rPr>
          <w:rFonts w:ascii="Garamond" w:hAnsi="Garamond"/>
          <w:sz w:val="26"/>
          <w:szCs w:val="26"/>
          <w:lang w:val="it-IT"/>
        </w:rPr>
        <w:t>“</w:t>
      </w:r>
      <w:r w:rsidRPr="00D6622B">
        <w:rPr>
          <w:rFonts w:ascii="Garamond" w:hAnsi="Garamond"/>
          <w:sz w:val="26"/>
          <w:szCs w:val="26"/>
          <w:lang w:val="it-IT"/>
        </w:rPr>
        <w:t>assoluta”</w:t>
      </w:r>
      <w:r>
        <w:rPr>
          <w:rFonts w:ascii="Garamond" w:hAnsi="Garamond"/>
          <w:sz w:val="26"/>
          <w:szCs w:val="26"/>
          <w:lang w:val="it-IT"/>
        </w:rPr>
        <w:t xml:space="preserve">, invece che </w:t>
      </w:r>
      <w:r w:rsidR="00CB107B">
        <w:rPr>
          <w:rFonts w:ascii="Garamond" w:hAnsi="Garamond"/>
          <w:sz w:val="26"/>
          <w:szCs w:val="26"/>
          <w:lang w:val="it-IT"/>
        </w:rPr>
        <w:t xml:space="preserve">individuarli direttamente, delimitando rigorosamente </w:t>
      </w:r>
      <w:r w:rsidR="00CB107B" w:rsidRPr="00C037E1">
        <w:rPr>
          <w:rFonts w:ascii="Garamond" w:hAnsi="Garamond"/>
          <w:sz w:val="26"/>
          <w:szCs w:val="26"/>
          <w:lang w:val="it-IT"/>
        </w:rPr>
        <w:t xml:space="preserve">l’oggetto della riserva di legge, lo ha fatto </w:t>
      </w:r>
      <w:r w:rsidRPr="00C037E1">
        <w:rPr>
          <w:rFonts w:ascii="Garamond" w:hAnsi="Garamond"/>
          <w:sz w:val="26"/>
          <w:szCs w:val="26"/>
          <w:lang w:val="it-IT"/>
        </w:rPr>
        <w:t>con la tecnica del rinvio all’art. 24, comma 1, legge n. 241 del 1990</w:t>
      </w:r>
      <w:r w:rsidR="00CB107B" w:rsidRPr="00C037E1">
        <w:rPr>
          <w:rFonts w:ascii="Garamond" w:hAnsi="Garamond"/>
          <w:sz w:val="26"/>
          <w:szCs w:val="26"/>
          <w:lang w:val="it-IT"/>
        </w:rPr>
        <w:t xml:space="preserve"> (</w:t>
      </w:r>
      <w:proofErr w:type="gramStart"/>
      <w:r w:rsidR="00C037E1" w:rsidRPr="00C037E1">
        <w:rPr>
          <w:rFonts w:ascii="Garamond" w:hAnsi="Garamond"/>
          <w:i/>
          <w:iCs/>
          <w:sz w:val="26"/>
          <w:szCs w:val="26"/>
          <w:lang w:val="it-IT"/>
        </w:rPr>
        <w:t>“..</w:t>
      </w:r>
      <w:proofErr w:type="gramEnd"/>
      <w:r w:rsidR="00C037E1" w:rsidRPr="00C037E1">
        <w:rPr>
          <w:rFonts w:ascii="Garamond" w:hAnsi="Garamond"/>
          <w:i/>
          <w:iCs/>
          <w:sz w:val="26"/>
          <w:szCs w:val="26"/>
          <w:lang w:val="it-IT"/>
        </w:rPr>
        <w:t xml:space="preserve"> </w:t>
      </w:r>
      <w:r w:rsidR="00CB107B" w:rsidRPr="00C037E1">
        <w:rPr>
          <w:rFonts w:ascii="Garamond" w:hAnsi="Garamond"/>
          <w:i/>
          <w:color w:val="000000"/>
          <w:sz w:val="26"/>
          <w:szCs w:val="26"/>
          <w:lang w:val="it-IT"/>
        </w:rPr>
        <w:t>inclusi quelli di cui all'articolo 24, comma 1, della legge n. 241 del 1990.”</w:t>
      </w:r>
      <w:r w:rsidR="00C037E1" w:rsidRPr="00C037E1">
        <w:rPr>
          <w:rFonts w:ascii="Garamond" w:hAnsi="Garamond"/>
          <w:iCs/>
          <w:color w:val="000000"/>
          <w:sz w:val="26"/>
          <w:szCs w:val="26"/>
          <w:lang w:val="it-IT"/>
        </w:rPr>
        <w:t>)</w:t>
      </w:r>
      <w:r w:rsidR="00CB107B" w:rsidRPr="00C037E1">
        <w:rPr>
          <w:rFonts w:ascii="Garamond" w:hAnsi="Garamond"/>
          <w:iCs/>
          <w:color w:val="000000"/>
          <w:sz w:val="26"/>
          <w:szCs w:val="26"/>
          <w:lang w:val="it-IT"/>
        </w:rPr>
        <w:t>.</w:t>
      </w:r>
    </w:p>
    <w:p w14:paraId="22A7FA2E" w14:textId="637CEF72" w:rsidR="00CB107B" w:rsidRPr="00846D5C" w:rsidRDefault="00CB107B" w:rsidP="00CB107B">
      <w:pPr>
        <w:pStyle w:val="Standard"/>
        <w:spacing w:line="360" w:lineRule="auto"/>
        <w:ind w:left="567" w:right="567" w:firstLine="141"/>
        <w:jc w:val="both"/>
        <w:rPr>
          <w:rFonts w:ascii="Garamond" w:hAnsi="Garamond"/>
          <w:sz w:val="26"/>
          <w:szCs w:val="26"/>
          <w:lang w:val="it-IT"/>
        </w:rPr>
      </w:pPr>
      <w:r w:rsidRPr="00846D5C">
        <w:rPr>
          <w:rFonts w:ascii="Garamond" w:hAnsi="Garamond"/>
          <w:sz w:val="26"/>
          <w:szCs w:val="26"/>
          <w:lang w:val="it-IT"/>
        </w:rPr>
        <w:t xml:space="preserve"> </w:t>
      </w:r>
      <w:r w:rsidR="00C037E1" w:rsidRPr="00846D5C">
        <w:rPr>
          <w:rFonts w:ascii="Garamond" w:hAnsi="Garamond"/>
          <w:sz w:val="26"/>
          <w:szCs w:val="26"/>
          <w:lang w:val="it-IT"/>
        </w:rPr>
        <w:t>N</w:t>
      </w:r>
      <w:r w:rsidRPr="00846D5C">
        <w:rPr>
          <w:rFonts w:ascii="Garamond" w:hAnsi="Garamond"/>
          <w:sz w:val="26"/>
          <w:szCs w:val="26"/>
          <w:lang w:val="it-IT"/>
        </w:rPr>
        <w:t>orma</w:t>
      </w:r>
      <w:r w:rsidR="00C037E1" w:rsidRPr="00846D5C">
        <w:rPr>
          <w:rFonts w:ascii="Garamond" w:hAnsi="Garamond"/>
          <w:sz w:val="26"/>
          <w:szCs w:val="26"/>
          <w:lang w:val="it-IT"/>
        </w:rPr>
        <w:t>, quest’ultima,</w:t>
      </w:r>
      <w:r w:rsidRPr="00846D5C">
        <w:rPr>
          <w:rFonts w:ascii="Garamond" w:hAnsi="Garamond"/>
          <w:sz w:val="26"/>
          <w:szCs w:val="26"/>
          <w:lang w:val="it-IT"/>
        </w:rPr>
        <w:t xml:space="preserve"> che</w:t>
      </w:r>
      <w:r w:rsidR="00846D5C">
        <w:rPr>
          <w:rFonts w:ascii="Garamond" w:hAnsi="Garamond"/>
          <w:sz w:val="26"/>
          <w:szCs w:val="26"/>
          <w:lang w:val="it-IT"/>
        </w:rPr>
        <w:t xml:space="preserve"> </w:t>
      </w:r>
      <w:r w:rsidRPr="00846D5C">
        <w:rPr>
          <w:rFonts w:ascii="Garamond" w:hAnsi="Garamond"/>
          <w:sz w:val="26"/>
          <w:szCs w:val="26"/>
          <w:lang w:val="it-IT"/>
        </w:rPr>
        <w:t>contiene a sua volta un</w:t>
      </w:r>
      <w:r w:rsidR="000E013E" w:rsidRPr="00846D5C">
        <w:rPr>
          <w:rFonts w:ascii="Garamond" w:hAnsi="Garamond"/>
          <w:sz w:val="26"/>
          <w:szCs w:val="26"/>
          <w:lang w:val="it-IT"/>
        </w:rPr>
        <w:t>a serie di</w:t>
      </w:r>
      <w:r w:rsidRPr="00846D5C">
        <w:rPr>
          <w:rFonts w:ascii="Garamond" w:hAnsi="Garamond"/>
          <w:sz w:val="26"/>
          <w:szCs w:val="26"/>
          <w:lang w:val="it-IT"/>
        </w:rPr>
        <w:t xml:space="preserve"> </w:t>
      </w:r>
      <w:r w:rsidR="00846D5C">
        <w:rPr>
          <w:rFonts w:ascii="Garamond" w:hAnsi="Garamond"/>
          <w:sz w:val="26"/>
          <w:szCs w:val="26"/>
          <w:lang w:val="it-IT"/>
        </w:rPr>
        <w:t>“</w:t>
      </w:r>
      <w:r w:rsidRPr="00846D5C">
        <w:rPr>
          <w:rFonts w:ascii="Garamond" w:hAnsi="Garamond"/>
          <w:sz w:val="26"/>
          <w:szCs w:val="26"/>
          <w:lang w:val="it-IT"/>
        </w:rPr>
        <w:t>rinvi</w:t>
      </w:r>
      <w:r w:rsidR="000E013E" w:rsidRPr="00846D5C">
        <w:rPr>
          <w:rFonts w:ascii="Garamond" w:hAnsi="Garamond"/>
          <w:sz w:val="26"/>
          <w:szCs w:val="26"/>
          <w:lang w:val="it-IT"/>
        </w:rPr>
        <w:t>i</w:t>
      </w:r>
      <w:r w:rsidR="00846D5C">
        <w:rPr>
          <w:rFonts w:ascii="Garamond" w:hAnsi="Garamond"/>
          <w:sz w:val="26"/>
          <w:szCs w:val="26"/>
          <w:lang w:val="it-IT"/>
        </w:rPr>
        <w:t>”</w:t>
      </w:r>
      <w:r w:rsidRPr="00846D5C">
        <w:rPr>
          <w:rFonts w:ascii="Garamond" w:hAnsi="Garamond"/>
          <w:sz w:val="26"/>
          <w:szCs w:val="26"/>
          <w:lang w:val="it-IT"/>
        </w:rPr>
        <w:t xml:space="preserve"> ad altre fonti</w:t>
      </w:r>
      <w:r w:rsidR="00C037E1" w:rsidRPr="00846D5C">
        <w:rPr>
          <w:rFonts w:ascii="Garamond" w:hAnsi="Garamond"/>
          <w:sz w:val="26"/>
          <w:szCs w:val="26"/>
          <w:lang w:val="it-IT"/>
        </w:rPr>
        <w:t xml:space="preserve"> normative</w:t>
      </w:r>
      <w:r w:rsidRPr="00846D5C">
        <w:rPr>
          <w:rFonts w:ascii="Garamond" w:hAnsi="Garamond"/>
          <w:sz w:val="26"/>
          <w:szCs w:val="26"/>
          <w:lang w:val="it-IT"/>
        </w:rPr>
        <w:t>, alcune delle quali</w:t>
      </w:r>
      <w:r w:rsidR="00C037E1" w:rsidRPr="00846D5C">
        <w:rPr>
          <w:rFonts w:ascii="Garamond" w:hAnsi="Garamond"/>
          <w:sz w:val="26"/>
          <w:szCs w:val="26"/>
          <w:lang w:val="it-IT"/>
        </w:rPr>
        <w:t xml:space="preserve"> di rango “primario, altre </w:t>
      </w:r>
      <w:r w:rsidR="004C629C" w:rsidRPr="00846D5C">
        <w:rPr>
          <w:rFonts w:ascii="Garamond" w:hAnsi="Garamond"/>
          <w:sz w:val="26"/>
          <w:szCs w:val="26"/>
          <w:lang w:val="it-IT"/>
        </w:rPr>
        <w:t xml:space="preserve">di rango </w:t>
      </w:r>
      <w:r w:rsidRPr="00846D5C">
        <w:rPr>
          <w:rFonts w:ascii="Garamond" w:hAnsi="Garamond"/>
          <w:sz w:val="26"/>
          <w:szCs w:val="26"/>
          <w:lang w:val="it-IT"/>
        </w:rPr>
        <w:t>“secondari</w:t>
      </w:r>
      <w:r w:rsidR="004C629C" w:rsidRPr="00846D5C">
        <w:rPr>
          <w:rFonts w:ascii="Garamond" w:hAnsi="Garamond"/>
          <w:sz w:val="26"/>
          <w:szCs w:val="26"/>
          <w:lang w:val="it-IT"/>
        </w:rPr>
        <w:t>o</w:t>
      </w:r>
      <w:r w:rsidRPr="00846D5C">
        <w:rPr>
          <w:rFonts w:ascii="Garamond" w:hAnsi="Garamond"/>
          <w:sz w:val="26"/>
          <w:szCs w:val="26"/>
          <w:lang w:val="it-IT"/>
        </w:rPr>
        <w:t>”</w:t>
      </w:r>
      <w:r w:rsidR="00846D5C">
        <w:rPr>
          <w:rFonts w:ascii="Garamond" w:hAnsi="Garamond"/>
          <w:sz w:val="26"/>
          <w:szCs w:val="26"/>
          <w:lang w:val="it-IT"/>
        </w:rPr>
        <w:t xml:space="preserve">, circostanza che rende di difficile ed incerta decifrazione l’individuazione delle esclusioni “assolute” dell’accesso civico generalizzato </w:t>
      </w:r>
      <w:r w:rsidR="00846D5C" w:rsidRPr="001D37A6">
        <w:rPr>
          <w:rStyle w:val="Rimandonotaapidipagina"/>
          <w:rFonts w:ascii="Garamond" w:hAnsi="Garamond" w:cs="Times New Roman"/>
          <w:color w:val="000000" w:themeColor="text1"/>
          <w:sz w:val="26"/>
          <w:szCs w:val="26"/>
          <w:lang w:val="it-IT"/>
        </w:rPr>
        <w:footnoteReference w:id="9"/>
      </w:r>
      <w:r w:rsidR="00846D5C">
        <w:rPr>
          <w:rFonts w:ascii="Garamond" w:hAnsi="Garamond"/>
          <w:sz w:val="26"/>
          <w:szCs w:val="26"/>
          <w:lang w:val="it-IT"/>
        </w:rPr>
        <w:t>.</w:t>
      </w:r>
    </w:p>
    <w:p w14:paraId="069D6819" w14:textId="5FAF3430" w:rsidR="00846D5C" w:rsidRPr="00846D5C" w:rsidRDefault="00846D5C" w:rsidP="00CB107B">
      <w:pPr>
        <w:pStyle w:val="Standard"/>
        <w:spacing w:line="360" w:lineRule="auto"/>
        <w:ind w:left="567" w:right="567" w:firstLine="141"/>
        <w:jc w:val="both"/>
        <w:rPr>
          <w:rFonts w:ascii="Garamond" w:hAnsi="Garamond" w:cs="Segoe UI"/>
          <w:sz w:val="22"/>
          <w:szCs w:val="22"/>
          <w:lang w:val="it-IT"/>
        </w:rPr>
      </w:pPr>
    </w:p>
    <w:p w14:paraId="03D07ED4" w14:textId="5DD8512A" w:rsidR="00CB107B" w:rsidRPr="00C037E1" w:rsidRDefault="00C037E1" w:rsidP="00CB107B">
      <w:pPr>
        <w:spacing w:line="360" w:lineRule="auto"/>
        <w:ind w:left="567" w:right="567"/>
        <w:jc w:val="both"/>
        <w:rPr>
          <w:rFonts w:ascii="Garamond" w:hAnsi="Garamond" w:cs="Times New Roman"/>
          <w:b/>
          <w:bCs/>
          <w:color w:val="000000" w:themeColor="text1"/>
          <w:sz w:val="26"/>
          <w:szCs w:val="26"/>
        </w:rPr>
      </w:pPr>
      <w:r w:rsidRPr="00846D5C">
        <w:rPr>
          <w:rFonts w:ascii="Garamond" w:hAnsi="Garamond" w:cs="Times New Roman"/>
          <w:b/>
          <w:bCs/>
          <w:color w:val="000000" w:themeColor="text1"/>
          <w:sz w:val="26"/>
          <w:szCs w:val="26"/>
        </w:rPr>
        <w:t>3</w:t>
      </w:r>
      <w:r>
        <w:rPr>
          <w:rFonts w:ascii="Garamond" w:hAnsi="Garamond" w:cs="Times New Roman"/>
          <w:b/>
          <w:bCs/>
          <w:color w:val="000000" w:themeColor="text1"/>
          <w:sz w:val="26"/>
          <w:szCs w:val="26"/>
        </w:rPr>
        <w:t>.</w:t>
      </w:r>
      <w:r w:rsidR="00CB107B" w:rsidRPr="00D85912">
        <w:rPr>
          <w:rFonts w:ascii="Garamond" w:hAnsi="Garamond" w:cs="Times New Roman"/>
          <w:b/>
          <w:bCs/>
          <w:color w:val="000000" w:themeColor="text1"/>
          <w:sz w:val="26"/>
          <w:szCs w:val="26"/>
        </w:rPr>
        <w:t xml:space="preserve"> </w:t>
      </w:r>
      <w:r>
        <w:rPr>
          <w:rFonts w:ascii="Garamond" w:hAnsi="Garamond" w:cs="Times New Roman"/>
          <w:b/>
          <w:bCs/>
          <w:color w:val="000000" w:themeColor="text1"/>
          <w:sz w:val="26"/>
          <w:szCs w:val="26"/>
        </w:rPr>
        <w:t>Il rinvio ai casi direttamente previsti dall’art. 24, comma 1, legge n. 241 del 1990 ed agli alt</w:t>
      </w:r>
      <w:r w:rsidRPr="00C037E1">
        <w:rPr>
          <w:rFonts w:ascii="Garamond" w:hAnsi="Garamond" w:cs="Times New Roman"/>
          <w:b/>
          <w:bCs/>
          <w:color w:val="000000" w:themeColor="text1"/>
          <w:sz w:val="26"/>
          <w:szCs w:val="26"/>
        </w:rPr>
        <w:t xml:space="preserve">ri </w:t>
      </w:r>
      <w:r w:rsidRPr="00C037E1">
        <w:rPr>
          <w:rFonts w:ascii="Garamond" w:hAnsi="Garamond"/>
          <w:b/>
          <w:bCs/>
          <w:color w:val="000000"/>
          <w:sz w:val="26"/>
          <w:szCs w:val="26"/>
        </w:rPr>
        <w:t>casi di segreto o di divieto di divulgazione espressamente previsti dalla legge</w:t>
      </w:r>
      <w:r>
        <w:rPr>
          <w:rFonts w:ascii="Garamond" w:hAnsi="Garamond"/>
          <w:b/>
          <w:bCs/>
          <w:color w:val="000000"/>
          <w:sz w:val="26"/>
          <w:szCs w:val="26"/>
        </w:rPr>
        <w:t>.</w:t>
      </w:r>
    </w:p>
    <w:p w14:paraId="418CFDA2" w14:textId="5AF82CF2" w:rsidR="0073228E" w:rsidRDefault="00C037E1" w:rsidP="003771F5">
      <w:pPr>
        <w:spacing w:line="360" w:lineRule="auto"/>
        <w:ind w:left="567" w:right="567"/>
        <w:jc w:val="both"/>
        <w:rPr>
          <w:rFonts w:ascii="Garamond" w:hAnsi="Garamond"/>
          <w:color w:val="000000"/>
          <w:sz w:val="26"/>
          <w:szCs w:val="26"/>
        </w:rPr>
      </w:pPr>
      <w:r w:rsidRPr="00C037E1">
        <w:rPr>
          <w:rFonts w:ascii="Garamond" w:hAnsi="Garamond" w:cs="Times New Roman"/>
          <w:color w:val="000000" w:themeColor="text1"/>
          <w:sz w:val="26"/>
          <w:szCs w:val="26"/>
        </w:rPr>
        <w:lastRenderedPageBreak/>
        <w:tab/>
      </w:r>
      <w:r>
        <w:rPr>
          <w:rFonts w:ascii="Garamond" w:hAnsi="Garamond" w:cs="Times New Roman"/>
          <w:color w:val="000000" w:themeColor="text1"/>
          <w:sz w:val="26"/>
          <w:szCs w:val="26"/>
        </w:rPr>
        <w:t xml:space="preserve">Particolari problematiche non </w:t>
      </w:r>
      <w:r w:rsidR="0073228E">
        <w:rPr>
          <w:rFonts w:ascii="Garamond" w:hAnsi="Garamond" w:cs="Times New Roman"/>
          <w:color w:val="000000" w:themeColor="text1"/>
          <w:sz w:val="26"/>
          <w:szCs w:val="26"/>
        </w:rPr>
        <w:t xml:space="preserve">si </w:t>
      </w:r>
      <w:r w:rsidR="00CD2712">
        <w:rPr>
          <w:rFonts w:ascii="Garamond" w:hAnsi="Garamond" w:cs="Times New Roman"/>
          <w:color w:val="000000" w:themeColor="text1"/>
          <w:sz w:val="26"/>
          <w:szCs w:val="26"/>
        </w:rPr>
        <w:t>pon</w:t>
      </w:r>
      <w:r w:rsidR="0073228E">
        <w:rPr>
          <w:rFonts w:ascii="Garamond" w:hAnsi="Garamond" w:cs="Times New Roman"/>
          <w:color w:val="000000" w:themeColor="text1"/>
          <w:sz w:val="26"/>
          <w:szCs w:val="26"/>
        </w:rPr>
        <w:t>gono</w:t>
      </w:r>
      <w:r w:rsidR="00CD2712">
        <w:rPr>
          <w:rFonts w:ascii="Garamond" w:hAnsi="Garamond" w:cs="Times New Roman"/>
          <w:color w:val="000000" w:themeColor="text1"/>
          <w:sz w:val="26"/>
          <w:szCs w:val="26"/>
        </w:rPr>
        <w:t xml:space="preserve"> </w:t>
      </w:r>
      <w:r w:rsidR="0073228E">
        <w:rPr>
          <w:rFonts w:ascii="Garamond" w:hAnsi="Garamond" w:cs="Times New Roman"/>
          <w:color w:val="000000" w:themeColor="text1"/>
          <w:sz w:val="26"/>
          <w:szCs w:val="26"/>
        </w:rPr>
        <w:t xml:space="preserve">per </w:t>
      </w:r>
      <w:r>
        <w:rPr>
          <w:rFonts w:ascii="Garamond" w:hAnsi="Garamond" w:cs="Times New Roman"/>
          <w:color w:val="000000" w:themeColor="text1"/>
          <w:sz w:val="26"/>
          <w:szCs w:val="26"/>
        </w:rPr>
        <w:t>il rinvio all’art. 24, comma 1, della legge n. 24 del 1990</w:t>
      </w:r>
      <w:r w:rsidR="00D0302C">
        <w:rPr>
          <w:rFonts w:ascii="Garamond" w:hAnsi="Garamond" w:cs="Times New Roman"/>
          <w:color w:val="000000" w:themeColor="text1"/>
          <w:sz w:val="26"/>
          <w:szCs w:val="26"/>
        </w:rPr>
        <w:t>,</w:t>
      </w:r>
      <w:r>
        <w:rPr>
          <w:rFonts w:ascii="Garamond" w:hAnsi="Garamond" w:cs="Times New Roman"/>
          <w:color w:val="000000" w:themeColor="text1"/>
          <w:sz w:val="26"/>
          <w:szCs w:val="26"/>
        </w:rPr>
        <w:t xml:space="preserve"> nella parte in cui quest’ultima norma individua direttamente </w:t>
      </w:r>
      <w:r w:rsidR="00D0302C">
        <w:rPr>
          <w:rFonts w:ascii="Garamond" w:hAnsi="Garamond" w:cs="Times New Roman"/>
          <w:color w:val="000000" w:themeColor="text1"/>
          <w:sz w:val="26"/>
          <w:szCs w:val="26"/>
        </w:rPr>
        <w:t xml:space="preserve">alcuni </w:t>
      </w:r>
      <w:r>
        <w:rPr>
          <w:rFonts w:ascii="Garamond" w:hAnsi="Garamond" w:cs="Times New Roman"/>
          <w:color w:val="000000" w:themeColor="text1"/>
          <w:sz w:val="26"/>
          <w:szCs w:val="26"/>
        </w:rPr>
        <w:t xml:space="preserve">casi di esclusione dell’accesso e </w:t>
      </w:r>
      <w:r w:rsidR="00D0302C">
        <w:rPr>
          <w:rFonts w:ascii="Garamond" w:hAnsi="Garamond" w:cs="Times New Roman"/>
          <w:color w:val="000000" w:themeColor="text1"/>
          <w:sz w:val="26"/>
          <w:szCs w:val="26"/>
        </w:rPr>
        <w:t xml:space="preserve">nella parte in cui </w:t>
      </w:r>
      <w:r>
        <w:rPr>
          <w:rFonts w:ascii="Garamond" w:hAnsi="Garamond" w:cs="Times New Roman"/>
          <w:color w:val="000000" w:themeColor="text1"/>
          <w:sz w:val="26"/>
          <w:szCs w:val="26"/>
        </w:rPr>
        <w:t>rinvia ad altri “</w:t>
      </w:r>
      <w:r w:rsidRPr="00C037E1">
        <w:rPr>
          <w:rFonts w:ascii="Garamond" w:hAnsi="Garamond"/>
          <w:i/>
          <w:iCs/>
          <w:color w:val="000000"/>
          <w:sz w:val="26"/>
          <w:szCs w:val="26"/>
        </w:rPr>
        <w:t>casi di segreto o di divieto di divulgazione espressamente previsti dalla legge</w:t>
      </w:r>
      <w:r>
        <w:rPr>
          <w:rFonts w:ascii="Garamond" w:hAnsi="Garamond"/>
          <w:i/>
          <w:iCs/>
          <w:color w:val="000000"/>
          <w:sz w:val="26"/>
          <w:szCs w:val="26"/>
        </w:rPr>
        <w:t>”</w:t>
      </w:r>
      <w:r w:rsidR="0073228E">
        <w:rPr>
          <w:rFonts w:ascii="Garamond" w:hAnsi="Garamond"/>
          <w:color w:val="000000"/>
          <w:sz w:val="26"/>
          <w:szCs w:val="26"/>
        </w:rPr>
        <w:t xml:space="preserve">, </w:t>
      </w:r>
      <w:r w:rsidR="00281D54">
        <w:rPr>
          <w:rFonts w:ascii="Garamond" w:hAnsi="Garamond"/>
          <w:color w:val="000000"/>
          <w:sz w:val="26"/>
          <w:szCs w:val="26"/>
        </w:rPr>
        <w:t xml:space="preserve">fatti salvi gli </w:t>
      </w:r>
      <w:r w:rsidR="0073228E" w:rsidRPr="0073228E">
        <w:rPr>
          <w:rFonts w:ascii="Garamond" w:hAnsi="Garamond" w:cs="Segoe UI"/>
          <w:sz w:val="26"/>
          <w:szCs w:val="26"/>
        </w:rPr>
        <w:t xml:space="preserve">adattamenti del caso </w:t>
      </w:r>
      <w:r w:rsidR="00281D54">
        <w:rPr>
          <w:rFonts w:ascii="Garamond" w:hAnsi="Garamond" w:cs="Segoe UI"/>
          <w:sz w:val="26"/>
          <w:szCs w:val="26"/>
        </w:rPr>
        <w:t xml:space="preserve">in considerazione </w:t>
      </w:r>
      <w:r w:rsidR="0073228E" w:rsidRPr="0073228E">
        <w:rPr>
          <w:rFonts w:ascii="Garamond" w:hAnsi="Garamond" w:cs="Segoe UI"/>
          <w:sz w:val="26"/>
          <w:szCs w:val="26"/>
        </w:rPr>
        <w:t>della diversità dei due tipi di accesso</w:t>
      </w:r>
      <w:r w:rsidR="0073228E">
        <w:rPr>
          <w:rFonts w:ascii="Garamond" w:hAnsi="Garamond" w:cs="Segoe UI"/>
          <w:sz w:val="26"/>
          <w:szCs w:val="26"/>
        </w:rPr>
        <w:t xml:space="preserve"> </w:t>
      </w:r>
      <w:r w:rsidR="00CD2712" w:rsidRPr="009620DF">
        <w:rPr>
          <w:rStyle w:val="Rimandonotaapidipagina"/>
          <w:rFonts w:ascii="Garamond" w:hAnsi="Garamond" w:cs="Times New Roman"/>
          <w:color w:val="000000" w:themeColor="text1"/>
          <w:sz w:val="26"/>
          <w:szCs w:val="26"/>
        </w:rPr>
        <w:footnoteReference w:id="10"/>
      </w:r>
      <w:r>
        <w:rPr>
          <w:rFonts w:ascii="Garamond" w:hAnsi="Garamond"/>
          <w:color w:val="000000"/>
          <w:sz w:val="26"/>
          <w:szCs w:val="26"/>
        </w:rPr>
        <w:t>.</w:t>
      </w:r>
    </w:p>
    <w:p w14:paraId="33B650C7" w14:textId="0C935913" w:rsidR="003771F5" w:rsidRDefault="003771F5" w:rsidP="003771F5">
      <w:pPr>
        <w:spacing w:line="360" w:lineRule="auto"/>
        <w:ind w:left="567" w:right="567"/>
        <w:jc w:val="both"/>
        <w:rPr>
          <w:rFonts w:ascii="Garamond" w:hAnsi="Garamond"/>
          <w:iCs/>
          <w:color w:val="000000"/>
          <w:sz w:val="26"/>
          <w:szCs w:val="26"/>
        </w:rPr>
      </w:pPr>
      <w:r>
        <w:rPr>
          <w:rFonts w:ascii="Garamond" w:hAnsi="Garamond"/>
          <w:iCs/>
          <w:color w:val="000000"/>
          <w:sz w:val="26"/>
          <w:szCs w:val="26"/>
        </w:rPr>
        <w:tab/>
        <w:t xml:space="preserve">Non </w:t>
      </w:r>
      <w:r w:rsidR="005565AE">
        <w:rPr>
          <w:rFonts w:ascii="Garamond" w:hAnsi="Garamond"/>
          <w:iCs/>
          <w:color w:val="000000"/>
          <w:sz w:val="26"/>
          <w:szCs w:val="26"/>
        </w:rPr>
        <w:t xml:space="preserve">è </w:t>
      </w:r>
      <w:r>
        <w:rPr>
          <w:rFonts w:ascii="Garamond" w:hAnsi="Garamond"/>
          <w:iCs/>
          <w:color w:val="000000"/>
          <w:sz w:val="26"/>
          <w:szCs w:val="26"/>
        </w:rPr>
        <w:t>in discussione la sottrazione all’accesso civico generalizzato dei “</w:t>
      </w:r>
      <w:r w:rsidRPr="003771F5">
        <w:rPr>
          <w:rFonts w:ascii="Garamond" w:hAnsi="Garamond"/>
          <w:i/>
          <w:color w:val="000000"/>
          <w:sz w:val="26"/>
          <w:szCs w:val="26"/>
        </w:rPr>
        <w:t>documenti coperti da segreto di Stato ai sensi della legge 24 ottobre 1977, n. 801, e successive modificazioni</w:t>
      </w:r>
      <w:r>
        <w:rPr>
          <w:rFonts w:ascii="Garamond" w:hAnsi="Garamond"/>
          <w:i/>
          <w:color w:val="000000"/>
          <w:sz w:val="26"/>
          <w:szCs w:val="26"/>
        </w:rPr>
        <w:t>”</w:t>
      </w:r>
      <w:r>
        <w:rPr>
          <w:rFonts w:ascii="Garamond" w:hAnsi="Garamond"/>
          <w:iCs/>
          <w:color w:val="000000"/>
          <w:sz w:val="26"/>
          <w:szCs w:val="26"/>
        </w:rPr>
        <w:t xml:space="preserve"> </w:t>
      </w:r>
      <w:r w:rsidR="004F3224">
        <w:rPr>
          <w:rFonts w:ascii="Garamond" w:hAnsi="Garamond"/>
          <w:iCs/>
          <w:color w:val="000000"/>
          <w:sz w:val="26"/>
          <w:szCs w:val="26"/>
        </w:rPr>
        <w:t>[</w:t>
      </w:r>
      <w:r>
        <w:rPr>
          <w:rFonts w:ascii="Garamond" w:hAnsi="Garamond"/>
          <w:iCs/>
          <w:color w:val="000000"/>
          <w:sz w:val="26"/>
          <w:szCs w:val="26"/>
        </w:rPr>
        <w:t>art. 24, comma 1, lett. a)</w:t>
      </w:r>
      <w:r w:rsidR="004F3224">
        <w:rPr>
          <w:rFonts w:ascii="Garamond" w:hAnsi="Garamond"/>
          <w:iCs/>
          <w:color w:val="000000"/>
          <w:sz w:val="26"/>
          <w:szCs w:val="26"/>
        </w:rPr>
        <w:t>]</w:t>
      </w:r>
      <w:r w:rsidR="00281D54">
        <w:rPr>
          <w:rFonts w:ascii="Garamond" w:hAnsi="Garamond"/>
          <w:iCs/>
          <w:color w:val="000000"/>
          <w:sz w:val="26"/>
          <w:szCs w:val="26"/>
        </w:rPr>
        <w:t xml:space="preserve">. </w:t>
      </w:r>
    </w:p>
    <w:p w14:paraId="5E30C9E1" w14:textId="65830090" w:rsidR="005565AE" w:rsidRDefault="005565AE" w:rsidP="005565AE">
      <w:pPr>
        <w:spacing w:line="360" w:lineRule="auto"/>
        <w:ind w:left="567" w:right="567"/>
        <w:jc w:val="both"/>
        <w:rPr>
          <w:rFonts w:ascii="Garamond" w:hAnsi="Garamond"/>
          <w:iCs/>
          <w:color w:val="000000"/>
          <w:sz w:val="26"/>
          <w:szCs w:val="26"/>
        </w:rPr>
      </w:pPr>
      <w:r>
        <w:rPr>
          <w:rFonts w:ascii="Garamond" w:hAnsi="Garamond"/>
          <w:iCs/>
          <w:color w:val="000000"/>
          <w:sz w:val="26"/>
          <w:szCs w:val="26"/>
        </w:rPr>
        <w:tab/>
      </w:r>
      <w:r w:rsidR="00370CB1">
        <w:rPr>
          <w:rFonts w:ascii="Garamond" w:hAnsi="Garamond"/>
          <w:iCs/>
          <w:color w:val="000000"/>
          <w:sz w:val="26"/>
          <w:szCs w:val="26"/>
        </w:rPr>
        <w:t xml:space="preserve">Né sussistono dubbi </w:t>
      </w:r>
      <w:r w:rsidR="00281D54">
        <w:rPr>
          <w:rFonts w:ascii="Garamond" w:hAnsi="Garamond"/>
          <w:iCs/>
          <w:color w:val="000000"/>
          <w:sz w:val="26"/>
          <w:szCs w:val="26"/>
        </w:rPr>
        <w:t>sul fatto che</w:t>
      </w:r>
      <w:r w:rsidR="00370CB1">
        <w:rPr>
          <w:rFonts w:ascii="Garamond" w:hAnsi="Garamond"/>
          <w:iCs/>
          <w:color w:val="000000"/>
          <w:sz w:val="26"/>
          <w:szCs w:val="26"/>
        </w:rPr>
        <w:t xml:space="preserve"> l’accesso civico generalizzato a</w:t>
      </w:r>
      <w:r w:rsidR="00C33B0F">
        <w:rPr>
          <w:rFonts w:ascii="Garamond" w:hAnsi="Garamond"/>
          <w:iCs/>
          <w:color w:val="000000"/>
          <w:sz w:val="26"/>
          <w:szCs w:val="26"/>
        </w:rPr>
        <w:t xml:space="preserve">gli </w:t>
      </w:r>
      <w:r>
        <w:rPr>
          <w:rFonts w:ascii="Garamond" w:hAnsi="Garamond"/>
          <w:iCs/>
          <w:color w:val="000000"/>
          <w:sz w:val="26"/>
          <w:szCs w:val="26"/>
        </w:rPr>
        <w:t>atti dei “</w:t>
      </w:r>
      <w:r w:rsidR="003771F5" w:rsidRPr="003771F5">
        <w:rPr>
          <w:rFonts w:ascii="Garamond" w:hAnsi="Garamond"/>
          <w:i/>
          <w:color w:val="000000"/>
          <w:sz w:val="26"/>
          <w:szCs w:val="26"/>
        </w:rPr>
        <w:t>procedimenti tributari</w:t>
      </w:r>
      <w:r>
        <w:rPr>
          <w:rFonts w:ascii="Garamond" w:hAnsi="Garamond"/>
          <w:i/>
          <w:color w:val="000000"/>
          <w:sz w:val="26"/>
          <w:szCs w:val="26"/>
        </w:rPr>
        <w:t xml:space="preserve">” </w:t>
      </w:r>
      <w:r w:rsidR="00370CB1">
        <w:rPr>
          <w:rFonts w:ascii="Garamond" w:hAnsi="Garamond"/>
          <w:iCs/>
          <w:color w:val="000000"/>
          <w:sz w:val="26"/>
          <w:szCs w:val="26"/>
        </w:rPr>
        <w:t xml:space="preserve">sia subordinato al rispetto </w:t>
      </w:r>
      <w:r>
        <w:rPr>
          <w:rFonts w:ascii="Garamond" w:hAnsi="Garamond"/>
          <w:iCs/>
          <w:color w:val="000000"/>
          <w:sz w:val="26"/>
          <w:szCs w:val="26"/>
        </w:rPr>
        <w:t>delle “</w:t>
      </w:r>
      <w:r w:rsidR="003771F5" w:rsidRPr="003771F5">
        <w:rPr>
          <w:rFonts w:ascii="Garamond" w:hAnsi="Garamond"/>
          <w:i/>
          <w:color w:val="000000"/>
          <w:sz w:val="26"/>
          <w:szCs w:val="26"/>
        </w:rPr>
        <w:t>particolari norme</w:t>
      </w:r>
      <w:r w:rsidR="00281D54">
        <w:rPr>
          <w:rFonts w:ascii="Garamond" w:hAnsi="Garamond"/>
          <w:i/>
          <w:color w:val="000000"/>
          <w:sz w:val="26"/>
          <w:szCs w:val="26"/>
        </w:rPr>
        <w:t>”</w:t>
      </w:r>
      <w:r w:rsidR="003771F5" w:rsidRPr="003771F5">
        <w:rPr>
          <w:rFonts w:ascii="Garamond" w:hAnsi="Garamond"/>
          <w:i/>
          <w:color w:val="000000"/>
          <w:sz w:val="26"/>
          <w:szCs w:val="26"/>
        </w:rPr>
        <w:t xml:space="preserve"> </w:t>
      </w:r>
      <w:r w:rsidR="003771F5" w:rsidRPr="00281D54">
        <w:rPr>
          <w:rFonts w:ascii="Garamond" w:hAnsi="Garamond"/>
          <w:iCs/>
          <w:color w:val="000000"/>
          <w:sz w:val="26"/>
          <w:szCs w:val="26"/>
        </w:rPr>
        <w:t xml:space="preserve">che </w:t>
      </w:r>
      <w:r w:rsidR="00281D54">
        <w:rPr>
          <w:rFonts w:ascii="Garamond" w:hAnsi="Garamond"/>
          <w:iCs/>
          <w:color w:val="000000"/>
          <w:sz w:val="26"/>
          <w:szCs w:val="26"/>
        </w:rPr>
        <w:t xml:space="preserve">regolano tali atti </w:t>
      </w:r>
      <w:r>
        <w:rPr>
          <w:rFonts w:ascii="Garamond" w:hAnsi="Garamond"/>
          <w:iCs/>
          <w:color w:val="000000"/>
          <w:sz w:val="26"/>
          <w:szCs w:val="26"/>
        </w:rPr>
        <w:t>[art. 24, comma 1, lett. b)].</w:t>
      </w:r>
    </w:p>
    <w:p w14:paraId="032B0299" w14:textId="40B506C8" w:rsidR="005565AE" w:rsidRPr="005565AE" w:rsidRDefault="005565AE" w:rsidP="005565AE">
      <w:pPr>
        <w:spacing w:line="360" w:lineRule="auto"/>
        <w:ind w:left="567" w:right="567"/>
        <w:jc w:val="both"/>
        <w:rPr>
          <w:rFonts w:ascii="Garamond" w:hAnsi="Garamond"/>
          <w:iCs/>
          <w:color w:val="000000"/>
          <w:sz w:val="26"/>
          <w:szCs w:val="26"/>
        </w:rPr>
      </w:pPr>
      <w:r>
        <w:rPr>
          <w:rFonts w:ascii="Garamond" w:hAnsi="Garamond"/>
          <w:i/>
          <w:color w:val="000000"/>
          <w:sz w:val="26"/>
          <w:szCs w:val="26"/>
        </w:rPr>
        <w:tab/>
      </w:r>
      <w:r w:rsidR="00C33B0F" w:rsidRPr="00C33B0F">
        <w:rPr>
          <w:rFonts w:ascii="Garamond" w:hAnsi="Garamond"/>
          <w:iCs/>
          <w:color w:val="000000"/>
          <w:sz w:val="26"/>
          <w:szCs w:val="26"/>
        </w:rPr>
        <w:t>Q</w:t>
      </w:r>
      <w:r w:rsidRPr="00C33B0F">
        <w:rPr>
          <w:rFonts w:ascii="Garamond" w:hAnsi="Garamond"/>
          <w:iCs/>
          <w:color w:val="000000"/>
          <w:sz w:val="26"/>
          <w:szCs w:val="26"/>
        </w:rPr>
        <w:t xml:space="preserve">uanto ai documenti afferenti </w:t>
      </w:r>
      <w:r>
        <w:rPr>
          <w:rFonts w:ascii="Garamond" w:hAnsi="Garamond"/>
          <w:iCs/>
          <w:color w:val="000000"/>
          <w:sz w:val="26"/>
          <w:szCs w:val="26"/>
        </w:rPr>
        <w:t>alla “</w:t>
      </w:r>
      <w:r w:rsidR="003771F5" w:rsidRPr="005565AE">
        <w:rPr>
          <w:rFonts w:ascii="Garamond" w:hAnsi="Garamond"/>
          <w:i/>
          <w:color w:val="000000"/>
          <w:sz w:val="26"/>
          <w:szCs w:val="26"/>
        </w:rPr>
        <w:t>attività della pubblica amministrazione diretta all'emanazione di atti normativi, amministrativi generali, di pianificazione e di programmazione, per i quali restano ferme le particolari norme che ne regolano la formazione</w:t>
      </w:r>
      <w:r>
        <w:rPr>
          <w:rFonts w:ascii="Garamond" w:hAnsi="Garamond"/>
          <w:i/>
          <w:color w:val="000000"/>
          <w:sz w:val="26"/>
          <w:szCs w:val="26"/>
        </w:rPr>
        <w:t xml:space="preserve">” </w:t>
      </w:r>
      <w:r>
        <w:rPr>
          <w:rFonts w:ascii="Garamond" w:hAnsi="Garamond"/>
          <w:iCs/>
          <w:color w:val="000000"/>
          <w:sz w:val="26"/>
          <w:szCs w:val="26"/>
        </w:rPr>
        <w:t xml:space="preserve">[art. 24, comma 1, lett. b)], coerenza di sistema impone un’interpretazione </w:t>
      </w:r>
      <w:r w:rsidR="00AC27EC">
        <w:rPr>
          <w:rFonts w:ascii="Garamond" w:hAnsi="Garamond"/>
          <w:iCs/>
          <w:color w:val="000000"/>
          <w:sz w:val="26"/>
          <w:szCs w:val="26"/>
        </w:rPr>
        <w:t xml:space="preserve">in linea con quella </w:t>
      </w:r>
      <w:r w:rsidR="00C33B0F">
        <w:rPr>
          <w:rFonts w:ascii="Garamond" w:hAnsi="Garamond"/>
          <w:iCs/>
          <w:color w:val="000000"/>
          <w:sz w:val="26"/>
          <w:szCs w:val="26"/>
        </w:rPr>
        <w:t xml:space="preserve">già </w:t>
      </w:r>
      <w:r w:rsidR="00AC27EC">
        <w:rPr>
          <w:rFonts w:ascii="Garamond" w:hAnsi="Garamond"/>
          <w:iCs/>
          <w:color w:val="000000"/>
          <w:sz w:val="26"/>
          <w:szCs w:val="26"/>
        </w:rPr>
        <w:t xml:space="preserve">consolidata per l’accesso documentale ex L. 241 del 1990 </w:t>
      </w:r>
      <w:r w:rsidR="00AC27EC" w:rsidRPr="009620DF">
        <w:rPr>
          <w:rStyle w:val="Rimandonotaapidipagina"/>
          <w:rFonts w:ascii="Garamond" w:hAnsi="Garamond" w:cs="Times New Roman"/>
          <w:color w:val="000000" w:themeColor="text1"/>
          <w:sz w:val="26"/>
          <w:szCs w:val="26"/>
        </w:rPr>
        <w:footnoteReference w:id="11"/>
      </w:r>
      <w:r w:rsidR="00AC27EC">
        <w:rPr>
          <w:rFonts w:ascii="Garamond" w:hAnsi="Garamond"/>
          <w:iCs/>
          <w:color w:val="000000"/>
          <w:sz w:val="26"/>
          <w:szCs w:val="26"/>
        </w:rPr>
        <w:t>; trattasi</w:t>
      </w:r>
      <w:r w:rsidR="00C33B0F">
        <w:rPr>
          <w:rFonts w:ascii="Garamond" w:hAnsi="Garamond"/>
          <w:iCs/>
          <w:color w:val="000000"/>
          <w:sz w:val="26"/>
          <w:szCs w:val="26"/>
        </w:rPr>
        <w:t xml:space="preserve"> </w:t>
      </w:r>
      <w:r w:rsidR="00AC27EC">
        <w:rPr>
          <w:rFonts w:ascii="Garamond" w:hAnsi="Garamond"/>
          <w:iCs/>
          <w:color w:val="000000"/>
          <w:sz w:val="26"/>
          <w:szCs w:val="26"/>
        </w:rPr>
        <w:t xml:space="preserve">di un caso di esclusione sul quale la giurisprudenza ha già avuto occasione di pronunciarsi </w:t>
      </w:r>
      <w:r w:rsidR="00AC27EC" w:rsidRPr="009620DF">
        <w:rPr>
          <w:rStyle w:val="Rimandonotaapidipagina"/>
          <w:rFonts w:ascii="Garamond" w:hAnsi="Garamond" w:cs="Times New Roman"/>
          <w:color w:val="000000" w:themeColor="text1"/>
          <w:sz w:val="26"/>
          <w:szCs w:val="26"/>
        </w:rPr>
        <w:footnoteReference w:id="12"/>
      </w:r>
      <w:r w:rsidR="00AC27EC">
        <w:rPr>
          <w:rFonts w:ascii="Garamond" w:hAnsi="Garamond"/>
          <w:iCs/>
          <w:color w:val="000000"/>
          <w:sz w:val="26"/>
          <w:szCs w:val="26"/>
        </w:rPr>
        <w:t>.</w:t>
      </w:r>
    </w:p>
    <w:p w14:paraId="273AF347" w14:textId="504945E5" w:rsidR="003B0A93" w:rsidRDefault="003B0A93" w:rsidP="005565AE">
      <w:pPr>
        <w:spacing w:line="360" w:lineRule="auto"/>
        <w:ind w:left="567" w:right="567"/>
        <w:jc w:val="both"/>
        <w:rPr>
          <w:rFonts w:ascii="Garamond" w:hAnsi="Garamond" w:cs="Times New Roman"/>
          <w:color w:val="000000" w:themeColor="text1"/>
          <w:sz w:val="26"/>
          <w:szCs w:val="26"/>
        </w:rPr>
      </w:pPr>
      <w:r>
        <w:rPr>
          <w:rFonts w:ascii="Garamond" w:hAnsi="Garamond"/>
          <w:iCs/>
          <w:color w:val="000000"/>
          <w:sz w:val="26"/>
          <w:szCs w:val="26"/>
        </w:rPr>
        <w:lastRenderedPageBreak/>
        <w:tab/>
        <w:t xml:space="preserve">Nessun dubbio </w:t>
      </w:r>
      <w:r w:rsidR="00C33B0F">
        <w:rPr>
          <w:rFonts w:ascii="Garamond" w:hAnsi="Garamond"/>
          <w:iCs/>
          <w:color w:val="000000"/>
          <w:sz w:val="26"/>
          <w:szCs w:val="26"/>
        </w:rPr>
        <w:t>sussiste</w:t>
      </w:r>
      <w:r>
        <w:rPr>
          <w:rFonts w:ascii="Garamond" w:hAnsi="Garamond"/>
          <w:iCs/>
          <w:color w:val="000000"/>
          <w:sz w:val="26"/>
          <w:szCs w:val="26"/>
        </w:rPr>
        <w:t xml:space="preserve">, infine, </w:t>
      </w:r>
      <w:r w:rsidR="00C33B0F">
        <w:rPr>
          <w:rFonts w:ascii="Garamond" w:hAnsi="Garamond"/>
          <w:iCs/>
          <w:color w:val="000000"/>
          <w:sz w:val="26"/>
          <w:szCs w:val="26"/>
        </w:rPr>
        <w:t xml:space="preserve">per </w:t>
      </w:r>
      <w:r w:rsidR="00370CB1">
        <w:rPr>
          <w:rFonts w:ascii="Garamond" w:hAnsi="Garamond"/>
          <w:iCs/>
          <w:color w:val="000000"/>
          <w:sz w:val="26"/>
          <w:szCs w:val="26"/>
        </w:rPr>
        <w:t>l’</w:t>
      </w:r>
      <w:r>
        <w:rPr>
          <w:rFonts w:ascii="Garamond" w:hAnsi="Garamond"/>
          <w:iCs/>
          <w:color w:val="000000"/>
          <w:sz w:val="26"/>
          <w:szCs w:val="26"/>
        </w:rPr>
        <w:t>esclusione previst</w:t>
      </w:r>
      <w:r w:rsidR="00370CB1">
        <w:rPr>
          <w:rFonts w:ascii="Garamond" w:hAnsi="Garamond"/>
          <w:iCs/>
          <w:color w:val="000000"/>
          <w:sz w:val="26"/>
          <w:szCs w:val="26"/>
        </w:rPr>
        <w:t>a</w:t>
      </w:r>
      <w:r>
        <w:rPr>
          <w:rFonts w:ascii="Garamond" w:hAnsi="Garamond"/>
          <w:iCs/>
          <w:color w:val="000000"/>
          <w:sz w:val="26"/>
          <w:szCs w:val="26"/>
        </w:rPr>
        <w:t xml:space="preserve"> dalla lett. d) dell’art. 24, comma 1, </w:t>
      </w:r>
      <w:r w:rsidR="00370CB1">
        <w:rPr>
          <w:rFonts w:ascii="Garamond" w:hAnsi="Garamond"/>
          <w:iCs/>
          <w:color w:val="000000"/>
          <w:sz w:val="26"/>
          <w:szCs w:val="26"/>
        </w:rPr>
        <w:t>l</w:t>
      </w:r>
      <w:r>
        <w:rPr>
          <w:rFonts w:ascii="Garamond" w:hAnsi="Garamond"/>
          <w:iCs/>
          <w:color w:val="000000"/>
          <w:sz w:val="26"/>
          <w:szCs w:val="26"/>
        </w:rPr>
        <w:t xml:space="preserve">. </w:t>
      </w:r>
      <w:r w:rsidR="00370CB1">
        <w:rPr>
          <w:rFonts w:ascii="Garamond" w:hAnsi="Garamond"/>
          <w:iCs/>
          <w:color w:val="000000"/>
          <w:sz w:val="26"/>
          <w:szCs w:val="26"/>
        </w:rPr>
        <w:t xml:space="preserve">n. </w:t>
      </w:r>
      <w:r>
        <w:rPr>
          <w:rFonts w:ascii="Garamond" w:hAnsi="Garamond"/>
          <w:iCs/>
          <w:color w:val="000000"/>
          <w:sz w:val="26"/>
          <w:szCs w:val="26"/>
        </w:rPr>
        <w:t>241 del 1990 (“</w:t>
      </w:r>
      <w:r w:rsidR="003771F5" w:rsidRPr="005565AE">
        <w:rPr>
          <w:rFonts w:ascii="Garamond" w:hAnsi="Garamond"/>
          <w:i/>
          <w:color w:val="000000"/>
          <w:sz w:val="26"/>
          <w:szCs w:val="26"/>
        </w:rPr>
        <w:t xml:space="preserve">nei procedimenti selettivi, nei confronti dei documenti amministrativi contenenti informazioni </w:t>
      </w:r>
      <w:r w:rsidR="003771F5" w:rsidRPr="003B0A93">
        <w:rPr>
          <w:rFonts w:ascii="Garamond" w:hAnsi="Garamond"/>
          <w:i/>
          <w:color w:val="000000"/>
          <w:sz w:val="26"/>
          <w:szCs w:val="26"/>
        </w:rPr>
        <w:t>di carattere psicoattitudinale relativi a terzi</w:t>
      </w:r>
      <w:r w:rsidRPr="003B0A93">
        <w:rPr>
          <w:rFonts w:ascii="Garamond" w:hAnsi="Garamond"/>
          <w:i/>
          <w:color w:val="000000"/>
          <w:sz w:val="26"/>
          <w:szCs w:val="26"/>
        </w:rPr>
        <w:t>”</w:t>
      </w:r>
      <w:r w:rsidRPr="003B0A93">
        <w:rPr>
          <w:rFonts w:ascii="Garamond" w:hAnsi="Garamond"/>
          <w:iCs/>
          <w:color w:val="000000"/>
          <w:sz w:val="26"/>
          <w:szCs w:val="26"/>
        </w:rPr>
        <w:t xml:space="preserve">), </w:t>
      </w:r>
      <w:r w:rsidR="00C33B0F">
        <w:rPr>
          <w:rFonts w:ascii="Garamond" w:hAnsi="Garamond"/>
          <w:iCs/>
          <w:color w:val="000000"/>
          <w:sz w:val="26"/>
          <w:szCs w:val="26"/>
        </w:rPr>
        <w:t xml:space="preserve">trattandosi di un caso in cui vengono in considerazione </w:t>
      </w:r>
      <w:r w:rsidRPr="003B0A93">
        <w:rPr>
          <w:rFonts w:ascii="Garamond" w:hAnsi="Garamond"/>
          <w:iCs/>
          <w:color w:val="000000"/>
          <w:sz w:val="26"/>
          <w:szCs w:val="26"/>
        </w:rPr>
        <w:t xml:space="preserve">quelle “categorie particolari di dati personali” di cui all’art. 9, comma 1, </w:t>
      </w:r>
      <w:r>
        <w:rPr>
          <w:rFonts w:ascii="Garamond" w:hAnsi="Garamond"/>
          <w:iCs/>
          <w:color w:val="000000"/>
          <w:sz w:val="26"/>
          <w:szCs w:val="26"/>
        </w:rPr>
        <w:t xml:space="preserve">del </w:t>
      </w:r>
      <w:r w:rsidR="00370CB1">
        <w:rPr>
          <w:rFonts w:ascii="Garamond" w:hAnsi="Garamond" w:cs="Times New Roman"/>
          <w:color w:val="000000" w:themeColor="text1"/>
          <w:sz w:val="26"/>
          <w:szCs w:val="26"/>
        </w:rPr>
        <w:t>R</w:t>
      </w:r>
      <w:r w:rsidRPr="003B0A93">
        <w:rPr>
          <w:rFonts w:ascii="Garamond" w:hAnsi="Garamond" w:cs="Times New Roman"/>
          <w:color w:val="000000" w:themeColor="text1"/>
          <w:sz w:val="26"/>
          <w:szCs w:val="26"/>
        </w:rPr>
        <w:t>egolamento 27 aprile 2016, n. 2016/679/UE</w:t>
      </w:r>
      <w:r w:rsidR="00C33B0F">
        <w:rPr>
          <w:rFonts w:ascii="Garamond" w:hAnsi="Garamond" w:cs="Times New Roman"/>
          <w:color w:val="000000" w:themeColor="text1"/>
          <w:sz w:val="26"/>
          <w:szCs w:val="26"/>
        </w:rPr>
        <w:t>, di cui è vietato il trattamento.</w:t>
      </w:r>
    </w:p>
    <w:p w14:paraId="5F26E774" w14:textId="6F116766" w:rsidR="007070C7" w:rsidRDefault="003B0A93" w:rsidP="007070C7">
      <w:pPr>
        <w:spacing w:line="360" w:lineRule="auto"/>
        <w:ind w:left="567" w:right="567"/>
        <w:jc w:val="both"/>
        <w:rPr>
          <w:rFonts w:ascii="Garamond" w:hAnsi="Garamond"/>
          <w:color w:val="000000" w:themeColor="text1"/>
          <w:sz w:val="26"/>
          <w:szCs w:val="26"/>
        </w:rPr>
      </w:pPr>
      <w:r>
        <w:rPr>
          <w:rFonts w:ascii="Garamond" w:hAnsi="Garamond"/>
          <w:color w:val="000000"/>
          <w:sz w:val="26"/>
          <w:szCs w:val="26"/>
        </w:rPr>
        <w:tab/>
      </w:r>
      <w:r w:rsidR="00C33B0F">
        <w:rPr>
          <w:rFonts w:ascii="Garamond" w:hAnsi="Garamond"/>
          <w:color w:val="000000"/>
          <w:sz w:val="26"/>
          <w:szCs w:val="26"/>
        </w:rPr>
        <w:t>Detto caso di e</w:t>
      </w:r>
      <w:r w:rsidR="007070C7">
        <w:rPr>
          <w:rFonts w:ascii="Garamond" w:hAnsi="Garamond"/>
          <w:color w:val="000000"/>
          <w:sz w:val="26"/>
          <w:szCs w:val="26"/>
        </w:rPr>
        <w:t xml:space="preserve">sclusione </w:t>
      </w:r>
      <w:r w:rsidR="00C33B0F">
        <w:rPr>
          <w:rFonts w:ascii="Garamond" w:hAnsi="Garamond"/>
          <w:color w:val="000000"/>
          <w:sz w:val="26"/>
          <w:szCs w:val="26"/>
        </w:rPr>
        <w:t xml:space="preserve">è ricompreso, invero, in </w:t>
      </w:r>
      <w:r w:rsidR="007070C7">
        <w:rPr>
          <w:rFonts w:ascii="Garamond" w:hAnsi="Garamond"/>
          <w:color w:val="000000"/>
          <w:sz w:val="26"/>
          <w:szCs w:val="26"/>
        </w:rPr>
        <w:t xml:space="preserve">una fattispecie </w:t>
      </w:r>
      <w:r w:rsidR="00C33B0F">
        <w:rPr>
          <w:rFonts w:ascii="Garamond" w:hAnsi="Garamond"/>
          <w:color w:val="000000"/>
          <w:sz w:val="26"/>
          <w:szCs w:val="26"/>
        </w:rPr>
        <w:t xml:space="preserve">limitatrice </w:t>
      </w:r>
      <w:r w:rsidR="007070C7">
        <w:rPr>
          <w:rFonts w:ascii="Garamond" w:hAnsi="Garamond"/>
          <w:color w:val="000000"/>
          <w:sz w:val="26"/>
          <w:szCs w:val="26"/>
        </w:rPr>
        <w:t xml:space="preserve">di più ampia portata, riguardante tutti </w:t>
      </w:r>
      <w:r w:rsidR="007070C7">
        <w:rPr>
          <w:rFonts w:ascii="Garamond" w:hAnsi="Garamond"/>
          <w:iCs/>
          <w:color w:val="000000"/>
          <w:sz w:val="26"/>
          <w:szCs w:val="26"/>
        </w:rPr>
        <w:t xml:space="preserve">i </w:t>
      </w:r>
      <w:r w:rsidR="007070C7" w:rsidRPr="003B0A93">
        <w:rPr>
          <w:rFonts w:ascii="Garamond" w:hAnsi="Garamond"/>
          <w:iCs/>
          <w:color w:val="000000"/>
          <w:sz w:val="26"/>
          <w:szCs w:val="26"/>
        </w:rPr>
        <w:t xml:space="preserve">c.d. dati </w:t>
      </w:r>
      <w:r w:rsidR="00370CB1">
        <w:rPr>
          <w:rFonts w:ascii="Garamond" w:hAnsi="Garamond"/>
          <w:iCs/>
          <w:color w:val="000000"/>
          <w:sz w:val="26"/>
          <w:szCs w:val="26"/>
        </w:rPr>
        <w:t>“</w:t>
      </w:r>
      <w:r w:rsidR="007070C7" w:rsidRPr="003B0A93">
        <w:rPr>
          <w:rFonts w:ascii="Garamond" w:hAnsi="Garamond"/>
          <w:iCs/>
          <w:color w:val="000000"/>
          <w:sz w:val="26"/>
          <w:szCs w:val="26"/>
        </w:rPr>
        <w:t>sensibilissimi</w:t>
      </w:r>
      <w:r w:rsidR="00370CB1">
        <w:rPr>
          <w:rFonts w:ascii="Garamond" w:hAnsi="Garamond"/>
          <w:iCs/>
          <w:color w:val="000000"/>
          <w:sz w:val="26"/>
          <w:szCs w:val="26"/>
        </w:rPr>
        <w:t>”</w:t>
      </w:r>
      <w:r w:rsidR="007070C7" w:rsidRPr="003B0A93">
        <w:rPr>
          <w:rFonts w:ascii="Garamond" w:hAnsi="Garamond"/>
          <w:iCs/>
          <w:color w:val="000000"/>
          <w:sz w:val="26"/>
          <w:szCs w:val="26"/>
        </w:rPr>
        <w:t xml:space="preserve"> o </w:t>
      </w:r>
      <w:r w:rsidR="00370CB1">
        <w:rPr>
          <w:rFonts w:ascii="Garamond" w:hAnsi="Garamond"/>
          <w:iCs/>
          <w:color w:val="000000"/>
          <w:sz w:val="26"/>
          <w:szCs w:val="26"/>
        </w:rPr>
        <w:t>“</w:t>
      </w:r>
      <w:r w:rsidR="007070C7" w:rsidRPr="003B0A93">
        <w:rPr>
          <w:rFonts w:ascii="Garamond" w:hAnsi="Garamond"/>
          <w:iCs/>
          <w:color w:val="000000"/>
          <w:sz w:val="26"/>
          <w:szCs w:val="26"/>
        </w:rPr>
        <w:t>ultrasensibili</w:t>
      </w:r>
      <w:r w:rsidR="00370CB1">
        <w:rPr>
          <w:rFonts w:ascii="Garamond" w:hAnsi="Garamond"/>
          <w:iCs/>
          <w:color w:val="000000"/>
          <w:sz w:val="26"/>
          <w:szCs w:val="26"/>
        </w:rPr>
        <w:t>”</w:t>
      </w:r>
      <w:r w:rsidR="007070C7">
        <w:rPr>
          <w:rFonts w:ascii="Garamond" w:hAnsi="Garamond"/>
          <w:iCs/>
          <w:color w:val="000000"/>
          <w:sz w:val="26"/>
          <w:szCs w:val="26"/>
        </w:rPr>
        <w:t xml:space="preserve"> (</w:t>
      </w:r>
      <w:r w:rsidR="007070C7" w:rsidRPr="007070C7">
        <w:rPr>
          <w:rFonts w:ascii="Garamond" w:hAnsi="Garamond"/>
          <w:color w:val="000000" w:themeColor="text1"/>
          <w:sz w:val="26"/>
          <w:szCs w:val="26"/>
        </w:rPr>
        <w:t xml:space="preserve">ovvero i </w:t>
      </w:r>
      <w:r w:rsidR="007070C7" w:rsidRPr="007070C7">
        <w:rPr>
          <w:rFonts w:ascii="Garamond" w:hAnsi="Garamond"/>
          <w:i/>
          <w:sz w:val="26"/>
          <w:szCs w:val="26"/>
        </w:rPr>
        <w:t>“dati genetici, dati biometrici intesi a identificare in modo univoco una persona fisica, dati relativi alla salute o alla vita sessuale o all’orientamento sessuale della persona”</w:t>
      </w:r>
      <w:r w:rsidR="007070C7">
        <w:rPr>
          <w:rFonts w:ascii="Garamond" w:hAnsi="Garamond"/>
          <w:sz w:val="26"/>
          <w:szCs w:val="26"/>
        </w:rPr>
        <w:t xml:space="preserve">, </w:t>
      </w:r>
      <w:r w:rsidR="007070C7" w:rsidRPr="007070C7">
        <w:rPr>
          <w:rFonts w:ascii="Garamond" w:hAnsi="Garamond"/>
          <w:sz w:val="26"/>
          <w:szCs w:val="26"/>
        </w:rPr>
        <w:t xml:space="preserve">secondo la definizione </w:t>
      </w:r>
      <w:r w:rsidR="007070C7">
        <w:rPr>
          <w:rFonts w:ascii="Garamond" w:hAnsi="Garamond"/>
          <w:sz w:val="26"/>
          <w:szCs w:val="26"/>
        </w:rPr>
        <w:t>di cui a</w:t>
      </w:r>
      <w:r w:rsidR="007070C7" w:rsidRPr="007070C7">
        <w:rPr>
          <w:rFonts w:ascii="Garamond" w:hAnsi="Garamond"/>
          <w:sz w:val="26"/>
          <w:szCs w:val="26"/>
        </w:rPr>
        <w:t>ll’art. 9</w:t>
      </w:r>
      <w:r w:rsidR="007070C7">
        <w:rPr>
          <w:rFonts w:ascii="Garamond" w:hAnsi="Garamond"/>
          <w:sz w:val="26"/>
          <w:szCs w:val="26"/>
        </w:rPr>
        <w:t>,</w:t>
      </w:r>
      <w:r w:rsidR="007070C7" w:rsidRPr="007070C7">
        <w:rPr>
          <w:rFonts w:ascii="Garamond" w:hAnsi="Garamond"/>
          <w:sz w:val="26"/>
          <w:szCs w:val="26"/>
        </w:rPr>
        <w:t xml:space="preserve"> comma 1</w:t>
      </w:r>
      <w:r w:rsidR="007070C7">
        <w:rPr>
          <w:rFonts w:ascii="Garamond" w:hAnsi="Garamond"/>
          <w:sz w:val="26"/>
          <w:szCs w:val="26"/>
        </w:rPr>
        <w:t>,</w:t>
      </w:r>
      <w:r w:rsidR="007070C7" w:rsidRPr="007070C7">
        <w:rPr>
          <w:rFonts w:ascii="Garamond" w:hAnsi="Garamond"/>
          <w:sz w:val="26"/>
          <w:szCs w:val="26"/>
        </w:rPr>
        <w:t xml:space="preserve"> del Reg</w:t>
      </w:r>
      <w:r w:rsidR="007070C7">
        <w:rPr>
          <w:rFonts w:ascii="Garamond" w:hAnsi="Garamond"/>
          <w:sz w:val="26"/>
          <w:szCs w:val="26"/>
        </w:rPr>
        <w:t>olamento</w:t>
      </w:r>
      <w:r w:rsidR="007070C7" w:rsidRPr="007070C7">
        <w:rPr>
          <w:rFonts w:ascii="Garamond" w:hAnsi="Garamond"/>
          <w:sz w:val="26"/>
          <w:szCs w:val="26"/>
        </w:rPr>
        <w:t xml:space="preserve"> UE 2016/679), </w:t>
      </w:r>
      <w:r w:rsidR="007070C7">
        <w:rPr>
          <w:rFonts w:ascii="Garamond" w:hAnsi="Garamond"/>
          <w:sz w:val="26"/>
          <w:szCs w:val="26"/>
        </w:rPr>
        <w:t xml:space="preserve">che, come ripetutamente chiarito dal Garante per la protezione dei dati personali, </w:t>
      </w:r>
      <w:r w:rsidR="007070C7" w:rsidRPr="007070C7">
        <w:rPr>
          <w:rFonts w:ascii="Garamond" w:hAnsi="Garamond"/>
          <w:color w:val="000000" w:themeColor="text1"/>
          <w:sz w:val="26"/>
          <w:szCs w:val="26"/>
        </w:rPr>
        <w:t xml:space="preserve">non sono mai ostensibili tramite accesso </w:t>
      </w:r>
      <w:r w:rsidR="007070C7">
        <w:rPr>
          <w:rFonts w:ascii="Garamond" w:hAnsi="Garamond"/>
          <w:color w:val="000000" w:themeColor="text1"/>
          <w:sz w:val="26"/>
          <w:szCs w:val="26"/>
        </w:rPr>
        <w:t xml:space="preserve">civico </w:t>
      </w:r>
      <w:r w:rsidR="007070C7" w:rsidRPr="007070C7">
        <w:rPr>
          <w:rFonts w:ascii="Garamond" w:hAnsi="Garamond"/>
          <w:color w:val="000000" w:themeColor="text1"/>
          <w:sz w:val="26"/>
          <w:szCs w:val="26"/>
        </w:rPr>
        <w:t xml:space="preserve">generalizzato </w:t>
      </w:r>
      <w:r w:rsidR="007070C7">
        <w:rPr>
          <w:rFonts w:ascii="Garamond" w:hAnsi="Garamond"/>
          <w:color w:val="000000" w:themeColor="text1"/>
          <w:sz w:val="26"/>
          <w:szCs w:val="26"/>
        </w:rPr>
        <w:t>per effetto di una serie di norme contenute nel d.lgs. 30 giugno 2003, n. 196 (artt. 2-septies) e nello stesso d.lgs. n. 33 del 2013 (</w:t>
      </w:r>
      <w:r w:rsidR="007070C7" w:rsidRPr="007070C7">
        <w:rPr>
          <w:rFonts w:ascii="Garamond" w:hAnsi="Garamond"/>
          <w:color w:val="000000"/>
          <w:sz w:val="26"/>
          <w:szCs w:val="26"/>
        </w:rPr>
        <w:t>art. 7-bis</w:t>
      </w:r>
      <w:r w:rsidR="007070C7">
        <w:rPr>
          <w:rFonts w:ascii="Garamond" w:hAnsi="Garamond"/>
          <w:color w:val="000000"/>
          <w:sz w:val="26"/>
          <w:szCs w:val="26"/>
        </w:rPr>
        <w:t>,</w:t>
      </w:r>
      <w:r w:rsidR="007070C7" w:rsidRPr="007070C7">
        <w:rPr>
          <w:rFonts w:ascii="Garamond" w:hAnsi="Garamond"/>
          <w:color w:val="000000"/>
          <w:sz w:val="26"/>
          <w:szCs w:val="26"/>
        </w:rPr>
        <w:t xml:space="preserve"> comma 3</w:t>
      </w:r>
      <w:r w:rsidR="007070C7">
        <w:rPr>
          <w:rFonts w:ascii="Garamond" w:hAnsi="Garamond"/>
          <w:color w:val="000000"/>
          <w:sz w:val="26"/>
          <w:szCs w:val="26"/>
        </w:rPr>
        <w:t xml:space="preserve">, e art. 26, comma 4) </w:t>
      </w:r>
      <w:r w:rsidR="007070C7" w:rsidRPr="009620DF">
        <w:rPr>
          <w:rStyle w:val="Rimandonotaapidipagina"/>
          <w:rFonts w:ascii="Garamond" w:hAnsi="Garamond" w:cs="Times New Roman"/>
          <w:color w:val="000000" w:themeColor="text1"/>
          <w:sz w:val="26"/>
          <w:szCs w:val="26"/>
        </w:rPr>
        <w:footnoteReference w:id="13"/>
      </w:r>
      <w:r w:rsidR="007070C7">
        <w:rPr>
          <w:rFonts w:ascii="Garamond" w:hAnsi="Garamond"/>
          <w:color w:val="000000"/>
          <w:sz w:val="26"/>
          <w:szCs w:val="26"/>
        </w:rPr>
        <w:t>.</w:t>
      </w:r>
    </w:p>
    <w:p w14:paraId="577B9224" w14:textId="5ECAEF2A" w:rsidR="007070C7" w:rsidRDefault="00735387" w:rsidP="00735387">
      <w:pPr>
        <w:spacing w:line="360" w:lineRule="auto"/>
        <w:ind w:left="567" w:right="567" w:firstLine="141"/>
        <w:jc w:val="both"/>
        <w:rPr>
          <w:rFonts w:ascii="Garamond" w:hAnsi="Garamond"/>
          <w:iCs/>
          <w:sz w:val="26"/>
          <w:szCs w:val="26"/>
        </w:rPr>
      </w:pPr>
      <w:r w:rsidRPr="00735387">
        <w:rPr>
          <w:rFonts w:ascii="Garamond" w:hAnsi="Garamond" w:cs="Times New Roman"/>
          <w:color w:val="000000" w:themeColor="text1"/>
          <w:sz w:val="26"/>
          <w:szCs w:val="26"/>
        </w:rPr>
        <w:t xml:space="preserve">Sempre con riferimento agli </w:t>
      </w:r>
      <w:r w:rsidRPr="00370CB1">
        <w:rPr>
          <w:rFonts w:ascii="Garamond" w:hAnsi="Garamond" w:cs="Times New Roman"/>
          <w:i/>
          <w:iCs/>
          <w:color w:val="000000" w:themeColor="text1"/>
          <w:sz w:val="26"/>
          <w:szCs w:val="26"/>
        </w:rPr>
        <w:t xml:space="preserve">“altri </w:t>
      </w:r>
      <w:r w:rsidRPr="00370CB1">
        <w:rPr>
          <w:rFonts w:ascii="Garamond" w:hAnsi="Garamond"/>
          <w:i/>
          <w:iCs/>
          <w:color w:val="000000"/>
          <w:sz w:val="26"/>
          <w:szCs w:val="26"/>
        </w:rPr>
        <w:t>casi di segreto o di divieto di divulgazione espressamente previsti dalla legge”</w:t>
      </w:r>
      <w:r>
        <w:rPr>
          <w:rFonts w:ascii="Garamond" w:hAnsi="Garamond"/>
          <w:color w:val="000000"/>
          <w:sz w:val="26"/>
          <w:szCs w:val="26"/>
        </w:rPr>
        <w:t xml:space="preserve">, non può dubitarsi della inaccessibilità degli atti </w:t>
      </w:r>
      <w:r w:rsidR="008C34F0">
        <w:rPr>
          <w:rFonts w:ascii="Garamond" w:hAnsi="Garamond"/>
          <w:color w:val="000000"/>
          <w:sz w:val="26"/>
          <w:szCs w:val="26"/>
        </w:rPr>
        <w:t xml:space="preserve">per i quali sussiste </w:t>
      </w:r>
      <w:r>
        <w:rPr>
          <w:rFonts w:ascii="Garamond" w:hAnsi="Garamond"/>
          <w:color w:val="000000"/>
          <w:sz w:val="26"/>
          <w:szCs w:val="26"/>
        </w:rPr>
        <w:t>un “</w:t>
      </w:r>
      <w:r>
        <w:rPr>
          <w:rFonts w:ascii="Garamond" w:hAnsi="Garamond"/>
          <w:iCs/>
          <w:sz w:val="26"/>
          <w:szCs w:val="26"/>
        </w:rPr>
        <w:t>s</w:t>
      </w:r>
      <w:r w:rsidR="007070C7" w:rsidRPr="00735387">
        <w:rPr>
          <w:rFonts w:ascii="Garamond" w:hAnsi="Garamond"/>
          <w:iCs/>
          <w:sz w:val="26"/>
          <w:szCs w:val="26"/>
        </w:rPr>
        <w:t>egreto istruttorio penale</w:t>
      </w:r>
      <w:r>
        <w:rPr>
          <w:rFonts w:ascii="Garamond" w:hAnsi="Garamond"/>
          <w:iCs/>
          <w:sz w:val="26"/>
          <w:szCs w:val="26"/>
        </w:rPr>
        <w:t xml:space="preserve">” ex art. 329 Codice Procedura Penale, secondo i principi elaborati dalla giurisprudenza </w:t>
      </w:r>
      <w:r w:rsidR="00370CB1">
        <w:rPr>
          <w:rFonts w:ascii="Garamond" w:hAnsi="Garamond"/>
          <w:iCs/>
          <w:sz w:val="26"/>
          <w:szCs w:val="26"/>
        </w:rPr>
        <w:t xml:space="preserve">per l’accesso documentale </w:t>
      </w:r>
      <w:r w:rsidRPr="009620DF">
        <w:rPr>
          <w:rStyle w:val="Rimandonotaapidipagina"/>
          <w:rFonts w:ascii="Garamond" w:hAnsi="Garamond" w:cs="Times New Roman"/>
          <w:color w:val="000000" w:themeColor="text1"/>
          <w:sz w:val="26"/>
          <w:szCs w:val="26"/>
        </w:rPr>
        <w:footnoteReference w:id="14"/>
      </w:r>
      <w:r>
        <w:rPr>
          <w:rFonts w:ascii="Garamond" w:hAnsi="Garamond"/>
          <w:iCs/>
          <w:sz w:val="26"/>
          <w:szCs w:val="26"/>
        </w:rPr>
        <w:t>.</w:t>
      </w:r>
    </w:p>
    <w:p w14:paraId="67F7509F" w14:textId="412995D7" w:rsidR="00DB5978" w:rsidRDefault="00DB5978" w:rsidP="00DB5978">
      <w:pPr>
        <w:pStyle w:val="Standard"/>
        <w:spacing w:line="360" w:lineRule="auto"/>
        <w:ind w:left="567" w:right="567"/>
        <w:jc w:val="both"/>
        <w:rPr>
          <w:rFonts w:ascii="Garamond" w:hAnsi="Garamond"/>
          <w:iCs/>
          <w:sz w:val="26"/>
          <w:szCs w:val="26"/>
          <w:lang w:val="it-IT"/>
        </w:rPr>
      </w:pPr>
      <w:r w:rsidRPr="00DB5978">
        <w:rPr>
          <w:rFonts w:ascii="Garamond" w:hAnsi="Garamond"/>
          <w:iCs/>
          <w:sz w:val="26"/>
          <w:szCs w:val="26"/>
          <w:lang w:val="it-IT"/>
        </w:rPr>
        <w:tab/>
        <w:t>Altro caso</w:t>
      </w:r>
      <w:r>
        <w:rPr>
          <w:rFonts w:ascii="Garamond" w:hAnsi="Garamond"/>
          <w:iCs/>
          <w:sz w:val="26"/>
          <w:szCs w:val="26"/>
          <w:lang w:val="it-IT"/>
        </w:rPr>
        <w:t xml:space="preserve"> di esclusione </w:t>
      </w:r>
      <w:r w:rsidR="000A3F3D">
        <w:rPr>
          <w:rFonts w:ascii="Garamond" w:hAnsi="Garamond"/>
          <w:iCs/>
          <w:sz w:val="26"/>
          <w:szCs w:val="26"/>
          <w:lang w:val="it-IT"/>
        </w:rPr>
        <w:t>“</w:t>
      </w:r>
      <w:r>
        <w:rPr>
          <w:rFonts w:ascii="Garamond" w:hAnsi="Garamond"/>
          <w:iCs/>
          <w:sz w:val="26"/>
          <w:szCs w:val="26"/>
          <w:lang w:val="it-IT"/>
        </w:rPr>
        <w:t>assoluta</w:t>
      </w:r>
      <w:r w:rsidR="000A3F3D">
        <w:rPr>
          <w:rFonts w:ascii="Garamond" w:hAnsi="Garamond"/>
          <w:iCs/>
          <w:sz w:val="26"/>
          <w:szCs w:val="26"/>
          <w:lang w:val="it-IT"/>
        </w:rPr>
        <w:t>”</w:t>
      </w:r>
      <w:r>
        <w:rPr>
          <w:rFonts w:ascii="Garamond" w:hAnsi="Garamond"/>
          <w:iCs/>
          <w:sz w:val="26"/>
          <w:szCs w:val="26"/>
          <w:lang w:val="it-IT"/>
        </w:rPr>
        <w:t xml:space="preserve"> di cui non pare potersi dubitare riguarda i documenti aventi una “classifica di </w:t>
      </w:r>
      <w:bookmarkStart w:id="3" w:name="_Hlk71022145"/>
      <w:r w:rsidR="007070C7" w:rsidRPr="00DB5978">
        <w:rPr>
          <w:rFonts w:ascii="Garamond" w:hAnsi="Garamond"/>
          <w:iCs/>
          <w:sz w:val="26"/>
          <w:szCs w:val="26"/>
          <w:lang w:val="it-IT"/>
        </w:rPr>
        <w:t>segretezza</w:t>
      </w:r>
      <w:r w:rsidR="008C34F0">
        <w:rPr>
          <w:rFonts w:ascii="Garamond" w:hAnsi="Garamond"/>
          <w:iCs/>
          <w:sz w:val="26"/>
          <w:szCs w:val="26"/>
          <w:lang w:val="it-IT"/>
        </w:rPr>
        <w:t>”</w:t>
      </w:r>
      <w:r w:rsidR="007070C7" w:rsidRPr="00DB5978">
        <w:rPr>
          <w:rFonts w:ascii="Garamond" w:hAnsi="Garamond"/>
          <w:iCs/>
          <w:sz w:val="26"/>
          <w:szCs w:val="26"/>
          <w:lang w:val="it-IT"/>
        </w:rPr>
        <w:t xml:space="preserve"> ex </w:t>
      </w:r>
      <w:r>
        <w:rPr>
          <w:rFonts w:ascii="Garamond" w:hAnsi="Garamond"/>
          <w:iCs/>
          <w:sz w:val="26"/>
          <w:szCs w:val="26"/>
          <w:lang w:val="it-IT"/>
        </w:rPr>
        <w:t>legge</w:t>
      </w:r>
      <w:r w:rsidR="007070C7" w:rsidRPr="00DB5978">
        <w:rPr>
          <w:rFonts w:ascii="Garamond" w:hAnsi="Garamond"/>
          <w:iCs/>
          <w:sz w:val="26"/>
          <w:szCs w:val="26"/>
          <w:lang w:val="it-IT"/>
        </w:rPr>
        <w:t xml:space="preserve"> </w:t>
      </w:r>
      <w:r>
        <w:rPr>
          <w:rFonts w:ascii="Garamond" w:hAnsi="Garamond"/>
          <w:iCs/>
          <w:sz w:val="26"/>
          <w:szCs w:val="26"/>
          <w:lang w:val="it-IT"/>
        </w:rPr>
        <w:t xml:space="preserve">3 agosto 2007, n. </w:t>
      </w:r>
      <w:r w:rsidR="007070C7" w:rsidRPr="00DB5978">
        <w:rPr>
          <w:rFonts w:ascii="Garamond" w:hAnsi="Garamond"/>
          <w:iCs/>
          <w:sz w:val="26"/>
          <w:szCs w:val="26"/>
          <w:lang w:val="it-IT"/>
        </w:rPr>
        <w:t>124</w:t>
      </w:r>
      <w:r>
        <w:rPr>
          <w:rFonts w:ascii="Garamond" w:hAnsi="Garamond"/>
          <w:iCs/>
          <w:sz w:val="26"/>
          <w:szCs w:val="26"/>
          <w:lang w:val="it-IT"/>
        </w:rPr>
        <w:t xml:space="preserve"> </w:t>
      </w:r>
      <w:r w:rsidR="007070C7" w:rsidRPr="00DB5978">
        <w:rPr>
          <w:rFonts w:ascii="Garamond" w:hAnsi="Garamond"/>
          <w:iCs/>
          <w:sz w:val="26"/>
          <w:szCs w:val="26"/>
          <w:lang w:val="it-IT"/>
        </w:rPr>
        <w:t xml:space="preserve">e </w:t>
      </w:r>
      <w:r w:rsidR="00B57E56">
        <w:rPr>
          <w:rFonts w:ascii="Garamond" w:hAnsi="Garamond"/>
          <w:iCs/>
          <w:sz w:val="26"/>
          <w:szCs w:val="26"/>
          <w:lang w:val="it-IT"/>
        </w:rPr>
        <w:lastRenderedPageBreak/>
        <w:t>d</w:t>
      </w:r>
      <w:r>
        <w:rPr>
          <w:rFonts w:ascii="Garamond" w:hAnsi="Garamond"/>
          <w:iCs/>
          <w:sz w:val="26"/>
          <w:szCs w:val="26"/>
          <w:lang w:val="it-IT"/>
        </w:rPr>
        <w:t>.</w:t>
      </w:r>
      <w:r w:rsidR="00B57E56">
        <w:rPr>
          <w:rFonts w:ascii="Garamond" w:hAnsi="Garamond"/>
          <w:iCs/>
          <w:sz w:val="26"/>
          <w:szCs w:val="26"/>
          <w:lang w:val="it-IT"/>
        </w:rPr>
        <w:t>P</w:t>
      </w:r>
      <w:r>
        <w:rPr>
          <w:rFonts w:ascii="Garamond" w:hAnsi="Garamond"/>
          <w:iCs/>
          <w:sz w:val="26"/>
          <w:szCs w:val="26"/>
          <w:lang w:val="it-IT"/>
        </w:rPr>
        <w:t>.</w:t>
      </w:r>
      <w:r w:rsidR="00B57E56">
        <w:rPr>
          <w:rFonts w:ascii="Garamond" w:hAnsi="Garamond"/>
          <w:iCs/>
          <w:sz w:val="26"/>
          <w:szCs w:val="26"/>
          <w:lang w:val="it-IT"/>
        </w:rPr>
        <w:t>C</w:t>
      </w:r>
      <w:r>
        <w:rPr>
          <w:rFonts w:ascii="Garamond" w:hAnsi="Garamond"/>
          <w:iCs/>
          <w:sz w:val="26"/>
          <w:szCs w:val="26"/>
          <w:lang w:val="it-IT"/>
        </w:rPr>
        <w:t>.</w:t>
      </w:r>
      <w:r w:rsidR="00B57E56">
        <w:rPr>
          <w:rFonts w:ascii="Garamond" w:hAnsi="Garamond"/>
          <w:iCs/>
          <w:sz w:val="26"/>
          <w:szCs w:val="26"/>
          <w:lang w:val="it-IT"/>
        </w:rPr>
        <w:t>M</w:t>
      </w:r>
      <w:r>
        <w:rPr>
          <w:rFonts w:ascii="Garamond" w:hAnsi="Garamond"/>
          <w:iCs/>
          <w:sz w:val="26"/>
          <w:szCs w:val="26"/>
          <w:lang w:val="it-IT"/>
        </w:rPr>
        <w:t xml:space="preserve">. 6 novembre 2015, n. </w:t>
      </w:r>
      <w:r w:rsidR="007070C7" w:rsidRPr="00DB5978">
        <w:rPr>
          <w:rFonts w:ascii="Garamond" w:hAnsi="Garamond"/>
          <w:iCs/>
          <w:sz w:val="26"/>
          <w:szCs w:val="26"/>
          <w:lang w:val="it-IT"/>
        </w:rPr>
        <w:t>5</w:t>
      </w:r>
      <w:bookmarkEnd w:id="3"/>
      <w:r>
        <w:rPr>
          <w:rFonts w:ascii="Garamond" w:hAnsi="Garamond"/>
          <w:iCs/>
          <w:sz w:val="26"/>
          <w:szCs w:val="26"/>
          <w:lang w:val="it-IT"/>
        </w:rPr>
        <w:t xml:space="preserve"> e ciò a prescindere </w:t>
      </w:r>
      <w:bookmarkStart w:id="4" w:name="_Hlk71022219"/>
      <w:r>
        <w:rPr>
          <w:rFonts w:ascii="Garamond" w:hAnsi="Garamond"/>
          <w:iCs/>
          <w:sz w:val="26"/>
          <w:szCs w:val="26"/>
          <w:lang w:val="it-IT"/>
        </w:rPr>
        <w:t>dal</w:t>
      </w:r>
      <w:r w:rsidR="007070C7" w:rsidRPr="007070C7">
        <w:rPr>
          <w:rFonts w:ascii="Garamond" w:hAnsi="Garamond"/>
          <w:iCs/>
          <w:sz w:val="26"/>
          <w:szCs w:val="26"/>
          <w:lang w:val="it-IT"/>
        </w:rPr>
        <w:t xml:space="preserve">l’interesse alla cui salvaguardia </w:t>
      </w:r>
      <w:r>
        <w:rPr>
          <w:rFonts w:ascii="Garamond" w:hAnsi="Garamond"/>
          <w:iCs/>
          <w:sz w:val="26"/>
          <w:szCs w:val="26"/>
          <w:lang w:val="it-IT"/>
        </w:rPr>
        <w:t xml:space="preserve">la classifica è </w:t>
      </w:r>
      <w:r w:rsidR="007070C7" w:rsidRPr="007070C7">
        <w:rPr>
          <w:rFonts w:ascii="Garamond" w:hAnsi="Garamond"/>
          <w:iCs/>
          <w:sz w:val="26"/>
          <w:szCs w:val="26"/>
          <w:lang w:val="it-IT"/>
        </w:rPr>
        <w:t>preordinat</w:t>
      </w:r>
      <w:r>
        <w:rPr>
          <w:rFonts w:ascii="Garamond" w:hAnsi="Garamond"/>
          <w:iCs/>
          <w:sz w:val="26"/>
          <w:szCs w:val="26"/>
          <w:lang w:val="it-IT"/>
        </w:rPr>
        <w:t>a</w:t>
      </w:r>
      <w:r w:rsidR="007070C7" w:rsidRPr="007070C7">
        <w:rPr>
          <w:rFonts w:ascii="Garamond" w:hAnsi="Garamond"/>
          <w:iCs/>
          <w:sz w:val="26"/>
          <w:szCs w:val="26"/>
          <w:lang w:val="it-IT"/>
        </w:rPr>
        <w:t xml:space="preserve">, </w:t>
      </w:r>
      <w:bookmarkEnd w:id="4"/>
      <w:r w:rsidR="007070C7" w:rsidRPr="007070C7">
        <w:rPr>
          <w:rFonts w:ascii="Garamond" w:hAnsi="Garamond"/>
          <w:iCs/>
          <w:sz w:val="26"/>
          <w:szCs w:val="26"/>
          <w:lang w:val="it-IT"/>
        </w:rPr>
        <w:t>trattandosi di documenti aventi un</w:t>
      </w:r>
      <w:r>
        <w:rPr>
          <w:rFonts w:ascii="Garamond" w:hAnsi="Garamond"/>
          <w:iCs/>
          <w:sz w:val="26"/>
          <w:szCs w:val="26"/>
          <w:lang w:val="it-IT"/>
        </w:rPr>
        <w:t xml:space="preserve"> particolare</w:t>
      </w:r>
      <w:r w:rsidR="007070C7" w:rsidRPr="007070C7">
        <w:rPr>
          <w:rFonts w:ascii="Garamond" w:hAnsi="Garamond"/>
          <w:iCs/>
          <w:sz w:val="26"/>
          <w:szCs w:val="26"/>
          <w:lang w:val="it-IT"/>
        </w:rPr>
        <w:t xml:space="preserve"> </w:t>
      </w:r>
      <w:r w:rsidR="007070C7" w:rsidRPr="00DB5978">
        <w:rPr>
          <w:rFonts w:ascii="Garamond" w:hAnsi="Garamond"/>
          <w:i/>
          <w:sz w:val="26"/>
          <w:szCs w:val="26"/>
          <w:lang w:val="it-IT"/>
        </w:rPr>
        <w:t>status</w:t>
      </w:r>
      <w:r w:rsidR="007070C7" w:rsidRPr="007070C7">
        <w:rPr>
          <w:rFonts w:ascii="Garamond" w:hAnsi="Garamond"/>
          <w:iCs/>
          <w:sz w:val="26"/>
          <w:szCs w:val="26"/>
          <w:lang w:val="it-IT"/>
        </w:rPr>
        <w:t xml:space="preserve"> di “segretezza” superabile soltanto mediante l’accesso difensivo ex art. 24, comma 7, </w:t>
      </w:r>
      <w:r>
        <w:rPr>
          <w:rFonts w:ascii="Garamond" w:hAnsi="Garamond"/>
          <w:iCs/>
          <w:sz w:val="26"/>
          <w:szCs w:val="26"/>
          <w:lang w:val="it-IT"/>
        </w:rPr>
        <w:t>l</w:t>
      </w:r>
      <w:r w:rsidR="007070C7" w:rsidRPr="007070C7">
        <w:rPr>
          <w:rFonts w:ascii="Garamond" w:hAnsi="Garamond"/>
          <w:iCs/>
          <w:sz w:val="26"/>
          <w:szCs w:val="26"/>
          <w:lang w:val="it-IT"/>
        </w:rPr>
        <w:t xml:space="preserve">. </w:t>
      </w:r>
      <w:r>
        <w:rPr>
          <w:rFonts w:ascii="Garamond" w:hAnsi="Garamond"/>
          <w:iCs/>
          <w:sz w:val="26"/>
          <w:szCs w:val="26"/>
          <w:lang w:val="it-IT"/>
        </w:rPr>
        <w:t xml:space="preserve">n. </w:t>
      </w:r>
      <w:r w:rsidR="007070C7" w:rsidRPr="007070C7">
        <w:rPr>
          <w:rFonts w:ascii="Garamond" w:hAnsi="Garamond"/>
          <w:iCs/>
          <w:sz w:val="26"/>
          <w:szCs w:val="26"/>
          <w:lang w:val="it-IT"/>
        </w:rPr>
        <w:t>241</w:t>
      </w:r>
      <w:r>
        <w:rPr>
          <w:rFonts w:ascii="Garamond" w:hAnsi="Garamond"/>
          <w:iCs/>
          <w:sz w:val="26"/>
          <w:szCs w:val="26"/>
          <w:lang w:val="it-IT"/>
        </w:rPr>
        <w:t xml:space="preserve"> del </w:t>
      </w:r>
      <w:r w:rsidR="00B57E56">
        <w:rPr>
          <w:rFonts w:ascii="Garamond" w:hAnsi="Garamond"/>
          <w:iCs/>
          <w:sz w:val="26"/>
          <w:szCs w:val="26"/>
          <w:lang w:val="it-IT"/>
        </w:rPr>
        <w:t>19</w:t>
      </w:r>
      <w:r w:rsidR="007070C7" w:rsidRPr="007070C7">
        <w:rPr>
          <w:rFonts w:ascii="Garamond" w:hAnsi="Garamond"/>
          <w:iCs/>
          <w:sz w:val="26"/>
          <w:szCs w:val="26"/>
          <w:lang w:val="it-IT"/>
        </w:rPr>
        <w:t xml:space="preserve">90 e con particolari modalità di ostensione stabilite dalla norma </w:t>
      </w:r>
      <w:r w:rsidRPr="009620DF">
        <w:rPr>
          <w:rStyle w:val="Rimandonotaapidipagina"/>
          <w:rFonts w:ascii="Garamond" w:hAnsi="Garamond" w:cs="Times New Roman"/>
          <w:color w:val="000000" w:themeColor="text1"/>
          <w:sz w:val="26"/>
          <w:szCs w:val="26"/>
        </w:rPr>
        <w:footnoteReference w:id="15"/>
      </w:r>
      <w:r>
        <w:rPr>
          <w:rFonts w:ascii="Garamond" w:hAnsi="Garamond"/>
          <w:iCs/>
          <w:sz w:val="26"/>
          <w:szCs w:val="26"/>
          <w:lang w:val="it-IT"/>
        </w:rPr>
        <w:t>.</w:t>
      </w:r>
    </w:p>
    <w:p w14:paraId="7D7D2108" w14:textId="67C67D14" w:rsidR="000A3F3D" w:rsidRDefault="000A3F3D" w:rsidP="000A3F3D">
      <w:pPr>
        <w:pStyle w:val="Standard"/>
        <w:spacing w:line="360" w:lineRule="auto"/>
        <w:ind w:left="567" w:right="567"/>
        <w:jc w:val="both"/>
        <w:rPr>
          <w:rFonts w:ascii="Garamond" w:hAnsi="Garamond"/>
          <w:iCs/>
          <w:sz w:val="26"/>
          <w:szCs w:val="26"/>
          <w:lang w:val="it-IT"/>
        </w:rPr>
      </w:pPr>
      <w:r>
        <w:rPr>
          <w:rFonts w:ascii="Garamond" w:hAnsi="Garamond"/>
          <w:iCs/>
          <w:sz w:val="26"/>
          <w:szCs w:val="26"/>
          <w:lang w:val="it-IT"/>
        </w:rPr>
        <w:tab/>
        <w:t xml:space="preserve">Esclusi in via assoluta dall’accesso civico generalizzato sono anche i documenti per i quali sussiste il </w:t>
      </w:r>
      <w:bookmarkStart w:id="5" w:name="_Hlk65749444"/>
      <w:r>
        <w:rPr>
          <w:rFonts w:ascii="Garamond" w:hAnsi="Garamond"/>
          <w:iCs/>
          <w:sz w:val="26"/>
          <w:szCs w:val="26"/>
          <w:lang w:val="it-IT"/>
        </w:rPr>
        <w:t>“</w:t>
      </w:r>
      <w:r w:rsidR="007070C7" w:rsidRPr="007070C7">
        <w:rPr>
          <w:rFonts w:ascii="Garamond" w:hAnsi="Garamond"/>
          <w:iCs/>
          <w:sz w:val="26"/>
          <w:szCs w:val="26"/>
          <w:lang w:val="it-IT"/>
        </w:rPr>
        <w:t>segreto bancario</w:t>
      </w:r>
      <w:r>
        <w:rPr>
          <w:rFonts w:ascii="Garamond" w:hAnsi="Garamond"/>
          <w:iCs/>
          <w:sz w:val="26"/>
          <w:szCs w:val="26"/>
          <w:lang w:val="it-IT"/>
        </w:rPr>
        <w:t>”</w:t>
      </w:r>
      <w:r w:rsidR="007070C7" w:rsidRPr="007070C7">
        <w:rPr>
          <w:rFonts w:ascii="Garamond" w:hAnsi="Garamond"/>
          <w:iCs/>
          <w:sz w:val="26"/>
          <w:szCs w:val="26"/>
          <w:lang w:val="it-IT"/>
        </w:rPr>
        <w:t xml:space="preserve"> nella accezione elaborata dalla giurisprudenza </w:t>
      </w:r>
      <w:r w:rsidRPr="009620DF">
        <w:rPr>
          <w:rStyle w:val="Rimandonotaapidipagina"/>
          <w:rFonts w:ascii="Garamond" w:hAnsi="Garamond" w:cs="Times New Roman"/>
          <w:color w:val="000000" w:themeColor="text1"/>
          <w:sz w:val="26"/>
          <w:szCs w:val="26"/>
        </w:rPr>
        <w:footnoteReference w:id="16"/>
      </w:r>
      <w:r w:rsidR="008C34F0">
        <w:rPr>
          <w:rFonts w:ascii="Garamond" w:hAnsi="Garamond"/>
          <w:iCs/>
          <w:sz w:val="26"/>
          <w:szCs w:val="26"/>
          <w:lang w:val="it-IT"/>
        </w:rPr>
        <w:t>.</w:t>
      </w:r>
    </w:p>
    <w:bookmarkEnd w:id="5"/>
    <w:p w14:paraId="25B31D94" w14:textId="064BE00D" w:rsidR="000A3F3D" w:rsidRPr="000A3F3D" w:rsidRDefault="000A3F3D" w:rsidP="000A3F3D">
      <w:pPr>
        <w:spacing w:line="360" w:lineRule="auto"/>
        <w:ind w:left="567" w:right="567"/>
        <w:jc w:val="both"/>
        <w:rPr>
          <w:rFonts w:ascii="Garamond" w:hAnsi="Garamond"/>
          <w:color w:val="000000"/>
          <w:sz w:val="26"/>
          <w:szCs w:val="26"/>
        </w:rPr>
      </w:pPr>
      <w:r w:rsidRPr="000A3F3D">
        <w:rPr>
          <w:rFonts w:ascii="Garamond" w:hAnsi="Garamond"/>
          <w:color w:val="000000"/>
          <w:sz w:val="26"/>
          <w:szCs w:val="26"/>
        </w:rPr>
        <w:tab/>
      </w:r>
      <w:r w:rsidR="00B57E56">
        <w:rPr>
          <w:rFonts w:ascii="Garamond" w:hAnsi="Garamond"/>
          <w:color w:val="000000"/>
          <w:sz w:val="26"/>
          <w:szCs w:val="26"/>
        </w:rPr>
        <w:t>Altra fattispecie di esclusione “assoluta” sono rappresentate da</w:t>
      </w:r>
      <w:r>
        <w:rPr>
          <w:rFonts w:ascii="Garamond" w:hAnsi="Garamond"/>
          <w:color w:val="000000"/>
          <w:sz w:val="26"/>
          <w:szCs w:val="26"/>
        </w:rPr>
        <w:t xml:space="preserve">i casi </w:t>
      </w:r>
      <w:r w:rsidR="007070C7" w:rsidRPr="000A3F3D">
        <w:rPr>
          <w:rFonts w:ascii="Garamond" w:hAnsi="Garamond"/>
          <w:color w:val="000000"/>
          <w:sz w:val="26"/>
          <w:szCs w:val="26"/>
        </w:rPr>
        <w:t xml:space="preserve">differimento e di esclusione dell’accesso agli atti delle procedure contrattuali </w:t>
      </w:r>
      <w:r>
        <w:rPr>
          <w:rFonts w:ascii="Garamond" w:hAnsi="Garamond"/>
          <w:color w:val="000000"/>
          <w:sz w:val="26"/>
          <w:szCs w:val="26"/>
        </w:rPr>
        <w:t>previsti dall’</w:t>
      </w:r>
      <w:r w:rsidR="007070C7" w:rsidRPr="000A3F3D">
        <w:rPr>
          <w:rFonts w:ascii="Garamond" w:hAnsi="Garamond"/>
          <w:color w:val="000000"/>
          <w:sz w:val="26"/>
          <w:szCs w:val="26"/>
        </w:rPr>
        <w:t xml:space="preserve">art. 53 </w:t>
      </w:r>
      <w:r>
        <w:rPr>
          <w:rFonts w:ascii="Garamond" w:hAnsi="Garamond"/>
          <w:color w:val="000000"/>
          <w:sz w:val="26"/>
          <w:szCs w:val="26"/>
        </w:rPr>
        <w:t>d</w:t>
      </w:r>
      <w:r w:rsidR="007070C7" w:rsidRPr="000A3F3D">
        <w:rPr>
          <w:rFonts w:ascii="Garamond" w:hAnsi="Garamond"/>
          <w:color w:val="000000"/>
          <w:sz w:val="26"/>
          <w:szCs w:val="26"/>
        </w:rPr>
        <w:t>.</w:t>
      </w:r>
      <w:r>
        <w:rPr>
          <w:rFonts w:ascii="Garamond" w:hAnsi="Garamond"/>
          <w:color w:val="000000"/>
          <w:sz w:val="26"/>
          <w:szCs w:val="26"/>
        </w:rPr>
        <w:t>l</w:t>
      </w:r>
      <w:r w:rsidR="007070C7" w:rsidRPr="000A3F3D">
        <w:rPr>
          <w:rFonts w:ascii="Garamond" w:hAnsi="Garamond"/>
          <w:color w:val="000000"/>
          <w:sz w:val="26"/>
          <w:szCs w:val="26"/>
        </w:rPr>
        <w:t xml:space="preserve">gs. </w:t>
      </w:r>
      <w:r>
        <w:rPr>
          <w:rFonts w:ascii="Garamond" w:hAnsi="Garamond"/>
          <w:color w:val="000000"/>
          <w:sz w:val="26"/>
          <w:szCs w:val="26"/>
        </w:rPr>
        <w:t xml:space="preserve">18 aprile 2016, n. </w:t>
      </w:r>
      <w:r w:rsidR="007070C7" w:rsidRPr="000A3F3D">
        <w:rPr>
          <w:rFonts w:ascii="Garamond" w:hAnsi="Garamond"/>
          <w:color w:val="000000"/>
          <w:sz w:val="26"/>
          <w:szCs w:val="26"/>
        </w:rPr>
        <w:t>50</w:t>
      </w:r>
      <w:r>
        <w:rPr>
          <w:rFonts w:ascii="Garamond" w:hAnsi="Garamond"/>
          <w:color w:val="000000"/>
          <w:sz w:val="26"/>
          <w:szCs w:val="26"/>
        </w:rPr>
        <w:t xml:space="preserve"> (Codice dei contratti pubblici)</w:t>
      </w:r>
      <w:r w:rsidR="007070C7" w:rsidRPr="000A3F3D">
        <w:rPr>
          <w:rFonts w:ascii="Garamond" w:hAnsi="Garamond"/>
          <w:color w:val="000000"/>
          <w:sz w:val="26"/>
          <w:szCs w:val="26"/>
        </w:rPr>
        <w:t xml:space="preserve">, nonchè </w:t>
      </w:r>
      <w:r w:rsidR="00B57E56">
        <w:rPr>
          <w:rFonts w:ascii="Garamond" w:hAnsi="Garamond"/>
          <w:color w:val="000000"/>
          <w:sz w:val="26"/>
          <w:szCs w:val="26"/>
        </w:rPr>
        <w:t>d</w:t>
      </w:r>
      <w:r>
        <w:rPr>
          <w:rFonts w:ascii="Garamond" w:hAnsi="Garamond"/>
          <w:color w:val="000000"/>
          <w:sz w:val="26"/>
          <w:szCs w:val="26"/>
        </w:rPr>
        <w:t>ai “</w:t>
      </w:r>
      <w:r w:rsidR="007070C7" w:rsidRPr="000A3F3D">
        <w:rPr>
          <w:rFonts w:ascii="Garamond" w:hAnsi="Garamond"/>
          <w:color w:val="000000"/>
          <w:sz w:val="26"/>
          <w:szCs w:val="26"/>
        </w:rPr>
        <w:t>contratti secretati</w:t>
      </w:r>
      <w:r>
        <w:rPr>
          <w:rFonts w:ascii="Garamond" w:hAnsi="Garamond"/>
          <w:color w:val="000000"/>
          <w:sz w:val="26"/>
          <w:szCs w:val="26"/>
        </w:rPr>
        <w:t>”</w:t>
      </w:r>
      <w:r w:rsidR="007070C7" w:rsidRPr="000A3F3D">
        <w:rPr>
          <w:rFonts w:ascii="Garamond" w:hAnsi="Garamond"/>
          <w:color w:val="000000"/>
          <w:sz w:val="26"/>
          <w:szCs w:val="26"/>
        </w:rPr>
        <w:t xml:space="preserve"> ex art. 162 </w:t>
      </w:r>
      <w:r>
        <w:rPr>
          <w:rFonts w:ascii="Garamond" w:hAnsi="Garamond"/>
          <w:color w:val="000000"/>
          <w:sz w:val="26"/>
          <w:szCs w:val="26"/>
        </w:rPr>
        <w:t>d</w:t>
      </w:r>
      <w:r w:rsidR="007070C7" w:rsidRPr="000A3F3D">
        <w:rPr>
          <w:rFonts w:ascii="Garamond" w:hAnsi="Garamond"/>
          <w:color w:val="000000"/>
          <w:sz w:val="26"/>
          <w:szCs w:val="26"/>
        </w:rPr>
        <w:t>.</w:t>
      </w:r>
      <w:r>
        <w:rPr>
          <w:rFonts w:ascii="Garamond" w:hAnsi="Garamond"/>
          <w:color w:val="000000"/>
          <w:sz w:val="26"/>
          <w:szCs w:val="26"/>
        </w:rPr>
        <w:t>l</w:t>
      </w:r>
      <w:r w:rsidR="007070C7" w:rsidRPr="000A3F3D">
        <w:rPr>
          <w:rFonts w:ascii="Garamond" w:hAnsi="Garamond"/>
          <w:color w:val="000000"/>
          <w:sz w:val="26"/>
          <w:szCs w:val="26"/>
        </w:rPr>
        <w:t xml:space="preserve">gs. </w:t>
      </w:r>
      <w:r>
        <w:rPr>
          <w:rFonts w:ascii="Garamond" w:hAnsi="Garamond"/>
          <w:color w:val="000000"/>
          <w:sz w:val="26"/>
          <w:szCs w:val="26"/>
        </w:rPr>
        <w:t xml:space="preserve">del medesimo Codice, che costituiscono anch’essi un altro </w:t>
      </w:r>
      <w:r w:rsidRPr="000A3F3D">
        <w:rPr>
          <w:rFonts w:ascii="Garamond" w:hAnsi="Garamond"/>
          <w:color w:val="000000"/>
          <w:sz w:val="26"/>
          <w:szCs w:val="26"/>
        </w:rPr>
        <w:t>cas</w:t>
      </w:r>
      <w:r>
        <w:rPr>
          <w:rFonts w:ascii="Garamond" w:hAnsi="Garamond"/>
          <w:color w:val="000000"/>
          <w:sz w:val="26"/>
          <w:szCs w:val="26"/>
        </w:rPr>
        <w:t>o</w:t>
      </w:r>
      <w:r w:rsidRPr="000A3F3D">
        <w:rPr>
          <w:rFonts w:ascii="Garamond" w:hAnsi="Garamond"/>
          <w:color w:val="000000"/>
          <w:sz w:val="26"/>
          <w:szCs w:val="26"/>
        </w:rPr>
        <w:t xml:space="preserve"> di segreto o di divieto di divulgazione espressamente previst</w:t>
      </w:r>
      <w:r>
        <w:rPr>
          <w:rFonts w:ascii="Garamond" w:hAnsi="Garamond"/>
          <w:color w:val="000000"/>
          <w:sz w:val="26"/>
          <w:szCs w:val="26"/>
        </w:rPr>
        <w:t>o</w:t>
      </w:r>
      <w:r w:rsidRPr="000A3F3D">
        <w:rPr>
          <w:rFonts w:ascii="Garamond" w:hAnsi="Garamond"/>
          <w:color w:val="000000"/>
          <w:sz w:val="26"/>
          <w:szCs w:val="26"/>
        </w:rPr>
        <w:t xml:space="preserve"> dalla legge</w:t>
      </w:r>
      <w:r>
        <w:rPr>
          <w:rFonts w:ascii="Garamond" w:hAnsi="Garamond"/>
          <w:color w:val="000000"/>
          <w:sz w:val="26"/>
          <w:szCs w:val="26"/>
        </w:rPr>
        <w:t xml:space="preserve"> </w:t>
      </w:r>
      <w:r w:rsidRPr="009620DF">
        <w:rPr>
          <w:rStyle w:val="Rimandonotaapidipagina"/>
          <w:rFonts w:ascii="Garamond" w:hAnsi="Garamond" w:cs="Times New Roman"/>
          <w:color w:val="000000" w:themeColor="text1"/>
          <w:sz w:val="26"/>
          <w:szCs w:val="26"/>
        </w:rPr>
        <w:footnoteReference w:id="17"/>
      </w:r>
      <w:r>
        <w:rPr>
          <w:rFonts w:ascii="Garamond" w:hAnsi="Garamond"/>
          <w:color w:val="000000"/>
          <w:sz w:val="26"/>
          <w:szCs w:val="26"/>
        </w:rPr>
        <w:t>.</w:t>
      </w:r>
    </w:p>
    <w:p w14:paraId="0D811CD2" w14:textId="77777777" w:rsidR="003B0A93" w:rsidRPr="007070C7" w:rsidRDefault="003B0A93" w:rsidP="007070C7">
      <w:pPr>
        <w:spacing w:line="360" w:lineRule="auto"/>
        <w:ind w:left="567" w:right="567"/>
        <w:jc w:val="both"/>
        <w:rPr>
          <w:rFonts w:ascii="Garamond" w:hAnsi="Garamond"/>
          <w:color w:val="000000"/>
          <w:sz w:val="26"/>
          <w:szCs w:val="26"/>
        </w:rPr>
      </w:pPr>
    </w:p>
    <w:p w14:paraId="53C91A31" w14:textId="77777777" w:rsidR="00D0302C" w:rsidRPr="005565AE" w:rsidRDefault="00D0302C" w:rsidP="00D0302C">
      <w:pPr>
        <w:spacing w:line="360" w:lineRule="auto"/>
        <w:ind w:left="567" w:right="567"/>
        <w:jc w:val="both"/>
        <w:rPr>
          <w:rFonts w:ascii="Garamond" w:hAnsi="Garamond"/>
          <w:b/>
          <w:bCs/>
          <w:color w:val="000000"/>
          <w:sz w:val="26"/>
          <w:szCs w:val="26"/>
        </w:rPr>
      </w:pPr>
      <w:r w:rsidRPr="005565AE">
        <w:rPr>
          <w:rFonts w:ascii="Garamond" w:hAnsi="Garamond" w:cs="Times New Roman"/>
          <w:b/>
          <w:bCs/>
          <w:color w:val="000000" w:themeColor="text1"/>
          <w:sz w:val="26"/>
          <w:szCs w:val="26"/>
        </w:rPr>
        <w:t xml:space="preserve">4. Il rinvio ai casi </w:t>
      </w:r>
      <w:r w:rsidRPr="005565AE">
        <w:rPr>
          <w:rFonts w:ascii="Garamond" w:hAnsi="Garamond"/>
          <w:b/>
          <w:bCs/>
          <w:color w:val="000000"/>
          <w:sz w:val="26"/>
          <w:szCs w:val="26"/>
        </w:rPr>
        <w:t>di segreto o di divieto di divulgazione espressamente previsti dal regolamento governativo di cui al comma 6 dell’art. 24 legge n. 241 del 1990.</w:t>
      </w:r>
    </w:p>
    <w:p w14:paraId="0E04F96F" w14:textId="1F8696D4" w:rsidR="008C34F0" w:rsidRPr="00855113" w:rsidRDefault="00D0302C" w:rsidP="00855113">
      <w:pPr>
        <w:spacing w:line="360" w:lineRule="auto"/>
        <w:ind w:left="567" w:right="567"/>
        <w:jc w:val="both"/>
        <w:rPr>
          <w:rFonts w:ascii="Garamond" w:hAnsi="Garamond"/>
          <w:color w:val="000000"/>
          <w:sz w:val="26"/>
          <w:szCs w:val="26"/>
        </w:rPr>
      </w:pPr>
      <w:r w:rsidRPr="005565AE">
        <w:rPr>
          <w:rFonts w:ascii="Garamond" w:hAnsi="Garamond" w:cs="Times New Roman"/>
          <w:color w:val="000000" w:themeColor="text1"/>
          <w:sz w:val="26"/>
          <w:szCs w:val="26"/>
        </w:rPr>
        <w:tab/>
        <w:t xml:space="preserve">Le incongruenze </w:t>
      </w:r>
      <w:r w:rsidR="008C34F0">
        <w:rPr>
          <w:rFonts w:ascii="Garamond" w:hAnsi="Garamond" w:cs="Times New Roman"/>
          <w:color w:val="000000" w:themeColor="text1"/>
          <w:sz w:val="26"/>
          <w:szCs w:val="26"/>
        </w:rPr>
        <w:t xml:space="preserve">ordinamentali </w:t>
      </w:r>
      <w:r w:rsidRPr="005565AE">
        <w:rPr>
          <w:rFonts w:ascii="Garamond" w:hAnsi="Garamond" w:cs="Times New Roman"/>
          <w:color w:val="000000" w:themeColor="text1"/>
          <w:sz w:val="26"/>
          <w:szCs w:val="26"/>
        </w:rPr>
        <w:t>co</w:t>
      </w:r>
      <w:r w:rsidR="00D02D37">
        <w:rPr>
          <w:rFonts w:ascii="Garamond" w:hAnsi="Garamond" w:cs="Times New Roman"/>
          <w:color w:val="000000" w:themeColor="text1"/>
          <w:sz w:val="26"/>
          <w:szCs w:val="26"/>
        </w:rPr>
        <w:t xml:space="preserve">minciano ad affiorare </w:t>
      </w:r>
      <w:r w:rsidR="00B57E56">
        <w:rPr>
          <w:rFonts w:ascii="Garamond" w:hAnsi="Garamond" w:cs="Times New Roman"/>
          <w:color w:val="000000" w:themeColor="text1"/>
          <w:sz w:val="26"/>
          <w:szCs w:val="26"/>
        </w:rPr>
        <w:t xml:space="preserve">nella parte in cui </w:t>
      </w:r>
      <w:r w:rsidR="008C34F0">
        <w:rPr>
          <w:rFonts w:ascii="Garamond" w:hAnsi="Garamond" w:cs="Times New Roman"/>
          <w:color w:val="000000" w:themeColor="text1"/>
          <w:sz w:val="26"/>
          <w:szCs w:val="26"/>
        </w:rPr>
        <w:t xml:space="preserve">l’art. 5-bis, comma 3, d.lgs. n. 33 del 2013, nel rinviare all’art. 24, comma 1, l. n. 241 del 1990, sembra volersi riferire anche ai casi di </w:t>
      </w:r>
      <w:r w:rsidR="008C34F0" w:rsidRPr="008C34F0">
        <w:rPr>
          <w:rFonts w:ascii="Garamond" w:hAnsi="Garamond"/>
          <w:color w:val="000000"/>
          <w:sz w:val="26"/>
          <w:szCs w:val="26"/>
        </w:rPr>
        <w:t>segreto o di divieto di divulgazione espressamente previsti dal regol</w:t>
      </w:r>
      <w:r w:rsidR="008C34F0" w:rsidRPr="00855113">
        <w:rPr>
          <w:rFonts w:ascii="Garamond" w:hAnsi="Garamond"/>
          <w:color w:val="000000"/>
          <w:sz w:val="26"/>
          <w:szCs w:val="26"/>
        </w:rPr>
        <w:t>amento governativo di cui al comma 6 dell’art. 24 della medesima legge n. 241.</w:t>
      </w:r>
    </w:p>
    <w:p w14:paraId="7BEF4068" w14:textId="77777777" w:rsidR="00855113" w:rsidRDefault="00855113" w:rsidP="00855113">
      <w:pPr>
        <w:spacing w:line="360" w:lineRule="auto"/>
        <w:ind w:left="567" w:right="567"/>
        <w:jc w:val="both"/>
        <w:rPr>
          <w:rFonts w:ascii="Garamond" w:hAnsi="Garamond"/>
          <w:sz w:val="26"/>
          <w:szCs w:val="26"/>
        </w:rPr>
      </w:pPr>
      <w:r w:rsidRPr="00855113">
        <w:rPr>
          <w:rFonts w:ascii="Garamond" w:hAnsi="Garamond" w:cs="Times New Roman"/>
          <w:color w:val="000000" w:themeColor="text1"/>
          <w:sz w:val="26"/>
          <w:szCs w:val="26"/>
        </w:rPr>
        <w:tab/>
        <w:t xml:space="preserve">Come noto, </w:t>
      </w:r>
      <w:r>
        <w:rPr>
          <w:rFonts w:ascii="Garamond" w:hAnsi="Garamond" w:cs="Times New Roman"/>
          <w:color w:val="000000" w:themeColor="text1"/>
          <w:sz w:val="26"/>
          <w:szCs w:val="26"/>
        </w:rPr>
        <w:t xml:space="preserve">quest’ultima disposizione </w:t>
      </w:r>
      <w:r w:rsidRPr="00855113">
        <w:rPr>
          <w:rFonts w:ascii="Garamond" w:hAnsi="Garamond"/>
          <w:sz w:val="26"/>
          <w:szCs w:val="26"/>
        </w:rPr>
        <w:t xml:space="preserve">demanda ad un apposito </w:t>
      </w:r>
      <w:r>
        <w:rPr>
          <w:rFonts w:ascii="Garamond" w:hAnsi="Garamond"/>
          <w:sz w:val="26"/>
          <w:szCs w:val="26"/>
        </w:rPr>
        <w:t>r</w:t>
      </w:r>
      <w:r w:rsidRPr="00855113">
        <w:rPr>
          <w:rFonts w:ascii="Garamond" w:hAnsi="Garamond"/>
          <w:sz w:val="26"/>
          <w:szCs w:val="26"/>
        </w:rPr>
        <w:t>egolamento governativo (fonte secondaria) l’individuazione delle limitazioni all‘accesso correlate ad alcuni interessi (pubblici e privati), le cui esigenze di tutela possono risultare prevalenti rispetto al diritto di accesso</w:t>
      </w:r>
      <w:r>
        <w:rPr>
          <w:rFonts w:ascii="Garamond" w:hAnsi="Garamond"/>
          <w:sz w:val="26"/>
          <w:szCs w:val="26"/>
        </w:rPr>
        <w:t>.</w:t>
      </w:r>
    </w:p>
    <w:p w14:paraId="74427E19" w14:textId="7C7C6ECE" w:rsidR="00855113" w:rsidRDefault="00B57E56" w:rsidP="0046274D">
      <w:pPr>
        <w:spacing w:line="360" w:lineRule="auto"/>
        <w:ind w:left="567" w:right="567" w:firstLine="141"/>
        <w:jc w:val="both"/>
        <w:rPr>
          <w:rFonts w:ascii="Garamond" w:hAnsi="Garamond"/>
          <w:sz w:val="26"/>
          <w:szCs w:val="26"/>
        </w:rPr>
      </w:pPr>
      <w:r>
        <w:rPr>
          <w:rFonts w:ascii="Garamond" w:hAnsi="Garamond"/>
          <w:sz w:val="26"/>
          <w:szCs w:val="26"/>
        </w:rPr>
        <w:t xml:space="preserve">Trattasi </w:t>
      </w:r>
      <w:r w:rsidR="00855113" w:rsidRPr="00855113">
        <w:rPr>
          <w:rFonts w:ascii="Garamond" w:hAnsi="Garamond"/>
          <w:sz w:val="26"/>
          <w:szCs w:val="26"/>
        </w:rPr>
        <w:t xml:space="preserve">di un tipico </w:t>
      </w:r>
      <w:r w:rsidR="00855113">
        <w:rPr>
          <w:rFonts w:ascii="Garamond" w:hAnsi="Garamond"/>
          <w:sz w:val="26"/>
          <w:szCs w:val="26"/>
        </w:rPr>
        <w:t>“r</w:t>
      </w:r>
      <w:r w:rsidR="00855113" w:rsidRPr="00855113">
        <w:rPr>
          <w:rFonts w:ascii="Garamond" w:hAnsi="Garamond"/>
          <w:sz w:val="26"/>
          <w:szCs w:val="26"/>
        </w:rPr>
        <w:t>egolamento di delegificazione</w:t>
      </w:r>
      <w:r w:rsidR="00855113">
        <w:rPr>
          <w:rFonts w:ascii="Garamond" w:hAnsi="Garamond"/>
          <w:sz w:val="26"/>
          <w:szCs w:val="26"/>
        </w:rPr>
        <w:t>”</w:t>
      </w:r>
      <w:r w:rsidR="00855113" w:rsidRPr="00855113">
        <w:rPr>
          <w:rFonts w:ascii="Garamond" w:hAnsi="Garamond"/>
          <w:sz w:val="26"/>
          <w:szCs w:val="26"/>
        </w:rPr>
        <w:t xml:space="preserve"> ai sensi dell’art. 17, comma 2, </w:t>
      </w:r>
      <w:r w:rsidR="00855113">
        <w:rPr>
          <w:rFonts w:ascii="Garamond" w:hAnsi="Garamond"/>
          <w:sz w:val="26"/>
          <w:szCs w:val="26"/>
        </w:rPr>
        <w:t xml:space="preserve">legge 23 agosto 1988, n. 400, ancorchè </w:t>
      </w:r>
      <w:r w:rsidR="0046274D">
        <w:rPr>
          <w:rFonts w:ascii="Garamond" w:hAnsi="Garamond"/>
          <w:sz w:val="26"/>
          <w:szCs w:val="26"/>
        </w:rPr>
        <w:t xml:space="preserve">il compito </w:t>
      </w:r>
      <w:r w:rsidR="00855113">
        <w:rPr>
          <w:rFonts w:ascii="Garamond" w:hAnsi="Garamond"/>
          <w:sz w:val="26"/>
          <w:szCs w:val="26"/>
        </w:rPr>
        <w:t xml:space="preserve">del legislatore di determinare le “norme generali regolatrici della materia” risulti minimamente assolto con l’indicazione di una serie di </w:t>
      </w:r>
      <w:r w:rsidR="0046274D">
        <w:rPr>
          <w:rFonts w:ascii="Garamond" w:hAnsi="Garamond"/>
          <w:sz w:val="26"/>
          <w:szCs w:val="26"/>
        </w:rPr>
        <w:t xml:space="preserve">categorie generali di </w:t>
      </w:r>
      <w:r w:rsidR="00855113">
        <w:rPr>
          <w:rFonts w:ascii="Garamond" w:hAnsi="Garamond"/>
          <w:sz w:val="26"/>
          <w:szCs w:val="26"/>
        </w:rPr>
        <w:t xml:space="preserve">interessi </w:t>
      </w:r>
      <w:r w:rsidR="00855113" w:rsidRPr="00855113">
        <w:rPr>
          <w:rFonts w:ascii="Garamond" w:hAnsi="Garamond"/>
          <w:sz w:val="26"/>
          <w:szCs w:val="26"/>
        </w:rPr>
        <w:t xml:space="preserve">potenzialmente in conflitto con </w:t>
      </w:r>
      <w:r w:rsidR="0046274D">
        <w:rPr>
          <w:rFonts w:ascii="Garamond" w:hAnsi="Garamond"/>
          <w:sz w:val="26"/>
          <w:szCs w:val="26"/>
        </w:rPr>
        <w:t xml:space="preserve">l’accesso </w:t>
      </w:r>
      <w:r w:rsidR="0046274D" w:rsidRPr="009620DF">
        <w:rPr>
          <w:rStyle w:val="Rimandonotaapidipagina"/>
          <w:rFonts w:ascii="Garamond" w:hAnsi="Garamond" w:cs="Times New Roman"/>
          <w:color w:val="000000" w:themeColor="text1"/>
          <w:sz w:val="26"/>
          <w:szCs w:val="26"/>
        </w:rPr>
        <w:footnoteReference w:id="18"/>
      </w:r>
      <w:r w:rsidR="00855113" w:rsidRPr="00855113">
        <w:rPr>
          <w:rFonts w:ascii="Garamond" w:hAnsi="Garamond"/>
          <w:sz w:val="26"/>
          <w:szCs w:val="26"/>
        </w:rPr>
        <w:t xml:space="preserve">, rispetto ai quali </w:t>
      </w:r>
      <w:r w:rsidR="0046274D">
        <w:rPr>
          <w:rFonts w:ascii="Garamond" w:hAnsi="Garamond"/>
          <w:sz w:val="26"/>
          <w:szCs w:val="26"/>
        </w:rPr>
        <w:t>a</w:t>
      </w:r>
      <w:r w:rsidR="00855113">
        <w:rPr>
          <w:rFonts w:ascii="Garamond" w:hAnsi="Garamond"/>
          <w:sz w:val="26"/>
          <w:szCs w:val="26"/>
        </w:rPr>
        <w:t xml:space="preserve">l regolamento governativo </w:t>
      </w:r>
      <w:r w:rsidR="0046274D">
        <w:rPr>
          <w:rFonts w:ascii="Garamond" w:hAnsi="Garamond"/>
          <w:sz w:val="26"/>
          <w:szCs w:val="26"/>
        </w:rPr>
        <w:t xml:space="preserve">è rimessa l’individuazione </w:t>
      </w:r>
      <w:r w:rsidR="0046274D">
        <w:rPr>
          <w:rFonts w:ascii="Garamond" w:hAnsi="Garamond"/>
          <w:sz w:val="26"/>
          <w:szCs w:val="26"/>
        </w:rPr>
        <w:lastRenderedPageBreak/>
        <w:t xml:space="preserve">dei singoli “casi” di esclusione mediante l’elencazione dei </w:t>
      </w:r>
      <w:r w:rsidR="00855113" w:rsidRPr="00855113">
        <w:rPr>
          <w:rFonts w:ascii="Garamond" w:hAnsi="Garamond"/>
          <w:sz w:val="26"/>
          <w:szCs w:val="26"/>
        </w:rPr>
        <w:t>documenti esclusi dall’accesso</w:t>
      </w:r>
      <w:r w:rsidR="0046274D">
        <w:rPr>
          <w:rFonts w:ascii="Garamond" w:hAnsi="Garamond"/>
          <w:sz w:val="26"/>
          <w:szCs w:val="26"/>
        </w:rPr>
        <w:t xml:space="preserve"> </w:t>
      </w:r>
      <w:r w:rsidR="0046274D" w:rsidRPr="009620DF">
        <w:rPr>
          <w:rStyle w:val="Rimandonotaapidipagina"/>
          <w:rFonts w:ascii="Garamond" w:hAnsi="Garamond" w:cs="Times New Roman"/>
          <w:color w:val="000000" w:themeColor="text1"/>
          <w:sz w:val="26"/>
          <w:szCs w:val="26"/>
        </w:rPr>
        <w:footnoteReference w:id="19"/>
      </w:r>
      <w:r w:rsidR="0046274D">
        <w:rPr>
          <w:rFonts w:ascii="Garamond" w:hAnsi="Garamond"/>
          <w:sz w:val="26"/>
          <w:szCs w:val="26"/>
        </w:rPr>
        <w:t>.</w:t>
      </w:r>
    </w:p>
    <w:p w14:paraId="436850CA" w14:textId="3DADC742" w:rsidR="00144BCE" w:rsidRDefault="00ED37D0" w:rsidP="00144BCE">
      <w:pPr>
        <w:spacing w:line="360" w:lineRule="auto"/>
        <w:ind w:left="567" w:right="567" w:firstLine="141"/>
        <w:jc w:val="both"/>
        <w:rPr>
          <w:rFonts w:ascii="Garamond" w:hAnsi="Garamond"/>
          <w:sz w:val="26"/>
          <w:szCs w:val="26"/>
        </w:rPr>
      </w:pPr>
      <w:r>
        <w:rPr>
          <w:rFonts w:ascii="Garamond" w:hAnsi="Garamond"/>
          <w:sz w:val="26"/>
          <w:szCs w:val="26"/>
        </w:rPr>
        <w:t xml:space="preserve">A prescindere dalla questione se l’adozione di detto regolamento </w:t>
      </w:r>
      <w:r w:rsidR="00A8436A">
        <w:rPr>
          <w:rFonts w:ascii="Garamond" w:hAnsi="Garamond"/>
          <w:sz w:val="26"/>
          <w:szCs w:val="26"/>
        </w:rPr>
        <w:t xml:space="preserve">debba ritenersi </w:t>
      </w:r>
      <w:r>
        <w:rPr>
          <w:rFonts w:ascii="Garamond" w:hAnsi="Garamond"/>
          <w:sz w:val="26"/>
          <w:szCs w:val="26"/>
        </w:rPr>
        <w:t xml:space="preserve">obbligatoria oppure una </w:t>
      </w:r>
      <w:r w:rsidR="00144BCE">
        <w:rPr>
          <w:rFonts w:ascii="Garamond" w:hAnsi="Garamond"/>
          <w:sz w:val="26"/>
          <w:szCs w:val="26"/>
        </w:rPr>
        <w:t xml:space="preserve">mera facoltà </w:t>
      </w:r>
      <w:r>
        <w:rPr>
          <w:rFonts w:ascii="Garamond" w:hAnsi="Garamond"/>
          <w:sz w:val="26"/>
          <w:szCs w:val="26"/>
        </w:rPr>
        <w:t>del Govern</w:t>
      </w:r>
      <w:r w:rsidR="00A8436A">
        <w:rPr>
          <w:rFonts w:ascii="Garamond" w:hAnsi="Garamond"/>
          <w:sz w:val="26"/>
          <w:szCs w:val="26"/>
        </w:rPr>
        <w:t xml:space="preserve">o </w:t>
      </w:r>
      <w:r w:rsidRPr="009620DF">
        <w:rPr>
          <w:rStyle w:val="Rimandonotaapidipagina"/>
          <w:rFonts w:ascii="Garamond" w:hAnsi="Garamond" w:cs="Times New Roman"/>
          <w:color w:val="000000" w:themeColor="text1"/>
          <w:sz w:val="26"/>
          <w:szCs w:val="26"/>
        </w:rPr>
        <w:footnoteReference w:id="20"/>
      </w:r>
      <w:r>
        <w:rPr>
          <w:rFonts w:ascii="Garamond" w:hAnsi="Garamond"/>
          <w:sz w:val="26"/>
          <w:szCs w:val="26"/>
        </w:rPr>
        <w:t xml:space="preserve">, </w:t>
      </w:r>
      <w:r w:rsidR="00144BCE">
        <w:rPr>
          <w:rFonts w:ascii="Garamond" w:hAnsi="Garamond"/>
          <w:sz w:val="26"/>
          <w:szCs w:val="26"/>
        </w:rPr>
        <w:t>re</w:t>
      </w:r>
      <w:r>
        <w:rPr>
          <w:rFonts w:ascii="Garamond" w:hAnsi="Garamond"/>
          <w:sz w:val="26"/>
          <w:szCs w:val="26"/>
        </w:rPr>
        <w:t>sta il fatto che, a distanza di sedici anni dalla sua previsione</w:t>
      </w:r>
      <w:r w:rsidR="00144BCE">
        <w:rPr>
          <w:rFonts w:ascii="Garamond" w:hAnsi="Garamond"/>
          <w:sz w:val="26"/>
          <w:szCs w:val="26"/>
        </w:rPr>
        <w:t xml:space="preserve">, </w:t>
      </w:r>
      <w:r w:rsidR="00D67E4C">
        <w:rPr>
          <w:rFonts w:ascii="Garamond" w:hAnsi="Garamond"/>
          <w:sz w:val="26"/>
          <w:szCs w:val="26"/>
        </w:rPr>
        <w:t xml:space="preserve">esso </w:t>
      </w:r>
      <w:r w:rsidR="00144BCE">
        <w:rPr>
          <w:rFonts w:ascii="Garamond" w:hAnsi="Garamond"/>
          <w:sz w:val="26"/>
          <w:szCs w:val="26"/>
        </w:rPr>
        <w:t xml:space="preserve">non è stato ancora emanato. </w:t>
      </w:r>
      <w:r>
        <w:rPr>
          <w:rFonts w:ascii="Garamond" w:hAnsi="Garamond"/>
          <w:sz w:val="26"/>
          <w:szCs w:val="26"/>
        </w:rPr>
        <w:t xml:space="preserve"> </w:t>
      </w:r>
      <w:bookmarkStart w:id="6" w:name="_Hlk71728469"/>
    </w:p>
    <w:p w14:paraId="59A1D2F9" w14:textId="5A3262E4" w:rsidR="00A8436A" w:rsidRDefault="00144BCE" w:rsidP="00A8436A">
      <w:pPr>
        <w:pStyle w:val="Standard"/>
        <w:spacing w:line="360" w:lineRule="auto"/>
        <w:ind w:left="567" w:right="567" w:firstLine="141"/>
        <w:jc w:val="both"/>
        <w:rPr>
          <w:rFonts w:ascii="Garamond" w:hAnsi="Garamond"/>
          <w:sz w:val="26"/>
          <w:szCs w:val="26"/>
          <w:lang w:val="it-IT"/>
        </w:rPr>
      </w:pPr>
      <w:r>
        <w:rPr>
          <w:rFonts w:ascii="Garamond" w:hAnsi="Garamond"/>
          <w:sz w:val="26"/>
          <w:szCs w:val="26"/>
        </w:rPr>
        <w:t xml:space="preserve">Invero, il Governo, dando (parziale) attuazione </w:t>
      </w:r>
      <w:r w:rsidR="00D67E4C">
        <w:rPr>
          <w:rFonts w:ascii="Garamond" w:hAnsi="Garamond"/>
          <w:sz w:val="26"/>
          <w:szCs w:val="26"/>
        </w:rPr>
        <w:t>a</w:t>
      </w:r>
      <w:r>
        <w:rPr>
          <w:rFonts w:ascii="Garamond" w:hAnsi="Garamond"/>
          <w:sz w:val="26"/>
          <w:szCs w:val="26"/>
        </w:rPr>
        <w:t>ll</w:t>
      </w:r>
      <w:r w:rsidRPr="00144BCE">
        <w:rPr>
          <w:rFonts w:ascii="Garamond" w:hAnsi="Garamond"/>
          <w:sz w:val="26"/>
          <w:szCs w:val="26"/>
          <w:lang w:val="it-IT"/>
        </w:rPr>
        <w:t>’art. 23, comm</w:t>
      </w:r>
      <w:r>
        <w:rPr>
          <w:rFonts w:ascii="Garamond" w:hAnsi="Garamond"/>
          <w:sz w:val="26"/>
          <w:szCs w:val="26"/>
        </w:rPr>
        <w:t>i</w:t>
      </w:r>
      <w:r w:rsidRPr="00144BCE">
        <w:rPr>
          <w:rFonts w:ascii="Garamond" w:hAnsi="Garamond"/>
          <w:sz w:val="26"/>
          <w:szCs w:val="26"/>
          <w:lang w:val="it-IT"/>
        </w:rPr>
        <w:t xml:space="preserve"> 2</w:t>
      </w:r>
      <w:r>
        <w:rPr>
          <w:rFonts w:ascii="Garamond" w:hAnsi="Garamond"/>
          <w:sz w:val="26"/>
          <w:szCs w:val="26"/>
        </w:rPr>
        <w:t xml:space="preserve"> e 3</w:t>
      </w:r>
      <w:r w:rsidRPr="00144BCE">
        <w:rPr>
          <w:rFonts w:ascii="Garamond" w:hAnsi="Garamond"/>
          <w:sz w:val="26"/>
          <w:szCs w:val="26"/>
          <w:lang w:val="it-IT"/>
        </w:rPr>
        <w:t xml:space="preserve">, </w:t>
      </w:r>
      <w:r>
        <w:rPr>
          <w:rFonts w:ascii="Garamond" w:hAnsi="Garamond"/>
          <w:sz w:val="26"/>
          <w:szCs w:val="26"/>
        </w:rPr>
        <w:t>della l</w:t>
      </w:r>
      <w:r w:rsidRPr="00144BCE">
        <w:rPr>
          <w:rFonts w:ascii="Garamond" w:hAnsi="Garamond"/>
          <w:sz w:val="26"/>
          <w:szCs w:val="26"/>
          <w:lang w:val="it-IT"/>
        </w:rPr>
        <w:t>egge 11</w:t>
      </w:r>
      <w:r>
        <w:rPr>
          <w:rFonts w:ascii="Garamond" w:hAnsi="Garamond"/>
          <w:sz w:val="26"/>
          <w:szCs w:val="26"/>
        </w:rPr>
        <w:t xml:space="preserve"> febbraio </w:t>
      </w:r>
      <w:r w:rsidRPr="00144BCE">
        <w:rPr>
          <w:rFonts w:ascii="Garamond" w:hAnsi="Garamond"/>
          <w:sz w:val="26"/>
          <w:szCs w:val="26"/>
          <w:lang w:val="it-IT"/>
        </w:rPr>
        <w:t xml:space="preserve">2005, n. 15 (di modifica della </w:t>
      </w:r>
      <w:r>
        <w:rPr>
          <w:rFonts w:ascii="Garamond" w:hAnsi="Garamond"/>
          <w:sz w:val="26"/>
          <w:szCs w:val="26"/>
        </w:rPr>
        <w:t>l</w:t>
      </w:r>
      <w:r w:rsidRPr="00144BCE">
        <w:rPr>
          <w:rFonts w:ascii="Garamond" w:hAnsi="Garamond"/>
          <w:sz w:val="26"/>
          <w:szCs w:val="26"/>
          <w:lang w:val="it-IT"/>
        </w:rPr>
        <w:t xml:space="preserve">egge </w:t>
      </w:r>
      <w:r>
        <w:rPr>
          <w:rFonts w:ascii="Garamond" w:hAnsi="Garamond"/>
          <w:sz w:val="26"/>
          <w:szCs w:val="26"/>
        </w:rPr>
        <w:t xml:space="preserve">n. </w:t>
      </w:r>
      <w:r w:rsidRPr="00144BCE">
        <w:rPr>
          <w:rFonts w:ascii="Garamond" w:hAnsi="Garamond"/>
          <w:sz w:val="26"/>
          <w:szCs w:val="26"/>
          <w:lang w:val="it-IT"/>
        </w:rPr>
        <w:t>241</w:t>
      </w:r>
      <w:r>
        <w:rPr>
          <w:rFonts w:ascii="Garamond" w:hAnsi="Garamond"/>
          <w:sz w:val="26"/>
          <w:szCs w:val="26"/>
        </w:rPr>
        <w:t xml:space="preserve"> del </w:t>
      </w:r>
      <w:r w:rsidR="00D67E4C">
        <w:rPr>
          <w:rFonts w:ascii="Garamond" w:hAnsi="Garamond"/>
          <w:sz w:val="26"/>
          <w:szCs w:val="26"/>
        </w:rPr>
        <w:t>19</w:t>
      </w:r>
      <w:r w:rsidRPr="00144BCE">
        <w:rPr>
          <w:rFonts w:ascii="Garamond" w:hAnsi="Garamond"/>
          <w:sz w:val="26"/>
          <w:szCs w:val="26"/>
          <w:lang w:val="it-IT"/>
        </w:rPr>
        <w:t>90)</w:t>
      </w:r>
      <w:r>
        <w:rPr>
          <w:rFonts w:ascii="Garamond" w:hAnsi="Garamond"/>
          <w:sz w:val="26"/>
          <w:szCs w:val="26"/>
        </w:rPr>
        <w:t xml:space="preserve"> </w:t>
      </w:r>
      <w:r w:rsidRPr="009620DF">
        <w:rPr>
          <w:rStyle w:val="Rimandonotaapidipagina"/>
          <w:rFonts w:ascii="Garamond" w:hAnsi="Garamond" w:cs="Times New Roman"/>
          <w:color w:val="000000" w:themeColor="text1"/>
          <w:sz w:val="26"/>
          <w:szCs w:val="26"/>
        </w:rPr>
        <w:footnoteReference w:id="21"/>
      </w:r>
      <w:r>
        <w:rPr>
          <w:rFonts w:ascii="Garamond" w:hAnsi="Garamond"/>
          <w:sz w:val="26"/>
          <w:szCs w:val="26"/>
        </w:rPr>
        <w:t xml:space="preserve">, ha </w:t>
      </w:r>
      <w:proofErr w:type="spellStart"/>
      <w:r>
        <w:rPr>
          <w:rFonts w:ascii="Garamond" w:hAnsi="Garamond"/>
          <w:sz w:val="26"/>
          <w:szCs w:val="26"/>
        </w:rPr>
        <w:t>emanato</w:t>
      </w:r>
      <w:proofErr w:type="spellEnd"/>
      <w:r>
        <w:rPr>
          <w:rFonts w:ascii="Garamond" w:hAnsi="Garamond"/>
          <w:sz w:val="26"/>
          <w:szCs w:val="26"/>
        </w:rPr>
        <w:t xml:space="preserve"> </w:t>
      </w:r>
      <w:r w:rsidRPr="00144BCE">
        <w:rPr>
          <w:rFonts w:ascii="Garamond" w:hAnsi="Garamond"/>
          <w:sz w:val="26"/>
          <w:szCs w:val="26"/>
          <w:lang w:val="it-IT"/>
        </w:rPr>
        <w:t xml:space="preserve">il </w:t>
      </w:r>
      <w:bookmarkStart w:id="7" w:name="_Hlk71728375"/>
      <w:r w:rsidR="00A8436A">
        <w:rPr>
          <w:rFonts w:ascii="Garamond" w:hAnsi="Garamond"/>
          <w:sz w:val="26"/>
          <w:szCs w:val="26"/>
        </w:rPr>
        <w:t>d</w:t>
      </w:r>
      <w:r w:rsidRPr="00144BCE">
        <w:rPr>
          <w:rFonts w:ascii="Garamond" w:hAnsi="Garamond"/>
          <w:sz w:val="26"/>
          <w:szCs w:val="26"/>
          <w:lang w:val="it-IT"/>
        </w:rPr>
        <w:t>.P.R. 12 aprile 2006, n. 184 (R</w:t>
      </w:r>
      <w:r w:rsidRPr="00A8436A">
        <w:rPr>
          <w:rFonts w:ascii="Garamond" w:hAnsi="Garamond"/>
          <w:sz w:val="26"/>
          <w:szCs w:val="26"/>
          <w:lang w:val="it-IT"/>
        </w:rPr>
        <w:t>egolamento recante disciplina in materia di accesso ai documenti amministrativi)</w:t>
      </w:r>
      <w:bookmarkEnd w:id="7"/>
      <w:r w:rsidR="00A8436A" w:rsidRPr="00A8436A">
        <w:rPr>
          <w:rFonts w:ascii="Garamond" w:hAnsi="Garamond"/>
          <w:sz w:val="26"/>
          <w:szCs w:val="26"/>
          <w:lang w:val="it-IT"/>
        </w:rPr>
        <w:t>, con cui si è limitato a dettare alcune norme di natura procedimentale ed a stabilire alcune norme sul “differimento“ dell’accesso (art. 9, commi 2 e 3), rinvia</w:t>
      </w:r>
      <w:r w:rsidR="00A8436A">
        <w:rPr>
          <w:rFonts w:ascii="Garamond" w:hAnsi="Garamond"/>
          <w:sz w:val="26"/>
          <w:szCs w:val="26"/>
          <w:lang w:val="it-IT"/>
        </w:rPr>
        <w:t>ndo</w:t>
      </w:r>
      <w:r w:rsidR="00A8436A" w:rsidRPr="00A8436A">
        <w:rPr>
          <w:rFonts w:ascii="Garamond" w:hAnsi="Garamond"/>
          <w:sz w:val="26"/>
          <w:szCs w:val="26"/>
          <w:lang w:val="it-IT"/>
        </w:rPr>
        <w:t>, per quanto riguarda la “Disciplina dei casi di esclusione“</w:t>
      </w:r>
      <w:r w:rsidR="00A8436A">
        <w:rPr>
          <w:rFonts w:ascii="Garamond" w:hAnsi="Garamond"/>
          <w:sz w:val="26"/>
          <w:szCs w:val="26"/>
          <w:lang w:val="it-IT"/>
        </w:rPr>
        <w:t xml:space="preserve"> </w:t>
      </w:r>
      <w:r w:rsidR="00A8436A" w:rsidRPr="00144BCE">
        <w:rPr>
          <w:rFonts w:ascii="Garamond" w:hAnsi="Garamond"/>
          <w:sz w:val="26"/>
          <w:szCs w:val="26"/>
          <w:lang w:val="it-IT"/>
        </w:rPr>
        <w:t xml:space="preserve">ex art. 24, comma 6, </w:t>
      </w:r>
      <w:r w:rsidR="00A8436A">
        <w:rPr>
          <w:rFonts w:ascii="Garamond" w:hAnsi="Garamond"/>
          <w:sz w:val="26"/>
          <w:szCs w:val="26"/>
          <w:lang w:val="it-IT"/>
        </w:rPr>
        <w:t>l</w:t>
      </w:r>
      <w:r w:rsidR="00A8436A" w:rsidRPr="00144BCE">
        <w:rPr>
          <w:rFonts w:ascii="Garamond" w:hAnsi="Garamond"/>
          <w:sz w:val="26"/>
          <w:szCs w:val="26"/>
          <w:lang w:val="it-IT"/>
        </w:rPr>
        <w:t>. 241</w:t>
      </w:r>
      <w:r w:rsidR="00A8436A">
        <w:rPr>
          <w:rFonts w:ascii="Garamond" w:hAnsi="Garamond"/>
          <w:sz w:val="26"/>
          <w:szCs w:val="26"/>
          <w:lang w:val="it-IT"/>
        </w:rPr>
        <w:t xml:space="preserve"> del </w:t>
      </w:r>
      <w:r w:rsidR="00D67E4C">
        <w:rPr>
          <w:rFonts w:ascii="Garamond" w:hAnsi="Garamond"/>
          <w:sz w:val="26"/>
          <w:szCs w:val="26"/>
          <w:lang w:val="it-IT"/>
        </w:rPr>
        <w:t>19</w:t>
      </w:r>
      <w:r w:rsidR="00A8436A">
        <w:rPr>
          <w:rFonts w:ascii="Garamond" w:hAnsi="Garamond"/>
          <w:sz w:val="26"/>
          <w:szCs w:val="26"/>
          <w:lang w:val="it-IT"/>
        </w:rPr>
        <w:t>90</w:t>
      </w:r>
      <w:r w:rsidR="00A8436A" w:rsidRPr="00A8436A">
        <w:rPr>
          <w:rFonts w:ascii="Garamond" w:hAnsi="Garamond"/>
          <w:sz w:val="26"/>
          <w:szCs w:val="26"/>
          <w:lang w:val="it-IT"/>
        </w:rPr>
        <w:t xml:space="preserve">, ad altro </w:t>
      </w:r>
      <w:r w:rsidR="00A8436A">
        <w:rPr>
          <w:rFonts w:ascii="Garamond" w:hAnsi="Garamond"/>
          <w:sz w:val="26"/>
          <w:szCs w:val="26"/>
          <w:lang w:val="it-IT"/>
        </w:rPr>
        <w:t>r</w:t>
      </w:r>
      <w:r w:rsidR="00A8436A" w:rsidRPr="00A8436A">
        <w:rPr>
          <w:rFonts w:ascii="Garamond" w:hAnsi="Garamond"/>
          <w:sz w:val="26"/>
          <w:szCs w:val="26"/>
          <w:lang w:val="it-IT"/>
        </w:rPr>
        <w:t>egolamento governa</w:t>
      </w:r>
      <w:r w:rsidR="00A8436A" w:rsidRPr="00144BCE">
        <w:rPr>
          <w:rFonts w:ascii="Garamond" w:hAnsi="Garamond"/>
          <w:sz w:val="26"/>
          <w:szCs w:val="26"/>
          <w:lang w:val="it-IT"/>
        </w:rPr>
        <w:t>tivo (artt. 10 e 15</w:t>
      </w:r>
      <w:r w:rsidR="00A8436A">
        <w:rPr>
          <w:rFonts w:ascii="Garamond" w:hAnsi="Garamond"/>
          <w:sz w:val="26"/>
          <w:szCs w:val="26"/>
          <w:lang w:val="it-IT"/>
        </w:rPr>
        <w:t>).</w:t>
      </w:r>
    </w:p>
    <w:p w14:paraId="6C67B604" w14:textId="3C2AF009" w:rsidR="00144BCE" w:rsidRDefault="00A8436A" w:rsidP="00A8436A">
      <w:pPr>
        <w:spacing w:line="360" w:lineRule="auto"/>
        <w:ind w:left="567" w:right="567" w:firstLine="141"/>
        <w:jc w:val="both"/>
        <w:rPr>
          <w:rFonts w:ascii="Garamond" w:hAnsi="Garamond"/>
          <w:sz w:val="26"/>
          <w:szCs w:val="26"/>
        </w:rPr>
      </w:pPr>
      <w:r>
        <w:rPr>
          <w:rFonts w:ascii="Garamond" w:hAnsi="Garamond"/>
          <w:sz w:val="26"/>
          <w:szCs w:val="26"/>
        </w:rPr>
        <w:t>Ne consegue che monca è rimasta la regolamentazione “a regime” delle limitazioni dell’accesso documentale ex l. n. 241 del 1990</w:t>
      </w:r>
      <w:r w:rsidR="00D67E4C">
        <w:rPr>
          <w:rFonts w:ascii="Garamond" w:hAnsi="Garamond"/>
          <w:sz w:val="26"/>
          <w:szCs w:val="26"/>
        </w:rPr>
        <w:t>, sì che</w:t>
      </w:r>
      <w:r>
        <w:rPr>
          <w:rFonts w:ascii="Garamond" w:hAnsi="Garamond"/>
          <w:sz w:val="26"/>
          <w:szCs w:val="26"/>
        </w:rPr>
        <w:t xml:space="preserve"> </w:t>
      </w:r>
      <w:r w:rsidR="004E4BD8">
        <w:rPr>
          <w:rFonts w:ascii="Garamond" w:hAnsi="Garamond"/>
          <w:sz w:val="26"/>
          <w:szCs w:val="26"/>
        </w:rPr>
        <w:t xml:space="preserve">tale mancanza si riflette sulla </w:t>
      </w:r>
      <w:r>
        <w:rPr>
          <w:rFonts w:ascii="Garamond" w:hAnsi="Garamond"/>
          <w:sz w:val="26"/>
          <w:szCs w:val="26"/>
        </w:rPr>
        <w:t xml:space="preserve">disciplina delle limitazioni </w:t>
      </w:r>
      <w:r w:rsidR="00D67E4C">
        <w:rPr>
          <w:rFonts w:ascii="Garamond" w:hAnsi="Garamond"/>
          <w:sz w:val="26"/>
          <w:szCs w:val="26"/>
        </w:rPr>
        <w:t>“</w:t>
      </w:r>
      <w:r>
        <w:rPr>
          <w:rFonts w:ascii="Garamond" w:hAnsi="Garamond"/>
          <w:sz w:val="26"/>
          <w:szCs w:val="26"/>
        </w:rPr>
        <w:t>assolute</w:t>
      </w:r>
      <w:r w:rsidR="00D67E4C">
        <w:rPr>
          <w:rFonts w:ascii="Garamond" w:hAnsi="Garamond"/>
          <w:sz w:val="26"/>
          <w:szCs w:val="26"/>
        </w:rPr>
        <w:t>”</w:t>
      </w:r>
      <w:r>
        <w:rPr>
          <w:rFonts w:ascii="Garamond" w:hAnsi="Garamond"/>
          <w:sz w:val="26"/>
          <w:szCs w:val="26"/>
        </w:rPr>
        <w:t xml:space="preserve"> dell’accesso civico generalizzato</w:t>
      </w:r>
      <w:r w:rsidR="004E4BD8">
        <w:rPr>
          <w:rFonts w:ascii="Garamond" w:hAnsi="Garamond"/>
          <w:sz w:val="26"/>
          <w:szCs w:val="26"/>
        </w:rPr>
        <w:t>, a cui il combinato disposto di cui all’art. 5-bis, comma 3, d.lgs. n. 33 del 2013 e art. 24, comma 1, l. n. 241 del 1990 sembra riferirsi.</w:t>
      </w:r>
    </w:p>
    <w:p w14:paraId="48E336B9" w14:textId="07EF4973" w:rsidR="004E4BD8" w:rsidRDefault="004E4BD8" w:rsidP="00A8436A">
      <w:pPr>
        <w:spacing w:line="360" w:lineRule="auto"/>
        <w:ind w:left="567" w:right="567" w:firstLine="141"/>
        <w:jc w:val="both"/>
        <w:rPr>
          <w:rFonts w:ascii="Garamond" w:hAnsi="Garamond"/>
          <w:sz w:val="26"/>
          <w:szCs w:val="26"/>
        </w:rPr>
      </w:pPr>
      <w:r>
        <w:rPr>
          <w:rFonts w:ascii="Garamond" w:hAnsi="Garamond"/>
          <w:sz w:val="26"/>
          <w:szCs w:val="26"/>
        </w:rPr>
        <w:lastRenderedPageBreak/>
        <w:t>Ciò significa che, fin quando il regolamento</w:t>
      </w:r>
      <w:r w:rsidRPr="004E4BD8">
        <w:rPr>
          <w:rFonts w:ascii="Garamond" w:hAnsi="Garamond"/>
          <w:sz w:val="26"/>
          <w:szCs w:val="26"/>
        </w:rPr>
        <w:t xml:space="preserve"> </w:t>
      </w:r>
      <w:r>
        <w:rPr>
          <w:rFonts w:ascii="Garamond" w:hAnsi="Garamond"/>
          <w:sz w:val="26"/>
          <w:szCs w:val="26"/>
        </w:rPr>
        <w:t>governativo ex art. 24, comma 6, l. n. 241 del 1990 non sarà stato emanato, non si porrà, in pratica, il problema della applicabilità dei relativi casi di esclusione all’accesso civico generalizzato.</w:t>
      </w:r>
    </w:p>
    <w:p w14:paraId="77078472" w14:textId="538ECECA" w:rsidR="00955A2A" w:rsidRPr="00955A2A" w:rsidRDefault="00D67E4C" w:rsidP="00955A2A">
      <w:pPr>
        <w:spacing w:line="360" w:lineRule="auto"/>
        <w:ind w:left="567" w:right="567" w:firstLine="141"/>
        <w:jc w:val="both"/>
        <w:rPr>
          <w:rFonts w:ascii="Garamond" w:hAnsi="Garamond"/>
          <w:sz w:val="26"/>
          <w:szCs w:val="26"/>
        </w:rPr>
      </w:pPr>
      <w:r>
        <w:rPr>
          <w:rFonts w:ascii="Garamond" w:hAnsi="Garamond"/>
          <w:sz w:val="26"/>
          <w:szCs w:val="26"/>
        </w:rPr>
        <w:t xml:space="preserve">Appare, comunque, sin d’ora evidente </w:t>
      </w:r>
      <w:r w:rsidR="00910BAC">
        <w:rPr>
          <w:rFonts w:ascii="Garamond" w:hAnsi="Garamond"/>
          <w:sz w:val="26"/>
          <w:szCs w:val="26"/>
        </w:rPr>
        <w:t xml:space="preserve">l’incongruenza ordinamentale data dal fatto che gli interessi menzionati nell’art. 24, comma 6, l. n. 241 del 1990 </w:t>
      </w:r>
      <w:bookmarkEnd w:id="6"/>
      <w:r>
        <w:rPr>
          <w:rFonts w:ascii="Garamond" w:hAnsi="Garamond"/>
          <w:sz w:val="26"/>
          <w:szCs w:val="26"/>
        </w:rPr>
        <w:t>[</w:t>
      </w:r>
      <w:r w:rsidR="00855113" w:rsidRPr="00855113">
        <w:rPr>
          <w:rFonts w:ascii="Garamond" w:hAnsi="Garamond"/>
          <w:sz w:val="26"/>
          <w:szCs w:val="26"/>
        </w:rPr>
        <w:t>a) “</w:t>
      </w:r>
      <w:r w:rsidR="00855113" w:rsidRPr="00855113">
        <w:rPr>
          <w:rFonts w:ascii="Garamond" w:hAnsi="Garamond"/>
          <w:i/>
          <w:iCs/>
          <w:sz w:val="26"/>
          <w:szCs w:val="26"/>
        </w:rPr>
        <w:t>sicurezza e … difesa nazionale, … esercizio della sovranità nazionale e … continuità e … correttezza delle relazioni internazionali ..“</w:t>
      </w:r>
      <w:r w:rsidR="00855113" w:rsidRPr="00855113">
        <w:rPr>
          <w:rFonts w:ascii="Garamond" w:hAnsi="Garamond"/>
          <w:iCs/>
          <w:sz w:val="26"/>
          <w:szCs w:val="26"/>
        </w:rPr>
        <w:t>;</w:t>
      </w:r>
      <w:r w:rsidR="00910BAC">
        <w:rPr>
          <w:rFonts w:ascii="Garamond" w:hAnsi="Garamond"/>
          <w:iCs/>
          <w:sz w:val="26"/>
          <w:szCs w:val="26"/>
        </w:rPr>
        <w:t xml:space="preserve"> </w:t>
      </w:r>
      <w:r w:rsidR="00855113" w:rsidRPr="00855113">
        <w:rPr>
          <w:rFonts w:ascii="Garamond" w:hAnsi="Garamond"/>
          <w:iCs/>
          <w:sz w:val="26"/>
          <w:szCs w:val="26"/>
        </w:rPr>
        <w:t xml:space="preserve">b) </w:t>
      </w:r>
      <w:r w:rsidR="00855113" w:rsidRPr="00855113">
        <w:rPr>
          <w:rFonts w:ascii="Garamond" w:hAnsi="Garamond"/>
          <w:i/>
          <w:iCs/>
          <w:sz w:val="26"/>
          <w:szCs w:val="26"/>
        </w:rPr>
        <w:t>“politica monetaria e valutaria ..“</w:t>
      </w:r>
      <w:r w:rsidR="00855113" w:rsidRPr="00855113">
        <w:rPr>
          <w:rFonts w:ascii="Garamond" w:hAnsi="Garamond"/>
          <w:iCs/>
          <w:sz w:val="26"/>
          <w:szCs w:val="26"/>
        </w:rPr>
        <w:t>;</w:t>
      </w:r>
      <w:r>
        <w:rPr>
          <w:rFonts w:ascii="Garamond" w:hAnsi="Garamond"/>
          <w:iCs/>
          <w:sz w:val="26"/>
          <w:szCs w:val="26"/>
        </w:rPr>
        <w:t xml:space="preserve"> </w:t>
      </w:r>
      <w:r w:rsidR="00855113" w:rsidRPr="00855113">
        <w:rPr>
          <w:rFonts w:ascii="Garamond" w:hAnsi="Garamond"/>
          <w:iCs/>
          <w:sz w:val="26"/>
          <w:szCs w:val="26"/>
        </w:rPr>
        <w:t>c)</w:t>
      </w:r>
      <w:r w:rsidR="00855113" w:rsidRPr="00855113">
        <w:rPr>
          <w:rFonts w:ascii="Garamond" w:hAnsi="Garamond"/>
          <w:i/>
          <w:iCs/>
          <w:sz w:val="26"/>
          <w:szCs w:val="26"/>
        </w:rPr>
        <w:t xml:space="preserve"> “tutela dell'ordine pubblico, … prevenzione e … repressione della criminalità con particolare riferimento alle tecniche investigative, alla identità delle fonti di informazione e alla sicurezza dei beni e delle persone coinvolte, all'attività di polizia giudiziaria e di conduzione delle indagini“</w:t>
      </w:r>
      <w:r w:rsidR="00855113" w:rsidRPr="00855113">
        <w:rPr>
          <w:rFonts w:ascii="Garamond" w:hAnsi="Garamond"/>
          <w:iCs/>
          <w:sz w:val="26"/>
          <w:szCs w:val="26"/>
        </w:rPr>
        <w:t>;</w:t>
      </w:r>
      <w:r w:rsidR="00910BAC">
        <w:rPr>
          <w:rFonts w:ascii="Garamond" w:hAnsi="Garamond"/>
          <w:iCs/>
          <w:sz w:val="26"/>
          <w:szCs w:val="26"/>
        </w:rPr>
        <w:t xml:space="preserve"> </w:t>
      </w:r>
      <w:r w:rsidR="00855113" w:rsidRPr="00855113">
        <w:rPr>
          <w:rFonts w:ascii="Garamond" w:hAnsi="Garamond"/>
          <w:iCs/>
          <w:sz w:val="26"/>
          <w:szCs w:val="26"/>
        </w:rPr>
        <w:t xml:space="preserve">d) </w:t>
      </w:r>
      <w:r w:rsidR="00855113" w:rsidRPr="00855113">
        <w:rPr>
          <w:rFonts w:ascii="Garamond" w:hAnsi="Garamond"/>
          <w:i/>
          <w:iCs/>
          <w:sz w:val="26"/>
          <w:szCs w:val="26"/>
        </w:rPr>
        <w:t>“vita privata o … riservatezza di persone fisiche, persone giuridiche, gruppi, imprese e associazioni, con particolare riferimento agli interessi epistolare, sanitario, professionale, finanziario, industriale e commerciale di cui siano in concreto titolari, … “</w:t>
      </w:r>
      <w:r w:rsidR="00855113" w:rsidRPr="00855113">
        <w:rPr>
          <w:rFonts w:ascii="Garamond" w:hAnsi="Garamond"/>
          <w:iCs/>
          <w:sz w:val="26"/>
          <w:szCs w:val="26"/>
        </w:rPr>
        <w:t>;</w:t>
      </w:r>
      <w:r w:rsidR="00910BAC">
        <w:rPr>
          <w:rFonts w:ascii="Garamond" w:hAnsi="Garamond"/>
          <w:iCs/>
          <w:sz w:val="26"/>
          <w:szCs w:val="26"/>
        </w:rPr>
        <w:t xml:space="preserve"> </w:t>
      </w:r>
      <w:r w:rsidR="00855113" w:rsidRPr="00855113">
        <w:rPr>
          <w:rFonts w:ascii="Garamond" w:hAnsi="Garamond"/>
          <w:iCs/>
          <w:sz w:val="26"/>
          <w:szCs w:val="26"/>
        </w:rPr>
        <w:t xml:space="preserve">e) </w:t>
      </w:r>
      <w:r w:rsidR="00855113" w:rsidRPr="00855113">
        <w:rPr>
          <w:rFonts w:ascii="Garamond" w:hAnsi="Garamond"/>
          <w:i/>
          <w:iCs/>
          <w:sz w:val="26"/>
          <w:szCs w:val="26"/>
        </w:rPr>
        <w:t>“… attività in corso di contrattazione collettiva nazionale di lavoro e gli atti interni connessi all'espletamento del relativo mandato.”</w:t>
      </w:r>
      <w:r>
        <w:rPr>
          <w:rFonts w:ascii="Garamond" w:hAnsi="Garamond"/>
          <w:iCs/>
          <w:sz w:val="26"/>
          <w:szCs w:val="26"/>
        </w:rPr>
        <w:t>]</w:t>
      </w:r>
      <w:r w:rsidR="00955A2A">
        <w:rPr>
          <w:rFonts w:ascii="Garamond" w:hAnsi="Garamond"/>
          <w:iCs/>
          <w:sz w:val="26"/>
          <w:szCs w:val="26"/>
        </w:rPr>
        <w:t xml:space="preserve">, che, una volta emanato il regolamento governativo dovrebbero rappresentare casi di esclusione “assoluta” dell’accesso civico generalizzato, </w:t>
      </w:r>
      <w:r w:rsidR="00910BAC" w:rsidRPr="008C34F0">
        <w:rPr>
          <w:rFonts w:ascii="Garamond" w:hAnsi="Garamond"/>
          <w:sz w:val="26"/>
          <w:szCs w:val="26"/>
        </w:rPr>
        <w:t xml:space="preserve">coincidono </w:t>
      </w:r>
      <w:r w:rsidR="00910BAC" w:rsidRPr="00955A2A">
        <w:rPr>
          <w:rFonts w:ascii="Garamond" w:hAnsi="Garamond"/>
          <w:sz w:val="26"/>
          <w:szCs w:val="26"/>
        </w:rPr>
        <w:t xml:space="preserve">sostanzialmente con </w:t>
      </w:r>
      <w:r w:rsidR="00955A2A">
        <w:rPr>
          <w:rFonts w:ascii="Garamond" w:hAnsi="Garamond"/>
          <w:sz w:val="26"/>
          <w:szCs w:val="26"/>
        </w:rPr>
        <w:t>que</w:t>
      </w:r>
      <w:r w:rsidR="00910BAC" w:rsidRPr="00955A2A">
        <w:rPr>
          <w:rFonts w:ascii="Garamond" w:hAnsi="Garamond"/>
          <w:sz w:val="26"/>
          <w:szCs w:val="26"/>
        </w:rPr>
        <w:t xml:space="preserve">gli </w:t>
      </w:r>
      <w:r w:rsidR="00F5760E">
        <w:rPr>
          <w:rFonts w:ascii="Garamond" w:hAnsi="Garamond"/>
          <w:sz w:val="26"/>
          <w:szCs w:val="26"/>
        </w:rPr>
        <w:t xml:space="preserve">stessi </w:t>
      </w:r>
      <w:r w:rsidR="00910BAC" w:rsidRPr="00955A2A">
        <w:rPr>
          <w:rFonts w:ascii="Garamond" w:hAnsi="Garamond"/>
          <w:sz w:val="26"/>
          <w:szCs w:val="26"/>
        </w:rPr>
        <w:t xml:space="preserve">interessi (pubblici e privati) </w:t>
      </w:r>
      <w:r w:rsidR="00F5760E">
        <w:rPr>
          <w:rFonts w:ascii="Garamond" w:hAnsi="Garamond"/>
          <w:sz w:val="26"/>
          <w:szCs w:val="26"/>
        </w:rPr>
        <w:t xml:space="preserve">che </w:t>
      </w:r>
      <w:r w:rsidR="00910BAC" w:rsidRPr="00955A2A">
        <w:rPr>
          <w:rFonts w:ascii="Garamond" w:hAnsi="Garamond"/>
          <w:sz w:val="26"/>
          <w:szCs w:val="26"/>
        </w:rPr>
        <w:t xml:space="preserve">i commi 1 e 2 dell’art. 5-bis D.Lgs. 33/2013 </w:t>
      </w:r>
      <w:r w:rsidR="00F5760E">
        <w:rPr>
          <w:rFonts w:ascii="Garamond" w:hAnsi="Garamond"/>
          <w:sz w:val="26"/>
          <w:szCs w:val="26"/>
        </w:rPr>
        <w:t xml:space="preserve">individua </w:t>
      </w:r>
      <w:r w:rsidR="00910BAC" w:rsidRPr="00955A2A">
        <w:rPr>
          <w:rFonts w:ascii="Garamond" w:hAnsi="Garamond"/>
          <w:sz w:val="26"/>
          <w:szCs w:val="26"/>
        </w:rPr>
        <w:t xml:space="preserve">come possibili motivi di esclusione </w:t>
      </w:r>
      <w:r w:rsidR="00F5760E">
        <w:rPr>
          <w:rFonts w:ascii="Garamond" w:hAnsi="Garamond"/>
          <w:sz w:val="26"/>
          <w:szCs w:val="26"/>
        </w:rPr>
        <w:t>“</w:t>
      </w:r>
      <w:r w:rsidR="00910BAC" w:rsidRPr="00955A2A">
        <w:rPr>
          <w:rFonts w:ascii="Garamond" w:hAnsi="Garamond"/>
          <w:sz w:val="26"/>
          <w:szCs w:val="26"/>
        </w:rPr>
        <w:t>relativa”</w:t>
      </w:r>
      <w:r w:rsidR="00F5760E">
        <w:rPr>
          <w:rFonts w:ascii="Garamond" w:hAnsi="Garamond"/>
          <w:sz w:val="26"/>
          <w:szCs w:val="26"/>
        </w:rPr>
        <w:t xml:space="preserve"> e</w:t>
      </w:r>
      <w:r w:rsidR="00910BAC" w:rsidRPr="00955A2A">
        <w:rPr>
          <w:rFonts w:ascii="Garamond" w:hAnsi="Garamond"/>
          <w:sz w:val="26"/>
          <w:szCs w:val="26"/>
        </w:rPr>
        <w:t xml:space="preserve"> per i quali</w:t>
      </w:r>
      <w:r w:rsidR="00955A2A">
        <w:rPr>
          <w:rFonts w:ascii="Garamond" w:hAnsi="Garamond"/>
          <w:sz w:val="26"/>
          <w:szCs w:val="26"/>
        </w:rPr>
        <w:t xml:space="preserve"> </w:t>
      </w:r>
      <w:r w:rsidR="00955A2A" w:rsidRPr="00955A2A">
        <w:rPr>
          <w:rFonts w:ascii="Garamond" w:hAnsi="Garamond"/>
          <w:sz w:val="26"/>
          <w:szCs w:val="26"/>
        </w:rPr>
        <w:t xml:space="preserve">il legislatore </w:t>
      </w:r>
      <w:r w:rsidR="00955A2A">
        <w:rPr>
          <w:rFonts w:ascii="Garamond" w:hAnsi="Garamond"/>
          <w:sz w:val="26"/>
          <w:szCs w:val="26"/>
        </w:rPr>
        <w:t>richiede</w:t>
      </w:r>
      <w:r w:rsidR="00F5760E">
        <w:rPr>
          <w:rFonts w:ascii="Garamond" w:hAnsi="Garamond"/>
          <w:sz w:val="26"/>
          <w:szCs w:val="26"/>
        </w:rPr>
        <w:t xml:space="preserve"> </w:t>
      </w:r>
      <w:r w:rsidR="00955A2A">
        <w:rPr>
          <w:rFonts w:ascii="Garamond" w:hAnsi="Garamond"/>
          <w:sz w:val="26"/>
          <w:szCs w:val="26"/>
        </w:rPr>
        <w:t xml:space="preserve">la </w:t>
      </w:r>
      <w:r w:rsidR="00955A2A" w:rsidRPr="00955A2A">
        <w:rPr>
          <w:rFonts w:ascii="Garamond" w:hAnsi="Garamond"/>
          <w:sz w:val="26"/>
          <w:szCs w:val="26"/>
        </w:rPr>
        <w:t>ponderazione</w:t>
      </w:r>
      <w:r w:rsidR="00955A2A">
        <w:rPr>
          <w:rFonts w:ascii="Garamond" w:hAnsi="Garamond"/>
          <w:sz w:val="26"/>
          <w:szCs w:val="26"/>
        </w:rPr>
        <w:t xml:space="preserve">, volta per volta, </w:t>
      </w:r>
      <w:r w:rsidR="00955A2A" w:rsidRPr="00955A2A">
        <w:rPr>
          <w:rFonts w:ascii="Garamond" w:hAnsi="Garamond"/>
          <w:sz w:val="26"/>
          <w:szCs w:val="26"/>
        </w:rPr>
        <w:t xml:space="preserve">degli interessi in gioco </w:t>
      </w:r>
      <w:r w:rsidR="00955A2A">
        <w:rPr>
          <w:rFonts w:ascii="Garamond" w:hAnsi="Garamond"/>
          <w:sz w:val="26"/>
          <w:szCs w:val="26"/>
        </w:rPr>
        <w:t xml:space="preserve">sulla base del criterio </w:t>
      </w:r>
      <w:r w:rsidR="00955A2A" w:rsidRPr="00955A2A">
        <w:rPr>
          <w:rFonts w:ascii="Garamond" w:hAnsi="Garamond"/>
          <w:sz w:val="26"/>
          <w:szCs w:val="26"/>
        </w:rPr>
        <w:t>del “pregiudizio concreto” (</w:t>
      </w:r>
      <w:r w:rsidR="00955A2A" w:rsidRPr="00955A2A">
        <w:rPr>
          <w:rFonts w:ascii="Garamond" w:hAnsi="Garamond"/>
          <w:i/>
          <w:sz w:val="26"/>
          <w:szCs w:val="26"/>
        </w:rPr>
        <w:t>“se il diniego è necessario per evitare un pregiudizio concreto alla tutela …</w:t>
      </w:r>
      <w:r w:rsidR="00955A2A" w:rsidRPr="00955A2A">
        <w:rPr>
          <w:rFonts w:ascii="Garamond" w:hAnsi="Garamond"/>
          <w:sz w:val="26"/>
          <w:szCs w:val="26"/>
        </w:rPr>
        <w:t>”)</w:t>
      </w:r>
      <w:r w:rsidR="00F5760E">
        <w:rPr>
          <w:rFonts w:ascii="Garamond" w:hAnsi="Garamond"/>
          <w:sz w:val="26"/>
          <w:szCs w:val="26"/>
        </w:rPr>
        <w:t>.</w:t>
      </w:r>
    </w:p>
    <w:p w14:paraId="08CC0E9E" w14:textId="20C46602" w:rsidR="00955A2A" w:rsidRDefault="00955A2A" w:rsidP="00955A2A">
      <w:pPr>
        <w:pStyle w:val="Standard"/>
        <w:spacing w:line="360" w:lineRule="auto"/>
        <w:ind w:left="567" w:right="567"/>
        <w:jc w:val="both"/>
        <w:rPr>
          <w:rFonts w:ascii="Garamond" w:hAnsi="Garamond"/>
          <w:sz w:val="26"/>
          <w:szCs w:val="26"/>
          <w:lang w:val="it-IT"/>
        </w:rPr>
      </w:pPr>
      <w:r>
        <w:rPr>
          <w:rFonts w:ascii="Garamond" w:hAnsi="Garamond"/>
          <w:sz w:val="26"/>
          <w:szCs w:val="26"/>
        </w:rPr>
        <w:tab/>
        <w:t>D</w:t>
      </w:r>
      <w:r w:rsidRPr="00955A2A">
        <w:rPr>
          <w:rFonts w:ascii="Garamond" w:hAnsi="Garamond"/>
          <w:sz w:val="26"/>
          <w:szCs w:val="26"/>
          <w:lang w:val="it-IT"/>
        </w:rPr>
        <w:t xml:space="preserve">i qui la </w:t>
      </w:r>
      <w:r w:rsidR="00362159">
        <w:rPr>
          <w:rFonts w:ascii="Garamond" w:hAnsi="Garamond"/>
          <w:sz w:val="26"/>
          <w:szCs w:val="26"/>
          <w:lang w:val="it-IT"/>
        </w:rPr>
        <w:t xml:space="preserve">conclusione su cui convergono </w:t>
      </w:r>
      <w:r w:rsidRPr="00955A2A">
        <w:rPr>
          <w:rFonts w:ascii="Garamond" w:hAnsi="Garamond"/>
          <w:sz w:val="26"/>
          <w:szCs w:val="26"/>
          <w:lang w:val="it-IT"/>
        </w:rPr>
        <w:t>gli interpreti</w:t>
      </w:r>
      <w:r w:rsidR="00362159">
        <w:rPr>
          <w:rFonts w:ascii="Garamond" w:hAnsi="Garamond"/>
          <w:sz w:val="26"/>
          <w:szCs w:val="26"/>
          <w:lang w:val="it-IT"/>
        </w:rPr>
        <w:t>, secondo la quale</w:t>
      </w:r>
      <w:r w:rsidR="008C34F0" w:rsidRPr="00955A2A">
        <w:rPr>
          <w:rFonts w:ascii="Garamond" w:hAnsi="Garamond"/>
          <w:sz w:val="26"/>
          <w:szCs w:val="26"/>
          <w:lang w:val="it-IT"/>
        </w:rPr>
        <w:t>, nonostante il richiamo testuale a</w:t>
      </w:r>
      <w:r>
        <w:rPr>
          <w:rFonts w:ascii="Garamond" w:hAnsi="Garamond"/>
          <w:sz w:val="26"/>
          <w:szCs w:val="26"/>
          <w:lang w:val="it-IT"/>
        </w:rPr>
        <w:t xml:space="preserve">ll’intero </w:t>
      </w:r>
      <w:r w:rsidR="008C34F0" w:rsidRPr="00955A2A">
        <w:rPr>
          <w:rFonts w:ascii="Garamond" w:hAnsi="Garamond"/>
          <w:sz w:val="26"/>
          <w:szCs w:val="26"/>
          <w:lang w:val="it-IT"/>
        </w:rPr>
        <w:t xml:space="preserve">art. 24, </w:t>
      </w:r>
      <w:r w:rsidR="008C34F0" w:rsidRPr="008C34F0">
        <w:rPr>
          <w:rFonts w:ascii="Garamond" w:hAnsi="Garamond"/>
          <w:sz w:val="26"/>
          <w:szCs w:val="26"/>
          <w:lang w:val="it-IT"/>
        </w:rPr>
        <w:t xml:space="preserve">comma 1, </w:t>
      </w:r>
      <w:r>
        <w:rPr>
          <w:rFonts w:ascii="Garamond" w:hAnsi="Garamond"/>
          <w:sz w:val="26"/>
          <w:szCs w:val="26"/>
          <w:lang w:val="it-IT"/>
        </w:rPr>
        <w:t>l</w:t>
      </w:r>
      <w:r w:rsidR="008C34F0" w:rsidRPr="008C34F0">
        <w:rPr>
          <w:rFonts w:ascii="Garamond" w:hAnsi="Garamond"/>
          <w:sz w:val="26"/>
          <w:szCs w:val="26"/>
          <w:lang w:val="it-IT"/>
        </w:rPr>
        <w:t xml:space="preserve">. </w:t>
      </w:r>
      <w:r w:rsidR="00F5760E">
        <w:rPr>
          <w:rFonts w:ascii="Garamond" w:hAnsi="Garamond"/>
          <w:sz w:val="26"/>
          <w:szCs w:val="26"/>
          <w:lang w:val="it-IT"/>
        </w:rPr>
        <w:t xml:space="preserve">n. </w:t>
      </w:r>
      <w:r w:rsidR="008C34F0" w:rsidRPr="008C34F0">
        <w:rPr>
          <w:rFonts w:ascii="Garamond" w:hAnsi="Garamond"/>
          <w:sz w:val="26"/>
          <w:szCs w:val="26"/>
          <w:lang w:val="it-IT"/>
        </w:rPr>
        <w:t>241</w:t>
      </w:r>
      <w:r>
        <w:rPr>
          <w:rFonts w:ascii="Garamond" w:hAnsi="Garamond"/>
          <w:sz w:val="26"/>
          <w:szCs w:val="26"/>
          <w:lang w:val="it-IT"/>
        </w:rPr>
        <w:t xml:space="preserve"> del </w:t>
      </w:r>
      <w:r w:rsidR="00F5760E">
        <w:rPr>
          <w:rFonts w:ascii="Garamond" w:hAnsi="Garamond"/>
          <w:sz w:val="26"/>
          <w:szCs w:val="26"/>
          <w:lang w:val="it-IT"/>
        </w:rPr>
        <w:t>19</w:t>
      </w:r>
      <w:r w:rsidR="008C34F0" w:rsidRPr="008C34F0">
        <w:rPr>
          <w:rFonts w:ascii="Garamond" w:hAnsi="Garamond"/>
          <w:sz w:val="26"/>
          <w:szCs w:val="26"/>
          <w:lang w:val="it-IT"/>
        </w:rPr>
        <w:t>90, non po</w:t>
      </w:r>
      <w:r>
        <w:rPr>
          <w:rFonts w:ascii="Garamond" w:hAnsi="Garamond"/>
          <w:sz w:val="26"/>
          <w:szCs w:val="26"/>
          <w:lang w:val="it-IT"/>
        </w:rPr>
        <w:t>tranno</w:t>
      </w:r>
      <w:r w:rsidR="008C34F0" w:rsidRPr="008C34F0">
        <w:rPr>
          <w:rFonts w:ascii="Garamond" w:hAnsi="Garamond"/>
          <w:sz w:val="26"/>
          <w:szCs w:val="26"/>
          <w:lang w:val="it-IT"/>
        </w:rPr>
        <w:t xml:space="preserve"> costituire eccezioni </w:t>
      </w:r>
      <w:r>
        <w:rPr>
          <w:rFonts w:ascii="Garamond" w:hAnsi="Garamond"/>
          <w:sz w:val="26"/>
          <w:szCs w:val="26"/>
          <w:lang w:val="it-IT"/>
        </w:rPr>
        <w:t>“</w:t>
      </w:r>
      <w:r w:rsidR="008C34F0" w:rsidRPr="008C34F0">
        <w:rPr>
          <w:rFonts w:ascii="Garamond" w:hAnsi="Garamond"/>
          <w:sz w:val="26"/>
          <w:szCs w:val="26"/>
          <w:lang w:val="it-IT"/>
        </w:rPr>
        <w:t xml:space="preserve">assolute” ai sensi dell’art. 5-bis, comma 3, D.Lgs. 33/2013 le limitazioni all’accesso riguardanti gli interessi previsti dall’art. 24, comma 6, </w:t>
      </w:r>
      <w:r>
        <w:rPr>
          <w:rFonts w:ascii="Garamond" w:hAnsi="Garamond"/>
          <w:sz w:val="26"/>
          <w:szCs w:val="26"/>
          <w:lang w:val="it-IT"/>
        </w:rPr>
        <w:t>l</w:t>
      </w:r>
      <w:r w:rsidR="008C34F0" w:rsidRPr="008C34F0">
        <w:rPr>
          <w:rFonts w:ascii="Garamond" w:hAnsi="Garamond"/>
          <w:sz w:val="26"/>
          <w:szCs w:val="26"/>
          <w:lang w:val="it-IT"/>
        </w:rPr>
        <w:t xml:space="preserve">. </w:t>
      </w:r>
      <w:r>
        <w:rPr>
          <w:rFonts w:ascii="Garamond" w:hAnsi="Garamond"/>
          <w:sz w:val="26"/>
          <w:szCs w:val="26"/>
          <w:lang w:val="it-IT"/>
        </w:rPr>
        <w:t xml:space="preserve">n. </w:t>
      </w:r>
      <w:r w:rsidR="008C34F0" w:rsidRPr="008C34F0">
        <w:rPr>
          <w:rFonts w:ascii="Garamond" w:hAnsi="Garamond"/>
          <w:sz w:val="26"/>
          <w:szCs w:val="26"/>
          <w:lang w:val="it-IT"/>
        </w:rPr>
        <w:t>241</w:t>
      </w:r>
      <w:r>
        <w:rPr>
          <w:rFonts w:ascii="Garamond" w:hAnsi="Garamond"/>
          <w:sz w:val="26"/>
          <w:szCs w:val="26"/>
          <w:lang w:val="it-IT"/>
        </w:rPr>
        <w:t xml:space="preserve"> del </w:t>
      </w:r>
      <w:r w:rsidR="008C34F0" w:rsidRPr="008C34F0">
        <w:rPr>
          <w:rFonts w:ascii="Garamond" w:hAnsi="Garamond"/>
          <w:sz w:val="26"/>
          <w:szCs w:val="26"/>
          <w:lang w:val="it-IT"/>
        </w:rPr>
        <w:t>90</w:t>
      </w:r>
      <w:r>
        <w:rPr>
          <w:rFonts w:ascii="Garamond" w:hAnsi="Garamond"/>
          <w:sz w:val="26"/>
          <w:szCs w:val="26"/>
          <w:lang w:val="it-IT"/>
        </w:rPr>
        <w:t>.</w:t>
      </w:r>
      <w:r w:rsidR="008C34F0" w:rsidRPr="008C34F0">
        <w:rPr>
          <w:rFonts w:ascii="Garamond" w:hAnsi="Garamond"/>
          <w:sz w:val="26"/>
          <w:szCs w:val="26"/>
          <w:lang w:val="it-IT"/>
        </w:rPr>
        <w:t xml:space="preserve"> </w:t>
      </w:r>
    </w:p>
    <w:p w14:paraId="264D12D4" w14:textId="416F435A" w:rsidR="00FF79B8" w:rsidRDefault="00955A2A" w:rsidP="00FF79B8">
      <w:pPr>
        <w:pStyle w:val="Standard"/>
        <w:spacing w:line="360" w:lineRule="auto"/>
        <w:ind w:left="567" w:right="567"/>
        <w:jc w:val="both"/>
        <w:rPr>
          <w:rFonts w:ascii="Garamond" w:hAnsi="Garamond"/>
          <w:sz w:val="26"/>
          <w:szCs w:val="26"/>
          <w:lang w:val="it-IT"/>
        </w:rPr>
      </w:pPr>
      <w:r>
        <w:rPr>
          <w:rFonts w:ascii="Garamond" w:hAnsi="Garamond"/>
          <w:sz w:val="26"/>
          <w:szCs w:val="26"/>
          <w:lang w:val="it-IT"/>
        </w:rPr>
        <w:tab/>
        <w:t xml:space="preserve">Tesi che, </w:t>
      </w:r>
      <w:r w:rsidR="00F0290D">
        <w:rPr>
          <w:rFonts w:ascii="Garamond" w:hAnsi="Garamond"/>
          <w:sz w:val="26"/>
          <w:szCs w:val="26"/>
          <w:lang w:val="it-IT"/>
        </w:rPr>
        <w:t xml:space="preserve">oltre </w:t>
      </w:r>
      <w:r>
        <w:rPr>
          <w:rFonts w:ascii="Garamond" w:hAnsi="Garamond"/>
          <w:sz w:val="26"/>
          <w:szCs w:val="26"/>
          <w:lang w:val="it-IT"/>
        </w:rPr>
        <w:t>che su</w:t>
      </w:r>
      <w:r w:rsidR="00F0290D">
        <w:rPr>
          <w:rFonts w:ascii="Garamond" w:hAnsi="Garamond"/>
          <w:sz w:val="26"/>
          <w:szCs w:val="26"/>
          <w:lang w:val="it-IT"/>
        </w:rPr>
        <w:t>l</w:t>
      </w:r>
      <w:r>
        <w:rPr>
          <w:rFonts w:ascii="Garamond" w:hAnsi="Garamond"/>
          <w:sz w:val="26"/>
          <w:szCs w:val="26"/>
          <w:lang w:val="it-IT"/>
        </w:rPr>
        <w:t xml:space="preserve"> </w:t>
      </w:r>
      <w:r w:rsidR="00F0290D">
        <w:rPr>
          <w:rFonts w:ascii="Garamond" w:hAnsi="Garamond"/>
          <w:sz w:val="26"/>
          <w:szCs w:val="26"/>
          <w:lang w:val="it-IT"/>
        </w:rPr>
        <w:t xml:space="preserve">piano </w:t>
      </w:r>
      <w:r>
        <w:rPr>
          <w:rFonts w:ascii="Garamond" w:hAnsi="Garamond"/>
          <w:sz w:val="26"/>
          <w:szCs w:val="26"/>
          <w:lang w:val="it-IT"/>
        </w:rPr>
        <w:t>letterale (</w:t>
      </w:r>
      <w:r w:rsidRPr="008C34F0">
        <w:rPr>
          <w:rFonts w:ascii="Garamond" w:hAnsi="Garamond"/>
          <w:sz w:val="26"/>
          <w:szCs w:val="26"/>
          <w:lang w:val="it-IT"/>
        </w:rPr>
        <w:t xml:space="preserve">l’art. 5-bis, comma 3, </w:t>
      </w:r>
      <w:r>
        <w:rPr>
          <w:rFonts w:ascii="Garamond" w:hAnsi="Garamond"/>
          <w:sz w:val="26"/>
          <w:szCs w:val="26"/>
          <w:lang w:val="it-IT"/>
        </w:rPr>
        <w:t>d</w:t>
      </w:r>
      <w:r w:rsidRPr="008C34F0">
        <w:rPr>
          <w:rFonts w:ascii="Garamond" w:hAnsi="Garamond"/>
          <w:sz w:val="26"/>
          <w:szCs w:val="26"/>
          <w:lang w:val="it-IT"/>
        </w:rPr>
        <w:t>.</w:t>
      </w:r>
      <w:r>
        <w:rPr>
          <w:rFonts w:ascii="Garamond" w:hAnsi="Garamond"/>
          <w:sz w:val="26"/>
          <w:szCs w:val="26"/>
          <w:lang w:val="it-IT"/>
        </w:rPr>
        <w:t>l</w:t>
      </w:r>
      <w:r w:rsidRPr="008C34F0">
        <w:rPr>
          <w:rFonts w:ascii="Garamond" w:hAnsi="Garamond"/>
          <w:sz w:val="26"/>
          <w:szCs w:val="26"/>
          <w:lang w:val="it-IT"/>
        </w:rPr>
        <w:t>gs. 33</w:t>
      </w:r>
      <w:r>
        <w:rPr>
          <w:rFonts w:ascii="Garamond" w:hAnsi="Garamond"/>
          <w:sz w:val="26"/>
          <w:szCs w:val="26"/>
          <w:lang w:val="it-IT"/>
        </w:rPr>
        <w:t xml:space="preserve"> del </w:t>
      </w:r>
      <w:r w:rsidRPr="008C34F0">
        <w:rPr>
          <w:rFonts w:ascii="Garamond" w:hAnsi="Garamond"/>
          <w:sz w:val="26"/>
          <w:szCs w:val="26"/>
          <w:lang w:val="it-IT"/>
        </w:rPr>
        <w:t>2013 richiam</w:t>
      </w:r>
      <w:r w:rsidR="00F0290D">
        <w:rPr>
          <w:rFonts w:ascii="Garamond" w:hAnsi="Garamond"/>
          <w:sz w:val="26"/>
          <w:szCs w:val="26"/>
          <w:lang w:val="it-IT"/>
        </w:rPr>
        <w:t>a</w:t>
      </w:r>
      <w:r w:rsidRPr="008C34F0">
        <w:rPr>
          <w:rFonts w:ascii="Garamond" w:hAnsi="Garamond"/>
          <w:sz w:val="26"/>
          <w:szCs w:val="26"/>
          <w:lang w:val="it-IT"/>
        </w:rPr>
        <w:t xml:space="preserve"> soltanto il comma 1 dell’art. 24 e non anche il comma 6</w:t>
      </w:r>
      <w:r>
        <w:rPr>
          <w:rFonts w:ascii="Garamond" w:hAnsi="Garamond"/>
          <w:sz w:val="26"/>
          <w:szCs w:val="26"/>
          <w:lang w:val="it-IT"/>
        </w:rPr>
        <w:t xml:space="preserve">, sì che </w:t>
      </w:r>
      <w:r w:rsidRPr="008C34F0">
        <w:rPr>
          <w:rFonts w:ascii="Garamond" w:hAnsi="Garamond"/>
          <w:i/>
          <w:sz w:val="26"/>
          <w:szCs w:val="26"/>
          <w:lang w:val="it-IT"/>
        </w:rPr>
        <w:t>ubi voluit dixit</w:t>
      </w:r>
      <w:r>
        <w:rPr>
          <w:rFonts w:ascii="Garamond" w:hAnsi="Garamond"/>
          <w:iCs/>
          <w:sz w:val="26"/>
          <w:szCs w:val="26"/>
          <w:lang w:val="it-IT"/>
        </w:rPr>
        <w:t xml:space="preserve"> </w:t>
      </w:r>
      <w:r w:rsidRPr="008C34F0">
        <w:rPr>
          <w:rFonts w:ascii="Garamond" w:hAnsi="Garamond"/>
          <w:sz w:val="26"/>
          <w:szCs w:val="26"/>
          <w:lang w:val="it-IT"/>
        </w:rPr>
        <w:t xml:space="preserve">), </w:t>
      </w:r>
      <w:r w:rsidR="00186951">
        <w:rPr>
          <w:rFonts w:ascii="Garamond" w:hAnsi="Garamond"/>
          <w:sz w:val="26"/>
          <w:szCs w:val="26"/>
          <w:lang w:val="it-IT"/>
        </w:rPr>
        <w:t xml:space="preserve">si fonda su argomentazioni di carattere logico-sistematico, che impongono di tenere </w:t>
      </w:r>
      <w:r w:rsidR="008C34F0" w:rsidRPr="008C34F0">
        <w:rPr>
          <w:rFonts w:ascii="Garamond" w:hAnsi="Garamond"/>
          <w:sz w:val="26"/>
          <w:szCs w:val="26"/>
          <w:lang w:val="it-IT"/>
        </w:rPr>
        <w:t>conto della successione delle leggi nel tempo</w:t>
      </w:r>
      <w:r w:rsidR="00186951">
        <w:rPr>
          <w:rFonts w:ascii="Garamond" w:hAnsi="Garamond"/>
          <w:sz w:val="26"/>
          <w:szCs w:val="26"/>
          <w:lang w:val="it-IT"/>
        </w:rPr>
        <w:t xml:space="preserve"> e della semplice constatazione che </w:t>
      </w:r>
      <w:r w:rsidR="008C34F0" w:rsidRPr="008C34F0">
        <w:rPr>
          <w:rFonts w:ascii="Garamond" w:hAnsi="Garamond"/>
          <w:sz w:val="26"/>
          <w:szCs w:val="26"/>
          <w:lang w:val="it-IT"/>
        </w:rPr>
        <w:t xml:space="preserve">una diversa interpretazione finirebbe per </w:t>
      </w:r>
      <w:r w:rsidR="00FF79B8">
        <w:rPr>
          <w:rFonts w:ascii="Garamond" w:hAnsi="Garamond"/>
          <w:sz w:val="26"/>
          <w:szCs w:val="26"/>
          <w:lang w:val="it-IT"/>
        </w:rPr>
        <w:t xml:space="preserve">vanificare gran parte </w:t>
      </w:r>
      <w:r w:rsidR="00F5760E">
        <w:rPr>
          <w:rFonts w:ascii="Garamond" w:hAnsi="Garamond"/>
          <w:sz w:val="26"/>
          <w:szCs w:val="26"/>
          <w:lang w:val="it-IT"/>
        </w:rPr>
        <w:t>de</w:t>
      </w:r>
      <w:r w:rsidR="00FF79B8">
        <w:rPr>
          <w:rFonts w:ascii="Garamond" w:hAnsi="Garamond"/>
          <w:sz w:val="26"/>
          <w:szCs w:val="26"/>
          <w:lang w:val="it-IT"/>
        </w:rPr>
        <w:t xml:space="preserve">l sistema di limitazioni “relative” </w:t>
      </w:r>
      <w:r w:rsidR="008C34F0" w:rsidRPr="008C34F0">
        <w:rPr>
          <w:rFonts w:ascii="Garamond" w:hAnsi="Garamond"/>
          <w:sz w:val="26"/>
          <w:szCs w:val="26"/>
          <w:lang w:val="it-IT"/>
        </w:rPr>
        <w:lastRenderedPageBreak/>
        <w:t xml:space="preserve">dell’accesso generalizzato </w:t>
      </w:r>
      <w:r w:rsidR="00FF79B8">
        <w:rPr>
          <w:rFonts w:ascii="Garamond" w:hAnsi="Garamond"/>
          <w:sz w:val="26"/>
          <w:szCs w:val="26"/>
          <w:lang w:val="it-IT"/>
        </w:rPr>
        <w:t xml:space="preserve">architettato dalla riforma del 2016 </w:t>
      </w:r>
      <w:r w:rsidR="00FF79B8" w:rsidRPr="009620DF">
        <w:rPr>
          <w:rStyle w:val="Rimandonotaapidipagina"/>
          <w:rFonts w:ascii="Garamond" w:hAnsi="Garamond" w:cs="Times New Roman"/>
          <w:color w:val="000000" w:themeColor="text1"/>
          <w:sz w:val="26"/>
          <w:szCs w:val="26"/>
        </w:rPr>
        <w:footnoteReference w:id="22"/>
      </w:r>
      <w:r w:rsidR="00FF79B8">
        <w:rPr>
          <w:rFonts w:ascii="Garamond" w:hAnsi="Garamond"/>
          <w:sz w:val="26"/>
          <w:szCs w:val="26"/>
          <w:lang w:val="it-IT"/>
        </w:rPr>
        <w:t>.</w:t>
      </w:r>
    </w:p>
    <w:p w14:paraId="3ADCA22F" w14:textId="77777777" w:rsidR="00B81313" w:rsidRDefault="00B81313" w:rsidP="00B81313">
      <w:pPr>
        <w:spacing w:line="360" w:lineRule="auto"/>
        <w:ind w:left="567" w:right="567"/>
        <w:jc w:val="both"/>
        <w:rPr>
          <w:rFonts w:ascii="Garamond" w:hAnsi="Garamond" w:cs="Times New Roman"/>
          <w:b/>
          <w:bCs/>
          <w:color w:val="000000" w:themeColor="text1"/>
          <w:sz w:val="26"/>
          <w:szCs w:val="26"/>
        </w:rPr>
      </w:pPr>
    </w:p>
    <w:p w14:paraId="64886D6A" w14:textId="7A16B87B" w:rsidR="00B81313" w:rsidRPr="008C34F0" w:rsidRDefault="00D0302C" w:rsidP="00B81313">
      <w:pPr>
        <w:spacing w:line="360" w:lineRule="auto"/>
        <w:ind w:left="567" w:right="567"/>
        <w:jc w:val="both"/>
        <w:rPr>
          <w:rFonts w:ascii="Garamond" w:hAnsi="Garamond"/>
          <w:b/>
          <w:bCs/>
          <w:color w:val="000000"/>
          <w:sz w:val="26"/>
          <w:szCs w:val="26"/>
        </w:rPr>
      </w:pPr>
      <w:r w:rsidRPr="008C34F0">
        <w:rPr>
          <w:rFonts w:ascii="Garamond" w:hAnsi="Garamond" w:cs="Times New Roman"/>
          <w:b/>
          <w:bCs/>
          <w:color w:val="000000" w:themeColor="text1"/>
          <w:sz w:val="26"/>
          <w:szCs w:val="26"/>
        </w:rPr>
        <w:t xml:space="preserve">5. </w:t>
      </w:r>
      <w:r w:rsidR="00B81313">
        <w:rPr>
          <w:rFonts w:ascii="Garamond" w:hAnsi="Garamond" w:cs="Times New Roman"/>
          <w:b/>
          <w:bCs/>
          <w:color w:val="000000" w:themeColor="text1"/>
          <w:sz w:val="26"/>
          <w:szCs w:val="26"/>
        </w:rPr>
        <w:t xml:space="preserve">I regolamenti amministrativi </w:t>
      </w:r>
      <w:r w:rsidR="008C78AF">
        <w:rPr>
          <w:rFonts w:ascii="Garamond" w:hAnsi="Garamond" w:cs="Times New Roman"/>
          <w:b/>
          <w:bCs/>
          <w:color w:val="000000" w:themeColor="text1"/>
          <w:sz w:val="26"/>
          <w:szCs w:val="26"/>
        </w:rPr>
        <w:t xml:space="preserve">delle singole Amministrazioni </w:t>
      </w:r>
      <w:r w:rsidR="00B81313">
        <w:rPr>
          <w:rFonts w:ascii="Garamond" w:hAnsi="Garamond" w:cs="Times New Roman"/>
          <w:b/>
          <w:bCs/>
          <w:color w:val="000000" w:themeColor="text1"/>
          <w:sz w:val="26"/>
          <w:szCs w:val="26"/>
        </w:rPr>
        <w:t>ex art. 24, comma 2, legge n. 241 del 1990.</w:t>
      </w:r>
    </w:p>
    <w:p w14:paraId="28D41D04" w14:textId="4F13381C" w:rsidR="00BF457D" w:rsidRDefault="00902440" w:rsidP="00F0290D">
      <w:pPr>
        <w:spacing w:line="360" w:lineRule="auto"/>
        <w:ind w:left="567" w:right="567" w:firstLine="141"/>
        <w:jc w:val="both"/>
        <w:rPr>
          <w:rFonts w:ascii="Garamond" w:hAnsi="Garamond"/>
          <w:color w:val="000000"/>
          <w:sz w:val="26"/>
          <w:szCs w:val="26"/>
        </w:rPr>
      </w:pPr>
      <w:r>
        <w:rPr>
          <w:rFonts w:ascii="Garamond" w:hAnsi="Garamond" w:cs="Times New Roman"/>
          <w:color w:val="000000" w:themeColor="text1"/>
          <w:sz w:val="26"/>
          <w:szCs w:val="26"/>
        </w:rPr>
        <w:t>A</w:t>
      </w:r>
      <w:r w:rsidR="00BF457D">
        <w:rPr>
          <w:rFonts w:ascii="Garamond" w:hAnsi="Garamond" w:cs="Times New Roman"/>
          <w:color w:val="000000" w:themeColor="text1"/>
          <w:sz w:val="26"/>
          <w:szCs w:val="26"/>
        </w:rPr>
        <w:t>ltre e</w:t>
      </w:r>
      <w:r w:rsidR="00F43876">
        <w:rPr>
          <w:rFonts w:ascii="Garamond" w:hAnsi="Garamond" w:cs="Times New Roman"/>
          <w:color w:val="000000" w:themeColor="text1"/>
          <w:sz w:val="26"/>
          <w:szCs w:val="26"/>
        </w:rPr>
        <w:t>d</w:t>
      </w:r>
      <w:r w:rsidR="00633492">
        <w:rPr>
          <w:rFonts w:ascii="Garamond" w:hAnsi="Garamond" w:cs="Times New Roman"/>
          <w:color w:val="000000" w:themeColor="text1"/>
          <w:sz w:val="26"/>
          <w:szCs w:val="26"/>
        </w:rPr>
        <w:t xml:space="preserve"> anc</w:t>
      </w:r>
      <w:r w:rsidR="00F5760E">
        <w:rPr>
          <w:rFonts w:ascii="Garamond" w:hAnsi="Garamond" w:cs="Times New Roman"/>
          <w:color w:val="000000" w:themeColor="text1"/>
          <w:sz w:val="26"/>
          <w:szCs w:val="26"/>
        </w:rPr>
        <w:t xml:space="preserve">he </w:t>
      </w:r>
      <w:r w:rsidR="00BF457D">
        <w:rPr>
          <w:rFonts w:ascii="Garamond" w:hAnsi="Garamond" w:cs="Times New Roman"/>
          <w:color w:val="000000" w:themeColor="text1"/>
          <w:sz w:val="26"/>
          <w:szCs w:val="26"/>
        </w:rPr>
        <w:t xml:space="preserve">più complesse </w:t>
      </w:r>
      <w:r w:rsidR="00F5760E">
        <w:rPr>
          <w:rFonts w:ascii="Garamond" w:hAnsi="Garamond" w:cs="Times New Roman"/>
          <w:color w:val="000000" w:themeColor="text1"/>
          <w:sz w:val="26"/>
          <w:szCs w:val="26"/>
        </w:rPr>
        <w:t xml:space="preserve">questioni </w:t>
      </w:r>
      <w:r w:rsidR="00F0290D">
        <w:rPr>
          <w:rFonts w:ascii="Garamond" w:hAnsi="Garamond" w:cs="Times New Roman"/>
          <w:color w:val="000000" w:themeColor="text1"/>
          <w:sz w:val="26"/>
          <w:szCs w:val="26"/>
        </w:rPr>
        <w:t xml:space="preserve">si </w:t>
      </w:r>
      <w:r w:rsidR="008C78AF">
        <w:rPr>
          <w:rFonts w:ascii="Garamond" w:hAnsi="Garamond" w:cs="Times New Roman"/>
          <w:color w:val="000000" w:themeColor="text1"/>
          <w:sz w:val="26"/>
          <w:szCs w:val="26"/>
        </w:rPr>
        <w:t>pon</w:t>
      </w:r>
      <w:r w:rsidR="00F0290D">
        <w:rPr>
          <w:rFonts w:ascii="Garamond" w:hAnsi="Garamond" w:cs="Times New Roman"/>
          <w:color w:val="000000" w:themeColor="text1"/>
          <w:sz w:val="26"/>
          <w:szCs w:val="26"/>
        </w:rPr>
        <w:t>gono</w:t>
      </w:r>
      <w:r w:rsidR="008C78AF">
        <w:rPr>
          <w:rFonts w:ascii="Garamond" w:hAnsi="Garamond" w:cs="Times New Roman"/>
          <w:color w:val="000000" w:themeColor="text1"/>
          <w:sz w:val="26"/>
          <w:szCs w:val="26"/>
        </w:rPr>
        <w:t xml:space="preserve"> </w:t>
      </w:r>
      <w:r w:rsidR="00F0290D">
        <w:rPr>
          <w:rFonts w:ascii="Garamond" w:hAnsi="Garamond" w:cs="Times New Roman"/>
          <w:color w:val="000000" w:themeColor="text1"/>
          <w:sz w:val="26"/>
          <w:szCs w:val="26"/>
        </w:rPr>
        <w:t xml:space="preserve">in relazione al rapporto tra </w:t>
      </w:r>
      <w:r w:rsidR="00CA4C5B">
        <w:rPr>
          <w:rFonts w:ascii="Garamond" w:hAnsi="Garamond" w:cs="Times New Roman"/>
          <w:color w:val="000000" w:themeColor="text1"/>
          <w:sz w:val="26"/>
          <w:szCs w:val="26"/>
        </w:rPr>
        <w:t xml:space="preserve">l’art. 5-bis, comma 3, d.lgs. n. 33 del 2013 </w:t>
      </w:r>
      <w:r w:rsidR="00F0290D">
        <w:rPr>
          <w:rFonts w:ascii="Garamond" w:hAnsi="Garamond" w:cs="Times New Roman"/>
          <w:color w:val="000000" w:themeColor="text1"/>
          <w:sz w:val="26"/>
          <w:szCs w:val="26"/>
        </w:rPr>
        <w:t xml:space="preserve">ed i </w:t>
      </w:r>
      <w:r w:rsidR="00BF457D" w:rsidRPr="00BF457D">
        <w:rPr>
          <w:rFonts w:ascii="Garamond" w:hAnsi="Garamond" w:cs="Times New Roman"/>
          <w:color w:val="000000" w:themeColor="text1"/>
          <w:sz w:val="26"/>
          <w:szCs w:val="26"/>
        </w:rPr>
        <w:t xml:space="preserve">casi </w:t>
      </w:r>
      <w:r w:rsidR="00BF457D" w:rsidRPr="00BF457D">
        <w:rPr>
          <w:rFonts w:ascii="Garamond" w:hAnsi="Garamond"/>
          <w:color w:val="000000"/>
          <w:sz w:val="26"/>
          <w:szCs w:val="26"/>
        </w:rPr>
        <w:t xml:space="preserve">di segreto o di divieto di divulgazione espressamente previsti dalle </w:t>
      </w:r>
      <w:r w:rsidR="00CA4C5B">
        <w:rPr>
          <w:rFonts w:ascii="Garamond" w:hAnsi="Garamond"/>
          <w:color w:val="000000"/>
          <w:sz w:val="26"/>
          <w:szCs w:val="26"/>
        </w:rPr>
        <w:t xml:space="preserve">singole </w:t>
      </w:r>
      <w:r w:rsidR="00CA4C5B" w:rsidRPr="008A5293">
        <w:rPr>
          <w:rFonts w:ascii="Garamond" w:hAnsi="Garamond"/>
          <w:color w:val="000000"/>
          <w:sz w:val="26"/>
          <w:szCs w:val="26"/>
        </w:rPr>
        <w:t xml:space="preserve">Amministrazioni </w:t>
      </w:r>
      <w:r w:rsidR="00BF457D" w:rsidRPr="008A5293">
        <w:rPr>
          <w:rFonts w:ascii="Garamond" w:hAnsi="Garamond"/>
          <w:color w:val="000000"/>
          <w:sz w:val="26"/>
          <w:szCs w:val="26"/>
        </w:rPr>
        <w:t xml:space="preserve">ai sensi del comma 2 dell’art. 24 </w:t>
      </w:r>
      <w:r w:rsidR="00CA4C5B" w:rsidRPr="008A5293">
        <w:rPr>
          <w:rFonts w:ascii="Garamond" w:hAnsi="Garamond"/>
          <w:color w:val="000000"/>
          <w:sz w:val="26"/>
          <w:szCs w:val="26"/>
        </w:rPr>
        <w:t xml:space="preserve">della </w:t>
      </w:r>
      <w:r w:rsidR="00BF457D" w:rsidRPr="008A5293">
        <w:rPr>
          <w:rFonts w:ascii="Garamond" w:hAnsi="Garamond"/>
          <w:color w:val="000000"/>
          <w:sz w:val="26"/>
          <w:szCs w:val="26"/>
        </w:rPr>
        <w:t>legge n. 241 del 1990</w:t>
      </w:r>
      <w:r w:rsidR="00633492">
        <w:rPr>
          <w:rFonts w:ascii="Garamond" w:hAnsi="Garamond"/>
          <w:color w:val="000000"/>
          <w:sz w:val="26"/>
          <w:szCs w:val="26"/>
        </w:rPr>
        <w:t xml:space="preserve"> </w:t>
      </w:r>
      <w:r w:rsidR="00633492" w:rsidRPr="009620DF">
        <w:rPr>
          <w:rStyle w:val="Rimandonotaapidipagina"/>
          <w:rFonts w:ascii="Garamond" w:hAnsi="Garamond" w:cs="Times New Roman"/>
          <w:color w:val="000000" w:themeColor="text1"/>
          <w:sz w:val="26"/>
          <w:szCs w:val="26"/>
        </w:rPr>
        <w:footnoteReference w:id="23"/>
      </w:r>
      <w:r w:rsidR="00BF457D" w:rsidRPr="008A5293">
        <w:rPr>
          <w:rFonts w:ascii="Garamond" w:hAnsi="Garamond"/>
          <w:color w:val="000000"/>
          <w:sz w:val="26"/>
          <w:szCs w:val="26"/>
        </w:rPr>
        <w:t>.</w:t>
      </w:r>
    </w:p>
    <w:p w14:paraId="2F5C74DF" w14:textId="2BDB4F8B" w:rsidR="00F0290D" w:rsidRDefault="00F0290D" w:rsidP="00F0290D">
      <w:pPr>
        <w:spacing w:line="360" w:lineRule="auto"/>
        <w:ind w:left="567" w:right="567" w:firstLine="141"/>
        <w:jc w:val="both"/>
        <w:rPr>
          <w:rFonts w:ascii="Garamond" w:hAnsi="Garamond"/>
          <w:color w:val="000000"/>
          <w:sz w:val="26"/>
          <w:szCs w:val="26"/>
        </w:rPr>
      </w:pPr>
      <w:r>
        <w:rPr>
          <w:rFonts w:ascii="Garamond" w:hAnsi="Garamond" w:cs="Times New Roman"/>
          <w:color w:val="000000" w:themeColor="text1"/>
          <w:sz w:val="26"/>
          <w:szCs w:val="26"/>
        </w:rPr>
        <w:t>Il che rende opportuna una breve digressione su quest’ultima disposizione.</w:t>
      </w:r>
    </w:p>
    <w:p w14:paraId="5F0BD2DB" w14:textId="52FEAED0" w:rsidR="00633492" w:rsidRDefault="00633492" w:rsidP="00633492">
      <w:pPr>
        <w:pStyle w:val="Standard"/>
        <w:spacing w:line="360" w:lineRule="auto"/>
        <w:ind w:left="567" w:right="567" w:firstLine="141"/>
        <w:jc w:val="both"/>
        <w:rPr>
          <w:rFonts w:ascii="Garamond" w:hAnsi="Garamond"/>
          <w:sz w:val="26"/>
          <w:szCs w:val="26"/>
          <w:lang w:val="it-IT"/>
        </w:rPr>
      </w:pPr>
      <w:r>
        <w:rPr>
          <w:rFonts w:ascii="Garamond" w:hAnsi="Garamond"/>
          <w:sz w:val="26"/>
          <w:szCs w:val="26"/>
          <w:lang w:val="it-IT"/>
        </w:rPr>
        <w:t xml:space="preserve">Come noto, </w:t>
      </w:r>
      <w:r w:rsidR="00F0290D">
        <w:rPr>
          <w:rFonts w:ascii="Garamond" w:hAnsi="Garamond"/>
          <w:sz w:val="26"/>
          <w:szCs w:val="26"/>
          <w:lang w:val="it-IT"/>
        </w:rPr>
        <w:t xml:space="preserve">essa </w:t>
      </w:r>
      <w:r w:rsidR="00F82E19" w:rsidRPr="00902440">
        <w:rPr>
          <w:rFonts w:ascii="Garamond" w:hAnsi="Garamond"/>
          <w:sz w:val="26"/>
          <w:szCs w:val="26"/>
          <w:lang w:val="it-IT"/>
        </w:rPr>
        <w:t>è stata introdotta dalla legge n. 15 del 2005</w:t>
      </w:r>
      <w:r w:rsidR="00902440">
        <w:rPr>
          <w:rFonts w:ascii="Garamond" w:hAnsi="Garamond"/>
          <w:sz w:val="26"/>
          <w:szCs w:val="26"/>
          <w:lang w:val="it-IT"/>
        </w:rPr>
        <w:t xml:space="preserve"> con l’intento di </w:t>
      </w:r>
      <w:r w:rsidR="00F82E19">
        <w:rPr>
          <w:rFonts w:ascii="Garamond" w:hAnsi="Garamond"/>
          <w:sz w:val="26"/>
          <w:szCs w:val="26"/>
          <w:lang w:val="it-IT"/>
        </w:rPr>
        <w:t xml:space="preserve">abbandonare </w:t>
      </w:r>
      <w:r>
        <w:rPr>
          <w:rFonts w:ascii="Garamond" w:hAnsi="Garamond"/>
          <w:sz w:val="26"/>
          <w:szCs w:val="26"/>
          <w:lang w:val="it-IT"/>
        </w:rPr>
        <w:t>que</w:t>
      </w:r>
      <w:r w:rsidR="00F82E19">
        <w:rPr>
          <w:rFonts w:ascii="Garamond" w:hAnsi="Garamond"/>
          <w:sz w:val="26"/>
          <w:szCs w:val="26"/>
          <w:lang w:val="it-IT"/>
        </w:rPr>
        <w:t xml:space="preserve">l sistema gerarchico “a cascata” delle fonti </w:t>
      </w:r>
      <w:r w:rsidR="00902440">
        <w:rPr>
          <w:rFonts w:ascii="Garamond" w:hAnsi="Garamond"/>
          <w:sz w:val="26"/>
          <w:szCs w:val="26"/>
          <w:lang w:val="it-IT"/>
        </w:rPr>
        <w:t xml:space="preserve">normative </w:t>
      </w:r>
      <w:r w:rsidR="008C78AF">
        <w:rPr>
          <w:rFonts w:ascii="Garamond" w:hAnsi="Garamond"/>
          <w:sz w:val="26"/>
          <w:szCs w:val="26"/>
          <w:lang w:val="it-IT"/>
        </w:rPr>
        <w:t xml:space="preserve">adottato </w:t>
      </w:r>
      <w:r w:rsidR="00902440">
        <w:rPr>
          <w:rFonts w:ascii="Garamond" w:hAnsi="Garamond"/>
          <w:sz w:val="26"/>
          <w:szCs w:val="26"/>
          <w:lang w:val="it-IT"/>
        </w:rPr>
        <w:t>d</w:t>
      </w:r>
      <w:r w:rsidR="00F82E19">
        <w:rPr>
          <w:rFonts w:ascii="Garamond" w:hAnsi="Garamond"/>
          <w:sz w:val="26"/>
          <w:szCs w:val="26"/>
          <w:lang w:val="it-IT"/>
        </w:rPr>
        <w:t>al</w:t>
      </w:r>
      <w:r w:rsidR="008C78AF">
        <w:rPr>
          <w:rFonts w:ascii="Garamond" w:hAnsi="Garamond"/>
          <w:sz w:val="26"/>
          <w:szCs w:val="26"/>
          <w:lang w:val="it-IT"/>
        </w:rPr>
        <w:t xml:space="preserve"> testo </w:t>
      </w:r>
      <w:r w:rsidR="00902440">
        <w:rPr>
          <w:rFonts w:ascii="Garamond" w:hAnsi="Garamond"/>
          <w:sz w:val="26"/>
          <w:szCs w:val="26"/>
          <w:lang w:val="it-IT"/>
        </w:rPr>
        <w:t xml:space="preserve">originario </w:t>
      </w:r>
      <w:r w:rsidR="008C78AF">
        <w:rPr>
          <w:rFonts w:ascii="Garamond" w:hAnsi="Garamond"/>
          <w:sz w:val="26"/>
          <w:szCs w:val="26"/>
          <w:lang w:val="it-IT"/>
        </w:rPr>
        <w:t>dell’</w:t>
      </w:r>
      <w:r w:rsidR="00F82E19">
        <w:rPr>
          <w:rFonts w:ascii="Garamond" w:hAnsi="Garamond"/>
          <w:sz w:val="26"/>
          <w:szCs w:val="26"/>
          <w:lang w:val="it-IT"/>
        </w:rPr>
        <w:t>art. 24 della legge n. 241 del 1990 (legge &gt; regolamento governativo &gt; regolamenti delle singole amministrazioni)</w:t>
      </w:r>
      <w:r>
        <w:rPr>
          <w:rFonts w:ascii="Garamond" w:hAnsi="Garamond"/>
          <w:sz w:val="26"/>
          <w:szCs w:val="26"/>
          <w:lang w:val="it-IT"/>
        </w:rPr>
        <w:t xml:space="preserve">, </w:t>
      </w:r>
      <w:r w:rsidR="008C78AF">
        <w:rPr>
          <w:rFonts w:ascii="Garamond" w:hAnsi="Garamond"/>
          <w:sz w:val="26"/>
          <w:szCs w:val="26"/>
          <w:lang w:val="it-IT"/>
        </w:rPr>
        <w:t>nell’ottica di una valorizzazione</w:t>
      </w:r>
      <w:r>
        <w:rPr>
          <w:rFonts w:ascii="Garamond" w:hAnsi="Garamond"/>
          <w:sz w:val="26"/>
          <w:szCs w:val="26"/>
          <w:lang w:val="it-IT"/>
        </w:rPr>
        <w:t xml:space="preserve"> </w:t>
      </w:r>
      <w:r w:rsidR="008C78AF">
        <w:rPr>
          <w:rFonts w:ascii="Garamond" w:hAnsi="Garamond"/>
          <w:sz w:val="26"/>
          <w:szCs w:val="26"/>
          <w:lang w:val="it-IT"/>
        </w:rPr>
        <w:t>del</w:t>
      </w:r>
      <w:r w:rsidR="00902440">
        <w:rPr>
          <w:rFonts w:ascii="Garamond" w:hAnsi="Garamond"/>
          <w:sz w:val="26"/>
          <w:szCs w:val="26"/>
          <w:lang w:val="it-IT"/>
        </w:rPr>
        <w:t>la potestà regola</w:t>
      </w:r>
      <w:r w:rsidR="008C78AF">
        <w:rPr>
          <w:rFonts w:ascii="Garamond" w:hAnsi="Garamond"/>
          <w:sz w:val="26"/>
          <w:szCs w:val="26"/>
          <w:lang w:val="it-IT"/>
        </w:rPr>
        <w:t xml:space="preserve">toria </w:t>
      </w:r>
      <w:r w:rsidR="00902440">
        <w:rPr>
          <w:rFonts w:ascii="Garamond" w:hAnsi="Garamond"/>
          <w:sz w:val="26"/>
          <w:szCs w:val="26"/>
          <w:lang w:val="it-IT"/>
        </w:rPr>
        <w:t>delle singole Amministrazioni</w:t>
      </w:r>
      <w:r>
        <w:rPr>
          <w:rFonts w:ascii="Garamond" w:hAnsi="Garamond"/>
          <w:sz w:val="26"/>
          <w:szCs w:val="26"/>
          <w:lang w:val="it-IT"/>
        </w:rPr>
        <w:t xml:space="preserve"> </w:t>
      </w:r>
      <w:r w:rsidR="00902440" w:rsidRPr="009620DF">
        <w:rPr>
          <w:rStyle w:val="Rimandonotaapidipagina"/>
          <w:rFonts w:ascii="Garamond" w:hAnsi="Garamond" w:cs="Times New Roman"/>
          <w:color w:val="000000" w:themeColor="text1"/>
          <w:sz w:val="26"/>
          <w:szCs w:val="26"/>
        </w:rPr>
        <w:footnoteReference w:id="24"/>
      </w:r>
      <w:r>
        <w:rPr>
          <w:rFonts w:ascii="Garamond" w:hAnsi="Garamond"/>
          <w:sz w:val="26"/>
          <w:szCs w:val="26"/>
          <w:lang w:val="it-IT"/>
        </w:rPr>
        <w:t xml:space="preserve">; intento </w:t>
      </w:r>
      <w:r>
        <w:rPr>
          <w:rFonts w:ascii="Garamond" w:hAnsi="Garamond"/>
          <w:sz w:val="26"/>
          <w:szCs w:val="26"/>
          <w:lang w:val="it-IT"/>
        </w:rPr>
        <w:lastRenderedPageBreak/>
        <w:t xml:space="preserve">occasionato, per quanto riguarda le Regioni e le Autonomie locali, </w:t>
      </w:r>
      <w:r w:rsidRPr="008A5293">
        <w:rPr>
          <w:rFonts w:ascii="Garamond" w:hAnsi="Garamond"/>
          <w:sz w:val="26"/>
          <w:szCs w:val="26"/>
          <w:lang w:val="it-IT"/>
        </w:rPr>
        <w:t>d</w:t>
      </w:r>
      <w:r>
        <w:rPr>
          <w:rFonts w:ascii="Garamond" w:hAnsi="Garamond"/>
          <w:sz w:val="26"/>
          <w:szCs w:val="26"/>
          <w:lang w:val="it-IT"/>
        </w:rPr>
        <w:t>a</w:t>
      </w:r>
      <w:r w:rsidRPr="008A5293">
        <w:rPr>
          <w:rFonts w:ascii="Garamond" w:hAnsi="Garamond"/>
          <w:sz w:val="26"/>
          <w:szCs w:val="26"/>
          <w:lang w:val="it-IT"/>
        </w:rPr>
        <w:t xml:space="preserve">lla riforma costituzionale </w:t>
      </w:r>
      <w:r>
        <w:rPr>
          <w:rFonts w:ascii="Garamond" w:hAnsi="Garamond"/>
          <w:sz w:val="26"/>
          <w:szCs w:val="26"/>
          <w:lang w:val="it-IT"/>
        </w:rPr>
        <w:t>approvata con la legge costituzionale n. 3 del</w:t>
      </w:r>
      <w:r w:rsidRPr="008A5293">
        <w:rPr>
          <w:rFonts w:ascii="Garamond" w:hAnsi="Garamond"/>
          <w:sz w:val="26"/>
          <w:szCs w:val="26"/>
          <w:lang w:val="it-IT"/>
        </w:rPr>
        <w:t xml:space="preserve"> 2001, modificativa degli artt. 117 e 118 Cost.</w:t>
      </w:r>
      <w:r>
        <w:rPr>
          <w:rFonts w:ascii="Garamond" w:hAnsi="Garamond"/>
          <w:sz w:val="26"/>
          <w:szCs w:val="26"/>
          <w:lang w:val="it-IT"/>
        </w:rPr>
        <w:t>.</w:t>
      </w:r>
      <w:r w:rsidRPr="008A5293">
        <w:rPr>
          <w:rFonts w:ascii="Garamond" w:hAnsi="Garamond"/>
          <w:sz w:val="26"/>
          <w:szCs w:val="26"/>
          <w:lang w:val="it-IT"/>
        </w:rPr>
        <w:t xml:space="preserve"> </w:t>
      </w:r>
    </w:p>
    <w:p w14:paraId="531DC556" w14:textId="7E670A63" w:rsidR="00F82E19" w:rsidRDefault="00BA11B9" w:rsidP="00F82E19">
      <w:pPr>
        <w:pStyle w:val="Standard"/>
        <w:spacing w:line="360" w:lineRule="auto"/>
        <w:ind w:left="567" w:right="567" w:firstLine="141"/>
        <w:jc w:val="both"/>
        <w:rPr>
          <w:rFonts w:ascii="Garamond" w:hAnsi="Garamond"/>
          <w:sz w:val="26"/>
          <w:szCs w:val="26"/>
          <w:lang w:val="it-IT"/>
        </w:rPr>
      </w:pPr>
      <w:r>
        <w:rPr>
          <w:rFonts w:ascii="Garamond" w:hAnsi="Garamond"/>
          <w:sz w:val="26"/>
          <w:szCs w:val="26"/>
          <w:lang w:val="it-IT"/>
        </w:rPr>
        <w:t xml:space="preserve">In realtà, </w:t>
      </w:r>
      <w:r w:rsidR="00973688">
        <w:rPr>
          <w:rFonts w:ascii="Garamond" w:hAnsi="Garamond"/>
          <w:sz w:val="26"/>
          <w:szCs w:val="26"/>
          <w:lang w:val="it-IT"/>
        </w:rPr>
        <w:t xml:space="preserve">il legislatore ha </w:t>
      </w:r>
      <w:r w:rsidR="00902440">
        <w:rPr>
          <w:rFonts w:ascii="Garamond" w:hAnsi="Garamond"/>
          <w:sz w:val="26"/>
          <w:szCs w:val="26"/>
          <w:lang w:val="it-IT"/>
        </w:rPr>
        <w:t xml:space="preserve">finito per </w:t>
      </w:r>
      <w:r w:rsidR="00973688">
        <w:rPr>
          <w:rFonts w:ascii="Garamond" w:hAnsi="Garamond"/>
          <w:sz w:val="26"/>
          <w:szCs w:val="26"/>
          <w:lang w:val="it-IT"/>
        </w:rPr>
        <w:t>partori</w:t>
      </w:r>
      <w:r w:rsidR="00902440">
        <w:rPr>
          <w:rFonts w:ascii="Garamond" w:hAnsi="Garamond"/>
          <w:sz w:val="26"/>
          <w:szCs w:val="26"/>
          <w:lang w:val="it-IT"/>
        </w:rPr>
        <w:t>re</w:t>
      </w:r>
      <w:r w:rsidR="00973688">
        <w:rPr>
          <w:rFonts w:ascii="Garamond" w:hAnsi="Garamond"/>
          <w:sz w:val="26"/>
          <w:szCs w:val="26"/>
          <w:lang w:val="it-IT"/>
        </w:rPr>
        <w:t xml:space="preserve"> </w:t>
      </w:r>
      <w:r w:rsidR="00F82E19">
        <w:rPr>
          <w:rFonts w:ascii="Garamond" w:hAnsi="Garamond"/>
          <w:sz w:val="26"/>
          <w:szCs w:val="26"/>
          <w:lang w:val="it-IT"/>
        </w:rPr>
        <w:t xml:space="preserve">una norma </w:t>
      </w:r>
      <w:r w:rsidR="00973688" w:rsidRPr="008A5293">
        <w:rPr>
          <w:rFonts w:ascii="Garamond" w:hAnsi="Garamond"/>
          <w:sz w:val="26"/>
          <w:szCs w:val="26"/>
          <w:lang w:val="it-IT"/>
        </w:rPr>
        <w:t xml:space="preserve">di non agevole </w:t>
      </w:r>
      <w:r w:rsidR="008C78AF">
        <w:rPr>
          <w:rFonts w:ascii="Garamond" w:hAnsi="Garamond"/>
          <w:sz w:val="26"/>
          <w:szCs w:val="26"/>
          <w:lang w:val="it-IT"/>
        </w:rPr>
        <w:t>lettura</w:t>
      </w:r>
      <w:r w:rsidR="00973688" w:rsidRPr="008A5293">
        <w:rPr>
          <w:rFonts w:ascii="Garamond" w:hAnsi="Garamond"/>
          <w:sz w:val="26"/>
          <w:szCs w:val="26"/>
          <w:lang w:val="it-IT"/>
        </w:rPr>
        <w:t xml:space="preserve">, </w:t>
      </w:r>
      <w:r w:rsidR="00973688">
        <w:rPr>
          <w:rFonts w:ascii="Garamond" w:hAnsi="Garamond"/>
          <w:sz w:val="26"/>
          <w:szCs w:val="26"/>
          <w:lang w:val="it-IT"/>
        </w:rPr>
        <w:t xml:space="preserve">a cominciare dal </w:t>
      </w:r>
      <w:r w:rsidR="00902A67">
        <w:rPr>
          <w:rFonts w:ascii="Garamond" w:hAnsi="Garamond"/>
          <w:sz w:val="26"/>
          <w:szCs w:val="26"/>
          <w:lang w:val="it-IT"/>
        </w:rPr>
        <w:t xml:space="preserve">gioco di reciproci rimandi tra i due commi [il comma 2 si riferisce </w:t>
      </w:r>
      <w:r w:rsidR="00973688" w:rsidRPr="008A5293">
        <w:rPr>
          <w:rFonts w:ascii="Garamond" w:hAnsi="Garamond"/>
          <w:sz w:val="26"/>
          <w:szCs w:val="26"/>
          <w:lang w:val="it-IT"/>
        </w:rPr>
        <w:t xml:space="preserve">ai casi di esclusione previsti </w:t>
      </w:r>
      <w:r w:rsidR="00973688" w:rsidRPr="008A5293">
        <w:rPr>
          <w:rFonts w:ascii="Garamond" w:hAnsi="Garamond"/>
          <w:i/>
          <w:sz w:val="26"/>
          <w:szCs w:val="26"/>
          <w:lang w:val="it-IT"/>
        </w:rPr>
        <w:t>“ai sensi del comma 1“</w:t>
      </w:r>
      <w:r w:rsidR="00973688" w:rsidRPr="008A5293">
        <w:rPr>
          <w:rFonts w:ascii="Garamond" w:hAnsi="Garamond"/>
          <w:sz w:val="26"/>
          <w:szCs w:val="26"/>
          <w:lang w:val="it-IT"/>
        </w:rPr>
        <w:t xml:space="preserve">, </w:t>
      </w:r>
      <w:r w:rsidR="00902A67">
        <w:rPr>
          <w:rFonts w:ascii="Garamond" w:hAnsi="Garamond"/>
          <w:sz w:val="26"/>
          <w:szCs w:val="26"/>
          <w:lang w:val="it-IT"/>
        </w:rPr>
        <w:t xml:space="preserve">che, </w:t>
      </w:r>
      <w:r w:rsidR="00973688" w:rsidRPr="008A5293">
        <w:rPr>
          <w:rFonts w:ascii="Garamond" w:hAnsi="Garamond"/>
          <w:sz w:val="26"/>
          <w:szCs w:val="26"/>
          <w:lang w:val="it-IT"/>
        </w:rPr>
        <w:t xml:space="preserve">a sua volta, </w:t>
      </w:r>
      <w:r w:rsidR="00902A67">
        <w:rPr>
          <w:rFonts w:ascii="Garamond" w:hAnsi="Garamond"/>
          <w:sz w:val="26"/>
          <w:szCs w:val="26"/>
          <w:lang w:val="it-IT"/>
        </w:rPr>
        <w:t xml:space="preserve">alla </w:t>
      </w:r>
      <w:r w:rsidR="00973688" w:rsidRPr="008A5293">
        <w:rPr>
          <w:rFonts w:ascii="Garamond" w:hAnsi="Garamond"/>
          <w:sz w:val="26"/>
          <w:szCs w:val="26"/>
          <w:lang w:val="it-IT"/>
        </w:rPr>
        <w:t>lett</w:t>
      </w:r>
      <w:r w:rsidR="00902A67">
        <w:rPr>
          <w:rFonts w:ascii="Garamond" w:hAnsi="Garamond"/>
          <w:sz w:val="26"/>
          <w:szCs w:val="26"/>
          <w:lang w:val="it-IT"/>
        </w:rPr>
        <w:t>era</w:t>
      </w:r>
      <w:r w:rsidR="00973688" w:rsidRPr="008A5293">
        <w:rPr>
          <w:rFonts w:ascii="Garamond" w:hAnsi="Garamond"/>
          <w:sz w:val="26"/>
          <w:szCs w:val="26"/>
          <w:lang w:val="it-IT"/>
        </w:rPr>
        <w:t xml:space="preserve"> a) fa riferimento ai “</w:t>
      </w:r>
      <w:r w:rsidR="00973688" w:rsidRPr="008A5293">
        <w:rPr>
          <w:rFonts w:ascii="Garamond" w:hAnsi="Garamond"/>
          <w:i/>
          <w:color w:val="000000"/>
          <w:sz w:val="26"/>
          <w:szCs w:val="26"/>
          <w:lang w:val="it-IT"/>
        </w:rPr>
        <w:t>casi di segreto o di divieto di divulgazione espressamente previsti … dalle pubbliche amministrazioni ai sensi del comma 2 del presente articolo</w:t>
      </w:r>
      <w:r w:rsidR="00902440">
        <w:rPr>
          <w:rFonts w:ascii="Garamond" w:hAnsi="Garamond"/>
          <w:i/>
          <w:color w:val="000000"/>
          <w:sz w:val="26"/>
          <w:szCs w:val="26"/>
          <w:lang w:val="it-IT"/>
        </w:rPr>
        <w:t>”</w:t>
      </w:r>
      <w:r w:rsidR="00902A67">
        <w:rPr>
          <w:rFonts w:ascii="Garamond" w:hAnsi="Garamond"/>
          <w:iCs/>
          <w:color w:val="000000"/>
          <w:sz w:val="26"/>
          <w:szCs w:val="26"/>
          <w:lang w:val="it-IT"/>
        </w:rPr>
        <w:t>].</w:t>
      </w:r>
      <w:r w:rsidR="00973688" w:rsidRPr="008A5293">
        <w:rPr>
          <w:rFonts w:ascii="Garamond" w:hAnsi="Garamond"/>
          <w:color w:val="000000"/>
          <w:sz w:val="26"/>
          <w:szCs w:val="26"/>
          <w:lang w:val="it-IT"/>
        </w:rPr>
        <w:t xml:space="preserve"> </w:t>
      </w:r>
      <w:r w:rsidR="00F82E19">
        <w:rPr>
          <w:rFonts w:ascii="Garamond" w:hAnsi="Garamond"/>
          <w:sz w:val="26"/>
          <w:szCs w:val="26"/>
          <w:lang w:val="it-IT"/>
        </w:rPr>
        <w:t xml:space="preserve"> </w:t>
      </w:r>
    </w:p>
    <w:p w14:paraId="45C9752E" w14:textId="5DA7A3B4" w:rsidR="00047D98" w:rsidRDefault="00047D98" w:rsidP="00047D98">
      <w:pPr>
        <w:pStyle w:val="Standard"/>
        <w:spacing w:line="360" w:lineRule="auto"/>
        <w:ind w:left="567" w:right="567"/>
        <w:jc w:val="both"/>
        <w:rPr>
          <w:rFonts w:ascii="Garamond" w:eastAsia="Times New Roman" w:hAnsi="Garamond" w:cs="Times New Roman"/>
          <w:iCs/>
          <w:color w:val="000000"/>
          <w:kern w:val="0"/>
          <w:sz w:val="26"/>
          <w:szCs w:val="26"/>
          <w:lang w:val="it-IT" w:eastAsia="it-IT" w:bidi="ar-SA"/>
        </w:rPr>
      </w:pPr>
      <w:r>
        <w:rPr>
          <w:rFonts w:ascii="Garamond" w:hAnsi="Garamond"/>
          <w:sz w:val="26"/>
          <w:szCs w:val="26"/>
          <w:lang w:val="it-IT"/>
        </w:rPr>
        <w:tab/>
        <w:t xml:space="preserve">Un primo elemento di incertezza riguarda </w:t>
      </w:r>
      <w:r w:rsidR="00BA11B9">
        <w:rPr>
          <w:rFonts w:ascii="Garamond" w:hAnsi="Garamond"/>
          <w:sz w:val="26"/>
          <w:szCs w:val="26"/>
          <w:lang w:val="it-IT"/>
        </w:rPr>
        <w:t xml:space="preserve">il carattere di </w:t>
      </w:r>
      <w:r>
        <w:rPr>
          <w:rFonts w:ascii="Garamond" w:hAnsi="Garamond"/>
          <w:sz w:val="26"/>
          <w:szCs w:val="26"/>
          <w:lang w:val="it-IT"/>
        </w:rPr>
        <w:t xml:space="preserve">facoltatività </w:t>
      </w:r>
      <w:r w:rsidR="008C78AF">
        <w:rPr>
          <w:rFonts w:ascii="Garamond" w:hAnsi="Garamond"/>
          <w:sz w:val="26"/>
          <w:szCs w:val="26"/>
          <w:lang w:val="it-IT"/>
        </w:rPr>
        <w:t xml:space="preserve">o di doverosità </w:t>
      </w:r>
      <w:r>
        <w:rPr>
          <w:rFonts w:ascii="Garamond" w:hAnsi="Garamond"/>
          <w:sz w:val="26"/>
          <w:szCs w:val="26"/>
          <w:lang w:val="it-IT"/>
        </w:rPr>
        <w:t xml:space="preserve">dei suddetti regolamenti, perché se è vero che l’art. 23, comma 4, legge n. 15 del 2005 prevede </w:t>
      </w:r>
      <w:r w:rsidR="008C5F4A">
        <w:rPr>
          <w:rFonts w:ascii="Garamond" w:hAnsi="Garamond"/>
          <w:sz w:val="26"/>
          <w:szCs w:val="26"/>
          <w:lang w:val="it-IT"/>
        </w:rPr>
        <w:t xml:space="preserve">che ciascuna </w:t>
      </w:r>
      <w:r>
        <w:rPr>
          <w:rFonts w:ascii="Garamond" w:hAnsi="Garamond"/>
          <w:sz w:val="26"/>
          <w:szCs w:val="26"/>
          <w:lang w:val="it-IT"/>
        </w:rPr>
        <w:t>Amministrazione “</w:t>
      </w:r>
      <w:r w:rsidRPr="00047D98">
        <w:rPr>
          <w:rFonts w:ascii="Garamond" w:eastAsia="Times New Roman" w:hAnsi="Garamond" w:cs="Times New Roman"/>
          <w:i/>
          <w:color w:val="000000"/>
          <w:kern w:val="0"/>
          <w:sz w:val="26"/>
          <w:szCs w:val="26"/>
          <w:lang w:val="it-IT" w:eastAsia="it-IT" w:bidi="ar-SA"/>
        </w:rPr>
        <w:t>ove necessario, nel rispetto dell'autonomia ad essa riconosciuta, adegua i propri regolamenti alle modifiche apportate al capo V della legge 7 agosto 1990, n. 241, dalla presente legge nonché al regolamento di cui al comma 2 del presente articolo”</w:t>
      </w:r>
      <w:r w:rsidR="008C5F4A">
        <w:rPr>
          <w:rFonts w:ascii="Garamond" w:eastAsia="Times New Roman" w:hAnsi="Garamond" w:cs="Times New Roman"/>
          <w:i/>
          <w:color w:val="000000"/>
          <w:kern w:val="0"/>
          <w:sz w:val="26"/>
          <w:szCs w:val="26"/>
          <w:lang w:val="it-IT" w:eastAsia="it-IT" w:bidi="ar-SA"/>
        </w:rPr>
        <w:t xml:space="preserve"> </w:t>
      </w:r>
      <w:r w:rsidR="008C5F4A">
        <w:rPr>
          <w:rFonts w:ascii="Garamond" w:eastAsia="Times New Roman" w:hAnsi="Garamond" w:cs="Times New Roman"/>
          <w:iCs/>
          <w:color w:val="000000"/>
          <w:kern w:val="0"/>
          <w:sz w:val="26"/>
          <w:szCs w:val="26"/>
          <w:lang w:val="it-IT" w:eastAsia="it-IT" w:bidi="ar-SA"/>
        </w:rPr>
        <w:t>(ovvero al regolamento governativo), è altre</w:t>
      </w:r>
      <w:r w:rsidR="00BA11B9">
        <w:rPr>
          <w:rFonts w:ascii="Garamond" w:eastAsia="Times New Roman" w:hAnsi="Garamond" w:cs="Times New Roman"/>
          <w:iCs/>
          <w:color w:val="000000"/>
          <w:kern w:val="0"/>
          <w:sz w:val="26"/>
          <w:szCs w:val="26"/>
          <w:lang w:val="it-IT" w:eastAsia="it-IT" w:bidi="ar-SA"/>
        </w:rPr>
        <w:t>ttanto</w:t>
      </w:r>
      <w:r w:rsidR="008C5F4A">
        <w:rPr>
          <w:rFonts w:ascii="Garamond" w:eastAsia="Times New Roman" w:hAnsi="Garamond" w:cs="Times New Roman"/>
          <w:iCs/>
          <w:color w:val="000000"/>
          <w:kern w:val="0"/>
          <w:sz w:val="26"/>
          <w:szCs w:val="26"/>
          <w:lang w:val="it-IT" w:eastAsia="it-IT" w:bidi="ar-SA"/>
        </w:rPr>
        <w:t xml:space="preserve"> vero che le modifiche che la riforma ha apporta</w:t>
      </w:r>
      <w:r w:rsidR="00BA11B9">
        <w:rPr>
          <w:rFonts w:ascii="Garamond" w:eastAsia="Times New Roman" w:hAnsi="Garamond" w:cs="Times New Roman"/>
          <w:iCs/>
          <w:color w:val="000000"/>
          <w:kern w:val="0"/>
          <w:sz w:val="26"/>
          <w:szCs w:val="26"/>
          <w:lang w:val="it-IT" w:eastAsia="it-IT" w:bidi="ar-SA"/>
        </w:rPr>
        <w:t>to</w:t>
      </w:r>
      <w:r w:rsidR="008C5F4A">
        <w:rPr>
          <w:rFonts w:ascii="Garamond" w:eastAsia="Times New Roman" w:hAnsi="Garamond" w:cs="Times New Roman"/>
          <w:iCs/>
          <w:color w:val="000000"/>
          <w:kern w:val="0"/>
          <w:sz w:val="26"/>
          <w:szCs w:val="26"/>
          <w:lang w:val="it-IT" w:eastAsia="it-IT" w:bidi="ar-SA"/>
        </w:rPr>
        <w:t xml:space="preserve"> all’</w:t>
      </w:r>
      <w:r w:rsidR="00BA11B9">
        <w:rPr>
          <w:rFonts w:ascii="Garamond" w:eastAsia="Times New Roman" w:hAnsi="Garamond" w:cs="Times New Roman"/>
          <w:iCs/>
          <w:color w:val="000000"/>
          <w:kern w:val="0"/>
          <w:sz w:val="26"/>
          <w:szCs w:val="26"/>
          <w:lang w:val="it-IT" w:eastAsia="it-IT" w:bidi="ar-SA"/>
        </w:rPr>
        <w:t xml:space="preserve">ambito </w:t>
      </w:r>
      <w:r w:rsidR="008C5F4A">
        <w:rPr>
          <w:rFonts w:ascii="Garamond" w:eastAsia="Times New Roman" w:hAnsi="Garamond" w:cs="Times New Roman"/>
          <w:iCs/>
          <w:color w:val="000000"/>
          <w:kern w:val="0"/>
          <w:sz w:val="26"/>
          <w:szCs w:val="26"/>
          <w:lang w:val="it-IT" w:eastAsia="it-IT" w:bidi="ar-SA"/>
        </w:rPr>
        <w:t>oggett</w:t>
      </w:r>
      <w:r w:rsidR="00BA11B9">
        <w:rPr>
          <w:rFonts w:ascii="Garamond" w:eastAsia="Times New Roman" w:hAnsi="Garamond" w:cs="Times New Roman"/>
          <w:iCs/>
          <w:color w:val="000000"/>
          <w:kern w:val="0"/>
          <w:sz w:val="26"/>
          <w:szCs w:val="26"/>
          <w:lang w:val="it-IT" w:eastAsia="it-IT" w:bidi="ar-SA"/>
        </w:rPr>
        <w:t>ivo</w:t>
      </w:r>
      <w:r w:rsidR="008C5F4A">
        <w:rPr>
          <w:rFonts w:ascii="Garamond" w:eastAsia="Times New Roman" w:hAnsi="Garamond" w:cs="Times New Roman"/>
          <w:iCs/>
          <w:color w:val="000000"/>
          <w:kern w:val="0"/>
          <w:sz w:val="26"/>
          <w:szCs w:val="26"/>
          <w:lang w:val="it-IT" w:eastAsia="it-IT" w:bidi="ar-SA"/>
        </w:rPr>
        <w:t xml:space="preserve"> dei suddetti regolamenti è tale da rendere </w:t>
      </w:r>
      <w:r w:rsidR="00BA11B9">
        <w:rPr>
          <w:rFonts w:ascii="Garamond" w:eastAsia="Times New Roman" w:hAnsi="Garamond" w:cs="Times New Roman"/>
          <w:iCs/>
          <w:color w:val="000000"/>
          <w:kern w:val="0"/>
          <w:sz w:val="26"/>
          <w:szCs w:val="26"/>
          <w:lang w:val="it-IT" w:eastAsia="it-IT" w:bidi="ar-SA"/>
        </w:rPr>
        <w:t xml:space="preserve">assai </w:t>
      </w:r>
      <w:r w:rsidR="008C5F4A">
        <w:rPr>
          <w:rFonts w:ascii="Garamond" w:eastAsia="Times New Roman" w:hAnsi="Garamond" w:cs="Times New Roman"/>
          <w:iCs/>
          <w:color w:val="000000"/>
          <w:kern w:val="0"/>
          <w:sz w:val="26"/>
          <w:szCs w:val="26"/>
          <w:lang w:val="it-IT" w:eastAsia="it-IT" w:bidi="ar-SA"/>
        </w:rPr>
        <w:t xml:space="preserve">stringenti le ragioni di opportunità </w:t>
      </w:r>
      <w:r w:rsidR="00BA11B9">
        <w:rPr>
          <w:rFonts w:ascii="Garamond" w:eastAsia="Times New Roman" w:hAnsi="Garamond" w:cs="Times New Roman"/>
          <w:iCs/>
          <w:color w:val="000000"/>
          <w:kern w:val="0"/>
          <w:sz w:val="26"/>
          <w:szCs w:val="26"/>
          <w:lang w:val="it-IT" w:eastAsia="it-IT" w:bidi="ar-SA"/>
        </w:rPr>
        <w:t xml:space="preserve">(se non di necessità) </w:t>
      </w:r>
      <w:r w:rsidR="008C5F4A">
        <w:rPr>
          <w:rFonts w:ascii="Garamond" w:eastAsia="Times New Roman" w:hAnsi="Garamond" w:cs="Times New Roman"/>
          <w:iCs/>
          <w:color w:val="000000"/>
          <w:kern w:val="0"/>
          <w:sz w:val="26"/>
          <w:szCs w:val="26"/>
          <w:lang w:val="it-IT" w:eastAsia="it-IT" w:bidi="ar-SA"/>
        </w:rPr>
        <w:t xml:space="preserve">della loro modifica. </w:t>
      </w:r>
    </w:p>
    <w:p w14:paraId="20254361" w14:textId="3BCF5E8F" w:rsidR="008C5F4A" w:rsidRDefault="008C5F4A" w:rsidP="00BA11B9">
      <w:pPr>
        <w:pStyle w:val="Standard"/>
        <w:spacing w:line="360" w:lineRule="auto"/>
        <w:ind w:left="567" w:right="567"/>
        <w:jc w:val="both"/>
        <w:rPr>
          <w:rFonts w:ascii="Garamond" w:hAnsi="Garamond" w:cs="Calibri"/>
          <w:sz w:val="26"/>
          <w:szCs w:val="26"/>
          <w:lang w:val="it-IT"/>
        </w:rPr>
      </w:pPr>
      <w:r>
        <w:rPr>
          <w:rFonts w:ascii="Garamond" w:eastAsia="Times New Roman" w:hAnsi="Garamond" w:cs="Times New Roman"/>
          <w:iCs/>
          <w:color w:val="000000"/>
          <w:kern w:val="0"/>
          <w:sz w:val="26"/>
          <w:szCs w:val="26"/>
          <w:lang w:val="it-IT" w:eastAsia="it-IT" w:bidi="ar-SA"/>
        </w:rPr>
        <w:tab/>
        <w:t>Ed in</w:t>
      </w:r>
      <w:r w:rsidR="008C78AF">
        <w:rPr>
          <w:rFonts w:ascii="Garamond" w:eastAsia="Times New Roman" w:hAnsi="Garamond" w:cs="Times New Roman"/>
          <w:iCs/>
          <w:color w:val="000000"/>
          <w:kern w:val="0"/>
          <w:sz w:val="26"/>
          <w:szCs w:val="26"/>
          <w:lang w:val="it-IT" w:eastAsia="it-IT" w:bidi="ar-SA"/>
        </w:rPr>
        <w:t>vero</w:t>
      </w:r>
      <w:r>
        <w:rPr>
          <w:rFonts w:ascii="Garamond" w:eastAsia="Times New Roman" w:hAnsi="Garamond" w:cs="Times New Roman"/>
          <w:iCs/>
          <w:color w:val="000000"/>
          <w:kern w:val="0"/>
          <w:sz w:val="26"/>
          <w:szCs w:val="26"/>
          <w:lang w:val="it-IT" w:eastAsia="it-IT" w:bidi="ar-SA"/>
        </w:rPr>
        <w:t xml:space="preserve">, mentre </w:t>
      </w:r>
      <w:r w:rsidR="00BA11B9">
        <w:rPr>
          <w:rFonts w:ascii="Garamond" w:eastAsia="Times New Roman" w:hAnsi="Garamond" w:cs="Times New Roman"/>
          <w:iCs/>
          <w:color w:val="000000"/>
          <w:kern w:val="0"/>
          <w:sz w:val="26"/>
          <w:szCs w:val="26"/>
          <w:lang w:val="it-IT" w:eastAsia="it-IT" w:bidi="ar-SA"/>
        </w:rPr>
        <w:t>a</w:t>
      </w:r>
      <w:r>
        <w:rPr>
          <w:rFonts w:ascii="Garamond" w:eastAsia="Times New Roman" w:hAnsi="Garamond" w:cs="Times New Roman"/>
          <w:iCs/>
          <w:color w:val="000000"/>
          <w:kern w:val="0"/>
          <w:sz w:val="26"/>
          <w:szCs w:val="26"/>
          <w:lang w:val="it-IT" w:eastAsia="it-IT" w:bidi="ar-SA"/>
        </w:rPr>
        <w:t>i vecchi regolamenti ex art. 24, comma 4, l</w:t>
      </w:r>
      <w:r w:rsidR="007A4240">
        <w:rPr>
          <w:rFonts w:ascii="Garamond" w:eastAsia="Times New Roman" w:hAnsi="Garamond" w:cs="Times New Roman"/>
          <w:iCs/>
          <w:color w:val="000000"/>
          <w:kern w:val="0"/>
          <w:sz w:val="26"/>
          <w:szCs w:val="26"/>
          <w:lang w:val="it-IT" w:eastAsia="it-IT" w:bidi="ar-SA"/>
        </w:rPr>
        <w:t>.</w:t>
      </w:r>
      <w:r>
        <w:rPr>
          <w:rFonts w:ascii="Garamond" w:eastAsia="Times New Roman" w:hAnsi="Garamond" w:cs="Times New Roman"/>
          <w:iCs/>
          <w:color w:val="000000"/>
          <w:kern w:val="0"/>
          <w:sz w:val="26"/>
          <w:szCs w:val="26"/>
          <w:lang w:val="it-IT" w:eastAsia="it-IT" w:bidi="ar-SA"/>
        </w:rPr>
        <w:t xml:space="preserve"> </w:t>
      </w:r>
      <w:r w:rsidR="00BA11B9">
        <w:rPr>
          <w:rFonts w:ascii="Garamond" w:eastAsia="Times New Roman" w:hAnsi="Garamond" w:cs="Times New Roman"/>
          <w:iCs/>
          <w:color w:val="000000"/>
          <w:kern w:val="0"/>
          <w:sz w:val="26"/>
          <w:szCs w:val="26"/>
          <w:lang w:val="it-IT" w:eastAsia="it-IT" w:bidi="ar-SA"/>
        </w:rPr>
        <w:t xml:space="preserve">n. </w:t>
      </w:r>
      <w:r>
        <w:rPr>
          <w:rFonts w:ascii="Garamond" w:eastAsia="Times New Roman" w:hAnsi="Garamond" w:cs="Times New Roman"/>
          <w:iCs/>
          <w:color w:val="000000"/>
          <w:kern w:val="0"/>
          <w:sz w:val="26"/>
          <w:szCs w:val="26"/>
          <w:lang w:val="it-IT" w:eastAsia="it-IT" w:bidi="ar-SA"/>
        </w:rPr>
        <w:t xml:space="preserve">241 del 1990 (testo originario) </w:t>
      </w:r>
      <w:r w:rsidR="00BA11B9">
        <w:rPr>
          <w:rFonts w:ascii="Garamond" w:eastAsia="Times New Roman" w:hAnsi="Garamond" w:cs="Times New Roman"/>
          <w:iCs/>
          <w:color w:val="000000"/>
          <w:kern w:val="0"/>
          <w:sz w:val="26"/>
          <w:szCs w:val="26"/>
          <w:lang w:val="it-IT" w:eastAsia="it-IT" w:bidi="ar-SA"/>
        </w:rPr>
        <w:t xml:space="preserve">era demandato </w:t>
      </w:r>
      <w:r>
        <w:rPr>
          <w:rFonts w:ascii="Garamond" w:eastAsia="Times New Roman" w:hAnsi="Garamond" w:cs="Times New Roman"/>
          <w:iCs/>
          <w:color w:val="000000"/>
          <w:kern w:val="0"/>
          <w:sz w:val="26"/>
          <w:szCs w:val="26"/>
          <w:lang w:val="it-IT" w:eastAsia="it-IT" w:bidi="ar-SA"/>
        </w:rPr>
        <w:t xml:space="preserve">il compito di </w:t>
      </w:r>
      <w:r w:rsidR="008C78AF">
        <w:rPr>
          <w:rFonts w:ascii="Garamond" w:eastAsia="Times New Roman" w:hAnsi="Garamond" w:cs="Times New Roman"/>
          <w:iCs/>
          <w:color w:val="000000"/>
          <w:kern w:val="0"/>
          <w:sz w:val="26"/>
          <w:szCs w:val="26"/>
          <w:lang w:val="it-IT" w:eastAsia="it-IT" w:bidi="ar-SA"/>
        </w:rPr>
        <w:t xml:space="preserve">elencare in modo </w:t>
      </w:r>
      <w:r w:rsidR="007A4240">
        <w:rPr>
          <w:rFonts w:ascii="Garamond" w:hAnsi="Garamond"/>
          <w:sz w:val="26"/>
          <w:szCs w:val="26"/>
          <w:lang w:val="it-IT"/>
        </w:rPr>
        <w:t xml:space="preserve">puntuale </w:t>
      </w:r>
      <w:r w:rsidRPr="008C5F4A">
        <w:rPr>
          <w:rFonts w:ascii="Garamond" w:hAnsi="Garamond"/>
          <w:sz w:val="26"/>
          <w:szCs w:val="26"/>
          <w:lang w:val="it-IT"/>
        </w:rPr>
        <w:t>le categorie di documenti sottratt</w:t>
      </w:r>
      <w:r w:rsidR="008C78AF">
        <w:rPr>
          <w:rFonts w:ascii="Garamond" w:hAnsi="Garamond"/>
          <w:sz w:val="26"/>
          <w:szCs w:val="26"/>
          <w:lang w:val="it-IT"/>
        </w:rPr>
        <w:t>i</w:t>
      </w:r>
      <w:r w:rsidRPr="008C5F4A">
        <w:rPr>
          <w:rFonts w:ascii="Garamond" w:hAnsi="Garamond"/>
          <w:sz w:val="26"/>
          <w:szCs w:val="26"/>
          <w:lang w:val="it-IT"/>
        </w:rPr>
        <w:t xml:space="preserve"> all’accesso </w:t>
      </w:r>
      <w:r>
        <w:rPr>
          <w:rFonts w:ascii="Garamond" w:hAnsi="Garamond"/>
          <w:sz w:val="26"/>
          <w:szCs w:val="26"/>
          <w:lang w:val="it-IT"/>
        </w:rPr>
        <w:t xml:space="preserve">in considerazione degli interessi </w:t>
      </w:r>
      <w:r w:rsidR="007A4240">
        <w:rPr>
          <w:rFonts w:ascii="Garamond" w:hAnsi="Garamond"/>
          <w:sz w:val="26"/>
          <w:szCs w:val="26"/>
          <w:lang w:val="it-IT"/>
        </w:rPr>
        <w:t xml:space="preserve">afferenti alla </w:t>
      </w:r>
      <w:r w:rsidRPr="00855113">
        <w:rPr>
          <w:rFonts w:ascii="Garamond" w:hAnsi="Garamond"/>
          <w:sz w:val="26"/>
          <w:szCs w:val="26"/>
          <w:lang w:val="it-IT"/>
        </w:rPr>
        <w:t>“</w:t>
      </w:r>
      <w:r w:rsidRPr="00855113">
        <w:rPr>
          <w:rFonts w:ascii="Garamond" w:hAnsi="Garamond"/>
          <w:i/>
          <w:iCs/>
          <w:sz w:val="26"/>
          <w:szCs w:val="26"/>
          <w:lang w:val="it-IT"/>
        </w:rPr>
        <w:t>sicurezza  … difesa nazionale … e</w:t>
      </w:r>
      <w:r w:rsidR="007A4240">
        <w:rPr>
          <w:rFonts w:ascii="Garamond" w:hAnsi="Garamond"/>
          <w:i/>
          <w:iCs/>
          <w:sz w:val="26"/>
          <w:szCs w:val="26"/>
          <w:lang w:val="it-IT"/>
        </w:rPr>
        <w:t xml:space="preserve"> </w:t>
      </w:r>
      <w:r w:rsidRPr="00855113">
        <w:rPr>
          <w:rFonts w:ascii="Garamond" w:hAnsi="Garamond"/>
          <w:i/>
          <w:iCs/>
          <w:sz w:val="26"/>
          <w:szCs w:val="26"/>
          <w:lang w:val="it-IT"/>
        </w:rPr>
        <w:t>relazioni internazionali“</w:t>
      </w:r>
      <w:r w:rsidR="007A4240">
        <w:rPr>
          <w:rFonts w:ascii="Garamond" w:hAnsi="Garamond"/>
          <w:iCs/>
          <w:sz w:val="26"/>
          <w:szCs w:val="26"/>
          <w:lang w:val="it-IT"/>
        </w:rPr>
        <w:t xml:space="preserve"> (a),</w:t>
      </w:r>
      <w:r>
        <w:rPr>
          <w:rFonts w:ascii="Garamond" w:hAnsi="Garamond"/>
          <w:iCs/>
          <w:sz w:val="26"/>
          <w:szCs w:val="26"/>
        </w:rPr>
        <w:t xml:space="preserve"> </w:t>
      </w:r>
      <w:r w:rsidR="007A4240">
        <w:rPr>
          <w:rFonts w:ascii="Garamond" w:hAnsi="Garamond"/>
          <w:iCs/>
          <w:sz w:val="26"/>
          <w:szCs w:val="26"/>
        </w:rPr>
        <w:t xml:space="preserve">alla </w:t>
      </w:r>
      <w:r w:rsidRPr="00855113">
        <w:rPr>
          <w:rFonts w:ascii="Garamond" w:hAnsi="Garamond"/>
          <w:i/>
          <w:iCs/>
          <w:sz w:val="26"/>
          <w:szCs w:val="26"/>
          <w:lang w:val="it-IT"/>
        </w:rPr>
        <w:t>“politica monetaria e valutaria</w:t>
      </w:r>
      <w:r w:rsidR="007A4240">
        <w:rPr>
          <w:rFonts w:ascii="Garamond" w:hAnsi="Garamond"/>
          <w:i/>
          <w:iCs/>
          <w:sz w:val="26"/>
          <w:szCs w:val="26"/>
          <w:lang w:val="it-IT"/>
        </w:rPr>
        <w:t xml:space="preserve">” </w:t>
      </w:r>
      <w:r w:rsidR="007A4240">
        <w:rPr>
          <w:rFonts w:ascii="Garamond" w:hAnsi="Garamond"/>
          <w:iCs/>
          <w:sz w:val="26"/>
          <w:szCs w:val="26"/>
          <w:lang w:val="it-IT"/>
        </w:rPr>
        <w:t>(b), all’</w:t>
      </w:r>
      <w:r w:rsidRPr="00855113">
        <w:rPr>
          <w:rFonts w:ascii="Garamond" w:hAnsi="Garamond"/>
          <w:i/>
          <w:iCs/>
          <w:sz w:val="26"/>
          <w:szCs w:val="26"/>
          <w:lang w:val="it-IT"/>
        </w:rPr>
        <w:t>“ordine pubblico</w:t>
      </w:r>
      <w:r w:rsidR="007A4240">
        <w:rPr>
          <w:rFonts w:ascii="Garamond" w:hAnsi="Garamond"/>
          <w:i/>
          <w:iCs/>
          <w:sz w:val="26"/>
          <w:szCs w:val="26"/>
          <w:lang w:val="it-IT"/>
        </w:rPr>
        <w:t xml:space="preserve"> e la </w:t>
      </w:r>
      <w:r w:rsidRPr="00855113">
        <w:rPr>
          <w:rFonts w:ascii="Garamond" w:hAnsi="Garamond"/>
          <w:i/>
          <w:iCs/>
          <w:sz w:val="26"/>
          <w:szCs w:val="26"/>
          <w:lang w:val="it-IT"/>
        </w:rPr>
        <w:t>prevenzione e repressione della criminalità</w:t>
      </w:r>
      <w:r w:rsidR="007A4240">
        <w:rPr>
          <w:rFonts w:ascii="Garamond" w:hAnsi="Garamond"/>
          <w:i/>
          <w:iCs/>
          <w:sz w:val="26"/>
          <w:szCs w:val="26"/>
          <w:lang w:val="it-IT"/>
        </w:rPr>
        <w:t xml:space="preserve">” </w:t>
      </w:r>
      <w:r w:rsidR="007A4240">
        <w:rPr>
          <w:rFonts w:ascii="Garamond" w:hAnsi="Garamond"/>
          <w:sz w:val="26"/>
          <w:szCs w:val="26"/>
          <w:lang w:val="it-IT"/>
        </w:rPr>
        <w:t xml:space="preserve">(c), nonché alla </w:t>
      </w:r>
      <w:r w:rsidRPr="00855113">
        <w:rPr>
          <w:rFonts w:ascii="Garamond" w:hAnsi="Garamond"/>
          <w:i/>
          <w:iCs/>
          <w:sz w:val="26"/>
          <w:szCs w:val="26"/>
          <w:lang w:val="it-IT"/>
        </w:rPr>
        <w:t>“</w:t>
      </w:r>
      <w:r w:rsidR="007A4240">
        <w:rPr>
          <w:rFonts w:ascii="Garamond" w:hAnsi="Garamond"/>
          <w:i/>
          <w:iCs/>
          <w:sz w:val="26"/>
          <w:szCs w:val="26"/>
          <w:lang w:val="it-IT"/>
        </w:rPr>
        <w:t>riservatezza di terzi, persone, gruppi e imprese ..“</w:t>
      </w:r>
      <w:r w:rsidR="004021DC">
        <w:rPr>
          <w:rFonts w:ascii="Garamond" w:hAnsi="Garamond"/>
          <w:sz w:val="26"/>
          <w:szCs w:val="26"/>
          <w:lang w:val="it-IT"/>
        </w:rPr>
        <w:t xml:space="preserve"> (d)</w:t>
      </w:r>
      <w:r w:rsidR="007A4240">
        <w:rPr>
          <w:rFonts w:ascii="Garamond" w:hAnsi="Garamond"/>
          <w:sz w:val="26"/>
          <w:szCs w:val="26"/>
          <w:lang w:val="it-IT"/>
        </w:rPr>
        <w:t xml:space="preserve">, </w:t>
      </w:r>
      <w:r w:rsidRPr="008C5F4A">
        <w:rPr>
          <w:rFonts w:ascii="Garamond" w:hAnsi="Garamond"/>
          <w:sz w:val="26"/>
          <w:szCs w:val="26"/>
          <w:lang w:val="it-IT"/>
        </w:rPr>
        <w:t xml:space="preserve">nel rispetto dei criteri stabiliti dal </w:t>
      </w:r>
      <w:r w:rsidR="007A4240">
        <w:rPr>
          <w:rFonts w:ascii="Garamond" w:hAnsi="Garamond"/>
          <w:sz w:val="26"/>
          <w:szCs w:val="26"/>
          <w:lang w:val="it-IT"/>
        </w:rPr>
        <w:t>regolamento governativo (d</w:t>
      </w:r>
      <w:r w:rsidRPr="008C5F4A">
        <w:rPr>
          <w:rFonts w:ascii="Garamond" w:hAnsi="Garamond"/>
          <w:sz w:val="26"/>
          <w:szCs w:val="26"/>
          <w:lang w:val="it-IT"/>
        </w:rPr>
        <w:t xml:space="preserve">.P.R. </w:t>
      </w:r>
      <w:r w:rsidR="007A4240">
        <w:rPr>
          <w:rFonts w:ascii="Garamond" w:hAnsi="Garamond"/>
          <w:sz w:val="26"/>
          <w:szCs w:val="26"/>
          <w:lang w:val="it-IT"/>
        </w:rPr>
        <w:t xml:space="preserve">27 giugno 1992, n. </w:t>
      </w:r>
      <w:r w:rsidRPr="008C5F4A">
        <w:rPr>
          <w:rFonts w:ascii="Garamond" w:hAnsi="Garamond"/>
          <w:sz w:val="26"/>
          <w:szCs w:val="26"/>
          <w:lang w:val="it-IT"/>
        </w:rPr>
        <w:t>352</w:t>
      </w:r>
      <w:r w:rsidR="007A4240">
        <w:rPr>
          <w:rFonts w:ascii="Garamond" w:hAnsi="Garamond"/>
          <w:sz w:val="26"/>
          <w:szCs w:val="26"/>
          <w:lang w:val="it-IT"/>
        </w:rPr>
        <w:t xml:space="preserve">), oggi </w:t>
      </w:r>
      <w:r w:rsidR="00BA11B9">
        <w:rPr>
          <w:rFonts w:ascii="Garamond" w:hAnsi="Garamond"/>
          <w:sz w:val="26"/>
          <w:szCs w:val="26"/>
          <w:lang w:val="it-IT"/>
        </w:rPr>
        <w:t>a</w:t>
      </w:r>
      <w:r w:rsidR="007A4240">
        <w:rPr>
          <w:rFonts w:ascii="Garamond" w:hAnsi="Garamond"/>
          <w:sz w:val="26"/>
          <w:szCs w:val="26"/>
          <w:lang w:val="it-IT"/>
        </w:rPr>
        <w:t xml:space="preserve">i nuovi regolamenti ex art. 24, comma 2, l. n. 241 del 1990 </w:t>
      </w:r>
      <w:r w:rsidR="00BA11B9">
        <w:rPr>
          <w:rFonts w:ascii="Garamond" w:hAnsi="Garamond"/>
          <w:sz w:val="26"/>
          <w:szCs w:val="26"/>
          <w:lang w:val="it-IT"/>
        </w:rPr>
        <w:t xml:space="preserve">spetta </w:t>
      </w:r>
      <w:r w:rsidR="007A4240" w:rsidRPr="00902A67">
        <w:rPr>
          <w:rFonts w:ascii="Garamond" w:hAnsi="Garamond" w:cs="Calibri"/>
          <w:sz w:val="26"/>
          <w:szCs w:val="26"/>
          <w:lang w:val="it-IT"/>
        </w:rPr>
        <w:t xml:space="preserve">di precisare i casi di </w:t>
      </w:r>
      <w:r w:rsidR="00BA11B9">
        <w:rPr>
          <w:rFonts w:ascii="Garamond" w:hAnsi="Garamond" w:cs="Calibri"/>
          <w:sz w:val="26"/>
          <w:szCs w:val="26"/>
          <w:lang w:val="it-IT"/>
        </w:rPr>
        <w:t xml:space="preserve">segreto o di divieto di divulgazione </w:t>
      </w:r>
      <w:r w:rsidR="00E0454D">
        <w:rPr>
          <w:rFonts w:ascii="Garamond" w:hAnsi="Garamond" w:cs="Calibri"/>
          <w:sz w:val="26"/>
          <w:szCs w:val="26"/>
          <w:lang w:val="it-IT"/>
        </w:rPr>
        <w:t xml:space="preserve">già </w:t>
      </w:r>
      <w:r w:rsidR="00BA11B9">
        <w:rPr>
          <w:rFonts w:ascii="Garamond" w:hAnsi="Garamond" w:cs="Calibri"/>
          <w:sz w:val="26"/>
          <w:szCs w:val="26"/>
          <w:lang w:val="it-IT"/>
        </w:rPr>
        <w:t xml:space="preserve">previsti dalla legge </w:t>
      </w:r>
      <w:r w:rsidR="007A4240" w:rsidRPr="00902A67">
        <w:rPr>
          <w:rFonts w:ascii="Garamond" w:hAnsi="Garamond" w:cs="Calibri"/>
          <w:sz w:val="26"/>
          <w:szCs w:val="26"/>
          <w:lang w:val="it-IT"/>
        </w:rPr>
        <w:t xml:space="preserve">ai sensi dell’art. 24, comma 1, </w:t>
      </w:r>
      <w:r w:rsidR="00BA11B9">
        <w:rPr>
          <w:rFonts w:ascii="Garamond" w:hAnsi="Garamond" w:cs="Calibri"/>
          <w:sz w:val="26"/>
          <w:szCs w:val="26"/>
          <w:lang w:val="it-IT"/>
        </w:rPr>
        <w:t>l</w:t>
      </w:r>
      <w:r w:rsidR="007A4240" w:rsidRPr="00902A67">
        <w:rPr>
          <w:rFonts w:ascii="Garamond" w:hAnsi="Garamond" w:cs="Calibri"/>
          <w:sz w:val="26"/>
          <w:szCs w:val="26"/>
          <w:lang w:val="it-IT"/>
        </w:rPr>
        <w:t xml:space="preserve">. </w:t>
      </w:r>
      <w:r w:rsidR="00BA11B9">
        <w:rPr>
          <w:rFonts w:ascii="Garamond" w:hAnsi="Garamond" w:cs="Calibri"/>
          <w:sz w:val="26"/>
          <w:szCs w:val="26"/>
          <w:lang w:val="it-IT"/>
        </w:rPr>
        <w:t xml:space="preserve">n. </w:t>
      </w:r>
      <w:r w:rsidR="007A4240" w:rsidRPr="00902A67">
        <w:rPr>
          <w:rFonts w:ascii="Garamond" w:hAnsi="Garamond" w:cs="Calibri"/>
          <w:sz w:val="26"/>
          <w:szCs w:val="26"/>
          <w:lang w:val="it-IT"/>
        </w:rPr>
        <w:t>241</w:t>
      </w:r>
      <w:r w:rsidR="00BA11B9">
        <w:rPr>
          <w:rFonts w:ascii="Garamond" w:hAnsi="Garamond" w:cs="Calibri"/>
          <w:sz w:val="26"/>
          <w:szCs w:val="26"/>
          <w:lang w:val="it-IT"/>
        </w:rPr>
        <w:t xml:space="preserve"> del </w:t>
      </w:r>
      <w:r w:rsidR="008C78AF">
        <w:rPr>
          <w:rFonts w:ascii="Garamond" w:hAnsi="Garamond" w:cs="Calibri"/>
          <w:sz w:val="26"/>
          <w:szCs w:val="26"/>
          <w:lang w:val="it-IT"/>
        </w:rPr>
        <w:t>19</w:t>
      </w:r>
      <w:r w:rsidR="007A4240" w:rsidRPr="00902A67">
        <w:rPr>
          <w:rFonts w:ascii="Garamond" w:hAnsi="Garamond" w:cs="Calibri"/>
          <w:sz w:val="26"/>
          <w:szCs w:val="26"/>
          <w:lang w:val="it-IT"/>
        </w:rPr>
        <w:t>90</w:t>
      </w:r>
      <w:r w:rsidR="008C78AF">
        <w:rPr>
          <w:rFonts w:ascii="Garamond" w:hAnsi="Garamond" w:cs="Calibri"/>
          <w:sz w:val="26"/>
          <w:szCs w:val="26"/>
          <w:lang w:val="it-IT"/>
        </w:rPr>
        <w:t xml:space="preserve">, </w:t>
      </w:r>
      <w:r w:rsidR="00E0454D">
        <w:rPr>
          <w:rFonts w:ascii="Garamond" w:hAnsi="Garamond" w:cs="Calibri"/>
          <w:sz w:val="26"/>
          <w:szCs w:val="26"/>
          <w:lang w:val="it-IT"/>
        </w:rPr>
        <w:t>rendendo esplicite le fattispecie di esclusione dell’accesso già i</w:t>
      </w:r>
      <w:r w:rsidR="008B5412">
        <w:rPr>
          <w:rFonts w:ascii="Garamond" w:hAnsi="Garamond" w:cs="Calibri"/>
          <w:sz w:val="26"/>
          <w:szCs w:val="26"/>
          <w:lang w:val="it-IT"/>
        </w:rPr>
        <w:t xml:space="preserve">nsite </w:t>
      </w:r>
      <w:r w:rsidR="00E0454D">
        <w:rPr>
          <w:rFonts w:ascii="Garamond" w:hAnsi="Garamond" w:cs="Calibri"/>
          <w:sz w:val="26"/>
          <w:szCs w:val="26"/>
          <w:lang w:val="it-IT"/>
        </w:rPr>
        <w:t xml:space="preserve">nelle scelte del legislatore. </w:t>
      </w:r>
    </w:p>
    <w:p w14:paraId="5C9FDC44" w14:textId="728B9C3A" w:rsidR="0055214A" w:rsidRPr="00902440" w:rsidRDefault="00880F9A" w:rsidP="00AD086E">
      <w:pPr>
        <w:pStyle w:val="Standard"/>
        <w:spacing w:line="360" w:lineRule="auto"/>
        <w:ind w:left="567" w:right="567" w:firstLine="141"/>
        <w:jc w:val="both"/>
        <w:rPr>
          <w:rFonts w:ascii="Garamond" w:hAnsi="Garamond"/>
          <w:sz w:val="26"/>
          <w:szCs w:val="26"/>
          <w:lang w:val="it-IT"/>
        </w:rPr>
      </w:pPr>
      <w:r>
        <w:rPr>
          <w:rFonts w:ascii="Garamond" w:hAnsi="Garamond" w:cs="Segoe UI"/>
          <w:sz w:val="26"/>
          <w:szCs w:val="26"/>
          <w:lang w:val="it-IT"/>
        </w:rPr>
        <w:t>Ne consegue che</w:t>
      </w:r>
      <w:r w:rsidR="00AD086E">
        <w:rPr>
          <w:rFonts w:ascii="Garamond" w:hAnsi="Garamond" w:cs="Segoe UI"/>
          <w:sz w:val="26"/>
          <w:szCs w:val="26"/>
          <w:lang w:val="it-IT"/>
        </w:rPr>
        <w:t xml:space="preserve">, </w:t>
      </w:r>
      <w:r w:rsidR="00655908" w:rsidRPr="008A5293">
        <w:rPr>
          <w:rFonts w:ascii="Garamond" w:hAnsi="Garamond"/>
          <w:sz w:val="26"/>
          <w:szCs w:val="26"/>
          <w:lang w:val="it-IT"/>
        </w:rPr>
        <w:t xml:space="preserve">a seguito della riforma della </w:t>
      </w:r>
      <w:r w:rsidR="00655908">
        <w:rPr>
          <w:rFonts w:ascii="Garamond" w:hAnsi="Garamond"/>
          <w:sz w:val="26"/>
          <w:szCs w:val="26"/>
          <w:lang w:val="it-IT"/>
        </w:rPr>
        <w:t>l</w:t>
      </w:r>
      <w:r w:rsidR="00655908" w:rsidRPr="008A5293">
        <w:rPr>
          <w:rFonts w:ascii="Garamond" w:hAnsi="Garamond"/>
          <w:sz w:val="26"/>
          <w:szCs w:val="26"/>
          <w:lang w:val="it-IT"/>
        </w:rPr>
        <w:t xml:space="preserve">egge </w:t>
      </w:r>
      <w:r w:rsidR="00655908">
        <w:rPr>
          <w:rFonts w:ascii="Garamond" w:hAnsi="Garamond"/>
          <w:sz w:val="26"/>
          <w:szCs w:val="26"/>
          <w:lang w:val="it-IT"/>
        </w:rPr>
        <w:t xml:space="preserve">n. </w:t>
      </w:r>
      <w:r w:rsidR="00655908" w:rsidRPr="008A5293">
        <w:rPr>
          <w:rFonts w:ascii="Garamond" w:hAnsi="Garamond"/>
          <w:sz w:val="26"/>
          <w:szCs w:val="26"/>
          <w:lang w:val="it-IT"/>
        </w:rPr>
        <w:t>15</w:t>
      </w:r>
      <w:r w:rsidR="00655908">
        <w:rPr>
          <w:rFonts w:ascii="Garamond" w:hAnsi="Garamond"/>
          <w:sz w:val="26"/>
          <w:szCs w:val="26"/>
          <w:lang w:val="it-IT"/>
        </w:rPr>
        <w:t xml:space="preserve"> del </w:t>
      </w:r>
      <w:r w:rsidR="00655908" w:rsidRPr="008A5293">
        <w:rPr>
          <w:rFonts w:ascii="Garamond" w:hAnsi="Garamond"/>
          <w:sz w:val="26"/>
          <w:szCs w:val="26"/>
          <w:lang w:val="it-IT"/>
        </w:rPr>
        <w:t xml:space="preserve">2005, </w:t>
      </w:r>
      <w:r w:rsidR="00655908" w:rsidRPr="00902440">
        <w:rPr>
          <w:rFonts w:ascii="Garamond" w:hAnsi="Garamond" w:cs="Segoe UI"/>
          <w:sz w:val="26"/>
          <w:szCs w:val="26"/>
          <w:lang w:val="it-IT"/>
        </w:rPr>
        <w:t xml:space="preserve"> l’oggetto dei </w:t>
      </w:r>
      <w:r w:rsidR="00655908">
        <w:rPr>
          <w:rFonts w:ascii="Garamond" w:hAnsi="Garamond" w:cs="Segoe UI"/>
          <w:sz w:val="26"/>
          <w:szCs w:val="26"/>
          <w:lang w:val="it-IT"/>
        </w:rPr>
        <w:t>r</w:t>
      </w:r>
      <w:r w:rsidR="00655908" w:rsidRPr="00902440">
        <w:rPr>
          <w:rFonts w:ascii="Garamond" w:hAnsi="Garamond" w:cs="Segoe UI"/>
          <w:sz w:val="26"/>
          <w:szCs w:val="26"/>
          <w:lang w:val="it-IT"/>
        </w:rPr>
        <w:t xml:space="preserve">egolamenti delle singole P.A. </w:t>
      </w:r>
      <w:r w:rsidR="00655908">
        <w:rPr>
          <w:rFonts w:ascii="Garamond" w:hAnsi="Garamond" w:cs="Segoe UI"/>
          <w:sz w:val="26"/>
          <w:szCs w:val="26"/>
          <w:lang w:val="it-IT"/>
        </w:rPr>
        <w:t xml:space="preserve">ex art. 24, comma 2, </w:t>
      </w:r>
      <w:r w:rsidR="00655908" w:rsidRPr="00902440">
        <w:rPr>
          <w:rFonts w:ascii="Garamond" w:hAnsi="Garamond" w:cs="Segoe UI"/>
          <w:sz w:val="26"/>
          <w:szCs w:val="26"/>
          <w:lang w:val="it-IT"/>
        </w:rPr>
        <w:t xml:space="preserve">non coincide </w:t>
      </w:r>
      <w:r w:rsidR="00655908">
        <w:rPr>
          <w:rFonts w:ascii="Garamond" w:hAnsi="Garamond" w:cs="Segoe UI"/>
          <w:sz w:val="26"/>
          <w:szCs w:val="26"/>
          <w:lang w:val="it-IT"/>
        </w:rPr>
        <w:t xml:space="preserve">più </w:t>
      </w:r>
      <w:r w:rsidR="00655908" w:rsidRPr="00902440">
        <w:rPr>
          <w:rFonts w:ascii="Garamond" w:hAnsi="Garamond" w:cs="Segoe UI"/>
          <w:sz w:val="26"/>
          <w:szCs w:val="26"/>
          <w:lang w:val="it-IT"/>
        </w:rPr>
        <w:t xml:space="preserve">con quello dell’adottando </w:t>
      </w:r>
      <w:r w:rsidR="00655908">
        <w:rPr>
          <w:rFonts w:ascii="Garamond" w:hAnsi="Garamond" w:cs="Segoe UI"/>
          <w:sz w:val="26"/>
          <w:szCs w:val="26"/>
          <w:lang w:val="it-IT"/>
        </w:rPr>
        <w:t>r</w:t>
      </w:r>
      <w:r w:rsidR="00655908" w:rsidRPr="00902440">
        <w:rPr>
          <w:rFonts w:ascii="Garamond" w:hAnsi="Garamond" w:cs="Segoe UI"/>
          <w:sz w:val="26"/>
          <w:szCs w:val="26"/>
          <w:lang w:val="it-IT"/>
        </w:rPr>
        <w:t xml:space="preserve">egolamento </w:t>
      </w:r>
      <w:r w:rsidR="00655908">
        <w:rPr>
          <w:rFonts w:ascii="Garamond" w:hAnsi="Garamond" w:cs="Segoe UI"/>
          <w:sz w:val="26"/>
          <w:szCs w:val="26"/>
          <w:lang w:val="it-IT"/>
        </w:rPr>
        <w:t>ex art. 24, comma 6</w:t>
      </w:r>
      <w:r w:rsidR="008B5412">
        <w:rPr>
          <w:rFonts w:ascii="Garamond" w:hAnsi="Garamond" w:cs="Segoe UI"/>
          <w:sz w:val="26"/>
          <w:szCs w:val="26"/>
          <w:lang w:val="it-IT"/>
        </w:rPr>
        <w:t xml:space="preserve">, rimesso all’esclusiva competenza del </w:t>
      </w:r>
      <w:r w:rsidR="008B5412">
        <w:rPr>
          <w:rFonts w:ascii="Garamond" w:hAnsi="Garamond" w:cs="Segoe UI"/>
          <w:sz w:val="26"/>
          <w:szCs w:val="26"/>
          <w:lang w:val="it-IT"/>
        </w:rPr>
        <w:lastRenderedPageBreak/>
        <w:t>Governo statale</w:t>
      </w:r>
      <w:r w:rsidR="00AD086E">
        <w:rPr>
          <w:rFonts w:ascii="Garamond" w:hAnsi="Garamond" w:cs="Segoe UI"/>
          <w:sz w:val="26"/>
          <w:szCs w:val="26"/>
          <w:lang w:val="it-IT"/>
        </w:rPr>
        <w:t xml:space="preserve"> </w:t>
      </w:r>
      <w:r w:rsidR="00AD086E" w:rsidRPr="00902440">
        <w:rPr>
          <w:rStyle w:val="Rimandonotaapidipagina"/>
          <w:rFonts w:ascii="Garamond" w:hAnsi="Garamond" w:cs="Segoe UI"/>
          <w:sz w:val="26"/>
          <w:szCs w:val="26"/>
          <w:lang w:val="it-IT"/>
        </w:rPr>
        <w:footnoteReference w:id="25"/>
      </w:r>
      <w:r>
        <w:rPr>
          <w:rFonts w:ascii="Garamond" w:hAnsi="Garamond" w:cs="Segoe UI"/>
          <w:sz w:val="26"/>
          <w:szCs w:val="26"/>
          <w:lang w:val="it-IT"/>
        </w:rPr>
        <w:t xml:space="preserve"> ed</w:t>
      </w:r>
      <w:r w:rsidR="00AD086E">
        <w:rPr>
          <w:rFonts w:ascii="Garamond" w:hAnsi="Garamond" w:cs="Segoe UI"/>
          <w:sz w:val="26"/>
          <w:szCs w:val="26"/>
          <w:lang w:val="it-IT"/>
        </w:rPr>
        <w:t xml:space="preserve"> </w:t>
      </w:r>
      <w:r w:rsidR="008B5412">
        <w:rPr>
          <w:rFonts w:ascii="Garamond" w:hAnsi="Garamond" w:cs="Calibri"/>
          <w:sz w:val="26"/>
          <w:szCs w:val="26"/>
          <w:lang w:val="it-IT"/>
        </w:rPr>
        <w:t xml:space="preserve">alle singole Amministrazioni </w:t>
      </w:r>
      <w:r w:rsidR="00AD086E">
        <w:rPr>
          <w:rFonts w:ascii="Garamond" w:hAnsi="Garamond" w:cs="Calibri"/>
          <w:sz w:val="26"/>
          <w:szCs w:val="26"/>
          <w:lang w:val="it-IT"/>
        </w:rPr>
        <w:t>è</w:t>
      </w:r>
      <w:r>
        <w:rPr>
          <w:rFonts w:ascii="Garamond" w:hAnsi="Garamond" w:cs="Calibri"/>
          <w:sz w:val="26"/>
          <w:szCs w:val="26"/>
          <w:lang w:val="it-IT"/>
        </w:rPr>
        <w:t>, anzi,</w:t>
      </w:r>
      <w:r w:rsidR="00AD086E">
        <w:rPr>
          <w:rFonts w:ascii="Garamond" w:hAnsi="Garamond" w:cs="Calibri"/>
          <w:sz w:val="26"/>
          <w:szCs w:val="26"/>
          <w:lang w:val="it-IT"/>
        </w:rPr>
        <w:t xml:space="preserve"> </w:t>
      </w:r>
      <w:r w:rsidR="008B5412">
        <w:rPr>
          <w:rFonts w:ascii="Garamond" w:hAnsi="Garamond" w:cs="Calibri"/>
          <w:sz w:val="26"/>
          <w:szCs w:val="26"/>
          <w:lang w:val="it-IT"/>
        </w:rPr>
        <w:t xml:space="preserve">inibito individuare </w:t>
      </w:r>
      <w:r w:rsidR="007A4240" w:rsidRPr="008A5293">
        <w:rPr>
          <w:rFonts w:ascii="Garamond" w:hAnsi="Garamond"/>
          <w:sz w:val="26"/>
          <w:szCs w:val="26"/>
          <w:lang w:val="it-IT"/>
        </w:rPr>
        <w:t xml:space="preserve">i “casi” di sottrazione all'accesso </w:t>
      </w:r>
      <w:r w:rsidR="008B5412">
        <w:rPr>
          <w:rFonts w:ascii="Garamond" w:hAnsi="Garamond"/>
          <w:sz w:val="26"/>
          <w:szCs w:val="26"/>
          <w:lang w:val="it-IT"/>
        </w:rPr>
        <w:t>in relazione al</w:t>
      </w:r>
      <w:r w:rsidR="007A4240" w:rsidRPr="008A5293">
        <w:rPr>
          <w:rFonts w:ascii="Garamond" w:hAnsi="Garamond"/>
          <w:sz w:val="26"/>
          <w:szCs w:val="26"/>
          <w:lang w:val="it-IT"/>
        </w:rPr>
        <w:t>le categorie di interessi indicati dall’art. 24, comma</w:t>
      </w:r>
      <w:r w:rsidR="007A4240" w:rsidRPr="00902440">
        <w:rPr>
          <w:rFonts w:ascii="Garamond" w:hAnsi="Garamond"/>
          <w:sz w:val="26"/>
          <w:szCs w:val="26"/>
          <w:lang w:val="it-IT"/>
        </w:rPr>
        <w:t xml:space="preserve"> 6</w:t>
      </w:r>
      <w:r w:rsidR="00AD086E">
        <w:rPr>
          <w:rFonts w:ascii="Garamond" w:hAnsi="Garamond"/>
          <w:sz w:val="26"/>
          <w:szCs w:val="26"/>
          <w:lang w:val="it-IT"/>
        </w:rPr>
        <w:t xml:space="preserve"> </w:t>
      </w:r>
      <w:r w:rsidR="0055214A" w:rsidRPr="00902440">
        <w:rPr>
          <w:rStyle w:val="Rimandonotaapidipagina"/>
          <w:rFonts w:ascii="Garamond" w:hAnsi="Garamond" w:cs="Times New Roman"/>
          <w:color w:val="000000" w:themeColor="text1"/>
          <w:sz w:val="26"/>
          <w:szCs w:val="26"/>
        </w:rPr>
        <w:footnoteReference w:id="26"/>
      </w:r>
      <w:r w:rsidR="0055214A" w:rsidRPr="00902440">
        <w:rPr>
          <w:rFonts w:ascii="Garamond" w:hAnsi="Garamond"/>
          <w:sz w:val="26"/>
          <w:szCs w:val="26"/>
          <w:lang w:val="it-IT"/>
        </w:rPr>
        <w:t>.</w:t>
      </w:r>
    </w:p>
    <w:p w14:paraId="1BA8C912" w14:textId="4E062413" w:rsidR="00C46740" w:rsidRDefault="00C46740" w:rsidP="00C46740">
      <w:pPr>
        <w:pStyle w:val="Standard"/>
        <w:spacing w:line="360" w:lineRule="auto"/>
        <w:ind w:left="567" w:right="567"/>
        <w:jc w:val="both"/>
        <w:rPr>
          <w:rFonts w:ascii="Garamond" w:hAnsi="Garamond" w:cs="Segoe UI"/>
          <w:sz w:val="26"/>
          <w:szCs w:val="26"/>
          <w:lang w:val="it-IT"/>
        </w:rPr>
      </w:pPr>
      <w:r w:rsidRPr="00902440">
        <w:rPr>
          <w:rFonts w:ascii="Garamond" w:hAnsi="Garamond" w:cs="Segoe UI"/>
          <w:sz w:val="26"/>
          <w:szCs w:val="26"/>
          <w:lang w:val="it-IT"/>
        </w:rPr>
        <w:tab/>
        <w:t xml:space="preserve">Lo si </w:t>
      </w:r>
      <w:r w:rsidR="00E0454D">
        <w:rPr>
          <w:rFonts w:ascii="Garamond" w:hAnsi="Garamond" w:cs="Segoe UI"/>
          <w:sz w:val="26"/>
          <w:szCs w:val="26"/>
          <w:lang w:val="it-IT"/>
        </w:rPr>
        <w:t>desume</w:t>
      </w:r>
      <w:r w:rsidR="00F0290D">
        <w:rPr>
          <w:rFonts w:ascii="Garamond" w:hAnsi="Garamond" w:cs="Segoe UI"/>
          <w:sz w:val="26"/>
          <w:szCs w:val="26"/>
          <w:lang w:val="it-IT"/>
        </w:rPr>
        <w:t xml:space="preserve">, sul piano letterale, dal fatto che l’art. 24, comma 2, fa esclusivo riferimento ai casi di esclusione di cui al comma 1 e non anche a quelli di cui </w:t>
      </w:r>
      <w:proofErr w:type="spellStart"/>
      <w:r w:rsidR="00F0290D">
        <w:rPr>
          <w:rFonts w:ascii="Garamond" w:hAnsi="Garamond" w:cs="Segoe UI"/>
          <w:sz w:val="26"/>
          <w:szCs w:val="26"/>
          <w:lang w:val="it-IT"/>
        </w:rPr>
        <w:t>cui</w:t>
      </w:r>
      <w:proofErr w:type="spellEnd"/>
      <w:r w:rsidR="00F0290D">
        <w:rPr>
          <w:rFonts w:ascii="Garamond" w:hAnsi="Garamond" w:cs="Segoe UI"/>
          <w:sz w:val="26"/>
          <w:szCs w:val="26"/>
          <w:lang w:val="it-IT"/>
        </w:rPr>
        <w:t xml:space="preserve"> al comma 6, e, sul piano teleologico, </w:t>
      </w:r>
      <w:r w:rsidR="00F5760E">
        <w:rPr>
          <w:rFonts w:ascii="Garamond" w:hAnsi="Garamond" w:cs="Segoe UI"/>
          <w:sz w:val="26"/>
          <w:szCs w:val="26"/>
          <w:lang w:val="it-IT"/>
        </w:rPr>
        <w:t>d</w:t>
      </w:r>
      <w:r w:rsidR="008B5412">
        <w:rPr>
          <w:rFonts w:ascii="Garamond" w:hAnsi="Garamond" w:cs="Segoe UI"/>
          <w:sz w:val="26"/>
          <w:szCs w:val="26"/>
          <w:lang w:val="it-IT"/>
        </w:rPr>
        <w:t xml:space="preserve">al rilievo </w:t>
      </w:r>
      <w:r w:rsidRPr="00902440">
        <w:rPr>
          <w:rFonts w:ascii="Garamond" w:hAnsi="Garamond" w:cs="Segoe UI"/>
          <w:sz w:val="26"/>
          <w:szCs w:val="26"/>
          <w:lang w:val="it-IT"/>
        </w:rPr>
        <w:t>che</w:t>
      </w:r>
      <w:r>
        <w:rPr>
          <w:rFonts w:ascii="Garamond" w:hAnsi="Garamond" w:cs="Segoe UI"/>
          <w:sz w:val="26"/>
          <w:szCs w:val="26"/>
          <w:lang w:val="it-IT"/>
        </w:rPr>
        <w:t xml:space="preserve">, </w:t>
      </w:r>
      <w:r w:rsidRPr="00902440">
        <w:rPr>
          <w:rFonts w:ascii="Garamond" w:hAnsi="Garamond" w:cs="Segoe UI"/>
          <w:sz w:val="26"/>
          <w:szCs w:val="26"/>
          <w:lang w:val="it-IT"/>
        </w:rPr>
        <w:t>ammettere una potestà regolamentare delle singole P.A. anche in questo ambito</w:t>
      </w:r>
      <w:r w:rsidR="00F0290D">
        <w:rPr>
          <w:rFonts w:ascii="Garamond" w:hAnsi="Garamond" w:cs="Segoe UI"/>
          <w:sz w:val="26"/>
          <w:szCs w:val="26"/>
          <w:lang w:val="it-IT"/>
        </w:rPr>
        <w:t>,</w:t>
      </w:r>
      <w:r w:rsidRPr="00902440">
        <w:rPr>
          <w:rFonts w:ascii="Garamond" w:hAnsi="Garamond" w:cs="Segoe UI"/>
          <w:sz w:val="26"/>
          <w:szCs w:val="26"/>
          <w:lang w:val="it-IT"/>
        </w:rPr>
        <w:t xml:space="preserve"> significherebbe assegnare loro una discrezionalità regolatoria incompatibile con </w:t>
      </w:r>
      <w:r w:rsidR="00CB04D7">
        <w:rPr>
          <w:rFonts w:ascii="Garamond" w:hAnsi="Garamond" w:cs="Segoe UI"/>
          <w:sz w:val="26"/>
          <w:szCs w:val="26"/>
          <w:lang w:val="it-IT"/>
        </w:rPr>
        <w:t xml:space="preserve">il principio generale di accessibilità </w:t>
      </w:r>
      <w:r w:rsidR="004021DC">
        <w:rPr>
          <w:rFonts w:ascii="Garamond" w:hAnsi="Garamond" w:cs="Segoe UI"/>
          <w:sz w:val="26"/>
          <w:szCs w:val="26"/>
          <w:lang w:val="it-IT"/>
        </w:rPr>
        <w:t xml:space="preserve">che </w:t>
      </w:r>
      <w:r w:rsidRPr="00902440">
        <w:rPr>
          <w:rFonts w:ascii="Garamond" w:hAnsi="Garamond" w:cs="Segoe UI"/>
          <w:sz w:val="26"/>
          <w:szCs w:val="26"/>
          <w:lang w:val="it-IT"/>
        </w:rPr>
        <w:t>la riforma del 2005</w:t>
      </w:r>
      <w:r w:rsidR="00CB04D7">
        <w:rPr>
          <w:rFonts w:ascii="Garamond" w:hAnsi="Garamond" w:cs="Segoe UI"/>
          <w:sz w:val="26"/>
          <w:szCs w:val="26"/>
          <w:lang w:val="it-IT"/>
        </w:rPr>
        <w:t xml:space="preserve"> </w:t>
      </w:r>
      <w:r w:rsidR="00E0454D">
        <w:rPr>
          <w:rFonts w:ascii="Garamond" w:hAnsi="Garamond" w:cs="Segoe UI"/>
          <w:sz w:val="26"/>
          <w:szCs w:val="26"/>
          <w:lang w:val="it-IT"/>
        </w:rPr>
        <w:t xml:space="preserve">ha inteso affermare </w:t>
      </w:r>
      <w:r w:rsidR="00CB04D7">
        <w:rPr>
          <w:rFonts w:ascii="Garamond" w:hAnsi="Garamond" w:cs="Segoe UI"/>
          <w:sz w:val="26"/>
          <w:szCs w:val="26"/>
          <w:lang w:val="it-IT"/>
        </w:rPr>
        <w:t>(in particolare con il nuovo art. 22, commi 2 e 3, l. n. 241</w:t>
      </w:r>
      <w:r w:rsidR="00880F9A">
        <w:rPr>
          <w:rFonts w:ascii="Garamond" w:hAnsi="Garamond" w:cs="Segoe UI"/>
          <w:sz w:val="26"/>
          <w:szCs w:val="26"/>
          <w:lang w:val="it-IT"/>
        </w:rPr>
        <w:t xml:space="preserve"> del 19</w:t>
      </w:r>
      <w:r w:rsidR="00CB04D7">
        <w:rPr>
          <w:rFonts w:ascii="Garamond" w:hAnsi="Garamond" w:cs="Segoe UI"/>
          <w:sz w:val="26"/>
          <w:szCs w:val="26"/>
          <w:lang w:val="it-IT"/>
        </w:rPr>
        <w:t>90).</w:t>
      </w:r>
    </w:p>
    <w:p w14:paraId="7BA9E0C0" w14:textId="728240AC" w:rsidR="00CB04D7" w:rsidRDefault="00CB04D7" w:rsidP="00AD086E">
      <w:pPr>
        <w:pStyle w:val="Standard"/>
        <w:spacing w:line="360" w:lineRule="auto"/>
        <w:ind w:left="567" w:right="567"/>
        <w:jc w:val="both"/>
        <w:rPr>
          <w:rFonts w:ascii="Garamond" w:hAnsi="Garamond" w:cs="Segoe UI"/>
          <w:sz w:val="26"/>
          <w:szCs w:val="26"/>
          <w:lang w:val="it-IT"/>
        </w:rPr>
      </w:pPr>
      <w:r w:rsidRPr="00902440">
        <w:rPr>
          <w:rFonts w:ascii="Garamond" w:hAnsi="Garamond" w:cs="Segoe UI"/>
          <w:sz w:val="26"/>
          <w:szCs w:val="26"/>
          <w:lang w:val="it-IT"/>
        </w:rPr>
        <w:tab/>
        <w:t>La questione si è posta</w:t>
      </w:r>
      <w:r w:rsidR="00AD086E">
        <w:rPr>
          <w:rFonts w:ascii="Garamond" w:hAnsi="Garamond" w:cs="Segoe UI"/>
          <w:sz w:val="26"/>
          <w:szCs w:val="26"/>
          <w:lang w:val="it-IT"/>
        </w:rPr>
        <w:t xml:space="preserve">, </w:t>
      </w:r>
      <w:r w:rsidR="002A2847">
        <w:rPr>
          <w:rFonts w:ascii="Garamond" w:hAnsi="Garamond" w:cs="Segoe UI"/>
          <w:sz w:val="26"/>
          <w:szCs w:val="26"/>
          <w:lang w:val="it-IT"/>
        </w:rPr>
        <w:t xml:space="preserve">in particolare, </w:t>
      </w:r>
      <w:r w:rsidRPr="00902440">
        <w:rPr>
          <w:rFonts w:ascii="Garamond" w:hAnsi="Garamond" w:cs="Segoe UI"/>
          <w:sz w:val="26"/>
          <w:szCs w:val="26"/>
          <w:lang w:val="it-IT"/>
        </w:rPr>
        <w:t xml:space="preserve">per </w:t>
      </w:r>
      <w:r w:rsidR="00AD086E">
        <w:rPr>
          <w:rFonts w:ascii="Garamond" w:hAnsi="Garamond" w:cs="Segoe UI"/>
          <w:sz w:val="26"/>
          <w:szCs w:val="26"/>
          <w:lang w:val="it-IT"/>
        </w:rPr>
        <w:t>quel</w:t>
      </w:r>
      <w:r w:rsidRPr="00902440">
        <w:rPr>
          <w:rFonts w:ascii="Garamond" w:hAnsi="Garamond" w:cs="Segoe UI"/>
          <w:sz w:val="26"/>
          <w:szCs w:val="26"/>
          <w:lang w:val="it-IT"/>
        </w:rPr>
        <w:t xml:space="preserve">le </w:t>
      </w:r>
      <w:r w:rsidR="00AD086E" w:rsidRPr="00902440">
        <w:rPr>
          <w:rFonts w:ascii="Garamond" w:hAnsi="Garamond" w:cs="Segoe UI"/>
          <w:sz w:val="26"/>
          <w:szCs w:val="26"/>
          <w:lang w:val="it-IT"/>
        </w:rPr>
        <w:t xml:space="preserve">norme regolamentari </w:t>
      </w:r>
      <w:r w:rsidR="00AD086E">
        <w:rPr>
          <w:rFonts w:ascii="Garamond" w:hAnsi="Garamond" w:cs="Segoe UI"/>
          <w:sz w:val="26"/>
          <w:szCs w:val="26"/>
          <w:lang w:val="it-IT"/>
        </w:rPr>
        <w:t>delle P.A. prevedenti l’</w:t>
      </w:r>
      <w:r w:rsidR="00AD086E" w:rsidRPr="00902440">
        <w:rPr>
          <w:rFonts w:ascii="Garamond" w:hAnsi="Garamond" w:cs="Segoe UI"/>
          <w:sz w:val="26"/>
          <w:szCs w:val="26"/>
          <w:lang w:val="it-IT"/>
        </w:rPr>
        <w:t xml:space="preserve">esclusione </w:t>
      </w:r>
      <w:r w:rsidR="00AD086E">
        <w:rPr>
          <w:rFonts w:ascii="Garamond" w:hAnsi="Garamond" w:cs="Segoe UI"/>
          <w:sz w:val="26"/>
          <w:szCs w:val="26"/>
          <w:lang w:val="it-IT"/>
        </w:rPr>
        <w:t xml:space="preserve">dell’accesso </w:t>
      </w:r>
      <w:r w:rsidR="00880F9A">
        <w:rPr>
          <w:rFonts w:ascii="Garamond" w:hAnsi="Garamond" w:cs="Segoe UI"/>
          <w:sz w:val="26"/>
          <w:szCs w:val="26"/>
          <w:lang w:val="it-IT"/>
        </w:rPr>
        <w:t xml:space="preserve">documentale </w:t>
      </w:r>
      <w:r w:rsidR="00AD086E">
        <w:rPr>
          <w:rFonts w:ascii="Garamond" w:hAnsi="Garamond" w:cs="Segoe UI"/>
          <w:sz w:val="26"/>
          <w:szCs w:val="26"/>
          <w:lang w:val="it-IT"/>
        </w:rPr>
        <w:t xml:space="preserve">per ragioni di </w:t>
      </w:r>
      <w:r w:rsidRPr="00902440">
        <w:rPr>
          <w:rFonts w:ascii="Garamond" w:hAnsi="Garamond" w:cs="Segoe UI"/>
          <w:sz w:val="26"/>
          <w:szCs w:val="26"/>
          <w:lang w:val="it-IT"/>
        </w:rPr>
        <w:t>tutela del diritto all</w:t>
      </w:r>
      <w:r>
        <w:rPr>
          <w:rFonts w:ascii="Garamond" w:hAnsi="Garamond" w:cs="Segoe UI"/>
          <w:sz w:val="26"/>
          <w:szCs w:val="26"/>
          <w:lang w:val="it-IT"/>
        </w:rPr>
        <w:t xml:space="preserve">a </w:t>
      </w:r>
      <w:r w:rsidRPr="00902440">
        <w:rPr>
          <w:rFonts w:ascii="Garamond" w:hAnsi="Garamond" w:cs="Segoe UI"/>
          <w:sz w:val="26"/>
          <w:szCs w:val="26"/>
          <w:lang w:val="it-IT"/>
        </w:rPr>
        <w:t>riservatezza delle persone fisiche e giuridiche</w:t>
      </w:r>
      <w:r>
        <w:rPr>
          <w:rFonts w:ascii="Garamond" w:hAnsi="Garamond" w:cs="Segoe UI"/>
          <w:sz w:val="26"/>
          <w:szCs w:val="26"/>
          <w:lang w:val="it-IT"/>
        </w:rPr>
        <w:t xml:space="preserve"> </w:t>
      </w:r>
      <w:r w:rsidR="002A2847">
        <w:rPr>
          <w:rFonts w:ascii="Garamond" w:hAnsi="Garamond" w:cs="Segoe UI"/>
          <w:sz w:val="26"/>
          <w:szCs w:val="26"/>
          <w:lang w:val="it-IT"/>
        </w:rPr>
        <w:t xml:space="preserve">(interesse privato contemplato dall’art. 24, comma 6) </w:t>
      </w:r>
      <w:r w:rsidRPr="00902440">
        <w:rPr>
          <w:rStyle w:val="Rimandonotaapidipagina"/>
          <w:rFonts w:ascii="Garamond" w:hAnsi="Garamond" w:cs="Segoe UI"/>
          <w:sz w:val="26"/>
          <w:szCs w:val="26"/>
          <w:lang w:val="it-IT"/>
        </w:rPr>
        <w:footnoteReference w:id="27"/>
      </w:r>
      <w:r w:rsidR="00AD086E">
        <w:rPr>
          <w:rFonts w:ascii="Garamond" w:hAnsi="Garamond" w:cs="Segoe UI"/>
          <w:sz w:val="26"/>
          <w:szCs w:val="26"/>
          <w:lang w:val="it-IT"/>
        </w:rPr>
        <w:t>,</w:t>
      </w:r>
      <w:r w:rsidRPr="00902440">
        <w:rPr>
          <w:rFonts w:ascii="Garamond" w:hAnsi="Garamond" w:cs="Segoe UI"/>
          <w:sz w:val="26"/>
          <w:szCs w:val="26"/>
          <w:lang w:val="it-IT"/>
        </w:rPr>
        <w:t xml:space="preserve"> </w:t>
      </w:r>
      <w:r w:rsidR="00AD086E">
        <w:rPr>
          <w:rFonts w:ascii="Garamond" w:hAnsi="Garamond" w:cs="Segoe UI"/>
          <w:sz w:val="26"/>
          <w:szCs w:val="26"/>
          <w:lang w:val="it-IT"/>
        </w:rPr>
        <w:t xml:space="preserve">che </w:t>
      </w:r>
      <w:r w:rsidRPr="00902440">
        <w:rPr>
          <w:rFonts w:ascii="Garamond" w:hAnsi="Garamond" w:cs="Segoe UI"/>
          <w:sz w:val="26"/>
          <w:szCs w:val="26"/>
          <w:lang w:val="it-IT"/>
        </w:rPr>
        <w:t xml:space="preserve">la giurisprudenza </w:t>
      </w:r>
      <w:r w:rsidR="00F5760E">
        <w:rPr>
          <w:rFonts w:ascii="Garamond" w:hAnsi="Garamond" w:cs="Segoe UI"/>
          <w:sz w:val="26"/>
          <w:szCs w:val="26"/>
          <w:lang w:val="it-IT"/>
        </w:rPr>
        <w:t xml:space="preserve">ha </w:t>
      </w:r>
      <w:r w:rsidR="002A2847">
        <w:rPr>
          <w:rFonts w:ascii="Garamond" w:hAnsi="Garamond" w:cs="Segoe UI"/>
          <w:sz w:val="26"/>
          <w:szCs w:val="26"/>
          <w:lang w:val="it-IT"/>
        </w:rPr>
        <w:t>riten</w:t>
      </w:r>
      <w:r w:rsidR="00F5760E">
        <w:rPr>
          <w:rFonts w:ascii="Garamond" w:hAnsi="Garamond" w:cs="Segoe UI"/>
          <w:sz w:val="26"/>
          <w:szCs w:val="26"/>
          <w:lang w:val="it-IT"/>
        </w:rPr>
        <w:t>uto</w:t>
      </w:r>
      <w:r w:rsidR="002A2847">
        <w:rPr>
          <w:rFonts w:ascii="Garamond" w:hAnsi="Garamond" w:cs="Segoe UI"/>
          <w:sz w:val="26"/>
          <w:szCs w:val="26"/>
          <w:lang w:val="it-IT"/>
        </w:rPr>
        <w:t xml:space="preserve"> </w:t>
      </w:r>
      <w:r w:rsidRPr="00902440">
        <w:rPr>
          <w:rFonts w:ascii="Garamond" w:hAnsi="Garamond" w:cs="Segoe UI"/>
          <w:sz w:val="26"/>
          <w:szCs w:val="26"/>
          <w:lang w:val="it-IT"/>
        </w:rPr>
        <w:t xml:space="preserve">illegittime (e quindi disapplicabili dal Giudice amministrativo) </w:t>
      </w:r>
      <w:r w:rsidR="00AD086E">
        <w:rPr>
          <w:rFonts w:ascii="Garamond" w:hAnsi="Garamond" w:cs="Segoe UI"/>
          <w:sz w:val="26"/>
          <w:szCs w:val="26"/>
          <w:lang w:val="it-IT"/>
        </w:rPr>
        <w:t>in quanto estranee all</w:t>
      </w:r>
      <w:r w:rsidR="002A2847">
        <w:rPr>
          <w:rFonts w:ascii="Garamond" w:hAnsi="Garamond" w:cs="Segoe UI"/>
          <w:sz w:val="26"/>
          <w:szCs w:val="26"/>
          <w:lang w:val="it-IT"/>
        </w:rPr>
        <w:t xml:space="preserve">a loro potestà regolamentare </w:t>
      </w:r>
      <w:r w:rsidRPr="00902440">
        <w:rPr>
          <w:rStyle w:val="Rimandonotaapidipagina"/>
          <w:rFonts w:ascii="Garamond" w:hAnsi="Garamond" w:cs="Segoe UI"/>
          <w:sz w:val="26"/>
          <w:szCs w:val="26"/>
          <w:lang w:val="it-IT"/>
        </w:rPr>
        <w:footnoteReference w:id="28"/>
      </w:r>
      <w:r w:rsidRPr="00902440">
        <w:rPr>
          <w:rFonts w:ascii="Garamond" w:hAnsi="Garamond" w:cs="Segoe UI"/>
          <w:sz w:val="26"/>
          <w:szCs w:val="26"/>
          <w:lang w:val="it-IT"/>
        </w:rPr>
        <w:t>.</w:t>
      </w:r>
    </w:p>
    <w:p w14:paraId="539446BF" w14:textId="520E34F1" w:rsidR="00CB04D7" w:rsidRPr="00362159" w:rsidRDefault="00362159" w:rsidP="00902440">
      <w:pPr>
        <w:pStyle w:val="Standard"/>
        <w:spacing w:line="360" w:lineRule="auto"/>
        <w:ind w:left="567" w:right="567"/>
        <w:jc w:val="both"/>
        <w:rPr>
          <w:rFonts w:ascii="Garamond" w:hAnsi="Garamond" w:cs="Segoe UI"/>
          <w:sz w:val="26"/>
          <w:szCs w:val="26"/>
          <w:lang w:val="it-IT"/>
        </w:rPr>
      </w:pPr>
      <w:r>
        <w:rPr>
          <w:rFonts w:ascii="Garamond" w:hAnsi="Garamond" w:cs="Segoe UI"/>
          <w:sz w:val="26"/>
          <w:szCs w:val="26"/>
          <w:lang w:val="it-IT"/>
        </w:rPr>
        <w:tab/>
        <w:t>Rimane</w:t>
      </w:r>
      <w:r w:rsidR="002A2847">
        <w:rPr>
          <w:rFonts w:ascii="Garamond" w:hAnsi="Garamond" w:cs="Segoe UI"/>
          <w:sz w:val="26"/>
          <w:szCs w:val="26"/>
          <w:lang w:val="it-IT"/>
        </w:rPr>
        <w:t xml:space="preserve">, </w:t>
      </w:r>
      <w:r w:rsidR="00F5760E">
        <w:rPr>
          <w:rFonts w:ascii="Garamond" w:hAnsi="Garamond" w:cs="Segoe UI"/>
          <w:sz w:val="26"/>
          <w:szCs w:val="26"/>
          <w:lang w:val="it-IT"/>
        </w:rPr>
        <w:t>quindi</w:t>
      </w:r>
      <w:r w:rsidR="002A2847">
        <w:rPr>
          <w:rFonts w:ascii="Garamond" w:hAnsi="Garamond" w:cs="Segoe UI"/>
          <w:sz w:val="26"/>
          <w:szCs w:val="26"/>
          <w:lang w:val="it-IT"/>
        </w:rPr>
        <w:t>,</w:t>
      </w:r>
      <w:r>
        <w:rPr>
          <w:rFonts w:ascii="Garamond" w:hAnsi="Garamond" w:cs="Segoe UI"/>
          <w:sz w:val="26"/>
          <w:szCs w:val="26"/>
          <w:lang w:val="it-IT"/>
        </w:rPr>
        <w:t xml:space="preserve"> da capire quale sia effettivamente l’ambito oggettivo di </w:t>
      </w:r>
      <w:r w:rsidR="00880F9A">
        <w:rPr>
          <w:rFonts w:ascii="Garamond" w:hAnsi="Garamond" w:cs="Segoe UI"/>
          <w:sz w:val="26"/>
          <w:szCs w:val="26"/>
          <w:lang w:val="it-IT"/>
        </w:rPr>
        <w:t xml:space="preserve">operatività </w:t>
      </w:r>
      <w:r>
        <w:rPr>
          <w:rFonts w:ascii="Garamond" w:hAnsi="Garamond" w:cs="Segoe UI"/>
          <w:sz w:val="26"/>
          <w:szCs w:val="26"/>
          <w:lang w:val="it-IT"/>
        </w:rPr>
        <w:t>dei regolamenti delle</w:t>
      </w:r>
      <w:r w:rsidRPr="00362159">
        <w:rPr>
          <w:rFonts w:ascii="Garamond" w:hAnsi="Garamond" w:cs="Segoe UI"/>
          <w:sz w:val="26"/>
          <w:szCs w:val="26"/>
          <w:lang w:val="it-IT"/>
        </w:rPr>
        <w:t xml:space="preserve"> singole P.A. </w:t>
      </w:r>
      <w:r>
        <w:rPr>
          <w:rFonts w:ascii="Garamond" w:hAnsi="Garamond" w:cs="Segoe UI"/>
          <w:sz w:val="26"/>
          <w:szCs w:val="26"/>
          <w:lang w:val="it-IT"/>
        </w:rPr>
        <w:t xml:space="preserve">ex art. 24, comma 2, l. n. 241 del 1990 </w:t>
      </w:r>
      <w:r w:rsidRPr="00362159">
        <w:rPr>
          <w:rFonts w:ascii="Garamond" w:hAnsi="Garamond" w:cs="Segoe UI"/>
          <w:sz w:val="26"/>
          <w:szCs w:val="26"/>
          <w:lang w:val="it-IT"/>
        </w:rPr>
        <w:t>e, conseguentemente, la loro natura giuridica.</w:t>
      </w:r>
    </w:p>
    <w:p w14:paraId="683D0251" w14:textId="0C053B97" w:rsidR="00362159" w:rsidRPr="005068BF" w:rsidRDefault="00362159" w:rsidP="005068BF">
      <w:pPr>
        <w:pStyle w:val="Standard"/>
        <w:spacing w:line="360" w:lineRule="auto"/>
        <w:ind w:left="567" w:right="567"/>
        <w:jc w:val="both"/>
        <w:rPr>
          <w:rFonts w:ascii="Garamond" w:hAnsi="Garamond" w:cs="Calibri"/>
          <w:sz w:val="26"/>
          <w:szCs w:val="26"/>
          <w:lang w:val="it-IT"/>
        </w:rPr>
      </w:pPr>
      <w:r w:rsidRPr="00362159">
        <w:rPr>
          <w:rFonts w:ascii="Garamond" w:hAnsi="Garamond"/>
          <w:sz w:val="26"/>
          <w:szCs w:val="26"/>
          <w:lang w:val="it-IT"/>
        </w:rPr>
        <w:tab/>
        <w:t xml:space="preserve">Sul punto </w:t>
      </w:r>
      <w:bookmarkStart w:id="8" w:name="_Hlk71727740"/>
      <w:r>
        <w:rPr>
          <w:rFonts w:ascii="Garamond" w:hAnsi="Garamond"/>
          <w:sz w:val="26"/>
          <w:szCs w:val="26"/>
          <w:lang w:val="it-IT"/>
        </w:rPr>
        <w:t xml:space="preserve">gli interpreti </w:t>
      </w:r>
      <w:r w:rsidR="004021DC">
        <w:rPr>
          <w:rFonts w:ascii="Garamond" w:hAnsi="Garamond"/>
          <w:sz w:val="26"/>
          <w:szCs w:val="26"/>
          <w:lang w:val="it-IT"/>
        </w:rPr>
        <w:t xml:space="preserve">concordano </w:t>
      </w:r>
      <w:r>
        <w:rPr>
          <w:rFonts w:ascii="Garamond" w:hAnsi="Garamond"/>
          <w:sz w:val="26"/>
          <w:szCs w:val="26"/>
          <w:lang w:val="it-IT"/>
        </w:rPr>
        <w:t xml:space="preserve">nel ritenere che </w:t>
      </w:r>
      <w:r w:rsidR="005068BF">
        <w:rPr>
          <w:rFonts w:ascii="Garamond" w:hAnsi="Garamond"/>
          <w:sz w:val="26"/>
          <w:szCs w:val="26"/>
          <w:lang w:val="it-IT"/>
        </w:rPr>
        <w:t>ai sud</w:t>
      </w:r>
      <w:r>
        <w:rPr>
          <w:rFonts w:ascii="Garamond" w:hAnsi="Garamond"/>
          <w:sz w:val="26"/>
          <w:szCs w:val="26"/>
          <w:lang w:val="it-IT"/>
        </w:rPr>
        <w:t xml:space="preserve">detti regolamenti </w:t>
      </w:r>
      <w:r w:rsidR="00AD086E">
        <w:rPr>
          <w:rFonts w:ascii="Garamond" w:hAnsi="Garamond"/>
          <w:sz w:val="26"/>
          <w:szCs w:val="26"/>
          <w:lang w:val="it-IT"/>
        </w:rPr>
        <w:t>è</w:t>
      </w:r>
      <w:r w:rsidR="005068BF">
        <w:rPr>
          <w:rFonts w:ascii="Garamond" w:hAnsi="Garamond"/>
          <w:sz w:val="26"/>
          <w:szCs w:val="26"/>
          <w:lang w:val="it-IT"/>
        </w:rPr>
        <w:t xml:space="preserve"> demandato </w:t>
      </w:r>
      <w:r w:rsidRPr="00362159">
        <w:rPr>
          <w:rFonts w:ascii="Garamond" w:hAnsi="Garamond" w:cs="Calibri"/>
          <w:sz w:val="26"/>
          <w:szCs w:val="26"/>
          <w:lang w:val="it-IT"/>
        </w:rPr>
        <w:t xml:space="preserve">il compito di </w:t>
      </w:r>
      <w:r w:rsidR="005068BF">
        <w:rPr>
          <w:rFonts w:ascii="Garamond" w:hAnsi="Garamond" w:cs="Calibri"/>
          <w:sz w:val="26"/>
          <w:szCs w:val="26"/>
          <w:lang w:val="it-IT"/>
        </w:rPr>
        <w:t>effettuare una ricognizione</w:t>
      </w:r>
      <w:r w:rsidR="004021DC">
        <w:rPr>
          <w:rFonts w:ascii="Garamond" w:hAnsi="Garamond" w:cs="Calibri"/>
          <w:sz w:val="26"/>
          <w:szCs w:val="26"/>
          <w:lang w:val="it-IT"/>
        </w:rPr>
        <w:t>, a valenza meramente “dichiarativa”</w:t>
      </w:r>
      <w:r w:rsidR="00AD086E">
        <w:rPr>
          <w:rFonts w:ascii="Garamond" w:hAnsi="Garamond" w:cs="Calibri"/>
          <w:sz w:val="26"/>
          <w:szCs w:val="26"/>
          <w:lang w:val="it-IT"/>
        </w:rPr>
        <w:t>,</w:t>
      </w:r>
      <w:r w:rsidR="005068BF">
        <w:rPr>
          <w:rFonts w:ascii="Garamond" w:hAnsi="Garamond" w:cs="Calibri"/>
          <w:sz w:val="26"/>
          <w:szCs w:val="26"/>
          <w:lang w:val="it-IT"/>
        </w:rPr>
        <w:t xml:space="preserve"> de</w:t>
      </w:r>
      <w:r w:rsidRPr="00362159">
        <w:rPr>
          <w:rFonts w:ascii="Garamond" w:hAnsi="Garamond" w:cs="Calibri"/>
          <w:sz w:val="26"/>
          <w:szCs w:val="26"/>
          <w:lang w:val="it-IT"/>
        </w:rPr>
        <w:t xml:space="preserve">i </w:t>
      </w:r>
      <w:r>
        <w:rPr>
          <w:rFonts w:ascii="Garamond" w:hAnsi="Garamond" w:cs="Calibri"/>
          <w:sz w:val="26"/>
          <w:szCs w:val="26"/>
          <w:lang w:val="it-IT"/>
        </w:rPr>
        <w:t>“</w:t>
      </w:r>
      <w:r w:rsidRPr="00362159">
        <w:rPr>
          <w:rFonts w:ascii="Garamond" w:hAnsi="Garamond" w:cs="Calibri"/>
          <w:sz w:val="26"/>
          <w:szCs w:val="26"/>
          <w:lang w:val="it-IT"/>
        </w:rPr>
        <w:t>casi</w:t>
      </w:r>
      <w:r>
        <w:rPr>
          <w:rFonts w:ascii="Garamond" w:hAnsi="Garamond" w:cs="Calibri"/>
          <w:sz w:val="26"/>
          <w:szCs w:val="26"/>
          <w:lang w:val="it-IT"/>
        </w:rPr>
        <w:t>”</w:t>
      </w:r>
      <w:r w:rsidRPr="00362159">
        <w:rPr>
          <w:rFonts w:ascii="Garamond" w:hAnsi="Garamond" w:cs="Calibri"/>
          <w:sz w:val="26"/>
          <w:szCs w:val="26"/>
          <w:lang w:val="it-IT"/>
        </w:rPr>
        <w:t xml:space="preserve"> di esclusione dell’accesso </w:t>
      </w:r>
      <w:r w:rsidRPr="00902440">
        <w:rPr>
          <w:rFonts w:ascii="Garamond" w:hAnsi="Garamond"/>
          <w:sz w:val="26"/>
          <w:szCs w:val="26"/>
          <w:lang w:val="it-IT"/>
        </w:rPr>
        <w:t xml:space="preserve">già tassativamente </w:t>
      </w:r>
      <w:r>
        <w:rPr>
          <w:rFonts w:ascii="Garamond" w:hAnsi="Garamond"/>
          <w:sz w:val="26"/>
          <w:szCs w:val="26"/>
          <w:lang w:val="it-IT"/>
        </w:rPr>
        <w:t xml:space="preserve">stabiliti </w:t>
      </w:r>
      <w:r w:rsidRPr="00902440">
        <w:rPr>
          <w:rFonts w:ascii="Garamond" w:hAnsi="Garamond"/>
          <w:sz w:val="26"/>
          <w:szCs w:val="26"/>
          <w:lang w:val="it-IT"/>
        </w:rPr>
        <w:t xml:space="preserve">dalla </w:t>
      </w:r>
      <w:r>
        <w:rPr>
          <w:rFonts w:ascii="Garamond" w:hAnsi="Garamond"/>
          <w:sz w:val="26"/>
          <w:szCs w:val="26"/>
          <w:lang w:val="it-IT"/>
        </w:rPr>
        <w:t>l</w:t>
      </w:r>
      <w:r w:rsidRPr="00902440">
        <w:rPr>
          <w:rFonts w:ascii="Garamond" w:hAnsi="Garamond"/>
          <w:sz w:val="26"/>
          <w:szCs w:val="26"/>
          <w:lang w:val="it-IT"/>
        </w:rPr>
        <w:t>egge</w:t>
      </w:r>
      <w:r w:rsidR="005068BF">
        <w:rPr>
          <w:rFonts w:ascii="Garamond" w:hAnsi="Garamond"/>
          <w:sz w:val="26"/>
          <w:szCs w:val="26"/>
          <w:lang w:val="it-IT"/>
        </w:rPr>
        <w:t xml:space="preserve"> (ex </w:t>
      </w:r>
      <w:r w:rsidRPr="00362159">
        <w:rPr>
          <w:rFonts w:ascii="Garamond" w:hAnsi="Garamond" w:cs="Calibri"/>
          <w:sz w:val="26"/>
          <w:szCs w:val="26"/>
          <w:lang w:val="it-IT"/>
        </w:rPr>
        <w:t>art. 24, comma 1</w:t>
      </w:r>
      <w:r w:rsidR="005068BF">
        <w:rPr>
          <w:rFonts w:ascii="Garamond" w:hAnsi="Garamond" w:cs="Calibri"/>
          <w:sz w:val="26"/>
          <w:szCs w:val="26"/>
          <w:lang w:val="it-IT"/>
        </w:rPr>
        <w:t>)</w:t>
      </w:r>
      <w:r w:rsidR="004021DC">
        <w:rPr>
          <w:rFonts w:ascii="Garamond" w:hAnsi="Garamond" w:cs="Calibri"/>
          <w:sz w:val="26"/>
          <w:szCs w:val="26"/>
          <w:lang w:val="it-IT"/>
        </w:rPr>
        <w:t xml:space="preserve"> </w:t>
      </w:r>
      <w:r w:rsidR="005068BF" w:rsidRPr="005068BF">
        <w:rPr>
          <w:rStyle w:val="Rimandonotaapidipagina"/>
          <w:rFonts w:ascii="Garamond" w:hAnsi="Garamond" w:cs="Segoe UI"/>
          <w:sz w:val="26"/>
          <w:szCs w:val="26"/>
          <w:lang w:val="it-IT"/>
        </w:rPr>
        <w:footnoteReference w:id="29"/>
      </w:r>
      <w:r w:rsidR="005068BF" w:rsidRPr="005068BF">
        <w:rPr>
          <w:rFonts w:ascii="Garamond" w:hAnsi="Garamond" w:cs="Calibri"/>
          <w:sz w:val="26"/>
          <w:szCs w:val="26"/>
          <w:lang w:val="it-IT"/>
        </w:rPr>
        <w:t>.</w:t>
      </w:r>
    </w:p>
    <w:bookmarkEnd w:id="8"/>
    <w:p w14:paraId="3FC08F3B" w14:textId="4FD36A3E" w:rsidR="005068BF" w:rsidRDefault="005068BF" w:rsidP="00902440">
      <w:pPr>
        <w:pStyle w:val="Standard"/>
        <w:spacing w:line="360" w:lineRule="auto"/>
        <w:ind w:left="567" w:right="567"/>
        <w:jc w:val="both"/>
        <w:rPr>
          <w:rFonts w:ascii="Garamond" w:hAnsi="Garamond"/>
          <w:sz w:val="26"/>
          <w:szCs w:val="26"/>
          <w:lang w:val="it-IT"/>
        </w:rPr>
      </w:pPr>
      <w:r w:rsidRPr="005068BF">
        <w:rPr>
          <w:rFonts w:ascii="Garamond" w:hAnsi="Garamond"/>
          <w:sz w:val="26"/>
          <w:szCs w:val="26"/>
          <w:lang w:val="it-IT"/>
        </w:rPr>
        <w:lastRenderedPageBreak/>
        <w:tab/>
      </w:r>
      <w:r w:rsidR="00A2470C">
        <w:rPr>
          <w:rFonts w:ascii="Garamond" w:hAnsi="Garamond"/>
          <w:sz w:val="26"/>
          <w:szCs w:val="26"/>
          <w:lang w:val="it-IT"/>
        </w:rPr>
        <w:t xml:space="preserve">Quindi, </w:t>
      </w:r>
      <w:r>
        <w:rPr>
          <w:rFonts w:ascii="Garamond" w:hAnsi="Garamond"/>
          <w:sz w:val="26"/>
          <w:szCs w:val="26"/>
          <w:lang w:val="it-IT"/>
        </w:rPr>
        <w:t xml:space="preserve">una sorta </w:t>
      </w:r>
      <w:r w:rsidRPr="005068BF">
        <w:rPr>
          <w:rFonts w:ascii="Garamond" w:hAnsi="Garamond"/>
          <w:sz w:val="26"/>
          <w:szCs w:val="26"/>
          <w:lang w:val="it-IT"/>
        </w:rPr>
        <w:t xml:space="preserve">di </w:t>
      </w:r>
      <w:r w:rsidR="008A5293" w:rsidRPr="00902440">
        <w:rPr>
          <w:rFonts w:ascii="Garamond" w:hAnsi="Garamond"/>
          <w:sz w:val="26"/>
          <w:szCs w:val="26"/>
          <w:lang w:val="it-IT"/>
        </w:rPr>
        <w:t>“</w:t>
      </w:r>
      <w:r>
        <w:rPr>
          <w:rFonts w:ascii="Garamond" w:hAnsi="Garamond"/>
          <w:sz w:val="26"/>
          <w:szCs w:val="26"/>
          <w:lang w:val="it-IT"/>
        </w:rPr>
        <w:t>r</w:t>
      </w:r>
      <w:r w:rsidR="008A5293" w:rsidRPr="00902440">
        <w:rPr>
          <w:rFonts w:ascii="Garamond" w:hAnsi="Garamond"/>
          <w:sz w:val="26"/>
          <w:szCs w:val="26"/>
          <w:lang w:val="it-IT"/>
        </w:rPr>
        <w:t xml:space="preserve">egolamenti </w:t>
      </w:r>
      <w:r w:rsidR="003978E6">
        <w:rPr>
          <w:rFonts w:ascii="Garamond" w:hAnsi="Garamond"/>
          <w:sz w:val="26"/>
          <w:szCs w:val="26"/>
          <w:lang w:val="it-IT"/>
        </w:rPr>
        <w:t>esecutivi</w:t>
      </w:r>
      <w:r w:rsidR="008A5293" w:rsidRPr="00902440">
        <w:rPr>
          <w:rFonts w:ascii="Garamond" w:hAnsi="Garamond"/>
          <w:sz w:val="26"/>
          <w:szCs w:val="26"/>
          <w:lang w:val="it-IT"/>
        </w:rPr>
        <w:t xml:space="preserve">” dell’art. 24 comma 1, </w:t>
      </w:r>
      <w:r>
        <w:rPr>
          <w:rFonts w:ascii="Garamond" w:hAnsi="Garamond"/>
          <w:sz w:val="26"/>
          <w:szCs w:val="26"/>
          <w:lang w:val="it-IT"/>
        </w:rPr>
        <w:t>della legge n. 241 del 1990</w:t>
      </w:r>
      <w:r w:rsidR="00A2470C">
        <w:rPr>
          <w:rFonts w:ascii="Garamond" w:hAnsi="Garamond"/>
          <w:sz w:val="26"/>
          <w:szCs w:val="26"/>
          <w:lang w:val="it-IT"/>
        </w:rPr>
        <w:t>.</w:t>
      </w:r>
      <w:r>
        <w:rPr>
          <w:rFonts w:ascii="Garamond" w:hAnsi="Garamond"/>
          <w:sz w:val="26"/>
          <w:szCs w:val="26"/>
          <w:lang w:val="it-IT"/>
        </w:rPr>
        <w:t xml:space="preserve"> </w:t>
      </w:r>
    </w:p>
    <w:p w14:paraId="10AC1502" w14:textId="32E6A393" w:rsidR="005068BF" w:rsidRDefault="00A2470C" w:rsidP="00902440">
      <w:pPr>
        <w:pStyle w:val="Standard"/>
        <w:spacing w:line="360" w:lineRule="auto"/>
        <w:ind w:left="567" w:right="567"/>
        <w:jc w:val="both"/>
        <w:rPr>
          <w:rFonts w:ascii="Garamond" w:hAnsi="Garamond"/>
          <w:sz w:val="26"/>
          <w:szCs w:val="26"/>
          <w:lang w:val="it-IT"/>
        </w:rPr>
      </w:pPr>
      <w:r>
        <w:rPr>
          <w:rFonts w:ascii="Garamond" w:hAnsi="Garamond"/>
          <w:sz w:val="26"/>
          <w:szCs w:val="26"/>
          <w:lang w:val="it-IT"/>
        </w:rPr>
        <w:tab/>
        <w:t xml:space="preserve">Ma se tali affermazioni appaiono chiare </w:t>
      </w:r>
      <w:r w:rsidR="003978E6">
        <w:rPr>
          <w:rFonts w:ascii="Garamond" w:hAnsi="Garamond"/>
          <w:sz w:val="26"/>
          <w:szCs w:val="26"/>
          <w:lang w:val="it-IT"/>
        </w:rPr>
        <w:t>in teoria</w:t>
      </w:r>
      <w:r>
        <w:rPr>
          <w:rFonts w:ascii="Garamond" w:hAnsi="Garamond"/>
          <w:sz w:val="26"/>
          <w:szCs w:val="26"/>
          <w:lang w:val="it-IT"/>
        </w:rPr>
        <w:t xml:space="preserve">, non </w:t>
      </w:r>
      <w:r w:rsidR="003978E6">
        <w:rPr>
          <w:rFonts w:ascii="Garamond" w:hAnsi="Garamond"/>
          <w:sz w:val="26"/>
          <w:szCs w:val="26"/>
          <w:lang w:val="it-IT"/>
        </w:rPr>
        <w:t xml:space="preserve">è </w:t>
      </w:r>
      <w:r>
        <w:rPr>
          <w:rFonts w:ascii="Garamond" w:hAnsi="Garamond"/>
          <w:sz w:val="26"/>
          <w:szCs w:val="26"/>
          <w:lang w:val="it-IT"/>
        </w:rPr>
        <w:t xml:space="preserve">agevole tradurle </w:t>
      </w:r>
      <w:r w:rsidR="003978E6">
        <w:rPr>
          <w:rFonts w:ascii="Garamond" w:hAnsi="Garamond"/>
          <w:sz w:val="26"/>
          <w:szCs w:val="26"/>
          <w:lang w:val="it-IT"/>
        </w:rPr>
        <w:t xml:space="preserve">sul piano pratico </w:t>
      </w:r>
      <w:r w:rsidR="00D90392" w:rsidRPr="005068BF">
        <w:rPr>
          <w:rStyle w:val="Rimandonotaapidipagina"/>
          <w:rFonts w:ascii="Garamond" w:hAnsi="Garamond" w:cs="Segoe UI"/>
          <w:sz w:val="26"/>
          <w:szCs w:val="26"/>
          <w:lang w:val="it-IT"/>
        </w:rPr>
        <w:footnoteReference w:id="30"/>
      </w:r>
      <w:r>
        <w:rPr>
          <w:rFonts w:ascii="Garamond" w:hAnsi="Garamond"/>
          <w:sz w:val="26"/>
          <w:szCs w:val="26"/>
          <w:lang w:val="it-IT"/>
        </w:rPr>
        <w:t>.</w:t>
      </w:r>
    </w:p>
    <w:p w14:paraId="605C74B9" w14:textId="4BC6902B" w:rsidR="00FB1D45" w:rsidRDefault="003978E6" w:rsidP="002F6826">
      <w:pPr>
        <w:pStyle w:val="Standard"/>
        <w:spacing w:line="360" w:lineRule="auto"/>
        <w:ind w:left="567" w:right="567" w:firstLine="141"/>
        <w:jc w:val="both"/>
        <w:rPr>
          <w:rFonts w:ascii="Garamond" w:hAnsi="Garamond"/>
          <w:sz w:val="26"/>
          <w:szCs w:val="26"/>
          <w:lang w:val="it-IT"/>
        </w:rPr>
      </w:pPr>
      <w:r>
        <w:rPr>
          <w:rFonts w:ascii="Garamond" w:hAnsi="Garamond"/>
          <w:color w:val="000000"/>
          <w:sz w:val="26"/>
          <w:szCs w:val="26"/>
          <w:lang w:val="it-IT"/>
        </w:rPr>
        <w:t xml:space="preserve">La situazione </w:t>
      </w:r>
      <w:r w:rsidR="00FB1D45">
        <w:rPr>
          <w:rFonts w:ascii="Garamond" w:hAnsi="Garamond"/>
          <w:color w:val="000000"/>
          <w:sz w:val="26"/>
          <w:szCs w:val="26"/>
          <w:lang w:val="it-IT"/>
        </w:rPr>
        <w:t>riporta alla mente</w:t>
      </w:r>
      <w:r w:rsidR="002E77C6">
        <w:rPr>
          <w:rFonts w:ascii="Garamond" w:hAnsi="Garamond"/>
          <w:color w:val="000000"/>
          <w:sz w:val="26"/>
          <w:szCs w:val="26"/>
          <w:lang w:val="it-IT"/>
        </w:rPr>
        <w:t xml:space="preserve">, </w:t>
      </w:r>
      <w:r w:rsidR="002E77C6">
        <w:rPr>
          <w:rFonts w:ascii="Garamond" w:hAnsi="Garamond"/>
          <w:i/>
          <w:iCs/>
          <w:color w:val="000000"/>
          <w:sz w:val="26"/>
          <w:szCs w:val="26"/>
          <w:lang w:val="it-IT"/>
        </w:rPr>
        <w:t>mutatis mutandis</w:t>
      </w:r>
      <w:r w:rsidR="002E77C6">
        <w:rPr>
          <w:rFonts w:ascii="Garamond" w:hAnsi="Garamond"/>
          <w:color w:val="000000"/>
          <w:sz w:val="26"/>
          <w:szCs w:val="26"/>
          <w:lang w:val="it-IT"/>
        </w:rPr>
        <w:t xml:space="preserve">, </w:t>
      </w:r>
      <w:r w:rsidR="00FB1D45">
        <w:rPr>
          <w:rFonts w:ascii="Garamond" w:hAnsi="Garamond"/>
          <w:color w:val="000000"/>
          <w:sz w:val="26"/>
          <w:szCs w:val="26"/>
          <w:lang w:val="it-IT"/>
        </w:rPr>
        <w:t xml:space="preserve">ciò che la </w:t>
      </w:r>
      <w:r w:rsidR="00FB1D45" w:rsidRPr="00FB1D45">
        <w:rPr>
          <w:rFonts w:ascii="Garamond" w:hAnsi="Garamond"/>
          <w:color w:val="000000"/>
          <w:sz w:val="26"/>
          <w:szCs w:val="26"/>
          <w:lang w:val="it-IT"/>
        </w:rPr>
        <w:t xml:space="preserve">giurisprudenza </w:t>
      </w:r>
      <w:r w:rsidR="002E77C6">
        <w:rPr>
          <w:rFonts w:ascii="Garamond" w:hAnsi="Garamond"/>
          <w:color w:val="000000"/>
          <w:sz w:val="26"/>
          <w:szCs w:val="26"/>
          <w:lang w:val="it-IT"/>
        </w:rPr>
        <w:t>a</w:t>
      </w:r>
      <w:r w:rsidR="002916A6">
        <w:rPr>
          <w:rFonts w:ascii="Garamond" w:hAnsi="Garamond"/>
          <w:color w:val="000000"/>
          <w:sz w:val="26"/>
          <w:szCs w:val="26"/>
          <w:lang w:val="it-IT"/>
        </w:rPr>
        <w:t>veva</w:t>
      </w:r>
      <w:r w:rsidR="002E77C6">
        <w:rPr>
          <w:rFonts w:ascii="Garamond" w:hAnsi="Garamond"/>
          <w:color w:val="000000"/>
          <w:sz w:val="26"/>
          <w:szCs w:val="26"/>
          <w:lang w:val="it-IT"/>
        </w:rPr>
        <w:t xml:space="preserve"> </w:t>
      </w:r>
      <w:r w:rsidR="002F6826">
        <w:rPr>
          <w:rFonts w:ascii="Garamond" w:hAnsi="Garamond"/>
          <w:color w:val="000000"/>
          <w:sz w:val="26"/>
          <w:szCs w:val="26"/>
          <w:lang w:val="it-IT"/>
        </w:rPr>
        <w:t xml:space="preserve">in passato </w:t>
      </w:r>
      <w:r w:rsidR="00FB1D45">
        <w:rPr>
          <w:rFonts w:ascii="Garamond" w:hAnsi="Garamond"/>
          <w:color w:val="000000"/>
          <w:sz w:val="26"/>
          <w:szCs w:val="26"/>
          <w:lang w:val="it-IT"/>
        </w:rPr>
        <w:t>precisato</w:t>
      </w:r>
      <w:r w:rsidR="002F6826">
        <w:rPr>
          <w:rFonts w:ascii="Garamond" w:hAnsi="Garamond"/>
          <w:color w:val="000000"/>
          <w:sz w:val="26"/>
          <w:szCs w:val="26"/>
          <w:lang w:val="it-IT"/>
        </w:rPr>
        <w:t xml:space="preserve"> con </w:t>
      </w:r>
      <w:r w:rsidR="002916A6">
        <w:rPr>
          <w:rFonts w:ascii="Garamond" w:hAnsi="Garamond"/>
          <w:color w:val="000000"/>
          <w:sz w:val="26"/>
          <w:szCs w:val="26"/>
          <w:lang w:val="it-IT"/>
        </w:rPr>
        <w:t xml:space="preserve">riguardo </w:t>
      </w:r>
      <w:r w:rsidR="002F6826">
        <w:rPr>
          <w:rFonts w:ascii="Garamond" w:hAnsi="Garamond"/>
          <w:color w:val="000000"/>
          <w:sz w:val="26"/>
          <w:szCs w:val="26"/>
          <w:lang w:val="it-IT"/>
        </w:rPr>
        <w:t xml:space="preserve">ai regolamenti adottati dalle singole P.A. nel vigore del vecchio art. 24 della legge n. 241 del 1990, </w:t>
      </w:r>
      <w:r w:rsidR="002E77C6">
        <w:rPr>
          <w:rFonts w:ascii="Garamond" w:hAnsi="Garamond"/>
          <w:color w:val="000000"/>
          <w:sz w:val="26"/>
          <w:szCs w:val="26"/>
          <w:lang w:val="it-IT"/>
        </w:rPr>
        <w:t xml:space="preserve">allorquando </w:t>
      </w:r>
      <w:r>
        <w:rPr>
          <w:rFonts w:ascii="Garamond" w:hAnsi="Garamond"/>
          <w:color w:val="000000"/>
          <w:sz w:val="26"/>
          <w:szCs w:val="26"/>
          <w:lang w:val="it-IT"/>
        </w:rPr>
        <w:t xml:space="preserve">si era </w:t>
      </w:r>
      <w:r w:rsidR="002F6826">
        <w:rPr>
          <w:rFonts w:ascii="Garamond" w:hAnsi="Garamond"/>
          <w:color w:val="000000"/>
          <w:sz w:val="26"/>
          <w:szCs w:val="26"/>
          <w:lang w:val="it-IT"/>
        </w:rPr>
        <w:t xml:space="preserve">riconosciuto che essi </w:t>
      </w:r>
      <w:r w:rsidR="00FB1D45" w:rsidRPr="00FB1D45">
        <w:rPr>
          <w:rFonts w:ascii="Garamond" w:hAnsi="Garamond"/>
          <w:sz w:val="26"/>
          <w:szCs w:val="26"/>
          <w:lang w:val="it-IT"/>
        </w:rPr>
        <w:t>po</w:t>
      </w:r>
      <w:r w:rsidR="002F6826">
        <w:rPr>
          <w:rFonts w:ascii="Garamond" w:hAnsi="Garamond"/>
          <w:sz w:val="26"/>
          <w:szCs w:val="26"/>
          <w:lang w:val="it-IT"/>
        </w:rPr>
        <w:t xml:space="preserve">tessero </w:t>
      </w:r>
      <w:r w:rsidR="00FB1D45" w:rsidRPr="00FB1D45">
        <w:rPr>
          <w:rFonts w:ascii="Garamond" w:hAnsi="Garamond"/>
          <w:sz w:val="26"/>
          <w:szCs w:val="26"/>
          <w:lang w:val="it-IT"/>
        </w:rPr>
        <w:t>individuare anche casi di esclusione dell’accesso ulteriori rispetto a quelli espressamente indicati dal</w:t>
      </w:r>
      <w:r w:rsidR="002F6826">
        <w:rPr>
          <w:rFonts w:ascii="Garamond" w:hAnsi="Garamond"/>
          <w:sz w:val="26"/>
          <w:szCs w:val="26"/>
          <w:lang w:val="it-IT"/>
        </w:rPr>
        <w:t>la legge o dal regolamento governativo,</w:t>
      </w:r>
      <w:r w:rsidR="00FB1D45" w:rsidRPr="00FB1D45">
        <w:rPr>
          <w:rFonts w:ascii="Garamond" w:hAnsi="Garamond"/>
          <w:sz w:val="26"/>
          <w:szCs w:val="26"/>
          <w:lang w:val="it-IT"/>
        </w:rPr>
        <w:t xml:space="preserve"> ma </w:t>
      </w:r>
      <w:r w:rsidR="00FB1D45">
        <w:rPr>
          <w:rFonts w:ascii="Garamond" w:hAnsi="Garamond"/>
          <w:sz w:val="26"/>
          <w:szCs w:val="26"/>
          <w:lang w:val="it-IT"/>
        </w:rPr>
        <w:t xml:space="preserve">sempre </w:t>
      </w:r>
      <w:r w:rsidR="00FB1D45" w:rsidRPr="00FB1D45">
        <w:rPr>
          <w:rFonts w:ascii="Garamond" w:hAnsi="Garamond"/>
          <w:sz w:val="26"/>
          <w:szCs w:val="26"/>
          <w:lang w:val="it-IT"/>
        </w:rPr>
        <w:t xml:space="preserve">nel rispetto del “principio di tassatività” delle esclusioni, ovvero soltanto in relazione ad interessi (pubblici o privati) già riconosciuti </w:t>
      </w:r>
      <w:r w:rsidR="002F6826">
        <w:rPr>
          <w:rFonts w:ascii="Garamond" w:hAnsi="Garamond"/>
          <w:sz w:val="26"/>
          <w:szCs w:val="26"/>
          <w:lang w:val="it-IT"/>
        </w:rPr>
        <w:t xml:space="preserve">e protetti </w:t>
      </w:r>
      <w:r w:rsidR="00FB1D45" w:rsidRPr="008A5293">
        <w:rPr>
          <w:rFonts w:ascii="Garamond" w:hAnsi="Garamond"/>
          <w:sz w:val="26"/>
          <w:szCs w:val="26"/>
          <w:lang w:val="it-IT"/>
        </w:rPr>
        <w:t xml:space="preserve">dall'ordinamento in modo tassativo, specifico e </w:t>
      </w:r>
      <w:r w:rsidR="002F6826">
        <w:rPr>
          <w:rFonts w:ascii="Garamond" w:hAnsi="Garamond"/>
          <w:sz w:val="26"/>
          <w:szCs w:val="26"/>
          <w:lang w:val="it-IT"/>
        </w:rPr>
        <w:t xml:space="preserve">comunque </w:t>
      </w:r>
      <w:r w:rsidR="00FB1D45" w:rsidRPr="008A5293">
        <w:rPr>
          <w:rFonts w:ascii="Garamond" w:hAnsi="Garamond"/>
          <w:sz w:val="26"/>
          <w:szCs w:val="26"/>
          <w:lang w:val="it-IT"/>
        </w:rPr>
        <w:t xml:space="preserve">differenziato rispetto alla mera tutela della funzione amministrativa, pena </w:t>
      </w:r>
      <w:r w:rsidR="002E77C6">
        <w:rPr>
          <w:rFonts w:ascii="Garamond" w:hAnsi="Garamond"/>
          <w:sz w:val="26"/>
          <w:szCs w:val="26"/>
          <w:lang w:val="it-IT"/>
        </w:rPr>
        <w:t>il riaffermarsi</w:t>
      </w:r>
      <w:r w:rsidR="00FB1D45" w:rsidRPr="008A5293">
        <w:rPr>
          <w:rFonts w:ascii="Garamond" w:hAnsi="Garamond"/>
          <w:sz w:val="26"/>
          <w:szCs w:val="26"/>
          <w:lang w:val="it-IT"/>
        </w:rPr>
        <w:t xml:space="preserve">, sotto mentite spoglie, del principio </w:t>
      </w:r>
      <w:r w:rsidR="002E77C6">
        <w:rPr>
          <w:rFonts w:ascii="Garamond" w:hAnsi="Garamond"/>
          <w:sz w:val="26"/>
          <w:szCs w:val="26"/>
          <w:lang w:val="it-IT"/>
        </w:rPr>
        <w:t xml:space="preserve">di </w:t>
      </w:r>
      <w:r w:rsidR="00FB1D45" w:rsidRPr="008A5293">
        <w:rPr>
          <w:rFonts w:ascii="Garamond" w:hAnsi="Garamond"/>
          <w:sz w:val="26"/>
          <w:szCs w:val="26"/>
          <w:lang w:val="it-IT"/>
        </w:rPr>
        <w:t xml:space="preserve">segretezza dell’azione amministrativa </w:t>
      </w:r>
      <w:r w:rsidR="002F6826" w:rsidRPr="005068BF">
        <w:rPr>
          <w:rStyle w:val="Rimandonotaapidipagina"/>
          <w:rFonts w:ascii="Garamond" w:hAnsi="Garamond" w:cs="Segoe UI"/>
          <w:sz w:val="26"/>
          <w:szCs w:val="26"/>
          <w:lang w:val="it-IT"/>
        </w:rPr>
        <w:footnoteReference w:id="31"/>
      </w:r>
      <w:r w:rsidR="00FB1D45">
        <w:rPr>
          <w:rFonts w:ascii="Garamond" w:hAnsi="Garamond"/>
          <w:sz w:val="26"/>
          <w:szCs w:val="26"/>
          <w:lang w:val="it-IT"/>
        </w:rPr>
        <w:t>.</w:t>
      </w:r>
    </w:p>
    <w:p w14:paraId="44680788" w14:textId="7F5C0A6B" w:rsidR="00FA2703" w:rsidRDefault="002F6826" w:rsidP="008A5293">
      <w:pPr>
        <w:pStyle w:val="Standard"/>
        <w:spacing w:line="360" w:lineRule="auto"/>
        <w:ind w:left="567" w:right="567"/>
        <w:jc w:val="both"/>
        <w:rPr>
          <w:rFonts w:ascii="Garamond" w:hAnsi="Garamond"/>
          <w:sz w:val="26"/>
          <w:szCs w:val="26"/>
          <w:lang w:val="it-IT"/>
        </w:rPr>
      </w:pPr>
      <w:r>
        <w:rPr>
          <w:rFonts w:ascii="Garamond" w:hAnsi="Garamond"/>
          <w:sz w:val="26"/>
          <w:szCs w:val="26"/>
          <w:lang w:val="it-IT"/>
        </w:rPr>
        <w:lastRenderedPageBreak/>
        <w:tab/>
        <w:t xml:space="preserve">E </w:t>
      </w:r>
      <w:r w:rsidR="003978E6">
        <w:rPr>
          <w:rFonts w:ascii="Garamond" w:hAnsi="Garamond"/>
          <w:sz w:val="26"/>
          <w:szCs w:val="26"/>
          <w:lang w:val="it-IT"/>
        </w:rPr>
        <w:t xml:space="preserve">dipende </w:t>
      </w:r>
      <w:r>
        <w:rPr>
          <w:rFonts w:ascii="Garamond" w:hAnsi="Garamond"/>
          <w:sz w:val="26"/>
          <w:szCs w:val="26"/>
          <w:lang w:val="it-IT"/>
        </w:rPr>
        <w:t xml:space="preserve">probabilmente dalla difficoltà </w:t>
      </w:r>
      <w:r w:rsidR="00FA2703">
        <w:rPr>
          <w:rFonts w:ascii="Garamond" w:hAnsi="Garamond"/>
          <w:sz w:val="26"/>
          <w:szCs w:val="26"/>
          <w:lang w:val="it-IT"/>
        </w:rPr>
        <w:t xml:space="preserve">pratica </w:t>
      </w:r>
      <w:r>
        <w:rPr>
          <w:rFonts w:ascii="Garamond" w:hAnsi="Garamond"/>
          <w:sz w:val="26"/>
          <w:szCs w:val="26"/>
          <w:lang w:val="it-IT"/>
        </w:rPr>
        <w:t xml:space="preserve">di </w:t>
      </w:r>
      <w:r w:rsidR="00880F9A">
        <w:rPr>
          <w:rFonts w:ascii="Garamond" w:hAnsi="Garamond"/>
          <w:sz w:val="26"/>
          <w:szCs w:val="26"/>
          <w:lang w:val="it-IT"/>
        </w:rPr>
        <w:t xml:space="preserve">rispettare </w:t>
      </w:r>
      <w:r w:rsidR="003978E6">
        <w:rPr>
          <w:rFonts w:ascii="Garamond" w:hAnsi="Garamond"/>
          <w:sz w:val="26"/>
          <w:szCs w:val="26"/>
          <w:lang w:val="it-IT"/>
        </w:rPr>
        <w:t>questa sottile linea di demarcazione il fatto che</w:t>
      </w:r>
      <w:r>
        <w:rPr>
          <w:rFonts w:ascii="Garamond" w:hAnsi="Garamond"/>
          <w:sz w:val="26"/>
          <w:szCs w:val="26"/>
          <w:lang w:val="it-IT"/>
        </w:rPr>
        <w:t xml:space="preserve">, a distanza di </w:t>
      </w:r>
      <w:r w:rsidR="002E77C6">
        <w:rPr>
          <w:rFonts w:ascii="Garamond" w:hAnsi="Garamond"/>
          <w:sz w:val="26"/>
          <w:szCs w:val="26"/>
          <w:lang w:val="it-IT"/>
        </w:rPr>
        <w:t xml:space="preserve">sedici </w:t>
      </w:r>
      <w:r w:rsidR="00FA2703">
        <w:rPr>
          <w:rFonts w:ascii="Garamond" w:hAnsi="Garamond"/>
          <w:sz w:val="26"/>
          <w:szCs w:val="26"/>
          <w:lang w:val="it-IT"/>
        </w:rPr>
        <w:t xml:space="preserve">anni dalla riforma del 2005, </w:t>
      </w:r>
      <w:r w:rsidR="008A5293" w:rsidRPr="00902A67">
        <w:rPr>
          <w:rFonts w:ascii="Garamond" w:hAnsi="Garamond"/>
          <w:sz w:val="26"/>
          <w:szCs w:val="26"/>
          <w:lang w:val="it-IT"/>
        </w:rPr>
        <w:t xml:space="preserve">sono </w:t>
      </w:r>
      <w:r w:rsidR="00FA2703">
        <w:rPr>
          <w:rFonts w:ascii="Garamond" w:hAnsi="Garamond"/>
          <w:sz w:val="26"/>
          <w:szCs w:val="26"/>
          <w:lang w:val="it-IT"/>
        </w:rPr>
        <w:t xml:space="preserve">ancora </w:t>
      </w:r>
      <w:r w:rsidR="008A5293" w:rsidRPr="00902A67">
        <w:rPr>
          <w:rFonts w:ascii="Garamond" w:hAnsi="Garamond"/>
          <w:sz w:val="26"/>
          <w:szCs w:val="26"/>
          <w:lang w:val="it-IT"/>
        </w:rPr>
        <w:t>poch</w:t>
      </w:r>
      <w:r w:rsidR="00A46C25">
        <w:rPr>
          <w:rFonts w:ascii="Garamond" w:hAnsi="Garamond"/>
          <w:sz w:val="26"/>
          <w:szCs w:val="26"/>
          <w:lang w:val="it-IT"/>
        </w:rPr>
        <w:t>issime</w:t>
      </w:r>
      <w:r w:rsidR="008A5293" w:rsidRPr="00902A67">
        <w:rPr>
          <w:rFonts w:ascii="Garamond" w:hAnsi="Garamond"/>
          <w:sz w:val="26"/>
          <w:szCs w:val="26"/>
          <w:lang w:val="it-IT"/>
        </w:rPr>
        <w:t xml:space="preserve"> le Amministrazioni statali che hanno adottato </w:t>
      </w:r>
      <w:r w:rsidR="00FA2703">
        <w:rPr>
          <w:rFonts w:ascii="Garamond" w:hAnsi="Garamond"/>
          <w:sz w:val="26"/>
          <w:szCs w:val="26"/>
          <w:lang w:val="it-IT"/>
        </w:rPr>
        <w:t>nuovi r</w:t>
      </w:r>
      <w:r w:rsidR="008A5293" w:rsidRPr="00902A67">
        <w:rPr>
          <w:rFonts w:ascii="Garamond" w:hAnsi="Garamond"/>
          <w:sz w:val="26"/>
          <w:szCs w:val="26"/>
          <w:lang w:val="it-IT"/>
        </w:rPr>
        <w:t xml:space="preserve">egolamenti </w:t>
      </w:r>
      <w:r w:rsidR="00880F9A">
        <w:rPr>
          <w:rFonts w:ascii="Garamond" w:hAnsi="Garamond"/>
          <w:sz w:val="26"/>
          <w:szCs w:val="26"/>
          <w:lang w:val="it-IT"/>
        </w:rPr>
        <w:t>ai sensi dell’</w:t>
      </w:r>
      <w:r w:rsidR="008A5293" w:rsidRPr="00902A67">
        <w:rPr>
          <w:rFonts w:ascii="Garamond" w:hAnsi="Garamond"/>
          <w:sz w:val="26"/>
          <w:szCs w:val="26"/>
          <w:lang w:val="it-IT"/>
        </w:rPr>
        <w:t xml:space="preserve">art. 24, comma 2, </w:t>
      </w:r>
      <w:r w:rsidR="00FA2703">
        <w:rPr>
          <w:rFonts w:ascii="Garamond" w:hAnsi="Garamond"/>
          <w:sz w:val="26"/>
          <w:szCs w:val="26"/>
          <w:lang w:val="it-IT"/>
        </w:rPr>
        <w:t>l</w:t>
      </w:r>
      <w:r w:rsidR="008A5293" w:rsidRPr="00902A67">
        <w:rPr>
          <w:rFonts w:ascii="Garamond" w:hAnsi="Garamond"/>
          <w:sz w:val="26"/>
          <w:szCs w:val="26"/>
          <w:lang w:val="it-IT"/>
        </w:rPr>
        <w:t xml:space="preserve">. </w:t>
      </w:r>
      <w:r w:rsidR="00FA2703">
        <w:rPr>
          <w:rFonts w:ascii="Garamond" w:hAnsi="Garamond"/>
          <w:sz w:val="26"/>
          <w:szCs w:val="26"/>
          <w:lang w:val="it-IT"/>
        </w:rPr>
        <w:t xml:space="preserve">n. </w:t>
      </w:r>
      <w:r w:rsidR="008A5293" w:rsidRPr="00902A67">
        <w:rPr>
          <w:rFonts w:ascii="Garamond" w:hAnsi="Garamond"/>
          <w:sz w:val="26"/>
          <w:szCs w:val="26"/>
          <w:lang w:val="it-IT"/>
        </w:rPr>
        <w:t>241</w:t>
      </w:r>
      <w:r w:rsidR="00FA2703">
        <w:rPr>
          <w:rFonts w:ascii="Garamond" w:hAnsi="Garamond"/>
          <w:sz w:val="26"/>
          <w:szCs w:val="26"/>
          <w:lang w:val="it-IT"/>
        </w:rPr>
        <w:t xml:space="preserve"> del 19</w:t>
      </w:r>
      <w:r w:rsidR="008A5293" w:rsidRPr="00902A67">
        <w:rPr>
          <w:rFonts w:ascii="Garamond" w:hAnsi="Garamond"/>
          <w:sz w:val="26"/>
          <w:szCs w:val="26"/>
          <w:lang w:val="it-IT"/>
        </w:rPr>
        <w:t>90</w:t>
      </w:r>
      <w:r w:rsidR="00FA2703">
        <w:rPr>
          <w:rFonts w:ascii="Garamond" w:hAnsi="Garamond"/>
          <w:sz w:val="26"/>
          <w:szCs w:val="26"/>
          <w:lang w:val="it-IT"/>
        </w:rPr>
        <w:t>, mentre la</w:t>
      </w:r>
      <w:r w:rsidR="008A5293" w:rsidRPr="00902A67">
        <w:rPr>
          <w:rFonts w:ascii="Garamond" w:hAnsi="Garamond"/>
          <w:sz w:val="26"/>
          <w:szCs w:val="26"/>
          <w:lang w:val="it-IT"/>
        </w:rPr>
        <w:t xml:space="preserve"> gran parte </w:t>
      </w:r>
      <w:r w:rsidR="00FA2703">
        <w:rPr>
          <w:rFonts w:ascii="Garamond" w:hAnsi="Garamond"/>
          <w:sz w:val="26"/>
          <w:szCs w:val="26"/>
          <w:lang w:val="it-IT"/>
        </w:rPr>
        <w:t xml:space="preserve">di esse </w:t>
      </w:r>
      <w:r w:rsidR="008A5293" w:rsidRPr="00902A67">
        <w:rPr>
          <w:rFonts w:ascii="Garamond" w:hAnsi="Garamond"/>
          <w:sz w:val="26"/>
          <w:szCs w:val="26"/>
          <w:lang w:val="it-IT"/>
        </w:rPr>
        <w:t>continuano a</w:t>
      </w:r>
      <w:r w:rsidR="00FA2703">
        <w:rPr>
          <w:rFonts w:ascii="Garamond" w:hAnsi="Garamond"/>
          <w:sz w:val="26"/>
          <w:szCs w:val="26"/>
          <w:lang w:val="it-IT"/>
        </w:rPr>
        <w:t xml:space="preserve"> fare</w:t>
      </w:r>
      <w:r w:rsidR="008A5293" w:rsidRPr="00902A67">
        <w:rPr>
          <w:rFonts w:ascii="Garamond" w:hAnsi="Garamond"/>
          <w:sz w:val="26"/>
          <w:szCs w:val="26"/>
          <w:lang w:val="it-IT"/>
        </w:rPr>
        <w:t xml:space="preserve"> applica</w:t>
      </w:r>
      <w:r w:rsidR="00FA2703">
        <w:rPr>
          <w:rFonts w:ascii="Garamond" w:hAnsi="Garamond"/>
          <w:sz w:val="26"/>
          <w:szCs w:val="26"/>
          <w:lang w:val="it-IT"/>
        </w:rPr>
        <w:t>zione</w:t>
      </w:r>
      <w:r w:rsidR="008A5293" w:rsidRPr="00902A67">
        <w:rPr>
          <w:rFonts w:ascii="Garamond" w:hAnsi="Garamond"/>
          <w:sz w:val="26"/>
          <w:szCs w:val="26"/>
          <w:lang w:val="it-IT"/>
        </w:rPr>
        <w:t xml:space="preserve"> </w:t>
      </w:r>
      <w:r w:rsidR="00FA2703">
        <w:rPr>
          <w:rFonts w:ascii="Garamond" w:hAnsi="Garamond"/>
          <w:sz w:val="26"/>
          <w:szCs w:val="26"/>
          <w:lang w:val="it-IT"/>
        </w:rPr>
        <w:t>de</w:t>
      </w:r>
      <w:r w:rsidR="008A5293" w:rsidRPr="00902A67">
        <w:rPr>
          <w:rFonts w:ascii="Garamond" w:hAnsi="Garamond"/>
          <w:sz w:val="26"/>
          <w:szCs w:val="26"/>
          <w:lang w:val="it-IT"/>
        </w:rPr>
        <w:t xml:space="preserve">i vecchi </w:t>
      </w:r>
      <w:r w:rsidR="00FA2703">
        <w:rPr>
          <w:rFonts w:ascii="Garamond" w:hAnsi="Garamond"/>
          <w:sz w:val="26"/>
          <w:szCs w:val="26"/>
          <w:lang w:val="it-IT"/>
        </w:rPr>
        <w:t>r</w:t>
      </w:r>
      <w:r w:rsidR="008A5293" w:rsidRPr="00902A67">
        <w:rPr>
          <w:rFonts w:ascii="Garamond" w:hAnsi="Garamond"/>
          <w:sz w:val="26"/>
          <w:szCs w:val="26"/>
          <w:lang w:val="it-IT"/>
        </w:rPr>
        <w:t xml:space="preserve">egolamenti adottati in forza del </w:t>
      </w:r>
      <w:r w:rsidR="00FA2703">
        <w:rPr>
          <w:rFonts w:ascii="Garamond" w:hAnsi="Garamond"/>
          <w:sz w:val="26"/>
          <w:szCs w:val="26"/>
          <w:lang w:val="it-IT"/>
        </w:rPr>
        <w:t>combinato disposto del vecchio art. 24, comma 4 e del d</w:t>
      </w:r>
      <w:r w:rsidR="008A5293" w:rsidRPr="00902A67">
        <w:rPr>
          <w:rFonts w:ascii="Garamond" w:hAnsi="Garamond"/>
          <w:sz w:val="26"/>
          <w:szCs w:val="26"/>
          <w:lang w:val="it-IT"/>
        </w:rPr>
        <w:t xml:space="preserve">.P.R. </w:t>
      </w:r>
      <w:r w:rsidR="00FA2703">
        <w:rPr>
          <w:rFonts w:ascii="Garamond" w:hAnsi="Garamond"/>
          <w:sz w:val="26"/>
          <w:szCs w:val="26"/>
          <w:lang w:val="it-IT"/>
        </w:rPr>
        <w:t xml:space="preserve">n. </w:t>
      </w:r>
      <w:r w:rsidR="008A5293" w:rsidRPr="00902A67">
        <w:rPr>
          <w:rFonts w:ascii="Garamond" w:hAnsi="Garamond"/>
          <w:sz w:val="26"/>
          <w:szCs w:val="26"/>
          <w:lang w:val="it-IT"/>
        </w:rPr>
        <w:t>352</w:t>
      </w:r>
      <w:r w:rsidR="00FA2703">
        <w:rPr>
          <w:rFonts w:ascii="Garamond" w:hAnsi="Garamond"/>
          <w:sz w:val="26"/>
          <w:szCs w:val="26"/>
          <w:lang w:val="it-IT"/>
        </w:rPr>
        <w:t xml:space="preserve"> del </w:t>
      </w:r>
      <w:r w:rsidR="008A5293" w:rsidRPr="00902A67">
        <w:rPr>
          <w:rFonts w:ascii="Garamond" w:hAnsi="Garamond"/>
          <w:sz w:val="26"/>
          <w:szCs w:val="26"/>
          <w:lang w:val="it-IT"/>
        </w:rPr>
        <w:t xml:space="preserve">1992 </w:t>
      </w:r>
      <w:r w:rsidR="00FA2703" w:rsidRPr="005068BF">
        <w:rPr>
          <w:rStyle w:val="Rimandonotaapidipagina"/>
          <w:rFonts w:ascii="Garamond" w:hAnsi="Garamond" w:cs="Segoe UI"/>
          <w:sz w:val="26"/>
          <w:szCs w:val="26"/>
          <w:lang w:val="it-IT"/>
        </w:rPr>
        <w:footnoteReference w:id="32"/>
      </w:r>
      <w:r w:rsidR="00FA2703">
        <w:rPr>
          <w:rFonts w:ascii="Garamond" w:hAnsi="Garamond"/>
          <w:sz w:val="26"/>
          <w:szCs w:val="26"/>
          <w:lang w:val="it-IT"/>
        </w:rPr>
        <w:t>.</w:t>
      </w:r>
    </w:p>
    <w:p w14:paraId="165B1D56" w14:textId="77777777" w:rsidR="00B85CB5" w:rsidRDefault="00F43876" w:rsidP="00B85CB5">
      <w:pPr>
        <w:pStyle w:val="Standard"/>
        <w:spacing w:line="360" w:lineRule="auto"/>
        <w:ind w:left="567" w:right="567"/>
        <w:jc w:val="both"/>
        <w:rPr>
          <w:rFonts w:ascii="Garamond" w:hAnsi="Garamond"/>
          <w:sz w:val="26"/>
          <w:szCs w:val="26"/>
          <w:lang w:val="it-IT"/>
        </w:rPr>
      </w:pPr>
      <w:r>
        <w:rPr>
          <w:rFonts w:ascii="Garamond" w:hAnsi="Garamond"/>
          <w:sz w:val="26"/>
          <w:szCs w:val="26"/>
          <w:lang w:val="it-IT"/>
        </w:rPr>
        <w:tab/>
        <w:t>Il che pone la questione della loro vigenza.</w:t>
      </w:r>
    </w:p>
    <w:p w14:paraId="64C36D70" w14:textId="26065828" w:rsidR="00B85CB5" w:rsidRPr="00B85CB5" w:rsidRDefault="00F43876" w:rsidP="00B85CB5">
      <w:pPr>
        <w:pStyle w:val="Standard"/>
        <w:spacing w:line="360" w:lineRule="auto"/>
        <w:ind w:left="567" w:right="567"/>
        <w:jc w:val="both"/>
        <w:rPr>
          <w:rFonts w:ascii="Garamond" w:hAnsi="Garamond"/>
          <w:iCs/>
          <w:color w:val="000000"/>
          <w:sz w:val="26"/>
          <w:szCs w:val="26"/>
          <w:lang w:val="it-IT"/>
        </w:rPr>
      </w:pPr>
      <w:r w:rsidRPr="00B85CB5">
        <w:rPr>
          <w:rFonts w:ascii="Garamond" w:hAnsi="Garamond" w:cs="Calibri"/>
          <w:sz w:val="26"/>
          <w:szCs w:val="26"/>
          <w:lang w:val="it-IT"/>
        </w:rPr>
        <w:tab/>
        <w:t xml:space="preserve">Al riguardo, </w:t>
      </w:r>
      <w:r w:rsidR="00B85CB5" w:rsidRPr="00B85CB5">
        <w:rPr>
          <w:rFonts w:ascii="Garamond" w:hAnsi="Garamond" w:cs="Calibri"/>
          <w:sz w:val="26"/>
          <w:szCs w:val="26"/>
          <w:lang w:val="it-IT"/>
        </w:rPr>
        <w:t xml:space="preserve">va considerato che </w:t>
      </w:r>
      <w:r w:rsidR="00B85CB5">
        <w:rPr>
          <w:rFonts w:ascii="Garamond" w:hAnsi="Garamond" w:cs="Calibri"/>
          <w:sz w:val="26"/>
          <w:szCs w:val="26"/>
          <w:lang w:val="it-IT"/>
        </w:rPr>
        <w:t xml:space="preserve">il d.P.R. n. 184 del 2006, </w:t>
      </w:r>
      <w:r w:rsidR="001D5489">
        <w:rPr>
          <w:rFonts w:ascii="Garamond" w:hAnsi="Garamond" w:cs="Calibri"/>
          <w:sz w:val="26"/>
          <w:szCs w:val="26"/>
          <w:lang w:val="it-IT"/>
        </w:rPr>
        <w:t xml:space="preserve">avendo </w:t>
      </w:r>
      <w:r w:rsidR="00A46C25">
        <w:rPr>
          <w:rFonts w:ascii="Garamond" w:hAnsi="Garamond" w:cs="Calibri"/>
          <w:sz w:val="26"/>
          <w:szCs w:val="26"/>
          <w:lang w:val="it-IT"/>
        </w:rPr>
        <w:t xml:space="preserve">rinunciato a dare attuazione </w:t>
      </w:r>
      <w:r w:rsidR="001D5489">
        <w:rPr>
          <w:rFonts w:ascii="Garamond" w:hAnsi="Garamond" w:cs="Calibri"/>
          <w:sz w:val="26"/>
          <w:szCs w:val="26"/>
          <w:lang w:val="it-IT"/>
        </w:rPr>
        <w:t xml:space="preserve">all’art. 24, comma 6, l. n. 241 del 1990, </w:t>
      </w:r>
      <w:r w:rsidR="00B85CB5">
        <w:rPr>
          <w:rFonts w:ascii="Garamond" w:hAnsi="Garamond" w:cs="Calibri"/>
          <w:sz w:val="26"/>
          <w:szCs w:val="26"/>
          <w:lang w:val="it-IT"/>
        </w:rPr>
        <w:t xml:space="preserve">ha </w:t>
      </w:r>
      <w:r w:rsidR="001D5489">
        <w:rPr>
          <w:rFonts w:ascii="Garamond" w:hAnsi="Garamond" w:cs="Calibri"/>
          <w:sz w:val="26"/>
          <w:szCs w:val="26"/>
          <w:lang w:val="it-IT"/>
        </w:rPr>
        <w:t xml:space="preserve">ritenuto di rimediare al provvisorio vuoto normativo con </w:t>
      </w:r>
      <w:r w:rsidR="00B85CB5">
        <w:rPr>
          <w:rFonts w:ascii="Garamond" w:hAnsi="Garamond" w:cs="Calibri"/>
          <w:sz w:val="26"/>
          <w:szCs w:val="26"/>
          <w:lang w:val="it-IT"/>
        </w:rPr>
        <w:t xml:space="preserve">una </w:t>
      </w:r>
      <w:r w:rsidR="00A46C25">
        <w:rPr>
          <w:rFonts w:ascii="Garamond" w:hAnsi="Garamond" w:cs="Calibri"/>
          <w:sz w:val="26"/>
          <w:szCs w:val="26"/>
          <w:lang w:val="it-IT"/>
        </w:rPr>
        <w:t xml:space="preserve">disciplina </w:t>
      </w:r>
      <w:r w:rsidR="003978E6">
        <w:rPr>
          <w:rFonts w:ascii="Garamond" w:hAnsi="Garamond" w:cs="Calibri"/>
          <w:sz w:val="26"/>
          <w:szCs w:val="26"/>
          <w:lang w:val="it-IT"/>
        </w:rPr>
        <w:t xml:space="preserve">di diritto </w:t>
      </w:r>
      <w:r w:rsidR="00B85CB5">
        <w:rPr>
          <w:rFonts w:ascii="Garamond" w:hAnsi="Garamond" w:cs="Calibri"/>
          <w:sz w:val="26"/>
          <w:szCs w:val="26"/>
          <w:lang w:val="it-IT"/>
        </w:rPr>
        <w:t>transitori</w:t>
      </w:r>
      <w:r w:rsidR="003978E6">
        <w:rPr>
          <w:rFonts w:ascii="Garamond" w:hAnsi="Garamond" w:cs="Calibri"/>
          <w:sz w:val="26"/>
          <w:szCs w:val="26"/>
          <w:lang w:val="it-IT"/>
        </w:rPr>
        <w:t>o</w:t>
      </w:r>
      <w:r w:rsidR="001D5489">
        <w:rPr>
          <w:rFonts w:ascii="Garamond" w:hAnsi="Garamond" w:cs="Calibri"/>
          <w:sz w:val="26"/>
          <w:szCs w:val="26"/>
          <w:lang w:val="it-IT"/>
        </w:rPr>
        <w:t xml:space="preserve">: l’art. 14, comma 1, ha previsto che </w:t>
      </w:r>
      <w:r w:rsidR="00B85CB5" w:rsidRPr="00B85CB5">
        <w:rPr>
          <w:rFonts w:ascii="Garamond" w:hAnsi="Garamond"/>
          <w:i/>
          <w:sz w:val="26"/>
          <w:szCs w:val="26"/>
          <w:lang w:val="it-IT"/>
        </w:rPr>
        <w:t>“…</w:t>
      </w:r>
      <w:r w:rsidR="00B85CB5" w:rsidRPr="00B85CB5">
        <w:rPr>
          <w:rFonts w:ascii="Garamond" w:hAnsi="Garamond"/>
          <w:i/>
          <w:color w:val="000000"/>
          <w:sz w:val="26"/>
          <w:szCs w:val="26"/>
          <w:lang w:val="it-IT"/>
        </w:rPr>
        <w:t> Il diritto di accesso non può essere negato o differito, se non nei casi previsti dalla legge, nonché in via transitoria in quelli di cui all'articolo 8 del decreto del Presidente della Repubblica 27 giugno 1992, n. 352, e agli altri atti emanati in base ad esso.”</w:t>
      </w:r>
      <w:r w:rsidR="001D5489">
        <w:rPr>
          <w:rFonts w:ascii="Garamond" w:hAnsi="Garamond"/>
          <w:iCs/>
          <w:color w:val="000000"/>
          <w:sz w:val="26"/>
          <w:szCs w:val="26"/>
          <w:lang w:val="it-IT"/>
        </w:rPr>
        <w:t xml:space="preserve">; </w:t>
      </w:r>
      <w:r w:rsidR="00B85CB5" w:rsidRPr="00B85CB5">
        <w:rPr>
          <w:rFonts w:ascii="Garamond" w:hAnsi="Garamond"/>
          <w:iCs/>
          <w:sz w:val="26"/>
          <w:szCs w:val="26"/>
          <w:lang w:val="it-IT"/>
        </w:rPr>
        <w:t xml:space="preserve">l’art. 15 </w:t>
      </w:r>
      <w:r w:rsidR="001D5489">
        <w:rPr>
          <w:rFonts w:ascii="Garamond" w:hAnsi="Garamond"/>
          <w:iCs/>
          <w:sz w:val="26"/>
          <w:szCs w:val="26"/>
          <w:lang w:val="it-IT"/>
        </w:rPr>
        <w:t xml:space="preserve">ha stabilito </w:t>
      </w:r>
      <w:r w:rsidR="00B85CB5" w:rsidRPr="00B85CB5">
        <w:rPr>
          <w:rFonts w:ascii="Garamond" w:hAnsi="Garamond"/>
          <w:iCs/>
          <w:sz w:val="26"/>
          <w:szCs w:val="26"/>
          <w:lang w:val="it-IT"/>
        </w:rPr>
        <w:t>che “</w:t>
      </w:r>
      <w:r w:rsidR="00B85CB5" w:rsidRPr="00B85CB5">
        <w:rPr>
          <w:rFonts w:ascii="Garamond" w:hAnsi="Garamond"/>
          <w:i/>
          <w:color w:val="000000"/>
          <w:sz w:val="26"/>
          <w:szCs w:val="26"/>
          <w:lang w:val="it-IT"/>
        </w:rPr>
        <w:t xml:space="preserve">È altresì abrogato l'articolo 8 di detto decreto </w:t>
      </w:r>
      <w:r w:rsidR="00B85CB5" w:rsidRPr="00B85CB5">
        <w:rPr>
          <w:rFonts w:ascii="Garamond" w:hAnsi="Garamond"/>
          <w:iCs/>
          <w:color w:val="000000"/>
          <w:sz w:val="26"/>
          <w:szCs w:val="26"/>
          <w:lang w:val="it-IT"/>
        </w:rPr>
        <w:t xml:space="preserve">[d.P.R. n. 352 del 1992] </w:t>
      </w:r>
      <w:r w:rsidR="00B85CB5" w:rsidRPr="00B85CB5">
        <w:rPr>
          <w:rFonts w:ascii="Garamond" w:hAnsi="Garamond"/>
          <w:i/>
          <w:color w:val="000000"/>
          <w:sz w:val="26"/>
          <w:szCs w:val="26"/>
          <w:lang w:val="it-IT"/>
        </w:rPr>
        <w:t>dalla data entrata in vigore del regolamento di cui all'articolo 24, comma 6, della legge.“</w:t>
      </w:r>
      <w:r w:rsidR="00B85CB5" w:rsidRPr="00B85CB5">
        <w:rPr>
          <w:rFonts w:ascii="Garamond" w:hAnsi="Garamond"/>
          <w:iCs/>
          <w:color w:val="000000"/>
          <w:sz w:val="26"/>
          <w:szCs w:val="26"/>
          <w:lang w:val="it-IT"/>
        </w:rPr>
        <w:t>.</w:t>
      </w:r>
    </w:p>
    <w:p w14:paraId="5F431FEF" w14:textId="6B161A58" w:rsidR="003A2264" w:rsidRPr="008A5293" w:rsidRDefault="001D5489" w:rsidP="003A2264">
      <w:pPr>
        <w:pStyle w:val="Standard"/>
        <w:spacing w:line="360" w:lineRule="auto"/>
        <w:ind w:left="567" w:right="567"/>
        <w:jc w:val="both"/>
        <w:rPr>
          <w:rFonts w:ascii="Garamond" w:hAnsi="Garamond"/>
          <w:iCs/>
          <w:sz w:val="26"/>
          <w:szCs w:val="26"/>
          <w:lang w:val="it-IT"/>
        </w:rPr>
      </w:pPr>
      <w:r>
        <w:rPr>
          <w:rFonts w:ascii="Garamond" w:hAnsi="Garamond"/>
          <w:iCs/>
          <w:sz w:val="26"/>
          <w:szCs w:val="26"/>
          <w:lang w:val="it-IT"/>
        </w:rPr>
        <w:tab/>
        <w:t xml:space="preserve">Sulla base dei suddetti riferimenti normativi (di natura regolamentare), la giurisprudenza </w:t>
      </w:r>
      <w:bookmarkStart w:id="9" w:name="_Hlk70006932"/>
      <w:r w:rsidR="003978E6">
        <w:rPr>
          <w:rFonts w:ascii="Garamond" w:hAnsi="Garamond"/>
          <w:iCs/>
          <w:sz w:val="26"/>
          <w:szCs w:val="26"/>
          <w:lang w:val="it-IT"/>
        </w:rPr>
        <w:t xml:space="preserve">ha ritenuto </w:t>
      </w:r>
      <w:r>
        <w:rPr>
          <w:rFonts w:ascii="Garamond" w:hAnsi="Garamond"/>
          <w:iCs/>
          <w:sz w:val="26"/>
          <w:szCs w:val="26"/>
          <w:lang w:val="it-IT"/>
        </w:rPr>
        <w:t xml:space="preserve">che </w:t>
      </w:r>
      <w:r w:rsidR="008A5293" w:rsidRPr="008A5293">
        <w:rPr>
          <w:rFonts w:ascii="Garamond" w:hAnsi="Garamond" w:cs="Calibri"/>
          <w:sz w:val="26"/>
          <w:szCs w:val="26"/>
          <w:lang w:val="it-IT"/>
        </w:rPr>
        <w:t xml:space="preserve">i </w:t>
      </w:r>
      <w:r>
        <w:rPr>
          <w:rFonts w:ascii="Garamond" w:hAnsi="Garamond" w:cs="Calibri"/>
          <w:sz w:val="26"/>
          <w:szCs w:val="26"/>
          <w:lang w:val="it-IT"/>
        </w:rPr>
        <w:t>vecchi r</w:t>
      </w:r>
      <w:r w:rsidR="008A5293" w:rsidRPr="008A5293">
        <w:rPr>
          <w:rFonts w:ascii="Garamond" w:hAnsi="Garamond" w:cs="Calibri"/>
          <w:sz w:val="26"/>
          <w:szCs w:val="26"/>
          <w:lang w:val="it-IT"/>
        </w:rPr>
        <w:t xml:space="preserve">egolamenti adottati in passato dalle singole P.A. </w:t>
      </w:r>
      <w:r>
        <w:rPr>
          <w:rFonts w:ascii="Garamond" w:hAnsi="Garamond" w:cs="Calibri"/>
          <w:sz w:val="26"/>
          <w:szCs w:val="26"/>
          <w:lang w:val="it-IT"/>
        </w:rPr>
        <w:t>ai sensi del</w:t>
      </w:r>
      <w:r w:rsidR="008A5293" w:rsidRPr="008A5293">
        <w:rPr>
          <w:rFonts w:ascii="Garamond" w:hAnsi="Garamond"/>
          <w:sz w:val="26"/>
          <w:szCs w:val="26"/>
          <w:lang w:val="it-IT"/>
        </w:rPr>
        <w:t xml:space="preserve">l’originario art. 24, comma 4, e dell’art. 8 </w:t>
      </w:r>
      <w:r>
        <w:rPr>
          <w:rFonts w:ascii="Garamond" w:hAnsi="Garamond"/>
          <w:sz w:val="26"/>
          <w:szCs w:val="26"/>
          <w:lang w:val="it-IT"/>
        </w:rPr>
        <w:t>d</w:t>
      </w:r>
      <w:r w:rsidR="008A5293" w:rsidRPr="008A5293">
        <w:rPr>
          <w:rFonts w:ascii="Garamond" w:hAnsi="Garamond"/>
          <w:sz w:val="26"/>
          <w:szCs w:val="26"/>
          <w:lang w:val="it-IT"/>
        </w:rPr>
        <w:t xml:space="preserve">.P.R. </w:t>
      </w:r>
      <w:r>
        <w:rPr>
          <w:rFonts w:ascii="Garamond" w:hAnsi="Garamond"/>
          <w:sz w:val="26"/>
          <w:szCs w:val="26"/>
          <w:lang w:val="it-IT"/>
        </w:rPr>
        <w:t xml:space="preserve">n. </w:t>
      </w:r>
      <w:r w:rsidR="008A5293" w:rsidRPr="008A5293">
        <w:rPr>
          <w:rFonts w:ascii="Garamond" w:hAnsi="Garamond"/>
          <w:sz w:val="26"/>
          <w:szCs w:val="26"/>
          <w:lang w:val="it-IT"/>
        </w:rPr>
        <w:t>352</w:t>
      </w:r>
      <w:r>
        <w:rPr>
          <w:rFonts w:ascii="Garamond" w:hAnsi="Garamond"/>
          <w:sz w:val="26"/>
          <w:szCs w:val="26"/>
          <w:lang w:val="it-IT"/>
        </w:rPr>
        <w:t xml:space="preserve"> del </w:t>
      </w:r>
      <w:r w:rsidR="008A5293" w:rsidRPr="008A5293">
        <w:rPr>
          <w:rFonts w:ascii="Garamond" w:hAnsi="Garamond"/>
          <w:sz w:val="26"/>
          <w:szCs w:val="26"/>
          <w:lang w:val="it-IT"/>
        </w:rPr>
        <w:t xml:space="preserve">1992 </w:t>
      </w:r>
      <w:r w:rsidR="003A2264">
        <w:rPr>
          <w:rFonts w:ascii="Garamond" w:hAnsi="Garamond"/>
          <w:sz w:val="26"/>
          <w:szCs w:val="26"/>
          <w:lang w:val="it-IT"/>
        </w:rPr>
        <w:t xml:space="preserve">(di cui la disciplina transitoria ne assicura la ultra vigenza) </w:t>
      </w:r>
      <w:r w:rsidR="008A5293" w:rsidRPr="008A5293">
        <w:rPr>
          <w:rFonts w:ascii="Garamond" w:hAnsi="Garamond"/>
          <w:sz w:val="26"/>
          <w:szCs w:val="26"/>
          <w:lang w:val="it-IT"/>
        </w:rPr>
        <w:t>continu</w:t>
      </w:r>
      <w:r>
        <w:rPr>
          <w:rFonts w:ascii="Garamond" w:hAnsi="Garamond"/>
          <w:sz w:val="26"/>
          <w:szCs w:val="26"/>
          <w:lang w:val="it-IT"/>
        </w:rPr>
        <w:t>i</w:t>
      </w:r>
      <w:r w:rsidR="008A5293" w:rsidRPr="008A5293">
        <w:rPr>
          <w:rFonts w:ascii="Garamond" w:hAnsi="Garamond"/>
          <w:sz w:val="26"/>
          <w:szCs w:val="26"/>
          <w:lang w:val="it-IT"/>
        </w:rPr>
        <w:t xml:space="preserve">no a trovare applicazione anche a seguito dell’entrata in vigore della </w:t>
      </w:r>
      <w:r>
        <w:rPr>
          <w:rFonts w:ascii="Garamond" w:hAnsi="Garamond"/>
          <w:sz w:val="26"/>
          <w:szCs w:val="26"/>
          <w:lang w:val="it-IT"/>
        </w:rPr>
        <w:t>riforma di cui alla l</w:t>
      </w:r>
      <w:r w:rsidR="008A5293" w:rsidRPr="008A5293">
        <w:rPr>
          <w:rFonts w:ascii="Garamond" w:hAnsi="Garamond"/>
          <w:sz w:val="26"/>
          <w:szCs w:val="26"/>
          <w:lang w:val="it-IT"/>
        </w:rPr>
        <w:t xml:space="preserve">egge </w:t>
      </w:r>
      <w:r>
        <w:rPr>
          <w:rFonts w:ascii="Garamond" w:hAnsi="Garamond"/>
          <w:sz w:val="26"/>
          <w:szCs w:val="26"/>
          <w:lang w:val="it-IT"/>
        </w:rPr>
        <w:t xml:space="preserve">n. </w:t>
      </w:r>
      <w:r w:rsidR="008A5293" w:rsidRPr="008A5293">
        <w:rPr>
          <w:rFonts w:ascii="Garamond" w:hAnsi="Garamond"/>
          <w:sz w:val="26"/>
          <w:szCs w:val="26"/>
          <w:lang w:val="it-IT"/>
        </w:rPr>
        <w:t>15</w:t>
      </w:r>
      <w:r>
        <w:rPr>
          <w:rFonts w:ascii="Garamond" w:hAnsi="Garamond"/>
          <w:sz w:val="26"/>
          <w:szCs w:val="26"/>
          <w:lang w:val="it-IT"/>
        </w:rPr>
        <w:t xml:space="preserve"> del </w:t>
      </w:r>
      <w:r w:rsidR="008A5293" w:rsidRPr="008A5293">
        <w:rPr>
          <w:rFonts w:ascii="Garamond" w:hAnsi="Garamond"/>
          <w:sz w:val="26"/>
          <w:szCs w:val="26"/>
          <w:lang w:val="it-IT"/>
        </w:rPr>
        <w:t>2005</w:t>
      </w:r>
      <w:bookmarkEnd w:id="9"/>
      <w:r w:rsidR="003A2264">
        <w:rPr>
          <w:rFonts w:ascii="Garamond" w:hAnsi="Garamond"/>
          <w:sz w:val="26"/>
          <w:szCs w:val="26"/>
          <w:lang w:val="it-IT"/>
        </w:rPr>
        <w:t xml:space="preserve"> </w:t>
      </w:r>
      <w:r w:rsidR="003A2264" w:rsidRPr="005068BF">
        <w:rPr>
          <w:rStyle w:val="Rimandonotaapidipagina"/>
          <w:rFonts w:ascii="Garamond" w:hAnsi="Garamond" w:cs="Segoe UI"/>
          <w:sz w:val="26"/>
          <w:szCs w:val="26"/>
          <w:lang w:val="it-IT"/>
        </w:rPr>
        <w:footnoteReference w:id="33"/>
      </w:r>
      <w:r w:rsidR="003A2264">
        <w:rPr>
          <w:rFonts w:ascii="Garamond" w:hAnsi="Garamond"/>
          <w:sz w:val="26"/>
          <w:szCs w:val="26"/>
          <w:lang w:val="it-IT"/>
        </w:rPr>
        <w:t>.</w:t>
      </w:r>
    </w:p>
    <w:p w14:paraId="533A45CD" w14:textId="41872E9E" w:rsidR="003A2264" w:rsidRDefault="003A2264" w:rsidP="003A2264">
      <w:pPr>
        <w:pStyle w:val="Standard"/>
        <w:spacing w:line="360" w:lineRule="auto"/>
        <w:ind w:left="567" w:right="567" w:firstLine="141"/>
        <w:jc w:val="both"/>
        <w:rPr>
          <w:rFonts w:ascii="Garamond" w:hAnsi="Garamond"/>
          <w:iCs/>
          <w:sz w:val="22"/>
          <w:szCs w:val="22"/>
          <w:lang w:val="it-IT"/>
        </w:rPr>
      </w:pPr>
      <w:r>
        <w:rPr>
          <w:rFonts w:ascii="Garamond" w:hAnsi="Garamond"/>
          <w:iCs/>
          <w:sz w:val="26"/>
          <w:szCs w:val="26"/>
          <w:lang w:val="it-IT"/>
        </w:rPr>
        <w:t xml:space="preserve">Salvo precisare </w:t>
      </w:r>
      <w:r w:rsidR="008A5293" w:rsidRPr="008A5293">
        <w:rPr>
          <w:rFonts w:ascii="Garamond" w:hAnsi="Garamond"/>
          <w:iCs/>
          <w:sz w:val="26"/>
          <w:szCs w:val="26"/>
          <w:lang w:val="it-IT"/>
        </w:rPr>
        <w:t xml:space="preserve">che detti </w:t>
      </w:r>
      <w:r>
        <w:rPr>
          <w:rFonts w:ascii="Garamond" w:hAnsi="Garamond"/>
          <w:iCs/>
          <w:sz w:val="26"/>
          <w:szCs w:val="26"/>
          <w:lang w:val="it-IT"/>
        </w:rPr>
        <w:t>r</w:t>
      </w:r>
      <w:r w:rsidR="008A5293" w:rsidRPr="008A5293">
        <w:rPr>
          <w:rFonts w:ascii="Garamond" w:hAnsi="Garamond"/>
          <w:iCs/>
          <w:sz w:val="26"/>
          <w:szCs w:val="26"/>
          <w:lang w:val="it-IT"/>
        </w:rPr>
        <w:t xml:space="preserve">egolamenti vanno interpretati ed applicati in senso conforme al nuovo art. 24 </w:t>
      </w:r>
      <w:r>
        <w:rPr>
          <w:rFonts w:ascii="Garamond" w:hAnsi="Garamond"/>
          <w:iCs/>
          <w:sz w:val="26"/>
          <w:szCs w:val="26"/>
          <w:lang w:val="it-IT"/>
        </w:rPr>
        <w:t>l</w:t>
      </w:r>
      <w:r w:rsidR="008A5293" w:rsidRPr="008A5293">
        <w:rPr>
          <w:rFonts w:ascii="Garamond" w:hAnsi="Garamond"/>
          <w:iCs/>
          <w:sz w:val="26"/>
          <w:szCs w:val="26"/>
          <w:lang w:val="it-IT"/>
        </w:rPr>
        <w:t xml:space="preserve">. </w:t>
      </w:r>
      <w:r>
        <w:rPr>
          <w:rFonts w:ascii="Garamond" w:hAnsi="Garamond"/>
          <w:iCs/>
          <w:sz w:val="26"/>
          <w:szCs w:val="26"/>
          <w:lang w:val="it-IT"/>
        </w:rPr>
        <w:t xml:space="preserve">n. </w:t>
      </w:r>
      <w:r w:rsidR="008A5293" w:rsidRPr="008A5293">
        <w:rPr>
          <w:rFonts w:ascii="Garamond" w:hAnsi="Garamond"/>
          <w:iCs/>
          <w:sz w:val="26"/>
          <w:szCs w:val="26"/>
          <w:lang w:val="it-IT"/>
        </w:rPr>
        <w:t>241</w:t>
      </w:r>
      <w:r>
        <w:rPr>
          <w:rFonts w:ascii="Garamond" w:hAnsi="Garamond"/>
          <w:iCs/>
          <w:sz w:val="26"/>
          <w:szCs w:val="26"/>
          <w:lang w:val="it-IT"/>
        </w:rPr>
        <w:t xml:space="preserve"> del </w:t>
      </w:r>
      <w:r w:rsidR="008A5293" w:rsidRPr="008A5293">
        <w:rPr>
          <w:rFonts w:ascii="Garamond" w:hAnsi="Garamond"/>
          <w:iCs/>
          <w:sz w:val="26"/>
          <w:szCs w:val="26"/>
          <w:lang w:val="it-IT"/>
        </w:rPr>
        <w:t xml:space="preserve">90, come novellato dalla </w:t>
      </w:r>
      <w:r>
        <w:rPr>
          <w:rFonts w:ascii="Garamond" w:hAnsi="Garamond"/>
          <w:iCs/>
          <w:sz w:val="26"/>
          <w:szCs w:val="26"/>
          <w:lang w:val="it-IT"/>
        </w:rPr>
        <w:t>l</w:t>
      </w:r>
      <w:r w:rsidR="008A5293" w:rsidRPr="008A5293">
        <w:rPr>
          <w:rFonts w:ascii="Garamond" w:hAnsi="Garamond"/>
          <w:iCs/>
          <w:sz w:val="26"/>
          <w:szCs w:val="26"/>
          <w:lang w:val="it-IT"/>
        </w:rPr>
        <w:t xml:space="preserve">. </w:t>
      </w:r>
      <w:r>
        <w:rPr>
          <w:rFonts w:ascii="Garamond" w:hAnsi="Garamond"/>
          <w:iCs/>
          <w:sz w:val="26"/>
          <w:szCs w:val="26"/>
          <w:lang w:val="it-IT"/>
        </w:rPr>
        <w:t xml:space="preserve">n. </w:t>
      </w:r>
      <w:r w:rsidR="008A5293" w:rsidRPr="008A5293">
        <w:rPr>
          <w:rFonts w:ascii="Garamond" w:hAnsi="Garamond"/>
          <w:iCs/>
          <w:sz w:val="26"/>
          <w:szCs w:val="26"/>
          <w:lang w:val="it-IT"/>
        </w:rPr>
        <w:t>15</w:t>
      </w:r>
      <w:r>
        <w:rPr>
          <w:rFonts w:ascii="Garamond" w:hAnsi="Garamond"/>
          <w:iCs/>
          <w:sz w:val="26"/>
          <w:szCs w:val="26"/>
          <w:lang w:val="it-IT"/>
        </w:rPr>
        <w:t xml:space="preserve"> del </w:t>
      </w:r>
      <w:r w:rsidR="008A5293" w:rsidRPr="008A5293">
        <w:rPr>
          <w:rFonts w:ascii="Garamond" w:hAnsi="Garamond"/>
          <w:iCs/>
          <w:sz w:val="26"/>
          <w:szCs w:val="26"/>
          <w:lang w:val="it-IT"/>
        </w:rPr>
        <w:t xml:space="preserve">2005 </w:t>
      </w:r>
      <w:r w:rsidRPr="005068BF">
        <w:rPr>
          <w:rStyle w:val="Rimandonotaapidipagina"/>
          <w:rFonts w:ascii="Garamond" w:hAnsi="Garamond" w:cs="Segoe UI"/>
          <w:sz w:val="26"/>
          <w:szCs w:val="26"/>
          <w:lang w:val="it-IT"/>
        </w:rPr>
        <w:footnoteReference w:id="34"/>
      </w:r>
      <w:r w:rsidRPr="003A2264">
        <w:rPr>
          <w:rFonts w:ascii="Garamond" w:hAnsi="Garamond"/>
          <w:iCs/>
          <w:sz w:val="22"/>
          <w:szCs w:val="22"/>
          <w:lang w:val="it-IT"/>
        </w:rPr>
        <w:t>.</w:t>
      </w:r>
    </w:p>
    <w:p w14:paraId="05BCC08F" w14:textId="65B68262" w:rsidR="008E3C03" w:rsidRDefault="008E3C03" w:rsidP="003A2264">
      <w:pPr>
        <w:pStyle w:val="Standard"/>
        <w:spacing w:line="360" w:lineRule="auto"/>
        <w:ind w:left="567" w:right="567" w:firstLine="141"/>
        <w:jc w:val="both"/>
        <w:rPr>
          <w:rFonts w:ascii="Garamond" w:hAnsi="Garamond"/>
          <w:iCs/>
          <w:sz w:val="26"/>
          <w:szCs w:val="26"/>
          <w:lang w:val="it-IT"/>
        </w:rPr>
      </w:pPr>
      <w:r>
        <w:rPr>
          <w:rFonts w:ascii="Garamond" w:hAnsi="Garamond"/>
          <w:iCs/>
          <w:sz w:val="26"/>
          <w:szCs w:val="26"/>
          <w:lang w:val="it-IT"/>
        </w:rPr>
        <w:t>Questa situazione, che perdura ormai da più di 16 anni, si presta evidentemente a</w:t>
      </w:r>
      <w:r w:rsidR="00A46C25">
        <w:rPr>
          <w:rFonts w:ascii="Garamond" w:hAnsi="Garamond"/>
          <w:iCs/>
          <w:sz w:val="26"/>
          <w:szCs w:val="26"/>
          <w:lang w:val="it-IT"/>
        </w:rPr>
        <w:t xml:space="preserve">d </w:t>
      </w:r>
      <w:r w:rsidR="00A46C25">
        <w:rPr>
          <w:rFonts w:ascii="Garamond" w:hAnsi="Garamond"/>
          <w:iCs/>
          <w:sz w:val="26"/>
          <w:szCs w:val="26"/>
          <w:lang w:val="it-IT"/>
        </w:rPr>
        <w:lastRenderedPageBreak/>
        <w:t>alcune considerazioni</w:t>
      </w:r>
      <w:r>
        <w:rPr>
          <w:rFonts w:ascii="Garamond" w:hAnsi="Garamond"/>
          <w:iCs/>
          <w:sz w:val="26"/>
          <w:szCs w:val="26"/>
          <w:lang w:val="it-IT"/>
        </w:rPr>
        <w:t xml:space="preserve"> critiche</w:t>
      </w:r>
      <w:r w:rsidR="003978E6">
        <w:rPr>
          <w:rFonts w:ascii="Garamond" w:hAnsi="Garamond"/>
          <w:iCs/>
          <w:sz w:val="26"/>
          <w:szCs w:val="26"/>
          <w:lang w:val="it-IT"/>
        </w:rPr>
        <w:t>, anzitutto</w:t>
      </w:r>
      <w:r>
        <w:rPr>
          <w:rFonts w:ascii="Garamond" w:hAnsi="Garamond"/>
          <w:iCs/>
          <w:sz w:val="26"/>
          <w:szCs w:val="26"/>
          <w:lang w:val="it-IT"/>
        </w:rPr>
        <w:t xml:space="preserve"> sul piano della opportunità</w:t>
      </w:r>
      <w:r w:rsidR="002916A6">
        <w:rPr>
          <w:rFonts w:ascii="Garamond" w:hAnsi="Garamond"/>
          <w:iCs/>
          <w:sz w:val="26"/>
          <w:szCs w:val="26"/>
          <w:lang w:val="it-IT"/>
        </w:rPr>
        <w:t xml:space="preserve"> </w:t>
      </w:r>
      <w:r w:rsidRPr="005068BF">
        <w:rPr>
          <w:rStyle w:val="Rimandonotaapidipagina"/>
          <w:rFonts w:ascii="Garamond" w:hAnsi="Garamond" w:cs="Segoe UI"/>
          <w:sz w:val="26"/>
          <w:szCs w:val="26"/>
          <w:lang w:val="it-IT"/>
        </w:rPr>
        <w:footnoteReference w:id="35"/>
      </w:r>
      <w:r>
        <w:rPr>
          <w:rFonts w:ascii="Garamond" w:hAnsi="Garamond"/>
          <w:iCs/>
          <w:sz w:val="26"/>
          <w:szCs w:val="26"/>
          <w:lang w:val="it-IT"/>
        </w:rPr>
        <w:t>.</w:t>
      </w:r>
    </w:p>
    <w:p w14:paraId="03866575" w14:textId="050B099C" w:rsidR="0016246E" w:rsidRDefault="008E3C03" w:rsidP="0016246E">
      <w:pPr>
        <w:pStyle w:val="Standard"/>
        <w:spacing w:line="360" w:lineRule="auto"/>
        <w:ind w:left="567" w:right="567" w:firstLine="141"/>
        <w:jc w:val="both"/>
        <w:rPr>
          <w:rFonts w:ascii="Garamond" w:hAnsi="Garamond"/>
          <w:iCs/>
          <w:sz w:val="26"/>
          <w:szCs w:val="26"/>
          <w:lang w:val="it-IT"/>
        </w:rPr>
      </w:pPr>
      <w:r>
        <w:rPr>
          <w:rFonts w:ascii="Garamond" w:hAnsi="Garamond"/>
          <w:iCs/>
          <w:sz w:val="26"/>
          <w:szCs w:val="26"/>
          <w:lang w:val="it-IT"/>
        </w:rPr>
        <w:t xml:space="preserve">Ma qualche dubbio sorge anche </w:t>
      </w:r>
      <w:r w:rsidR="003978E6">
        <w:rPr>
          <w:rFonts w:ascii="Garamond" w:hAnsi="Garamond"/>
          <w:iCs/>
          <w:sz w:val="26"/>
          <w:szCs w:val="26"/>
          <w:lang w:val="it-IT"/>
        </w:rPr>
        <w:t xml:space="preserve">in merito alla </w:t>
      </w:r>
      <w:r>
        <w:rPr>
          <w:rFonts w:ascii="Garamond" w:hAnsi="Garamond"/>
          <w:iCs/>
          <w:sz w:val="26"/>
          <w:szCs w:val="26"/>
          <w:lang w:val="it-IT"/>
        </w:rPr>
        <w:t xml:space="preserve">legittimità di tale </w:t>
      </w:r>
      <w:r w:rsidR="0016246E">
        <w:rPr>
          <w:rFonts w:ascii="Garamond" w:hAnsi="Garamond"/>
          <w:iCs/>
          <w:sz w:val="26"/>
          <w:szCs w:val="26"/>
          <w:lang w:val="it-IT"/>
        </w:rPr>
        <w:t xml:space="preserve">costrutto, che </w:t>
      </w:r>
      <w:r w:rsidR="00A46C25">
        <w:rPr>
          <w:rFonts w:ascii="Garamond" w:hAnsi="Garamond"/>
          <w:iCs/>
          <w:sz w:val="26"/>
          <w:szCs w:val="26"/>
          <w:lang w:val="it-IT"/>
        </w:rPr>
        <w:t xml:space="preserve">implica </w:t>
      </w:r>
      <w:r w:rsidR="00F561B1">
        <w:rPr>
          <w:rFonts w:ascii="Garamond" w:hAnsi="Garamond"/>
          <w:iCs/>
          <w:sz w:val="26"/>
          <w:szCs w:val="26"/>
          <w:lang w:val="it-IT"/>
        </w:rPr>
        <w:t xml:space="preserve">un </w:t>
      </w:r>
      <w:r w:rsidR="0016246E">
        <w:rPr>
          <w:rFonts w:ascii="Garamond" w:hAnsi="Garamond"/>
          <w:iCs/>
          <w:sz w:val="26"/>
          <w:szCs w:val="26"/>
          <w:lang w:val="it-IT"/>
        </w:rPr>
        <w:t xml:space="preserve">rinvio </w:t>
      </w:r>
      <w:r w:rsidR="0016246E" w:rsidRPr="0016246E">
        <w:rPr>
          <w:rFonts w:ascii="Garamond" w:hAnsi="Garamond"/>
          <w:i/>
          <w:sz w:val="26"/>
          <w:szCs w:val="26"/>
          <w:lang w:val="it-IT"/>
        </w:rPr>
        <w:t>sine die</w:t>
      </w:r>
      <w:r w:rsidR="0016246E">
        <w:rPr>
          <w:rFonts w:ascii="Garamond" w:hAnsi="Garamond"/>
          <w:iCs/>
          <w:sz w:val="26"/>
          <w:szCs w:val="26"/>
          <w:lang w:val="it-IT"/>
        </w:rPr>
        <w:t xml:space="preserve"> d</w:t>
      </w:r>
      <w:r w:rsidR="00A46C25">
        <w:rPr>
          <w:rFonts w:ascii="Garamond" w:hAnsi="Garamond"/>
          <w:iCs/>
          <w:sz w:val="26"/>
          <w:szCs w:val="26"/>
          <w:lang w:val="it-IT"/>
        </w:rPr>
        <w:t>ell</w:t>
      </w:r>
      <w:r w:rsidR="002916A6">
        <w:rPr>
          <w:rFonts w:ascii="Garamond" w:hAnsi="Garamond"/>
          <w:iCs/>
          <w:sz w:val="26"/>
          <w:szCs w:val="26"/>
          <w:lang w:val="it-IT"/>
        </w:rPr>
        <w:t>’entrata in vigore della</w:t>
      </w:r>
      <w:r w:rsidR="0016246E">
        <w:rPr>
          <w:rFonts w:ascii="Garamond" w:hAnsi="Garamond"/>
          <w:iCs/>
          <w:sz w:val="26"/>
          <w:szCs w:val="26"/>
          <w:lang w:val="it-IT"/>
        </w:rPr>
        <w:t xml:space="preserve"> </w:t>
      </w:r>
      <w:r w:rsidR="00A46C25">
        <w:rPr>
          <w:rFonts w:ascii="Garamond" w:hAnsi="Garamond"/>
          <w:iCs/>
          <w:sz w:val="26"/>
          <w:szCs w:val="26"/>
          <w:lang w:val="it-IT"/>
        </w:rPr>
        <w:t xml:space="preserve">disciplina “a regime” delle </w:t>
      </w:r>
      <w:r w:rsidR="0016246E">
        <w:rPr>
          <w:rFonts w:ascii="Garamond" w:hAnsi="Garamond"/>
          <w:iCs/>
          <w:sz w:val="26"/>
          <w:szCs w:val="26"/>
          <w:lang w:val="it-IT"/>
        </w:rPr>
        <w:t xml:space="preserve">limitazioni </w:t>
      </w:r>
      <w:r w:rsidR="00A46C25">
        <w:rPr>
          <w:rFonts w:ascii="Garamond" w:hAnsi="Garamond"/>
          <w:iCs/>
          <w:sz w:val="26"/>
          <w:szCs w:val="26"/>
          <w:lang w:val="it-IT"/>
        </w:rPr>
        <w:t>dell’accesso documentale (</w:t>
      </w:r>
      <w:r w:rsidR="002916A6">
        <w:rPr>
          <w:rFonts w:ascii="Garamond" w:hAnsi="Garamond"/>
          <w:iCs/>
          <w:sz w:val="26"/>
          <w:szCs w:val="26"/>
          <w:lang w:val="it-IT"/>
        </w:rPr>
        <w:t xml:space="preserve">ovvero di </w:t>
      </w:r>
      <w:r w:rsidR="0016246E">
        <w:rPr>
          <w:rFonts w:ascii="Garamond" w:hAnsi="Garamond"/>
          <w:iCs/>
          <w:sz w:val="26"/>
          <w:szCs w:val="26"/>
          <w:lang w:val="it-IT"/>
        </w:rPr>
        <w:t>uno dei diritti fondamentali del</w:t>
      </w:r>
      <w:r w:rsidR="002916A6">
        <w:rPr>
          <w:rFonts w:ascii="Garamond" w:hAnsi="Garamond"/>
          <w:iCs/>
          <w:sz w:val="26"/>
          <w:szCs w:val="26"/>
          <w:lang w:val="it-IT"/>
        </w:rPr>
        <w:t>l’</w:t>
      </w:r>
      <w:r w:rsidR="0016246E">
        <w:rPr>
          <w:rFonts w:ascii="Garamond" w:hAnsi="Garamond"/>
          <w:iCs/>
          <w:sz w:val="26"/>
          <w:szCs w:val="26"/>
          <w:lang w:val="it-IT"/>
        </w:rPr>
        <w:t xml:space="preserve">ordinamento </w:t>
      </w:r>
      <w:r w:rsidR="0016246E" w:rsidRPr="005068BF">
        <w:rPr>
          <w:rStyle w:val="Rimandonotaapidipagina"/>
          <w:rFonts w:ascii="Garamond" w:hAnsi="Garamond" w:cs="Segoe UI"/>
          <w:sz w:val="26"/>
          <w:szCs w:val="26"/>
          <w:lang w:val="it-IT"/>
        </w:rPr>
        <w:footnoteReference w:id="36"/>
      </w:r>
      <w:r w:rsidR="00A46C25">
        <w:rPr>
          <w:rFonts w:ascii="Garamond" w:hAnsi="Garamond"/>
          <w:iCs/>
          <w:sz w:val="26"/>
          <w:szCs w:val="26"/>
          <w:lang w:val="it-IT"/>
        </w:rPr>
        <w:t>)</w:t>
      </w:r>
      <w:r w:rsidR="0016246E">
        <w:rPr>
          <w:rFonts w:ascii="Garamond" w:hAnsi="Garamond"/>
          <w:iCs/>
          <w:sz w:val="26"/>
          <w:szCs w:val="26"/>
          <w:lang w:val="it-IT"/>
        </w:rPr>
        <w:t xml:space="preserve"> </w:t>
      </w:r>
      <w:r w:rsidR="008F50C1">
        <w:rPr>
          <w:rFonts w:ascii="Garamond" w:hAnsi="Garamond"/>
          <w:iCs/>
          <w:sz w:val="26"/>
          <w:szCs w:val="26"/>
          <w:lang w:val="it-IT"/>
        </w:rPr>
        <w:t xml:space="preserve">sulla </w:t>
      </w:r>
      <w:r w:rsidR="00F561B1">
        <w:rPr>
          <w:rFonts w:ascii="Garamond" w:hAnsi="Garamond"/>
          <w:iCs/>
          <w:sz w:val="26"/>
          <w:szCs w:val="26"/>
          <w:lang w:val="it-IT"/>
        </w:rPr>
        <w:t>base di</w:t>
      </w:r>
      <w:r w:rsidR="0016246E">
        <w:rPr>
          <w:rFonts w:ascii="Garamond" w:hAnsi="Garamond"/>
          <w:iCs/>
          <w:sz w:val="26"/>
          <w:szCs w:val="26"/>
          <w:lang w:val="it-IT"/>
        </w:rPr>
        <w:t xml:space="preserve"> una norma di diritto transitorio (divenuta </w:t>
      </w:r>
      <w:r w:rsidR="0016246E" w:rsidRPr="0016246E">
        <w:rPr>
          <w:rFonts w:ascii="Garamond" w:hAnsi="Garamond"/>
          <w:i/>
          <w:sz w:val="26"/>
          <w:szCs w:val="26"/>
          <w:lang w:val="it-IT"/>
        </w:rPr>
        <w:t>de facto</w:t>
      </w:r>
      <w:r w:rsidR="0016246E">
        <w:rPr>
          <w:rFonts w:ascii="Garamond" w:hAnsi="Garamond"/>
          <w:iCs/>
          <w:sz w:val="26"/>
          <w:szCs w:val="26"/>
          <w:lang w:val="it-IT"/>
        </w:rPr>
        <w:t xml:space="preserve"> definitiva) prevista da una fonte secondaria</w:t>
      </w:r>
      <w:r w:rsidR="00992188">
        <w:rPr>
          <w:rFonts w:ascii="Garamond" w:hAnsi="Garamond"/>
          <w:iCs/>
          <w:sz w:val="26"/>
          <w:szCs w:val="26"/>
          <w:lang w:val="it-IT"/>
        </w:rPr>
        <w:t>.</w:t>
      </w:r>
    </w:p>
    <w:p w14:paraId="5F5C4CF2" w14:textId="4A63AFFD" w:rsidR="0016246E" w:rsidRDefault="0016246E" w:rsidP="00F561B1">
      <w:pPr>
        <w:pStyle w:val="Standard"/>
        <w:spacing w:line="360" w:lineRule="auto"/>
        <w:ind w:left="567" w:right="567" w:firstLine="141"/>
        <w:jc w:val="both"/>
        <w:rPr>
          <w:rFonts w:ascii="Garamond" w:hAnsi="Garamond"/>
          <w:iCs/>
          <w:sz w:val="26"/>
          <w:szCs w:val="26"/>
          <w:lang w:val="it-IT"/>
        </w:rPr>
      </w:pPr>
      <w:r>
        <w:rPr>
          <w:rFonts w:ascii="Garamond" w:hAnsi="Garamond"/>
          <w:iCs/>
          <w:sz w:val="26"/>
          <w:szCs w:val="26"/>
          <w:lang w:val="it-IT"/>
        </w:rPr>
        <w:t xml:space="preserve">Di tal che </w:t>
      </w:r>
      <w:r w:rsidR="008F50C1">
        <w:rPr>
          <w:rFonts w:ascii="Garamond" w:hAnsi="Garamond"/>
          <w:iCs/>
          <w:sz w:val="26"/>
          <w:szCs w:val="26"/>
          <w:lang w:val="it-IT"/>
        </w:rPr>
        <w:t>affiorano dubbi anche su</w:t>
      </w:r>
      <w:r w:rsidR="00F561B1">
        <w:rPr>
          <w:rFonts w:ascii="Garamond" w:hAnsi="Garamond"/>
          <w:iCs/>
          <w:sz w:val="26"/>
          <w:szCs w:val="26"/>
          <w:lang w:val="it-IT"/>
        </w:rPr>
        <w:t xml:space="preserve">lla </w:t>
      </w:r>
      <w:r w:rsidR="00992188">
        <w:rPr>
          <w:rFonts w:ascii="Garamond" w:hAnsi="Garamond"/>
          <w:iCs/>
          <w:sz w:val="26"/>
          <w:szCs w:val="26"/>
          <w:lang w:val="it-IT"/>
        </w:rPr>
        <w:t>legittimità d</w:t>
      </w:r>
      <w:r w:rsidR="008F50C1">
        <w:rPr>
          <w:rFonts w:ascii="Garamond" w:hAnsi="Garamond"/>
          <w:iCs/>
          <w:sz w:val="26"/>
          <w:szCs w:val="26"/>
          <w:lang w:val="it-IT"/>
        </w:rPr>
        <w:t xml:space="preserve">ella suddetta </w:t>
      </w:r>
      <w:r w:rsidR="00F561B1">
        <w:rPr>
          <w:rFonts w:ascii="Garamond" w:hAnsi="Garamond"/>
          <w:iCs/>
          <w:sz w:val="26"/>
          <w:szCs w:val="26"/>
          <w:lang w:val="it-IT"/>
        </w:rPr>
        <w:t xml:space="preserve">norma </w:t>
      </w:r>
      <w:r w:rsidR="00992188">
        <w:rPr>
          <w:rFonts w:ascii="Garamond" w:hAnsi="Garamond"/>
          <w:iCs/>
          <w:sz w:val="26"/>
          <w:szCs w:val="26"/>
          <w:lang w:val="it-IT"/>
        </w:rPr>
        <w:t>regolamentar</w:t>
      </w:r>
      <w:r w:rsidR="00F561B1">
        <w:rPr>
          <w:rFonts w:ascii="Garamond" w:hAnsi="Garamond"/>
          <w:iCs/>
          <w:sz w:val="26"/>
          <w:szCs w:val="26"/>
          <w:lang w:val="it-IT"/>
        </w:rPr>
        <w:t>e di</w:t>
      </w:r>
      <w:r w:rsidR="00992188">
        <w:rPr>
          <w:rFonts w:ascii="Garamond" w:hAnsi="Garamond"/>
          <w:iCs/>
          <w:sz w:val="26"/>
          <w:szCs w:val="26"/>
          <w:lang w:val="it-IT"/>
        </w:rPr>
        <w:t xml:space="preserve"> diritto transitorio (artt. 14 e 15 d.P.R. n 184 del 2006)</w:t>
      </w:r>
      <w:r w:rsidR="008F50C1">
        <w:rPr>
          <w:rFonts w:ascii="Garamond" w:hAnsi="Garamond"/>
          <w:iCs/>
          <w:sz w:val="26"/>
          <w:szCs w:val="26"/>
          <w:lang w:val="it-IT"/>
        </w:rPr>
        <w:t>,</w:t>
      </w:r>
      <w:r w:rsidR="00F561B1">
        <w:rPr>
          <w:rFonts w:ascii="Garamond" w:hAnsi="Garamond"/>
          <w:iCs/>
          <w:sz w:val="26"/>
          <w:szCs w:val="26"/>
          <w:lang w:val="it-IT"/>
        </w:rPr>
        <w:t xml:space="preserve"> che</w:t>
      </w:r>
      <w:r w:rsidR="008F50C1">
        <w:rPr>
          <w:rFonts w:ascii="Garamond" w:hAnsi="Garamond"/>
          <w:iCs/>
          <w:sz w:val="26"/>
          <w:szCs w:val="26"/>
          <w:lang w:val="it-IT"/>
        </w:rPr>
        <w:t>, così intesa,</w:t>
      </w:r>
      <w:r w:rsidR="00F561B1">
        <w:rPr>
          <w:rFonts w:ascii="Garamond" w:hAnsi="Garamond"/>
          <w:iCs/>
          <w:sz w:val="26"/>
          <w:szCs w:val="26"/>
          <w:lang w:val="it-IT"/>
        </w:rPr>
        <w:t xml:space="preserve"> </w:t>
      </w:r>
      <w:r w:rsidR="00992188">
        <w:rPr>
          <w:rFonts w:ascii="Garamond" w:hAnsi="Garamond"/>
          <w:iCs/>
          <w:sz w:val="26"/>
          <w:szCs w:val="26"/>
          <w:lang w:val="it-IT"/>
        </w:rPr>
        <w:t>finisc</w:t>
      </w:r>
      <w:r w:rsidR="00F561B1">
        <w:rPr>
          <w:rFonts w:ascii="Garamond" w:hAnsi="Garamond"/>
          <w:iCs/>
          <w:sz w:val="26"/>
          <w:szCs w:val="26"/>
          <w:lang w:val="it-IT"/>
        </w:rPr>
        <w:t>e</w:t>
      </w:r>
      <w:r w:rsidR="00992188">
        <w:rPr>
          <w:rFonts w:ascii="Garamond" w:hAnsi="Garamond"/>
          <w:iCs/>
          <w:sz w:val="26"/>
          <w:szCs w:val="26"/>
          <w:lang w:val="it-IT"/>
        </w:rPr>
        <w:t xml:space="preserve"> per arrecare un </w:t>
      </w:r>
      <w:r w:rsidR="008C78AF">
        <w:rPr>
          <w:rFonts w:ascii="Garamond" w:hAnsi="Garamond"/>
          <w:iCs/>
          <w:sz w:val="26"/>
          <w:szCs w:val="26"/>
          <w:lang w:val="it-IT"/>
        </w:rPr>
        <w:t xml:space="preserve">chiaro </w:t>
      </w:r>
      <w:r w:rsidR="00992188">
        <w:rPr>
          <w:rFonts w:ascii="Garamond" w:hAnsi="Garamond"/>
          <w:i/>
          <w:sz w:val="26"/>
          <w:szCs w:val="26"/>
          <w:lang w:val="it-IT"/>
        </w:rPr>
        <w:t xml:space="preserve">vulnus </w:t>
      </w:r>
      <w:r w:rsidR="00992188">
        <w:rPr>
          <w:rFonts w:ascii="Garamond" w:hAnsi="Garamond"/>
          <w:iCs/>
          <w:sz w:val="26"/>
          <w:szCs w:val="26"/>
          <w:lang w:val="it-IT"/>
        </w:rPr>
        <w:t xml:space="preserve">al sistema di limitazioni </w:t>
      </w:r>
      <w:r w:rsidR="00F36968">
        <w:rPr>
          <w:rFonts w:ascii="Garamond" w:hAnsi="Garamond"/>
          <w:iCs/>
          <w:sz w:val="26"/>
          <w:szCs w:val="26"/>
          <w:lang w:val="it-IT"/>
        </w:rPr>
        <w:t xml:space="preserve">dell’accesso </w:t>
      </w:r>
      <w:r w:rsidR="00992188">
        <w:rPr>
          <w:rFonts w:ascii="Garamond" w:hAnsi="Garamond"/>
          <w:iCs/>
          <w:sz w:val="26"/>
          <w:szCs w:val="26"/>
          <w:lang w:val="it-IT"/>
        </w:rPr>
        <w:t>voluto dal legislatore.</w:t>
      </w:r>
      <w:r>
        <w:rPr>
          <w:rFonts w:ascii="Garamond" w:hAnsi="Garamond"/>
          <w:iCs/>
          <w:sz w:val="26"/>
          <w:szCs w:val="26"/>
          <w:lang w:val="it-IT"/>
        </w:rPr>
        <w:t xml:space="preserve"> </w:t>
      </w:r>
    </w:p>
    <w:p w14:paraId="7707D158" w14:textId="0C0678DE" w:rsidR="00992188" w:rsidRDefault="008F50C1" w:rsidP="0016246E">
      <w:pPr>
        <w:pStyle w:val="Standard"/>
        <w:spacing w:line="360" w:lineRule="auto"/>
        <w:ind w:left="567" w:right="567" w:firstLine="141"/>
        <w:jc w:val="both"/>
        <w:rPr>
          <w:rFonts w:ascii="Garamond" w:hAnsi="Garamond"/>
          <w:iCs/>
          <w:sz w:val="26"/>
          <w:szCs w:val="26"/>
          <w:lang w:val="it-IT"/>
        </w:rPr>
      </w:pPr>
      <w:r>
        <w:rPr>
          <w:rFonts w:ascii="Garamond" w:hAnsi="Garamond"/>
          <w:iCs/>
          <w:sz w:val="26"/>
          <w:szCs w:val="26"/>
          <w:lang w:val="it-IT"/>
        </w:rPr>
        <w:t xml:space="preserve">Dubbi che potrebbero </w:t>
      </w:r>
      <w:r w:rsidR="002916A6">
        <w:rPr>
          <w:rFonts w:ascii="Garamond" w:hAnsi="Garamond"/>
          <w:iCs/>
          <w:sz w:val="26"/>
          <w:szCs w:val="26"/>
          <w:lang w:val="it-IT"/>
        </w:rPr>
        <w:t xml:space="preserve">scomparire soltanto </w:t>
      </w:r>
      <w:r>
        <w:rPr>
          <w:rFonts w:ascii="Garamond" w:hAnsi="Garamond"/>
          <w:iCs/>
          <w:sz w:val="26"/>
          <w:szCs w:val="26"/>
          <w:lang w:val="it-IT"/>
        </w:rPr>
        <w:t xml:space="preserve">ove si ritenesse </w:t>
      </w:r>
      <w:r w:rsidR="00F561B1">
        <w:rPr>
          <w:rFonts w:ascii="Garamond" w:hAnsi="Garamond"/>
          <w:iCs/>
          <w:sz w:val="26"/>
          <w:szCs w:val="26"/>
          <w:lang w:val="it-IT"/>
        </w:rPr>
        <w:t>che l’adozione de</w:t>
      </w:r>
      <w:r w:rsidR="00F36968">
        <w:rPr>
          <w:rFonts w:ascii="Garamond" w:hAnsi="Garamond"/>
          <w:iCs/>
          <w:sz w:val="26"/>
          <w:szCs w:val="26"/>
          <w:lang w:val="it-IT"/>
        </w:rPr>
        <w:t>i nuovi regolamenti amministrativi ex art. 24, comma 2, l. n. 241 del 1990</w:t>
      </w:r>
      <w:r w:rsidR="00F561B1">
        <w:rPr>
          <w:rFonts w:ascii="Garamond" w:hAnsi="Garamond"/>
          <w:iCs/>
          <w:sz w:val="26"/>
          <w:szCs w:val="26"/>
          <w:lang w:val="it-IT"/>
        </w:rPr>
        <w:t xml:space="preserve"> rappresenta un obbligo per le singole Amministrazioni</w:t>
      </w:r>
      <w:r w:rsidR="00F36968">
        <w:rPr>
          <w:rFonts w:ascii="Garamond" w:hAnsi="Garamond"/>
          <w:iCs/>
          <w:sz w:val="26"/>
          <w:szCs w:val="26"/>
          <w:lang w:val="it-IT"/>
        </w:rPr>
        <w:t xml:space="preserve"> </w:t>
      </w:r>
      <w:r w:rsidR="008C78AF">
        <w:rPr>
          <w:rFonts w:ascii="Garamond" w:hAnsi="Garamond"/>
          <w:iCs/>
          <w:sz w:val="26"/>
          <w:szCs w:val="26"/>
          <w:lang w:val="it-IT"/>
        </w:rPr>
        <w:t xml:space="preserve">e non già una semplice facoltà </w:t>
      </w:r>
      <w:r w:rsidR="00F36968" w:rsidRPr="005068BF">
        <w:rPr>
          <w:rStyle w:val="Rimandonotaapidipagina"/>
          <w:rFonts w:ascii="Garamond" w:hAnsi="Garamond" w:cs="Segoe UI"/>
          <w:sz w:val="26"/>
          <w:szCs w:val="26"/>
          <w:lang w:val="it-IT"/>
        </w:rPr>
        <w:footnoteReference w:id="37"/>
      </w:r>
      <w:r w:rsidR="00F36968">
        <w:rPr>
          <w:rFonts w:ascii="Garamond" w:hAnsi="Garamond"/>
          <w:iCs/>
          <w:sz w:val="26"/>
          <w:szCs w:val="26"/>
          <w:lang w:val="it-IT"/>
        </w:rPr>
        <w:t>.</w:t>
      </w:r>
      <w:r w:rsidR="00992188">
        <w:rPr>
          <w:rFonts w:ascii="Garamond" w:hAnsi="Garamond"/>
          <w:iCs/>
          <w:sz w:val="26"/>
          <w:szCs w:val="26"/>
          <w:lang w:val="it-IT"/>
        </w:rPr>
        <w:t xml:space="preserve"> </w:t>
      </w:r>
    </w:p>
    <w:p w14:paraId="632509BB" w14:textId="77777777" w:rsidR="008E3C03" w:rsidRDefault="008E3C03" w:rsidP="003A2264">
      <w:pPr>
        <w:pStyle w:val="Standard"/>
        <w:spacing w:line="360" w:lineRule="auto"/>
        <w:ind w:left="567" w:right="567" w:firstLine="141"/>
        <w:jc w:val="both"/>
        <w:rPr>
          <w:rFonts w:ascii="Garamond" w:hAnsi="Garamond"/>
          <w:iCs/>
          <w:sz w:val="26"/>
          <w:szCs w:val="26"/>
          <w:lang w:val="it-IT"/>
        </w:rPr>
      </w:pPr>
    </w:p>
    <w:p w14:paraId="5DEBCA9E" w14:textId="3FD0A6B4" w:rsidR="00B81313" w:rsidRPr="008C34F0" w:rsidRDefault="00B81313" w:rsidP="00B81313">
      <w:pPr>
        <w:spacing w:line="360" w:lineRule="auto"/>
        <w:ind w:left="567" w:right="567"/>
        <w:jc w:val="both"/>
        <w:rPr>
          <w:rFonts w:ascii="Garamond" w:hAnsi="Garamond"/>
          <w:b/>
          <w:bCs/>
          <w:color w:val="000000"/>
          <w:sz w:val="26"/>
          <w:szCs w:val="26"/>
        </w:rPr>
      </w:pPr>
      <w:r>
        <w:rPr>
          <w:rFonts w:ascii="Garamond" w:hAnsi="Garamond" w:cs="Times New Roman"/>
          <w:b/>
          <w:bCs/>
          <w:color w:val="000000" w:themeColor="text1"/>
          <w:sz w:val="26"/>
          <w:szCs w:val="26"/>
        </w:rPr>
        <w:t xml:space="preserve">6. </w:t>
      </w:r>
      <w:r w:rsidRPr="008C34F0">
        <w:rPr>
          <w:rFonts w:ascii="Garamond" w:hAnsi="Garamond" w:cs="Times New Roman"/>
          <w:b/>
          <w:bCs/>
          <w:color w:val="000000" w:themeColor="text1"/>
          <w:sz w:val="26"/>
          <w:szCs w:val="26"/>
        </w:rPr>
        <w:t xml:space="preserve">Il rinvio </w:t>
      </w:r>
      <w:r w:rsidR="007438C4">
        <w:rPr>
          <w:rFonts w:ascii="Garamond" w:hAnsi="Garamond" w:cs="Times New Roman"/>
          <w:b/>
          <w:bCs/>
          <w:color w:val="000000" w:themeColor="text1"/>
          <w:sz w:val="26"/>
          <w:szCs w:val="26"/>
        </w:rPr>
        <w:t>di cui a</w:t>
      </w:r>
      <w:r w:rsidR="008F50C1">
        <w:rPr>
          <w:rFonts w:ascii="Garamond" w:hAnsi="Garamond" w:cs="Times New Roman"/>
          <w:b/>
          <w:bCs/>
          <w:color w:val="000000" w:themeColor="text1"/>
          <w:sz w:val="26"/>
          <w:szCs w:val="26"/>
        </w:rPr>
        <w:t xml:space="preserve">ll’art. 5-bis, comma 3, d.lgs. n. 33 del 2013 </w:t>
      </w:r>
      <w:r w:rsidRPr="008C34F0">
        <w:rPr>
          <w:rFonts w:ascii="Garamond" w:hAnsi="Garamond" w:cs="Times New Roman"/>
          <w:b/>
          <w:bCs/>
          <w:color w:val="000000" w:themeColor="text1"/>
          <w:sz w:val="26"/>
          <w:szCs w:val="26"/>
        </w:rPr>
        <w:t xml:space="preserve">ai casi </w:t>
      </w:r>
      <w:r w:rsidRPr="008C34F0">
        <w:rPr>
          <w:rFonts w:ascii="Garamond" w:hAnsi="Garamond"/>
          <w:b/>
          <w:bCs/>
          <w:color w:val="000000"/>
          <w:sz w:val="26"/>
          <w:szCs w:val="26"/>
        </w:rPr>
        <w:t>di segreto o di divieto di divulgazione previsti dalle P.A. ai sensi del comma 2 dell’art. 24 legge n. 241 del 1990.</w:t>
      </w:r>
    </w:p>
    <w:p w14:paraId="5EFD638A" w14:textId="7FB702CA" w:rsidR="008A5293" w:rsidRDefault="00B81313" w:rsidP="008A5293">
      <w:pPr>
        <w:pStyle w:val="Standard"/>
        <w:spacing w:line="360" w:lineRule="auto"/>
        <w:ind w:left="567" w:right="567"/>
        <w:jc w:val="both"/>
        <w:rPr>
          <w:rFonts w:ascii="Garamond" w:hAnsi="Garamond"/>
          <w:iCs/>
          <w:color w:val="000000"/>
          <w:sz w:val="26"/>
          <w:szCs w:val="26"/>
          <w:lang w:val="it-IT"/>
        </w:rPr>
      </w:pPr>
      <w:r>
        <w:rPr>
          <w:rFonts w:ascii="Garamond" w:hAnsi="Garamond"/>
          <w:sz w:val="26"/>
          <w:szCs w:val="26"/>
          <w:lang w:val="it-IT"/>
        </w:rPr>
        <w:tab/>
      </w:r>
      <w:r w:rsidR="00F561B1">
        <w:rPr>
          <w:rFonts w:ascii="Garamond" w:hAnsi="Garamond"/>
          <w:sz w:val="26"/>
          <w:szCs w:val="26"/>
          <w:lang w:val="it-IT"/>
        </w:rPr>
        <w:t>L</w:t>
      </w:r>
      <w:r w:rsidR="008F50C1">
        <w:rPr>
          <w:rFonts w:ascii="Garamond" w:hAnsi="Garamond"/>
          <w:sz w:val="26"/>
          <w:szCs w:val="26"/>
          <w:lang w:val="it-IT"/>
        </w:rPr>
        <w:t xml:space="preserve">e criticità </w:t>
      </w:r>
      <w:r w:rsidR="00F561B1">
        <w:rPr>
          <w:rFonts w:ascii="Garamond" w:hAnsi="Garamond"/>
          <w:sz w:val="26"/>
          <w:szCs w:val="26"/>
          <w:lang w:val="it-IT"/>
        </w:rPr>
        <w:t xml:space="preserve">sopra </w:t>
      </w:r>
      <w:r w:rsidR="007438C4">
        <w:rPr>
          <w:rFonts w:ascii="Garamond" w:hAnsi="Garamond"/>
          <w:sz w:val="26"/>
          <w:szCs w:val="26"/>
          <w:lang w:val="it-IT"/>
        </w:rPr>
        <w:t xml:space="preserve">evidenziate </w:t>
      </w:r>
      <w:r w:rsidR="004A7938">
        <w:rPr>
          <w:rFonts w:ascii="Garamond" w:hAnsi="Garamond"/>
          <w:sz w:val="26"/>
          <w:szCs w:val="26"/>
          <w:lang w:val="it-IT"/>
        </w:rPr>
        <w:t>s</w:t>
      </w:r>
      <w:r w:rsidR="002916A6">
        <w:rPr>
          <w:rFonts w:ascii="Garamond" w:hAnsi="Garamond"/>
          <w:sz w:val="26"/>
          <w:szCs w:val="26"/>
          <w:lang w:val="it-IT"/>
        </w:rPr>
        <w:t xml:space="preserve">ono destinate a riflettersi </w:t>
      </w:r>
      <w:r w:rsidR="004A7938">
        <w:rPr>
          <w:rFonts w:ascii="Garamond" w:hAnsi="Garamond"/>
          <w:sz w:val="26"/>
          <w:szCs w:val="26"/>
          <w:lang w:val="it-IT"/>
        </w:rPr>
        <w:t>sul sistema di limitazioni “assolute” dell’accesso civico generalizzato</w:t>
      </w:r>
      <w:r w:rsidR="00F561B1">
        <w:rPr>
          <w:rFonts w:ascii="Garamond" w:hAnsi="Garamond"/>
          <w:sz w:val="26"/>
          <w:szCs w:val="26"/>
          <w:lang w:val="it-IT"/>
        </w:rPr>
        <w:t>,</w:t>
      </w:r>
      <w:r w:rsidR="004A7938">
        <w:rPr>
          <w:rFonts w:ascii="Garamond" w:hAnsi="Garamond"/>
          <w:sz w:val="26"/>
          <w:szCs w:val="26"/>
          <w:lang w:val="it-IT"/>
        </w:rPr>
        <w:t xml:space="preserve"> dal momento che l’art. 5-bis, comma 3, d.lgs. n. 33 del 2013 </w:t>
      </w:r>
      <w:r w:rsidR="00F561B1">
        <w:rPr>
          <w:rFonts w:ascii="Garamond" w:hAnsi="Garamond"/>
          <w:sz w:val="26"/>
          <w:szCs w:val="26"/>
          <w:lang w:val="it-IT"/>
        </w:rPr>
        <w:t xml:space="preserve">fa </w:t>
      </w:r>
      <w:r w:rsidR="008F50C1">
        <w:rPr>
          <w:rFonts w:ascii="Garamond" w:hAnsi="Garamond"/>
          <w:sz w:val="26"/>
          <w:szCs w:val="26"/>
          <w:lang w:val="it-IT"/>
        </w:rPr>
        <w:t xml:space="preserve">testuale </w:t>
      </w:r>
      <w:r w:rsidR="00F561B1">
        <w:rPr>
          <w:rFonts w:ascii="Garamond" w:hAnsi="Garamond"/>
          <w:sz w:val="26"/>
          <w:szCs w:val="26"/>
          <w:lang w:val="it-IT"/>
        </w:rPr>
        <w:t xml:space="preserve">riferimento </w:t>
      </w:r>
      <w:r w:rsidR="004A7938">
        <w:rPr>
          <w:rFonts w:ascii="Garamond" w:hAnsi="Garamond"/>
          <w:sz w:val="26"/>
          <w:szCs w:val="26"/>
          <w:lang w:val="it-IT"/>
        </w:rPr>
        <w:t>ai casi “</w:t>
      </w:r>
      <w:r w:rsidR="004A7938" w:rsidRPr="00C037E1">
        <w:rPr>
          <w:rFonts w:ascii="Garamond" w:hAnsi="Garamond"/>
          <w:i/>
          <w:color w:val="000000"/>
          <w:sz w:val="26"/>
          <w:szCs w:val="26"/>
          <w:lang w:val="it-IT"/>
        </w:rPr>
        <w:t>di cui all'articolo 24, comma 1, della legge n. 241 del 1990”</w:t>
      </w:r>
      <w:r w:rsidR="004A7938">
        <w:rPr>
          <w:rFonts w:ascii="Garamond" w:hAnsi="Garamond"/>
          <w:iCs/>
          <w:color w:val="000000"/>
          <w:sz w:val="26"/>
          <w:szCs w:val="26"/>
          <w:lang w:val="it-IT"/>
        </w:rPr>
        <w:t>, che a sua volta rimanda</w:t>
      </w:r>
      <w:r w:rsidR="00B14B4A">
        <w:rPr>
          <w:rFonts w:ascii="Garamond" w:hAnsi="Garamond"/>
          <w:iCs/>
          <w:color w:val="000000"/>
          <w:sz w:val="26"/>
          <w:szCs w:val="26"/>
          <w:lang w:val="it-IT"/>
        </w:rPr>
        <w:t>, tra l’altro,</w:t>
      </w:r>
      <w:r w:rsidR="004A7938">
        <w:rPr>
          <w:rFonts w:ascii="Garamond" w:hAnsi="Garamond"/>
          <w:iCs/>
          <w:color w:val="000000"/>
          <w:sz w:val="26"/>
          <w:szCs w:val="26"/>
          <w:lang w:val="it-IT"/>
        </w:rPr>
        <w:t xml:space="preserve"> anche ai </w:t>
      </w:r>
      <w:r w:rsidR="00B0680A">
        <w:rPr>
          <w:rFonts w:ascii="Garamond" w:hAnsi="Garamond"/>
          <w:iCs/>
          <w:color w:val="000000"/>
          <w:sz w:val="26"/>
          <w:szCs w:val="26"/>
          <w:lang w:val="it-IT"/>
        </w:rPr>
        <w:t>r</w:t>
      </w:r>
      <w:r w:rsidR="004A7938">
        <w:rPr>
          <w:rFonts w:ascii="Garamond" w:hAnsi="Garamond"/>
          <w:iCs/>
          <w:color w:val="000000"/>
          <w:sz w:val="26"/>
          <w:szCs w:val="26"/>
          <w:lang w:val="it-IT"/>
        </w:rPr>
        <w:t>egolamenti delle singole Amministrazioni di cui al comma 2.</w:t>
      </w:r>
    </w:p>
    <w:p w14:paraId="4E114A01" w14:textId="5263D0C7" w:rsidR="00F36968" w:rsidRDefault="004A7938" w:rsidP="008A5293">
      <w:pPr>
        <w:pStyle w:val="Standard"/>
        <w:spacing w:line="360" w:lineRule="auto"/>
        <w:ind w:left="567" w:right="567"/>
        <w:jc w:val="both"/>
        <w:rPr>
          <w:rFonts w:ascii="Garamond" w:hAnsi="Garamond"/>
          <w:sz w:val="26"/>
          <w:szCs w:val="26"/>
          <w:lang w:val="it-IT"/>
        </w:rPr>
      </w:pPr>
      <w:r>
        <w:rPr>
          <w:rFonts w:ascii="Garamond" w:hAnsi="Garamond"/>
          <w:sz w:val="26"/>
          <w:szCs w:val="26"/>
          <w:lang w:val="it-IT"/>
        </w:rPr>
        <w:tab/>
        <w:t xml:space="preserve">La prima questione che si pone </w:t>
      </w:r>
      <w:r w:rsidR="00A25324">
        <w:rPr>
          <w:rFonts w:ascii="Garamond" w:hAnsi="Garamond"/>
          <w:sz w:val="26"/>
          <w:szCs w:val="26"/>
          <w:lang w:val="it-IT"/>
        </w:rPr>
        <w:t xml:space="preserve">all’interprete </w:t>
      </w:r>
      <w:r>
        <w:rPr>
          <w:rFonts w:ascii="Garamond" w:hAnsi="Garamond"/>
          <w:sz w:val="26"/>
          <w:szCs w:val="26"/>
          <w:lang w:val="it-IT"/>
        </w:rPr>
        <w:t xml:space="preserve">riguarda proprio la possibilità di </w:t>
      </w:r>
      <w:r w:rsidR="002916A6">
        <w:rPr>
          <w:rFonts w:ascii="Garamond" w:hAnsi="Garamond"/>
          <w:sz w:val="26"/>
          <w:szCs w:val="26"/>
          <w:lang w:val="it-IT"/>
        </w:rPr>
        <w:t xml:space="preserve">ammettere che </w:t>
      </w:r>
      <w:r w:rsidR="00C83708">
        <w:rPr>
          <w:rFonts w:ascii="Garamond" w:hAnsi="Garamond"/>
          <w:sz w:val="26"/>
          <w:szCs w:val="26"/>
          <w:lang w:val="it-IT"/>
        </w:rPr>
        <w:t xml:space="preserve">la disciplina delle “limitazioni assolute” </w:t>
      </w:r>
      <w:r w:rsidR="00880F9A">
        <w:rPr>
          <w:rFonts w:ascii="Garamond" w:hAnsi="Garamond"/>
          <w:sz w:val="26"/>
          <w:szCs w:val="26"/>
          <w:lang w:val="it-IT"/>
        </w:rPr>
        <w:t xml:space="preserve">dell’accesso civico </w:t>
      </w:r>
      <w:r w:rsidR="00880F9A">
        <w:rPr>
          <w:rFonts w:ascii="Garamond" w:hAnsi="Garamond"/>
          <w:sz w:val="26"/>
          <w:szCs w:val="26"/>
          <w:lang w:val="it-IT"/>
        </w:rPr>
        <w:lastRenderedPageBreak/>
        <w:t xml:space="preserve">generalizzato </w:t>
      </w:r>
      <w:r w:rsidR="00C83708">
        <w:rPr>
          <w:rFonts w:ascii="Garamond" w:hAnsi="Garamond"/>
          <w:sz w:val="26"/>
          <w:szCs w:val="26"/>
          <w:lang w:val="it-IT"/>
        </w:rPr>
        <w:t>(materia</w:t>
      </w:r>
      <w:r w:rsidR="007438C4">
        <w:rPr>
          <w:rFonts w:ascii="Garamond" w:hAnsi="Garamond"/>
          <w:sz w:val="26"/>
          <w:szCs w:val="26"/>
          <w:lang w:val="it-IT"/>
        </w:rPr>
        <w:t xml:space="preserve"> </w:t>
      </w:r>
      <w:r w:rsidR="00C83708">
        <w:rPr>
          <w:rFonts w:ascii="Garamond" w:hAnsi="Garamond"/>
          <w:sz w:val="26"/>
          <w:szCs w:val="26"/>
          <w:lang w:val="it-IT"/>
        </w:rPr>
        <w:t xml:space="preserve">coperta da “riserva di legge”) </w:t>
      </w:r>
      <w:r w:rsidR="002916A6">
        <w:rPr>
          <w:rFonts w:ascii="Garamond" w:hAnsi="Garamond"/>
          <w:sz w:val="26"/>
          <w:szCs w:val="26"/>
          <w:lang w:val="it-IT"/>
        </w:rPr>
        <w:t xml:space="preserve">sia demandata </w:t>
      </w:r>
      <w:r w:rsidR="00D839AD">
        <w:rPr>
          <w:rFonts w:ascii="Garamond" w:hAnsi="Garamond"/>
          <w:sz w:val="26"/>
          <w:szCs w:val="26"/>
          <w:lang w:val="it-IT"/>
        </w:rPr>
        <w:t>ad una fonte secondaria (regolamenti delle singole Amministrazioni)</w:t>
      </w:r>
      <w:r w:rsidR="00C83708">
        <w:rPr>
          <w:rFonts w:ascii="Garamond" w:hAnsi="Garamond"/>
          <w:sz w:val="26"/>
          <w:szCs w:val="26"/>
          <w:lang w:val="it-IT"/>
        </w:rPr>
        <w:t xml:space="preserve">. </w:t>
      </w:r>
    </w:p>
    <w:p w14:paraId="2213F5CA" w14:textId="4F3A0861" w:rsidR="00F36968" w:rsidRDefault="00D839AD" w:rsidP="008A5293">
      <w:pPr>
        <w:pStyle w:val="Standard"/>
        <w:spacing w:line="360" w:lineRule="auto"/>
        <w:ind w:left="567" w:right="567"/>
        <w:jc w:val="both"/>
        <w:rPr>
          <w:rFonts w:ascii="Garamond" w:hAnsi="Garamond"/>
          <w:sz w:val="26"/>
          <w:szCs w:val="26"/>
          <w:lang w:val="it-IT"/>
        </w:rPr>
      </w:pPr>
      <w:r>
        <w:rPr>
          <w:rFonts w:ascii="Garamond" w:hAnsi="Garamond"/>
          <w:sz w:val="26"/>
          <w:szCs w:val="26"/>
          <w:lang w:val="it-IT"/>
        </w:rPr>
        <w:tab/>
      </w:r>
      <w:r w:rsidR="00B0680A">
        <w:rPr>
          <w:rFonts w:ascii="Garamond" w:hAnsi="Garamond"/>
          <w:sz w:val="26"/>
          <w:szCs w:val="26"/>
          <w:lang w:val="it-IT"/>
        </w:rPr>
        <w:t>L’</w:t>
      </w:r>
      <w:r w:rsidR="00AD6889">
        <w:rPr>
          <w:rFonts w:ascii="Garamond" w:hAnsi="Garamond"/>
          <w:sz w:val="26"/>
          <w:szCs w:val="26"/>
          <w:lang w:val="it-IT"/>
        </w:rPr>
        <w:t xml:space="preserve">interrogativo nasce </w:t>
      </w:r>
      <w:r w:rsidR="007438C4">
        <w:rPr>
          <w:rFonts w:ascii="Garamond" w:hAnsi="Garamond"/>
          <w:sz w:val="26"/>
          <w:szCs w:val="26"/>
          <w:lang w:val="it-IT"/>
        </w:rPr>
        <w:t xml:space="preserve">dal fatto che </w:t>
      </w:r>
      <w:r>
        <w:rPr>
          <w:rFonts w:ascii="Garamond" w:hAnsi="Garamond"/>
          <w:sz w:val="26"/>
          <w:szCs w:val="26"/>
          <w:lang w:val="it-IT"/>
        </w:rPr>
        <w:t xml:space="preserve">mentre </w:t>
      </w:r>
      <w:r w:rsidR="007438C4">
        <w:rPr>
          <w:rFonts w:ascii="Garamond" w:hAnsi="Garamond"/>
          <w:sz w:val="26"/>
          <w:szCs w:val="26"/>
          <w:lang w:val="it-IT"/>
        </w:rPr>
        <w:t xml:space="preserve">per </w:t>
      </w:r>
      <w:r>
        <w:rPr>
          <w:rFonts w:ascii="Garamond" w:hAnsi="Garamond"/>
          <w:sz w:val="26"/>
          <w:szCs w:val="26"/>
          <w:lang w:val="it-IT"/>
        </w:rPr>
        <w:t xml:space="preserve">l’accesso documentale vi è una espressa norma di legge che </w:t>
      </w:r>
      <w:r w:rsidR="00C83708">
        <w:rPr>
          <w:rFonts w:ascii="Garamond" w:hAnsi="Garamond"/>
          <w:sz w:val="26"/>
          <w:szCs w:val="26"/>
          <w:lang w:val="it-IT"/>
        </w:rPr>
        <w:t xml:space="preserve">autorizza </w:t>
      </w:r>
      <w:r>
        <w:rPr>
          <w:rFonts w:ascii="Garamond" w:hAnsi="Garamond"/>
          <w:sz w:val="26"/>
          <w:szCs w:val="26"/>
          <w:lang w:val="it-IT"/>
        </w:rPr>
        <w:t xml:space="preserve">direttamente </w:t>
      </w:r>
      <w:r w:rsidR="00C83708">
        <w:rPr>
          <w:rFonts w:ascii="Garamond" w:hAnsi="Garamond"/>
          <w:sz w:val="26"/>
          <w:szCs w:val="26"/>
          <w:lang w:val="it-IT"/>
        </w:rPr>
        <w:t xml:space="preserve">le P.A. a regolamentare </w:t>
      </w:r>
      <w:r>
        <w:rPr>
          <w:rFonts w:ascii="Garamond" w:hAnsi="Garamond"/>
          <w:sz w:val="26"/>
          <w:szCs w:val="26"/>
          <w:lang w:val="it-IT"/>
        </w:rPr>
        <w:t xml:space="preserve">la materia </w:t>
      </w:r>
      <w:r w:rsidR="00A25324">
        <w:rPr>
          <w:rFonts w:ascii="Garamond" w:hAnsi="Garamond"/>
          <w:sz w:val="26"/>
          <w:szCs w:val="26"/>
          <w:lang w:val="it-IT"/>
        </w:rPr>
        <w:t xml:space="preserve">mediante </w:t>
      </w:r>
      <w:r w:rsidR="00B65A4A">
        <w:rPr>
          <w:rFonts w:ascii="Garamond" w:hAnsi="Garamond"/>
          <w:sz w:val="26"/>
          <w:szCs w:val="26"/>
          <w:lang w:val="it-IT"/>
        </w:rPr>
        <w:t xml:space="preserve">una fonte di rango secondario </w:t>
      </w:r>
      <w:r>
        <w:rPr>
          <w:rFonts w:ascii="Garamond" w:hAnsi="Garamond"/>
          <w:sz w:val="26"/>
          <w:szCs w:val="26"/>
          <w:lang w:val="it-IT"/>
        </w:rPr>
        <w:t>(art. 24, comma 2, l. n. 241 del 1990), nel caso dell’accesso civico generalizzato</w:t>
      </w:r>
      <w:r w:rsidR="00AD6889">
        <w:rPr>
          <w:rFonts w:ascii="Garamond" w:hAnsi="Garamond"/>
          <w:sz w:val="26"/>
          <w:szCs w:val="26"/>
          <w:lang w:val="it-IT"/>
        </w:rPr>
        <w:t>, per poter giungere alle medesime conclusioni,</w:t>
      </w:r>
      <w:r>
        <w:rPr>
          <w:rFonts w:ascii="Garamond" w:hAnsi="Garamond"/>
          <w:sz w:val="26"/>
          <w:szCs w:val="26"/>
          <w:lang w:val="it-IT"/>
        </w:rPr>
        <w:t xml:space="preserve"> </w:t>
      </w:r>
      <w:r w:rsidR="00AD6889">
        <w:rPr>
          <w:rFonts w:ascii="Garamond" w:hAnsi="Garamond"/>
          <w:sz w:val="26"/>
          <w:szCs w:val="26"/>
          <w:lang w:val="it-IT"/>
        </w:rPr>
        <w:t>d</w:t>
      </w:r>
      <w:r w:rsidR="00B14B4A">
        <w:rPr>
          <w:rFonts w:ascii="Garamond" w:hAnsi="Garamond"/>
          <w:sz w:val="26"/>
          <w:szCs w:val="26"/>
          <w:lang w:val="it-IT"/>
        </w:rPr>
        <w:t>ovrebbe</w:t>
      </w:r>
      <w:r w:rsidR="00AD6889">
        <w:rPr>
          <w:rFonts w:ascii="Garamond" w:hAnsi="Garamond"/>
          <w:sz w:val="26"/>
          <w:szCs w:val="26"/>
          <w:lang w:val="it-IT"/>
        </w:rPr>
        <w:t xml:space="preserve"> </w:t>
      </w:r>
      <w:r w:rsidR="00C83708">
        <w:rPr>
          <w:rFonts w:ascii="Garamond" w:hAnsi="Garamond"/>
          <w:sz w:val="26"/>
          <w:szCs w:val="26"/>
          <w:lang w:val="it-IT"/>
        </w:rPr>
        <w:t>ammettersi</w:t>
      </w:r>
      <w:r w:rsidR="00AD6889">
        <w:rPr>
          <w:rFonts w:ascii="Garamond" w:hAnsi="Garamond"/>
          <w:sz w:val="26"/>
          <w:szCs w:val="26"/>
          <w:lang w:val="it-IT"/>
        </w:rPr>
        <w:t xml:space="preserve"> </w:t>
      </w:r>
      <w:r>
        <w:rPr>
          <w:rFonts w:ascii="Garamond" w:hAnsi="Garamond"/>
          <w:sz w:val="26"/>
          <w:szCs w:val="26"/>
          <w:lang w:val="it-IT"/>
        </w:rPr>
        <w:t>una sorta di “rinvio multiplo</w:t>
      </w:r>
      <w:r w:rsidR="00E13C8D">
        <w:rPr>
          <w:rFonts w:ascii="Garamond" w:hAnsi="Garamond"/>
          <w:sz w:val="26"/>
          <w:szCs w:val="26"/>
          <w:lang w:val="it-IT"/>
        </w:rPr>
        <w:t xml:space="preserve"> a cascata</w:t>
      </w:r>
      <w:r>
        <w:rPr>
          <w:rFonts w:ascii="Garamond" w:hAnsi="Garamond"/>
          <w:sz w:val="26"/>
          <w:szCs w:val="26"/>
          <w:lang w:val="it-IT"/>
        </w:rPr>
        <w:t>” (</w:t>
      </w:r>
      <w:r w:rsidR="009F62E8">
        <w:rPr>
          <w:rFonts w:ascii="Garamond" w:hAnsi="Garamond"/>
          <w:sz w:val="26"/>
          <w:szCs w:val="26"/>
          <w:lang w:val="it-IT"/>
        </w:rPr>
        <w:t xml:space="preserve">l’art. 5-bis, comma 3, d.lgs. 33 del 2013 </w:t>
      </w:r>
      <w:r w:rsidR="00CF5C6F">
        <w:rPr>
          <w:rFonts w:ascii="Garamond" w:hAnsi="Garamond"/>
          <w:sz w:val="26"/>
          <w:szCs w:val="26"/>
          <w:lang w:val="it-IT"/>
        </w:rPr>
        <w:t xml:space="preserve">che </w:t>
      </w:r>
      <w:r w:rsidR="009F62E8">
        <w:rPr>
          <w:rFonts w:ascii="Garamond" w:hAnsi="Garamond"/>
          <w:sz w:val="26"/>
          <w:szCs w:val="26"/>
          <w:lang w:val="it-IT"/>
        </w:rPr>
        <w:t>rinvia all’art. 24, comma 1, l. n. 241 del 1990, che, a sua volta, rinvia al comma 2).</w:t>
      </w:r>
    </w:p>
    <w:p w14:paraId="12E1B127" w14:textId="7EB0CF14" w:rsidR="00612CF5" w:rsidRDefault="009F62E8" w:rsidP="00B0680A">
      <w:pPr>
        <w:pStyle w:val="Standard"/>
        <w:spacing w:line="360" w:lineRule="auto"/>
        <w:ind w:left="567" w:right="567"/>
        <w:jc w:val="both"/>
        <w:rPr>
          <w:rFonts w:ascii="Garamond" w:hAnsi="Garamond"/>
          <w:sz w:val="26"/>
          <w:szCs w:val="26"/>
          <w:lang w:val="it-IT"/>
        </w:rPr>
      </w:pPr>
      <w:r>
        <w:rPr>
          <w:rFonts w:ascii="Garamond" w:hAnsi="Garamond"/>
          <w:sz w:val="26"/>
          <w:szCs w:val="26"/>
          <w:lang w:val="it-IT"/>
        </w:rPr>
        <w:tab/>
      </w:r>
      <w:r w:rsidR="00BB2D62">
        <w:rPr>
          <w:rFonts w:ascii="Garamond" w:hAnsi="Garamond"/>
          <w:sz w:val="26"/>
          <w:szCs w:val="26"/>
          <w:lang w:val="it-IT"/>
        </w:rPr>
        <w:t xml:space="preserve">Di qui </w:t>
      </w:r>
      <w:r w:rsidR="00B0680A">
        <w:rPr>
          <w:rFonts w:ascii="Garamond" w:hAnsi="Garamond"/>
          <w:sz w:val="26"/>
          <w:szCs w:val="26"/>
          <w:lang w:val="it-IT"/>
        </w:rPr>
        <w:t xml:space="preserve">qualche </w:t>
      </w:r>
      <w:r w:rsidR="00AD6889">
        <w:rPr>
          <w:rFonts w:ascii="Garamond" w:hAnsi="Garamond"/>
          <w:sz w:val="26"/>
          <w:szCs w:val="26"/>
          <w:lang w:val="it-IT"/>
        </w:rPr>
        <w:t xml:space="preserve">dubbio </w:t>
      </w:r>
      <w:r w:rsidR="00CF5C6F">
        <w:rPr>
          <w:rFonts w:ascii="Garamond" w:hAnsi="Garamond"/>
          <w:sz w:val="26"/>
          <w:szCs w:val="26"/>
          <w:lang w:val="it-IT"/>
        </w:rPr>
        <w:t xml:space="preserve">sulla percorribilità di </w:t>
      </w:r>
      <w:r w:rsidR="00AD6889">
        <w:rPr>
          <w:rFonts w:ascii="Garamond" w:hAnsi="Garamond"/>
          <w:sz w:val="26"/>
          <w:szCs w:val="26"/>
          <w:lang w:val="it-IT"/>
        </w:rPr>
        <w:t xml:space="preserve">una siffatta </w:t>
      </w:r>
      <w:r w:rsidR="00CF5C6F">
        <w:rPr>
          <w:rFonts w:ascii="Garamond" w:hAnsi="Garamond"/>
          <w:sz w:val="26"/>
          <w:szCs w:val="26"/>
          <w:lang w:val="it-IT"/>
        </w:rPr>
        <w:t>ricostruzione esegetica</w:t>
      </w:r>
      <w:r w:rsidR="00BB2D62">
        <w:rPr>
          <w:rFonts w:ascii="Garamond" w:hAnsi="Garamond"/>
          <w:sz w:val="26"/>
          <w:szCs w:val="26"/>
          <w:lang w:val="it-IT"/>
        </w:rPr>
        <w:t>, anche considerat</w:t>
      </w:r>
      <w:r w:rsidR="00B0680A">
        <w:rPr>
          <w:rFonts w:ascii="Garamond" w:hAnsi="Garamond"/>
          <w:sz w:val="26"/>
          <w:szCs w:val="26"/>
          <w:lang w:val="it-IT"/>
        </w:rPr>
        <w:t xml:space="preserve">o il cono d’ombra che avvolge l’ambito oggettivo di estensione dei regolamenti amministrativi di cui all’art. 24, comma 2, e la conseguente </w:t>
      </w:r>
      <w:r w:rsidR="00612CF5">
        <w:rPr>
          <w:rFonts w:ascii="Garamond" w:hAnsi="Garamond"/>
          <w:sz w:val="26"/>
          <w:szCs w:val="26"/>
          <w:lang w:val="it-IT"/>
        </w:rPr>
        <w:t xml:space="preserve">difficoltà </w:t>
      </w:r>
      <w:r w:rsidR="007438C4">
        <w:rPr>
          <w:rFonts w:ascii="Garamond" w:hAnsi="Garamond"/>
          <w:sz w:val="26"/>
          <w:szCs w:val="26"/>
          <w:lang w:val="it-IT"/>
        </w:rPr>
        <w:t xml:space="preserve">da parte delle Amministrazioni </w:t>
      </w:r>
      <w:r w:rsidR="00612CF5">
        <w:rPr>
          <w:rFonts w:ascii="Garamond" w:hAnsi="Garamond"/>
          <w:sz w:val="26"/>
          <w:szCs w:val="26"/>
          <w:lang w:val="it-IT"/>
        </w:rPr>
        <w:t xml:space="preserve">di individuare, in sede regolamentare, quei casi </w:t>
      </w:r>
      <w:r w:rsidR="00612CF5" w:rsidRPr="00FB1D45">
        <w:rPr>
          <w:rFonts w:ascii="Garamond" w:hAnsi="Garamond"/>
          <w:sz w:val="26"/>
          <w:szCs w:val="26"/>
          <w:lang w:val="it-IT"/>
        </w:rPr>
        <w:t xml:space="preserve">di esclusione dell’accesso </w:t>
      </w:r>
      <w:r w:rsidR="00AD6889">
        <w:rPr>
          <w:rFonts w:ascii="Garamond" w:hAnsi="Garamond"/>
          <w:sz w:val="26"/>
          <w:szCs w:val="26"/>
          <w:lang w:val="it-IT"/>
        </w:rPr>
        <w:t xml:space="preserve">coincidenti con </w:t>
      </w:r>
      <w:r w:rsidR="00612CF5" w:rsidRPr="00FB1D45">
        <w:rPr>
          <w:rFonts w:ascii="Garamond" w:hAnsi="Garamond"/>
          <w:sz w:val="26"/>
          <w:szCs w:val="26"/>
          <w:lang w:val="it-IT"/>
        </w:rPr>
        <w:t xml:space="preserve">interessi (pubblici o privati) già riconosciuti </w:t>
      </w:r>
      <w:r w:rsidR="00612CF5">
        <w:rPr>
          <w:rFonts w:ascii="Garamond" w:hAnsi="Garamond"/>
          <w:sz w:val="26"/>
          <w:szCs w:val="26"/>
          <w:lang w:val="it-IT"/>
        </w:rPr>
        <w:t xml:space="preserve">e protetti </w:t>
      </w:r>
      <w:r w:rsidR="00612CF5" w:rsidRPr="008A5293">
        <w:rPr>
          <w:rFonts w:ascii="Garamond" w:hAnsi="Garamond"/>
          <w:sz w:val="26"/>
          <w:szCs w:val="26"/>
          <w:lang w:val="it-IT"/>
        </w:rPr>
        <w:t>dall'ordinamento in modo tassativo, specifico e differenziato</w:t>
      </w:r>
      <w:r w:rsidR="00612CF5">
        <w:rPr>
          <w:rFonts w:ascii="Garamond" w:hAnsi="Garamond"/>
          <w:sz w:val="26"/>
          <w:szCs w:val="26"/>
          <w:lang w:val="it-IT"/>
        </w:rPr>
        <w:t>.</w:t>
      </w:r>
    </w:p>
    <w:p w14:paraId="587319C3" w14:textId="75F777DB" w:rsidR="00EB764B" w:rsidRPr="004A7938" w:rsidRDefault="00EB764B" w:rsidP="00883F43">
      <w:pPr>
        <w:pStyle w:val="Standard"/>
        <w:spacing w:line="360" w:lineRule="auto"/>
        <w:ind w:left="567" w:right="567"/>
        <w:jc w:val="both"/>
        <w:rPr>
          <w:rFonts w:ascii="Garamond" w:hAnsi="Garamond" w:cs="Cambria"/>
          <w:color w:val="000000"/>
          <w:sz w:val="26"/>
          <w:szCs w:val="26"/>
          <w:lang w:val="it-IT"/>
        </w:rPr>
      </w:pPr>
      <w:r>
        <w:rPr>
          <w:rFonts w:ascii="Garamond" w:hAnsi="Garamond"/>
          <w:sz w:val="26"/>
          <w:szCs w:val="26"/>
          <w:lang w:val="it-IT"/>
        </w:rPr>
        <w:tab/>
        <w:t xml:space="preserve">In questa prospettiva, </w:t>
      </w:r>
      <w:r w:rsidR="00B14B4A">
        <w:rPr>
          <w:rFonts w:ascii="Garamond" w:hAnsi="Garamond"/>
          <w:sz w:val="26"/>
          <w:szCs w:val="26"/>
          <w:lang w:val="it-IT"/>
        </w:rPr>
        <w:t>non sembra</w:t>
      </w:r>
      <w:r w:rsidR="00AD6889">
        <w:rPr>
          <w:rFonts w:ascii="Garamond" w:hAnsi="Garamond"/>
          <w:sz w:val="26"/>
          <w:szCs w:val="26"/>
          <w:lang w:val="it-IT"/>
        </w:rPr>
        <w:t xml:space="preserve">, </w:t>
      </w:r>
      <w:r>
        <w:rPr>
          <w:rFonts w:ascii="Garamond" w:hAnsi="Garamond"/>
          <w:sz w:val="26"/>
          <w:szCs w:val="26"/>
          <w:lang w:val="it-IT"/>
        </w:rPr>
        <w:t xml:space="preserve">quindi, </w:t>
      </w:r>
      <w:r w:rsidR="00B14B4A">
        <w:rPr>
          <w:rFonts w:ascii="Garamond" w:hAnsi="Garamond"/>
          <w:sz w:val="26"/>
          <w:szCs w:val="26"/>
          <w:lang w:val="it-IT"/>
        </w:rPr>
        <w:t xml:space="preserve">del tutto priva di consistenza </w:t>
      </w:r>
      <w:r w:rsidR="00883F43">
        <w:rPr>
          <w:rFonts w:ascii="Garamond" w:hAnsi="Garamond"/>
          <w:sz w:val="26"/>
          <w:szCs w:val="26"/>
          <w:lang w:val="it-IT"/>
        </w:rPr>
        <w:t xml:space="preserve">la tesi secondo la quale </w:t>
      </w:r>
      <w:r w:rsidRPr="004A7938">
        <w:rPr>
          <w:rFonts w:ascii="Garamond" w:hAnsi="Garamond" w:cs="Cambria"/>
          <w:color w:val="000000"/>
          <w:sz w:val="26"/>
          <w:szCs w:val="26"/>
          <w:lang w:val="it-IT"/>
        </w:rPr>
        <w:t xml:space="preserve">il rinvio che l’art. 5-bis, comma 3, </w:t>
      </w:r>
      <w:r>
        <w:rPr>
          <w:rFonts w:ascii="Garamond" w:hAnsi="Garamond" w:cs="Cambria"/>
          <w:color w:val="000000"/>
          <w:sz w:val="26"/>
          <w:szCs w:val="26"/>
          <w:lang w:val="it-IT"/>
        </w:rPr>
        <w:t>d</w:t>
      </w:r>
      <w:r w:rsidRPr="004A7938">
        <w:rPr>
          <w:rFonts w:ascii="Garamond" w:hAnsi="Garamond" w:cs="Cambria"/>
          <w:color w:val="000000"/>
          <w:sz w:val="26"/>
          <w:szCs w:val="26"/>
          <w:lang w:val="it-IT"/>
        </w:rPr>
        <w:t>.</w:t>
      </w:r>
      <w:r>
        <w:rPr>
          <w:rFonts w:ascii="Garamond" w:hAnsi="Garamond" w:cs="Cambria"/>
          <w:color w:val="000000"/>
          <w:sz w:val="26"/>
          <w:szCs w:val="26"/>
          <w:lang w:val="it-IT"/>
        </w:rPr>
        <w:t>l</w:t>
      </w:r>
      <w:r w:rsidRPr="004A7938">
        <w:rPr>
          <w:rFonts w:ascii="Garamond" w:hAnsi="Garamond" w:cs="Cambria"/>
          <w:color w:val="000000"/>
          <w:sz w:val="26"/>
          <w:szCs w:val="26"/>
          <w:lang w:val="it-IT"/>
        </w:rPr>
        <w:t xml:space="preserve">gs. </w:t>
      </w:r>
      <w:r>
        <w:rPr>
          <w:rFonts w:ascii="Garamond" w:hAnsi="Garamond" w:cs="Cambria"/>
          <w:color w:val="000000"/>
          <w:sz w:val="26"/>
          <w:szCs w:val="26"/>
          <w:lang w:val="it-IT"/>
        </w:rPr>
        <w:t xml:space="preserve">n. </w:t>
      </w:r>
      <w:r w:rsidRPr="004A7938">
        <w:rPr>
          <w:rFonts w:ascii="Garamond" w:hAnsi="Garamond" w:cs="Cambria"/>
          <w:color w:val="000000"/>
          <w:sz w:val="26"/>
          <w:szCs w:val="26"/>
          <w:lang w:val="it-IT"/>
        </w:rPr>
        <w:t>33</w:t>
      </w:r>
      <w:r>
        <w:rPr>
          <w:rFonts w:ascii="Garamond" w:hAnsi="Garamond" w:cs="Cambria"/>
          <w:color w:val="000000"/>
          <w:sz w:val="26"/>
          <w:szCs w:val="26"/>
          <w:lang w:val="it-IT"/>
        </w:rPr>
        <w:t xml:space="preserve"> del </w:t>
      </w:r>
      <w:r w:rsidRPr="004A7938">
        <w:rPr>
          <w:rFonts w:ascii="Garamond" w:hAnsi="Garamond" w:cs="Cambria"/>
          <w:color w:val="000000"/>
          <w:sz w:val="26"/>
          <w:szCs w:val="26"/>
          <w:lang w:val="it-IT"/>
        </w:rPr>
        <w:t xml:space="preserve">2013 fa all’art. 24, comma 1, </w:t>
      </w:r>
      <w:r>
        <w:rPr>
          <w:rFonts w:ascii="Garamond" w:hAnsi="Garamond" w:cs="Cambria"/>
          <w:color w:val="000000"/>
          <w:sz w:val="26"/>
          <w:szCs w:val="26"/>
          <w:lang w:val="it-IT"/>
        </w:rPr>
        <w:t>l</w:t>
      </w:r>
      <w:r w:rsidRPr="004A7938">
        <w:rPr>
          <w:rFonts w:ascii="Garamond" w:hAnsi="Garamond" w:cs="Cambria"/>
          <w:color w:val="000000"/>
          <w:sz w:val="26"/>
          <w:szCs w:val="26"/>
          <w:lang w:val="it-IT"/>
        </w:rPr>
        <w:t xml:space="preserve">. </w:t>
      </w:r>
      <w:r>
        <w:rPr>
          <w:rFonts w:ascii="Garamond" w:hAnsi="Garamond" w:cs="Cambria"/>
          <w:color w:val="000000"/>
          <w:sz w:val="26"/>
          <w:szCs w:val="26"/>
          <w:lang w:val="it-IT"/>
        </w:rPr>
        <w:t xml:space="preserve">n. </w:t>
      </w:r>
      <w:r w:rsidRPr="004A7938">
        <w:rPr>
          <w:rFonts w:ascii="Garamond" w:hAnsi="Garamond" w:cs="Cambria"/>
          <w:color w:val="000000"/>
          <w:sz w:val="26"/>
          <w:szCs w:val="26"/>
          <w:lang w:val="it-IT"/>
        </w:rPr>
        <w:t>241</w:t>
      </w:r>
      <w:r>
        <w:rPr>
          <w:rFonts w:ascii="Garamond" w:hAnsi="Garamond" w:cs="Cambria"/>
          <w:color w:val="000000"/>
          <w:sz w:val="26"/>
          <w:szCs w:val="26"/>
          <w:lang w:val="it-IT"/>
        </w:rPr>
        <w:t xml:space="preserve"> del 19</w:t>
      </w:r>
      <w:r w:rsidRPr="004A7938">
        <w:rPr>
          <w:rFonts w:ascii="Garamond" w:hAnsi="Garamond" w:cs="Cambria"/>
          <w:color w:val="000000"/>
          <w:sz w:val="26"/>
          <w:szCs w:val="26"/>
          <w:lang w:val="it-IT"/>
        </w:rPr>
        <w:t xml:space="preserve">90 </w:t>
      </w:r>
      <w:r>
        <w:rPr>
          <w:rFonts w:ascii="Garamond" w:hAnsi="Garamond" w:cs="Cambria"/>
          <w:color w:val="000000"/>
          <w:sz w:val="26"/>
          <w:szCs w:val="26"/>
          <w:lang w:val="it-IT"/>
        </w:rPr>
        <w:t>de</w:t>
      </w:r>
      <w:r w:rsidR="00B0680A">
        <w:rPr>
          <w:rFonts w:ascii="Garamond" w:hAnsi="Garamond" w:cs="Cambria"/>
          <w:color w:val="000000"/>
          <w:sz w:val="26"/>
          <w:szCs w:val="26"/>
          <w:lang w:val="it-IT"/>
        </w:rPr>
        <w:t>bba</w:t>
      </w:r>
      <w:r>
        <w:rPr>
          <w:rFonts w:ascii="Garamond" w:hAnsi="Garamond" w:cs="Cambria"/>
          <w:color w:val="000000"/>
          <w:sz w:val="26"/>
          <w:szCs w:val="26"/>
          <w:lang w:val="it-IT"/>
        </w:rPr>
        <w:t xml:space="preserve"> essere </w:t>
      </w:r>
      <w:r w:rsidRPr="004A7938">
        <w:rPr>
          <w:rFonts w:ascii="Garamond" w:hAnsi="Garamond" w:cs="Cambria"/>
          <w:color w:val="000000"/>
          <w:sz w:val="26"/>
          <w:szCs w:val="26"/>
          <w:lang w:val="it-IT"/>
        </w:rPr>
        <w:t xml:space="preserve">inteso in </w:t>
      </w:r>
      <w:r w:rsidR="00CF5C6F">
        <w:rPr>
          <w:rFonts w:ascii="Garamond" w:hAnsi="Garamond" w:cs="Cambria"/>
          <w:color w:val="000000"/>
          <w:sz w:val="26"/>
          <w:szCs w:val="26"/>
          <w:lang w:val="it-IT"/>
        </w:rPr>
        <w:t xml:space="preserve">modo </w:t>
      </w:r>
      <w:r w:rsidRPr="004A7938">
        <w:rPr>
          <w:rFonts w:ascii="Garamond" w:hAnsi="Garamond" w:cs="Cambria"/>
          <w:color w:val="000000"/>
          <w:sz w:val="26"/>
          <w:szCs w:val="26"/>
          <w:lang w:val="it-IT"/>
        </w:rPr>
        <w:t>rigoroso e restrittivo</w:t>
      </w:r>
      <w:r w:rsidR="0093271E">
        <w:rPr>
          <w:rFonts w:ascii="Garamond" w:hAnsi="Garamond" w:cs="Cambria"/>
          <w:color w:val="000000"/>
          <w:sz w:val="26"/>
          <w:szCs w:val="26"/>
          <w:lang w:val="it-IT"/>
        </w:rPr>
        <w:t xml:space="preserve">, nel senso di </w:t>
      </w:r>
      <w:r w:rsidR="00CF5C6F">
        <w:rPr>
          <w:rFonts w:ascii="Garamond" w:hAnsi="Garamond" w:cs="Cambria"/>
          <w:color w:val="000000"/>
          <w:sz w:val="26"/>
          <w:szCs w:val="26"/>
          <w:lang w:val="it-IT"/>
        </w:rPr>
        <w:t xml:space="preserve">non </w:t>
      </w:r>
      <w:r w:rsidRPr="004A7938">
        <w:rPr>
          <w:rFonts w:ascii="Garamond" w:hAnsi="Garamond" w:cs="Cambria"/>
          <w:color w:val="000000"/>
          <w:sz w:val="26"/>
          <w:szCs w:val="26"/>
          <w:lang w:val="it-IT"/>
        </w:rPr>
        <w:t>comprende</w:t>
      </w:r>
      <w:r w:rsidR="0093271E">
        <w:rPr>
          <w:rFonts w:ascii="Garamond" w:hAnsi="Garamond" w:cs="Cambria"/>
          <w:color w:val="000000"/>
          <w:sz w:val="26"/>
          <w:szCs w:val="26"/>
          <w:lang w:val="it-IT"/>
        </w:rPr>
        <w:t>r</w:t>
      </w:r>
      <w:r>
        <w:rPr>
          <w:rFonts w:ascii="Garamond" w:hAnsi="Garamond" w:cs="Cambria"/>
          <w:color w:val="000000"/>
          <w:sz w:val="26"/>
          <w:szCs w:val="26"/>
          <w:lang w:val="it-IT"/>
        </w:rPr>
        <w:t>e</w:t>
      </w:r>
      <w:r w:rsidRPr="004A7938">
        <w:rPr>
          <w:rFonts w:ascii="Garamond" w:hAnsi="Garamond" w:cs="Cambria"/>
          <w:color w:val="000000"/>
          <w:sz w:val="26"/>
          <w:szCs w:val="26"/>
          <w:lang w:val="it-IT"/>
        </w:rPr>
        <w:t xml:space="preserve"> i casi di esclusion</w:t>
      </w:r>
      <w:r w:rsidR="00B14B4A">
        <w:rPr>
          <w:rFonts w:ascii="Garamond" w:hAnsi="Garamond" w:cs="Cambria"/>
          <w:color w:val="000000"/>
          <w:sz w:val="26"/>
          <w:szCs w:val="26"/>
          <w:lang w:val="it-IT"/>
        </w:rPr>
        <w:t>e</w:t>
      </w:r>
      <w:r w:rsidRPr="004A7938">
        <w:rPr>
          <w:rFonts w:ascii="Garamond" w:hAnsi="Garamond" w:cs="Cambria"/>
          <w:color w:val="000000"/>
          <w:sz w:val="26"/>
          <w:szCs w:val="26"/>
          <w:lang w:val="it-IT"/>
        </w:rPr>
        <w:t xml:space="preserve"> stabilit</w:t>
      </w:r>
      <w:r>
        <w:rPr>
          <w:rFonts w:ascii="Garamond" w:hAnsi="Garamond" w:cs="Cambria"/>
          <w:color w:val="000000"/>
          <w:sz w:val="26"/>
          <w:szCs w:val="26"/>
          <w:lang w:val="it-IT"/>
        </w:rPr>
        <w:t>i</w:t>
      </w:r>
      <w:r w:rsidRPr="004A7938">
        <w:rPr>
          <w:rFonts w:ascii="Garamond" w:hAnsi="Garamond" w:cs="Cambria"/>
          <w:color w:val="000000"/>
          <w:sz w:val="26"/>
          <w:szCs w:val="26"/>
          <w:lang w:val="it-IT"/>
        </w:rPr>
        <w:t xml:space="preserve"> dalle singole P.A. </w:t>
      </w:r>
      <w:r>
        <w:rPr>
          <w:rFonts w:ascii="Garamond" w:hAnsi="Garamond" w:cs="Cambria"/>
          <w:color w:val="000000"/>
          <w:sz w:val="26"/>
          <w:szCs w:val="26"/>
          <w:lang w:val="it-IT"/>
        </w:rPr>
        <w:t xml:space="preserve">con i regolamenti ex </w:t>
      </w:r>
      <w:r w:rsidRPr="004A7938">
        <w:rPr>
          <w:rFonts w:ascii="Garamond" w:hAnsi="Garamond" w:cs="Cambria"/>
          <w:color w:val="000000"/>
          <w:sz w:val="26"/>
          <w:szCs w:val="26"/>
          <w:lang w:val="it-IT"/>
        </w:rPr>
        <w:t xml:space="preserve">art. 24, comma 2, </w:t>
      </w:r>
      <w:r w:rsidR="00B65A4A">
        <w:rPr>
          <w:rFonts w:ascii="Garamond" w:hAnsi="Garamond" w:cs="Cambria"/>
          <w:color w:val="000000"/>
          <w:sz w:val="26"/>
          <w:szCs w:val="26"/>
          <w:lang w:val="it-IT"/>
        </w:rPr>
        <w:t xml:space="preserve">suscettibili </w:t>
      </w:r>
      <w:r w:rsidRPr="004A7938">
        <w:rPr>
          <w:rFonts w:ascii="Garamond" w:hAnsi="Garamond" w:cs="Cambria"/>
          <w:color w:val="000000"/>
          <w:sz w:val="26"/>
          <w:szCs w:val="26"/>
          <w:lang w:val="it-IT"/>
        </w:rPr>
        <w:t xml:space="preserve">tutt’al più </w:t>
      </w:r>
      <w:r w:rsidR="00B65A4A">
        <w:rPr>
          <w:rFonts w:ascii="Garamond" w:hAnsi="Garamond" w:cs="Cambria"/>
          <w:color w:val="000000"/>
          <w:sz w:val="26"/>
          <w:szCs w:val="26"/>
          <w:lang w:val="it-IT"/>
        </w:rPr>
        <w:t xml:space="preserve">di </w:t>
      </w:r>
      <w:r w:rsidRPr="004A7938">
        <w:rPr>
          <w:rFonts w:ascii="Garamond" w:hAnsi="Garamond" w:cs="Cambria"/>
          <w:color w:val="000000"/>
          <w:sz w:val="26"/>
          <w:szCs w:val="26"/>
          <w:lang w:val="it-IT"/>
        </w:rPr>
        <w:t xml:space="preserve">costituire un indice di quel “pregiudizio concreto” agli interessi pubblici e privati previsto dall’art. 5-bis, commi 1 e 2, del </w:t>
      </w:r>
      <w:r>
        <w:rPr>
          <w:rFonts w:ascii="Garamond" w:hAnsi="Garamond" w:cs="Cambria"/>
          <w:color w:val="000000"/>
          <w:sz w:val="26"/>
          <w:szCs w:val="26"/>
          <w:lang w:val="it-IT"/>
        </w:rPr>
        <w:t>d</w:t>
      </w:r>
      <w:r w:rsidRPr="004A7938">
        <w:rPr>
          <w:rFonts w:ascii="Garamond" w:hAnsi="Garamond" w:cs="Cambria"/>
          <w:color w:val="000000"/>
          <w:sz w:val="26"/>
          <w:szCs w:val="26"/>
          <w:lang w:val="it-IT"/>
        </w:rPr>
        <w:t>.</w:t>
      </w:r>
      <w:r>
        <w:rPr>
          <w:rFonts w:ascii="Garamond" w:hAnsi="Garamond" w:cs="Cambria"/>
          <w:color w:val="000000"/>
          <w:sz w:val="26"/>
          <w:szCs w:val="26"/>
          <w:lang w:val="it-IT"/>
        </w:rPr>
        <w:t>l</w:t>
      </w:r>
      <w:r w:rsidRPr="004A7938">
        <w:rPr>
          <w:rFonts w:ascii="Garamond" w:hAnsi="Garamond" w:cs="Cambria"/>
          <w:color w:val="000000"/>
          <w:sz w:val="26"/>
          <w:szCs w:val="26"/>
          <w:lang w:val="it-IT"/>
        </w:rPr>
        <w:t>gs. 33/2013</w:t>
      </w:r>
      <w:r>
        <w:rPr>
          <w:rFonts w:ascii="Garamond" w:hAnsi="Garamond" w:cs="Cambria"/>
          <w:color w:val="000000"/>
          <w:sz w:val="26"/>
          <w:szCs w:val="26"/>
          <w:lang w:val="it-IT"/>
        </w:rPr>
        <w:t xml:space="preserve"> </w:t>
      </w:r>
      <w:r w:rsidR="00B0680A">
        <w:rPr>
          <w:rFonts w:ascii="Garamond" w:hAnsi="Garamond" w:cs="Cambria"/>
          <w:color w:val="000000"/>
          <w:sz w:val="26"/>
          <w:szCs w:val="26"/>
          <w:lang w:val="it-IT"/>
        </w:rPr>
        <w:t xml:space="preserve">nell’ambito delle </w:t>
      </w:r>
      <w:r>
        <w:rPr>
          <w:rFonts w:ascii="Garamond" w:hAnsi="Garamond" w:cs="Cambria"/>
          <w:color w:val="000000"/>
          <w:sz w:val="26"/>
          <w:szCs w:val="26"/>
          <w:lang w:val="it-IT"/>
        </w:rPr>
        <w:t>limitazion</w:t>
      </w:r>
      <w:r w:rsidR="001950E3">
        <w:rPr>
          <w:rFonts w:ascii="Garamond" w:hAnsi="Garamond" w:cs="Cambria"/>
          <w:color w:val="000000"/>
          <w:sz w:val="26"/>
          <w:szCs w:val="26"/>
          <w:lang w:val="it-IT"/>
        </w:rPr>
        <w:t>i</w:t>
      </w:r>
      <w:r>
        <w:rPr>
          <w:rFonts w:ascii="Garamond" w:hAnsi="Garamond" w:cs="Cambria"/>
          <w:color w:val="000000"/>
          <w:sz w:val="26"/>
          <w:szCs w:val="26"/>
          <w:lang w:val="it-IT"/>
        </w:rPr>
        <w:t xml:space="preserve"> “relativ</w:t>
      </w:r>
      <w:r w:rsidR="001950E3">
        <w:rPr>
          <w:rFonts w:ascii="Garamond" w:hAnsi="Garamond" w:cs="Cambria"/>
          <w:color w:val="000000"/>
          <w:sz w:val="26"/>
          <w:szCs w:val="26"/>
          <w:lang w:val="it-IT"/>
        </w:rPr>
        <w:t>e</w:t>
      </w:r>
      <w:r>
        <w:rPr>
          <w:rFonts w:ascii="Garamond" w:hAnsi="Garamond" w:cs="Cambria"/>
          <w:color w:val="000000"/>
          <w:sz w:val="26"/>
          <w:szCs w:val="26"/>
          <w:lang w:val="it-IT"/>
        </w:rPr>
        <w:t xml:space="preserve">” </w:t>
      </w:r>
      <w:r w:rsidR="00B0680A">
        <w:rPr>
          <w:rFonts w:ascii="Garamond" w:hAnsi="Garamond" w:cs="Cambria"/>
          <w:color w:val="000000"/>
          <w:sz w:val="26"/>
          <w:szCs w:val="26"/>
          <w:lang w:val="it-IT"/>
        </w:rPr>
        <w:t xml:space="preserve">dell’accesso civico generalizzato </w:t>
      </w:r>
      <w:r w:rsidRPr="004A7938">
        <w:rPr>
          <w:rStyle w:val="Rimandonotaapidipagina"/>
          <w:rFonts w:ascii="Garamond" w:hAnsi="Garamond" w:cs="Times New Roman"/>
          <w:color w:val="000000" w:themeColor="text1"/>
          <w:sz w:val="26"/>
          <w:szCs w:val="26"/>
          <w:lang w:val="it-IT"/>
        </w:rPr>
        <w:footnoteReference w:id="38"/>
      </w:r>
      <w:r w:rsidRPr="004A7938">
        <w:rPr>
          <w:rFonts w:ascii="Garamond" w:hAnsi="Garamond" w:cs="Cambria"/>
          <w:color w:val="000000"/>
          <w:sz w:val="26"/>
          <w:szCs w:val="26"/>
          <w:lang w:val="it-IT"/>
        </w:rPr>
        <w:t>.</w:t>
      </w:r>
    </w:p>
    <w:p w14:paraId="7576FF56" w14:textId="4E4C235B" w:rsidR="003E0F9F" w:rsidRPr="004A7938" w:rsidRDefault="003E0F9F" w:rsidP="003E0F9F">
      <w:pPr>
        <w:pStyle w:val="Standard"/>
        <w:spacing w:line="360" w:lineRule="auto"/>
        <w:ind w:left="567" w:right="567"/>
        <w:jc w:val="both"/>
        <w:rPr>
          <w:rFonts w:ascii="Garamond" w:hAnsi="Garamond"/>
          <w:sz w:val="26"/>
          <w:szCs w:val="26"/>
          <w:lang w:val="it-IT"/>
        </w:rPr>
      </w:pPr>
      <w:r>
        <w:rPr>
          <w:rFonts w:ascii="Garamond" w:hAnsi="Garamond"/>
          <w:sz w:val="26"/>
          <w:szCs w:val="26"/>
          <w:lang w:val="it-IT"/>
        </w:rPr>
        <w:lastRenderedPageBreak/>
        <w:tab/>
      </w:r>
      <w:r w:rsidR="001950E3">
        <w:rPr>
          <w:rFonts w:ascii="Garamond" w:hAnsi="Garamond"/>
          <w:sz w:val="26"/>
          <w:szCs w:val="26"/>
          <w:lang w:val="it-IT"/>
        </w:rPr>
        <w:t>Senonchè t</w:t>
      </w:r>
      <w:r>
        <w:rPr>
          <w:rFonts w:ascii="Garamond" w:hAnsi="Garamond"/>
          <w:sz w:val="26"/>
          <w:szCs w:val="26"/>
          <w:lang w:val="it-IT"/>
        </w:rPr>
        <w:t xml:space="preserve">ale </w:t>
      </w:r>
      <w:r w:rsidR="00A122AB">
        <w:rPr>
          <w:rFonts w:ascii="Garamond" w:hAnsi="Garamond"/>
          <w:sz w:val="26"/>
          <w:szCs w:val="26"/>
          <w:lang w:val="it-IT"/>
        </w:rPr>
        <w:t xml:space="preserve">opzione </w:t>
      </w:r>
      <w:r>
        <w:rPr>
          <w:rFonts w:ascii="Garamond" w:hAnsi="Garamond"/>
          <w:sz w:val="26"/>
          <w:szCs w:val="26"/>
          <w:lang w:val="it-IT"/>
        </w:rPr>
        <w:t xml:space="preserve">interpretativa non è condivisa dalla giurisprudenza, la quale non dubita che </w:t>
      </w:r>
      <w:r w:rsidRPr="004A7938">
        <w:rPr>
          <w:rFonts w:ascii="Garamond" w:hAnsi="Garamond"/>
          <w:sz w:val="26"/>
          <w:szCs w:val="26"/>
          <w:lang w:val="it-IT"/>
        </w:rPr>
        <w:t xml:space="preserve">l’art. 5-bis, comma 3, </w:t>
      </w:r>
      <w:r>
        <w:rPr>
          <w:rFonts w:ascii="Garamond" w:hAnsi="Garamond"/>
          <w:sz w:val="26"/>
          <w:szCs w:val="26"/>
          <w:lang w:val="it-IT"/>
        </w:rPr>
        <w:t>d</w:t>
      </w:r>
      <w:r w:rsidRPr="004A7938">
        <w:rPr>
          <w:rFonts w:ascii="Garamond" w:hAnsi="Garamond"/>
          <w:sz w:val="26"/>
          <w:szCs w:val="26"/>
          <w:lang w:val="it-IT"/>
        </w:rPr>
        <w:t>.</w:t>
      </w:r>
      <w:r>
        <w:rPr>
          <w:rFonts w:ascii="Garamond" w:hAnsi="Garamond"/>
          <w:sz w:val="26"/>
          <w:szCs w:val="26"/>
          <w:lang w:val="it-IT"/>
        </w:rPr>
        <w:t>l</w:t>
      </w:r>
      <w:r w:rsidRPr="004A7938">
        <w:rPr>
          <w:rFonts w:ascii="Garamond" w:hAnsi="Garamond"/>
          <w:sz w:val="26"/>
          <w:szCs w:val="26"/>
          <w:lang w:val="it-IT"/>
        </w:rPr>
        <w:t xml:space="preserve">gs. </w:t>
      </w:r>
      <w:r>
        <w:rPr>
          <w:rFonts w:ascii="Garamond" w:hAnsi="Garamond"/>
          <w:sz w:val="26"/>
          <w:szCs w:val="26"/>
          <w:lang w:val="it-IT"/>
        </w:rPr>
        <w:t xml:space="preserve">n. </w:t>
      </w:r>
      <w:r w:rsidRPr="004A7938">
        <w:rPr>
          <w:rFonts w:ascii="Garamond" w:hAnsi="Garamond"/>
          <w:sz w:val="26"/>
          <w:szCs w:val="26"/>
          <w:lang w:val="it-IT"/>
        </w:rPr>
        <w:t>33</w:t>
      </w:r>
      <w:r>
        <w:rPr>
          <w:rFonts w:ascii="Garamond" w:hAnsi="Garamond"/>
          <w:sz w:val="26"/>
          <w:szCs w:val="26"/>
          <w:lang w:val="it-IT"/>
        </w:rPr>
        <w:t xml:space="preserve"> del </w:t>
      </w:r>
      <w:r w:rsidRPr="004A7938">
        <w:rPr>
          <w:rFonts w:ascii="Garamond" w:hAnsi="Garamond"/>
          <w:sz w:val="26"/>
          <w:szCs w:val="26"/>
          <w:lang w:val="it-IT"/>
        </w:rPr>
        <w:t xml:space="preserve">2013, nel rinviare all’art. 24, comma 1, </w:t>
      </w:r>
      <w:r>
        <w:rPr>
          <w:rFonts w:ascii="Garamond" w:hAnsi="Garamond"/>
          <w:sz w:val="26"/>
          <w:szCs w:val="26"/>
          <w:lang w:val="it-IT"/>
        </w:rPr>
        <w:t>l</w:t>
      </w:r>
      <w:r w:rsidRPr="004A7938">
        <w:rPr>
          <w:rFonts w:ascii="Garamond" w:hAnsi="Garamond"/>
          <w:sz w:val="26"/>
          <w:szCs w:val="26"/>
          <w:lang w:val="it-IT"/>
        </w:rPr>
        <w:t xml:space="preserve">. </w:t>
      </w:r>
      <w:r>
        <w:rPr>
          <w:rFonts w:ascii="Garamond" w:hAnsi="Garamond"/>
          <w:sz w:val="26"/>
          <w:szCs w:val="26"/>
          <w:lang w:val="it-IT"/>
        </w:rPr>
        <w:t xml:space="preserve">n. </w:t>
      </w:r>
      <w:r w:rsidRPr="004A7938">
        <w:rPr>
          <w:rFonts w:ascii="Garamond" w:hAnsi="Garamond"/>
          <w:sz w:val="26"/>
          <w:szCs w:val="26"/>
          <w:lang w:val="it-IT"/>
        </w:rPr>
        <w:t>241</w:t>
      </w:r>
      <w:r>
        <w:rPr>
          <w:rFonts w:ascii="Garamond" w:hAnsi="Garamond"/>
          <w:sz w:val="26"/>
          <w:szCs w:val="26"/>
          <w:lang w:val="it-IT"/>
        </w:rPr>
        <w:t xml:space="preserve"> del 19</w:t>
      </w:r>
      <w:r w:rsidRPr="004A7938">
        <w:rPr>
          <w:rFonts w:ascii="Garamond" w:hAnsi="Garamond"/>
          <w:sz w:val="26"/>
          <w:szCs w:val="26"/>
          <w:lang w:val="it-IT"/>
        </w:rPr>
        <w:t>90, rinvi</w:t>
      </w:r>
      <w:r>
        <w:rPr>
          <w:rFonts w:ascii="Garamond" w:hAnsi="Garamond"/>
          <w:sz w:val="26"/>
          <w:szCs w:val="26"/>
          <w:lang w:val="it-IT"/>
        </w:rPr>
        <w:t>i</w:t>
      </w:r>
      <w:r w:rsidRPr="004A7938">
        <w:rPr>
          <w:rFonts w:ascii="Garamond" w:hAnsi="Garamond"/>
          <w:sz w:val="26"/>
          <w:szCs w:val="26"/>
          <w:lang w:val="it-IT"/>
        </w:rPr>
        <w:t xml:space="preserve"> anche a</w:t>
      </w:r>
      <w:r>
        <w:rPr>
          <w:rFonts w:ascii="Garamond" w:hAnsi="Garamond"/>
          <w:sz w:val="26"/>
          <w:szCs w:val="26"/>
          <w:lang w:val="it-IT"/>
        </w:rPr>
        <w:t xml:space="preserve">i </w:t>
      </w:r>
      <w:r w:rsidR="00B65A4A">
        <w:rPr>
          <w:rFonts w:ascii="Garamond" w:hAnsi="Garamond"/>
          <w:sz w:val="26"/>
          <w:szCs w:val="26"/>
          <w:lang w:val="it-IT"/>
        </w:rPr>
        <w:t>r</w:t>
      </w:r>
      <w:r>
        <w:rPr>
          <w:rFonts w:ascii="Garamond" w:hAnsi="Garamond"/>
          <w:sz w:val="26"/>
          <w:szCs w:val="26"/>
          <w:lang w:val="it-IT"/>
        </w:rPr>
        <w:t xml:space="preserve">egolamenti delle singole Amministrazioni ex </w:t>
      </w:r>
      <w:r w:rsidRPr="004A7938">
        <w:rPr>
          <w:rFonts w:ascii="Garamond" w:hAnsi="Garamond"/>
          <w:sz w:val="26"/>
          <w:szCs w:val="26"/>
          <w:lang w:val="it-IT"/>
        </w:rPr>
        <w:t>art. 24, comma 2</w:t>
      </w:r>
      <w:r>
        <w:rPr>
          <w:rFonts w:ascii="Garamond" w:hAnsi="Garamond"/>
          <w:sz w:val="26"/>
          <w:szCs w:val="26"/>
          <w:lang w:val="it-IT"/>
        </w:rPr>
        <w:t xml:space="preserve">, </w:t>
      </w:r>
      <w:r w:rsidR="00B65A4A">
        <w:rPr>
          <w:rFonts w:ascii="Garamond" w:hAnsi="Garamond"/>
          <w:sz w:val="26"/>
          <w:szCs w:val="26"/>
          <w:lang w:val="it-IT"/>
        </w:rPr>
        <w:t xml:space="preserve">che </w:t>
      </w:r>
      <w:r w:rsidR="00A25324">
        <w:rPr>
          <w:rFonts w:ascii="Garamond" w:hAnsi="Garamond"/>
          <w:sz w:val="26"/>
          <w:szCs w:val="26"/>
          <w:lang w:val="it-IT"/>
        </w:rPr>
        <w:t xml:space="preserve">sono </w:t>
      </w:r>
      <w:r w:rsidR="0093271E">
        <w:rPr>
          <w:rFonts w:ascii="Garamond" w:hAnsi="Garamond"/>
          <w:sz w:val="26"/>
          <w:szCs w:val="26"/>
          <w:lang w:val="it-IT"/>
        </w:rPr>
        <w:t xml:space="preserve">in tal modo </w:t>
      </w:r>
      <w:r>
        <w:rPr>
          <w:rFonts w:ascii="Garamond" w:hAnsi="Garamond"/>
          <w:sz w:val="26"/>
          <w:szCs w:val="26"/>
          <w:lang w:val="it-IT"/>
        </w:rPr>
        <w:t xml:space="preserve">autorizzati ad individuare ulteriori </w:t>
      </w:r>
      <w:r w:rsidRPr="004A7938">
        <w:rPr>
          <w:rFonts w:ascii="Garamond" w:hAnsi="Garamond"/>
          <w:sz w:val="26"/>
          <w:szCs w:val="26"/>
          <w:lang w:val="it-IT"/>
        </w:rPr>
        <w:t xml:space="preserve">limitazioni </w:t>
      </w:r>
      <w:r>
        <w:rPr>
          <w:rFonts w:ascii="Garamond" w:hAnsi="Garamond"/>
          <w:sz w:val="26"/>
          <w:szCs w:val="26"/>
          <w:lang w:val="it-IT"/>
        </w:rPr>
        <w:t>“</w:t>
      </w:r>
      <w:r w:rsidRPr="004A7938">
        <w:rPr>
          <w:rFonts w:ascii="Garamond" w:hAnsi="Garamond"/>
          <w:sz w:val="26"/>
          <w:szCs w:val="26"/>
          <w:lang w:val="it-IT"/>
        </w:rPr>
        <w:t>assolute”</w:t>
      </w:r>
      <w:r>
        <w:rPr>
          <w:rFonts w:ascii="Garamond" w:hAnsi="Garamond"/>
          <w:sz w:val="26"/>
          <w:szCs w:val="26"/>
          <w:lang w:val="it-IT"/>
        </w:rPr>
        <w:t xml:space="preserve"> dell’accesso civico generalizzato </w:t>
      </w:r>
      <w:r w:rsidR="00A122AB" w:rsidRPr="004A7938">
        <w:rPr>
          <w:rStyle w:val="Rimandonotaapidipagina"/>
          <w:rFonts w:ascii="Garamond" w:hAnsi="Garamond" w:cs="Times New Roman"/>
          <w:color w:val="000000" w:themeColor="text1"/>
          <w:sz w:val="26"/>
          <w:szCs w:val="26"/>
          <w:lang w:val="it-IT"/>
        </w:rPr>
        <w:footnoteReference w:id="39"/>
      </w:r>
      <w:r>
        <w:rPr>
          <w:rFonts w:ascii="Garamond" w:hAnsi="Garamond"/>
          <w:sz w:val="26"/>
          <w:szCs w:val="26"/>
          <w:lang w:val="it-IT"/>
        </w:rPr>
        <w:t>.</w:t>
      </w:r>
    </w:p>
    <w:p w14:paraId="439A9776" w14:textId="101FB9DD" w:rsidR="004A7938" w:rsidRDefault="003F02F9" w:rsidP="003F02F9">
      <w:pPr>
        <w:pStyle w:val="Standard"/>
        <w:spacing w:line="360" w:lineRule="auto"/>
        <w:ind w:left="567" w:right="567"/>
        <w:jc w:val="both"/>
        <w:rPr>
          <w:rFonts w:ascii="Garamond" w:hAnsi="Garamond"/>
          <w:sz w:val="26"/>
          <w:szCs w:val="26"/>
          <w:lang w:val="it-IT"/>
        </w:rPr>
      </w:pPr>
      <w:bookmarkStart w:id="10" w:name="_Hlk70006064"/>
      <w:r>
        <w:rPr>
          <w:rFonts w:ascii="Garamond" w:hAnsi="Garamond"/>
          <w:sz w:val="26"/>
          <w:szCs w:val="26"/>
          <w:lang w:val="it-IT"/>
        </w:rPr>
        <w:tab/>
        <w:t>Il fatto che detti</w:t>
      </w:r>
      <w:r w:rsidRPr="004A7938">
        <w:rPr>
          <w:rFonts w:ascii="Garamond" w:hAnsi="Garamond"/>
          <w:sz w:val="26"/>
          <w:szCs w:val="26"/>
          <w:lang w:val="it-IT"/>
        </w:rPr>
        <w:t xml:space="preserve"> </w:t>
      </w:r>
      <w:r>
        <w:rPr>
          <w:rFonts w:ascii="Garamond" w:hAnsi="Garamond"/>
          <w:sz w:val="26"/>
          <w:szCs w:val="26"/>
          <w:lang w:val="it-IT"/>
        </w:rPr>
        <w:t>r</w:t>
      </w:r>
      <w:r w:rsidRPr="004A7938">
        <w:rPr>
          <w:rFonts w:ascii="Garamond" w:hAnsi="Garamond"/>
          <w:sz w:val="26"/>
          <w:szCs w:val="26"/>
          <w:lang w:val="it-IT"/>
        </w:rPr>
        <w:t>egolamenti s</w:t>
      </w:r>
      <w:r>
        <w:rPr>
          <w:rFonts w:ascii="Garamond" w:hAnsi="Garamond"/>
          <w:sz w:val="26"/>
          <w:szCs w:val="26"/>
          <w:lang w:val="it-IT"/>
        </w:rPr>
        <w:t>ia</w:t>
      </w:r>
      <w:r w:rsidRPr="004A7938">
        <w:rPr>
          <w:rFonts w:ascii="Garamond" w:hAnsi="Garamond"/>
          <w:sz w:val="26"/>
          <w:szCs w:val="26"/>
          <w:lang w:val="it-IT"/>
        </w:rPr>
        <w:t>no previsti</w:t>
      </w:r>
      <w:r w:rsidR="001950E3">
        <w:rPr>
          <w:rFonts w:ascii="Garamond" w:hAnsi="Garamond"/>
          <w:sz w:val="26"/>
          <w:szCs w:val="26"/>
          <w:lang w:val="it-IT"/>
        </w:rPr>
        <w:t xml:space="preserve"> </w:t>
      </w:r>
      <w:r w:rsidRPr="004A7938">
        <w:rPr>
          <w:rFonts w:ascii="Garamond" w:hAnsi="Garamond"/>
          <w:sz w:val="26"/>
          <w:szCs w:val="26"/>
          <w:lang w:val="it-IT"/>
        </w:rPr>
        <w:t xml:space="preserve">da una fonte normativa di rango statale (art. 24, comma 1, </w:t>
      </w:r>
      <w:r>
        <w:rPr>
          <w:rFonts w:ascii="Garamond" w:hAnsi="Garamond"/>
          <w:sz w:val="26"/>
          <w:szCs w:val="26"/>
          <w:lang w:val="it-IT"/>
        </w:rPr>
        <w:t>l</w:t>
      </w:r>
      <w:r w:rsidRPr="004A7938">
        <w:rPr>
          <w:rFonts w:ascii="Garamond" w:hAnsi="Garamond"/>
          <w:sz w:val="26"/>
          <w:szCs w:val="26"/>
          <w:lang w:val="it-IT"/>
        </w:rPr>
        <w:t>. 241</w:t>
      </w:r>
      <w:r>
        <w:rPr>
          <w:rFonts w:ascii="Garamond" w:hAnsi="Garamond"/>
          <w:sz w:val="26"/>
          <w:szCs w:val="26"/>
          <w:lang w:val="it-IT"/>
        </w:rPr>
        <w:t xml:space="preserve"> del 19</w:t>
      </w:r>
      <w:r w:rsidRPr="004A7938">
        <w:rPr>
          <w:rFonts w:ascii="Garamond" w:hAnsi="Garamond"/>
          <w:sz w:val="26"/>
          <w:szCs w:val="26"/>
          <w:lang w:val="it-IT"/>
        </w:rPr>
        <w:t>90), a cui altra fonte di rango statale (l’art. 5-bis) rinvia</w:t>
      </w:r>
      <w:r>
        <w:rPr>
          <w:rFonts w:ascii="Garamond" w:hAnsi="Garamond"/>
          <w:sz w:val="26"/>
          <w:szCs w:val="26"/>
          <w:lang w:val="it-IT"/>
        </w:rPr>
        <w:t xml:space="preserve">, è </w:t>
      </w:r>
      <w:r w:rsidR="00883F43">
        <w:rPr>
          <w:rFonts w:ascii="Garamond" w:hAnsi="Garamond"/>
          <w:sz w:val="26"/>
          <w:szCs w:val="26"/>
          <w:lang w:val="it-IT"/>
        </w:rPr>
        <w:t xml:space="preserve">considerata condizione </w:t>
      </w:r>
      <w:r>
        <w:rPr>
          <w:rFonts w:ascii="Garamond" w:hAnsi="Garamond"/>
          <w:sz w:val="26"/>
          <w:szCs w:val="26"/>
          <w:lang w:val="it-IT"/>
        </w:rPr>
        <w:t xml:space="preserve">sufficiente a garantire il rispetto della “riserva di legge”, anche </w:t>
      </w:r>
      <w:r w:rsidR="00B14B4A">
        <w:rPr>
          <w:rFonts w:ascii="Garamond" w:hAnsi="Garamond"/>
          <w:sz w:val="26"/>
          <w:szCs w:val="26"/>
          <w:lang w:val="it-IT"/>
        </w:rPr>
        <w:t xml:space="preserve">tenuto conto </w:t>
      </w:r>
      <w:r>
        <w:rPr>
          <w:rFonts w:ascii="Garamond" w:hAnsi="Garamond"/>
          <w:sz w:val="26"/>
          <w:szCs w:val="26"/>
          <w:lang w:val="it-IT"/>
        </w:rPr>
        <w:t xml:space="preserve">che </w:t>
      </w:r>
      <w:bookmarkStart w:id="11" w:name="_Hlk71016221"/>
      <w:r w:rsidR="004A7938" w:rsidRPr="004A7938">
        <w:rPr>
          <w:rFonts w:ascii="Garamond" w:hAnsi="Garamond"/>
          <w:sz w:val="26"/>
          <w:szCs w:val="26"/>
          <w:lang w:val="it-IT"/>
        </w:rPr>
        <w:t xml:space="preserve">l’art. 7-bis </w:t>
      </w:r>
      <w:r>
        <w:rPr>
          <w:rFonts w:ascii="Garamond" w:hAnsi="Garamond"/>
          <w:sz w:val="26"/>
          <w:szCs w:val="26"/>
          <w:lang w:val="it-IT"/>
        </w:rPr>
        <w:t>d</w:t>
      </w:r>
      <w:r w:rsidR="004A7938" w:rsidRPr="004A7938">
        <w:rPr>
          <w:rFonts w:ascii="Garamond" w:hAnsi="Garamond"/>
          <w:sz w:val="26"/>
          <w:szCs w:val="26"/>
          <w:lang w:val="it-IT"/>
        </w:rPr>
        <w:t>.</w:t>
      </w:r>
      <w:r>
        <w:rPr>
          <w:rFonts w:ascii="Garamond" w:hAnsi="Garamond"/>
          <w:sz w:val="26"/>
          <w:szCs w:val="26"/>
          <w:lang w:val="it-IT"/>
        </w:rPr>
        <w:t>l</w:t>
      </w:r>
      <w:r w:rsidR="004A7938" w:rsidRPr="004A7938">
        <w:rPr>
          <w:rFonts w:ascii="Garamond" w:hAnsi="Garamond"/>
          <w:sz w:val="26"/>
          <w:szCs w:val="26"/>
          <w:lang w:val="it-IT"/>
        </w:rPr>
        <w:t xml:space="preserve">gs. 33/2013 prevede espressamente che </w:t>
      </w:r>
      <w:r w:rsidR="004A7938" w:rsidRPr="004A7938">
        <w:rPr>
          <w:rFonts w:ascii="Garamond" w:hAnsi="Garamond"/>
          <w:i/>
          <w:color w:val="000000"/>
          <w:sz w:val="26"/>
          <w:szCs w:val="26"/>
          <w:lang w:val="it-IT"/>
        </w:rPr>
        <w:t>“</w:t>
      </w:r>
      <w:r w:rsidR="004A7938" w:rsidRPr="004A7938">
        <w:rPr>
          <w:rStyle w:val="apple-converted-space"/>
          <w:rFonts w:ascii="Garamond" w:hAnsi="Garamond"/>
          <w:i/>
          <w:color w:val="000000"/>
          <w:sz w:val="26"/>
          <w:szCs w:val="26"/>
          <w:lang w:val="it-IT"/>
        </w:rPr>
        <w:t> </w:t>
      </w:r>
      <w:r w:rsidR="004A7938" w:rsidRPr="004A7938">
        <w:rPr>
          <w:rFonts w:ascii="Garamond" w:hAnsi="Garamond"/>
          <w:i/>
          <w:color w:val="000000"/>
          <w:sz w:val="26"/>
          <w:szCs w:val="26"/>
          <w:lang w:val="it-IT"/>
        </w:rPr>
        <w:t>Restano fermi i limiti all'accesso e alla diffusione delle informazioni di cui all'articolo 24, commi 1 e 6, della legge 7 agosto 1990, n. 241, e successive modifiche, …”</w:t>
      </w:r>
      <w:r w:rsidR="004A7938" w:rsidRPr="004A7938">
        <w:rPr>
          <w:rFonts w:ascii="Garamond" w:hAnsi="Garamond"/>
          <w:color w:val="000000"/>
          <w:sz w:val="26"/>
          <w:szCs w:val="26"/>
          <w:lang w:val="it-IT"/>
        </w:rPr>
        <w:t>.</w:t>
      </w:r>
      <w:r w:rsidR="004A7938" w:rsidRPr="004A7938">
        <w:rPr>
          <w:rFonts w:ascii="Garamond" w:hAnsi="Garamond"/>
          <w:sz w:val="26"/>
          <w:szCs w:val="26"/>
          <w:lang w:val="it-IT"/>
        </w:rPr>
        <w:t xml:space="preserve"> </w:t>
      </w:r>
    </w:p>
    <w:p w14:paraId="7FB626C8" w14:textId="2C2A02CB" w:rsidR="006935D6" w:rsidRDefault="00883F43" w:rsidP="006935D6">
      <w:pPr>
        <w:pStyle w:val="Standard"/>
        <w:spacing w:line="360" w:lineRule="auto"/>
        <w:ind w:left="567" w:right="567"/>
        <w:jc w:val="both"/>
        <w:rPr>
          <w:rFonts w:ascii="Garamond" w:hAnsi="Garamond"/>
          <w:sz w:val="26"/>
          <w:szCs w:val="26"/>
          <w:lang w:val="it-IT"/>
        </w:rPr>
      </w:pPr>
      <w:r>
        <w:rPr>
          <w:rFonts w:ascii="Garamond" w:hAnsi="Garamond"/>
          <w:sz w:val="26"/>
          <w:szCs w:val="26"/>
          <w:lang w:val="it-IT"/>
        </w:rPr>
        <w:tab/>
        <w:t>Questa soluzione</w:t>
      </w:r>
      <w:r w:rsidR="00B0680A">
        <w:rPr>
          <w:rFonts w:ascii="Garamond" w:hAnsi="Garamond"/>
          <w:sz w:val="26"/>
          <w:szCs w:val="26"/>
          <w:lang w:val="it-IT"/>
        </w:rPr>
        <w:t xml:space="preserve"> giurisprudenziale</w:t>
      </w:r>
      <w:r>
        <w:rPr>
          <w:rFonts w:ascii="Garamond" w:hAnsi="Garamond"/>
          <w:sz w:val="26"/>
          <w:szCs w:val="26"/>
          <w:lang w:val="it-IT"/>
        </w:rPr>
        <w:t xml:space="preserve">, ancorchè non </w:t>
      </w:r>
      <w:r w:rsidR="00B0680A">
        <w:rPr>
          <w:rFonts w:ascii="Garamond" w:hAnsi="Garamond"/>
          <w:sz w:val="26"/>
          <w:szCs w:val="26"/>
          <w:lang w:val="it-IT"/>
        </w:rPr>
        <w:t xml:space="preserve">esente </w:t>
      </w:r>
      <w:r>
        <w:rPr>
          <w:rFonts w:ascii="Garamond" w:hAnsi="Garamond"/>
          <w:sz w:val="26"/>
          <w:szCs w:val="26"/>
          <w:lang w:val="it-IT"/>
        </w:rPr>
        <w:t>d</w:t>
      </w:r>
      <w:r w:rsidR="00B0680A">
        <w:rPr>
          <w:rFonts w:ascii="Garamond" w:hAnsi="Garamond"/>
          <w:sz w:val="26"/>
          <w:szCs w:val="26"/>
          <w:lang w:val="it-IT"/>
        </w:rPr>
        <w:t>a</w:t>
      </w:r>
      <w:r>
        <w:rPr>
          <w:rFonts w:ascii="Garamond" w:hAnsi="Garamond"/>
          <w:sz w:val="26"/>
          <w:szCs w:val="26"/>
          <w:lang w:val="it-IT"/>
        </w:rPr>
        <w:t xml:space="preserve"> una certa tensione interpretativa, appare in qualche modo giustificata</w:t>
      </w:r>
      <w:r w:rsidR="006935D6">
        <w:rPr>
          <w:rFonts w:ascii="Garamond" w:hAnsi="Garamond"/>
          <w:sz w:val="26"/>
          <w:szCs w:val="26"/>
          <w:lang w:val="it-IT"/>
        </w:rPr>
        <w:t xml:space="preserve"> </w:t>
      </w:r>
      <w:r>
        <w:rPr>
          <w:rFonts w:ascii="Garamond" w:hAnsi="Garamond"/>
          <w:sz w:val="26"/>
          <w:szCs w:val="26"/>
          <w:lang w:val="it-IT"/>
        </w:rPr>
        <w:t xml:space="preserve">dalla necessità di rispettare </w:t>
      </w:r>
      <w:r w:rsidR="00B0680A">
        <w:rPr>
          <w:rFonts w:ascii="Garamond" w:hAnsi="Garamond"/>
          <w:sz w:val="26"/>
          <w:szCs w:val="26"/>
          <w:lang w:val="it-IT"/>
        </w:rPr>
        <w:t>l</w:t>
      </w:r>
      <w:r>
        <w:rPr>
          <w:rFonts w:ascii="Garamond" w:hAnsi="Garamond"/>
          <w:sz w:val="26"/>
          <w:szCs w:val="26"/>
          <w:lang w:val="it-IT"/>
        </w:rPr>
        <w:t xml:space="preserve">a scelta di fondo del legislatore di </w:t>
      </w:r>
      <w:r w:rsidR="006935D6">
        <w:rPr>
          <w:rFonts w:ascii="Garamond" w:hAnsi="Garamond"/>
          <w:sz w:val="26"/>
          <w:szCs w:val="26"/>
          <w:lang w:val="it-IT"/>
        </w:rPr>
        <w:t xml:space="preserve">demandare alla potestà regolamentare delle singole Amministrazioni un </w:t>
      </w:r>
      <w:r w:rsidR="00B65A4A">
        <w:rPr>
          <w:rFonts w:ascii="Garamond" w:hAnsi="Garamond"/>
          <w:sz w:val="26"/>
          <w:szCs w:val="26"/>
          <w:lang w:val="it-IT"/>
        </w:rPr>
        <w:t xml:space="preserve">compito </w:t>
      </w:r>
      <w:r w:rsidR="006935D6">
        <w:rPr>
          <w:rFonts w:ascii="Garamond" w:hAnsi="Garamond"/>
          <w:sz w:val="26"/>
          <w:szCs w:val="26"/>
          <w:lang w:val="it-IT"/>
        </w:rPr>
        <w:t xml:space="preserve">ricognitivo dei casi </w:t>
      </w:r>
      <w:r w:rsidR="006935D6" w:rsidRPr="00FB1D45">
        <w:rPr>
          <w:rFonts w:ascii="Garamond" w:hAnsi="Garamond"/>
          <w:sz w:val="26"/>
          <w:szCs w:val="26"/>
          <w:lang w:val="it-IT"/>
        </w:rPr>
        <w:t xml:space="preserve">di </w:t>
      </w:r>
      <w:r w:rsidR="006935D6">
        <w:rPr>
          <w:rFonts w:ascii="Garamond" w:hAnsi="Garamond"/>
          <w:sz w:val="26"/>
          <w:szCs w:val="26"/>
          <w:lang w:val="it-IT"/>
        </w:rPr>
        <w:t xml:space="preserve">limitazione assoluta </w:t>
      </w:r>
      <w:r w:rsidR="006935D6" w:rsidRPr="00FB1D45">
        <w:rPr>
          <w:rFonts w:ascii="Garamond" w:hAnsi="Garamond"/>
          <w:sz w:val="26"/>
          <w:szCs w:val="26"/>
          <w:lang w:val="it-IT"/>
        </w:rPr>
        <w:t xml:space="preserve">dell’accesso </w:t>
      </w:r>
      <w:r w:rsidR="006935D6">
        <w:rPr>
          <w:rFonts w:ascii="Garamond" w:hAnsi="Garamond"/>
          <w:sz w:val="26"/>
          <w:szCs w:val="26"/>
          <w:lang w:val="it-IT"/>
        </w:rPr>
        <w:t xml:space="preserve">coincidenti con </w:t>
      </w:r>
      <w:r w:rsidR="006935D6" w:rsidRPr="00FB1D45">
        <w:rPr>
          <w:rFonts w:ascii="Garamond" w:hAnsi="Garamond"/>
          <w:sz w:val="26"/>
          <w:szCs w:val="26"/>
          <w:lang w:val="it-IT"/>
        </w:rPr>
        <w:t xml:space="preserve">interessi (pubblici o privati) già riconosciuti </w:t>
      </w:r>
      <w:r w:rsidR="006935D6">
        <w:rPr>
          <w:rFonts w:ascii="Garamond" w:hAnsi="Garamond"/>
          <w:sz w:val="26"/>
          <w:szCs w:val="26"/>
          <w:lang w:val="it-IT"/>
        </w:rPr>
        <w:t xml:space="preserve">e protetti </w:t>
      </w:r>
      <w:r w:rsidR="006935D6" w:rsidRPr="008A5293">
        <w:rPr>
          <w:rFonts w:ascii="Garamond" w:hAnsi="Garamond"/>
          <w:sz w:val="26"/>
          <w:szCs w:val="26"/>
          <w:lang w:val="it-IT"/>
        </w:rPr>
        <w:t>dall'ordinamento</w:t>
      </w:r>
      <w:r w:rsidR="006935D6">
        <w:rPr>
          <w:rFonts w:ascii="Garamond" w:hAnsi="Garamond"/>
          <w:sz w:val="26"/>
          <w:szCs w:val="26"/>
          <w:lang w:val="it-IT"/>
        </w:rPr>
        <w:t>.</w:t>
      </w:r>
    </w:p>
    <w:p w14:paraId="4C4592FD" w14:textId="17844F8B" w:rsidR="006935D6" w:rsidRDefault="006935D6" w:rsidP="00304475">
      <w:pPr>
        <w:pStyle w:val="Standard"/>
        <w:spacing w:line="360" w:lineRule="auto"/>
        <w:ind w:left="567" w:right="567" w:firstLine="141"/>
        <w:jc w:val="both"/>
        <w:rPr>
          <w:rFonts w:ascii="Garamond" w:hAnsi="Garamond"/>
          <w:sz w:val="26"/>
          <w:szCs w:val="26"/>
          <w:lang w:val="it-IT"/>
        </w:rPr>
      </w:pPr>
      <w:r>
        <w:rPr>
          <w:rFonts w:ascii="Garamond" w:hAnsi="Garamond"/>
          <w:sz w:val="26"/>
          <w:szCs w:val="26"/>
          <w:lang w:val="it-IT"/>
        </w:rPr>
        <w:t xml:space="preserve"> Scelta chiaramente </w:t>
      </w:r>
      <w:r w:rsidR="00304475">
        <w:rPr>
          <w:rFonts w:ascii="Garamond" w:hAnsi="Garamond"/>
          <w:sz w:val="26"/>
          <w:szCs w:val="26"/>
          <w:lang w:val="it-IT"/>
        </w:rPr>
        <w:t xml:space="preserve">enunciata </w:t>
      </w:r>
      <w:r>
        <w:rPr>
          <w:rFonts w:ascii="Garamond" w:hAnsi="Garamond"/>
          <w:sz w:val="26"/>
          <w:szCs w:val="26"/>
          <w:lang w:val="it-IT"/>
        </w:rPr>
        <w:t xml:space="preserve">dal legislatore </w:t>
      </w:r>
      <w:r w:rsidR="00B0680A">
        <w:rPr>
          <w:rFonts w:ascii="Garamond" w:hAnsi="Garamond"/>
          <w:sz w:val="26"/>
          <w:szCs w:val="26"/>
          <w:lang w:val="it-IT"/>
        </w:rPr>
        <w:t>con riferimento al</w:t>
      </w:r>
      <w:r>
        <w:rPr>
          <w:rFonts w:ascii="Garamond" w:hAnsi="Garamond"/>
          <w:sz w:val="26"/>
          <w:szCs w:val="26"/>
          <w:lang w:val="it-IT"/>
        </w:rPr>
        <w:t xml:space="preserve">l’accesso documentale </w:t>
      </w:r>
      <w:r w:rsidR="00304475">
        <w:rPr>
          <w:rFonts w:ascii="Garamond" w:hAnsi="Garamond"/>
          <w:sz w:val="26"/>
          <w:szCs w:val="26"/>
          <w:lang w:val="it-IT"/>
        </w:rPr>
        <w:t xml:space="preserve">ex l. 241 del 1990 </w:t>
      </w:r>
      <w:r>
        <w:rPr>
          <w:rFonts w:ascii="Garamond" w:hAnsi="Garamond"/>
          <w:sz w:val="26"/>
          <w:szCs w:val="26"/>
          <w:lang w:val="it-IT"/>
        </w:rPr>
        <w:t>e che</w:t>
      </w:r>
      <w:r w:rsidR="00304475">
        <w:rPr>
          <w:rFonts w:ascii="Garamond" w:hAnsi="Garamond"/>
          <w:sz w:val="26"/>
          <w:szCs w:val="26"/>
          <w:lang w:val="it-IT"/>
        </w:rPr>
        <w:t xml:space="preserve"> </w:t>
      </w:r>
      <w:r w:rsidR="00B65A4A">
        <w:rPr>
          <w:rFonts w:ascii="Garamond" w:hAnsi="Garamond"/>
          <w:sz w:val="26"/>
          <w:szCs w:val="26"/>
          <w:lang w:val="it-IT"/>
        </w:rPr>
        <w:t xml:space="preserve">la giurisprudenza </w:t>
      </w:r>
      <w:r w:rsidR="00304475">
        <w:rPr>
          <w:rFonts w:ascii="Garamond" w:hAnsi="Garamond"/>
          <w:sz w:val="26"/>
          <w:szCs w:val="26"/>
          <w:lang w:val="it-IT"/>
        </w:rPr>
        <w:t xml:space="preserve">ritiene implicitamente espressa anche per </w:t>
      </w:r>
      <w:r w:rsidR="00304475">
        <w:rPr>
          <w:rFonts w:ascii="Garamond" w:hAnsi="Garamond"/>
          <w:sz w:val="26"/>
          <w:szCs w:val="26"/>
          <w:lang w:val="it-IT"/>
        </w:rPr>
        <w:lastRenderedPageBreak/>
        <w:t>l’accesso civico generalizzato ex d.lgs. n. 33 del 2013.</w:t>
      </w:r>
    </w:p>
    <w:p w14:paraId="33345D2D" w14:textId="359FE04F" w:rsidR="0093271E" w:rsidRPr="004A7938" w:rsidRDefault="00304475" w:rsidP="003F02F9">
      <w:pPr>
        <w:pStyle w:val="Standard"/>
        <w:spacing w:line="360" w:lineRule="auto"/>
        <w:ind w:left="567" w:right="567"/>
        <w:jc w:val="both"/>
        <w:rPr>
          <w:rFonts w:ascii="Garamond" w:hAnsi="Garamond"/>
          <w:sz w:val="26"/>
          <w:szCs w:val="26"/>
          <w:lang w:val="it-IT"/>
        </w:rPr>
      </w:pPr>
      <w:r>
        <w:rPr>
          <w:rFonts w:ascii="Garamond" w:hAnsi="Garamond"/>
          <w:sz w:val="26"/>
          <w:szCs w:val="26"/>
          <w:lang w:val="it-IT"/>
        </w:rPr>
        <w:tab/>
        <w:t xml:space="preserve">Sin qui un comprensibile </w:t>
      </w:r>
      <w:r w:rsidR="00B65A4A">
        <w:rPr>
          <w:rFonts w:ascii="Garamond" w:hAnsi="Garamond"/>
          <w:sz w:val="26"/>
          <w:szCs w:val="26"/>
          <w:lang w:val="it-IT"/>
        </w:rPr>
        <w:t xml:space="preserve">sforzo interpretativo </w:t>
      </w:r>
      <w:r w:rsidR="00B0680A">
        <w:rPr>
          <w:rFonts w:ascii="Garamond" w:hAnsi="Garamond"/>
          <w:sz w:val="26"/>
          <w:szCs w:val="26"/>
          <w:lang w:val="it-IT"/>
        </w:rPr>
        <w:t>“</w:t>
      </w:r>
      <w:r>
        <w:rPr>
          <w:rFonts w:ascii="Garamond" w:hAnsi="Garamond"/>
          <w:sz w:val="26"/>
          <w:szCs w:val="26"/>
          <w:lang w:val="it-IT"/>
        </w:rPr>
        <w:t>armonizzante</w:t>
      </w:r>
      <w:r w:rsidR="00B0680A">
        <w:rPr>
          <w:rFonts w:ascii="Garamond" w:hAnsi="Garamond"/>
          <w:sz w:val="26"/>
          <w:szCs w:val="26"/>
          <w:lang w:val="it-IT"/>
        </w:rPr>
        <w:t>”</w:t>
      </w:r>
      <w:r>
        <w:rPr>
          <w:rFonts w:ascii="Garamond" w:hAnsi="Garamond"/>
          <w:sz w:val="26"/>
          <w:szCs w:val="26"/>
          <w:lang w:val="it-IT"/>
        </w:rPr>
        <w:t xml:space="preserve"> dell’ordinamento.</w:t>
      </w:r>
    </w:p>
    <w:bookmarkEnd w:id="11"/>
    <w:p w14:paraId="05249525" w14:textId="557C4293" w:rsidR="001950E3" w:rsidRDefault="001950E3" w:rsidP="004A7938">
      <w:pPr>
        <w:pStyle w:val="Standard"/>
        <w:spacing w:line="360" w:lineRule="auto"/>
        <w:ind w:left="567" w:right="567"/>
        <w:jc w:val="both"/>
        <w:rPr>
          <w:rFonts w:ascii="Garamond" w:hAnsi="Garamond"/>
          <w:iCs/>
          <w:sz w:val="26"/>
          <w:szCs w:val="26"/>
          <w:lang w:val="it-IT"/>
        </w:rPr>
      </w:pPr>
      <w:r w:rsidRPr="001950E3">
        <w:rPr>
          <w:rFonts w:ascii="Garamond" w:hAnsi="Garamond"/>
          <w:bCs/>
          <w:sz w:val="26"/>
          <w:szCs w:val="26"/>
          <w:lang w:val="it-IT"/>
        </w:rPr>
        <w:tab/>
        <w:t xml:space="preserve">Ma </w:t>
      </w:r>
      <w:r w:rsidRPr="001950E3">
        <w:rPr>
          <w:rFonts w:ascii="Garamond" w:hAnsi="Garamond"/>
          <w:bCs/>
          <w:i/>
          <w:iCs/>
          <w:sz w:val="26"/>
          <w:szCs w:val="26"/>
          <w:lang w:val="it-IT"/>
        </w:rPr>
        <w:t>quid iuris</w:t>
      </w:r>
      <w:r>
        <w:rPr>
          <w:rFonts w:ascii="Garamond" w:hAnsi="Garamond"/>
          <w:bCs/>
          <w:sz w:val="26"/>
          <w:szCs w:val="26"/>
          <w:lang w:val="it-IT"/>
        </w:rPr>
        <w:t xml:space="preserve"> </w:t>
      </w:r>
      <w:bookmarkStart w:id="12" w:name="_Hlk71016052"/>
      <w:r>
        <w:rPr>
          <w:rFonts w:ascii="Garamond" w:hAnsi="Garamond"/>
          <w:bCs/>
          <w:sz w:val="26"/>
          <w:szCs w:val="26"/>
          <w:lang w:val="it-IT"/>
        </w:rPr>
        <w:t xml:space="preserve">per </w:t>
      </w:r>
      <w:r w:rsidR="004A7938" w:rsidRPr="004A7938">
        <w:rPr>
          <w:rFonts w:ascii="Garamond" w:hAnsi="Garamond"/>
          <w:sz w:val="26"/>
          <w:szCs w:val="26"/>
          <w:lang w:val="it-IT"/>
        </w:rPr>
        <w:t xml:space="preserve">i </w:t>
      </w:r>
      <w:r>
        <w:rPr>
          <w:rFonts w:ascii="Garamond" w:hAnsi="Garamond"/>
          <w:sz w:val="26"/>
          <w:szCs w:val="26"/>
          <w:lang w:val="it-IT"/>
        </w:rPr>
        <w:t>r</w:t>
      </w:r>
      <w:r w:rsidR="004A7938" w:rsidRPr="004A7938">
        <w:rPr>
          <w:rFonts w:ascii="Garamond" w:hAnsi="Garamond"/>
          <w:sz w:val="26"/>
          <w:szCs w:val="26"/>
          <w:lang w:val="it-IT"/>
        </w:rPr>
        <w:t xml:space="preserve">egolamenti adottati in passato dalle singole P.A. in base al previgente art. 24, commi 2 e 4, </w:t>
      </w:r>
      <w:r w:rsidR="000E76BE">
        <w:rPr>
          <w:rFonts w:ascii="Garamond" w:hAnsi="Garamond"/>
          <w:sz w:val="26"/>
          <w:szCs w:val="26"/>
          <w:lang w:val="it-IT"/>
        </w:rPr>
        <w:t>l</w:t>
      </w:r>
      <w:r w:rsidR="004A7938" w:rsidRPr="004A7938">
        <w:rPr>
          <w:rFonts w:ascii="Garamond" w:hAnsi="Garamond"/>
          <w:sz w:val="26"/>
          <w:szCs w:val="26"/>
          <w:lang w:val="it-IT"/>
        </w:rPr>
        <w:t xml:space="preserve">. </w:t>
      </w:r>
      <w:r w:rsidR="000E76BE">
        <w:rPr>
          <w:rFonts w:ascii="Garamond" w:hAnsi="Garamond"/>
          <w:sz w:val="26"/>
          <w:szCs w:val="26"/>
          <w:lang w:val="it-IT"/>
        </w:rPr>
        <w:t xml:space="preserve">n. </w:t>
      </w:r>
      <w:r w:rsidR="004A7938" w:rsidRPr="004A7938">
        <w:rPr>
          <w:rFonts w:ascii="Garamond" w:hAnsi="Garamond"/>
          <w:sz w:val="26"/>
          <w:szCs w:val="26"/>
          <w:lang w:val="it-IT"/>
        </w:rPr>
        <w:t>241</w:t>
      </w:r>
      <w:r w:rsidR="000E76BE">
        <w:rPr>
          <w:rFonts w:ascii="Garamond" w:hAnsi="Garamond"/>
          <w:sz w:val="26"/>
          <w:szCs w:val="26"/>
          <w:lang w:val="it-IT"/>
        </w:rPr>
        <w:t xml:space="preserve"> del 19</w:t>
      </w:r>
      <w:r w:rsidR="004A7938" w:rsidRPr="004A7938">
        <w:rPr>
          <w:rFonts w:ascii="Garamond" w:hAnsi="Garamond"/>
          <w:sz w:val="26"/>
          <w:szCs w:val="26"/>
          <w:lang w:val="it-IT"/>
        </w:rPr>
        <w:t>90, che</w:t>
      </w:r>
      <w:r>
        <w:rPr>
          <w:rFonts w:ascii="Garamond" w:hAnsi="Garamond"/>
          <w:sz w:val="26"/>
          <w:szCs w:val="26"/>
          <w:lang w:val="it-IT"/>
        </w:rPr>
        <w:t>, come detto,</w:t>
      </w:r>
      <w:r w:rsidR="004A7938" w:rsidRPr="004A7938">
        <w:rPr>
          <w:rFonts w:ascii="Garamond" w:hAnsi="Garamond"/>
          <w:sz w:val="26"/>
          <w:szCs w:val="26"/>
          <w:lang w:val="it-IT"/>
        </w:rPr>
        <w:t xml:space="preserve"> continuano ad essere applicati </w:t>
      </w:r>
      <w:r>
        <w:rPr>
          <w:rFonts w:ascii="Garamond" w:hAnsi="Garamond"/>
          <w:sz w:val="26"/>
          <w:szCs w:val="26"/>
          <w:lang w:val="it-IT"/>
        </w:rPr>
        <w:t xml:space="preserve">all’accesso documentale </w:t>
      </w:r>
      <w:r w:rsidR="004A7938" w:rsidRPr="004A7938">
        <w:rPr>
          <w:rFonts w:ascii="Garamond" w:hAnsi="Garamond"/>
          <w:sz w:val="26"/>
          <w:szCs w:val="26"/>
          <w:lang w:val="it-IT"/>
        </w:rPr>
        <w:t xml:space="preserve">anche a seguito dell’entrata in vigore della </w:t>
      </w:r>
      <w:r w:rsidR="00304475">
        <w:rPr>
          <w:rFonts w:ascii="Garamond" w:hAnsi="Garamond"/>
          <w:sz w:val="26"/>
          <w:szCs w:val="26"/>
          <w:lang w:val="it-IT"/>
        </w:rPr>
        <w:t>l</w:t>
      </w:r>
      <w:r w:rsidR="004A7938" w:rsidRPr="004A7938">
        <w:rPr>
          <w:rFonts w:ascii="Garamond" w:hAnsi="Garamond"/>
          <w:sz w:val="26"/>
          <w:szCs w:val="26"/>
          <w:lang w:val="it-IT"/>
        </w:rPr>
        <w:t xml:space="preserve">egge </w:t>
      </w:r>
      <w:r w:rsidR="00304475">
        <w:rPr>
          <w:rFonts w:ascii="Garamond" w:hAnsi="Garamond"/>
          <w:sz w:val="26"/>
          <w:szCs w:val="26"/>
          <w:lang w:val="it-IT"/>
        </w:rPr>
        <w:t xml:space="preserve">n. </w:t>
      </w:r>
      <w:r w:rsidR="004A7938" w:rsidRPr="004A7938">
        <w:rPr>
          <w:rFonts w:ascii="Garamond" w:hAnsi="Garamond"/>
          <w:sz w:val="26"/>
          <w:szCs w:val="26"/>
          <w:lang w:val="it-IT"/>
        </w:rPr>
        <w:t>15</w:t>
      </w:r>
      <w:r w:rsidR="00304475">
        <w:rPr>
          <w:rFonts w:ascii="Garamond" w:hAnsi="Garamond"/>
          <w:sz w:val="26"/>
          <w:szCs w:val="26"/>
          <w:lang w:val="it-IT"/>
        </w:rPr>
        <w:t xml:space="preserve"> del </w:t>
      </w:r>
      <w:r w:rsidR="004A7938" w:rsidRPr="004A7938">
        <w:rPr>
          <w:rFonts w:ascii="Garamond" w:hAnsi="Garamond"/>
          <w:sz w:val="26"/>
          <w:szCs w:val="26"/>
          <w:lang w:val="it-IT"/>
        </w:rPr>
        <w:t xml:space="preserve">2005 per effetto degli artt. 14, comma 1, e </w:t>
      </w:r>
      <w:r w:rsidR="004A7938" w:rsidRPr="004A7938">
        <w:rPr>
          <w:rFonts w:ascii="Garamond" w:hAnsi="Garamond"/>
          <w:iCs/>
          <w:sz w:val="26"/>
          <w:szCs w:val="26"/>
          <w:lang w:val="it-IT"/>
        </w:rPr>
        <w:t xml:space="preserve">15 </w:t>
      </w:r>
      <w:r>
        <w:rPr>
          <w:rFonts w:ascii="Garamond" w:hAnsi="Garamond"/>
          <w:iCs/>
          <w:sz w:val="26"/>
          <w:szCs w:val="26"/>
          <w:lang w:val="it-IT"/>
        </w:rPr>
        <w:t>d</w:t>
      </w:r>
      <w:r w:rsidR="004A7938" w:rsidRPr="004A7938">
        <w:rPr>
          <w:rFonts w:ascii="Garamond" w:hAnsi="Garamond"/>
          <w:iCs/>
          <w:sz w:val="26"/>
          <w:szCs w:val="26"/>
          <w:lang w:val="it-IT"/>
        </w:rPr>
        <w:t xml:space="preserve">.P.R. </w:t>
      </w:r>
      <w:r>
        <w:rPr>
          <w:rFonts w:ascii="Garamond" w:hAnsi="Garamond"/>
          <w:iCs/>
          <w:sz w:val="26"/>
          <w:szCs w:val="26"/>
          <w:lang w:val="it-IT"/>
        </w:rPr>
        <w:t xml:space="preserve">n. </w:t>
      </w:r>
      <w:r w:rsidR="004A7938" w:rsidRPr="004A7938">
        <w:rPr>
          <w:rFonts w:ascii="Garamond" w:hAnsi="Garamond"/>
          <w:iCs/>
          <w:sz w:val="26"/>
          <w:szCs w:val="26"/>
          <w:lang w:val="it-IT"/>
        </w:rPr>
        <w:t>184</w:t>
      </w:r>
      <w:r>
        <w:rPr>
          <w:rFonts w:ascii="Garamond" w:hAnsi="Garamond"/>
          <w:iCs/>
          <w:sz w:val="26"/>
          <w:szCs w:val="26"/>
          <w:lang w:val="it-IT"/>
        </w:rPr>
        <w:t xml:space="preserve"> del </w:t>
      </w:r>
      <w:r w:rsidR="004A7938" w:rsidRPr="004A7938">
        <w:rPr>
          <w:rFonts w:ascii="Garamond" w:hAnsi="Garamond"/>
          <w:iCs/>
          <w:sz w:val="26"/>
          <w:szCs w:val="26"/>
          <w:lang w:val="it-IT"/>
        </w:rPr>
        <w:t>2006</w:t>
      </w:r>
      <w:r w:rsidR="000A394C">
        <w:rPr>
          <w:rFonts w:ascii="Garamond" w:hAnsi="Garamond"/>
          <w:iCs/>
          <w:sz w:val="26"/>
          <w:szCs w:val="26"/>
          <w:lang w:val="it-IT"/>
        </w:rPr>
        <w:t xml:space="preserve"> ?</w:t>
      </w:r>
      <w:r w:rsidR="004A7938" w:rsidRPr="004A7938">
        <w:rPr>
          <w:rFonts w:ascii="Garamond" w:hAnsi="Garamond"/>
          <w:iCs/>
          <w:sz w:val="26"/>
          <w:szCs w:val="26"/>
          <w:lang w:val="it-IT"/>
        </w:rPr>
        <w:t xml:space="preserve"> </w:t>
      </w:r>
    </w:p>
    <w:p w14:paraId="2A587689" w14:textId="0FBAE6C7" w:rsidR="00C03472" w:rsidRDefault="001950E3" w:rsidP="00C03472">
      <w:pPr>
        <w:pStyle w:val="Standard"/>
        <w:spacing w:line="360" w:lineRule="auto"/>
        <w:ind w:left="567" w:right="567"/>
        <w:jc w:val="both"/>
        <w:rPr>
          <w:rFonts w:ascii="Garamond" w:hAnsi="Garamond"/>
          <w:iCs/>
          <w:sz w:val="26"/>
          <w:szCs w:val="26"/>
          <w:lang w:val="it-IT"/>
        </w:rPr>
      </w:pPr>
      <w:r>
        <w:rPr>
          <w:rFonts w:ascii="Garamond" w:hAnsi="Garamond"/>
          <w:iCs/>
          <w:sz w:val="26"/>
          <w:szCs w:val="26"/>
          <w:lang w:val="it-IT"/>
        </w:rPr>
        <w:tab/>
      </w:r>
      <w:r w:rsidR="000A394C">
        <w:rPr>
          <w:rFonts w:ascii="Garamond" w:hAnsi="Garamond"/>
          <w:iCs/>
          <w:sz w:val="26"/>
          <w:szCs w:val="26"/>
          <w:lang w:val="it-IT"/>
        </w:rPr>
        <w:t xml:space="preserve">La giurisprudenza ha </w:t>
      </w:r>
      <w:r w:rsidR="00304475">
        <w:rPr>
          <w:rFonts w:ascii="Garamond" w:hAnsi="Garamond"/>
          <w:iCs/>
          <w:sz w:val="26"/>
          <w:szCs w:val="26"/>
          <w:lang w:val="it-IT"/>
        </w:rPr>
        <w:t xml:space="preserve">sino ad oggi </w:t>
      </w:r>
      <w:r w:rsidR="000A394C">
        <w:rPr>
          <w:rFonts w:ascii="Garamond" w:hAnsi="Garamond"/>
          <w:iCs/>
          <w:sz w:val="26"/>
          <w:szCs w:val="26"/>
          <w:lang w:val="it-IT"/>
        </w:rPr>
        <w:t xml:space="preserve">ritenuto che anch’essi facciano parte del meccanismo di rinvio </w:t>
      </w:r>
      <w:r w:rsidR="00B65A4A">
        <w:rPr>
          <w:rFonts w:ascii="Garamond" w:hAnsi="Garamond"/>
          <w:iCs/>
          <w:sz w:val="26"/>
          <w:szCs w:val="26"/>
          <w:lang w:val="it-IT"/>
        </w:rPr>
        <w:t xml:space="preserve">multiplo ed </w:t>
      </w:r>
      <w:r w:rsidR="00C03472">
        <w:rPr>
          <w:rFonts w:ascii="Garamond" w:hAnsi="Garamond"/>
          <w:iCs/>
          <w:sz w:val="26"/>
          <w:szCs w:val="26"/>
          <w:lang w:val="it-IT"/>
        </w:rPr>
        <w:t xml:space="preserve">implicito </w:t>
      </w:r>
      <w:r w:rsidR="000A394C">
        <w:rPr>
          <w:rFonts w:ascii="Garamond" w:hAnsi="Garamond"/>
          <w:iCs/>
          <w:sz w:val="26"/>
          <w:szCs w:val="26"/>
          <w:lang w:val="it-IT"/>
        </w:rPr>
        <w:t xml:space="preserve">previsto dall’art. 5-bis, comma 3, d.lgs. n. 33 del 2013, venendo così ad integrare casi di esclusione “assoluta” dell’accesso civico generalizzato </w:t>
      </w:r>
      <w:r w:rsidR="000A394C" w:rsidRPr="004A7938">
        <w:rPr>
          <w:rStyle w:val="Rimandonotaapidipagina"/>
          <w:rFonts w:ascii="Garamond" w:hAnsi="Garamond" w:cs="Times New Roman"/>
          <w:color w:val="000000" w:themeColor="text1"/>
          <w:sz w:val="26"/>
          <w:szCs w:val="26"/>
          <w:lang w:val="it-IT"/>
        </w:rPr>
        <w:footnoteReference w:id="40"/>
      </w:r>
      <w:r w:rsidR="000A394C">
        <w:rPr>
          <w:rFonts w:ascii="Garamond" w:hAnsi="Garamond"/>
          <w:iCs/>
          <w:sz w:val="26"/>
          <w:szCs w:val="26"/>
          <w:lang w:val="it-IT"/>
        </w:rPr>
        <w:t>.</w:t>
      </w:r>
      <w:bookmarkEnd w:id="12"/>
    </w:p>
    <w:p w14:paraId="4A11CCB0" w14:textId="57823257" w:rsidR="00A6057A" w:rsidRDefault="00C03472" w:rsidP="00C03472">
      <w:pPr>
        <w:pStyle w:val="Standard"/>
        <w:spacing w:line="360" w:lineRule="auto"/>
        <w:ind w:left="567" w:right="567"/>
        <w:jc w:val="both"/>
        <w:rPr>
          <w:rFonts w:ascii="Garamond" w:hAnsi="Garamond"/>
          <w:iCs/>
          <w:sz w:val="26"/>
          <w:szCs w:val="26"/>
          <w:lang w:val="it-IT"/>
        </w:rPr>
      </w:pPr>
      <w:r w:rsidRPr="00C03472">
        <w:rPr>
          <w:rFonts w:ascii="Garamond" w:hAnsi="Garamond"/>
          <w:iCs/>
          <w:sz w:val="26"/>
          <w:szCs w:val="26"/>
          <w:lang w:val="it-IT"/>
        </w:rPr>
        <w:tab/>
      </w:r>
      <w:r w:rsidR="00C5741C">
        <w:rPr>
          <w:rFonts w:ascii="Garamond" w:hAnsi="Garamond"/>
          <w:iCs/>
          <w:sz w:val="26"/>
          <w:szCs w:val="26"/>
          <w:lang w:val="it-IT"/>
        </w:rPr>
        <w:t xml:space="preserve">L’assunzione </w:t>
      </w:r>
      <w:r>
        <w:rPr>
          <w:rFonts w:ascii="Garamond" w:hAnsi="Garamond"/>
          <w:iCs/>
          <w:sz w:val="26"/>
          <w:szCs w:val="26"/>
          <w:lang w:val="it-IT"/>
        </w:rPr>
        <w:t xml:space="preserve">che sembra </w:t>
      </w:r>
      <w:r w:rsidR="00505D16">
        <w:rPr>
          <w:rFonts w:ascii="Garamond" w:hAnsi="Garamond"/>
          <w:iCs/>
          <w:sz w:val="26"/>
          <w:szCs w:val="26"/>
          <w:lang w:val="it-IT"/>
        </w:rPr>
        <w:t xml:space="preserve">stare </w:t>
      </w:r>
      <w:r>
        <w:rPr>
          <w:rFonts w:ascii="Garamond" w:hAnsi="Garamond"/>
          <w:iCs/>
          <w:sz w:val="26"/>
          <w:szCs w:val="26"/>
          <w:lang w:val="it-IT"/>
        </w:rPr>
        <w:t xml:space="preserve">dietro </w:t>
      </w:r>
      <w:r w:rsidR="00505D16">
        <w:rPr>
          <w:rFonts w:ascii="Garamond" w:hAnsi="Garamond"/>
          <w:iCs/>
          <w:sz w:val="26"/>
          <w:szCs w:val="26"/>
          <w:lang w:val="it-IT"/>
        </w:rPr>
        <w:t xml:space="preserve">a </w:t>
      </w:r>
      <w:r>
        <w:rPr>
          <w:rFonts w:ascii="Garamond" w:hAnsi="Garamond"/>
          <w:iCs/>
          <w:sz w:val="26"/>
          <w:szCs w:val="26"/>
          <w:lang w:val="it-IT"/>
        </w:rPr>
        <w:t xml:space="preserve">questa conclusione è che se detti Regolamenti sono </w:t>
      </w:r>
      <w:r w:rsidR="00505D16">
        <w:rPr>
          <w:rFonts w:ascii="Garamond" w:hAnsi="Garamond"/>
          <w:iCs/>
          <w:sz w:val="26"/>
          <w:szCs w:val="26"/>
          <w:lang w:val="it-IT"/>
        </w:rPr>
        <w:t>(</w:t>
      </w:r>
      <w:r>
        <w:rPr>
          <w:rFonts w:ascii="Garamond" w:hAnsi="Garamond"/>
          <w:iCs/>
          <w:sz w:val="26"/>
          <w:szCs w:val="26"/>
          <w:lang w:val="it-IT"/>
        </w:rPr>
        <w:t>ancora</w:t>
      </w:r>
      <w:r w:rsidR="00505D16">
        <w:rPr>
          <w:rFonts w:ascii="Garamond" w:hAnsi="Garamond"/>
          <w:iCs/>
          <w:sz w:val="26"/>
          <w:szCs w:val="26"/>
          <w:lang w:val="it-IT"/>
        </w:rPr>
        <w:t>)</w:t>
      </w:r>
      <w:r>
        <w:rPr>
          <w:rFonts w:ascii="Garamond" w:hAnsi="Garamond"/>
          <w:iCs/>
          <w:sz w:val="26"/>
          <w:szCs w:val="26"/>
          <w:lang w:val="it-IT"/>
        </w:rPr>
        <w:t xml:space="preserve"> </w:t>
      </w:r>
      <w:r w:rsidR="00505D16">
        <w:rPr>
          <w:rFonts w:ascii="Garamond" w:hAnsi="Garamond"/>
          <w:iCs/>
          <w:sz w:val="26"/>
          <w:szCs w:val="26"/>
          <w:lang w:val="it-IT"/>
        </w:rPr>
        <w:t xml:space="preserve">vigenti </w:t>
      </w:r>
      <w:r>
        <w:rPr>
          <w:rFonts w:ascii="Garamond" w:hAnsi="Garamond"/>
          <w:iCs/>
          <w:sz w:val="26"/>
          <w:szCs w:val="26"/>
          <w:lang w:val="it-IT"/>
        </w:rPr>
        <w:t xml:space="preserve">per l’accesso documentale ex l. n. 241 del 1990 (che notoriamente </w:t>
      </w:r>
      <w:r w:rsidR="00C5741C">
        <w:rPr>
          <w:rFonts w:ascii="Garamond" w:hAnsi="Garamond"/>
          <w:iCs/>
          <w:sz w:val="26"/>
          <w:szCs w:val="26"/>
          <w:lang w:val="it-IT"/>
        </w:rPr>
        <w:t>è considerato la tipologia di accesso più efficace</w:t>
      </w:r>
      <w:r w:rsidR="00B14B4A">
        <w:rPr>
          <w:rFonts w:ascii="Garamond" w:hAnsi="Garamond"/>
          <w:iCs/>
          <w:sz w:val="26"/>
          <w:szCs w:val="26"/>
          <w:lang w:val="it-IT"/>
        </w:rPr>
        <w:t xml:space="preserve"> e penetrante in caso di coesistenza di interessi contrapposti</w:t>
      </w:r>
      <w:r w:rsidR="00505D16">
        <w:rPr>
          <w:rFonts w:ascii="Garamond" w:hAnsi="Garamond"/>
          <w:iCs/>
          <w:sz w:val="26"/>
          <w:szCs w:val="26"/>
          <w:lang w:val="it-IT"/>
        </w:rPr>
        <w:t>), a maggior ragione essi debbono valere per l’accesso civico generalizzato</w:t>
      </w:r>
      <w:r>
        <w:rPr>
          <w:rFonts w:ascii="Garamond" w:hAnsi="Garamond"/>
          <w:iCs/>
          <w:sz w:val="26"/>
          <w:szCs w:val="26"/>
          <w:lang w:val="it-IT"/>
        </w:rPr>
        <w:t xml:space="preserve"> </w:t>
      </w:r>
      <w:r w:rsidR="00505D16">
        <w:rPr>
          <w:rFonts w:ascii="Garamond" w:hAnsi="Garamond"/>
          <w:iCs/>
          <w:sz w:val="26"/>
          <w:szCs w:val="26"/>
          <w:lang w:val="it-IT"/>
        </w:rPr>
        <w:t>ex d.lgs. n. 33 del 2013</w:t>
      </w:r>
      <w:r w:rsidR="00A6057A">
        <w:rPr>
          <w:rFonts w:ascii="Garamond" w:hAnsi="Garamond"/>
          <w:iCs/>
          <w:sz w:val="26"/>
          <w:szCs w:val="26"/>
          <w:lang w:val="it-IT"/>
        </w:rPr>
        <w:t>, che, per definizione, garantisce un accesso più “superficiale” del primo.</w:t>
      </w:r>
    </w:p>
    <w:p w14:paraId="0CC2FF82" w14:textId="15DED293" w:rsidR="00E13C8D" w:rsidRDefault="00A6057A" w:rsidP="00E13C8D">
      <w:pPr>
        <w:pStyle w:val="Standard"/>
        <w:spacing w:line="360" w:lineRule="auto"/>
        <w:ind w:left="567" w:right="567" w:firstLine="141"/>
        <w:jc w:val="both"/>
        <w:rPr>
          <w:rFonts w:ascii="Garamond" w:hAnsi="Garamond"/>
          <w:iCs/>
          <w:sz w:val="26"/>
          <w:szCs w:val="26"/>
          <w:lang w:val="it-IT"/>
        </w:rPr>
      </w:pPr>
      <w:r>
        <w:rPr>
          <w:rFonts w:ascii="Garamond" w:hAnsi="Garamond"/>
          <w:color w:val="000000"/>
          <w:sz w:val="26"/>
          <w:szCs w:val="26"/>
          <w:lang w:val="it-IT"/>
        </w:rPr>
        <w:t>Dette decisioni appaiono, quindi, animate dal</w:t>
      </w:r>
      <w:r w:rsidR="00C5741C">
        <w:rPr>
          <w:rFonts w:ascii="Garamond" w:hAnsi="Garamond"/>
          <w:color w:val="000000"/>
          <w:sz w:val="26"/>
          <w:szCs w:val="26"/>
          <w:lang w:val="it-IT"/>
        </w:rPr>
        <w:t xml:space="preserve"> comprensibile </w:t>
      </w:r>
      <w:r>
        <w:rPr>
          <w:rFonts w:ascii="Garamond" w:hAnsi="Garamond"/>
          <w:color w:val="000000"/>
          <w:sz w:val="26"/>
          <w:szCs w:val="26"/>
          <w:lang w:val="it-IT"/>
        </w:rPr>
        <w:t xml:space="preserve">obiettivo di preservare una certa </w:t>
      </w:r>
      <w:r w:rsidR="00505D16" w:rsidRPr="00505D16">
        <w:rPr>
          <w:rFonts w:ascii="Garamond" w:hAnsi="Garamond"/>
          <w:color w:val="000000"/>
          <w:sz w:val="26"/>
          <w:szCs w:val="26"/>
          <w:lang w:val="it-IT"/>
        </w:rPr>
        <w:t>continuità e coerenza sistematica dell’ordinamento</w:t>
      </w:r>
      <w:r>
        <w:rPr>
          <w:rFonts w:ascii="Garamond" w:hAnsi="Garamond"/>
          <w:color w:val="000000"/>
          <w:sz w:val="26"/>
          <w:szCs w:val="26"/>
          <w:lang w:val="it-IT"/>
        </w:rPr>
        <w:t xml:space="preserve">, onde scongiurare il rischio </w:t>
      </w:r>
      <w:r w:rsidR="00505D16" w:rsidRPr="00505D16">
        <w:rPr>
          <w:rFonts w:ascii="Garamond" w:hAnsi="Garamond"/>
          <w:color w:val="000000"/>
          <w:sz w:val="26"/>
          <w:szCs w:val="26"/>
          <w:lang w:val="it-IT"/>
        </w:rPr>
        <w:t xml:space="preserve">che il nuovo istituto </w:t>
      </w:r>
      <w:r>
        <w:rPr>
          <w:rFonts w:ascii="Garamond" w:hAnsi="Garamond"/>
          <w:color w:val="000000"/>
          <w:sz w:val="26"/>
          <w:szCs w:val="26"/>
          <w:lang w:val="it-IT"/>
        </w:rPr>
        <w:t xml:space="preserve">(accesso civico generalizzato) </w:t>
      </w:r>
      <w:r w:rsidR="00505D16" w:rsidRPr="00505D16">
        <w:rPr>
          <w:rFonts w:ascii="Garamond" w:hAnsi="Garamond"/>
          <w:color w:val="000000"/>
          <w:sz w:val="26"/>
          <w:szCs w:val="26"/>
          <w:lang w:val="it-IT"/>
        </w:rPr>
        <w:t>possa essere utilizzato per aggirare limiti già previsti dall’ordinamento</w:t>
      </w:r>
      <w:r>
        <w:rPr>
          <w:rFonts w:ascii="Garamond" w:hAnsi="Garamond"/>
          <w:color w:val="000000"/>
          <w:sz w:val="26"/>
          <w:szCs w:val="26"/>
          <w:lang w:val="it-IT"/>
        </w:rPr>
        <w:t xml:space="preserve"> (per l’accesso documentale); </w:t>
      </w:r>
      <w:r w:rsidR="00A25324">
        <w:rPr>
          <w:rFonts w:ascii="Garamond" w:hAnsi="Garamond"/>
          <w:color w:val="000000"/>
          <w:sz w:val="26"/>
          <w:szCs w:val="26"/>
          <w:lang w:val="it-IT"/>
        </w:rPr>
        <w:t xml:space="preserve">ciò </w:t>
      </w:r>
      <w:r>
        <w:rPr>
          <w:rFonts w:ascii="Garamond" w:hAnsi="Garamond"/>
          <w:color w:val="000000"/>
          <w:sz w:val="26"/>
          <w:szCs w:val="26"/>
          <w:lang w:val="it-IT"/>
        </w:rPr>
        <w:t xml:space="preserve">anche </w:t>
      </w:r>
      <w:r w:rsidR="00A25324">
        <w:rPr>
          <w:rFonts w:ascii="Garamond" w:hAnsi="Garamond"/>
          <w:color w:val="000000"/>
          <w:sz w:val="26"/>
          <w:szCs w:val="26"/>
          <w:lang w:val="it-IT"/>
        </w:rPr>
        <w:t xml:space="preserve">perché </w:t>
      </w:r>
      <w:r>
        <w:rPr>
          <w:rFonts w:ascii="Garamond" w:hAnsi="Garamond"/>
          <w:color w:val="000000"/>
          <w:sz w:val="26"/>
          <w:szCs w:val="26"/>
          <w:lang w:val="it-IT"/>
        </w:rPr>
        <w:t xml:space="preserve">potrebbe apparire </w:t>
      </w:r>
      <w:r w:rsidR="00505D16" w:rsidRPr="00505D16">
        <w:rPr>
          <w:rFonts w:ascii="Garamond" w:hAnsi="Garamond"/>
          <w:color w:val="000000"/>
          <w:sz w:val="26"/>
          <w:szCs w:val="26"/>
          <w:lang w:val="it-IT"/>
        </w:rPr>
        <w:t xml:space="preserve">illogico che i limiti </w:t>
      </w:r>
      <w:r w:rsidR="00B14B4A">
        <w:rPr>
          <w:rFonts w:ascii="Garamond" w:hAnsi="Garamond"/>
          <w:color w:val="000000"/>
          <w:sz w:val="26"/>
          <w:szCs w:val="26"/>
          <w:lang w:val="it-IT"/>
        </w:rPr>
        <w:t xml:space="preserve">regolamentari </w:t>
      </w:r>
      <w:r>
        <w:rPr>
          <w:rFonts w:ascii="Garamond" w:hAnsi="Garamond"/>
          <w:color w:val="000000"/>
          <w:sz w:val="26"/>
          <w:szCs w:val="26"/>
          <w:lang w:val="it-IT"/>
        </w:rPr>
        <w:t xml:space="preserve">predetti </w:t>
      </w:r>
      <w:r w:rsidR="00505D16" w:rsidRPr="00505D16">
        <w:rPr>
          <w:rFonts w:ascii="Garamond" w:hAnsi="Garamond"/>
          <w:color w:val="000000"/>
          <w:sz w:val="26"/>
          <w:szCs w:val="26"/>
          <w:lang w:val="it-IT"/>
        </w:rPr>
        <w:t>oper</w:t>
      </w:r>
      <w:r>
        <w:rPr>
          <w:rFonts w:ascii="Garamond" w:hAnsi="Garamond"/>
          <w:color w:val="000000"/>
          <w:sz w:val="26"/>
          <w:szCs w:val="26"/>
          <w:lang w:val="it-IT"/>
        </w:rPr>
        <w:t xml:space="preserve">ino </w:t>
      </w:r>
      <w:r w:rsidR="00505D16" w:rsidRPr="00505D16">
        <w:rPr>
          <w:rFonts w:ascii="Garamond" w:hAnsi="Garamond"/>
          <w:color w:val="000000"/>
          <w:sz w:val="26"/>
          <w:szCs w:val="26"/>
          <w:lang w:val="it-IT"/>
        </w:rPr>
        <w:t>quando il richiedente vant</w:t>
      </w:r>
      <w:r>
        <w:rPr>
          <w:rFonts w:ascii="Garamond" w:hAnsi="Garamond"/>
          <w:color w:val="000000"/>
          <w:sz w:val="26"/>
          <w:szCs w:val="26"/>
          <w:lang w:val="it-IT"/>
        </w:rPr>
        <w:t>a</w:t>
      </w:r>
      <w:r w:rsidR="00505D16" w:rsidRPr="00505D16">
        <w:rPr>
          <w:rFonts w:ascii="Garamond" w:hAnsi="Garamond"/>
          <w:color w:val="000000"/>
          <w:sz w:val="26"/>
          <w:szCs w:val="26"/>
          <w:lang w:val="it-IT"/>
        </w:rPr>
        <w:t xml:space="preserve"> un interesse qualificato all’accesso e non </w:t>
      </w:r>
      <w:r>
        <w:rPr>
          <w:rFonts w:ascii="Garamond" w:hAnsi="Garamond"/>
          <w:color w:val="000000"/>
          <w:sz w:val="26"/>
          <w:szCs w:val="26"/>
          <w:lang w:val="it-IT"/>
        </w:rPr>
        <w:t xml:space="preserve">anche </w:t>
      </w:r>
      <w:r w:rsidR="00505D16" w:rsidRPr="00505D16">
        <w:rPr>
          <w:rFonts w:ascii="Garamond" w:hAnsi="Garamond"/>
          <w:color w:val="000000"/>
          <w:sz w:val="26"/>
          <w:szCs w:val="26"/>
          <w:lang w:val="it-IT"/>
        </w:rPr>
        <w:t xml:space="preserve">quando </w:t>
      </w:r>
      <w:r w:rsidR="00B14B4A">
        <w:rPr>
          <w:rFonts w:ascii="Garamond" w:hAnsi="Garamond"/>
          <w:color w:val="000000"/>
          <w:sz w:val="26"/>
          <w:szCs w:val="26"/>
          <w:lang w:val="it-IT"/>
        </w:rPr>
        <w:t xml:space="preserve">detta </w:t>
      </w:r>
      <w:r w:rsidR="00505D16" w:rsidRPr="00505D16">
        <w:rPr>
          <w:rFonts w:ascii="Garamond" w:hAnsi="Garamond"/>
          <w:color w:val="000000"/>
          <w:sz w:val="26"/>
          <w:szCs w:val="26"/>
          <w:lang w:val="it-IT"/>
        </w:rPr>
        <w:lastRenderedPageBreak/>
        <w:t>posizione qualificata non sussiste</w:t>
      </w:r>
      <w:r>
        <w:rPr>
          <w:rFonts w:ascii="Garamond" w:hAnsi="Garamond"/>
          <w:color w:val="000000"/>
          <w:sz w:val="26"/>
          <w:szCs w:val="26"/>
          <w:lang w:val="it-IT"/>
        </w:rPr>
        <w:t xml:space="preserve"> </w:t>
      </w:r>
      <w:r w:rsidRPr="004A7938">
        <w:rPr>
          <w:rStyle w:val="Rimandonotaapidipagina"/>
          <w:rFonts w:ascii="Garamond" w:hAnsi="Garamond" w:cs="Times New Roman"/>
          <w:color w:val="000000" w:themeColor="text1"/>
          <w:sz w:val="26"/>
          <w:szCs w:val="26"/>
          <w:lang w:val="it-IT"/>
        </w:rPr>
        <w:footnoteReference w:id="41"/>
      </w:r>
      <w:r>
        <w:rPr>
          <w:rFonts w:ascii="Garamond" w:hAnsi="Garamond"/>
          <w:color w:val="000000"/>
          <w:sz w:val="26"/>
          <w:szCs w:val="26"/>
          <w:lang w:val="it-IT"/>
        </w:rPr>
        <w:t>.</w:t>
      </w:r>
      <w:r w:rsidR="00505D16" w:rsidRPr="00505D16">
        <w:rPr>
          <w:rFonts w:ascii="Garamond" w:hAnsi="Garamond"/>
          <w:iCs/>
          <w:sz w:val="26"/>
          <w:szCs w:val="26"/>
          <w:lang w:val="it-IT"/>
        </w:rPr>
        <w:t xml:space="preserve">  </w:t>
      </w:r>
    </w:p>
    <w:p w14:paraId="114F8393" w14:textId="694F4301" w:rsidR="00E13C8D" w:rsidRDefault="00E13C8D" w:rsidP="00E13C8D">
      <w:pPr>
        <w:pStyle w:val="Standard"/>
        <w:spacing w:line="360" w:lineRule="auto"/>
        <w:ind w:left="567" w:right="567" w:firstLine="141"/>
        <w:jc w:val="both"/>
        <w:rPr>
          <w:rFonts w:ascii="Garamond" w:hAnsi="Garamond"/>
          <w:iCs/>
          <w:sz w:val="26"/>
          <w:szCs w:val="26"/>
          <w:lang w:val="it-IT"/>
        </w:rPr>
      </w:pPr>
      <w:r>
        <w:rPr>
          <w:rFonts w:ascii="Garamond" w:hAnsi="Garamond"/>
          <w:iCs/>
          <w:sz w:val="26"/>
          <w:szCs w:val="26"/>
          <w:lang w:val="it-IT"/>
        </w:rPr>
        <w:t xml:space="preserve">Queste </w:t>
      </w:r>
      <w:r w:rsidR="0085707E">
        <w:rPr>
          <w:rFonts w:ascii="Garamond" w:hAnsi="Garamond"/>
          <w:iCs/>
          <w:sz w:val="26"/>
          <w:szCs w:val="26"/>
          <w:lang w:val="it-IT"/>
        </w:rPr>
        <w:t>considerazioni</w:t>
      </w:r>
      <w:r>
        <w:rPr>
          <w:rFonts w:ascii="Garamond" w:hAnsi="Garamond"/>
          <w:iCs/>
          <w:sz w:val="26"/>
          <w:szCs w:val="26"/>
          <w:lang w:val="it-IT"/>
        </w:rPr>
        <w:t xml:space="preserve">, pur ispirate da un </w:t>
      </w:r>
      <w:r w:rsidR="001026B2">
        <w:rPr>
          <w:rFonts w:ascii="Garamond" w:hAnsi="Garamond"/>
          <w:iCs/>
          <w:sz w:val="26"/>
          <w:szCs w:val="26"/>
          <w:lang w:val="it-IT"/>
        </w:rPr>
        <w:t xml:space="preserve">comprensibile </w:t>
      </w:r>
      <w:r>
        <w:rPr>
          <w:rFonts w:ascii="Garamond" w:hAnsi="Garamond"/>
          <w:iCs/>
          <w:sz w:val="26"/>
          <w:szCs w:val="26"/>
          <w:lang w:val="it-IT"/>
        </w:rPr>
        <w:t xml:space="preserve">anelito di sistematicità ordinamentale, suscitano </w:t>
      </w:r>
      <w:r w:rsidR="001026B2">
        <w:rPr>
          <w:rFonts w:ascii="Garamond" w:hAnsi="Garamond"/>
          <w:iCs/>
          <w:sz w:val="26"/>
          <w:szCs w:val="26"/>
          <w:lang w:val="it-IT"/>
        </w:rPr>
        <w:t xml:space="preserve">qualche </w:t>
      </w:r>
      <w:r>
        <w:rPr>
          <w:rFonts w:ascii="Garamond" w:hAnsi="Garamond"/>
          <w:iCs/>
          <w:sz w:val="26"/>
          <w:szCs w:val="26"/>
          <w:lang w:val="it-IT"/>
        </w:rPr>
        <w:t>perplessità.</w:t>
      </w:r>
    </w:p>
    <w:p w14:paraId="5AB492BF" w14:textId="5AD8E3CF" w:rsidR="00C03472" w:rsidRDefault="00E13C8D" w:rsidP="00E13C8D">
      <w:pPr>
        <w:pStyle w:val="Standard"/>
        <w:spacing w:line="360" w:lineRule="auto"/>
        <w:ind w:left="567" w:right="567" w:firstLine="141"/>
        <w:jc w:val="both"/>
        <w:rPr>
          <w:rFonts w:ascii="Garamond" w:hAnsi="Garamond"/>
          <w:iCs/>
          <w:sz w:val="26"/>
          <w:szCs w:val="26"/>
          <w:lang w:val="it-IT"/>
        </w:rPr>
      </w:pPr>
      <w:r>
        <w:rPr>
          <w:rFonts w:ascii="Garamond" w:hAnsi="Garamond"/>
          <w:iCs/>
          <w:sz w:val="26"/>
          <w:szCs w:val="26"/>
          <w:lang w:val="it-IT"/>
        </w:rPr>
        <w:t xml:space="preserve"> Una prima obiezione riguarda </w:t>
      </w:r>
      <w:r w:rsidR="000E76BE">
        <w:rPr>
          <w:rFonts w:ascii="Garamond" w:hAnsi="Garamond"/>
          <w:iCs/>
          <w:sz w:val="26"/>
          <w:szCs w:val="26"/>
          <w:lang w:val="it-IT"/>
        </w:rPr>
        <w:t xml:space="preserve">l’oggetto </w:t>
      </w:r>
      <w:r>
        <w:rPr>
          <w:rFonts w:ascii="Garamond" w:hAnsi="Garamond"/>
          <w:iCs/>
          <w:sz w:val="26"/>
          <w:szCs w:val="26"/>
          <w:lang w:val="it-IT"/>
        </w:rPr>
        <w:t xml:space="preserve">del “rinvio implicito” che si </w:t>
      </w:r>
      <w:r w:rsidR="000E76BE">
        <w:rPr>
          <w:rFonts w:ascii="Garamond" w:hAnsi="Garamond"/>
          <w:iCs/>
          <w:sz w:val="26"/>
          <w:szCs w:val="26"/>
          <w:lang w:val="it-IT"/>
        </w:rPr>
        <w:t xml:space="preserve">intende </w:t>
      </w:r>
      <w:r>
        <w:rPr>
          <w:rFonts w:ascii="Garamond" w:hAnsi="Garamond"/>
          <w:iCs/>
          <w:sz w:val="26"/>
          <w:szCs w:val="26"/>
          <w:lang w:val="it-IT"/>
        </w:rPr>
        <w:t>attribuire all’art. 5-bis, comma 3, d.lgs. n. 33 del 2013.</w:t>
      </w:r>
    </w:p>
    <w:p w14:paraId="1E731455" w14:textId="0C0C13F5" w:rsidR="00E13C8D" w:rsidRDefault="00E13C8D" w:rsidP="000E76BE">
      <w:pPr>
        <w:pStyle w:val="Standard"/>
        <w:spacing w:line="360" w:lineRule="auto"/>
        <w:ind w:left="567" w:right="567" w:firstLine="141"/>
        <w:jc w:val="both"/>
        <w:rPr>
          <w:rFonts w:ascii="Garamond" w:hAnsi="Garamond"/>
          <w:sz w:val="26"/>
          <w:szCs w:val="26"/>
          <w:lang w:val="it-IT"/>
        </w:rPr>
      </w:pPr>
      <w:r>
        <w:rPr>
          <w:rFonts w:ascii="Garamond" w:hAnsi="Garamond"/>
          <w:iCs/>
          <w:sz w:val="26"/>
          <w:szCs w:val="26"/>
          <w:lang w:val="it-IT"/>
        </w:rPr>
        <w:t xml:space="preserve">Invero, anche a volere ammettere un </w:t>
      </w:r>
      <w:r>
        <w:rPr>
          <w:rFonts w:ascii="Garamond" w:hAnsi="Garamond"/>
          <w:sz w:val="26"/>
          <w:szCs w:val="26"/>
          <w:lang w:val="it-IT"/>
        </w:rPr>
        <w:t>“rinvio multiplo a cascata” (tale per cui l’art. 5-bis, comma 3, d.lgs. 33 del 2013 rinvia all’art. 24, comma 1, l. n. 241 del 1990, che, a sua volta, rinvia al comma 2</w:t>
      </w:r>
      <w:r w:rsidR="000E76BE">
        <w:rPr>
          <w:rFonts w:ascii="Garamond" w:hAnsi="Garamond"/>
          <w:sz w:val="26"/>
          <w:szCs w:val="26"/>
          <w:lang w:val="it-IT"/>
        </w:rPr>
        <w:t>),</w:t>
      </w:r>
      <w:r>
        <w:rPr>
          <w:rFonts w:ascii="Garamond" w:hAnsi="Garamond"/>
          <w:sz w:val="26"/>
          <w:szCs w:val="26"/>
          <w:lang w:val="it-IT"/>
        </w:rPr>
        <w:t xml:space="preserve"> resta il fatto che </w:t>
      </w:r>
      <w:r w:rsidR="000E76BE">
        <w:rPr>
          <w:rFonts w:ascii="Garamond" w:hAnsi="Garamond"/>
          <w:sz w:val="26"/>
          <w:szCs w:val="26"/>
          <w:lang w:val="it-IT"/>
        </w:rPr>
        <w:t>l’oggetto finale di questo rinvio è il comma 2 nella versione vigente dopo la riforma della legge n. 15 del 2005, che, come detto, differisce in modo sostanziale dalla precedente versione.</w:t>
      </w:r>
    </w:p>
    <w:p w14:paraId="466642CB" w14:textId="75048198" w:rsidR="000E76BE" w:rsidRDefault="00F40766" w:rsidP="000E76BE">
      <w:pPr>
        <w:pStyle w:val="Standard"/>
        <w:spacing w:line="360" w:lineRule="auto"/>
        <w:ind w:left="567" w:right="567" w:firstLine="141"/>
        <w:jc w:val="both"/>
        <w:rPr>
          <w:rFonts w:ascii="Garamond" w:hAnsi="Garamond"/>
          <w:sz w:val="26"/>
          <w:szCs w:val="26"/>
          <w:lang w:val="it-IT"/>
        </w:rPr>
      </w:pPr>
      <w:r>
        <w:rPr>
          <w:rFonts w:ascii="Garamond" w:hAnsi="Garamond"/>
          <w:sz w:val="26"/>
          <w:szCs w:val="26"/>
          <w:lang w:val="it-IT"/>
        </w:rPr>
        <w:t xml:space="preserve">I </w:t>
      </w:r>
      <w:r w:rsidR="001026B2">
        <w:rPr>
          <w:rFonts w:ascii="Garamond" w:hAnsi="Garamond"/>
          <w:sz w:val="26"/>
          <w:szCs w:val="26"/>
          <w:lang w:val="it-IT"/>
        </w:rPr>
        <w:t>r</w:t>
      </w:r>
      <w:r w:rsidR="000E76BE">
        <w:rPr>
          <w:rFonts w:ascii="Garamond" w:hAnsi="Garamond"/>
          <w:sz w:val="26"/>
          <w:szCs w:val="26"/>
          <w:lang w:val="it-IT"/>
        </w:rPr>
        <w:t>egolamenti ministeriali di che trattasi</w:t>
      </w:r>
      <w:r w:rsidR="001026B2">
        <w:rPr>
          <w:rFonts w:ascii="Garamond" w:hAnsi="Garamond"/>
          <w:sz w:val="26"/>
          <w:szCs w:val="26"/>
          <w:lang w:val="it-IT"/>
        </w:rPr>
        <w:t xml:space="preserve"> (</w:t>
      </w:r>
      <w:r w:rsidR="000E76BE">
        <w:rPr>
          <w:rFonts w:ascii="Garamond" w:hAnsi="Garamond"/>
          <w:sz w:val="26"/>
          <w:szCs w:val="26"/>
          <w:lang w:val="it-IT"/>
        </w:rPr>
        <w:t xml:space="preserve">tuttora vigenti </w:t>
      </w:r>
      <w:r w:rsidR="000E76BE" w:rsidRPr="004A7938">
        <w:rPr>
          <w:rFonts w:ascii="Garamond" w:hAnsi="Garamond"/>
          <w:sz w:val="26"/>
          <w:szCs w:val="26"/>
          <w:lang w:val="it-IT"/>
        </w:rPr>
        <w:t xml:space="preserve">per effetto </w:t>
      </w:r>
      <w:r w:rsidR="000E76BE">
        <w:rPr>
          <w:rFonts w:ascii="Garamond" w:hAnsi="Garamond"/>
          <w:sz w:val="26"/>
          <w:szCs w:val="26"/>
          <w:lang w:val="it-IT"/>
        </w:rPr>
        <w:t>della disciplina transitoria di cui a</w:t>
      </w:r>
      <w:r w:rsidR="000E76BE" w:rsidRPr="004A7938">
        <w:rPr>
          <w:rFonts w:ascii="Garamond" w:hAnsi="Garamond"/>
          <w:sz w:val="26"/>
          <w:szCs w:val="26"/>
          <w:lang w:val="it-IT"/>
        </w:rPr>
        <w:t xml:space="preserve">gli artt. 14, comma 1, e </w:t>
      </w:r>
      <w:r w:rsidR="000E76BE" w:rsidRPr="004A7938">
        <w:rPr>
          <w:rFonts w:ascii="Garamond" w:hAnsi="Garamond"/>
          <w:iCs/>
          <w:sz w:val="26"/>
          <w:szCs w:val="26"/>
          <w:lang w:val="it-IT"/>
        </w:rPr>
        <w:t xml:space="preserve">15 </w:t>
      </w:r>
      <w:r w:rsidR="000E76BE">
        <w:rPr>
          <w:rFonts w:ascii="Garamond" w:hAnsi="Garamond"/>
          <w:iCs/>
          <w:sz w:val="26"/>
          <w:szCs w:val="26"/>
          <w:lang w:val="it-IT"/>
        </w:rPr>
        <w:t>d</w:t>
      </w:r>
      <w:r w:rsidR="000E76BE" w:rsidRPr="004A7938">
        <w:rPr>
          <w:rFonts w:ascii="Garamond" w:hAnsi="Garamond"/>
          <w:iCs/>
          <w:sz w:val="26"/>
          <w:szCs w:val="26"/>
          <w:lang w:val="it-IT"/>
        </w:rPr>
        <w:t xml:space="preserve">.P.R. </w:t>
      </w:r>
      <w:r w:rsidR="000E76BE">
        <w:rPr>
          <w:rFonts w:ascii="Garamond" w:hAnsi="Garamond"/>
          <w:iCs/>
          <w:sz w:val="26"/>
          <w:szCs w:val="26"/>
          <w:lang w:val="it-IT"/>
        </w:rPr>
        <w:t xml:space="preserve">n. </w:t>
      </w:r>
      <w:r w:rsidR="000E76BE" w:rsidRPr="004A7938">
        <w:rPr>
          <w:rFonts w:ascii="Garamond" w:hAnsi="Garamond"/>
          <w:iCs/>
          <w:sz w:val="26"/>
          <w:szCs w:val="26"/>
          <w:lang w:val="it-IT"/>
        </w:rPr>
        <w:t>184</w:t>
      </w:r>
      <w:r w:rsidR="000E76BE">
        <w:rPr>
          <w:rFonts w:ascii="Garamond" w:hAnsi="Garamond"/>
          <w:iCs/>
          <w:sz w:val="26"/>
          <w:szCs w:val="26"/>
          <w:lang w:val="it-IT"/>
        </w:rPr>
        <w:t xml:space="preserve"> del </w:t>
      </w:r>
      <w:r w:rsidR="000E76BE" w:rsidRPr="004A7938">
        <w:rPr>
          <w:rFonts w:ascii="Garamond" w:hAnsi="Garamond"/>
          <w:iCs/>
          <w:sz w:val="26"/>
          <w:szCs w:val="26"/>
          <w:lang w:val="it-IT"/>
        </w:rPr>
        <w:t>2006</w:t>
      </w:r>
      <w:r w:rsidR="001026B2">
        <w:rPr>
          <w:rFonts w:ascii="Garamond" w:hAnsi="Garamond"/>
          <w:iCs/>
          <w:sz w:val="26"/>
          <w:szCs w:val="26"/>
          <w:lang w:val="it-IT"/>
        </w:rPr>
        <w:t>)</w:t>
      </w:r>
      <w:r w:rsidR="000E76BE">
        <w:rPr>
          <w:rFonts w:ascii="Garamond" w:hAnsi="Garamond"/>
          <w:iCs/>
          <w:sz w:val="26"/>
          <w:szCs w:val="26"/>
          <w:lang w:val="it-IT"/>
        </w:rPr>
        <w:t xml:space="preserve"> sono stati</w:t>
      </w:r>
      <w:r>
        <w:rPr>
          <w:rFonts w:ascii="Garamond" w:hAnsi="Garamond"/>
          <w:iCs/>
          <w:sz w:val="26"/>
          <w:szCs w:val="26"/>
          <w:lang w:val="it-IT"/>
        </w:rPr>
        <w:t>, però,</w:t>
      </w:r>
      <w:r w:rsidR="000E76BE">
        <w:rPr>
          <w:rFonts w:ascii="Garamond" w:hAnsi="Garamond"/>
          <w:iCs/>
          <w:sz w:val="26"/>
          <w:szCs w:val="26"/>
          <w:lang w:val="it-IT"/>
        </w:rPr>
        <w:t xml:space="preserve"> adottati ai sensi del </w:t>
      </w:r>
      <w:r w:rsidR="000E76BE" w:rsidRPr="004A7938">
        <w:rPr>
          <w:rFonts w:ascii="Garamond" w:hAnsi="Garamond"/>
          <w:sz w:val="26"/>
          <w:szCs w:val="26"/>
          <w:lang w:val="it-IT"/>
        </w:rPr>
        <w:t xml:space="preserve">previgente art. 24, commi 2 e 4, </w:t>
      </w:r>
      <w:r w:rsidR="000E76BE">
        <w:rPr>
          <w:rFonts w:ascii="Garamond" w:hAnsi="Garamond"/>
          <w:sz w:val="26"/>
          <w:szCs w:val="26"/>
          <w:lang w:val="it-IT"/>
        </w:rPr>
        <w:t>l</w:t>
      </w:r>
      <w:r w:rsidR="000E76BE" w:rsidRPr="004A7938">
        <w:rPr>
          <w:rFonts w:ascii="Garamond" w:hAnsi="Garamond"/>
          <w:sz w:val="26"/>
          <w:szCs w:val="26"/>
          <w:lang w:val="it-IT"/>
        </w:rPr>
        <w:t xml:space="preserve">. </w:t>
      </w:r>
      <w:r w:rsidR="000E76BE">
        <w:rPr>
          <w:rFonts w:ascii="Garamond" w:hAnsi="Garamond"/>
          <w:sz w:val="26"/>
          <w:szCs w:val="26"/>
          <w:lang w:val="it-IT"/>
        </w:rPr>
        <w:t xml:space="preserve">n. </w:t>
      </w:r>
      <w:r w:rsidR="000E76BE" w:rsidRPr="004A7938">
        <w:rPr>
          <w:rFonts w:ascii="Garamond" w:hAnsi="Garamond"/>
          <w:sz w:val="26"/>
          <w:szCs w:val="26"/>
          <w:lang w:val="it-IT"/>
        </w:rPr>
        <w:t>241</w:t>
      </w:r>
      <w:r w:rsidR="000E76BE">
        <w:rPr>
          <w:rFonts w:ascii="Garamond" w:hAnsi="Garamond"/>
          <w:sz w:val="26"/>
          <w:szCs w:val="26"/>
          <w:lang w:val="it-IT"/>
        </w:rPr>
        <w:t xml:space="preserve"> del 19</w:t>
      </w:r>
      <w:r w:rsidR="000E76BE" w:rsidRPr="004A7938">
        <w:rPr>
          <w:rFonts w:ascii="Garamond" w:hAnsi="Garamond"/>
          <w:sz w:val="26"/>
          <w:szCs w:val="26"/>
          <w:lang w:val="it-IT"/>
        </w:rPr>
        <w:t>90</w:t>
      </w:r>
      <w:r w:rsidR="000E76BE">
        <w:rPr>
          <w:rFonts w:ascii="Garamond" w:hAnsi="Garamond"/>
          <w:sz w:val="26"/>
          <w:szCs w:val="26"/>
          <w:lang w:val="it-IT"/>
        </w:rPr>
        <w:t xml:space="preserve"> e non ai sensi dell’attuale comma 2.</w:t>
      </w:r>
    </w:p>
    <w:p w14:paraId="5B0F7DA0" w14:textId="7ADE5581" w:rsidR="00E13C8D" w:rsidRDefault="000E76BE" w:rsidP="00E13C8D">
      <w:pPr>
        <w:pStyle w:val="Standard"/>
        <w:spacing w:line="360" w:lineRule="auto"/>
        <w:ind w:left="567" w:right="567" w:firstLine="141"/>
        <w:jc w:val="both"/>
        <w:rPr>
          <w:rFonts w:ascii="Garamond" w:hAnsi="Garamond"/>
          <w:iCs/>
          <w:sz w:val="26"/>
          <w:szCs w:val="26"/>
          <w:lang w:val="it-IT"/>
        </w:rPr>
      </w:pPr>
      <w:r>
        <w:rPr>
          <w:rFonts w:ascii="Garamond" w:hAnsi="Garamond"/>
          <w:iCs/>
          <w:sz w:val="26"/>
          <w:szCs w:val="26"/>
          <w:lang w:val="it-IT"/>
        </w:rPr>
        <w:t xml:space="preserve">Non è una questione </w:t>
      </w:r>
      <w:r w:rsidR="0085707E">
        <w:rPr>
          <w:rFonts w:ascii="Garamond" w:hAnsi="Garamond"/>
          <w:iCs/>
          <w:sz w:val="26"/>
          <w:szCs w:val="26"/>
          <w:lang w:val="it-IT"/>
        </w:rPr>
        <w:t>nominalistica</w:t>
      </w:r>
      <w:r>
        <w:rPr>
          <w:rFonts w:ascii="Garamond" w:hAnsi="Garamond"/>
          <w:iCs/>
          <w:sz w:val="26"/>
          <w:szCs w:val="26"/>
          <w:lang w:val="it-IT"/>
        </w:rPr>
        <w:t xml:space="preserve">, atteso che, come sopra detto, lo spazio regolamentare riservato ai Ministeri dall’attuale art. 24, comma 2, è sostanzialmente differente da quello </w:t>
      </w:r>
      <w:r w:rsidR="00F40766">
        <w:rPr>
          <w:rFonts w:ascii="Garamond" w:hAnsi="Garamond"/>
          <w:iCs/>
          <w:sz w:val="26"/>
          <w:szCs w:val="26"/>
          <w:lang w:val="it-IT"/>
        </w:rPr>
        <w:t xml:space="preserve">previsto </w:t>
      </w:r>
      <w:r>
        <w:rPr>
          <w:rFonts w:ascii="Garamond" w:hAnsi="Garamond"/>
          <w:iCs/>
          <w:sz w:val="26"/>
          <w:szCs w:val="26"/>
          <w:lang w:val="it-IT"/>
        </w:rPr>
        <w:t xml:space="preserve">in precedenza </w:t>
      </w:r>
      <w:r w:rsidR="00CA0492">
        <w:rPr>
          <w:rFonts w:ascii="Garamond" w:hAnsi="Garamond"/>
          <w:iCs/>
          <w:sz w:val="26"/>
          <w:szCs w:val="26"/>
          <w:lang w:val="it-IT"/>
        </w:rPr>
        <w:t>dai commi 2 e 4 del vecchio art. 24.</w:t>
      </w:r>
    </w:p>
    <w:p w14:paraId="19508535" w14:textId="1B86F2CD" w:rsidR="001608E0" w:rsidRDefault="00CA0492" w:rsidP="00E13C8D">
      <w:pPr>
        <w:pStyle w:val="Standard"/>
        <w:spacing w:line="360" w:lineRule="auto"/>
        <w:ind w:left="567" w:right="567" w:firstLine="141"/>
        <w:jc w:val="both"/>
        <w:rPr>
          <w:rFonts w:ascii="Garamond" w:hAnsi="Garamond"/>
          <w:iCs/>
          <w:sz w:val="26"/>
          <w:szCs w:val="26"/>
          <w:lang w:val="it-IT"/>
        </w:rPr>
      </w:pPr>
      <w:r>
        <w:rPr>
          <w:rFonts w:ascii="Garamond" w:hAnsi="Garamond"/>
          <w:iCs/>
          <w:sz w:val="26"/>
          <w:szCs w:val="26"/>
          <w:lang w:val="it-IT"/>
        </w:rPr>
        <w:t xml:space="preserve">E se può ben convenirsi sulla natura “dinamica” del rinvio contenuto nell’art. 5-bis, comma 3, d.lgs. n. 33 del 2013, tale dinamicità non può estendersi sino al punto di </w:t>
      </w:r>
      <w:r w:rsidR="001026B2">
        <w:rPr>
          <w:rFonts w:ascii="Garamond" w:hAnsi="Garamond"/>
          <w:iCs/>
          <w:sz w:val="26"/>
          <w:szCs w:val="26"/>
          <w:lang w:val="it-IT"/>
        </w:rPr>
        <w:t xml:space="preserve">ammettere </w:t>
      </w:r>
      <w:r>
        <w:rPr>
          <w:rFonts w:ascii="Garamond" w:hAnsi="Garamond"/>
          <w:iCs/>
          <w:sz w:val="26"/>
          <w:szCs w:val="26"/>
          <w:lang w:val="it-IT"/>
        </w:rPr>
        <w:t>un “rinvio retroattivo”</w:t>
      </w:r>
      <w:r w:rsidR="001608E0">
        <w:rPr>
          <w:rFonts w:ascii="Garamond" w:hAnsi="Garamond"/>
          <w:iCs/>
          <w:sz w:val="26"/>
          <w:szCs w:val="26"/>
          <w:lang w:val="it-IT"/>
        </w:rPr>
        <w:t>.</w:t>
      </w:r>
    </w:p>
    <w:p w14:paraId="2C5F9147" w14:textId="21841AAC" w:rsidR="001608E0" w:rsidRDefault="001608E0" w:rsidP="00E13C8D">
      <w:pPr>
        <w:pStyle w:val="Standard"/>
        <w:spacing w:line="360" w:lineRule="auto"/>
        <w:ind w:left="567" w:right="567" w:firstLine="141"/>
        <w:jc w:val="both"/>
        <w:rPr>
          <w:rFonts w:ascii="Garamond" w:hAnsi="Garamond"/>
          <w:iCs/>
          <w:color w:val="000000"/>
          <w:sz w:val="26"/>
          <w:szCs w:val="26"/>
          <w:lang w:val="it-IT"/>
        </w:rPr>
      </w:pPr>
      <w:r w:rsidRPr="001608E0">
        <w:rPr>
          <w:rFonts w:ascii="Garamond" w:hAnsi="Garamond"/>
          <w:iCs/>
          <w:color w:val="000000"/>
          <w:sz w:val="26"/>
          <w:szCs w:val="26"/>
          <w:lang w:val="it-IT"/>
        </w:rPr>
        <w:t xml:space="preserve">Come noto, </w:t>
      </w:r>
      <w:r>
        <w:rPr>
          <w:rFonts w:ascii="Garamond" w:hAnsi="Garamond"/>
          <w:iCs/>
          <w:color w:val="000000"/>
          <w:sz w:val="26"/>
          <w:szCs w:val="26"/>
          <w:lang w:val="it-IT"/>
        </w:rPr>
        <w:t xml:space="preserve">invero, </w:t>
      </w:r>
      <w:r w:rsidRPr="001608E0">
        <w:rPr>
          <w:rFonts w:ascii="Garamond" w:hAnsi="Garamond"/>
          <w:iCs/>
          <w:color w:val="000000"/>
          <w:sz w:val="26"/>
          <w:szCs w:val="26"/>
          <w:lang w:val="it-IT"/>
        </w:rPr>
        <w:t xml:space="preserve">la tecnica di produzione normativa tramite “rinvio” consiste nello stabilire la disciplina di determinati rapporti giuridici mediante il richiamo di </w:t>
      </w:r>
      <w:r w:rsidR="001026B2">
        <w:rPr>
          <w:rFonts w:ascii="Garamond" w:hAnsi="Garamond"/>
          <w:iCs/>
          <w:color w:val="000000"/>
          <w:sz w:val="26"/>
          <w:szCs w:val="26"/>
          <w:lang w:val="it-IT"/>
        </w:rPr>
        <w:t xml:space="preserve">altre </w:t>
      </w:r>
      <w:r w:rsidRPr="001608E0">
        <w:rPr>
          <w:rFonts w:ascii="Garamond" w:hAnsi="Garamond"/>
          <w:iCs/>
          <w:color w:val="000000"/>
          <w:sz w:val="26"/>
          <w:szCs w:val="26"/>
          <w:lang w:val="it-IT"/>
        </w:rPr>
        <w:t>disposizion</w:t>
      </w:r>
      <w:r w:rsidR="001026B2">
        <w:rPr>
          <w:rFonts w:ascii="Garamond" w:hAnsi="Garamond"/>
          <w:iCs/>
          <w:color w:val="000000"/>
          <w:sz w:val="26"/>
          <w:szCs w:val="26"/>
          <w:lang w:val="it-IT"/>
        </w:rPr>
        <w:t>i</w:t>
      </w:r>
      <w:r w:rsidRPr="001608E0">
        <w:rPr>
          <w:rFonts w:ascii="Garamond" w:hAnsi="Garamond"/>
          <w:iCs/>
          <w:color w:val="000000"/>
          <w:sz w:val="26"/>
          <w:szCs w:val="26"/>
          <w:lang w:val="it-IT"/>
        </w:rPr>
        <w:t xml:space="preserve"> normativ</w:t>
      </w:r>
      <w:r w:rsidR="001026B2">
        <w:rPr>
          <w:rFonts w:ascii="Garamond" w:hAnsi="Garamond"/>
          <w:iCs/>
          <w:color w:val="000000"/>
          <w:sz w:val="26"/>
          <w:szCs w:val="26"/>
          <w:lang w:val="it-IT"/>
        </w:rPr>
        <w:t>e</w:t>
      </w:r>
      <w:r w:rsidRPr="001608E0">
        <w:rPr>
          <w:rFonts w:ascii="Garamond" w:hAnsi="Garamond"/>
          <w:iCs/>
          <w:color w:val="000000"/>
          <w:sz w:val="26"/>
          <w:szCs w:val="26"/>
          <w:lang w:val="it-IT"/>
        </w:rPr>
        <w:t xml:space="preserve">, anziché attraverso la loro diretta regolamentazione. </w:t>
      </w:r>
    </w:p>
    <w:p w14:paraId="59D50B29" w14:textId="2F31A67D" w:rsidR="00CA0492" w:rsidRPr="001608E0" w:rsidRDefault="001608E0" w:rsidP="00E13C8D">
      <w:pPr>
        <w:pStyle w:val="Standard"/>
        <w:spacing w:line="360" w:lineRule="auto"/>
        <w:ind w:left="567" w:right="567" w:firstLine="141"/>
        <w:jc w:val="both"/>
        <w:rPr>
          <w:rFonts w:ascii="Garamond" w:hAnsi="Garamond"/>
          <w:iCs/>
          <w:sz w:val="26"/>
          <w:szCs w:val="26"/>
          <w:lang w:val="it-IT"/>
        </w:rPr>
      </w:pPr>
      <w:r w:rsidRPr="001608E0">
        <w:rPr>
          <w:rFonts w:ascii="Garamond" w:hAnsi="Garamond"/>
          <w:iCs/>
          <w:color w:val="000000"/>
          <w:sz w:val="26"/>
          <w:szCs w:val="26"/>
          <w:lang w:val="it-IT"/>
        </w:rPr>
        <w:t>Si tratta di una tecnica utilizzata allo scopo di semplificare il lavoro di stesura del testo, realizzabile con diverse modalità: il rinvio può essere operato allo scopo di richiamare, rendendola applicabile, una disposizione nella formulazione che ha in un tempo determinato</w:t>
      </w:r>
      <w:r>
        <w:rPr>
          <w:rFonts w:ascii="Garamond" w:hAnsi="Garamond"/>
          <w:iCs/>
          <w:color w:val="000000"/>
          <w:sz w:val="26"/>
          <w:szCs w:val="26"/>
          <w:lang w:val="it-IT"/>
        </w:rPr>
        <w:t xml:space="preserve">, mediante </w:t>
      </w:r>
      <w:r w:rsidR="00F40766">
        <w:rPr>
          <w:rFonts w:ascii="Garamond" w:hAnsi="Garamond"/>
          <w:iCs/>
          <w:color w:val="000000"/>
          <w:sz w:val="26"/>
          <w:szCs w:val="26"/>
          <w:lang w:val="it-IT"/>
        </w:rPr>
        <w:t>il</w:t>
      </w:r>
      <w:r>
        <w:rPr>
          <w:rFonts w:ascii="Garamond" w:hAnsi="Garamond"/>
          <w:iCs/>
          <w:color w:val="000000"/>
          <w:sz w:val="26"/>
          <w:szCs w:val="26"/>
          <w:lang w:val="it-IT"/>
        </w:rPr>
        <w:t xml:space="preserve"> richiamo testuale alla disposizione in vigore in quel </w:t>
      </w:r>
      <w:r>
        <w:rPr>
          <w:rFonts w:ascii="Garamond" w:hAnsi="Garamond"/>
          <w:iCs/>
          <w:color w:val="000000"/>
          <w:sz w:val="26"/>
          <w:szCs w:val="26"/>
          <w:lang w:val="it-IT"/>
        </w:rPr>
        <w:lastRenderedPageBreak/>
        <w:t xml:space="preserve">momento </w:t>
      </w:r>
      <w:r w:rsidR="00F40766">
        <w:rPr>
          <w:rFonts w:ascii="Garamond" w:hAnsi="Garamond"/>
          <w:iCs/>
          <w:color w:val="000000"/>
          <w:sz w:val="26"/>
          <w:szCs w:val="26"/>
          <w:lang w:val="it-IT"/>
        </w:rPr>
        <w:t xml:space="preserve">e normativamente cristallizzata </w:t>
      </w:r>
      <w:r>
        <w:rPr>
          <w:rFonts w:ascii="Garamond" w:hAnsi="Garamond"/>
          <w:iCs/>
          <w:color w:val="000000"/>
          <w:sz w:val="26"/>
          <w:szCs w:val="26"/>
          <w:lang w:val="it-IT"/>
        </w:rPr>
        <w:t xml:space="preserve">(c.d. rinvio statico, materiale, recettizio o fisso), oppure in quella che </w:t>
      </w:r>
      <w:r w:rsidR="00F40766">
        <w:rPr>
          <w:rFonts w:ascii="Garamond" w:hAnsi="Garamond"/>
          <w:iCs/>
          <w:color w:val="000000"/>
          <w:sz w:val="26"/>
          <w:szCs w:val="26"/>
          <w:lang w:val="it-IT"/>
        </w:rPr>
        <w:t xml:space="preserve">può </w:t>
      </w:r>
      <w:r>
        <w:rPr>
          <w:rFonts w:ascii="Garamond" w:hAnsi="Garamond"/>
          <w:iCs/>
          <w:color w:val="000000"/>
          <w:sz w:val="26"/>
          <w:szCs w:val="26"/>
          <w:lang w:val="it-IT"/>
        </w:rPr>
        <w:t>assume</w:t>
      </w:r>
      <w:r w:rsidR="00F40766">
        <w:rPr>
          <w:rFonts w:ascii="Garamond" w:hAnsi="Garamond"/>
          <w:iCs/>
          <w:color w:val="000000"/>
          <w:sz w:val="26"/>
          <w:szCs w:val="26"/>
          <w:lang w:val="it-IT"/>
        </w:rPr>
        <w:t>re</w:t>
      </w:r>
      <w:r>
        <w:rPr>
          <w:rFonts w:ascii="Garamond" w:hAnsi="Garamond"/>
          <w:iCs/>
          <w:color w:val="000000"/>
          <w:sz w:val="26"/>
          <w:szCs w:val="26"/>
          <w:lang w:val="it-IT"/>
        </w:rPr>
        <w:t xml:space="preserve"> nelle </w:t>
      </w:r>
      <w:r w:rsidR="00F40766">
        <w:rPr>
          <w:rFonts w:ascii="Garamond" w:hAnsi="Garamond"/>
          <w:iCs/>
          <w:color w:val="000000"/>
          <w:sz w:val="26"/>
          <w:szCs w:val="26"/>
          <w:lang w:val="it-IT"/>
        </w:rPr>
        <w:t xml:space="preserve">eventuali </w:t>
      </w:r>
      <w:r>
        <w:rPr>
          <w:rFonts w:ascii="Garamond" w:hAnsi="Garamond"/>
          <w:iCs/>
          <w:color w:val="000000"/>
          <w:sz w:val="26"/>
          <w:szCs w:val="26"/>
          <w:lang w:val="it-IT"/>
        </w:rPr>
        <w:t xml:space="preserve">successive modificazioni introdotte dalla fonte da cui deriva (c.d. rinvio dinamico, formale, mobile o non recettizio) </w:t>
      </w:r>
      <w:r w:rsidR="00CA0492" w:rsidRPr="001608E0">
        <w:rPr>
          <w:rStyle w:val="Rimandonotaapidipagina"/>
          <w:rFonts w:ascii="Garamond" w:hAnsi="Garamond" w:cs="Times New Roman"/>
          <w:color w:val="000000" w:themeColor="text1"/>
          <w:sz w:val="26"/>
          <w:szCs w:val="26"/>
          <w:lang w:val="it-IT"/>
        </w:rPr>
        <w:footnoteReference w:id="42"/>
      </w:r>
      <w:r w:rsidR="00CA0492" w:rsidRPr="001608E0">
        <w:rPr>
          <w:rFonts w:ascii="Garamond" w:hAnsi="Garamond"/>
          <w:iCs/>
          <w:sz w:val="26"/>
          <w:szCs w:val="26"/>
          <w:lang w:val="it-IT"/>
        </w:rPr>
        <w:t>.</w:t>
      </w:r>
    </w:p>
    <w:p w14:paraId="7169AB73" w14:textId="43542DF1" w:rsidR="001026B2" w:rsidRDefault="001608E0" w:rsidP="001026B2">
      <w:pPr>
        <w:pStyle w:val="Standard"/>
        <w:spacing w:line="360" w:lineRule="auto"/>
        <w:ind w:left="567" w:right="567" w:firstLine="141"/>
        <w:jc w:val="both"/>
        <w:rPr>
          <w:rFonts w:ascii="Garamond" w:hAnsi="Garamond"/>
          <w:iCs/>
          <w:sz w:val="26"/>
          <w:szCs w:val="26"/>
          <w:lang w:val="it-IT"/>
        </w:rPr>
      </w:pPr>
      <w:r>
        <w:rPr>
          <w:rFonts w:ascii="Garamond" w:hAnsi="Garamond"/>
          <w:iCs/>
          <w:sz w:val="26"/>
          <w:szCs w:val="26"/>
          <w:lang w:val="it-IT"/>
        </w:rPr>
        <w:t>Certo è che</w:t>
      </w:r>
      <w:r w:rsidR="00F40766">
        <w:rPr>
          <w:rFonts w:ascii="Garamond" w:hAnsi="Garamond"/>
          <w:iCs/>
          <w:sz w:val="26"/>
          <w:szCs w:val="26"/>
          <w:lang w:val="it-IT"/>
        </w:rPr>
        <w:t xml:space="preserve"> </w:t>
      </w:r>
      <w:r>
        <w:rPr>
          <w:rFonts w:ascii="Garamond" w:hAnsi="Garamond"/>
          <w:iCs/>
          <w:sz w:val="26"/>
          <w:szCs w:val="26"/>
          <w:lang w:val="it-IT"/>
        </w:rPr>
        <w:t xml:space="preserve">il rinvio </w:t>
      </w:r>
      <w:r w:rsidR="00F40766">
        <w:rPr>
          <w:rFonts w:ascii="Garamond" w:hAnsi="Garamond"/>
          <w:iCs/>
          <w:sz w:val="26"/>
          <w:szCs w:val="26"/>
          <w:lang w:val="it-IT"/>
        </w:rPr>
        <w:t xml:space="preserve">“dinamico” </w:t>
      </w:r>
      <w:r>
        <w:rPr>
          <w:rFonts w:ascii="Garamond" w:hAnsi="Garamond"/>
          <w:iCs/>
          <w:sz w:val="26"/>
          <w:szCs w:val="26"/>
          <w:lang w:val="it-IT"/>
        </w:rPr>
        <w:t>non può mai essere “retroattivo”, salvo che vi sia un’espressa disciplina di diritto transitorio</w:t>
      </w:r>
      <w:r w:rsidR="0074042C">
        <w:rPr>
          <w:rFonts w:ascii="Garamond" w:hAnsi="Garamond"/>
          <w:iCs/>
          <w:sz w:val="26"/>
          <w:szCs w:val="26"/>
          <w:lang w:val="it-IT"/>
        </w:rPr>
        <w:t xml:space="preserve"> che lo preveda</w:t>
      </w:r>
      <w:r>
        <w:rPr>
          <w:rFonts w:ascii="Garamond" w:hAnsi="Garamond"/>
          <w:iCs/>
          <w:sz w:val="26"/>
          <w:szCs w:val="26"/>
          <w:lang w:val="it-IT"/>
        </w:rPr>
        <w:t>.</w:t>
      </w:r>
    </w:p>
    <w:p w14:paraId="32975DD4" w14:textId="77777777" w:rsidR="00070647" w:rsidRDefault="001026B2" w:rsidP="00070647">
      <w:pPr>
        <w:pStyle w:val="Standard"/>
        <w:spacing w:line="360" w:lineRule="auto"/>
        <w:ind w:left="567" w:right="567" w:firstLine="141"/>
        <w:jc w:val="both"/>
        <w:rPr>
          <w:rFonts w:ascii="Garamond" w:hAnsi="Garamond"/>
          <w:iCs/>
          <w:sz w:val="26"/>
          <w:szCs w:val="26"/>
          <w:lang w:val="it-IT"/>
        </w:rPr>
      </w:pPr>
      <w:r>
        <w:rPr>
          <w:rFonts w:ascii="Garamond" w:hAnsi="Garamond"/>
          <w:iCs/>
          <w:sz w:val="26"/>
          <w:szCs w:val="26"/>
          <w:lang w:val="it-IT"/>
        </w:rPr>
        <w:t xml:space="preserve">Pare, quindi, assai arduo poter ammettere l’operatività di un “rinvio” a regolamenti </w:t>
      </w:r>
    </w:p>
    <w:p w14:paraId="378CDAEB" w14:textId="77D51159" w:rsidR="00070647" w:rsidRDefault="00070647" w:rsidP="0085707E">
      <w:pPr>
        <w:pStyle w:val="Standard"/>
        <w:spacing w:line="360" w:lineRule="auto"/>
        <w:ind w:left="567" w:right="567"/>
        <w:jc w:val="both"/>
        <w:rPr>
          <w:rFonts w:ascii="Garamond" w:hAnsi="Garamond"/>
          <w:iCs/>
          <w:sz w:val="26"/>
          <w:szCs w:val="26"/>
          <w:lang w:val="it-IT"/>
        </w:rPr>
      </w:pPr>
      <w:r>
        <w:rPr>
          <w:rFonts w:ascii="Garamond" w:hAnsi="Garamond"/>
          <w:iCs/>
          <w:sz w:val="26"/>
          <w:szCs w:val="26"/>
          <w:lang w:val="it-IT"/>
        </w:rPr>
        <w:t xml:space="preserve">adottati sulla base di una norma di legge (previgente art. 24, commi 2 e 4, l. n. 241 del 1990) a cui l’art. 5-bis, comma 3, d.lgs. n. 33 del 2013 non </w:t>
      </w:r>
      <w:r w:rsidR="0085707E">
        <w:rPr>
          <w:rFonts w:ascii="Garamond" w:hAnsi="Garamond"/>
          <w:iCs/>
          <w:sz w:val="26"/>
          <w:szCs w:val="26"/>
          <w:lang w:val="it-IT"/>
        </w:rPr>
        <w:t xml:space="preserve">fa </w:t>
      </w:r>
      <w:r>
        <w:rPr>
          <w:rFonts w:ascii="Garamond" w:hAnsi="Garamond"/>
          <w:iCs/>
          <w:sz w:val="26"/>
          <w:szCs w:val="26"/>
          <w:lang w:val="it-IT"/>
        </w:rPr>
        <w:t>in alcun modo riferimento</w:t>
      </w:r>
      <w:r w:rsidR="00F40766">
        <w:rPr>
          <w:rFonts w:ascii="Garamond" w:hAnsi="Garamond"/>
          <w:iCs/>
          <w:sz w:val="26"/>
          <w:szCs w:val="26"/>
          <w:lang w:val="it-IT"/>
        </w:rPr>
        <w:t>, in quanto modificata</w:t>
      </w:r>
      <w:r>
        <w:rPr>
          <w:rFonts w:ascii="Garamond" w:hAnsi="Garamond"/>
          <w:iCs/>
          <w:sz w:val="26"/>
          <w:szCs w:val="26"/>
          <w:lang w:val="it-IT"/>
        </w:rPr>
        <w:t xml:space="preserve"> </w:t>
      </w:r>
      <w:r w:rsidRPr="004A7938">
        <w:rPr>
          <w:rStyle w:val="Rimandonotaapidipagina"/>
          <w:rFonts w:ascii="Garamond" w:hAnsi="Garamond" w:cs="Times New Roman"/>
          <w:color w:val="000000" w:themeColor="text1"/>
          <w:sz w:val="26"/>
          <w:szCs w:val="26"/>
          <w:lang w:val="it-IT"/>
        </w:rPr>
        <w:footnoteReference w:id="43"/>
      </w:r>
      <w:r>
        <w:rPr>
          <w:rFonts w:ascii="Garamond" w:hAnsi="Garamond"/>
          <w:iCs/>
          <w:sz w:val="26"/>
          <w:szCs w:val="26"/>
          <w:lang w:val="it-IT"/>
        </w:rPr>
        <w:t>.</w:t>
      </w:r>
    </w:p>
    <w:p w14:paraId="2E41D794" w14:textId="7EC60221" w:rsidR="00FA3A75" w:rsidRDefault="00070647" w:rsidP="00FA3A75">
      <w:pPr>
        <w:pStyle w:val="Standard"/>
        <w:spacing w:line="360" w:lineRule="auto"/>
        <w:ind w:left="567" w:right="567" w:firstLine="141"/>
        <w:jc w:val="both"/>
        <w:rPr>
          <w:rFonts w:ascii="Garamond" w:hAnsi="Garamond"/>
          <w:sz w:val="26"/>
          <w:szCs w:val="26"/>
          <w:lang w:val="it-IT"/>
        </w:rPr>
      </w:pPr>
      <w:r>
        <w:rPr>
          <w:rFonts w:ascii="Garamond" w:hAnsi="Garamond"/>
          <w:iCs/>
          <w:sz w:val="26"/>
          <w:szCs w:val="26"/>
          <w:lang w:val="it-IT"/>
        </w:rPr>
        <w:t xml:space="preserve">Vi è, poi, un secondo argomento che rafforza le perplessità in merito alla predetta posizione giurisprudenziale, che coincide con le medesime considerazioni espresse dall’Autorità nazionale anticorruzione a proposito del rapporto tra </w:t>
      </w:r>
      <w:r w:rsidR="0085707E">
        <w:rPr>
          <w:rFonts w:ascii="Garamond" w:hAnsi="Garamond"/>
          <w:iCs/>
          <w:sz w:val="26"/>
          <w:szCs w:val="26"/>
          <w:lang w:val="it-IT"/>
        </w:rPr>
        <w:t>l’</w:t>
      </w:r>
      <w:r w:rsidR="00FA3A75" w:rsidRPr="008C34F0">
        <w:rPr>
          <w:rFonts w:ascii="Garamond" w:hAnsi="Garamond"/>
          <w:sz w:val="26"/>
          <w:szCs w:val="26"/>
          <w:lang w:val="it-IT"/>
        </w:rPr>
        <w:t xml:space="preserve">art. 5-bis, comma 3, D.Lgs. 33/2013 </w:t>
      </w:r>
      <w:r w:rsidR="00FA3A75">
        <w:rPr>
          <w:rFonts w:ascii="Garamond" w:hAnsi="Garamond"/>
          <w:sz w:val="26"/>
          <w:szCs w:val="26"/>
          <w:lang w:val="it-IT"/>
        </w:rPr>
        <w:t xml:space="preserve">e </w:t>
      </w:r>
      <w:r w:rsidR="0085707E">
        <w:rPr>
          <w:rFonts w:ascii="Garamond" w:hAnsi="Garamond"/>
          <w:sz w:val="26"/>
          <w:szCs w:val="26"/>
          <w:lang w:val="it-IT"/>
        </w:rPr>
        <w:t xml:space="preserve">le </w:t>
      </w:r>
      <w:r w:rsidR="00FA3A75" w:rsidRPr="008C34F0">
        <w:rPr>
          <w:rFonts w:ascii="Garamond" w:hAnsi="Garamond"/>
          <w:sz w:val="26"/>
          <w:szCs w:val="26"/>
          <w:lang w:val="it-IT"/>
        </w:rPr>
        <w:t xml:space="preserve">limitazioni </w:t>
      </w:r>
      <w:r w:rsidR="00FA3A75">
        <w:rPr>
          <w:rFonts w:ascii="Garamond" w:hAnsi="Garamond"/>
          <w:sz w:val="26"/>
          <w:szCs w:val="26"/>
          <w:lang w:val="it-IT"/>
        </w:rPr>
        <w:t>relative a</w:t>
      </w:r>
      <w:r w:rsidR="0085707E">
        <w:rPr>
          <w:rFonts w:ascii="Garamond" w:hAnsi="Garamond"/>
          <w:sz w:val="26"/>
          <w:szCs w:val="26"/>
          <w:lang w:val="it-IT"/>
        </w:rPr>
        <w:t xml:space="preserve">lle categorie di </w:t>
      </w:r>
      <w:r w:rsidR="00FA3A75" w:rsidRPr="008C34F0">
        <w:rPr>
          <w:rFonts w:ascii="Garamond" w:hAnsi="Garamond"/>
          <w:sz w:val="26"/>
          <w:szCs w:val="26"/>
          <w:lang w:val="it-IT"/>
        </w:rPr>
        <w:t>interess</w:t>
      </w:r>
      <w:r w:rsidR="0085707E">
        <w:rPr>
          <w:rFonts w:ascii="Garamond" w:hAnsi="Garamond"/>
          <w:sz w:val="26"/>
          <w:szCs w:val="26"/>
          <w:lang w:val="it-IT"/>
        </w:rPr>
        <w:t>e</w:t>
      </w:r>
      <w:r w:rsidR="00FA3A75" w:rsidRPr="008C34F0">
        <w:rPr>
          <w:rFonts w:ascii="Garamond" w:hAnsi="Garamond"/>
          <w:sz w:val="26"/>
          <w:szCs w:val="26"/>
          <w:lang w:val="it-IT"/>
        </w:rPr>
        <w:t xml:space="preserve"> </w:t>
      </w:r>
      <w:r w:rsidR="0085707E">
        <w:rPr>
          <w:rFonts w:ascii="Garamond" w:hAnsi="Garamond"/>
          <w:sz w:val="26"/>
          <w:szCs w:val="26"/>
          <w:lang w:val="it-IT"/>
        </w:rPr>
        <w:t xml:space="preserve">indicate </w:t>
      </w:r>
      <w:r w:rsidR="00FA3A75" w:rsidRPr="008C34F0">
        <w:rPr>
          <w:rFonts w:ascii="Garamond" w:hAnsi="Garamond"/>
          <w:sz w:val="26"/>
          <w:szCs w:val="26"/>
          <w:lang w:val="it-IT"/>
        </w:rPr>
        <w:t xml:space="preserve">dall’art. 24, comma 6, </w:t>
      </w:r>
      <w:r w:rsidR="00FA3A75">
        <w:rPr>
          <w:rFonts w:ascii="Garamond" w:hAnsi="Garamond"/>
          <w:sz w:val="26"/>
          <w:szCs w:val="26"/>
          <w:lang w:val="it-IT"/>
        </w:rPr>
        <w:t>l</w:t>
      </w:r>
      <w:r w:rsidR="00FA3A75" w:rsidRPr="008C34F0">
        <w:rPr>
          <w:rFonts w:ascii="Garamond" w:hAnsi="Garamond"/>
          <w:sz w:val="26"/>
          <w:szCs w:val="26"/>
          <w:lang w:val="it-IT"/>
        </w:rPr>
        <w:t xml:space="preserve">. </w:t>
      </w:r>
      <w:r w:rsidR="00FA3A75">
        <w:rPr>
          <w:rFonts w:ascii="Garamond" w:hAnsi="Garamond"/>
          <w:sz w:val="26"/>
          <w:szCs w:val="26"/>
          <w:lang w:val="it-IT"/>
        </w:rPr>
        <w:t xml:space="preserve">n. </w:t>
      </w:r>
      <w:r w:rsidR="00FA3A75" w:rsidRPr="008C34F0">
        <w:rPr>
          <w:rFonts w:ascii="Garamond" w:hAnsi="Garamond"/>
          <w:sz w:val="26"/>
          <w:szCs w:val="26"/>
          <w:lang w:val="it-IT"/>
        </w:rPr>
        <w:t>241</w:t>
      </w:r>
      <w:r w:rsidR="00FA3A75">
        <w:rPr>
          <w:rFonts w:ascii="Garamond" w:hAnsi="Garamond"/>
          <w:sz w:val="26"/>
          <w:szCs w:val="26"/>
          <w:lang w:val="it-IT"/>
        </w:rPr>
        <w:t xml:space="preserve"> del </w:t>
      </w:r>
      <w:r w:rsidR="00FA3A75" w:rsidRPr="008C34F0">
        <w:rPr>
          <w:rFonts w:ascii="Garamond" w:hAnsi="Garamond"/>
          <w:sz w:val="26"/>
          <w:szCs w:val="26"/>
          <w:lang w:val="it-IT"/>
        </w:rPr>
        <w:t>90</w:t>
      </w:r>
      <w:r w:rsidR="00FA3A75">
        <w:rPr>
          <w:rFonts w:ascii="Garamond" w:hAnsi="Garamond"/>
          <w:sz w:val="26"/>
          <w:szCs w:val="26"/>
          <w:lang w:val="it-IT"/>
        </w:rPr>
        <w:t xml:space="preserve"> </w:t>
      </w:r>
      <w:r w:rsidR="00FA3A75" w:rsidRPr="004A7938">
        <w:rPr>
          <w:rStyle w:val="Rimandonotaapidipagina"/>
          <w:rFonts w:ascii="Garamond" w:hAnsi="Garamond" w:cs="Times New Roman"/>
          <w:color w:val="000000" w:themeColor="text1"/>
          <w:sz w:val="26"/>
          <w:szCs w:val="26"/>
          <w:lang w:val="it-IT"/>
        </w:rPr>
        <w:footnoteReference w:id="44"/>
      </w:r>
      <w:r w:rsidR="00FA3A75">
        <w:rPr>
          <w:rFonts w:ascii="Garamond" w:hAnsi="Garamond"/>
          <w:sz w:val="26"/>
          <w:szCs w:val="26"/>
          <w:lang w:val="it-IT"/>
        </w:rPr>
        <w:t>.</w:t>
      </w:r>
      <w:r w:rsidR="00FA3A75" w:rsidRPr="008C34F0">
        <w:rPr>
          <w:rFonts w:ascii="Garamond" w:hAnsi="Garamond"/>
          <w:sz w:val="26"/>
          <w:szCs w:val="26"/>
          <w:lang w:val="it-IT"/>
        </w:rPr>
        <w:t xml:space="preserve"> </w:t>
      </w:r>
    </w:p>
    <w:p w14:paraId="395DCCD0" w14:textId="791DE501" w:rsidR="000505BF" w:rsidRDefault="00FA3A75" w:rsidP="00FA3A75">
      <w:pPr>
        <w:pStyle w:val="Standard"/>
        <w:spacing w:line="360" w:lineRule="auto"/>
        <w:ind w:left="567" w:right="567" w:firstLine="141"/>
        <w:jc w:val="both"/>
        <w:rPr>
          <w:rFonts w:ascii="Garamond" w:hAnsi="Garamond"/>
          <w:sz w:val="26"/>
          <w:szCs w:val="26"/>
          <w:lang w:val="it-IT"/>
        </w:rPr>
      </w:pPr>
      <w:r>
        <w:rPr>
          <w:rFonts w:ascii="Garamond" w:hAnsi="Garamond"/>
          <w:sz w:val="26"/>
          <w:szCs w:val="26"/>
          <w:lang w:val="it-IT"/>
        </w:rPr>
        <w:t>Anche in questo caso</w:t>
      </w:r>
      <w:r>
        <w:rPr>
          <w:rFonts w:ascii="Garamond" w:hAnsi="Garamond"/>
          <w:iCs/>
          <w:sz w:val="26"/>
          <w:szCs w:val="26"/>
          <w:lang w:val="it-IT"/>
        </w:rPr>
        <w:t>, invero,</w:t>
      </w:r>
      <w:r w:rsidRPr="00FA3A75">
        <w:rPr>
          <w:rFonts w:ascii="Garamond" w:hAnsi="Garamond"/>
          <w:iCs/>
          <w:sz w:val="26"/>
          <w:szCs w:val="26"/>
          <w:lang w:val="it-IT"/>
        </w:rPr>
        <w:t xml:space="preserve"> </w:t>
      </w:r>
      <w:r w:rsidR="001B2D5D">
        <w:rPr>
          <w:rFonts w:ascii="Garamond" w:hAnsi="Garamond"/>
          <w:iCs/>
          <w:sz w:val="26"/>
          <w:szCs w:val="26"/>
          <w:lang w:val="it-IT"/>
        </w:rPr>
        <w:t xml:space="preserve">si appalesa </w:t>
      </w:r>
      <w:r w:rsidRPr="00FA3A75">
        <w:rPr>
          <w:rFonts w:ascii="Garamond" w:hAnsi="Garamond"/>
          <w:iCs/>
          <w:sz w:val="26"/>
          <w:szCs w:val="26"/>
          <w:lang w:val="it-IT"/>
        </w:rPr>
        <w:t xml:space="preserve">una </w:t>
      </w:r>
      <w:r>
        <w:rPr>
          <w:rFonts w:ascii="Garamond" w:hAnsi="Garamond"/>
          <w:iCs/>
          <w:sz w:val="26"/>
          <w:szCs w:val="26"/>
          <w:lang w:val="it-IT"/>
        </w:rPr>
        <w:t xml:space="preserve">netta </w:t>
      </w:r>
      <w:r w:rsidRPr="00FA3A75">
        <w:rPr>
          <w:rFonts w:ascii="Garamond" w:hAnsi="Garamond"/>
          <w:iCs/>
          <w:sz w:val="26"/>
          <w:szCs w:val="26"/>
          <w:lang w:val="it-IT"/>
        </w:rPr>
        <w:t xml:space="preserve">sovrapposizione </w:t>
      </w:r>
      <w:r w:rsidR="001B2D5D">
        <w:rPr>
          <w:rFonts w:ascii="Garamond" w:hAnsi="Garamond"/>
          <w:iCs/>
          <w:sz w:val="26"/>
          <w:szCs w:val="26"/>
          <w:lang w:val="it-IT"/>
        </w:rPr>
        <w:t xml:space="preserve">tra le </w:t>
      </w:r>
      <w:r w:rsidRPr="00FA3A75">
        <w:rPr>
          <w:rFonts w:ascii="Garamond" w:hAnsi="Garamond"/>
          <w:iCs/>
          <w:sz w:val="26"/>
          <w:szCs w:val="26"/>
          <w:lang w:val="it-IT"/>
        </w:rPr>
        <w:t>“limitazioni relative” previste dall’art. 5-bis, comm</w:t>
      </w:r>
      <w:r w:rsidR="001B2D5D">
        <w:rPr>
          <w:rFonts w:ascii="Garamond" w:hAnsi="Garamond"/>
          <w:iCs/>
          <w:sz w:val="26"/>
          <w:szCs w:val="26"/>
          <w:lang w:val="it-IT"/>
        </w:rPr>
        <w:t>i</w:t>
      </w:r>
      <w:r w:rsidRPr="00FA3A75">
        <w:rPr>
          <w:rFonts w:ascii="Garamond" w:hAnsi="Garamond"/>
          <w:iCs/>
          <w:sz w:val="26"/>
          <w:szCs w:val="26"/>
          <w:lang w:val="it-IT"/>
        </w:rPr>
        <w:t xml:space="preserve"> 1</w:t>
      </w:r>
      <w:r w:rsidR="001B2D5D">
        <w:rPr>
          <w:rFonts w:ascii="Garamond" w:hAnsi="Garamond"/>
          <w:iCs/>
          <w:sz w:val="26"/>
          <w:szCs w:val="26"/>
          <w:lang w:val="it-IT"/>
        </w:rPr>
        <w:t xml:space="preserve"> e 2</w:t>
      </w:r>
      <w:r w:rsidRPr="00FA3A75">
        <w:rPr>
          <w:rFonts w:ascii="Garamond" w:hAnsi="Garamond"/>
          <w:iCs/>
          <w:sz w:val="26"/>
          <w:szCs w:val="26"/>
          <w:lang w:val="it-IT"/>
        </w:rPr>
        <w:t xml:space="preserve">, </w:t>
      </w:r>
      <w:r w:rsidR="0085707E">
        <w:rPr>
          <w:rFonts w:ascii="Garamond" w:hAnsi="Garamond"/>
          <w:iCs/>
          <w:sz w:val="26"/>
          <w:szCs w:val="26"/>
          <w:lang w:val="it-IT"/>
        </w:rPr>
        <w:t>d</w:t>
      </w:r>
      <w:r w:rsidRPr="00FA3A75">
        <w:rPr>
          <w:rFonts w:ascii="Garamond" w:hAnsi="Garamond"/>
          <w:iCs/>
          <w:sz w:val="26"/>
          <w:szCs w:val="26"/>
          <w:lang w:val="it-IT"/>
        </w:rPr>
        <w:t>.</w:t>
      </w:r>
      <w:r w:rsidR="0085707E">
        <w:rPr>
          <w:rFonts w:ascii="Garamond" w:hAnsi="Garamond"/>
          <w:iCs/>
          <w:sz w:val="26"/>
          <w:szCs w:val="26"/>
          <w:lang w:val="it-IT"/>
        </w:rPr>
        <w:t>l</w:t>
      </w:r>
      <w:r w:rsidRPr="00FA3A75">
        <w:rPr>
          <w:rFonts w:ascii="Garamond" w:hAnsi="Garamond"/>
          <w:iCs/>
          <w:sz w:val="26"/>
          <w:szCs w:val="26"/>
          <w:lang w:val="it-IT"/>
        </w:rPr>
        <w:t xml:space="preserve">gs. </w:t>
      </w:r>
      <w:r w:rsidR="0085707E">
        <w:rPr>
          <w:rFonts w:ascii="Garamond" w:hAnsi="Garamond"/>
          <w:iCs/>
          <w:sz w:val="26"/>
          <w:szCs w:val="26"/>
          <w:lang w:val="it-IT"/>
        </w:rPr>
        <w:t xml:space="preserve">n. </w:t>
      </w:r>
      <w:r w:rsidRPr="00FA3A75">
        <w:rPr>
          <w:rFonts w:ascii="Garamond" w:hAnsi="Garamond"/>
          <w:iCs/>
          <w:sz w:val="26"/>
          <w:szCs w:val="26"/>
          <w:lang w:val="it-IT"/>
        </w:rPr>
        <w:t>33</w:t>
      </w:r>
      <w:r w:rsidR="0085707E">
        <w:rPr>
          <w:rFonts w:ascii="Garamond" w:hAnsi="Garamond"/>
          <w:iCs/>
          <w:sz w:val="26"/>
          <w:szCs w:val="26"/>
          <w:lang w:val="it-IT"/>
        </w:rPr>
        <w:t xml:space="preserve"> del </w:t>
      </w:r>
      <w:r w:rsidRPr="00FA3A75">
        <w:rPr>
          <w:rFonts w:ascii="Garamond" w:hAnsi="Garamond"/>
          <w:iCs/>
          <w:sz w:val="26"/>
          <w:szCs w:val="26"/>
          <w:lang w:val="it-IT"/>
        </w:rPr>
        <w:t>2013</w:t>
      </w:r>
      <w:r w:rsidR="001B2D5D">
        <w:rPr>
          <w:rFonts w:ascii="Garamond" w:hAnsi="Garamond"/>
          <w:iCs/>
          <w:sz w:val="26"/>
          <w:szCs w:val="26"/>
          <w:lang w:val="it-IT"/>
        </w:rPr>
        <w:t xml:space="preserve"> e le limitazioni dell’accesso previste dai suddetti regolamenti ministeriali</w:t>
      </w:r>
      <w:r w:rsidRPr="00FA3A75">
        <w:rPr>
          <w:rFonts w:ascii="Garamond" w:hAnsi="Garamond"/>
          <w:iCs/>
          <w:sz w:val="26"/>
          <w:szCs w:val="26"/>
          <w:lang w:val="it-IT"/>
        </w:rPr>
        <w:t xml:space="preserve">, </w:t>
      </w:r>
      <w:r>
        <w:rPr>
          <w:rFonts w:ascii="Garamond" w:hAnsi="Garamond"/>
          <w:iCs/>
          <w:sz w:val="26"/>
          <w:szCs w:val="26"/>
          <w:lang w:val="it-IT"/>
        </w:rPr>
        <w:t xml:space="preserve">atteso che </w:t>
      </w:r>
      <w:r w:rsidR="001B2D5D">
        <w:rPr>
          <w:rFonts w:ascii="Garamond" w:hAnsi="Garamond"/>
          <w:iCs/>
          <w:sz w:val="26"/>
          <w:szCs w:val="26"/>
          <w:lang w:val="it-IT"/>
        </w:rPr>
        <w:t xml:space="preserve">questi ultimi, essendo stati </w:t>
      </w:r>
      <w:r w:rsidRPr="00FA3A75">
        <w:rPr>
          <w:rFonts w:ascii="Garamond" w:hAnsi="Garamond"/>
          <w:iCs/>
          <w:sz w:val="26"/>
          <w:szCs w:val="26"/>
          <w:lang w:val="it-IT"/>
        </w:rPr>
        <w:t xml:space="preserve">adottati ai sensi del previgente art. 24, comma 2, </w:t>
      </w:r>
      <w:r w:rsidR="0085707E">
        <w:rPr>
          <w:rFonts w:ascii="Garamond" w:hAnsi="Garamond"/>
          <w:iCs/>
          <w:sz w:val="26"/>
          <w:szCs w:val="26"/>
          <w:lang w:val="it-IT"/>
        </w:rPr>
        <w:t>l</w:t>
      </w:r>
      <w:r w:rsidRPr="00FA3A75">
        <w:rPr>
          <w:rFonts w:ascii="Garamond" w:hAnsi="Garamond"/>
          <w:iCs/>
          <w:sz w:val="26"/>
          <w:szCs w:val="26"/>
          <w:lang w:val="it-IT"/>
        </w:rPr>
        <w:t xml:space="preserve">. </w:t>
      </w:r>
      <w:r w:rsidR="0085707E">
        <w:rPr>
          <w:rFonts w:ascii="Garamond" w:hAnsi="Garamond"/>
          <w:iCs/>
          <w:sz w:val="26"/>
          <w:szCs w:val="26"/>
          <w:lang w:val="it-IT"/>
        </w:rPr>
        <w:t xml:space="preserve">n. </w:t>
      </w:r>
      <w:r w:rsidRPr="00FA3A75">
        <w:rPr>
          <w:rFonts w:ascii="Garamond" w:hAnsi="Garamond"/>
          <w:iCs/>
          <w:sz w:val="26"/>
          <w:szCs w:val="26"/>
          <w:lang w:val="it-IT"/>
        </w:rPr>
        <w:t>241</w:t>
      </w:r>
      <w:r w:rsidR="0085707E">
        <w:rPr>
          <w:rFonts w:ascii="Garamond" w:hAnsi="Garamond"/>
          <w:iCs/>
          <w:sz w:val="26"/>
          <w:szCs w:val="26"/>
          <w:lang w:val="it-IT"/>
        </w:rPr>
        <w:t xml:space="preserve"> del 19</w:t>
      </w:r>
      <w:r w:rsidRPr="00FA3A75">
        <w:rPr>
          <w:rFonts w:ascii="Garamond" w:hAnsi="Garamond"/>
          <w:iCs/>
          <w:sz w:val="26"/>
          <w:szCs w:val="26"/>
          <w:lang w:val="it-IT"/>
        </w:rPr>
        <w:t>90 (ante riforma 2005)</w:t>
      </w:r>
      <w:r w:rsidR="001B2D5D">
        <w:rPr>
          <w:rFonts w:ascii="Garamond" w:hAnsi="Garamond"/>
          <w:iCs/>
          <w:sz w:val="26"/>
          <w:szCs w:val="26"/>
          <w:lang w:val="it-IT"/>
        </w:rPr>
        <w:t>, pongono a fondamento delle esclusioni i medesimi interessi (pubblici e privati) presi in considerazione dall’art. 5-bis, commi 1 e 2, d.lgs. n. 33 del 2013  (</w:t>
      </w:r>
      <w:r w:rsidR="001B2D5D" w:rsidRPr="00855113">
        <w:rPr>
          <w:rFonts w:ascii="Garamond" w:hAnsi="Garamond"/>
          <w:sz w:val="26"/>
          <w:szCs w:val="26"/>
          <w:lang w:val="it-IT"/>
        </w:rPr>
        <w:t>“</w:t>
      </w:r>
      <w:r w:rsidR="001B2D5D" w:rsidRPr="00855113">
        <w:rPr>
          <w:rFonts w:ascii="Garamond" w:hAnsi="Garamond"/>
          <w:i/>
          <w:iCs/>
          <w:sz w:val="26"/>
          <w:szCs w:val="26"/>
          <w:lang w:val="it-IT"/>
        </w:rPr>
        <w:t>sicurezza  … difesa nazionale … e</w:t>
      </w:r>
      <w:r w:rsidR="001B2D5D">
        <w:rPr>
          <w:rFonts w:ascii="Garamond" w:hAnsi="Garamond"/>
          <w:i/>
          <w:iCs/>
          <w:sz w:val="26"/>
          <w:szCs w:val="26"/>
          <w:lang w:val="it-IT"/>
        </w:rPr>
        <w:t xml:space="preserve"> </w:t>
      </w:r>
      <w:r w:rsidR="001B2D5D" w:rsidRPr="00855113">
        <w:rPr>
          <w:rFonts w:ascii="Garamond" w:hAnsi="Garamond"/>
          <w:i/>
          <w:iCs/>
          <w:sz w:val="26"/>
          <w:szCs w:val="26"/>
          <w:lang w:val="it-IT"/>
        </w:rPr>
        <w:t>relazioni internazionali“</w:t>
      </w:r>
      <w:r w:rsidR="001B2D5D">
        <w:rPr>
          <w:rFonts w:ascii="Garamond" w:hAnsi="Garamond"/>
          <w:iCs/>
          <w:sz w:val="26"/>
          <w:szCs w:val="26"/>
          <w:lang w:val="it-IT"/>
        </w:rPr>
        <w:t xml:space="preserve">, </w:t>
      </w:r>
      <w:r w:rsidR="001B2D5D" w:rsidRPr="00855113">
        <w:rPr>
          <w:rFonts w:ascii="Garamond" w:hAnsi="Garamond"/>
          <w:i/>
          <w:iCs/>
          <w:sz w:val="26"/>
          <w:szCs w:val="26"/>
          <w:lang w:val="it-IT"/>
        </w:rPr>
        <w:t>“politica monetaria e valutaria</w:t>
      </w:r>
      <w:r w:rsidR="001B2D5D">
        <w:rPr>
          <w:rFonts w:ascii="Garamond" w:hAnsi="Garamond"/>
          <w:i/>
          <w:iCs/>
          <w:sz w:val="26"/>
          <w:szCs w:val="26"/>
          <w:lang w:val="it-IT"/>
        </w:rPr>
        <w:t>”</w:t>
      </w:r>
      <w:r w:rsidR="001B2D5D">
        <w:rPr>
          <w:rFonts w:ascii="Garamond" w:hAnsi="Garamond"/>
          <w:iCs/>
          <w:sz w:val="26"/>
          <w:szCs w:val="26"/>
          <w:lang w:val="it-IT"/>
        </w:rPr>
        <w:t xml:space="preserve">, </w:t>
      </w:r>
      <w:r w:rsidR="001B2D5D" w:rsidRPr="00855113">
        <w:rPr>
          <w:rFonts w:ascii="Garamond" w:hAnsi="Garamond"/>
          <w:i/>
          <w:iCs/>
          <w:sz w:val="26"/>
          <w:szCs w:val="26"/>
          <w:lang w:val="it-IT"/>
        </w:rPr>
        <w:t>“ordine pubblico</w:t>
      </w:r>
      <w:r w:rsidR="001B2D5D">
        <w:rPr>
          <w:rFonts w:ascii="Garamond" w:hAnsi="Garamond"/>
          <w:i/>
          <w:iCs/>
          <w:sz w:val="26"/>
          <w:szCs w:val="26"/>
          <w:lang w:val="it-IT"/>
        </w:rPr>
        <w:t xml:space="preserve"> e </w:t>
      </w:r>
      <w:r w:rsidR="001B2D5D" w:rsidRPr="00855113">
        <w:rPr>
          <w:rFonts w:ascii="Garamond" w:hAnsi="Garamond"/>
          <w:i/>
          <w:iCs/>
          <w:sz w:val="26"/>
          <w:szCs w:val="26"/>
          <w:lang w:val="it-IT"/>
        </w:rPr>
        <w:t>prevenzione e repressione della criminalità</w:t>
      </w:r>
      <w:r w:rsidR="001B2D5D">
        <w:rPr>
          <w:rFonts w:ascii="Garamond" w:hAnsi="Garamond"/>
          <w:i/>
          <w:iCs/>
          <w:sz w:val="26"/>
          <w:szCs w:val="26"/>
          <w:lang w:val="it-IT"/>
        </w:rPr>
        <w:t>”</w:t>
      </w:r>
      <w:r w:rsidR="001B2D5D">
        <w:rPr>
          <w:rFonts w:ascii="Garamond" w:hAnsi="Garamond"/>
          <w:sz w:val="26"/>
          <w:szCs w:val="26"/>
          <w:lang w:val="it-IT"/>
        </w:rPr>
        <w:t xml:space="preserve">, </w:t>
      </w:r>
      <w:r w:rsidR="001B2D5D" w:rsidRPr="00855113">
        <w:rPr>
          <w:rFonts w:ascii="Garamond" w:hAnsi="Garamond"/>
          <w:i/>
          <w:iCs/>
          <w:sz w:val="26"/>
          <w:szCs w:val="26"/>
          <w:lang w:val="it-IT"/>
        </w:rPr>
        <w:t>“</w:t>
      </w:r>
      <w:r w:rsidR="001B2D5D">
        <w:rPr>
          <w:rFonts w:ascii="Garamond" w:hAnsi="Garamond"/>
          <w:i/>
          <w:iCs/>
          <w:sz w:val="26"/>
          <w:szCs w:val="26"/>
          <w:lang w:val="it-IT"/>
        </w:rPr>
        <w:t>riservatezza di terzi, persone, gruppi e imprese ..“</w:t>
      </w:r>
      <w:r w:rsidR="001B2D5D">
        <w:rPr>
          <w:rFonts w:ascii="Garamond" w:hAnsi="Garamond"/>
          <w:sz w:val="26"/>
          <w:szCs w:val="26"/>
          <w:lang w:val="it-IT"/>
        </w:rPr>
        <w:t>)</w:t>
      </w:r>
      <w:r w:rsidR="000505BF">
        <w:rPr>
          <w:rFonts w:ascii="Garamond" w:hAnsi="Garamond"/>
          <w:sz w:val="26"/>
          <w:szCs w:val="26"/>
          <w:lang w:val="it-IT"/>
        </w:rPr>
        <w:t xml:space="preserve">.  </w:t>
      </w:r>
    </w:p>
    <w:p w14:paraId="2A38065F" w14:textId="5DE106B8" w:rsidR="00FA3A75" w:rsidRPr="00261DF3" w:rsidRDefault="000505BF" w:rsidP="00FA3A75">
      <w:pPr>
        <w:pStyle w:val="Standard"/>
        <w:spacing w:line="360" w:lineRule="auto"/>
        <w:ind w:left="567" w:right="567" w:firstLine="141"/>
        <w:jc w:val="both"/>
        <w:rPr>
          <w:rFonts w:ascii="Garamond" w:hAnsi="Garamond"/>
          <w:sz w:val="26"/>
          <w:szCs w:val="26"/>
          <w:lang w:val="it-IT"/>
        </w:rPr>
      </w:pPr>
      <w:r>
        <w:rPr>
          <w:rFonts w:ascii="Garamond" w:hAnsi="Garamond"/>
          <w:sz w:val="26"/>
          <w:szCs w:val="26"/>
          <w:lang w:val="it-IT"/>
        </w:rPr>
        <w:t>E’ evidente</w:t>
      </w:r>
      <w:r w:rsidR="0085707E">
        <w:rPr>
          <w:rFonts w:ascii="Garamond" w:hAnsi="Garamond"/>
          <w:sz w:val="26"/>
          <w:szCs w:val="26"/>
          <w:lang w:val="it-IT"/>
        </w:rPr>
        <w:t xml:space="preserve"> </w:t>
      </w:r>
      <w:r>
        <w:rPr>
          <w:rFonts w:ascii="Garamond" w:hAnsi="Garamond"/>
          <w:sz w:val="26"/>
          <w:szCs w:val="26"/>
          <w:lang w:val="it-IT"/>
        </w:rPr>
        <w:t>che</w:t>
      </w:r>
      <w:r w:rsidR="0085707E">
        <w:rPr>
          <w:rFonts w:ascii="Garamond" w:hAnsi="Garamond"/>
          <w:sz w:val="26"/>
          <w:szCs w:val="26"/>
          <w:lang w:val="it-IT"/>
        </w:rPr>
        <w:t>,</w:t>
      </w:r>
      <w:r>
        <w:rPr>
          <w:rFonts w:ascii="Garamond" w:hAnsi="Garamond"/>
          <w:sz w:val="26"/>
          <w:szCs w:val="26"/>
          <w:lang w:val="it-IT"/>
        </w:rPr>
        <w:t xml:space="preserve"> trattando i casi di esclusione previsti dai regolamenti ministeriali ante riforma 2005 come limitazioni “assolute” dell’accesso civico generalizzato, si finisce per </w:t>
      </w:r>
      <w:r w:rsidR="002D04E6">
        <w:rPr>
          <w:rFonts w:ascii="Garamond" w:hAnsi="Garamond"/>
          <w:sz w:val="26"/>
          <w:szCs w:val="26"/>
          <w:lang w:val="it-IT"/>
        </w:rPr>
        <w:t xml:space="preserve">“rimuovere” (senza risolverlo) </w:t>
      </w:r>
      <w:r w:rsidR="0085707E">
        <w:rPr>
          <w:rFonts w:ascii="Garamond" w:hAnsi="Garamond"/>
          <w:sz w:val="26"/>
          <w:szCs w:val="26"/>
          <w:lang w:val="it-IT"/>
        </w:rPr>
        <w:t xml:space="preserve">un elemento di contraddizione interno </w:t>
      </w:r>
      <w:r w:rsidR="0085707E">
        <w:rPr>
          <w:rFonts w:ascii="Garamond" w:hAnsi="Garamond"/>
          <w:sz w:val="26"/>
          <w:szCs w:val="26"/>
          <w:lang w:val="it-IT"/>
        </w:rPr>
        <w:lastRenderedPageBreak/>
        <w:t>all’ordinamento</w:t>
      </w:r>
      <w:r>
        <w:rPr>
          <w:rFonts w:ascii="Garamond" w:hAnsi="Garamond"/>
          <w:sz w:val="26"/>
          <w:szCs w:val="26"/>
          <w:lang w:val="it-IT"/>
        </w:rPr>
        <w:t xml:space="preserve">, </w:t>
      </w:r>
      <w:r w:rsidR="002D04E6">
        <w:rPr>
          <w:rFonts w:ascii="Garamond" w:hAnsi="Garamond"/>
          <w:sz w:val="26"/>
          <w:szCs w:val="26"/>
          <w:lang w:val="it-IT"/>
        </w:rPr>
        <w:t xml:space="preserve">finendo per </w:t>
      </w:r>
      <w:r w:rsidR="00FA3A75">
        <w:rPr>
          <w:rFonts w:ascii="Garamond" w:hAnsi="Garamond"/>
          <w:sz w:val="26"/>
          <w:szCs w:val="26"/>
          <w:lang w:val="it-IT"/>
        </w:rPr>
        <w:t>vanifica</w:t>
      </w:r>
      <w:r w:rsidR="002D04E6">
        <w:rPr>
          <w:rFonts w:ascii="Garamond" w:hAnsi="Garamond"/>
          <w:sz w:val="26"/>
          <w:szCs w:val="26"/>
          <w:lang w:val="it-IT"/>
        </w:rPr>
        <w:t>re</w:t>
      </w:r>
      <w:r w:rsidR="00FA3A75">
        <w:rPr>
          <w:rFonts w:ascii="Garamond" w:hAnsi="Garamond"/>
          <w:sz w:val="26"/>
          <w:szCs w:val="26"/>
          <w:lang w:val="it-IT"/>
        </w:rPr>
        <w:t xml:space="preserve"> in gran parte il sistema di limitazioni “relative” </w:t>
      </w:r>
      <w:r w:rsidR="00FA3A75" w:rsidRPr="008C34F0">
        <w:rPr>
          <w:rFonts w:ascii="Garamond" w:hAnsi="Garamond"/>
          <w:sz w:val="26"/>
          <w:szCs w:val="26"/>
          <w:lang w:val="it-IT"/>
        </w:rPr>
        <w:t xml:space="preserve">dell’accesso generalizzato </w:t>
      </w:r>
      <w:r w:rsidR="00FA3A75">
        <w:rPr>
          <w:rFonts w:ascii="Garamond" w:hAnsi="Garamond"/>
          <w:sz w:val="26"/>
          <w:szCs w:val="26"/>
          <w:lang w:val="it-IT"/>
        </w:rPr>
        <w:t>architettato dalla riforma del 2016</w:t>
      </w:r>
      <w:r>
        <w:rPr>
          <w:rFonts w:ascii="Garamond" w:hAnsi="Garamond"/>
          <w:sz w:val="26"/>
          <w:szCs w:val="26"/>
          <w:lang w:val="it-IT"/>
        </w:rPr>
        <w:t>.</w:t>
      </w:r>
    </w:p>
    <w:bookmarkEnd w:id="10"/>
    <w:p w14:paraId="6B3E154B" w14:textId="6DD84154" w:rsidR="00261DF3" w:rsidRPr="001D37A6" w:rsidRDefault="000505BF" w:rsidP="00261DF3">
      <w:pPr>
        <w:pStyle w:val="Standard"/>
        <w:spacing w:line="360" w:lineRule="auto"/>
        <w:ind w:left="567" w:right="567"/>
        <w:jc w:val="both"/>
        <w:rPr>
          <w:rFonts w:ascii="Garamond" w:hAnsi="Garamond"/>
          <w:sz w:val="26"/>
          <w:szCs w:val="26"/>
          <w:lang w:val="it-IT"/>
        </w:rPr>
      </w:pPr>
      <w:r w:rsidRPr="00261DF3">
        <w:rPr>
          <w:rFonts w:ascii="Garamond" w:hAnsi="Garamond"/>
          <w:sz w:val="26"/>
          <w:szCs w:val="26"/>
          <w:lang w:val="it-IT"/>
        </w:rPr>
        <w:tab/>
        <w:t xml:space="preserve">Ciò non significa che i casi previsti dai suddetti regolamenti non </w:t>
      </w:r>
      <w:r w:rsidR="00261DF3" w:rsidRPr="00261DF3">
        <w:rPr>
          <w:rFonts w:ascii="Garamond" w:hAnsi="Garamond"/>
          <w:sz w:val="26"/>
          <w:szCs w:val="26"/>
          <w:lang w:val="it-IT"/>
        </w:rPr>
        <w:t>debbano</w:t>
      </w:r>
      <w:r w:rsidRPr="00261DF3">
        <w:rPr>
          <w:rFonts w:ascii="Garamond" w:hAnsi="Garamond"/>
          <w:sz w:val="26"/>
          <w:szCs w:val="26"/>
          <w:lang w:val="it-IT"/>
        </w:rPr>
        <w:t xml:space="preserve"> </w:t>
      </w:r>
      <w:r w:rsidR="002D04E6">
        <w:rPr>
          <w:rFonts w:ascii="Garamond" w:hAnsi="Garamond"/>
          <w:sz w:val="26"/>
          <w:szCs w:val="26"/>
          <w:lang w:val="it-IT"/>
        </w:rPr>
        <w:t xml:space="preserve">essere </w:t>
      </w:r>
      <w:r w:rsidRPr="00261DF3">
        <w:rPr>
          <w:rFonts w:ascii="Garamond" w:hAnsi="Garamond"/>
          <w:sz w:val="26"/>
          <w:szCs w:val="26"/>
          <w:lang w:val="it-IT"/>
        </w:rPr>
        <w:t xml:space="preserve">considerati </w:t>
      </w:r>
      <w:bookmarkStart w:id="14" w:name="_Hlk71016489"/>
      <w:r w:rsidR="004A7938" w:rsidRPr="00261DF3">
        <w:rPr>
          <w:rFonts w:ascii="Garamond" w:hAnsi="Garamond"/>
          <w:sz w:val="26"/>
          <w:szCs w:val="26"/>
          <w:lang w:val="it-IT"/>
        </w:rPr>
        <w:t>nel</w:t>
      </w:r>
      <w:r w:rsidR="002D04E6">
        <w:rPr>
          <w:rFonts w:ascii="Garamond" w:hAnsi="Garamond"/>
          <w:sz w:val="26"/>
          <w:szCs w:val="26"/>
          <w:lang w:val="it-IT"/>
        </w:rPr>
        <w:t xml:space="preserve"> contesto </w:t>
      </w:r>
      <w:r w:rsidR="004A7938" w:rsidRPr="00261DF3">
        <w:rPr>
          <w:rFonts w:ascii="Garamond" w:hAnsi="Garamond"/>
          <w:sz w:val="26"/>
          <w:szCs w:val="26"/>
          <w:lang w:val="it-IT"/>
        </w:rPr>
        <w:t xml:space="preserve">delle limitazioni </w:t>
      </w:r>
      <w:r w:rsidR="00261DF3" w:rsidRPr="00261DF3">
        <w:rPr>
          <w:rFonts w:ascii="Garamond" w:hAnsi="Garamond"/>
          <w:sz w:val="26"/>
          <w:szCs w:val="26"/>
          <w:lang w:val="it-IT"/>
        </w:rPr>
        <w:t>“</w:t>
      </w:r>
      <w:r w:rsidR="004A7938" w:rsidRPr="00261DF3">
        <w:rPr>
          <w:rFonts w:ascii="Garamond" w:hAnsi="Garamond"/>
          <w:sz w:val="26"/>
          <w:szCs w:val="26"/>
          <w:lang w:val="it-IT"/>
        </w:rPr>
        <w:t xml:space="preserve">relative” ex art. 5-bis, </w:t>
      </w:r>
      <w:r w:rsidR="004A7938" w:rsidRPr="001D37A6">
        <w:rPr>
          <w:rFonts w:ascii="Garamond" w:hAnsi="Garamond"/>
          <w:sz w:val="26"/>
          <w:szCs w:val="26"/>
          <w:lang w:val="it-IT"/>
        </w:rPr>
        <w:t>commi 1 e 2, D.Lgs. 33/2013</w:t>
      </w:r>
      <w:r w:rsidR="00261DF3" w:rsidRPr="001D37A6">
        <w:rPr>
          <w:rFonts w:ascii="Garamond" w:hAnsi="Garamond"/>
          <w:sz w:val="26"/>
          <w:szCs w:val="26"/>
          <w:lang w:val="it-IT"/>
        </w:rPr>
        <w:t xml:space="preserve"> </w:t>
      </w:r>
      <w:r w:rsidR="00261DF3" w:rsidRPr="001D37A6">
        <w:rPr>
          <w:rStyle w:val="Rimandonotaapidipagina"/>
          <w:rFonts w:ascii="Garamond" w:hAnsi="Garamond" w:cs="Times New Roman"/>
          <w:color w:val="000000" w:themeColor="text1"/>
          <w:sz w:val="26"/>
          <w:szCs w:val="26"/>
          <w:lang w:val="it-IT"/>
        </w:rPr>
        <w:footnoteReference w:id="45"/>
      </w:r>
      <w:r w:rsidR="00261DF3" w:rsidRPr="001D37A6">
        <w:rPr>
          <w:rFonts w:ascii="Garamond" w:hAnsi="Garamond"/>
          <w:sz w:val="26"/>
          <w:szCs w:val="26"/>
          <w:lang w:val="it-IT"/>
        </w:rPr>
        <w:t>.</w:t>
      </w:r>
    </w:p>
    <w:p w14:paraId="179FBBF5" w14:textId="2D017EA6" w:rsidR="002D04E6" w:rsidRDefault="00261DF3" w:rsidP="001D37A6">
      <w:pPr>
        <w:pStyle w:val="Standard"/>
        <w:spacing w:line="360" w:lineRule="auto"/>
        <w:ind w:left="567" w:right="567"/>
        <w:jc w:val="both"/>
        <w:rPr>
          <w:rFonts w:ascii="Garamond" w:hAnsi="Garamond"/>
          <w:sz w:val="26"/>
          <w:szCs w:val="26"/>
          <w:lang w:val="it-IT"/>
        </w:rPr>
      </w:pPr>
      <w:r w:rsidRPr="001D37A6">
        <w:rPr>
          <w:rFonts w:ascii="Garamond" w:hAnsi="Garamond"/>
          <w:sz w:val="26"/>
          <w:szCs w:val="26"/>
          <w:lang w:val="it-IT"/>
        </w:rPr>
        <w:tab/>
      </w:r>
      <w:r w:rsidR="002D04E6">
        <w:rPr>
          <w:rFonts w:ascii="Garamond" w:hAnsi="Garamond"/>
          <w:sz w:val="26"/>
          <w:szCs w:val="26"/>
          <w:lang w:val="it-IT"/>
        </w:rPr>
        <w:t xml:space="preserve">La differenza non è di poco conto </w:t>
      </w:r>
      <w:r w:rsidRPr="001D37A6">
        <w:rPr>
          <w:rFonts w:ascii="Garamond" w:hAnsi="Garamond"/>
          <w:sz w:val="26"/>
          <w:szCs w:val="26"/>
          <w:lang w:val="it-IT"/>
        </w:rPr>
        <w:t xml:space="preserve">visto che mentre le </w:t>
      </w:r>
      <w:r w:rsidRPr="001D37A6">
        <w:rPr>
          <w:rFonts w:ascii="Garamond" w:hAnsi="Garamond"/>
          <w:color w:val="000000"/>
          <w:sz w:val="26"/>
          <w:szCs w:val="26"/>
          <w:shd w:val="clear" w:color="auto" w:fill="FFFFFF"/>
          <w:lang w:val="it-IT"/>
        </w:rPr>
        <w:t xml:space="preserve">limitazioni “assolute” vincolano le Amministrazioni </w:t>
      </w:r>
      <w:r w:rsidRPr="001D37A6">
        <w:rPr>
          <w:rFonts w:ascii="Garamond" w:hAnsi="Garamond"/>
          <w:sz w:val="26"/>
          <w:szCs w:val="26"/>
          <w:lang w:val="it-IT"/>
        </w:rPr>
        <w:t>senza margine di apprezzamento discrezionale</w:t>
      </w:r>
      <w:r w:rsidRPr="001D37A6">
        <w:rPr>
          <w:rFonts w:ascii="Garamond" w:hAnsi="Garamond"/>
          <w:color w:val="000000"/>
          <w:sz w:val="26"/>
          <w:szCs w:val="26"/>
          <w:shd w:val="clear" w:color="auto" w:fill="FFFFFF"/>
          <w:lang w:val="it-IT"/>
        </w:rPr>
        <w:t xml:space="preserve">, le limitazioni “relative” </w:t>
      </w:r>
      <w:r w:rsidR="001D37A6">
        <w:rPr>
          <w:rFonts w:ascii="Garamond" w:hAnsi="Garamond"/>
          <w:color w:val="000000"/>
          <w:sz w:val="26"/>
          <w:szCs w:val="26"/>
          <w:shd w:val="clear" w:color="auto" w:fill="FFFFFF"/>
          <w:lang w:val="it-IT"/>
        </w:rPr>
        <w:t xml:space="preserve">impongono, volta per volta, </w:t>
      </w:r>
      <w:r w:rsidR="002D04E6">
        <w:rPr>
          <w:rFonts w:ascii="Garamond" w:hAnsi="Garamond"/>
          <w:color w:val="000000"/>
          <w:sz w:val="26"/>
          <w:szCs w:val="26"/>
          <w:shd w:val="clear" w:color="auto" w:fill="FFFFFF"/>
          <w:lang w:val="it-IT"/>
        </w:rPr>
        <w:t>all’Amministrazione</w:t>
      </w:r>
      <w:r w:rsidR="00F40766">
        <w:rPr>
          <w:rFonts w:ascii="Garamond" w:hAnsi="Garamond"/>
          <w:color w:val="000000"/>
          <w:sz w:val="26"/>
          <w:szCs w:val="26"/>
          <w:shd w:val="clear" w:color="auto" w:fill="FFFFFF"/>
          <w:lang w:val="it-IT"/>
        </w:rPr>
        <w:t xml:space="preserve"> l</w:t>
      </w:r>
      <w:r w:rsidR="00F40766">
        <w:rPr>
          <w:rFonts w:ascii="Garamond" w:hAnsi="Garamond"/>
          <w:bCs/>
          <w:sz w:val="26"/>
          <w:szCs w:val="26"/>
          <w:lang w:val="it-IT"/>
        </w:rPr>
        <w:t>a</w:t>
      </w:r>
      <w:r w:rsidRPr="001D37A6">
        <w:rPr>
          <w:rFonts w:ascii="Garamond" w:hAnsi="Garamond"/>
          <w:bCs/>
          <w:sz w:val="26"/>
          <w:szCs w:val="26"/>
          <w:lang w:val="it-IT"/>
        </w:rPr>
        <w:t xml:space="preserve"> ponderazione, con la tecnica del bilanciamento, </w:t>
      </w:r>
      <w:r w:rsidR="002D04E6">
        <w:rPr>
          <w:rFonts w:ascii="Garamond" w:hAnsi="Garamond"/>
          <w:bCs/>
          <w:sz w:val="26"/>
          <w:szCs w:val="26"/>
          <w:lang w:val="it-IT"/>
        </w:rPr>
        <w:t xml:space="preserve">del </w:t>
      </w:r>
      <w:r w:rsidRPr="001D37A6">
        <w:rPr>
          <w:rFonts w:ascii="Garamond" w:hAnsi="Garamond"/>
          <w:bCs/>
          <w:sz w:val="26"/>
          <w:szCs w:val="26"/>
          <w:lang w:val="it-IT"/>
        </w:rPr>
        <w:t xml:space="preserve">diritto di accesso </w:t>
      </w:r>
      <w:r w:rsidRPr="001D37A6">
        <w:rPr>
          <w:rFonts w:ascii="Garamond" w:hAnsi="Garamond"/>
          <w:sz w:val="26"/>
          <w:szCs w:val="26"/>
          <w:lang w:val="it-IT"/>
        </w:rPr>
        <w:t>civico</w:t>
      </w:r>
      <w:r w:rsidR="002D04E6">
        <w:rPr>
          <w:rFonts w:ascii="Garamond" w:hAnsi="Garamond"/>
          <w:sz w:val="26"/>
          <w:szCs w:val="26"/>
          <w:lang w:val="it-IT"/>
        </w:rPr>
        <w:t xml:space="preserve"> con gli interessi al riserbo considerati dalla norma, </w:t>
      </w:r>
      <w:r w:rsidRPr="001D37A6">
        <w:rPr>
          <w:rFonts w:ascii="Garamond" w:hAnsi="Garamond"/>
          <w:sz w:val="26"/>
          <w:szCs w:val="26"/>
          <w:lang w:val="it-IT"/>
        </w:rPr>
        <w:t>al fine di stabilire quale dei due diritti prevalga nel caso concreto</w:t>
      </w:r>
      <w:r w:rsidR="002D04E6">
        <w:rPr>
          <w:rFonts w:ascii="Garamond" w:hAnsi="Garamond"/>
          <w:sz w:val="26"/>
          <w:szCs w:val="26"/>
          <w:lang w:val="it-IT"/>
        </w:rPr>
        <w:t xml:space="preserve"> </w:t>
      </w:r>
      <w:r w:rsidR="002D04E6" w:rsidRPr="001D37A6">
        <w:rPr>
          <w:rStyle w:val="Rimandonotaapidipagina"/>
          <w:rFonts w:ascii="Garamond" w:hAnsi="Garamond" w:cs="Times New Roman"/>
          <w:color w:val="000000" w:themeColor="text1"/>
          <w:sz w:val="26"/>
          <w:szCs w:val="26"/>
          <w:lang w:val="it-IT"/>
        </w:rPr>
        <w:footnoteReference w:id="46"/>
      </w:r>
      <w:r w:rsidRPr="001D37A6">
        <w:rPr>
          <w:rFonts w:ascii="Garamond" w:hAnsi="Garamond"/>
          <w:sz w:val="26"/>
          <w:szCs w:val="26"/>
          <w:lang w:val="it-IT"/>
        </w:rPr>
        <w:t xml:space="preserve">. </w:t>
      </w:r>
    </w:p>
    <w:p w14:paraId="0DC44565" w14:textId="12198A76" w:rsidR="001D37A6" w:rsidRDefault="0014476A" w:rsidP="0014476A">
      <w:pPr>
        <w:pStyle w:val="Standard"/>
        <w:spacing w:line="360" w:lineRule="auto"/>
        <w:ind w:left="567" w:right="567" w:firstLine="141"/>
        <w:jc w:val="both"/>
        <w:rPr>
          <w:rFonts w:ascii="Garamond" w:hAnsi="Garamond"/>
          <w:sz w:val="26"/>
          <w:szCs w:val="26"/>
          <w:lang w:val="it-IT"/>
        </w:rPr>
      </w:pPr>
      <w:r>
        <w:rPr>
          <w:rFonts w:ascii="Garamond" w:hAnsi="Garamond"/>
          <w:sz w:val="26"/>
          <w:szCs w:val="26"/>
          <w:lang w:val="it-IT"/>
        </w:rPr>
        <w:t>Differenza che, evidentemente, si riflette sulla intensità de</w:t>
      </w:r>
      <w:r w:rsidR="00261DF3" w:rsidRPr="001D37A6">
        <w:rPr>
          <w:rFonts w:ascii="Garamond" w:hAnsi="Garamond"/>
          <w:sz w:val="26"/>
          <w:szCs w:val="26"/>
          <w:lang w:val="it-IT"/>
        </w:rPr>
        <w:t>ll’obbligo di motivazione</w:t>
      </w:r>
      <w:bookmarkStart w:id="15" w:name="_Hlk64022840"/>
      <w:r>
        <w:rPr>
          <w:rFonts w:ascii="Garamond" w:hAnsi="Garamond"/>
          <w:sz w:val="26"/>
          <w:szCs w:val="26"/>
          <w:lang w:val="it-IT"/>
        </w:rPr>
        <w:t xml:space="preserve"> del</w:t>
      </w:r>
      <w:r w:rsidR="00F40766">
        <w:rPr>
          <w:rFonts w:ascii="Garamond" w:hAnsi="Garamond"/>
          <w:sz w:val="26"/>
          <w:szCs w:val="26"/>
          <w:lang w:val="it-IT"/>
        </w:rPr>
        <w:t xml:space="preserve"> </w:t>
      </w:r>
      <w:r>
        <w:rPr>
          <w:rFonts w:ascii="Garamond" w:hAnsi="Garamond"/>
          <w:sz w:val="26"/>
          <w:szCs w:val="26"/>
          <w:lang w:val="it-IT"/>
        </w:rPr>
        <w:t xml:space="preserve">rigetto dell’istanza di accesso, dovendo l’Amministrazione farsi carico di dare conto </w:t>
      </w:r>
      <w:r w:rsidR="001D37A6" w:rsidRPr="0014476A">
        <w:rPr>
          <w:rFonts w:ascii="Garamond" w:hAnsi="Garamond"/>
          <w:sz w:val="26"/>
          <w:szCs w:val="26"/>
          <w:lang w:val="it-IT"/>
        </w:rPr>
        <w:t>del “pregiudizio concreto” arrecabile a determinati interessi (</w:t>
      </w:r>
      <w:r w:rsidR="001D37A6" w:rsidRPr="0014476A">
        <w:rPr>
          <w:rFonts w:ascii="Garamond" w:hAnsi="Garamond"/>
          <w:i/>
          <w:sz w:val="26"/>
          <w:szCs w:val="26"/>
          <w:lang w:val="it-IT"/>
        </w:rPr>
        <w:t xml:space="preserve">“se il </w:t>
      </w:r>
      <w:r w:rsidR="001D37A6" w:rsidRPr="001D37A6">
        <w:rPr>
          <w:rFonts w:ascii="Garamond" w:hAnsi="Garamond"/>
          <w:i/>
          <w:sz w:val="26"/>
          <w:szCs w:val="26"/>
          <w:lang w:val="it-IT"/>
        </w:rPr>
        <w:t>diniego è necessario per evitare un pregiudizio concreto alla tutela …</w:t>
      </w:r>
      <w:r w:rsidR="001D37A6" w:rsidRPr="001D37A6">
        <w:rPr>
          <w:rFonts w:ascii="Garamond" w:hAnsi="Garamond"/>
          <w:sz w:val="26"/>
          <w:szCs w:val="26"/>
          <w:lang w:val="it-IT"/>
        </w:rPr>
        <w:t>”)</w:t>
      </w:r>
      <w:r>
        <w:rPr>
          <w:rFonts w:ascii="Garamond" w:hAnsi="Garamond"/>
          <w:sz w:val="26"/>
          <w:szCs w:val="26"/>
          <w:lang w:val="it-IT"/>
        </w:rPr>
        <w:t xml:space="preserve">, secondo il </w:t>
      </w:r>
      <w:r w:rsidR="001D37A6" w:rsidRPr="001D37A6">
        <w:rPr>
          <w:rFonts w:ascii="Garamond" w:hAnsi="Garamond"/>
          <w:sz w:val="26"/>
          <w:szCs w:val="26"/>
          <w:lang w:val="it-IT"/>
        </w:rPr>
        <w:t xml:space="preserve">criterio del </w:t>
      </w:r>
      <w:r w:rsidR="00F40766">
        <w:rPr>
          <w:rFonts w:ascii="Garamond" w:hAnsi="Garamond"/>
          <w:sz w:val="26"/>
          <w:szCs w:val="26"/>
          <w:lang w:val="it-IT"/>
        </w:rPr>
        <w:t xml:space="preserve">c.d. </w:t>
      </w:r>
      <w:r w:rsidR="001D37A6" w:rsidRPr="001D37A6">
        <w:rPr>
          <w:rFonts w:ascii="Garamond" w:hAnsi="Garamond"/>
          <w:i/>
          <w:sz w:val="26"/>
          <w:szCs w:val="26"/>
          <w:lang w:val="it-IT"/>
        </w:rPr>
        <w:t xml:space="preserve">“harm test” </w:t>
      </w:r>
      <w:r w:rsidR="001D37A6" w:rsidRPr="001D37A6">
        <w:rPr>
          <w:rFonts w:ascii="Garamond" w:hAnsi="Garamond"/>
          <w:iCs/>
          <w:sz w:val="26"/>
          <w:szCs w:val="26"/>
          <w:lang w:val="it-IT"/>
        </w:rPr>
        <w:t xml:space="preserve">o </w:t>
      </w:r>
      <w:r w:rsidR="001D37A6" w:rsidRPr="001D37A6">
        <w:rPr>
          <w:rFonts w:ascii="Garamond" w:hAnsi="Garamond"/>
          <w:i/>
          <w:sz w:val="26"/>
          <w:szCs w:val="26"/>
          <w:lang w:val="it-IT"/>
        </w:rPr>
        <w:t>“test del danno”</w:t>
      </w:r>
      <w:r w:rsidR="001D37A6" w:rsidRPr="001D37A6">
        <w:rPr>
          <w:rFonts w:ascii="Garamond" w:hAnsi="Garamond"/>
          <w:sz w:val="26"/>
          <w:szCs w:val="26"/>
          <w:lang w:val="it-IT"/>
        </w:rPr>
        <w:t>.</w:t>
      </w:r>
      <w:bookmarkEnd w:id="15"/>
    </w:p>
    <w:p w14:paraId="507ACF6B" w14:textId="7D5C6348" w:rsidR="000E013E" w:rsidRPr="001D37A6" w:rsidRDefault="0014476A" w:rsidP="0014476A">
      <w:pPr>
        <w:pStyle w:val="Standard"/>
        <w:spacing w:line="360" w:lineRule="auto"/>
        <w:ind w:left="567" w:right="567" w:firstLine="141"/>
        <w:jc w:val="both"/>
        <w:rPr>
          <w:rFonts w:ascii="Garamond" w:hAnsi="Garamond" w:cs="Times New Roman"/>
          <w:color w:val="000000" w:themeColor="text1"/>
          <w:sz w:val="26"/>
          <w:szCs w:val="26"/>
        </w:rPr>
      </w:pPr>
      <w:r>
        <w:rPr>
          <w:rFonts w:ascii="Garamond" w:hAnsi="Garamond"/>
          <w:sz w:val="26"/>
          <w:szCs w:val="26"/>
          <w:lang w:val="it-IT"/>
        </w:rPr>
        <w:t>C</w:t>
      </w:r>
      <w:r w:rsidR="001D37A6" w:rsidRPr="001D37A6">
        <w:rPr>
          <w:rFonts w:ascii="Garamond" w:hAnsi="Garamond"/>
          <w:sz w:val="26"/>
          <w:szCs w:val="26"/>
          <w:lang w:val="it-IT"/>
        </w:rPr>
        <w:t xml:space="preserve">riterio </w:t>
      </w:r>
      <w:r>
        <w:rPr>
          <w:rFonts w:ascii="Garamond" w:hAnsi="Garamond"/>
          <w:sz w:val="26"/>
          <w:szCs w:val="26"/>
          <w:lang w:val="it-IT"/>
        </w:rPr>
        <w:t xml:space="preserve">che </w:t>
      </w:r>
      <w:r w:rsidR="001D37A6" w:rsidRPr="001D37A6">
        <w:rPr>
          <w:rFonts w:ascii="Garamond" w:hAnsi="Garamond"/>
          <w:sz w:val="26"/>
          <w:szCs w:val="26"/>
          <w:lang w:val="it-IT"/>
        </w:rPr>
        <w:t xml:space="preserve">viene pacificamente inteso nel senso che, </w:t>
      </w:r>
      <w:r w:rsidR="001D37A6" w:rsidRPr="001D37A6">
        <w:rPr>
          <w:rFonts w:ascii="Garamond" w:hAnsi="Garamond"/>
          <w:color w:val="000000"/>
          <w:sz w:val="26"/>
          <w:szCs w:val="26"/>
          <w:lang w:val="it-IT"/>
        </w:rPr>
        <w:t xml:space="preserve">per negare l’accesso, l’Amministrazione non può limitarsi a dimostrare che il pregiudizio sia semplicemente </w:t>
      </w:r>
      <w:r>
        <w:rPr>
          <w:rFonts w:ascii="Garamond" w:hAnsi="Garamond"/>
          <w:color w:val="000000"/>
          <w:sz w:val="26"/>
          <w:szCs w:val="26"/>
          <w:lang w:val="it-IT"/>
        </w:rPr>
        <w:t>“</w:t>
      </w:r>
      <w:r w:rsidR="001D37A6" w:rsidRPr="001D37A6">
        <w:rPr>
          <w:rFonts w:ascii="Garamond" w:hAnsi="Garamond"/>
          <w:color w:val="000000"/>
          <w:sz w:val="26"/>
          <w:szCs w:val="26"/>
          <w:lang w:val="it-IT"/>
        </w:rPr>
        <w:t>possibile</w:t>
      </w:r>
      <w:r>
        <w:rPr>
          <w:rFonts w:ascii="Garamond" w:hAnsi="Garamond"/>
          <w:color w:val="000000"/>
          <w:sz w:val="26"/>
          <w:szCs w:val="26"/>
          <w:lang w:val="it-IT"/>
        </w:rPr>
        <w:t>”</w:t>
      </w:r>
      <w:r w:rsidR="001D37A6" w:rsidRPr="001D37A6">
        <w:rPr>
          <w:rFonts w:ascii="Garamond" w:hAnsi="Garamond"/>
          <w:color w:val="000000"/>
          <w:sz w:val="26"/>
          <w:szCs w:val="26"/>
          <w:lang w:val="it-IT"/>
        </w:rPr>
        <w:t xml:space="preserve"> in via generale ed astratta, </w:t>
      </w:r>
      <w:r w:rsidR="00F40766">
        <w:rPr>
          <w:rFonts w:ascii="Garamond" w:hAnsi="Garamond"/>
          <w:color w:val="000000"/>
          <w:sz w:val="26"/>
          <w:szCs w:val="26"/>
          <w:lang w:val="it-IT"/>
        </w:rPr>
        <w:t xml:space="preserve">dovendo </w:t>
      </w:r>
      <w:r w:rsidR="001D37A6" w:rsidRPr="001D37A6">
        <w:rPr>
          <w:rFonts w:ascii="Garamond" w:hAnsi="Garamond"/>
          <w:color w:val="000000"/>
          <w:sz w:val="26"/>
          <w:szCs w:val="26"/>
          <w:lang w:val="it-IT"/>
        </w:rPr>
        <w:t xml:space="preserve">dimostrare che esso è “altamente probabile” </w:t>
      </w:r>
      <w:r w:rsidRPr="001D37A6">
        <w:rPr>
          <w:rStyle w:val="Rimandonotaapidipagina"/>
          <w:rFonts w:ascii="Garamond" w:hAnsi="Garamond" w:cs="Times New Roman"/>
          <w:color w:val="000000" w:themeColor="text1"/>
          <w:sz w:val="26"/>
          <w:szCs w:val="26"/>
          <w:lang w:val="it-IT"/>
        </w:rPr>
        <w:footnoteReference w:id="47"/>
      </w:r>
      <w:r>
        <w:rPr>
          <w:rFonts w:ascii="Garamond" w:hAnsi="Garamond"/>
          <w:color w:val="000000"/>
          <w:sz w:val="26"/>
          <w:szCs w:val="26"/>
          <w:lang w:val="it-IT"/>
        </w:rPr>
        <w:t xml:space="preserve"> </w:t>
      </w:r>
      <w:r w:rsidR="001D37A6" w:rsidRPr="001D37A6">
        <w:rPr>
          <w:rFonts w:ascii="Garamond" w:hAnsi="Garamond"/>
          <w:color w:val="000000"/>
          <w:sz w:val="26"/>
          <w:szCs w:val="26"/>
          <w:lang w:val="it-IT"/>
        </w:rPr>
        <w:t xml:space="preserve">o </w:t>
      </w:r>
      <w:r>
        <w:rPr>
          <w:rFonts w:ascii="Garamond" w:hAnsi="Garamond"/>
          <w:color w:val="000000"/>
          <w:sz w:val="26"/>
          <w:szCs w:val="26"/>
          <w:lang w:val="it-IT"/>
        </w:rPr>
        <w:t xml:space="preserve">quantomeno </w:t>
      </w:r>
      <w:r w:rsidR="001D37A6" w:rsidRPr="001D37A6">
        <w:rPr>
          <w:rFonts w:ascii="Garamond" w:hAnsi="Garamond"/>
          <w:color w:val="000000"/>
          <w:sz w:val="26"/>
          <w:szCs w:val="26"/>
          <w:lang w:val="it-IT"/>
        </w:rPr>
        <w:t>“ragionevolmente probabile”</w:t>
      </w:r>
      <w:r>
        <w:rPr>
          <w:rFonts w:ascii="Garamond" w:hAnsi="Garamond"/>
          <w:color w:val="000000"/>
          <w:sz w:val="26"/>
          <w:szCs w:val="26"/>
          <w:lang w:val="it-IT"/>
        </w:rPr>
        <w:t xml:space="preserve"> </w:t>
      </w:r>
      <w:r w:rsidRPr="001D37A6">
        <w:rPr>
          <w:rStyle w:val="Rimandonotaapidipagina"/>
          <w:rFonts w:ascii="Garamond" w:hAnsi="Garamond" w:cs="Times New Roman"/>
          <w:color w:val="000000" w:themeColor="text1"/>
          <w:sz w:val="26"/>
          <w:szCs w:val="26"/>
          <w:lang w:val="it-IT"/>
        </w:rPr>
        <w:footnoteReference w:id="48"/>
      </w:r>
      <w:r>
        <w:rPr>
          <w:rFonts w:ascii="Garamond" w:hAnsi="Garamond"/>
          <w:color w:val="000000"/>
          <w:sz w:val="26"/>
          <w:szCs w:val="26"/>
          <w:lang w:val="it-IT"/>
        </w:rPr>
        <w:t>.</w:t>
      </w:r>
      <w:bookmarkEnd w:id="14"/>
    </w:p>
    <w:p w14:paraId="3C6D7C75" w14:textId="77777777" w:rsidR="005A75D0" w:rsidRPr="0009660B" w:rsidRDefault="007B2AEB" w:rsidP="004A7938">
      <w:pPr>
        <w:spacing w:line="360" w:lineRule="auto"/>
        <w:ind w:left="567" w:right="567"/>
        <w:jc w:val="both"/>
        <w:rPr>
          <w:rFonts w:ascii="Garamond" w:eastAsia="Times New Roman" w:hAnsi="Garamond" w:cs="Times New Roman"/>
          <w:b/>
          <w:color w:val="000000" w:themeColor="text1"/>
          <w:sz w:val="26"/>
          <w:szCs w:val="26"/>
        </w:rPr>
      </w:pPr>
      <w:r w:rsidRPr="001D37A6">
        <w:rPr>
          <w:rFonts w:ascii="Garamond" w:eastAsia="Times New Roman" w:hAnsi="Garamond" w:cs="Times New Roman"/>
          <w:color w:val="000000" w:themeColor="text1"/>
          <w:sz w:val="26"/>
          <w:szCs w:val="26"/>
        </w:rPr>
        <w:tab/>
      </w:r>
      <w:r w:rsidRPr="001D37A6">
        <w:rPr>
          <w:rFonts w:ascii="Garamond" w:eastAsia="Times New Roman" w:hAnsi="Garamond" w:cs="Times New Roman"/>
          <w:color w:val="000000" w:themeColor="text1"/>
          <w:sz w:val="26"/>
          <w:szCs w:val="26"/>
        </w:rPr>
        <w:tab/>
      </w:r>
      <w:r w:rsidRPr="001D37A6">
        <w:rPr>
          <w:rFonts w:ascii="Garamond" w:eastAsia="Times New Roman" w:hAnsi="Garamond" w:cs="Times New Roman"/>
          <w:color w:val="000000" w:themeColor="text1"/>
          <w:sz w:val="26"/>
          <w:szCs w:val="26"/>
        </w:rPr>
        <w:tab/>
      </w:r>
      <w:r w:rsidRPr="001D37A6">
        <w:rPr>
          <w:rFonts w:ascii="Garamond" w:eastAsia="Times New Roman" w:hAnsi="Garamond" w:cs="Times New Roman"/>
          <w:color w:val="000000" w:themeColor="text1"/>
          <w:sz w:val="26"/>
          <w:szCs w:val="26"/>
        </w:rPr>
        <w:tab/>
      </w:r>
      <w:r w:rsidRPr="001D37A6">
        <w:rPr>
          <w:rFonts w:ascii="Garamond" w:eastAsia="Times New Roman" w:hAnsi="Garamond" w:cs="Times New Roman"/>
          <w:color w:val="000000" w:themeColor="text1"/>
          <w:sz w:val="26"/>
          <w:szCs w:val="26"/>
        </w:rPr>
        <w:tab/>
      </w:r>
      <w:r w:rsidRPr="001D37A6">
        <w:rPr>
          <w:rFonts w:ascii="Garamond" w:eastAsia="Times New Roman" w:hAnsi="Garamond" w:cs="Times New Roman"/>
          <w:color w:val="000000" w:themeColor="text1"/>
          <w:sz w:val="26"/>
          <w:szCs w:val="26"/>
        </w:rPr>
        <w:tab/>
      </w:r>
      <w:r w:rsidRPr="001D37A6">
        <w:rPr>
          <w:rFonts w:ascii="Garamond" w:eastAsia="Times New Roman" w:hAnsi="Garamond" w:cs="Times New Roman"/>
          <w:color w:val="000000" w:themeColor="text1"/>
          <w:sz w:val="26"/>
          <w:szCs w:val="26"/>
        </w:rPr>
        <w:tab/>
      </w:r>
      <w:r w:rsidRPr="001D37A6">
        <w:rPr>
          <w:rFonts w:ascii="Garamond" w:eastAsia="Times New Roman" w:hAnsi="Garamond" w:cs="Times New Roman"/>
          <w:color w:val="000000" w:themeColor="text1"/>
          <w:sz w:val="26"/>
          <w:szCs w:val="26"/>
        </w:rPr>
        <w:tab/>
      </w:r>
      <w:r w:rsidRPr="001D37A6">
        <w:rPr>
          <w:rFonts w:ascii="Garamond" w:eastAsia="Times New Roman" w:hAnsi="Garamond" w:cs="Times New Roman"/>
          <w:color w:val="000000" w:themeColor="text1"/>
          <w:sz w:val="26"/>
          <w:szCs w:val="26"/>
        </w:rPr>
        <w:tab/>
      </w:r>
      <w:r w:rsidRPr="001D37A6">
        <w:rPr>
          <w:rFonts w:ascii="Garamond" w:eastAsia="Times New Roman" w:hAnsi="Garamond" w:cs="Times New Roman"/>
          <w:color w:val="000000" w:themeColor="text1"/>
          <w:sz w:val="26"/>
          <w:szCs w:val="26"/>
        </w:rPr>
        <w:tab/>
      </w:r>
      <w:r w:rsidR="005A75D0" w:rsidRPr="0009660B">
        <w:rPr>
          <w:rFonts w:ascii="Garamond" w:eastAsia="Times New Roman" w:hAnsi="Garamond" w:cs="Times New Roman"/>
          <w:b/>
          <w:color w:val="000000" w:themeColor="text1"/>
          <w:sz w:val="26"/>
          <w:szCs w:val="26"/>
        </w:rPr>
        <w:t>Andrea Berti</w:t>
      </w:r>
    </w:p>
    <w:p w14:paraId="4F4C668D" w14:textId="77777777" w:rsidR="007B2AEB" w:rsidRDefault="007B2AEB" w:rsidP="004A7938">
      <w:pPr>
        <w:spacing w:line="360" w:lineRule="auto"/>
        <w:ind w:left="567" w:right="567"/>
        <w:jc w:val="both"/>
        <w:rPr>
          <w:rFonts w:ascii="Garamond" w:eastAsia="Times New Roman" w:hAnsi="Garamond" w:cs="Times New Roman"/>
          <w:color w:val="000000" w:themeColor="text1"/>
          <w:sz w:val="26"/>
          <w:szCs w:val="26"/>
        </w:rPr>
      </w:pPr>
      <w:r w:rsidRPr="001D37A6">
        <w:rPr>
          <w:rFonts w:ascii="Garamond" w:eastAsia="Times New Roman" w:hAnsi="Garamond" w:cs="Times New Roman"/>
          <w:color w:val="000000" w:themeColor="text1"/>
          <w:sz w:val="26"/>
          <w:szCs w:val="26"/>
        </w:rPr>
        <w:tab/>
      </w:r>
      <w:r w:rsidRPr="001D37A6">
        <w:rPr>
          <w:rFonts w:ascii="Garamond" w:eastAsia="Times New Roman" w:hAnsi="Garamond" w:cs="Times New Roman"/>
          <w:color w:val="000000" w:themeColor="text1"/>
          <w:sz w:val="26"/>
          <w:szCs w:val="26"/>
        </w:rPr>
        <w:tab/>
      </w:r>
      <w:r w:rsidRPr="001D37A6">
        <w:rPr>
          <w:rFonts w:ascii="Garamond" w:eastAsia="Times New Roman" w:hAnsi="Garamond" w:cs="Times New Roman"/>
          <w:color w:val="000000" w:themeColor="text1"/>
          <w:sz w:val="26"/>
          <w:szCs w:val="26"/>
        </w:rPr>
        <w:tab/>
      </w:r>
      <w:r w:rsidRPr="001D37A6">
        <w:rPr>
          <w:rFonts w:ascii="Garamond" w:eastAsia="Times New Roman" w:hAnsi="Garamond" w:cs="Times New Roman"/>
          <w:color w:val="000000" w:themeColor="text1"/>
          <w:sz w:val="26"/>
          <w:szCs w:val="26"/>
        </w:rPr>
        <w:tab/>
      </w:r>
      <w:r w:rsidRPr="001D37A6">
        <w:rPr>
          <w:rFonts w:ascii="Garamond" w:eastAsia="Times New Roman" w:hAnsi="Garamond" w:cs="Times New Roman"/>
          <w:color w:val="000000" w:themeColor="text1"/>
          <w:sz w:val="26"/>
          <w:szCs w:val="26"/>
        </w:rPr>
        <w:tab/>
      </w:r>
      <w:r w:rsidRPr="001D37A6">
        <w:rPr>
          <w:rFonts w:ascii="Garamond" w:eastAsia="Times New Roman" w:hAnsi="Garamond" w:cs="Times New Roman"/>
          <w:color w:val="000000" w:themeColor="text1"/>
          <w:sz w:val="26"/>
          <w:szCs w:val="26"/>
        </w:rPr>
        <w:tab/>
      </w:r>
      <w:r w:rsidRPr="001D37A6">
        <w:rPr>
          <w:rFonts w:ascii="Garamond" w:eastAsia="Times New Roman" w:hAnsi="Garamond" w:cs="Times New Roman"/>
          <w:color w:val="000000" w:themeColor="text1"/>
          <w:sz w:val="26"/>
          <w:szCs w:val="26"/>
        </w:rPr>
        <w:tab/>
      </w:r>
      <w:r w:rsidRPr="001D37A6">
        <w:rPr>
          <w:rFonts w:ascii="Garamond" w:eastAsia="Times New Roman" w:hAnsi="Garamond" w:cs="Times New Roman"/>
          <w:color w:val="000000" w:themeColor="text1"/>
          <w:sz w:val="26"/>
          <w:szCs w:val="26"/>
        </w:rPr>
        <w:tab/>
      </w:r>
      <w:r w:rsidRPr="001D37A6">
        <w:rPr>
          <w:rFonts w:ascii="Garamond" w:eastAsia="Times New Roman" w:hAnsi="Garamond" w:cs="Times New Roman"/>
          <w:color w:val="000000" w:themeColor="text1"/>
          <w:sz w:val="26"/>
          <w:szCs w:val="26"/>
        </w:rPr>
        <w:tab/>
      </w:r>
      <w:r w:rsidRPr="001D37A6">
        <w:rPr>
          <w:rFonts w:ascii="Garamond" w:eastAsia="Times New Roman" w:hAnsi="Garamond" w:cs="Times New Roman"/>
          <w:color w:val="000000" w:themeColor="text1"/>
          <w:sz w:val="26"/>
          <w:szCs w:val="26"/>
        </w:rPr>
        <w:tab/>
        <w:t xml:space="preserve">   Avvocato</w:t>
      </w:r>
    </w:p>
    <w:p w14:paraId="707777B8" w14:textId="1BC91B10" w:rsidR="0009660B" w:rsidRPr="001D37A6" w:rsidRDefault="0009660B" w:rsidP="0009660B">
      <w:pPr>
        <w:spacing w:line="360" w:lineRule="auto"/>
        <w:ind w:left="567" w:right="567"/>
        <w:jc w:val="right"/>
        <w:rPr>
          <w:rFonts w:ascii="Garamond" w:eastAsia="Times New Roman" w:hAnsi="Garamond" w:cs="Times New Roman"/>
          <w:color w:val="000000" w:themeColor="text1"/>
          <w:sz w:val="26"/>
          <w:szCs w:val="26"/>
        </w:rPr>
      </w:pPr>
      <w:r>
        <w:rPr>
          <w:rFonts w:ascii="Garamond" w:eastAsia="Times New Roman" w:hAnsi="Garamond" w:cs="Times New Roman"/>
          <w:color w:val="000000" w:themeColor="text1"/>
          <w:sz w:val="26"/>
          <w:szCs w:val="26"/>
        </w:rPr>
        <w:t>Pubblicato il 31 maggio 2021</w:t>
      </w:r>
    </w:p>
    <w:p w14:paraId="41070517" w14:textId="77777777" w:rsidR="000217C9" w:rsidRPr="001D37A6" w:rsidRDefault="000217C9" w:rsidP="004A7938">
      <w:pPr>
        <w:spacing w:line="360" w:lineRule="auto"/>
        <w:ind w:left="567" w:right="567"/>
        <w:jc w:val="both"/>
        <w:rPr>
          <w:rFonts w:ascii="Garamond" w:hAnsi="Garamond" w:cs="Times New Roman"/>
          <w:b/>
          <w:color w:val="000000" w:themeColor="text1"/>
          <w:sz w:val="26"/>
          <w:szCs w:val="26"/>
        </w:rPr>
      </w:pPr>
    </w:p>
    <w:sectPr w:rsidR="000217C9" w:rsidRPr="001D37A6" w:rsidSect="00180DD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A8C17" w14:textId="77777777" w:rsidR="0071009A" w:rsidRDefault="0071009A" w:rsidP="003210CC">
      <w:r>
        <w:separator/>
      </w:r>
    </w:p>
  </w:endnote>
  <w:endnote w:type="continuationSeparator" w:id="0">
    <w:p w14:paraId="1C833E61" w14:textId="77777777" w:rsidR="0071009A" w:rsidRDefault="0071009A" w:rsidP="0032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2FF" w:usb1="400004FF" w:usb2="00000000" w:usb3="00000000" w:csb0="0000019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76000"/>
      <w:docPartObj>
        <w:docPartGallery w:val="Page Numbers (Bottom of Page)"/>
        <w:docPartUnique/>
      </w:docPartObj>
    </w:sdtPr>
    <w:sdtEndPr/>
    <w:sdtContent>
      <w:p w14:paraId="0EBA2D99" w14:textId="77777777" w:rsidR="003536D7" w:rsidRDefault="005D5323">
        <w:pPr>
          <w:pStyle w:val="Pidipagina"/>
          <w:jc w:val="center"/>
        </w:pPr>
        <w:r>
          <w:rPr>
            <w:noProof/>
          </w:rPr>
          <w:fldChar w:fldCharType="begin"/>
        </w:r>
        <w:r>
          <w:rPr>
            <w:noProof/>
          </w:rPr>
          <w:instrText xml:space="preserve"> PAGE   \* MERGEFORMAT </w:instrText>
        </w:r>
        <w:r>
          <w:rPr>
            <w:noProof/>
          </w:rPr>
          <w:fldChar w:fldCharType="separate"/>
        </w:r>
        <w:r w:rsidR="005162BC">
          <w:rPr>
            <w:noProof/>
          </w:rPr>
          <w:t>2</w:t>
        </w:r>
        <w:r>
          <w:rPr>
            <w:noProof/>
          </w:rPr>
          <w:fldChar w:fldCharType="end"/>
        </w:r>
      </w:p>
    </w:sdtContent>
  </w:sdt>
  <w:p w14:paraId="1773F544" w14:textId="77777777" w:rsidR="003536D7" w:rsidRDefault="003536D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029E5" w14:textId="77777777" w:rsidR="0071009A" w:rsidRDefault="0071009A" w:rsidP="003210CC">
      <w:r>
        <w:separator/>
      </w:r>
    </w:p>
  </w:footnote>
  <w:footnote w:type="continuationSeparator" w:id="0">
    <w:p w14:paraId="03B64FF4" w14:textId="77777777" w:rsidR="0071009A" w:rsidRDefault="0071009A" w:rsidP="003210CC">
      <w:r>
        <w:continuationSeparator/>
      </w:r>
    </w:p>
  </w:footnote>
  <w:footnote w:id="1">
    <w:p w14:paraId="3831CE09" w14:textId="2DC9B4B3" w:rsidR="0074230B" w:rsidRPr="0089042B" w:rsidRDefault="0074230B" w:rsidP="0074230B">
      <w:pPr>
        <w:pStyle w:val="Testonotaapidipagina"/>
        <w:ind w:left="567" w:right="567"/>
        <w:jc w:val="both"/>
        <w:rPr>
          <w:rFonts w:ascii="Garamond" w:hAnsi="Garamond"/>
          <w:sz w:val="22"/>
          <w:szCs w:val="22"/>
        </w:rPr>
      </w:pPr>
      <w:r w:rsidRPr="005A75D0">
        <w:rPr>
          <w:rStyle w:val="Rimandonotaapidipagina"/>
          <w:rFonts w:ascii="Garamond" w:hAnsi="Garamond"/>
          <w:sz w:val="22"/>
          <w:szCs w:val="22"/>
        </w:rPr>
        <w:footnoteRef/>
      </w:r>
      <w:r w:rsidRPr="0009660B">
        <w:rPr>
          <w:rFonts w:ascii="Garamond" w:hAnsi="Garamond"/>
          <w:sz w:val="22"/>
          <w:szCs w:val="22"/>
          <w:lang w:val="en-US"/>
        </w:rPr>
        <w:t xml:space="preserve"> </w:t>
      </w:r>
      <w:r w:rsidRPr="0009660B">
        <w:rPr>
          <w:rFonts w:ascii="Garamond" w:hAnsi="Garamond"/>
          <w:color w:val="000000"/>
          <w:sz w:val="22"/>
          <w:szCs w:val="22"/>
          <w:lang w:val="en-US"/>
        </w:rPr>
        <w:t>Cons. St., A.P., 2 aprile 2020, n. 10</w:t>
      </w:r>
      <w:r w:rsidRPr="0009660B">
        <w:rPr>
          <w:rFonts w:ascii="Garamond" w:hAnsi="Garamond"/>
          <w:sz w:val="22"/>
          <w:szCs w:val="22"/>
          <w:lang w:val="en-US"/>
        </w:rPr>
        <w:t xml:space="preserve">: </w:t>
      </w:r>
      <w:r w:rsidRPr="0009660B">
        <w:rPr>
          <w:rFonts w:ascii="Garamond" w:hAnsi="Garamond"/>
          <w:i/>
          <w:sz w:val="22"/>
          <w:szCs w:val="22"/>
          <w:lang w:val="en-US"/>
        </w:rPr>
        <w:t xml:space="preserve">&lt;&lt; </w:t>
      </w:r>
      <w:r w:rsidRPr="0009660B">
        <w:rPr>
          <w:rFonts w:ascii="Garamond" w:hAnsi="Garamond"/>
          <w:i/>
          <w:color w:val="000000"/>
          <w:sz w:val="22"/>
          <w:szCs w:val="22"/>
          <w:lang w:val="en-US"/>
        </w:rPr>
        <w:t xml:space="preserve">22.5. </w:t>
      </w:r>
      <w:r w:rsidRPr="00FD327C">
        <w:rPr>
          <w:rFonts w:ascii="Garamond" w:hAnsi="Garamond"/>
          <w:i/>
          <w:color w:val="000000"/>
          <w:sz w:val="22"/>
          <w:szCs w:val="22"/>
        </w:rPr>
        <w:t>Anche nel nostro ordinamento l’evoluzione della visibilità del potere, con la conseguente accessibilità generalizzata dei suoi atti sul modello del FOIA, è la storia del lento cammino verso la democrazia e, con il progressivo superamento degli </w:t>
      </w:r>
      <w:r w:rsidRPr="00FD327C">
        <w:rPr>
          <w:rFonts w:ascii="Garamond" w:hAnsi="Garamond"/>
          <w:i/>
          <w:iCs/>
          <w:color w:val="000000"/>
          <w:sz w:val="22"/>
          <w:szCs w:val="22"/>
        </w:rPr>
        <w:t>arcana imperii</w:t>
      </w:r>
      <w:r w:rsidRPr="00FD327C">
        <w:rPr>
          <w:rFonts w:ascii="Garamond" w:hAnsi="Garamond"/>
          <w:i/>
          <w:color w:val="000000"/>
          <w:sz w:val="22"/>
          <w:szCs w:val="22"/>
        </w:rPr>
        <w:t> di tacitiana memoria, garantisce la necessaria democraticità del processo continuo di informazione e formazione dell’opinione pubblica (Corte cost., 7 maggio 2002, n. 155).</w:t>
      </w:r>
      <w:r w:rsidR="00FD4BA9">
        <w:rPr>
          <w:rFonts w:ascii="Garamond" w:hAnsi="Garamond"/>
          <w:i/>
          <w:color w:val="000000"/>
          <w:sz w:val="22"/>
          <w:szCs w:val="22"/>
        </w:rPr>
        <w:t xml:space="preserve"> &gt;&gt;;</w:t>
      </w:r>
      <w:r w:rsidRPr="00FD327C">
        <w:rPr>
          <w:rFonts w:ascii="Garamond" w:hAnsi="Garamond"/>
          <w:i/>
          <w:color w:val="000000"/>
          <w:sz w:val="22"/>
          <w:szCs w:val="22"/>
        </w:rPr>
        <w:t xml:space="preserve"> </w:t>
      </w:r>
      <w:r w:rsidR="00FD4BA9">
        <w:rPr>
          <w:rFonts w:ascii="Garamond" w:hAnsi="Garamond"/>
          <w:i/>
          <w:color w:val="000000"/>
          <w:sz w:val="22"/>
          <w:szCs w:val="22"/>
        </w:rPr>
        <w:t xml:space="preserve">&lt;&lt; </w:t>
      </w:r>
      <w:r w:rsidRPr="00FD327C">
        <w:rPr>
          <w:rFonts w:ascii="Garamond" w:hAnsi="Garamond"/>
          <w:i/>
          <w:color w:val="000000"/>
          <w:sz w:val="22"/>
          <w:szCs w:val="22"/>
        </w:rPr>
        <w:t>22.6. Il principio di trasparenza, che si esprime anche nella conoscibilità dei documenti amministrativi, rappresenta il fondamento della democrazia amministrativa in uno Stato di diritto, se è vero che la democrazia, secondo una celebre formula ricordata dallo stesso parere n. 515 del 24 febbraio 2016, è il governo del potere pubblico in pubblico … &gt;&gt;</w:t>
      </w:r>
      <w:r>
        <w:rPr>
          <w:rFonts w:ascii="Garamond" w:hAnsi="Garamond"/>
          <w:color w:val="000000"/>
          <w:sz w:val="22"/>
          <w:szCs w:val="22"/>
        </w:rPr>
        <w:t>.</w:t>
      </w:r>
    </w:p>
  </w:footnote>
  <w:footnote w:id="2">
    <w:p w14:paraId="218D1C01" w14:textId="0FEC9288" w:rsidR="00057C6D" w:rsidRPr="0089042B" w:rsidRDefault="00057C6D" w:rsidP="00057C6D">
      <w:pPr>
        <w:ind w:left="567" w:right="567"/>
        <w:jc w:val="both"/>
        <w:rPr>
          <w:rFonts w:ascii="Garamond" w:hAnsi="Garamond"/>
          <w:sz w:val="22"/>
          <w:szCs w:val="22"/>
        </w:rPr>
      </w:pPr>
      <w:r w:rsidRPr="005A75D0">
        <w:rPr>
          <w:rStyle w:val="Rimandonotaapidipagina"/>
          <w:rFonts w:ascii="Garamond" w:hAnsi="Garamond"/>
          <w:sz w:val="22"/>
          <w:szCs w:val="22"/>
        </w:rPr>
        <w:footnoteRef/>
      </w:r>
      <w:r w:rsidRPr="005A75D0">
        <w:rPr>
          <w:rFonts w:ascii="Garamond" w:hAnsi="Garamond"/>
          <w:sz w:val="22"/>
          <w:szCs w:val="22"/>
        </w:rPr>
        <w:t xml:space="preserve"> </w:t>
      </w:r>
      <w:r>
        <w:rPr>
          <w:rFonts w:ascii="Garamond" w:eastAsia="Arial" w:hAnsi="Garamond" w:cs="Arial"/>
          <w:sz w:val="22"/>
          <w:szCs w:val="22"/>
        </w:rPr>
        <w:t xml:space="preserve">Come noto, </w:t>
      </w:r>
      <w:r w:rsidRPr="0074230B">
        <w:rPr>
          <w:rFonts w:ascii="Garamond" w:hAnsi="Garamond"/>
          <w:sz w:val="22"/>
          <w:szCs w:val="22"/>
        </w:rPr>
        <w:t xml:space="preserve">l'art. 1 </w:t>
      </w:r>
      <w:r>
        <w:rPr>
          <w:rFonts w:ascii="Garamond" w:hAnsi="Garamond"/>
          <w:sz w:val="22"/>
          <w:szCs w:val="22"/>
        </w:rPr>
        <w:t>d</w:t>
      </w:r>
      <w:r w:rsidRPr="0074230B">
        <w:rPr>
          <w:rFonts w:ascii="Garamond" w:hAnsi="Garamond"/>
          <w:sz w:val="22"/>
          <w:szCs w:val="22"/>
        </w:rPr>
        <w:t>.</w:t>
      </w:r>
      <w:r>
        <w:rPr>
          <w:rFonts w:ascii="Garamond" w:hAnsi="Garamond"/>
          <w:sz w:val="22"/>
          <w:szCs w:val="22"/>
        </w:rPr>
        <w:t>l</w:t>
      </w:r>
      <w:r w:rsidRPr="0074230B">
        <w:rPr>
          <w:rFonts w:ascii="Garamond" w:hAnsi="Garamond"/>
          <w:sz w:val="22"/>
          <w:szCs w:val="22"/>
        </w:rPr>
        <w:t xml:space="preserve">gs. </w:t>
      </w:r>
      <w:r>
        <w:rPr>
          <w:rFonts w:ascii="Garamond" w:hAnsi="Garamond"/>
          <w:sz w:val="22"/>
          <w:szCs w:val="22"/>
        </w:rPr>
        <w:t xml:space="preserve">n. </w:t>
      </w:r>
      <w:r w:rsidRPr="0074230B">
        <w:rPr>
          <w:rFonts w:ascii="Garamond" w:hAnsi="Garamond"/>
          <w:sz w:val="22"/>
          <w:szCs w:val="22"/>
        </w:rPr>
        <w:t>33</w:t>
      </w:r>
      <w:r>
        <w:rPr>
          <w:rFonts w:ascii="Garamond" w:hAnsi="Garamond"/>
          <w:sz w:val="22"/>
          <w:szCs w:val="22"/>
        </w:rPr>
        <w:t xml:space="preserve"> del </w:t>
      </w:r>
      <w:r w:rsidRPr="0074230B">
        <w:rPr>
          <w:rFonts w:ascii="Garamond" w:hAnsi="Garamond"/>
          <w:sz w:val="22"/>
          <w:szCs w:val="22"/>
        </w:rPr>
        <w:t xml:space="preserve">2013 (come riformato </w:t>
      </w:r>
      <w:r>
        <w:rPr>
          <w:rFonts w:ascii="Garamond" w:hAnsi="Garamond"/>
          <w:sz w:val="22"/>
          <w:szCs w:val="22"/>
        </w:rPr>
        <w:t>dal</w:t>
      </w:r>
      <w:r w:rsidRPr="0074230B">
        <w:rPr>
          <w:rFonts w:ascii="Garamond" w:hAnsi="Garamond"/>
          <w:sz w:val="22"/>
          <w:szCs w:val="22"/>
        </w:rPr>
        <w:t xml:space="preserve"> </w:t>
      </w:r>
      <w:r>
        <w:rPr>
          <w:rFonts w:ascii="Garamond" w:hAnsi="Garamond"/>
          <w:sz w:val="22"/>
          <w:szCs w:val="22"/>
        </w:rPr>
        <w:t>d</w:t>
      </w:r>
      <w:r w:rsidRPr="0074230B">
        <w:rPr>
          <w:rFonts w:ascii="Garamond" w:hAnsi="Garamond"/>
          <w:sz w:val="22"/>
          <w:szCs w:val="22"/>
        </w:rPr>
        <w:t>.</w:t>
      </w:r>
      <w:r>
        <w:rPr>
          <w:rFonts w:ascii="Garamond" w:hAnsi="Garamond"/>
          <w:sz w:val="22"/>
          <w:szCs w:val="22"/>
        </w:rPr>
        <w:t>l</w:t>
      </w:r>
      <w:r w:rsidRPr="0074230B">
        <w:rPr>
          <w:rFonts w:ascii="Garamond" w:hAnsi="Garamond"/>
          <w:sz w:val="22"/>
          <w:szCs w:val="22"/>
        </w:rPr>
        <w:t xml:space="preserve">gs. </w:t>
      </w:r>
      <w:r>
        <w:rPr>
          <w:rFonts w:ascii="Garamond" w:hAnsi="Garamond"/>
          <w:sz w:val="22"/>
          <w:szCs w:val="22"/>
        </w:rPr>
        <w:t xml:space="preserve">n. </w:t>
      </w:r>
      <w:r w:rsidRPr="0074230B">
        <w:rPr>
          <w:rFonts w:ascii="Garamond" w:hAnsi="Garamond"/>
          <w:sz w:val="22"/>
          <w:szCs w:val="22"/>
        </w:rPr>
        <w:t>97</w:t>
      </w:r>
      <w:r>
        <w:rPr>
          <w:rFonts w:ascii="Garamond" w:hAnsi="Garamond"/>
          <w:sz w:val="22"/>
          <w:szCs w:val="22"/>
        </w:rPr>
        <w:t xml:space="preserve"> del </w:t>
      </w:r>
      <w:r w:rsidRPr="0074230B">
        <w:rPr>
          <w:rFonts w:ascii="Garamond" w:hAnsi="Garamond"/>
          <w:sz w:val="22"/>
          <w:szCs w:val="22"/>
        </w:rPr>
        <w:t>2016</w:t>
      </w:r>
      <w:r>
        <w:rPr>
          <w:rFonts w:ascii="Garamond" w:hAnsi="Garamond"/>
          <w:sz w:val="22"/>
          <w:szCs w:val="22"/>
        </w:rPr>
        <w:t xml:space="preserve">) </w:t>
      </w:r>
      <w:r w:rsidRPr="0074230B">
        <w:rPr>
          <w:rFonts w:ascii="Garamond" w:hAnsi="Garamond"/>
          <w:sz w:val="22"/>
          <w:szCs w:val="22"/>
        </w:rPr>
        <w:t xml:space="preserve">assegna alla trasparenza lo </w:t>
      </w:r>
      <w:r w:rsidRPr="0074230B">
        <w:rPr>
          <w:rFonts w:ascii="Garamond" w:hAnsi="Garamond"/>
          <w:i/>
          <w:iCs/>
          <w:sz w:val="22"/>
          <w:szCs w:val="22"/>
        </w:rPr>
        <w:t xml:space="preserve">“scopo di  ... favorire forme diffuse di controllo sul perseguimento delle funzioni istituzionali e sull'utilizzo delle risorse pubbliche” </w:t>
      </w:r>
      <w:r w:rsidRPr="0074230B">
        <w:rPr>
          <w:rFonts w:ascii="Garamond" w:hAnsi="Garamond"/>
          <w:sz w:val="22"/>
          <w:szCs w:val="22"/>
        </w:rPr>
        <w:t>(c</w:t>
      </w:r>
      <w:r>
        <w:rPr>
          <w:rFonts w:ascii="Garamond" w:hAnsi="Garamond"/>
          <w:sz w:val="22"/>
          <w:szCs w:val="22"/>
        </w:rPr>
        <w:t>omma</w:t>
      </w:r>
      <w:r w:rsidRPr="0074230B">
        <w:rPr>
          <w:rFonts w:ascii="Garamond" w:hAnsi="Garamond"/>
          <w:sz w:val="22"/>
          <w:szCs w:val="22"/>
        </w:rPr>
        <w:t xml:space="preserve"> 1), riconoscendo espressamente che essa  </w:t>
      </w:r>
      <w:r w:rsidRPr="0074230B">
        <w:rPr>
          <w:rFonts w:ascii="Garamond" w:hAnsi="Garamond"/>
          <w:i/>
          <w:iCs/>
          <w:sz w:val="22"/>
          <w:szCs w:val="22"/>
        </w:rPr>
        <w:t>“concorre ad attuare il principio democratico”</w:t>
      </w:r>
      <w:r w:rsidRPr="0074230B">
        <w:rPr>
          <w:rFonts w:ascii="Garamond" w:hAnsi="Garamond"/>
          <w:sz w:val="22"/>
          <w:szCs w:val="22"/>
        </w:rPr>
        <w:t xml:space="preserve">, in quanto </w:t>
      </w:r>
      <w:r w:rsidRPr="0074230B">
        <w:rPr>
          <w:rFonts w:ascii="Garamond" w:hAnsi="Garamond"/>
          <w:i/>
          <w:iCs/>
          <w:sz w:val="22"/>
          <w:szCs w:val="22"/>
        </w:rPr>
        <w:t>“condizione di garanzia … dei diritti politici e sociali ...”</w:t>
      </w:r>
      <w:r w:rsidRPr="0074230B">
        <w:rPr>
          <w:rFonts w:ascii="Garamond" w:hAnsi="Garamond"/>
          <w:sz w:val="22"/>
          <w:szCs w:val="22"/>
        </w:rPr>
        <w:t xml:space="preserve"> (c</w:t>
      </w:r>
      <w:r>
        <w:rPr>
          <w:rFonts w:ascii="Garamond" w:hAnsi="Garamond"/>
          <w:sz w:val="22"/>
          <w:szCs w:val="22"/>
        </w:rPr>
        <w:t>omma</w:t>
      </w:r>
      <w:r w:rsidRPr="0074230B">
        <w:rPr>
          <w:rFonts w:ascii="Garamond" w:hAnsi="Garamond"/>
          <w:sz w:val="22"/>
          <w:szCs w:val="22"/>
        </w:rPr>
        <w:t xml:space="preserve"> 2).</w:t>
      </w:r>
    </w:p>
  </w:footnote>
  <w:footnote w:id="3">
    <w:p w14:paraId="5BED3FB2" w14:textId="6392B4B3" w:rsidR="0013536D" w:rsidRPr="0013536D" w:rsidRDefault="0013536D" w:rsidP="0013536D">
      <w:pPr>
        <w:ind w:left="567" w:right="567"/>
        <w:jc w:val="both"/>
        <w:rPr>
          <w:rFonts w:ascii="Garamond" w:hAnsi="Garamond"/>
          <w:sz w:val="22"/>
          <w:szCs w:val="22"/>
        </w:rPr>
      </w:pPr>
      <w:r w:rsidRPr="0013536D">
        <w:rPr>
          <w:rStyle w:val="Rimandonotaapidipagina"/>
          <w:rFonts w:ascii="Garamond" w:hAnsi="Garamond"/>
          <w:sz w:val="22"/>
          <w:szCs w:val="22"/>
        </w:rPr>
        <w:footnoteRef/>
      </w:r>
      <w:r w:rsidRPr="0013536D">
        <w:rPr>
          <w:rFonts w:ascii="Garamond" w:hAnsi="Garamond"/>
          <w:sz w:val="22"/>
          <w:szCs w:val="22"/>
        </w:rPr>
        <w:t xml:space="preserve"> </w:t>
      </w:r>
      <w:r>
        <w:rPr>
          <w:rFonts w:ascii="Garamond" w:hAnsi="Garamond"/>
          <w:sz w:val="22"/>
          <w:szCs w:val="22"/>
        </w:rPr>
        <w:t>Tale aspetto è stato ampiamente criticato dal</w:t>
      </w:r>
      <w:r w:rsidRPr="0013536D">
        <w:rPr>
          <w:rFonts w:ascii="Garamond" w:hAnsi="Garamond"/>
          <w:color w:val="000000"/>
          <w:sz w:val="22"/>
          <w:szCs w:val="22"/>
        </w:rPr>
        <w:t xml:space="preserve">la dottrina </w:t>
      </w:r>
      <w:r>
        <w:rPr>
          <w:rFonts w:ascii="Garamond" w:hAnsi="Garamond"/>
          <w:color w:val="000000"/>
          <w:sz w:val="22"/>
          <w:szCs w:val="22"/>
        </w:rPr>
        <w:t xml:space="preserve">(tra gli altri, vedasi </w:t>
      </w:r>
      <w:r w:rsidRPr="0013536D">
        <w:rPr>
          <w:rFonts w:ascii="Garamond" w:hAnsi="Garamond"/>
          <w:color w:val="000000"/>
          <w:sz w:val="22"/>
          <w:szCs w:val="22"/>
        </w:rPr>
        <w:t xml:space="preserve">Deodato, </w:t>
      </w:r>
      <w:r w:rsidRPr="0013536D">
        <w:rPr>
          <w:rFonts w:ascii="Garamond" w:hAnsi="Garamond"/>
          <w:sz w:val="22"/>
          <w:szCs w:val="22"/>
        </w:rPr>
        <w:t xml:space="preserve">C., </w:t>
      </w:r>
      <w:r w:rsidRPr="0013536D">
        <w:rPr>
          <w:rFonts w:ascii="Garamond" w:hAnsi="Garamond"/>
          <w:i/>
          <w:iCs/>
          <w:sz w:val="22"/>
          <w:szCs w:val="22"/>
        </w:rPr>
        <w:t xml:space="preserve">La difficile convivenza dell’accesso civico generalizzato (FOIA) con la </w:t>
      </w:r>
      <w:r w:rsidRPr="0013536D">
        <w:rPr>
          <w:rFonts w:ascii="Garamond" w:hAnsi="Garamond"/>
          <w:i/>
          <w:iCs/>
          <w:color w:val="000000"/>
          <w:sz w:val="22"/>
          <w:szCs w:val="22"/>
        </w:rPr>
        <w:t>tutela della privacy: un conflitto insanabile ?</w:t>
      </w:r>
      <w:r w:rsidRPr="0013536D">
        <w:rPr>
          <w:rFonts w:ascii="Garamond" w:hAnsi="Garamond"/>
          <w:color w:val="000000"/>
          <w:sz w:val="22"/>
          <w:szCs w:val="22"/>
        </w:rPr>
        <w:t xml:space="preserve">, </w:t>
      </w:r>
      <w:hyperlink r:id="rId1" w:history="1">
        <w:r w:rsidRPr="0013536D">
          <w:rPr>
            <w:rStyle w:val="Collegamentoipertestuale"/>
            <w:rFonts w:ascii="Garamond" w:hAnsi="Garamond"/>
            <w:color w:val="000000"/>
            <w:sz w:val="22"/>
            <w:szCs w:val="22"/>
            <w:u w:val="none"/>
          </w:rPr>
          <w:t>www.giustizia-amministrativa.it</w:t>
        </w:r>
      </w:hyperlink>
      <w:r w:rsidRPr="0013536D">
        <w:rPr>
          <w:rFonts w:ascii="Garamond" w:hAnsi="Garamond"/>
          <w:color w:val="000000"/>
          <w:sz w:val="22"/>
          <w:szCs w:val="22"/>
        </w:rPr>
        <w:t xml:space="preserve">, 20 </w:t>
      </w:r>
      <w:r w:rsidRPr="0013536D">
        <w:rPr>
          <w:rFonts w:ascii="Garamond" w:hAnsi="Garamond"/>
          <w:sz w:val="22"/>
          <w:szCs w:val="22"/>
        </w:rPr>
        <w:t>dicembre 2017</w:t>
      </w:r>
      <w:r>
        <w:rPr>
          <w:rFonts w:ascii="Garamond" w:hAnsi="Garamond"/>
          <w:color w:val="000000"/>
          <w:sz w:val="22"/>
          <w:szCs w:val="22"/>
        </w:rPr>
        <w:t xml:space="preserve">; e Lipari </w:t>
      </w:r>
      <w:r w:rsidRPr="0013536D">
        <w:rPr>
          <w:rFonts w:ascii="Garamond" w:hAnsi="Garamond"/>
          <w:sz w:val="22"/>
          <w:szCs w:val="22"/>
        </w:rPr>
        <w:t xml:space="preserve">M., </w:t>
      </w:r>
      <w:r w:rsidRPr="0013536D">
        <w:rPr>
          <w:rFonts w:ascii="Garamond" w:hAnsi="Garamond"/>
          <w:i/>
          <w:iCs/>
          <w:sz w:val="22"/>
          <w:szCs w:val="22"/>
        </w:rPr>
        <w:t>Il diritto di accesso e la sua frammentazione dalla legge n. 241/1990 all’accesso civico: il problema delle esclusioni e delle limitazioni oggettiva</w:t>
      </w:r>
      <w:r w:rsidRPr="0013536D">
        <w:rPr>
          <w:rFonts w:ascii="Garamond" w:hAnsi="Garamond"/>
          <w:sz w:val="22"/>
          <w:szCs w:val="22"/>
        </w:rPr>
        <w:t>, Federalismi.it n. 17/2019</w:t>
      </w:r>
      <w:r w:rsidR="009620DF">
        <w:rPr>
          <w:rFonts w:ascii="Garamond" w:hAnsi="Garamond"/>
          <w:sz w:val="22"/>
          <w:szCs w:val="22"/>
        </w:rPr>
        <w:t xml:space="preserve">, per il quale </w:t>
      </w:r>
      <w:r w:rsidRPr="0013536D">
        <w:rPr>
          <w:rFonts w:ascii="Garamond" w:hAnsi="Garamond"/>
          <w:sz w:val="22"/>
          <w:szCs w:val="22"/>
        </w:rPr>
        <w:t xml:space="preserve"> </w:t>
      </w:r>
      <w:r w:rsidRPr="009620DF">
        <w:rPr>
          <w:rFonts w:ascii="Garamond" w:hAnsi="Garamond"/>
          <w:i/>
          <w:color w:val="000000"/>
          <w:sz w:val="22"/>
          <w:szCs w:val="22"/>
        </w:rPr>
        <w:t>&lt;&lt; Sarebbe stato auspicabile .. che almeno nella legge n. 241/1990 si prevedesse un rinvio di più chiaro coordinamento. &gt;&gt;</w:t>
      </w:r>
      <w:r w:rsidRPr="009620DF">
        <w:rPr>
          <w:rFonts w:ascii="Garamond" w:hAnsi="Garamond"/>
          <w:color w:val="000000"/>
          <w:sz w:val="22"/>
          <w:szCs w:val="22"/>
        </w:rPr>
        <w:t>.</w:t>
      </w:r>
    </w:p>
  </w:footnote>
  <w:footnote w:id="4">
    <w:p w14:paraId="20A0EFCB" w14:textId="598BA129" w:rsidR="009620DF" w:rsidRPr="0089042B" w:rsidRDefault="009620DF" w:rsidP="009620DF">
      <w:pPr>
        <w:ind w:left="567" w:right="567"/>
        <w:jc w:val="both"/>
        <w:rPr>
          <w:rFonts w:ascii="Garamond" w:hAnsi="Garamond"/>
          <w:sz w:val="22"/>
          <w:szCs w:val="22"/>
        </w:rPr>
      </w:pPr>
      <w:r w:rsidRPr="005A75D0">
        <w:rPr>
          <w:rStyle w:val="Rimandonotaapidipagina"/>
          <w:rFonts w:ascii="Garamond" w:hAnsi="Garamond"/>
          <w:sz w:val="22"/>
          <w:szCs w:val="22"/>
        </w:rPr>
        <w:footnoteRef/>
      </w:r>
      <w:r w:rsidRPr="005A75D0">
        <w:rPr>
          <w:rFonts w:ascii="Garamond" w:hAnsi="Garamond"/>
          <w:sz w:val="22"/>
          <w:szCs w:val="22"/>
        </w:rPr>
        <w:t xml:space="preserve"> </w:t>
      </w:r>
      <w:r>
        <w:rPr>
          <w:rFonts w:ascii="Garamond" w:hAnsi="Garamond"/>
          <w:sz w:val="22"/>
          <w:szCs w:val="22"/>
        </w:rPr>
        <w:t xml:space="preserve">Sono le parole di </w:t>
      </w:r>
      <w:r>
        <w:rPr>
          <w:rFonts w:ascii="Garamond" w:hAnsi="Garamond"/>
          <w:color w:val="000000"/>
          <w:sz w:val="22"/>
          <w:szCs w:val="22"/>
        </w:rPr>
        <w:t>Cons. St., A.P. n. 10 del 2020, che, al riguardo, osserva quanto segue:</w:t>
      </w:r>
      <w:r w:rsidRPr="00FD327C">
        <w:rPr>
          <w:rFonts w:ascii="Garamond" w:hAnsi="Garamond"/>
          <w:i/>
          <w:sz w:val="22"/>
          <w:szCs w:val="22"/>
        </w:rPr>
        <w:t xml:space="preserve"> </w:t>
      </w:r>
      <w:r w:rsidRPr="009620DF">
        <w:rPr>
          <w:rFonts w:ascii="Garamond" w:hAnsi="Garamond"/>
          <w:i/>
          <w:color w:val="000000"/>
          <w:sz w:val="22"/>
          <w:szCs w:val="22"/>
        </w:rPr>
        <w:t>&lt;&lt; 25.1. Ma in linea generale il rapporto tra le due discipline generali dell’accesso documentale e dell’accesso civico generalizzato e, a sua volta, il rapporto tra queste due discipline generali e quelle settoriali – si pensi, tra le più importanti, all’accesso civico di cui all’art. 10 del d. lgs. n. 267 del 2000 e a quello ambientale di cui all’art. 3 del d. lgs. n. 195 del 2005 – non può essere letto unicamente e astrattamente, secondo un criterio di specialità e, dunque, di esclusione reciproca, ma secondo un canone ermeneutico di completamento/inclusione, in quanto la logica di fondo sottesa alla reazione tra le discipline non è quella della separazione, ma quella dell’integrazione dei diversi regimi, pur nelle loro differenze, in vista della tutela preferenziale dell’interesse conoscitivo che rifugge in sé da una segregazione assoluta “per materia” delle singole discipline. &gt;&gt;</w:t>
      </w:r>
      <w:r>
        <w:rPr>
          <w:rFonts w:ascii="Garamond" w:hAnsi="Garamond"/>
          <w:color w:val="000000"/>
          <w:sz w:val="22"/>
          <w:szCs w:val="22"/>
        </w:rPr>
        <w:t>.</w:t>
      </w:r>
    </w:p>
  </w:footnote>
  <w:footnote w:id="5">
    <w:p w14:paraId="2F25F8D1" w14:textId="68769E74" w:rsidR="00D85912" w:rsidRPr="0089042B" w:rsidRDefault="00D85912" w:rsidP="00D85912">
      <w:pPr>
        <w:pStyle w:val="parar1"/>
        <w:spacing w:before="0" w:beforeAutospacing="0" w:after="0" w:afterAutospacing="0"/>
        <w:ind w:left="567" w:right="567"/>
        <w:jc w:val="both"/>
        <w:rPr>
          <w:rFonts w:ascii="Garamond" w:hAnsi="Garamond"/>
          <w:sz w:val="22"/>
          <w:szCs w:val="22"/>
        </w:rPr>
      </w:pPr>
      <w:r w:rsidRPr="00D85912">
        <w:rPr>
          <w:rStyle w:val="Rimandonotaapidipagina"/>
          <w:rFonts w:ascii="Garamond" w:hAnsi="Garamond"/>
          <w:sz w:val="22"/>
          <w:szCs w:val="22"/>
        </w:rPr>
        <w:footnoteRef/>
      </w:r>
      <w:r w:rsidRPr="00D85912">
        <w:rPr>
          <w:rFonts w:ascii="Garamond" w:hAnsi="Garamond"/>
          <w:color w:val="000000"/>
          <w:sz w:val="22"/>
          <w:szCs w:val="22"/>
        </w:rPr>
        <w:t xml:space="preserve"> Art. 5-bis, comma 3, d.lgs. n. 33</w:t>
      </w:r>
      <w:r w:rsidR="003F40E6">
        <w:rPr>
          <w:rFonts w:ascii="Garamond" w:hAnsi="Garamond"/>
          <w:color w:val="000000"/>
          <w:sz w:val="22"/>
          <w:szCs w:val="22"/>
        </w:rPr>
        <w:t xml:space="preserve"> del </w:t>
      </w:r>
      <w:r w:rsidRPr="00D85912">
        <w:rPr>
          <w:rFonts w:ascii="Garamond" w:hAnsi="Garamond"/>
          <w:color w:val="000000"/>
          <w:sz w:val="22"/>
          <w:szCs w:val="22"/>
        </w:rPr>
        <w:t xml:space="preserve">2013: </w:t>
      </w:r>
      <w:r>
        <w:rPr>
          <w:rFonts w:ascii="Garamond" w:hAnsi="Garamond"/>
          <w:color w:val="000000"/>
          <w:sz w:val="22"/>
          <w:szCs w:val="22"/>
        </w:rPr>
        <w:t>“</w:t>
      </w:r>
      <w:r w:rsidRPr="00D85912">
        <w:rPr>
          <w:rFonts w:ascii="Garamond" w:hAnsi="Garamond"/>
          <w:i/>
          <w:color w:val="000000"/>
          <w:sz w:val="22"/>
          <w:szCs w:val="22"/>
        </w:rPr>
        <w:t>Il diritto di cui all'articolo 5, comma 2, è escluso nei casi di segreto di Stato e negli altri casi di divieti di accesso o divulgazione previsti dalla legge, ivi compresi i casi in cui l'accesso è subordinato dalla disciplina vigente al rispetto di specifiche condizioni, modalità o limiti, inclusi quelli di cui all'articolo 24, comma 1, della legge n. 241 del 1990.</w:t>
      </w:r>
      <w:r>
        <w:rPr>
          <w:rFonts w:ascii="Garamond" w:hAnsi="Garamond"/>
          <w:i/>
          <w:color w:val="000000"/>
          <w:sz w:val="22"/>
          <w:szCs w:val="22"/>
        </w:rPr>
        <w:t>”</w:t>
      </w:r>
      <w:r>
        <w:rPr>
          <w:rFonts w:ascii="Garamond" w:hAnsi="Garamond"/>
          <w:iCs/>
          <w:color w:val="000000"/>
          <w:sz w:val="22"/>
          <w:szCs w:val="22"/>
        </w:rPr>
        <w:t>.</w:t>
      </w:r>
    </w:p>
  </w:footnote>
  <w:footnote w:id="6">
    <w:p w14:paraId="2C65FDA9" w14:textId="5433D5C4" w:rsidR="00D85912" w:rsidRPr="0089042B" w:rsidRDefault="00D85912" w:rsidP="00D85912">
      <w:pPr>
        <w:ind w:left="567" w:right="567"/>
        <w:jc w:val="both"/>
        <w:rPr>
          <w:rFonts w:ascii="Garamond" w:hAnsi="Garamond"/>
          <w:sz w:val="22"/>
          <w:szCs w:val="22"/>
        </w:rPr>
      </w:pPr>
      <w:r w:rsidRPr="005A75D0">
        <w:rPr>
          <w:rStyle w:val="Rimandonotaapidipagina"/>
          <w:rFonts w:ascii="Garamond" w:hAnsi="Garamond"/>
          <w:sz w:val="22"/>
          <w:szCs w:val="22"/>
        </w:rPr>
        <w:footnoteRef/>
      </w:r>
      <w:r w:rsidRPr="005A75D0">
        <w:rPr>
          <w:rFonts w:ascii="Garamond" w:hAnsi="Garamond"/>
          <w:sz w:val="22"/>
          <w:szCs w:val="22"/>
        </w:rPr>
        <w:t xml:space="preserve"> </w:t>
      </w:r>
      <w:r>
        <w:rPr>
          <w:rFonts w:ascii="Garamond" w:hAnsi="Garamond"/>
          <w:sz w:val="22"/>
          <w:szCs w:val="22"/>
        </w:rPr>
        <w:t xml:space="preserve">Vedi </w:t>
      </w:r>
      <w:r>
        <w:rPr>
          <w:rFonts w:ascii="Garamond" w:hAnsi="Garamond"/>
          <w:color w:val="000000"/>
          <w:sz w:val="22"/>
          <w:szCs w:val="22"/>
        </w:rPr>
        <w:t xml:space="preserve">Cons. St., A.P. n. 10 del 2020: </w:t>
      </w:r>
      <w:r w:rsidRPr="00D85912">
        <w:rPr>
          <w:rFonts w:ascii="Garamond" w:hAnsi="Garamond"/>
          <w:i/>
          <w:sz w:val="22"/>
          <w:szCs w:val="22"/>
        </w:rPr>
        <w:t xml:space="preserve">&lt;&lt; </w:t>
      </w:r>
      <w:r w:rsidRPr="00D85912">
        <w:rPr>
          <w:rFonts w:ascii="Garamond" w:eastAsia="Times New Roman" w:hAnsi="Garamond" w:cs="Times New Roman"/>
          <w:i/>
          <w:color w:val="000000"/>
          <w:sz w:val="22"/>
          <w:szCs w:val="22"/>
        </w:rPr>
        <w:t>23.8. La disciplina delle eccezioni assolute al diritto di accesso generalizzato è coperta, dunque, da una riserva di legge, desumibile in modo chiaro dall’art. 10 CEDU, quale norma interposta ai sensi dell’art. 117 Cost., e la loro interpretazione non può che essere stretta, tassativizzante. &gt;&gt;</w:t>
      </w:r>
      <w:r w:rsidRPr="00D85912">
        <w:rPr>
          <w:rFonts w:ascii="Garamond" w:eastAsia="Times New Roman" w:hAnsi="Garamond" w:cs="Times New Roman"/>
          <w:color w:val="000000"/>
          <w:sz w:val="22"/>
          <w:szCs w:val="22"/>
        </w:rPr>
        <w:t>.</w:t>
      </w:r>
    </w:p>
  </w:footnote>
  <w:footnote w:id="7">
    <w:p w14:paraId="632C7B14" w14:textId="7F9EA674" w:rsidR="00FD4BA9" w:rsidRPr="0089042B" w:rsidRDefault="00FD4BA9" w:rsidP="00A00806">
      <w:pPr>
        <w:pStyle w:val="Standard"/>
        <w:spacing w:before="20" w:after="20"/>
        <w:ind w:left="567" w:right="567"/>
        <w:jc w:val="both"/>
        <w:rPr>
          <w:rFonts w:ascii="Garamond" w:hAnsi="Garamond"/>
          <w:sz w:val="22"/>
          <w:szCs w:val="22"/>
        </w:rPr>
      </w:pPr>
      <w:r w:rsidRPr="00FD4BA9">
        <w:rPr>
          <w:rStyle w:val="Rimandonotaapidipagina"/>
          <w:rFonts w:ascii="Garamond" w:hAnsi="Garamond"/>
          <w:sz w:val="22"/>
          <w:szCs w:val="22"/>
          <w:lang w:val="it-IT"/>
        </w:rPr>
        <w:footnoteRef/>
      </w:r>
      <w:r w:rsidRPr="00FD4BA9">
        <w:rPr>
          <w:rFonts w:ascii="Garamond" w:hAnsi="Garamond"/>
          <w:iCs/>
          <w:color w:val="000000"/>
          <w:sz w:val="22"/>
          <w:szCs w:val="22"/>
          <w:lang w:val="it-IT"/>
        </w:rPr>
        <w:t xml:space="preserve"> </w:t>
      </w:r>
      <w:r w:rsidRPr="00FD4BA9">
        <w:rPr>
          <w:rFonts w:ascii="Garamond" w:hAnsi="Garamond"/>
          <w:sz w:val="22"/>
          <w:szCs w:val="22"/>
          <w:lang w:val="it-IT"/>
        </w:rPr>
        <w:t>In tal senso</w:t>
      </w:r>
      <w:r>
        <w:rPr>
          <w:rFonts w:ascii="Garamond" w:hAnsi="Garamond"/>
          <w:sz w:val="22"/>
          <w:szCs w:val="22"/>
          <w:lang w:val="it-IT"/>
        </w:rPr>
        <w:t xml:space="preserve">, già prima di </w:t>
      </w:r>
      <w:r w:rsidRPr="00FD4BA9">
        <w:rPr>
          <w:rFonts w:ascii="Garamond" w:hAnsi="Garamond"/>
          <w:color w:val="000000"/>
          <w:sz w:val="22"/>
          <w:szCs w:val="22"/>
          <w:lang w:val="it-IT"/>
        </w:rPr>
        <w:t>Cons. St., A.P. n. 10 del 2020</w:t>
      </w:r>
      <w:r>
        <w:rPr>
          <w:rFonts w:ascii="Garamond" w:hAnsi="Garamond"/>
          <w:color w:val="000000"/>
          <w:sz w:val="22"/>
          <w:szCs w:val="22"/>
          <w:lang w:val="it-IT"/>
        </w:rPr>
        <w:t xml:space="preserve">, </w:t>
      </w:r>
      <w:r w:rsidR="009E6F93">
        <w:rPr>
          <w:rFonts w:ascii="Garamond" w:hAnsi="Garamond"/>
          <w:color w:val="000000"/>
          <w:sz w:val="22"/>
          <w:szCs w:val="22"/>
          <w:lang w:val="it-IT"/>
        </w:rPr>
        <w:t xml:space="preserve">vedasi sez. III, 6 marzo 2019, n. </w:t>
      </w:r>
      <w:r w:rsidRPr="00FD4BA9">
        <w:rPr>
          <w:rFonts w:ascii="Garamond" w:hAnsi="Garamond"/>
          <w:sz w:val="22"/>
          <w:szCs w:val="22"/>
          <w:lang w:val="it-IT"/>
        </w:rPr>
        <w:t>1546</w:t>
      </w:r>
      <w:r w:rsidR="009E6F93">
        <w:rPr>
          <w:rFonts w:ascii="Garamond" w:hAnsi="Garamond"/>
          <w:sz w:val="22"/>
          <w:szCs w:val="22"/>
          <w:lang w:val="it-IT"/>
        </w:rPr>
        <w:t>; sez. III 5 giugno 2019, n. 3780 e Tar Napoli, sez. VI, 9 maggio 2019, n. 2486. Significativ</w:t>
      </w:r>
      <w:r w:rsidR="00A00806">
        <w:rPr>
          <w:rFonts w:ascii="Garamond" w:hAnsi="Garamond"/>
          <w:sz w:val="22"/>
          <w:szCs w:val="22"/>
          <w:lang w:val="it-IT"/>
        </w:rPr>
        <w:t>a, al riguardo, anche</w:t>
      </w:r>
      <w:r w:rsidR="009E6F93">
        <w:rPr>
          <w:rFonts w:ascii="Garamond" w:hAnsi="Garamond"/>
          <w:sz w:val="22"/>
          <w:szCs w:val="22"/>
          <w:lang w:val="it-IT"/>
        </w:rPr>
        <w:t xml:space="preserve"> </w:t>
      </w:r>
      <w:r w:rsidR="00A00806">
        <w:rPr>
          <w:rFonts w:ascii="Garamond" w:hAnsi="Garamond"/>
          <w:sz w:val="22"/>
          <w:szCs w:val="22"/>
          <w:lang w:val="it-IT"/>
        </w:rPr>
        <w:t>la motivazione de</w:t>
      </w:r>
      <w:r w:rsidR="009E6F93">
        <w:rPr>
          <w:rFonts w:ascii="Garamond" w:hAnsi="Garamond"/>
          <w:sz w:val="22"/>
          <w:szCs w:val="22"/>
          <w:lang w:val="it-IT"/>
        </w:rPr>
        <w:t xml:space="preserve">l decreto </w:t>
      </w:r>
      <w:r w:rsidR="00A00806">
        <w:rPr>
          <w:rFonts w:ascii="Garamond" w:hAnsi="Garamond"/>
          <w:sz w:val="22"/>
          <w:szCs w:val="22"/>
          <w:lang w:val="it-IT"/>
        </w:rPr>
        <w:t>n. 4574 del 31 luglio 2020 con cui il Presidente della III Sezione ha sospes</w:t>
      </w:r>
      <w:r w:rsidR="00A00806" w:rsidRPr="00A00806">
        <w:rPr>
          <w:rFonts w:ascii="Garamond" w:hAnsi="Garamond"/>
          <w:sz w:val="22"/>
          <w:szCs w:val="22"/>
          <w:lang w:val="it-IT"/>
        </w:rPr>
        <w:t xml:space="preserve">o l'esecutorietà della sentenza del </w:t>
      </w:r>
      <w:r w:rsidR="00A00806">
        <w:rPr>
          <w:rFonts w:ascii="Garamond" w:hAnsi="Garamond"/>
          <w:sz w:val="22"/>
          <w:szCs w:val="22"/>
          <w:lang w:val="it-IT"/>
        </w:rPr>
        <w:t xml:space="preserve">Tar Roma, sez. I-quater, 22 luglio 2020, n. 8615 </w:t>
      </w:r>
      <w:r w:rsidR="00A00806" w:rsidRPr="00A00806">
        <w:rPr>
          <w:rFonts w:ascii="Garamond" w:hAnsi="Garamond"/>
          <w:sz w:val="22"/>
          <w:szCs w:val="22"/>
          <w:lang w:val="it-IT"/>
        </w:rPr>
        <w:t>che aveva annullato il diniego opposto dal Dipartimento della Protezione civile ad un’istanza di accesso civico generalizzato ai verbali del Comitato tecnico scientifico prodromici all’emanazione dei D.P.C.M. contenenti le misure di contrasto alla diffusione del virus Covid-19</w:t>
      </w:r>
      <w:r w:rsidR="00A00806">
        <w:rPr>
          <w:rFonts w:ascii="Garamond" w:hAnsi="Garamond"/>
          <w:sz w:val="22"/>
          <w:szCs w:val="22"/>
          <w:lang w:val="it-IT"/>
        </w:rPr>
        <w:t>.</w:t>
      </w:r>
    </w:p>
  </w:footnote>
  <w:footnote w:id="8">
    <w:p w14:paraId="7FF70125" w14:textId="77777777" w:rsidR="00F40766" w:rsidRPr="001B511C" w:rsidRDefault="00F40766" w:rsidP="00F40766">
      <w:pPr>
        <w:pStyle w:val="Standard"/>
        <w:spacing w:before="20" w:after="20"/>
        <w:ind w:left="567" w:right="567"/>
        <w:jc w:val="both"/>
        <w:rPr>
          <w:rFonts w:ascii="Garamond" w:hAnsi="Garamond"/>
          <w:i/>
          <w:sz w:val="22"/>
          <w:szCs w:val="22"/>
        </w:rPr>
      </w:pPr>
      <w:r w:rsidRPr="00261DF3">
        <w:rPr>
          <w:rStyle w:val="Rimandonotaapidipagina"/>
          <w:rFonts w:ascii="Garamond" w:hAnsi="Garamond"/>
          <w:sz w:val="22"/>
          <w:szCs w:val="22"/>
          <w:lang w:val="it-IT"/>
        </w:rPr>
        <w:footnoteRef/>
      </w:r>
      <w:r w:rsidRPr="00261DF3">
        <w:rPr>
          <w:rFonts w:ascii="Garamond" w:hAnsi="Garamond"/>
          <w:iCs/>
          <w:color w:val="000000"/>
          <w:sz w:val="22"/>
          <w:szCs w:val="22"/>
          <w:lang w:val="it-IT"/>
        </w:rPr>
        <w:t xml:space="preserve"> Vedi Cons. St. a.p. n. 10 del 2020: </w:t>
      </w:r>
      <w:r w:rsidRPr="00261DF3">
        <w:rPr>
          <w:rFonts w:ascii="Garamond" w:hAnsi="Garamond"/>
          <w:i/>
          <w:sz w:val="22"/>
          <w:szCs w:val="22"/>
          <w:lang w:val="it-IT"/>
        </w:rPr>
        <w:t xml:space="preserve">&lt;&lt; </w:t>
      </w:r>
      <w:r w:rsidRPr="00261DF3">
        <w:rPr>
          <w:rFonts w:ascii="Garamond" w:eastAsia="Times New Roman" w:hAnsi="Garamond" w:cs="Times New Roman"/>
          <w:i/>
          <w:color w:val="000000"/>
          <w:sz w:val="22"/>
          <w:szCs w:val="22"/>
          <w:lang w:val="it-IT" w:eastAsia="it-IT"/>
        </w:rPr>
        <w:t>24.3. Le eccezioni assolute sono state previste dal legislatore per garantire un livello di protezione massima a determinati interessi, ritenuti di particolare rilevanza per l’ordinamento giuridico, come è in modo emblematico per il segreto di Stato, sicché il legislatore ha operato già a monte una valutazione assiologica e li ha ritenuti superiori rispetto alla conoscibilità diffusa di dati e documenti amministrativi. 24.4. In questo caso la pubblica amministrazione esercita un potere vincolato, che deve essere necessariamente preceduto da un’attenta e motivata valutazione in ordine alla ricorrenza, rispetto alla singola istanza, di una eccezione assoluta e alla sussunzione del caso nell’ambito dell’eccezione assoluta, che è di stretta interpretazione. &gt;&gt;</w:t>
      </w:r>
      <w:r w:rsidRPr="00261DF3">
        <w:rPr>
          <w:rFonts w:ascii="Garamond" w:eastAsia="Times New Roman" w:hAnsi="Garamond" w:cs="Times New Roman"/>
          <w:color w:val="000000"/>
          <w:sz w:val="22"/>
          <w:szCs w:val="22"/>
          <w:lang w:val="it-IT" w:eastAsia="it-IT"/>
        </w:rPr>
        <w:t>.</w:t>
      </w:r>
    </w:p>
  </w:footnote>
  <w:footnote w:id="9">
    <w:p w14:paraId="4AFAC147" w14:textId="727A4860" w:rsidR="00846D5C" w:rsidRPr="001B511C" w:rsidRDefault="00846D5C" w:rsidP="00846D5C">
      <w:pPr>
        <w:pStyle w:val="Standard"/>
        <w:spacing w:before="20" w:after="20"/>
        <w:ind w:left="567" w:right="567"/>
        <w:jc w:val="both"/>
        <w:rPr>
          <w:rFonts w:ascii="Garamond" w:hAnsi="Garamond"/>
          <w:i/>
          <w:sz w:val="22"/>
          <w:szCs w:val="22"/>
        </w:rPr>
      </w:pPr>
      <w:r w:rsidRPr="00261DF3">
        <w:rPr>
          <w:rStyle w:val="Rimandonotaapidipagina"/>
          <w:rFonts w:ascii="Garamond" w:hAnsi="Garamond"/>
          <w:sz w:val="22"/>
          <w:szCs w:val="22"/>
          <w:lang w:val="it-IT"/>
        </w:rPr>
        <w:footnoteRef/>
      </w:r>
      <w:r>
        <w:rPr>
          <w:rFonts w:ascii="Garamond" w:eastAsia="Times New Roman" w:hAnsi="Garamond" w:cs="Times New Roman"/>
          <w:color w:val="000000"/>
          <w:sz w:val="22"/>
          <w:szCs w:val="22"/>
          <w:lang w:val="it-IT" w:eastAsia="it-IT"/>
        </w:rPr>
        <w:t xml:space="preserve"> </w:t>
      </w:r>
      <w:r w:rsidR="00C8026A">
        <w:rPr>
          <w:rFonts w:ascii="Garamond" w:eastAsia="Times New Roman" w:hAnsi="Garamond" w:cs="Times New Roman"/>
          <w:color w:val="000000"/>
          <w:sz w:val="22"/>
          <w:szCs w:val="22"/>
          <w:lang w:val="it-IT" w:eastAsia="it-IT"/>
        </w:rPr>
        <w:t>La Sezione consultiva del</w:t>
      </w:r>
      <w:r>
        <w:rPr>
          <w:rFonts w:ascii="Garamond" w:eastAsia="Times New Roman" w:hAnsi="Garamond" w:cs="Times New Roman"/>
          <w:color w:val="000000"/>
          <w:sz w:val="22"/>
          <w:szCs w:val="22"/>
          <w:lang w:val="it-IT" w:eastAsia="it-IT"/>
        </w:rPr>
        <w:t xml:space="preserve"> Consiglio di Stato</w:t>
      </w:r>
      <w:r w:rsidR="00E45448">
        <w:rPr>
          <w:rFonts w:ascii="Garamond" w:eastAsia="Times New Roman" w:hAnsi="Garamond" w:cs="Times New Roman"/>
          <w:color w:val="000000"/>
          <w:sz w:val="22"/>
          <w:szCs w:val="22"/>
          <w:lang w:val="it-IT" w:eastAsia="it-IT"/>
        </w:rPr>
        <w:t>, con il parere reso sullo schema di decreto legislativo (n. 515/2016 del 24 febbraio 2016)</w:t>
      </w:r>
      <w:r w:rsidR="00C8026A">
        <w:rPr>
          <w:rFonts w:ascii="Garamond" w:eastAsia="Times New Roman" w:hAnsi="Garamond" w:cs="Times New Roman"/>
          <w:color w:val="000000"/>
          <w:sz w:val="22"/>
          <w:szCs w:val="22"/>
          <w:lang w:val="it-IT" w:eastAsia="it-IT"/>
        </w:rPr>
        <w:t>,</w:t>
      </w:r>
      <w:r w:rsidR="00E45448">
        <w:rPr>
          <w:rFonts w:ascii="Garamond" w:eastAsia="Times New Roman" w:hAnsi="Garamond" w:cs="Times New Roman"/>
          <w:color w:val="000000"/>
          <w:sz w:val="22"/>
          <w:szCs w:val="22"/>
          <w:lang w:val="it-IT" w:eastAsia="it-IT"/>
        </w:rPr>
        <w:t xml:space="preserve"> </w:t>
      </w:r>
      <w:r w:rsidR="00C8026A">
        <w:rPr>
          <w:rFonts w:ascii="Garamond" w:eastAsia="Times New Roman" w:hAnsi="Garamond" w:cs="Times New Roman"/>
          <w:color w:val="000000"/>
          <w:sz w:val="22"/>
          <w:szCs w:val="22"/>
          <w:lang w:val="it-IT" w:eastAsia="it-IT"/>
        </w:rPr>
        <w:t xml:space="preserve">valutava </w:t>
      </w:r>
      <w:r w:rsidR="00E45448">
        <w:rPr>
          <w:rFonts w:ascii="Garamond" w:eastAsia="Times New Roman" w:hAnsi="Garamond" w:cs="Times New Roman"/>
          <w:color w:val="000000"/>
          <w:sz w:val="22"/>
          <w:szCs w:val="22"/>
          <w:lang w:val="it-IT" w:eastAsia="it-IT"/>
        </w:rPr>
        <w:t xml:space="preserve">come </w:t>
      </w:r>
      <w:r w:rsidR="00E45448">
        <w:rPr>
          <w:rFonts w:ascii="Garamond" w:eastAsia="Times New Roman" w:hAnsi="Garamond" w:cs="Times New Roman"/>
          <w:i/>
          <w:iCs/>
          <w:color w:val="000000"/>
          <w:sz w:val="22"/>
          <w:szCs w:val="22"/>
          <w:lang w:val="it-IT" w:eastAsia="it-IT"/>
        </w:rPr>
        <w:t>&lt;&lt; Particolarmente opportuno</w:t>
      </w:r>
      <w:r w:rsidR="00C8026A">
        <w:rPr>
          <w:rFonts w:ascii="Garamond" w:eastAsia="Times New Roman" w:hAnsi="Garamond" w:cs="Times New Roman"/>
          <w:i/>
          <w:iCs/>
          <w:color w:val="000000"/>
          <w:sz w:val="22"/>
          <w:szCs w:val="22"/>
          <w:lang w:val="it-IT" w:eastAsia="it-IT"/>
        </w:rPr>
        <w:t xml:space="preserve">, anche ai fini di </w:t>
      </w:r>
      <w:proofErr w:type="gramStart"/>
      <w:r w:rsidR="00C8026A">
        <w:rPr>
          <w:rFonts w:ascii="Garamond" w:eastAsia="Times New Roman" w:hAnsi="Garamond" w:cs="Times New Roman"/>
          <w:i/>
          <w:iCs/>
          <w:color w:val="000000"/>
          <w:sz w:val="22"/>
          <w:szCs w:val="22"/>
          <w:lang w:val="it-IT" w:eastAsia="it-IT"/>
        </w:rPr>
        <w:t>coordinamento, ..</w:t>
      </w:r>
      <w:proofErr w:type="gramEnd"/>
      <w:r w:rsidR="00C8026A">
        <w:rPr>
          <w:rFonts w:ascii="Garamond" w:eastAsia="Times New Roman" w:hAnsi="Garamond" w:cs="Times New Roman"/>
          <w:i/>
          <w:iCs/>
          <w:color w:val="000000"/>
          <w:sz w:val="22"/>
          <w:szCs w:val="22"/>
          <w:lang w:val="it-IT" w:eastAsia="it-IT"/>
        </w:rPr>
        <w:t xml:space="preserve"> il rinvio che il comma 3 effettua nei confronti del regime di esclusioni sancito dall’articolo 24, comma 1, della legge n. 241 del 1990. &gt;&gt;</w:t>
      </w:r>
      <w:r w:rsidR="00C8026A">
        <w:rPr>
          <w:rFonts w:ascii="Garamond" w:eastAsia="Times New Roman" w:hAnsi="Garamond" w:cs="Times New Roman"/>
          <w:color w:val="000000"/>
          <w:sz w:val="22"/>
          <w:szCs w:val="22"/>
          <w:lang w:val="it-IT" w:eastAsia="it-IT"/>
        </w:rPr>
        <w:t xml:space="preserve">. </w:t>
      </w:r>
      <w:r w:rsidRPr="00846D5C">
        <w:rPr>
          <w:rFonts w:ascii="Garamond" w:hAnsi="Garamond" w:cs="Segoe UI"/>
          <w:color w:val="000000"/>
          <w:sz w:val="22"/>
          <w:szCs w:val="22"/>
          <w:lang w:val="it-IT"/>
        </w:rPr>
        <w:t>Critico</w:t>
      </w:r>
      <w:r w:rsidR="00C8026A">
        <w:rPr>
          <w:rFonts w:ascii="Garamond" w:hAnsi="Garamond" w:cs="Segoe UI"/>
          <w:color w:val="000000"/>
          <w:sz w:val="22"/>
          <w:szCs w:val="22"/>
          <w:lang w:val="it-IT"/>
        </w:rPr>
        <w:t>, invece,</w:t>
      </w:r>
      <w:r w:rsidRPr="00846D5C">
        <w:rPr>
          <w:rFonts w:ascii="Garamond" w:hAnsi="Garamond" w:cs="Segoe UI"/>
          <w:color w:val="000000"/>
          <w:sz w:val="22"/>
          <w:szCs w:val="22"/>
          <w:lang w:val="it-IT"/>
        </w:rPr>
        <w:t xml:space="preserve"> </w:t>
      </w:r>
      <w:r w:rsidR="00C8026A">
        <w:rPr>
          <w:rFonts w:ascii="Garamond" w:hAnsi="Garamond" w:cs="Segoe UI"/>
          <w:color w:val="000000"/>
          <w:sz w:val="22"/>
          <w:szCs w:val="22"/>
          <w:lang w:val="it-IT"/>
        </w:rPr>
        <w:t xml:space="preserve">sin dall’inizio </w:t>
      </w:r>
      <w:r w:rsidRPr="00846D5C">
        <w:rPr>
          <w:rFonts w:ascii="Garamond" w:hAnsi="Garamond" w:cs="Segoe UI"/>
          <w:color w:val="000000"/>
          <w:sz w:val="22"/>
          <w:szCs w:val="22"/>
          <w:lang w:val="it-IT"/>
        </w:rPr>
        <w:t>nei confronti di tale tecnica norm</w:t>
      </w:r>
      <w:r w:rsidRPr="00C8026A">
        <w:rPr>
          <w:rFonts w:ascii="Garamond" w:hAnsi="Garamond" w:cs="Segoe UI"/>
          <w:color w:val="000000"/>
          <w:sz w:val="22"/>
          <w:szCs w:val="22"/>
          <w:lang w:val="it-IT"/>
        </w:rPr>
        <w:t xml:space="preserve">ativa Carloni E., </w:t>
      </w:r>
      <w:r w:rsidR="00C8026A" w:rsidRPr="00C8026A">
        <w:rPr>
          <w:rFonts w:ascii="Garamond" w:hAnsi="Garamond"/>
          <w:i/>
          <w:iCs/>
          <w:sz w:val="22"/>
          <w:szCs w:val="22"/>
          <w:lang w:val="it-IT"/>
        </w:rPr>
        <w:t>Il nuovo diritto di accesso generalizzato e la persistente centralità degli obblighi di pubblicazione</w:t>
      </w:r>
      <w:r w:rsidR="00C8026A" w:rsidRPr="00C8026A">
        <w:rPr>
          <w:rFonts w:ascii="Garamond" w:hAnsi="Garamond"/>
          <w:sz w:val="22"/>
          <w:szCs w:val="22"/>
          <w:lang w:val="it-IT"/>
        </w:rPr>
        <w:t>, Diritto Amministrativo, 4, 2016 (579 ss.)</w:t>
      </w:r>
      <w:r w:rsidR="00C8026A">
        <w:rPr>
          <w:rFonts w:ascii="Garamond" w:hAnsi="Garamond"/>
          <w:sz w:val="22"/>
          <w:szCs w:val="22"/>
          <w:lang w:val="it-IT"/>
        </w:rPr>
        <w:t xml:space="preserve"> </w:t>
      </w:r>
      <w:r w:rsidRPr="00C8026A">
        <w:rPr>
          <w:rFonts w:ascii="Garamond" w:hAnsi="Garamond" w:cs="Segoe UI"/>
          <w:color w:val="000000"/>
          <w:sz w:val="22"/>
          <w:szCs w:val="22"/>
          <w:lang w:val="it-IT"/>
        </w:rPr>
        <w:t xml:space="preserve">secondo il quale </w:t>
      </w:r>
      <w:r w:rsidRPr="00C8026A">
        <w:rPr>
          <w:rFonts w:ascii="Garamond" w:hAnsi="Garamond" w:cs="Segoe UI"/>
          <w:i/>
          <w:color w:val="000000"/>
          <w:sz w:val="22"/>
          <w:szCs w:val="22"/>
          <w:lang w:val="it-IT"/>
        </w:rPr>
        <w:t>&lt;&lt; Questa previsione è quella forse più problematica dell’intero istituto, che peggio si integra nel n</w:t>
      </w:r>
      <w:r w:rsidRPr="00846D5C">
        <w:rPr>
          <w:rFonts w:ascii="Garamond" w:hAnsi="Garamond" w:cs="Segoe UI"/>
          <w:i/>
          <w:color w:val="000000"/>
          <w:sz w:val="22"/>
          <w:szCs w:val="22"/>
          <w:lang w:val="it-IT"/>
        </w:rPr>
        <w:t>uovo sistema: sia per la sua potenziale ampiezza-indeterminatezza (frutto anche di un sistema di limiti che si apre ad altri che rinviano ad ulteriori, in un circuito vizioso di rinvii “circolari”, che se non interrotto rischia di trasformare il comma 3 in una sorta di “buco nero” della trasparenza), sia per il fatto che qui l’accesso è non solo “limitato” ma “escluso” senza che operino meccanismi di bilanciamento. &gt;&gt;</w:t>
      </w:r>
      <w:r w:rsidRPr="00846D5C">
        <w:rPr>
          <w:rFonts w:ascii="Garamond" w:hAnsi="Garamond" w:cs="Segoe UI"/>
          <w:color w:val="000000"/>
          <w:sz w:val="22"/>
          <w:szCs w:val="22"/>
          <w:lang w:val="it-IT"/>
        </w:rPr>
        <w:t xml:space="preserve">. </w:t>
      </w:r>
    </w:p>
  </w:footnote>
  <w:footnote w:id="10">
    <w:p w14:paraId="1F5CAA85" w14:textId="3B45D54A" w:rsidR="00CD2712" w:rsidRPr="0089042B" w:rsidRDefault="00CD2712" w:rsidP="003771F5">
      <w:pPr>
        <w:ind w:left="567" w:right="567"/>
        <w:jc w:val="both"/>
        <w:rPr>
          <w:rFonts w:ascii="Garamond" w:hAnsi="Garamond"/>
          <w:sz w:val="22"/>
          <w:szCs w:val="22"/>
        </w:rPr>
      </w:pPr>
      <w:r w:rsidRPr="00CD2712">
        <w:rPr>
          <w:rStyle w:val="Rimandonotaapidipagina"/>
          <w:rFonts w:ascii="Garamond" w:hAnsi="Garamond"/>
          <w:sz w:val="22"/>
          <w:szCs w:val="22"/>
        </w:rPr>
        <w:footnoteRef/>
      </w:r>
      <w:r w:rsidRPr="00CD2712">
        <w:rPr>
          <w:rFonts w:ascii="Garamond" w:eastAsia="Times New Roman" w:hAnsi="Garamond" w:cs="Times New Roman"/>
          <w:color w:val="000000"/>
          <w:sz w:val="22"/>
          <w:szCs w:val="22"/>
        </w:rPr>
        <w:t xml:space="preserve"> </w:t>
      </w:r>
      <w:r w:rsidRPr="00CD2712">
        <w:rPr>
          <w:rFonts w:ascii="Garamond" w:hAnsi="Garamond" w:cstheme="minorHAnsi"/>
          <w:sz w:val="22"/>
          <w:szCs w:val="22"/>
        </w:rPr>
        <w:t>Al riguard</w:t>
      </w:r>
      <w:r w:rsidR="00281D54">
        <w:rPr>
          <w:rFonts w:ascii="Garamond" w:hAnsi="Garamond" w:cstheme="minorHAnsi"/>
          <w:sz w:val="22"/>
          <w:szCs w:val="22"/>
        </w:rPr>
        <w:t>o</w:t>
      </w:r>
      <w:r w:rsidRPr="00CD2712">
        <w:rPr>
          <w:rFonts w:ascii="Garamond" w:hAnsi="Garamond" w:cstheme="minorHAnsi"/>
          <w:sz w:val="22"/>
          <w:szCs w:val="22"/>
        </w:rPr>
        <w:t xml:space="preserve"> Anac, con le</w:t>
      </w:r>
      <w:r w:rsidR="003771F5">
        <w:rPr>
          <w:rFonts w:ascii="Garamond" w:hAnsi="Garamond" w:cstheme="minorHAnsi"/>
          <w:sz w:val="22"/>
          <w:szCs w:val="22"/>
        </w:rPr>
        <w:t xml:space="preserve"> </w:t>
      </w:r>
      <w:r w:rsidRPr="00CD2712">
        <w:rPr>
          <w:rFonts w:ascii="Garamond" w:hAnsi="Garamond" w:cs="Times New Roman"/>
          <w:i/>
          <w:color w:val="000000" w:themeColor="text1"/>
          <w:sz w:val="22"/>
          <w:szCs w:val="22"/>
        </w:rPr>
        <w:t xml:space="preserve">“Linee guida recanti indicazioni operative ai fini della definizione delle esclusioni e dei limiti all’accesso civico di cui all’art. 5 co. 2 del D.Lgs. 33/2013” </w:t>
      </w:r>
      <w:r w:rsidRPr="00CD2712">
        <w:rPr>
          <w:rFonts w:ascii="Garamond" w:hAnsi="Garamond" w:cs="Times New Roman"/>
          <w:color w:val="000000" w:themeColor="text1"/>
          <w:sz w:val="22"/>
          <w:szCs w:val="22"/>
        </w:rPr>
        <w:t>adottate con delibera n. 1309 del 28 dicembre 2016</w:t>
      </w:r>
      <w:r w:rsidR="003771F5">
        <w:rPr>
          <w:rFonts w:ascii="Garamond" w:hAnsi="Garamond" w:cs="Times New Roman"/>
          <w:color w:val="000000" w:themeColor="text1"/>
          <w:sz w:val="22"/>
          <w:szCs w:val="22"/>
        </w:rPr>
        <w:t xml:space="preserve"> (</w:t>
      </w:r>
      <w:r w:rsidR="00FC2477">
        <w:rPr>
          <w:rFonts w:ascii="Garamond" w:hAnsi="Garamond" w:cs="Times New Roman"/>
          <w:color w:val="000000" w:themeColor="text1"/>
          <w:sz w:val="22"/>
          <w:szCs w:val="22"/>
        </w:rPr>
        <w:t xml:space="preserve">delibera </w:t>
      </w:r>
      <w:r w:rsidR="003771F5">
        <w:rPr>
          <w:rFonts w:ascii="Garamond" w:hAnsi="Garamond" w:cs="Times New Roman"/>
          <w:color w:val="000000" w:themeColor="text1"/>
          <w:sz w:val="22"/>
          <w:szCs w:val="22"/>
        </w:rPr>
        <w:t xml:space="preserve">Anac </w:t>
      </w:r>
      <w:r w:rsidR="00FC2477">
        <w:rPr>
          <w:rFonts w:ascii="Garamond" w:hAnsi="Garamond" w:cs="Times New Roman"/>
          <w:color w:val="000000" w:themeColor="text1"/>
          <w:sz w:val="22"/>
          <w:szCs w:val="22"/>
        </w:rPr>
        <w:t xml:space="preserve">n. 1309 del </w:t>
      </w:r>
      <w:r w:rsidR="003771F5">
        <w:rPr>
          <w:rFonts w:ascii="Garamond" w:hAnsi="Garamond" w:cs="Times New Roman"/>
          <w:color w:val="000000" w:themeColor="text1"/>
          <w:sz w:val="22"/>
          <w:szCs w:val="22"/>
        </w:rPr>
        <w:t xml:space="preserve">2016), </w:t>
      </w:r>
      <w:r w:rsidRPr="00CD2712">
        <w:rPr>
          <w:rFonts w:ascii="Garamond" w:hAnsi="Garamond" w:cstheme="minorHAnsi"/>
          <w:sz w:val="22"/>
          <w:szCs w:val="22"/>
        </w:rPr>
        <w:t xml:space="preserve">rileva quanto segue: </w:t>
      </w:r>
      <w:r w:rsidRPr="00CD2712">
        <w:rPr>
          <w:rFonts w:ascii="Garamond" w:hAnsi="Garamond" w:cstheme="minorHAnsi"/>
          <w:i/>
          <w:sz w:val="22"/>
          <w:szCs w:val="22"/>
        </w:rPr>
        <w:t xml:space="preserve">&lt;&lt; Con riferimento a quest’ultima indicazione normativa, va registrato che essa delinea una parziale sovrapposizione delle eccezioni assolute dell’accesso generalizzato con quelle previste nella l. 241/1990. Stanti, tuttavia, le diverse finalità dei due istituti, l’individuazione di queste esclusioni, come si avrà modo di chiarire in seguito, si rivela di particolare delicatezza. In generale, il rinvio della disciplina dell’accesso generalizzato a quella delle esclusioni della legge 241/1990 non può che essere letto alla luce delle finalità di ampia </w:t>
      </w:r>
      <w:r w:rsidRPr="00CD2712">
        <w:rPr>
          <w:rFonts w:ascii="Garamond" w:hAnsi="Garamond" w:cstheme="minorHAnsi"/>
          <w:i/>
          <w:iCs/>
          <w:sz w:val="22"/>
          <w:szCs w:val="22"/>
        </w:rPr>
        <w:t xml:space="preserve">disclosure </w:t>
      </w:r>
      <w:r w:rsidRPr="00CD2712">
        <w:rPr>
          <w:rFonts w:ascii="Garamond" w:hAnsi="Garamond" w:cstheme="minorHAnsi"/>
          <w:i/>
          <w:sz w:val="22"/>
          <w:szCs w:val="22"/>
        </w:rPr>
        <w:t>sottesa alla nuova normativa e richiamate nella prima parte di queste linee guida. &gt;&gt;</w:t>
      </w:r>
      <w:r w:rsidRPr="00CD2712">
        <w:rPr>
          <w:rFonts w:ascii="Garamond" w:hAnsi="Garamond" w:cstheme="minorHAnsi"/>
          <w:sz w:val="22"/>
          <w:szCs w:val="22"/>
        </w:rPr>
        <w:t>.</w:t>
      </w:r>
    </w:p>
  </w:footnote>
  <w:footnote w:id="11">
    <w:p w14:paraId="08672717" w14:textId="762F954E" w:rsidR="00AC27EC" w:rsidRPr="0089042B" w:rsidRDefault="00AC27EC" w:rsidP="00AC27EC">
      <w:pPr>
        <w:pStyle w:val="Standard"/>
        <w:ind w:left="567" w:right="567"/>
        <w:jc w:val="both"/>
        <w:rPr>
          <w:rFonts w:ascii="Garamond" w:hAnsi="Garamond"/>
          <w:sz w:val="22"/>
          <w:szCs w:val="22"/>
        </w:rPr>
      </w:pPr>
      <w:r w:rsidRPr="00FC2477">
        <w:rPr>
          <w:rStyle w:val="Rimandonotaapidipagina"/>
          <w:rFonts w:ascii="Garamond" w:hAnsi="Garamond"/>
          <w:sz w:val="22"/>
          <w:szCs w:val="22"/>
          <w:lang w:val="it-IT"/>
        </w:rPr>
        <w:footnoteRef/>
      </w:r>
      <w:r w:rsidRPr="00FC2477">
        <w:rPr>
          <w:rFonts w:ascii="Garamond" w:eastAsia="Times New Roman" w:hAnsi="Garamond" w:cs="Times New Roman"/>
          <w:color w:val="000000"/>
          <w:sz w:val="22"/>
          <w:szCs w:val="22"/>
          <w:lang w:val="it-IT" w:eastAsia="it-IT"/>
        </w:rPr>
        <w:t xml:space="preserve"> </w:t>
      </w:r>
      <w:r w:rsidRPr="00FC2477">
        <w:rPr>
          <w:rFonts w:ascii="Garamond" w:eastAsia="Times New Roman" w:hAnsi="Garamond" w:cs="Times New Roman"/>
          <w:color w:val="000000"/>
          <w:sz w:val="22"/>
          <w:szCs w:val="22"/>
          <w:lang w:val="it-IT"/>
        </w:rPr>
        <w:t xml:space="preserve">Vedasi </w:t>
      </w:r>
      <w:r w:rsidR="00FC2477">
        <w:rPr>
          <w:rFonts w:ascii="Garamond" w:eastAsia="Times New Roman" w:hAnsi="Garamond" w:cs="Times New Roman"/>
          <w:color w:val="000000"/>
          <w:sz w:val="22"/>
          <w:szCs w:val="22"/>
          <w:lang w:val="it-IT"/>
        </w:rPr>
        <w:t xml:space="preserve">delibera </w:t>
      </w:r>
      <w:r w:rsidRPr="00FC2477">
        <w:rPr>
          <w:rFonts w:ascii="Garamond" w:hAnsi="Garamond" w:cstheme="minorHAnsi"/>
          <w:sz w:val="22"/>
          <w:szCs w:val="22"/>
          <w:lang w:val="it-IT"/>
        </w:rPr>
        <w:t xml:space="preserve">Anac </w:t>
      </w:r>
      <w:r w:rsidR="00FC2477">
        <w:rPr>
          <w:rFonts w:ascii="Garamond" w:hAnsi="Garamond" w:cstheme="minorHAnsi"/>
          <w:sz w:val="22"/>
          <w:szCs w:val="22"/>
          <w:lang w:val="it-IT"/>
        </w:rPr>
        <w:t xml:space="preserve">n. 1309 del </w:t>
      </w:r>
      <w:r w:rsidRPr="00FC2477">
        <w:rPr>
          <w:rFonts w:ascii="Garamond" w:hAnsi="Garamond" w:cstheme="minorHAnsi"/>
          <w:sz w:val="22"/>
          <w:szCs w:val="22"/>
          <w:lang w:val="it-IT"/>
        </w:rPr>
        <w:t xml:space="preserve">2016: </w:t>
      </w:r>
      <w:r w:rsidRPr="00FC2477">
        <w:rPr>
          <w:rFonts w:ascii="Garamond" w:hAnsi="Garamond" w:cstheme="minorHAnsi"/>
          <w:i/>
          <w:sz w:val="22"/>
          <w:szCs w:val="22"/>
          <w:lang w:val="it-IT"/>
        </w:rPr>
        <w:t xml:space="preserve">&lt;&lt; Analogamente ai procedimenti tributari, per quanto concerne l’attività della pubblica amministrazione diretta all’emanazione di atti normativi, amministrativi generali, di pianificazione e di programmazione per i quali il legislatore tiene ferme le </w:t>
      </w:r>
      <w:r w:rsidRPr="00AC27EC">
        <w:rPr>
          <w:rFonts w:ascii="Garamond" w:hAnsi="Garamond" w:cstheme="minorHAnsi"/>
          <w:i/>
          <w:sz w:val="22"/>
          <w:szCs w:val="22"/>
          <w:lang w:val="it-IT"/>
        </w:rPr>
        <w:t>particolari disposizioni che ne regolano la formazione, l’accesso agli atti prodromici è di norma escluso. Si tratta, in realtà, di un’esclusione non assoluta, perché in qualche caso, una volta definito il procedimento con l’adozione dell’atto finale, può essere consentito l’accesso agli atti. Anche in queste ipotesi, l’amministrazione può fare uso del potere di differimento.</w:t>
      </w:r>
      <w:r w:rsidRPr="00AC27EC">
        <w:rPr>
          <w:rFonts w:ascii="Garamond" w:hAnsi="Garamond"/>
          <w:sz w:val="22"/>
          <w:szCs w:val="22"/>
          <w:lang w:val="it-IT"/>
        </w:rPr>
        <w:t xml:space="preserve"> &gt;&gt;.</w:t>
      </w:r>
    </w:p>
  </w:footnote>
  <w:footnote w:id="12">
    <w:p w14:paraId="078AAC19" w14:textId="1D61B3A7" w:rsidR="00AC27EC" w:rsidRPr="0089042B" w:rsidRDefault="00AC27EC" w:rsidP="00AC27EC">
      <w:pPr>
        <w:pStyle w:val="Standard"/>
        <w:ind w:left="567" w:right="567"/>
        <w:jc w:val="both"/>
        <w:rPr>
          <w:rFonts w:ascii="Garamond" w:hAnsi="Garamond"/>
          <w:sz w:val="22"/>
          <w:szCs w:val="22"/>
        </w:rPr>
      </w:pPr>
      <w:r w:rsidRPr="00CD2712">
        <w:rPr>
          <w:rStyle w:val="Rimandonotaapidipagina"/>
          <w:rFonts w:ascii="Garamond" w:hAnsi="Garamond"/>
          <w:sz w:val="22"/>
          <w:szCs w:val="22"/>
        </w:rPr>
        <w:footnoteRef/>
      </w:r>
      <w:r>
        <w:rPr>
          <w:rFonts w:ascii="Garamond" w:hAnsi="Garamond"/>
          <w:sz w:val="22"/>
          <w:szCs w:val="22"/>
          <w:lang w:val="it-IT"/>
        </w:rPr>
        <w:t xml:space="preserve"> Vedi Cons. St., sez. IV, 20 aprile 2020, n. 2496 e Tar Roma, sez. II-ter, 7 agosto 2018, n. 8862, per i quali </w:t>
      </w:r>
      <w:r w:rsidRPr="00AC27EC">
        <w:rPr>
          <w:rFonts w:ascii="Garamond" w:hAnsi="Garamond"/>
          <w:sz w:val="22"/>
          <w:szCs w:val="22"/>
          <w:lang w:val="it-IT"/>
        </w:rPr>
        <w:t xml:space="preserve">è legittimo il diniego </w:t>
      </w:r>
      <w:r w:rsidR="003B0A93">
        <w:rPr>
          <w:rFonts w:ascii="Garamond" w:hAnsi="Garamond"/>
          <w:sz w:val="22"/>
          <w:szCs w:val="22"/>
          <w:lang w:val="it-IT"/>
        </w:rPr>
        <w:t>de</w:t>
      </w:r>
      <w:r w:rsidRPr="00AC27EC">
        <w:rPr>
          <w:rFonts w:ascii="Garamond" w:hAnsi="Garamond"/>
          <w:sz w:val="22"/>
          <w:szCs w:val="22"/>
          <w:lang w:val="it-IT"/>
        </w:rPr>
        <w:t>ll’istanza di accesso civico generalizzato volt</w:t>
      </w:r>
      <w:r w:rsidR="003B0A93">
        <w:rPr>
          <w:rFonts w:ascii="Garamond" w:hAnsi="Garamond"/>
          <w:sz w:val="22"/>
          <w:szCs w:val="22"/>
          <w:lang w:val="it-IT"/>
        </w:rPr>
        <w:t>a</w:t>
      </w:r>
      <w:r w:rsidRPr="00AC27EC">
        <w:rPr>
          <w:rFonts w:ascii="Garamond" w:hAnsi="Garamond"/>
          <w:sz w:val="22"/>
          <w:szCs w:val="22"/>
          <w:lang w:val="it-IT"/>
        </w:rPr>
        <w:t xml:space="preserve"> ad acquisire dal Comando generale della Guardia di Finanza i dati del “Sistema informativo sugli impieghi delle risorse umane” (contenenti il numero delle ore/persone effettivamente impiegate da tutto il personale del Corpo, distinto per missioni/funzioni), atteso che tali dati costituiscono lo strumento di analisi per la “Programmazione operativa annuale della Guardia di Finanza” adottata ad inizio anno dal Comandante generale del Corpo</w:t>
      </w:r>
      <w:r w:rsidR="003B0A93">
        <w:rPr>
          <w:rFonts w:ascii="Garamond" w:hAnsi="Garamond"/>
          <w:sz w:val="22"/>
          <w:szCs w:val="22"/>
          <w:lang w:val="it-IT"/>
        </w:rPr>
        <w:t xml:space="preserve">. Vedi anche Tar Roma, I-quater, 22 luglio 2020, n. 8615, che ha annullato </w:t>
      </w:r>
      <w:r w:rsidRPr="00AC27EC">
        <w:rPr>
          <w:rFonts w:ascii="Garamond" w:hAnsi="Garamond"/>
          <w:sz w:val="22"/>
          <w:szCs w:val="22"/>
          <w:lang w:val="it-IT"/>
        </w:rPr>
        <w:t xml:space="preserve">il diniego opposto dal Dipartimento della Protezione civile ad un’istanza di accesso civico generalizzato ai verbali del Comitato tecnico scientifico prodromici all’emanazione dei </w:t>
      </w:r>
      <w:r w:rsidR="00370CB1">
        <w:rPr>
          <w:rFonts w:ascii="Garamond" w:hAnsi="Garamond"/>
          <w:sz w:val="22"/>
          <w:szCs w:val="22"/>
          <w:lang w:val="it-IT"/>
        </w:rPr>
        <w:t>d.</w:t>
      </w:r>
      <w:r w:rsidRPr="00AC27EC">
        <w:rPr>
          <w:rFonts w:ascii="Garamond" w:hAnsi="Garamond"/>
          <w:sz w:val="22"/>
          <w:szCs w:val="22"/>
          <w:lang w:val="it-IT"/>
        </w:rPr>
        <w:t>P</w:t>
      </w:r>
      <w:r w:rsidR="00370CB1">
        <w:rPr>
          <w:rFonts w:ascii="Garamond" w:hAnsi="Garamond"/>
          <w:sz w:val="22"/>
          <w:szCs w:val="22"/>
          <w:lang w:val="it-IT"/>
        </w:rPr>
        <w:t>.</w:t>
      </w:r>
      <w:r w:rsidRPr="00AC27EC">
        <w:rPr>
          <w:rFonts w:ascii="Garamond" w:hAnsi="Garamond"/>
          <w:sz w:val="22"/>
          <w:szCs w:val="22"/>
          <w:lang w:val="it-IT"/>
        </w:rPr>
        <w:t>C</w:t>
      </w:r>
      <w:r w:rsidR="00370CB1">
        <w:rPr>
          <w:rFonts w:ascii="Garamond" w:hAnsi="Garamond"/>
          <w:sz w:val="22"/>
          <w:szCs w:val="22"/>
          <w:lang w:val="it-IT"/>
        </w:rPr>
        <w:t>.</w:t>
      </w:r>
      <w:r w:rsidRPr="00AC27EC">
        <w:rPr>
          <w:rFonts w:ascii="Garamond" w:hAnsi="Garamond"/>
          <w:sz w:val="22"/>
          <w:szCs w:val="22"/>
          <w:lang w:val="it-IT"/>
        </w:rPr>
        <w:t>M</w:t>
      </w:r>
      <w:r w:rsidR="00370CB1">
        <w:rPr>
          <w:rFonts w:ascii="Garamond" w:hAnsi="Garamond"/>
          <w:sz w:val="22"/>
          <w:szCs w:val="22"/>
          <w:lang w:val="it-IT"/>
        </w:rPr>
        <w:t>.</w:t>
      </w:r>
      <w:r w:rsidRPr="00AC27EC">
        <w:rPr>
          <w:rFonts w:ascii="Garamond" w:hAnsi="Garamond"/>
          <w:sz w:val="22"/>
          <w:szCs w:val="22"/>
          <w:lang w:val="it-IT"/>
        </w:rPr>
        <w:t xml:space="preserve"> contenenti le misure di contrasto alla diffusione del virus Covid-19, </w:t>
      </w:r>
      <w:r w:rsidR="003B0A93">
        <w:rPr>
          <w:rFonts w:ascii="Garamond" w:hAnsi="Garamond"/>
          <w:sz w:val="22"/>
          <w:szCs w:val="22"/>
          <w:lang w:val="it-IT"/>
        </w:rPr>
        <w:t xml:space="preserve">in base alla considerazione </w:t>
      </w:r>
      <w:r w:rsidRPr="00AC27EC">
        <w:rPr>
          <w:rFonts w:ascii="Garamond" w:hAnsi="Garamond"/>
          <w:sz w:val="22"/>
          <w:szCs w:val="22"/>
          <w:lang w:val="it-IT"/>
        </w:rPr>
        <w:t xml:space="preserve">che </w:t>
      </w:r>
      <w:r w:rsidR="003B0A93">
        <w:rPr>
          <w:rFonts w:ascii="Garamond" w:hAnsi="Garamond"/>
          <w:sz w:val="22"/>
          <w:szCs w:val="22"/>
          <w:lang w:val="it-IT"/>
        </w:rPr>
        <w:t xml:space="preserve">essi </w:t>
      </w:r>
      <w:r w:rsidRPr="00AC27EC">
        <w:rPr>
          <w:rFonts w:ascii="Garamond" w:hAnsi="Garamond"/>
          <w:sz w:val="22"/>
          <w:szCs w:val="22"/>
          <w:lang w:val="it-IT"/>
        </w:rPr>
        <w:t xml:space="preserve">non sono “atti normativi” e neppure “atti amministrativi generali” ex art. 24, comma 1, L. 241/90, </w:t>
      </w:r>
      <w:r w:rsidR="00370CB1">
        <w:rPr>
          <w:rFonts w:ascii="Garamond" w:hAnsi="Garamond"/>
          <w:sz w:val="22"/>
          <w:szCs w:val="22"/>
          <w:lang w:val="it-IT"/>
        </w:rPr>
        <w:t xml:space="preserve">bensì </w:t>
      </w:r>
      <w:r w:rsidRPr="00AC27EC">
        <w:rPr>
          <w:rFonts w:ascii="Garamond" w:hAnsi="Garamond"/>
          <w:sz w:val="22"/>
          <w:szCs w:val="22"/>
          <w:lang w:val="it-IT"/>
        </w:rPr>
        <w:t xml:space="preserve">atti atipici emanati in base a </w:t>
      </w:r>
      <w:r w:rsidR="003B0A93">
        <w:rPr>
          <w:rFonts w:ascii="Garamond" w:hAnsi="Garamond"/>
          <w:sz w:val="22"/>
          <w:szCs w:val="22"/>
          <w:lang w:val="it-IT"/>
        </w:rPr>
        <w:t>d</w:t>
      </w:r>
      <w:r w:rsidRPr="00AC27EC">
        <w:rPr>
          <w:rFonts w:ascii="Garamond" w:hAnsi="Garamond"/>
          <w:sz w:val="22"/>
          <w:szCs w:val="22"/>
          <w:lang w:val="it-IT"/>
        </w:rPr>
        <w:t>ecreto Legge e sulla base di circostanze eccezionali e temporalmente limitate</w:t>
      </w:r>
      <w:r w:rsidR="003B0A93">
        <w:rPr>
          <w:rFonts w:ascii="Garamond" w:hAnsi="Garamond"/>
          <w:sz w:val="22"/>
          <w:szCs w:val="22"/>
          <w:lang w:val="it-IT"/>
        </w:rPr>
        <w:t>.</w:t>
      </w:r>
    </w:p>
  </w:footnote>
  <w:footnote w:id="13">
    <w:p w14:paraId="54D1C72A" w14:textId="6A8CA9A7" w:rsidR="007070C7" w:rsidRPr="0089042B" w:rsidRDefault="007070C7" w:rsidP="00735387">
      <w:pPr>
        <w:pStyle w:val="parar2"/>
        <w:spacing w:before="0" w:beforeAutospacing="0" w:after="0" w:afterAutospacing="0"/>
        <w:ind w:left="567" w:right="567"/>
        <w:jc w:val="both"/>
        <w:rPr>
          <w:rFonts w:ascii="Garamond" w:hAnsi="Garamond"/>
          <w:sz w:val="22"/>
          <w:szCs w:val="22"/>
        </w:rPr>
      </w:pPr>
      <w:r w:rsidRPr="00CD2712">
        <w:rPr>
          <w:rStyle w:val="Rimandonotaapidipagina"/>
          <w:rFonts w:ascii="Garamond" w:hAnsi="Garamond"/>
          <w:sz w:val="22"/>
          <w:szCs w:val="22"/>
        </w:rPr>
        <w:footnoteRef/>
      </w:r>
      <w:r>
        <w:rPr>
          <w:rFonts w:ascii="Garamond" w:hAnsi="Garamond"/>
          <w:sz w:val="22"/>
          <w:szCs w:val="22"/>
        </w:rPr>
        <w:t xml:space="preserve"> Vedi parere Garante n. 188 del 9 aprile 2017, </w:t>
      </w:r>
      <w:r w:rsidR="00735387">
        <w:rPr>
          <w:rFonts w:ascii="Garamond" w:hAnsi="Garamond"/>
          <w:sz w:val="22"/>
          <w:szCs w:val="22"/>
        </w:rPr>
        <w:t xml:space="preserve">per il quale </w:t>
      </w:r>
      <w:r w:rsidRPr="007070C7">
        <w:rPr>
          <w:rFonts w:ascii="Garamond" w:hAnsi="Garamond"/>
          <w:color w:val="000000"/>
          <w:sz w:val="22"/>
          <w:szCs w:val="22"/>
        </w:rPr>
        <w:t>non è ostensibile l’elenco dei beneficiari di pensione privilegiata</w:t>
      </w:r>
      <w:r w:rsidR="00735387">
        <w:rPr>
          <w:rFonts w:ascii="Garamond" w:hAnsi="Garamond"/>
          <w:color w:val="000000"/>
          <w:sz w:val="22"/>
          <w:szCs w:val="22"/>
        </w:rPr>
        <w:t>,</w:t>
      </w:r>
      <w:r w:rsidRPr="007070C7">
        <w:rPr>
          <w:rFonts w:ascii="Garamond" w:hAnsi="Garamond"/>
          <w:color w:val="000000"/>
          <w:sz w:val="22"/>
          <w:szCs w:val="22"/>
        </w:rPr>
        <w:t xml:space="preserve"> in quanto detta pensione è destinata ai militari che hanno subito infermità o lesioni per fatti di servizio e l’accesso comporterebbe la conoscenza, anche indiretta, di dati idonei a rivelare lo stato di salute dei beneficiari;</w:t>
      </w:r>
      <w:r w:rsidR="00735387">
        <w:rPr>
          <w:rFonts w:ascii="Garamond" w:hAnsi="Garamond"/>
          <w:color w:val="000000"/>
          <w:sz w:val="22"/>
          <w:szCs w:val="22"/>
        </w:rPr>
        <w:t xml:space="preserve"> parere Garante n. 98 del 21 febbraio 2018, con riferimento ad un’istanza di accesso ad </w:t>
      </w:r>
      <w:r w:rsidRPr="007070C7">
        <w:rPr>
          <w:rFonts w:ascii="Garamond" w:hAnsi="Garamond"/>
          <w:color w:val="000000"/>
          <w:sz w:val="22"/>
          <w:szCs w:val="22"/>
        </w:rPr>
        <w:t>una nota inviata da una P.A. ad un’altra P.A. contenente dati ed informazioni sullo stato di salute di un dipendente;</w:t>
      </w:r>
      <w:r w:rsidR="00735387">
        <w:rPr>
          <w:rFonts w:ascii="Garamond" w:hAnsi="Garamond"/>
          <w:color w:val="000000"/>
          <w:sz w:val="22"/>
          <w:szCs w:val="22"/>
        </w:rPr>
        <w:t xml:space="preserve"> parere n. 226 del 16 aprile 2018, relativo ad un’istanza di accesso </w:t>
      </w:r>
      <w:r w:rsidRPr="007070C7">
        <w:rPr>
          <w:rFonts w:ascii="Garamond" w:hAnsi="Garamond"/>
          <w:color w:val="000000"/>
          <w:sz w:val="22"/>
          <w:szCs w:val="22"/>
        </w:rPr>
        <w:t>agli atti istruttori di un procedimento di concessione di spazi di sosta per persone disabili ed in particolare alle istanze e relative dichiarazioni rese dagli interessati contenenti dati idonei a rivelare il loro stato di salute</w:t>
      </w:r>
      <w:r w:rsidR="00735387">
        <w:rPr>
          <w:rFonts w:ascii="Garamond" w:hAnsi="Garamond"/>
          <w:color w:val="000000"/>
          <w:sz w:val="22"/>
          <w:szCs w:val="22"/>
        </w:rPr>
        <w:t xml:space="preserve">; parere n. 2 del 10 gennaio 2019, per il quale non sono ostensibili gli </w:t>
      </w:r>
      <w:r w:rsidRPr="007070C7">
        <w:rPr>
          <w:rFonts w:ascii="Garamond" w:hAnsi="Garamond"/>
          <w:color w:val="000000"/>
          <w:sz w:val="22"/>
          <w:szCs w:val="22"/>
        </w:rPr>
        <w:t>atti di “audit” clinico e gli atti della successiva procedura di approfondimento condotta dal “risk manager” a seguito di un decesso avvenuto in un ospedale.</w:t>
      </w:r>
    </w:p>
  </w:footnote>
  <w:footnote w:id="14">
    <w:p w14:paraId="5C2A9102" w14:textId="725A1200" w:rsidR="00735387" w:rsidRPr="0089042B" w:rsidRDefault="00735387" w:rsidP="00DB5978">
      <w:pPr>
        <w:pStyle w:val="Standard"/>
        <w:ind w:left="567" w:right="567"/>
        <w:jc w:val="both"/>
        <w:rPr>
          <w:rFonts w:ascii="Garamond" w:hAnsi="Garamond"/>
          <w:sz w:val="22"/>
          <w:szCs w:val="22"/>
        </w:rPr>
      </w:pPr>
      <w:r w:rsidRPr="00DB5978">
        <w:rPr>
          <w:rStyle w:val="Rimandonotaapidipagina"/>
          <w:rFonts w:ascii="Garamond" w:hAnsi="Garamond"/>
          <w:sz w:val="22"/>
          <w:szCs w:val="22"/>
          <w:lang w:val="it-IT"/>
        </w:rPr>
        <w:footnoteRef/>
      </w:r>
      <w:r w:rsidRPr="00DB5978">
        <w:rPr>
          <w:rFonts w:ascii="Garamond" w:hAnsi="Garamond"/>
          <w:color w:val="000000"/>
          <w:sz w:val="22"/>
          <w:szCs w:val="22"/>
          <w:lang w:val="it-IT"/>
        </w:rPr>
        <w:t xml:space="preserve"> Vedi </w:t>
      </w:r>
      <w:r w:rsidR="00DB5978" w:rsidRPr="00DB5978">
        <w:rPr>
          <w:rFonts w:ascii="Garamond" w:hAnsi="Garamond"/>
          <w:color w:val="000000"/>
          <w:sz w:val="22"/>
          <w:szCs w:val="22"/>
          <w:lang w:val="it-IT"/>
        </w:rPr>
        <w:t>Tar Roma</w:t>
      </w:r>
      <w:r w:rsidR="00DB5978">
        <w:rPr>
          <w:rFonts w:ascii="Garamond" w:hAnsi="Garamond"/>
          <w:color w:val="000000"/>
          <w:sz w:val="22"/>
          <w:szCs w:val="22"/>
          <w:lang w:val="it-IT"/>
        </w:rPr>
        <w:t xml:space="preserve">, sez. II-quater, 28 luglio 2017, n. 9043, che ha riconosciuto </w:t>
      </w:r>
      <w:r w:rsidR="00DB5978">
        <w:rPr>
          <w:rFonts w:ascii="Garamond" w:hAnsi="Garamond"/>
          <w:iCs/>
          <w:sz w:val="22"/>
          <w:szCs w:val="22"/>
          <w:lang w:val="it-IT"/>
        </w:rPr>
        <w:t>a</w:t>
      </w:r>
      <w:r w:rsidR="00C33B0F">
        <w:rPr>
          <w:rFonts w:ascii="Garamond" w:hAnsi="Garamond"/>
          <w:iCs/>
          <w:sz w:val="22"/>
          <w:szCs w:val="22"/>
          <w:lang w:val="it-IT"/>
        </w:rPr>
        <w:t>d un</w:t>
      </w:r>
      <w:r w:rsidRPr="00DB5978">
        <w:rPr>
          <w:rFonts w:ascii="Garamond" w:hAnsi="Garamond"/>
          <w:iCs/>
          <w:sz w:val="22"/>
          <w:szCs w:val="22"/>
          <w:lang w:val="it-IT"/>
        </w:rPr>
        <w:t xml:space="preserve"> cittadino </w:t>
      </w:r>
      <w:r w:rsidR="00C33B0F">
        <w:rPr>
          <w:rFonts w:ascii="Garamond" w:hAnsi="Garamond"/>
          <w:iCs/>
          <w:sz w:val="22"/>
          <w:szCs w:val="22"/>
          <w:lang w:val="it-IT"/>
        </w:rPr>
        <w:t xml:space="preserve">il diritto </w:t>
      </w:r>
      <w:r w:rsidR="008C34F0">
        <w:rPr>
          <w:rFonts w:ascii="Garamond" w:hAnsi="Garamond"/>
          <w:iCs/>
          <w:sz w:val="22"/>
          <w:szCs w:val="22"/>
          <w:lang w:val="it-IT"/>
        </w:rPr>
        <w:t xml:space="preserve">di </w:t>
      </w:r>
      <w:r w:rsidR="00370CB1">
        <w:rPr>
          <w:rFonts w:ascii="Garamond" w:hAnsi="Garamond"/>
          <w:iCs/>
          <w:sz w:val="22"/>
          <w:szCs w:val="22"/>
          <w:lang w:val="it-IT"/>
        </w:rPr>
        <w:t xml:space="preserve">accesso civico generalizzato </w:t>
      </w:r>
      <w:r w:rsidR="008C34F0">
        <w:rPr>
          <w:rFonts w:ascii="Garamond" w:hAnsi="Garamond"/>
          <w:iCs/>
          <w:sz w:val="22"/>
          <w:szCs w:val="22"/>
          <w:lang w:val="it-IT"/>
        </w:rPr>
        <w:t xml:space="preserve">agli atti adottati dall’Autorità amministrativa a seguito di un verbale </w:t>
      </w:r>
      <w:r w:rsidRPr="00DB5978">
        <w:rPr>
          <w:rFonts w:ascii="Garamond" w:hAnsi="Garamond"/>
          <w:iCs/>
          <w:sz w:val="22"/>
          <w:szCs w:val="22"/>
          <w:lang w:val="it-IT"/>
        </w:rPr>
        <w:t>elevat</w:t>
      </w:r>
      <w:r w:rsidR="008C34F0">
        <w:rPr>
          <w:rFonts w:ascii="Garamond" w:hAnsi="Garamond"/>
          <w:iCs/>
          <w:sz w:val="22"/>
          <w:szCs w:val="22"/>
          <w:lang w:val="it-IT"/>
        </w:rPr>
        <w:t>o</w:t>
      </w:r>
      <w:r w:rsidRPr="00DB5978">
        <w:rPr>
          <w:rFonts w:ascii="Garamond" w:hAnsi="Garamond"/>
          <w:iCs/>
          <w:sz w:val="22"/>
          <w:szCs w:val="22"/>
          <w:lang w:val="it-IT"/>
        </w:rPr>
        <w:t xml:space="preserve"> dai carabinieri nei confronti di </w:t>
      </w:r>
      <w:r w:rsidR="008C34F0">
        <w:rPr>
          <w:rFonts w:ascii="Garamond" w:hAnsi="Garamond"/>
          <w:iCs/>
          <w:sz w:val="22"/>
          <w:szCs w:val="22"/>
          <w:lang w:val="it-IT"/>
        </w:rPr>
        <w:t xml:space="preserve">determinati </w:t>
      </w:r>
      <w:r w:rsidRPr="00DB5978">
        <w:rPr>
          <w:rFonts w:ascii="Garamond" w:hAnsi="Garamond"/>
          <w:iCs/>
          <w:sz w:val="22"/>
          <w:szCs w:val="22"/>
          <w:lang w:val="it-IT"/>
        </w:rPr>
        <w:t>soggetti per contravvenzioni alla normativa sugli scarichi</w:t>
      </w:r>
      <w:r w:rsidRPr="00735387">
        <w:rPr>
          <w:rFonts w:ascii="Garamond" w:hAnsi="Garamond"/>
          <w:iCs/>
          <w:sz w:val="22"/>
          <w:szCs w:val="22"/>
          <w:lang w:val="it-IT"/>
        </w:rPr>
        <w:t xml:space="preserve">, non </w:t>
      </w:r>
      <w:r w:rsidR="00DB5978">
        <w:rPr>
          <w:rFonts w:ascii="Garamond" w:hAnsi="Garamond"/>
          <w:iCs/>
          <w:sz w:val="22"/>
          <w:szCs w:val="22"/>
          <w:lang w:val="it-IT"/>
        </w:rPr>
        <w:t>ravvisando in quel caso un “</w:t>
      </w:r>
      <w:r w:rsidRPr="00735387">
        <w:rPr>
          <w:rFonts w:ascii="Garamond" w:hAnsi="Garamond"/>
          <w:iCs/>
          <w:sz w:val="22"/>
          <w:szCs w:val="22"/>
          <w:lang w:val="it-IT"/>
        </w:rPr>
        <w:t>segreto istruttorio penale</w:t>
      </w:r>
      <w:r w:rsidR="00DB5978">
        <w:rPr>
          <w:rFonts w:ascii="Garamond" w:hAnsi="Garamond"/>
          <w:iCs/>
          <w:sz w:val="22"/>
          <w:szCs w:val="22"/>
          <w:lang w:val="it-IT"/>
        </w:rPr>
        <w:t>”</w:t>
      </w:r>
      <w:r w:rsidRPr="00735387">
        <w:rPr>
          <w:rFonts w:ascii="Garamond" w:hAnsi="Garamond"/>
          <w:iCs/>
          <w:sz w:val="22"/>
          <w:szCs w:val="22"/>
          <w:lang w:val="it-IT"/>
        </w:rPr>
        <w:t>.</w:t>
      </w:r>
    </w:p>
  </w:footnote>
  <w:footnote w:id="15">
    <w:p w14:paraId="6764213D" w14:textId="3525B0DC" w:rsidR="00DB5978" w:rsidRPr="0089042B" w:rsidRDefault="00DB5978" w:rsidP="000A3F3D">
      <w:pPr>
        <w:pStyle w:val="Standard"/>
        <w:ind w:left="567" w:right="567"/>
        <w:jc w:val="both"/>
        <w:rPr>
          <w:rFonts w:ascii="Garamond" w:hAnsi="Garamond"/>
          <w:sz w:val="22"/>
          <w:szCs w:val="22"/>
        </w:rPr>
      </w:pPr>
      <w:r w:rsidRPr="00DB5978">
        <w:rPr>
          <w:rStyle w:val="Rimandonotaapidipagina"/>
          <w:rFonts w:ascii="Garamond" w:hAnsi="Garamond"/>
          <w:sz w:val="22"/>
          <w:szCs w:val="22"/>
          <w:lang w:val="it-IT"/>
        </w:rPr>
        <w:footnoteRef/>
      </w:r>
      <w:r w:rsidRPr="00DB5978">
        <w:rPr>
          <w:rFonts w:ascii="Garamond" w:hAnsi="Garamond"/>
          <w:iCs/>
          <w:sz w:val="22"/>
          <w:szCs w:val="22"/>
          <w:lang w:val="it-IT"/>
        </w:rPr>
        <w:t xml:space="preserve"> Così T</w:t>
      </w:r>
      <w:r>
        <w:rPr>
          <w:rFonts w:ascii="Garamond" w:hAnsi="Garamond"/>
          <w:iCs/>
          <w:sz w:val="22"/>
          <w:szCs w:val="22"/>
          <w:lang w:val="it-IT"/>
        </w:rPr>
        <w:t>ar</w:t>
      </w:r>
      <w:r w:rsidRPr="00DB5978">
        <w:rPr>
          <w:rFonts w:ascii="Garamond" w:hAnsi="Garamond"/>
          <w:iCs/>
          <w:sz w:val="22"/>
          <w:szCs w:val="22"/>
          <w:lang w:val="it-IT"/>
        </w:rPr>
        <w:t xml:space="preserve"> Reggio Calabria </w:t>
      </w:r>
      <w:r w:rsidR="000A3F3D">
        <w:rPr>
          <w:rFonts w:ascii="Garamond" w:hAnsi="Garamond"/>
          <w:iCs/>
          <w:sz w:val="22"/>
          <w:szCs w:val="22"/>
          <w:lang w:val="it-IT"/>
        </w:rPr>
        <w:t xml:space="preserve">20 aprile </w:t>
      </w:r>
      <w:r w:rsidRPr="00DB5978">
        <w:rPr>
          <w:rFonts w:ascii="Garamond" w:hAnsi="Garamond"/>
          <w:iCs/>
          <w:sz w:val="22"/>
          <w:szCs w:val="22"/>
          <w:lang w:val="it-IT"/>
        </w:rPr>
        <w:t>2021</w:t>
      </w:r>
      <w:r w:rsidR="000A3F3D">
        <w:rPr>
          <w:rFonts w:ascii="Garamond" w:hAnsi="Garamond"/>
          <w:iCs/>
          <w:sz w:val="22"/>
          <w:szCs w:val="22"/>
          <w:lang w:val="it-IT"/>
        </w:rPr>
        <w:t xml:space="preserve">, n. </w:t>
      </w:r>
      <w:r w:rsidRPr="00DB5978">
        <w:rPr>
          <w:rFonts w:ascii="Garamond" w:hAnsi="Garamond"/>
          <w:iCs/>
          <w:sz w:val="22"/>
          <w:szCs w:val="22"/>
          <w:lang w:val="it-IT"/>
        </w:rPr>
        <w:t>306</w:t>
      </w:r>
      <w:r w:rsidR="000A3F3D">
        <w:rPr>
          <w:rFonts w:ascii="Garamond" w:hAnsi="Garamond"/>
          <w:iCs/>
          <w:sz w:val="22"/>
          <w:szCs w:val="22"/>
          <w:lang w:val="it-IT"/>
        </w:rPr>
        <w:t>.</w:t>
      </w:r>
    </w:p>
  </w:footnote>
  <w:footnote w:id="16">
    <w:p w14:paraId="1CD47424" w14:textId="767029A0" w:rsidR="000A3F3D" w:rsidRPr="0089042B" w:rsidRDefault="000A3F3D" w:rsidP="000A3F3D">
      <w:pPr>
        <w:pStyle w:val="Standard"/>
        <w:ind w:left="567" w:right="567"/>
        <w:jc w:val="both"/>
        <w:rPr>
          <w:rFonts w:ascii="Garamond" w:hAnsi="Garamond"/>
          <w:sz w:val="22"/>
          <w:szCs w:val="22"/>
        </w:rPr>
      </w:pPr>
      <w:r w:rsidRPr="00DB5978">
        <w:rPr>
          <w:rStyle w:val="Rimandonotaapidipagina"/>
          <w:rFonts w:ascii="Garamond" w:hAnsi="Garamond"/>
          <w:sz w:val="22"/>
          <w:szCs w:val="22"/>
          <w:lang w:val="it-IT"/>
        </w:rPr>
        <w:footnoteRef/>
      </w:r>
      <w:r w:rsidRPr="00DB5978">
        <w:rPr>
          <w:rFonts w:ascii="Garamond" w:hAnsi="Garamond"/>
          <w:iCs/>
          <w:sz w:val="22"/>
          <w:szCs w:val="22"/>
          <w:lang w:val="it-IT"/>
        </w:rPr>
        <w:t xml:space="preserve"> </w:t>
      </w:r>
      <w:r w:rsidRPr="000A3F3D">
        <w:rPr>
          <w:rFonts w:ascii="Garamond" w:hAnsi="Garamond"/>
          <w:iCs/>
          <w:sz w:val="22"/>
          <w:szCs w:val="22"/>
          <w:lang w:val="it-IT"/>
        </w:rPr>
        <w:t>T</w:t>
      </w:r>
      <w:r>
        <w:rPr>
          <w:rFonts w:ascii="Garamond" w:hAnsi="Garamond"/>
          <w:iCs/>
          <w:sz w:val="22"/>
          <w:szCs w:val="22"/>
          <w:lang w:val="it-IT"/>
        </w:rPr>
        <w:t>ar</w:t>
      </w:r>
      <w:r w:rsidRPr="000A3F3D">
        <w:rPr>
          <w:rFonts w:ascii="Garamond" w:hAnsi="Garamond"/>
          <w:iCs/>
          <w:sz w:val="22"/>
          <w:szCs w:val="22"/>
          <w:lang w:val="it-IT"/>
        </w:rPr>
        <w:t xml:space="preserve"> Roma </w:t>
      </w:r>
      <w:r>
        <w:rPr>
          <w:rFonts w:ascii="Garamond" w:hAnsi="Garamond"/>
          <w:iCs/>
          <w:sz w:val="22"/>
          <w:szCs w:val="22"/>
          <w:lang w:val="it-IT"/>
        </w:rPr>
        <w:t xml:space="preserve">sez. II-bis, 27 luglio </w:t>
      </w:r>
      <w:r w:rsidRPr="000A3F3D">
        <w:rPr>
          <w:rFonts w:ascii="Garamond" w:hAnsi="Garamond"/>
          <w:iCs/>
          <w:sz w:val="22"/>
          <w:szCs w:val="22"/>
          <w:lang w:val="it-IT"/>
        </w:rPr>
        <w:t>2017</w:t>
      </w:r>
      <w:r>
        <w:rPr>
          <w:rFonts w:ascii="Garamond" w:hAnsi="Garamond"/>
          <w:iCs/>
          <w:sz w:val="22"/>
          <w:szCs w:val="22"/>
          <w:lang w:val="it-IT"/>
        </w:rPr>
        <w:t xml:space="preserve">, n. </w:t>
      </w:r>
      <w:r w:rsidRPr="000A3F3D">
        <w:rPr>
          <w:rFonts w:ascii="Garamond" w:hAnsi="Garamond"/>
          <w:iCs/>
          <w:sz w:val="22"/>
          <w:szCs w:val="22"/>
          <w:lang w:val="it-IT"/>
        </w:rPr>
        <w:t>9023</w:t>
      </w:r>
      <w:r>
        <w:rPr>
          <w:rFonts w:ascii="Garamond" w:hAnsi="Garamond"/>
          <w:iCs/>
          <w:sz w:val="22"/>
          <w:szCs w:val="22"/>
          <w:lang w:val="it-IT"/>
        </w:rPr>
        <w:t xml:space="preserve"> e </w:t>
      </w:r>
      <w:r w:rsidRPr="000A3F3D">
        <w:rPr>
          <w:rFonts w:ascii="Garamond" w:hAnsi="Garamond"/>
          <w:iCs/>
          <w:sz w:val="22"/>
          <w:szCs w:val="22"/>
          <w:lang w:val="it-IT"/>
        </w:rPr>
        <w:t xml:space="preserve"> </w:t>
      </w:r>
      <w:r>
        <w:rPr>
          <w:rFonts w:ascii="Garamond" w:hAnsi="Garamond"/>
          <w:iCs/>
          <w:sz w:val="22"/>
          <w:szCs w:val="22"/>
          <w:lang w:val="it-IT"/>
        </w:rPr>
        <w:t xml:space="preserve">sez. I, 22 febbraio </w:t>
      </w:r>
      <w:r w:rsidRPr="000A3F3D">
        <w:rPr>
          <w:rFonts w:ascii="Garamond" w:hAnsi="Garamond"/>
          <w:iCs/>
          <w:sz w:val="22"/>
          <w:szCs w:val="22"/>
          <w:lang w:val="it-IT"/>
        </w:rPr>
        <w:t>2021</w:t>
      </w:r>
      <w:r>
        <w:rPr>
          <w:rFonts w:ascii="Garamond" w:hAnsi="Garamond"/>
          <w:iCs/>
          <w:sz w:val="22"/>
          <w:szCs w:val="22"/>
          <w:lang w:val="it-IT"/>
        </w:rPr>
        <w:t xml:space="preserve">, n. </w:t>
      </w:r>
      <w:r w:rsidRPr="000A3F3D">
        <w:rPr>
          <w:rFonts w:ascii="Garamond" w:hAnsi="Garamond"/>
          <w:iCs/>
          <w:sz w:val="22"/>
          <w:szCs w:val="22"/>
          <w:lang w:val="it-IT"/>
        </w:rPr>
        <w:t>2147.</w:t>
      </w:r>
    </w:p>
  </w:footnote>
  <w:footnote w:id="17">
    <w:p w14:paraId="6A225755" w14:textId="3536E3C9" w:rsidR="000A3F3D" w:rsidRPr="0089042B" w:rsidRDefault="000A3F3D" w:rsidP="000A3F3D">
      <w:pPr>
        <w:pStyle w:val="Standard"/>
        <w:ind w:left="567" w:right="567"/>
        <w:jc w:val="both"/>
        <w:rPr>
          <w:rFonts w:ascii="Garamond" w:hAnsi="Garamond"/>
          <w:sz w:val="22"/>
          <w:szCs w:val="22"/>
        </w:rPr>
      </w:pPr>
      <w:r w:rsidRPr="00DB5978">
        <w:rPr>
          <w:rStyle w:val="Rimandonotaapidipagina"/>
          <w:rFonts w:ascii="Garamond" w:hAnsi="Garamond"/>
          <w:sz w:val="22"/>
          <w:szCs w:val="22"/>
          <w:lang w:val="it-IT"/>
        </w:rPr>
        <w:footnoteRef/>
      </w:r>
      <w:r w:rsidRPr="00DB5978">
        <w:rPr>
          <w:rFonts w:ascii="Garamond" w:hAnsi="Garamond"/>
          <w:iCs/>
          <w:sz w:val="22"/>
          <w:szCs w:val="22"/>
          <w:lang w:val="it-IT"/>
        </w:rPr>
        <w:t xml:space="preserve"> </w:t>
      </w:r>
      <w:r>
        <w:rPr>
          <w:rFonts w:ascii="Garamond" w:hAnsi="Garamond"/>
          <w:iCs/>
          <w:sz w:val="22"/>
          <w:szCs w:val="22"/>
          <w:lang w:val="it-IT"/>
        </w:rPr>
        <w:t>Vedi Cons. St. n. 10 del 2020.</w:t>
      </w:r>
    </w:p>
  </w:footnote>
  <w:footnote w:id="18">
    <w:p w14:paraId="4DEAD303" w14:textId="637AE3A7" w:rsidR="0046274D" w:rsidRPr="0046274D" w:rsidRDefault="0046274D" w:rsidP="0046274D">
      <w:pPr>
        <w:ind w:left="567" w:right="567"/>
        <w:jc w:val="both"/>
        <w:rPr>
          <w:rFonts w:ascii="Garamond" w:hAnsi="Garamond"/>
          <w:sz w:val="22"/>
          <w:szCs w:val="22"/>
        </w:rPr>
      </w:pPr>
      <w:r w:rsidRPr="00DB5978">
        <w:rPr>
          <w:rStyle w:val="Rimandonotaapidipagina"/>
          <w:rFonts w:ascii="Garamond" w:hAnsi="Garamond"/>
          <w:sz w:val="22"/>
          <w:szCs w:val="22"/>
        </w:rPr>
        <w:footnoteRef/>
      </w:r>
      <w:r w:rsidRPr="00DB5978">
        <w:rPr>
          <w:rFonts w:ascii="Garamond" w:hAnsi="Garamond"/>
          <w:iCs/>
          <w:sz w:val="22"/>
          <w:szCs w:val="22"/>
        </w:rPr>
        <w:t xml:space="preserve"> </w:t>
      </w:r>
      <w:r w:rsidRPr="0046274D">
        <w:rPr>
          <w:rFonts w:ascii="Garamond" w:hAnsi="Garamond"/>
          <w:sz w:val="22"/>
          <w:szCs w:val="22"/>
        </w:rPr>
        <w:t>Si è parlato, al riguardo</w:t>
      </w:r>
      <w:r>
        <w:rPr>
          <w:rFonts w:ascii="Garamond" w:hAnsi="Garamond"/>
          <w:sz w:val="22"/>
          <w:szCs w:val="22"/>
        </w:rPr>
        <w:t>,</w:t>
      </w:r>
      <w:r w:rsidRPr="0046274D">
        <w:rPr>
          <w:rFonts w:ascii="Garamond" w:hAnsi="Garamond"/>
          <w:sz w:val="22"/>
          <w:szCs w:val="22"/>
        </w:rPr>
        <w:t xml:space="preserve"> di limitazioni “a fattispecie elastica” in cui </w:t>
      </w:r>
      <w:r w:rsidRPr="0046274D">
        <w:rPr>
          <w:rFonts w:ascii="Garamond" w:hAnsi="Garamond"/>
          <w:i/>
          <w:iCs/>
          <w:sz w:val="22"/>
          <w:szCs w:val="22"/>
        </w:rPr>
        <w:t>&lt;&lt;</w:t>
      </w:r>
      <w:proofErr w:type="gramStart"/>
      <w:r w:rsidRPr="0046274D">
        <w:rPr>
          <w:rFonts w:ascii="Garamond" w:hAnsi="Garamond"/>
          <w:i/>
          <w:iCs/>
          <w:sz w:val="22"/>
          <w:szCs w:val="22"/>
        </w:rPr>
        <w:t xml:space="preserve"> ..</w:t>
      </w:r>
      <w:proofErr w:type="gramEnd"/>
      <w:r w:rsidRPr="0046274D">
        <w:rPr>
          <w:rFonts w:ascii="Garamond" w:hAnsi="Garamond"/>
          <w:i/>
          <w:iCs/>
          <w:sz w:val="22"/>
          <w:szCs w:val="22"/>
        </w:rPr>
        <w:t xml:space="preserve"> la norma designa in modo impreciso – con locuzione permissiva – tra i criteri direttivi della clausola autorizzativa del regolamento il fatto che comporta l’esclusione dell’accesso, demandando all’autorità amministrativa il compito di valutarne la sussistenza o meno in relazione al tipo di interesse e/o alle attività che possono essere pregiudicati dall’accesso. &gt;&gt;</w:t>
      </w:r>
      <w:r w:rsidRPr="0046274D">
        <w:rPr>
          <w:rFonts w:ascii="Garamond" w:hAnsi="Garamond"/>
          <w:sz w:val="22"/>
          <w:szCs w:val="22"/>
        </w:rPr>
        <w:t xml:space="preserve"> (Baccarini S</w:t>
      </w:r>
      <w:r>
        <w:rPr>
          <w:rFonts w:ascii="Garamond" w:hAnsi="Garamond"/>
          <w:sz w:val="22"/>
          <w:szCs w:val="22"/>
        </w:rPr>
        <w:t xml:space="preserve">, </w:t>
      </w:r>
      <w:r w:rsidRPr="0046274D">
        <w:rPr>
          <w:rFonts w:ascii="Garamond" w:hAnsi="Garamond" w:cs="Segoe UI"/>
          <w:sz w:val="22"/>
          <w:szCs w:val="22"/>
        </w:rPr>
        <w:t>Codice dell’azione amministrativa, Giuffrè, 2011</w:t>
      </w:r>
      <w:r w:rsidRPr="0046274D">
        <w:rPr>
          <w:rFonts w:ascii="Garamond" w:hAnsi="Garamond"/>
          <w:sz w:val="22"/>
          <w:szCs w:val="22"/>
        </w:rPr>
        <w:t>).</w:t>
      </w:r>
    </w:p>
  </w:footnote>
  <w:footnote w:id="19">
    <w:p w14:paraId="2917FEF6" w14:textId="5A8E4D42" w:rsidR="0046274D" w:rsidRPr="0089042B" w:rsidRDefault="0046274D" w:rsidP="0046274D">
      <w:pPr>
        <w:pStyle w:val="Standard"/>
        <w:ind w:left="567" w:right="567"/>
        <w:jc w:val="both"/>
        <w:rPr>
          <w:rFonts w:ascii="Garamond" w:hAnsi="Garamond"/>
          <w:sz w:val="22"/>
          <w:szCs w:val="22"/>
        </w:rPr>
      </w:pPr>
      <w:r w:rsidRPr="00DB5978">
        <w:rPr>
          <w:rStyle w:val="Rimandonotaapidipagina"/>
          <w:rFonts w:ascii="Garamond" w:hAnsi="Garamond"/>
          <w:sz w:val="22"/>
          <w:szCs w:val="22"/>
          <w:lang w:val="it-IT"/>
        </w:rPr>
        <w:footnoteRef/>
      </w:r>
      <w:r w:rsidRPr="00DB5978">
        <w:rPr>
          <w:rFonts w:ascii="Garamond" w:hAnsi="Garamond"/>
          <w:iCs/>
          <w:sz w:val="22"/>
          <w:szCs w:val="22"/>
          <w:lang w:val="it-IT"/>
        </w:rPr>
        <w:t xml:space="preserve"> </w:t>
      </w:r>
      <w:r>
        <w:rPr>
          <w:rFonts w:ascii="Garamond" w:hAnsi="Garamond"/>
          <w:sz w:val="22"/>
          <w:szCs w:val="22"/>
          <w:lang w:val="it-IT"/>
        </w:rPr>
        <w:t>S</w:t>
      </w:r>
      <w:r w:rsidRPr="0046274D">
        <w:rPr>
          <w:rFonts w:ascii="Garamond" w:hAnsi="Garamond"/>
          <w:sz w:val="22"/>
          <w:szCs w:val="22"/>
          <w:lang w:val="it-IT"/>
        </w:rPr>
        <w:t xml:space="preserve">i è rilevato, al riguardo, che </w:t>
      </w:r>
      <w:r w:rsidRPr="0046274D">
        <w:rPr>
          <w:rFonts w:ascii="Garamond" w:hAnsi="Garamond"/>
          <w:i/>
          <w:sz w:val="22"/>
          <w:szCs w:val="22"/>
          <w:lang w:val="it-IT"/>
        </w:rPr>
        <w:t>&lt;&lt;</w:t>
      </w:r>
      <w:proofErr w:type="gramStart"/>
      <w:r w:rsidRPr="0046274D">
        <w:rPr>
          <w:rFonts w:ascii="Garamond" w:hAnsi="Garamond"/>
          <w:i/>
          <w:sz w:val="22"/>
          <w:szCs w:val="22"/>
          <w:lang w:val="it-IT"/>
        </w:rPr>
        <w:t xml:space="preserve"> ..</w:t>
      </w:r>
      <w:proofErr w:type="gramEnd"/>
      <w:r w:rsidRPr="0046274D">
        <w:rPr>
          <w:rFonts w:ascii="Garamond" w:hAnsi="Garamond"/>
          <w:i/>
          <w:sz w:val="22"/>
          <w:szCs w:val="22"/>
          <w:lang w:val="it-IT"/>
        </w:rPr>
        <w:t xml:space="preserve"> il nuovo art. 24 non afferma semplicemente che l’accessibilità riguardi i documenti non riconducibili, astrattamente, alle categorie generali di cui all’art. 24, comma 6, ma fa riferimento al dato formale della concreta elencazione dei documenti all’interno del regolamento. Si tratta di un’impostazione sulla carta molto apprezzabile, che esprime coerentemente il principio della massima trasparenza, ma piuttosto rischiosa, perché la ricognizione analitica di tutti i documenti sottratti all’accesso rappresenta un’operazione titanica, anche solo nell’ambito delle amministrazioni statali. Del resto, questa stessa evidente difficoltà aveva costituito la piana giustificazione della decisione riguardante la redazione finale del regolamento n. 352/1992, che stabilisce esclusioni per “categorie generali” e non già per indicazioni analitiche di atti. &gt;&gt; </w:t>
      </w:r>
      <w:r w:rsidRPr="0046274D">
        <w:rPr>
          <w:rFonts w:ascii="Garamond" w:hAnsi="Garamond"/>
          <w:sz w:val="22"/>
          <w:szCs w:val="22"/>
          <w:lang w:val="it-IT"/>
        </w:rPr>
        <w:t>(Lipari M.</w:t>
      </w:r>
      <w:r>
        <w:rPr>
          <w:rFonts w:ascii="Garamond" w:hAnsi="Garamond"/>
          <w:sz w:val="22"/>
          <w:szCs w:val="22"/>
          <w:lang w:val="it-IT"/>
        </w:rPr>
        <w:t>, op. cit.</w:t>
      </w:r>
      <w:r w:rsidRPr="0046274D">
        <w:rPr>
          <w:rFonts w:ascii="Garamond" w:hAnsi="Garamond"/>
          <w:sz w:val="22"/>
          <w:szCs w:val="22"/>
          <w:lang w:val="it-IT"/>
        </w:rPr>
        <w:t>).</w:t>
      </w:r>
    </w:p>
  </w:footnote>
  <w:footnote w:id="20">
    <w:p w14:paraId="0AF8014D" w14:textId="1ECE3D22" w:rsidR="00ED37D0" w:rsidRPr="0089042B" w:rsidRDefault="00ED37D0" w:rsidP="00ED37D0">
      <w:pPr>
        <w:pStyle w:val="Standard"/>
        <w:ind w:left="567" w:right="567"/>
        <w:jc w:val="both"/>
        <w:rPr>
          <w:rFonts w:ascii="Garamond" w:hAnsi="Garamond"/>
          <w:sz w:val="22"/>
          <w:szCs w:val="22"/>
        </w:rPr>
      </w:pPr>
      <w:r w:rsidRPr="00DB5978">
        <w:rPr>
          <w:rStyle w:val="Rimandonotaapidipagina"/>
          <w:rFonts w:ascii="Garamond" w:hAnsi="Garamond"/>
          <w:sz w:val="22"/>
          <w:szCs w:val="22"/>
          <w:lang w:val="it-IT"/>
        </w:rPr>
        <w:footnoteRef/>
      </w:r>
      <w:r>
        <w:rPr>
          <w:rFonts w:ascii="Garamond" w:hAnsi="Garamond"/>
          <w:sz w:val="22"/>
          <w:szCs w:val="22"/>
          <w:lang w:val="it-IT"/>
        </w:rPr>
        <w:t xml:space="preserve"> A favore della facoltatività del regolamento governativo sembrerebbe alludere il tenore letterale della </w:t>
      </w:r>
      <w:r w:rsidRPr="00ED37D0">
        <w:rPr>
          <w:rFonts w:ascii="Garamond" w:hAnsi="Garamond"/>
          <w:sz w:val="22"/>
          <w:szCs w:val="22"/>
          <w:lang w:val="it-IT"/>
        </w:rPr>
        <w:t xml:space="preserve">norma </w:t>
      </w:r>
      <w:r>
        <w:rPr>
          <w:rFonts w:ascii="Garamond" w:hAnsi="Garamond"/>
          <w:sz w:val="22"/>
          <w:szCs w:val="22"/>
          <w:lang w:val="it-IT"/>
        </w:rPr>
        <w:t>(</w:t>
      </w:r>
      <w:r w:rsidRPr="00ED37D0">
        <w:rPr>
          <w:rFonts w:ascii="Garamond" w:hAnsi="Garamond"/>
          <w:sz w:val="22"/>
          <w:szCs w:val="22"/>
          <w:lang w:val="it-IT"/>
        </w:rPr>
        <w:t>“</w:t>
      </w:r>
      <w:r w:rsidRPr="00ED37D0">
        <w:rPr>
          <w:rFonts w:ascii="Garamond" w:hAnsi="Garamond"/>
          <w:i/>
          <w:color w:val="000000"/>
          <w:sz w:val="22"/>
          <w:szCs w:val="22"/>
          <w:lang w:val="it-IT"/>
        </w:rPr>
        <w:t>… il Governo può prevedere …“</w:t>
      </w:r>
      <w:r>
        <w:rPr>
          <w:rFonts w:ascii="Garamond" w:hAnsi="Garamond"/>
          <w:color w:val="000000"/>
          <w:sz w:val="22"/>
          <w:szCs w:val="22"/>
          <w:lang w:val="it-IT"/>
        </w:rPr>
        <w:t xml:space="preserve">), ma a favore della obbligatorietà vi è l’argomento logico-sistematico che si basa sulla semplice constatazione che </w:t>
      </w:r>
      <w:r w:rsidRPr="00ED37D0">
        <w:rPr>
          <w:rFonts w:ascii="Garamond" w:hAnsi="Garamond"/>
          <w:sz w:val="22"/>
          <w:szCs w:val="22"/>
          <w:lang w:val="it-IT"/>
        </w:rPr>
        <w:t xml:space="preserve">da </w:t>
      </w:r>
      <w:r>
        <w:rPr>
          <w:rFonts w:ascii="Garamond" w:hAnsi="Garamond"/>
          <w:sz w:val="22"/>
          <w:szCs w:val="22"/>
          <w:lang w:val="it-IT"/>
        </w:rPr>
        <w:t xml:space="preserve">esso </w:t>
      </w:r>
      <w:r w:rsidRPr="00ED37D0">
        <w:rPr>
          <w:rFonts w:ascii="Garamond" w:hAnsi="Garamond"/>
          <w:sz w:val="22"/>
          <w:szCs w:val="22"/>
          <w:lang w:val="it-IT"/>
        </w:rPr>
        <w:t xml:space="preserve">dipende </w:t>
      </w:r>
      <w:r>
        <w:rPr>
          <w:rFonts w:ascii="Garamond" w:hAnsi="Garamond"/>
          <w:sz w:val="22"/>
          <w:szCs w:val="22"/>
          <w:lang w:val="it-IT"/>
        </w:rPr>
        <w:t xml:space="preserve">(come vedremo) </w:t>
      </w:r>
      <w:r w:rsidRPr="00ED37D0">
        <w:rPr>
          <w:rFonts w:ascii="Garamond" w:hAnsi="Garamond"/>
          <w:sz w:val="22"/>
          <w:szCs w:val="22"/>
          <w:lang w:val="it-IT"/>
        </w:rPr>
        <w:t xml:space="preserve">l’abrogazione della vecchia disciplina delle limitazioni dell’accesso e quindi, in definitiva, l’entrata in vigore della riforma della </w:t>
      </w:r>
      <w:r>
        <w:rPr>
          <w:rFonts w:ascii="Garamond" w:hAnsi="Garamond"/>
          <w:sz w:val="22"/>
          <w:szCs w:val="22"/>
          <w:lang w:val="it-IT"/>
        </w:rPr>
        <w:t xml:space="preserve">disciplina </w:t>
      </w:r>
      <w:r w:rsidRPr="00ED37D0">
        <w:rPr>
          <w:rFonts w:ascii="Garamond" w:hAnsi="Garamond"/>
          <w:sz w:val="22"/>
          <w:szCs w:val="22"/>
          <w:lang w:val="it-IT"/>
        </w:rPr>
        <w:t xml:space="preserve">dell’accesso di cui alla </w:t>
      </w:r>
      <w:r>
        <w:rPr>
          <w:rFonts w:ascii="Garamond" w:hAnsi="Garamond"/>
          <w:sz w:val="22"/>
          <w:szCs w:val="22"/>
          <w:lang w:val="it-IT"/>
        </w:rPr>
        <w:t>l</w:t>
      </w:r>
      <w:r w:rsidRPr="00ED37D0">
        <w:rPr>
          <w:rFonts w:ascii="Garamond" w:hAnsi="Garamond"/>
          <w:sz w:val="22"/>
          <w:szCs w:val="22"/>
          <w:lang w:val="it-IT"/>
        </w:rPr>
        <w:t xml:space="preserve">. </w:t>
      </w:r>
      <w:r>
        <w:rPr>
          <w:rFonts w:ascii="Garamond" w:hAnsi="Garamond"/>
          <w:sz w:val="22"/>
          <w:szCs w:val="22"/>
          <w:lang w:val="it-IT"/>
        </w:rPr>
        <w:t xml:space="preserve">n. </w:t>
      </w:r>
      <w:r w:rsidRPr="00ED37D0">
        <w:rPr>
          <w:rFonts w:ascii="Garamond" w:hAnsi="Garamond"/>
          <w:sz w:val="22"/>
          <w:szCs w:val="22"/>
          <w:lang w:val="it-IT"/>
        </w:rPr>
        <w:t>15</w:t>
      </w:r>
      <w:r>
        <w:rPr>
          <w:rFonts w:ascii="Garamond" w:hAnsi="Garamond"/>
          <w:sz w:val="22"/>
          <w:szCs w:val="22"/>
          <w:lang w:val="it-IT"/>
        </w:rPr>
        <w:t xml:space="preserve"> del </w:t>
      </w:r>
      <w:r w:rsidRPr="00ED37D0">
        <w:rPr>
          <w:rFonts w:ascii="Garamond" w:hAnsi="Garamond"/>
          <w:sz w:val="22"/>
          <w:szCs w:val="22"/>
          <w:lang w:val="it-IT"/>
        </w:rPr>
        <w:t>2005</w:t>
      </w:r>
      <w:r>
        <w:rPr>
          <w:rFonts w:ascii="Garamond" w:hAnsi="Garamond"/>
          <w:sz w:val="22"/>
          <w:szCs w:val="22"/>
          <w:lang w:val="it-IT"/>
        </w:rPr>
        <w:t xml:space="preserve">. Sul punto, vedasi ancora Lipari M., op. cit., che osserva </w:t>
      </w:r>
      <w:r w:rsidRPr="00ED37D0">
        <w:rPr>
          <w:rFonts w:ascii="Garamond" w:hAnsi="Garamond"/>
          <w:sz w:val="22"/>
          <w:szCs w:val="22"/>
          <w:lang w:val="it-IT"/>
        </w:rPr>
        <w:t xml:space="preserve">che </w:t>
      </w:r>
      <w:r w:rsidRPr="00ED37D0">
        <w:rPr>
          <w:rFonts w:ascii="Garamond" w:hAnsi="Garamond"/>
          <w:i/>
          <w:sz w:val="22"/>
          <w:szCs w:val="22"/>
          <w:lang w:val="it-IT"/>
        </w:rPr>
        <w:t>&lt;&lt; Se è vero che il Governo ben può scegliere di non esercitare il potere regolamentare previsto da una norma primaria, nel caso in esame l’adozione di una normativa secondaria costituiva il presupposto per l’entrata in vigore delle stesse disposizioni legislative. &gt;&gt;</w:t>
      </w:r>
      <w:r w:rsidRPr="00ED37D0">
        <w:rPr>
          <w:rFonts w:ascii="Garamond" w:hAnsi="Garamond"/>
          <w:sz w:val="22"/>
          <w:szCs w:val="22"/>
          <w:lang w:val="it-IT"/>
        </w:rPr>
        <w:t>.</w:t>
      </w:r>
    </w:p>
  </w:footnote>
  <w:footnote w:id="21">
    <w:p w14:paraId="31DD909D" w14:textId="01174A3C" w:rsidR="00144BCE" w:rsidRPr="0089042B" w:rsidRDefault="00144BCE" w:rsidP="00144BCE">
      <w:pPr>
        <w:ind w:left="567" w:right="567"/>
        <w:jc w:val="both"/>
        <w:rPr>
          <w:rFonts w:ascii="Garamond" w:hAnsi="Garamond"/>
          <w:sz w:val="22"/>
          <w:szCs w:val="22"/>
        </w:rPr>
      </w:pPr>
      <w:r w:rsidRPr="00DB5978">
        <w:rPr>
          <w:rStyle w:val="Rimandonotaapidipagina"/>
          <w:rFonts w:ascii="Garamond" w:hAnsi="Garamond"/>
          <w:sz w:val="22"/>
          <w:szCs w:val="22"/>
        </w:rPr>
        <w:footnoteRef/>
      </w:r>
      <w:r>
        <w:rPr>
          <w:rFonts w:ascii="Garamond" w:hAnsi="Garamond"/>
          <w:sz w:val="22"/>
          <w:szCs w:val="22"/>
        </w:rPr>
        <w:t xml:space="preserve"> L’art. 23, comma 2, l. n. 15 del 2005 </w:t>
      </w:r>
      <w:r w:rsidRPr="00144BCE">
        <w:rPr>
          <w:rFonts w:ascii="Garamond" w:hAnsi="Garamond"/>
          <w:sz w:val="22"/>
          <w:szCs w:val="22"/>
        </w:rPr>
        <w:t xml:space="preserve">prevedeva che </w:t>
      </w:r>
      <w:r w:rsidRPr="00144BCE">
        <w:rPr>
          <w:rFonts w:ascii="Garamond" w:hAnsi="Garamond"/>
          <w:i/>
          <w:iCs/>
          <w:sz w:val="22"/>
          <w:szCs w:val="22"/>
        </w:rPr>
        <w:t>“Entro tre mesi dalla data di entrata in vigore della presente legge, il Governo è autorizzato ad adottare, ai sensi dell'articolo 17, comma 2, della legge 23 agosto 1988, n. 400, un regolamento inteso a integrare o modificare il regolamento di cui al decreto del Presidente della Repubblica 27 giugno 1992, n. 352, al fine di adeguarne le disposizioni alle modifiche introdotte dalla presente legge.”</w:t>
      </w:r>
      <w:r>
        <w:rPr>
          <w:rFonts w:ascii="Garamond" w:hAnsi="Garamond"/>
          <w:sz w:val="22"/>
          <w:szCs w:val="22"/>
        </w:rPr>
        <w:t xml:space="preserve">; il comma  3 </w:t>
      </w:r>
      <w:r w:rsidRPr="00144BCE">
        <w:rPr>
          <w:rFonts w:ascii="Garamond" w:hAnsi="Garamond"/>
          <w:sz w:val="22"/>
          <w:szCs w:val="22"/>
        </w:rPr>
        <w:t xml:space="preserve">stabiliva che </w:t>
      </w:r>
      <w:r w:rsidRPr="00144BCE">
        <w:rPr>
          <w:rFonts w:ascii="Garamond" w:hAnsi="Garamond"/>
          <w:i/>
          <w:iCs/>
          <w:sz w:val="22"/>
          <w:szCs w:val="22"/>
        </w:rPr>
        <w:t>“Le disposizioni di cui agli articoli 15, 16 e 17, comma 1, lettera a), della presente legge</w:t>
      </w:r>
      <w:r w:rsidRPr="00144BCE">
        <w:rPr>
          <w:rFonts w:ascii="Garamond" w:hAnsi="Garamond"/>
          <w:sz w:val="22"/>
          <w:szCs w:val="22"/>
        </w:rPr>
        <w:t xml:space="preserve"> [ovvero i novellati artt. 22, 24 e 25, comma 4</w:t>
      </w:r>
      <w:r>
        <w:rPr>
          <w:rFonts w:ascii="Garamond" w:hAnsi="Garamond"/>
          <w:sz w:val="22"/>
          <w:szCs w:val="22"/>
        </w:rPr>
        <w:t xml:space="preserve">, l. n. </w:t>
      </w:r>
      <w:r w:rsidRPr="00144BCE">
        <w:rPr>
          <w:rFonts w:ascii="Garamond" w:hAnsi="Garamond"/>
          <w:sz w:val="22"/>
          <w:szCs w:val="22"/>
        </w:rPr>
        <w:t>241</w:t>
      </w:r>
      <w:r>
        <w:rPr>
          <w:rFonts w:ascii="Garamond" w:hAnsi="Garamond"/>
          <w:sz w:val="22"/>
          <w:szCs w:val="22"/>
        </w:rPr>
        <w:t xml:space="preserve"> del </w:t>
      </w:r>
      <w:r w:rsidRPr="00144BCE">
        <w:rPr>
          <w:rFonts w:ascii="Garamond" w:hAnsi="Garamond"/>
          <w:sz w:val="22"/>
          <w:szCs w:val="22"/>
        </w:rPr>
        <w:t xml:space="preserve">90] </w:t>
      </w:r>
      <w:r w:rsidRPr="00144BCE">
        <w:rPr>
          <w:rFonts w:ascii="Garamond" w:hAnsi="Garamond"/>
          <w:i/>
          <w:iCs/>
          <w:sz w:val="22"/>
          <w:szCs w:val="22"/>
        </w:rPr>
        <w:t>hanno effetto dalla data di entrata in vigore del regolamento di cui al comma 2 del presente articolo.”</w:t>
      </w:r>
      <w:r w:rsidRPr="00144BCE">
        <w:rPr>
          <w:rFonts w:ascii="Garamond" w:hAnsi="Garamond"/>
          <w:sz w:val="22"/>
          <w:szCs w:val="22"/>
        </w:rPr>
        <w:t>.</w:t>
      </w:r>
    </w:p>
  </w:footnote>
  <w:footnote w:id="22">
    <w:p w14:paraId="48185C5D" w14:textId="5D3CFEDB" w:rsidR="00FF79B8" w:rsidRPr="0089042B" w:rsidRDefault="00FF79B8" w:rsidP="00FF79B8">
      <w:pPr>
        <w:pStyle w:val="Standard"/>
        <w:ind w:left="567" w:right="567"/>
        <w:jc w:val="both"/>
        <w:rPr>
          <w:rFonts w:ascii="Garamond" w:hAnsi="Garamond"/>
          <w:sz w:val="22"/>
          <w:szCs w:val="22"/>
        </w:rPr>
      </w:pPr>
      <w:r w:rsidRPr="00FA3A75">
        <w:rPr>
          <w:rStyle w:val="Rimandonotaapidipagina"/>
          <w:rFonts w:ascii="Garamond" w:hAnsi="Garamond"/>
          <w:sz w:val="22"/>
          <w:szCs w:val="22"/>
          <w:lang w:val="it-IT"/>
        </w:rPr>
        <w:footnoteRef/>
      </w:r>
      <w:r w:rsidRPr="00FA3A75">
        <w:rPr>
          <w:rFonts w:ascii="Garamond" w:hAnsi="Garamond"/>
          <w:sz w:val="22"/>
          <w:szCs w:val="22"/>
          <w:lang w:val="it-IT"/>
        </w:rPr>
        <w:t xml:space="preserve"> </w:t>
      </w:r>
      <w:r w:rsidR="00FA3A75" w:rsidRPr="00FA3A75">
        <w:rPr>
          <w:rFonts w:ascii="Garamond" w:hAnsi="Garamond"/>
          <w:sz w:val="22"/>
          <w:szCs w:val="22"/>
          <w:lang w:val="it-IT"/>
        </w:rPr>
        <w:t xml:space="preserve">Sul punto </w:t>
      </w:r>
      <w:r w:rsidR="00FA3A75" w:rsidRPr="00FA3A75">
        <w:rPr>
          <w:rFonts w:ascii="Garamond" w:eastAsia="Times New Roman" w:hAnsi="Garamond" w:cstheme="minorHAnsi"/>
          <w:sz w:val="22"/>
          <w:szCs w:val="22"/>
          <w:lang w:val="it-IT" w:eastAsia="it-IT"/>
        </w:rPr>
        <w:t>v</w:t>
      </w:r>
      <w:r w:rsidRPr="00FA3A75">
        <w:rPr>
          <w:rFonts w:ascii="Garamond" w:eastAsia="Times New Roman" w:hAnsi="Garamond" w:cstheme="minorHAnsi"/>
          <w:sz w:val="22"/>
          <w:szCs w:val="22"/>
          <w:lang w:val="it-IT" w:eastAsia="it-IT"/>
        </w:rPr>
        <w:t xml:space="preserve">edasi delibera Anac n. 1309 del 2016: </w:t>
      </w:r>
      <w:r w:rsidRPr="00FA3A75">
        <w:rPr>
          <w:rFonts w:ascii="Garamond" w:eastAsia="Times New Roman" w:hAnsi="Garamond" w:cstheme="minorHAnsi"/>
          <w:i/>
          <w:iCs/>
          <w:sz w:val="22"/>
          <w:szCs w:val="22"/>
          <w:lang w:val="it-IT" w:eastAsia="it-IT"/>
        </w:rPr>
        <w:t xml:space="preserve">&lt;&lt; </w:t>
      </w:r>
      <w:r w:rsidR="00F5760E" w:rsidRPr="00FA3A75">
        <w:rPr>
          <w:rFonts w:ascii="Garamond" w:eastAsia="Times New Roman" w:hAnsi="Garamond" w:cstheme="minorHAnsi"/>
          <w:sz w:val="22"/>
          <w:szCs w:val="22"/>
          <w:lang w:val="it-IT" w:eastAsia="it-IT"/>
        </w:rPr>
        <w:t>6.3.</w:t>
      </w:r>
      <w:r w:rsidR="00F5760E">
        <w:rPr>
          <w:rFonts w:ascii="Garamond" w:eastAsia="Times New Roman" w:hAnsi="Garamond" w:cstheme="minorHAnsi"/>
          <w:sz w:val="22"/>
          <w:szCs w:val="22"/>
          <w:lang w:val="it-IT" w:eastAsia="it-IT"/>
        </w:rPr>
        <w:t xml:space="preserve"> </w:t>
      </w:r>
      <w:r w:rsidRPr="00FA3A75">
        <w:rPr>
          <w:rFonts w:ascii="Garamond" w:eastAsia="Times New Roman" w:hAnsi="Garamond" w:cstheme="minorHAnsi"/>
          <w:i/>
          <w:iCs/>
          <w:sz w:val="22"/>
          <w:szCs w:val="22"/>
          <w:lang w:val="it-IT" w:eastAsia="it-IT"/>
        </w:rPr>
        <w:t xml:space="preserve">Con riferimento ai casi di cui alla lett. a) dell’art. 24, co. 1, legge 241/1990 si sottolinea che il regolamento governativo di cui all’art. 24 co. 6 della medesima </w:t>
      </w:r>
      <w:r w:rsidRPr="00FF79B8">
        <w:rPr>
          <w:rFonts w:ascii="Garamond" w:eastAsia="Times New Roman" w:hAnsi="Garamond" w:cstheme="minorHAnsi"/>
          <w:i/>
          <w:iCs/>
          <w:sz w:val="22"/>
          <w:szCs w:val="22"/>
          <w:lang w:val="it-IT" w:eastAsia="it-IT"/>
        </w:rPr>
        <w:t xml:space="preserve">legge 241/1990 ancora non è stato adottato né la maggior parte delle amministrazioni risulta abbia adottato i regolamenti ai sensi dell’art. 24 co. 2 che devono individuare le categorie di documenti formati o rientranti nella loro disponibilità sottratti all’accesso ai sensi del co. 1 dello stesso articolo 24 e cioè relativi alle stesse categorie di casi o procedimenti previsti in detto comma. Giova evidenziare che il regolamento governativo di cui al co. 6 dell’art. 24 della legge 241/1990 deve disciplinare i casi di sottrazione all’accesso con riferimento alle stesse categorie di interessi che la normativa sull’accesso generalizzato identifica come casi di esclusioni “relative” all’accesso generalizzato stesso. Si profila, dunque, una potenziale sovrapposizione fra le due normative. Ad avviso dell’Autorità tale potenziale sovrapposizione, è necessario sia interpretata tenendo conto della parziale coincidenza tra le categorie di interessi che, ai sensi dell’art. 24, comma 6, della l. 241/1990, giustificano l’esclusione del diritto di accesso documentale, mentre, ai sensi dell’art. 5 bis, co. 1 e 2 del decreto trasparenza, comportano eccezioni solo relative all’accesso generalizzato. In tutti questi casi le amministrazioni, non potendo applicare le esclusioni generali del regime dell’accesso documentale, devono tenere in adeguata considerazione il grado di maggiore trasparenza al quale deve essere assoggettata l’attività istituzionale a seguito dell’intervento novellatore di cui al d.lgs. 97/16, valutando caso per caso le istanze di accesso a dati, documenti o informazioni detenute dalle medesime. Tale interpretazione è conforme all’evoluzione sostanziale del principio di trasparenza nel nostro ordinamento come indicato nel § 2 delle presenti linee guida, è sorretta dal principio della successione delle leggi nel tempo e della specialità della disciplina, ed è coerente con lo scopo della norma, che è quello di garantire un’ampia libertà di accesso ai dati e documenti delle pubbliche amministrazioni. In considerazione di quanto sopra e tenuto conto della diversa ratio dell’accesso 241 e dell’accesso generalizzato, sarebbe comunque auspicabile che il governo, nel predisporre il regolamento ex art. 24 co. 6, valuti attentamente l’evidenziata sovrapposizione fra le due normative e individui soluzioni compatibili con la </w:t>
      </w:r>
      <w:r w:rsidRPr="00FF79B8">
        <w:rPr>
          <w:rFonts w:ascii="Garamond" w:eastAsia="Times New Roman" w:hAnsi="Garamond" w:cstheme="minorHAnsi"/>
          <w:i/>
          <w:iCs/>
          <w:kern w:val="0"/>
          <w:sz w:val="22"/>
          <w:szCs w:val="22"/>
          <w:lang w:val="it-IT" w:eastAsia="it-IT" w:bidi="ar-SA"/>
        </w:rPr>
        <w:t>disciplina dell’accesso generalizzato e con l’evoluzione del principio di trasparenza nel nostro ordinamento, salvaguardando il favor per la trasparenza stabilito dal legislatore. &gt;&gt;</w:t>
      </w:r>
      <w:r w:rsidRPr="00FF79B8">
        <w:rPr>
          <w:rFonts w:ascii="Garamond" w:eastAsia="Times New Roman" w:hAnsi="Garamond" w:cstheme="minorHAnsi"/>
          <w:kern w:val="0"/>
          <w:sz w:val="22"/>
          <w:szCs w:val="22"/>
          <w:lang w:val="it-IT" w:eastAsia="it-IT" w:bidi="ar-SA"/>
        </w:rPr>
        <w:t xml:space="preserve">. </w:t>
      </w:r>
    </w:p>
  </w:footnote>
  <w:footnote w:id="23">
    <w:p w14:paraId="25820A67" w14:textId="7577149F" w:rsidR="00633492" w:rsidRPr="00633492" w:rsidRDefault="00633492" w:rsidP="00633492">
      <w:pPr>
        <w:pStyle w:val="Standard"/>
        <w:ind w:left="567" w:right="567"/>
        <w:jc w:val="both"/>
        <w:rPr>
          <w:rFonts w:ascii="Garamond" w:hAnsi="Garamond"/>
          <w:sz w:val="22"/>
          <w:szCs w:val="22"/>
          <w:lang w:val="it-IT"/>
        </w:rPr>
      </w:pPr>
      <w:r w:rsidRPr="00633492">
        <w:rPr>
          <w:rStyle w:val="Rimandonotaapidipagina"/>
          <w:rFonts w:ascii="Garamond" w:hAnsi="Garamond"/>
          <w:sz w:val="22"/>
          <w:szCs w:val="22"/>
          <w:lang w:val="it-IT"/>
        </w:rPr>
        <w:footnoteRef/>
      </w:r>
      <w:r w:rsidRPr="00633492">
        <w:rPr>
          <w:rFonts w:ascii="Garamond" w:hAnsi="Garamond"/>
          <w:sz w:val="22"/>
          <w:szCs w:val="22"/>
          <w:lang w:val="it-IT"/>
        </w:rPr>
        <w:t xml:space="preserve"> Art. 24, comma 2, l. n. 241 del 1990: </w:t>
      </w:r>
      <w:r w:rsidRPr="00633492">
        <w:rPr>
          <w:rFonts w:ascii="Garamond" w:hAnsi="Garamond"/>
          <w:i/>
          <w:iCs/>
          <w:sz w:val="22"/>
          <w:szCs w:val="22"/>
          <w:lang w:val="it-IT"/>
        </w:rPr>
        <w:t>“Le singole pubbliche amministrazioni individuano le categorie di documenti da esse formati o comunque rientranti nella loro disponibilità sottratti all'accesso ai sensi del comma 1.”</w:t>
      </w:r>
      <w:r w:rsidRPr="00633492">
        <w:rPr>
          <w:rFonts w:ascii="Garamond" w:hAnsi="Garamond"/>
          <w:sz w:val="22"/>
          <w:szCs w:val="22"/>
          <w:lang w:val="it-IT"/>
        </w:rPr>
        <w:t xml:space="preserve">. </w:t>
      </w:r>
    </w:p>
  </w:footnote>
  <w:footnote w:id="24">
    <w:p w14:paraId="3F3232EA" w14:textId="77777777" w:rsidR="00902440" w:rsidRPr="00973688" w:rsidRDefault="00902440" w:rsidP="00902440">
      <w:pPr>
        <w:pStyle w:val="Standard"/>
        <w:spacing w:before="20" w:after="20"/>
        <w:ind w:left="567" w:right="567"/>
        <w:jc w:val="both"/>
        <w:rPr>
          <w:rFonts w:ascii="Garamond" w:hAnsi="Garamond"/>
          <w:sz w:val="22"/>
          <w:szCs w:val="22"/>
          <w:lang w:val="it-IT"/>
        </w:rPr>
      </w:pPr>
      <w:r w:rsidRPr="00973688">
        <w:rPr>
          <w:rStyle w:val="Rimandonotaapidipagina"/>
          <w:rFonts w:ascii="Garamond" w:hAnsi="Garamond"/>
          <w:sz w:val="22"/>
          <w:szCs w:val="22"/>
          <w:lang w:val="it-IT"/>
        </w:rPr>
        <w:footnoteRef/>
      </w:r>
      <w:r w:rsidRPr="00973688">
        <w:rPr>
          <w:rFonts w:ascii="Garamond" w:hAnsi="Garamond"/>
          <w:sz w:val="22"/>
          <w:szCs w:val="22"/>
          <w:lang w:val="it-IT"/>
        </w:rPr>
        <w:t xml:space="preserve"> Il vecchio testo dell’art. 24, comma 4, della legge n. 241 del 1990 (ante riforma 2005) prevede</w:t>
      </w:r>
      <w:r>
        <w:rPr>
          <w:rFonts w:ascii="Garamond" w:hAnsi="Garamond"/>
          <w:sz w:val="22"/>
          <w:szCs w:val="22"/>
          <w:lang w:val="it-IT"/>
        </w:rPr>
        <w:t>va</w:t>
      </w:r>
      <w:r w:rsidRPr="00973688">
        <w:rPr>
          <w:rFonts w:ascii="Garamond" w:hAnsi="Garamond"/>
          <w:sz w:val="22"/>
          <w:szCs w:val="22"/>
          <w:lang w:val="it-IT"/>
        </w:rPr>
        <w:t xml:space="preserve"> quanto segue: </w:t>
      </w:r>
      <w:r>
        <w:rPr>
          <w:rFonts w:ascii="Garamond" w:hAnsi="Garamond"/>
          <w:sz w:val="22"/>
          <w:szCs w:val="22"/>
          <w:lang w:val="it-IT"/>
        </w:rPr>
        <w:t>“</w:t>
      </w:r>
      <w:r w:rsidRPr="00973688">
        <w:rPr>
          <w:rFonts w:ascii="Garamond" w:hAnsi="Garamond"/>
          <w:i/>
          <w:color w:val="000000"/>
          <w:sz w:val="22"/>
          <w:szCs w:val="22"/>
          <w:lang w:val="it-IT"/>
        </w:rPr>
        <w:t>Le singole amministrazioni hanno l'obbligo di individuare, con uno o più regolamenti da emanarsi entro i sei mesi successivi, le categorie di documenti da esse formati o comunque rientranti nella loro disponibilità sottratti all'accesso per le esigenze di cui al comma 2.</w:t>
      </w:r>
      <w:r>
        <w:rPr>
          <w:rFonts w:ascii="Garamond" w:hAnsi="Garamond"/>
          <w:i/>
          <w:color w:val="000000"/>
          <w:sz w:val="22"/>
          <w:szCs w:val="22"/>
          <w:lang w:val="it-IT"/>
        </w:rPr>
        <w:t>”</w:t>
      </w:r>
      <w:r>
        <w:rPr>
          <w:rFonts w:ascii="Garamond" w:hAnsi="Garamond"/>
          <w:iCs/>
          <w:color w:val="000000"/>
          <w:sz w:val="22"/>
          <w:szCs w:val="22"/>
          <w:lang w:val="it-IT"/>
        </w:rPr>
        <w:t>.</w:t>
      </w:r>
    </w:p>
  </w:footnote>
  <w:footnote w:id="25">
    <w:p w14:paraId="7573FB9B" w14:textId="77777777" w:rsidR="00AD086E" w:rsidRPr="00655908" w:rsidRDefault="00AD086E" w:rsidP="00AD086E">
      <w:pPr>
        <w:pStyle w:val="Standard"/>
        <w:ind w:left="567" w:right="567"/>
        <w:jc w:val="both"/>
        <w:rPr>
          <w:rFonts w:ascii="Garamond" w:hAnsi="Garamond" w:cs="Segoe UI"/>
          <w:sz w:val="22"/>
          <w:szCs w:val="22"/>
        </w:rPr>
      </w:pPr>
      <w:r w:rsidRPr="00655908">
        <w:rPr>
          <w:rStyle w:val="Rimandonotaapidipagina"/>
          <w:rFonts w:ascii="Garamond" w:hAnsi="Garamond" w:cs="Segoe UI"/>
          <w:sz w:val="22"/>
          <w:szCs w:val="22"/>
        </w:rPr>
        <w:footnoteRef/>
      </w:r>
      <w:r w:rsidRPr="00655908">
        <w:rPr>
          <w:rFonts w:ascii="Garamond" w:hAnsi="Garamond" w:cs="Segoe UI"/>
          <w:sz w:val="22"/>
          <w:szCs w:val="22"/>
          <w:lang w:val="it-IT"/>
        </w:rPr>
        <w:t xml:space="preserve"> C</w:t>
      </w:r>
      <w:r>
        <w:rPr>
          <w:rFonts w:ascii="Garamond" w:hAnsi="Garamond" w:cs="Segoe UI"/>
          <w:sz w:val="22"/>
          <w:szCs w:val="22"/>
          <w:lang w:val="it-IT"/>
        </w:rPr>
        <w:t xml:space="preserve">fr. </w:t>
      </w:r>
      <w:r w:rsidRPr="00655908">
        <w:rPr>
          <w:rFonts w:ascii="Garamond" w:hAnsi="Garamond" w:cs="Segoe UI"/>
          <w:sz w:val="22"/>
          <w:szCs w:val="22"/>
          <w:lang w:val="it-IT"/>
        </w:rPr>
        <w:t xml:space="preserve">Sempreviva M.T., </w:t>
      </w:r>
      <w:r w:rsidRPr="00655908">
        <w:rPr>
          <w:rFonts w:ascii="Garamond" w:hAnsi="Garamond" w:cs="Segoe UI"/>
          <w:i/>
          <w:iCs/>
          <w:sz w:val="22"/>
          <w:szCs w:val="22"/>
          <w:lang w:val="it-IT"/>
        </w:rPr>
        <w:t>Le nuove regole dell’azione amministrativa dopo le Leggi n. 15/2005 e n. 80/2005</w:t>
      </w:r>
      <w:r w:rsidRPr="00655908">
        <w:rPr>
          <w:rFonts w:ascii="Garamond" w:hAnsi="Garamond" w:cs="Segoe UI"/>
          <w:sz w:val="22"/>
          <w:szCs w:val="22"/>
          <w:lang w:val="it-IT"/>
        </w:rPr>
        <w:t xml:space="preserve">, Giuffrè, 2005, la quale osserva che </w:t>
      </w:r>
      <w:r w:rsidRPr="00655908">
        <w:rPr>
          <w:rFonts w:ascii="Garamond" w:hAnsi="Garamond" w:cs="Segoe UI"/>
          <w:i/>
          <w:iCs/>
          <w:sz w:val="22"/>
          <w:szCs w:val="22"/>
          <w:lang w:val="it-IT"/>
        </w:rPr>
        <w:t>&lt;&lt;</w:t>
      </w:r>
      <w:proofErr w:type="gramStart"/>
      <w:r w:rsidRPr="00655908">
        <w:rPr>
          <w:rFonts w:ascii="Garamond" w:hAnsi="Garamond" w:cs="Segoe UI"/>
          <w:i/>
          <w:iCs/>
          <w:sz w:val="22"/>
          <w:szCs w:val="22"/>
          <w:lang w:val="it-IT"/>
        </w:rPr>
        <w:t xml:space="preserve"> ..</w:t>
      </w:r>
      <w:proofErr w:type="gramEnd"/>
      <w:r w:rsidRPr="00655908">
        <w:rPr>
          <w:rFonts w:ascii="Garamond" w:hAnsi="Garamond" w:cs="Segoe UI"/>
          <w:i/>
          <w:iCs/>
          <w:sz w:val="22"/>
          <w:szCs w:val="22"/>
          <w:lang w:val="it-IT"/>
        </w:rPr>
        <w:t xml:space="preserve"> i regolamenti governativi e quelli amministrativi si muovono prevalentemente per disciplinare materie non necessariamente coincidenti. &gt;&gt;</w:t>
      </w:r>
      <w:r w:rsidRPr="00655908">
        <w:rPr>
          <w:rFonts w:ascii="Garamond" w:hAnsi="Garamond" w:cs="Segoe UI"/>
          <w:sz w:val="22"/>
          <w:szCs w:val="22"/>
          <w:lang w:val="it-IT"/>
        </w:rPr>
        <w:t>.</w:t>
      </w:r>
    </w:p>
  </w:footnote>
  <w:footnote w:id="26">
    <w:p w14:paraId="69240E28" w14:textId="1BEBB41B" w:rsidR="0055214A" w:rsidRPr="00633492" w:rsidRDefault="0055214A" w:rsidP="00633492">
      <w:pPr>
        <w:pStyle w:val="Standard"/>
        <w:ind w:left="567" w:right="567"/>
        <w:jc w:val="both"/>
        <w:rPr>
          <w:rFonts w:ascii="Garamond" w:hAnsi="Garamond"/>
          <w:sz w:val="22"/>
          <w:szCs w:val="22"/>
        </w:rPr>
      </w:pPr>
      <w:r w:rsidRPr="0055214A">
        <w:rPr>
          <w:rStyle w:val="Rimandonotaapidipagina"/>
          <w:rFonts w:ascii="Garamond" w:hAnsi="Garamond"/>
          <w:sz w:val="22"/>
          <w:szCs w:val="22"/>
          <w:lang w:val="it-IT"/>
        </w:rPr>
        <w:footnoteRef/>
      </w:r>
      <w:r w:rsidRPr="0055214A">
        <w:rPr>
          <w:rFonts w:ascii="Garamond" w:hAnsi="Garamond"/>
          <w:sz w:val="22"/>
          <w:szCs w:val="22"/>
        </w:rPr>
        <w:t xml:space="preserve"> </w:t>
      </w:r>
      <w:r w:rsidR="00C46740">
        <w:rPr>
          <w:rFonts w:ascii="Garamond" w:hAnsi="Garamond"/>
          <w:sz w:val="22"/>
          <w:szCs w:val="22"/>
          <w:lang w:val="it-IT"/>
        </w:rPr>
        <w:t xml:space="preserve">Vedi </w:t>
      </w:r>
      <w:r w:rsidRPr="0055214A">
        <w:rPr>
          <w:rFonts w:ascii="Garamond" w:hAnsi="Garamond" w:cs="Segoe UI"/>
          <w:sz w:val="22"/>
          <w:szCs w:val="22"/>
          <w:lang w:val="it-IT"/>
        </w:rPr>
        <w:t>Alberti P., in Codice dell’azione amministrativa, Giuffrè, 2011</w:t>
      </w:r>
      <w:r w:rsidR="00C46740">
        <w:rPr>
          <w:rFonts w:ascii="Garamond" w:hAnsi="Garamond" w:cs="Segoe UI"/>
          <w:sz w:val="22"/>
          <w:szCs w:val="22"/>
          <w:lang w:val="it-IT"/>
        </w:rPr>
        <w:t>,</w:t>
      </w:r>
      <w:r w:rsidR="00C46740" w:rsidRPr="004E4417">
        <w:rPr>
          <w:rFonts w:ascii="Garamond" w:eastAsia="Times New Roman" w:hAnsi="Garamond" w:cs="Times New Roman"/>
          <w:color w:val="000000"/>
          <w:kern w:val="0"/>
          <w:sz w:val="22"/>
          <w:szCs w:val="22"/>
          <w:lang w:val="it-IT" w:eastAsia="it-IT" w:bidi="ar-SA"/>
        </w:rPr>
        <w:t xml:space="preserve"> il quale </w:t>
      </w:r>
      <w:r w:rsidR="00C46740">
        <w:rPr>
          <w:rFonts w:ascii="Garamond" w:eastAsia="Times New Roman" w:hAnsi="Garamond" w:cs="Times New Roman"/>
          <w:color w:val="000000"/>
          <w:kern w:val="0"/>
          <w:sz w:val="22"/>
          <w:szCs w:val="22"/>
          <w:lang w:val="it-IT" w:eastAsia="it-IT" w:bidi="ar-SA"/>
        </w:rPr>
        <w:t xml:space="preserve">rileva che </w:t>
      </w:r>
      <w:r w:rsidR="00C46740" w:rsidRPr="004E4417">
        <w:rPr>
          <w:rFonts w:ascii="Garamond" w:eastAsia="Times New Roman" w:hAnsi="Garamond" w:cs="Times New Roman"/>
          <w:i/>
          <w:iCs/>
          <w:color w:val="000000"/>
          <w:kern w:val="0"/>
          <w:sz w:val="22"/>
          <w:szCs w:val="22"/>
          <w:lang w:val="it-IT" w:eastAsia="it-IT" w:bidi="ar-SA"/>
        </w:rPr>
        <w:t>&lt;&lt;</w:t>
      </w:r>
      <w:proofErr w:type="gramStart"/>
      <w:r w:rsidR="00C46740" w:rsidRPr="004E4417">
        <w:rPr>
          <w:rFonts w:ascii="Garamond" w:eastAsia="Times New Roman" w:hAnsi="Garamond" w:cs="Times New Roman"/>
          <w:i/>
          <w:iCs/>
          <w:color w:val="000000"/>
          <w:kern w:val="0"/>
          <w:sz w:val="22"/>
          <w:szCs w:val="22"/>
          <w:lang w:val="it-IT" w:eastAsia="it-IT" w:bidi="ar-SA"/>
        </w:rPr>
        <w:t xml:space="preserve"> ..</w:t>
      </w:r>
      <w:proofErr w:type="gramEnd"/>
      <w:r w:rsidR="00C46740" w:rsidRPr="004E4417">
        <w:rPr>
          <w:rFonts w:ascii="Garamond" w:eastAsia="Times New Roman" w:hAnsi="Garamond" w:cs="Times New Roman"/>
          <w:i/>
          <w:iCs/>
          <w:color w:val="000000"/>
          <w:kern w:val="0"/>
          <w:sz w:val="22"/>
          <w:szCs w:val="22"/>
          <w:lang w:val="it-IT" w:eastAsia="it-IT" w:bidi="ar-SA"/>
        </w:rPr>
        <w:t xml:space="preserve"> mentre per quanto riguarda il Governo è la legge a specificare i casi in cui tale organo può sottrarre all’accesso documenti amministrativi, per quanto riguarda invece le singole amministrazioni, è demandato loro di individuare le categorie di documenti inaccessibili in relazione ai (soli) casi di esclusione previsti dal precedente comma 1. &gt;&gt;</w:t>
      </w:r>
      <w:r w:rsidR="00C46740" w:rsidRPr="004E4417">
        <w:rPr>
          <w:rFonts w:ascii="Garamond" w:eastAsia="Times New Roman" w:hAnsi="Garamond" w:cs="Times New Roman"/>
          <w:color w:val="000000"/>
          <w:kern w:val="0"/>
          <w:sz w:val="22"/>
          <w:szCs w:val="22"/>
          <w:lang w:val="it-IT" w:eastAsia="it-IT" w:bidi="ar-SA"/>
        </w:rPr>
        <w:t xml:space="preserve">. </w:t>
      </w:r>
    </w:p>
  </w:footnote>
  <w:footnote w:id="27">
    <w:p w14:paraId="1FDCE4FE" w14:textId="28B9091A" w:rsidR="00CB04D7" w:rsidRPr="00633492" w:rsidRDefault="00CB04D7" w:rsidP="00CB04D7">
      <w:pPr>
        <w:pStyle w:val="Standard"/>
        <w:ind w:left="567" w:right="567"/>
        <w:jc w:val="both"/>
        <w:rPr>
          <w:rFonts w:ascii="Garamond" w:hAnsi="Garamond" w:cs="Segoe UI"/>
          <w:sz w:val="22"/>
          <w:szCs w:val="22"/>
        </w:rPr>
      </w:pPr>
      <w:r w:rsidRPr="00633492">
        <w:rPr>
          <w:rStyle w:val="Rimandonotaapidipagina"/>
          <w:rFonts w:ascii="Garamond" w:hAnsi="Garamond" w:cs="Segoe UI"/>
          <w:sz w:val="22"/>
          <w:szCs w:val="22"/>
        </w:rPr>
        <w:footnoteRef/>
      </w:r>
      <w:r w:rsidRPr="00633492">
        <w:rPr>
          <w:rFonts w:ascii="Garamond" w:hAnsi="Garamond" w:cs="Segoe UI"/>
          <w:color w:val="000000"/>
          <w:sz w:val="22"/>
          <w:szCs w:val="22"/>
          <w:lang w:val="it-IT"/>
        </w:rPr>
        <w:t xml:space="preserve"> </w:t>
      </w:r>
      <w:r>
        <w:rPr>
          <w:rFonts w:ascii="Garamond" w:hAnsi="Garamond" w:cs="Segoe UI"/>
          <w:sz w:val="22"/>
          <w:szCs w:val="22"/>
          <w:lang w:val="it-IT"/>
        </w:rPr>
        <w:t>S</w:t>
      </w:r>
      <w:r w:rsidRPr="00655908">
        <w:rPr>
          <w:rFonts w:ascii="Garamond" w:hAnsi="Garamond" w:cs="Segoe UI"/>
          <w:sz w:val="22"/>
          <w:szCs w:val="22"/>
          <w:lang w:val="it-IT"/>
        </w:rPr>
        <w:t xml:space="preserve">i è osservato, al riguardo, che </w:t>
      </w:r>
      <w:r w:rsidRPr="00655908">
        <w:rPr>
          <w:rFonts w:ascii="Garamond" w:hAnsi="Garamond" w:cs="Segoe UI"/>
          <w:i/>
          <w:iCs/>
          <w:sz w:val="22"/>
          <w:szCs w:val="22"/>
          <w:lang w:val="it-IT"/>
        </w:rPr>
        <w:t>&lt;&lt; Il profilo certamente più problematico resta l’attuazione della regola afferente alla limitazione per la tutela della riservatezza: il regolamento n. 352/1992 contiene, infatti, qualche specificazione rispetto al testo legislativo, ma non risolve il nodo centrale del modo in cui vada svolto il “bilanciamento” tra la protezione della privacy e la pretesa all’accesso. &gt;&gt;</w:t>
      </w:r>
      <w:r w:rsidRPr="00655908">
        <w:rPr>
          <w:rFonts w:ascii="Garamond" w:hAnsi="Garamond" w:cs="Segoe UI"/>
          <w:sz w:val="22"/>
          <w:szCs w:val="22"/>
          <w:lang w:val="it-IT"/>
        </w:rPr>
        <w:t xml:space="preserve"> (Lipari M.</w:t>
      </w:r>
      <w:r>
        <w:rPr>
          <w:rFonts w:ascii="Garamond" w:hAnsi="Garamond" w:cs="Segoe UI"/>
          <w:sz w:val="22"/>
          <w:szCs w:val="22"/>
          <w:lang w:val="it-IT"/>
        </w:rPr>
        <w:t>, op. cit.</w:t>
      </w:r>
      <w:r w:rsidRPr="00655908">
        <w:rPr>
          <w:rFonts w:ascii="Garamond" w:hAnsi="Garamond" w:cs="Segoe UI"/>
          <w:sz w:val="22"/>
          <w:szCs w:val="22"/>
          <w:lang w:val="it-IT"/>
        </w:rPr>
        <w:t>).</w:t>
      </w:r>
    </w:p>
  </w:footnote>
  <w:footnote w:id="28">
    <w:p w14:paraId="10FBEF29" w14:textId="5F95A996" w:rsidR="00CB04D7" w:rsidRPr="00633492" w:rsidRDefault="00CB04D7" w:rsidP="00CB04D7">
      <w:pPr>
        <w:pStyle w:val="Standard"/>
        <w:ind w:left="567" w:right="567"/>
        <w:jc w:val="both"/>
        <w:rPr>
          <w:rFonts w:ascii="Garamond" w:hAnsi="Garamond" w:cs="Segoe UI"/>
          <w:sz w:val="22"/>
          <w:szCs w:val="22"/>
        </w:rPr>
      </w:pPr>
      <w:r w:rsidRPr="00633492">
        <w:rPr>
          <w:rStyle w:val="Rimandonotaapidipagina"/>
          <w:rFonts w:ascii="Garamond" w:hAnsi="Garamond" w:cs="Segoe UI"/>
          <w:sz w:val="22"/>
          <w:szCs w:val="22"/>
        </w:rPr>
        <w:footnoteRef/>
      </w:r>
      <w:r w:rsidRPr="00633492">
        <w:rPr>
          <w:rFonts w:ascii="Garamond" w:hAnsi="Garamond" w:cs="Segoe UI"/>
          <w:color w:val="000000"/>
          <w:sz w:val="22"/>
          <w:szCs w:val="22"/>
          <w:lang w:val="it-IT"/>
        </w:rPr>
        <w:t xml:space="preserve"> </w:t>
      </w:r>
      <w:r>
        <w:rPr>
          <w:rFonts w:ascii="Garamond" w:hAnsi="Garamond" w:cs="Segoe UI"/>
          <w:sz w:val="22"/>
          <w:szCs w:val="22"/>
          <w:lang w:val="it-IT"/>
        </w:rPr>
        <w:t>V</w:t>
      </w:r>
      <w:r w:rsidRPr="00633492">
        <w:rPr>
          <w:rFonts w:ascii="Garamond" w:hAnsi="Garamond" w:cs="Segoe UI"/>
          <w:sz w:val="22"/>
          <w:szCs w:val="22"/>
          <w:lang w:val="it-IT"/>
        </w:rPr>
        <w:t>edasi T</w:t>
      </w:r>
      <w:r>
        <w:rPr>
          <w:rFonts w:ascii="Garamond" w:hAnsi="Garamond" w:cs="Segoe UI"/>
          <w:sz w:val="22"/>
          <w:szCs w:val="22"/>
          <w:lang w:val="it-IT"/>
        </w:rPr>
        <w:t xml:space="preserve">ar </w:t>
      </w:r>
      <w:r w:rsidRPr="00633492">
        <w:rPr>
          <w:rFonts w:ascii="Garamond" w:hAnsi="Garamond" w:cs="Segoe UI"/>
          <w:sz w:val="22"/>
          <w:szCs w:val="22"/>
          <w:lang w:val="it-IT"/>
        </w:rPr>
        <w:t>Catania</w:t>
      </w:r>
      <w:r>
        <w:rPr>
          <w:rFonts w:ascii="Garamond" w:hAnsi="Garamond" w:cs="Segoe UI"/>
          <w:sz w:val="22"/>
          <w:szCs w:val="22"/>
          <w:lang w:val="it-IT"/>
        </w:rPr>
        <w:t>,</w:t>
      </w:r>
      <w:r w:rsidRPr="00633492">
        <w:rPr>
          <w:rFonts w:ascii="Garamond" w:hAnsi="Garamond" w:cs="Segoe UI"/>
          <w:sz w:val="22"/>
          <w:szCs w:val="22"/>
          <w:lang w:val="it-IT"/>
        </w:rPr>
        <w:t xml:space="preserve"> sez. IV</w:t>
      </w:r>
      <w:r>
        <w:rPr>
          <w:rFonts w:ascii="Garamond" w:hAnsi="Garamond" w:cs="Segoe UI"/>
          <w:sz w:val="22"/>
          <w:szCs w:val="22"/>
          <w:lang w:val="it-IT"/>
        </w:rPr>
        <w:t>,</w:t>
      </w:r>
      <w:r w:rsidRPr="00633492">
        <w:rPr>
          <w:rFonts w:ascii="Garamond" w:hAnsi="Garamond" w:cs="Segoe UI"/>
          <w:sz w:val="22"/>
          <w:szCs w:val="22"/>
          <w:lang w:val="it-IT"/>
        </w:rPr>
        <w:t xml:space="preserve"> 17</w:t>
      </w:r>
      <w:r>
        <w:rPr>
          <w:rFonts w:ascii="Garamond" w:hAnsi="Garamond" w:cs="Segoe UI"/>
          <w:sz w:val="22"/>
          <w:szCs w:val="22"/>
          <w:lang w:val="it-IT"/>
        </w:rPr>
        <w:t xml:space="preserve"> aprile </w:t>
      </w:r>
      <w:r w:rsidRPr="00633492">
        <w:rPr>
          <w:rFonts w:ascii="Garamond" w:hAnsi="Garamond" w:cs="Segoe UI"/>
          <w:sz w:val="22"/>
          <w:szCs w:val="22"/>
          <w:lang w:val="it-IT"/>
        </w:rPr>
        <w:t xml:space="preserve">2012, n. 1025; </w:t>
      </w:r>
      <w:r>
        <w:rPr>
          <w:rFonts w:ascii="Garamond" w:hAnsi="Garamond" w:cs="Segoe UI"/>
          <w:sz w:val="22"/>
          <w:szCs w:val="22"/>
          <w:lang w:val="it-IT"/>
        </w:rPr>
        <w:t xml:space="preserve">Lazio, </w:t>
      </w:r>
      <w:r w:rsidRPr="00633492">
        <w:rPr>
          <w:rFonts w:ascii="Garamond" w:hAnsi="Garamond" w:cs="Segoe UI"/>
          <w:sz w:val="22"/>
          <w:szCs w:val="22"/>
          <w:lang w:val="it-IT"/>
        </w:rPr>
        <w:t>sez. II</w:t>
      </w:r>
      <w:r>
        <w:rPr>
          <w:rFonts w:ascii="Garamond" w:hAnsi="Garamond" w:cs="Segoe UI"/>
          <w:sz w:val="22"/>
          <w:szCs w:val="22"/>
          <w:lang w:val="it-IT"/>
        </w:rPr>
        <w:t>,</w:t>
      </w:r>
      <w:r w:rsidRPr="00633492">
        <w:rPr>
          <w:rFonts w:ascii="Garamond" w:hAnsi="Garamond" w:cs="Segoe UI"/>
          <w:sz w:val="22"/>
          <w:szCs w:val="22"/>
          <w:lang w:val="it-IT"/>
        </w:rPr>
        <w:t xml:space="preserve"> 1</w:t>
      </w:r>
      <w:r w:rsidR="00362159">
        <w:rPr>
          <w:rFonts w:ascii="Garamond" w:hAnsi="Garamond" w:cs="Segoe UI"/>
          <w:sz w:val="22"/>
          <w:szCs w:val="22"/>
          <w:lang w:val="it-IT"/>
        </w:rPr>
        <w:t>°</w:t>
      </w:r>
      <w:r>
        <w:rPr>
          <w:rFonts w:ascii="Garamond" w:hAnsi="Garamond" w:cs="Segoe UI"/>
          <w:sz w:val="22"/>
          <w:szCs w:val="22"/>
          <w:lang w:val="it-IT"/>
        </w:rPr>
        <w:t xml:space="preserve"> dicembre </w:t>
      </w:r>
      <w:r w:rsidRPr="00633492">
        <w:rPr>
          <w:rFonts w:ascii="Garamond" w:hAnsi="Garamond" w:cs="Segoe UI"/>
          <w:sz w:val="22"/>
          <w:szCs w:val="22"/>
          <w:lang w:val="it-IT"/>
        </w:rPr>
        <w:t>2011, n. 9469; Catania</w:t>
      </w:r>
      <w:r w:rsidR="00362159">
        <w:rPr>
          <w:rFonts w:ascii="Garamond" w:hAnsi="Garamond" w:cs="Segoe UI"/>
          <w:sz w:val="22"/>
          <w:szCs w:val="22"/>
          <w:lang w:val="it-IT"/>
        </w:rPr>
        <w:t>,</w:t>
      </w:r>
      <w:r w:rsidRPr="00633492">
        <w:rPr>
          <w:rFonts w:ascii="Garamond" w:hAnsi="Garamond" w:cs="Segoe UI"/>
          <w:sz w:val="22"/>
          <w:szCs w:val="22"/>
          <w:lang w:val="it-IT"/>
        </w:rPr>
        <w:t xml:space="preserve"> sez. IV</w:t>
      </w:r>
      <w:r w:rsidR="00362159">
        <w:rPr>
          <w:rFonts w:ascii="Garamond" w:hAnsi="Garamond" w:cs="Segoe UI"/>
          <w:sz w:val="22"/>
          <w:szCs w:val="22"/>
          <w:lang w:val="it-IT"/>
        </w:rPr>
        <w:t>,</w:t>
      </w:r>
      <w:r w:rsidRPr="00633492">
        <w:rPr>
          <w:rFonts w:ascii="Garamond" w:hAnsi="Garamond" w:cs="Segoe UI"/>
          <w:sz w:val="22"/>
          <w:szCs w:val="22"/>
          <w:lang w:val="it-IT"/>
        </w:rPr>
        <w:t xml:space="preserve"> 21</w:t>
      </w:r>
      <w:r w:rsidR="00362159">
        <w:rPr>
          <w:rFonts w:ascii="Garamond" w:hAnsi="Garamond" w:cs="Segoe UI"/>
          <w:sz w:val="22"/>
          <w:szCs w:val="22"/>
          <w:lang w:val="it-IT"/>
        </w:rPr>
        <w:t xml:space="preserve"> luglio </w:t>
      </w:r>
      <w:r w:rsidRPr="00633492">
        <w:rPr>
          <w:rFonts w:ascii="Garamond" w:hAnsi="Garamond" w:cs="Segoe UI"/>
          <w:sz w:val="22"/>
          <w:szCs w:val="22"/>
          <w:lang w:val="it-IT"/>
        </w:rPr>
        <w:t>2011, n. 1968; Bologna</w:t>
      </w:r>
      <w:r w:rsidR="00362159">
        <w:rPr>
          <w:rFonts w:ascii="Garamond" w:hAnsi="Garamond" w:cs="Segoe UI"/>
          <w:sz w:val="22"/>
          <w:szCs w:val="22"/>
          <w:lang w:val="it-IT"/>
        </w:rPr>
        <w:t>,</w:t>
      </w:r>
      <w:r w:rsidRPr="00633492">
        <w:rPr>
          <w:rFonts w:ascii="Garamond" w:hAnsi="Garamond" w:cs="Segoe UI"/>
          <w:sz w:val="22"/>
          <w:szCs w:val="22"/>
          <w:lang w:val="it-IT"/>
        </w:rPr>
        <w:t xml:space="preserve"> sez. II</w:t>
      </w:r>
      <w:r w:rsidR="00362159">
        <w:rPr>
          <w:rFonts w:ascii="Garamond" w:hAnsi="Garamond" w:cs="Segoe UI"/>
          <w:sz w:val="22"/>
          <w:szCs w:val="22"/>
          <w:lang w:val="it-IT"/>
        </w:rPr>
        <w:t>,</w:t>
      </w:r>
      <w:r w:rsidRPr="00633492">
        <w:rPr>
          <w:rFonts w:ascii="Garamond" w:hAnsi="Garamond" w:cs="Segoe UI"/>
          <w:sz w:val="22"/>
          <w:szCs w:val="22"/>
          <w:lang w:val="it-IT"/>
        </w:rPr>
        <w:t xml:space="preserve"> 3</w:t>
      </w:r>
      <w:r w:rsidR="00362159">
        <w:rPr>
          <w:rFonts w:ascii="Garamond" w:hAnsi="Garamond" w:cs="Segoe UI"/>
          <w:sz w:val="22"/>
          <w:szCs w:val="22"/>
          <w:lang w:val="it-IT"/>
        </w:rPr>
        <w:t xml:space="preserve"> agosto </w:t>
      </w:r>
      <w:r w:rsidRPr="00633492">
        <w:rPr>
          <w:rFonts w:ascii="Garamond" w:hAnsi="Garamond" w:cs="Segoe UI"/>
          <w:sz w:val="22"/>
          <w:szCs w:val="22"/>
          <w:lang w:val="it-IT"/>
        </w:rPr>
        <w:t>2009, n. 1157; Torino</w:t>
      </w:r>
      <w:r w:rsidR="00362159">
        <w:rPr>
          <w:rFonts w:ascii="Garamond" w:hAnsi="Garamond" w:cs="Segoe UI"/>
          <w:sz w:val="22"/>
          <w:szCs w:val="22"/>
          <w:lang w:val="it-IT"/>
        </w:rPr>
        <w:t>,</w:t>
      </w:r>
      <w:r w:rsidRPr="00633492">
        <w:rPr>
          <w:rFonts w:ascii="Garamond" w:hAnsi="Garamond" w:cs="Segoe UI"/>
          <w:sz w:val="22"/>
          <w:szCs w:val="22"/>
          <w:lang w:val="it-IT"/>
        </w:rPr>
        <w:t xml:space="preserve"> sez. II</w:t>
      </w:r>
      <w:r w:rsidR="00362159">
        <w:rPr>
          <w:rFonts w:ascii="Garamond" w:hAnsi="Garamond" w:cs="Segoe UI"/>
          <w:sz w:val="22"/>
          <w:szCs w:val="22"/>
          <w:lang w:val="it-IT"/>
        </w:rPr>
        <w:t>,</w:t>
      </w:r>
      <w:r w:rsidRPr="00633492">
        <w:rPr>
          <w:rFonts w:ascii="Garamond" w:hAnsi="Garamond" w:cs="Segoe UI"/>
          <w:sz w:val="22"/>
          <w:szCs w:val="22"/>
          <w:lang w:val="it-IT"/>
        </w:rPr>
        <w:t xml:space="preserve"> 25</w:t>
      </w:r>
      <w:r w:rsidR="00362159">
        <w:rPr>
          <w:rFonts w:ascii="Garamond" w:hAnsi="Garamond" w:cs="Segoe UI"/>
          <w:sz w:val="22"/>
          <w:szCs w:val="22"/>
          <w:lang w:val="it-IT"/>
        </w:rPr>
        <w:t xml:space="preserve"> febbraio </w:t>
      </w:r>
      <w:r w:rsidRPr="00633492">
        <w:rPr>
          <w:rFonts w:ascii="Garamond" w:hAnsi="Garamond" w:cs="Segoe UI"/>
          <w:sz w:val="22"/>
          <w:szCs w:val="22"/>
          <w:lang w:val="it-IT"/>
        </w:rPr>
        <w:t>2006, n. 1127.</w:t>
      </w:r>
    </w:p>
  </w:footnote>
  <w:footnote w:id="29">
    <w:p w14:paraId="7C5A8EA5" w14:textId="5FD12EEB" w:rsidR="005068BF" w:rsidRPr="00633492" w:rsidRDefault="005068BF" w:rsidP="005068BF">
      <w:pPr>
        <w:pStyle w:val="Standard"/>
        <w:ind w:left="567" w:right="567"/>
        <w:jc w:val="both"/>
        <w:rPr>
          <w:rFonts w:ascii="Garamond" w:hAnsi="Garamond" w:cs="Segoe UI"/>
          <w:sz w:val="22"/>
          <w:szCs w:val="22"/>
        </w:rPr>
      </w:pPr>
      <w:r w:rsidRPr="00633492">
        <w:rPr>
          <w:rStyle w:val="Rimandonotaapidipagina"/>
          <w:rFonts w:ascii="Garamond" w:hAnsi="Garamond" w:cs="Segoe UI"/>
          <w:sz w:val="22"/>
          <w:szCs w:val="22"/>
        </w:rPr>
        <w:footnoteRef/>
      </w:r>
      <w:r w:rsidRPr="00633492">
        <w:rPr>
          <w:rFonts w:ascii="Garamond" w:hAnsi="Garamond" w:cs="Segoe UI"/>
          <w:color w:val="000000"/>
          <w:sz w:val="22"/>
          <w:szCs w:val="22"/>
          <w:lang w:val="it-IT"/>
        </w:rPr>
        <w:t xml:space="preserve"> </w:t>
      </w:r>
      <w:r>
        <w:rPr>
          <w:rFonts w:ascii="Garamond" w:hAnsi="Garamond" w:cs="Segoe UI"/>
          <w:color w:val="000000"/>
          <w:sz w:val="22"/>
          <w:szCs w:val="22"/>
          <w:lang w:val="it-IT"/>
        </w:rPr>
        <w:t>Sul punto Lipari M., op. cit. osserva</w:t>
      </w:r>
      <w:r w:rsidRPr="005068BF">
        <w:rPr>
          <w:rFonts w:ascii="Garamond" w:hAnsi="Garamond"/>
          <w:sz w:val="22"/>
          <w:szCs w:val="22"/>
          <w:lang w:val="it-IT"/>
        </w:rPr>
        <w:t xml:space="preserve"> </w:t>
      </w:r>
      <w:r>
        <w:rPr>
          <w:rFonts w:ascii="Garamond" w:hAnsi="Garamond"/>
          <w:sz w:val="22"/>
          <w:szCs w:val="22"/>
          <w:lang w:val="it-IT"/>
        </w:rPr>
        <w:t xml:space="preserve">che </w:t>
      </w:r>
      <w:r w:rsidRPr="00655908">
        <w:rPr>
          <w:rFonts w:ascii="Garamond" w:hAnsi="Garamond"/>
          <w:i/>
          <w:sz w:val="22"/>
          <w:szCs w:val="22"/>
          <w:lang w:val="it-IT"/>
        </w:rPr>
        <w:t>&lt;&lt; le amministrazioni dovrebbero provvedere ad emanare un atto ricognitivo di tali esclusioni. &gt;&gt;</w:t>
      </w:r>
      <w:r>
        <w:rPr>
          <w:rFonts w:ascii="Garamond" w:hAnsi="Garamond"/>
          <w:sz w:val="22"/>
          <w:szCs w:val="22"/>
          <w:lang w:val="it-IT"/>
        </w:rPr>
        <w:t xml:space="preserve"> , rilevando che </w:t>
      </w:r>
      <w:r w:rsidRPr="00655908">
        <w:rPr>
          <w:rFonts w:ascii="Garamond" w:hAnsi="Garamond"/>
          <w:i/>
          <w:sz w:val="22"/>
          <w:szCs w:val="22"/>
          <w:lang w:val="it-IT"/>
        </w:rPr>
        <w:t>&lt;&lt; Nell’esperienza pratica e giurisprudenziale si è sostanzialmente ridimensionato il ruolo dei regolamenti delle singole amministrazioni, ai quali si attribuisce, nella sostanza valore poco più che ricognitivo. L’accessibilità oggettiva di un atto viene valutata direttamente attraverso la sua riconducibilità, o meno, alla dizione legislativa. Il regolamento, eventualmente adottato dall’amministrazione, ha solo una funzione integrativa di supporto. &gt;&gt;</w:t>
      </w:r>
      <w:r w:rsidRPr="00655908">
        <w:rPr>
          <w:rFonts w:ascii="Garamond" w:hAnsi="Garamond"/>
          <w:sz w:val="22"/>
          <w:szCs w:val="22"/>
          <w:lang w:val="it-IT"/>
        </w:rPr>
        <w:t>.</w:t>
      </w:r>
      <w:r>
        <w:rPr>
          <w:rFonts w:ascii="Garamond" w:hAnsi="Garamond"/>
          <w:sz w:val="22"/>
          <w:szCs w:val="22"/>
          <w:lang w:val="it-IT"/>
        </w:rPr>
        <w:t xml:space="preserve"> </w:t>
      </w:r>
      <w:r w:rsidR="00A2470C">
        <w:rPr>
          <w:rFonts w:ascii="Garamond" w:hAnsi="Garamond"/>
          <w:sz w:val="22"/>
          <w:szCs w:val="22"/>
          <w:lang w:val="it-IT"/>
        </w:rPr>
        <w:t xml:space="preserve">Anche </w:t>
      </w:r>
      <w:r w:rsidR="00A2470C" w:rsidRPr="004E4417">
        <w:rPr>
          <w:rFonts w:ascii="Garamond" w:eastAsia="Times New Roman" w:hAnsi="Garamond" w:cs="Times New Roman"/>
          <w:color w:val="000000"/>
          <w:kern w:val="0"/>
          <w:sz w:val="22"/>
          <w:szCs w:val="22"/>
          <w:lang w:val="it-IT" w:eastAsia="it-IT" w:bidi="ar-SA"/>
        </w:rPr>
        <w:t>Baccarini</w:t>
      </w:r>
      <w:r w:rsidR="00A2470C">
        <w:rPr>
          <w:rFonts w:ascii="Garamond" w:eastAsia="Times New Roman" w:hAnsi="Garamond" w:cs="Times New Roman"/>
          <w:color w:val="000000"/>
          <w:kern w:val="0"/>
          <w:sz w:val="22"/>
          <w:szCs w:val="22"/>
          <w:lang w:val="it-IT" w:eastAsia="it-IT" w:bidi="ar-SA"/>
        </w:rPr>
        <w:t xml:space="preserve"> S.</w:t>
      </w:r>
      <w:r w:rsidR="00A2470C" w:rsidRPr="004E4417">
        <w:rPr>
          <w:rFonts w:ascii="Garamond" w:eastAsia="Times New Roman" w:hAnsi="Garamond" w:cs="Times New Roman"/>
          <w:color w:val="000000"/>
          <w:kern w:val="0"/>
          <w:sz w:val="22"/>
          <w:szCs w:val="22"/>
          <w:lang w:val="it-IT" w:eastAsia="it-IT" w:bidi="ar-SA"/>
        </w:rPr>
        <w:t>,</w:t>
      </w:r>
      <w:r w:rsidR="00A2470C">
        <w:rPr>
          <w:rFonts w:ascii="Garamond" w:eastAsia="Times New Roman" w:hAnsi="Garamond" w:cs="Times New Roman"/>
          <w:color w:val="000000"/>
          <w:kern w:val="0"/>
          <w:sz w:val="22"/>
          <w:szCs w:val="22"/>
          <w:lang w:val="it-IT" w:eastAsia="it-IT" w:bidi="ar-SA"/>
        </w:rPr>
        <w:t xml:space="preserve"> op. cit.,</w:t>
      </w:r>
      <w:r w:rsidR="00A2470C" w:rsidRPr="004E4417">
        <w:rPr>
          <w:rFonts w:ascii="Garamond" w:eastAsia="Times New Roman" w:hAnsi="Garamond" w:cs="Times New Roman"/>
          <w:color w:val="000000"/>
          <w:kern w:val="0"/>
          <w:sz w:val="22"/>
          <w:szCs w:val="22"/>
          <w:lang w:val="it-IT" w:eastAsia="it-IT" w:bidi="ar-SA"/>
        </w:rPr>
        <w:t xml:space="preserve"> riferendosi ai </w:t>
      </w:r>
      <w:r w:rsidR="00A2470C">
        <w:rPr>
          <w:rFonts w:ascii="Garamond" w:eastAsia="Times New Roman" w:hAnsi="Garamond" w:cs="Times New Roman"/>
          <w:color w:val="000000"/>
          <w:kern w:val="0"/>
          <w:sz w:val="22"/>
          <w:szCs w:val="22"/>
          <w:lang w:val="it-IT" w:eastAsia="it-IT" w:bidi="ar-SA"/>
        </w:rPr>
        <w:t>r</w:t>
      </w:r>
      <w:r w:rsidR="00A2470C" w:rsidRPr="004E4417">
        <w:rPr>
          <w:rFonts w:ascii="Garamond" w:eastAsia="Times New Roman" w:hAnsi="Garamond" w:cs="Times New Roman"/>
          <w:color w:val="000000"/>
          <w:kern w:val="0"/>
          <w:sz w:val="22"/>
          <w:szCs w:val="22"/>
          <w:lang w:val="it-IT" w:eastAsia="it-IT" w:bidi="ar-SA"/>
        </w:rPr>
        <w:t>egolamenti delle singole Amministrazioni</w:t>
      </w:r>
      <w:r w:rsidR="00A2470C">
        <w:rPr>
          <w:rFonts w:ascii="Garamond" w:eastAsia="Times New Roman" w:hAnsi="Garamond" w:cs="Times New Roman"/>
          <w:color w:val="000000"/>
          <w:kern w:val="0"/>
          <w:sz w:val="22"/>
          <w:szCs w:val="22"/>
          <w:lang w:val="it-IT" w:eastAsia="it-IT" w:bidi="ar-SA"/>
        </w:rPr>
        <w:t xml:space="preserve"> ex art. 24, comma 2, l. n. 241 del 1990</w:t>
      </w:r>
      <w:r w:rsidR="00A2470C" w:rsidRPr="004E4417">
        <w:rPr>
          <w:rFonts w:ascii="Garamond" w:eastAsia="Times New Roman" w:hAnsi="Garamond" w:cs="Times New Roman"/>
          <w:color w:val="000000"/>
          <w:kern w:val="0"/>
          <w:sz w:val="22"/>
          <w:szCs w:val="22"/>
          <w:lang w:val="it-IT" w:eastAsia="it-IT" w:bidi="ar-SA"/>
        </w:rPr>
        <w:t xml:space="preserve">, rileva che </w:t>
      </w:r>
      <w:r w:rsidR="00A2470C" w:rsidRPr="004E4417">
        <w:rPr>
          <w:rFonts w:ascii="Garamond" w:eastAsia="Times New Roman" w:hAnsi="Garamond" w:cs="Times New Roman"/>
          <w:i/>
          <w:iCs/>
          <w:color w:val="000000"/>
          <w:kern w:val="0"/>
          <w:sz w:val="22"/>
          <w:szCs w:val="22"/>
          <w:lang w:val="it-IT" w:eastAsia="it-IT" w:bidi="ar-SA"/>
        </w:rPr>
        <w:t>&lt;&lt; Essi  non fanno altro che applicare ai procedimenti delle singole amministrazioni di settore criteri di esclusione fissati da fattispecie tassative di legge formale. &gt;&gt;</w:t>
      </w:r>
      <w:r w:rsidR="00A2470C" w:rsidRPr="004E4417">
        <w:rPr>
          <w:rFonts w:ascii="Garamond" w:eastAsia="Times New Roman" w:hAnsi="Garamond" w:cs="Times New Roman"/>
          <w:color w:val="000000"/>
          <w:kern w:val="0"/>
          <w:sz w:val="22"/>
          <w:szCs w:val="22"/>
          <w:lang w:val="it-IT" w:eastAsia="it-IT" w:bidi="ar-SA"/>
        </w:rPr>
        <w:t xml:space="preserve">. </w:t>
      </w:r>
      <w:r>
        <w:rPr>
          <w:rFonts w:ascii="Garamond" w:hAnsi="Garamond"/>
          <w:sz w:val="22"/>
          <w:szCs w:val="22"/>
          <w:lang w:val="it-IT"/>
        </w:rPr>
        <w:t>In giurisprudenza vedasi Tar Milano, sez.</w:t>
      </w:r>
      <w:r w:rsidR="00A2470C">
        <w:rPr>
          <w:rFonts w:ascii="Garamond" w:hAnsi="Garamond"/>
          <w:sz w:val="22"/>
          <w:szCs w:val="22"/>
          <w:lang w:val="it-IT"/>
        </w:rPr>
        <w:t xml:space="preserve"> III, 21 novembre 2011, n. 2810.</w:t>
      </w:r>
    </w:p>
  </w:footnote>
  <w:footnote w:id="30">
    <w:p w14:paraId="79F91CD2" w14:textId="5CD5458F" w:rsidR="00D90392" w:rsidRPr="00633492" w:rsidRDefault="00D90392" w:rsidP="00D90392">
      <w:pPr>
        <w:pStyle w:val="Standard"/>
        <w:ind w:left="567" w:right="567"/>
        <w:jc w:val="both"/>
        <w:rPr>
          <w:rFonts w:ascii="Garamond" w:hAnsi="Garamond" w:cs="Segoe UI"/>
          <w:sz w:val="22"/>
          <w:szCs w:val="22"/>
        </w:rPr>
      </w:pPr>
      <w:r w:rsidRPr="00633492">
        <w:rPr>
          <w:rStyle w:val="Rimandonotaapidipagina"/>
          <w:rFonts w:ascii="Garamond" w:hAnsi="Garamond" w:cs="Segoe UI"/>
          <w:sz w:val="22"/>
          <w:szCs w:val="22"/>
        </w:rPr>
        <w:footnoteRef/>
      </w:r>
      <w:r>
        <w:rPr>
          <w:rFonts w:ascii="Garamond" w:hAnsi="Garamond"/>
          <w:sz w:val="22"/>
          <w:szCs w:val="22"/>
          <w:lang w:val="it-IT"/>
        </w:rPr>
        <w:t xml:space="preserve"> Si è osservato, al riguardo, </w:t>
      </w:r>
      <w:r w:rsidRPr="00655908">
        <w:rPr>
          <w:rFonts w:ascii="Garamond" w:hAnsi="Garamond"/>
          <w:sz w:val="22"/>
          <w:szCs w:val="22"/>
          <w:lang w:val="it-IT"/>
        </w:rPr>
        <w:t xml:space="preserve">che </w:t>
      </w:r>
      <w:r w:rsidRPr="00655908">
        <w:rPr>
          <w:rFonts w:ascii="Garamond" w:hAnsi="Garamond"/>
          <w:i/>
          <w:iCs/>
          <w:sz w:val="22"/>
          <w:szCs w:val="22"/>
          <w:lang w:val="it-IT"/>
        </w:rPr>
        <w:t>&lt;&lt;</w:t>
      </w:r>
      <w:proofErr w:type="gramStart"/>
      <w:r w:rsidRPr="00655908">
        <w:rPr>
          <w:rFonts w:ascii="Garamond" w:hAnsi="Garamond"/>
          <w:i/>
          <w:iCs/>
          <w:sz w:val="22"/>
          <w:szCs w:val="22"/>
          <w:lang w:val="it-IT"/>
        </w:rPr>
        <w:t xml:space="preserve"> ..</w:t>
      </w:r>
      <w:proofErr w:type="gramEnd"/>
      <w:r w:rsidRPr="00655908">
        <w:rPr>
          <w:rFonts w:ascii="Garamond" w:hAnsi="Garamond"/>
          <w:i/>
          <w:iCs/>
          <w:sz w:val="22"/>
          <w:szCs w:val="22"/>
          <w:lang w:val="it-IT"/>
        </w:rPr>
        <w:t xml:space="preserve"> non è chiaro quali debbano essere i contenuti dei regolamenti, dal momento che: a) nel caso dei procedimenti tributari e dei procedimenti normativi (amministrativi generali, di pianificazione e di programmazione) l’art. 24 c. 1 rinvia alle rispettive norme di settore; b) nell’ipotesi di cui ai procedimenti selettivi non sembra necessario un regolamento attuativo per escludere dall’accesso i test psico-attitudinali... si ha l’impressione, allora, che i regolamenti previsti dall’art. 24, co. 2, debbano servire principalmente ad individuare casi di documenti da sottrarre all’accesso perché segreti o non divulgabili (e per fissare il periodo di tempo per il quale tali documenti siano da considerare segreti: art. 24, co. 5). Se questo è il significato da attribuire alla disposizione, essa suscita qualche perplessità, poichè sembra lasciata alle pubbliche amministrazioni, con atto normativo secondario, la valutazione concernente la segretezza di un documento e la possibilità di divulgarne i contenuti, laddove tale compito era dapprima assolto con fonte normativa primari</w:t>
      </w:r>
      <w:r w:rsidRPr="00D90392">
        <w:rPr>
          <w:rFonts w:ascii="Garamond" w:hAnsi="Garamond"/>
          <w:i/>
          <w:iCs/>
          <w:sz w:val="22"/>
          <w:szCs w:val="22"/>
          <w:lang w:val="it-IT"/>
        </w:rPr>
        <w:t>a. &gt;&gt;</w:t>
      </w:r>
      <w:r w:rsidRPr="00D90392">
        <w:rPr>
          <w:rFonts w:ascii="Garamond" w:hAnsi="Garamond"/>
          <w:sz w:val="22"/>
          <w:szCs w:val="22"/>
          <w:lang w:val="it-IT"/>
        </w:rPr>
        <w:t xml:space="preserve"> (Sandulli A., </w:t>
      </w:r>
      <w:r w:rsidRPr="00D90392">
        <w:rPr>
          <w:rFonts w:ascii="Garamond" w:hAnsi="Garamond" w:cs="Segoe UI"/>
          <w:i/>
          <w:iCs/>
          <w:sz w:val="22"/>
          <w:szCs w:val="22"/>
          <w:lang w:val="it-IT"/>
        </w:rPr>
        <w:t>La nuova legge sul procedimento amministrativo</w:t>
      </w:r>
      <w:r w:rsidRPr="00D90392">
        <w:rPr>
          <w:rFonts w:ascii="Garamond" w:hAnsi="Garamond" w:cs="Segoe UI"/>
          <w:sz w:val="22"/>
          <w:szCs w:val="22"/>
          <w:lang w:val="it-IT"/>
        </w:rPr>
        <w:t>, Giornale Dir. Amm., 2005, 5, 469 ss.</w:t>
      </w:r>
      <w:r>
        <w:rPr>
          <w:rFonts w:ascii="Garamond" w:hAnsi="Garamond" w:cs="Segoe UI"/>
          <w:sz w:val="22"/>
          <w:szCs w:val="22"/>
          <w:lang w:val="it-IT"/>
        </w:rPr>
        <w:t xml:space="preserve">). </w:t>
      </w:r>
      <w:r w:rsidR="00FB1D45">
        <w:rPr>
          <w:rFonts w:ascii="Garamond" w:hAnsi="Garamond" w:cs="Segoe UI"/>
          <w:sz w:val="22"/>
          <w:szCs w:val="22"/>
          <w:lang w:val="it-IT"/>
        </w:rPr>
        <w:t xml:space="preserve">Vedi anche </w:t>
      </w:r>
      <w:r w:rsidRPr="00655908">
        <w:rPr>
          <w:rFonts w:ascii="Garamond" w:hAnsi="Garamond"/>
          <w:sz w:val="22"/>
          <w:szCs w:val="22"/>
          <w:lang w:val="it-IT"/>
        </w:rPr>
        <w:t xml:space="preserve">Sempreviva M.T., </w:t>
      </w:r>
      <w:r>
        <w:rPr>
          <w:rFonts w:ascii="Garamond" w:hAnsi="Garamond"/>
          <w:sz w:val="22"/>
          <w:szCs w:val="22"/>
          <w:lang w:val="it-IT"/>
        </w:rPr>
        <w:t xml:space="preserve">op. cit., </w:t>
      </w:r>
      <w:r w:rsidR="00FB1D45">
        <w:rPr>
          <w:rFonts w:ascii="Garamond" w:hAnsi="Garamond"/>
          <w:sz w:val="22"/>
          <w:szCs w:val="22"/>
          <w:lang w:val="it-IT"/>
        </w:rPr>
        <w:t xml:space="preserve">la quale </w:t>
      </w:r>
      <w:r>
        <w:rPr>
          <w:rFonts w:ascii="Garamond" w:hAnsi="Garamond"/>
          <w:sz w:val="22"/>
          <w:szCs w:val="22"/>
          <w:lang w:val="it-IT"/>
        </w:rPr>
        <w:t xml:space="preserve">a sua volta </w:t>
      </w:r>
      <w:r w:rsidR="00FB1D45">
        <w:rPr>
          <w:rFonts w:ascii="Garamond" w:hAnsi="Garamond"/>
          <w:sz w:val="22"/>
          <w:szCs w:val="22"/>
          <w:lang w:val="it-IT"/>
        </w:rPr>
        <w:t xml:space="preserve">osserva </w:t>
      </w:r>
      <w:r w:rsidRPr="00655908">
        <w:rPr>
          <w:rFonts w:ascii="Garamond" w:hAnsi="Garamond"/>
          <w:sz w:val="22"/>
          <w:szCs w:val="22"/>
          <w:lang w:val="it-IT"/>
        </w:rPr>
        <w:t xml:space="preserve">che </w:t>
      </w:r>
      <w:r w:rsidRPr="00655908">
        <w:rPr>
          <w:rFonts w:ascii="Garamond" w:hAnsi="Garamond"/>
          <w:i/>
          <w:iCs/>
          <w:sz w:val="22"/>
          <w:szCs w:val="22"/>
          <w:lang w:val="it-IT"/>
        </w:rPr>
        <w:t>&lt;&lt; Così interpretato, l’art. 24 potrebbe dare adito a dubbi di legittimità costituzionale: non si rinvengono, infatti, in relazione agli altri “casi di segreto o di divieto di divulgazione“ di cui al comma 1 lett. a) che le pubbliche amministrazioni possono individuare, dei criteri direttivi (come, invece, è nel successivo comma 6), di talchè l’ampia discrezionalità concessa alle singole amministrazioni nell’indicazione delle categorie di documenti da sottrarre all’accesso, potrebbe finire con il vanificare la finalità di trasparenza sottesa a tutta la normativa in parola &gt;&gt;</w:t>
      </w:r>
      <w:r w:rsidRPr="00655908">
        <w:rPr>
          <w:rFonts w:ascii="Garamond" w:hAnsi="Garamond"/>
          <w:sz w:val="22"/>
          <w:szCs w:val="22"/>
          <w:lang w:val="it-IT"/>
        </w:rPr>
        <w:t>.</w:t>
      </w:r>
    </w:p>
  </w:footnote>
  <w:footnote w:id="31">
    <w:p w14:paraId="7B8C4905" w14:textId="504BB7D6" w:rsidR="002F6826" w:rsidRPr="00633492" w:rsidRDefault="002F6826" w:rsidP="002F6826">
      <w:pPr>
        <w:pStyle w:val="Standard"/>
        <w:ind w:left="567" w:right="567"/>
        <w:jc w:val="both"/>
        <w:rPr>
          <w:rFonts w:ascii="Garamond" w:hAnsi="Garamond" w:cs="Segoe UI"/>
          <w:sz w:val="22"/>
          <w:szCs w:val="22"/>
        </w:rPr>
      </w:pPr>
      <w:r w:rsidRPr="00633492">
        <w:rPr>
          <w:rStyle w:val="Rimandonotaapidipagina"/>
          <w:rFonts w:ascii="Garamond" w:hAnsi="Garamond" w:cs="Segoe UI"/>
          <w:sz w:val="22"/>
          <w:szCs w:val="22"/>
        </w:rPr>
        <w:footnoteRef/>
      </w:r>
      <w:r>
        <w:rPr>
          <w:rFonts w:ascii="Garamond" w:hAnsi="Garamond"/>
          <w:sz w:val="22"/>
          <w:szCs w:val="22"/>
          <w:lang w:val="it-IT"/>
        </w:rPr>
        <w:t xml:space="preserve"> </w:t>
      </w:r>
      <w:r w:rsidR="003978E6">
        <w:rPr>
          <w:rFonts w:ascii="Garamond" w:hAnsi="Garamond"/>
          <w:sz w:val="22"/>
          <w:szCs w:val="22"/>
          <w:lang w:val="it-IT"/>
        </w:rPr>
        <w:t xml:space="preserve">Così </w:t>
      </w:r>
      <w:r>
        <w:rPr>
          <w:rFonts w:ascii="Garamond" w:hAnsi="Garamond"/>
          <w:sz w:val="22"/>
          <w:szCs w:val="22"/>
          <w:lang w:val="it-IT"/>
        </w:rPr>
        <w:t>Cons. St., sez. V, 26 settembre</w:t>
      </w:r>
      <w:r w:rsidRPr="004E4417">
        <w:rPr>
          <w:rFonts w:ascii="Garamond" w:hAnsi="Garamond"/>
          <w:sz w:val="22"/>
          <w:szCs w:val="22"/>
          <w:lang w:val="it-IT"/>
        </w:rPr>
        <w:t xml:space="preserve"> 2000</w:t>
      </w:r>
      <w:r>
        <w:rPr>
          <w:rFonts w:ascii="Garamond" w:hAnsi="Garamond"/>
          <w:sz w:val="22"/>
          <w:szCs w:val="22"/>
          <w:lang w:val="it-IT"/>
        </w:rPr>
        <w:t xml:space="preserve">, n. </w:t>
      </w:r>
      <w:r w:rsidRPr="004E4417">
        <w:rPr>
          <w:rFonts w:ascii="Garamond" w:hAnsi="Garamond"/>
          <w:sz w:val="22"/>
          <w:szCs w:val="22"/>
          <w:lang w:val="it-IT"/>
        </w:rPr>
        <w:t xml:space="preserve">5105: </w:t>
      </w:r>
      <w:r w:rsidRPr="004E4417">
        <w:rPr>
          <w:rFonts w:ascii="Garamond" w:hAnsi="Garamond"/>
          <w:i/>
          <w:sz w:val="22"/>
          <w:szCs w:val="22"/>
          <w:lang w:val="it-IT"/>
        </w:rPr>
        <w:t xml:space="preserve">“L’esatta </w:t>
      </w:r>
      <w:r w:rsidRPr="004E4417">
        <w:rPr>
          <w:rFonts w:ascii="Garamond" w:hAnsi="Garamond"/>
          <w:i/>
          <w:color w:val="000000"/>
          <w:sz w:val="22"/>
          <w:szCs w:val="22"/>
          <w:lang w:val="it-IT"/>
        </w:rPr>
        <w:t xml:space="preserve">delimitazione delle discipline sul segreto non travolte dalla nuova normativa in materia di accesso ai documenti talvolta può risultare disagevole. Al riguardo, peraltro, possono indicarsi due criteri direttivi: </w:t>
      </w:r>
      <w:r w:rsidRPr="004E4417">
        <w:rPr>
          <w:rFonts w:ascii="Garamond" w:eastAsia="Times New Roman" w:hAnsi="Garamond" w:cs="Times New Roman"/>
          <w:i/>
          <w:color w:val="000000"/>
          <w:kern w:val="0"/>
          <w:sz w:val="22"/>
          <w:szCs w:val="22"/>
          <w:lang w:val="it-IT" w:eastAsia="it-IT" w:bidi="ar-SA"/>
        </w:rPr>
        <w:t>il "segreto" che impedisce l'accesso ai documenti non deve costituire la mera riaffermazione del tramontato principio di assoluta riservatezza dell'azione amministrativa; il segreto fatto salvo dalla legge n. 241/1990 deve riferirsi esclusivamente ad ipotesi in cui esso mira a salvaguardare interessi di natura e consistenza diversa da quelli genericamente amministrativi</w:t>
      </w:r>
      <w:r w:rsidRPr="004E4417">
        <w:rPr>
          <w:rFonts w:ascii="Garamond" w:eastAsia="Times New Roman" w:hAnsi="Garamond" w:cs="Times New Roman"/>
          <w:color w:val="000000"/>
          <w:kern w:val="0"/>
          <w:sz w:val="22"/>
          <w:szCs w:val="22"/>
          <w:lang w:val="it-IT" w:eastAsia="it-IT" w:bidi="ar-SA"/>
        </w:rPr>
        <w:t xml:space="preserve">.”; negli stessi termini </w:t>
      </w:r>
      <w:r>
        <w:rPr>
          <w:rFonts w:ascii="Garamond" w:eastAsia="Times New Roman" w:hAnsi="Garamond" w:cs="Times New Roman"/>
          <w:color w:val="000000"/>
          <w:kern w:val="0"/>
          <w:sz w:val="22"/>
          <w:szCs w:val="22"/>
          <w:lang w:val="it-IT" w:eastAsia="it-IT" w:bidi="ar-SA"/>
        </w:rPr>
        <w:t xml:space="preserve">anche Cons. St., sez. IV, 13 ottobre </w:t>
      </w:r>
      <w:r w:rsidRPr="004E4417">
        <w:rPr>
          <w:rFonts w:ascii="Garamond" w:eastAsia="Times New Roman" w:hAnsi="Garamond" w:cs="Times New Roman"/>
          <w:color w:val="000000"/>
          <w:kern w:val="0"/>
          <w:sz w:val="22"/>
          <w:szCs w:val="22"/>
          <w:lang w:val="it-IT" w:eastAsia="it-IT" w:bidi="ar-SA"/>
        </w:rPr>
        <w:t>2003</w:t>
      </w:r>
      <w:r>
        <w:rPr>
          <w:rFonts w:ascii="Garamond" w:eastAsia="Times New Roman" w:hAnsi="Garamond" w:cs="Times New Roman"/>
          <w:color w:val="000000"/>
          <w:kern w:val="0"/>
          <w:sz w:val="22"/>
          <w:szCs w:val="22"/>
          <w:lang w:val="it-IT" w:eastAsia="it-IT" w:bidi="ar-SA"/>
        </w:rPr>
        <w:t xml:space="preserve">, n. </w:t>
      </w:r>
      <w:r w:rsidRPr="004E4417">
        <w:rPr>
          <w:rFonts w:ascii="Garamond" w:eastAsia="Times New Roman" w:hAnsi="Garamond" w:cs="Times New Roman"/>
          <w:color w:val="000000"/>
          <w:kern w:val="0"/>
          <w:sz w:val="22"/>
          <w:szCs w:val="22"/>
          <w:lang w:val="it-IT" w:eastAsia="it-IT" w:bidi="ar-SA"/>
        </w:rPr>
        <w:t>6200</w:t>
      </w:r>
      <w:r>
        <w:rPr>
          <w:rFonts w:ascii="Garamond" w:eastAsia="Times New Roman" w:hAnsi="Garamond" w:cs="Times New Roman"/>
          <w:color w:val="000000"/>
          <w:kern w:val="0"/>
          <w:sz w:val="22"/>
          <w:szCs w:val="22"/>
          <w:lang w:val="it-IT" w:eastAsia="it-IT" w:bidi="ar-SA"/>
        </w:rPr>
        <w:t>.</w:t>
      </w:r>
    </w:p>
  </w:footnote>
  <w:footnote w:id="32">
    <w:p w14:paraId="67237A70" w14:textId="4FE2E317" w:rsidR="000A394C" w:rsidRPr="00633492" w:rsidRDefault="00FA2703" w:rsidP="00FA2703">
      <w:pPr>
        <w:pStyle w:val="Standard"/>
        <w:ind w:left="567" w:right="567"/>
        <w:jc w:val="both"/>
        <w:rPr>
          <w:rFonts w:ascii="Garamond" w:hAnsi="Garamond" w:cs="Segoe UI"/>
          <w:sz w:val="22"/>
          <w:szCs w:val="22"/>
        </w:rPr>
      </w:pPr>
      <w:r w:rsidRPr="00633492">
        <w:rPr>
          <w:rStyle w:val="Rimandonotaapidipagina"/>
          <w:rFonts w:ascii="Garamond" w:hAnsi="Garamond" w:cs="Segoe UI"/>
          <w:sz w:val="22"/>
          <w:szCs w:val="22"/>
        </w:rPr>
        <w:footnoteRef/>
      </w:r>
      <w:r w:rsidR="000A394C">
        <w:rPr>
          <w:rFonts w:ascii="Garamond" w:hAnsi="Garamond"/>
          <w:sz w:val="22"/>
          <w:szCs w:val="22"/>
          <w:lang w:val="it-IT"/>
        </w:rPr>
        <w:t xml:space="preserve"> A livello ministeriale</w:t>
      </w:r>
      <w:r w:rsidR="00A46C25">
        <w:rPr>
          <w:rFonts w:ascii="Garamond" w:hAnsi="Garamond"/>
          <w:sz w:val="22"/>
          <w:szCs w:val="22"/>
          <w:lang w:val="it-IT"/>
        </w:rPr>
        <w:t xml:space="preserve"> e della Presidenza del Consiglio</w:t>
      </w:r>
      <w:r w:rsidR="000A394C">
        <w:rPr>
          <w:rFonts w:ascii="Garamond" w:hAnsi="Garamond"/>
          <w:sz w:val="22"/>
          <w:szCs w:val="22"/>
          <w:lang w:val="it-IT"/>
        </w:rPr>
        <w:t>, si ricordano, tra gli altri</w:t>
      </w:r>
      <w:r w:rsidR="002E77C6">
        <w:rPr>
          <w:rFonts w:ascii="Garamond" w:hAnsi="Garamond"/>
          <w:sz w:val="22"/>
          <w:szCs w:val="22"/>
          <w:lang w:val="it-IT"/>
        </w:rPr>
        <w:t>, i seguenti:</w:t>
      </w:r>
      <w:r w:rsidR="000A394C">
        <w:rPr>
          <w:rFonts w:ascii="Garamond" w:hAnsi="Garamond"/>
          <w:sz w:val="22"/>
          <w:szCs w:val="22"/>
          <w:lang w:val="it-IT"/>
        </w:rPr>
        <w:t xml:space="preserve"> </w:t>
      </w:r>
      <w:r w:rsidR="00864A1E">
        <w:rPr>
          <w:rFonts w:ascii="Garamond" w:hAnsi="Garamond"/>
          <w:sz w:val="22"/>
          <w:szCs w:val="22"/>
          <w:lang w:val="it-IT"/>
        </w:rPr>
        <w:t xml:space="preserve">d.m. 10 maggio 1994, n. 415 (Ministero dell’Interno); d.m. 7 settembre 1994, n. 604 (Ministero degli affari esteri); d.m. 26 ottobre 1994, n. 682 (Ministero per i beni e le attività culturali); d.m. 4 novembre 1994, n. 757 (Ministero del lavoro e della previdenza sociale); </w:t>
      </w:r>
      <w:r w:rsidR="00A46C25">
        <w:rPr>
          <w:rFonts w:ascii="Garamond" w:hAnsi="Garamond"/>
          <w:sz w:val="22"/>
          <w:szCs w:val="22"/>
          <w:lang w:val="it-IT"/>
        </w:rPr>
        <w:t xml:space="preserve">d.P.C.M. 20 dicembre 1994, n. 763; </w:t>
      </w:r>
      <w:r w:rsidR="00864A1E">
        <w:rPr>
          <w:rFonts w:ascii="Garamond" w:hAnsi="Garamond"/>
          <w:sz w:val="22"/>
          <w:szCs w:val="22"/>
          <w:lang w:val="it-IT"/>
        </w:rPr>
        <w:t xml:space="preserve">d.m. 13 ottobre 1995, n. 561 (Ministero del Tesoro); </w:t>
      </w:r>
      <w:r w:rsidR="002E77C6">
        <w:rPr>
          <w:rFonts w:ascii="Garamond" w:hAnsi="Garamond"/>
          <w:sz w:val="22"/>
          <w:szCs w:val="22"/>
          <w:lang w:val="it-IT"/>
        </w:rPr>
        <w:t xml:space="preserve">d.m. 10 gennaio 1996, n. 60 (Ministero della pubblica istruzione); d.m. 25 gennaio 1996, n. 115 (Ministero di grazia e giustizia); </w:t>
      </w:r>
      <w:r w:rsidR="00A46C25">
        <w:rPr>
          <w:rFonts w:ascii="Garamond" w:hAnsi="Garamond"/>
          <w:sz w:val="22"/>
          <w:szCs w:val="22"/>
          <w:lang w:val="it-IT"/>
        </w:rPr>
        <w:t xml:space="preserve">d.P.C.M. 26 gennaio 1996, n. 200; </w:t>
      </w:r>
      <w:r w:rsidR="002E77C6">
        <w:rPr>
          <w:rFonts w:ascii="Garamond" w:hAnsi="Garamond"/>
          <w:sz w:val="22"/>
          <w:szCs w:val="22"/>
          <w:lang w:val="it-IT"/>
        </w:rPr>
        <w:t xml:space="preserve">d.m. 10 aprile 1996, n. 296 (Ministero delle poste e delle telecomunicazioni); </w:t>
      </w:r>
      <w:r w:rsidR="00864A1E">
        <w:rPr>
          <w:rFonts w:ascii="Garamond" w:hAnsi="Garamond"/>
          <w:sz w:val="22"/>
          <w:szCs w:val="22"/>
          <w:lang w:val="it-IT"/>
        </w:rPr>
        <w:t xml:space="preserve">d.m. 16 maggio 1996, n. 422 (Ministero del commercio con l’estero); d.m. 29 ottobre 1996, n. 603 (Ministero delle finanze); d.m. 31 luglio 1997, n. 353 (Ministero della sanità); d.m. 5 settembre 1997, n. 392 (Ministero per le politiche agricole); </w:t>
      </w:r>
      <w:r w:rsidR="00A46C25">
        <w:rPr>
          <w:rFonts w:ascii="Garamond" w:hAnsi="Garamond"/>
          <w:sz w:val="22"/>
          <w:szCs w:val="22"/>
          <w:lang w:val="it-IT"/>
        </w:rPr>
        <w:t xml:space="preserve">d.P.C.M. 10 marzo 1999, n. 294; </w:t>
      </w:r>
      <w:r w:rsidR="002E77C6">
        <w:rPr>
          <w:rFonts w:ascii="Garamond" w:hAnsi="Garamond"/>
          <w:sz w:val="22"/>
          <w:szCs w:val="22"/>
          <w:lang w:val="it-IT"/>
        </w:rPr>
        <w:t>d.m. 14 marzo 2001, n. 292 (Ministero dei lavori pubblici)</w:t>
      </w:r>
      <w:r w:rsidR="00A46C25">
        <w:rPr>
          <w:rFonts w:ascii="Garamond" w:hAnsi="Garamond"/>
          <w:sz w:val="22"/>
          <w:szCs w:val="22"/>
          <w:lang w:val="it-IT"/>
        </w:rPr>
        <w:t>.</w:t>
      </w:r>
    </w:p>
  </w:footnote>
  <w:footnote w:id="33">
    <w:p w14:paraId="0C9A48E8" w14:textId="36D07314" w:rsidR="003A2264" w:rsidRPr="00633492" w:rsidRDefault="003A2264" w:rsidP="003A2264">
      <w:pPr>
        <w:pStyle w:val="Standard"/>
        <w:ind w:left="567" w:right="567"/>
        <w:jc w:val="both"/>
        <w:rPr>
          <w:rFonts w:ascii="Garamond" w:hAnsi="Garamond" w:cs="Segoe UI"/>
          <w:sz w:val="22"/>
          <w:szCs w:val="22"/>
        </w:rPr>
      </w:pPr>
      <w:r w:rsidRPr="00633492">
        <w:rPr>
          <w:rStyle w:val="Rimandonotaapidipagina"/>
          <w:rFonts w:ascii="Garamond" w:hAnsi="Garamond" w:cs="Segoe UI"/>
          <w:sz w:val="22"/>
          <w:szCs w:val="22"/>
        </w:rPr>
        <w:footnoteRef/>
      </w:r>
      <w:r w:rsidRPr="0009660B">
        <w:rPr>
          <w:rFonts w:ascii="Garamond" w:eastAsia="Times New Roman" w:hAnsi="Garamond" w:cs="Times New Roman"/>
          <w:color w:val="000000"/>
          <w:kern w:val="0"/>
          <w:sz w:val="22"/>
          <w:szCs w:val="22"/>
          <w:lang w:val="en-US" w:eastAsia="it-IT" w:bidi="ar-SA"/>
        </w:rPr>
        <w:t xml:space="preserve"> </w:t>
      </w:r>
      <w:r w:rsidRPr="0009660B">
        <w:rPr>
          <w:rFonts w:ascii="Garamond" w:hAnsi="Garamond"/>
          <w:iCs/>
          <w:sz w:val="22"/>
          <w:szCs w:val="22"/>
          <w:lang w:val="en-US"/>
        </w:rPr>
        <w:t>Cons. St., sez. IV, 26 aprile 2018, n. 2502; sez. IV, 30 agosto 2018, n. 5119.</w:t>
      </w:r>
    </w:p>
  </w:footnote>
  <w:footnote w:id="34">
    <w:p w14:paraId="47D74D21" w14:textId="02D7DA7A" w:rsidR="003A2264" w:rsidRPr="00633492" w:rsidRDefault="003A2264" w:rsidP="008E3C03">
      <w:pPr>
        <w:pStyle w:val="Standard"/>
        <w:ind w:left="567" w:right="567"/>
        <w:jc w:val="both"/>
        <w:rPr>
          <w:rFonts w:ascii="Garamond" w:hAnsi="Garamond" w:cs="Segoe UI"/>
          <w:sz w:val="22"/>
          <w:szCs w:val="22"/>
        </w:rPr>
      </w:pPr>
      <w:r w:rsidRPr="00633492">
        <w:rPr>
          <w:rStyle w:val="Rimandonotaapidipagina"/>
          <w:rFonts w:ascii="Garamond" w:hAnsi="Garamond" w:cs="Segoe UI"/>
          <w:sz w:val="22"/>
          <w:szCs w:val="22"/>
        </w:rPr>
        <w:footnoteRef/>
      </w:r>
      <w:r>
        <w:rPr>
          <w:rFonts w:ascii="Garamond" w:eastAsia="Times New Roman" w:hAnsi="Garamond" w:cs="Times New Roman"/>
          <w:color w:val="000000"/>
          <w:kern w:val="0"/>
          <w:sz w:val="22"/>
          <w:szCs w:val="22"/>
          <w:lang w:val="it-IT" w:eastAsia="it-IT" w:bidi="ar-SA"/>
        </w:rPr>
        <w:t xml:space="preserve"> </w:t>
      </w:r>
      <w:r w:rsidRPr="003A2264">
        <w:rPr>
          <w:rFonts w:ascii="Garamond" w:hAnsi="Garamond"/>
          <w:iCs/>
          <w:sz w:val="22"/>
          <w:szCs w:val="22"/>
          <w:lang w:val="it-IT"/>
        </w:rPr>
        <w:t>T</w:t>
      </w:r>
      <w:r>
        <w:rPr>
          <w:rFonts w:ascii="Garamond" w:hAnsi="Garamond"/>
          <w:iCs/>
          <w:sz w:val="22"/>
          <w:szCs w:val="22"/>
          <w:lang w:val="it-IT"/>
        </w:rPr>
        <w:t>ar</w:t>
      </w:r>
      <w:r w:rsidRPr="003A2264">
        <w:rPr>
          <w:rFonts w:ascii="Garamond" w:hAnsi="Garamond"/>
          <w:iCs/>
          <w:sz w:val="22"/>
          <w:szCs w:val="22"/>
          <w:lang w:val="it-IT"/>
        </w:rPr>
        <w:t xml:space="preserve"> Ancona </w:t>
      </w:r>
      <w:r>
        <w:rPr>
          <w:rFonts w:ascii="Garamond" w:hAnsi="Garamond"/>
          <w:iCs/>
          <w:sz w:val="22"/>
          <w:szCs w:val="22"/>
          <w:lang w:val="it-IT"/>
        </w:rPr>
        <w:t xml:space="preserve">21 agosto </w:t>
      </w:r>
      <w:r w:rsidRPr="003A2264">
        <w:rPr>
          <w:rFonts w:ascii="Garamond" w:hAnsi="Garamond"/>
          <w:iCs/>
          <w:sz w:val="22"/>
          <w:szCs w:val="22"/>
          <w:lang w:val="it-IT"/>
        </w:rPr>
        <w:t>2018</w:t>
      </w:r>
      <w:r>
        <w:rPr>
          <w:rFonts w:ascii="Garamond" w:hAnsi="Garamond"/>
          <w:iCs/>
          <w:sz w:val="22"/>
          <w:szCs w:val="22"/>
          <w:lang w:val="it-IT"/>
        </w:rPr>
        <w:t xml:space="preserve">, n. </w:t>
      </w:r>
      <w:r w:rsidRPr="003A2264">
        <w:rPr>
          <w:rFonts w:ascii="Garamond" w:hAnsi="Garamond"/>
          <w:iCs/>
          <w:sz w:val="22"/>
          <w:szCs w:val="22"/>
          <w:lang w:val="it-IT"/>
        </w:rPr>
        <w:t>575.</w:t>
      </w:r>
    </w:p>
  </w:footnote>
  <w:footnote w:id="35">
    <w:p w14:paraId="4B363CB5" w14:textId="6E614D20" w:rsidR="008E3C03" w:rsidRPr="00633492" w:rsidRDefault="008E3C03" w:rsidP="008E3C03">
      <w:pPr>
        <w:pStyle w:val="Standard"/>
        <w:ind w:left="567" w:right="567"/>
        <w:jc w:val="both"/>
        <w:rPr>
          <w:rFonts w:ascii="Garamond" w:hAnsi="Garamond" w:cs="Segoe UI"/>
          <w:sz w:val="22"/>
          <w:szCs w:val="22"/>
        </w:rPr>
      </w:pPr>
      <w:r w:rsidRPr="00633492">
        <w:rPr>
          <w:rStyle w:val="Rimandonotaapidipagina"/>
          <w:rFonts w:ascii="Garamond" w:hAnsi="Garamond" w:cs="Segoe UI"/>
          <w:sz w:val="22"/>
          <w:szCs w:val="22"/>
        </w:rPr>
        <w:footnoteRef/>
      </w:r>
      <w:r>
        <w:rPr>
          <w:rFonts w:ascii="Garamond" w:eastAsia="Times New Roman" w:hAnsi="Garamond" w:cs="Times New Roman"/>
          <w:color w:val="000000"/>
          <w:kern w:val="0"/>
          <w:sz w:val="22"/>
          <w:szCs w:val="22"/>
          <w:lang w:val="it-IT" w:eastAsia="it-IT" w:bidi="ar-SA"/>
        </w:rPr>
        <w:t xml:space="preserve"> </w:t>
      </w:r>
      <w:r w:rsidRPr="00F43876">
        <w:rPr>
          <w:rFonts w:ascii="Garamond" w:hAnsi="Garamond"/>
          <w:sz w:val="22"/>
          <w:szCs w:val="22"/>
          <w:lang w:val="it-IT"/>
        </w:rPr>
        <w:t xml:space="preserve">Al riguardo, si è rilevato che </w:t>
      </w:r>
      <w:r w:rsidRPr="00F43876">
        <w:rPr>
          <w:rFonts w:ascii="Garamond" w:hAnsi="Garamond"/>
          <w:i/>
          <w:iCs/>
          <w:sz w:val="22"/>
          <w:szCs w:val="22"/>
          <w:lang w:val="it-IT"/>
        </w:rPr>
        <w:t>&lt;&lt;</w:t>
      </w:r>
      <w:proofErr w:type="gramStart"/>
      <w:r w:rsidRPr="00F43876">
        <w:rPr>
          <w:rFonts w:ascii="Garamond" w:hAnsi="Garamond"/>
          <w:i/>
          <w:iCs/>
          <w:sz w:val="22"/>
          <w:szCs w:val="22"/>
          <w:lang w:val="it-IT"/>
        </w:rPr>
        <w:t xml:space="preserve"> ..</w:t>
      </w:r>
      <w:proofErr w:type="gramEnd"/>
      <w:r w:rsidRPr="00F43876">
        <w:rPr>
          <w:rFonts w:ascii="Garamond" w:hAnsi="Garamond"/>
          <w:i/>
          <w:iCs/>
          <w:sz w:val="22"/>
          <w:szCs w:val="22"/>
          <w:lang w:val="it-IT"/>
        </w:rPr>
        <w:t xml:space="preserve"> per un serie di singolari vicende storiche e giuridiche, il regolamento n. 352/1992 costituisce, tuttora, la fonte di disciplina basilare per definire, in concreto, l’ambito dell’accesso ordinario ai documenti, quanto meno in ambito statale. &gt;&gt;</w:t>
      </w:r>
      <w:r>
        <w:rPr>
          <w:rFonts w:ascii="Garamond" w:hAnsi="Garamond"/>
          <w:sz w:val="22"/>
          <w:szCs w:val="22"/>
          <w:lang w:val="it-IT"/>
        </w:rPr>
        <w:t xml:space="preserve"> (Lipari M., op. cit.);</w:t>
      </w:r>
      <w:r w:rsidRPr="00F43876">
        <w:rPr>
          <w:rFonts w:ascii="Garamond" w:hAnsi="Garamond"/>
          <w:sz w:val="22"/>
          <w:szCs w:val="22"/>
          <w:lang w:val="it-IT"/>
        </w:rPr>
        <w:t xml:space="preserve"> lo stesso autore</w:t>
      </w:r>
      <w:r>
        <w:rPr>
          <w:rFonts w:ascii="Garamond" w:hAnsi="Garamond"/>
          <w:sz w:val="22"/>
          <w:szCs w:val="22"/>
          <w:lang w:val="it-IT"/>
        </w:rPr>
        <w:t xml:space="preserve"> evidenzia che</w:t>
      </w:r>
      <w:r w:rsidRPr="00F43876">
        <w:rPr>
          <w:rFonts w:ascii="Garamond" w:hAnsi="Garamond"/>
          <w:sz w:val="22"/>
          <w:szCs w:val="22"/>
          <w:lang w:val="it-IT"/>
        </w:rPr>
        <w:t xml:space="preserve"> </w:t>
      </w:r>
      <w:r w:rsidRPr="00F43876">
        <w:rPr>
          <w:rFonts w:ascii="Garamond" w:hAnsi="Garamond"/>
          <w:i/>
          <w:sz w:val="22"/>
          <w:szCs w:val="22"/>
          <w:lang w:val="it-IT"/>
        </w:rPr>
        <w:t>&lt;&lt; L’articolo in questione è però una scatola vuota, perché si limita a stabilire l’ultrattività del regolamento n. 352/1992 e la sua vecchia impostazione (per il resto, invece, totalmente abrogato), nella parte in cui regola le esclusioni oggettive del diritto di accesso, confermando l’impianto piramidale, di rinvio ai regolamenti delle singole amministrazioni. &gt;&gt;</w:t>
      </w:r>
      <w:r w:rsidRPr="00F43876">
        <w:rPr>
          <w:rFonts w:ascii="Garamond" w:hAnsi="Garamond"/>
          <w:sz w:val="22"/>
          <w:szCs w:val="22"/>
          <w:lang w:val="it-IT"/>
        </w:rPr>
        <w:t xml:space="preserve">; sicchè, ancora oggi, </w:t>
      </w:r>
      <w:r w:rsidRPr="00F43876">
        <w:rPr>
          <w:rFonts w:ascii="Garamond" w:hAnsi="Garamond"/>
          <w:i/>
          <w:sz w:val="22"/>
          <w:szCs w:val="22"/>
          <w:lang w:val="it-IT"/>
        </w:rPr>
        <w:t>&lt;&lt;</w:t>
      </w:r>
      <w:proofErr w:type="gramStart"/>
      <w:r w:rsidRPr="00F43876">
        <w:rPr>
          <w:rFonts w:ascii="Garamond" w:hAnsi="Garamond"/>
          <w:i/>
          <w:sz w:val="22"/>
          <w:szCs w:val="22"/>
          <w:lang w:val="it-IT"/>
        </w:rPr>
        <w:t xml:space="preserve"> ..</w:t>
      </w:r>
      <w:proofErr w:type="gramEnd"/>
      <w:r w:rsidRPr="00F43876">
        <w:rPr>
          <w:rFonts w:ascii="Garamond" w:hAnsi="Garamond"/>
          <w:i/>
          <w:sz w:val="22"/>
          <w:szCs w:val="22"/>
          <w:lang w:val="it-IT"/>
        </w:rPr>
        <w:t xml:space="preserve"> le cause di esclusione dell’accesso non sono disciplinate in conformità al nuovo art. 24 e secondo la sua architettura delle fonti, ma restano regolate secondo il previgente sistema. &gt;&gt;</w:t>
      </w:r>
      <w:r w:rsidRPr="00F43876">
        <w:rPr>
          <w:rFonts w:ascii="Garamond" w:hAnsi="Garamond"/>
          <w:sz w:val="22"/>
          <w:szCs w:val="22"/>
          <w:lang w:val="it-IT"/>
        </w:rPr>
        <w:t>.</w:t>
      </w:r>
    </w:p>
  </w:footnote>
  <w:footnote w:id="36">
    <w:p w14:paraId="08B95F40" w14:textId="684B75ED" w:rsidR="0016246E" w:rsidRPr="00633492" w:rsidRDefault="0016246E" w:rsidP="0016246E">
      <w:pPr>
        <w:pStyle w:val="Standard"/>
        <w:ind w:left="567" w:right="567"/>
        <w:jc w:val="both"/>
        <w:rPr>
          <w:rFonts w:ascii="Garamond" w:hAnsi="Garamond" w:cs="Segoe UI"/>
          <w:sz w:val="22"/>
          <w:szCs w:val="22"/>
        </w:rPr>
      </w:pPr>
      <w:r w:rsidRPr="00633492">
        <w:rPr>
          <w:rStyle w:val="Rimandonotaapidipagina"/>
          <w:rFonts w:ascii="Garamond" w:hAnsi="Garamond" w:cs="Segoe UI"/>
          <w:sz w:val="22"/>
          <w:szCs w:val="22"/>
        </w:rPr>
        <w:footnoteRef/>
      </w:r>
      <w:r>
        <w:rPr>
          <w:rFonts w:ascii="Garamond" w:eastAsia="Times New Roman" w:hAnsi="Garamond" w:cs="Times New Roman"/>
          <w:color w:val="000000"/>
          <w:kern w:val="0"/>
          <w:sz w:val="22"/>
          <w:szCs w:val="22"/>
          <w:lang w:val="it-IT" w:eastAsia="it-IT" w:bidi="ar-SA"/>
        </w:rPr>
        <w:t xml:space="preserve"> </w:t>
      </w:r>
      <w:r w:rsidRPr="0016246E">
        <w:rPr>
          <w:rFonts w:ascii="Garamond" w:hAnsi="Garamond"/>
          <w:sz w:val="22"/>
          <w:szCs w:val="22"/>
          <w:lang w:val="it-IT"/>
        </w:rPr>
        <w:t>Come noto, l'art. 4</w:t>
      </w:r>
      <w:r>
        <w:rPr>
          <w:rFonts w:ascii="Garamond" w:hAnsi="Garamond"/>
          <w:sz w:val="22"/>
          <w:szCs w:val="22"/>
          <w:lang w:val="it-IT"/>
        </w:rPr>
        <w:t>,</w:t>
      </w:r>
      <w:r w:rsidRPr="0016246E">
        <w:rPr>
          <w:rFonts w:ascii="Garamond" w:hAnsi="Garamond"/>
          <w:sz w:val="22"/>
          <w:szCs w:val="22"/>
          <w:lang w:val="it-IT"/>
        </w:rPr>
        <w:t xml:space="preserve"> comma 6</w:t>
      </w:r>
      <w:r>
        <w:rPr>
          <w:rFonts w:ascii="Garamond" w:hAnsi="Garamond"/>
          <w:sz w:val="22"/>
          <w:szCs w:val="22"/>
          <w:lang w:val="it-IT"/>
        </w:rPr>
        <w:t>,</w:t>
      </w:r>
      <w:r w:rsidRPr="0016246E">
        <w:rPr>
          <w:rFonts w:ascii="Garamond" w:hAnsi="Garamond"/>
          <w:sz w:val="22"/>
          <w:szCs w:val="22"/>
          <w:lang w:val="it-IT"/>
        </w:rPr>
        <w:t xml:space="preserve"> </w:t>
      </w:r>
      <w:r>
        <w:rPr>
          <w:rFonts w:ascii="Garamond" w:hAnsi="Garamond"/>
          <w:sz w:val="22"/>
          <w:szCs w:val="22"/>
          <w:lang w:val="it-IT"/>
        </w:rPr>
        <w:t xml:space="preserve">legge 4 marzo 2009, n. </w:t>
      </w:r>
      <w:r w:rsidRPr="0016246E">
        <w:rPr>
          <w:rFonts w:ascii="Garamond" w:hAnsi="Garamond"/>
          <w:sz w:val="22"/>
          <w:szCs w:val="22"/>
          <w:lang w:val="it-IT"/>
        </w:rPr>
        <w:t>15, nel dettare “Disposizioni sul principio di trasparenza delle Amministrazioni pubbliche”, afferma che “</w:t>
      </w:r>
      <w:r w:rsidRPr="0016246E">
        <w:rPr>
          <w:rFonts w:ascii="Garamond" w:hAnsi="Garamond"/>
          <w:i/>
          <w:iCs/>
          <w:sz w:val="22"/>
          <w:szCs w:val="22"/>
          <w:lang w:val="it-IT"/>
        </w:rPr>
        <w:t>La trasparenza costituisce livello essenziale delle prestazioni erogate dalle amministrazioni pubbliche a norma dell'articolo 117, secondo comma, lettera m), della Costituzione.”</w:t>
      </w:r>
      <w:r>
        <w:rPr>
          <w:rFonts w:ascii="Garamond" w:hAnsi="Garamond"/>
          <w:sz w:val="22"/>
          <w:szCs w:val="22"/>
          <w:lang w:val="it-IT"/>
        </w:rPr>
        <w:t>.</w:t>
      </w:r>
    </w:p>
  </w:footnote>
  <w:footnote w:id="37">
    <w:p w14:paraId="11CF59B9" w14:textId="33B965F0" w:rsidR="00F36968" w:rsidRPr="00633492" w:rsidRDefault="00F36968" w:rsidP="00F36968">
      <w:pPr>
        <w:pStyle w:val="Standard"/>
        <w:ind w:left="567" w:right="567"/>
        <w:jc w:val="both"/>
        <w:rPr>
          <w:rFonts w:ascii="Garamond" w:hAnsi="Garamond" w:cs="Segoe UI"/>
          <w:sz w:val="22"/>
          <w:szCs w:val="22"/>
        </w:rPr>
      </w:pPr>
      <w:r w:rsidRPr="00633492">
        <w:rPr>
          <w:rStyle w:val="Rimandonotaapidipagina"/>
          <w:rFonts w:ascii="Garamond" w:hAnsi="Garamond" w:cs="Segoe UI"/>
          <w:sz w:val="22"/>
          <w:szCs w:val="22"/>
        </w:rPr>
        <w:footnoteRef/>
      </w:r>
      <w:r>
        <w:rPr>
          <w:rFonts w:ascii="Garamond" w:hAnsi="Garamond"/>
          <w:iCs/>
          <w:sz w:val="22"/>
          <w:szCs w:val="22"/>
          <w:lang w:val="it-IT"/>
        </w:rPr>
        <w:t xml:space="preserve"> </w:t>
      </w:r>
      <w:r w:rsidR="002916A6">
        <w:rPr>
          <w:rFonts w:ascii="Garamond" w:hAnsi="Garamond"/>
          <w:iCs/>
          <w:sz w:val="22"/>
          <w:szCs w:val="22"/>
          <w:lang w:val="it-IT"/>
        </w:rPr>
        <w:t xml:space="preserve">Secondo </w:t>
      </w:r>
      <w:r w:rsidRPr="00F43876">
        <w:rPr>
          <w:rFonts w:ascii="Garamond" w:hAnsi="Garamond"/>
          <w:sz w:val="22"/>
          <w:szCs w:val="22"/>
          <w:lang w:val="it-IT"/>
        </w:rPr>
        <w:t xml:space="preserve">Alberti P., </w:t>
      </w:r>
      <w:r>
        <w:rPr>
          <w:rFonts w:ascii="Garamond" w:hAnsi="Garamond"/>
          <w:sz w:val="22"/>
          <w:szCs w:val="22"/>
          <w:lang w:val="it-IT"/>
        </w:rPr>
        <w:t>op. cit.,</w:t>
      </w:r>
      <w:r w:rsidR="002916A6">
        <w:rPr>
          <w:rFonts w:ascii="Garamond" w:hAnsi="Garamond"/>
          <w:sz w:val="22"/>
          <w:szCs w:val="22"/>
          <w:lang w:val="it-IT"/>
        </w:rPr>
        <w:t xml:space="preserve"> </w:t>
      </w:r>
      <w:r w:rsidRPr="00F43876">
        <w:rPr>
          <w:rFonts w:ascii="Garamond" w:hAnsi="Garamond"/>
          <w:i/>
          <w:iCs/>
          <w:sz w:val="22"/>
          <w:szCs w:val="22"/>
          <w:lang w:val="it-IT"/>
        </w:rPr>
        <w:t>&lt;&lt;</w:t>
      </w:r>
      <w:proofErr w:type="gramStart"/>
      <w:r w:rsidRPr="00F43876">
        <w:rPr>
          <w:rFonts w:ascii="Garamond" w:hAnsi="Garamond"/>
          <w:i/>
          <w:iCs/>
          <w:sz w:val="22"/>
          <w:szCs w:val="22"/>
          <w:lang w:val="it-IT"/>
        </w:rPr>
        <w:t xml:space="preserve"> ..</w:t>
      </w:r>
      <w:proofErr w:type="gramEnd"/>
      <w:r w:rsidRPr="00F43876">
        <w:rPr>
          <w:rFonts w:ascii="Garamond" w:hAnsi="Garamond"/>
          <w:i/>
          <w:iCs/>
          <w:sz w:val="22"/>
          <w:szCs w:val="22"/>
          <w:lang w:val="it-IT"/>
        </w:rPr>
        <w:t xml:space="preserve"> </w:t>
      </w:r>
      <w:proofErr w:type="gramStart"/>
      <w:r w:rsidRPr="00F43876">
        <w:rPr>
          <w:rFonts w:ascii="Garamond" w:hAnsi="Garamond"/>
          <w:i/>
          <w:iCs/>
          <w:sz w:val="22"/>
          <w:szCs w:val="22"/>
          <w:lang w:val="it-IT"/>
        </w:rPr>
        <w:t>in</w:t>
      </w:r>
      <w:proofErr w:type="gramEnd"/>
      <w:r w:rsidRPr="00F43876">
        <w:rPr>
          <w:rFonts w:ascii="Garamond" w:hAnsi="Garamond"/>
          <w:i/>
          <w:iCs/>
          <w:sz w:val="22"/>
          <w:szCs w:val="22"/>
          <w:lang w:val="it-IT"/>
        </w:rPr>
        <w:t xml:space="preserve"> mancanza di una disciplina regolamentare, il criterio generale sembra essere quello della libera conoscibilità degli atti .. &gt;&gt;</w:t>
      </w:r>
      <w:r w:rsidRPr="00F43876">
        <w:rPr>
          <w:rFonts w:ascii="Garamond" w:hAnsi="Garamond"/>
          <w:sz w:val="22"/>
          <w:szCs w:val="22"/>
          <w:lang w:val="it-IT"/>
        </w:rPr>
        <w:t>.</w:t>
      </w:r>
    </w:p>
  </w:footnote>
  <w:footnote w:id="38">
    <w:p w14:paraId="5D37EC8E" w14:textId="79EB1476" w:rsidR="00EB764B" w:rsidRPr="001B511C" w:rsidRDefault="00EB764B" w:rsidP="001B511C">
      <w:pPr>
        <w:shd w:val="clear" w:color="auto" w:fill="FFFFFF"/>
        <w:ind w:left="567" w:right="567"/>
        <w:jc w:val="both"/>
        <w:rPr>
          <w:rFonts w:ascii="Garamond" w:hAnsi="Garamond"/>
          <w:i/>
          <w:sz w:val="22"/>
          <w:szCs w:val="22"/>
        </w:rPr>
      </w:pPr>
      <w:r w:rsidRPr="00D85912">
        <w:rPr>
          <w:rStyle w:val="Rimandonotaapidipagina"/>
          <w:rFonts w:ascii="Garamond" w:hAnsi="Garamond"/>
          <w:sz w:val="22"/>
          <w:szCs w:val="22"/>
        </w:rPr>
        <w:footnoteRef/>
      </w:r>
      <w:r>
        <w:rPr>
          <w:rFonts w:ascii="Garamond" w:hAnsi="Garamond"/>
          <w:iCs/>
          <w:color w:val="000000"/>
          <w:sz w:val="22"/>
          <w:szCs w:val="22"/>
        </w:rPr>
        <w:t xml:space="preserve"> In questi termini si è espresso il Dipartimento della Funzione Pubblica</w:t>
      </w:r>
      <w:r w:rsidR="001B511C">
        <w:rPr>
          <w:rFonts w:ascii="Garamond" w:hAnsi="Garamond"/>
          <w:iCs/>
          <w:color w:val="000000"/>
          <w:sz w:val="22"/>
          <w:szCs w:val="22"/>
        </w:rPr>
        <w:t xml:space="preserve"> con la Circolare n. 1/2019 del 2 luglio </w:t>
      </w:r>
      <w:r w:rsidR="001B511C" w:rsidRPr="001B511C">
        <w:rPr>
          <w:rFonts w:ascii="Garamond" w:hAnsi="Garamond"/>
          <w:i/>
          <w:color w:val="000000"/>
          <w:sz w:val="22"/>
          <w:szCs w:val="22"/>
        </w:rPr>
        <w:t xml:space="preserve">2019: $ 3 ii) &lt;&lt; </w:t>
      </w:r>
      <w:r w:rsidR="001B511C" w:rsidRPr="001B511C">
        <w:rPr>
          <w:rFonts w:ascii="Garamond" w:eastAsia="Times New Roman" w:hAnsi="Garamond" w:cs="Helvetica"/>
          <w:i/>
          <w:color w:val="333333"/>
          <w:sz w:val="22"/>
          <w:szCs w:val="22"/>
        </w:rPr>
        <w:t>ii) Regolamenti interni e limiti al diritto di accesso generalizzato</w:t>
      </w:r>
      <w:r w:rsidR="001B511C">
        <w:rPr>
          <w:rFonts w:ascii="Garamond" w:eastAsia="Times New Roman" w:hAnsi="Garamond" w:cs="Helvetica"/>
          <w:i/>
          <w:color w:val="333333"/>
          <w:sz w:val="22"/>
          <w:szCs w:val="22"/>
        </w:rPr>
        <w:t xml:space="preserve"> </w:t>
      </w:r>
      <w:r w:rsidR="001B511C" w:rsidRPr="001B511C">
        <w:rPr>
          <w:rFonts w:ascii="Garamond" w:eastAsia="Times New Roman" w:hAnsi="Garamond" w:cs="Helvetica"/>
          <w:i/>
          <w:color w:val="333333"/>
          <w:sz w:val="22"/>
          <w:szCs w:val="22"/>
        </w:rPr>
        <w:t>Come chiarito nella Circolare FOIA n. 2/2017 (§ 2.1), con il d.lgs. n. 97 del 2016 l’ordinamento italiano ha riconosciuto la libertà di accedere alle informazioni in possesso delle pubbliche amministrazioni come diritto fondamentale, in conformità all’art. 10 della Convenzione europea dei diritti dell’uomo (CEDU). Dal carattere fondamentale del diritto di accesso generalizzato deriva che, nel definire le modalità di attuazione di questo istituto con regolamento o circolare, le pubbliche amministrazioni possono disciplinare esclusivamente i profili procedurali e organizzativi di carattere interno, ma non i profili di rilevanza esterna che incidono sull’estensione del diritto.</w:t>
      </w:r>
      <w:r w:rsidR="001B511C">
        <w:rPr>
          <w:rFonts w:ascii="Garamond" w:eastAsia="Times New Roman" w:hAnsi="Garamond" w:cs="Helvetica"/>
          <w:i/>
          <w:color w:val="333333"/>
          <w:sz w:val="22"/>
          <w:szCs w:val="22"/>
        </w:rPr>
        <w:t xml:space="preserve"> </w:t>
      </w:r>
      <w:r w:rsidR="001B511C" w:rsidRPr="001B511C">
        <w:rPr>
          <w:rFonts w:ascii="Garamond" w:eastAsia="Times New Roman" w:hAnsi="Garamond" w:cs="Helvetica"/>
          <w:i/>
          <w:color w:val="333333"/>
          <w:sz w:val="22"/>
          <w:szCs w:val="22"/>
        </w:rPr>
        <w:t>Di conseguenza, le amministrazioni non possono individuare con regolamento categorie di atti sottratte all’accesso generalizzato, come prevede invece l’art. 24, comma 2, l. n. 241 del 1990 in tema di accesso procedimentale.</w:t>
      </w:r>
      <w:r w:rsidR="001B511C">
        <w:rPr>
          <w:rFonts w:ascii="Garamond" w:eastAsia="Times New Roman" w:hAnsi="Garamond" w:cs="Helvetica"/>
          <w:i/>
          <w:color w:val="333333"/>
          <w:sz w:val="22"/>
          <w:szCs w:val="22"/>
        </w:rPr>
        <w:t xml:space="preserve"> </w:t>
      </w:r>
      <w:r w:rsidR="001B511C" w:rsidRPr="001B511C">
        <w:rPr>
          <w:rFonts w:ascii="Garamond" w:eastAsia="Times New Roman" w:hAnsi="Garamond" w:cs="Helvetica"/>
          <w:i/>
          <w:color w:val="333333"/>
          <w:sz w:val="22"/>
          <w:szCs w:val="22"/>
        </w:rPr>
        <w:t>Tuttavia, nella pratica non sono mancati casi in cui una richiesta di accesso generalizzato è stata respinta sulla base di eccezioni previste da regolamenti emanati ai sensi dell’art. 24, comma 2, l. n. 241 del 1990.</w:t>
      </w:r>
      <w:r w:rsidR="001B511C">
        <w:rPr>
          <w:rFonts w:ascii="Garamond" w:eastAsia="Times New Roman" w:hAnsi="Garamond" w:cs="Helvetica"/>
          <w:i/>
          <w:color w:val="333333"/>
          <w:sz w:val="22"/>
          <w:szCs w:val="22"/>
        </w:rPr>
        <w:t xml:space="preserve"> </w:t>
      </w:r>
      <w:r w:rsidR="001B511C" w:rsidRPr="001B511C">
        <w:rPr>
          <w:rFonts w:ascii="Garamond" w:eastAsia="Times New Roman" w:hAnsi="Garamond" w:cs="Helvetica"/>
          <w:i/>
          <w:color w:val="333333"/>
          <w:sz w:val="22"/>
          <w:szCs w:val="22"/>
        </w:rPr>
        <w:t>In linea di principio, i limiti previsti per l’accesso ai documenti amministrativi di cui agli artt. 22 e seguenti della legge n. 241 del 1990 non possono essere superati ricorrendo all’istituto dell’accesso civico generalizzato. Al contempo, però, occorre richiamare il limite derivante dalla riserva di legge in tema di eccezioni al diritto di accesso generalizzato desumibile dall’art. 10 della CEDU (Linee guida A.N.AC., § 2.1; Circolare FOIA n. 2/2017, § 2.2). Alla luce di questa riserva e dell’esclusiva attribuzione all’A.N.AC., d’intesa con il Garante per la protezione di dati personali, del potere di fornire indicazioni operative per l’applicazione delle esclusioni e dei limiti all’accesso generalizzato previsti dalla legge con apposite linee guida, è opportuno interpretare in modo rigoroso il rinvio che l’art. 5-bis, comma 3, d.lgs. n. 33 del 2013 opera al comma 1 dell’art. 24, della l. n. 241 del 1990.</w:t>
      </w:r>
      <w:r w:rsidR="001B511C">
        <w:rPr>
          <w:rFonts w:ascii="Garamond" w:eastAsia="Times New Roman" w:hAnsi="Garamond" w:cs="Helvetica"/>
          <w:i/>
          <w:color w:val="333333"/>
          <w:sz w:val="22"/>
          <w:szCs w:val="22"/>
        </w:rPr>
        <w:t xml:space="preserve"> </w:t>
      </w:r>
      <w:r w:rsidR="001B511C" w:rsidRPr="001B511C">
        <w:rPr>
          <w:rFonts w:ascii="Garamond" w:eastAsia="Times New Roman" w:hAnsi="Garamond" w:cs="Helvetica"/>
          <w:i/>
          <w:color w:val="333333"/>
          <w:sz w:val="22"/>
          <w:szCs w:val="22"/>
        </w:rPr>
        <w:t>Alla luce del quadro descritto, deve ritenersi che un generale riferimento a regolamenti che prevedano categorie di documenti sottratte all’accesso – considerando che le categorie di documenti ivi indicate devono essere interpretate in senso restrittivo – potrebbe non essere sufficiente a respingere un’istanza di accesso generalizzato. In ogni caso, le disposizioni regolamentari esistenti – incluse quelle adottate ai sensi dell’art. 24, comma 2, della l. n. 241 del 1990 – possono essere utilizzate come ausilio interpretativo nella valutazione delle esclusioni dei limiti all’accesso civico generalizzato, compresa l’esistenza del pregiudizio, da verificare nel caso concreto, a uno degli interessi indicati dall’art. 5-bis del d.lgs. n. 33 del 2013 che potrebbe derivare dall’ostensione del dato o del documento richiesto. &gt;&gt;.</w:t>
      </w:r>
    </w:p>
  </w:footnote>
  <w:footnote w:id="39">
    <w:p w14:paraId="50717131" w14:textId="4596A6EB" w:rsidR="00A122AB" w:rsidRPr="001B511C" w:rsidRDefault="00A122AB" w:rsidP="00A122AB">
      <w:pPr>
        <w:pStyle w:val="Standard"/>
        <w:ind w:left="567" w:right="567"/>
        <w:jc w:val="both"/>
        <w:rPr>
          <w:rFonts w:ascii="Garamond" w:hAnsi="Garamond"/>
          <w:i/>
          <w:sz w:val="22"/>
          <w:szCs w:val="22"/>
        </w:rPr>
      </w:pPr>
      <w:r w:rsidRPr="0093271E">
        <w:rPr>
          <w:rStyle w:val="Rimandonotaapidipagina"/>
          <w:rFonts w:ascii="Garamond" w:hAnsi="Garamond"/>
          <w:sz w:val="22"/>
          <w:szCs w:val="22"/>
          <w:lang w:val="it-IT"/>
        </w:rPr>
        <w:footnoteRef/>
      </w:r>
      <w:r w:rsidRPr="0093271E">
        <w:rPr>
          <w:rFonts w:ascii="Garamond" w:hAnsi="Garamond"/>
          <w:iCs/>
          <w:color w:val="000000"/>
          <w:sz w:val="22"/>
          <w:szCs w:val="22"/>
          <w:lang w:val="it-IT"/>
        </w:rPr>
        <w:t xml:space="preserve"> </w:t>
      </w:r>
      <w:r w:rsidR="0093271E" w:rsidRPr="0093271E">
        <w:rPr>
          <w:rFonts w:ascii="Garamond" w:hAnsi="Garamond"/>
          <w:iCs/>
          <w:color w:val="000000"/>
          <w:sz w:val="22"/>
          <w:szCs w:val="22"/>
          <w:lang w:val="it-IT"/>
        </w:rPr>
        <w:t xml:space="preserve">Vedasi, in giurisprudenza, </w:t>
      </w:r>
      <w:r w:rsidRPr="0093271E">
        <w:rPr>
          <w:rFonts w:ascii="Garamond" w:hAnsi="Garamond"/>
          <w:sz w:val="22"/>
          <w:szCs w:val="22"/>
          <w:lang w:val="it-IT"/>
        </w:rPr>
        <w:t>Cons. St., sez. V, 12 febbraio 2020, n. 1121</w:t>
      </w:r>
      <w:r w:rsidRPr="0093271E">
        <w:rPr>
          <w:rFonts w:ascii="Garamond" w:hAnsi="Garamond"/>
          <w:color w:val="000000"/>
          <w:sz w:val="22"/>
          <w:szCs w:val="22"/>
          <w:lang w:val="it-IT"/>
        </w:rPr>
        <w:t xml:space="preserve">; </w:t>
      </w:r>
      <w:r w:rsidRPr="0093271E">
        <w:rPr>
          <w:rFonts w:ascii="Garamond" w:hAnsi="Garamond"/>
          <w:sz w:val="22"/>
          <w:szCs w:val="22"/>
          <w:lang w:val="it-IT"/>
        </w:rPr>
        <w:t xml:space="preserve">T.A.R. Reggio Calabria 20 aprile 2021, n. 306; Lazio, sez. I-ter, 7 aprile 2021, n. 4103; Lazio, sez. I, 3 luglio 2017, n. 7592; Milano, </w:t>
      </w:r>
      <w:r>
        <w:rPr>
          <w:rFonts w:ascii="Garamond" w:hAnsi="Garamond"/>
          <w:sz w:val="22"/>
          <w:szCs w:val="22"/>
          <w:lang w:val="it-IT"/>
        </w:rPr>
        <w:t xml:space="preserve">sez. IV, 14 novembre </w:t>
      </w:r>
      <w:r w:rsidRPr="00A122AB">
        <w:rPr>
          <w:rFonts w:ascii="Garamond" w:hAnsi="Garamond"/>
          <w:sz w:val="22"/>
          <w:szCs w:val="22"/>
          <w:lang w:val="it-IT"/>
        </w:rPr>
        <w:t>2017</w:t>
      </w:r>
      <w:r>
        <w:rPr>
          <w:rFonts w:ascii="Garamond" w:hAnsi="Garamond"/>
          <w:sz w:val="22"/>
          <w:szCs w:val="22"/>
          <w:lang w:val="it-IT"/>
        </w:rPr>
        <w:t xml:space="preserve">, n. </w:t>
      </w:r>
      <w:r w:rsidRPr="00A122AB">
        <w:rPr>
          <w:rFonts w:ascii="Garamond" w:hAnsi="Garamond"/>
          <w:sz w:val="22"/>
          <w:szCs w:val="22"/>
          <w:lang w:val="it-IT"/>
        </w:rPr>
        <w:t>2157</w:t>
      </w:r>
      <w:r>
        <w:rPr>
          <w:rFonts w:ascii="Garamond" w:hAnsi="Garamond"/>
          <w:sz w:val="22"/>
          <w:szCs w:val="22"/>
          <w:lang w:val="it-IT"/>
        </w:rPr>
        <w:t xml:space="preserve">. </w:t>
      </w:r>
      <w:r w:rsidR="0093271E">
        <w:rPr>
          <w:rFonts w:ascii="Garamond" w:hAnsi="Garamond"/>
          <w:sz w:val="22"/>
          <w:szCs w:val="22"/>
          <w:lang w:val="it-IT"/>
        </w:rPr>
        <w:t xml:space="preserve">Nello stesso senso </w:t>
      </w:r>
      <w:r>
        <w:rPr>
          <w:rFonts w:ascii="Garamond" w:hAnsi="Garamond"/>
          <w:sz w:val="22"/>
          <w:szCs w:val="22"/>
          <w:lang w:val="it-IT"/>
        </w:rPr>
        <w:t>si è espresso anche il</w:t>
      </w:r>
      <w:r w:rsidRPr="00A122AB">
        <w:rPr>
          <w:rFonts w:ascii="Garamond" w:hAnsi="Garamond"/>
          <w:sz w:val="22"/>
          <w:szCs w:val="22"/>
          <w:lang w:val="it-IT"/>
        </w:rPr>
        <w:t xml:space="preserve"> Garante </w:t>
      </w:r>
      <w:r>
        <w:rPr>
          <w:rFonts w:ascii="Garamond" w:hAnsi="Garamond"/>
          <w:sz w:val="22"/>
          <w:szCs w:val="22"/>
          <w:lang w:val="it-IT"/>
        </w:rPr>
        <w:t xml:space="preserve">per la protezione dei dati personali con pareri n. </w:t>
      </w:r>
      <w:r w:rsidRPr="00A122AB">
        <w:rPr>
          <w:rFonts w:ascii="Garamond" w:hAnsi="Garamond"/>
          <w:sz w:val="22"/>
          <w:szCs w:val="22"/>
          <w:lang w:val="it-IT"/>
        </w:rPr>
        <w:t>434</w:t>
      </w:r>
      <w:r>
        <w:rPr>
          <w:rFonts w:ascii="Garamond" w:hAnsi="Garamond"/>
          <w:sz w:val="22"/>
          <w:szCs w:val="22"/>
          <w:lang w:val="it-IT"/>
        </w:rPr>
        <w:t xml:space="preserve"> del 25 ottobre </w:t>
      </w:r>
      <w:r w:rsidRPr="00A122AB">
        <w:rPr>
          <w:rFonts w:ascii="Garamond" w:hAnsi="Garamond"/>
          <w:sz w:val="22"/>
          <w:szCs w:val="22"/>
          <w:lang w:val="it-IT"/>
        </w:rPr>
        <w:t>2017</w:t>
      </w:r>
      <w:r>
        <w:rPr>
          <w:rFonts w:ascii="Garamond" w:hAnsi="Garamond"/>
          <w:sz w:val="22"/>
          <w:szCs w:val="22"/>
          <w:lang w:val="it-IT"/>
        </w:rPr>
        <w:t xml:space="preserve"> e n. </w:t>
      </w:r>
      <w:r w:rsidRPr="00A122AB">
        <w:rPr>
          <w:rFonts w:ascii="Garamond" w:hAnsi="Garamond"/>
          <w:sz w:val="22"/>
          <w:szCs w:val="22"/>
          <w:lang w:val="it-IT"/>
        </w:rPr>
        <w:t>566</w:t>
      </w:r>
      <w:r>
        <w:rPr>
          <w:rFonts w:ascii="Garamond" w:hAnsi="Garamond"/>
          <w:sz w:val="22"/>
          <w:szCs w:val="22"/>
          <w:lang w:val="it-IT"/>
        </w:rPr>
        <w:t xml:space="preserve"> del 28 dicembre </w:t>
      </w:r>
      <w:r w:rsidRPr="00A122AB">
        <w:rPr>
          <w:rFonts w:ascii="Garamond" w:hAnsi="Garamond"/>
          <w:sz w:val="22"/>
          <w:szCs w:val="22"/>
          <w:lang w:val="it-IT"/>
        </w:rPr>
        <w:t>2017</w:t>
      </w:r>
      <w:r>
        <w:rPr>
          <w:rFonts w:ascii="Garamond" w:hAnsi="Garamond"/>
          <w:sz w:val="22"/>
          <w:szCs w:val="22"/>
          <w:lang w:val="it-IT"/>
        </w:rPr>
        <w:t>.</w:t>
      </w:r>
      <w:r w:rsidR="003F02F9">
        <w:rPr>
          <w:rFonts w:ascii="Garamond" w:hAnsi="Garamond"/>
          <w:sz w:val="22"/>
          <w:szCs w:val="22"/>
          <w:lang w:val="it-IT"/>
        </w:rPr>
        <w:t xml:space="preserve"> </w:t>
      </w:r>
      <w:r w:rsidR="0093271E">
        <w:rPr>
          <w:rFonts w:ascii="Garamond" w:hAnsi="Garamond"/>
          <w:sz w:val="22"/>
          <w:szCs w:val="22"/>
          <w:lang w:val="it-IT"/>
        </w:rPr>
        <w:t>I</w:t>
      </w:r>
      <w:r w:rsidR="003F02F9">
        <w:rPr>
          <w:rFonts w:ascii="Garamond" w:hAnsi="Garamond"/>
          <w:sz w:val="22"/>
          <w:szCs w:val="22"/>
          <w:lang w:val="it-IT"/>
        </w:rPr>
        <w:t>n dottrina, vedasi Corrado A</w:t>
      </w:r>
      <w:r w:rsidR="003F02F9" w:rsidRPr="003F02F9">
        <w:rPr>
          <w:rFonts w:ascii="Garamond" w:hAnsi="Garamond"/>
          <w:sz w:val="22"/>
          <w:szCs w:val="22"/>
          <w:lang w:val="it-IT"/>
        </w:rPr>
        <w:t xml:space="preserve">.,  </w:t>
      </w:r>
      <w:r w:rsidR="003F02F9" w:rsidRPr="003F02F9">
        <w:rPr>
          <w:rFonts w:ascii="Garamond" w:hAnsi="Garamond" w:cs="Segoe UI"/>
          <w:i/>
          <w:color w:val="201A1A"/>
          <w:sz w:val="22"/>
          <w:szCs w:val="22"/>
          <w:lang w:val="it-IT"/>
        </w:rPr>
        <w:t>L’accesso civico generalizzato, diritto fondamentale del cittadino, trova applicazione anche per i contratti pubblici: l’Adunanza plenaria del Consiglio di Stato pone fine ai dubbi interpretativi</w:t>
      </w:r>
      <w:r w:rsidR="003F02F9" w:rsidRPr="003F02F9">
        <w:rPr>
          <w:rFonts w:ascii="Garamond" w:hAnsi="Garamond" w:cs="Segoe UI"/>
          <w:color w:val="201A1A"/>
          <w:sz w:val="22"/>
          <w:szCs w:val="22"/>
          <w:lang w:val="it-IT"/>
        </w:rPr>
        <w:t>, Federalismi.it n. 17/2020)</w:t>
      </w:r>
      <w:r w:rsidR="003F02F9">
        <w:rPr>
          <w:rFonts w:ascii="Garamond" w:hAnsi="Garamond" w:cs="Segoe UI"/>
          <w:color w:val="201A1A"/>
          <w:sz w:val="22"/>
          <w:szCs w:val="22"/>
          <w:lang w:val="it-IT"/>
        </w:rPr>
        <w:t xml:space="preserve">: </w:t>
      </w:r>
      <w:r w:rsidR="003F02F9" w:rsidRPr="003F02F9">
        <w:rPr>
          <w:rFonts w:ascii="Garamond" w:hAnsi="Garamond"/>
          <w:i/>
          <w:iCs/>
          <w:sz w:val="22"/>
          <w:szCs w:val="22"/>
          <w:lang w:val="it-IT"/>
        </w:rPr>
        <w:t>&lt;&lt; Il rinvio effettuato dall’art. 5-bis, comma 3, all’art. 24, comma 1, della l. n. 241/1990 impone, infatti, di chiarire che i regolamenti adottati dalle pubbliche amministrazioni dopo la legge n. 15/2015, facendo riferimento all’attuale formulazione dell’art. 24, comma 1, sono tuttora pienamente validi e utilizzabili .. anche all’accesso generalizzato per effetto del rinvio di cui all’art. 5-bis, comma 3. &gt;&gt;</w:t>
      </w:r>
      <w:r w:rsidR="003F02F9">
        <w:rPr>
          <w:rFonts w:ascii="Garamond" w:hAnsi="Garamond"/>
          <w:sz w:val="22"/>
          <w:szCs w:val="22"/>
          <w:lang w:val="it-IT"/>
        </w:rPr>
        <w:t>.</w:t>
      </w:r>
    </w:p>
  </w:footnote>
  <w:footnote w:id="40">
    <w:p w14:paraId="6097B744" w14:textId="3B99917E" w:rsidR="000A394C" w:rsidRPr="001B511C" w:rsidRDefault="000A394C" w:rsidP="000A394C">
      <w:pPr>
        <w:pStyle w:val="Standard"/>
        <w:ind w:left="567" w:right="567"/>
        <w:jc w:val="both"/>
        <w:rPr>
          <w:rFonts w:ascii="Garamond" w:hAnsi="Garamond"/>
          <w:i/>
          <w:sz w:val="22"/>
          <w:szCs w:val="22"/>
        </w:rPr>
      </w:pPr>
      <w:r w:rsidRPr="00304475">
        <w:rPr>
          <w:rStyle w:val="Rimandonotaapidipagina"/>
          <w:rFonts w:ascii="Garamond" w:hAnsi="Garamond"/>
          <w:sz w:val="22"/>
          <w:szCs w:val="22"/>
          <w:lang w:val="it-IT"/>
        </w:rPr>
        <w:footnoteRef/>
      </w:r>
      <w:r w:rsidRPr="00304475">
        <w:rPr>
          <w:rFonts w:ascii="Garamond" w:hAnsi="Garamond"/>
          <w:iCs/>
          <w:color w:val="000000"/>
          <w:sz w:val="22"/>
          <w:szCs w:val="22"/>
          <w:lang w:val="it-IT"/>
        </w:rPr>
        <w:t xml:space="preserve"> </w:t>
      </w:r>
      <w:r w:rsidR="00304475">
        <w:rPr>
          <w:rFonts w:ascii="Garamond" w:hAnsi="Garamond"/>
          <w:iCs/>
          <w:color w:val="000000"/>
          <w:sz w:val="22"/>
          <w:szCs w:val="22"/>
          <w:lang w:val="it-IT"/>
        </w:rPr>
        <w:t>Così</w:t>
      </w:r>
      <w:r w:rsidR="00304475" w:rsidRPr="00304475">
        <w:rPr>
          <w:rFonts w:ascii="Garamond" w:hAnsi="Garamond"/>
          <w:iCs/>
          <w:color w:val="000000"/>
          <w:sz w:val="22"/>
          <w:szCs w:val="22"/>
          <w:lang w:val="it-IT"/>
        </w:rPr>
        <w:t>, ad esempio,</w:t>
      </w:r>
      <w:r w:rsidR="00304475">
        <w:rPr>
          <w:rFonts w:ascii="Garamond" w:hAnsi="Garamond"/>
          <w:iCs/>
          <w:color w:val="000000"/>
          <w:sz w:val="22"/>
          <w:szCs w:val="22"/>
          <w:lang w:val="it-IT"/>
        </w:rPr>
        <w:t xml:space="preserve"> </w:t>
      </w:r>
      <w:r w:rsidR="00C03472">
        <w:rPr>
          <w:rFonts w:ascii="Garamond" w:hAnsi="Garamond"/>
          <w:iCs/>
          <w:color w:val="000000"/>
          <w:sz w:val="22"/>
          <w:szCs w:val="22"/>
          <w:lang w:val="it-IT"/>
        </w:rPr>
        <w:t xml:space="preserve">in considerazione di quanto previsto </w:t>
      </w:r>
      <w:r w:rsidR="00007744" w:rsidRPr="00304475">
        <w:rPr>
          <w:rFonts w:ascii="Garamond" w:hAnsi="Garamond"/>
          <w:sz w:val="22"/>
          <w:szCs w:val="22"/>
          <w:lang w:val="it-IT"/>
        </w:rPr>
        <w:t>d</w:t>
      </w:r>
      <w:r w:rsidR="00C03472">
        <w:rPr>
          <w:rFonts w:ascii="Garamond" w:hAnsi="Garamond"/>
          <w:sz w:val="22"/>
          <w:szCs w:val="22"/>
          <w:lang w:val="it-IT"/>
        </w:rPr>
        <w:t>a</w:t>
      </w:r>
      <w:r w:rsidR="00007744" w:rsidRPr="00304475">
        <w:rPr>
          <w:rFonts w:ascii="Garamond" w:hAnsi="Garamond"/>
          <w:sz w:val="22"/>
          <w:szCs w:val="22"/>
          <w:lang w:val="it-IT"/>
        </w:rPr>
        <w:t xml:space="preserve">ll’art. 4 </w:t>
      </w:r>
      <w:r w:rsidR="00007744">
        <w:rPr>
          <w:rFonts w:ascii="Garamond" w:hAnsi="Garamond"/>
          <w:sz w:val="22"/>
          <w:szCs w:val="22"/>
          <w:lang w:val="it-IT"/>
        </w:rPr>
        <w:t>d</w:t>
      </w:r>
      <w:r w:rsidR="00007744" w:rsidRPr="00304475">
        <w:rPr>
          <w:rFonts w:ascii="Garamond" w:hAnsi="Garamond"/>
          <w:sz w:val="22"/>
          <w:szCs w:val="22"/>
          <w:lang w:val="it-IT"/>
        </w:rPr>
        <w:t>.</w:t>
      </w:r>
      <w:r w:rsidR="00007744">
        <w:rPr>
          <w:rFonts w:ascii="Garamond" w:hAnsi="Garamond"/>
          <w:sz w:val="22"/>
          <w:szCs w:val="22"/>
          <w:lang w:val="it-IT"/>
        </w:rPr>
        <w:t>m</w:t>
      </w:r>
      <w:r w:rsidR="00007744" w:rsidRPr="00304475">
        <w:rPr>
          <w:rFonts w:ascii="Garamond" w:hAnsi="Garamond"/>
          <w:sz w:val="22"/>
          <w:szCs w:val="22"/>
          <w:lang w:val="it-IT"/>
        </w:rPr>
        <w:t xml:space="preserve">. </w:t>
      </w:r>
      <w:r w:rsidR="00007744">
        <w:rPr>
          <w:rFonts w:ascii="Garamond" w:hAnsi="Garamond"/>
          <w:sz w:val="22"/>
          <w:szCs w:val="22"/>
          <w:lang w:val="it-IT"/>
        </w:rPr>
        <w:t xml:space="preserve">n. </w:t>
      </w:r>
      <w:r w:rsidR="00007744" w:rsidRPr="00304475">
        <w:rPr>
          <w:rFonts w:ascii="Garamond" w:hAnsi="Garamond"/>
          <w:sz w:val="22"/>
          <w:szCs w:val="22"/>
          <w:lang w:val="it-IT"/>
        </w:rPr>
        <w:t>415</w:t>
      </w:r>
      <w:r w:rsidR="00007744">
        <w:rPr>
          <w:rFonts w:ascii="Garamond" w:hAnsi="Garamond"/>
          <w:sz w:val="22"/>
          <w:szCs w:val="22"/>
          <w:lang w:val="it-IT"/>
        </w:rPr>
        <w:t xml:space="preserve"> del </w:t>
      </w:r>
      <w:r w:rsidR="00007744" w:rsidRPr="00304475">
        <w:rPr>
          <w:rFonts w:ascii="Garamond" w:hAnsi="Garamond"/>
          <w:sz w:val="22"/>
          <w:szCs w:val="22"/>
          <w:lang w:val="it-IT"/>
        </w:rPr>
        <w:t>1994</w:t>
      </w:r>
      <w:r w:rsidR="00007744">
        <w:rPr>
          <w:rFonts w:ascii="Garamond" w:hAnsi="Garamond"/>
          <w:sz w:val="22"/>
          <w:szCs w:val="22"/>
          <w:lang w:val="it-IT"/>
        </w:rPr>
        <w:t xml:space="preserve"> (</w:t>
      </w:r>
      <w:r w:rsidR="00B14B4A">
        <w:rPr>
          <w:rFonts w:ascii="Garamond" w:hAnsi="Garamond"/>
          <w:sz w:val="22"/>
          <w:szCs w:val="22"/>
          <w:lang w:val="it-IT"/>
        </w:rPr>
        <w:t>r</w:t>
      </w:r>
      <w:r w:rsidR="00C03472">
        <w:rPr>
          <w:rFonts w:ascii="Garamond" w:hAnsi="Garamond"/>
          <w:sz w:val="22"/>
          <w:szCs w:val="22"/>
          <w:lang w:val="it-IT"/>
        </w:rPr>
        <w:t xml:space="preserve">egolamento </w:t>
      </w:r>
      <w:r w:rsidR="00007744" w:rsidRPr="00304475">
        <w:rPr>
          <w:rFonts w:ascii="Garamond" w:hAnsi="Garamond"/>
          <w:sz w:val="22"/>
          <w:szCs w:val="22"/>
          <w:lang w:val="it-IT"/>
        </w:rPr>
        <w:t>Ministero dell’Interno</w:t>
      </w:r>
      <w:r w:rsidR="00007744">
        <w:rPr>
          <w:rFonts w:ascii="Garamond" w:hAnsi="Garamond"/>
          <w:sz w:val="22"/>
          <w:szCs w:val="22"/>
          <w:lang w:val="it-IT"/>
        </w:rPr>
        <w:t xml:space="preserve">), </w:t>
      </w:r>
      <w:r w:rsidR="00304475">
        <w:rPr>
          <w:rFonts w:ascii="Garamond" w:hAnsi="Garamond"/>
          <w:iCs/>
          <w:color w:val="000000"/>
          <w:sz w:val="22"/>
          <w:szCs w:val="22"/>
          <w:lang w:val="it-IT"/>
        </w:rPr>
        <w:t>Tar Milano, sez. IV, 14 novembre 2017, n. 2157</w:t>
      </w:r>
      <w:r w:rsidR="00007744">
        <w:rPr>
          <w:rFonts w:ascii="Garamond" w:hAnsi="Garamond"/>
          <w:iCs/>
          <w:color w:val="000000"/>
          <w:sz w:val="22"/>
          <w:szCs w:val="22"/>
          <w:lang w:val="it-IT"/>
        </w:rPr>
        <w:t xml:space="preserve"> </w:t>
      </w:r>
      <w:r w:rsidR="00304475">
        <w:rPr>
          <w:rFonts w:ascii="Garamond" w:hAnsi="Garamond"/>
          <w:iCs/>
          <w:color w:val="000000"/>
          <w:sz w:val="22"/>
          <w:szCs w:val="22"/>
          <w:lang w:val="it-IT"/>
        </w:rPr>
        <w:t xml:space="preserve">ha ritenuto </w:t>
      </w:r>
      <w:r w:rsidR="00304475" w:rsidRPr="00304475">
        <w:rPr>
          <w:rFonts w:ascii="Garamond" w:hAnsi="Garamond"/>
          <w:sz w:val="22"/>
          <w:szCs w:val="22"/>
          <w:lang w:val="it-IT"/>
        </w:rPr>
        <w:t>sottratti all’accesso civico generalizzato</w:t>
      </w:r>
      <w:r w:rsidR="00007744">
        <w:rPr>
          <w:rFonts w:ascii="Garamond" w:hAnsi="Garamond"/>
          <w:sz w:val="22"/>
          <w:szCs w:val="22"/>
          <w:lang w:val="it-IT"/>
        </w:rPr>
        <w:t xml:space="preserve"> </w:t>
      </w:r>
      <w:r w:rsidR="00304475" w:rsidRPr="00304475">
        <w:rPr>
          <w:rFonts w:ascii="Garamond" w:hAnsi="Garamond"/>
          <w:sz w:val="22"/>
          <w:szCs w:val="22"/>
          <w:lang w:val="it-IT"/>
        </w:rPr>
        <w:t>gli atti di verifica effettuati dalla Prefettura sulla idoneità tecnico-professionale di una ditta alla quale a</w:t>
      </w:r>
      <w:r w:rsidR="00007744">
        <w:rPr>
          <w:rFonts w:ascii="Garamond" w:hAnsi="Garamond"/>
          <w:sz w:val="22"/>
          <w:szCs w:val="22"/>
          <w:lang w:val="it-IT"/>
        </w:rPr>
        <w:t>veva</w:t>
      </w:r>
      <w:r w:rsidR="00304475" w:rsidRPr="00304475">
        <w:rPr>
          <w:rFonts w:ascii="Garamond" w:hAnsi="Garamond"/>
          <w:sz w:val="22"/>
          <w:szCs w:val="22"/>
          <w:lang w:val="it-IT"/>
        </w:rPr>
        <w:t xml:space="preserve"> affidato direttamente ed in via d’urgenza il servizio di accoglienza ai profughi, trattandosi di attività ispettiva esclusa dall’accesso</w:t>
      </w:r>
      <w:r w:rsidR="00007744">
        <w:rPr>
          <w:rFonts w:ascii="Garamond" w:hAnsi="Garamond"/>
          <w:sz w:val="22"/>
          <w:szCs w:val="22"/>
          <w:lang w:val="it-IT"/>
        </w:rPr>
        <w:t xml:space="preserve">; </w:t>
      </w:r>
      <w:bookmarkStart w:id="13" w:name="_Hlk70005443"/>
      <w:r w:rsidR="00007744">
        <w:rPr>
          <w:rFonts w:ascii="Garamond" w:hAnsi="Garamond"/>
          <w:sz w:val="22"/>
          <w:szCs w:val="22"/>
          <w:lang w:val="it-IT"/>
        </w:rPr>
        <w:t>Tar Lazio, sez. I-ter, 7 aprile 2021, n. 4103</w:t>
      </w:r>
      <w:r w:rsidR="00C03472">
        <w:rPr>
          <w:rFonts w:ascii="Garamond" w:hAnsi="Garamond"/>
          <w:sz w:val="22"/>
          <w:szCs w:val="22"/>
          <w:lang w:val="it-IT"/>
        </w:rPr>
        <w:t xml:space="preserve"> </w:t>
      </w:r>
      <w:r w:rsidR="00007744">
        <w:rPr>
          <w:rFonts w:ascii="Garamond" w:hAnsi="Garamond"/>
          <w:sz w:val="22"/>
          <w:szCs w:val="22"/>
          <w:lang w:val="it-IT"/>
        </w:rPr>
        <w:t>ha escluso dall’accesso civico generalizzato</w:t>
      </w:r>
      <w:r w:rsidR="00304475" w:rsidRPr="00304475">
        <w:rPr>
          <w:rFonts w:ascii="Garamond" w:hAnsi="Garamond"/>
          <w:sz w:val="22"/>
          <w:szCs w:val="22"/>
          <w:lang w:val="it-IT"/>
        </w:rPr>
        <w:t xml:space="preserve"> i dati relativi al monitoraggio, al controllo ed alle verifiche ispettive dei centri di accoglienza per richiedenti asilo</w:t>
      </w:r>
      <w:bookmarkEnd w:id="13"/>
      <w:r w:rsidR="00C03472">
        <w:rPr>
          <w:rFonts w:ascii="Garamond" w:hAnsi="Garamond"/>
          <w:sz w:val="22"/>
          <w:szCs w:val="22"/>
          <w:lang w:val="it-IT"/>
        </w:rPr>
        <w:t xml:space="preserve">; e </w:t>
      </w:r>
      <w:r w:rsidR="00007744">
        <w:rPr>
          <w:rFonts w:ascii="Garamond" w:hAnsi="Garamond"/>
          <w:sz w:val="22"/>
          <w:szCs w:val="22"/>
          <w:lang w:val="it-IT"/>
        </w:rPr>
        <w:t>Tar Reggio Calabria 20 aprile 2021, n. 306</w:t>
      </w:r>
      <w:r w:rsidR="00C03472">
        <w:rPr>
          <w:rFonts w:ascii="Garamond" w:hAnsi="Garamond"/>
          <w:sz w:val="22"/>
          <w:szCs w:val="22"/>
          <w:lang w:val="it-IT"/>
        </w:rPr>
        <w:t xml:space="preserve"> </w:t>
      </w:r>
      <w:r w:rsidR="00007744">
        <w:rPr>
          <w:rFonts w:ascii="Garamond" w:hAnsi="Garamond"/>
          <w:sz w:val="22"/>
          <w:szCs w:val="22"/>
          <w:lang w:val="it-IT"/>
        </w:rPr>
        <w:t xml:space="preserve">ha ritenuto </w:t>
      </w:r>
      <w:r w:rsidR="00007744" w:rsidRPr="00304475">
        <w:rPr>
          <w:rFonts w:ascii="Garamond" w:hAnsi="Garamond"/>
          <w:sz w:val="22"/>
          <w:szCs w:val="22"/>
          <w:lang w:val="it-IT"/>
        </w:rPr>
        <w:t>sottratti all’accesso civico generalizzato</w:t>
      </w:r>
      <w:r w:rsidR="00007744">
        <w:rPr>
          <w:rFonts w:ascii="Garamond" w:hAnsi="Garamond"/>
          <w:sz w:val="22"/>
          <w:szCs w:val="22"/>
          <w:lang w:val="it-IT"/>
        </w:rPr>
        <w:t xml:space="preserve"> </w:t>
      </w:r>
      <w:r w:rsidR="00007744" w:rsidRPr="00304475">
        <w:rPr>
          <w:rFonts w:ascii="Garamond" w:hAnsi="Garamond"/>
          <w:sz w:val="22"/>
          <w:szCs w:val="22"/>
          <w:lang w:val="it-IT"/>
        </w:rPr>
        <w:t xml:space="preserve">gli atti istruttori del procedimento amministrativo ex art. 143 </w:t>
      </w:r>
      <w:proofErr w:type="spellStart"/>
      <w:r w:rsidR="00007744">
        <w:rPr>
          <w:rFonts w:ascii="Garamond" w:hAnsi="Garamond"/>
          <w:sz w:val="22"/>
          <w:szCs w:val="22"/>
          <w:lang w:val="it-IT"/>
        </w:rPr>
        <w:t>t.u.e.l</w:t>
      </w:r>
      <w:proofErr w:type="spellEnd"/>
      <w:r w:rsidR="00007744">
        <w:rPr>
          <w:rFonts w:ascii="Garamond" w:hAnsi="Garamond"/>
          <w:sz w:val="22"/>
          <w:szCs w:val="22"/>
          <w:lang w:val="it-IT"/>
        </w:rPr>
        <w:t>.</w:t>
      </w:r>
      <w:r w:rsidR="00C03472">
        <w:rPr>
          <w:rFonts w:ascii="Garamond" w:hAnsi="Garamond"/>
          <w:sz w:val="22"/>
          <w:szCs w:val="22"/>
          <w:lang w:val="it-IT"/>
        </w:rPr>
        <w:t xml:space="preserve">, </w:t>
      </w:r>
      <w:r w:rsidR="00007744" w:rsidRPr="00304475">
        <w:rPr>
          <w:rFonts w:ascii="Garamond" w:hAnsi="Garamond"/>
          <w:sz w:val="22"/>
          <w:szCs w:val="22"/>
          <w:lang w:val="it-IT"/>
        </w:rPr>
        <w:t xml:space="preserve">ancorchè conclusosi con un </w:t>
      </w:r>
      <w:r w:rsidR="00007744">
        <w:rPr>
          <w:rFonts w:ascii="Garamond" w:hAnsi="Garamond"/>
          <w:sz w:val="22"/>
          <w:szCs w:val="22"/>
          <w:lang w:val="it-IT"/>
        </w:rPr>
        <w:t>d</w:t>
      </w:r>
      <w:r w:rsidR="00007744" w:rsidRPr="00304475">
        <w:rPr>
          <w:rFonts w:ascii="Garamond" w:hAnsi="Garamond"/>
          <w:sz w:val="22"/>
          <w:szCs w:val="22"/>
          <w:lang w:val="it-IT"/>
        </w:rPr>
        <w:t>ecreto che dà atto della insussistenza dei presupposti per lo scioglimento del Consiglio comunale</w:t>
      </w:r>
      <w:r w:rsidR="00007744">
        <w:rPr>
          <w:rFonts w:ascii="Garamond" w:hAnsi="Garamond"/>
          <w:sz w:val="22"/>
          <w:szCs w:val="22"/>
          <w:lang w:val="it-IT"/>
        </w:rPr>
        <w:t>.</w:t>
      </w:r>
      <w:r w:rsidR="00C03472">
        <w:rPr>
          <w:rFonts w:ascii="Garamond" w:hAnsi="Garamond"/>
          <w:sz w:val="22"/>
          <w:szCs w:val="22"/>
          <w:lang w:val="it-IT"/>
        </w:rPr>
        <w:t xml:space="preserve"> Analogamente </w:t>
      </w:r>
      <w:r w:rsidR="00007744">
        <w:rPr>
          <w:rFonts w:ascii="Garamond" w:hAnsi="Garamond"/>
          <w:sz w:val="22"/>
          <w:szCs w:val="22"/>
          <w:lang w:val="it-IT"/>
        </w:rPr>
        <w:t>Tar Lazio, sez. I, 3 luglio 2017, n. 7592</w:t>
      </w:r>
      <w:r w:rsidR="00C03472">
        <w:rPr>
          <w:rFonts w:ascii="Garamond" w:hAnsi="Garamond"/>
          <w:sz w:val="22"/>
          <w:szCs w:val="22"/>
          <w:lang w:val="it-IT"/>
        </w:rPr>
        <w:t xml:space="preserve"> </w:t>
      </w:r>
      <w:r w:rsidR="00007744">
        <w:rPr>
          <w:rFonts w:ascii="Garamond" w:hAnsi="Garamond"/>
          <w:sz w:val="22"/>
          <w:szCs w:val="22"/>
          <w:lang w:val="it-IT"/>
        </w:rPr>
        <w:t xml:space="preserve">ha ritenuto </w:t>
      </w:r>
      <w:r w:rsidR="00304475" w:rsidRPr="00304475">
        <w:rPr>
          <w:rFonts w:ascii="Garamond" w:hAnsi="Garamond"/>
          <w:sz w:val="22"/>
          <w:szCs w:val="22"/>
          <w:lang w:val="it-IT"/>
        </w:rPr>
        <w:t>legittima la reiezione di un’istanza di accesso civico generalizzato ai verbali dei lavori di una commissione di concorso indetto dal Ministero della Giustizia, in considerazione di quanto previsto dal</w:t>
      </w:r>
      <w:r w:rsidR="00007744">
        <w:rPr>
          <w:rFonts w:ascii="Garamond" w:hAnsi="Garamond"/>
          <w:sz w:val="22"/>
          <w:szCs w:val="22"/>
          <w:lang w:val="it-IT"/>
        </w:rPr>
        <w:t>l’</w:t>
      </w:r>
      <w:r w:rsidR="00304475" w:rsidRPr="00304475">
        <w:rPr>
          <w:rFonts w:ascii="Garamond" w:hAnsi="Garamond"/>
          <w:sz w:val="22"/>
          <w:szCs w:val="22"/>
          <w:lang w:val="it-IT"/>
        </w:rPr>
        <w:t xml:space="preserve">art. 4 </w:t>
      </w:r>
      <w:r w:rsidR="00007744">
        <w:rPr>
          <w:rFonts w:ascii="Garamond" w:hAnsi="Garamond"/>
          <w:sz w:val="22"/>
          <w:szCs w:val="22"/>
          <w:lang w:val="it-IT"/>
        </w:rPr>
        <w:t>d</w:t>
      </w:r>
      <w:r w:rsidR="00304475" w:rsidRPr="00304475">
        <w:rPr>
          <w:rFonts w:ascii="Garamond" w:hAnsi="Garamond"/>
          <w:sz w:val="22"/>
          <w:szCs w:val="22"/>
          <w:lang w:val="it-IT"/>
        </w:rPr>
        <w:t>.</w:t>
      </w:r>
      <w:r w:rsidR="00007744">
        <w:rPr>
          <w:rFonts w:ascii="Garamond" w:hAnsi="Garamond"/>
          <w:sz w:val="22"/>
          <w:szCs w:val="22"/>
          <w:lang w:val="it-IT"/>
        </w:rPr>
        <w:t>m</w:t>
      </w:r>
      <w:r w:rsidR="00304475" w:rsidRPr="00304475">
        <w:rPr>
          <w:rFonts w:ascii="Garamond" w:hAnsi="Garamond"/>
          <w:sz w:val="22"/>
          <w:szCs w:val="22"/>
          <w:lang w:val="it-IT"/>
        </w:rPr>
        <w:t xml:space="preserve">. </w:t>
      </w:r>
      <w:r w:rsidR="00007744">
        <w:rPr>
          <w:rFonts w:ascii="Garamond" w:hAnsi="Garamond"/>
          <w:sz w:val="22"/>
          <w:szCs w:val="22"/>
          <w:lang w:val="it-IT"/>
        </w:rPr>
        <w:t xml:space="preserve">n. </w:t>
      </w:r>
      <w:r w:rsidR="00304475" w:rsidRPr="00304475">
        <w:rPr>
          <w:rFonts w:ascii="Garamond" w:hAnsi="Garamond"/>
          <w:sz w:val="22"/>
          <w:szCs w:val="22"/>
          <w:lang w:val="it-IT"/>
        </w:rPr>
        <w:t>115</w:t>
      </w:r>
      <w:r w:rsidR="00007744">
        <w:rPr>
          <w:rFonts w:ascii="Garamond" w:hAnsi="Garamond"/>
          <w:sz w:val="22"/>
          <w:szCs w:val="22"/>
          <w:lang w:val="it-IT"/>
        </w:rPr>
        <w:t xml:space="preserve"> del </w:t>
      </w:r>
      <w:r w:rsidR="00304475" w:rsidRPr="00304475">
        <w:rPr>
          <w:rFonts w:ascii="Garamond" w:hAnsi="Garamond"/>
          <w:sz w:val="22"/>
          <w:szCs w:val="22"/>
          <w:lang w:val="it-IT"/>
        </w:rPr>
        <w:t>1996 (che prevede l’esclusione dell’accesso per la “documentazione attinente ai lavori delle commissioni giudicatrici di concorso fino all’esaurimento delle procedure concorsuali”)</w:t>
      </w:r>
      <w:r w:rsidR="00007744">
        <w:rPr>
          <w:rFonts w:ascii="Garamond" w:hAnsi="Garamond"/>
          <w:sz w:val="22"/>
          <w:szCs w:val="22"/>
          <w:lang w:val="it-IT"/>
        </w:rPr>
        <w:t xml:space="preserve">. </w:t>
      </w:r>
    </w:p>
  </w:footnote>
  <w:footnote w:id="41">
    <w:p w14:paraId="13A629D8" w14:textId="4E758C3E" w:rsidR="00A6057A" w:rsidRPr="001B511C" w:rsidRDefault="00A6057A" w:rsidP="004A0338">
      <w:pPr>
        <w:ind w:left="567" w:right="567"/>
        <w:jc w:val="both"/>
        <w:rPr>
          <w:rFonts w:ascii="Garamond" w:hAnsi="Garamond"/>
          <w:i/>
          <w:sz w:val="22"/>
          <w:szCs w:val="22"/>
        </w:rPr>
      </w:pPr>
      <w:r w:rsidRPr="00304475">
        <w:rPr>
          <w:rStyle w:val="Rimandonotaapidipagina"/>
          <w:rFonts w:ascii="Garamond" w:hAnsi="Garamond"/>
          <w:sz w:val="22"/>
          <w:szCs w:val="22"/>
        </w:rPr>
        <w:footnoteRef/>
      </w:r>
      <w:r w:rsidRPr="00304475">
        <w:rPr>
          <w:rFonts w:ascii="Garamond" w:hAnsi="Garamond"/>
          <w:iCs/>
          <w:color w:val="000000"/>
          <w:sz w:val="22"/>
          <w:szCs w:val="22"/>
        </w:rPr>
        <w:t xml:space="preserve"> </w:t>
      </w:r>
      <w:r w:rsidR="00A25324">
        <w:rPr>
          <w:rFonts w:ascii="Garamond" w:hAnsi="Garamond"/>
          <w:iCs/>
          <w:color w:val="000000"/>
          <w:sz w:val="22"/>
          <w:szCs w:val="22"/>
        </w:rPr>
        <w:t xml:space="preserve">Nella medesima </w:t>
      </w:r>
      <w:r w:rsidR="0085707E">
        <w:rPr>
          <w:rFonts w:ascii="Garamond" w:hAnsi="Garamond"/>
          <w:iCs/>
          <w:color w:val="000000"/>
          <w:sz w:val="22"/>
          <w:szCs w:val="22"/>
        </w:rPr>
        <w:t xml:space="preserve">prospettiva </w:t>
      </w:r>
      <w:r w:rsidR="00A25324">
        <w:rPr>
          <w:rFonts w:ascii="Garamond" w:hAnsi="Garamond"/>
          <w:iCs/>
          <w:color w:val="000000"/>
          <w:sz w:val="22"/>
          <w:szCs w:val="22"/>
        </w:rPr>
        <w:t xml:space="preserve">vedasi </w:t>
      </w:r>
      <w:r w:rsidR="004A0338">
        <w:rPr>
          <w:rFonts w:ascii="Garamond" w:hAnsi="Garamond"/>
          <w:iCs/>
          <w:color w:val="000000"/>
          <w:sz w:val="22"/>
          <w:szCs w:val="22"/>
        </w:rPr>
        <w:t xml:space="preserve">Cons. </w:t>
      </w:r>
      <w:proofErr w:type="gramStart"/>
      <w:r w:rsidR="004A0338">
        <w:rPr>
          <w:rFonts w:ascii="Garamond" w:hAnsi="Garamond"/>
          <w:iCs/>
          <w:color w:val="000000"/>
          <w:sz w:val="22"/>
          <w:szCs w:val="22"/>
        </w:rPr>
        <w:t>St.,</w:t>
      </w:r>
      <w:proofErr w:type="gramEnd"/>
      <w:r w:rsidR="004A0338">
        <w:rPr>
          <w:rFonts w:ascii="Garamond" w:hAnsi="Garamond"/>
          <w:iCs/>
          <w:color w:val="000000"/>
          <w:sz w:val="22"/>
          <w:szCs w:val="22"/>
        </w:rPr>
        <w:t xml:space="preserve"> sez. III, 16 dicembre 2019, n. 8501 con l’ordinanza di rimessione </w:t>
      </w:r>
      <w:r w:rsidR="004A0338" w:rsidRPr="004A0338">
        <w:rPr>
          <w:rFonts w:ascii="Garamond" w:hAnsi="Garamond"/>
          <w:sz w:val="22"/>
          <w:szCs w:val="22"/>
        </w:rPr>
        <w:t xml:space="preserve">all'Adunanza Plenaria </w:t>
      </w:r>
      <w:r w:rsidR="00C5741C">
        <w:rPr>
          <w:rFonts w:ascii="Garamond" w:hAnsi="Garamond"/>
          <w:sz w:val="22"/>
          <w:szCs w:val="22"/>
        </w:rPr>
        <w:t>su</w:t>
      </w:r>
      <w:r w:rsidR="004A0338">
        <w:rPr>
          <w:rFonts w:ascii="Garamond" w:hAnsi="Garamond"/>
          <w:sz w:val="22"/>
          <w:szCs w:val="22"/>
        </w:rPr>
        <w:t>l</w:t>
      </w:r>
      <w:r w:rsidR="004A0338" w:rsidRPr="004A0338">
        <w:rPr>
          <w:rFonts w:ascii="Garamond" w:hAnsi="Garamond"/>
          <w:sz w:val="22"/>
          <w:szCs w:val="22"/>
        </w:rPr>
        <w:t xml:space="preserve">la </w:t>
      </w:r>
      <w:r w:rsidR="004A0338" w:rsidRPr="004A0338">
        <w:rPr>
          <w:rStyle w:val="Enfasicorsivo"/>
          <w:rFonts w:ascii="Garamond" w:hAnsi="Garamond"/>
          <w:sz w:val="22"/>
          <w:szCs w:val="22"/>
        </w:rPr>
        <w:t xml:space="preserve">vexata quaestio </w:t>
      </w:r>
      <w:r w:rsidR="004A0338" w:rsidRPr="004A0338">
        <w:rPr>
          <w:rFonts w:ascii="Garamond" w:hAnsi="Garamond"/>
          <w:sz w:val="22"/>
          <w:szCs w:val="22"/>
        </w:rPr>
        <w:t>della applicabilità dell'accesso civico generalizzato agli atti delle procedure contrattuali</w:t>
      </w:r>
      <w:r w:rsidR="004A0338">
        <w:rPr>
          <w:rFonts w:ascii="Garamond" w:hAnsi="Garamond"/>
          <w:sz w:val="22"/>
          <w:szCs w:val="22"/>
        </w:rPr>
        <w:t xml:space="preserve">, </w:t>
      </w:r>
      <w:r w:rsidR="0085707E">
        <w:rPr>
          <w:rFonts w:ascii="Garamond" w:hAnsi="Garamond"/>
          <w:sz w:val="22"/>
          <w:szCs w:val="22"/>
        </w:rPr>
        <w:t>laddove</w:t>
      </w:r>
      <w:r w:rsidR="00A25324">
        <w:rPr>
          <w:rFonts w:ascii="Garamond" w:hAnsi="Garamond"/>
          <w:sz w:val="22"/>
          <w:szCs w:val="22"/>
        </w:rPr>
        <w:t xml:space="preserve"> </w:t>
      </w:r>
      <w:r w:rsidR="004A0338">
        <w:rPr>
          <w:rFonts w:ascii="Garamond" w:hAnsi="Garamond"/>
          <w:sz w:val="22"/>
          <w:szCs w:val="22"/>
        </w:rPr>
        <w:t xml:space="preserve">afferma </w:t>
      </w:r>
      <w:r w:rsidRPr="00A6057A">
        <w:rPr>
          <w:rFonts w:ascii="Garamond" w:hAnsi="Garamond"/>
          <w:color w:val="000000"/>
          <w:sz w:val="22"/>
          <w:szCs w:val="22"/>
        </w:rPr>
        <w:t xml:space="preserve">che </w:t>
      </w:r>
      <w:r w:rsidRPr="00A6057A">
        <w:rPr>
          <w:rFonts w:ascii="Garamond" w:hAnsi="Garamond"/>
          <w:i/>
          <w:color w:val="000000"/>
          <w:sz w:val="22"/>
          <w:szCs w:val="22"/>
        </w:rPr>
        <w:t>&lt;&lt; .. il legislatore riformatore del 2016 ha inteso preservare, anche nell’orbita applicativa dell’accesso civico, i limiti propri dell’accesso ordinario (in maniera del resto – verrebbe fatto di dire – del tutto logica e coerente, non potendo non applicarsi i limiti propri dello strumento ostensivo “forte”, nel senso illustrato, all’operatività di quello “debole”, nel senso della sua connaturata cedevolezza a fronte dell’incombente esigenza di proteggere gli interessi confliggenti). &gt;&gt;</w:t>
      </w:r>
      <w:r w:rsidRPr="00A6057A">
        <w:rPr>
          <w:rFonts w:ascii="Garamond" w:hAnsi="Garamond"/>
          <w:color w:val="000000"/>
          <w:sz w:val="22"/>
          <w:szCs w:val="22"/>
        </w:rPr>
        <w:t xml:space="preserve">. </w:t>
      </w:r>
    </w:p>
  </w:footnote>
  <w:footnote w:id="42">
    <w:p w14:paraId="30615681" w14:textId="2C9DA2CE" w:rsidR="00CA0492" w:rsidRPr="001B511C" w:rsidRDefault="00CA0492" w:rsidP="00CA0492">
      <w:pPr>
        <w:ind w:left="567" w:right="567"/>
        <w:jc w:val="both"/>
        <w:rPr>
          <w:rFonts w:ascii="Garamond" w:hAnsi="Garamond"/>
          <w:i/>
          <w:sz w:val="22"/>
          <w:szCs w:val="22"/>
        </w:rPr>
      </w:pPr>
      <w:r w:rsidRPr="00304475">
        <w:rPr>
          <w:rStyle w:val="Rimandonotaapidipagina"/>
          <w:rFonts w:ascii="Garamond" w:hAnsi="Garamond"/>
          <w:sz w:val="22"/>
          <w:szCs w:val="22"/>
        </w:rPr>
        <w:footnoteRef/>
      </w:r>
      <w:r w:rsidRPr="00304475">
        <w:rPr>
          <w:rFonts w:ascii="Garamond" w:hAnsi="Garamond"/>
          <w:iCs/>
          <w:color w:val="000000"/>
          <w:sz w:val="22"/>
          <w:szCs w:val="22"/>
        </w:rPr>
        <w:t xml:space="preserve"> </w:t>
      </w:r>
      <w:r w:rsidR="001608E0">
        <w:rPr>
          <w:rFonts w:ascii="Garamond" w:hAnsi="Garamond"/>
          <w:iCs/>
          <w:color w:val="000000"/>
          <w:sz w:val="22"/>
          <w:szCs w:val="22"/>
        </w:rPr>
        <w:t>Cass. civ., sez. I, 28 gennaio 2016, n. 1618; sez. I, 29 maggio 2008, n. 14351; sez. I, 16 maggio 2008, n. 12472.</w:t>
      </w:r>
    </w:p>
  </w:footnote>
  <w:footnote w:id="43">
    <w:p w14:paraId="574231F1" w14:textId="32D86514" w:rsidR="00070647" w:rsidRPr="001B511C" w:rsidRDefault="00070647" w:rsidP="00070647">
      <w:pPr>
        <w:pStyle w:val="Standard"/>
        <w:ind w:left="567" w:right="567"/>
        <w:jc w:val="both"/>
        <w:rPr>
          <w:rFonts w:ascii="Garamond" w:hAnsi="Garamond"/>
          <w:i/>
          <w:sz w:val="22"/>
          <w:szCs w:val="22"/>
        </w:rPr>
      </w:pPr>
      <w:r w:rsidRPr="00070647">
        <w:rPr>
          <w:rStyle w:val="Rimandonotaapidipagina"/>
          <w:rFonts w:ascii="Garamond" w:hAnsi="Garamond"/>
          <w:sz w:val="22"/>
          <w:szCs w:val="22"/>
          <w:lang w:val="it-IT"/>
        </w:rPr>
        <w:footnoteRef/>
      </w:r>
      <w:r w:rsidRPr="00070647">
        <w:rPr>
          <w:rFonts w:ascii="Garamond" w:hAnsi="Garamond"/>
          <w:iCs/>
          <w:color w:val="000000"/>
          <w:sz w:val="22"/>
          <w:szCs w:val="22"/>
          <w:lang w:val="it-IT"/>
        </w:rPr>
        <w:t xml:space="preserve"> Sul punto </w:t>
      </w:r>
      <w:r w:rsidR="0085707E">
        <w:rPr>
          <w:rFonts w:ascii="Garamond" w:hAnsi="Garamond"/>
          <w:iCs/>
          <w:color w:val="000000"/>
          <w:sz w:val="22"/>
          <w:szCs w:val="22"/>
          <w:lang w:val="it-IT"/>
        </w:rPr>
        <w:t xml:space="preserve">cfr. </w:t>
      </w:r>
      <w:r w:rsidRPr="00070647">
        <w:rPr>
          <w:rFonts w:ascii="Garamond" w:hAnsi="Garamond"/>
          <w:color w:val="000000"/>
          <w:sz w:val="22"/>
          <w:szCs w:val="22"/>
          <w:lang w:val="it-IT"/>
        </w:rPr>
        <w:t xml:space="preserve">Corrado </w:t>
      </w:r>
      <w:r>
        <w:rPr>
          <w:rFonts w:ascii="Garamond" w:hAnsi="Garamond"/>
          <w:color w:val="000000"/>
          <w:sz w:val="22"/>
          <w:szCs w:val="22"/>
          <w:lang w:val="it-IT"/>
        </w:rPr>
        <w:t xml:space="preserve">A., op. cit., la quale, dopo avere </w:t>
      </w:r>
      <w:r w:rsidRPr="00070647">
        <w:rPr>
          <w:rFonts w:ascii="Garamond" w:hAnsi="Garamond"/>
          <w:color w:val="000000"/>
          <w:sz w:val="22"/>
          <w:szCs w:val="22"/>
          <w:lang w:val="it-IT"/>
        </w:rPr>
        <w:t>afferma</w:t>
      </w:r>
      <w:r>
        <w:rPr>
          <w:rFonts w:ascii="Garamond" w:hAnsi="Garamond"/>
          <w:color w:val="000000"/>
          <w:sz w:val="22"/>
          <w:szCs w:val="22"/>
          <w:lang w:val="it-IT"/>
        </w:rPr>
        <w:t>to</w:t>
      </w:r>
      <w:r w:rsidRPr="00070647">
        <w:rPr>
          <w:rFonts w:ascii="Garamond" w:hAnsi="Garamond"/>
          <w:color w:val="000000"/>
          <w:sz w:val="22"/>
          <w:szCs w:val="22"/>
          <w:lang w:val="it-IT"/>
        </w:rPr>
        <w:t xml:space="preserve"> </w:t>
      </w:r>
      <w:r>
        <w:rPr>
          <w:rFonts w:ascii="Garamond" w:hAnsi="Garamond"/>
          <w:color w:val="000000"/>
          <w:sz w:val="22"/>
          <w:szCs w:val="22"/>
          <w:lang w:val="it-IT"/>
        </w:rPr>
        <w:t xml:space="preserve">che </w:t>
      </w:r>
      <w:r w:rsidRPr="00070647">
        <w:rPr>
          <w:rFonts w:ascii="Garamond" w:hAnsi="Garamond"/>
          <w:i/>
          <w:color w:val="000000"/>
          <w:sz w:val="22"/>
          <w:szCs w:val="22"/>
          <w:lang w:val="it-IT"/>
        </w:rPr>
        <w:t>&lt;&lt; … va chiarito innanzitutto che non possono essere adottati regolamenti che limitino la portata dell’accesso generalizzato, né si possono applicare all’istituto, contrariamente a quanto pur le amministrazioni tendono a fare in alcuni casi, i regolamenti adottati per limitare</w:t>
      </w:r>
      <w:r w:rsidRPr="003F02F9">
        <w:rPr>
          <w:rFonts w:ascii="Garamond" w:hAnsi="Garamond"/>
          <w:i/>
          <w:color w:val="000000"/>
          <w:sz w:val="22"/>
          <w:szCs w:val="22"/>
          <w:lang w:val="it-IT"/>
        </w:rPr>
        <w:t xml:space="preserve"> l’accesso documentale, ad eccezione di quelli riferiti agli interessi previsti dall’art. 24 co. 1 … &gt;&gt;</w:t>
      </w:r>
      <w:r>
        <w:rPr>
          <w:rFonts w:ascii="Garamond" w:hAnsi="Garamond"/>
          <w:color w:val="000000"/>
          <w:sz w:val="22"/>
          <w:szCs w:val="22"/>
          <w:lang w:val="it-IT"/>
        </w:rPr>
        <w:t>, esclude</w:t>
      </w:r>
      <w:r w:rsidRPr="003F02F9">
        <w:rPr>
          <w:rFonts w:ascii="Garamond" w:hAnsi="Garamond"/>
          <w:color w:val="000000"/>
          <w:sz w:val="22"/>
          <w:szCs w:val="22"/>
          <w:lang w:val="it-IT"/>
        </w:rPr>
        <w:t xml:space="preserve"> </w:t>
      </w:r>
      <w:r w:rsidRPr="003F02F9">
        <w:rPr>
          <w:rFonts w:ascii="Garamond" w:hAnsi="Garamond"/>
          <w:i/>
          <w:color w:val="000000"/>
          <w:sz w:val="22"/>
          <w:szCs w:val="22"/>
          <w:lang w:val="it-IT"/>
        </w:rPr>
        <w:t>&lt;&lt; l’applicazione dei regolamenti adottati in ragione della “ultra vigenza” dell’art. 8 del d.p.r. 352/1998. &gt;&gt;</w:t>
      </w:r>
      <w:r w:rsidRPr="003F02F9">
        <w:rPr>
          <w:rFonts w:ascii="Garamond" w:hAnsi="Garamond"/>
          <w:color w:val="000000"/>
          <w:sz w:val="22"/>
          <w:szCs w:val="22"/>
          <w:lang w:val="it-IT"/>
        </w:rPr>
        <w:t xml:space="preserve">. </w:t>
      </w:r>
      <w:r w:rsidRPr="003F02F9">
        <w:rPr>
          <w:rFonts w:ascii="Garamond" w:hAnsi="Garamond"/>
          <w:sz w:val="22"/>
          <w:szCs w:val="22"/>
          <w:lang w:val="it-IT"/>
        </w:rPr>
        <w:t xml:space="preserve"> </w:t>
      </w:r>
    </w:p>
  </w:footnote>
  <w:footnote w:id="44">
    <w:p w14:paraId="5958FE24" w14:textId="0DF6286E" w:rsidR="00FA3A75" w:rsidRPr="001B511C" w:rsidRDefault="00FA3A75" w:rsidP="00FA3A75">
      <w:pPr>
        <w:pStyle w:val="Standard"/>
        <w:ind w:left="567" w:right="567"/>
        <w:jc w:val="both"/>
        <w:rPr>
          <w:rFonts w:ascii="Garamond" w:hAnsi="Garamond"/>
          <w:i/>
          <w:sz w:val="22"/>
          <w:szCs w:val="22"/>
        </w:rPr>
      </w:pPr>
      <w:r w:rsidRPr="00070647">
        <w:rPr>
          <w:rStyle w:val="Rimandonotaapidipagina"/>
          <w:rFonts w:ascii="Garamond" w:hAnsi="Garamond"/>
          <w:sz w:val="22"/>
          <w:szCs w:val="22"/>
          <w:lang w:val="it-IT"/>
        </w:rPr>
        <w:footnoteRef/>
      </w:r>
      <w:r w:rsidRPr="00070647">
        <w:rPr>
          <w:rFonts w:ascii="Garamond" w:hAnsi="Garamond"/>
          <w:iCs/>
          <w:color w:val="000000"/>
          <w:sz w:val="22"/>
          <w:szCs w:val="22"/>
          <w:lang w:val="it-IT"/>
        </w:rPr>
        <w:t xml:space="preserve"> </w:t>
      </w:r>
      <w:r>
        <w:rPr>
          <w:rFonts w:ascii="Garamond" w:hAnsi="Garamond"/>
          <w:iCs/>
          <w:color w:val="000000"/>
          <w:sz w:val="22"/>
          <w:szCs w:val="22"/>
          <w:lang w:val="it-IT"/>
        </w:rPr>
        <w:t>Vedi nota n. 21.</w:t>
      </w:r>
    </w:p>
  </w:footnote>
  <w:footnote w:id="45">
    <w:p w14:paraId="75BDA82F" w14:textId="56AE427C" w:rsidR="00261DF3" w:rsidRPr="001B511C" w:rsidRDefault="00261DF3" w:rsidP="00261DF3">
      <w:pPr>
        <w:pStyle w:val="Standard"/>
        <w:ind w:left="567" w:right="567"/>
        <w:jc w:val="both"/>
        <w:rPr>
          <w:rFonts w:ascii="Garamond" w:hAnsi="Garamond"/>
          <w:i/>
          <w:sz w:val="22"/>
          <w:szCs w:val="22"/>
        </w:rPr>
      </w:pPr>
      <w:r w:rsidRPr="00070647">
        <w:rPr>
          <w:rStyle w:val="Rimandonotaapidipagina"/>
          <w:rFonts w:ascii="Garamond" w:hAnsi="Garamond"/>
          <w:sz w:val="22"/>
          <w:szCs w:val="22"/>
          <w:lang w:val="it-IT"/>
        </w:rPr>
        <w:footnoteRef/>
      </w:r>
      <w:r w:rsidRPr="00070647">
        <w:rPr>
          <w:rFonts w:ascii="Garamond" w:hAnsi="Garamond"/>
          <w:iCs/>
          <w:color w:val="000000"/>
          <w:sz w:val="22"/>
          <w:szCs w:val="22"/>
          <w:lang w:val="it-IT"/>
        </w:rPr>
        <w:t xml:space="preserve"> Sul punto </w:t>
      </w:r>
      <w:r>
        <w:rPr>
          <w:rFonts w:ascii="Garamond" w:hAnsi="Garamond"/>
          <w:iCs/>
          <w:color w:val="000000"/>
          <w:sz w:val="22"/>
          <w:szCs w:val="22"/>
          <w:lang w:val="it-IT"/>
        </w:rPr>
        <w:t xml:space="preserve">vedi ancora </w:t>
      </w:r>
      <w:r w:rsidRPr="00070647">
        <w:rPr>
          <w:rFonts w:ascii="Garamond" w:hAnsi="Garamond"/>
          <w:color w:val="000000"/>
          <w:sz w:val="22"/>
          <w:szCs w:val="22"/>
          <w:lang w:val="it-IT"/>
        </w:rPr>
        <w:t xml:space="preserve">Corrado </w:t>
      </w:r>
      <w:r>
        <w:rPr>
          <w:rFonts w:ascii="Garamond" w:hAnsi="Garamond"/>
          <w:color w:val="000000"/>
          <w:sz w:val="22"/>
          <w:szCs w:val="22"/>
          <w:lang w:val="it-IT"/>
        </w:rPr>
        <w:t xml:space="preserve">A., op. cit.: </w:t>
      </w:r>
      <w:r w:rsidRPr="003F02F9">
        <w:rPr>
          <w:rFonts w:ascii="Garamond" w:hAnsi="Garamond"/>
          <w:i/>
          <w:sz w:val="22"/>
          <w:szCs w:val="22"/>
          <w:lang w:val="it-IT"/>
        </w:rPr>
        <w:t>&lt;&lt; Le previsioni contenute in questi regolamenti</w:t>
      </w:r>
      <w:r w:rsidRPr="004A3991">
        <w:rPr>
          <w:rFonts w:ascii="Garamond" w:hAnsi="Garamond"/>
          <w:i/>
          <w:sz w:val="22"/>
          <w:szCs w:val="22"/>
          <w:lang w:val="it-IT"/>
        </w:rPr>
        <w:t>, sia pur non applicabili tout court alla disciplina dell’accesso generalizzato, potranno comunque valere quali indici interpretativi per meglio individuare gli interessi ai quali la pubblica amministrazione deve conferire particolare tutela e, per l’amministrazione stessa, nella valutazione dell’esistenza del pregiudizio concreto arrecato agli interessi di cui all’art. 5-bis, commi 1 e 2 del d.lgs. 33/2013. &gt;&gt;</w:t>
      </w:r>
      <w:r w:rsidRPr="004A3991">
        <w:rPr>
          <w:rFonts w:ascii="Garamond" w:hAnsi="Garamond"/>
          <w:sz w:val="22"/>
          <w:szCs w:val="22"/>
          <w:lang w:val="it-IT"/>
        </w:rPr>
        <w:t>.</w:t>
      </w:r>
      <w:r w:rsidRPr="004A3991">
        <w:rPr>
          <w:rFonts w:ascii="Garamond" w:hAnsi="Garamond"/>
          <w:i/>
          <w:sz w:val="22"/>
          <w:szCs w:val="22"/>
          <w:lang w:val="it-IT"/>
        </w:rPr>
        <w:t xml:space="preserve"> </w:t>
      </w:r>
    </w:p>
  </w:footnote>
  <w:footnote w:id="46">
    <w:p w14:paraId="29CA5BDA" w14:textId="0CE52448" w:rsidR="002D04E6" w:rsidRPr="001B511C" w:rsidRDefault="002D04E6" w:rsidP="002D04E6">
      <w:pPr>
        <w:pStyle w:val="Standard"/>
        <w:ind w:left="567" w:right="567"/>
        <w:jc w:val="both"/>
        <w:rPr>
          <w:rFonts w:ascii="Garamond" w:hAnsi="Garamond"/>
          <w:i/>
          <w:sz w:val="22"/>
          <w:szCs w:val="22"/>
        </w:rPr>
      </w:pPr>
      <w:r w:rsidRPr="00070647">
        <w:rPr>
          <w:rStyle w:val="Rimandonotaapidipagina"/>
          <w:rFonts w:ascii="Garamond" w:hAnsi="Garamond"/>
          <w:sz w:val="22"/>
          <w:szCs w:val="22"/>
          <w:lang w:val="it-IT"/>
        </w:rPr>
        <w:footnoteRef/>
      </w:r>
      <w:r w:rsidRPr="00070647">
        <w:rPr>
          <w:rFonts w:ascii="Garamond" w:hAnsi="Garamond"/>
          <w:iCs/>
          <w:color w:val="000000"/>
          <w:sz w:val="22"/>
          <w:szCs w:val="22"/>
          <w:lang w:val="it-IT"/>
        </w:rPr>
        <w:t xml:space="preserve"> </w:t>
      </w:r>
      <w:r w:rsidR="0014476A">
        <w:rPr>
          <w:rFonts w:ascii="Garamond" w:hAnsi="Garamond"/>
          <w:iCs/>
          <w:color w:val="000000"/>
          <w:sz w:val="22"/>
          <w:szCs w:val="22"/>
          <w:lang w:val="it-IT"/>
        </w:rPr>
        <w:t xml:space="preserve">Vedasi </w:t>
      </w:r>
      <w:r w:rsidR="00FC2477">
        <w:rPr>
          <w:rFonts w:ascii="Garamond" w:hAnsi="Garamond"/>
          <w:sz w:val="22"/>
          <w:szCs w:val="22"/>
          <w:lang w:val="it-IT"/>
        </w:rPr>
        <w:t xml:space="preserve">delibera </w:t>
      </w:r>
      <w:r w:rsidR="0014476A">
        <w:rPr>
          <w:rFonts w:ascii="Garamond" w:hAnsi="Garamond"/>
          <w:sz w:val="22"/>
          <w:szCs w:val="22"/>
          <w:lang w:val="it-IT"/>
        </w:rPr>
        <w:t xml:space="preserve">Anac n. </w:t>
      </w:r>
      <w:r w:rsidR="00FC2477">
        <w:rPr>
          <w:rFonts w:ascii="Garamond" w:hAnsi="Garamond"/>
          <w:sz w:val="22"/>
          <w:szCs w:val="22"/>
          <w:lang w:val="it-IT"/>
        </w:rPr>
        <w:t xml:space="preserve">1309 del </w:t>
      </w:r>
      <w:r w:rsidRPr="002D04E6">
        <w:rPr>
          <w:rFonts w:ascii="Garamond" w:hAnsi="Garamond"/>
          <w:sz w:val="22"/>
          <w:szCs w:val="22"/>
          <w:lang w:val="it-IT"/>
        </w:rPr>
        <w:t xml:space="preserve">2016: </w:t>
      </w:r>
      <w:r w:rsidR="0014476A">
        <w:rPr>
          <w:rFonts w:ascii="Garamond" w:hAnsi="Garamond"/>
          <w:i/>
          <w:sz w:val="22"/>
          <w:szCs w:val="22"/>
          <w:lang w:val="it-IT"/>
        </w:rPr>
        <w:t xml:space="preserve">&lt;&lt; </w:t>
      </w:r>
      <w:r w:rsidRPr="002D04E6">
        <w:rPr>
          <w:rFonts w:ascii="Garamond" w:hAnsi="Garamond"/>
          <w:i/>
          <w:sz w:val="22"/>
          <w:szCs w:val="22"/>
          <w:lang w:val="it-IT"/>
        </w:rPr>
        <w:t>Il legislatore non opera, come nel caso delle eccezioni assolute, una generale e preventiva individuazione di esclusioni all’accesso generalizzato, ma rinvia a una attività valutativa che deve essere effettuata dalle amministrazioni con la tecnica del bilanciamento, caso per caso, tra l’interesse pubblico alla disclosure generalizzata e la tutela di altrettanto validi interessi considerati dall’ordinamento. L’amministrazione, cioè, è tenuta a verificare, una volta accertata l’assenza di eccezioni assolute, se l’ostensione degli atti possa determinare un pregiudizio concreto e probabile agli interessi indicati dal legislatore.</w:t>
      </w:r>
      <w:r w:rsidR="0014476A">
        <w:rPr>
          <w:rFonts w:ascii="Garamond" w:hAnsi="Garamond"/>
          <w:i/>
          <w:sz w:val="22"/>
          <w:szCs w:val="22"/>
          <w:lang w:val="it-IT"/>
        </w:rPr>
        <w:t xml:space="preserve"> &gt;&gt;.</w:t>
      </w:r>
    </w:p>
  </w:footnote>
  <w:footnote w:id="47">
    <w:p w14:paraId="45260030" w14:textId="125F35DC" w:rsidR="0014476A" w:rsidRPr="001B511C" w:rsidRDefault="0014476A" w:rsidP="0014476A">
      <w:pPr>
        <w:pStyle w:val="Standard"/>
        <w:ind w:left="567" w:right="567"/>
        <w:jc w:val="both"/>
        <w:rPr>
          <w:rFonts w:ascii="Garamond" w:hAnsi="Garamond"/>
          <w:i/>
          <w:sz w:val="22"/>
          <w:szCs w:val="22"/>
        </w:rPr>
      </w:pPr>
      <w:r w:rsidRPr="00070647">
        <w:rPr>
          <w:rStyle w:val="Rimandonotaapidipagina"/>
          <w:rFonts w:ascii="Garamond" w:hAnsi="Garamond"/>
          <w:sz w:val="22"/>
          <w:szCs w:val="22"/>
          <w:lang w:val="it-IT"/>
        </w:rPr>
        <w:footnoteRef/>
      </w:r>
      <w:r w:rsidRPr="00070647">
        <w:rPr>
          <w:rFonts w:ascii="Garamond" w:hAnsi="Garamond"/>
          <w:iCs/>
          <w:color w:val="000000"/>
          <w:sz w:val="22"/>
          <w:szCs w:val="22"/>
          <w:lang w:val="it-IT"/>
        </w:rPr>
        <w:t xml:space="preserve"> </w:t>
      </w:r>
      <w:r w:rsidR="00FC2477">
        <w:rPr>
          <w:rFonts w:ascii="Garamond" w:hAnsi="Garamond"/>
          <w:iCs/>
          <w:color w:val="000000"/>
          <w:sz w:val="22"/>
          <w:szCs w:val="22"/>
          <w:lang w:val="it-IT"/>
        </w:rPr>
        <w:t xml:space="preserve">Delibera </w:t>
      </w:r>
      <w:r w:rsidRPr="0014476A">
        <w:rPr>
          <w:rFonts w:ascii="Garamond" w:hAnsi="Garamond"/>
          <w:color w:val="000000"/>
          <w:sz w:val="22"/>
          <w:szCs w:val="22"/>
          <w:lang w:val="it-IT"/>
        </w:rPr>
        <w:t xml:space="preserve">Anac </w:t>
      </w:r>
      <w:r>
        <w:rPr>
          <w:rFonts w:ascii="Garamond" w:hAnsi="Garamond"/>
          <w:color w:val="000000"/>
          <w:sz w:val="22"/>
          <w:szCs w:val="22"/>
          <w:lang w:val="it-IT"/>
        </w:rPr>
        <w:t xml:space="preserve">n. 1309 del </w:t>
      </w:r>
      <w:r w:rsidRPr="0014476A">
        <w:rPr>
          <w:rFonts w:ascii="Garamond" w:hAnsi="Garamond"/>
          <w:color w:val="000000"/>
          <w:sz w:val="22"/>
          <w:szCs w:val="22"/>
          <w:lang w:val="it-IT"/>
        </w:rPr>
        <w:t>2016; T</w:t>
      </w:r>
      <w:r>
        <w:rPr>
          <w:rFonts w:ascii="Garamond" w:hAnsi="Garamond"/>
          <w:color w:val="000000"/>
          <w:sz w:val="22"/>
          <w:szCs w:val="22"/>
          <w:lang w:val="it-IT"/>
        </w:rPr>
        <w:t xml:space="preserve">ar </w:t>
      </w:r>
      <w:r w:rsidRPr="0014476A">
        <w:rPr>
          <w:rFonts w:ascii="Garamond" w:hAnsi="Garamond"/>
          <w:color w:val="000000"/>
          <w:sz w:val="22"/>
          <w:szCs w:val="22"/>
          <w:lang w:val="it-IT"/>
        </w:rPr>
        <w:t>Napoli</w:t>
      </w:r>
      <w:r>
        <w:rPr>
          <w:rFonts w:ascii="Garamond" w:hAnsi="Garamond"/>
          <w:color w:val="000000"/>
          <w:sz w:val="22"/>
          <w:szCs w:val="22"/>
          <w:lang w:val="it-IT"/>
        </w:rPr>
        <w:t>,</w:t>
      </w:r>
      <w:r w:rsidRPr="0014476A">
        <w:rPr>
          <w:rFonts w:ascii="Garamond" w:hAnsi="Garamond"/>
          <w:color w:val="000000"/>
          <w:sz w:val="22"/>
          <w:szCs w:val="22"/>
          <w:lang w:val="it-IT"/>
        </w:rPr>
        <w:t xml:space="preserve"> </w:t>
      </w:r>
      <w:r>
        <w:rPr>
          <w:rFonts w:ascii="Garamond" w:hAnsi="Garamond"/>
          <w:color w:val="000000"/>
          <w:sz w:val="22"/>
          <w:szCs w:val="22"/>
          <w:lang w:val="it-IT"/>
        </w:rPr>
        <w:t xml:space="preserve">sez. VI, 10 dicembre </w:t>
      </w:r>
      <w:r w:rsidRPr="0014476A">
        <w:rPr>
          <w:rFonts w:ascii="Garamond" w:hAnsi="Garamond"/>
          <w:color w:val="000000"/>
          <w:sz w:val="22"/>
          <w:szCs w:val="22"/>
          <w:lang w:val="it-IT"/>
        </w:rPr>
        <w:t>2019</w:t>
      </w:r>
      <w:r>
        <w:rPr>
          <w:rFonts w:ascii="Garamond" w:hAnsi="Garamond"/>
          <w:color w:val="000000"/>
          <w:sz w:val="22"/>
          <w:szCs w:val="22"/>
          <w:lang w:val="it-IT"/>
        </w:rPr>
        <w:t xml:space="preserve">, n. </w:t>
      </w:r>
      <w:r w:rsidRPr="0014476A">
        <w:rPr>
          <w:rFonts w:ascii="Garamond" w:hAnsi="Garamond"/>
          <w:color w:val="000000"/>
          <w:sz w:val="22"/>
          <w:szCs w:val="22"/>
          <w:lang w:val="it-IT"/>
        </w:rPr>
        <w:t>5837</w:t>
      </w:r>
      <w:r>
        <w:rPr>
          <w:rFonts w:ascii="Garamond" w:hAnsi="Garamond"/>
          <w:color w:val="000000"/>
          <w:sz w:val="22"/>
          <w:szCs w:val="22"/>
          <w:lang w:val="it-IT"/>
        </w:rPr>
        <w:t>.</w:t>
      </w:r>
    </w:p>
  </w:footnote>
  <w:footnote w:id="48">
    <w:p w14:paraId="4A800A53" w14:textId="2CD117D1" w:rsidR="0014476A" w:rsidRPr="001B511C" w:rsidRDefault="0014476A" w:rsidP="0014476A">
      <w:pPr>
        <w:pStyle w:val="Standard"/>
        <w:ind w:left="567" w:right="567"/>
        <w:jc w:val="both"/>
        <w:rPr>
          <w:rFonts w:ascii="Garamond" w:hAnsi="Garamond"/>
          <w:i/>
          <w:sz w:val="22"/>
          <w:szCs w:val="22"/>
        </w:rPr>
      </w:pPr>
      <w:r w:rsidRPr="00070647">
        <w:rPr>
          <w:rStyle w:val="Rimandonotaapidipagina"/>
          <w:rFonts w:ascii="Garamond" w:hAnsi="Garamond"/>
          <w:sz w:val="22"/>
          <w:szCs w:val="22"/>
          <w:lang w:val="it-IT"/>
        </w:rPr>
        <w:footnoteRef/>
      </w:r>
      <w:r w:rsidRPr="0009660B">
        <w:rPr>
          <w:rFonts w:ascii="Garamond" w:hAnsi="Garamond"/>
          <w:iCs/>
          <w:color w:val="000000"/>
          <w:sz w:val="22"/>
          <w:szCs w:val="22"/>
          <w:lang w:val="en-US"/>
        </w:rPr>
        <w:t xml:space="preserve"> </w:t>
      </w:r>
      <w:r w:rsidRPr="0009660B">
        <w:rPr>
          <w:rFonts w:ascii="Garamond" w:hAnsi="Garamond"/>
          <w:color w:val="000000"/>
          <w:sz w:val="22"/>
          <w:szCs w:val="22"/>
          <w:lang w:val="en-US"/>
        </w:rPr>
        <w:t>Cons. St., sez. IV, 20 aprile 2020, n. 2496.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8F6"/>
    <w:multiLevelType w:val="hybridMultilevel"/>
    <w:tmpl w:val="81AC377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0CA37956"/>
    <w:multiLevelType w:val="hybridMultilevel"/>
    <w:tmpl w:val="A24257B8"/>
    <w:lvl w:ilvl="0" w:tplc="0410000F">
      <w:start w:val="1"/>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1E9B4FE2"/>
    <w:multiLevelType w:val="hybridMultilevel"/>
    <w:tmpl w:val="BE8ED92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1F414B62"/>
    <w:multiLevelType w:val="hybridMultilevel"/>
    <w:tmpl w:val="A310302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225556D2"/>
    <w:multiLevelType w:val="hybridMultilevel"/>
    <w:tmpl w:val="2124B18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261F2795"/>
    <w:multiLevelType w:val="hybridMultilevel"/>
    <w:tmpl w:val="AEA6BB3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359D0F82"/>
    <w:multiLevelType w:val="hybridMultilevel"/>
    <w:tmpl w:val="8A8E13E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3E674354"/>
    <w:multiLevelType w:val="hybridMultilevel"/>
    <w:tmpl w:val="1638EAB6"/>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15:restartNumberingAfterBreak="0">
    <w:nsid w:val="4311182B"/>
    <w:multiLevelType w:val="hybridMultilevel"/>
    <w:tmpl w:val="AEACAA80"/>
    <w:lvl w:ilvl="0" w:tplc="04100001">
      <w:start w:val="1"/>
      <w:numFmt w:val="bullet"/>
      <w:lvlText w:val=""/>
      <w:lvlJc w:val="left"/>
      <w:pPr>
        <w:ind w:left="1334" w:hanging="360"/>
      </w:pPr>
      <w:rPr>
        <w:rFonts w:ascii="Symbol" w:hAnsi="Symbol" w:hint="default"/>
      </w:rPr>
    </w:lvl>
    <w:lvl w:ilvl="1" w:tplc="04100003" w:tentative="1">
      <w:start w:val="1"/>
      <w:numFmt w:val="bullet"/>
      <w:lvlText w:val="o"/>
      <w:lvlJc w:val="left"/>
      <w:pPr>
        <w:ind w:left="2054" w:hanging="360"/>
      </w:pPr>
      <w:rPr>
        <w:rFonts w:ascii="Courier New" w:hAnsi="Courier New" w:cs="Courier New" w:hint="default"/>
      </w:rPr>
    </w:lvl>
    <w:lvl w:ilvl="2" w:tplc="04100005" w:tentative="1">
      <w:start w:val="1"/>
      <w:numFmt w:val="bullet"/>
      <w:lvlText w:val=""/>
      <w:lvlJc w:val="left"/>
      <w:pPr>
        <w:ind w:left="2774" w:hanging="360"/>
      </w:pPr>
      <w:rPr>
        <w:rFonts w:ascii="Wingdings" w:hAnsi="Wingdings" w:hint="default"/>
      </w:rPr>
    </w:lvl>
    <w:lvl w:ilvl="3" w:tplc="04100001" w:tentative="1">
      <w:start w:val="1"/>
      <w:numFmt w:val="bullet"/>
      <w:lvlText w:val=""/>
      <w:lvlJc w:val="left"/>
      <w:pPr>
        <w:ind w:left="3494" w:hanging="360"/>
      </w:pPr>
      <w:rPr>
        <w:rFonts w:ascii="Symbol" w:hAnsi="Symbol" w:hint="default"/>
      </w:rPr>
    </w:lvl>
    <w:lvl w:ilvl="4" w:tplc="04100003" w:tentative="1">
      <w:start w:val="1"/>
      <w:numFmt w:val="bullet"/>
      <w:lvlText w:val="o"/>
      <w:lvlJc w:val="left"/>
      <w:pPr>
        <w:ind w:left="4214" w:hanging="360"/>
      </w:pPr>
      <w:rPr>
        <w:rFonts w:ascii="Courier New" w:hAnsi="Courier New" w:cs="Courier New" w:hint="default"/>
      </w:rPr>
    </w:lvl>
    <w:lvl w:ilvl="5" w:tplc="04100005" w:tentative="1">
      <w:start w:val="1"/>
      <w:numFmt w:val="bullet"/>
      <w:lvlText w:val=""/>
      <w:lvlJc w:val="left"/>
      <w:pPr>
        <w:ind w:left="4934" w:hanging="360"/>
      </w:pPr>
      <w:rPr>
        <w:rFonts w:ascii="Wingdings" w:hAnsi="Wingdings" w:hint="default"/>
      </w:rPr>
    </w:lvl>
    <w:lvl w:ilvl="6" w:tplc="04100001" w:tentative="1">
      <w:start w:val="1"/>
      <w:numFmt w:val="bullet"/>
      <w:lvlText w:val=""/>
      <w:lvlJc w:val="left"/>
      <w:pPr>
        <w:ind w:left="5654" w:hanging="360"/>
      </w:pPr>
      <w:rPr>
        <w:rFonts w:ascii="Symbol" w:hAnsi="Symbol" w:hint="default"/>
      </w:rPr>
    </w:lvl>
    <w:lvl w:ilvl="7" w:tplc="04100003" w:tentative="1">
      <w:start w:val="1"/>
      <w:numFmt w:val="bullet"/>
      <w:lvlText w:val="o"/>
      <w:lvlJc w:val="left"/>
      <w:pPr>
        <w:ind w:left="6374" w:hanging="360"/>
      </w:pPr>
      <w:rPr>
        <w:rFonts w:ascii="Courier New" w:hAnsi="Courier New" w:cs="Courier New" w:hint="default"/>
      </w:rPr>
    </w:lvl>
    <w:lvl w:ilvl="8" w:tplc="04100005" w:tentative="1">
      <w:start w:val="1"/>
      <w:numFmt w:val="bullet"/>
      <w:lvlText w:val=""/>
      <w:lvlJc w:val="left"/>
      <w:pPr>
        <w:ind w:left="7094" w:hanging="360"/>
      </w:pPr>
      <w:rPr>
        <w:rFonts w:ascii="Wingdings" w:hAnsi="Wingdings" w:hint="default"/>
      </w:rPr>
    </w:lvl>
  </w:abstractNum>
  <w:abstractNum w:abstractNumId="9" w15:restartNumberingAfterBreak="0">
    <w:nsid w:val="4D1B3966"/>
    <w:multiLevelType w:val="hybridMultilevel"/>
    <w:tmpl w:val="70109702"/>
    <w:lvl w:ilvl="0" w:tplc="18B40B78">
      <w:start w:val="1"/>
      <w:numFmt w:val="upperRoman"/>
      <w:lvlText w:val="%1)"/>
      <w:lvlJc w:val="left"/>
      <w:pPr>
        <w:ind w:left="1287" w:hanging="720"/>
      </w:pPr>
      <w:rPr>
        <w:rFonts w:eastAsiaTheme="minorEastAsia" w:hint="default"/>
        <w:b/>
        <w:color w:val="1F497D" w:themeColor="text2"/>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15:restartNumberingAfterBreak="0">
    <w:nsid w:val="667B50CA"/>
    <w:multiLevelType w:val="hybridMultilevel"/>
    <w:tmpl w:val="A1EA2F4E"/>
    <w:lvl w:ilvl="0" w:tplc="5E1EFCF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6915066B"/>
    <w:multiLevelType w:val="hybridMultilevel"/>
    <w:tmpl w:val="BB38C48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15:restartNumberingAfterBreak="0">
    <w:nsid w:val="70D14FA2"/>
    <w:multiLevelType w:val="hybridMultilevel"/>
    <w:tmpl w:val="C458D8E6"/>
    <w:lvl w:ilvl="0" w:tplc="EE9A149A">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71A46D68"/>
    <w:multiLevelType w:val="hybridMultilevel"/>
    <w:tmpl w:val="C8DAFEA6"/>
    <w:lvl w:ilvl="0" w:tplc="04100001">
      <w:start w:val="1"/>
      <w:numFmt w:val="bullet"/>
      <w:lvlText w:val=""/>
      <w:lvlJc w:val="left"/>
      <w:pPr>
        <w:ind w:left="1334" w:hanging="360"/>
      </w:pPr>
      <w:rPr>
        <w:rFonts w:ascii="Symbol" w:hAnsi="Symbol" w:hint="default"/>
      </w:rPr>
    </w:lvl>
    <w:lvl w:ilvl="1" w:tplc="04100003" w:tentative="1">
      <w:start w:val="1"/>
      <w:numFmt w:val="bullet"/>
      <w:lvlText w:val="o"/>
      <w:lvlJc w:val="left"/>
      <w:pPr>
        <w:ind w:left="2054" w:hanging="360"/>
      </w:pPr>
      <w:rPr>
        <w:rFonts w:ascii="Courier New" w:hAnsi="Courier New" w:cs="Courier New" w:hint="default"/>
      </w:rPr>
    </w:lvl>
    <w:lvl w:ilvl="2" w:tplc="04100005" w:tentative="1">
      <w:start w:val="1"/>
      <w:numFmt w:val="bullet"/>
      <w:lvlText w:val=""/>
      <w:lvlJc w:val="left"/>
      <w:pPr>
        <w:ind w:left="2774" w:hanging="360"/>
      </w:pPr>
      <w:rPr>
        <w:rFonts w:ascii="Wingdings" w:hAnsi="Wingdings" w:hint="default"/>
      </w:rPr>
    </w:lvl>
    <w:lvl w:ilvl="3" w:tplc="04100001" w:tentative="1">
      <w:start w:val="1"/>
      <w:numFmt w:val="bullet"/>
      <w:lvlText w:val=""/>
      <w:lvlJc w:val="left"/>
      <w:pPr>
        <w:ind w:left="3494" w:hanging="360"/>
      </w:pPr>
      <w:rPr>
        <w:rFonts w:ascii="Symbol" w:hAnsi="Symbol" w:hint="default"/>
      </w:rPr>
    </w:lvl>
    <w:lvl w:ilvl="4" w:tplc="04100003" w:tentative="1">
      <w:start w:val="1"/>
      <w:numFmt w:val="bullet"/>
      <w:lvlText w:val="o"/>
      <w:lvlJc w:val="left"/>
      <w:pPr>
        <w:ind w:left="4214" w:hanging="360"/>
      </w:pPr>
      <w:rPr>
        <w:rFonts w:ascii="Courier New" w:hAnsi="Courier New" w:cs="Courier New" w:hint="default"/>
      </w:rPr>
    </w:lvl>
    <w:lvl w:ilvl="5" w:tplc="04100005" w:tentative="1">
      <w:start w:val="1"/>
      <w:numFmt w:val="bullet"/>
      <w:lvlText w:val=""/>
      <w:lvlJc w:val="left"/>
      <w:pPr>
        <w:ind w:left="4934" w:hanging="360"/>
      </w:pPr>
      <w:rPr>
        <w:rFonts w:ascii="Wingdings" w:hAnsi="Wingdings" w:hint="default"/>
      </w:rPr>
    </w:lvl>
    <w:lvl w:ilvl="6" w:tplc="04100001" w:tentative="1">
      <w:start w:val="1"/>
      <w:numFmt w:val="bullet"/>
      <w:lvlText w:val=""/>
      <w:lvlJc w:val="left"/>
      <w:pPr>
        <w:ind w:left="5654" w:hanging="360"/>
      </w:pPr>
      <w:rPr>
        <w:rFonts w:ascii="Symbol" w:hAnsi="Symbol" w:hint="default"/>
      </w:rPr>
    </w:lvl>
    <w:lvl w:ilvl="7" w:tplc="04100003" w:tentative="1">
      <w:start w:val="1"/>
      <w:numFmt w:val="bullet"/>
      <w:lvlText w:val="o"/>
      <w:lvlJc w:val="left"/>
      <w:pPr>
        <w:ind w:left="6374" w:hanging="360"/>
      </w:pPr>
      <w:rPr>
        <w:rFonts w:ascii="Courier New" w:hAnsi="Courier New" w:cs="Courier New" w:hint="default"/>
      </w:rPr>
    </w:lvl>
    <w:lvl w:ilvl="8" w:tplc="04100005" w:tentative="1">
      <w:start w:val="1"/>
      <w:numFmt w:val="bullet"/>
      <w:lvlText w:val=""/>
      <w:lvlJc w:val="left"/>
      <w:pPr>
        <w:ind w:left="7094" w:hanging="360"/>
      </w:pPr>
      <w:rPr>
        <w:rFonts w:ascii="Wingdings" w:hAnsi="Wingdings" w:hint="default"/>
      </w:rPr>
    </w:lvl>
  </w:abstractNum>
  <w:abstractNum w:abstractNumId="14" w15:restartNumberingAfterBreak="0">
    <w:nsid w:val="7CEE1ABD"/>
    <w:multiLevelType w:val="hybridMultilevel"/>
    <w:tmpl w:val="303E3E6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 w:numId="2">
    <w:abstractNumId w:val="14"/>
  </w:num>
  <w:num w:numId="3">
    <w:abstractNumId w:val="13"/>
  </w:num>
  <w:num w:numId="4">
    <w:abstractNumId w:val="8"/>
  </w:num>
  <w:num w:numId="5">
    <w:abstractNumId w:val="3"/>
  </w:num>
  <w:num w:numId="6">
    <w:abstractNumId w:val="11"/>
  </w:num>
  <w:num w:numId="7">
    <w:abstractNumId w:val="1"/>
  </w:num>
  <w:num w:numId="8">
    <w:abstractNumId w:val="12"/>
  </w:num>
  <w:num w:numId="9">
    <w:abstractNumId w:val="7"/>
  </w:num>
  <w:num w:numId="10">
    <w:abstractNumId w:val="9"/>
  </w:num>
  <w:num w:numId="11">
    <w:abstractNumId w:val="6"/>
  </w:num>
  <w:num w:numId="12">
    <w:abstractNumId w:val="5"/>
  </w:num>
  <w:num w:numId="13">
    <w:abstractNumId w:val="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CC"/>
    <w:rsid w:val="00004D7E"/>
    <w:rsid w:val="00006926"/>
    <w:rsid w:val="00007744"/>
    <w:rsid w:val="00016BA1"/>
    <w:rsid w:val="000217C9"/>
    <w:rsid w:val="0003022E"/>
    <w:rsid w:val="00042125"/>
    <w:rsid w:val="00045D88"/>
    <w:rsid w:val="00047C30"/>
    <w:rsid w:val="00047D98"/>
    <w:rsid w:val="00050080"/>
    <w:rsid w:val="000505BF"/>
    <w:rsid w:val="00057C6D"/>
    <w:rsid w:val="00062FE1"/>
    <w:rsid w:val="00070647"/>
    <w:rsid w:val="0007279B"/>
    <w:rsid w:val="000866F1"/>
    <w:rsid w:val="00087DA8"/>
    <w:rsid w:val="00093023"/>
    <w:rsid w:val="00093E77"/>
    <w:rsid w:val="0009660B"/>
    <w:rsid w:val="000A0487"/>
    <w:rsid w:val="000A394C"/>
    <w:rsid w:val="000A3F3D"/>
    <w:rsid w:val="000A6900"/>
    <w:rsid w:val="000B4725"/>
    <w:rsid w:val="000B7427"/>
    <w:rsid w:val="000B7919"/>
    <w:rsid w:val="000C0567"/>
    <w:rsid w:val="000C0DCE"/>
    <w:rsid w:val="000C41D5"/>
    <w:rsid w:val="000C63AE"/>
    <w:rsid w:val="000C7AB4"/>
    <w:rsid w:val="000D07D2"/>
    <w:rsid w:val="000E013E"/>
    <w:rsid w:val="000E421C"/>
    <w:rsid w:val="000E76BE"/>
    <w:rsid w:val="000F7B48"/>
    <w:rsid w:val="001026B2"/>
    <w:rsid w:val="00103E8B"/>
    <w:rsid w:val="00105514"/>
    <w:rsid w:val="001066A5"/>
    <w:rsid w:val="0012123E"/>
    <w:rsid w:val="00126573"/>
    <w:rsid w:val="00127D0A"/>
    <w:rsid w:val="00130E5D"/>
    <w:rsid w:val="0013536D"/>
    <w:rsid w:val="0013591F"/>
    <w:rsid w:val="0014476A"/>
    <w:rsid w:val="00144BCE"/>
    <w:rsid w:val="001474BD"/>
    <w:rsid w:val="00147D01"/>
    <w:rsid w:val="001506E2"/>
    <w:rsid w:val="00150BDC"/>
    <w:rsid w:val="001608E0"/>
    <w:rsid w:val="001619D4"/>
    <w:rsid w:val="0016246E"/>
    <w:rsid w:val="0016674A"/>
    <w:rsid w:val="00172705"/>
    <w:rsid w:val="0017272E"/>
    <w:rsid w:val="0017487D"/>
    <w:rsid w:val="00174AAE"/>
    <w:rsid w:val="00174DFD"/>
    <w:rsid w:val="00180DD3"/>
    <w:rsid w:val="001830BF"/>
    <w:rsid w:val="001850B8"/>
    <w:rsid w:val="00185C27"/>
    <w:rsid w:val="00186951"/>
    <w:rsid w:val="00187583"/>
    <w:rsid w:val="00193900"/>
    <w:rsid w:val="001950E3"/>
    <w:rsid w:val="001978E5"/>
    <w:rsid w:val="00197F13"/>
    <w:rsid w:val="001A4D72"/>
    <w:rsid w:val="001B2D5D"/>
    <w:rsid w:val="001B2EB7"/>
    <w:rsid w:val="001B511C"/>
    <w:rsid w:val="001C5A7D"/>
    <w:rsid w:val="001D02E1"/>
    <w:rsid w:val="001D37A6"/>
    <w:rsid w:val="001D4901"/>
    <w:rsid w:val="001D5489"/>
    <w:rsid w:val="001E1FCC"/>
    <w:rsid w:val="001E3195"/>
    <w:rsid w:val="001E558F"/>
    <w:rsid w:val="001E70BF"/>
    <w:rsid w:val="001E7425"/>
    <w:rsid w:val="001F0D5E"/>
    <w:rsid w:val="001F1259"/>
    <w:rsid w:val="00205C85"/>
    <w:rsid w:val="002064A8"/>
    <w:rsid w:val="00210007"/>
    <w:rsid w:val="00221CEE"/>
    <w:rsid w:val="00231AA0"/>
    <w:rsid w:val="002364FE"/>
    <w:rsid w:val="00240996"/>
    <w:rsid w:val="002420AD"/>
    <w:rsid w:val="002431B9"/>
    <w:rsid w:val="00261DF3"/>
    <w:rsid w:val="00277401"/>
    <w:rsid w:val="00281D54"/>
    <w:rsid w:val="002861A7"/>
    <w:rsid w:val="002916A6"/>
    <w:rsid w:val="00292619"/>
    <w:rsid w:val="00294B18"/>
    <w:rsid w:val="002A0C5F"/>
    <w:rsid w:val="002A2847"/>
    <w:rsid w:val="002B0D0E"/>
    <w:rsid w:val="002B62CA"/>
    <w:rsid w:val="002B740E"/>
    <w:rsid w:val="002B7E3F"/>
    <w:rsid w:val="002C06AA"/>
    <w:rsid w:val="002C3D98"/>
    <w:rsid w:val="002D04E6"/>
    <w:rsid w:val="002D06CF"/>
    <w:rsid w:val="002E042D"/>
    <w:rsid w:val="002E1A6B"/>
    <w:rsid w:val="002E6E86"/>
    <w:rsid w:val="002E77C6"/>
    <w:rsid w:val="002F6826"/>
    <w:rsid w:val="00304475"/>
    <w:rsid w:val="00305B4B"/>
    <w:rsid w:val="00315238"/>
    <w:rsid w:val="00317D7C"/>
    <w:rsid w:val="003210CC"/>
    <w:rsid w:val="00326ECE"/>
    <w:rsid w:val="00330E45"/>
    <w:rsid w:val="003325F6"/>
    <w:rsid w:val="003333BA"/>
    <w:rsid w:val="003355DD"/>
    <w:rsid w:val="003449E8"/>
    <w:rsid w:val="00350C28"/>
    <w:rsid w:val="003536D7"/>
    <w:rsid w:val="00353F77"/>
    <w:rsid w:val="00355D33"/>
    <w:rsid w:val="00362159"/>
    <w:rsid w:val="00370BD8"/>
    <w:rsid w:val="00370C6E"/>
    <w:rsid w:val="00370CB1"/>
    <w:rsid w:val="003726FF"/>
    <w:rsid w:val="003771F5"/>
    <w:rsid w:val="00377E62"/>
    <w:rsid w:val="00385597"/>
    <w:rsid w:val="003920C9"/>
    <w:rsid w:val="0039286E"/>
    <w:rsid w:val="00396360"/>
    <w:rsid w:val="003978E6"/>
    <w:rsid w:val="003A07CE"/>
    <w:rsid w:val="003A2264"/>
    <w:rsid w:val="003B0A93"/>
    <w:rsid w:val="003B4922"/>
    <w:rsid w:val="003B5463"/>
    <w:rsid w:val="003B6327"/>
    <w:rsid w:val="003B76F6"/>
    <w:rsid w:val="003C1BFD"/>
    <w:rsid w:val="003C1E9C"/>
    <w:rsid w:val="003C5071"/>
    <w:rsid w:val="003D6A49"/>
    <w:rsid w:val="003D73B9"/>
    <w:rsid w:val="003E0F9F"/>
    <w:rsid w:val="003E6F3F"/>
    <w:rsid w:val="003F02F9"/>
    <w:rsid w:val="003F3041"/>
    <w:rsid w:val="003F40E6"/>
    <w:rsid w:val="0040110F"/>
    <w:rsid w:val="004021DC"/>
    <w:rsid w:val="004057A0"/>
    <w:rsid w:val="00406353"/>
    <w:rsid w:val="00416B15"/>
    <w:rsid w:val="004200FA"/>
    <w:rsid w:val="00420DC2"/>
    <w:rsid w:val="00423104"/>
    <w:rsid w:val="00424AAB"/>
    <w:rsid w:val="0044122C"/>
    <w:rsid w:val="0045073C"/>
    <w:rsid w:val="00452649"/>
    <w:rsid w:val="0046274D"/>
    <w:rsid w:val="00463DCF"/>
    <w:rsid w:val="00467B99"/>
    <w:rsid w:val="00474D5A"/>
    <w:rsid w:val="00474E74"/>
    <w:rsid w:val="004764EF"/>
    <w:rsid w:val="00483623"/>
    <w:rsid w:val="00485A9B"/>
    <w:rsid w:val="004A0338"/>
    <w:rsid w:val="004A3991"/>
    <w:rsid w:val="004A5049"/>
    <w:rsid w:val="004A6C1E"/>
    <w:rsid w:val="004A7938"/>
    <w:rsid w:val="004B05C9"/>
    <w:rsid w:val="004B39A1"/>
    <w:rsid w:val="004B3E7E"/>
    <w:rsid w:val="004B5033"/>
    <w:rsid w:val="004B735E"/>
    <w:rsid w:val="004C2E2A"/>
    <w:rsid w:val="004C3AD8"/>
    <w:rsid w:val="004C5E86"/>
    <w:rsid w:val="004C629C"/>
    <w:rsid w:val="004D11E7"/>
    <w:rsid w:val="004D2E68"/>
    <w:rsid w:val="004D35E0"/>
    <w:rsid w:val="004E2C4F"/>
    <w:rsid w:val="004E3186"/>
    <w:rsid w:val="004E4417"/>
    <w:rsid w:val="004E4BD8"/>
    <w:rsid w:val="004F2496"/>
    <w:rsid w:val="004F2E6D"/>
    <w:rsid w:val="004F3224"/>
    <w:rsid w:val="005003C4"/>
    <w:rsid w:val="0050390D"/>
    <w:rsid w:val="00504762"/>
    <w:rsid w:val="00505D16"/>
    <w:rsid w:val="005068BF"/>
    <w:rsid w:val="005068EB"/>
    <w:rsid w:val="00506C7E"/>
    <w:rsid w:val="005162BC"/>
    <w:rsid w:val="00521ECC"/>
    <w:rsid w:val="00522FC0"/>
    <w:rsid w:val="0053233F"/>
    <w:rsid w:val="0055214A"/>
    <w:rsid w:val="0055559E"/>
    <w:rsid w:val="005565AE"/>
    <w:rsid w:val="005567A7"/>
    <w:rsid w:val="005568FC"/>
    <w:rsid w:val="00557AD0"/>
    <w:rsid w:val="00561242"/>
    <w:rsid w:val="00567B77"/>
    <w:rsid w:val="00570FDF"/>
    <w:rsid w:val="005753EB"/>
    <w:rsid w:val="0057590B"/>
    <w:rsid w:val="005815F2"/>
    <w:rsid w:val="00597D97"/>
    <w:rsid w:val="005A06B8"/>
    <w:rsid w:val="005A2189"/>
    <w:rsid w:val="005A46AB"/>
    <w:rsid w:val="005A5BCC"/>
    <w:rsid w:val="005A70DC"/>
    <w:rsid w:val="005A75D0"/>
    <w:rsid w:val="005B1C38"/>
    <w:rsid w:val="005B40FC"/>
    <w:rsid w:val="005B67AE"/>
    <w:rsid w:val="005B741A"/>
    <w:rsid w:val="005C0B33"/>
    <w:rsid w:val="005C1473"/>
    <w:rsid w:val="005D5323"/>
    <w:rsid w:val="005F429C"/>
    <w:rsid w:val="005F5C25"/>
    <w:rsid w:val="00603512"/>
    <w:rsid w:val="00606691"/>
    <w:rsid w:val="00610C2F"/>
    <w:rsid w:val="00612AAB"/>
    <w:rsid w:val="00612CF5"/>
    <w:rsid w:val="00614B08"/>
    <w:rsid w:val="00616DCD"/>
    <w:rsid w:val="006172DC"/>
    <w:rsid w:val="00621DDA"/>
    <w:rsid w:val="00622A16"/>
    <w:rsid w:val="00633492"/>
    <w:rsid w:val="006347E2"/>
    <w:rsid w:val="00634CBB"/>
    <w:rsid w:val="006368B1"/>
    <w:rsid w:val="00642FE3"/>
    <w:rsid w:val="00646A22"/>
    <w:rsid w:val="0065034F"/>
    <w:rsid w:val="00650DDD"/>
    <w:rsid w:val="00655908"/>
    <w:rsid w:val="006621BE"/>
    <w:rsid w:val="00664527"/>
    <w:rsid w:val="00675061"/>
    <w:rsid w:val="006753D3"/>
    <w:rsid w:val="00676B9B"/>
    <w:rsid w:val="00680527"/>
    <w:rsid w:val="006858D4"/>
    <w:rsid w:val="00691553"/>
    <w:rsid w:val="006935D6"/>
    <w:rsid w:val="006A7DEE"/>
    <w:rsid w:val="006B7372"/>
    <w:rsid w:val="006C6117"/>
    <w:rsid w:val="006D19BA"/>
    <w:rsid w:val="006D4555"/>
    <w:rsid w:val="006D5C2A"/>
    <w:rsid w:val="006E3567"/>
    <w:rsid w:val="006E771E"/>
    <w:rsid w:val="006F492B"/>
    <w:rsid w:val="00700096"/>
    <w:rsid w:val="00700C45"/>
    <w:rsid w:val="00704444"/>
    <w:rsid w:val="007070C7"/>
    <w:rsid w:val="0071009A"/>
    <w:rsid w:val="00715C81"/>
    <w:rsid w:val="007165E3"/>
    <w:rsid w:val="00717F81"/>
    <w:rsid w:val="0072457E"/>
    <w:rsid w:val="0073228E"/>
    <w:rsid w:val="00732EC3"/>
    <w:rsid w:val="00735387"/>
    <w:rsid w:val="007376CD"/>
    <w:rsid w:val="0074042C"/>
    <w:rsid w:val="0074230B"/>
    <w:rsid w:val="007438C4"/>
    <w:rsid w:val="007446D0"/>
    <w:rsid w:val="007450D4"/>
    <w:rsid w:val="007452B5"/>
    <w:rsid w:val="00751724"/>
    <w:rsid w:val="0075445A"/>
    <w:rsid w:val="007554D1"/>
    <w:rsid w:val="0076063B"/>
    <w:rsid w:val="0076593E"/>
    <w:rsid w:val="00767395"/>
    <w:rsid w:val="00770962"/>
    <w:rsid w:val="00770F06"/>
    <w:rsid w:val="00771A70"/>
    <w:rsid w:val="00773BC5"/>
    <w:rsid w:val="00775DDF"/>
    <w:rsid w:val="00785B59"/>
    <w:rsid w:val="0078664B"/>
    <w:rsid w:val="00787FCF"/>
    <w:rsid w:val="00791853"/>
    <w:rsid w:val="00792253"/>
    <w:rsid w:val="00792D4B"/>
    <w:rsid w:val="00794F10"/>
    <w:rsid w:val="00796578"/>
    <w:rsid w:val="007A4240"/>
    <w:rsid w:val="007A4F40"/>
    <w:rsid w:val="007A541B"/>
    <w:rsid w:val="007A5EEE"/>
    <w:rsid w:val="007B2AEB"/>
    <w:rsid w:val="007B43A8"/>
    <w:rsid w:val="007B6871"/>
    <w:rsid w:val="007B69E2"/>
    <w:rsid w:val="007C65E7"/>
    <w:rsid w:val="007C7A82"/>
    <w:rsid w:val="007D42C4"/>
    <w:rsid w:val="007D51F4"/>
    <w:rsid w:val="007E7016"/>
    <w:rsid w:val="007F23C6"/>
    <w:rsid w:val="007F7EE9"/>
    <w:rsid w:val="00801ED4"/>
    <w:rsid w:val="00802314"/>
    <w:rsid w:val="00806615"/>
    <w:rsid w:val="00806A18"/>
    <w:rsid w:val="00810643"/>
    <w:rsid w:val="0081498E"/>
    <w:rsid w:val="00817191"/>
    <w:rsid w:val="00826E96"/>
    <w:rsid w:val="00832E0F"/>
    <w:rsid w:val="008369E9"/>
    <w:rsid w:val="00846D5C"/>
    <w:rsid w:val="00847306"/>
    <w:rsid w:val="0085183F"/>
    <w:rsid w:val="008546D8"/>
    <w:rsid w:val="00855113"/>
    <w:rsid w:val="0085593F"/>
    <w:rsid w:val="0085707E"/>
    <w:rsid w:val="00863DC5"/>
    <w:rsid w:val="00863DF5"/>
    <w:rsid w:val="00864A1E"/>
    <w:rsid w:val="00870DA0"/>
    <w:rsid w:val="00875837"/>
    <w:rsid w:val="008771CB"/>
    <w:rsid w:val="008808D0"/>
    <w:rsid w:val="00880F9A"/>
    <w:rsid w:val="008828E7"/>
    <w:rsid w:val="00883F43"/>
    <w:rsid w:val="0089042B"/>
    <w:rsid w:val="0089119B"/>
    <w:rsid w:val="008A5293"/>
    <w:rsid w:val="008B1FE8"/>
    <w:rsid w:val="008B5412"/>
    <w:rsid w:val="008B68C7"/>
    <w:rsid w:val="008C34F0"/>
    <w:rsid w:val="008C5010"/>
    <w:rsid w:val="008C5F4A"/>
    <w:rsid w:val="008C78AF"/>
    <w:rsid w:val="008D7E06"/>
    <w:rsid w:val="008E0210"/>
    <w:rsid w:val="008E297C"/>
    <w:rsid w:val="008E3339"/>
    <w:rsid w:val="008E37EC"/>
    <w:rsid w:val="008E3C03"/>
    <w:rsid w:val="008E4079"/>
    <w:rsid w:val="008E6B08"/>
    <w:rsid w:val="008E6D21"/>
    <w:rsid w:val="008F50C1"/>
    <w:rsid w:val="00900C4A"/>
    <w:rsid w:val="00902440"/>
    <w:rsid w:val="00902A67"/>
    <w:rsid w:val="00902F94"/>
    <w:rsid w:val="00906E62"/>
    <w:rsid w:val="00910BAC"/>
    <w:rsid w:val="00914C19"/>
    <w:rsid w:val="00915DB6"/>
    <w:rsid w:val="00916B47"/>
    <w:rsid w:val="0093271E"/>
    <w:rsid w:val="00940816"/>
    <w:rsid w:val="009447D3"/>
    <w:rsid w:val="00955A2A"/>
    <w:rsid w:val="00960627"/>
    <w:rsid w:val="009606C6"/>
    <w:rsid w:val="009619F3"/>
    <w:rsid w:val="009620DF"/>
    <w:rsid w:val="00964BCB"/>
    <w:rsid w:val="00973688"/>
    <w:rsid w:val="009770DE"/>
    <w:rsid w:val="00981DF2"/>
    <w:rsid w:val="0098323A"/>
    <w:rsid w:val="00983313"/>
    <w:rsid w:val="00983398"/>
    <w:rsid w:val="00992188"/>
    <w:rsid w:val="009965B4"/>
    <w:rsid w:val="009A097C"/>
    <w:rsid w:val="009B0B2B"/>
    <w:rsid w:val="009B3B72"/>
    <w:rsid w:val="009B4184"/>
    <w:rsid w:val="009B75E7"/>
    <w:rsid w:val="009C0666"/>
    <w:rsid w:val="009C0FDF"/>
    <w:rsid w:val="009C1B91"/>
    <w:rsid w:val="009C7DC5"/>
    <w:rsid w:val="009D056F"/>
    <w:rsid w:val="009D0A66"/>
    <w:rsid w:val="009D0E1A"/>
    <w:rsid w:val="009D4B96"/>
    <w:rsid w:val="009D753E"/>
    <w:rsid w:val="009E6F93"/>
    <w:rsid w:val="009F5EB7"/>
    <w:rsid w:val="009F62E8"/>
    <w:rsid w:val="00A00806"/>
    <w:rsid w:val="00A00C9E"/>
    <w:rsid w:val="00A00DF5"/>
    <w:rsid w:val="00A01717"/>
    <w:rsid w:val="00A04468"/>
    <w:rsid w:val="00A07124"/>
    <w:rsid w:val="00A122AB"/>
    <w:rsid w:val="00A173CA"/>
    <w:rsid w:val="00A2470C"/>
    <w:rsid w:val="00A25324"/>
    <w:rsid w:val="00A263E6"/>
    <w:rsid w:val="00A27A3D"/>
    <w:rsid w:val="00A326A8"/>
    <w:rsid w:val="00A3466E"/>
    <w:rsid w:val="00A434FE"/>
    <w:rsid w:val="00A45562"/>
    <w:rsid w:val="00A46C25"/>
    <w:rsid w:val="00A556E5"/>
    <w:rsid w:val="00A57E43"/>
    <w:rsid w:val="00A6057A"/>
    <w:rsid w:val="00A60F15"/>
    <w:rsid w:val="00A61E59"/>
    <w:rsid w:val="00A716A6"/>
    <w:rsid w:val="00A74420"/>
    <w:rsid w:val="00A75EED"/>
    <w:rsid w:val="00A75EEF"/>
    <w:rsid w:val="00A768EA"/>
    <w:rsid w:val="00A82DB3"/>
    <w:rsid w:val="00A8436A"/>
    <w:rsid w:val="00A867F7"/>
    <w:rsid w:val="00A955AD"/>
    <w:rsid w:val="00A96F44"/>
    <w:rsid w:val="00AA75E3"/>
    <w:rsid w:val="00AB09C0"/>
    <w:rsid w:val="00AB2954"/>
    <w:rsid w:val="00AC1EC9"/>
    <w:rsid w:val="00AC27EC"/>
    <w:rsid w:val="00AC39E0"/>
    <w:rsid w:val="00AC66F7"/>
    <w:rsid w:val="00AD086E"/>
    <w:rsid w:val="00AD6889"/>
    <w:rsid w:val="00AE1168"/>
    <w:rsid w:val="00AE193C"/>
    <w:rsid w:val="00AE260B"/>
    <w:rsid w:val="00AE26F8"/>
    <w:rsid w:val="00AE5D26"/>
    <w:rsid w:val="00AF1767"/>
    <w:rsid w:val="00AF47E9"/>
    <w:rsid w:val="00AF538B"/>
    <w:rsid w:val="00B0680A"/>
    <w:rsid w:val="00B07CFD"/>
    <w:rsid w:val="00B115E8"/>
    <w:rsid w:val="00B13EDD"/>
    <w:rsid w:val="00B146A9"/>
    <w:rsid w:val="00B14B4A"/>
    <w:rsid w:val="00B23229"/>
    <w:rsid w:val="00B24392"/>
    <w:rsid w:val="00B246B9"/>
    <w:rsid w:val="00B24DAF"/>
    <w:rsid w:val="00B269A4"/>
    <w:rsid w:val="00B37389"/>
    <w:rsid w:val="00B45A6B"/>
    <w:rsid w:val="00B5043E"/>
    <w:rsid w:val="00B54743"/>
    <w:rsid w:val="00B56325"/>
    <w:rsid w:val="00B57E56"/>
    <w:rsid w:val="00B61FCC"/>
    <w:rsid w:val="00B63B20"/>
    <w:rsid w:val="00B65A4A"/>
    <w:rsid w:val="00B65D8D"/>
    <w:rsid w:val="00B66014"/>
    <w:rsid w:val="00B708DA"/>
    <w:rsid w:val="00B71E9A"/>
    <w:rsid w:val="00B81313"/>
    <w:rsid w:val="00B85CB5"/>
    <w:rsid w:val="00B86AA4"/>
    <w:rsid w:val="00B86D92"/>
    <w:rsid w:val="00B879D7"/>
    <w:rsid w:val="00B90886"/>
    <w:rsid w:val="00B97122"/>
    <w:rsid w:val="00BA11B9"/>
    <w:rsid w:val="00BA5B62"/>
    <w:rsid w:val="00BB2D62"/>
    <w:rsid w:val="00BC5F18"/>
    <w:rsid w:val="00BC5F72"/>
    <w:rsid w:val="00BC6CB3"/>
    <w:rsid w:val="00BD1063"/>
    <w:rsid w:val="00BD1668"/>
    <w:rsid w:val="00BD19AB"/>
    <w:rsid w:val="00BD22B6"/>
    <w:rsid w:val="00BE1B0B"/>
    <w:rsid w:val="00BF00B1"/>
    <w:rsid w:val="00BF2774"/>
    <w:rsid w:val="00BF457D"/>
    <w:rsid w:val="00C03472"/>
    <w:rsid w:val="00C037E1"/>
    <w:rsid w:val="00C03F72"/>
    <w:rsid w:val="00C111A8"/>
    <w:rsid w:val="00C12BCA"/>
    <w:rsid w:val="00C25150"/>
    <w:rsid w:val="00C32B27"/>
    <w:rsid w:val="00C33A03"/>
    <w:rsid w:val="00C33B0F"/>
    <w:rsid w:val="00C40B40"/>
    <w:rsid w:val="00C457B7"/>
    <w:rsid w:val="00C46740"/>
    <w:rsid w:val="00C572AB"/>
    <w:rsid w:val="00C5741C"/>
    <w:rsid w:val="00C60CCC"/>
    <w:rsid w:val="00C60FC6"/>
    <w:rsid w:val="00C6109A"/>
    <w:rsid w:val="00C62BB4"/>
    <w:rsid w:val="00C8026A"/>
    <w:rsid w:val="00C83708"/>
    <w:rsid w:val="00C92580"/>
    <w:rsid w:val="00C9498E"/>
    <w:rsid w:val="00CA0492"/>
    <w:rsid w:val="00CA4C5B"/>
    <w:rsid w:val="00CB04D7"/>
    <w:rsid w:val="00CB107B"/>
    <w:rsid w:val="00CB3214"/>
    <w:rsid w:val="00CC099A"/>
    <w:rsid w:val="00CC0B15"/>
    <w:rsid w:val="00CC0FF5"/>
    <w:rsid w:val="00CC3AF2"/>
    <w:rsid w:val="00CD2712"/>
    <w:rsid w:val="00CD3BBC"/>
    <w:rsid w:val="00CD5DFD"/>
    <w:rsid w:val="00CE004E"/>
    <w:rsid w:val="00CE2126"/>
    <w:rsid w:val="00CE5BEE"/>
    <w:rsid w:val="00CF1035"/>
    <w:rsid w:val="00CF5C6F"/>
    <w:rsid w:val="00CF5EA8"/>
    <w:rsid w:val="00D02D37"/>
    <w:rsid w:val="00D0302C"/>
    <w:rsid w:val="00D03E48"/>
    <w:rsid w:val="00D060ED"/>
    <w:rsid w:val="00D11C24"/>
    <w:rsid w:val="00D14D35"/>
    <w:rsid w:val="00D14E08"/>
    <w:rsid w:val="00D21EF0"/>
    <w:rsid w:val="00D24DD7"/>
    <w:rsid w:val="00D328B4"/>
    <w:rsid w:val="00D46446"/>
    <w:rsid w:val="00D469CF"/>
    <w:rsid w:val="00D54997"/>
    <w:rsid w:val="00D5552C"/>
    <w:rsid w:val="00D562AE"/>
    <w:rsid w:val="00D5741D"/>
    <w:rsid w:val="00D57765"/>
    <w:rsid w:val="00D6622B"/>
    <w:rsid w:val="00D67E4C"/>
    <w:rsid w:val="00D70141"/>
    <w:rsid w:val="00D70FCF"/>
    <w:rsid w:val="00D75FD2"/>
    <w:rsid w:val="00D839AD"/>
    <w:rsid w:val="00D84B10"/>
    <w:rsid w:val="00D85912"/>
    <w:rsid w:val="00D869B1"/>
    <w:rsid w:val="00D87137"/>
    <w:rsid w:val="00D90392"/>
    <w:rsid w:val="00D91B09"/>
    <w:rsid w:val="00D923B2"/>
    <w:rsid w:val="00D940E3"/>
    <w:rsid w:val="00D9680F"/>
    <w:rsid w:val="00DA235D"/>
    <w:rsid w:val="00DB1210"/>
    <w:rsid w:val="00DB273E"/>
    <w:rsid w:val="00DB5978"/>
    <w:rsid w:val="00DD01EF"/>
    <w:rsid w:val="00DE19E1"/>
    <w:rsid w:val="00DE20AD"/>
    <w:rsid w:val="00DF4643"/>
    <w:rsid w:val="00E01B29"/>
    <w:rsid w:val="00E031F7"/>
    <w:rsid w:val="00E03FAC"/>
    <w:rsid w:val="00E0454D"/>
    <w:rsid w:val="00E13C8D"/>
    <w:rsid w:val="00E20910"/>
    <w:rsid w:val="00E336BC"/>
    <w:rsid w:val="00E350B8"/>
    <w:rsid w:val="00E37451"/>
    <w:rsid w:val="00E45448"/>
    <w:rsid w:val="00E4686F"/>
    <w:rsid w:val="00E47194"/>
    <w:rsid w:val="00E471A5"/>
    <w:rsid w:val="00E501EB"/>
    <w:rsid w:val="00E56702"/>
    <w:rsid w:val="00E56D78"/>
    <w:rsid w:val="00E578DC"/>
    <w:rsid w:val="00E6245D"/>
    <w:rsid w:val="00E65163"/>
    <w:rsid w:val="00E66F8A"/>
    <w:rsid w:val="00E734F3"/>
    <w:rsid w:val="00E832DD"/>
    <w:rsid w:val="00E838B1"/>
    <w:rsid w:val="00E86D51"/>
    <w:rsid w:val="00E91AB3"/>
    <w:rsid w:val="00E9266B"/>
    <w:rsid w:val="00EA27F6"/>
    <w:rsid w:val="00EA2D7F"/>
    <w:rsid w:val="00EA3D97"/>
    <w:rsid w:val="00EA3E96"/>
    <w:rsid w:val="00EB4C33"/>
    <w:rsid w:val="00EB764B"/>
    <w:rsid w:val="00EC3162"/>
    <w:rsid w:val="00EC4E2D"/>
    <w:rsid w:val="00EC52EC"/>
    <w:rsid w:val="00EC5838"/>
    <w:rsid w:val="00ED37D0"/>
    <w:rsid w:val="00ED5D96"/>
    <w:rsid w:val="00ED644C"/>
    <w:rsid w:val="00ED7463"/>
    <w:rsid w:val="00EE2941"/>
    <w:rsid w:val="00EE31BE"/>
    <w:rsid w:val="00EE512C"/>
    <w:rsid w:val="00EE605F"/>
    <w:rsid w:val="00EF1A57"/>
    <w:rsid w:val="00EF34FD"/>
    <w:rsid w:val="00EF475A"/>
    <w:rsid w:val="00EF6D98"/>
    <w:rsid w:val="00F008BC"/>
    <w:rsid w:val="00F0290D"/>
    <w:rsid w:val="00F02DCF"/>
    <w:rsid w:val="00F031DB"/>
    <w:rsid w:val="00F13735"/>
    <w:rsid w:val="00F23C47"/>
    <w:rsid w:val="00F36968"/>
    <w:rsid w:val="00F36D04"/>
    <w:rsid w:val="00F40380"/>
    <w:rsid w:val="00F40766"/>
    <w:rsid w:val="00F411EC"/>
    <w:rsid w:val="00F43876"/>
    <w:rsid w:val="00F526C2"/>
    <w:rsid w:val="00F55F4E"/>
    <w:rsid w:val="00F561B1"/>
    <w:rsid w:val="00F562AD"/>
    <w:rsid w:val="00F5760E"/>
    <w:rsid w:val="00F5767A"/>
    <w:rsid w:val="00F612AD"/>
    <w:rsid w:val="00F66FDA"/>
    <w:rsid w:val="00F73815"/>
    <w:rsid w:val="00F7403A"/>
    <w:rsid w:val="00F74FCC"/>
    <w:rsid w:val="00F75686"/>
    <w:rsid w:val="00F82E19"/>
    <w:rsid w:val="00F83D35"/>
    <w:rsid w:val="00F97277"/>
    <w:rsid w:val="00FA2703"/>
    <w:rsid w:val="00FA33AC"/>
    <w:rsid w:val="00FA3A75"/>
    <w:rsid w:val="00FB1D45"/>
    <w:rsid w:val="00FB3895"/>
    <w:rsid w:val="00FC2477"/>
    <w:rsid w:val="00FD1A59"/>
    <w:rsid w:val="00FD327C"/>
    <w:rsid w:val="00FD4BA9"/>
    <w:rsid w:val="00FD52DA"/>
    <w:rsid w:val="00FE3CAF"/>
    <w:rsid w:val="00FF4C3A"/>
    <w:rsid w:val="00FF7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81FB1E"/>
  <w15:docId w15:val="{3BB02CD8-93D4-403B-A1FC-0078546A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10CC"/>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10CC"/>
    <w:rPr>
      <w:color w:val="0000FF" w:themeColor="hyperlink"/>
      <w:u w:val="single"/>
    </w:rPr>
  </w:style>
  <w:style w:type="paragraph" w:styleId="Testonotaapidipagina">
    <w:name w:val="footnote text"/>
    <w:basedOn w:val="Normale"/>
    <w:link w:val="TestonotaapidipaginaCarattere"/>
    <w:unhideWhenUsed/>
    <w:rsid w:val="003210CC"/>
    <w:rPr>
      <w:sz w:val="20"/>
      <w:szCs w:val="20"/>
    </w:rPr>
  </w:style>
  <w:style w:type="character" w:customStyle="1" w:styleId="TestonotaapidipaginaCarattere">
    <w:name w:val="Testo nota a piè di pagina Carattere"/>
    <w:basedOn w:val="Carpredefinitoparagrafo"/>
    <w:link w:val="Testonotaapidipagina"/>
    <w:uiPriority w:val="99"/>
    <w:rsid w:val="003210CC"/>
    <w:rPr>
      <w:rFonts w:eastAsiaTheme="minorEastAsia"/>
      <w:sz w:val="20"/>
      <w:szCs w:val="20"/>
      <w:lang w:eastAsia="it-IT"/>
    </w:rPr>
  </w:style>
  <w:style w:type="paragraph" w:customStyle="1" w:styleId="parar1">
    <w:name w:val="parar1"/>
    <w:basedOn w:val="Normale"/>
    <w:rsid w:val="003210CC"/>
    <w:pPr>
      <w:spacing w:before="100" w:beforeAutospacing="1" w:after="100" w:afterAutospacing="1"/>
    </w:pPr>
    <w:rPr>
      <w:rFonts w:ascii="Times New Roman" w:eastAsia="Times New Roman" w:hAnsi="Times New Roman" w:cs="Times New Roman"/>
    </w:rPr>
  </w:style>
  <w:style w:type="paragraph" w:customStyle="1" w:styleId="parar2">
    <w:name w:val="parar2"/>
    <w:basedOn w:val="Normale"/>
    <w:rsid w:val="003210CC"/>
    <w:pPr>
      <w:spacing w:before="100" w:beforeAutospacing="1" w:after="100" w:afterAutospacing="1"/>
    </w:pPr>
    <w:rPr>
      <w:rFonts w:ascii="Times New Roman" w:eastAsia="Times New Roman" w:hAnsi="Times New Roman" w:cs="Times New Roman"/>
    </w:rPr>
  </w:style>
  <w:style w:type="character" w:styleId="Rimandonotaapidipagina">
    <w:name w:val="footnote reference"/>
    <w:basedOn w:val="Carpredefinitoparagrafo"/>
    <w:uiPriority w:val="99"/>
    <w:unhideWhenUsed/>
    <w:rsid w:val="003210CC"/>
    <w:rPr>
      <w:vertAlign w:val="superscript"/>
    </w:rPr>
  </w:style>
  <w:style w:type="paragraph" w:styleId="Testofumetto">
    <w:name w:val="Balloon Text"/>
    <w:basedOn w:val="Normale"/>
    <w:link w:val="TestofumettoCarattere"/>
    <w:uiPriority w:val="99"/>
    <w:semiHidden/>
    <w:unhideWhenUsed/>
    <w:rsid w:val="003210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10CC"/>
    <w:rPr>
      <w:rFonts w:ascii="Tahoma" w:eastAsiaTheme="minorEastAsia" w:hAnsi="Tahoma" w:cs="Tahoma"/>
      <w:sz w:val="16"/>
      <w:szCs w:val="16"/>
      <w:lang w:eastAsia="it-IT"/>
    </w:rPr>
  </w:style>
  <w:style w:type="paragraph" w:styleId="Paragrafoelenco">
    <w:name w:val="List Paragraph"/>
    <w:basedOn w:val="Normale"/>
    <w:uiPriority w:val="34"/>
    <w:qFormat/>
    <w:rsid w:val="00D70FCF"/>
    <w:pPr>
      <w:ind w:left="720"/>
      <w:contextualSpacing/>
    </w:pPr>
  </w:style>
  <w:style w:type="paragraph" w:styleId="Testonotadichiusura">
    <w:name w:val="endnote text"/>
    <w:basedOn w:val="Normale"/>
    <w:link w:val="TestonotadichiusuraCarattere"/>
    <w:uiPriority w:val="99"/>
    <w:semiHidden/>
    <w:unhideWhenUsed/>
    <w:rsid w:val="008E0210"/>
    <w:rPr>
      <w:sz w:val="20"/>
      <w:szCs w:val="20"/>
    </w:rPr>
  </w:style>
  <w:style w:type="character" w:customStyle="1" w:styleId="TestonotadichiusuraCarattere">
    <w:name w:val="Testo nota di chiusura Carattere"/>
    <w:basedOn w:val="Carpredefinitoparagrafo"/>
    <w:link w:val="Testonotadichiusura"/>
    <w:uiPriority w:val="99"/>
    <w:semiHidden/>
    <w:rsid w:val="008E0210"/>
    <w:rPr>
      <w:rFonts w:eastAsiaTheme="minorEastAsia"/>
      <w:sz w:val="20"/>
      <w:szCs w:val="20"/>
      <w:lang w:eastAsia="it-IT"/>
    </w:rPr>
  </w:style>
  <w:style w:type="character" w:styleId="Rimandonotadichiusura">
    <w:name w:val="endnote reference"/>
    <w:basedOn w:val="Carpredefinitoparagrafo"/>
    <w:uiPriority w:val="99"/>
    <w:semiHidden/>
    <w:unhideWhenUsed/>
    <w:rsid w:val="008E0210"/>
    <w:rPr>
      <w:vertAlign w:val="superscript"/>
    </w:rPr>
  </w:style>
  <w:style w:type="paragraph" w:customStyle="1" w:styleId="Standard">
    <w:name w:val="Standard"/>
    <w:rsid w:val="001474B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Normale"/>
    <w:rsid w:val="00BA5B62"/>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character" w:customStyle="1" w:styleId="apple-converted-space">
    <w:name w:val="apple-converted-space"/>
    <w:basedOn w:val="Carpredefinitoparagrafo"/>
    <w:rsid w:val="00BF00B1"/>
  </w:style>
  <w:style w:type="paragraph" w:styleId="NormaleWeb">
    <w:name w:val="Normal (Web)"/>
    <w:basedOn w:val="Normale"/>
    <w:uiPriority w:val="99"/>
    <w:unhideWhenUsed/>
    <w:rsid w:val="00087DA8"/>
    <w:pPr>
      <w:spacing w:before="100" w:beforeAutospacing="1" w:after="100" w:afterAutospacing="1"/>
    </w:pPr>
    <w:rPr>
      <w:rFonts w:ascii="Times New Roman" w:eastAsia="Times New Roman" w:hAnsi="Times New Roman" w:cs="Times New Roman"/>
    </w:rPr>
  </w:style>
  <w:style w:type="character" w:customStyle="1" w:styleId="WW-Absatz-Standardschriftart">
    <w:name w:val="WW-Absatz-Standardschriftart"/>
    <w:rsid w:val="00832E0F"/>
  </w:style>
  <w:style w:type="paragraph" w:customStyle="1" w:styleId="Default">
    <w:name w:val="Default"/>
    <w:rsid w:val="00700096"/>
    <w:pPr>
      <w:autoSpaceDE w:val="0"/>
      <w:autoSpaceDN w:val="0"/>
      <w:adjustRightInd w:val="0"/>
      <w:spacing w:after="0" w:line="240" w:lineRule="auto"/>
    </w:pPr>
    <w:rPr>
      <w:rFonts w:ascii="Cambria" w:hAnsi="Cambria" w:cs="Cambria"/>
      <w:color w:val="000000"/>
      <w:sz w:val="24"/>
      <w:szCs w:val="24"/>
    </w:rPr>
  </w:style>
  <w:style w:type="paragraph" w:styleId="Intestazione">
    <w:name w:val="header"/>
    <w:basedOn w:val="Normale"/>
    <w:link w:val="IntestazioneCarattere"/>
    <w:uiPriority w:val="99"/>
    <w:semiHidden/>
    <w:unhideWhenUsed/>
    <w:rsid w:val="00ED644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D644C"/>
    <w:rPr>
      <w:rFonts w:eastAsiaTheme="minorEastAsia"/>
      <w:sz w:val="24"/>
      <w:szCs w:val="24"/>
      <w:lang w:eastAsia="it-IT"/>
    </w:rPr>
  </w:style>
  <w:style w:type="paragraph" w:styleId="Pidipagina">
    <w:name w:val="footer"/>
    <w:basedOn w:val="Normale"/>
    <w:link w:val="PidipaginaCarattere"/>
    <w:uiPriority w:val="99"/>
    <w:unhideWhenUsed/>
    <w:rsid w:val="00ED644C"/>
    <w:pPr>
      <w:tabs>
        <w:tab w:val="center" w:pos="4819"/>
        <w:tab w:val="right" w:pos="9638"/>
      </w:tabs>
    </w:pPr>
  </w:style>
  <w:style w:type="character" w:customStyle="1" w:styleId="PidipaginaCarattere">
    <w:name w:val="Piè di pagina Carattere"/>
    <w:basedOn w:val="Carpredefinitoparagrafo"/>
    <w:link w:val="Pidipagina"/>
    <w:uiPriority w:val="99"/>
    <w:rsid w:val="00ED644C"/>
    <w:rPr>
      <w:rFonts w:eastAsiaTheme="minorEastAsia"/>
      <w:sz w:val="24"/>
      <w:szCs w:val="24"/>
      <w:lang w:eastAsia="it-IT"/>
    </w:rPr>
  </w:style>
  <w:style w:type="paragraph" w:customStyle="1" w:styleId="registri">
    <w:name w:val="registri"/>
    <w:basedOn w:val="Normale"/>
    <w:rsid w:val="000217C9"/>
    <w:pPr>
      <w:spacing w:before="100" w:beforeAutospacing="1" w:after="100" w:afterAutospacing="1" w:line="0" w:lineRule="atLeast"/>
      <w:jc w:val="right"/>
    </w:pPr>
    <w:rPr>
      <w:rFonts w:ascii="Times Nordic" w:eastAsia="Times New Roman" w:hAnsi="Times Nordic" w:cs="Times New Roman"/>
      <w:b/>
      <w:bCs/>
      <w:sz w:val="22"/>
      <w:szCs w:val="22"/>
    </w:rPr>
  </w:style>
  <w:style w:type="paragraph" w:customStyle="1" w:styleId="repubblica">
    <w:name w:val="repubblica"/>
    <w:basedOn w:val="Normale"/>
    <w:rsid w:val="000217C9"/>
    <w:pPr>
      <w:spacing w:before="100" w:beforeAutospacing="1" w:after="100" w:afterAutospacing="1"/>
      <w:jc w:val="center"/>
    </w:pPr>
    <w:rPr>
      <w:rFonts w:ascii="Garamond" w:eastAsia="Times New Roman" w:hAnsi="Garamond" w:cs="Times New Roman"/>
      <w:b/>
      <w:bCs/>
      <w:color w:val="000000"/>
      <w:spacing w:val="107"/>
    </w:rPr>
  </w:style>
  <w:style w:type="paragraph" w:customStyle="1" w:styleId="popolo">
    <w:name w:val="popolo"/>
    <w:basedOn w:val="Normale"/>
    <w:rsid w:val="000217C9"/>
    <w:pPr>
      <w:spacing w:line="520" w:lineRule="atLeast"/>
      <w:jc w:val="both"/>
    </w:pPr>
    <w:rPr>
      <w:rFonts w:ascii="Garamond" w:eastAsia="Times New Roman" w:hAnsi="Garamond" w:cs="Times New Roman"/>
      <w:sz w:val="30"/>
      <w:szCs w:val="30"/>
    </w:rPr>
  </w:style>
  <w:style w:type="paragraph" w:customStyle="1" w:styleId="sezione">
    <w:name w:val="sezione"/>
    <w:basedOn w:val="Normale"/>
    <w:rsid w:val="000217C9"/>
    <w:pPr>
      <w:spacing w:before="100" w:beforeAutospacing="1" w:after="100" w:afterAutospacing="1"/>
      <w:jc w:val="center"/>
    </w:pPr>
    <w:rPr>
      <w:rFonts w:ascii="Garamond" w:eastAsia="Times New Roman" w:hAnsi="Garamond" w:cs="Times New Roman"/>
      <w:b/>
      <w:bCs/>
      <w:color w:val="000000"/>
      <w:sz w:val="26"/>
      <w:szCs w:val="26"/>
    </w:rPr>
  </w:style>
  <w:style w:type="paragraph" w:customStyle="1" w:styleId="sezionegrande">
    <w:name w:val="sezionegrande"/>
    <w:basedOn w:val="Normale"/>
    <w:rsid w:val="000217C9"/>
    <w:pPr>
      <w:spacing w:before="100" w:beforeAutospacing="1" w:after="100" w:afterAutospacing="1"/>
      <w:jc w:val="center"/>
    </w:pPr>
    <w:rPr>
      <w:rFonts w:ascii="Garamond" w:eastAsia="Times New Roman" w:hAnsi="Garamond" w:cs="Times New Roman"/>
      <w:b/>
      <w:bCs/>
      <w:color w:val="000000"/>
      <w:sz w:val="36"/>
      <w:szCs w:val="36"/>
    </w:rPr>
  </w:style>
  <w:style w:type="paragraph" w:customStyle="1" w:styleId="fatto">
    <w:name w:val="fatto"/>
    <w:basedOn w:val="Normale"/>
    <w:rsid w:val="000217C9"/>
    <w:pPr>
      <w:spacing w:line="540" w:lineRule="atLeast"/>
      <w:jc w:val="center"/>
    </w:pPr>
    <w:rPr>
      <w:rFonts w:ascii="Garamond" w:eastAsia="Times New Roman" w:hAnsi="Garamond" w:cs="Times New Roman"/>
      <w:sz w:val="30"/>
      <w:szCs w:val="30"/>
    </w:rPr>
  </w:style>
  <w:style w:type="paragraph" w:customStyle="1" w:styleId="rigth">
    <w:name w:val="rigth"/>
    <w:basedOn w:val="Normale"/>
    <w:rsid w:val="000217C9"/>
    <w:pPr>
      <w:spacing w:before="100" w:beforeAutospacing="1" w:after="100" w:afterAutospacing="1"/>
    </w:pPr>
    <w:rPr>
      <w:rFonts w:ascii="Times New Roman" w:eastAsia="Times New Roman" w:hAnsi="Times New Roman" w:cs="Times New Roman"/>
    </w:rPr>
  </w:style>
  <w:style w:type="paragraph" w:styleId="Titolo">
    <w:name w:val="Title"/>
    <w:basedOn w:val="Normale"/>
    <w:next w:val="Normale"/>
    <w:link w:val="TitoloCarattere"/>
    <w:uiPriority w:val="10"/>
    <w:qFormat/>
    <w:rsid w:val="00021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217C9"/>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blackunder">
    <w:name w:val="blackunder"/>
    <w:basedOn w:val="Carpredefinitoparagrafo"/>
    <w:rsid w:val="000217C9"/>
  </w:style>
  <w:style w:type="character" w:customStyle="1" w:styleId="provvnumcomma">
    <w:name w:val="provv_numcomma"/>
    <w:basedOn w:val="Carpredefinitoparagrafo"/>
    <w:rsid w:val="000217C9"/>
  </w:style>
  <w:style w:type="character" w:customStyle="1" w:styleId="gc">
    <w:name w:val="gc"/>
    <w:basedOn w:val="Carpredefinitoparagrafo"/>
    <w:rsid w:val="000217C9"/>
  </w:style>
  <w:style w:type="paragraph" w:styleId="Nessunaspaziatura">
    <w:name w:val="No Spacing"/>
    <w:uiPriority w:val="1"/>
    <w:qFormat/>
    <w:rsid w:val="005A75D0"/>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Caratteredellanota">
    <w:name w:val="Carattere della nota"/>
    <w:rsid w:val="00B56325"/>
  </w:style>
  <w:style w:type="paragraph" w:customStyle="1" w:styleId="WW-footnotetext1">
    <w:name w:val="WW-footnote text1"/>
    <w:basedOn w:val="Normale"/>
    <w:rsid w:val="00A434FE"/>
    <w:pPr>
      <w:widowControl w:val="0"/>
      <w:suppressAutoHyphens/>
      <w:ind w:left="283" w:hanging="283"/>
    </w:pPr>
    <w:rPr>
      <w:rFonts w:ascii="Times New Roman" w:eastAsia="Andale Sans UI" w:hAnsi="Times New Roman" w:cs="Times New Roman"/>
      <w:kern w:val="1"/>
      <w:sz w:val="20"/>
      <w:szCs w:val="20"/>
    </w:rPr>
  </w:style>
  <w:style w:type="paragraph" w:customStyle="1" w:styleId="provvr0">
    <w:name w:val="provv_r0"/>
    <w:basedOn w:val="Normale"/>
    <w:rsid w:val="00474E74"/>
    <w:pPr>
      <w:spacing w:before="100" w:beforeAutospacing="1" w:after="100" w:afterAutospacing="1"/>
    </w:pPr>
    <w:rPr>
      <w:rFonts w:ascii="Times New Roman" w:eastAsia="Times New Roman" w:hAnsi="Times New Roman" w:cs="Times New Roman"/>
    </w:rPr>
  </w:style>
  <w:style w:type="character" w:customStyle="1" w:styleId="Rimandonotaapidipagina1">
    <w:name w:val="Rimando nota a piè di pagina1"/>
    <w:rsid w:val="00483623"/>
    <w:rPr>
      <w:sz w:val="24"/>
      <w:szCs w:val="24"/>
      <w:lang w:val="it-IT"/>
    </w:rPr>
  </w:style>
  <w:style w:type="paragraph" w:customStyle="1" w:styleId="WW-footnotetext123">
    <w:name w:val="WW-footnote text123"/>
    <w:basedOn w:val="Normale"/>
    <w:rsid w:val="004B05C9"/>
    <w:pPr>
      <w:widowControl w:val="0"/>
      <w:suppressAutoHyphens/>
      <w:ind w:left="283" w:hanging="283"/>
    </w:pPr>
    <w:rPr>
      <w:rFonts w:ascii="Times New Roman" w:eastAsia="Andale Sans UI" w:hAnsi="Times New Roman" w:cs="Times New Roman"/>
      <w:kern w:val="1"/>
      <w:sz w:val="20"/>
      <w:szCs w:val="20"/>
    </w:rPr>
  </w:style>
  <w:style w:type="paragraph" w:styleId="Corpotesto">
    <w:name w:val="Body Text"/>
    <w:basedOn w:val="Normale"/>
    <w:link w:val="CorpotestoCarattere"/>
    <w:rsid w:val="00792253"/>
    <w:pPr>
      <w:widowControl w:val="0"/>
      <w:suppressAutoHyphens/>
      <w:spacing w:after="120"/>
    </w:pPr>
    <w:rPr>
      <w:rFonts w:ascii="Times New Roman" w:eastAsia="Andale Sans UI" w:hAnsi="Times New Roman" w:cs="Times New Roman"/>
      <w:kern w:val="1"/>
    </w:rPr>
  </w:style>
  <w:style w:type="character" w:customStyle="1" w:styleId="CorpotestoCarattere">
    <w:name w:val="Corpo testo Carattere"/>
    <w:basedOn w:val="Carpredefinitoparagrafo"/>
    <w:link w:val="Corpotesto"/>
    <w:rsid w:val="00792253"/>
    <w:rPr>
      <w:rFonts w:ascii="Times New Roman" w:eastAsia="Andale Sans UI" w:hAnsi="Times New Roman" w:cs="Times New Roman"/>
      <w:kern w:val="1"/>
      <w:sz w:val="24"/>
      <w:szCs w:val="24"/>
    </w:rPr>
  </w:style>
  <w:style w:type="character" w:customStyle="1" w:styleId="linkneltesto">
    <w:name w:val="link_nel_testo"/>
    <w:basedOn w:val="Carpredefinitoparagrafo"/>
    <w:rsid w:val="00902F94"/>
  </w:style>
  <w:style w:type="character" w:styleId="Enfasicorsivo">
    <w:name w:val="Emphasis"/>
    <w:basedOn w:val="Carpredefinitoparagrafo"/>
    <w:uiPriority w:val="20"/>
    <w:qFormat/>
    <w:rsid w:val="007070C7"/>
    <w:rPr>
      <w:i/>
      <w:iCs/>
    </w:rPr>
  </w:style>
  <w:style w:type="paragraph" w:customStyle="1" w:styleId="Corpodeltesto31">
    <w:name w:val="Corpo del testo 31"/>
    <w:basedOn w:val="Normale"/>
    <w:rsid w:val="0016246E"/>
    <w:pPr>
      <w:suppressAutoHyphens/>
      <w:jc w:val="both"/>
    </w:pPr>
    <w:rPr>
      <w:rFonts w:ascii="Century" w:eastAsia="Times New Roman" w:hAnsi="Century" w:cs="Courier New"/>
      <w:sz w:val="28"/>
      <w:lang w:eastAsia="ar-SA"/>
    </w:rPr>
  </w:style>
  <w:style w:type="character" w:customStyle="1" w:styleId="provvrubrica">
    <w:name w:val="provv_rubrica"/>
    <w:basedOn w:val="Carpredefinitoparagrafo"/>
    <w:rsid w:val="00261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4313">
      <w:bodyDiv w:val="1"/>
      <w:marLeft w:val="0"/>
      <w:marRight w:val="0"/>
      <w:marTop w:val="0"/>
      <w:marBottom w:val="0"/>
      <w:divBdr>
        <w:top w:val="none" w:sz="0" w:space="0" w:color="auto"/>
        <w:left w:val="none" w:sz="0" w:space="0" w:color="auto"/>
        <w:bottom w:val="none" w:sz="0" w:space="0" w:color="auto"/>
        <w:right w:val="none" w:sz="0" w:space="0" w:color="auto"/>
      </w:divBdr>
    </w:div>
    <w:div w:id="570887169">
      <w:bodyDiv w:val="1"/>
      <w:marLeft w:val="0"/>
      <w:marRight w:val="0"/>
      <w:marTop w:val="0"/>
      <w:marBottom w:val="0"/>
      <w:divBdr>
        <w:top w:val="none" w:sz="0" w:space="0" w:color="auto"/>
        <w:left w:val="none" w:sz="0" w:space="0" w:color="auto"/>
        <w:bottom w:val="none" w:sz="0" w:space="0" w:color="auto"/>
        <w:right w:val="none" w:sz="0" w:space="0" w:color="auto"/>
      </w:divBdr>
    </w:div>
    <w:div w:id="618071112">
      <w:bodyDiv w:val="1"/>
      <w:marLeft w:val="0"/>
      <w:marRight w:val="0"/>
      <w:marTop w:val="0"/>
      <w:marBottom w:val="0"/>
      <w:divBdr>
        <w:top w:val="none" w:sz="0" w:space="0" w:color="auto"/>
        <w:left w:val="none" w:sz="0" w:space="0" w:color="auto"/>
        <w:bottom w:val="none" w:sz="0" w:space="0" w:color="auto"/>
        <w:right w:val="none" w:sz="0" w:space="0" w:color="auto"/>
      </w:divBdr>
    </w:div>
    <w:div w:id="1388534990">
      <w:bodyDiv w:val="1"/>
      <w:marLeft w:val="0"/>
      <w:marRight w:val="0"/>
      <w:marTop w:val="0"/>
      <w:marBottom w:val="0"/>
      <w:divBdr>
        <w:top w:val="none" w:sz="0" w:space="0" w:color="auto"/>
        <w:left w:val="none" w:sz="0" w:space="0" w:color="auto"/>
        <w:bottom w:val="none" w:sz="0" w:space="0" w:color="auto"/>
        <w:right w:val="none" w:sz="0" w:space="0" w:color="auto"/>
      </w:divBdr>
    </w:div>
    <w:div w:id="1464730753">
      <w:bodyDiv w:val="1"/>
      <w:marLeft w:val="0"/>
      <w:marRight w:val="0"/>
      <w:marTop w:val="0"/>
      <w:marBottom w:val="0"/>
      <w:divBdr>
        <w:top w:val="none" w:sz="0" w:space="0" w:color="auto"/>
        <w:left w:val="none" w:sz="0" w:space="0" w:color="auto"/>
        <w:bottom w:val="none" w:sz="0" w:space="0" w:color="auto"/>
        <w:right w:val="none" w:sz="0" w:space="0" w:color="auto"/>
      </w:divBdr>
    </w:div>
    <w:div w:id="1568958248">
      <w:bodyDiv w:val="1"/>
      <w:marLeft w:val="0"/>
      <w:marRight w:val="0"/>
      <w:marTop w:val="0"/>
      <w:marBottom w:val="0"/>
      <w:divBdr>
        <w:top w:val="none" w:sz="0" w:space="0" w:color="auto"/>
        <w:left w:val="none" w:sz="0" w:space="0" w:color="auto"/>
        <w:bottom w:val="none" w:sz="0" w:space="0" w:color="auto"/>
        <w:right w:val="none" w:sz="0" w:space="0" w:color="auto"/>
      </w:divBdr>
    </w:div>
    <w:div w:id="1708262911">
      <w:bodyDiv w:val="1"/>
      <w:marLeft w:val="0"/>
      <w:marRight w:val="0"/>
      <w:marTop w:val="0"/>
      <w:marBottom w:val="0"/>
      <w:divBdr>
        <w:top w:val="none" w:sz="0" w:space="0" w:color="auto"/>
        <w:left w:val="none" w:sz="0" w:space="0" w:color="auto"/>
        <w:bottom w:val="none" w:sz="0" w:space="0" w:color="auto"/>
        <w:right w:val="none" w:sz="0" w:space="0" w:color="auto"/>
      </w:divBdr>
      <w:divsChild>
        <w:div w:id="1785609311">
          <w:marLeft w:val="0"/>
          <w:marRight w:val="0"/>
          <w:marTop w:val="0"/>
          <w:marBottom w:val="0"/>
          <w:divBdr>
            <w:top w:val="none" w:sz="0" w:space="0" w:color="auto"/>
            <w:left w:val="none" w:sz="0" w:space="0" w:color="auto"/>
            <w:bottom w:val="none" w:sz="0" w:space="0" w:color="auto"/>
            <w:right w:val="none" w:sz="0" w:space="0" w:color="auto"/>
          </w:divBdr>
        </w:div>
        <w:div w:id="878474365">
          <w:marLeft w:val="0"/>
          <w:marRight w:val="0"/>
          <w:marTop w:val="0"/>
          <w:marBottom w:val="0"/>
          <w:divBdr>
            <w:top w:val="none" w:sz="0" w:space="0" w:color="auto"/>
            <w:left w:val="none" w:sz="0" w:space="0" w:color="auto"/>
            <w:bottom w:val="none" w:sz="0" w:space="0" w:color="auto"/>
            <w:right w:val="none" w:sz="0" w:space="0" w:color="auto"/>
          </w:divBdr>
        </w:div>
        <w:div w:id="214439671">
          <w:marLeft w:val="0"/>
          <w:marRight w:val="0"/>
          <w:marTop w:val="0"/>
          <w:marBottom w:val="0"/>
          <w:divBdr>
            <w:top w:val="none" w:sz="0" w:space="0" w:color="auto"/>
            <w:left w:val="none" w:sz="0" w:space="0" w:color="auto"/>
            <w:bottom w:val="none" w:sz="0" w:space="0" w:color="auto"/>
            <w:right w:val="none" w:sz="0" w:space="0" w:color="auto"/>
          </w:divBdr>
        </w:div>
        <w:div w:id="34736629">
          <w:marLeft w:val="0"/>
          <w:marRight w:val="0"/>
          <w:marTop w:val="0"/>
          <w:marBottom w:val="0"/>
          <w:divBdr>
            <w:top w:val="none" w:sz="0" w:space="0" w:color="auto"/>
            <w:left w:val="none" w:sz="0" w:space="0" w:color="auto"/>
            <w:bottom w:val="none" w:sz="0" w:space="0" w:color="auto"/>
            <w:right w:val="none" w:sz="0" w:space="0" w:color="auto"/>
          </w:divBdr>
        </w:div>
        <w:div w:id="378632054">
          <w:marLeft w:val="0"/>
          <w:marRight w:val="0"/>
          <w:marTop w:val="0"/>
          <w:marBottom w:val="0"/>
          <w:divBdr>
            <w:top w:val="none" w:sz="0" w:space="0" w:color="auto"/>
            <w:left w:val="none" w:sz="0" w:space="0" w:color="auto"/>
            <w:bottom w:val="none" w:sz="0" w:space="0" w:color="auto"/>
            <w:right w:val="none" w:sz="0" w:space="0" w:color="auto"/>
          </w:divBdr>
        </w:div>
        <w:div w:id="545416585">
          <w:marLeft w:val="0"/>
          <w:marRight w:val="0"/>
          <w:marTop w:val="0"/>
          <w:marBottom w:val="0"/>
          <w:divBdr>
            <w:top w:val="none" w:sz="0" w:space="0" w:color="auto"/>
            <w:left w:val="none" w:sz="0" w:space="0" w:color="auto"/>
            <w:bottom w:val="none" w:sz="0" w:space="0" w:color="auto"/>
            <w:right w:val="none" w:sz="0" w:space="0" w:color="auto"/>
          </w:divBdr>
        </w:div>
      </w:divsChild>
    </w:div>
    <w:div w:id="178542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BD5C0-3F81-4234-880F-3733939C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5197</Words>
  <Characters>29627</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FERRARI Giulia</cp:lastModifiedBy>
  <cp:revision>3</cp:revision>
  <cp:lastPrinted>2021-05-29T11:04:00Z</cp:lastPrinted>
  <dcterms:created xsi:type="dcterms:W3CDTF">2021-05-30T20:23:00Z</dcterms:created>
  <dcterms:modified xsi:type="dcterms:W3CDTF">2021-05-30T20:23:00Z</dcterms:modified>
</cp:coreProperties>
</file>