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2A" w:rsidRPr="0020199A" w:rsidRDefault="0020199A" w:rsidP="00D1202A">
      <w:pPr>
        <w:spacing w:after="0" w:line="360" w:lineRule="auto"/>
        <w:jc w:val="center"/>
        <w:rPr>
          <w:rFonts w:ascii="Garamond" w:hAnsi="Garamond"/>
          <w:b/>
          <w:sz w:val="26"/>
          <w:szCs w:val="26"/>
        </w:rPr>
      </w:pPr>
      <w:bookmarkStart w:id="0" w:name="_GoBack"/>
      <w:r w:rsidRPr="0020199A">
        <w:rPr>
          <w:rFonts w:ascii="Garamond" w:hAnsi="Garamond"/>
          <w:b/>
          <w:sz w:val="26"/>
          <w:szCs w:val="26"/>
        </w:rPr>
        <w:t>Divieto di accesso ai luoghi dove si svolgono le manifestazioni sportive: novità legislat</w:t>
      </w:r>
      <w:r w:rsidR="0001572B">
        <w:rPr>
          <w:rFonts w:ascii="Garamond" w:hAnsi="Garamond"/>
          <w:b/>
          <w:sz w:val="26"/>
          <w:szCs w:val="26"/>
        </w:rPr>
        <w:t>ive e approdi giurisprudenziali</w:t>
      </w:r>
    </w:p>
    <w:bookmarkEnd w:id="0"/>
    <w:p w:rsidR="0020199A" w:rsidRDefault="0020199A" w:rsidP="00D1202A">
      <w:pPr>
        <w:spacing w:after="0" w:line="360" w:lineRule="auto"/>
        <w:jc w:val="center"/>
        <w:rPr>
          <w:rFonts w:ascii="Garamond" w:hAnsi="Garamond"/>
          <w:b/>
          <w:sz w:val="26"/>
          <w:szCs w:val="26"/>
        </w:rPr>
      </w:pPr>
    </w:p>
    <w:p w:rsidR="00A9726A" w:rsidRPr="002B0B38" w:rsidRDefault="00517F16" w:rsidP="00D1202A">
      <w:pPr>
        <w:spacing w:after="0" w:line="360" w:lineRule="auto"/>
        <w:jc w:val="both"/>
        <w:rPr>
          <w:rFonts w:ascii="Garamond" w:hAnsi="Garamond"/>
          <w:b/>
        </w:rPr>
      </w:pPr>
      <w:r>
        <w:rPr>
          <w:rFonts w:ascii="Garamond" w:hAnsi="Garamond"/>
          <w:b/>
        </w:rPr>
        <w:t xml:space="preserve">SOMMARIO: 1. Premessa. 2. </w:t>
      </w:r>
      <w:r w:rsidR="00ED3D84">
        <w:rPr>
          <w:rFonts w:ascii="Garamond" w:hAnsi="Garamond"/>
          <w:b/>
        </w:rPr>
        <w:t>Natura giuridica</w:t>
      </w:r>
      <w:r w:rsidR="000D7B52">
        <w:rPr>
          <w:rFonts w:ascii="Garamond" w:hAnsi="Garamond"/>
          <w:b/>
        </w:rPr>
        <w:t xml:space="preserve"> del D.A.SPO.</w:t>
      </w:r>
      <w:r w:rsidR="00ED3D84">
        <w:rPr>
          <w:rFonts w:ascii="Garamond" w:hAnsi="Garamond"/>
          <w:b/>
        </w:rPr>
        <w:t xml:space="preserve"> e garanzie costituzionali.</w:t>
      </w:r>
      <w:r w:rsidR="00073B59">
        <w:rPr>
          <w:rFonts w:ascii="Garamond" w:hAnsi="Garamond"/>
          <w:b/>
        </w:rPr>
        <w:t xml:space="preserve"> 3. </w:t>
      </w:r>
      <w:r w:rsidR="000D7B52">
        <w:rPr>
          <w:rFonts w:ascii="Garamond" w:hAnsi="Garamond"/>
          <w:b/>
        </w:rPr>
        <w:t>Ambito di applicazione soggettivo del</w:t>
      </w:r>
      <w:r w:rsidR="00EB1C05">
        <w:rPr>
          <w:rFonts w:ascii="Garamond" w:hAnsi="Garamond"/>
          <w:b/>
        </w:rPr>
        <w:t xml:space="preserve"> </w:t>
      </w:r>
      <w:r w:rsidR="00550B7E">
        <w:rPr>
          <w:rFonts w:ascii="Garamond" w:hAnsi="Garamond"/>
          <w:b/>
        </w:rPr>
        <w:t>D.A.SPO.</w:t>
      </w:r>
      <w:r w:rsidR="000D7B52">
        <w:rPr>
          <w:rFonts w:ascii="Garamond" w:hAnsi="Garamond"/>
          <w:b/>
        </w:rPr>
        <w:t xml:space="preserve"> </w:t>
      </w:r>
      <w:r w:rsidR="00B00D06">
        <w:rPr>
          <w:rFonts w:ascii="Garamond" w:hAnsi="Garamond"/>
          <w:b/>
        </w:rPr>
        <w:t>Le novità dei c.d. decreti sicurezza</w:t>
      </w:r>
      <w:r w:rsidR="00153153">
        <w:rPr>
          <w:rFonts w:ascii="Garamond" w:hAnsi="Garamond"/>
          <w:b/>
        </w:rPr>
        <w:t>.</w:t>
      </w:r>
      <w:r w:rsidR="00B00D06">
        <w:rPr>
          <w:rFonts w:ascii="Garamond" w:hAnsi="Garamond"/>
          <w:b/>
        </w:rPr>
        <w:t xml:space="preserve"> 3.1. </w:t>
      </w:r>
      <w:r w:rsidR="00B00D06" w:rsidRPr="0086229B">
        <w:rPr>
          <w:rFonts w:ascii="Garamond" w:hAnsi="Garamond"/>
          <w:b/>
          <w:i/>
        </w:rPr>
        <w:t>Segue</w:t>
      </w:r>
      <w:r w:rsidR="00B00D06">
        <w:rPr>
          <w:rFonts w:ascii="Garamond" w:hAnsi="Garamond"/>
          <w:b/>
        </w:rPr>
        <w:t>: l</w:t>
      </w:r>
      <w:r w:rsidR="00EB1C05">
        <w:rPr>
          <w:rFonts w:ascii="Garamond" w:hAnsi="Garamond"/>
          <w:b/>
        </w:rPr>
        <w:t xml:space="preserve">a </w:t>
      </w:r>
      <w:r w:rsidR="00550B7E">
        <w:rPr>
          <w:rFonts w:ascii="Garamond" w:hAnsi="Garamond"/>
          <w:b/>
        </w:rPr>
        <w:t xml:space="preserve">nozione di “manifestazione sportiva”. </w:t>
      </w:r>
      <w:r w:rsidR="00073B59">
        <w:rPr>
          <w:rFonts w:ascii="Garamond" w:hAnsi="Garamond"/>
          <w:b/>
        </w:rPr>
        <w:t>4</w:t>
      </w:r>
      <w:r w:rsidR="00550B7E">
        <w:rPr>
          <w:rFonts w:ascii="Garamond" w:hAnsi="Garamond"/>
          <w:b/>
        </w:rPr>
        <w:t xml:space="preserve">. </w:t>
      </w:r>
      <w:r w:rsidR="000D7B52">
        <w:rPr>
          <w:rFonts w:ascii="Garamond" w:hAnsi="Garamond"/>
          <w:b/>
        </w:rPr>
        <w:t>Conclusioni.</w:t>
      </w:r>
    </w:p>
    <w:p w:rsidR="00D1202A" w:rsidRDefault="00D1202A" w:rsidP="00D1202A">
      <w:pPr>
        <w:spacing w:after="0" w:line="360" w:lineRule="auto"/>
        <w:jc w:val="both"/>
        <w:rPr>
          <w:rFonts w:ascii="Garamond" w:hAnsi="Garamond"/>
        </w:rPr>
      </w:pPr>
    </w:p>
    <w:p w:rsidR="00D1202A" w:rsidRDefault="00D1202A" w:rsidP="00D1202A">
      <w:pPr>
        <w:pStyle w:val="Paragrafoelenco"/>
        <w:numPr>
          <w:ilvl w:val="0"/>
          <w:numId w:val="2"/>
        </w:numPr>
        <w:spacing w:after="0" w:line="360" w:lineRule="auto"/>
        <w:jc w:val="both"/>
        <w:rPr>
          <w:rFonts w:ascii="Garamond" w:hAnsi="Garamond"/>
          <w:b/>
          <w:sz w:val="26"/>
          <w:szCs w:val="26"/>
        </w:rPr>
      </w:pPr>
      <w:r w:rsidRPr="00D1202A">
        <w:rPr>
          <w:rFonts w:ascii="Garamond" w:hAnsi="Garamond"/>
          <w:b/>
          <w:sz w:val="26"/>
          <w:szCs w:val="26"/>
        </w:rPr>
        <w:t>Premessa.</w:t>
      </w:r>
    </w:p>
    <w:p w:rsidR="00D1202A" w:rsidRDefault="00F823D7" w:rsidP="00F823D7">
      <w:pPr>
        <w:spacing w:after="0" w:line="360" w:lineRule="auto"/>
        <w:ind w:firstLine="709"/>
        <w:jc w:val="both"/>
        <w:rPr>
          <w:rFonts w:ascii="Garamond" w:hAnsi="Garamond"/>
          <w:sz w:val="26"/>
          <w:szCs w:val="26"/>
        </w:rPr>
      </w:pPr>
      <w:r>
        <w:rPr>
          <w:rFonts w:ascii="Garamond" w:hAnsi="Garamond"/>
          <w:sz w:val="26"/>
          <w:szCs w:val="26"/>
        </w:rPr>
        <w:t>Le funzioni e i compiti amministrativi relativi all’ordine pubblico e alla sicurezza pubblica concernono – come specificato dall’art. 159, comma 2, del d.lgs. n. 112 del 1998 – «</w:t>
      </w:r>
      <w:r w:rsidRPr="00F823D7">
        <w:rPr>
          <w:rFonts w:ascii="Garamond" w:hAnsi="Garamond"/>
          <w:i/>
          <w:sz w:val="26"/>
          <w:szCs w:val="26"/>
        </w:rPr>
        <w:t>le misure preventive e repressive dirette al mantenimento dell’ordine pubblico, inteso come il complesso dei beni giuridici fondamentali e degli interessi pubblici primari sui quali si regge l’ordinata e civile convivenza nella comunità nazionale, nonché alla sicurezza delle istituzioni, dei cittadini e dei loro beni</w:t>
      </w:r>
      <w:r>
        <w:rPr>
          <w:rFonts w:ascii="Garamond" w:hAnsi="Garamond"/>
          <w:sz w:val="26"/>
          <w:szCs w:val="26"/>
        </w:rPr>
        <w:t>»</w:t>
      </w:r>
      <w:r>
        <w:rPr>
          <w:rStyle w:val="Rimandonotaapidipagina"/>
          <w:rFonts w:ascii="Garamond" w:hAnsi="Garamond"/>
          <w:sz w:val="26"/>
          <w:szCs w:val="26"/>
        </w:rPr>
        <w:footnoteReference w:id="1"/>
      </w:r>
      <w:r>
        <w:rPr>
          <w:rFonts w:ascii="Garamond" w:hAnsi="Garamond"/>
          <w:sz w:val="26"/>
          <w:szCs w:val="26"/>
        </w:rPr>
        <w:t xml:space="preserve">.  </w:t>
      </w:r>
    </w:p>
    <w:p w:rsidR="00550B7E" w:rsidRDefault="00190FB0" w:rsidP="00F823D7">
      <w:pPr>
        <w:spacing w:after="0" w:line="360" w:lineRule="auto"/>
        <w:ind w:firstLine="709"/>
        <w:jc w:val="both"/>
        <w:rPr>
          <w:rFonts w:ascii="Garamond" w:hAnsi="Garamond"/>
          <w:sz w:val="26"/>
          <w:szCs w:val="26"/>
        </w:rPr>
      </w:pPr>
      <w:r>
        <w:rPr>
          <w:rFonts w:ascii="Garamond" w:hAnsi="Garamond"/>
          <w:sz w:val="26"/>
          <w:szCs w:val="26"/>
        </w:rPr>
        <w:t>Tra i poteri amministrativi finalizzati alla tutela dell’ordine pubblico rientra il divieto di accesso ai luoghi dove si svolgono le manifestazioni sportive, c.d. D.A.SPO., di cui all’art. 6 della l. n. 401 del 1989</w:t>
      </w:r>
      <w:r w:rsidR="00FF3B40">
        <w:rPr>
          <w:rFonts w:ascii="Garamond" w:hAnsi="Garamond"/>
          <w:sz w:val="26"/>
          <w:szCs w:val="26"/>
        </w:rPr>
        <w:t xml:space="preserve">, </w:t>
      </w:r>
      <w:r w:rsidR="001F2B94">
        <w:rPr>
          <w:rFonts w:ascii="Garamond" w:hAnsi="Garamond"/>
          <w:sz w:val="26"/>
          <w:szCs w:val="26"/>
        </w:rPr>
        <w:t xml:space="preserve">di competenza del Questore e </w:t>
      </w:r>
      <w:r w:rsidR="00317A14">
        <w:rPr>
          <w:rFonts w:ascii="Garamond" w:hAnsi="Garamond"/>
          <w:sz w:val="26"/>
          <w:szCs w:val="26"/>
        </w:rPr>
        <w:t xml:space="preserve">nato </w:t>
      </w:r>
      <w:r w:rsidR="00F14339">
        <w:rPr>
          <w:rFonts w:ascii="Garamond" w:hAnsi="Garamond"/>
          <w:sz w:val="26"/>
          <w:szCs w:val="26"/>
        </w:rPr>
        <w:t>a</w:t>
      </w:r>
      <w:r w:rsidR="00317A14">
        <w:rPr>
          <w:rFonts w:ascii="Garamond" w:hAnsi="Garamond"/>
          <w:sz w:val="26"/>
          <w:szCs w:val="26"/>
        </w:rPr>
        <w:t>l fine</w:t>
      </w:r>
      <w:r w:rsidR="00550B7E">
        <w:rPr>
          <w:rFonts w:ascii="Garamond" w:hAnsi="Garamond"/>
          <w:sz w:val="26"/>
          <w:szCs w:val="26"/>
        </w:rPr>
        <w:t xml:space="preserve"> di contrastare forme di violenza manifestat</w:t>
      </w:r>
      <w:r w:rsidR="00F14339">
        <w:rPr>
          <w:rFonts w:ascii="Garamond" w:hAnsi="Garamond"/>
          <w:sz w:val="26"/>
          <w:szCs w:val="26"/>
        </w:rPr>
        <w:t>e</w:t>
      </w:r>
      <w:r w:rsidR="00550B7E">
        <w:rPr>
          <w:rFonts w:ascii="Garamond" w:hAnsi="Garamond"/>
          <w:sz w:val="26"/>
          <w:szCs w:val="26"/>
        </w:rPr>
        <w:t xml:space="preserve">si in ambito sportivo. </w:t>
      </w:r>
    </w:p>
    <w:p w:rsidR="00FF3B40" w:rsidRDefault="00E6096F" w:rsidP="00FF3B40">
      <w:pPr>
        <w:spacing w:after="0" w:line="360" w:lineRule="auto"/>
        <w:ind w:firstLine="709"/>
        <w:jc w:val="both"/>
        <w:rPr>
          <w:rFonts w:ascii="Garamond" w:hAnsi="Garamond"/>
          <w:sz w:val="26"/>
          <w:szCs w:val="26"/>
        </w:rPr>
      </w:pPr>
      <w:r>
        <w:rPr>
          <w:rFonts w:ascii="Garamond" w:hAnsi="Garamond"/>
          <w:sz w:val="26"/>
          <w:szCs w:val="26"/>
        </w:rPr>
        <w:t>Tale misura</w:t>
      </w:r>
      <w:r w:rsidR="00EF454C">
        <w:rPr>
          <w:rFonts w:ascii="Garamond" w:hAnsi="Garamond"/>
          <w:sz w:val="26"/>
          <w:szCs w:val="26"/>
        </w:rPr>
        <w:t>, inizialmente deputata a garantire il pacifico e ordinato svolgimento delle competizioni sportive,</w:t>
      </w:r>
      <w:r>
        <w:rPr>
          <w:rFonts w:ascii="Garamond" w:hAnsi="Garamond"/>
          <w:sz w:val="26"/>
          <w:szCs w:val="26"/>
        </w:rPr>
        <w:t xml:space="preserve"> </w:t>
      </w:r>
      <w:r w:rsidR="00C60615">
        <w:rPr>
          <w:rFonts w:ascii="Garamond" w:hAnsi="Garamond"/>
          <w:sz w:val="26"/>
          <w:szCs w:val="26"/>
        </w:rPr>
        <w:t>ha</w:t>
      </w:r>
      <w:r w:rsidR="00F14339">
        <w:rPr>
          <w:rFonts w:ascii="Garamond" w:hAnsi="Garamond"/>
          <w:sz w:val="26"/>
          <w:szCs w:val="26"/>
        </w:rPr>
        <w:t>,</w:t>
      </w:r>
      <w:r>
        <w:rPr>
          <w:rFonts w:ascii="Garamond" w:hAnsi="Garamond"/>
          <w:sz w:val="26"/>
          <w:szCs w:val="26"/>
        </w:rPr>
        <w:t xml:space="preserve"> con il tempo</w:t>
      </w:r>
      <w:r w:rsidR="00F14339">
        <w:rPr>
          <w:rFonts w:ascii="Garamond" w:hAnsi="Garamond"/>
          <w:sz w:val="26"/>
          <w:szCs w:val="26"/>
        </w:rPr>
        <w:t>,</w:t>
      </w:r>
      <w:r w:rsidR="00C60615">
        <w:rPr>
          <w:rFonts w:ascii="Garamond" w:hAnsi="Garamond"/>
          <w:sz w:val="26"/>
          <w:szCs w:val="26"/>
        </w:rPr>
        <w:t xml:space="preserve"> ampliato il </w:t>
      </w:r>
      <w:r>
        <w:rPr>
          <w:rFonts w:ascii="Garamond" w:hAnsi="Garamond"/>
          <w:sz w:val="26"/>
          <w:szCs w:val="26"/>
        </w:rPr>
        <w:t xml:space="preserve">proprio </w:t>
      </w:r>
      <w:r w:rsidR="00C60615">
        <w:rPr>
          <w:rFonts w:ascii="Garamond" w:hAnsi="Garamond"/>
          <w:sz w:val="26"/>
          <w:szCs w:val="26"/>
        </w:rPr>
        <w:t xml:space="preserve">raggio d’azione, divenendo </w:t>
      </w:r>
      <w:r w:rsidR="00A33585">
        <w:rPr>
          <w:rFonts w:ascii="Garamond" w:hAnsi="Garamond"/>
          <w:sz w:val="26"/>
          <w:szCs w:val="26"/>
        </w:rPr>
        <w:t xml:space="preserve">uno </w:t>
      </w:r>
      <w:r>
        <w:rPr>
          <w:rFonts w:ascii="Garamond" w:hAnsi="Garamond"/>
          <w:sz w:val="26"/>
          <w:szCs w:val="26"/>
        </w:rPr>
        <w:t xml:space="preserve">strumento volto a tutelare </w:t>
      </w:r>
      <w:r w:rsidR="00F14339">
        <w:rPr>
          <w:rFonts w:ascii="Garamond" w:hAnsi="Garamond"/>
          <w:i/>
          <w:sz w:val="26"/>
          <w:szCs w:val="26"/>
        </w:rPr>
        <w:t>tout court</w:t>
      </w:r>
      <w:r>
        <w:rPr>
          <w:rFonts w:ascii="Garamond" w:hAnsi="Garamond"/>
          <w:sz w:val="26"/>
          <w:szCs w:val="26"/>
        </w:rPr>
        <w:t xml:space="preserve"> l’ordine pubblico e la sicurezza dei cittadini.</w:t>
      </w:r>
    </w:p>
    <w:p w:rsidR="007937DA" w:rsidRDefault="00FF3B40" w:rsidP="00FF3B40">
      <w:pPr>
        <w:spacing w:after="0" w:line="360" w:lineRule="auto"/>
        <w:ind w:firstLine="709"/>
        <w:jc w:val="both"/>
        <w:rPr>
          <w:rFonts w:ascii="Garamond" w:hAnsi="Garamond"/>
          <w:sz w:val="26"/>
          <w:szCs w:val="26"/>
        </w:rPr>
      </w:pPr>
      <w:r>
        <w:rPr>
          <w:rFonts w:ascii="Garamond" w:hAnsi="Garamond"/>
          <w:sz w:val="26"/>
          <w:szCs w:val="26"/>
        </w:rPr>
        <w:t>I</w:t>
      </w:r>
      <w:r w:rsidR="00E6096F">
        <w:rPr>
          <w:rFonts w:ascii="Garamond" w:hAnsi="Garamond"/>
          <w:sz w:val="26"/>
          <w:szCs w:val="26"/>
        </w:rPr>
        <w:t>nvero, c</w:t>
      </w:r>
      <w:r w:rsidR="00550B7E">
        <w:rPr>
          <w:rFonts w:ascii="Garamond" w:hAnsi="Garamond"/>
          <w:sz w:val="26"/>
          <w:szCs w:val="26"/>
        </w:rPr>
        <w:t>on il d.l. n. 14 del 2017, conv. in l. n. 48 del 2017</w:t>
      </w:r>
      <w:r w:rsidR="007F355D">
        <w:rPr>
          <w:rFonts w:ascii="Garamond" w:hAnsi="Garamond"/>
          <w:sz w:val="26"/>
          <w:szCs w:val="26"/>
        </w:rPr>
        <w:t>,</w:t>
      </w:r>
      <w:r w:rsidR="00550B7E">
        <w:rPr>
          <w:rFonts w:ascii="Garamond" w:hAnsi="Garamond"/>
          <w:sz w:val="26"/>
          <w:szCs w:val="26"/>
        </w:rPr>
        <w:t xml:space="preserve"> </w:t>
      </w:r>
      <w:r w:rsidR="007F355D">
        <w:rPr>
          <w:rFonts w:ascii="Garamond" w:hAnsi="Garamond"/>
          <w:sz w:val="26"/>
          <w:szCs w:val="26"/>
        </w:rPr>
        <w:t xml:space="preserve">sono state introdotte, sulla falsariga del divieto di accesso ai luoghi sportivi, misure a tutela della sicurezza </w:t>
      </w:r>
      <w:r w:rsidR="003C5691">
        <w:rPr>
          <w:rFonts w:ascii="Garamond" w:hAnsi="Garamond"/>
          <w:sz w:val="26"/>
          <w:szCs w:val="26"/>
        </w:rPr>
        <w:t xml:space="preserve">delle città </w:t>
      </w:r>
      <w:r w:rsidR="007F355D">
        <w:rPr>
          <w:rFonts w:ascii="Garamond" w:hAnsi="Garamond"/>
          <w:sz w:val="26"/>
          <w:szCs w:val="26"/>
        </w:rPr>
        <w:t>e del decoro urbano. In particolare, con l’art. 9</w:t>
      </w:r>
      <w:r w:rsidR="008F0733">
        <w:rPr>
          <w:rFonts w:ascii="Garamond" w:hAnsi="Garamond"/>
          <w:sz w:val="26"/>
          <w:szCs w:val="26"/>
        </w:rPr>
        <w:t>,</w:t>
      </w:r>
      <w:r w:rsidR="007F355D">
        <w:rPr>
          <w:rFonts w:ascii="Garamond" w:hAnsi="Garamond"/>
          <w:sz w:val="26"/>
          <w:szCs w:val="26"/>
        </w:rPr>
        <w:t xml:space="preserve"> è stato </w:t>
      </w:r>
      <w:r w:rsidR="00317A14">
        <w:rPr>
          <w:rFonts w:ascii="Garamond" w:hAnsi="Garamond"/>
          <w:sz w:val="26"/>
          <w:szCs w:val="26"/>
        </w:rPr>
        <w:t>istituito</w:t>
      </w:r>
      <w:r w:rsidR="007F355D">
        <w:rPr>
          <w:rFonts w:ascii="Garamond" w:hAnsi="Garamond"/>
          <w:sz w:val="26"/>
          <w:szCs w:val="26"/>
        </w:rPr>
        <w:t xml:space="preserve"> il c.d. D.A.SPO. urbano</w:t>
      </w:r>
      <w:r w:rsidR="003C5691">
        <w:rPr>
          <w:rFonts w:ascii="Garamond" w:hAnsi="Garamond"/>
          <w:sz w:val="26"/>
          <w:szCs w:val="26"/>
        </w:rPr>
        <w:t xml:space="preserve">, avente il fine di prevenire </w:t>
      </w:r>
      <w:r w:rsidR="00717D9C">
        <w:rPr>
          <w:rFonts w:ascii="Garamond" w:hAnsi="Garamond"/>
          <w:sz w:val="26"/>
          <w:szCs w:val="26"/>
        </w:rPr>
        <w:t>condotte che impedisca</w:t>
      </w:r>
      <w:r w:rsidR="003C5691" w:rsidRPr="003C5691">
        <w:rPr>
          <w:rFonts w:ascii="Garamond" w:hAnsi="Garamond"/>
          <w:sz w:val="26"/>
          <w:szCs w:val="26"/>
        </w:rPr>
        <w:t>no</w:t>
      </w:r>
      <w:r w:rsidR="003C5691">
        <w:rPr>
          <w:rFonts w:ascii="Garamond" w:hAnsi="Garamond"/>
          <w:sz w:val="26"/>
          <w:szCs w:val="26"/>
        </w:rPr>
        <w:t xml:space="preserve"> l’accessibilità e la fruizione di determinate aree urbane</w:t>
      </w:r>
      <w:r w:rsidR="007F355D">
        <w:rPr>
          <w:rFonts w:ascii="Garamond" w:hAnsi="Garamond"/>
          <w:sz w:val="26"/>
          <w:szCs w:val="26"/>
        </w:rPr>
        <w:t xml:space="preserve"> e, con l’art. 13</w:t>
      </w:r>
      <w:r w:rsidR="00E00B11">
        <w:rPr>
          <w:rFonts w:ascii="Garamond" w:hAnsi="Garamond"/>
          <w:sz w:val="26"/>
          <w:szCs w:val="26"/>
        </w:rPr>
        <w:t xml:space="preserve">, al fine di contrastare lo spaccio di sostanze stupefacenti, </w:t>
      </w:r>
      <w:r w:rsidR="003C5691">
        <w:rPr>
          <w:rFonts w:ascii="Garamond" w:hAnsi="Garamond"/>
          <w:sz w:val="26"/>
          <w:szCs w:val="26"/>
        </w:rPr>
        <w:t>è stata prevista la possibilità di vietare l’accesso</w:t>
      </w:r>
      <w:r w:rsidR="00E00B11">
        <w:rPr>
          <w:rFonts w:ascii="Garamond" w:hAnsi="Garamond"/>
          <w:sz w:val="26"/>
          <w:szCs w:val="26"/>
        </w:rPr>
        <w:t xml:space="preserve"> all’interno o in prossimità</w:t>
      </w:r>
      <w:r w:rsidR="00E00B11" w:rsidRPr="00E00B11">
        <w:rPr>
          <w:rFonts w:ascii="Garamond" w:hAnsi="Garamond"/>
          <w:sz w:val="26"/>
          <w:szCs w:val="26"/>
        </w:rPr>
        <w:t xml:space="preserve"> di locali</w:t>
      </w:r>
      <w:r w:rsidR="00E00B11">
        <w:rPr>
          <w:rFonts w:ascii="Garamond" w:hAnsi="Garamond"/>
          <w:sz w:val="26"/>
          <w:szCs w:val="26"/>
        </w:rPr>
        <w:t xml:space="preserve"> pubblici o aperti al pubblico </w:t>
      </w:r>
      <w:r w:rsidR="00E00B11" w:rsidRPr="00E00B11">
        <w:rPr>
          <w:rFonts w:ascii="Garamond" w:hAnsi="Garamond"/>
          <w:sz w:val="26"/>
          <w:szCs w:val="26"/>
        </w:rPr>
        <w:t xml:space="preserve">e di pubblici esercizi </w:t>
      </w:r>
      <w:r w:rsidR="00E00B11">
        <w:rPr>
          <w:rFonts w:ascii="Garamond" w:hAnsi="Garamond"/>
          <w:sz w:val="26"/>
          <w:szCs w:val="26"/>
        </w:rPr>
        <w:t>(c.d. D.A.L.P.)</w:t>
      </w:r>
      <w:r w:rsidR="003C5691">
        <w:rPr>
          <w:rFonts w:ascii="Garamond" w:hAnsi="Garamond"/>
          <w:sz w:val="26"/>
          <w:szCs w:val="26"/>
        </w:rPr>
        <w:t>.</w:t>
      </w:r>
    </w:p>
    <w:p w:rsidR="00260553" w:rsidRDefault="00E00B11" w:rsidP="00EE6197">
      <w:pPr>
        <w:spacing w:after="0" w:line="360" w:lineRule="auto"/>
        <w:ind w:firstLine="709"/>
        <w:jc w:val="both"/>
        <w:rPr>
          <w:rFonts w:ascii="Garamond" w:hAnsi="Garamond"/>
          <w:sz w:val="26"/>
          <w:szCs w:val="26"/>
        </w:rPr>
      </w:pPr>
      <w:r>
        <w:rPr>
          <w:rFonts w:ascii="Garamond" w:hAnsi="Garamond"/>
          <w:sz w:val="26"/>
          <w:szCs w:val="26"/>
        </w:rPr>
        <w:lastRenderedPageBreak/>
        <w:t>Nell’ottica di prevenire la commissione di reati connotati da profili di rilevante allarme sociale,</w:t>
      </w:r>
      <w:r w:rsidR="00913B9D">
        <w:rPr>
          <w:rFonts w:ascii="Garamond" w:hAnsi="Garamond"/>
          <w:sz w:val="26"/>
          <w:szCs w:val="26"/>
        </w:rPr>
        <w:t xml:space="preserve"> tra cui</w:t>
      </w:r>
      <w:r w:rsidR="002C33CE">
        <w:rPr>
          <w:rFonts w:ascii="Garamond" w:hAnsi="Garamond"/>
          <w:sz w:val="26"/>
          <w:szCs w:val="26"/>
        </w:rPr>
        <w:t xml:space="preserve"> i potenziali attacchi terroristici</w:t>
      </w:r>
      <w:r w:rsidR="00F305AC">
        <w:rPr>
          <w:rStyle w:val="Rimandonotaapidipagina"/>
          <w:rFonts w:ascii="Garamond" w:hAnsi="Garamond"/>
          <w:sz w:val="26"/>
          <w:szCs w:val="26"/>
        </w:rPr>
        <w:footnoteReference w:id="2"/>
      </w:r>
      <w:r w:rsidR="00F305AC">
        <w:rPr>
          <w:rFonts w:ascii="Garamond" w:hAnsi="Garamond"/>
          <w:sz w:val="26"/>
          <w:szCs w:val="26"/>
        </w:rPr>
        <w:t>,</w:t>
      </w:r>
      <w:r>
        <w:rPr>
          <w:rFonts w:ascii="Garamond" w:hAnsi="Garamond"/>
          <w:sz w:val="26"/>
          <w:szCs w:val="26"/>
        </w:rPr>
        <w:t xml:space="preserve"> i</w:t>
      </w:r>
      <w:r w:rsidR="00260553">
        <w:rPr>
          <w:rFonts w:ascii="Garamond" w:hAnsi="Garamond"/>
          <w:sz w:val="26"/>
          <w:szCs w:val="26"/>
        </w:rPr>
        <w:t xml:space="preserve"> c.d. decreti sicurezza (d.l. n. 113 del 4 ottobre 2018, conv. in l. n. 132 del 2018, c.d. decreto sicurezza e d.l. n. 53 del 13 giugno 2019, conv. il l. n. 77 del 2019, c.d. decreto sicurezza </w:t>
      </w:r>
      <w:r w:rsidR="00260553">
        <w:rPr>
          <w:rFonts w:ascii="Garamond" w:hAnsi="Garamond"/>
          <w:i/>
          <w:sz w:val="26"/>
          <w:szCs w:val="26"/>
        </w:rPr>
        <w:t>bis</w:t>
      </w:r>
      <w:r w:rsidR="00260553">
        <w:rPr>
          <w:rFonts w:ascii="Garamond" w:hAnsi="Garamond"/>
          <w:sz w:val="26"/>
          <w:szCs w:val="26"/>
        </w:rPr>
        <w:t xml:space="preserve">) sono intervenuti su tale disciplina </w:t>
      </w:r>
      <w:r w:rsidR="009069B3">
        <w:rPr>
          <w:rFonts w:ascii="Garamond" w:hAnsi="Garamond"/>
          <w:sz w:val="26"/>
          <w:szCs w:val="26"/>
        </w:rPr>
        <w:t>incrementa</w:t>
      </w:r>
      <w:r w:rsidR="002C33CE">
        <w:rPr>
          <w:rFonts w:ascii="Garamond" w:hAnsi="Garamond"/>
          <w:sz w:val="26"/>
          <w:szCs w:val="26"/>
        </w:rPr>
        <w:t>ndo la platea dei destinatari del D.A.SPO. e inserendo i presidi sanitari</w:t>
      </w:r>
      <w:r w:rsidR="00E6096F">
        <w:rPr>
          <w:rStyle w:val="Rimandonotaapidipagina"/>
          <w:rFonts w:ascii="Garamond" w:hAnsi="Garamond"/>
          <w:sz w:val="26"/>
          <w:szCs w:val="26"/>
        </w:rPr>
        <w:footnoteReference w:id="3"/>
      </w:r>
      <w:r w:rsidR="002C33CE">
        <w:rPr>
          <w:rFonts w:ascii="Garamond" w:hAnsi="Garamond"/>
          <w:sz w:val="26"/>
          <w:szCs w:val="26"/>
        </w:rPr>
        <w:t xml:space="preserve"> e le aree destinate allo svolgimento di fiere, mercati e pubblici spettacoli nell’elenco dei luoghi che possono essere individuati dai regolamenti di polizia urbana ai fini dell’applicazione della misura del D.A.SPO. urbano. </w:t>
      </w:r>
      <w:r w:rsidR="00260553">
        <w:rPr>
          <w:rFonts w:ascii="Garamond" w:hAnsi="Garamond"/>
          <w:sz w:val="26"/>
          <w:szCs w:val="26"/>
        </w:rPr>
        <w:t>Di particolare interesse risulta</w:t>
      </w:r>
      <w:r w:rsidR="002C33CE">
        <w:rPr>
          <w:rFonts w:ascii="Garamond" w:hAnsi="Garamond"/>
          <w:sz w:val="26"/>
          <w:szCs w:val="26"/>
        </w:rPr>
        <w:t>, inoltre,</w:t>
      </w:r>
      <w:r w:rsidR="00260553">
        <w:rPr>
          <w:rFonts w:ascii="Garamond" w:hAnsi="Garamond"/>
          <w:sz w:val="26"/>
          <w:szCs w:val="26"/>
        </w:rPr>
        <w:t xml:space="preserve"> l’introduzione</w:t>
      </w:r>
      <w:r w:rsidR="00EE6197">
        <w:rPr>
          <w:rFonts w:ascii="Garamond" w:hAnsi="Garamond"/>
          <w:sz w:val="26"/>
          <w:szCs w:val="26"/>
        </w:rPr>
        <w:t xml:space="preserve"> </w:t>
      </w:r>
      <w:r w:rsidR="00260553">
        <w:rPr>
          <w:rFonts w:ascii="Garamond" w:hAnsi="Garamond"/>
          <w:sz w:val="26"/>
          <w:szCs w:val="26"/>
        </w:rPr>
        <w:t>dell’art. 13-</w:t>
      </w:r>
      <w:r w:rsidR="00260553">
        <w:rPr>
          <w:rFonts w:ascii="Garamond" w:hAnsi="Garamond"/>
          <w:i/>
          <w:sz w:val="26"/>
          <w:szCs w:val="26"/>
        </w:rPr>
        <w:t xml:space="preserve">bis </w:t>
      </w:r>
      <w:r w:rsidR="00913B9D">
        <w:rPr>
          <w:rFonts w:ascii="Garamond" w:hAnsi="Garamond"/>
          <w:sz w:val="26"/>
          <w:szCs w:val="26"/>
        </w:rPr>
        <w:t>nel testo del</w:t>
      </w:r>
      <w:r w:rsidR="005914AF">
        <w:rPr>
          <w:rFonts w:ascii="Garamond" w:hAnsi="Garamond"/>
          <w:sz w:val="26"/>
          <w:szCs w:val="26"/>
        </w:rPr>
        <w:t xml:space="preserve"> d.l. n. </w:t>
      </w:r>
      <w:r w:rsidR="00557CBD">
        <w:rPr>
          <w:rFonts w:ascii="Garamond" w:hAnsi="Garamond"/>
          <w:sz w:val="26"/>
          <w:szCs w:val="26"/>
        </w:rPr>
        <w:t>14 del 2017</w:t>
      </w:r>
      <w:r w:rsidR="00EE6197">
        <w:rPr>
          <w:rStyle w:val="Rimandonotaapidipagina"/>
          <w:rFonts w:ascii="Garamond" w:hAnsi="Garamond"/>
          <w:sz w:val="26"/>
          <w:szCs w:val="26"/>
        </w:rPr>
        <w:footnoteReference w:id="4"/>
      </w:r>
      <w:r w:rsidR="00557CBD">
        <w:rPr>
          <w:rFonts w:ascii="Garamond" w:hAnsi="Garamond"/>
          <w:sz w:val="26"/>
          <w:szCs w:val="26"/>
        </w:rPr>
        <w:t xml:space="preserve">, </w:t>
      </w:r>
      <w:r w:rsidR="00260553">
        <w:rPr>
          <w:rFonts w:ascii="Garamond" w:hAnsi="Garamond"/>
          <w:sz w:val="26"/>
          <w:szCs w:val="26"/>
        </w:rPr>
        <w:t xml:space="preserve">con il quale sono stati </w:t>
      </w:r>
      <w:r w:rsidR="0053268F">
        <w:rPr>
          <w:rFonts w:ascii="Garamond" w:hAnsi="Garamond"/>
          <w:sz w:val="26"/>
          <w:szCs w:val="26"/>
        </w:rPr>
        <w:t>estesi</w:t>
      </w:r>
      <w:r w:rsidR="00260553">
        <w:rPr>
          <w:rFonts w:ascii="Garamond" w:hAnsi="Garamond"/>
          <w:sz w:val="26"/>
          <w:szCs w:val="26"/>
        </w:rPr>
        <w:t xml:space="preserve"> i casi in cui è possibile</w:t>
      </w:r>
      <w:r w:rsidR="00F14339">
        <w:rPr>
          <w:rFonts w:ascii="Garamond" w:hAnsi="Garamond"/>
          <w:sz w:val="26"/>
          <w:szCs w:val="26"/>
        </w:rPr>
        <w:t>,</w:t>
      </w:r>
      <w:r w:rsidR="00260553">
        <w:rPr>
          <w:rFonts w:ascii="Garamond" w:hAnsi="Garamond"/>
          <w:sz w:val="26"/>
          <w:szCs w:val="26"/>
        </w:rPr>
        <w:t xml:space="preserve"> per il Questore</w:t>
      </w:r>
      <w:r w:rsidR="00F14339">
        <w:rPr>
          <w:rFonts w:ascii="Garamond" w:hAnsi="Garamond"/>
          <w:sz w:val="26"/>
          <w:szCs w:val="26"/>
        </w:rPr>
        <w:t>,</w:t>
      </w:r>
      <w:r w:rsidR="00260553">
        <w:rPr>
          <w:rFonts w:ascii="Garamond" w:hAnsi="Garamond"/>
          <w:sz w:val="26"/>
          <w:szCs w:val="26"/>
        </w:rPr>
        <w:t xml:space="preserve"> emettere un provvedimento di </w:t>
      </w:r>
      <w:r w:rsidR="005914AF">
        <w:rPr>
          <w:rFonts w:ascii="Garamond" w:hAnsi="Garamond"/>
          <w:sz w:val="26"/>
          <w:szCs w:val="26"/>
        </w:rPr>
        <w:t>divieto</w:t>
      </w:r>
      <w:r w:rsidR="00260553">
        <w:rPr>
          <w:rFonts w:ascii="Garamond" w:hAnsi="Garamond"/>
          <w:sz w:val="26"/>
          <w:szCs w:val="26"/>
        </w:rPr>
        <w:t xml:space="preserve"> di accesso </w:t>
      </w:r>
      <w:r w:rsidR="00EE6197">
        <w:rPr>
          <w:rFonts w:ascii="Garamond" w:hAnsi="Garamond"/>
          <w:sz w:val="26"/>
          <w:szCs w:val="26"/>
        </w:rPr>
        <w:t xml:space="preserve">a pubblici esercizi o locali di pubblico </w:t>
      </w:r>
      <w:r w:rsidR="00F14339">
        <w:rPr>
          <w:rFonts w:ascii="Garamond" w:hAnsi="Garamond"/>
          <w:sz w:val="26"/>
          <w:szCs w:val="26"/>
        </w:rPr>
        <w:t>in</w:t>
      </w:r>
      <w:r w:rsidR="00EE6197" w:rsidRPr="00EE6197">
        <w:rPr>
          <w:rFonts w:ascii="Garamond" w:hAnsi="Garamond"/>
          <w:sz w:val="26"/>
          <w:szCs w:val="26"/>
        </w:rPr>
        <w:t>trattenimento</w:t>
      </w:r>
      <w:r w:rsidR="00EE6197">
        <w:rPr>
          <w:rFonts w:ascii="Garamond" w:hAnsi="Garamond"/>
          <w:sz w:val="26"/>
          <w:szCs w:val="26"/>
        </w:rPr>
        <w:t>.</w:t>
      </w:r>
    </w:p>
    <w:p w:rsidR="00260553" w:rsidRDefault="005914AF" w:rsidP="00260553">
      <w:pPr>
        <w:spacing w:after="0" w:line="360" w:lineRule="auto"/>
        <w:ind w:firstLine="709"/>
        <w:jc w:val="both"/>
        <w:rPr>
          <w:rFonts w:ascii="Garamond" w:hAnsi="Garamond"/>
          <w:sz w:val="26"/>
          <w:szCs w:val="26"/>
        </w:rPr>
      </w:pPr>
      <w:r>
        <w:rPr>
          <w:rFonts w:ascii="Garamond" w:hAnsi="Garamond"/>
          <w:sz w:val="26"/>
          <w:szCs w:val="26"/>
        </w:rPr>
        <w:t>Da ultimo, il c.d. decreto immigrazione e sicurezza (d.l. n. 130 del 21 ottobre 2020, conv. in l. n. 173 del 2020),</w:t>
      </w:r>
      <w:r w:rsidR="00557CBD">
        <w:rPr>
          <w:rFonts w:ascii="Garamond" w:hAnsi="Garamond"/>
          <w:sz w:val="26"/>
          <w:szCs w:val="26"/>
        </w:rPr>
        <w:t xml:space="preserve"> ha novellato gli artt. 13 e 13-</w:t>
      </w:r>
      <w:r w:rsidR="00557CBD">
        <w:rPr>
          <w:rFonts w:ascii="Garamond" w:hAnsi="Garamond"/>
          <w:i/>
          <w:sz w:val="26"/>
          <w:szCs w:val="26"/>
        </w:rPr>
        <w:t xml:space="preserve">bis </w:t>
      </w:r>
      <w:r w:rsidR="00557CBD">
        <w:rPr>
          <w:rFonts w:ascii="Garamond" w:hAnsi="Garamond"/>
          <w:sz w:val="26"/>
          <w:szCs w:val="26"/>
        </w:rPr>
        <w:t>del d.l. n. 14 del 2017, ampliando ulteriormente i soggetti destin</w:t>
      </w:r>
      <w:r w:rsidR="00717D9C">
        <w:rPr>
          <w:rFonts w:ascii="Garamond" w:hAnsi="Garamond"/>
          <w:sz w:val="26"/>
          <w:szCs w:val="26"/>
        </w:rPr>
        <w:t xml:space="preserve">atari del divieto di accesso </w:t>
      </w:r>
      <w:r w:rsidR="00EE6197">
        <w:rPr>
          <w:rFonts w:ascii="Garamond" w:hAnsi="Garamond"/>
          <w:sz w:val="26"/>
          <w:szCs w:val="26"/>
        </w:rPr>
        <w:t xml:space="preserve">ai locali pubblici </w:t>
      </w:r>
      <w:r w:rsidR="00717D9C">
        <w:rPr>
          <w:rFonts w:ascii="Garamond" w:hAnsi="Garamond"/>
          <w:sz w:val="26"/>
          <w:szCs w:val="26"/>
        </w:rPr>
        <w:t>e inasprendo</w:t>
      </w:r>
      <w:r w:rsidR="00557CBD">
        <w:rPr>
          <w:rFonts w:ascii="Garamond" w:hAnsi="Garamond"/>
          <w:sz w:val="26"/>
          <w:szCs w:val="26"/>
        </w:rPr>
        <w:t xml:space="preserve"> il trattamento sanzionatorio</w:t>
      </w:r>
      <w:r w:rsidR="00E05CA8">
        <w:rPr>
          <w:rStyle w:val="Rimandonotaapidipagina"/>
          <w:rFonts w:ascii="Garamond" w:hAnsi="Garamond"/>
          <w:sz w:val="26"/>
          <w:szCs w:val="26"/>
        </w:rPr>
        <w:footnoteReference w:id="5"/>
      </w:r>
      <w:r w:rsidR="00557CBD">
        <w:rPr>
          <w:rFonts w:ascii="Garamond" w:hAnsi="Garamond"/>
          <w:sz w:val="26"/>
          <w:szCs w:val="26"/>
        </w:rPr>
        <w:t xml:space="preserve">. </w:t>
      </w:r>
    </w:p>
    <w:p w:rsidR="00557CBD" w:rsidRDefault="00F14339" w:rsidP="00260553">
      <w:pPr>
        <w:spacing w:after="0" w:line="360" w:lineRule="auto"/>
        <w:ind w:firstLine="709"/>
        <w:jc w:val="both"/>
        <w:rPr>
          <w:rFonts w:ascii="Garamond" w:hAnsi="Garamond"/>
          <w:sz w:val="26"/>
          <w:szCs w:val="26"/>
        </w:rPr>
      </w:pPr>
      <w:r>
        <w:rPr>
          <w:rFonts w:ascii="Garamond" w:hAnsi="Garamond"/>
          <w:sz w:val="26"/>
          <w:szCs w:val="26"/>
        </w:rPr>
        <w:lastRenderedPageBreak/>
        <w:t>Nelle pagine che seguono</w:t>
      </w:r>
      <w:r w:rsidR="00C376F2">
        <w:rPr>
          <w:rFonts w:ascii="Garamond" w:hAnsi="Garamond"/>
          <w:sz w:val="26"/>
          <w:szCs w:val="26"/>
        </w:rPr>
        <w:t xml:space="preserve">, </w:t>
      </w:r>
      <w:r w:rsidR="00F45444">
        <w:rPr>
          <w:rFonts w:ascii="Garamond" w:hAnsi="Garamond"/>
          <w:sz w:val="26"/>
          <w:szCs w:val="26"/>
        </w:rPr>
        <w:t>si concentrerà l’attenzione sul divieto di accesso ai luoghi dove si svolgono le manifestazioni sportive</w:t>
      </w:r>
      <w:r w:rsidR="00C07BEE">
        <w:rPr>
          <w:rFonts w:ascii="Garamond" w:hAnsi="Garamond"/>
          <w:sz w:val="26"/>
          <w:szCs w:val="26"/>
        </w:rPr>
        <w:t xml:space="preserve">. </w:t>
      </w:r>
      <w:r w:rsidR="005971E2">
        <w:rPr>
          <w:rFonts w:ascii="Garamond" w:hAnsi="Garamond"/>
          <w:sz w:val="26"/>
          <w:szCs w:val="26"/>
        </w:rPr>
        <w:t>Premessa</w:t>
      </w:r>
      <w:r w:rsidR="00C07BEE">
        <w:rPr>
          <w:rFonts w:ascii="Garamond" w:hAnsi="Garamond"/>
          <w:sz w:val="26"/>
          <w:szCs w:val="26"/>
        </w:rPr>
        <w:t xml:space="preserve"> la natura giuridica di tale misura, s</w:t>
      </w:r>
      <w:r w:rsidR="005971E2">
        <w:rPr>
          <w:rFonts w:ascii="Garamond" w:hAnsi="Garamond"/>
          <w:sz w:val="26"/>
          <w:szCs w:val="26"/>
        </w:rPr>
        <w:t>i analizzerà</w:t>
      </w:r>
      <w:r w:rsidR="00C07BEE">
        <w:rPr>
          <w:rFonts w:ascii="Garamond" w:hAnsi="Garamond"/>
          <w:sz w:val="26"/>
          <w:szCs w:val="26"/>
        </w:rPr>
        <w:t xml:space="preserve"> l</w:t>
      </w:r>
      <w:r w:rsidR="005971E2">
        <w:rPr>
          <w:rFonts w:ascii="Garamond" w:hAnsi="Garamond"/>
          <w:sz w:val="26"/>
          <w:szCs w:val="26"/>
        </w:rPr>
        <w:t xml:space="preserve">’attuale ambito di applicazione della </w:t>
      </w:r>
      <w:r w:rsidR="005971E2" w:rsidRPr="005971E2">
        <w:rPr>
          <w:rFonts w:ascii="Garamond" w:hAnsi="Garamond"/>
          <w:sz w:val="26"/>
          <w:szCs w:val="26"/>
        </w:rPr>
        <w:t>disciplina</w:t>
      </w:r>
      <w:r w:rsidR="005971E2">
        <w:rPr>
          <w:rFonts w:ascii="Garamond" w:hAnsi="Garamond"/>
          <w:sz w:val="26"/>
          <w:szCs w:val="26"/>
        </w:rPr>
        <w:t>,</w:t>
      </w:r>
      <w:r w:rsidR="005971E2" w:rsidRPr="005971E2">
        <w:rPr>
          <w:rFonts w:ascii="Garamond" w:hAnsi="Garamond"/>
          <w:sz w:val="26"/>
          <w:szCs w:val="26"/>
        </w:rPr>
        <w:t xml:space="preserve"> </w:t>
      </w:r>
      <w:r w:rsidR="005971E2">
        <w:rPr>
          <w:rFonts w:ascii="Garamond" w:hAnsi="Garamond"/>
          <w:sz w:val="26"/>
          <w:szCs w:val="26"/>
        </w:rPr>
        <w:t>in particolare</w:t>
      </w:r>
      <w:r w:rsidR="005971E2" w:rsidRPr="005971E2">
        <w:rPr>
          <w:rFonts w:ascii="Garamond" w:hAnsi="Garamond"/>
          <w:sz w:val="26"/>
          <w:szCs w:val="26"/>
        </w:rPr>
        <w:t xml:space="preserve"> </w:t>
      </w:r>
      <w:r w:rsidR="00791A7C" w:rsidRPr="005971E2">
        <w:rPr>
          <w:rFonts w:ascii="Garamond" w:hAnsi="Garamond"/>
          <w:sz w:val="26"/>
          <w:szCs w:val="26"/>
        </w:rPr>
        <w:t xml:space="preserve">alla luce </w:t>
      </w:r>
      <w:r w:rsidR="005971E2">
        <w:rPr>
          <w:rFonts w:ascii="Garamond" w:hAnsi="Garamond"/>
          <w:sz w:val="26"/>
          <w:szCs w:val="26"/>
        </w:rPr>
        <w:t xml:space="preserve">delle ultime modifiche legislative e dei recenti approdi giurisprudenziali. </w:t>
      </w:r>
    </w:p>
    <w:p w:rsidR="00C376F2" w:rsidRDefault="00C376F2" w:rsidP="00260553">
      <w:pPr>
        <w:spacing w:after="0" w:line="360" w:lineRule="auto"/>
        <w:ind w:firstLine="709"/>
        <w:jc w:val="both"/>
        <w:rPr>
          <w:rFonts w:ascii="Garamond" w:hAnsi="Garamond"/>
          <w:sz w:val="26"/>
          <w:szCs w:val="26"/>
        </w:rPr>
      </w:pPr>
    </w:p>
    <w:p w:rsidR="00C376F2" w:rsidRPr="00C376F2" w:rsidRDefault="00ED3D84" w:rsidP="00C376F2">
      <w:pPr>
        <w:pStyle w:val="Paragrafoelenco"/>
        <w:numPr>
          <w:ilvl w:val="0"/>
          <w:numId w:val="2"/>
        </w:numPr>
        <w:spacing w:after="0" w:line="360" w:lineRule="auto"/>
        <w:jc w:val="both"/>
        <w:rPr>
          <w:rFonts w:ascii="Garamond" w:hAnsi="Garamond"/>
          <w:b/>
          <w:sz w:val="26"/>
          <w:szCs w:val="26"/>
        </w:rPr>
      </w:pPr>
      <w:r>
        <w:rPr>
          <w:rFonts w:ascii="Garamond" w:hAnsi="Garamond"/>
          <w:b/>
          <w:sz w:val="26"/>
          <w:szCs w:val="26"/>
        </w:rPr>
        <w:t xml:space="preserve">Natura giuridica </w:t>
      </w:r>
      <w:r w:rsidR="000E2C3A">
        <w:rPr>
          <w:rFonts w:ascii="Garamond" w:hAnsi="Garamond"/>
          <w:b/>
          <w:sz w:val="26"/>
          <w:szCs w:val="26"/>
        </w:rPr>
        <w:t xml:space="preserve">del D.A.SPO. </w:t>
      </w:r>
      <w:r>
        <w:rPr>
          <w:rFonts w:ascii="Garamond" w:hAnsi="Garamond"/>
          <w:b/>
          <w:sz w:val="26"/>
          <w:szCs w:val="26"/>
        </w:rPr>
        <w:t>e garanzie costituzionali.</w:t>
      </w:r>
    </w:p>
    <w:p w:rsidR="00317A14" w:rsidRDefault="00317A14"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Una questione particolarmente dibattuta, sia in giurisprudenza che in dottrina, att</w:t>
      </w:r>
      <w:r w:rsidR="00F45444">
        <w:rPr>
          <w:rFonts w:ascii="Garamond" w:hAnsi="Garamond"/>
          <w:sz w:val="26"/>
          <w:szCs w:val="26"/>
        </w:rPr>
        <w:t>iene alla natura giuridica del D.A.SPO.</w:t>
      </w:r>
      <w:r>
        <w:rPr>
          <w:rFonts w:ascii="Garamond" w:hAnsi="Garamond"/>
          <w:sz w:val="26"/>
          <w:szCs w:val="26"/>
        </w:rPr>
        <w:t xml:space="preserve">, stante l’assenza di una qualificazione espressa da parte del legislatore.  </w:t>
      </w:r>
    </w:p>
    <w:p w:rsidR="00073B59" w:rsidRDefault="00D84823"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Tale vuoto normativo è stato colmato</w:t>
      </w:r>
      <w:r w:rsidR="0053268F">
        <w:rPr>
          <w:rFonts w:ascii="Garamond" w:hAnsi="Garamond"/>
          <w:sz w:val="26"/>
          <w:szCs w:val="26"/>
        </w:rPr>
        <w:t>, in particolar</w:t>
      </w:r>
      <w:r w:rsidR="006F3E8F">
        <w:rPr>
          <w:rFonts w:ascii="Garamond" w:hAnsi="Garamond"/>
          <w:sz w:val="26"/>
          <w:szCs w:val="26"/>
        </w:rPr>
        <w:t xml:space="preserve"> modo</w:t>
      </w:r>
      <w:r w:rsidR="0053268F">
        <w:rPr>
          <w:rFonts w:ascii="Garamond" w:hAnsi="Garamond"/>
          <w:sz w:val="26"/>
          <w:szCs w:val="26"/>
        </w:rPr>
        <w:t>,</w:t>
      </w:r>
      <w:r>
        <w:rPr>
          <w:rFonts w:ascii="Garamond" w:hAnsi="Garamond"/>
          <w:sz w:val="26"/>
          <w:szCs w:val="26"/>
        </w:rPr>
        <w:t xml:space="preserve"> dalla giurisprudenza</w:t>
      </w:r>
      <w:r w:rsidR="00073B59">
        <w:rPr>
          <w:rFonts w:ascii="Garamond" w:hAnsi="Garamond"/>
          <w:sz w:val="26"/>
          <w:szCs w:val="26"/>
        </w:rPr>
        <w:t>,</w:t>
      </w:r>
      <w:r>
        <w:rPr>
          <w:rFonts w:ascii="Garamond" w:hAnsi="Garamond"/>
          <w:sz w:val="26"/>
          <w:szCs w:val="26"/>
        </w:rPr>
        <w:t xml:space="preserve"> la quale è </w:t>
      </w:r>
      <w:r w:rsidR="00317A14">
        <w:rPr>
          <w:rFonts w:ascii="Garamond" w:hAnsi="Garamond"/>
          <w:sz w:val="26"/>
          <w:szCs w:val="26"/>
        </w:rPr>
        <w:t xml:space="preserve">oggi </w:t>
      </w:r>
      <w:r>
        <w:rPr>
          <w:rFonts w:ascii="Garamond" w:hAnsi="Garamond"/>
          <w:sz w:val="26"/>
          <w:szCs w:val="26"/>
        </w:rPr>
        <w:t>co</w:t>
      </w:r>
      <w:r w:rsidR="00F14339">
        <w:rPr>
          <w:rFonts w:ascii="Garamond" w:hAnsi="Garamond"/>
          <w:sz w:val="26"/>
          <w:szCs w:val="26"/>
        </w:rPr>
        <w:t>ncorde</w:t>
      </w:r>
      <w:r>
        <w:rPr>
          <w:rFonts w:ascii="Garamond" w:hAnsi="Garamond"/>
          <w:sz w:val="26"/>
          <w:szCs w:val="26"/>
        </w:rPr>
        <w:t xml:space="preserve"> nell’</w:t>
      </w:r>
      <w:r w:rsidR="00F45444">
        <w:rPr>
          <w:rFonts w:ascii="Garamond" w:hAnsi="Garamond"/>
          <w:sz w:val="26"/>
          <w:szCs w:val="26"/>
        </w:rPr>
        <w:t xml:space="preserve">affermare che trattasi di </w:t>
      </w:r>
      <w:r w:rsidR="00F14339">
        <w:rPr>
          <w:rFonts w:ascii="Garamond" w:hAnsi="Garamond"/>
          <w:sz w:val="26"/>
          <w:szCs w:val="26"/>
        </w:rPr>
        <w:t xml:space="preserve">una </w:t>
      </w:r>
      <w:r w:rsidR="00F45444">
        <w:rPr>
          <w:rFonts w:ascii="Garamond" w:hAnsi="Garamond"/>
          <w:sz w:val="26"/>
          <w:szCs w:val="26"/>
        </w:rPr>
        <w:t>misura amministrativa</w:t>
      </w:r>
      <w:r>
        <w:rPr>
          <w:rFonts w:ascii="Garamond" w:hAnsi="Garamond"/>
          <w:sz w:val="26"/>
          <w:szCs w:val="26"/>
        </w:rPr>
        <w:t xml:space="preserve"> di tipo preventivo</w:t>
      </w:r>
      <w:r w:rsidR="00E82E5C">
        <w:rPr>
          <w:rFonts w:ascii="Garamond" w:hAnsi="Garamond"/>
          <w:sz w:val="26"/>
          <w:szCs w:val="26"/>
        </w:rPr>
        <w:t xml:space="preserve"> e non sanzionatorio</w:t>
      </w:r>
      <w:r w:rsidR="007F3B48">
        <w:rPr>
          <w:rStyle w:val="Rimandonotaapidipagina"/>
          <w:rFonts w:ascii="Garamond" w:hAnsi="Garamond"/>
          <w:sz w:val="26"/>
          <w:szCs w:val="26"/>
        </w:rPr>
        <w:footnoteReference w:id="6"/>
      </w:r>
      <w:r>
        <w:rPr>
          <w:rFonts w:ascii="Garamond" w:hAnsi="Garamond"/>
          <w:sz w:val="26"/>
          <w:szCs w:val="26"/>
        </w:rPr>
        <w:t xml:space="preserve">, la cui applicazione prescinde dall’accertamento della responsabilità penale dell’interessato. </w:t>
      </w:r>
    </w:p>
    <w:p w:rsidR="00F45444" w:rsidRDefault="00F45444"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In ogni Stato di diritto, le misure di prevenzione hanno sollevato</w:t>
      </w:r>
      <w:r w:rsidR="00F14339">
        <w:rPr>
          <w:rFonts w:ascii="Garamond" w:hAnsi="Garamond"/>
          <w:sz w:val="26"/>
          <w:szCs w:val="26"/>
        </w:rPr>
        <w:t>,</w:t>
      </w:r>
      <w:r w:rsidR="005767B1">
        <w:rPr>
          <w:rFonts w:ascii="Garamond" w:hAnsi="Garamond"/>
          <w:sz w:val="26"/>
          <w:szCs w:val="26"/>
        </w:rPr>
        <w:t xml:space="preserve"> da sempre</w:t>
      </w:r>
      <w:r w:rsidR="00F14339">
        <w:rPr>
          <w:rFonts w:ascii="Garamond" w:hAnsi="Garamond"/>
          <w:sz w:val="26"/>
          <w:szCs w:val="26"/>
        </w:rPr>
        <w:t>,</w:t>
      </w:r>
      <w:r>
        <w:rPr>
          <w:rFonts w:ascii="Garamond" w:hAnsi="Garamond"/>
          <w:sz w:val="26"/>
          <w:szCs w:val="26"/>
        </w:rPr>
        <w:t xml:space="preserve"> svariati dubbi di carattere sia giuridico</w:t>
      </w:r>
      <w:r w:rsidR="0061407D">
        <w:rPr>
          <w:rFonts w:ascii="Garamond" w:hAnsi="Garamond"/>
          <w:sz w:val="26"/>
          <w:szCs w:val="26"/>
        </w:rPr>
        <w:t xml:space="preserve"> che morale</w:t>
      </w:r>
      <w:r>
        <w:rPr>
          <w:rFonts w:ascii="Garamond" w:hAnsi="Garamond"/>
          <w:sz w:val="26"/>
          <w:szCs w:val="26"/>
        </w:rPr>
        <w:t xml:space="preserve"> e perplessità in ordine alla compatibilità con il sistema costituzionale. Invero, </w:t>
      </w:r>
      <w:r w:rsidR="005767B1">
        <w:rPr>
          <w:rFonts w:ascii="Garamond" w:hAnsi="Garamond"/>
          <w:sz w:val="26"/>
          <w:szCs w:val="26"/>
        </w:rPr>
        <w:t>essendo</w:t>
      </w:r>
      <w:r>
        <w:rPr>
          <w:rFonts w:ascii="Garamond" w:hAnsi="Garamond"/>
          <w:sz w:val="26"/>
          <w:szCs w:val="26"/>
        </w:rPr>
        <w:t xml:space="preserve"> misure </w:t>
      </w:r>
      <w:r>
        <w:rPr>
          <w:rFonts w:ascii="Garamond" w:hAnsi="Garamond"/>
          <w:i/>
          <w:sz w:val="26"/>
          <w:szCs w:val="26"/>
        </w:rPr>
        <w:t xml:space="preserve">ante </w:t>
      </w:r>
      <w:r>
        <w:rPr>
          <w:rFonts w:ascii="Garamond" w:hAnsi="Garamond"/>
          <w:sz w:val="26"/>
          <w:szCs w:val="26"/>
        </w:rPr>
        <w:t xml:space="preserve">o </w:t>
      </w:r>
      <w:r w:rsidR="005767B1">
        <w:rPr>
          <w:rFonts w:ascii="Garamond" w:hAnsi="Garamond"/>
          <w:i/>
          <w:sz w:val="26"/>
          <w:szCs w:val="26"/>
        </w:rPr>
        <w:t>praeter delictum</w:t>
      </w:r>
      <w:r w:rsidR="005767B1">
        <w:rPr>
          <w:rFonts w:ascii="Garamond" w:hAnsi="Garamond"/>
          <w:sz w:val="26"/>
          <w:szCs w:val="26"/>
        </w:rPr>
        <w:t>, si guarda con preoccupazione ad ogni restrizione della libertà personale, sia pure basata su consistenti indizi, e si teme la “scorciatoia della pena del sospetto”</w:t>
      </w:r>
      <w:r w:rsidR="005767B1">
        <w:rPr>
          <w:rStyle w:val="Rimandonotaapidipagina"/>
          <w:rFonts w:ascii="Garamond" w:hAnsi="Garamond"/>
          <w:sz w:val="26"/>
          <w:szCs w:val="26"/>
        </w:rPr>
        <w:footnoteReference w:id="7"/>
      </w:r>
      <w:r w:rsidR="00DC6B93">
        <w:rPr>
          <w:rFonts w:ascii="Garamond" w:hAnsi="Garamond"/>
          <w:sz w:val="26"/>
          <w:szCs w:val="26"/>
        </w:rPr>
        <w:t xml:space="preserve">. </w:t>
      </w:r>
    </w:p>
    <w:p w:rsidR="00DC6B93" w:rsidRPr="005767B1" w:rsidRDefault="00DC6B93"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La tesi prevalente ritiene</w:t>
      </w:r>
      <w:r w:rsidR="00171847">
        <w:rPr>
          <w:rFonts w:ascii="Garamond" w:hAnsi="Garamond"/>
          <w:sz w:val="26"/>
          <w:szCs w:val="26"/>
        </w:rPr>
        <w:t xml:space="preserve">, però, legittime </w:t>
      </w:r>
      <w:r>
        <w:rPr>
          <w:rFonts w:ascii="Garamond" w:hAnsi="Garamond"/>
          <w:sz w:val="26"/>
          <w:szCs w:val="26"/>
        </w:rPr>
        <w:t>e</w:t>
      </w:r>
      <w:r w:rsidR="00171847">
        <w:rPr>
          <w:rFonts w:ascii="Garamond" w:hAnsi="Garamond"/>
          <w:sz w:val="26"/>
          <w:szCs w:val="26"/>
        </w:rPr>
        <w:t>,</w:t>
      </w:r>
      <w:r>
        <w:rPr>
          <w:rFonts w:ascii="Garamond" w:hAnsi="Garamond"/>
          <w:sz w:val="26"/>
          <w:szCs w:val="26"/>
        </w:rPr>
        <w:t xml:space="preserve"> anzi</w:t>
      </w:r>
      <w:r w:rsidR="0061407D">
        <w:rPr>
          <w:rFonts w:ascii="Garamond" w:hAnsi="Garamond"/>
          <w:sz w:val="26"/>
          <w:szCs w:val="26"/>
        </w:rPr>
        <w:t>,</w:t>
      </w:r>
      <w:r w:rsidR="00171847">
        <w:rPr>
          <w:rFonts w:ascii="Garamond" w:hAnsi="Garamond"/>
          <w:sz w:val="26"/>
          <w:szCs w:val="26"/>
        </w:rPr>
        <w:t xml:space="preserve"> doverose</w:t>
      </w:r>
      <w:r>
        <w:rPr>
          <w:rFonts w:ascii="Garamond" w:hAnsi="Garamond"/>
          <w:sz w:val="26"/>
          <w:szCs w:val="26"/>
        </w:rPr>
        <w:t xml:space="preserve"> le misure di prevenzione, ravvisandone un fondament</w:t>
      </w:r>
      <w:r w:rsidR="006F3E8F">
        <w:rPr>
          <w:rFonts w:ascii="Garamond" w:hAnsi="Garamond"/>
          <w:sz w:val="26"/>
          <w:szCs w:val="26"/>
        </w:rPr>
        <w:t>o, anzitutto, nell’art. 2 Cost.</w:t>
      </w:r>
      <w:r>
        <w:rPr>
          <w:rFonts w:ascii="Garamond" w:hAnsi="Garamond"/>
          <w:sz w:val="26"/>
          <w:szCs w:val="26"/>
        </w:rPr>
        <w:t xml:space="preserve"> che, riconoscendo i diritti inviolabili dell’uomo, impone allo Stato di tutelar</w:t>
      </w:r>
      <w:r w:rsidR="00171847">
        <w:rPr>
          <w:rFonts w:ascii="Garamond" w:hAnsi="Garamond"/>
          <w:sz w:val="26"/>
          <w:szCs w:val="26"/>
        </w:rPr>
        <w:t>l</w:t>
      </w:r>
      <w:r>
        <w:rPr>
          <w:rFonts w:ascii="Garamond" w:hAnsi="Garamond"/>
          <w:sz w:val="26"/>
          <w:szCs w:val="26"/>
        </w:rPr>
        <w:t xml:space="preserve">i ancor prima che essi siano offesi, escludendo che possa essere sufficiente la repressione </w:t>
      </w:r>
      <w:r w:rsidRPr="00DC6B93">
        <w:rPr>
          <w:rFonts w:ascii="Garamond" w:hAnsi="Garamond"/>
          <w:i/>
          <w:sz w:val="26"/>
          <w:szCs w:val="26"/>
        </w:rPr>
        <w:t>post</w:t>
      </w:r>
      <w:r>
        <w:rPr>
          <w:rFonts w:ascii="Garamond" w:hAnsi="Garamond"/>
          <w:sz w:val="26"/>
          <w:szCs w:val="26"/>
        </w:rPr>
        <w:t xml:space="preserve"> </w:t>
      </w:r>
      <w:r w:rsidRPr="00DC6B93">
        <w:rPr>
          <w:rFonts w:ascii="Garamond" w:hAnsi="Garamond"/>
          <w:i/>
          <w:sz w:val="26"/>
          <w:szCs w:val="26"/>
        </w:rPr>
        <w:t>delictum</w:t>
      </w:r>
      <w:r>
        <w:rPr>
          <w:rStyle w:val="Rimandonotaapidipagina"/>
          <w:rFonts w:ascii="Garamond" w:hAnsi="Garamond"/>
          <w:i/>
          <w:sz w:val="26"/>
          <w:szCs w:val="26"/>
        </w:rPr>
        <w:footnoteReference w:id="8"/>
      </w:r>
      <w:r>
        <w:rPr>
          <w:rFonts w:ascii="Garamond" w:hAnsi="Garamond"/>
          <w:sz w:val="26"/>
          <w:szCs w:val="26"/>
        </w:rPr>
        <w:t xml:space="preserve">. </w:t>
      </w:r>
    </w:p>
    <w:p w:rsidR="005901C1" w:rsidRDefault="0061407D"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Pertanto, c</w:t>
      </w:r>
      <w:r w:rsidR="00913B9D">
        <w:rPr>
          <w:rFonts w:ascii="Garamond" w:hAnsi="Garamond"/>
          <w:sz w:val="26"/>
          <w:szCs w:val="26"/>
        </w:rPr>
        <w:t>ome</w:t>
      </w:r>
      <w:r w:rsidR="00E82E5C">
        <w:rPr>
          <w:rFonts w:ascii="Garamond" w:hAnsi="Garamond"/>
          <w:sz w:val="26"/>
          <w:szCs w:val="26"/>
        </w:rPr>
        <w:t xml:space="preserve"> per tutto il diritto amministrativo della prevenzione</w:t>
      </w:r>
      <w:r w:rsidR="00B3097D">
        <w:rPr>
          <w:rStyle w:val="Rimandonotaapidipagina"/>
          <w:rFonts w:ascii="Garamond" w:hAnsi="Garamond"/>
          <w:sz w:val="26"/>
          <w:szCs w:val="26"/>
        </w:rPr>
        <w:footnoteReference w:id="9"/>
      </w:r>
      <w:r w:rsidR="005901C1">
        <w:rPr>
          <w:rFonts w:ascii="Garamond" w:hAnsi="Garamond"/>
          <w:sz w:val="26"/>
          <w:szCs w:val="26"/>
        </w:rPr>
        <w:t xml:space="preserve">, </w:t>
      </w:r>
      <w:r>
        <w:rPr>
          <w:rFonts w:ascii="Garamond" w:hAnsi="Garamond"/>
          <w:sz w:val="26"/>
          <w:szCs w:val="26"/>
        </w:rPr>
        <w:t>la finalità del D.A.SPO. consiste nell’</w:t>
      </w:r>
      <w:r w:rsidR="005901C1">
        <w:rPr>
          <w:rFonts w:ascii="Garamond" w:hAnsi="Garamond"/>
          <w:sz w:val="26"/>
          <w:szCs w:val="26"/>
        </w:rPr>
        <w:t>anticipa</w:t>
      </w:r>
      <w:r>
        <w:rPr>
          <w:rFonts w:ascii="Garamond" w:hAnsi="Garamond"/>
          <w:sz w:val="26"/>
          <w:szCs w:val="26"/>
        </w:rPr>
        <w:t>re</w:t>
      </w:r>
      <w:r w:rsidR="00E82E5C">
        <w:rPr>
          <w:rFonts w:ascii="Garamond" w:hAnsi="Garamond"/>
          <w:sz w:val="26"/>
          <w:szCs w:val="26"/>
        </w:rPr>
        <w:t xml:space="preserve"> la soglia della prevenzione alle situazioni di pericolo concreto</w:t>
      </w:r>
      <w:r>
        <w:rPr>
          <w:rFonts w:ascii="Garamond" w:hAnsi="Garamond"/>
          <w:sz w:val="26"/>
          <w:szCs w:val="26"/>
        </w:rPr>
        <w:t>. In siffatte circostanze</w:t>
      </w:r>
      <w:r w:rsidR="005901C1">
        <w:rPr>
          <w:rFonts w:ascii="Garamond" w:hAnsi="Garamond"/>
          <w:sz w:val="26"/>
          <w:szCs w:val="26"/>
        </w:rPr>
        <w:t xml:space="preserve"> vale la logica del “più probabile che non”, nel senso che non è necessaria la certezza oltre ogni ragionevole dubbio che le condotte siano ascrivibili ai soggetti destinatari, ma risulta sufficiente una dimostrazione fondata su elementi di fatto gravi, precisi e concordanti, secondo un ragionamento causale di tipo probabilistico improntato ad una elevata attendibilità</w:t>
      </w:r>
      <w:r w:rsidR="005901C1">
        <w:rPr>
          <w:rStyle w:val="Rimandonotaapidipagina"/>
          <w:rFonts w:ascii="Garamond" w:hAnsi="Garamond"/>
          <w:sz w:val="26"/>
          <w:szCs w:val="26"/>
        </w:rPr>
        <w:footnoteReference w:id="10"/>
      </w:r>
      <w:r w:rsidR="005901C1">
        <w:rPr>
          <w:rFonts w:ascii="Garamond" w:hAnsi="Garamond"/>
          <w:sz w:val="26"/>
          <w:szCs w:val="26"/>
        </w:rPr>
        <w:t>.</w:t>
      </w:r>
    </w:p>
    <w:p w:rsidR="00E82E5C" w:rsidRPr="00EB1C05" w:rsidRDefault="00F63A31"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La natura di misur</w:t>
      </w:r>
      <w:r w:rsidR="0061407D">
        <w:rPr>
          <w:rFonts w:ascii="Garamond" w:hAnsi="Garamond"/>
          <w:sz w:val="26"/>
          <w:szCs w:val="26"/>
        </w:rPr>
        <w:t>a</w:t>
      </w:r>
      <w:r>
        <w:rPr>
          <w:rFonts w:ascii="Garamond" w:hAnsi="Garamond"/>
          <w:sz w:val="26"/>
          <w:szCs w:val="26"/>
        </w:rPr>
        <w:t xml:space="preserve"> preventiv</w:t>
      </w:r>
      <w:r w:rsidR="0061407D">
        <w:rPr>
          <w:rFonts w:ascii="Garamond" w:hAnsi="Garamond"/>
          <w:sz w:val="26"/>
          <w:szCs w:val="26"/>
        </w:rPr>
        <w:t>a</w:t>
      </w:r>
      <w:r>
        <w:rPr>
          <w:rFonts w:ascii="Garamond" w:hAnsi="Garamond"/>
          <w:sz w:val="26"/>
          <w:szCs w:val="26"/>
        </w:rPr>
        <w:t xml:space="preserve"> e non sanzionatori</w:t>
      </w:r>
      <w:r w:rsidR="0061407D">
        <w:rPr>
          <w:rFonts w:ascii="Garamond" w:hAnsi="Garamond"/>
          <w:sz w:val="26"/>
          <w:szCs w:val="26"/>
        </w:rPr>
        <w:t>a</w:t>
      </w:r>
      <w:r>
        <w:rPr>
          <w:rFonts w:ascii="Garamond" w:hAnsi="Garamond"/>
          <w:sz w:val="26"/>
          <w:szCs w:val="26"/>
        </w:rPr>
        <w:t xml:space="preserve"> </w:t>
      </w:r>
      <w:r w:rsidR="006F3E8F">
        <w:rPr>
          <w:rFonts w:ascii="Garamond" w:hAnsi="Garamond"/>
          <w:sz w:val="26"/>
          <w:szCs w:val="26"/>
        </w:rPr>
        <w:t>del D.A.SPO.</w:t>
      </w:r>
      <w:r w:rsidR="000E2C3A">
        <w:rPr>
          <w:rFonts w:ascii="Garamond" w:hAnsi="Garamond"/>
          <w:sz w:val="26"/>
          <w:szCs w:val="26"/>
        </w:rPr>
        <w:t xml:space="preserve"> </w:t>
      </w:r>
      <w:r>
        <w:rPr>
          <w:rFonts w:ascii="Garamond" w:hAnsi="Garamond"/>
          <w:sz w:val="26"/>
          <w:szCs w:val="26"/>
        </w:rPr>
        <w:t>è stata sancita</w:t>
      </w:r>
      <w:r w:rsidR="00F14339">
        <w:rPr>
          <w:rFonts w:ascii="Garamond" w:hAnsi="Garamond"/>
          <w:sz w:val="26"/>
          <w:szCs w:val="26"/>
        </w:rPr>
        <w:t>,</w:t>
      </w:r>
      <w:r>
        <w:rPr>
          <w:rFonts w:ascii="Garamond" w:hAnsi="Garamond"/>
          <w:sz w:val="26"/>
          <w:szCs w:val="26"/>
        </w:rPr>
        <w:t xml:space="preserve"> </w:t>
      </w:r>
      <w:r w:rsidR="0046003E">
        <w:rPr>
          <w:rFonts w:ascii="Garamond" w:hAnsi="Garamond"/>
          <w:sz w:val="26"/>
          <w:szCs w:val="26"/>
        </w:rPr>
        <w:t>di recente</w:t>
      </w:r>
      <w:r w:rsidR="00F14339">
        <w:rPr>
          <w:rFonts w:ascii="Garamond" w:hAnsi="Garamond"/>
          <w:sz w:val="26"/>
          <w:szCs w:val="26"/>
        </w:rPr>
        <w:t>,</w:t>
      </w:r>
      <w:r w:rsidR="0046003E">
        <w:rPr>
          <w:rFonts w:ascii="Garamond" w:hAnsi="Garamond"/>
          <w:sz w:val="26"/>
          <w:szCs w:val="26"/>
        </w:rPr>
        <w:t xml:space="preserve"> </w:t>
      </w:r>
      <w:r>
        <w:rPr>
          <w:rFonts w:ascii="Garamond" w:hAnsi="Garamond"/>
          <w:sz w:val="26"/>
          <w:szCs w:val="26"/>
        </w:rPr>
        <w:t>anche dalla Corte EDU</w:t>
      </w:r>
      <w:r w:rsidR="00925F76">
        <w:rPr>
          <w:rStyle w:val="Rimandonotaapidipagina"/>
          <w:rFonts w:ascii="Garamond" w:hAnsi="Garamond"/>
          <w:sz w:val="26"/>
          <w:szCs w:val="26"/>
        </w:rPr>
        <w:footnoteReference w:id="11"/>
      </w:r>
      <w:r w:rsidR="00925F76">
        <w:rPr>
          <w:rFonts w:ascii="Garamond" w:hAnsi="Garamond"/>
          <w:sz w:val="26"/>
          <w:szCs w:val="26"/>
        </w:rPr>
        <w:t xml:space="preserve">. Quest’ultima, </w:t>
      </w:r>
      <w:r w:rsidR="0046003E">
        <w:rPr>
          <w:rFonts w:ascii="Garamond" w:hAnsi="Garamond"/>
          <w:sz w:val="26"/>
          <w:szCs w:val="26"/>
        </w:rPr>
        <w:t>occupandosi del D.A.SPO. previsto dall’ordinamento c</w:t>
      </w:r>
      <w:r w:rsidR="00925F76">
        <w:rPr>
          <w:rFonts w:ascii="Garamond" w:hAnsi="Garamond"/>
          <w:sz w:val="26"/>
          <w:szCs w:val="26"/>
        </w:rPr>
        <w:t>roato e menzionando tra le legislazioni in materia anche quella italiana, ha</w:t>
      </w:r>
      <w:r w:rsidR="00EB1C05">
        <w:rPr>
          <w:rFonts w:ascii="Garamond" w:hAnsi="Garamond"/>
          <w:sz w:val="26"/>
          <w:szCs w:val="26"/>
        </w:rPr>
        <w:t xml:space="preserve"> escluso la natura sanzionatoria della misura amministrativa sulla base dei c.d. criteri </w:t>
      </w:r>
      <w:r w:rsidR="00EB1C05" w:rsidRPr="007F7D66">
        <w:rPr>
          <w:rFonts w:ascii="Garamond" w:hAnsi="Garamond"/>
          <w:i/>
          <w:sz w:val="26"/>
          <w:szCs w:val="26"/>
        </w:rPr>
        <w:t>Engel</w:t>
      </w:r>
      <w:r w:rsidR="00EB1C05">
        <w:rPr>
          <w:rFonts w:ascii="Garamond" w:hAnsi="Garamond"/>
          <w:sz w:val="26"/>
          <w:szCs w:val="26"/>
        </w:rPr>
        <w:t xml:space="preserve"> e, dunque, ha</w:t>
      </w:r>
      <w:r w:rsidR="00925F76">
        <w:rPr>
          <w:rFonts w:ascii="Garamond" w:hAnsi="Garamond"/>
          <w:sz w:val="26"/>
          <w:szCs w:val="26"/>
        </w:rPr>
        <w:t xml:space="preserve"> riconosciuto al provvedimento che vieta al tifoso di assistere alle competizioni sportive natura eminenteme</w:t>
      </w:r>
      <w:r w:rsidR="00EB1C05">
        <w:rPr>
          <w:rFonts w:ascii="Garamond" w:hAnsi="Garamond"/>
          <w:sz w:val="26"/>
          <w:szCs w:val="26"/>
        </w:rPr>
        <w:t>nte preventiva.</w:t>
      </w:r>
      <w:r w:rsidR="00925F76">
        <w:rPr>
          <w:rFonts w:ascii="Garamond" w:hAnsi="Garamond"/>
          <w:sz w:val="26"/>
          <w:szCs w:val="26"/>
        </w:rPr>
        <w:t xml:space="preserve"> </w:t>
      </w:r>
      <w:r w:rsidR="00EB1C05">
        <w:rPr>
          <w:rFonts w:ascii="Garamond" w:hAnsi="Garamond"/>
          <w:sz w:val="26"/>
          <w:szCs w:val="26"/>
        </w:rPr>
        <w:t xml:space="preserve">Di qui la conclusione secondo cui la fattispecie sfugga alla garanzia costituzionale del </w:t>
      </w:r>
      <w:r w:rsidR="00EB1C05">
        <w:rPr>
          <w:rFonts w:ascii="Garamond" w:hAnsi="Garamond"/>
          <w:i/>
          <w:sz w:val="26"/>
          <w:szCs w:val="26"/>
        </w:rPr>
        <w:t>ne bis in idem</w:t>
      </w:r>
      <w:r w:rsidR="00EB1C05">
        <w:rPr>
          <w:rFonts w:ascii="Garamond" w:hAnsi="Garamond"/>
          <w:sz w:val="26"/>
          <w:szCs w:val="26"/>
        </w:rPr>
        <w:t xml:space="preserve">, sicché la misura </w:t>
      </w:r>
      <w:r w:rsidR="00EB1C05" w:rsidRPr="00EB1C05">
        <w:rPr>
          <w:rFonts w:ascii="Garamond" w:hAnsi="Garamond"/>
          <w:i/>
          <w:sz w:val="26"/>
          <w:szCs w:val="26"/>
        </w:rPr>
        <w:t>de qua</w:t>
      </w:r>
      <w:r w:rsidR="00EB1C05">
        <w:rPr>
          <w:rFonts w:ascii="Garamond" w:hAnsi="Garamond"/>
          <w:sz w:val="26"/>
          <w:szCs w:val="26"/>
        </w:rPr>
        <w:t xml:space="preserve"> potrebbe essere </w:t>
      </w:r>
      <w:r w:rsidR="007F7D66">
        <w:rPr>
          <w:rFonts w:ascii="Garamond" w:hAnsi="Garamond"/>
          <w:sz w:val="26"/>
          <w:szCs w:val="26"/>
        </w:rPr>
        <w:t>disposta anche in relazione ai medesimi fatti di reato che</w:t>
      </w:r>
      <w:r w:rsidR="00F14339">
        <w:rPr>
          <w:rFonts w:ascii="Garamond" w:hAnsi="Garamond"/>
          <w:sz w:val="26"/>
          <w:szCs w:val="26"/>
        </w:rPr>
        <w:t xml:space="preserve"> abbiano comportato l’irrogazione</w:t>
      </w:r>
      <w:r w:rsidR="007F7D66">
        <w:rPr>
          <w:rFonts w:ascii="Garamond" w:hAnsi="Garamond"/>
          <w:sz w:val="26"/>
          <w:szCs w:val="26"/>
        </w:rPr>
        <w:t xml:space="preserve"> di una pena da parte del giudice</w:t>
      </w:r>
      <w:r w:rsidR="00D727F3">
        <w:rPr>
          <w:rStyle w:val="Rimandonotaapidipagina"/>
          <w:rFonts w:ascii="Garamond" w:hAnsi="Garamond"/>
          <w:sz w:val="26"/>
          <w:szCs w:val="26"/>
        </w:rPr>
        <w:footnoteReference w:id="12"/>
      </w:r>
      <w:r w:rsidR="007F7D66">
        <w:rPr>
          <w:rFonts w:ascii="Garamond" w:hAnsi="Garamond"/>
          <w:sz w:val="26"/>
          <w:szCs w:val="26"/>
        </w:rPr>
        <w:t>.</w:t>
      </w:r>
    </w:p>
    <w:p w:rsidR="007316D2" w:rsidRDefault="00DC3922" w:rsidP="00E30FCB">
      <w:pPr>
        <w:pStyle w:val="Paragrafoelenco"/>
        <w:spacing w:after="0" w:line="360" w:lineRule="auto"/>
        <w:ind w:left="0" w:firstLine="720"/>
        <w:jc w:val="both"/>
        <w:rPr>
          <w:rFonts w:ascii="Garamond" w:hAnsi="Garamond"/>
          <w:sz w:val="26"/>
          <w:szCs w:val="26"/>
        </w:rPr>
      </w:pPr>
      <w:r>
        <w:rPr>
          <w:rFonts w:ascii="Garamond" w:hAnsi="Garamond"/>
          <w:sz w:val="26"/>
          <w:szCs w:val="26"/>
        </w:rPr>
        <w:t>In ordine al sistema di garanzie costituzionali cui deve informarsi il provvedimento amministrativo del D.A.SPO., è intervenuto a</w:t>
      </w:r>
      <w:r w:rsidR="007316D2">
        <w:rPr>
          <w:rFonts w:ascii="Garamond" w:hAnsi="Garamond"/>
          <w:sz w:val="26"/>
          <w:szCs w:val="26"/>
        </w:rPr>
        <w:t>nche il Giudic</w:t>
      </w:r>
      <w:r w:rsidR="00677977">
        <w:rPr>
          <w:rFonts w:ascii="Garamond" w:hAnsi="Garamond"/>
          <w:sz w:val="26"/>
          <w:szCs w:val="26"/>
        </w:rPr>
        <w:t>e delle leggi</w:t>
      </w:r>
      <w:r w:rsidR="007316D2">
        <w:rPr>
          <w:rStyle w:val="Rimandonotaapidipagina"/>
          <w:rFonts w:ascii="Garamond" w:hAnsi="Garamond"/>
          <w:sz w:val="26"/>
          <w:szCs w:val="26"/>
        </w:rPr>
        <w:footnoteReference w:id="13"/>
      </w:r>
      <w:r w:rsidR="007316D2">
        <w:rPr>
          <w:rFonts w:ascii="Garamond" w:hAnsi="Garamond"/>
          <w:sz w:val="26"/>
          <w:szCs w:val="26"/>
        </w:rPr>
        <w:t xml:space="preserve">, </w:t>
      </w:r>
      <w:r>
        <w:rPr>
          <w:rFonts w:ascii="Garamond" w:hAnsi="Garamond"/>
          <w:sz w:val="26"/>
          <w:szCs w:val="26"/>
        </w:rPr>
        <w:t xml:space="preserve">che ha operato </w:t>
      </w:r>
      <w:r w:rsidR="009F55FB">
        <w:rPr>
          <w:rFonts w:ascii="Garamond" w:hAnsi="Garamond"/>
          <w:sz w:val="26"/>
          <w:szCs w:val="26"/>
        </w:rPr>
        <w:t xml:space="preserve">una distinzione tra il D.A.SPO. c.d. semplice </w:t>
      </w:r>
      <w:r>
        <w:rPr>
          <w:rFonts w:ascii="Garamond" w:hAnsi="Garamond"/>
          <w:sz w:val="26"/>
          <w:szCs w:val="26"/>
        </w:rPr>
        <w:t>o amministrativo, di cui a</w:t>
      </w:r>
      <w:r w:rsidR="009F55FB">
        <w:rPr>
          <w:rFonts w:ascii="Garamond" w:hAnsi="Garamond"/>
          <w:sz w:val="26"/>
          <w:szCs w:val="26"/>
        </w:rPr>
        <w:t xml:space="preserve">ll’art. 6, </w:t>
      </w:r>
      <w:r>
        <w:rPr>
          <w:rFonts w:ascii="Garamond" w:hAnsi="Garamond"/>
          <w:sz w:val="26"/>
          <w:szCs w:val="26"/>
        </w:rPr>
        <w:t>comma 1</w:t>
      </w:r>
      <w:r>
        <w:rPr>
          <w:rStyle w:val="Rimandonotaapidipagina"/>
          <w:rFonts w:ascii="Garamond" w:hAnsi="Garamond"/>
          <w:sz w:val="26"/>
          <w:szCs w:val="26"/>
        </w:rPr>
        <w:footnoteReference w:id="14"/>
      </w:r>
      <w:r>
        <w:rPr>
          <w:rFonts w:ascii="Garamond" w:hAnsi="Garamond"/>
          <w:sz w:val="26"/>
          <w:szCs w:val="26"/>
        </w:rPr>
        <w:t xml:space="preserve">, </w:t>
      </w:r>
      <w:r w:rsidR="009F55FB">
        <w:rPr>
          <w:rFonts w:ascii="Garamond" w:hAnsi="Garamond"/>
          <w:sz w:val="26"/>
          <w:szCs w:val="26"/>
        </w:rPr>
        <w:t>della l. n. 401 del 1989 e</w:t>
      </w:r>
      <w:r>
        <w:rPr>
          <w:rFonts w:ascii="Garamond" w:hAnsi="Garamond"/>
          <w:sz w:val="26"/>
          <w:szCs w:val="26"/>
        </w:rPr>
        <w:t xml:space="preserve"> il D.A.SPO. con prescrizione aggiuntive</w:t>
      </w:r>
      <w:r w:rsidR="00D5337C">
        <w:rPr>
          <w:rFonts w:ascii="Garamond" w:hAnsi="Garamond"/>
          <w:sz w:val="26"/>
          <w:szCs w:val="26"/>
        </w:rPr>
        <w:t xml:space="preserve"> o accessorie</w:t>
      </w:r>
      <w:r>
        <w:rPr>
          <w:rFonts w:ascii="Garamond" w:hAnsi="Garamond"/>
          <w:sz w:val="26"/>
          <w:szCs w:val="26"/>
        </w:rPr>
        <w:t>, di cui al comma 2 del suddetto art. 6</w:t>
      </w:r>
      <w:r w:rsidR="00677977">
        <w:rPr>
          <w:rStyle w:val="Rimandonotaapidipagina"/>
          <w:rFonts w:ascii="Garamond" w:hAnsi="Garamond"/>
          <w:sz w:val="26"/>
          <w:szCs w:val="26"/>
        </w:rPr>
        <w:footnoteReference w:id="15"/>
      </w:r>
      <w:r w:rsidR="00ED3D84">
        <w:rPr>
          <w:rFonts w:ascii="Garamond" w:hAnsi="Garamond"/>
          <w:sz w:val="26"/>
          <w:szCs w:val="26"/>
        </w:rPr>
        <w:t xml:space="preserve">, </w:t>
      </w:r>
      <w:r w:rsidR="00ED3D84" w:rsidRPr="00D5337C">
        <w:rPr>
          <w:rFonts w:ascii="Garamond" w:hAnsi="Garamond"/>
          <w:sz w:val="26"/>
          <w:szCs w:val="26"/>
        </w:rPr>
        <w:t>misura</w:t>
      </w:r>
      <w:r w:rsidR="00D5337C">
        <w:rPr>
          <w:rFonts w:ascii="Garamond" w:hAnsi="Garamond"/>
          <w:sz w:val="26"/>
          <w:szCs w:val="26"/>
        </w:rPr>
        <w:t xml:space="preserve"> </w:t>
      </w:r>
      <w:r w:rsidR="00C34CCC">
        <w:rPr>
          <w:rFonts w:ascii="Garamond" w:hAnsi="Garamond"/>
          <w:sz w:val="26"/>
          <w:szCs w:val="26"/>
        </w:rPr>
        <w:t>frutto di un’autonoma valutazione del Questore</w:t>
      </w:r>
      <w:r w:rsidR="00A25E08">
        <w:rPr>
          <w:rStyle w:val="Rimandonotaapidipagina"/>
          <w:rFonts w:ascii="Garamond" w:hAnsi="Garamond"/>
          <w:sz w:val="26"/>
          <w:szCs w:val="26"/>
        </w:rPr>
        <w:footnoteReference w:id="16"/>
      </w:r>
      <w:r w:rsidR="00C34CCC">
        <w:rPr>
          <w:rFonts w:ascii="Garamond" w:hAnsi="Garamond"/>
          <w:sz w:val="26"/>
          <w:szCs w:val="26"/>
        </w:rPr>
        <w:t xml:space="preserve">, </w:t>
      </w:r>
      <w:r w:rsidR="00ED3D84" w:rsidRPr="00ED3D84">
        <w:rPr>
          <w:rFonts w:ascii="Garamond" w:hAnsi="Garamond"/>
          <w:sz w:val="26"/>
          <w:szCs w:val="26"/>
        </w:rPr>
        <w:t xml:space="preserve">che </w:t>
      </w:r>
      <w:r w:rsidR="00ED3D84">
        <w:rPr>
          <w:rFonts w:ascii="Garamond" w:hAnsi="Garamond"/>
          <w:sz w:val="26"/>
          <w:szCs w:val="26"/>
        </w:rPr>
        <w:t xml:space="preserve">prevede non solo </w:t>
      </w:r>
      <w:r w:rsidR="00ED3D84" w:rsidRPr="00ED3D84">
        <w:rPr>
          <w:rFonts w:ascii="Garamond" w:hAnsi="Garamond"/>
          <w:sz w:val="26"/>
          <w:szCs w:val="26"/>
        </w:rPr>
        <w:t xml:space="preserve">il divieto di accesso agli stadi ma </w:t>
      </w:r>
      <w:r w:rsidR="00ED3D84">
        <w:rPr>
          <w:rFonts w:ascii="Garamond" w:hAnsi="Garamond"/>
          <w:sz w:val="26"/>
          <w:szCs w:val="26"/>
        </w:rPr>
        <w:t xml:space="preserve">anche </w:t>
      </w:r>
      <w:r w:rsidR="00ED3D84" w:rsidRPr="00ED3D84">
        <w:rPr>
          <w:rFonts w:ascii="Garamond" w:hAnsi="Garamond"/>
          <w:sz w:val="26"/>
          <w:szCs w:val="26"/>
        </w:rPr>
        <w:t>l’obbligo di comparizione personale presso un ufficio o comando di polizia</w:t>
      </w:r>
      <w:r w:rsidR="00677977">
        <w:rPr>
          <w:rFonts w:ascii="Garamond" w:hAnsi="Garamond"/>
          <w:sz w:val="26"/>
          <w:szCs w:val="26"/>
        </w:rPr>
        <w:t>.</w:t>
      </w:r>
      <w:r>
        <w:rPr>
          <w:rFonts w:ascii="Garamond" w:hAnsi="Garamond"/>
          <w:sz w:val="26"/>
          <w:szCs w:val="26"/>
        </w:rPr>
        <w:t xml:space="preserve"> </w:t>
      </w:r>
      <w:r w:rsidR="009F55FB">
        <w:rPr>
          <w:rFonts w:ascii="Garamond" w:hAnsi="Garamond"/>
          <w:sz w:val="26"/>
          <w:szCs w:val="26"/>
        </w:rPr>
        <w:t xml:space="preserve"> </w:t>
      </w:r>
    </w:p>
    <w:p w:rsidR="0061407D" w:rsidRDefault="003D2A11" w:rsidP="00A25E08">
      <w:pPr>
        <w:pStyle w:val="Paragrafoelenco"/>
        <w:spacing w:after="0" w:line="360" w:lineRule="auto"/>
        <w:ind w:left="0" w:firstLine="720"/>
        <w:jc w:val="both"/>
        <w:rPr>
          <w:rFonts w:ascii="Garamond" w:hAnsi="Garamond"/>
          <w:sz w:val="26"/>
          <w:szCs w:val="26"/>
        </w:rPr>
      </w:pPr>
      <w:r>
        <w:rPr>
          <w:rFonts w:ascii="Garamond" w:hAnsi="Garamond"/>
          <w:sz w:val="26"/>
          <w:szCs w:val="26"/>
        </w:rPr>
        <w:t>La Corte C</w:t>
      </w:r>
      <w:r w:rsidR="00C34CCC">
        <w:rPr>
          <w:rFonts w:ascii="Garamond" w:hAnsi="Garamond"/>
          <w:sz w:val="26"/>
          <w:szCs w:val="26"/>
        </w:rPr>
        <w:t>ostituzionale ha precisato che il D.A.SPO. semplice incide sulla libertà di circolazione (art. 16 Cost.)</w:t>
      </w:r>
      <w:r w:rsidR="00F14339">
        <w:rPr>
          <w:rFonts w:ascii="Garamond" w:hAnsi="Garamond"/>
          <w:sz w:val="26"/>
          <w:szCs w:val="26"/>
        </w:rPr>
        <w:t>,</w:t>
      </w:r>
      <w:r w:rsidR="00C34CCC">
        <w:rPr>
          <w:rFonts w:ascii="Garamond" w:hAnsi="Garamond"/>
          <w:sz w:val="26"/>
          <w:szCs w:val="26"/>
        </w:rPr>
        <w:t xml:space="preserve"> ma non implica rest</w:t>
      </w:r>
      <w:r w:rsidR="00A25E08">
        <w:rPr>
          <w:rFonts w:ascii="Garamond" w:hAnsi="Garamond"/>
          <w:sz w:val="26"/>
          <w:szCs w:val="26"/>
        </w:rPr>
        <w:t xml:space="preserve">rizioni alla libertà personale. </w:t>
      </w:r>
    </w:p>
    <w:p w:rsidR="00C34CCC" w:rsidRDefault="00A25E08" w:rsidP="0061407D">
      <w:pPr>
        <w:pStyle w:val="Paragrafoelenco"/>
        <w:spacing w:after="0" w:line="360" w:lineRule="auto"/>
        <w:ind w:left="0" w:firstLine="720"/>
        <w:jc w:val="both"/>
        <w:rPr>
          <w:rFonts w:ascii="Garamond" w:hAnsi="Garamond"/>
          <w:sz w:val="26"/>
          <w:szCs w:val="26"/>
        </w:rPr>
      </w:pPr>
      <w:r>
        <w:rPr>
          <w:rFonts w:ascii="Garamond" w:hAnsi="Garamond"/>
          <w:sz w:val="26"/>
          <w:szCs w:val="26"/>
        </w:rPr>
        <w:t>D</w:t>
      </w:r>
      <w:r w:rsidR="00C34CCC">
        <w:rPr>
          <w:rFonts w:ascii="Garamond" w:hAnsi="Garamond"/>
          <w:sz w:val="26"/>
          <w:szCs w:val="26"/>
        </w:rPr>
        <w:t xml:space="preserve">iscorso analogo non può </w:t>
      </w:r>
      <w:r w:rsidR="00F14339">
        <w:rPr>
          <w:rFonts w:ascii="Garamond" w:hAnsi="Garamond"/>
          <w:sz w:val="26"/>
          <w:szCs w:val="26"/>
        </w:rPr>
        <w:t>farsi, invece,</w:t>
      </w:r>
      <w:r w:rsidR="00C34CCC">
        <w:rPr>
          <w:rFonts w:ascii="Garamond" w:hAnsi="Garamond"/>
          <w:sz w:val="26"/>
          <w:szCs w:val="26"/>
        </w:rPr>
        <w:t xml:space="preserve"> con riguardo al D.A.SPO. con prescrizioni accessorie. Invero, quest’ultimo</w:t>
      </w:r>
      <w:r>
        <w:rPr>
          <w:rFonts w:ascii="Garamond" w:hAnsi="Garamond"/>
          <w:sz w:val="26"/>
          <w:szCs w:val="26"/>
        </w:rPr>
        <w:t xml:space="preserve"> è una misura che incide nella sfera della libertà personale del soggetto che è tenuto a comparire e comporta una restrizione della libertà di movimento in una determinata fascia oraria. </w:t>
      </w:r>
      <w:r w:rsidR="00F14339">
        <w:rPr>
          <w:rFonts w:ascii="Garamond" w:hAnsi="Garamond"/>
          <w:sz w:val="26"/>
          <w:szCs w:val="26"/>
        </w:rPr>
        <w:t>Il</w:t>
      </w:r>
      <w:r>
        <w:rPr>
          <w:rFonts w:ascii="Garamond" w:hAnsi="Garamond"/>
          <w:sz w:val="26"/>
          <w:szCs w:val="26"/>
        </w:rPr>
        <w:t xml:space="preserve"> carattere restrittivo della misura</w:t>
      </w:r>
      <w:r>
        <w:rPr>
          <w:rStyle w:val="Rimandonotaapidipagina"/>
          <w:rFonts w:ascii="Garamond" w:hAnsi="Garamond"/>
          <w:sz w:val="26"/>
          <w:szCs w:val="26"/>
        </w:rPr>
        <w:footnoteReference w:id="17"/>
      </w:r>
      <w:r w:rsidR="00EA1E06">
        <w:rPr>
          <w:rFonts w:ascii="Garamond" w:hAnsi="Garamond"/>
          <w:sz w:val="26"/>
          <w:szCs w:val="26"/>
        </w:rPr>
        <w:t xml:space="preserve"> impone, pertanto, che siano r</w:t>
      </w:r>
      <w:r w:rsidR="007A2311">
        <w:rPr>
          <w:rFonts w:ascii="Garamond" w:hAnsi="Garamond"/>
          <w:sz w:val="26"/>
          <w:szCs w:val="26"/>
        </w:rPr>
        <w:t>ispettate le garanzie di cui all’art.</w:t>
      </w:r>
      <w:r w:rsidR="00EA1E06">
        <w:rPr>
          <w:rFonts w:ascii="Garamond" w:hAnsi="Garamond"/>
          <w:sz w:val="26"/>
          <w:szCs w:val="26"/>
        </w:rPr>
        <w:t xml:space="preserve"> 13</w:t>
      </w:r>
      <w:r w:rsidR="007A2311">
        <w:rPr>
          <w:rFonts w:ascii="Garamond" w:hAnsi="Garamond"/>
          <w:sz w:val="26"/>
          <w:szCs w:val="26"/>
        </w:rPr>
        <w:t xml:space="preserve"> </w:t>
      </w:r>
      <w:r w:rsidR="00EA1E06">
        <w:rPr>
          <w:rFonts w:ascii="Garamond" w:hAnsi="Garamond"/>
          <w:sz w:val="26"/>
          <w:szCs w:val="26"/>
        </w:rPr>
        <w:t>Cost.</w:t>
      </w:r>
      <w:r w:rsidR="007A2311">
        <w:rPr>
          <w:rStyle w:val="Rimandonotaapidipagina"/>
          <w:rFonts w:ascii="Garamond" w:hAnsi="Garamond"/>
          <w:sz w:val="26"/>
          <w:szCs w:val="26"/>
        </w:rPr>
        <w:footnoteReference w:id="18"/>
      </w:r>
      <w:r w:rsidR="00EA1E06">
        <w:rPr>
          <w:rFonts w:ascii="Garamond" w:hAnsi="Garamond"/>
          <w:sz w:val="26"/>
          <w:szCs w:val="26"/>
        </w:rPr>
        <w:t xml:space="preserve">, </w:t>
      </w:r>
      <w:r w:rsidR="00F14339">
        <w:rPr>
          <w:rFonts w:ascii="Garamond" w:hAnsi="Garamond"/>
          <w:sz w:val="26"/>
          <w:szCs w:val="26"/>
        </w:rPr>
        <w:t>la cui osservanza è assicurata dalla possibilità di proporre</w:t>
      </w:r>
      <w:r w:rsidR="00EA1E06">
        <w:rPr>
          <w:rFonts w:ascii="Garamond" w:hAnsi="Garamond"/>
          <w:sz w:val="26"/>
          <w:szCs w:val="26"/>
        </w:rPr>
        <w:t xml:space="preserve"> ricorso per Cassazione avverso l’ordinanza di convalida del giudice per le indagini preliminari, di cui al comma 4 del citato art. 6. </w:t>
      </w:r>
    </w:p>
    <w:p w:rsidR="009E01FC" w:rsidRPr="009E01FC" w:rsidRDefault="009E01FC" w:rsidP="009E01FC">
      <w:pPr>
        <w:spacing w:after="0"/>
        <w:rPr>
          <w:sz w:val="26"/>
          <w:szCs w:val="26"/>
        </w:rPr>
      </w:pPr>
    </w:p>
    <w:p w:rsidR="00497A5A" w:rsidRPr="00497A5A" w:rsidRDefault="00F1107B" w:rsidP="00F1107B">
      <w:pPr>
        <w:pStyle w:val="Paragrafoelenco"/>
        <w:numPr>
          <w:ilvl w:val="0"/>
          <w:numId w:val="2"/>
        </w:numPr>
        <w:spacing w:after="0" w:line="360" w:lineRule="auto"/>
        <w:ind w:left="714" w:hanging="357"/>
        <w:jc w:val="both"/>
        <w:rPr>
          <w:rFonts w:ascii="Garamond" w:hAnsi="Garamond"/>
          <w:sz w:val="26"/>
          <w:szCs w:val="26"/>
        </w:rPr>
      </w:pPr>
      <w:r w:rsidRPr="00497A5A">
        <w:rPr>
          <w:rFonts w:ascii="Garamond" w:hAnsi="Garamond"/>
          <w:b/>
          <w:sz w:val="26"/>
          <w:szCs w:val="26"/>
        </w:rPr>
        <w:t>Ambito di applicazione</w:t>
      </w:r>
      <w:r w:rsidR="00497A5A" w:rsidRPr="00497A5A">
        <w:rPr>
          <w:rFonts w:ascii="Garamond" w:hAnsi="Garamond"/>
          <w:b/>
          <w:sz w:val="26"/>
          <w:szCs w:val="26"/>
        </w:rPr>
        <w:t xml:space="preserve"> soggettivo </w:t>
      </w:r>
      <w:r w:rsidRPr="00497A5A">
        <w:rPr>
          <w:rFonts w:ascii="Garamond" w:hAnsi="Garamond"/>
          <w:b/>
          <w:sz w:val="26"/>
          <w:szCs w:val="26"/>
        </w:rPr>
        <w:t xml:space="preserve">del D.A.SPO. </w:t>
      </w:r>
      <w:r w:rsidR="006E4439">
        <w:rPr>
          <w:rFonts w:ascii="Garamond" w:hAnsi="Garamond"/>
          <w:b/>
          <w:sz w:val="26"/>
          <w:szCs w:val="26"/>
        </w:rPr>
        <w:t>Le novità dei c.d. decreti sicurezza.</w:t>
      </w:r>
    </w:p>
    <w:p w:rsidR="005D2694" w:rsidRDefault="001F2B94" w:rsidP="005D2694">
      <w:pPr>
        <w:pStyle w:val="Paragrafoelenco"/>
        <w:spacing w:after="0" w:line="360" w:lineRule="auto"/>
        <w:ind w:left="0" w:firstLine="709"/>
        <w:jc w:val="both"/>
        <w:rPr>
          <w:rFonts w:ascii="Garamond" w:hAnsi="Garamond"/>
          <w:sz w:val="26"/>
          <w:szCs w:val="26"/>
        </w:rPr>
      </w:pPr>
      <w:r>
        <w:rPr>
          <w:rFonts w:ascii="Garamond" w:hAnsi="Garamond"/>
          <w:sz w:val="26"/>
          <w:szCs w:val="26"/>
        </w:rPr>
        <w:t xml:space="preserve">Il provvedimento del D.A.SPO. </w:t>
      </w:r>
      <w:r w:rsidR="006E4439">
        <w:rPr>
          <w:rFonts w:ascii="Garamond" w:hAnsi="Garamond"/>
          <w:sz w:val="26"/>
          <w:szCs w:val="26"/>
        </w:rPr>
        <w:t>inibisce</w:t>
      </w:r>
      <w:r w:rsidR="00F14339">
        <w:rPr>
          <w:rFonts w:ascii="Garamond" w:hAnsi="Garamond"/>
          <w:sz w:val="26"/>
          <w:szCs w:val="26"/>
        </w:rPr>
        <w:t>,</w:t>
      </w:r>
      <w:r w:rsidR="006E4439">
        <w:rPr>
          <w:rFonts w:ascii="Garamond" w:hAnsi="Garamond"/>
          <w:sz w:val="26"/>
          <w:szCs w:val="26"/>
        </w:rPr>
        <w:t xml:space="preserve"> a coloro che ne risultano destinatari</w:t>
      </w:r>
      <w:r w:rsidR="00F14339">
        <w:rPr>
          <w:rFonts w:ascii="Garamond" w:hAnsi="Garamond"/>
          <w:sz w:val="26"/>
          <w:szCs w:val="26"/>
        </w:rPr>
        <w:t>,</w:t>
      </w:r>
      <w:r w:rsidR="006E4439">
        <w:rPr>
          <w:rFonts w:ascii="Garamond" w:hAnsi="Garamond"/>
          <w:sz w:val="26"/>
          <w:szCs w:val="26"/>
        </w:rPr>
        <w:t xml:space="preserve"> l’accesso ai luoghi in cui si svolgono manifestazioni sportive, anche svolte all’estero, ed </w:t>
      </w:r>
      <w:r>
        <w:rPr>
          <w:rFonts w:ascii="Garamond" w:hAnsi="Garamond"/>
          <w:sz w:val="26"/>
          <w:szCs w:val="26"/>
        </w:rPr>
        <w:t>è applicabile ai soggetti specificamente indicati nell’elenco di cui all’art. 6, comma 1, l. n. 401 del 1989</w:t>
      </w:r>
      <w:r w:rsidR="00E83555">
        <w:rPr>
          <w:rStyle w:val="Rimandonotaapidipagina"/>
          <w:rFonts w:ascii="Garamond" w:hAnsi="Garamond"/>
          <w:sz w:val="26"/>
          <w:szCs w:val="26"/>
        </w:rPr>
        <w:footnoteReference w:id="19"/>
      </w:r>
      <w:r w:rsidR="006E4439">
        <w:rPr>
          <w:rFonts w:ascii="Garamond" w:hAnsi="Garamond"/>
          <w:sz w:val="26"/>
          <w:szCs w:val="26"/>
        </w:rPr>
        <w:t>.</w:t>
      </w:r>
    </w:p>
    <w:p w:rsidR="006F3E8F" w:rsidRDefault="000D7B52" w:rsidP="005D2694">
      <w:pPr>
        <w:pStyle w:val="Paragrafoelenco"/>
        <w:spacing w:after="0" w:line="360" w:lineRule="auto"/>
        <w:ind w:left="0" w:firstLine="709"/>
        <w:jc w:val="both"/>
        <w:rPr>
          <w:rFonts w:ascii="Garamond" w:hAnsi="Garamond"/>
          <w:sz w:val="26"/>
          <w:szCs w:val="26"/>
        </w:rPr>
      </w:pPr>
      <w:r w:rsidRPr="005D2694">
        <w:rPr>
          <w:rFonts w:ascii="Garamond" w:hAnsi="Garamond"/>
          <w:sz w:val="26"/>
          <w:szCs w:val="26"/>
        </w:rPr>
        <w:t xml:space="preserve">Trattasi di un </w:t>
      </w:r>
      <w:r w:rsidR="005D2694" w:rsidRPr="005D2694">
        <w:rPr>
          <w:rFonts w:ascii="Garamond" w:hAnsi="Garamond"/>
          <w:sz w:val="26"/>
          <w:szCs w:val="26"/>
        </w:rPr>
        <w:t>catalogo</w:t>
      </w:r>
      <w:r w:rsidRPr="005D2694">
        <w:rPr>
          <w:rFonts w:ascii="Garamond" w:hAnsi="Garamond"/>
          <w:sz w:val="26"/>
          <w:szCs w:val="26"/>
        </w:rPr>
        <w:t xml:space="preserve"> ampliato </w:t>
      </w:r>
      <w:r w:rsidR="00F14339">
        <w:rPr>
          <w:rFonts w:ascii="Garamond" w:hAnsi="Garamond"/>
          <w:sz w:val="26"/>
          <w:szCs w:val="26"/>
        </w:rPr>
        <w:t>da</w:t>
      </w:r>
      <w:r w:rsidRPr="005D2694">
        <w:rPr>
          <w:rFonts w:ascii="Garamond" w:hAnsi="Garamond"/>
          <w:sz w:val="26"/>
          <w:szCs w:val="26"/>
        </w:rPr>
        <w:t xml:space="preserve"> successivi interventi normativi</w:t>
      </w:r>
      <w:r w:rsidR="005D2694" w:rsidRPr="005D2694">
        <w:rPr>
          <w:rFonts w:ascii="Garamond" w:hAnsi="Garamond"/>
          <w:sz w:val="26"/>
          <w:szCs w:val="26"/>
        </w:rPr>
        <w:t xml:space="preserve">, che lo hanno aggiornato alla luce delle coeve situazioni sintomatiche di pericolosità correlate allo svolgimento di manifestazioni sportive. </w:t>
      </w:r>
    </w:p>
    <w:p w:rsidR="000D7B52" w:rsidRDefault="005D2694" w:rsidP="005D2694">
      <w:pPr>
        <w:pStyle w:val="Paragrafoelenco"/>
        <w:spacing w:after="0" w:line="360" w:lineRule="auto"/>
        <w:ind w:left="0" w:firstLine="709"/>
        <w:jc w:val="both"/>
        <w:rPr>
          <w:rFonts w:ascii="Garamond" w:hAnsi="Garamond"/>
          <w:sz w:val="26"/>
          <w:szCs w:val="26"/>
        </w:rPr>
      </w:pPr>
      <w:r>
        <w:rPr>
          <w:rFonts w:ascii="Garamond" w:hAnsi="Garamond"/>
          <w:sz w:val="26"/>
          <w:szCs w:val="26"/>
        </w:rPr>
        <w:t>In particolare, n</w:t>
      </w:r>
      <w:r w:rsidR="000D7B52" w:rsidRPr="005D2694">
        <w:rPr>
          <w:rFonts w:ascii="Garamond" w:hAnsi="Garamond"/>
          <w:sz w:val="26"/>
          <w:szCs w:val="26"/>
        </w:rPr>
        <w:t xml:space="preserve">ella </w:t>
      </w:r>
      <w:r w:rsidRPr="005D2694">
        <w:rPr>
          <w:rFonts w:ascii="Garamond" w:hAnsi="Garamond"/>
          <w:sz w:val="26"/>
          <w:szCs w:val="26"/>
        </w:rPr>
        <w:t>versione attualmente vigente, il Questore può applicare il D.A.SPO. nei confronti di quei soggetti che risultino denunciati o condannati, anche con sentenza non definitiva, nel corso dei cinque anni precedenti, per alcuno dei reati presupposto ivi indicati</w:t>
      </w:r>
      <w:r w:rsidR="008C56CA">
        <w:rPr>
          <w:rFonts w:ascii="Garamond" w:hAnsi="Garamond"/>
          <w:sz w:val="26"/>
          <w:szCs w:val="26"/>
        </w:rPr>
        <w:t>,</w:t>
      </w:r>
      <w:r w:rsidRPr="005D2694">
        <w:rPr>
          <w:rFonts w:ascii="Garamond" w:hAnsi="Garamond"/>
          <w:sz w:val="26"/>
          <w:szCs w:val="26"/>
        </w:rPr>
        <w:t xml:space="preserve"> ovvero di coloro che risultino denunciati per aver preso p</w:t>
      </w:r>
      <w:r>
        <w:rPr>
          <w:rFonts w:ascii="Garamond" w:hAnsi="Garamond"/>
          <w:sz w:val="26"/>
          <w:szCs w:val="26"/>
        </w:rPr>
        <w:t xml:space="preserve">arte attiva </w:t>
      </w:r>
      <w:r w:rsidRPr="005D2694">
        <w:rPr>
          <w:rFonts w:ascii="Garamond" w:hAnsi="Garamond"/>
          <w:sz w:val="26"/>
          <w:szCs w:val="26"/>
        </w:rPr>
        <w:t>a</w:t>
      </w:r>
      <w:r>
        <w:rPr>
          <w:rFonts w:ascii="Garamond" w:hAnsi="Garamond"/>
          <w:sz w:val="26"/>
          <w:szCs w:val="26"/>
        </w:rPr>
        <w:t xml:space="preserve"> </w:t>
      </w:r>
      <w:r w:rsidRPr="005D2694">
        <w:rPr>
          <w:rFonts w:ascii="Garamond" w:hAnsi="Garamond"/>
          <w:sz w:val="26"/>
          <w:szCs w:val="26"/>
        </w:rPr>
        <w:t>episodi</w:t>
      </w:r>
      <w:r>
        <w:rPr>
          <w:rFonts w:ascii="Garamond" w:hAnsi="Garamond"/>
          <w:sz w:val="26"/>
          <w:szCs w:val="26"/>
        </w:rPr>
        <w:t xml:space="preserve"> di violenza su persone o cose in </w:t>
      </w:r>
      <w:r w:rsidR="008C56CA">
        <w:rPr>
          <w:rFonts w:ascii="Garamond" w:hAnsi="Garamond"/>
          <w:sz w:val="26"/>
          <w:szCs w:val="26"/>
        </w:rPr>
        <w:t xml:space="preserve">occasione o a causa </w:t>
      </w:r>
      <w:r w:rsidRPr="005D2694">
        <w:rPr>
          <w:rFonts w:ascii="Garamond" w:hAnsi="Garamond"/>
          <w:sz w:val="26"/>
          <w:szCs w:val="26"/>
        </w:rPr>
        <w:t>di</w:t>
      </w:r>
      <w:r w:rsidR="008C56CA">
        <w:rPr>
          <w:rFonts w:ascii="Garamond" w:hAnsi="Garamond"/>
          <w:sz w:val="26"/>
          <w:szCs w:val="26"/>
        </w:rPr>
        <w:t xml:space="preserve"> manifestazioni sportive, o che nelle medesime circostanze </w:t>
      </w:r>
      <w:r w:rsidRPr="008C56CA">
        <w:rPr>
          <w:rFonts w:ascii="Garamond" w:hAnsi="Garamond"/>
          <w:sz w:val="26"/>
          <w:szCs w:val="26"/>
        </w:rPr>
        <w:t>abbiano</w:t>
      </w:r>
      <w:r w:rsidR="008C56CA">
        <w:rPr>
          <w:rFonts w:ascii="Garamond" w:hAnsi="Garamond"/>
          <w:sz w:val="26"/>
          <w:szCs w:val="26"/>
        </w:rPr>
        <w:t xml:space="preserve"> </w:t>
      </w:r>
      <w:r w:rsidRPr="005D2694">
        <w:rPr>
          <w:rFonts w:ascii="Garamond" w:hAnsi="Garamond"/>
          <w:sz w:val="26"/>
          <w:szCs w:val="26"/>
        </w:rPr>
        <w:t>incitato, inneggiato o indotto alla violenza</w:t>
      </w:r>
      <w:r w:rsidR="008C56CA">
        <w:rPr>
          <w:rStyle w:val="Rimandonotaapidipagina"/>
          <w:rFonts w:ascii="Garamond" w:hAnsi="Garamond"/>
          <w:sz w:val="26"/>
          <w:szCs w:val="26"/>
        </w:rPr>
        <w:footnoteReference w:id="20"/>
      </w:r>
      <w:r w:rsidR="008C56CA">
        <w:rPr>
          <w:rFonts w:ascii="Garamond" w:hAnsi="Garamond"/>
          <w:sz w:val="26"/>
          <w:szCs w:val="26"/>
        </w:rPr>
        <w:t>.</w:t>
      </w:r>
    </w:p>
    <w:p w:rsidR="0026177E" w:rsidRPr="00D90CCB" w:rsidRDefault="00D90CCB" w:rsidP="005D2694">
      <w:pPr>
        <w:pStyle w:val="Paragrafoelenco"/>
        <w:spacing w:after="0" w:line="360" w:lineRule="auto"/>
        <w:ind w:left="0" w:firstLine="709"/>
        <w:jc w:val="both"/>
        <w:rPr>
          <w:rFonts w:ascii="Garamond" w:hAnsi="Garamond"/>
          <w:sz w:val="26"/>
          <w:szCs w:val="26"/>
        </w:rPr>
      </w:pPr>
      <w:r>
        <w:rPr>
          <w:rFonts w:ascii="Garamond" w:hAnsi="Garamond"/>
          <w:sz w:val="26"/>
          <w:szCs w:val="26"/>
        </w:rPr>
        <w:t>Le ultime modifiche apportate al suddetto elenco sono avvenute</w:t>
      </w:r>
      <w:r w:rsidR="0026177E">
        <w:rPr>
          <w:rFonts w:ascii="Garamond" w:hAnsi="Garamond"/>
          <w:sz w:val="26"/>
          <w:szCs w:val="26"/>
        </w:rPr>
        <w:t xml:space="preserve"> ad opera dei decreti sicurezza</w:t>
      </w:r>
      <w:r w:rsidR="00CA2EA9">
        <w:rPr>
          <w:rStyle w:val="Rimandonotaapidipagina"/>
          <w:rFonts w:ascii="Garamond" w:hAnsi="Garamond"/>
          <w:sz w:val="26"/>
          <w:szCs w:val="26"/>
        </w:rPr>
        <w:footnoteReference w:id="21"/>
      </w:r>
      <w:r>
        <w:rPr>
          <w:rFonts w:ascii="Garamond" w:hAnsi="Garamond"/>
          <w:sz w:val="26"/>
          <w:szCs w:val="26"/>
        </w:rPr>
        <w:t xml:space="preserve"> </w:t>
      </w:r>
      <w:r w:rsidR="0026177E">
        <w:rPr>
          <w:rFonts w:ascii="Garamond" w:hAnsi="Garamond"/>
          <w:sz w:val="26"/>
          <w:szCs w:val="26"/>
        </w:rPr>
        <w:t>che</w:t>
      </w:r>
      <w:r>
        <w:rPr>
          <w:rFonts w:ascii="Garamond" w:hAnsi="Garamond"/>
          <w:sz w:val="26"/>
          <w:szCs w:val="26"/>
        </w:rPr>
        <w:t>,</w:t>
      </w:r>
      <w:r w:rsidR="0026177E">
        <w:rPr>
          <w:rFonts w:ascii="Garamond" w:hAnsi="Garamond"/>
          <w:sz w:val="26"/>
          <w:szCs w:val="26"/>
        </w:rPr>
        <w:t xml:space="preserve"> </w:t>
      </w:r>
      <w:r w:rsidRPr="00D90CCB">
        <w:rPr>
          <w:rFonts w:ascii="Garamond" w:hAnsi="Garamond"/>
          <w:sz w:val="26"/>
          <w:szCs w:val="26"/>
        </w:rPr>
        <w:t xml:space="preserve">novellando il comma 1 dell’art. 6, l. n. 401 del 1989, </w:t>
      </w:r>
      <w:r w:rsidR="0026177E">
        <w:rPr>
          <w:rFonts w:ascii="Garamond" w:hAnsi="Garamond"/>
          <w:sz w:val="26"/>
          <w:szCs w:val="26"/>
        </w:rPr>
        <w:t>hanno potenziato la misura securitaria</w:t>
      </w:r>
      <w:r w:rsidR="00EB2405">
        <w:rPr>
          <w:rFonts w:ascii="Garamond" w:hAnsi="Garamond"/>
          <w:sz w:val="26"/>
          <w:szCs w:val="26"/>
        </w:rPr>
        <w:t>, estendendola</w:t>
      </w:r>
      <w:r w:rsidR="00C07BEE">
        <w:rPr>
          <w:rFonts w:ascii="Garamond" w:hAnsi="Garamond"/>
          <w:sz w:val="26"/>
          <w:szCs w:val="26"/>
        </w:rPr>
        <w:t xml:space="preserve"> </w:t>
      </w:r>
      <w:r w:rsidR="00EB2405">
        <w:rPr>
          <w:rFonts w:ascii="Garamond" w:hAnsi="Garamond"/>
          <w:sz w:val="26"/>
          <w:szCs w:val="26"/>
        </w:rPr>
        <w:t>ai soggetti</w:t>
      </w:r>
      <w:r w:rsidR="00511BEF" w:rsidRPr="00511BEF">
        <w:rPr>
          <w:rFonts w:ascii="Garamond" w:hAnsi="Garamond"/>
          <w:sz w:val="26"/>
          <w:szCs w:val="26"/>
        </w:rPr>
        <w:t xml:space="preserve"> di cui</w:t>
      </w:r>
      <w:r w:rsidR="0056182B">
        <w:rPr>
          <w:rFonts w:ascii="Garamond" w:hAnsi="Garamond"/>
          <w:sz w:val="26"/>
          <w:szCs w:val="26"/>
        </w:rPr>
        <w:t xml:space="preserve"> all’articolo 4, comma 1, lett.</w:t>
      </w:r>
      <w:r w:rsidR="00511BEF" w:rsidRPr="00511BEF">
        <w:rPr>
          <w:rFonts w:ascii="Garamond" w:hAnsi="Garamond"/>
          <w:sz w:val="26"/>
          <w:szCs w:val="26"/>
        </w:rPr>
        <w:t xml:space="preserve"> d), del</w:t>
      </w:r>
      <w:r w:rsidR="00511BEF">
        <w:rPr>
          <w:rFonts w:ascii="Garamond" w:hAnsi="Garamond"/>
          <w:sz w:val="26"/>
          <w:szCs w:val="26"/>
        </w:rPr>
        <w:t xml:space="preserve"> d.lgs. n. 159 del 2011</w:t>
      </w:r>
      <w:r w:rsidR="00511BEF">
        <w:rPr>
          <w:rStyle w:val="Rimandonotaapidipagina"/>
          <w:rFonts w:ascii="Garamond" w:hAnsi="Garamond"/>
          <w:sz w:val="26"/>
          <w:szCs w:val="26"/>
        </w:rPr>
        <w:footnoteReference w:id="22"/>
      </w:r>
      <w:r w:rsidR="00511BEF">
        <w:rPr>
          <w:rFonts w:ascii="Garamond" w:hAnsi="Garamond"/>
          <w:sz w:val="26"/>
          <w:szCs w:val="26"/>
        </w:rPr>
        <w:t xml:space="preserve"> e quindi, in particolare, a coloro che sono </w:t>
      </w:r>
      <w:r w:rsidR="00EB2405">
        <w:rPr>
          <w:rFonts w:ascii="Garamond" w:hAnsi="Garamond"/>
          <w:sz w:val="26"/>
          <w:szCs w:val="26"/>
        </w:rPr>
        <w:t>indiziati di aver commesso reati di matrice terroristica, anche internazionale</w:t>
      </w:r>
      <w:r w:rsidR="00EB2405" w:rsidRPr="00D90CCB">
        <w:rPr>
          <w:rFonts w:ascii="Garamond" w:hAnsi="Garamond"/>
          <w:sz w:val="26"/>
          <w:szCs w:val="26"/>
        </w:rPr>
        <w:t xml:space="preserve">. </w:t>
      </w:r>
      <w:r>
        <w:rPr>
          <w:rFonts w:ascii="Garamond" w:hAnsi="Garamond"/>
          <w:sz w:val="26"/>
          <w:szCs w:val="26"/>
        </w:rPr>
        <w:t>Inoltre,</w:t>
      </w:r>
      <w:r w:rsidR="00511BEF">
        <w:rPr>
          <w:rFonts w:ascii="Garamond" w:hAnsi="Garamond"/>
          <w:sz w:val="26"/>
          <w:szCs w:val="26"/>
        </w:rPr>
        <w:t xml:space="preserve"> è stato </w:t>
      </w:r>
      <w:r w:rsidRPr="00D90CCB">
        <w:rPr>
          <w:rFonts w:ascii="Garamond" w:hAnsi="Garamond"/>
          <w:sz w:val="26"/>
          <w:szCs w:val="26"/>
        </w:rPr>
        <w:t>chiarito che i soggetti denunciati</w:t>
      </w:r>
      <w:r w:rsidR="00511BEF">
        <w:rPr>
          <w:rFonts w:ascii="Garamond" w:hAnsi="Garamond"/>
          <w:sz w:val="26"/>
          <w:szCs w:val="26"/>
        </w:rPr>
        <w:t xml:space="preserve"> o condannati </w:t>
      </w:r>
      <w:r w:rsidRPr="00D90CCB">
        <w:rPr>
          <w:rFonts w:ascii="Garamond" w:hAnsi="Garamond"/>
          <w:sz w:val="26"/>
          <w:szCs w:val="26"/>
        </w:rPr>
        <w:t>per i reati specificament</w:t>
      </w:r>
      <w:r w:rsidR="00C77E55">
        <w:rPr>
          <w:rFonts w:ascii="Garamond" w:hAnsi="Garamond"/>
          <w:sz w:val="26"/>
          <w:szCs w:val="26"/>
        </w:rPr>
        <w:t>e indicati al comma 1, lett. c)</w:t>
      </w:r>
      <w:r w:rsidR="00511BEF">
        <w:rPr>
          <w:rFonts w:ascii="Garamond" w:hAnsi="Garamond"/>
          <w:sz w:val="26"/>
          <w:szCs w:val="26"/>
        </w:rPr>
        <w:t xml:space="preserve"> e lett. d) </w:t>
      </w:r>
      <w:r w:rsidRPr="00D90CCB">
        <w:rPr>
          <w:rFonts w:ascii="Garamond" w:hAnsi="Garamond"/>
          <w:sz w:val="26"/>
          <w:szCs w:val="26"/>
        </w:rPr>
        <w:t>del citato art. 6, possono risultare destinatari del D.A.SPO. «</w:t>
      </w:r>
      <w:r w:rsidRPr="00D90CCB">
        <w:rPr>
          <w:rFonts w:ascii="Garamond" w:hAnsi="Garamond"/>
          <w:i/>
          <w:sz w:val="26"/>
          <w:szCs w:val="26"/>
        </w:rPr>
        <w:t>anche se il fatto non è stato commesso in occasione o a causa di manifestazioni sportive</w:t>
      </w:r>
      <w:r w:rsidRPr="00D90CCB">
        <w:rPr>
          <w:rFonts w:ascii="Garamond" w:hAnsi="Garamond"/>
          <w:sz w:val="26"/>
          <w:szCs w:val="26"/>
        </w:rPr>
        <w:t>»</w:t>
      </w:r>
      <w:r w:rsidRPr="00D90CCB">
        <w:rPr>
          <w:rStyle w:val="Rimandonotaapidipagina"/>
          <w:rFonts w:ascii="Garamond" w:hAnsi="Garamond"/>
          <w:sz w:val="26"/>
          <w:szCs w:val="26"/>
        </w:rPr>
        <w:footnoteReference w:id="23"/>
      </w:r>
      <w:r w:rsidRPr="00D90CCB">
        <w:rPr>
          <w:rFonts w:ascii="Garamond" w:hAnsi="Garamond"/>
          <w:sz w:val="26"/>
          <w:szCs w:val="26"/>
        </w:rPr>
        <w:t>.</w:t>
      </w:r>
    </w:p>
    <w:p w:rsidR="000705E6" w:rsidRDefault="000705E6" w:rsidP="001F2B94">
      <w:pPr>
        <w:pStyle w:val="Paragrafoelenco"/>
        <w:spacing w:after="0" w:line="360" w:lineRule="auto"/>
        <w:ind w:left="0" w:firstLine="709"/>
        <w:jc w:val="both"/>
        <w:rPr>
          <w:rFonts w:ascii="Garamond" w:hAnsi="Garamond"/>
          <w:sz w:val="26"/>
          <w:szCs w:val="26"/>
        </w:rPr>
      </w:pPr>
      <w:r w:rsidRPr="000705E6">
        <w:rPr>
          <w:rFonts w:ascii="Garamond" w:hAnsi="Garamond"/>
          <w:sz w:val="26"/>
          <w:szCs w:val="26"/>
        </w:rPr>
        <w:t>Tale novella ha sollevato criticità</w:t>
      </w:r>
      <w:r w:rsidR="0039270E">
        <w:rPr>
          <w:rFonts w:ascii="Garamond" w:hAnsi="Garamond"/>
          <w:sz w:val="26"/>
          <w:szCs w:val="26"/>
        </w:rPr>
        <w:t>,</w:t>
      </w:r>
      <w:r>
        <w:rPr>
          <w:rFonts w:ascii="Garamond" w:hAnsi="Garamond"/>
          <w:sz w:val="26"/>
          <w:szCs w:val="26"/>
        </w:rPr>
        <w:t xml:space="preserve"> dato che la misura preventiva è stata estesa a soggetti estranei al mondo dello sport e ritenuti pericolosi per aver po</w:t>
      </w:r>
      <w:r w:rsidR="00C77E55">
        <w:rPr>
          <w:rFonts w:ascii="Garamond" w:hAnsi="Garamond"/>
          <w:sz w:val="26"/>
          <w:szCs w:val="26"/>
        </w:rPr>
        <w:t>sto in essere condotte prive di</w:t>
      </w:r>
      <w:r>
        <w:rPr>
          <w:rFonts w:ascii="Garamond" w:hAnsi="Garamond"/>
          <w:sz w:val="26"/>
          <w:szCs w:val="26"/>
        </w:rPr>
        <w:t xml:space="preserve"> collegamento tra il reato e la manifestazione sportiva</w:t>
      </w:r>
      <w:r w:rsidR="009D28D2">
        <w:rPr>
          <w:rStyle w:val="Rimandonotaapidipagina"/>
          <w:rFonts w:ascii="Garamond" w:hAnsi="Garamond"/>
          <w:sz w:val="26"/>
          <w:szCs w:val="26"/>
        </w:rPr>
        <w:footnoteReference w:id="24"/>
      </w:r>
      <w:r>
        <w:rPr>
          <w:rFonts w:ascii="Garamond" w:hAnsi="Garamond"/>
          <w:sz w:val="26"/>
          <w:szCs w:val="26"/>
        </w:rPr>
        <w:t xml:space="preserve">. </w:t>
      </w:r>
    </w:p>
    <w:p w:rsidR="009D28D2" w:rsidRDefault="00EC6C94" w:rsidP="009D28D2">
      <w:pPr>
        <w:pStyle w:val="Paragrafoelenco"/>
        <w:spacing w:after="0" w:line="360" w:lineRule="auto"/>
        <w:ind w:left="0" w:firstLine="709"/>
        <w:jc w:val="both"/>
        <w:rPr>
          <w:rFonts w:ascii="Garamond" w:hAnsi="Garamond"/>
          <w:sz w:val="26"/>
          <w:szCs w:val="26"/>
        </w:rPr>
      </w:pPr>
      <w:r>
        <w:rPr>
          <w:rFonts w:ascii="Garamond" w:hAnsi="Garamond"/>
          <w:sz w:val="26"/>
          <w:szCs w:val="26"/>
        </w:rPr>
        <w:t xml:space="preserve">Invero, le misure limitative della libertà di circolazione – tutelata anche dall’art. 2, Prot. 4, CEDU – devono risultare proporzionate, adeguate a </w:t>
      </w:r>
      <w:r w:rsidR="009D28D2">
        <w:rPr>
          <w:rFonts w:ascii="Garamond" w:hAnsi="Garamond"/>
          <w:sz w:val="26"/>
          <w:szCs w:val="26"/>
        </w:rPr>
        <w:t xml:space="preserve">raggiungere </w:t>
      </w:r>
      <w:r>
        <w:rPr>
          <w:rFonts w:ascii="Garamond" w:hAnsi="Garamond"/>
          <w:sz w:val="26"/>
          <w:szCs w:val="26"/>
        </w:rPr>
        <w:t>l’</w:t>
      </w:r>
      <w:r w:rsidR="00921CC5">
        <w:rPr>
          <w:rFonts w:ascii="Garamond" w:hAnsi="Garamond"/>
          <w:sz w:val="26"/>
          <w:szCs w:val="26"/>
        </w:rPr>
        <w:t>obiettivo che si prefiggono di ottenere</w:t>
      </w:r>
      <w:r>
        <w:rPr>
          <w:rFonts w:ascii="Garamond" w:hAnsi="Garamond"/>
          <w:sz w:val="26"/>
          <w:szCs w:val="26"/>
        </w:rPr>
        <w:t xml:space="preserve"> e, dunque, idonee </w:t>
      </w:r>
      <w:r w:rsidR="009D28D2">
        <w:rPr>
          <w:rFonts w:ascii="Garamond" w:hAnsi="Garamond"/>
          <w:sz w:val="26"/>
          <w:szCs w:val="26"/>
        </w:rPr>
        <w:t xml:space="preserve">a soddisfare la loro funzione preventiva e protettiva. </w:t>
      </w:r>
    </w:p>
    <w:p w:rsidR="000D7B52" w:rsidRDefault="00650FC9" w:rsidP="002F563C">
      <w:pPr>
        <w:pStyle w:val="Paragrafoelenco"/>
        <w:spacing w:after="0" w:line="360" w:lineRule="auto"/>
        <w:ind w:left="0" w:firstLine="709"/>
        <w:jc w:val="both"/>
        <w:rPr>
          <w:rFonts w:ascii="Garamond" w:hAnsi="Garamond"/>
          <w:sz w:val="26"/>
          <w:szCs w:val="26"/>
        </w:rPr>
      </w:pPr>
      <w:r>
        <w:rPr>
          <w:rFonts w:ascii="Garamond" w:hAnsi="Garamond"/>
          <w:sz w:val="26"/>
          <w:szCs w:val="26"/>
        </w:rPr>
        <w:t>La verifica di proporzionalità</w:t>
      </w:r>
      <w:r w:rsidR="00021BFD">
        <w:rPr>
          <w:rFonts w:ascii="Garamond" w:hAnsi="Garamond"/>
          <w:sz w:val="26"/>
          <w:szCs w:val="26"/>
        </w:rPr>
        <w:t xml:space="preserve"> può</w:t>
      </w:r>
      <w:r>
        <w:rPr>
          <w:rFonts w:ascii="Garamond" w:hAnsi="Garamond"/>
          <w:sz w:val="26"/>
          <w:szCs w:val="26"/>
        </w:rPr>
        <w:t xml:space="preserve"> essere condotta </w:t>
      </w:r>
      <w:r w:rsidR="00921CC5">
        <w:rPr>
          <w:rFonts w:ascii="Garamond" w:hAnsi="Garamond"/>
          <w:sz w:val="26"/>
          <w:szCs w:val="26"/>
        </w:rPr>
        <w:t>tenendo in considerazione</w:t>
      </w:r>
      <w:r w:rsidR="00C07BEE">
        <w:rPr>
          <w:rFonts w:ascii="Garamond" w:hAnsi="Garamond"/>
          <w:sz w:val="26"/>
          <w:szCs w:val="26"/>
        </w:rPr>
        <w:t xml:space="preserve"> la necessità di</w:t>
      </w:r>
      <w:r w:rsidR="00021BFD">
        <w:rPr>
          <w:rFonts w:ascii="Garamond" w:hAnsi="Garamond"/>
          <w:sz w:val="26"/>
          <w:szCs w:val="26"/>
        </w:rPr>
        <w:t xml:space="preserve"> tutelare il diritto </w:t>
      </w:r>
      <w:r w:rsidR="000E610E">
        <w:rPr>
          <w:rFonts w:ascii="Garamond" w:hAnsi="Garamond"/>
          <w:sz w:val="26"/>
          <w:szCs w:val="26"/>
        </w:rPr>
        <w:t>dei</w:t>
      </w:r>
      <w:r w:rsidR="00021BFD">
        <w:rPr>
          <w:rFonts w:ascii="Garamond" w:hAnsi="Garamond"/>
          <w:sz w:val="26"/>
          <w:szCs w:val="26"/>
        </w:rPr>
        <w:t xml:space="preserve"> </w:t>
      </w:r>
      <w:r w:rsidR="00936D24">
        <w:rPr>
          <w:rFonts w:ascii="Garamond" w:hAnsi="Garamond"/>
          <w:sz w:val="26"/>
          <w:szCs w:val="26"/>
        </w:rPr>
        <w:t>tifosi</w:t>
      </w:r>
      <w:r w:rsidR="00021BFD">
        <w:rPr>
          <w:rFonts w:ascii="Garamond" w:hAnsi="Garamond"/>
          <w:sz w:val="26"/>
          <w:szCs w:val="26"/>
        </w:rPr>
        <w:t xml:space="preserve"> pacifici di assistere all’evento sportivo in sicurezza</w:t>
      </w:r>
      <w:r w:rsidR="00936D24">
        <w:rPr>
          <w:rFonts w:ascii="Garamond" w:hAnsi="Garamond"/>
          <w:sz w:val="26"/>
          <w:szCs w:val="26"/>
        </w:rPr>
        <w:t>. Va, in</w:t>
      </w:r>
      <w:r w:rsidR="0033490A">
        <w:rPr>
          <w:rFonts w:ascii="Garamond" w:hAnsi="Garamond"/>
          <w:sz w:val="26"/>
          <w:szCs w:val="26"/>
        </w:rPr>
        <w:t>fatti</w:t>
      </w:r>
      <w:r w:rsidR="00936D24">
        <w:rPr>
          <w:rFonts w:ascii="Garamond" w:hAnsi="Garamond"/>
          <w:sz w:val="26"/>
          <w:szCs w:val="26"/>
        </w:rPr>
        <w:t>, considerat</w:t>
      </w:r>
      <w:r w:rsidR="002F563C">
        <w:rPr>
          <w:rFonts w:ascii="Garamond" w:hAnsi="Garamond"/>
          <w:sz w:val="26"/>
          <w:szCs w:val="26"/>
        </w:rPr>
        <w:t xml:space="preserve">o che il particolare </w:t>
      </w:r>
      <w:r w:rsidR="00021BFD">
        <w:rPr>
          <w:rFonts w:ascii="Garamond" w:hAnsi="Garamond"/>
          <w:sz w:val="26"/>
          <w:szCs w:val="26"/>
        </w:rPr>
        <w:t>contesto</w:t>
      </w:r>
      <w:r w:rsidR="00E83555">
        <w:rPr>
          <w:rFonts w:ascii="Garamond" w:hAnsi="Garamond"/>
          <w:sz w:val="26"/>
          <w:szCs w:val="26"/>
        </w:rPr>
        <w:t xml:space="preserve"> </w:t>
      </w:r>
      <w:r w:rsidR="002F563C">
        <w:rPr>
          <w:rFonts w:ascii="Garamond" w:hAnsi="Garamond"/>
          <w:sz w:val="26"/>
          <w:szCs w:val="26"/>
        </w:rPr>
        <w:t xml:space="preserve">di uno stadio </w:t>
      </w:r>
      <w:r w:rsidR="00E83555">
        <w:rPr>
          <w:rFonts w:ascii="Garamond" w:hAnsi="Garamond"/>
          <w:sz w:val="26"/>
          <w:szCs w:val="26"/>
        </w:rPr>
        <w:t xml:space="preserve">– </w:t>
      </w:r>
      <w:r w:rsidR="0039270E">
        <w:rPr>
          <w:rFonts w:ascii="Garamond" w:hAnsi="Garamond"/>
          <w:sz w:val="26"/>
          <w:szCs w:val="26"/>
        </w:rPr>
        <w:t>luogo di aggregazione di diverse migliaia di tifosi, concitati in rapporto alle varie fasi di gioco</w:t>
      </w:r>
      <w:r w:rsidR="002F563C">
        <w:rPr>
          <w:rFonts w:ascii="Garamond" w:hAnsi="Garamond"/>
          <w:sz w:val="26"/>
          <w:szCs w:val="26"/>
        </w:rPr>
        <w:t xml:space="preserve"> </w:t>
      </w:r>
      <w:r w:rsidR="00E83555">
        <w:rPr>
          <w:rFonts w:ascii="Garamond" w:hAnsi="Garamond"/>
          <w:sz w:val="26"/>
          <w:szCs w:val="26"/>
        </w:rPr>
        <w:t xml:space="preserve">– </w:t>
      </w:r>
      <w:r w:rsidR="002F563C">
        <w:rPr>
          <w:rFonts w:ascii="Garamond" w:hAnsi="Garamond"/>
          <w:sz w:val="26"/>
          <w:szCs w:val="26"/>
        </w:rPr>
        <w:t xml:space="preserve">può risultare un obiettivo sensibile </w:t>
      </w:r>
      <w:r w:rsidR="0039270E">
        <w:rPr>
          <w:rFonts w:ascii="Garamond" w:hAnsi="Garamond"/>
          <w:sz w:val="26"/>
          <w:szCs w:val="26"/>
        </w:rPr>
        <w:t xml:space="preserve">per gli attacchi terroristici e, in generale, </w:t>
      </w:r>
      <w:r w:rsidR="002F563C">
        <w:rPr>
          <w:rFonts w:ascii="Garamond" w:hAnsi="Garamond"/>
          <w:sz w:val="26"/>
          <w:szCs w:val="26"/>
        </w:rPr>
        <w:t xml:space="preserve">un luogo in cui </w:t>
      </w:r>
      <w:r w:rsidR="00E83555">
        <w:rPr>
          <w:rFonts w:ascii="Garamond" w:hAnsi="Garamond"/>
          <w:sz w:val="26"/>
          <w:szCs w:val="26"/>
        </w:rPr>
        <w:t>pi</w:t>
      </w:r>
      <w:r w:rsidR="002F563C">
        <w:rPr>
          <w:rFonts w:ascii="Garamond" w:hAnsi="Garamond"/>
          <w:sz w:val="26"/>
          <w:szCs w:val="26"/>
        </w:rPr>
        <w:t>ù facilmente possono verificarsi episodi di violenza tali</w:t>
      </w:r>
      <w:r w:rsidR="00936D24">
        <w:rPr>
          <w:rFonts w:ascii="Garamond" w:hAnsi="Garamond"/>
          <w:sz w:val="26"/>
          <w:szCs w:val="26"/>
        </w:rPr>
        <w:t xml:space="preserve"> da mettere in pericolo l’</w:t>
      </w:r>
      <w:r w:rsidR="002F563C">
        <w:rPr>
          <w:rFonts w:ascii="Garamond" w:hAnsi="Garamond"/>
          <w:sz w:val="26"/>
          <w:szCs w:val="26"/>
        </w:rPr>
        <w:t>incolumità degli spettatori.</w:t>
      </w:r>
    </w:p>
    <w:p w:rsidR="0039270E" w:rsidRDefault="0039270E" w:rsidP="002F563C">
      <w:pPr>
        <w:pStyle w:val="Paragrafoelenco"/>
        <w:spacing w:after="0" w:line="360" w:lineRule="auto"/>
        <w:ind w:left="0" w:firstLine="709"/>
        <w:jc w:val="both"/>
        <w:rPr>
          <w:rFonts w:ascii="Garamond" w:hAnsi="Garamond"/>
          <w:sz w:val="26"/>
          <w:szCs w:val="26"/>
        </w:rPr>
      </w:pPr>
      <w:r>
        <w:rPr>
          <w:rFonts w:ascii="Garamond" w:hAnsi="Garamond"/>
          <w:sz w:val="26"/>
          <w:szCs w:val="26"/>
        </w:rPr>
        <w:t xml:space="preserve">Dunque, letta la norma in questi termini, si giustifica l’anticipazione della soglia di tutela </w:t>
      </w:r>
      <w:r w:rsidR="0033490A">
        <w:rPr>
          <w:rFonts w:ascii="Garamond" w:hAnsi="Garamond"/>
          <w:sz w:val="26"/>
          <w:szCs w:val="26"/>
        </w:rPr>
        <w:t xml:space="preserve">contenuta nella novella legislativa. </w:t>
      </w:r>
    </w:p>
    <w:p w:rsidR="001F2B94" w:rsidRDefault="001F2B94" w:rsidP="00497A5A">
      <w:pPr>
        <w:pStyle w:val="Paragrafoelenco"/>
        <w:spacing w:after="0" w:line="360" w:lineRule="auto"/>
        <w:ind w:left="714"/>
        <w:jc w:val="both"/>
        <w:rPr>
          <w:rFonts w:ascii="Garamond" w:hAnsi="Garamond"/>
          <w:sz w:val="26"/>
          <w:szCs w:val="26"/>
        </w:rPr>
      </w:pPr>
    </w:p>
    <w:p w:rsidR="006E4439" w:rsidRDefault="00011866" w:rsidP="00011866">
      <w:pPr>
        <w:pStyle w:val="Paragrafoelenco"/>
        <w:numPr>
          <w:ilvl w:val="1"/>
          <w:numId w:val="2"/>
        </w:numPr>
        <w:spacing w:after="0" w:line="360" w:lineRule="auto"/>
        <w:jc w:val="both"/>
        <w:rPr>
          <w:rFonts w:ascii="Garamond" w:hAnsi="Garamond"/>
          <w:b/>
          <w:sz w:val="26"/>
          <w:szCs w:val="26"/>
        </w:rPr>
      </w:pPr>
      <w:r w:rsidRPr="0086229B">
        <w:rPr>
          <w:rFonts w:ascii="Garamond" w:hAnsi="Garamond"/>
          <w:b/>
          <w:i/>
          <w:sz w:val="26"/>
          <w:szCs w:val="26"/>
        </w:rPr>
        <w:t>Segue</w:t>
      </w:r>
      <w:r>
        <w:rPr>
          <w:rFonts w:ascii="Garamond" w:hAnsi="Garamond"/>
          <w:b/>
          <w:sz w:val="26"/>
          <w:szCs w:val="26"/>
        </w:rPr>
        <w:t xml:space="preserve">: la </w:t>
      </w:r>
      <w:r w:rsidR="00497A5A" w:rsidRPr="000D7B52">
        <w:rPr>
          <w:rFonts w:ascii="Garamond" w:hAnsi="Garamond"/>
          <w:b/>
          <w:sz w:val="26"/>
          <w:szCs w:val="26"/>
        </w:rPr>
        <w:t>nozione di “manifestazione sportiva”.</w:t>
      </w:r>
    </w:p>
    <w:p w:rsidR="0038346D" w:rsidRPr="006E4439" w:rsidRDefault="006E4439" w:rsidP="006E4439">
      <w:pPr>
        <w:pStyle w:val="Paragrafoelenco"/>
        <w:spacing w:after="0" w:line="360" w:lineRule="auto"/>
        <w:ind w:left="0" w:firstLine="709"/>
        <w:jc w:val="both"/>
        <w:rPr>
          <w:rFonts w:ascii="Garamond" w:hAnsi="Garamond"/>
          <w:b/>
          <w:sz w:val="26"/>
          <w:szCs w:val="26"/>
        </w:rPr>
      </w:pPr>
      <w:r w:rsidRPr="006E4439">
        <w:rPr>
          <w:rFonts w:ascii="Garamond" w:hAnsi="Garamond"/>
          <w:sz w:val="26"/>
          <w:szCs w:val="26"/>
        </w:rPr>
        <w:t xml:space="preserve">Come anticipato, </w:t>
      </w:r>
      <w:r>
        <w:rPr>
          <w:rFonts w:ascii="Garamond" w:hAnsi="Garamond"/>
          <w:sz w:val="26"/>
          <w:szCs w:val="26"/>
        </w:rPr>
        <w:t>l</w:t>
      </w:r>
      <w:r w:rsidRPr="006E4439">
        <w:rPr>
          <w:rFonts w:ascii="Garamond" w:hAnsi="Garamond"/>
          <w:sz w:val="26"/>
          <w:szCs w:val="26"/>
        </w:rPr>
        <w:t>’art. 6, comma 1, della l. n. 401 del 1989 prevede, tra l’altro, che il Questore possa</w:t>
      </w:r>
      <w:r>
        <w:rPr>
          <w:rFonts w:ascii="Garamond" w:hAnsi="Garamond"/>
          <w:sz w:val="26"/>
          <w:szCs w:val="26"/>
        </w:rPr>
        <w:t xml:space="preserve"> </w:t>
      </w:r>
      <w:r w:rsidRPr="006E4439">
        <w:rPr>
          <w:rFonts w:ascii="Garamond" w:hAnsi="Garamond"/>
          <w:sz w:val="26"/>
          <w:szCs w:val="26"/>
        </w:rPr>
        <w:t>disporre il divieto di accesso ai luoghi in cui si svolgono manifestazioni sportive specificamente</w:t>
      </w:r>
      <w:r>
        <w:rPr>
          <w:rFonts w:ascii="Garamond" w:hAnsi="Garamond"/>
          <w:b/>
          <w:sz w:val="26"/>
          <w:szCs w:val="26"/>
        </w:rPr>
        <w:t xml:space="preserve"> </w:t>
      </w:r>
      <w:r w:rsidRPr="006E4439">
        <w:rPr>
          <w:rFonts w:ascii="Garamond" w:hAnsi="Garamond"/>
          <w:sz w:val="26"/>
          <w:szCs w:val="26"/>
        </w:rPr>
        <w:t xml:space="preserve">indicate nei confronti </w:t>
      </w:r>
      <w:r w:rsidR="00571625">
        <w:rPr>
          <w:rFonts w:ascii="Garamond" w:hAnsi="Garamond"/>
          <w:sz w:val="26"/>
          <w:szCs w:val="26"/>
        </w:rPr>
        <w:t>di «</w:t>
      </w:r>
      <w:r w:rsidR="00571625" w:rsidRPr="00571625">
        <w:rPr>
          <w:rFonts w:ascii="Garamond" w:hAnsi="Garamond"/>
          <w:i/>
          <w:sz w:val="26"/>
          <w:szCs w:val="26"/>
        </w:rPr>
        <w:t>a) coloro che risultino denunciati per aver preso parte attiva a episodi di violenza su persone o cose in occasione o a causa di manifestazioni sportive, o che nelle medesime circostanze abbi</w:t>
      </w:r>
      <w:r w:rsidR="00032956" w:rsidRPr="00571625">
        <w:rPr>
          <w:rFonts w:ascii="Garamond" w:hAnsi="Garamond"/>
          <w:i/>
          <w:sz w:val="26"/>
          <w:szCs w:val="26"/>
        </w:rPr>
        <w:t>a</w:t>
      </w:r>
      <w:r w:rsidR="00571625" w:rsidRPr="00571625">
        <w:rPr>
          <w:rFonts w:ascii="Garamond" w:hAnsi="Garamond"/>
          <w:i/>
          <w:sz w:val="26"/>
          <w:szCs w:val="26"/>
        </w:rPr>
        <w:t>no incitato, inneggiato o indotto alla violenza</w:t>
      </w:r>
      <w:r w:rsidR="00571625">
        <w:rPr>
          <w:rFonts w:ascii="Garamond" w:hAnsi="Garamond"/>
          <w:sz w:val="26"/>
          <w:szCs w:val="26"/>
        </w:rPr>
        <w:t>».</w:t>
      </w:r>
    </w:p>
    <w:p w:rsidR="00094A47" w:rsidRDefault="00985B5D" w:rsidP="00094A47">
      <w:pPr>
        <w:pStyle w:val="Paragrafoelenco"/>
        <w:spacing w:after="0" w:line="360" w:lineRule="auto"/>
        <w:ind w:left="0" w:firstLine="709"/>
        <w:jc w:val="both"/>
        <w:rPr>
          <w:rFonts w:ascii="Garamond" w:hAnsi="Garamond"/>
          <w:sz w:val="26"/>
          <w:szCs w:val="26"/>
        </w:rPr>
      </w:pPr>
      <w:r>
        <w:rPr>
          <w:rFonts w:ascii="Garamond" w:hAnsi="Garamond"/>
          <w:sz w:val="26"/>
          <w:szCs w:val="26"/>
        </w:rPr>
        <w:t>La</w:t>
      </w:r>
      <w:r w:rsidR="00032956">
        <w:rPr>
          <w:rFonts w:ascii="Garamond" w:hAnsi="Garamond"/>
          <w:sz w:val="26"/>
          <w:szCs w:val="26"/>
        </w:rPr>
        <w:t xml:space="preserve"> locuzione “in occasione o a causa di manifestazioni sportive”</w:t>
      </w:r>
      <w:r>
        <w:rPr>
          <w:rFonts w:ascii="Garamond" w:hAnsi="Garamond"/>
          <w:sz w:val="26"/>
          <w:szCs w:val="26"/>
        </w:rPr>
        <w:t xml:space="preserve"> ha </w:t>
      </w:r>
      <w:r w:rsidR="00D40D37">
        <w:rPr>
          <w:rFonts w:ascii="Garamond" w:hAnsi="Garamond"/>
          <w:sz w:val="26"/>
          <w:szCs w:val="26"/>
        </w:rPr>
        <w:t>sollevato dubbi interpretativi</w:t>
      </w:r>
      <w:r w:rsidR="00D40D37">
        <w:rPr>
          <w:rStyle w:val="Rimandonotaapidipagina"/>
          <w:rFonts w:ascii="Garamond" w:hAnsi="Garamond"/>
          <w:sz w:val="26"/>
          <w:szCs w:val="26"/>
        </w:rPr>
        <w:footnoteReference w:id="25"/>
      </w:r>
      <w:r w:rsidR="00D40D37">
        <w:rPr>
          <w:rFonts w:ascii="Garamond" w:hAnsi="Garamond"/>
          <w:sz w:val="26"/>
          <w:szCs w:val="26"/>
        </w:rPr>
        <w:t>,</w:t>
      </w:r>
      <w:r>
        <w:rPr>
          <w:rFonts w:ascii="Garamond" w:hAnsi="Garamond"/>
          <w:sz w:val="26"/>
          <w:szCs w:val="26"/>
        </w:rPr>
        <w:t xml:space="preserve"> cui si è tentato di fornire risposta attraverso l</w:t>
      </w:r>
      <w:r w:rsidR="00094A47" w:rsidRPr="00094A47">
        <w:rPr>
          <w:rFonts w:ascii="Garamond" w:hAnsi="Garamond"/>
          <w:sz w:val="26"/>
          <w:szCs w:val="26"/>
        </w:rPr>
        <w:t>’art. 2-</w:t>
      </w:r>
      <w:r w:rsidR="00094A47" w:rsidRPr="00094A47">
        <w:rPr>
          <w:rFonts w:ascii="Garamond" w:hAnsi="Garamond"/>
          <w:i/>
          <w:sz w:val="26"/>
          <w:szCs w:val="26"/>
        </w:rPr>
        <w:t>bis</w:t>
      </w:r>
      <w:r w:rsidR="00094A47" w:rsidRPr="00094A47">
        <w:rPr>
          <w:rFonts w:ascii="Garamond" w:hAnsi="Garamond"/>
          <w:sz w:val="26"/>
          <w:szCs w:val="26"/>
        </w:rPr>
        <w:t>, comma 1,</w:t>
      </w:r>
      <w:r w:rsidR="00094A47" w:rsidRPr="00094A47">
        <w:rPr>
          <w:rFonts w:ascii="Garamond" w:hAnsi="Garamond"/>
          <w:i/>
          <w:sz w:val="26"/>
          <w:szCs w:val="26"/>
        </w:rPr>
        <w:t xml:space="preserve"> </w:t>
      </w:r>
      <w:r w:rsidR="00094A47" w:rsidRPr="00094A47">
        <w:rPr>
          <w:rFonts w:ascii="Garamond" w:hAnsi="Garamond"/>
          <w:sz w:val="26"/>
          <w:szCs w:val="26"/>
        </w:rPr>
        <w:t>del d.l. n. 336 del 20</w:t>
      </w:r>
      <w:r>
        <w:rPr>
          <w:rFonts w:ascii="Garamond" w:hAnsi="Garamond"/>
          <w:sz w:val="26"/>
          <w:szCs w:val="26"/>
        </w:rPr>
        <w:t xml:space="preserve">01, conv. in l. n. 377 del 2001. L’articolo </w:t>
      </w:r>
      <w:r w:rsidR="00094A47" w:rsidRPr="00094A47">
        <w:rPr>
          <w:rFonts w:ascii="Garamond" w:hAnsi="Garamond"/>
          <w:sz w:val="26"/>
          <w:szCs w:val="26"/>
        </w:rPr>
        <w:t>conti</w:t>
      </w:r>
      <w:r w:rsidR="00094A47">
        <w:rPr>
          <w:rFonts w:ascii="Garamond" w:hAnsi="Garamond"/>
          <w:sz w:val="26"/>
          <w:szCs w:val="26"/>
        </w:rPr>
        <w:t>e</w:t>
      </w:r>
      <w:r w:rsidR="00094A47" w:rsidRPr="00094A47">
        <w:rPr>
          <w:rFonts w:ascii="Garamond" w:hAnsi="Garamond"/>
          <w:sz w:val="26"/>
          <w:szCs w:val="26"/>
        </w:rPr>
        <w:t>ne</w:t>
      </w:r>
      <w:r>
        <w:rPr>
          <w:rFonts w:ascii="Garamond" w:hAnsi="Garamond"/>
          <w:sz w:val="26"/>
          <w:szCs w:val="26"/>
        </w:rPr>
        <w:t>, infatti,</w:t>
      </w:r>
      <w:r w:rsidR="00094A47" w:rsidRPr="00094A47">
        <w:rPr>
          <w:rFonts w:ascii="Garamond" w:hAnsi="Garamond"/>
          <w:sz w:val="26"/>
          <w:szCs w:val="26"/>
        </w:rPr>
        <w:t xml:space="preserve"> una norma di interpretazione </w:t>
      </w:r>
      <w:r w:rsidR="00094A47">
        <w:rPr>
          <w:rFonts w:ascii="Garamond" w:hAnsi="Garamond"/>
          <w:sz w:val="26"/>
          <w:szCs w:val="26"/>
        </w:rPr>
        <w:t>autentica</w:t>
      </w:r>
      <w:r w:rsidR="00094A47" w:rsidRPr="00094A47">
        <w:rPr>
          <w:rFonts w:ascii="Garamond" w:hAnsi="Garamond"/>
          <w:sz w:val="26"/>
          <w:szCs w:val="26"/>
        </w:rPr>
        <w:t xml:space="preserve"> secondo cui «</w:t>
      </w:r>
      <w:r w:rsidR="00094A47" w:rsidRPr="00094A47">
        <w:rPr>
          <w:rFonts w:ascii="Garamond" w:hAnsi="Garamond"/>
          <w:i/>
          <w:sz w:val="26"/>
          <w:szCs w:val="26"/>
        </w:rPr>
        <w:t>per manifestazioni sportive ai sensi degli articoli 1 e 2, si intendono le competizioni che si svolgono nell’</w:t>
      </w:r>
      <w:r w:rsidR="00C77E55">
        <w:rPr>
          <w:rFonts w:ascii="Garamond" w:hAnsi="Garamond"/>
          <w:i/>
          <w:sz w:val="26"/>
          <w:szCs w:val="26"/>
        </w:rPr>
        <w:t>ambito delle attività previste dalle federazioni sportive e</w:t>
      </w:r>
      <w:r w:rsidR="00094A47" w:rsidRPr="00094A47">
        <w:rPr>
          <w:rFonts w:ascii="Garamond" w:hAnsi="Garamond"/>
          <w:i/>
          <w:sz w:val="26"/>
          <w:szCs w:val="26"/>
        </w:rPr>
        <w:t xml:space="preserve"> dagli enti e organizzazioni riconosciuti dal Comitato olimpico nazionale italiano (CONI)</w:t>
      </w:r>
      <w:r w:rsidR="00094A47" w:rsidRPr="00094A47">
        <w:rPr>
          <w:rFonts w:ascii="Garamond" w:hAnsi="Garamond"/>
          <w:sz w:val="26"/>
          <w:szCs w:val="26"/>
        </w:rPr>
        <w:t>»</w:t>
      </w:r>
      <w:r w:rsidR="00094A47">
        <w:rPr>
          <w:rFonts w:ascii="Garamond" w:hAnsi="Garamond"/>
          <w:sz w:val="26"/>
          <w:szCs w:val="26"/>
        </w:rPr>
        <w:t>.</w:t>
      </w:r>
    </w:p>
    <w:p w:rsidR="001E55B1" w:rsidRDefault="001E60B5" w:rsidP="00094A47">
      <w:pPr>
        <w:pStyle w:val="Paragrafoelenco"/>
        <w:spacing w:after="0" w:line="360" w:lineRule="auto"/>
        <w:ind w:left="0" w:firstLine="709"/>
        <w:jc w:val="both"/>
        <w:rPr>
          <w:rFonts w:ascii="Garamond" w:hAnsi="Garamond"/>
          <w:sz w:val="26"/>
          <w:szCs w:val="26"/>
        </w:rPr>
      </w:pPr>
      <w:r>
        <w:rPr>
          <w:rFonts w:ascii="Garamond" w:hAnsi="Garamond"/>
          <w:sz w:val="26"/>
          <w:szCs w:val="26"/>
        </w:rPr>
        <w:t>L’introduzione di tale norma si è resa necessaria al fine</w:t>
      </w:r>
      <w:r w:rsidR="001E55B1">
        <w:rPr>
          <w:rFonts w:ascii="Garamond" w:hAnsi="Garamond"/>
          <w:sz w:val="26"/>
          <w:szCs w:val="26"/>
        </w:rPr>
        <w:t xml:space="preserve"> di delimitare il campo</w:t>
      </w:r>
      <w:r>
        <w:rPr>
          <w:rFonts w:ascii="Garamond" w:hAnsi="Garamond"/>
          <w:sz w:val="26"/>
          <w:szCs w:val="26"/>
        </w:rPr>
        <w:t xml:space="preserve"> delle manifestazioni coinvolte, escludendo che il bene giuridico tutelato fosse quello della sicurezza in occasione di una qualsivoglia manifestazione semplicemente collegata all’attività sportiva e, dunque, di natura meramente parasportiva</w:t>
      </w:r>
      <w:r>
        <w:rPr>
          <w:rStyle w:val="Rimandonotaapidipagina"/>
          <w:rFonts w:ascii="Garamond" w:hAnsi="Garamond"/>
          <w:sz w:val="26"/>
          <w:szCs w:val="26"/>
        </w:rPr>
        <w:footnoteReference w:id="26"/>
      </w:r>
      <w:r>
        <w:rPr>
          <w:rFonts w:ascii="Garamond" w:hAnsi="Garamond"/>
          <w:sz w:val="26"/>
          <w:szCs w:val="26"/>
        </w:rPr>
        <w:t>.</w:t>
      </w:r>
    </w:p>
    <w:p w:rsidR="005C319D" w:rsidRDefault="00676D2C" w:rsidP="00094A47">
      <w:pPr>
        <w:pStyle w:val="Paragrafoelenco"/>
        <w:spacing w:after="0" w:line="360" w:lineRule="auto"/>
        <w:ind w:left="0" w:firstLine="709"/>
        <w:jc w:val="both"/>
        <w:rPr>
          <w:rFonts w:ascii="Garamond" w:hAnsi="Garamond"/>
          <w:sz w:val="26"/>
          <w:szCs w:val="26"/>
        </w:rPr>
      </w:pPr>
      <w:r>
        <w:rPr>
          <w:rFonts w:ascii="Garamond" w:hAnsi="Garamond"/>
          <w:sz w:val="26"/>
          <w:szCs w:val="26"/>
        </w:rPr>
        <w:t>L’elaborazione</w:t>
      </w:r>
      <w:r w:rsidR="005C319D">
        <w:rPr>
          <w:rFonts w:ascii="Garamond" w:hAnsi="Garamond"/>
          <w:sz w:val="26"/>
          <w:szCs w:val="26"/>
        </w:rPr>
        <w:t xml:space="preserve"> giurisprudenziale che ne è </w:t>
      </w:r>
      <w:r>
        <w:rPr>
          <w:rFonts w:ascii="Garamond" w:hAnsi="Garamond"/>
          <w:sz w:val="26"/>
          <w:szCs w:val="26"/>
        </w:rPr>
        <w:t xml:space="preserve">scaturita </w:t>
      </w:r>
      <w:r w:rsidR="00C77E55">
        <w:rPr>
          <w:rFonts w:ascii="Garamond" w:hAnsi="Garamond"/>
          <w:sz w:val="26"/>
          <w:szCs w:val="26"/>
        </w:rPr>
        <w:t>ha chiarito e specificato i</w:t>
      </w:r>
      <w:r w:rsidR="00E23DD6">
        <w:rPr>
          <w:rFonts w:ascii="Garamond" w:hAnsi="Garamond"/>
          <w:sz w:val="26"/>
          <w:szCs w:val="26"/>
        </w:rPr>
        <w:t xml:space="preserve"> confini applicativi </w:t>
      </w:r>
      <w:r>
        <w:rPr>
          <w:rFonts w:ascii="Garamond" w:hAnsi="Garamond"/>
          <w:sz w:val="26"/>
          <w:szCs w:val="26"/>
        </w:rPr>
        <w:t>tracciat</w:t>
      </w:r>
      <w:r w:rsidR="00E23DD6">
        <w:rPr>
          <w:rFonts w:ascii="Garamond" w:hAnsi="Garamond"/>
          <w:sz w:val="26"/>
          <w:szCs w:val="26"/>
        </w:rPr>
        <w:t>i</w:t>
      </w:r>
      <w:r w:rsidR="005C319D">
        <w:rPr>
          <w:rFonts w:ascii="Garamond" w:hAnsi="Garamond"/>
          <w:sz w:val="26"/>
          <w:szCs w:val="26"/>
        </w:rPr>
        <w:t xml:space="preserve"> dal legislatore. </w:t>
      </w:r>
    </w:p>
    <w:p w:rsidR="00676D2C" w:rsidRDefault="00676D2C" w:rsidP="00094A47">
      <w:pPr>
        <w:pStyle w:val="Paragrafoelenco"/>
        <w:spacing w:after="0" w:line="360" w:lineRule="auto"/>
        <w:ind w:left="0" w:firstLine="709"/>
        <w:jc w:val="both"/>
        <w:rPr>
          <w:rFonts w:ascii="Garamond" w:hAnsi="Garamond"/>
          <w:sz w:val="26"/>
          <w:szCs w:val="26"/>
        </w:rPr>
      </w:pPr>
      <w:r>
        <w:rPr>
          <w:rFonts w:ascii="Garamond" w:hAnsi="Garamond"/>
          <w:sz w:val="26"/>
          <w:szCs w:val="26"/>
        </w:rPr>
        <w:t xml:space="preserve">In particolare, </w:t>
      </w:r>
      <w:r w:rsidR="00AF4B98">
        <w:rPr>
          <w:rFonts w:ascii="Garamond" w:hAnsi="Garamond"/>
          <w:sz w:val="26"/>
          <w:szCs w:val="26"/>
        </w:rPr>
        <w:t xml:space="preserve">è stato </w:t>
      </w:r>
      <w:r w:rsidR="0011224A">
        <w:rPr>
          <w:rFonts w:ascii="Garamond" w:hAnsi="Garamond"/>
          <w:sz w:val="26"/>
          <w:szCs w:val="26"/>
        </w:rPr>
        <w:t>precisato</w:t>
      </w:r>
      <w:r w:rsidR="00AF4B98">
        <w:rPr>
          <w:rFonts w:ascii="Garamond" w:hAnsi="Garamond"/>
          <w:sz w:val="26"/>
          <w:szCs w:val="26"/>
        </w:rPr>
        <w:t xml:space="preserve"> come le espressioni “in occasione” o “a causa” di manifestazioni sportive implichino semplicemente un nesso eziologico tra la condotta e l’evento sportivo. Ciò determina che possono giustificare l’adozione del D.A.SPO. anche condotte poste in essere in un contesto spazio-temporale diverso dalla competizione sportiva – intesa nel senso di disputa di una gara agonistica – </w:t>
      </w:r>
      <w:r w:rsidR="00C77E55">
        <w:rPr>
          <w:rFonts w:ascii="Garamond" w:hAnsi="Garamond"/>
          <w:sz w:val="26"/>
          <w:szCs w:val="26"/>
        </w:rPr>
        <w:t>laddove</w:t>
      </w:r>
      <w:r w:rsidR="00AF4B98">
        <w:rPr>
          <w:rFonts w:ascii="Garamond" w:hAnsi="Garamond"/>
          <w:sz w:val="26"/>
          <w:szCs w:val="26"/>
        </w:rPr>
        <w:t xml:space="preserve"> lo sport incornici il contesto</w:t>
      </w:r>
      <w:r w:rsidR="00D45AC4">
        <w:rPr>
          <w:rFonts w:ascii="Garamond" w:hAnsi="Garamond"/>
          <w:sz w:val="26"/>
          <w:szCs w:val="26"/>
        </w:rPr>
        <w:t>,</w:t>
      </w:r>
      <w:r w:rsidR="00AF4B98">
        <w:rPr>
          <w:rFonts w:ascii="Garamond" w:hAnsi="Garamond"/>
          <w:sz w:val="26"/>
          <w:szCs w:val="26"/>
        </w:rPr>
        <w:t xml:space="preserve"> rappresentando l’origine o il pretesto di fenomeni di violenza, </w:t>
      </w:r>
      <w:r w:rsidR="00C77E55">
        <w:rPr>
          <w:rFonts w:ascii="Garamond" w:hAnsi="Garamond"/>
          <w:sz w:val="26"/>
          <w:szCs w:val="26"/>
        </w:rPr>
        <w:t>che mettano</w:t>
      </w:r>
      <w:r w:rsidR="00BD2104">
        <w:rPr>
          <w:rFonts w:ascii="Garamond" w:hAnsi="Garamond"/>
          <w:sz w:val="26"/>
          <w:szCs w:val="26"/>
        </w:rPr>
        <w:t xml:space="preserve"> </w:t>
      </w:r>
      <w:r w:rsidR="00AF4B98">
        <w:rPr>
          <w:rFonts w:ascii="Garamond" w:hAnsi="Garamond"/>
          <w:sz w:val="26"/>
          <w:szCs w:val="26"/>
        </w:rPr>
        <w:t>a repentaglio l’ordine e la sicurezza pubblica</w:t>
      </w:r>
      <w:r w:rsidR="00D45AC4">
        <w:rPr>
          <w:rStyle w:val="Rimandonotaapidipagina"/>
          <w:rFonts w:ascii="Garamond" w:hAnsi="Garamond"/>
          <w:sz w:val="26"/>
          <w:szCs w:val="26"/>
        </w:rPr>
        <w:footnoteReference w:id="27"/>
      </w:r>
      <w:r w:rsidR="00AF4B98">
        <w:rPr>
          <w:rFonts w:ascii="Garamond" w:hAnsi="Garamond"/>
          <w:sz w:val="26"/>
          <w:szCs w:val="26"/>
        </w:rPr>
        <w:t xml:space="preserve">. </w:t>
      </w:r>
    </w:p>
    <w:p w:rsidR="00982093" w:rsidRDefault="00D45AC4" w:rsidP="00982093">
      <w:pPr>
        <w:pStyle w:val="Paragrafoelenco"/>
        <w:spacing w:after="0" w:line="360" w:lineRule="auto"/>
        <w:ind w:left="0" w:firstLine="709"/>
        <w:jc w:val="both"/>
        <w:rPr>
          <w:rFonts w:ascii="Garamond" w:hAnsi="Garamond"/>
          <w:sz w:val="26"/>
          <w:szCs w:val="26"/>
        </w:rPr>
      </w:pPr>
      <w:r>
        <w:rPr>
          <w:rFonts w:ascii="Garamond" w:hAnsi="Garamond"/>
          <w:sz w:val="26"/>
          <w:szCs w:val="26"/>
        </w:rPr>
        <w:t>Tale approdo giurisprudenziale</w:t>
      </w:r>
      <w:r w:rsidR="00D40D37">
        <w:rPr>
          <w:rFonts w:ascii="Garamond" w:hAnsi="Garamond"/>
          <w:sz w:val="26"/>
          <w:szCs w:val="26"/>
        </w:rPr>
        <w:t xml:space="preserve"> </w:t>
      </w:r>
      <w:r w:rsidR="0072679C">
        <w:rPr>
          <w:rFonts w:ascii="Garamond" w:hAnsi="Garamond"/>
          <w:sz w:val="26"/>
          <w:szCs w:val="26"/>
        </w:rPr>
        <w:t>appare</w:t>
      </w:r>
      <w:r w:rsidR="005047CD">
        <w:rPr>
          <w:rFonts w:ascii="Garamond" w:hAnsi="Garamond"/>
          <w:sz w:val="26"/>
          <w:szCs w:val="26"/>
        </w:rPr>
        <w:t xml:space="preserve"> condivisibile e trova giustificazione nella</w:t>
      </w:r>
      <w:r w:rsidR="00E7507F">
        <w:rPr>
          <w:rFonts w:ascii="Garamond" w:hAnsi="Garamond"/>
          <w:sz w:val="26"/>
          <w:szCs w:val="26"/>
        </w:rPr>
        <w:t xml:space="preserve"> già descritta</w:t>
      </w:r>
      <w:r w:rsidR="005047CD">
        <w:rPr>
          <w:rFonts w:ascii="Garamond" w:hAnsi="Garamond"/>
          <w:sz w:val="26"/>
          <w:szCs w:val="26"/>
        </w:rPr>
        <w:t xml:space="preserve"> </w:t>
      </w:r>
      <w:r w:rsidR="005047CD" w:rsidRPr="005047CD">
        <w:rPr>
          <w:rFonts w:ascii="Garamond" w:hAnsi="Garamond"/>
          <w:i/>
          <w:sz w:val="26"/>
          <w:szCs w:val="26"/>
        </w:rPr>
        <w:t>ratio</w:t>
      </w:r>
      <w:r w:rsidR="005047CD">
        <w:rPr>
          <w:rFonts w:ascii="Garamond" w:hAnsi="Garamond"/>
          <w:i/>
          <w:sz w:val="26"/>
          <w:szCs w:val="26"/>
        </w:rPr>
        <w:t xml:space="preserve"> </w:t>
      </w:r>
      <w:r w:rsidR="005047CD">
        <w:rPr>
          <w:rFonts w:ascii="Garamond" w:hAnsi="Garamond"/>
          <w:sz w:val="26"/>
          <w:szCs w:val="26"/>
        </w:rPr>
        <w:t xml:space="preserve">della misura preventiva del D.A.SPO. </w:t>
      </w:r>
    </w:p>
    <w:p w:rsidR="00982093" w:rsidRDefault="00C77E55" w:rsidP="00982093">
      <w:pPr>
        <w:pStyle w:val="Paragrafoelenco"/>
        <w:spacing w:after="0" w:line="360" w:lineRule="auto"/>
        <w:ind w:left="0" w:firstLine="709"/>
        <w:jc w:val="both"/>
        <w:rPr>
          <w:rFonts w:ascii="Garamond" w:hAnsi="Garamond"/>
          <w:sz w:val="26"/>
          <w:szCs w:val="26"/>
        </w:rPr>
      </w:pPr>
      <w:r>
        <w:rPr>
          <w:rFonts w:ascii="Garamond" w:hAnsi="Garamond"/>
          <w:sz w:val="26"/>
          <w:szCs w:val="26"/>
        </w:rPr>
        <w:t xml:space="preserve">Invero, </w:t>
      </w:r>
      <w:r w:rsidR="00982093" w:rsidRPr="00982093">
        <w:rPr>
          <w:rFonts w:ascii="Garamond" w:hAnsi="Garamond"/>
          <w:sz w:val="26"/>
          <w:szCs w:val="26"/>
        </w:rPr>
        <w:t>come</w:t>
      </w:r>
      <w:r w:rsidR="00E7507F" w:rsidRPr="00982093">
        <w:rPr>
          <w:rFonts w:ascii="Garamond" w:hAnsi="Garamond"/>
          <w:sz w:val="26"/>
          <w:szCs w:val="26"/>
        </w:rPr>
        <w:t xml:space="preserve"> ribadito </w:t>
      </w:r>
      <w:r w:rsidR="00982093" w:rsidRPr="00982093">
        <w:rPr>
          <w:rFonts w:ascii="Garamond" w:hAnsi="Garamond"/>
          <w:sz w:val="26"/>
          <w:szCs w:val="26"/>
        </w:rPr>
        <w:t>dalla giurisprudenza di legittimità</w:t>
      </w:r>
      <w:r w:rsidR="00982093" w:rsidRPr="00982093">
        <w:rPr>
          <w:rStyle w:val="Rimandonotaapidipagina"/>
          <w:rFonts w:ascii="Garamond" w:hAnsi="Garamond"/>
          <w:sz w:val="26"/>
          <w:szCs w:val="26"/>
        </w:rPr>
        <w:footnoteReference w:id="28"/>
      </w:r>
      <w:r>
        <w:rPr>
          <w:rFonts w:ascii="Garamond" w:hAnsi="Garamond"/>
          <w:sz w:val="26"/>
          <w:szCs w:val="26"/>
        </w:rPr>
        <w:t>,</w:t>
      </w:r>
      <w:r w:rsidR="00982093" w:rsidRPr="00982093">
        <w:rPr>
          <w:rFonts w:ascii="Garamond" w:hAnsi="Garamond"/>
          <w:sz w:val="26"/>
          <w:szCs w:val="26"/>
        </w:rPr>
        <w:t xml:space="preserve"> la </w:t>
      </w:r>
      <w:r w:rsidR="00E7507F" w:rsidRPr="00982093">
        <w:rPr>
          <w:rFonts w:ascii="Garamond" w:hAnsi="Garamond"/>
          <w:sz w:val="26"/>
          <w:szCs w:val="26"/>
        </w:rPr>
        <w:t xml:space="preserve">misura </w:t>
      </w:r>
      <w:r w:rsidR="00E7507F" w:rsidRPr="00982093">
        <w:rPr>
          <w:rFonts w:ascii="Garamond" w:hAnsi="Garamond"/>
          <w:i/>
          <w:sz w:val="26"/>
          <w:szCs w:val="26"/>
        </w:rPr>
        <w:t>de qua</w:t>
      </w:r>
      <w:r w:rsidR="00E7507F" w:rsidRPr="00982093">
        <w:rPr>
          <w:rFonts w:ascii="Garamond" w:hAnsi="Garamond"/>
          <w:sz w:val="26"/>
          <w:szCs w:val="26"/>
        </w:rPr>
        <w:t xml:space="preserve"> mira a prevenire </w:t>
      </w:r>
      <w:r w:rsidR="00982093" w:rsidRPr="00982093">
        <w:rPr>
          <w:rFonts w:ascii="Garamond" w:hAnsi="Garamond"/>
          <w:sz w:val="26"/>
          <w:szCs w:val="26"/>
        </w:rPr>
        <w:t>«</w:t>
      </w:r>
      <w:r w:rsidR="00982093" w:rsidRPr="00BD2104">
        <w:rPr>
          <w:rFonts w:ascii="Garamond" w:hAnsi="Garamond"/>
          <w:i/>
          <w:sz w:val="26"/>
          <w:szCs w:val="26"/>
        </w:rPr>
        <w:t xml:space="preserve">fenomeni di violenza, tali da mettere a repentaglio l’ordine e la sicurezza pubblica, laddove questi siano connessi non con la pratica sportiva ma con l’insorgenza di quegli incontrollabili stati emotivi e passionali che, tanto più ove ci si trovi di fronte ad una moltitudine di persone, spesso covano e si nutrono della appartenenza a frange di tifoserie organizzate, perlopiù, ma non esclusivamente, operanti nell’ambito del gioco del calcio. Si tratta di fenomeni per i quali fungono da catalizzatore, spesso con improvvise </w:t>
      </w:r>
      <w:r w:rsidR="00C70226">
        <w:rPr>
          <w:rFonts w:ascii="Garamond" w:hAnsi="Garamond"/>
          <w:i/>
          <w:sz w:val="26"/>
          <w:szCs w:val="26"/>
        </w:rPr>
        <w:t>e</w:t>
      </w:r>
      <w:r w:rsidR="00982093" w:rsidRPr="00BD2104">
        <w:rPr>
          <w:rFonts w:ascii="Garamond" w:hAnsi="Garamond"/>
          <w:i/>
          <w:sz w:val="26"/>
          <w:szCs w:val="26"/>
        </w:rPr>
        <w:t xml:space="preserve"> incontrollabili interazioni, sia l’andamento agonistico più o meno soddisfacente della compagine per la quale si parteggia ovvero le modalità con cui l’apparato amministrativo ed organizzativo di questa intende condurre il rapporto con la propria tifoseria sia l’eventuale confronto, in una logica elementare in cui la appartenenza ad un gruppo comporta la ostilità verso altri gruppi, immediatamente intesi come possibili assalitori, con una tifoseria avversa</w:t>
      </w:r>
      <w:r w:rsidR="00982093">
        <w:rPr>
          <w:rFonts w:ascii="Garamond" w:hAnsi="Garamond"/>
          <w:sz w:val="26"/>
          <w:szCs w:val="26"/>
        </w:rPr>
        <w:t>»</w:t>
      </w:r>
      <w:r w:rsidR="00BD2104">
        <w:rPr>
          <w:rFonts w:ascii="Garamond" w:hAnsi="Garamond"/>
          <w:sz w:val="26"/>
          <w:szCs w:val="26"/>
        </w:rPr>
        <w:t>.</w:t>
      </w:r>
    </w:p>
    <w:p w:rsidR="00982093" w:rsidRPr="00982093" w:rsidRDefault="00982093" w:rsidP="00982093">
      <w:pPr>
        <w:pStyle w:val="Paragrafoelenco"/>
        <w:spacing w:after="0" w:line="360" w:lineRule="auto"/>
        <w:ind w:left="0" w:firstLine="709"/>
        <w:jc w:val="both"/>
        <w:rPr>
          <w:rFonts w:ascii="Garamond" w:hAnsi="Garamond"/>
          <w:sz w:val="26"/>
          <w:szCs w:val="26"/>
        </w:rPr>
      </w:pPr>
      <w:r>
        <w:rPr>
          <w:rFonts w:ascii="Garamond" w:hAnsi="Garamond"/>
          <w:sz w:val="26"/>
          <w:szCs w:val="26"/>
        </w:rPr>
        <w:t>Ne deriva, pertanto</w:t>
      </w:r>
      <w:r w:rsidR="00BD2104">
        <w:rPr>
          <w:rFonts w:ascii="Garamond" w:hAnsi="Garamond"/>
          <w:sz w:val="26"/>
          <w:szCs w:val="26"/>
        </w:rPr>
        <w:t>,</w:t>
      </w:r>
      <w:r>
        <w:rPr>
          <w:rFonts w:ascii="Garamond" w:hAnsi="Garamond"/>
          <w:sz w:val="26"/>
          <w:szCs w:val="26"/>
        </w:rPr>
        <w:t xml:space="preserve"> «</w:t>
      </w:r>
      <w:r w:rsidRPr="00BD2104">
        <w:rPr>
          <w:rFonts w:ascii="Garamond" w:hAnsi="Garamond"/>
          <w:i/>
          <w:sz w:val="26"/>
          <w:szCs w:val="26"/>
        </w:rPr>
        <w:t>che un’eventuale limitazione della portata della norma ora in questione che ne confinasse l’applicazione alla sola durata della manifestazione sportiva, ridurrebbe di molto la efficacia dissuasiva della medesima, posto che renderebbe inapplicabile la relativa disciplina ogniqualvolta gli eventi, pur determinati da una mal governata passione sportiva e dalla distorsione del ruolo del tifoso, si realizzino in un momento diverso dal verificarsi del fattore che li ha scatenati</w:t>
      </w:r>
      <w:r>
        <w:rPr>
          <w:rFonts w:ascii="Garamond" w:hAnsi="Garamond"/>
          <w:sz w:val="26"/>
          <w:szCs w:val="26"/>
        </w:rPr>
        <w:t>»</w:t>
      </w:r>
      <w:r w:rsidRPr="00982093">
        <w:rPr>
          <w:rFonts w:ascii="Garamond" w:hAnsi="Garamond"/>
          <w:sz w:val="26"/>
          <w:szCs w:val="26"/>
        </w:rPr>
        <w:t>.</w:t>
      </w:r>
    </w:p>
    <w:p w:rsidR="00982093" w:rsidRPr="00982093" w:rsidRDefault="00982093" w:rsidP="00982093">
      <w:pPr>
        <w:pStyle w:val="Paragrafoelenco"/>
        <w:spacing w:after="0" w:line="360" w:lineRule="auto"/>
        <w:ind w:firstLine="709"/>
        <w:jc w:val="both"/>
        <w:rPr>
          <w:rFonts w:ascii="Garamond" w:hAnsi="Garamond"/>
          <w:sz w:val="26"/>
          <w:szCs w:val="26"/>
        </w:rPr>
      </w:pPr>
    </w:p>
    <w:p w:rsidR="00982093" w:rsidRPr="00982093" w:rsidRDefault="00982093" w:rsidP="00982093">
      <w:pPr>
        <w:pStyle w:val="Paragrafoelenco"/>
        <w:numPr>
          <w:ilvl w:val="0"/>
          <w:numId w:val="2"/>
        </w:numPr>
        <w:spacing w:after="0" w:line="360" w:lineRule="auto"/>
        <w:jc w:val="both"/>
        <w:rPr>
          <w:rFonts w:ascii="Garamond" w:hAnsi="Garamond"/>
          <w:b/>
          <w:sz w:val="26"/>
          <w:szCs w:val="26"/>
        </w:rPr>
      </w:pPr>
      <w:r w:rsidRPr="00982093">
        <w:rPr>
          <w:rFonts w:ascii="Garamond" w:hAnsi="Garamond"/>
          <w:b/>
          <w:sz w:val="26"/>
          <w:szCs w:val="26"/>
        </w:rPr>
        <w:t>Conclusioni</w:t>
      </w:r>
      <w:r w:rsidR="009D6FAA">
        <w:rPr>
          <w:rFonts w:ascii="Garamond" w:hAnsi="Garamond"/>
          <w:b/>
          <w:sz w:val="26"/>
          <w:szCs w:val="26"/>
        </w:rPr>
        <w:t>.</w:t>
      </w:r>
    </w:p>
    <w:p w:rsidR="00E7507F" w:rsidRDefault="00A60C61" w:rsidP="00A60C61">
      <w:pPr>
        <w:pStyle w:val="Paragrafoelenco"/>
        <w:spacing w:after="0" w:line="360" w:lineRule="auto"/>
        <w:ind w:left="0" w:firstLine="709"/>
        <w:jc w:val="both"/>
        <w:rPr>
          <w:rFonts w:ascii="Garamond" w:hAnsi="Garamond"/>
          <w:sz w:val="26"/>
          <w:szCs w:val="26"/>
        </w:rPr>
      </w:pPr>
      <w:r>
        <w:rPr>
          <w:rFonts w:ascii="Garamond" w:hAnsi="Garamond"/>
          <w:sz w:val="26"/>
          <w:szCs w:val="26"/>
        </w:rPr>
        <w:t>In conclusione, l’ambito di applicazione della disciplina del D.A.SPO. ha visto</w:t>
      </w:r>
      <w:r w:rsidR="00C77E55">
        <w:rPr>
          <w:rFonts w:ascii="Garamond" w:hAnsi="Garamond"/>
          <w:sz w:val="26"/>
          <w:szCs w:val="26"/>
        </w:rPr>
        <w:t>, nel corso degli</w:t>
      </w:r>
      <w:r>
        <w:rPr>
          <w:rFonts w:ascii="Garamond" w:hAnsi="Garamond"/>
          <w:sz w:val="26"/>
          <w:szCs w:val="26"/>
        </w:rPr>
        <w:t xml:space="preserve"> anni</w:t>
      </w:r>
      <w:r w:rsidR="00C77E55">
        <w:rPr>
          <w:rFonts w:ascii="Garamond" w:hAnsi="Garamond"/>
          <w:sz w:val="26"/>
          <w:szCs w:val="26"/>
        </w:rPr>
        <w:t>, una progressiva estensione</w:t>
      </w:r>
      <w:r>
        <w:rPr>
          <w:rFonts w:ascii="Garamond" w:hAnsi="Garamond"/>
          <w:sz w:val="26"/>
          <w:szCs w:val="26"/>
        </w:rPr>
        <w:t xml:space="preserve"> sia dal punto di vista dei soggetti suscettibili di risultare destinatari del provvedimento amministrativo, sia dal punto di vista dell’ampliamento della nozione di manifestazione sportiva.</w:t>
      </w:r>
    </w:p>
    <w:p w:rsidR="00132E0D" w:rsidRDefault="00C70226" w:rsidP="00A24715">
      <w:pPr>
        <w:pStyle w:val="Paragrafoelenco"/>
        <w:spacing w:after="0" w:line="360" w:lineRule="auto"/>
        <w:ind w:left="0" w:firstLine="709"/>
        <w:jc w:val="both"/>
        <w:rPr>
          <w:rFonts w:ascii="Garamond" w:hAnsi="Garamond"/>
          <w:sz w:val="26"/>
          <w:szCs w:val="26"/>
        </w:rPr>
      </w:pPr>
      <w:r>
        <w:rPr>
          <w:rFonts w:ascii="Garamond" w:hAnsi="Garamond"/>
          <w:sz w:val="26"/>
          <w:szCs w:val="26"/>
        </w:rPr>
        <w:t>Tale approdo</w:t>
      </w:r>
      <w:r w:rsidR="00D855BD">
        <w:rPr>
          <w:rFonts w:ascii="Garamond" w:hAnsi="Garamond"/>
          <w:sz w:val="26"/>
          <w:szCs w:val="26"/>
        </w:rPr>
        <w:t xml:space="preserve"> normativo e giurisprudenziale</w:t>
      </w:r>
      <w:r>
        <w:rPr>
          <w:rFonts w:ascii="Garamond" w:hAnsi="Garamond"/>
          <w:sz w:val="26"/>
          <w:szCs w:val="26"/>
        </w:rPr>
        <w:t xml:space="preserve"> non stupisce e, anzi, risulta ragionevole </w:t>
      </w:r>
      <w:r w:rsidR="00C77E55">
        <w:rPr>
          <w:rFonts w:ascii="Garamond" w:hAnsi="Garamond"/>
          <w:sz w:val="26"/>
          <w:szCs w:val="26"/>
        </w:rPr>
        <w:t xml:space="preserve">alla luce della </w:t>
      </w:r>
      <w:r w:rsidR="00C77E55">
        <w:rPr>
          <w:rFonts w:ascii="Garamond" w:hAnsi="Garamond"/>
          <w:i/>
          <w:sz w:val="26"/>
          <w:szCs w:val="26"/>
        </w:rPr>
        <w:t>ratio</w:t>
      </w:r>
      <w:r w:rsidR="00C77E55">
        <w:rPr>
          <w:rFonts w:ascii="Garamond" w:hAnsi="Garamond"/>
          <w:sz w:val="26"/>
          <w:szCs w:val="26"/>
        </w:rPr>
        <w:t xml:space="preserve"> della misura. Il D.A.SPO., infatti,</w:t>
      </w:r>
      <w:r w:rsidR="00A24715">
        <w:rPr>
          <w:rFonts w:ascii="Garamond" w:hAnsi="Garamond"/>
          <w:sz w:val="26"/>
          <w:szCs w:val="26"/>
        </w:rPr>
        <w:t xml:space="preserve"> </w:t>
      </w:r>
      <w:r w:rsidR="00D855BD">
        <w:rPr>
          <w:rFonts w:ascii="Garamond" w:hAnsi="Garamond"/>
          <w:sz w:val="26"/>
          <w:szCs w:val="26"/>
        </w:rPr>
        <w:t>persegue il principale scopo di controllare la pericolosità del soggetto interessato e di prevenire che egli commetta ulteriori reati</w:t>
      </w:r>
      <w:r w:rsidR="00C77E55">
        <w:rPr>
          <w:rFonts w:ascii="Garamond" w:hAnsi="Garamond"/>
          <w:sz w:val="26"/>
          <w:szCs w:val="26"/>
        </w:rPr>
        <w:t>. La</w:t>
      </w:r>
      <w:r w:rsidR="00D855BD">
        <w:rPr>
          <w:rFonts w:ascii="Garamond" w:hAnsi="Garamond"/>
          <w:sz w:val="26"/>
          <w:szCs w:val="26"/>
        </w:rPr>
        <w:t xml:space="preserve"> dimensione afflittiva</w:t>
      </w:r>
      <w:r w:rsidR="00C77E55">
        <w:rPr>
          <w:rFonts w:ascii="Garamond" w:hAnsi="Garamond"/>
          <w:sz w:val="26"/>
          <w:szCs w:val="26"/>
        </w:rPr>
        <w:t>, quindi,</w:t>
      </w:r>
      <w:r w:rsidR="00D855BD">
        <w:rPr>
          <w:rFonts w:ascii="Garamond" w:hAnsi="Garamond"/>
          <w:sz w:val="26"/>
          <w:szCs w:val="26"/>
        </w:rPr>
        <w:t xml:space="preserve"> </w:t>
      </w:r>
      <w:r w:rsidR="00132E0D">
        <w:rPr>
          <w:rFonts w:ascii="Garamond" w:hAnsi="Garamond"/>
          <w:sz w:val="26"/>
          <w:szCs w:val="26"/>
        </w:rPr>
        <w:t xml:space="preserve">non </w:t>
      </w:r>
      <w:r w:rsidR="00D855BD">
        <w:rPr>
          <w:rFonts w:ascii="Garamond" w:hAnsi="Garamond"/>
          <w:sz w:val="26"/>
          <w:szCs w:val="26"/>
        </w:rPr>
        <w:t xml:space="preserve">rappresenta </w:t>
      </w:r>
      <w:r w:rsidR="00132E0D">
        <w:rPr>
          <w:rFonts w:ascii="Garamond" w:hAnsi="Garamond"/>
          <w:sz w:val="26"/>
          <w:szCs w:val="26"/>
        </w:rPr>
        <w:t xml:space="preserve">che </w:t>
      </w:r>
      <w:r w:rsidR="00D855BD">
        <w:rPr>
          <w:rFonts w:ascii="Garamond" w:hAnsi="Garamond"/>
          <w:sz w:val="26"/>
          <w:szCs w:val="26"/>
        </w:rPr>
        <w:t>una mera conseguenza collaterale</w:t>
      </w:r>
      <w:r w:rsidR="00132E0D">
        <w:rPr>
          <w:rFonts w:ascii="Garamond" w:hAnsi="Garamond"/>
          <w:sz w:val="26"/>
          <w:szCs w:val="26"/>
        </w:rPr>
        <w:t xml:space="preserve"> della prevenzione.</w:t>
      </w:r>
    </w:p>
    <w:p w:rsidR="00C70226" w:rsidRDefault="00A07D78" w:rsidP="00A24715">
      <w:pPr>
        <w:pStyle w:val="Paragrafoelenco"/>
        <w:spacing w:after="0" w:line="360" w:lineRule="auto"/>
        <w:ind w:left="0" w:firstLine="709"/>
        <w:jc w:val="both"/>
        <w:rPr>
          <w:rFonts w:ascii="Garamond" w:hAnsi="Garamond"/>
          <w:sz w:val="26"/>
          <w:szCs w:val="26"/>
        </w:rPr>
      </w:pPr>
      <w:r>
        <w:rPr>
          <w:rFonts w:ascii="Garamond" w:hAnsi="Garamond"/>
          <w:sz w:val="26"/>
          <w:szCs w:val="26"/>
        </w:rPr>
        <w:t xml:space="preserve">Non si tratta di avallare </w:t>
      </w:r>
      <w:r w:rsidR="00F91435">
        <w:rPr>
          <w:rFonts w:ascii="Garamond" w:hAnsi="Garamond"/>
          <w:sz w:val="26"/>
          <w:szCs w:val="26"/>
        </w:rPr>
        <w:t>“</w:t>
      </w:r>
      <w:r>
        <w:rPr>
          <w:rFonts w:ascii="Garamond" w:hAnsi="Garamond"/>
          <w:sz w:val="26"/>
          <w:szCs w:val="26"/>
        </w:rPr>
        <w:t>la pena del sospetto</w:t>
      </w:r>
      <w:r w:rsidR="00F91435">
        <w:rPr>
          <w:rFonts w:ascii="Garamond" w:hAnsi="Garamond"/>
          <w:sz w:val="26"/>
          <w:szCs w:val="26"/>
        </w:rPr>
        <w:t>”</w:t>
      </w:r>
      <w:r w:rsidR="00C77E55">
        <w:rPr>
          <w:rFonts w:ascii="Garamond" w:hAnsi="Garamond"/>
          <w:sz w:val="26"/>
          <w:szCs w:val="26"/>
        </w:rPr>
        <w:t>,</w:t>
      </w:r>
      <w:r>
        <w:rPr>
          <w:rFonts w:ascii="Garamond" w:hAnsi="Garamond"/>
          <w:sz w:val="26"/>
          <w:szCs w:val="26"/>
        </w:rPr>
        <w:t xml:space="preserve"> ma di </w:t>
      </w:r>
      <w:r w:rsidR="00877B49">
        <w:rPr>
          <w:rFonts w:ascii="Garamond" w:hAnsi="Garamond"/>
          <w:sz w:val="26"/>
          <w:szCs w:val="26"/>
        </w:rPr>
        <w:t>perseguire la</w:t>
      </w:r>
      <w:r w:rsidR="00877B49" w:rsidRPr="00877B49">
        <w:rPr>
          <w:rFonts w:ascii="Garamond" w:hAnsi="Garamond"/>
          <w:sz w:val="26"/>
          <w:szCs w:val="26"/>
        </w:rPr>
        <w:t xml:space="preserve"> creazione di un </w:t>
      </w:r>
      <w:r w:rsidR="00D0727C">
        <w:rPr>
          <w:rFonts w:ascii="Garamond" w:hAnsi="Garamond"/>
          <w:sz w:val="26"/>
          <w:szCs w:val="26"/>
        </w:rPr>
        <w:t xml:space="preserve">sano </w:t>
      </w:r>
      <w:r w:rsidR="00877B49" w:rsidRPr="00877B49">
        <w:rPr>
          <w:rFonts w:ascii="Garamond" w:hAnsi="Garamond"/>
          <w:sz w:val="26"/>
          <w:szCs w:val="26"/>
        </w:rPr>
        <w:t xml:space="preserve">ambiente </w:t>
      </w:r>
      <w:r w:rsidR="00877B49">
        <w:rPr>
          <w:rFonts w:ascii="Garamond" w:hAnsi="Garamond"/>
          <w:sz w:val="26"/>
          <w:szCs w:val="26"/>
        </w:rPr>
        <w:t xml:space="preserve">sportivo </w:t>
      </w:r>
      <w:r w:rsidR="00877B49" w:rsidRPr="00877B49">
        <w:rPr>
          <w:rFonts w:ascii="Garamond" w:hAnsi="Garamond"/>
          <w:sz w:val="26"/>
          <w:szCs w:val="26"/>
        </w:rPr>
        <w:t xml:space="preserve">che prevenga comportamenti violenti o pericolosi a </w:t>
      </w:r>
      <w:r w:rsidR="00877B49">
        <w:rPr>
          <w:rFonts w:ascii="Garamond" w:hAnsi="Garamond"/>
          <w:sz w:val="26"/>
          <w:szCs w:val="26"/>
        </w:rPr>
        <w:t>protezione dell’ordine e della sicurezza pubblica</w:t>
      </w:r>
      <w:r w:rsidR="00F91435">
        <w:rPr>
          <w:rFonts w:ascii="Garamond" w:hAnsi="Garamond"/>
          <w:sz w:val="26"/>
          <w:szCs w:val="26"/>
        </w:rPr>
        <w:t xml:space="preserve">. </w:t>
      </w:r>
    </w:p>
    <w:p w:rsidR="00F91435" w:rsidRDefault="00C77E55" w:rsidP="00094A47">
      <w:pPr>
        <w:pStyle w:val="Paragrafoelenco"/>
        <w:spacing w:after="0" w:line="360" w:lineRule="auto"/>
        <w:ind w:left="0" w:firstLine="709"/>
        <w:jc w:val="both"/>
        <w:rPr>
          <w:rFonts w:ascii="Garamond" w:hAnsi="Garamond"/>
          <w:sz w:val="26"/>
          <w:szCs w:val="26"/>
        </w:rPr>
      </w:pPr>
      <w:r>
        <w:rPr>
          <w:rFonts w:ascii="Garamond" w:hAnsi="Garamond"/>
          <w:sz w:val="26"/>
          <w:szCs w:val="26"/>
        </w:rPr>
        <w:t>A tal fine</w:t>
      </w:r>
      <w:r w:rsidR="00F91435">
        <w:rPr>
          <w:rFonts w:ascii="Garamond" w:hAnsi="Garamond"/>
          <w:sz w:val="26"/>
          <w:szCs w:val="26"/>
        </w:rPr>
        <w:t>, è necessario che l</w:t>
      </w:r>
      <w:r w:rsidR="00D0727C">
        <w:rPr>
          <w:rFonts w:ascii="Garamond" w:hAnsi="Garamond"/>
          <w:sz w:val="26"/>
          <w:szCs w:val="26"/>
        </w:rPr>
        <w:t xml:space="preserve">a valutazione cui è chiamato il Questore </w:t>
      </w:r>
      <w:r w:rsidR="00F91435">
        <w:rPr>
          <w:rFonts w:ascii="Garamond" w:hAnsi="Garamond"/>
          <w:sz w:val="26"/>
          <w:szCs w:val="26"/>
        </w:rPr>
        <w:t>sia</w:t>
      </w:r>
      <w:r w:rsidR="00D0727C">
        <w:rPr>
          <w:rFonts w:ascii="Garamond" w:hAnsi="Garamond"/>
          <w:sz w:val="26"/>
          <w:szCs w:val="26"/>
        </w:rPr>
        <w:t xml:space="preserve"> connotata da </w:t>
      </w:r>
      <w:r>
        <w:rPr>
          <w:rFonts w:ascii="Garamond" w:hAnsi="Garamond"/>
          <w:sz w:val="26"/>
          <w:szCs w:val="26"/>
        </w:rPr>
        <w:t>un’</w:t>
      </w:r>
      <w:r w:rsidR="00D0727C">
        <w:rPr>
          <w:rFonts w:ascii="Garamond" w:hAnsi="Garamond"/>
          <w:sz w:val="26"/>
          <w:szCs w:val="26"/>
        </w:rPr>
        <w:t>ampia discrezionalità</w:t>
      </w:r>
      <w:r>
        <w:rPr>
          <w:rFonts w:ascii="Garamond" w:hAnsi="Garamond"/>
          <w:sz w:val="26"/>
          <w:szCs w:val="26"/>
        </w:rPr>
        <w:t>, volta a</w:t>
      </w:r>
      <w:r w:rsidR="00DF7EC6">
        <w:rPr>
          <w:rFonts w:ascii="Garamond" w:hAnsi="Garamond"/>
          <w:sz w:val="26"/>
          <w:szCs w:val="26"/>
        </w:rPr>
        <w:t xml:space="preserve"> valutare in concreto l’affidabilità del soggetto in forza di un proporzionato bilanciamento tra l’interesse pubblico alla sicurezza dei cittadini e l’interesse privato ad accedere liberamente </w:t>
      </w:r>
      <w:r w:rsidR="0095401E">
        <w:rPr>
          <w:rFonts w:ascii="Garamond" w:hAnsi="Garamond"/>
          <w:sz w:val="26"/>
          <w:szCs w:val="26"/>
        </w:rPr>
        <w:t>a</w:t>
      </w:r>
      <w:r w:rsidR="00DF7EC6">
        <w:rPr>
          <w:rFonts w:ascii="Garamond" w:hAnsi="Garamond"/>
          <w:sz w:val="26"/>
          <w:szCs w:val="26"/>
        </w:rPr>
        <w:t xml:space="preserve">gli stadi. </w:t>
      </w:r>
    </w:p>
    <w:p w:rsidR="002C2A38" w:rsidRPr="00F91435" w:rsidRDefault="002C2A38" w:rsidP="002C2A38">
      <w:pPr>
        <w:pStyle w:val="Paragrafoelenco"/>
        <w:spacing w:after="0" w:line="360" w:lineRule="auto"/>
        <w:ind w:left="0" w:firstLine="709"/>
        <w:jc w:val="both"/>
        <w:rPr>
          <w:rFonts w:ascii="Garamond" w:hAnsi="Garamond"/>
          <w:sz w:val="26"/>
          <w:szCs w:val="26"/>
        </w:rPr>
      </w:pPr>
      <w:r>
        <w:rPr>
          <w:rFonts w:ascii="Garamond" w:hAnsi="Garamond"/>
          <w:sz w:val="26"/>
          <w:szCs w:val="26"/>
        </w:rPr>
        <w:t>La Corte EDU ha, infatti, affermato che</w:t>
      </w:r>
      <w:r w:rsidRPr="0045198C">
        <w:rPr>
          <w:rFonts w:ascii="Garamond" w:hAnsi="Garamond"/>
          <w:sz w:val="26"/>
          <w:szCs w:val="26"/>
        </w:rPr>
        <w:t xml:space="preserve"> «</w:t>
      </w:r>
      <w:r>
        <w:rPr>
          <w:rFonts w:ascii="Garamond" w:hAnsi="Garamond"/>
          <w:i/>
          <w:sz w:val="26"/>
          <w:szCs w:val="26"/>
        </w:rPr>
        <w:t>sebbene</w:t>
      </w:r>
      <w:r w:rsidRPr="0045198C">
        <w:rPr>
          <w:rFonts w:ascii="Garamond" w:hAnsi="Garamond"/>
          <w:i/>
          <w:sz w:val="26"/>
          <w:szCs w:val="26"/>
        </w:rPr>
        <w:t xml:space="preserve"> la certezza </w:t>
      </w:r>
      <w:r>
        <w:rPr>
          <w:rFonts w:ascii="Garamond" w:hAnsi="Garamond"/>
          <w:i/>
          <w:sz w:val="26"/>
          <w:szCs w:val="26"/>
        </w:rPr>
        <w:t>sia</w:t>
      </w:r>
      <w:r w:rsidRPr="0045198C">
        <w:rPr>
          <w:rFonts w:ascii="Garamond" w:hAnsi="Garamond"/>
          <w:i/>
          <w:sz w:val="26"/>
          <w:szCs w:val="26"/>
        </w:rPr>
        <w:t xml:space="preserve"> altamente auspicabile, può </w:t>
      </w:r>
      <w:r>
        <w:rPr>
          <w:rFonts w:ascii="Garamond" w:hAnsi="Garamond"/>
          <w:i/>
          <w:sz w:val="26"/>
          <w:szCs w:val="26"/>
        </w:rPr>
        <w:t>comportare</w:t>
      </w:r>
      <w:r w:rsidRPr="0045198C">
        <w:rPr>
          <w:rFonts w:ascii="Garamond" w:hAnsi="Garamond"/>
          <w:i/>
          <w:sz w:val="26"/>
          <w:szCs w:val="26"/>
        </w:rPr>
        <w:t xml:space="preserve"> una eccessiva rigidità e la legge deve essere in grado di tenere il passo con il mutare delle circostanze</w:t>
      </w:r>
      <w:r>
        <w:rPr>
          <w:rFonts w:ascii="Garamond" w:hAnsi="Garamond"/>
          <w:i/>
          <w:sz w:val="26"/>
          <w:szCs w:val="26"/>
        </w:rPr>
        <w:t xml:space="preserve">. Di conseguenza, </w:t>
      </w:r>
      <w:r w:rsidRPr="0045198C">
        <w:rPr>
          <w:rFonts w:ascii="Garamond" w:hAnsi="Garamond"/>
          <w:i/>
          <w:sz w:val="26"/>
          <w:szCs w:val="26"/>
        </w:rPr>
        <w:t>molte leggi sono inevitabilmente formulate in termini che, in misura maggiore o minore, sono vaghi e la cui interpretazione e applicazione sono questioni di pratica</w:t>
      </w:r>
      <w:r>
        <w:rPr>
          <w:rFonts w:ascii="Garamond" w:hAnsi="Garamond"/>
          <w:sz w:val="26"/>
          <w:szCs w:val="26"/>
        </w:rPr>
        <w:t>», ma</w:t>
      </w:r>
      <w:r w:rsidRPr="0045198C">
        <w:rPr>
          <w:rFonts w:ascii="Garamond" w:hAnsi="Garamond"/>
          <w:sz w:val="26"/>
          <w:szCs w:val="26"/>
        </w:rPr>
        <w:t xml:space="preserve"> ha precisato</w:t>
      </w:r>
      <w:r>
        <w:rPr>
          <w:rFonts w:ascii="Garamond" w:hAnsi="Garamond"/>
          <w:sz w:val="26"/>
          <w:szCs w:val="26"/>
        </w:rPr>
        <w:t>,</w:t>
      </w:r>
      <w:r w:rsidRPr="0045198C">
        <w:rPr>
          <w:rFonts w:ascii="Garamond" w:hAnsi="Garamond"/>
          <w:sz w:val="26"/>
          <w:szCs w:val="26"/>
        </w:rPr>
        <w:t xml:space="preserve"> altresì</w:t>
      </w:r>
      <w:r>
        <w:rPr>
          <w:rFonts w:ascii="Garamond" w:hAnsi="Garamond"/>
          <w:sz w:val="26"/>
          <w:szCs w:val="26"/>
        </w:rPr>
        <w:t>,</w:t>
      </w:r>
      <w:r w:rsidRPr="0045198C">
        <w:rPr>
          <w:rFonts w:ascii="Garamond" w:hAnsi="Garamond"/>
          <w:sz w:val="26"/>
          <w:szCs w:val="26"/>
        </w:rPr>
        <w:t xml:space="preserve"> che «</w:t>
      </w:r>
      <w:r w:rsidRPr="0045198C">
        <w:rPr>
          <w:rFonts w:ascii="Garamond" w:hAnsi="Garamond"/>
          <w:i/>
          <w:sz w:val="26"/>
          <w:szCs w:val="26"/>
        </w:rPr>
        <w:t>una legge che conferisce una discrezionalità deve indicare la portata di tale discrezionalità</w:t>
      </w:r>
      <w:r w:rsidRPr="0045198C">
        <w:rPr>
          <w:rFonts w:ascii="Garamond" w:hAnsi="Garamond"/>
          <w:sz w:val="26"/>
          <w:szCs w:val="26"/>
        </w:rPr>
        <w:t>»</w:t>
      </w:r>
      <w:r>
        <w:rPr>
          <w:rStyle w:val="Rimandonotaapidipagina"/>
          <w:rFonts w:ascii="Garamond" w:hAnsi="Garamond"/>
          <w:sz w:val="26"/>
          <w:szCs w:val="26"/>
        </w:rPr>
        <w:footnoteReference w:id="29"/>
      </w:r>
      <w:r>
        <w:rPr>
          <w:rFonts w:ascii="Garamond" w:hAnsi="Garamond"/>
          <w:sz w:val="26"/>
          <w:szCs w:val="26"/>
        </w:rPr>
        <w:t>.</w:t>
      </w:r>
    </w:p>
    <w:p w:rsidR="00AC32D6" w:rsidRDefault="002C2A38" w:rsidP="00F91435">
      <w:pPr>
        <w:pStyle w:val="Paragrafoelenco"/>
        <w:spacing w:after="0" w:line="360" w:lineRule="auto"/>
        <w:ind w:left="0" w:firstLine="709"/>
        <w:jc w:val="both"/>
        <w:rPr>
          <w:rFonts w:ascii="Garamond" w:hAnsi="Garamond"/>
          <w:sz w:val="26"/>
          <w:szCs w:val="26"/>
        </w:rPr>
      </w:pPr>
      <w:r>
        <w:rPr>
          <w:rFonts w:ascii="Garamond" w:hAnsi="Garamond"/>
          <w:sz w:val="26"/>
          <w:szCs w:val="26"/>
        </w:rPr>
        <w:t>Alla luce di tali coordinate ermeneutiche, va ribadito</w:t>
      </w:r>
      <w:r w:rsidR="00AC32D6">
        <w:rPr>
          <w:rFonts w:ascii="Garamond" w:hAnsi="Garamond"/>
          <w:sz w:val="26"/>
          <w:szCs w:val="26"/>
        </w:rPr>
        <w:t xml:space="preserve"> </w:t>
      </w:r>
      <w:r>
        <w:rPr>
          <w:rFonts w:ascii="Garamond" w:hAnsi="Garamond"/>
          <w:sz w:val="26"/>
          <w:szCs w:val="26"/>
        </w:rPr>
        <w:t>che</w:t>
      </w:r>
      <w:r w:rsidR="0095401E">
        <w:rPr>
          <w:rFonts w:ascii="Garamond" w:hAnsi="Garamond"/>
          <w:sz w:val="26"/>
          <w:szCs w:val="26"/>
        </w:rPr>
        <w:t xml:space="preserve">, nell’ambito del diritto della </w:t>
      </w:r>
      <w:r w:rsidR="00AC32D6">
        <w:rPr>
          <w:rFonts w:ascii="Garamond" w:hAnsi="Garamond"/>
          <w:sz w:val="26"/>
          <w:szCs w:val="26"/>
        </w:rPr>
        <w:t>prevenzione, gli au</w:t>
      </w:r>
      <w:r w:rsidR="0095401E">
        <w:rPr>
          <w:rFonts w:ascii="Garamond" w:hAnsi="Garamond"/>
          <w:sz w:val="26"/>
          <w:szCs w:val="26"/>
        </w:rPr>
        <w:t xml:space="preserve">tomatismi non sono ammissibili. Tuttavia, al fine di evitare interferenze arbitrarie da parte della pubblica autorità, </w:t>
      </w:r>
      <w:r w:rsidR="00AC32D6">
        <w:rPr>
          <w:rFonts w:ascii="Garamond" w:hAnsi="Garamond"/>
          <w:sz w:val="26"/>
          <w:szCs w:val="26"/>
        </w:rPr>
        <w:t>l’esercizio della</w:t>
      </w:r>
      <w:r w:rsidR="0095401E">
        <w:rPr>
          <w:rFonts w:ascii="Garamond" w:hAnsi="Garamond"/>
          <w:sz w:val="26"/>
          <w:szCs w:val="26"/>
        </w:rPr>
        <w:t xml:space="preserve"> pur</w:t>
      </w:r>
      <w:r w:rsidR="00AC32D6">
        <w:rPr>
          <w:rFonts w:ascii="Garamond" w:hAnsi="Garamond"/>
          <w:sz w:val="26"/>
          <w:szCs w:val="26"/>
        </w:rPr>
        <w:t xml:space="preserve"> necessaria</w:t>
      </w:r>
      <w:r w:rsidR="00A33585">
        <w:rPr>
          <w:rFonts w:ascii="Garamond" w:hAnsi="Garamond"/>
          <w:sz w:val="26"/>
          <w:szCs w:val="26"/>
        </w:rPr>
        <w:t xml:space="preserve"> discrezionalità amministrativa</w:t>
      </w:r>
      <w:r w:rsidR="00AC32D6">
        <w:rPr>
          <w:rFonts w:ascii="Garamond" w:hAnsi="Garamond"/>
          <w:sz w:val="26"/>
          <w:szCs w:val="26"/>
        </w:rPr>
        <w:t xml:space="preserve"> </w:t>
      </w:r>
      <w:r w:rsidR="0095401E">
        <w:rPr>
          <w:rFonts w:ascii="Garamond" w:hAnsi="Garamond"/>
          <w:sz w:val="26"/>
          <w:szCs w:val="26"/>
        </w:rPr>
        <w:t>deve avvenire nel rispetto dei principi di legalità e</w:t>
      </w:r>
      <w:r w:rsidR="00AC32D6">
        <w:rPr>
          <w:rFonts w:ascii="Garamond" w:hAnsi="Garamond"/>
          <w:sz w:val="26"/>
          <w:szCs w:val="26"/>
        </w:rPr>
        <w:t xml:space="preserve"> certezza del diritto</w:t>
      </w:r>
      <w:r w:rsidR="0095401E">
        <w:rPr>
          <w:rFonts w:ascii="Garamond" w:hAnsi="Garamond"/>
          <w:sz w:val="26"/>
          <w:szCs w:val="26"/>
        </w:rPr>
        <w:t>, che ne costituiscono limiti invalicabili</w:t>
      </w:r>
      <w:r w:rsidR="00AC32D6">
        <w:rPr>
          <w:rFonts w:ascii="Garamond" w:hAnsi="Garamond"/>
          <w:sz w:val="26"/>
          <w:szCs w:val="26"/>
        </w:rPr>
        <w:t xml:space="preserve">. </w:t>
      </w:r>
    </w:p>
    <w:p w:rsidR="00C40C54" w:rsidRDefault="0095401E" w:rsidP="00AC32D6">
      <w:pPr>
        <w:pStyle w:val="Paragrafoelenco"/>
        <w:spacing w:after="0" w:line="360" w:lineRule="auto"/>
        <w:ind w:left="0" w:firstLine="709"/>
        <w:jc w:val="both"/>
        <w:rPr>
          <w:rFonts w:ascii="Garamond" w:hAnsi="Garamond"/>
          <w:sz w:val="26"/>
          <w:szCs w:val="26"/>
        </w:rPr>
      </w:pPr>
      <w:r>
        <w:rPr>
          <w:rFonts w:ascii="Garamond" w:hAnsi="Garamond"/>
          <w:sz w:val="26"/>
          <w:szCs w:val="26"/>
        </w:rPr>
        <w:t>Nel</w:t>
      </w:r>
      <w:r w:rsidR="00AC32D6">
        <w:rPr>
          <w:rFonts w:ascii="Garamond" w:hAnsi="Garamond"/>
          <w:sz w:val="26"/>
          <w:szCs w:val="26"/>
        </w:rPr>
        <w:t xml:space="preserve"> caso del divieto di accesso ai luoghi in cui si svolgono manifestazioni sportive, </w:t>
      </w:r>
      <w:r>
        <w:rPr>
          <w:rFonts w:ascii="Garamond" w:hAnsi="Garamond"/>
          <w:sz w:val="26"/>
          <w:szCs w:val="26"/>
        </w:rPr>
        <w:t xml:space="preserve">da un lato, </w:t>
      </w:r>
      <w:r w:rsidR="00C413DF">
        <w:rPr>
          <w:rFonts w:ascii="Garamond" w:hAnsi="Garamond"/>
          <w:sz w:val="26"/>
          <w:szCs w:val="26"/>
        </w:rPr>
        <w:t>è imprescindibile che al destinatario del D.A.SPO. sia ascrivibile un comportamento concreto che, in maniera chiara e univoca, sia</w:t>
      </w:r>
      <w:r>
        <w:rPr>
          <w:rFonts w:ascii="Garamond" w:hAnsi="Garamond"/>
          <w:sz w:val="26"/>
          <w:szCs w:val="26"/>
        </w:rPr>
        <w:t xml:space="preserve"> volto alla commissione di un </w:t>
      </w:r>
      <w:r w:rsidR="009B6426">
        <w:rPr>
          <w:rFonts w:ascii="Garamond" w:hAnsi="Garamond"/>
          <w:sz w:val="26"/>
          <w:szCs w:val="26"/>
        </w:rPr>
        <w:t>f</w:t>
      </w:r>
      <w:r>
        <w:rPr>
          <w:rFonts w:ascii="Garamond" w:hAnsi="Garamond"/>
          <w:sz w:val="26"/>
          <w:szCs w:val="26"/>
        </w:rPr>
        <w:t>a</w:t>
      </w:r>
      <w:r w:rsidR="00C413DF">
        <w:rPr>
          <w:rFonts w:ascii="Garamond" w:hAnsi="Garamond"/>
          <w:sz w:val="26"/>
          <w:szCs w:val="26"/>
        </w:rPr>
        <w:t>tto potenzialmente pericoloso o qu</w:t>
      </w:r>
      <w:r>
        <w:rPr>
          <w:rFonts w:ascii="Garamond" w:hAnsi="Garamond"/>
          <w:sz w:val="26"/>
          <w:szCs w:val="26"/>
        </w:rPr>
        <w:t>alificato dalla legge come tale</w:t>
      </w:r>
      <w:r w:rsidR="00D44FD0">
        <w:rPr>
          <w:rStyle w:val="Rimandonotaapidipagina"/>
          <w:rFonts w:ascii="Garamond" w:hAnsi="Garamond"/>
          <w:sz w:val="26"/>
          <w:szCs w:val="26"/>
        </w:rPr>
        <w:footnoteReference w:id="30"/>
      </w:r>
      <w:r>
        <w:rPr>
          <w:rFonts w:ascii="Garamond" w:hAnsi="Garamond"/>
          <w:sz w:val="26"/>
          <w:szCs w:val="26"/>
        </w:rPr>
        <w:t>; dall’altro lato</w:t>
      </w:r>
      <w:r w:rsidR="00872DCC">
        <w:rPr>
          <w:rFonts w:ascii="Garamond" w:hAnsi="Garamond"/>
          <w:sz w:val="26"/>
          <w:szCs w:val="26"/>
        </w:rPr>
        <w:t>,</w:t>
      </w:r>
      <w:r w:rsidR="00C413DF">
        <w:rPr>
          <w:rFonts w:ascii="Garamond" w:hAnsi="Garamond"/>
          <w:sz w:val="26"/>
          <w:szCs w:val="26"/>
        </w:rPr>
        <w:t xml:space="preserve"> </w:t>
      </w:r>
      <w:r w:rsidR="00AC32D6">
        <w:rPr>
          <w:rFonts w:ascii="Garamond" w:hAnsi="Garamond"/>
          <w:sz w:val="26"/>
          <w:szCs w:val="26"/>
        </w:rPr>
        <w:t>è</w:t>
      </w:r>
      <w:r w:rsidR="00615EA3">
        <w:rPr>
          <w:rFonts w:ascii="Garamond" w:hAnsi="Garamond"/>
          <w:sz w:val="26"/>
          <w:szCs w:val="26"/>
        </w:rPr>
        <w:t xml:space="preserve"> il pericolo di lesione dell’ordine pubblico</w:t>
      </w:r>
      <w:r w:rsidR="00684FC1">
        <w:rPr>
          <w:rFonts w:ascii="Garamond" w:hAnsi="Garamond"/>
          <w:sz w:val="26"/>
          <w:szCs w:val="26"/>
        </w:rPr>
        <w:t xml:space="preserve"> a</w:t>
      </w:r>
      <w:r w:rsidR="00615EA3">
        <w:rPr>
          <w:rFonts w:ascii="Garamond" w:hAnsi="Garamond"/>
          <w:sz w:val="26"/>
          <w:szCs w:val="26"/>
        </w:rPr>
        <w:t xml:space="preserve"> rappresenta</w:t>
      </w:r>
      <w:r w:rsidR="00684FC1">
        <w:rPr>
          <w:rFonts w:ascii="Garamond" w:hAnsi="Garamond"/>
          <w:sz w:val="26"/>
          <w:szCs w:val="26"/>
        </w:rPr>
        <w:t>re</w:t>
      </w:r>
      <w:r w:rsidR="00615EA3">
        <w:rPr>
          <w:rFonts w:ascii="Garamond" w:hAnsi="Garamond"/>
          <w:sz w:val="26"/>
          <w:szCs w:val="26"/>
        </w:rPr>
        <w:t xml:space="preserve"> il fondamento e il limite del potere questorile e</w:t>
      </w:r>
      <w:r w:rsidR="00684FC1">
        <w:rPr>
          <w:rFonts w:ascii="Garamond" w:hAnsi="Garamond"/>
          <w:sz w:val="26"/>
          <w:szCs w:val="26"/>
        </w:rPr>
        <w:t xml:space="preserve"> a</w:t>
      </w:r>
      <w:r w:rsidR="00615EA3">
        <w:rPr>
          <w:rFonts w:ascii="Garamond" w:hAnsi="Garamond"/>
          <w:sz w:val="26"/>
          <w:szCs w:val="26"/>
        </w:rPr>
        <w:t xml:space="preserve"> chiari</w:t>
      </w:r>
      <w:r w:rsidR="00684FC1">
        <w:rPr>
          <w:rFonts w:ascii="Garamond" w:hAnsi="Garamond"/>
          <w:sz w:val="26"/>
          <w:szCs w:val="26"/>
        </w:rPr>
        <w:t>r</w:t>
      </w:r>
      <w:r w:rsidR="00615EA3">
        <w:rPr>
          <w:rFonts w:ascii="Garamond" w:hAnsi="Garamond"/>
          <w:sz w:val="26"/>
          <w:szCs w:val="26"/>
        </w:rPr>
        <w:t>e la portata della sua discrezionalità</w:t>
      </w:r>
      <w:r w:rsidR="00C413DF">
        <w:rPr>
          <w:rFonts w:ascii="Garamond" w:hAnsi="Garamond"/>
          <w:sz w:val="26"/>
          <w:szCs w:val="26"/>
        </w:rPr>
        <w:t xml:space="preserve">. </w:t>
      </w:r>
    </w:p>
    <w:p w:rsidR="00C40C54" w:rsidRPr="00343C35" w:rsidRDefault="00C40C54" w:rsidP="00C40C54">
      <w:pPr>
        <w:pStyle w:val="Paragrafoelenco"/>
        <w:spacing w:after="0" w:line="360" w:lineRule="auto"/>
        <w:ind w:left="0" w:firstLine="709"/>
        <w:jc w:val="right"/>
        <w:rPr>
          <w:rFonts w:ascii="Garamond" w:hAnsi="Garamond"/>
          <w:b/>
          <w:sz w:val="26"/>
          <w:szCs w:val="26"/>
        </w:rPr>
      </w:pPr>
      <w:r w:rsidRPr="00343C35">
        <w:rPr>
          <w:rFonts w:ascii="Garamond" w:hAnsi="Garamond"/>
          <w:b/>
          <w:sz w:val="26"/>
          <w:szCs w:val="26"/>
        </w:rPr>
        <w:t>Virginia Sessa</w:t>
      </w:r>
    </w:p>
    <w:p w:rsidR="00343C35" w:rsidRDefault="00343C35" w:rsidP="00C40C54">
      <w:pPr>
        <w:pStyle w:val="Paragrafoelenco"/>
        <w:spacing w:after="0" w:line="360" w:lineRule="auto"/>
        <w:ind w:left="0" w:firstLine="709"/>
        <w:jc w:val="right"/>
        <w:rPr>
          <w:rFonts w:ascii="Garamond" w:hAnsi="Garamond"/>
          <w:sz w:val="26"/>
          <w:szCs w:val="26"/>
        </w:rPr>
      </w:pPr>
      <w:r>
        <w:rPr>
          <w:rFonts w:ascii="Garamond" w:hAnsi="Garamond"/>
          <w:sz w:val="26"/>
          <w:szCs w:val="26"/>
        </w:rPr>
        <w:t>Già tirocinante presso il Consiglio di Stato</w:t>
      </w:r>
    </w:p>
    <w:p w:rsidR="00343C35" w:rsidRDefault="00343C35" w:rsidP="00C40C54">
      <w:pPr>
        <w:pStyle w:val="Paragrafoelenco"/>
        <w:spacing w:after="0" w:line="360" w:lineRule="auto"/>
        <w:ind w:left="0" w:firstLine="709"/>
        <w:jc w:val="right"/>
        <w:rPr>
          <w:rFonts w:ascii="Garamond" w:hAnsi="Garamond"/>
          <w:sz w:val="26"/>
          <w:szCs w:val="26"/>
        </w:rPr>
      </w:pPr>
      <w:r>
        <w:rPr>
          <w:rFonts w:ascii="Garamond" w:hAnsi="Garamond"/>
          <w:sz w:val="26"/>
          <w:szCs w:val="26"/>
        </w:rPr>
        <w:t>Pubblicato il 25 giugno 2021</w:t>
      </w:r>
    </w:p>
    <w:p w:rsidR="00C40C54" w:rsidRPr="00C40C54" w:rsidRDefault="00C40C54" w:rsidP="00C40C54">
      <w:pPr>
        <w:pStyle w:val="Paragrafoelenco"/>
        <w:spacing w:after="0" w:line="360" w:lineRule="auto"/>
        <w:ind w:left="0" w:firstLine="709"/>
        <w:jc w:val="both"/>
        <w:rPr>
          <w:rFonts w:ascii="Garamond" w:hAnsi="Garamond"/>
          <w:sz w:val="26"/>
          <w:szCs w:val="26"/>
        </w:rPr>
      </w:pPr>
    </w:p>
    <w:p w:rsidR="009E01FC" w:rsidRPr="009E01FC" w:rsidRDefault="009E01FC" w:rsidP="00ED3D84">
      <w:pPr>
        <w:rPr>
          <w:sz w:val="26"/>
          <w:szCs w:val="26"/>
        </w:rPr>
      </w:pPr>
    </w:p>
    <w:sectPr w:rsidR="009E01FC" w:rsidRPr="009E01F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76" w:rsidRDefault="00387576" w:rsidP="001179D2">
      <w:pPr>
        <w:spacing w:after="0" w:line="240" w:lineRule="auto"/>
      </w:pPr>
      <w:r>
        <w:separator/>
      </w:r>
    </w:p>
  </w:endnote>
  <w:endnote w:type="continuationSeparator" w:id="0">
    <w:p w:rsidR="00387576" w:rsidRDefault="00387576" w:rsidP="0011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630313"/>
      <w:docPartObj>
        <w:docPartGallery w:val="Page Numbers (Bottom of Page)"/>
        <w:docPartUnique/>
      </w:docPartObj>
    </w:sdtPr>
    <w:sdtEndPr/>
    <w:sdtContent>
      <w:p w:rsidR="001179D2" w:rsidRDefault="001179D2">
        <w:pPr>
          <w:pStyle w:val="Pidipagina"/>
          <w:jc w:val="center"/>
        </w:pPr>
        <w:r>
          <w:fldChar w:fldCharType="begin"/>
        </w:r>
        <w:r>
          <w:instrText>PAGE   \* MERGEFORMAT</w:instrText>
        </w:r>
        <w:r>
          <w:fldChar w:fldCharType="separate"/>
        </w:r>
        <w:r w:rsidR="00343C35">
          <w:rPr>
            <w:noProof/>
          </w:rPr>
          <w:t>1</w:t>
        </w:r>
        <w:r>
          <w:fldChar w:fldCharType="end"/>
        </w:r>
      </w:p>
    </w:sdtContent>
  </w:sdt>
  <w:p w:rsidR="001179D2" w:rsidRDefault="001179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76" w:rsidRDefault="00387576" w:rsidP="001179D2">
      <w:pPr>
        <w:spacing w:after="0" w:line="240" w:lineRule="auto"/>
      </w:pPr>
      <w:r>
        <w:separator/>
      </w:r>
    </w:p>
  </w:footnote>
  <w:footnote w:type="continuationSeparator" w:id="0">
    <w:p w:rsidR="00387576" w:rsidRDefault="00387576" w:rsidP="001179D2">
      <w:pPr>
        <w:spacing w:after="0" w:line="240" w:lineRule="auto"/>
      </w:pPr>
      <w:r>
        <w:continuationSeparator/>
      </w:r>
    </w:p>
  </w:footnote>
  <w:footnote w:id="1">
    <w:p w:rsidR="00F823D7" w:rsidRPr="00F823D7" w:rsidRDefault="00F823D7" w:rsidP="00F823D7">
      <w:pPr>
        <w:pStyle w:val="Testonotaapidipagina"/>
        <w:jc w:val="both"/>
        <w:rPr>
          <w:rFonts w:ascii="Garamond" w:hAnsi="Garamond"/>
          <w:sz w:val="24"/>
          <w:szCs w:val="24"/>
        </w:rPr>
      </w:pPr>
      <w:r w:rsidRPr="00F823D7">
        <w:rPr>
          <w:rStyle w:val="Rimandonotaapidipagina"/>
          <w:rFonts w:ascii="Garamond" w:hAnsi="Garamond"/>
          <w:sz w:val="24"/>
          <w:szCs w:val="24"/>
        </w:rPr>
        <w:footnoteRef/>
      </w:r>
      <w:r w:rsidRPr="00F823D7">
        <w:rPr>
          <w:rFonts w:ascii="Garamond" w:hAnsi="Garamond"/>
          <w:sz w:val="24"/>
          <w:szCs w:val="24"/>
        </w:rPr>
        <w:t xml:space="preserve"> La Corte Costituzionale, nella sentenza del 25 luglio 2001, n. 290, ha precisato che la locuzione “interessi pubblici primari”, utilizzata nell’art. 159, comma 2, </w:t>
      </w:r>
      <w:r w:rsidR="00997C02">
        <w:rPr>
          <w:rFonts w:ascii="Garamond" w:hAnsi="Garamond"/>
          <w:sz w:val="24"/>
          <w:szCs w:val="24"/>
        </w:rPr>
        <w:t xml:space="preserve">include </w:t>
      </w:r>
      <w:r w:rsidR="00997C02" w:rsidRPr="00997C02">
        <w:rPr>
          <w:rFonts w:ascii="Garamond" w:hAnsi="Garamond"/>
          <w:sz w:val="24"/>
          <w:szCs w:val="24"/>
        </w:rPr>
        <w:t>non qualsiasi interesse pubblico alla cui cura siano preposte le pubbliche amministrazioni, ma soltanto</w:t>
      </w:r>
      <w:r w:rsidR="00997C02">
        <w:rPr>
          <w:rFonts w:ascii="Garamond" w:hAnsi="Garamond"/>
          <w:sz w:val="24"/>
          <w:szCs w:val="24"/>
        </w:rPr>
        <w:t xml:space="preserve"> </w:t>
      </w:r>
      <w:r>
        <w:rPr>
          <w:rFonts w:ascii="Garamond" w:hAnsi="Garamond"/>
          <w:sz w:val="24"/>
          <w:szCs w:val="24"/>
        </w:rPr>
        <w:t>quegli interessi essenziali al mantenimento di una ordinata convivenza civile</w:t>
      </w:r>
      <w:r w:rsidR="00997C02">
        <w:rPr>
          <w:rFonts w:ascii="Garamond" w:hAnsi="Garamond"/>
          <w:sz w:val="24"/>
          <w:szCs w:val="24"/>
        </w:rPr>
        <w:t>. Tale precisazione risulta necessaria ad impedire che una eccessiva dilatazione della nozione di sicurezza e ordine pubblico comprometta, a</w:t>
      </w:r>
      <w:r>
        <w:rPr>
          <w:rFonts w:ascii="Garamond" w:hAnsi="Garamond"/>
          <w:sz w:val="24"/>
          <w:szCs w:val="24"/>
        </w:rPr>
        <w:t xml:space="preserve"> </w:t>
      </w:r>
      <w:r w:rsidR="00997C02">
        <w:rPr>
          <w:rFonts w:ascii="Garamond" w:hAnsi="Garamond"/>
          <w:sz w:val="24"/>
          <w:szCs w:val="24"/>
        </w:rPr>
        <w:t>scapito della competenza locale, il riparto dei compiti tra autorità statali di polizia e autonomie locali.</w:t>
      </w:r>
      <w:r w:rsidRPr="00F823D7">
        <w:rPr>
          <w:rFonts w:ascii="Garamond" w:hAnsi="Garamond"/>
          <w:sz w:val="24"/>
          <w:szCs w:val="24"/>
        </w:rPr>
        <w:t xml:space="preserve"> </w:t>
      </w:r>
    </w:p>
  </w:footnote>
  <w:footnote w:id="2">
    <w:p w:rsidR="00F305AC" w:rsidRPr="00E6096F" w:rsidRDefault="00F305AC" w:rsidP="00E6096F">
      <w:pPr>
        <w:pStyle w:val="Testonotaapidipagina"/>
        <w:jc w:val="both"/>
        <w:rPr>
          <w:rFonts w:ascii="Garamond" w:hAnsi="Garamond"/>
          <w:sz w:val="24"/>
          <w:szCs w:val="24"/>
        </w:rPr>
      </w:pPr>
      <w:r w:rsidRPr="00F305AC">
        <w:rPr>
          <w:rStyle w:val="Rimandonotaapidipagina"/>
          <w:rFonts w:ascii="Garamond" w:hAnsi="Garamond"/>
          <w:sz w:val="24"/>
          <w:szCs w:val="24"/>
        </w:rPr>
        <w:footnoteRef/>
      </w:r>
      <w:r w:rsidRPr="00F305AC">
        <w:rPr>
          <w:rFonts w:ascii="Garamond" w:hAnsi="Garamond"/>
          <w:sz w:val="24"/>
          <w:szCs w:val="24"/>
        </w:rPr>
        <w:t xml:space="preserve"> Cfr. Senato della Repubblica</w:t>
      </w:r>
      <w:r>
        <w:rPr>
          <w:rFonts w:ascii="Garamond" w:hAnsi="Garamond"/>
          <w:sz w:val="24"/>
          <w:szCs w:val="24"/>
        </w:rPr>
        <w:t xml:space="preserve">, XVIII Legislatura, Fascicolo </w:t>
      </w:r>
      <w:r w:rsidRPr="001D6A22">
        <w:rPr>
          <w:rFonts w:ascii="Garamond" w:hAnsi="Garamond"/>
          <w:i/>
          <w:sz w:val="24"/>
          <w:szCs w:val="24"/>
        </w:rPr>
        <w:t>Iter</w:t>
      </w:r>
      <w:r>
        <w:rPr>
          <w:rFonts w:ascii="Garamond" w:hAnsi="Garamond"/>
          <w:sz w:val="24"/>
          <w:szCs w:val="24"/>
        </w:rPr>
        <w:t xml:space="preserve"> DDL S. 840 “</w:t>
      </w:r>
      <w:r w:rsidRPr="00F305AC">
        <w:rPr>
          <w:rFonts w:ascii="Garamond" w:hAnsi="Garamond"/>
          <w:i/>
          <w:sz w:val="24"/>
          <w:szCs w:val="24"/>
        </w:rPr>
        <w:t xml:space="preserve">Conversione in legge del decreto-legge 4 ottobre 2018, n. 113, recante disposizioni urgenti in materia di protezione internazionale e immigrazione, sicurezza pubblica, nonché misure per la funzionalità del Ministero </w:t>
      </w:r>
      <w:r>
        <w:rPr>
          <w:rFonts w:ascii="Garamond" w:hAnsi="Garamond"/>
          <w:i/>
          <w:sz w:val="24"/>
          <w:szCs w:val="24"/>
        </w:rPr>
        <w:t>dell’interno e l’</w:t>
      </w:r>
      <w:r w:rsidRPr="00F305AC">
        <w:rPr>
          <w:rFonts w:ascii="Garamond" w:hAnsi="Garamond"/>
          <w:i/>
          <w:sz w:val="24"/>
          <w:szCs w:val="24"/>
        </w:rPr>
        <w:t>organizzazione e il funzionam</w:t>
      </w:r>
      <w:r>
        <w:rPr>
          <w:rFonts w:ascii="Garamond" w:hAnsi="Garamond"/>
          <w:i/>
          <w:sz w:val="24"/>
          <w:szCs w:val="24"/>
        </w:rPr>
        <w:t>ento dell’</w:t>
      </w:r>
      <w:r w:rsidRPr="00F305AC">
        <w:rPr>
          <w:rFonts w:ascii="Garamond" w:hAnsi="Garamond"/>
          <w:i/>
          <w:sz w:val="24"/>
          <w:szCs w:val="24"/>
        </w:rPr>
        <w:t xml:space="preserve">Agenzia nazionale per </w:t>
      </w:r>
      <w:r>
        <w:rPr>
          <w:rFonts w:ascii="Garamond" w:hAnsi="Garamond"/>
          <w:i/>
          <w:sz w:val="24"/>
          <w:szCs w:val="24"/>
        </w:rPr>
        <w:t>l’</w:t>
      </w:r>
      <w:r w:rsidRPr="00F305AC">
        <w:rPr>
          <w:rFonts w:ascii="Garamond" w:hAnsi="Garamond"/>
          <w:i/>
          <w:sz w:val="24"/>
          <w:szCs w:val="24"/>
        </w:rPr>
        <w:t>amministrazione e la destinazione dei beni sequestrati e confiscati alla criminalità organizzata</w:t>
      </w:r>
      <w:r w:rsidRPr="00E6096F">
        <w:rPr>
          <w:rFonts w:ascii="Garamond" w:hAnsi="Garamond"/>
          <w:sz w:val="24"/>
          <w:szCs w:val="24"/>
        </w:rPr>
        <w:t>”</w:t>
      </w:r>
      <w:r w:rsidR="001D6A22" w:rsidRPr="00E6096F">
        <w:rPr>
          <w:rFonts w:ascii="Garamond" w:hAnsi="Garamond"/>
          <w:sz w:val="24"/>
          <w:szCs w:val="24"/>
        </w:rPr>
        <w:t>, pp. 14</w:t>
      </w:r>
      <w:r w:rsidRPr="00E6096F">
        <w:rPr>
          <w:rFonts w:ascii="Garamond" w:hAnsi="Garamond"/>
          <w:sz w:val="24"/>
          <w:szCs w:val="24"/>
        </w:rPr>
        <w:t>-1</w:t>
      </w:r>
      <w:r w:rsidR="001D6A22" w:rsidRPr="00E6096F">
        <w:rPr>
          <w:rFonts w:ascii="Garamond" w:hAnsi="Garamond"/>
          <w:sz w:val="24"/>
          <w:szCs w:val="24"/>
        </w:rPr>
        <w:t>5</w:t>
      </w:r>
      <w:r w:rsidRPr="00E6096F">
        <w:rPr>
          <w:rFonts w:ascii="Garamond" w:hAnsi="Garamond"/>
          <w:sz w:val="24"/>
          <w:szCs w:val="24"/>
        </w:rPr>
        <w:t>.</w:t>
      </w:r>
    </w:p>
  </w:footnote>
  <w:footnote w:id="3">
    <w:p w:rsidR="00E6096F" w:rsidRPr="00842BB1" w:rsidRDefault="00E6096F" w:rsidP="00842BB1">
      <w:pPr>
        <w:pStyle w:val="Testonotaapidipagina"/>
        <w:jc w:val="both"/>
        <w:rPr>
          <w:rFonts w:ascii="Garamond" w:hAnsi="Garamond"/>
          <w:sz w:val="24"/>
          <w:szCs w:val="24"/>
        </w:rPr>
      </w:pPr>
      <w:r w:rsidRPr="00E6096F">
        <w:rPr>
          <w:rStyle w:val="Rimandonotaapidipagina"/>
          <w:rFonts w:ascii="Garamond" w:hAnsi="Garamond"/>
          <w:sz w:val="24"/>
          <w:szCs w:val="24"/>
        </w:rPr>
        <w:footnoteRef/>
      </w:r>
      <w:r w:rsidRPr="00E6096F">
        <w:rPr>
          <w:rFonts w:ascii="Garamond" w:hAnsi="Garamond"/>
          <w:sz w:val="24"/>
          <w:szCs w:val="24"/>
        </w:rPr>
        <w:t xml:space="preserve"> Sul punto, cfr. Corte Costituzionale, 24 luglio 2019, n. 195</w:t>
      </w:r>
      <w:r>
        <w:rPr>
          <w:rFonts w:ascii="Garamond" w:hAnsi="Garamond"/>
          <w:sz w:val="24"/>
          <w:szCs w:val="24"/>
        </w:rPr>
        <w:t>, che, pronunciandosi sul d.l. n. 113 del 2018, ha ritenuto legittima l’estensione ai presidi sanitari del D.A.SPO. urbano a condizione, però, che il divieto non si applichi a chi ha bisogno di cure mediche o di prestazioni terapeutiche e diagnostiche. La Corte ha precisato, infatti, che il diritto alla salute prevale sulle esigenze di decoro dei luoghi e di contrasto alle condotte sanzionate in via amministrativa, quali</w:t>
      </w:r>
      <w:r w:rsidRPr="00E6096F">
        <w:rPr>
          <w:rFonts w:ascii="Garamond" w:hAnsi="Garamond"/>
          <w:sz w:val="24"/>
          <w:szCs w:val="24"/>
        </w:rPr>
        <w:t xml:space="preserve"> lo stato di ubriachezza, gli atti contrari alla pubblica decenza, il commercio e il parchegg</w:t>
      </w:r>
      <w:r>
        <w:rPr>
          <w:rFonts w:ascii="Garamond" w:hAnsi="Garamond"/>
          <w:sz w:val="24"/>
          <w:szCs w:val="24"/>
        </w:rPr>
        <w:t>io abusivo (presupposti del D.A.SPO.</w:t>
      </w:r>
      <w:r w:rsidRPr="00E6096F">
        <w:rPr>
          <w:rFonts w:ascii="Garamond" w:hAnsi="Garamond"/>
          <w:sz w:val="24"/>
          <w:szCs w:val="24"/>
        </w:rPr>
        <w:t xml:space="preserve"> urbano)</w:t>
      </w:r>
      <w:r>
        <w:rPr>
          <w:rFonts w:ascii="Garamond" w:hAnsi="Garamond"/>
          <w:sz w:val="24"/>
          <w:szCs w:val="24"/>
        </w:rPr>
        <w:t xml:space="preserve">. Così interpretata, la norma è risultata </w:t>
      </w:r>
      <w:r w:rsidR="00EF454C">
        <w:rPr>
          <w:rFonts w:ascii="Garamond" w:hAnsi="Garamond"/>
          <w:sz w:val="24"/>
          <w:szCs w:val="24"/>
        </w:rPr>
        <w:t xml:space="preserve">legittima; </w:t>
      </w:r>
      <w:r w:rsidRPr="00E6096F">
        <w:rPr>
          <w:rFonts w:ascii="Garamond" w:hAnsi="Garamond"/>
          <w:sz w:val="24"/>
          <w:szCs w:val="24"/>
        </w:rPr>
        <w:t>il diritto alla salute di chi ha bisogno di cure o di accertamenti sanitari rimane</w:t>
      </w:r>
      <w:r w:rsidR="006F3E8F">
        <w:rPr>
          <w:rFonts w:ascii="Garamond" w:hAnsi="Garamond"/>
          <w:sz w:val="24"/>
          <w:szCs w:val="24"/>
        </w:rPr>
        <w:t>,</w:t>
      </w:r>
      <w:r w:rsidRPr="00E6096F">
        <w:rPr>
          <w:rFonts w:ascii="Garamond" w:hAnsi="Garamond"/>
          <w:sz w:val="24"/>
          <w:szCs w:val="24"/>
        </w:rPr>
        <w:t xml:space="preserve"> infatti</w:t>
      </w:r>
      <w:r w:rsidR="006F3E8F">
        <w:rPr>
          <w:rFonts w:ascii="Garamond" w:hAnsi="Garamond"/>
          <w:sz w:val="24"/>
          <w:szCs w:val="24"/>
        </w:rPr>
        <w:t>,</w:t>
      </w:r>
      <w:r w:rsidRPr="00E6096F">
        <w:rPr>
          <w:rFonts w:ascii="Garamond" w:hAnsi="Garamond"/>
          <w:sz w:val="24"/>
          <w:szCs w:val="24"/>
        </w:rPr>
        <w:t xml:space="preserve"> pienamente tutelato e non vi è alcuna incidenza sull’organizzazione dei presidi sanitari, sicché non è violata la competenza regionale concorrente in materia di tutela della salute.</w:t>
      </w:r>
      <w:r w:rsidR="00CA2EA9">
        <w:rPr>
          <w:rFonts w:ascii="Garamond" w:hAnsi="Garamond"/>
          <w:sz w:val="24"/>
          <w:szCs w:val="24"/>
        </w:rPr>
        <w:t xml:space="preserve"> </w:t>
      </w:r>
      <w:r w:rsidR="00762DF4">
        <w:rPr>
          <w:rFonts w:ascii="Garamond" w:hAnsi="Garamond"/>
          <w:sz w:val="24"/>
          <w:szCs w:val="24"/>
        </w:rPr>
        <w:t>Sul tema, c</w:t>
      </w:r>
      <w:r w:rsidR="00CA2EA9">
        <w:rPr>
          <w:rFonts w:ascii="Garamond" w:hAnsi="Garamond"/>
          <w:sz w:val="24"/>
          <w:szCs w:val="24"/>
        </w:rPr>
        <w:t xml:space="preserve">fr. anche </w:t>
      </w:r>
      <w:r w:rsidR="00842BB1">
        <w:rPr>
          <w:rFonts w:ascii="Garamond" w:hAnsi="Garamond"/>
          <w:sz w:val="24"/>
          <w:szCs w:val="24"/>
        </w:rPr>
        <w:t xml:space="preserve">Cisterna A., </w:t>
      </w:r>
      <w:r w:rsidR="00842BB1">
        <w:rPr>
          <w:rFonts w:ascii="Garamond" w:hAnsi="Garamond"/>
          <w:i/>
          <w:sz w:val="24"/>
          <w:szCs w:val="24"/>
        </w:rPr>
        <w:t>Decreti sicurezza: le prime risposte della giurisprudenza</w:t>
      </w:r>
      <w:r w:rsidR="00842BB1">
        <w:rPr>
          <w:rFonts w:ascii="Garamond" w:hAnsi="Garamond"/>
          <w:sz w:val="24"/>
          <w:szCs w:val="24"/>
        </w:rPr>
        <w:t xml:space="preserve">, in Guida al diritto, 28 settembre 2019, n. 40, pp. 14-15; </w:t>
      </w:r>
      <w:r w:rsidR="00842BB1">
        <w:rPr>
          <w:rFonts w:ascii="Garamond" w:hAnsi="Garamond"/>
          <w:i/>
          <w:sz w:val="24"/>
          <w:szCs w:val="24"/>
        </w:rPr>
        <w:t>Sì al Daspo urbano nei «presìdi sanitari» se non ci sono cure</w:t>
      </w:r>
      <w:r w:rsidR="00842BB1">
        <w:rPr>
          <w:rFonts w:ascii="Garamond" w:hAnsi="Garamond"/>
          <w:sz w:val="24"/>
          <w:szCs w:val="24"/>
        </w:rPr>
        <w:t xml:space="preserve">, in Guida al diritto, 28 settembre 2019, n. 40, pp. 25-29; Amato G., </w:t>
      </w:r>
      <w:r w:rsidR="00842BB1">
        <w:rPr>
          <w:rFonts w:ascii="Garamond" w:hAnsi="Garamond"/>
          <w:i/>
          <w:sz w:val="24"/>
          <w:szCs w:val="24"/>
        </w:rPr>
        <w:t>Daspo urbano implementato e più divieti di accesso</w:t>
      </w:r>
      <w:r w:rsidR="00842BB1">
        <w:rPr>
          <w:rFonts w:ascii="Garamond" w:hAnsi="Garamond"/>
          <w:sz w:val="24"/>
          <w:szCs w:val="24"/>
        </w:rPr>
        <w:t>, in Guida al diritto, 12 gennaio 2019, n. 4, pp. 71-78. S</w:t>
      </w:r>
      <w:r w:rsidR="00762DF4">
        <w:rPr>
          <w:rFonts w:ascii="Garamond" w:hAnsi="Garamond"/>
          <w:sz w:val="24"/>
          <w:szCs w:val="24"/>
        </w:rPr>
        <w:t xml:space="preserve">ulla compatibilità del D.A.SPO. urbano </w:t>
      </w:r>
      <w:r w:rsidR="00842BB1">
        <w:rPr>
          <w:rFonts w:ascii="Garamond" w:hAnsi="Garamond"/>
          <w:sz w:val="24"/>
          <w:szCs w:val="24"/>
        </w:rPr>
        <w:t xml:space="preserve">con la Carta costituzionale e con la Convenzione EDU, cfr. Follieri E., </w:t>
      </w:r>
      <w:r w:rsidR="00842BB1" w:rsidRPr="00842BB1">
        <w:rPr>
          <w:rFonts w:ascii="Garamond" w:hAnsi="Garamond"/>
          <w:i/>
          <w:sz w:val="24"/>
          <w:szCs w:val="24"/>
        </w:rPr>
        <w:t>Il daspo urbano (artt. 9, 10 e 13 del D.L. 20.2.2017 n. 14)</w:t>
      </w:r>
      <w:r w:rsidR="00842BB1">
        <w:rPr>
          <w:rFonts w:ascii="Garamond" w:hAnsi="Garamond"/>
          <w:sz w:val="24"/>
          <w:szCs w:val="24"/>
        </w:rPr>
        <w:t>, Relazione al Convegno “</w:t>
      </w:r>
      <w:r w:rsidR="00842BB1" w:rsidRPr="00842BB1">
        <w:rPr>
          <w:rFonts w:ascii="Garamond" w:hAnsi="Garamond"/>
          <w:sz w:val="24"/>
          <w:szCs w:val="24"/>
        </w:rPr>
        <w:t>Recenti prospe</w:t>
      </w:r>
      <w:r w:rsidR="00842BB1">
        <w:rPr>
          <w:rFonts w:ascii="Garamond" w:hAnsi="Garamond"/>
          <w:sz w:val="24"/>
          <w:szCs w:val="24"/>
        </w:rPr>
        <w:t xml:space="preserve">ttive del fenomeno immigratorio”, Potenza, 24 marzo 2017, </w:t>
      </w:r>
      <w:r w:rsidR="00842BB1" w:rsidRPr="00842BB1">
        <w:rPr>
          <w:rFonts w:ascii="Garamond" w:hAnsi="Garamond"/>
          <w:sz w:val="24"/>
          <w:szCs w:val="24"/>
        </w:rPr>
        <w:t xml:space="preserve">in GiustAmm.it, 2017, fasc. 3, pp. </w:t>
      </w:r>
      <w:r w:rsidR="00842BB1">
        <w:rPr>
          <w:rFonts w:ascii="Garamond" w:hAnsi="Garamond"/>
          <w:sz w:val="24"/>
          <w:szCs w:val="24"/>
        </w:rPr>
        <w:t>1-</w:t>
      </w:r>
      <w:r w:rsidR="00842BB1" w:rsidRPr="00842BB1">
        <w:rPr>
          <w:rFonts w:ascii="Garamond" w:hAnsi="Garamond"/>
          <w:sz w:val="24"/>
          <w:szCs w:val="24"/>
        </w:rPr>
        <w:t>10</w:t>
      </w:r>
      <w:r w:rsidR="00842BB1">
        <w:rPr>
          <w:rFonts w:ascii="Garamond" w:hAnsi="Garamond"/>
          <w:sz w:val="24"/>
          <w:szCs w:val="24"/>
        </w:rPr>
        <w:t>.</w:t>
      </w:r>
    </w:p>
  </w:footnote>
  <w:footnote w:id="4">
    <w:p w:rsidR="00EE6197" w:rsidRPr="00E05CA8" w:rsidRDefault="00EE6197" w:rsidP="00E05CA8">
      <w:pPr>
        <w:pStyle w:val="Testonotaapidipagina"/>
        <w:jc w:val="both"/>
        <w:rPr>
          <w:rFonts w:ascii="Garamond" w:hAnsi="Garamond"/>
          <w:sz w:val="24"/>
          <w:szCs w:val="24"/>
        </w:rPr>
      </w:pPr>
      <w:r w:rsidRPr="00EE6197">
        <w:rPr>
          <w:rStyle w:val="Rimandonotaapidipagina"/>
          <w:rFonts w:ascii="Garamond" w:hAnsi="Garamond"/>
          <w:sz w:val="24"/>
          <w:szCs w:val="24"/>
        </w:rPr>
        <w:footnoteRef/>
      </w:r>
      <w:r w:rsidRPr="00EE6197">
        <w:rPr>
          <w:rFonts w:ascii="Garamond" w:hAnsi="Garamond"/>
          <w:sz w:val="24"/>
          <w:szCs w:val="24"/>
        </w:rPr>
        <w:t xml:space="preserve"> L’articolo 13-</w:t>
      </w:r>
      <w:r w:rsidRPr="00EE6197">
        <w:rPr>
          <w:rFonts w:ascii="Garamond" w:hAnsi="Garamond"/>
          <w:i/>
          <w:sz w:val="24"/>
          <w:szCs w:val="24"/>
        </w:rPr>
        <w:t>bis</w:t>
      </w:r>
      <w:r w:rsidRPr="00EE6197">
        <w:rPr>
          <w:rFonts w:ascii="Garamond" w:hAnsi="Garamond"/>
          <w:sz w:val="24"/>
          <w:szCs w:val="24"/>
        </w:rPr>
        <w:t xml:space="preserve"> </w:t>
      </w:r>
      <w:r>
        <w:rPr>
          <w:rFonts w:ascii="Garamond" w:hAnsi="Garamond"/>
          <w:sz w:val="24"/>
          <w:szCs w:val="24"/>
        </w:rPr>
        <w:t xml:space="preserve">del d.l. n. 14 del 2017 </w:t>
      </w:r>
      <w:r w:rsidRPr="00EE6197">
        <w:rPr>
          <w:rFonts w:ascii="Garamond" w:hAnsi="Garamond"/>
          <w:sz w:val="24"/>
          <w:szCs w:val="24"/>
        </w:rPr>
        <w:t>è stato introdotto ad opera dell’art. 21, comma 1-</w:t>
      </w:r>
      <w:r w:rsidRPr="00EE6197">
        <w:rPr>
          <w:rFonts w:ascii="Garamond" w:hAnsi="Garamond"/>
          <w:i/>
          <w:sz w:val="24"/>
          <w:szCs w:val="24"/>
        </w:rPr>
        <w:t>ter</w:t>
      </w:r>
      <w:r>
        <w:rPr>
          <w:rFonts w:ascii="Garamond" w:hAnsi="Garamond"/>
          <w:sz w:val="24"/>
          <w:szCs w:val="24"/>
        </w:rPr>
        <w:t xml:space="preserve">, </w:t>
      </w:r>
      <w:r w:rsidRPr="00EE6197">
        <w:rPr>
          <w:rFonts w:ascii="Garamond" w:hAnsi="Garamond"/>
          <w:sz w:val="24"/>
          <w:szCs w:val="24"/>
        </w:rPr>
        <w:t>della l. n. 132 del 2018.</w:t>
      </w:r>
    </w:p>
  </w:footnote>
  <w:footnote w:id="5">
    <w:p w:rsidR="000916D4" w:rsidRDefault="00E05CA8" w:rsidP="00E05CA8">
      <w:pPr>
        <w:pStyle w:val="Testonotaapidipagina"/>
        <w:jc w:val="both"/>
        <w:rPr>
          <w:rFonts w:ascii="Garamond" w:hAnsi="Garamond"/>
          <w:sz w:val="24"/>
          <w:szCs w:val="24"/>
        </w:rPr>
      </w:pPr>
      <w:r w:rsidRPr="00E05CA8">
        <w:rPr>
          <w:rStyle w:val="Rimandonotaapidipagina"/>
          <w:rFonts w:ascii="Garamond" w:hAnsi="Garamond"/>
          <w:sz w:val="24"/>
          <w:szCs w:val="24"/>
        </w:rPr>
        <w:footnoteRef/>
      </w:r>
      <w:r w:rsidRPr="00E05CA8">
        <w:rPr>
          <w:rFonts w:ascii="Garamond" w:hAnsi="Garamond"/>
          <w:sz w:val="24"/>
          <w:szCs w:val="24"/>
        </w:rPr>
        <w:t xml:space="preserve"> Sul tema del D.A.L.P., cfr. Amato G., </w:t>
      </w:r>
      <w:r w:rsidRPr="00E05CA8">
        <w:rPr>
          <w:rFonts w:ascii="Garamond" w:hAnsi="Garamond"/>
          <w:i/>
          <w:sz w:val="24"/>
          <w:szCs w:val="24"/>
        </w:rPr>
        <w:t>Misure ad hoc contro lo spaccio di stupefacenti</w:t>
      </w:r>
      <w:r w:rsidRPr="00E05CA8">
        <w:rPr>
          <w:rFonts w:ascii="Garamond" w:hAnsi="Garamond"/>
          <w:sz w:val="24"/>
          <w:szCs w:val="24"/>
        </w:rPr>
        <w:t xml:space="preserve">, in </w:t>
      </w:r>
      <w:r>
        <w:rPr>
          <w:rFonts w:ascii="Garamond" w:hAnsi="Garamond"/>
          <w:sz w:val="24"/>
          <w:szCs w:val="24"/>
        </w:rPr>
        <w:t xml:space="preserve">Guida al diritto, 18 marzo 2017, n. 13, pp. 43-45; Cisterna A., </w:t>
      </w:r>
      <w:r>
        <w:rPr>
          <w:rFonts w:ascii="Garamond" w:hAnsi="Garamond"/>
          <w:i/>
          <w:sz w:val="24"/>
          <w:szCs w:val="24"/>
        </w:rPr>
        <w:t>Politiche securitarie, alcune disposizioni andrebbero ripensate</w:t>
      </w:r>
      <w:r>
        <w:rPr>
          <w:rFonts w:ascii="Garamond" w:hAnsi="Garamond"/>
          <w:sz w:val="24"/>
          <w:szCs w:val="24"/>
        </w:rPr>
        <w:t>, in Guida al diritto, 27 ottobre 2018, n. 44, pp. 95-100 e, da ultimo,</w:t>
      </w:r>
      <w:r w:rsidR="00E22EDF">
        <w:rPr>
          <w:rFonts w:ascii="Garamond" w:hAnsi="Garamond"/>
          <w:sz w:val="24"/>
          <w:szCs w:val="24"/>
        </w:rPr>
        <w:t xml:space="preserve"> per un commento sulle modifiche apportate dal d.l. n. 130 del 2020, cfr.</w:t>
      </w:r>
      <w:r>
        <w:rPr>
          <w:rFonts w:ascii="Garamond" w:hAnsi="Garamond"/>
          <w:sz w:val="24"/>
          <w:szCs w:val="24"/>
        </w:rPr>
        <w:t xml:space="preserve"> Cisterna A., </w:t>
      </w:r>
      <w:r>
        <w:rPr>
          <w:rFonts w:ascii="Garamond" w:hAnsi="Garamond"/>
          <w:i/>
          <w:sz w:val="24"/>
          <w:szCs w:val="24"/>
        </w:rPr>
        <w:t>Quella tentazione dei decreti omnibus che non risolve le emergenze criminali. I profili penalistici</w:t>
      </w:r>
      <w:r>
        <w:rPr>
          <w:rFonts w:ascii="Garamond" w:hAnsi="Garamond"/>
          <w:sz w:val="24"/>
          <w:szCs w:val="24"/>
        </w:rPr>
        <w:t xml:space="preserve">, in Guida al diritto, 7 novembre 2020, n. 44, pp. 56-59; </w:t>
      </w:r>
      <w:r w:rsidR="000916D4">
        <w:rPr>
          <w:rFonts w:ascii="Garamond" w:hAnsi="Garamond"/>
          <w:sz w:val="24"/>
          <w:szCs w:val="24"/>
        </w:rPr>
        <w:t>Dossier</w:t>
      </w:r>
      <w:r w:rsidR="000916D4" w:rsidRPr="000916D4">
        <w:rPr>
          <w:rFonts w:ascii="Garamond" w:hAnsi="Garamond"/>
          <w:sz w:val="24"/>
          <w:szCs w:val="24"/>
        </w:rPr>
        <w:t xml:space="preserve"> (A.C. 2727-A) Dipartimento Istituzioni D20130a del 26 novembre 2020, </w:t>
      </w:r>
      <w:r w:rsidR="000916D4" w:rsidRPr="000916D4">
        <w:rPr>
          <w:rFonts w:ascii="Garamond" w:hAnsi="Garamond"/>
          <w:i/>
          <w:sz w:val="24"/>
          <w:szCs w:val="24"/>
        </w:rPr>
        <w:t>Disposizioni urgenti in materia di immigrazione e sicurezza</w:t>
      </w:r>
      <w:r w:rsidR="000916D4" w:rsidRPr="000916D4">
        <w:rPr>
          <w:rFonts w:ascii="Garamond" w:hAnsi="Garamond"/>
          <w:sz w:val="24"/>
          <w:szCs w:val="24"/>
        </w:rPr>
        <w:t xml:space="preserve">, pp. </w:t>
      </w:r>
      <w:r w:rsidR="000916D4">
        <w:rPr>
          <w:rFonts w:ascii="Garamond" w:hAnsi="Garamond"/>
          <w:sz w:val="24"/>
          <w:szCs w:val="24"/>
        </w:rPr>
        <w:t>129-140</w:t>
      </w:r>
      <w:r w:rsidR="000916D4" w:rsidRPr="000916D4">
        <w:rPr>
          <w:rFonts w:ascii="Garamond" w:hAnsi="Garamond"/>
          <w:sz w:val="24"/>
          <w:szCs w:val="24"/>
        </w:rPr>
        <w:t xml:space="preserve">, consultabile al seguente </w:t>
      </w:r>
      <w:r w:rsidR="000916D4" w:rsidRPr="000916D4">
        <w:rPr>
          <w:rFonts w:ascii="Garamond" w:hAnsi="Garamond"/>
          <w:i/>
          <w:sz w:val="24"/>
          <w:szCs w:val="24"/>
        </w:rPr>
        <w:t>link</w:t>
      </w:r>
      <w:r w:rsidR="000916D4" w:rsidRPr="000916D4">
        <w:rPr>
          <w:rFonts w:ascii="Garamond" w:hAnsi="Garamond"/>
          <w:sz w:val="24"/>
          <w:szCs w:val="24"/>
        </w:rPr>
        <w:t>:</w:t>
      </w:r>
    </w:p>
    <w:p w:rsidR="000916D4" w:rsidRPr="00E05CA8" w:rsidRDefault="00343C35" w:rsidP="00E05CA8">
      <w:pPr>
        <w:pStyle w:val="Testonotaapidipagina"/>
        <w:jc w:val="both"/>
        <w:rPr>
          <w:rFonts w:ascii="Garamond" w:hAnsi="Garamond"/>
          <w:sz w:val="24"/>
          <w:szCs w:val="24"/>
        </w:rPr>
      </w:pPr>
      <w:hyperlink r:id="rId1" w:history="1">
        <w:r w:rsidR="000916D4" w:rsidRPr="00F75764">
          <w:rPr>
            <w:rStyle w:val="Collegamentoipertestuale"/>
            <w:rFonts w:ascii="Garamond" w:hAnsi="Garamond"/>
            <w:sz w:val="24"/>
            <w:szCs w:val="24"/>
          </w:rPr>
          <w:t>http://documenti.camera.it/leg18/dossier/pdf/D20130a.pdf</w:t>
        </w:r>
      </w:hyperlink>
      <w:r w:rsidR="000916D4">
        <w:rPr>
          <w:rFonts w:ascii="Garamond" w:hAnsi="Garamond"/>
          <w:sz w:val="24"/>
          <w:szCs w:val="24"/>
        </w:rPr>
        <w:t xml:space="preserve"> </w:t>
      </w:r>
    </w:p>
  </w:footnote>
  <w:footnote w:id="6">
    <w:p w:rsidR="007F3B48" w:rsidRPr="00B3097D" w:rsidRDefault="007F3B48" w:rsidP="00B3097D">
      <w:pPr>
        <w:pStyle w:val="Testonotaapidipagina"/>
        <w:jc w:val="both"/>
        <w:rPr>
          <w:rFonts w:ascii="Garamond" w:hAnsi="Garamond"/>
          <w:sz w:val="24"/>
          <w:szCs w:val="24"/>
        </w:rPr>
      </w:pPr>
      <w:r w:rsidRPr="007F3B48">
        <w:rPr>
          <w:rStyle w:val="Rimandonotaapidipagina"/>
          <w:rFonts w:ascii="Garamond" w:hAnsi="Garamond"/>
          <w:sz w:val="24"/>
          <w:szCs w:val="24"/>
        </w:rPr>
        <w:footnoteRef/>
      </w:r>
      <w:r w:rsidR="00F45444">
        <w:rPr>
          <w:rFonts w:ascii="Garamond" w:hAnsi="Garamond"/>
          <w:sz w:val="24"/>
          <w:szCs w:val="24"/>
        </w:rPr>
        <w:t xml:space="preserve"> Tale</w:t>
      </w:r>
      <w:r w:rsidR="00F14339">
        <w:rPr>
          <w:rFonts w:ascii="Garamond" w:hAnsi="Garamond"/>
          <w:sz w:val="24"/>
          <w:szCs w:val="24"/>
        </w:rPr>
        <w:t xml:space="preserve"> misura</w:t>
      </w:r>
      <w:r w:rsidRPr="007F3B48">
        <w:rPr>
          <w:rFonts w:ascii="Garamond" w:hAnsi="Garamond"/>
          <w:sz w:val="24"/>
          <w:szCs w:val="24"/>
        </w:rPr>
        <w:t xml:space="preserve"> avrebbe</w:t>
      </w:r>
      <w:r w:rsidR="00C24FCB">
        <w:rPr>
          <w:rFonts w:ascii="Garamond" w:hAnsi="Garamond"/>
          <w:sz w:val="24"/>
          <w:szCs w:val="24"/>
        </w:rPr>
        <w:t xml:space="preserve">, inoltre, carattere atipico. Nello specifico, le misure di prevenzione nell’ambito sportivo hanno dato vita ad un sottosistema autonomo rispetto al sistema generale delle misure di prevenzione disciplinato dal Codice antimafia, sia per la diversa collocazione sistematica, sia per l’applicabilità a categorie di soggetti caratterizzati da peculiari forme di pericolosità sociali </w:t>
      </w:r>
      <w:r w:rsidR="008111E8">
        <w:rPr>
          <w:rFonts w:ascii="Garamond" w:hAnsi="Garamond"/>
          <w:sz w:val="24"/>
          <w:szCs w:val="24"/>
        </w:rPr>
        <w:t>(</w:t>
      </w:r>
      <w:r w:rsidR="008F622E">
        <w:rPr>
          <w:rFonts w:ascii="Garamond" w:hAnsi="Garamond"/>
          <w:sz w:val="24"/>
          <w:szCs w:val="24"/>
        </w:rPr>
        <w:t>legate</w:t>
      </w:r>
      <w:r w:rsidR="00C24FCB">
        <w:rPr>
          <w:rFonts w:ascii="Garamond" w:hAnsi="Garamond"/>
          <w:sz w:val="24"/>
          <w:szCs w:val="24"/>
        </w:rPr>
        <w:t>, in particolare, allo svolgimento di eventi sportivi</w:t>
      </w:r>
      <w:r w:rsidR="008111E8">
        <w:rPr>
          <w:rFonts w:ascii="Garamond" w:hAnsi="Garamond"/>
          <w:sz w:val="24"/>
          <w:szCs w:val="24"/>
        </w:rPr>
        <w:t>)</w:t>
      </w:r>
      <w:r w:rsidR="00C24FCB">
        <w:rPr>
          <w:rFonts w:ascii="Garamond" w:hAnsi="Garamond"/>
          <w:sz w:val="24"/>
          <w:szCs w:val="24"/>
        </w:rPr>
        <w:t>, nonché per l’attribuzione al Questore del pote</w:t>
      </w:r>
      <w:r w:rsidR="008F622E">
        <w:rPr>
          <w:rFonts w:ascii="Garamond" w:hAnsi="Garamond"/>
          <w:sz w:val="24"/>
          <w:szCs w:val="24"/>
        </w:rPr>
        <w:t>re di disporle. In dottrina, in tal senso, v. Menditto F</w:t>
      </w:r>
      <w:r w:rsidR="00D40D37">
        <w:rPr>
          <w:rFonts w:ascii="Garamond" w:hAnsi="Garamond"/>
          <w:sz w:val="24"/>
          <w:szCs w:val="24"/>
        </w:rPr>
        <w:t>.</w:t>
      </w:r>
      <w:r w:rsidR="008F622E">
        <w:rPr>
          <w:rFonts w:ascii="Garamond" w:hAnsi="Garamond"/>
          <w:sz w:val="24"/>
          <w:szCs w:val="24"/>
        </w:rPr>
        <w:t xml:space="preserve">, </w:t>
      </w:r>
      <w:r w:rsidR="008F622E" w:rsidRPr="008F622E">
        <w:rPr>
          <w:rFonts w:ascii="Garamond" w:hAnsi="Garamond"/>
          <w:i/>
          <w:sz w:val="24"/>
          <w:szCs w:val="24"/>
        </w:rPr>
        <w:t>Le misure di prevenzione personali e patrimoniali. La confisca allargata (art. 240-bis C.P.)</w:t>
      </w:r>
      <w:r w:rsidR="008F622E">
        <w:rPr>
          <w:rFonts w:ascii="Garamond" w:hAnsi="Garamond"/>
          <w:sz w:val="24"/>
          <w:szCs w:val="24"/>
        </w:rPr>
        <w:t xml:space="preserve">, Giuffrè, 2019, vol. I, pp. 416-418; </w:t>
      </w:r>
      <w:r w:rsidR="00C4630A">
        <w:rPr>
          <w:rFonts w:ascii="Garamond" w:hAnsi="Garamond"/>
          <w:sz w:val="24"/>
          <w:szCs w:val="24"/>
        </w:rPr>
        <w:t xml:space="preserve">Fiorentin F., </w:t>
      </w:r>
      <w:r w:rsidR="00C4630A" w:rsidRPr="00C4630A">
        <w:rPr>
          <w:rFonts w:ascii="Garamond" w:hAnsi="Garamond"/>
          <w:i/>
          <w:sz w:val="24"/>
          <w:szCs w:val="24"/>
        </w:rPr>
        <w:t xml:space="preserve">Misure di prevenzione personali e patrimoniali </w:t>
      </w:r>
      <w:r w:rsidR="00C4630A" w:rsidRPr="00C4630A">
        <w:rPr>
          <w:rFonts w:ascii="Garamond" w:hAnsi="Garamond"/>
          <w:sz w:val="24"/>
          <w:szCs w:val="24"/>
        </w:rPr>
        <w:t>(a cura di)</w:t>
      </w:r>
      <w:r w:rsidR="00C4630A" w:rsidRPr="00C4630A">
        <w:rPr>
          <w:rFonts w:ascii="Garamond" w:hAnsi="Garamond"/>
          <w:i/>
          <w:sz w:val="24"/>
          <w:szCs w:val="24"/>
        </w:rPr>
        <w:t xml:space="preserve"> Fabio Fiorentin</w:t>
      </w:r>
      <w:r w:rsidR="00C4630A">
        <w:rPr>
          <w:rFonts w:ascii="Garamond" w:hAnsi="Garamond"/>
          <w:sz w:val="24"/>
          <w:szCs w:val="24"/>
        </w:rPr>
        <w:t>, G. Giappichelli Editore – Torino, 2018, p. 362</w:t>
      </w:r>
      <w:r w:rsidR="00B442CB">
        <w:rPr>
          <w:rFonts w:ascii="Garamond" w:hAnsi="Garamond"/>
          <w:sz w:val="24"/>
          <w:szCs w:val="24"/>
        </w:rPr>
        <w:t>;</w:t>
      </w:r>
      <w:r w:rsidR="00FB5FE3">
        <w:rPr>
          <w:rFonts w:ascii="Garamond" w:hAnsi="Garamond"/>
          <w:sz w:val="24"/>
          <w:szCs w:val="24"/>
        </w:rPr>
        <w:t xml:space="preserve"> </w:t>
      </w:r>
      <w:r w:rsidR="00F06D2C">
        <w:rPr>
          <w:rFonts w:ascii="Garamond" w:hAnsi="Garamond"/>
          <w:sz w:val="24"/>
          <w:szCs w:val="24"/>
        </w:rPr>
        <w:t xml:space="preserve">Bonomi A., Pavich G., </w:t>
      </w:r>
      <w:r w:rsidR="00F06D2C">
        <w:rPr>
          <w:rFonts w:ascii="Garamond" w:hAnsi="Garamond"/>
          <w:i/>
          <w:sz w:val="24"/>
          <w:szCs w:val="24"/>
        </w:rPr>
        <w:t xml:space="preserve">Daspo e problemi di </w:t>
      </w:r>
      <w:r w:rsidR="00F06D2C" w:rsidRPr="00B442CB">
        <w:rPr>
          <w:rFonts w:ascii="Garamond" w:hAnsi="Garamond"/>
          <w:i/>
          <w:sz w:val="24"/>
          <w:szCs w:val="24"/>
        </w:rPr>
        <w:t>costituzionalità</w:t>
      </w:r>
      <w:r w:rsidR="00F06D2C">
        <w:rPr>
          <w:rFonts w:ascii="Garamond" w:hAnsi="Garamond"/>
          <w:sz w:val="24"/>
          <w:szCs w:val="24"/>
        </w:rPr>
        <w:t xml:space="preserve">, in Diritto penale contemporaneo, 25 maggio 2015, pp. </w:t>
      </w:r>
      <w:r w:rsidR="0053268F">
        <w:rPr>
          <w:rFonts w:ascii="Garamond" w:hAnsi="Garamond"/>
          <w:sz w:val="24"/>
          <w:szCs w:val="24"/>
        </w:rPr>
        <w:t>1-</w:t>
      </w:r>
      <w:r w:rsidR="00F06D2C">
        <w:rPr>
          <w:rFonts w:ascii="Garamond" w:hAnsi="Garamond"/>
          <w:sz w:val="24"/>
          <w:szCs w:val="24"/>
        </w:rPr>
        <w:t xml:space="preserve">38; </w:t>
      </w:r>
      <w:r w:rsidR="00FB5FE3">
        <w:rPr>
          <w:rFonts w:ascii="Garamond" w:hAnsi="Garamond"/>
          <w:sz w:val="24"/>
          <w:szCs w:val="24"/>
        </w:rPr>
        <w:t xml:space="preserve">Dolso G. P., </w:t>
      </w:r>
      <w:r w:rsidR="00FB5FE3" w:rsidRPr="00FB5FE3">
        <w:rPr>
          <w:rFonts w:ascii="Garamond" w:hAnsi="Garamond"/>
          <w:i/>
          <w:sz w:val="24"/>
          <w:szCs w:val="24"/>
        </w:rPr>
        <w:t>Misure di prevenzione atipiche e diritto di difesa</w:t>
      </w:r>
      <w:r w:rsidR="00FB5FE3">
        <w:rPr>
          <w:rFonts w:ascii="Garamond" w:hAnsi="Garamond"/>
          <w:sz w:val="24"/>
          <w:szCs w:val="24"/>
        </w:rPr>
        <w:t>, in Giurisprudenza costituzionale, 1997, fasc. 3, pp. 1586-1596;</w:t>
      </w:r>
      <w:r w:rsidR="00F06D2C">
        <w:rPr>
          <w:rFonts w:ascii="Garamond" w:hAnsi="Garamond"/>
          <w:sz w:val="24"/>
          <w:szCs w:val="24"/>
        </w:rPr>
        <w:t xml:space="preserve"> Molinari P. V., </w:t>
      </w:r>
      <w:r w:rsidR="00F06D2C" w:rsidRPr="008111E8">
        <w:rPr>
          <w:rFonts w:ascii="Garamond" w:hAnsi="Garamond"/>
          <w:i/>
          <w:sz w:val="24"/>
          <w:szCs w:val="24"/>
        </w:rPr>
        <w:t>La nuova formulazione delle atipiche misure di prevenzione personali in tema di fenomeni di violenza in occasione di competizioni agonistiche</w:t>
      </w:r>
      <w:r w:rsidR="00F06D2C">
        <w:rPr>
          <w:rFonts w:ascii="Garamond" w:hAnsi="Garamond"/>
          <w:sz w:val="24"/>
          <w:szCs w:val="24"/>
        </w:rPr>
        <w:t>, in Cassazione penale, 1995,</w:t>
      </w:r>
      <w:r w:rsidR="00F06D2C" w:rsidRPr="008111E8">
        <w:rPr>
          <w:rFonts w:ascii="Garamond" w:hAnsi="Garamond"/>
          <w:sz w:val="24"/>
          <w:szCs w:val="24"/>
        </w:rPr>
        <w:t xml:space="preserve"> </w:t>
      </w:r>
      <w:r w:rsidR="00F06D2C">
        <w:rPr>
          <w:rFonts w:ascii="Garamond" w:hAnsi="Garamond"/>
          <w:sz w:val="24"/>
          <w:szCs w:val="24"/>
        </w:rPr>
        <w:t>fasc. 10</w:t>
      </w:r>
      <w:r w:rsidR="00F14339">
        <w:rPr>
          <w:rFonts w:ascii="Garamond" w:hAnsi="Garamond"/>
          <w:sz w:val="24"/>
          <w:szCs w:val="24"/>
        </w:rPr>
        <w:t xml:space="preserve">, pp. 2744 </w:t>
      </w:r>
      <w:r w:rsidR="00F06D2C">
        <w:rPr>
          <w:rFonts w:ascii="Garamond" w:hAnsi="Garamond"/>
          <w:sz w:val="24"/>
          <w:szCs w:val="24"/>
        </w:rPr>
        <w:t xml:space="preserve">ss.; </w:t>
      </w:r>
      <w:r w:rsidR="00F14339">
        <w:rPr>
          <w:rFonts w:ascii="Garamond" w:hAnsi="Garamond"/>
          <w:sz w:val="24"/>
          <w:szCs w:val="24"/>
        </w:rPr>
        <w:t xml:space="preserve">ma vedi anche </w:t>
      </w:r>
      <w:r w:rsidR="008F622E">
        <w:rPr>
          <w:rFonts w:ascii="Garamond" w:hAnsi="Garamond"/>
          <w:sz w:val="24"/>
          <w:szCs w:val="24"/>
        </w:rPr>
        <w:t>Cassazione penale, sez. un., 27 ottobre 2004, n. 44273, secondo cui «</w:t>
      </w:r>
      <w:r w:rsidR="008F622E" w:rsidRPr="008F622E">
        <w:rPr>
          <w:rFonts w:ascii="Garamond" w:hAnsi="Garamond"/>
          <w:i/>
          <w:sz w:val="24"/>
          <w:szCs w:val="24"/>
        </w:rPr>
        <w:t xml:space="preserve">È privo di rilievo inquadrare le misure in esame tra quelle “tipiche” o quelle “atipiche” trattandosi di distinzione priva di effetti pratici e ricavandosi, la atipicità, esclusivamente dalla circostanza di non essere previste dalla normativa di carattere generale sulle misure di prevenzione di cui alla legge 27 dicembre 1956 n. 1423. Se vuol darsi un contenuto a questa distinzione può </w:t>
      </w:r>
      <w:r w:rsidR="008F622E" w:rsidRPr="00B3097D">
        <w:rPr>
          <w:rFonts w:ascii="Garamond" w:hAnsi="Garamond"/>
          <w:i/>
          <w:sz w:val="24"/>
          <w:szCs w:val="24"/>
        </w:rPr>
        <w:t>confermarsi la natura atipica delle misure con riferimento al già accennato diverso criterio di pericolosità sociale che le connotano</w:t>
      </w:r>
      <w:r w:rsidR="008F622E" w:rsidRPr="00B3097D">
        <w:rPr>
          <w:rFonts w:ascii="Garamond" w:hAnsi="Garamond"/>
          <w:sz w:val="24"/>
          <w:szCs w:val="24"/>
        </w:rPr>
        <w:t>».</w:t>
      </w:r>
    </w:p>
  </w:footnote>
  <w:footnote w:id="7">
    <w:p w:rsidR="005767B1" w:rsidRPr="005767B1" w:rsidRDefault="005767B1" w:rsidP="005767B1">
      <w:pPr>
        <w:pStyle w:val="Testonotaapidipagina"/>
        <w:jc w:val="both"/>
        <w:rPr>
          <w:rFonts w:ascii="Garamond" w:hAnsi="Garamond"/>
          <w:sz w:val="24"/>
          <w:szCs w:val="24"/>
        </w:rPr>
      </w:pPr>
      <w:r w:rsidRPr="005767B1">
        <w:rPr>
          <w:rStyle w:val="Rimandonotaapidipagina"/>
          <w:rFonts w:ascii="Garamond" w:hAnsi="Garamond"/>
          <w:sz w:val="24"/>
          <w:szCs w:val="24"/>
        </w:rPr>
        <w:footnoteRef/>
      </w:r>
      <w:r w:rsidRPr="005767B1">
        <w:rPr>
          <w:rFonts w:ascii="Garamond" w:hAnsi="Garamond"/>
          <w:sz w:val="24"/>
          <w:szCs w:val="24"/>
        </w:rPr>
        <w:t xml:space="preserve"> Per una ricostruzione storica e per una disamina del problema della costituzionalità delle misure di prevenzione, cfr. Mantovani F., </w:t>
      </w:r>
      <w:r>
        <w:rPr>
          <w:rFonts w:ascii="Garamond" w:hAnsi="Garamond"/>
          <w:i/>
          <w:sz w:val="24"/>
          <w:szCs w:val="24"/>
        </w:rPr>
        <w:t>Diritto penale. Parte generale</w:t>
      </w:r>
      <w:r>
        <w:rPr>
          <w:rFonts w:ascii="Garamond" w:hAnsi="Garamond"/>
          <w:sz w:val="24"/>
          <w:szCs w:val="24"/>
        </w:rPr>
        <w:t xml:space="preserve">, </w:t>
      </w:r>
      <w:r w:rsidRPr="005767B1">
        <w:rPr>
          <w:rFonts w:ascii="Garamond" w:hAnsi="Garamond"/>
          <w:sz w:val="24"/>
          <w:szCs w:val="24"/>
        </w:rPr>
        <w:t>Wolters Kluwe</w:t>
      </w:r>
      <w:r>
        <w:rPr>
          <w:rFonts w:ascii="Garamond" w:hAnsi="Garamond"/>
          <w:sz w:val="24"/>
          <w:szCs w:val="24"/>
        </w:rPr>
        <w:t>r, Cedam,</w:t>
      </w:r>
      <w:r w:rsidRPr="005767B1">
        <w:rPr>
          <w:rFonts w:ascii="Garamond" w:hAnsi="Garamond"/>
          <w:sz w:val="24"/>
          <w:szCs w:val="24"/>
        </w:rPr>
        <w:t xml:space="preserve"> </w:t>
      </w:r>
      <w:r>
        <w:rPr>
          <w:rFonts w:ascii="Garamond" w:hAnsi="Garamond"/>
          <w:sz w:val="24"/>
          <w:szCs w:val="24"/>
        </w:rPr>
        <w:t>X edizione, 2019, pp. 851-864.</w:t>
      </w:r>
    </w:p>
  </w:footnote>
  <w:footnote w:id="8">
    <w:p w:rsidR="00DC6B93" w:rsidRPr="00F049EE" w:rsidRDefault="00DC6B93" w:rsidP="00F049EE">
      <w:pPr>
        <w:pStyle w:val="Testonotaapidipagina"/>
        <w:jc w:val="both"/>
        <w:rPr>
          <w:rFonts w:ascii="Garamond" w:hAnsi="Garamond"/>
          <w:sz w:val="24"/>
          <w:szCs w:val="24"/>
        </w:rPr>
      </w:pPr>
      <w:r w:rsidRPr="00F049EE">
        <w:rPr>
          <w:rStyle w:val="Rimandonotaapidipagina"/>
          <w:rFonts w:ascii="Garamond" w:hAnsi="Garamond"/>
          <w:sz w:val="24"/>
          <w:szCs w:val="24"/>
        </w:rPr>
        <w:footnoteRef/>
      </w:r>
      <w:r w:rsidRPr="00F049EE">
        <w:rPr>
          <w:rFonts w:ascii="Garamond" w:hAnsi="Garamond"/>
          <w:sz w:val="24"/>
          <w:szCs w:val="24"/>
        </w:rPr>
        <w:t xml:space="preserve"> Nuvolone P., voce </w:t>
      </w:r>
      <w:r w:rsidRPr="00F049EE">
        <w:rPr>
          <w:rFonts w:ascii="Garamond" w:hAnsi="Garamond"/>
          <w:i/>
          <w:sz w:val="24"/>
          <w:szCs w:val="24"/>
        </w:rPr>
        <w:t>Misure di prevenzione e misure di sicurezza</w:t>
      </w:r>
      <w:r w:rsidRPr="00F049EE">
        <w:rPr>
          <w:rFonts w:ascii="Garamond" w:hAnsi="Garamond"/>
          <w:sz w:val="24"/>
          <w:szCs w:val="24"/>
        </w:rPr>
        <w:t xml:space="preserve">, in </w:t>
      </w:r>
      <w:r w:rsidR="00F049EE" w:rsidRPr="00F049EE">
        <w:rPr>
          <w:rFonts w:ascii="Garamond" w:hAnsi="Garamond"/>
          <w:sz w:val="24"/>
          <w:szCs w:val="24"/>
        </w:rPr>
        <w:t>Enc</w:t>
      </w:r>
      <w:r w:rsidR="00F049EE">
        <w:rPr>
          <w:rFonts w:ascii="Garamond" w:hAnsi="Garamond"/>
          <w:sz w:val="24"/>
          <w:szCs w:val="24"/>
        </w:rPr>
        <w:t>iclopedia del diritto, XXVI, Milano, 1976, pp. 632 ss., secondo cui il riconoscimento della prevenzione viene desunto anche dagli artt. 25 e 27 Cost. Invero, «</w:t>
      </w:r>
      <w:r w:rsidR="00F049EE" w:rsidRPr="002A6FAE">
        <w:rPr>
          <w:rFonts w:ascii="Garamond" w:hAnsi="Garamond"/>
          <w:i/>
          <w:sz w:val="24"/>
          <w:szCs w:val="24"/>
        </w:rPr>
        <w:t>In secondo luogo, l’art. 25 cost. prevede espressamente le misure di sicurezza; e identifica l’osservanza del principio di legalità nel fatto che esse siano applicate nei casi contemplati dalla legge. Con questo, le misure di prevenzione in sé e per sé (tali sono anche le misure di sicurezza) vengono riconosciute costituzionalmente legittime, e viene, quindi, riconosciuta la legittimità della enunciazione delle fattispecie-presupposto (e, cioè, della situazione soggettiva di pericolosità) e di una limitazione della libertà personale che abbia la sua giustificazione nello scopo di prevenire la commissione di reati. In terzo luogo, nel momento in cui l’art. 27 cost. assegna alla pena una finalità di rieducazione, e quindi la ricollega anche all’accertamento di fattori di personalità e al raggiungimento di scopi eteronomi rispetto all’essenza logica della pena stessa, si introduce nel sistema la prevenzione come elemento caratterizzante la sanzione penale, nella sua specie e nella sua durata, rompendo quella corrispondenza tra fatto di reato e sanzione, su cui si fonda il principio di legalità, nella sua classica e tradizionale accezione. Si potrà, ovviamente, osservare che, per quanto concerne le misure di sicurezza, vi è pur sempre la premessa della commissione di un reato (o di un quasi reato), il che non avviene nelle misure di prevenzione ante-delictum: e, cioè, vi è una garanzia di certezza oggettiva. Senonché, l’obiezione non sarebbe pertinente: e, invero, l’applicazione delle misure</w:t>
      </w:r>
      <w:r w:rsidR="002A6FAE" w:rsidRPr="002A6FAE">
        <w:rPr>
          <w:rFonts w:ascii="Garamond" w:hAnsi="Garamond"/>
          <w:i/>
          <w:sz w:val="24"/>
          <w:szCs w:val="24"/>
        </w:rPr>
        <w:t xml:space="preserve"> di sicurezza non discende dall’</w:t>
      </w:r>
      <w:r w:rsidR="00F049EE" w:rsidRPr="002A6FAE">
        <w:rPr>
          <w:rFonts w:ascii="Garamond" w:hAnsi="Garamond"/>
          <w:i/>
          <w:sz w:val="24"/>
          <w:szCs w:val="24"/>
        </w:rPr>
        <w:t>accertamento del reato, che è una semp</w:t>
      </w:r>
      <w:r w:rsidR="002A6FAE" w:rsidRPr="002A6FAE">
        <w:rPr>
          <w:rFonts w:ascii="Garamond" w:hAnsi="Garamond"/>
          <w:i/>
          <w:sz w:val="24"/>
          <w:szCs w:val="24"/>
        </w:rPr>
        <w:t>lice premessa storica, ma dall’a</w:t>
      </w:r>
      <w:r w:rsidR="00F049EE" w:rsidRPr="002A6FAE">
        <w:rPr>
          <w:rFonts w:ascii="Garamond" w:hAnsi="Garamond"/>
          <w:i/>
          <w:sz w:val="24"/>
          <w:szCs w:val="24"/>
        </w:rPr>
        <w:t>ccertamento di una situazione soggettiva di pericolosità criminale</w:t>
      </w:r>
      <w:r w:rsidR="002A6FAE" w:rsidRPr="002A6FAE">
        <w:rPr>
          <w:rFonts w:ascii="Garamond" w:hAnsi="Garamond"/>
          <w:i/>
          <w:sz w:val="24"/>
          <w:szCs w:val="24"/>
        </w:rPr>
        <w:t>. E, quindi, concettualmente, l’impostazione è la stessa. Del resto, l’</w:t>
      </w:r>
      <w:r w:rsidR="00F049EE" w:rsidRPr="002A6FAE">
        <w:rPr>
          <w:rFonts w:ascii="Garamond" w:hAnsi="Garamond"/>
          <w:i/>
          <w:sz w:val="24"/>
          <w:szCs w:val="24"/>
        </w:rPr>
        <w:t xml:space="preserve">art. 13 cost. ammette, da un punto di vista generale, e non già solo con riferimento a un </w:t>
      </w:r>
      <w:r w:rsidR="002A6FAE" w:rsidRPr="002A6FAE">
        <w:rPr>
          <w:rFonts w:ascii="Garamond" w:hAnsi="Garamond"/>
          <w:i/>
          <w:sz w:val="24"/>
          <w:szCs w:val="24"/>
        </w:rPr>
        <w:t>processo penale in corso, che l’</w:t>
      </w:r>
      <w:r w:rsidR="00F049EE" w:rsidRPr="002A6FAE">
        <w:rPr>
          <w:rFonts w:ascii="Garamond" w:hAnsi="Garamond"/>
          <w:i/>
          <w:sz w:val="24"/>
          <w:szCs w:val="24"/>
        </w:rPr>
        <w:t>autorità giudiziaria possa prendere provvedimenti restrittivi della libertà personale; e in casi eccezionali di necessità ed urgenza, indicati tassativamente dalla legge, consente che anche l</w:t>
      </w:r>
      <w:r w:rsidR="002A6FAE" w:rsidRPr="002A6FAE">
        <w:rPr>
          <w:rFonts w:ascii="Garamond" w:hAnsi="Garamond"/>
          <w:i/>
          <w:sz w:val="24"/>
          <w:szCs w:val="24"/>
        </w:rPr>
        <w:t>’</w:t>
      </w:r>
      <w:r w:rsidR="00F049EE" w:rsidRPr="002A6FAE">
        <w:rPr>
          <w:rFonts w:ascii="Garamond" w:hAnsi="Garamond"/>
          <w:i/>
          <w:sz w:val="24"/>
          <w:szCs w:val="24"/>
        </w:rPr>
        <w:t>autorità di pubblica sicurezza possa prendere, se pure in via provvisoria, tali provvedimenti</w:t>
      </w:r>
      <w:r w:rsidR="00F049EE">
        <w:rPr>
          <w:rFonts w:ascii="Garamond" w:hAnsi="Garamond"/>
          <w:sz w:val="24"/>
          <w:szCs w:val="24"/>
        </w:rPr>
        <w:t>».</w:t>
      </w:r>
      <w:r w:rsidR="00171847">
        <w:rPr>
          <w:rFonts w:ascii="Garamond" w:hAnsi="Garamond"/>
          <w:sz w:val="24"/>
          <w:szCs w:val="24"/>
        </w:rPr>
        <w:t xml:space="preserve"> Cfr. anche Corte Costituzionale, 1964, n. 23, che </w:t>
      </w:r>
      <w:r w:rsidR="0061407D">
        <w:rPr>
          <w:rFonts w:ascii="Garamond" w:hAnsi="Garamond"/>
          <w:sz w:val="24"/>
          <w:szCs w:val="24"/>
        </w:rPr>
        <w:t xml:space="preserve">si è pronunciata sulla legittimità dell’art. 1, l. n. 1423 del 1956, in rapporto al principio costituzionale di legalità-tassatività. </w:t>
      </w:r>
      <w:r w:rsidR="0045198C">
        <w:rPr>
          <w:rFonts w:ascii="Garamond" w:hAnsi="Garamond"/>
          <w:sz w:val="24"/>
          <w:szCs w:val="24"/>
        </w:rPr>
        <w:t xml:space="preserve">Da ultimo, sulla portata e i limiti delle misure di prevenzione, cfr. Corte Costituzionale, 27 febbraio 2019, n. 24. </w:t>
      </w:r>
    </w:p>
  </w:footnote>
  <w:footnote w:id="9">
    <w:p w:rsidR="00B3097D" w:rsidRPr="00B3097D" w:rsidRDefault="00B3097D" w:rsidP="00B3097D">
      <w:pPr>
        <w:pStyle w:val="Testonotaapidipagina"/>
        <w:jc w:val="both"/>
        <w:rPr>
          <w:rFonts w:ascii="Garamond" w:hAnsi="Garamond"/>
          <w:sz w:val="24"/>
          <w:szCs w:val="24"/>
        </w:rPr>
      </w:pPr>
      <w:r w:rsidRPr="00B3097D">
        <w:rPr>
          <w:rStyle w:val="Rimandonotaapidipagina"/>
          <w:rFonts w:ascii="Garamond" w:hAnsi="Garamond"/>
          <w:sz w:val="24"/>
          <w:szCs w:val="24"/>
        </w:rPr>
        <w:footnoteRef/>
      </w:r>
      <w:r w:rsidRPr="00B3097D">
        <w:rPr>
          <w:rFonts w:ascii="Garamond" w:hAnsi="Garamond"/>
          <w:sz w:val="24"/>
          <w:szCs w:val="24"/>
        </w:rPr>
        <w:t xml:space="preserve"> Cfr., </w:t>
      </w:r>
      <w:r w:rsidR="00D727F3">
        <w:rPr>
          <w:rFonts w:ascii="Garamond" w:hAnsi="Garamond"/>
          <w:sz w:val="24"/>
          <w:szCs w:val="24"/>
        </w:rPr>
        <w:t xml:space="preserve">con riferimento alle </w:t>
      </w:r>
      <w:r>
        <w:rPr>
          <w:rFonts w:ascii="Garamond" w:hAnsi="Garamond"/>
          <w:sz w:val="24"/>
          <w:szCs w:val="24"/>
        </w:rPr>
        <w:t>interdittiv</w:t>
      </w:r>
      <w:r w:rsidR="00D727F3">
        <w:rPr>
          <w:rFonts w:ascii="Garamond" w:hAnsi="Garamond"/>
          <w:sz w:val="24"/>
          <w:szCs w:val="24"/>
        </w:rPr>
        <w:t>e</w:t>
      </w:r>
      <w:r>
        <w:rPr>
          <w:rFonts w:ascii="Garamond" w:hAnsi="Garamond"/>
          <w:sz w:val="24"/>
          <w:szCs w:val="24"/>
        </w:rPr>
        <w:t xml:space="preserve"> antimafia, </w:t>
      </w:r>
      <w:r w:rsidRPr="00B3097D">
        <w:rPr>
          <w:rFonts w:ascii="Garamond" w:hAnsi="Garamond"/>
          <w:i/>
          <w:sz w:val="24"/>
          <w:szCs w:val="24"/>
        </w:rPr>
        <w:t>ex multis</w:t>
      </w:r>
      <w:r w:rsidRPr="00B3097D">
        <w:rPr>
          <w:rFonts w:ascii="Garamond" w:hAnsi="Garamond"/>
          <w:sz w:val="24"/>
          <w:szCs w:val="24"/>
        </w:rPr>
        <w:t xml:space="preserve">, Cons. St., sez. III, 4 giugno 2021, n. 4293; </w:t>
      </w:r>
      <w:r>
        <w:rPr>
          <w:rFonts w:ascii="Garamond" w:hAnsi="Garamond"/>
          <w:sz w:val="24"/>
          <w:szCs w:val="24"/>
        </w:rPr>
        <w:t>27 aprile 2021, n. 3379; 24 febbraio 2020, n. 1348; 5 settembre 2019, n. 6105; 18 aprile 2018, n. 2343; 26 settembre 2017, n. 4483.</w:t>
      </w:r>
    </w:p>
  </w:footnote>
  <w:footnote w:id="10">
    <w:p w:rsidR="005901C1" w:rsidRPr="009C4016" w:rsidRDefault="005901C1" w:rsidP="00925F76">
      <w:pPr>
        <w:pStyle w:val="Testonotaapidipagina"/>
        <w:jc w:val="both"/>
        <w:rPr>
          <w:rFonts w:ascii="Garamond" w:hAnsi="Garamond"/>
          <w:sz w:val="24"/>
          <w:szCs w:val="24"/>
        </w:rPr>
      </w:pPr>
      <w:r w:rsidRPr="005901C1">
        <w:rPr>
          <w:rStyle w:val="Rimandonotaapidipagina"/>
          <w:rFonts w:ascii="Garamond" w:hAnsi="Garamond"/>
          <w:sz w:val="24"/>
          <w:szCs w:val="24"/>
        </w:rPr>
        <w:footnoteRef/>
      </w:r>
      <w:r w:rsidRPr="005901C1">
        <w:rPr>
          <w:rFonts w:ascii="Garamond" w:hAnsi="Garamond"/>
          <w:sz w:val="24"/>
          <w:szCs w:val="24"/>
        </w:rPr>
        <w:t xml:space="preserve"> Cfr. </w:t>
      </w:r>
      <w:r w:rsidRPr="005901C1">
        <w:rPr>
          <w:rFonts w:ascii="Garamond" w:hAnsi="Garamond"/>
          <w:i/>
          <w:sz w:val="24"/>
          <w:szCs w:val="24"/>
        </w:rPr>
        <w:t>ex multis</w:t>
      </w:r>
      <w:r w:rsidRPr="005901C1">
        <w:rPr>
          <w:rFonts w:ascii="Garamond" w:hAnsi="Garamond"/>
          <w:sz w:val="24"/>
          <w:szCs w:val="24"/>
        </w:rPr>
        <w:t xml:space="preserve">, </w:t>
      </w:r>
      <w:r>
        <w:rPr>
          <w:rFonts w:ascii="Garamond" w:hAnsi="Garamond"/>
          <w:sz w:val="24"/>
          <w:szCs w:val="24"/>
        </w:rPr>
        <w:t xml:space="preserve">Cons. St., sez. III, </w:t>
      </w:r>
      <w:r w:rsidR="002502AA">
        <w:rPr>
          <w:rFonts w:ascii="Garamond" w:hAnsi="Garamond"/>
          <w:sz w:val="24"/>
          <w:szCs w:val="24"/>
        </w:rPr>
        <w:t xml:space="preserve">11 gennaio 2021 n. 317; </w:t>
      </w:r>
      <w:r w:rsidR="00E935D5">
        <w:rPr>
          <w:rFonts w:ascii="Garamond" w:hAnsi="Garamond"/>
          <w:sz w:val="24"/>
          <w:szCs w:val="24"/>
        </w:rPr>
        <w:t xml:space="preserve">26 novembre 2020, n. 7420; 24 giugno 2020 n. 4033; </w:t>
      </w:r>
      <w:r w:rsidR="002502AA">
        <w:rPr>
          <w:rFonts w:ascii="Garamond" w:hAnsi="Garamond"/>
          <w:sz w:val="24"/>
          <w:szCs w:val="24"/>
        </w:rPr>
        <w:t>4</w:t>
      </w:r>
      <w:r>
        <w:rPr>
          <w:rFonts w:ascii="Garamond" w:hAnsi="Garamond"/>
          <w:sz w:val="24"/>
          <w:szCs w:val="24"/>
        </w:rPr>
        <w:t xml:space="preserve"> febbraio 2019, n. 866</w:t>
      </w:r>
      <w:r w:rsidR="002502AA">
        <w:rPr>
          <w:rFonts w:ascii="Garamond" w:hAnsi="Garamond"/>
          <w:sz w:val="24"/>
          <w:szCs w:val="24"/>
        </w:rPr>
        <w:t>;</w:t>
      </w:r>
      <w:r w:rsidR="00F067DF">
        <w:rPr>
          <w:rFonts w:ascii="Garamond" w:hAnsi="Garamond"/>
          <w:sz w:val="24"/>
          <w:szCs w:val="24"/>
        </w:rPr>
        <w:t xml:space="preserve"> Cons. giust. amm. Sicilia, sez. giurisd., 3 giugno 2020, n. 392; Cassazione penale, sez. un., 27 ottobre 2004, n. 44273</w:t>
      </w:r>
      <w:r w:rsidR="00F067DF" w:rsidRPr="00C24EF7">
        <w:rPr>
          <w:rFonts w:ascii="Garamond" w:hAnsi="Garamond"/>
          <w:sz w:val="24"/>
          <w:szCs w:val="24"/>
        </w:rPr>
        <w:t xml:space="preserve">. </w:t>
      </w:r>
      <w:r w:rsidR="007C0252">
        <w:rPr>
          <w:rFonts w:ascii="Garamond" w:hAnsi="Garamond"/>
          <w:sz w:val="24"/>
          <w:szCs w:val="24"/>
        </w:rPr>
        <w:t xml:space="preserve">La </w:t>
      </w:r>
      <w:r w:rsidR="008F622E" w:rsidRPr="00C24EF7">
        <w:rPr>
          <w:rFonts w:ascii="Garamond" w:hAnsi="Garamond"/>
          <w:sz w:val="24"/>
          <w:szCs w:val="24"/>
        </w:rPr>
        <w:t>natura di misura di preven</w:t>
      </w:r>
      <w:r w:rsidR="0056728F" w:rsidRPr="00C24EF7">
        <w:rPr>
          <w:rFonts w:ascii="Garamond" w:hAnsi="Garamond"/>
          <w:sz w:val="24"/>
          <w:szCs w:val="24"/>
        </w:rPr>
        <w:t xml:space="preserve">zione </w:t>
      </w:r>
      <w:r w:rsidR="007C0252">
        <w:rPr>
          <w:rFonts w:ascii="Garamond" w:hAnsi="Garamond"/>
          <w:sz w:val="24"/>
          <w:szCs w:val="24"/>
        </w:rPr>
        <w:t xml:space="preserve">è stata, invece, esclusa </w:t>
      </w:r>
      <w:r w:rsidR="0056728F" w:rsidRPr="00C24EF7">
        <w:rPr>
          <w:rFonts w:ascii="Garamond" w:hAnsi="Garamond"/>
          <w:sz w:val="24"/>
          <w:szCs w:val="24"/>
        </w:rPr>
        <w:t>da Cassazione penale,</w:t>
      </w:r>
      <w:r w:rsidR="008F622E" w:rsidRPr="00C24EF7">
        <w:rPr>
          <w:rFonts w:ascii="Garamond" w:hAnsi="Garamond"/>
          <w:sz w:val="24"/>
          <w:szCs w:val="24"/>
        </w:rPr>
        <w:t xml:space="preserve"> sez. I, 21 febbraio 1996</w:t>
      </w:r>
      <w:r w:rsidR="0056728F" w:rsidRPr="00C24EF7">
        <w:rPr>
          <w:rFonts w:ascii="Garamond" w:hAnsi="Garamond"/>
          <w:sz w:val="24"/>
          <w:szCs w:val="24"/>
        </w:rPr>
        <w:t>,</w:t>
      </w:r>
      <w:r w:rsidR="008F622E" w:rsidRPr="00C24EF7">
        <w:rPr>
          <w:rFonts w:ascii="Garamond" w:hAnsi="Garamond"/>
          <w:sz w:val="24"/>
          <w:szCs w:val="24"/>
        </w:rPr>
        <w:t xml:space="preserve"> n. 1165, </w:t>
      </w:r>
      <w:r w:rsidR="00C24EF7" w:rsidRPr="00C24EF7">
        <w:rPr>
          <w:rFonts w:ascii="Garamond" w:hAnsi="Garamond"/>
          <w:sz w:val="24"/>
          <w:szCs w:val="24"/>
        </w:rPr>
        <w:t>secondo cui occorre «</w:t>
      </w:r>
      <w:r w:rsidR="008F622E" w:rsidRPr="00C24EF7">
        <w:rPr>
          <w:rFonts w:ascii="Garamond" w:hAnsi="Garamond"/>
          <w:i/>
          <w:sz w:val="24"/>
          <w:szCs w:val="24"/>
        </w:rPr>
        <w:t>configurare il divieto di</w:t>
      </w:r>
      <w:r w:rsidR="00C24EF7" w:rsidRPr="00C24EF7">
        <w:rPr>
          <w:rFonts w:ascii="Garamond" w:hAnsi="Garamond"/>
          <w:i/>
          <w:sz w:val="24"/>
          <w:szCs w:val="24"/>
        </w:rPr>
        <w:t xml:space="preserve"> accesso di cui al comma 1 dell’</w:t>
      </w:r>
      <w:r w:rsidR="008F622E" w:rsidRPr="00C24EF7">
        <w:rPr>
          <w:rFonts w:ascii="Garamond" w:hAnsi="Garamond"/>
          <w:i/>
          <w:sz w:val="24"/>
          <w:szCs w:val="24"/>
        </w:rPr>
        <w:t xml:space="preserve">art. 6 come atipica misura </w:t>
      </w:r>
      <w:r w:rsidR="007C0252">
        <w:rPr>
          <w:rFonts w:ascii="Garamond" w:hAnsi="Garamond"/>
          <w:i/>
          <w:sz w:val="24"/>
          <w:szCs w:val="24"/>
        </w:rPr>
        <w:t>interdittiva di competenza dell’</w:t>
      </w:r>
      <w:r w:rsidR="008F622E" w:rsidRPr="00C24EF7">
        <w:rPr>
          <w:rFonts w:ascii="Garamond" w:hAnsi="Garamond"/>
          <w:i/>
          <w:sz w:val="24"/>
          <w:szCs w:val="24"/>
        </w:rPr>
        <w:t>autorità di pubblica sicurezza per la salvaguardia di finalità inerenti all</w:t>
      </w:r>
      <w:r w:rsidR="00C24EF7">
        <w:rPr>
          <w:rFonts w:ascii="Garamond" w:hAnsi="Garamond"/>
          <w:i/>
          <w:sz w:val="24"/>
          <w:szCs w:val="24"/>
        </w:rPr>
        <w:t>’</w:t>
      </w:r>
      <w:r w:rsidR="008F622E" w:rsidRPr="00C24EF7">
        <w:rPr>
          <w:rFonts w:ascii="Garamond" w:hAnsi="Garamond"/>
          <w:i/>
          <w:sz w:val="24"/>
          <w:szCs w:val="24"/>
        </w:rPr>
        <w:t>ordine pubblico</w:t>
      </w:r>
      <w:r w:rsidR="00C24EF7" w:rsidRPr="00C24EF7">
        <w:rPr>
          <w:rFonts w:ascii="Garamond" w:hAnsi="Garamond"/>
          <w:sz w:val="24"/>
          <w:szCs w:val="24"/>
        </w:rPr>
        <w:t>».</w:t>
      </w:r>
      <w:r w:rsidR="00C24EF7">
        <w:rPr>
          <w:rFonts w:ascii="Garamond" w:hAnsi="Garamond"/>
          <w:sz w:val="24"/>
          <w:szCs w:val="24"/>
        </w:rPr>
        <w:t xml:space="preserve"> In tal senso anche Nuzzo F., </w:t>
      </w:r>
      <w:r w:rsidR="00C24EF7" w:rsidRPr="00C24EF7">
        <w:rPr>
          <w:rFonts w:ascii="Garamond" w:hAnsi="Garamond"/>
          <w:i/>
          <w:sz w:val="24"/>
          <w:szCs w:val="24"/>
        </w:rPr>
        <w:t xml:space="preserve">Sull’applicabilità ai minorenni delle misure di prevenzione personali atipiche previste </w:t>
      </w:r>
      <w:r w:rsidR="00C24EF7" w:rsidRPr="00925F76">
        <w:rPr>
          <w:rFonts w:ascii="Garamond" w:hAnsi="Garamond"/>
          <w:i/>
          <w:sz w:val="24"/>
          <w:szCs w:val="24"/>
        </w:rPr>
        <w:t>dall’art. 6 l. 13 dicembre 1989</w:t>
      </w:r>
      <w:r w:rsidR="00C24EF7" w:rsidRPr="00925F76">
        <w:rPr>
          <w:rFonts w:ascii="Garamond" w:hAnsi="Garamond"/>
          <w:sz w:val="24"/>
          <w:szCs w:val="24"/>
        </w:rPr>
        <w:t>, n. 401</w:t>
      </w:r>
      <w:r w:rsidR="00ED3A81" w:rsidRPr="00925F76">
        <w:rPr>
          <w:rFonts w:ascii="Garamond" w:hAnsi="Garamond"/>
          <w:sz w:val="24"/>
          <w:szCs w:val="24"/>
        </w:rPr>
        <w:t>, in Cassazione penale</w:t>
      </w:r>
      <w:r w:rsidR="00F14339">
        <w:rPr>
          <w:rFonts w:ascii="Garamond" w:hAnsi="Garamond"/>
          <w:sz w:val="24"/>
          <w:szCs w:val="24"/>
        </w:rPr>
        <w:t xml:space="preserve">, 1997, fasc. 3, pp. 854 </w:t>
      </w:r>
      <w:r w:rsidR="009C4016">
        <w:rPr>
          <w:rFonts w:ascii="Garamond" w:hAnsi="Garamond"/>
          <w:sz w:val="24"/>
          <w:szCs w:val="24"/>
        </w:rPr>
        <w:t xml:space="preserve">ss.; Insardà C., </w:t>
      </w:r>
      <w:r w:rsidR="009C4016">
        <w:rPr>
          <w:rFonts w:ascii="Garamond" w:hAnsi="Garamond"/>
          <w:i/>
          <w:sz w:val="24"/>
          <w:szCs w:val="24"/>
        </w:rPr>
        <w:t>Natura interdittiva atipica del D.A.SPO.</w:t>
      </w:r>
      <w:r w:rsidR="009C4016">
        <w:rPr>
          <w:rFonts w:ascii="Garamond" w:hAnsi="Garamond"/>
          <w:sz w:val="24"/>
          <w:szCs w:val="24"/>
        </w:rPr>
        <w:t>, in Il Merito, luglio-agosto 2020, numero 7-8, p. 76.</w:t>
      </w:r>
    </w:p>
  </w:footnote>
  <w:footnote w:id="11">
    <w:p w:rsidR="00925F76" w:rsidRPr="00C95E02" w:rsidRDefault="002C2A38" w:rsidP="00C95E02">
      <w:pPr>
        <w:pStyle w:val="Testonotaapidipagina"/>
        <w:jc w:val="both"/>
        <w:rPr>
          <w:rFonts w:ascii="Garamond" w:hAnsi="Garamond" w:cs="Arial"/>
          <w:color w:val="000000"/>
          <w:sz w:val="24"/>
          <w:szCs w:val="24"/>
          <w:shd w:val="clear" w:color="auto" w:fill="FFFFFF"/>
        </w:rPr>
      </w:pPr>
      <w:r w:rsidRPr="00925F76">
        <w:rPr>
          <w:rStyle w:val="Rimandonotaapidipagina"/>
          <w:rFonts w:ascii="Garamond" w:hAnsi="Garamond"/>
          <w:sz w:val="24"/>
          <w:szCs w:val="24"/>
        </w:rPr>
        <w:footnoteRef/>
      </w:r>
      <w:r w:rsidRPr="00925F76">
        <w:rPr>
          <w:rFonts w:ascii="Garamond" w:hAnsi="Garamond"/>
          <w:sz w:val="24"/>
          <w:szCs w:val="24"/>
        </w:rPr>
        <w:t xml:space="preserve"> Corte EDU, sez. I, 8 novembre 2018, ric. </w:t>
      </w:r>
      <w:r>
        <w:rPr>
          <w:rFonts w:ascii="Garamond" w:hAnsi="Garamond"/>
          <w:sz w:val="24"/>
          <w:szCs w:val="24"/>
        </w:rPr>
        <w:t>n</w:t>
      </w:r>
      <w:r w:rsidRPr="00925F76">
        <w:rPr>
          <w:rFonts w:ascii="Garamond" w:hAnsi="Garamond"/>
          <w:sz w:val="24"/>
          <w:szCs w:val="24"/>
        </w:rPr>
        <w:t xml:space="preserve">. 19120/15, </w:t>
      </w:r>
      <w:r w:rsidR="007E2D91">
        <w:rPr>
          <w:rStyle w:val="sb8d990e2"/>
          <w:rFonts w:ascii="Garamond" w:hAnsi="Garamond" w:cs="Arial"/>
          <w:i/>
          <w:color w:val="000000"/>
          <w:sz w:val="24"/>
          <w:szCs w:val="24"/>
          <w:shd w:val="clear" w:color="auto" w:fill="FFFFFF"/>
        </w:rPr>
        <w:t xml:space="preserve">Tomislav Seražin c. </w:t>
      </w:r>
      <w:r w:rsidRPr="00925F76">
        <w:rPr>
          <w:rStyle w:val="sb8d990e2"/>
          <w:rFonts w:ascii="Garamond" w:hAnsi="Garamond" w:cs="Arial"/>
          <w:i/>
          <w:color w:val="000000"/>
          <w:sz w:val="24"/>
          <w:szCs w:val="24"/>
          <w:shd w:val="clear" w:color="auto" w:fill="FFFFFF"/>
        </w:rPr>
        <w:t>Croazia</w:t>
      </w:r>
      <w:r w:rsidR="00925F76">
        <w:rPr>
          <w:rStyle w:val="sb8d990e2"/>
          <w:rFonts w:ascii="Garamond" w:hAnsi="Garamond" w:cs="Arial"/>
          <w:color w:val="000000"/>
          <w:sz w:val="24"/>
          <w:szCs w:val="24"/>
          <w:shd w:val="clear" w:color="auto" w:fill="FFFFFF"/>
        </w:rPr>
        <w:t>,</w:t>
      </w:r>
      <w:r w:rsidR="007F7D66">
        <w:rPr>
          <w:rStyle w:val="sb8d990e2"/>
          <w:rFonts w:ascii="Garamond" w:hAnsi="Garamond" w:cs="Arial"/>
          <w:color w:val="000000"/>
          <w:sz w:val="24"/>
          <w:szCs w:val="24"/>
          <w:shd w:val="clear" w:color="auto" w:fill="FFFFFF"/>
        </w:rPr>
        <w:t xml:space="preserve"> che ha escluso la natura sanzionatoria del D.A.SPO. sia per l’</w:t>
      </w:r>
      <w:r w:rsidR="007F7D66" w:rsidRPr="007F7D66">
        <w:rPr>
          <w:rStyle w:val="sb8d990e2"/>
          <w:rFonts w:ascii="Garamond" w:hAnsi="Garamond" w:cs="Arial"/>
          <w:color w:val="000000"/>
          <w:sz w:val="24"/>
          <w:szCs w:val="24"/>
          <w:shd w:val="clear" w:color="auto" w:fill="FFFFFF"/>
        </w:rPr>
        <w:t>applicabilità della misura indipendentemente da una conda</w:t>
      </w:r>
      <w:r w:rsidR="007F7D66">
        <w:rPr>
          <w:rStyle w:val="sb8d990e2"/>
          <w:rFonts w:ascii="Garamond" w:hAnsi="Garamond" w:cs="Arial"/>
          <w:color w:val="000000"/>
          <w:sz w:val="24"/>
          <w:szCs w:val="24"/>
          <w:shd w:val="clear" w:color="auto" w:fill="FFFFFF"/>
        </w:rPr>
        <w:t xml:space="preserve">nna </w:t>
      </w:r>
      <w:r w:rsidR="007F7D66" w:rsidRPr="007F7D66">
        <w:rPr>
          <w:rStyle w:val="sb8d990e2"/>
          <w:rFonts w:ascii="Garamond" w:hAnsi="Garamond" w:cs="Arial"/>
          <w:color w:val="000000"/>
          <w:sz w:val="24"/>
          <w:szCs w:val="24"/>
          <w:shd w:val="clear" w:color="auto" w:fill="FFFFFF"/>
        </w:rPr>
        <w:t>penale, sia per la finalità prevalente della misura,</w:t>
      </w:r>
      <w:r w:rsidR="007F7D66">
        <w:rPr>
          <w:rStyle w:val="sb8d990e2"/>
          <w:rFonts w:ascii="Garamond" w:hAnsi="Garamond" w:cs="Arial"/>
          <w:color w:val="000000"/>
          <w:sz w:val="24"/>
          <w:szCs w:val="24"/>
          <w:shd w:val="clear" w:color="auto" w:fill="FFFFFF"/>
        </w:rPr>
        <w:t xml:space="preserve"> consistente nella creazione di </w:t>
      </w:r>
      <w:r w:rsidR="007F7D66" w:rsidRPr="007F7D66">
        <w:rPr>
          <w:rStyle w:val="sb8d990e2"/>
          <w:rFonts w:ascii="Garamond" w:hAnsi="Garamond" w:cs="Arial"/>
          <w:color w:val="000000"/>
          <w:sz w:val="24"/>
          <w:szCs w:val="24"/>
          <w:shd w:val="clear" w:color="auto" w:fill="FFFFFF"/>
        </w:rPr>
        <w:t>un ambiente che prevenga comportamenti vio</w:t>
      </w:r>
      <w:r w:rsidR="007F7D66">
        <w:rPr>
          <w:rStyle w:val="sb8d990e2"/>
          <w:rFonts w:ascii="Garamond" w:hAnsi="Garamond" w:cs="Arial"/>
          <w:color w:val="000000"/>
          <w:sz w:val="24"/>
          <w:szCs w:val="24"/>
          <w:shd w:val="clear" w:color="auto" w:fill="FFFFFF"/>
        </w:rPr>
        <w:t>lenti o pericolosi a protezione dell’</w:t>
      </w:r>
      <w:r w:rsidR="007F7D66" w:rsidRPr="007F7D66">
        <w:rPr>
          <w:rStyle w:val="sb8d990e2"/>
          <w:rFonts w:ascii="Garamond" w:hAnsi="Garamond" w:cs="Arial"/>
          <w:color w:val="000000"/>
          <w:sz w:val="24"/>
          <w:szCs w:val="24"/>
          <w:shd w:val="clear" w:color="auto" w:fill="FFFFFF"/>
        </w:rPr>
        <w:t xml:space="preserve">ordine pubblico e degli altri spettatori </w:t>
      </w:r>
      <w:r w:rsidR="007F7D66">
        <w:rPr>
          <w:rStyle w:val="sb8d990e2"/>
          <w:rFonts w:ascii="Garamond" w:hAnsi="Garamond" w:cs="Arial"/>
          <w:color w:val="000000"/>
          <w:sz w:val="24"/>
          <w:szCs w:val="24"/>
          <w:shd w:val="clear" w:color="auto" w:fill="FFFFFF"/>
        </w:rPr>
        <w:t xml:space="preserve">e sia infine per la mancanza di </w:t>
      </w:r>
      <w:r w:rsidR="007F7D66" w:rsidRPr="007F7D66">
        <w:rPr>
          <w:rStyle w:val="sb8d990e2"/>
          <w:rFonts w:ascii="Garamond" w:hAnsi="Garamond" w:cs="Arial"/>
          <w:color w:val="000000"/>
          <w:sz w:val="24"/>
          <w:szCs w:val="24"/>
          <w:shd w:val="clear" w:color="auto" w:fill="FFFFFF"/>
        </w:rPr>
        <w:t>carattere afflittivo, non venendo in questione</w:t>
      </w:r>
      <w:r w:rsidR="007F7D66">
        <w:rPr>
          <w:rStyle w:val="sb8d990e2"/>
          <w:rFonts w:ascii="Garamond" w:hAnsi="Garamond" w:cs="Arial"/>
          <w:color w:val="000000"/>
          <w:sz w:val="24"/>
          <w:szCs w:val="24"/>
          <w:shd w:val="clear" w:color="auto" w:fill="FFFFFF"/>
        </w:rPr>
        <w:t xml:space="preserve"> una privazione della </w:t>
      </w:r>
      <w:r w:rsidR="007F7D66" w:rsidRPr="00C95E02">
        <w:rPr>
          <w:rStyle w:val="sb8d990e2"/>
          <w:rFonts w:ascii="Garamond" w:hAnsi="Garamond" w:cs="Arial"/>
          <w:color w:val="000000"/>
          <w:sz w:val="24"/>
          <w:szCs w:val="24"/>
          <w:shd w:val="clear" w:color="auto" w:fill="FFFFFF"/>
        </w:rPr>
        <w:t xml:space="preserve">libertà o una imposizione di obbligazione pecuniaria. </w:t>
      </w:r>
    </w:p>
  </w:footnote>
  <w:footnote w:id="12">
    <w:p w:rsidR="00D727F3" w:rsidRDefault="00D727F3" w:rsidP="00C95E02">
      <w:pPr>
        <w:pStyle w:val="Testonotaapidipagina"/>
        <w:jc w:val="both"/>
      </w:pPr>
      <w:r w:rsidRPr="00C95E02">
        <w:rPr>
          <w:rStyle w:val="Rimandonotaapidipagina"/>
          <w:rFonts w:ascii="Garamond" w:hAnsi="Garamond"/>
          <w:sz w:val="24"/>
          <w:szCs w:val="24"/>
        </w:rPr>
        <w:footnoteRef/>
      </w:r>
      <w:r w:rsidRPr="00C95E02">
        <w:rPr>
          <w:rFonts w:ascii="Garamond" w:hAnsi="Garamond"/>
          <w:sz w:val="24"/>
          <w:szCs w:val="24"/>
        </w:rPr>
        <w:t xml:space="preserve"> Invero, accanto a</w:t>
      </w:r>
      <w:r w:rsidR="001E55B1">
        <w:rPr>
          <w:rFonts w:ascii="Garamond" w:hAnsi="Garamond"/>
          <w:sz w:val="24"/>
          <w:szCs w:val="24"/>
        </w:rPr>
        <w:t>l</w:t>
      </w:r>
      <w:r w:rsidRPr="00C95E02">
        <w:rPr>
          <w:rFonts w:ascii="Garamond" w:hAnsi="Garamond"/>
          <w:sz w:val="24"/>
          <w:szCs w:val="24"/>
        </w:rPr>
        <w:t xml:space="preserve">la misura di prevenzione, l’art. 6, comma 7, della l. n. 401 del 1989 ha previsto la possibilità che il giudice penale possa disporre </w:t>
      </w:r>
      <w:r w:rsidR="00C95E02" w:rsidRPr="00C95E02">
        <w:rPr>
          <w:rFonts w:ascii="Garamond" w:hAnsi="Garamond"/>
          <w:sz w:val="24"/>
          <w:szCs w:val="24"/>
        </w:rPr>
        <w:t>con la sentenza di condanna una sanzione di analogo contenuto.</w:t>
      </w:r>
    </w:p>
  </w:footnote>
  <w:footnote w:id="13">
    <w:p w:rsidR="007316D2" w:rsidRPr="007316D2" w:rsidRDefault="007316D2" w:rsidP="007316D2">
      <w:pPr>
        <w:pStyle w:val="Testonotaapidipagina"/>
        <w:jc w:val="both"/>
        <w:rPr>
          <w:rFonts w:ascii="Garamond" w:hAnsi="Garamond"/>
          <w:sz w:val="24"/>
          <w:szCs w:val="24"/>
        </w:rPr>
      </w:pPr>
      <w:r w:rsidRPr="007316D2">
        <w:rPr>
          <w:rStyle w:val="Rimandonotaapidipagina"/>
          <w:rFonts w:ascii="Garamond" w:hAnsi="Garamond"/>
          <w:sz w:val="24"/>
          <w:szCs w:val="24"/>
        </w:rPr>
        <w:footnoteRef/>
      </w:r>
      <w:r w:rsidRPr="007316D2">
        <w:rPr>
          <w:rFonts w:ascii="Garamond" w:hAnsi="Garamond"/>
          <w:sz w:val="24"/>
          <w:szCs w:val="24"/>
        </w:rPr>
        <w:t xml:space="preserve"> </w:t>
      </w:r>
      <w:r w:rsidR="00DC3922">
        <w:rPr>
          <w:rFonts w:ascii="Garamond" w:hAnsi="Garamond"/>
          <w:sz w:val="24"/>
          <w:szCs w:val="24"/>
        </w:rPr>
        <w:t>Cfr. Corte Costituzionale, 7 maggio 1996, n. 143; 12 giugno 1996, n. 193; 23 maggio 1997, n. 144; 4 dicembre 2002, n. 512</w:t>
      </w:r>
      <w:r w:rsidR="00A25E08">
        <w:rPr>
          <w:rFonts w:ascii="Garamond" w:hAnsi="Garamond"/>
          <w:sz w:val="24"/>
          <w:szCs w:val="24"/>
        </w:rPr>
        <w:t xml:space="preserve">, </w:t>
      </w:r>
      <w:r w:rsidR="00821EF3">
        <w:rPr>
          <w:rFonts w:ascii="Garamond" w:hAnsi="Garamond"/>
          <w:sz w:val="24"/>
          <w:szCs w:val="24"/>
        </w:rPr>
        <w:t>aventi ad oggetto</w:t>
      </w:r>
      <w:r w:rsidR="00D5337C">
        <w:rPr>
          <w:rFonts w:ascii="Garamond" w:hAnsi="Garamond"/>
          <w:sz w:val="24"/>
          <w:szCs w:val="24"/>
        </w:rPr>
        <w:t xml:space="preserve"> la disamina di</w:t>
      </w:r>
      <w:r w:rsidR="00821EF3">
        <w:rPr>
          <w:rFonts w:ascii="Garamond" w:hAnsi="Garamond"/>
          <w:sz w:val="24"/>
          <w:szCs w:val="24"/>
        </w:rPr>
        <w:t xml:space="preserve"> questioni di legittim</w:t>
      </w:r>
      <w:r w:rsidR="00D5337C">
        <w:rPr>
          <w:rFonts w:ascii="Garamond" w:hAnsi="Garamond"/>
          <w:sz w:val="24"/>
          <w:szCs w:val="24"/>
        </w:rPr>
        <w:t xml:space="preserve">ità costituzionale concernenti </w:t>
      </w:r>
      <w:r w:rsidR="00821EF3">
        <w:rPr>
          <w:rFonts w:ascii="Garamond" w:hAnsi="Garamond"/>
          <w:sz w:val="24"/>
          <w:szCs w:val="24"/>
        </w:rPr>
        <w:t>l’art. 6, l. n. 401 del 1989.</w:t>
      </w:r>
      <w:r w:rsidR="00DC3922">
        <w:rPr>
          <w:rFonts w:ascii="Garamond" w:hAnsi="Garamond"/>
          <w:sz w:val="24"/>
          <w:szCs w:val="24"/>
        </w:rPr>
        <w:t xml:space="preserve"> </w:t>
      </w:r>
      <w:r w:rsidR="003D2A11">
        <w:rPr>
          <w:rFonts w:ascii="Garamond" w:hAnsi="Garamond"/>
          <w:sz w:val="24"/>
          <w:szCs w:val="24"/>
        </w:rPr>
        <w:t xml:space="preserve">La </w:t>
      </w:r>
      <w:r w:rsidR="00D5337C">
        <w:rPr>
          <w:rFonts w:ascii="Garamond" w:hAnsi="Garamond"/>
          <w:sz w:val="24"/>
          <w:szCs w:val="24"/>
        </w:rPr>
        <w:t>Consulta</w:t>
      </w:r>
      <w:r w:rsidRPr="007316D2">
        <w:rPr>
          <w:rFonts w:ascii="Garamond" w:hAnsi="Garamond"/>
          <w:sz w:val="24"/>
          <w:szCs w:val="24"/>
        </w:rPr>
        <w:t xml:space="preserve"> si </w:t>
      </w:r>
      <w:r>
        <w:rPr>
          <w:rFonts w:ascii="Garamond" w:hAnsi="Garamond"/>
          <w:sz w:val="24"/>
          <w:szCs w:val="24"/>
        </w:rPr>
        <w:t xml:space="preserve">è occupata </w:t>
      </w:r>
      <w:r w:rsidRPr="007316D2">
        <w:rPr>
          <w:rFonts w:ascii="Garamond" w:hAnsi="Garamond"/>
          <w:sz w:val="24"/>
          <w:szCs w:val="24"/>
        </w:rPr>
        <w:t>nello specifico del D.A.SPO.</w:t>
      </w:r>
      <w:r>
        <w:rPr>
          <w:rFonts w:ascii="Garamond" w:hAnsi="Garamond"/>
          <w:sz w:val="24"/>
          <w:szCs w:val="24"/>
        </w:rPr>
        <w:t xml:space="preserve"> per </w:t>
      </w:r>
      <w:r w:rsidR="00D5337C">
        <w:rPr>
          <w:rFonts w:ascii="Garamond" w:hAnsi="Garamond"/>
          <w:sz w:val="24"/>
          <w:szCs w:val="24"/>
        </w:rPr>
        <w:t>le manifestazioni sportive ma le</w:t>
      </w:r>
      <w:r w:rsidRPr="007316D2">
        <w:rPr>
          <w:rFonts w:ascii="Garamond" w:hAnsi="Garamond"/>
          <w:sz w:val="24"/>
          <w:szCs w:val="24"/>
        </w:rPr>
        <w:t xml:space="preserve"> medesime conclusioni possono</w:t>
      </w:r>
      <w:r w:rsidR="00D5337C">
        <w:rPr>
          <w:rFonts w:ascii="Garamond" w:hAnsi="Garamond"/>
          <w:sz w:val="24"/>
          <w:szCs w:val="24"/>
        </w:rPr>
        <w:t xml:space="preserve"> </w:t>
      </w:r>
      <w:r w:rsidRPr="007316D2">
        <w:rPr>
          <w:rFonts w:ascii="Garamond" w:hAnsi="Garamond"/>
          <w:sz w:val="24"/>
          <w:szCs w:val="24"/>
        </w:rPr>
        <w:t>essere estese anche al D.A.SPO. urbano e al D.A.L.P.,</w:t>
      </w:r>
      <w:r>
        <w:rPr>
          <w:rFonts w:ascii="Garamond" w:hAnsi="Garamond"/>
          <w:sz w:val="24"/>
          <w:szCs w:val="24"/>
        </w:rPr>
        <w:t xml:space="preserve"> </w:t>
      </w:r>
      <w:r w:rsidR="00F14339">
        <w:rPr>
          <w:rFonts w:ascii="Garamond" w:hAnsi="Garamond"/>
          <w:sz w:val="24"/>
          <w:szCs w:val="24"/>
        </w:rPr>
        <w:t>i quali</w:t>
      </w:r>
      <w:r>
        <w:rPr>
          <w:rFonts w:ascii="Garamond" w:hAnsi="Garamond"/>
          <w:sz w:val="24"/>
          <w:szCs w:val="24"/>
        </w:rPr>
        <w:t xml:space="preserve"> hanno mutuato la</w:t>
      </w:r>
      <w:r w:rsidR="000E2C3A">
        <w:rPr>
          <w:rFonts w:ascii="Garamond" w:hAnsi="Garamond"/>
          <w:sz w:val="24"/>
          <w:szCs w:val="24"/>
        </w:rPr>
        <w:t xml:space="preserve"> loro disciplina </w:t>
      </w:r>
      <w:r>
        <w:rPr>
          <w:rFonts w:ascii="Garamond" w:hAnsi="Garamond"/>
          <w:sz w:val="24"/>
          <w:szCs w:val="24"/>
        </w:rPr>
        <w:t xml:space="preserve">sul modello del D.A.SPO. sportivo. </w:t>
      </w:r>
    </w:p>
  </w:footnote>
  <w:footnote w:id="14">
    <w:p w:rsidR="00DC3922" w:rsidRPr="00DC3922" w:rsidRDefault="00DC3922" w:rsidP="00DC3922">
      <w:pPr>
        <w:pStyle w:val="Testonotaapidipagina"/>
        <w:jc w:val="both"/>
        <w:rPr>
          <w:rFonts w:ascii="Garamond" w:hAnsi="Garamond"/>
          <w:sz w:val="24"/>
          <w:szCs w:val="24"/>
        </w:rPr>
      </w:pPr>
      <w:r w:rsidRPr="00DC3922">
        <w:rPr>
          <w:rStyle w:val="Rimandonotaapidipagina"/>
          <w:rFonts w:ascii="Garamond" w:hAnsi="Garamond"/>
          <w:sz w:val="24"/>
          <w:szCs w:val="24"/>
        </w:rPr>
        <w:footnoteRef/>
      </w:r>
      <w:r w:rsidRPr="00DC3922">
        <w:rPr>
          <w:rFonts w:ascii="Garamond" w:hAnsi="Garamond"/>
          <w:sz w:val="24"/>
          <w:szCs w:val="24"/>
        </w:rPr>
        <w:t xml:space="preserve"> Secondo cui «</w:t>
      </w:r>
      <w:r w:rsidRPr="00DC3922">
        <w:rPr>
          <w:rFonts w:ascii="Garamond" w:hAnsi="Garamond"/>
          <w:i/>
          <w:sz w:val="24"/>
          <w:szCs w:val="24"/>
        </w:rPr>
        <w:t>Il questore può disporre il divieto di accesso ai luoghi in cui si svolgono manifestazioni sportive specificamente indicate, nonché a quelli, specificamente indicati, interessati alla sosta, al transito o al trasporto di coloro che partecipano o assistono alle manifestazioni medesime</w:t>
      </w:r>
      <w:r>
        <w:rPr>
          <w:rFonts w:ascii="Garamond" w:hAnsi="Garamond"/>
          <w:sz w:val="24"/>
          <w:szCs w:val="24"/>
        </w:rPr>
        <w:t xml:space="preserve"> […]</w:t>
      </w:r>
      <w:r w:rsidRPr="00DC3922">
        <w:rPr>
          <w:rFonts w:ascii="Garamond" w:hAnsi="Garamond"/>
          <w:sz w:val="24"/>
          <w:szCs w:val="24"/>
        </w:rPr>
        <w:t>»</w:t>
      </w:r>
      <w:r w:rsidR="00677977">
        <w:rPr>
          <w:rFonts w:ascii="Garamond" w:hAnsi="Garamond"/>
          <w:sz w:val="24"/>
          <w:szCs w:val="24"/>
        </w:rPr>
        <w:t>.</w:t>
      </w:r>
    </w:p>
  </w:footnote>
  <w:footnote w:id="15">
    <w:p w:rsidR="00677977" w:rsidRPr="00677977" w:rsidRDefault="00677977" w:rsidP="00677977">
      <w:pPr>
        <w:pStyle w:val="Testonotaapidipagina"/>
        <w:jc w:val="both"/>
        <w:rPr>
          <w:rFonts w:ascii="Garamond" w:hAnsi="Garamond"/>
          <w:sz w:val="24"/>
          <w:szCs w:val="24"/>
        </w:rPr>
      </w:pPr>
      <w:r w:rsidRPr="00677977">
        <w:rPr>
          <w:rStyle w:val="Rimandonotaapidipagina"/>
          <w:rFonts w:ascii="Garamond" w:hAnsi="Garamond"/>
          <w:sz w:val="24"/>
          <w:szCs w:val="24"/>
        </w:rPr>
        <w:footnoteRef/>
      </w:r>
      <w:r w:rsidRPr="00677977">
        <w:rPr>
          <w:rFonts w:ascii="Garamond" w:hAnsi="Garamond"/>
          <w:sz w:val="24"/>
          <w:szCs w:val="24"/>
        </w:rPr>
        <w:t xml:space="preserve"> Secondo cui «</w:t>
      </w:r>
      <w:r w:rsidRPr="00677977">
        <w:rPr>
          <w:rFonts w:ascii="Garamond" w:hAnsi="Garamond"/>
          <w:i/>
          <w:sz w:val="24"/>
          <w:szCs w:val="24"/>
        </w:rPr>
        <w:t>Alle persone alle quali è notificato il divieto previsto dal comma 1, il questore può prescrivere, tenendo conto dell’attività lavorativa dell’invitato, di comparire personalmente una o più volte negli orari indicati, nell’ufficio o comando di polizia competente in relazione al luogo di residenza dell’obbligato o in quello specificamente indicato, nel corso della giornata in cui si svolgono le manifestazioni per le quali opera il divieto di cui al comma 1</w:t>
      </w:r>
      <w:r w:rsidRPr="00677977">
        <w:rPr>
          <w:rFonts w:ascii="Garamond" w:hAnsi="Garamond"/>
          <w:sz w:val="24"/>
          <w:szCs w:val="24"/>
        </w:rPr>
        <w:t>».</w:t>
      </w:r>
    </w:p>
  </w:footnote>
  <w:footnote w:id="16">
    <w:p w:rsidR="00A25E08" w:rsidRPr="00A25E08" w:rsidRDefault="00A25E08" w:rsidP="00A25E08">
      <w:pPr>
        <w:pStyle w:val="Testonotaapidipagina"/>
        <w:jc w:val="both"/>
        <w:rPr>
          <w:rFonts w:ascii="Garamond" w:hAnsi="Garamond"/>
          <w:sz w:val="24"/>
          <w:szCs w:val="24"/>
        </w:rPr>
      </w:pPr>
      <w:r w:rsidRPr="00A25E08">
        <w:rPr>
          <w:rStyle w:val="Rimandonotaapidipagina"/>
          <w:rFonts w:ascii="Garamond" w:hAnsi="Garamond"/>
          <w:sz w:val="24"/>
          <w:szCs w:val="24"/>
        </w:rPr>
        <w:footnoteRef/>
      </w:r>
      <w:r w:rsidRPr="00A25E08">
        <w:rPr>
          <w:rFonts w:ascii="Garamond" w:hAnsi="Garamond"/>
          <w:sz w:val="24"/>
          <w:szCs w:val="24"/>
        </w:rPr>
        <w:t xml:space="preserve"> Si deve escludere che la scelta dell’uno o di entrambi i </w:t>
      </w:r>
      <w:r>
        <w:rPr>
          <w:rFonts w:ascii="Garamond" w:hAnsi="Garamond"/>
          <w:sz w:val="24"/>
          <w:szCs w:val="24"/>
        </w:rPr>
        <w:t>provvedimenti</w:t>
      </w:r>
      <w:r w:rsidRPr="00A25E08">
        <w:rPr>
          <w:rFonts w:ascii="Garamond" w:hAnsi="Garamond"/>
          <w:sz w:val="24"/>
          <w:szCs w:val="24"/>
        </w:rPr>
        <w:t xml:space="preserve"> sia affidata al mero arbitrio del Questore. Quest’ultimo, infatti, è «</w:t>
      </w:r>
      <w:r w:rsidRPr="00A25E08">
        <w:rPr>
          <w:rFonts w:ascii="Garamond" w:hAnsi="Garamond"/>
          <w:i/>
          <w:sz w:val="24"/>
          <w:szCs w:val="24"/>
        </w:rPr>
        <w:t>tenuto a determinarsi motivatamente per l’adozione dell’uno, ovvero di entrambi, sulla base di una ponderata valutazione delle circostanze oggettive e soggettive tali da indurre a ritenere sufficiente solo il primo, e cioè il divieto di accesso ai luoghi ove si svolgono le competizioni sportive, ovvero da consigliare anche il secondo, vale a dire l'obbligo di presentazione al posto di polizia</w:t>
      </w:r>
      <w:r w:rsidRPr="00A25E08">
        <w:rPr>
          <w:rFonts w:ascii="Garamond" w:hAnsi="Garamond"/>
          <w:sz w:val="24"/>
          <w:szCs w:val="24"/>
        </w:rPr>
        <w:t>»</w:t>
      </w:r>
      <w:r>
        <w:rPr>
          <w:rFonts w:ascii="Garamond" w:hAnsi="Garamond"/>
          <w:sz w:val="24"/>
          <w:szCs w:val="24"/>
        </w:rPr>
        <w:t xml:space="preserve"> </w:t>
      </w:r>
      <w:r w:rsidR="003D2A11">
        <w:rPr>
          <w:rFonts w:ascii="Garamond" w:hAnsi="Garamond"/>
          <w:sz w:val="24"/>
          <w:szCs w:val="24"/>
        </w:rPr>
        <w:t>(</w:t>
      </w:r>
      <w:r>
        <w:rPr>
          <w:rFonts w:ascii="Garamond" w:hAnsi="Garamond"/>
          <w:sz w:val="24"/>
          <w:szCs w:val="24"/>
        </w:rPr>
        <w:t xml:space="preserve">Corte </w:t>
      </w:r>
      <w:r w:rsidR="003D2A11">
        <w:rPr>
          <w:rFonts w:ascii="Garamond" w:hAnsi="Garamond"/>
          <w:sz w:val="24"/>
          <w:szCs w:val="24"/>
        </w:rPr>
        <w:t>C</w:t>
      </w:r>
      <w:r>
        <w:rPr>
          <w:rFonts w:ascii="Garamond" w:hAnsi="Garamond"/>
          <w:sz w:val="24"/>
          <w:szCs w:val="24"/>
        </w:rPr>
        <w:t>ostituzionale, 12 giugno 1996, n. 193, par. 3</w:t>
      </w:r>
      <w:r w:rsidR="003D2A11">
        <w:rPr>
          <w:rFonts w:ascii="Garamond" w:hAnsi="Garamond"/>
          <w:sz w:val="24"/>
          <w:szCs w:val="24"/>
        </w:rPr>
        <w:t>)</w:t>
      </w:r>
      <w:r>
        <w:rPr>
          <w:rFonts w:ascii="Garamond" w:hAnsi="Garamond"/>
          <w:sz w:val="24"/>
          <w:szCs w:val="24"/>
        </w:rPr>
        <w:t>.</w:t>
      </w:r>
    </w:p>
  </w:footnote>
  <w:footnote w:id="17">
    <w:p w:rsidR="00A25E08" w:rsidRPr="00C56C16" w:rsidRDefault="00A25E08" w:rsidP="00C56C16">
      <w:pPr>
        <w:pStyle w:val="Testonotaapidipagina"/>
        <w:jc w:val="both"/>
        <w:rPr>
          <w:rFonts w:ascii="Garamond" w:hAnsi="Garamond"/>
          <w:sz w:val="24"/>
          <w:szCs w:val="24"/>
        </w:rPr>
      </w:pPr>
      <w:r w:rsidRPr="00EA1E06">
        <w:rPr>
          <w:rStyle w:val="Rimandonotaapidipagina"/>
          <w:rFonts w:ascii="Garamond" w:hAnsi="Garamond"/>
          <w:sz w:val="24"/>
          <w:szCs w:val="24"/>
        </w:rPr>
        <w:footnoteRef/>
      </w:r>
      <w:r w:rsidRPr="00EA1E06">
        <w:rPr>
          <w:rFonts w:ascii="Garamond" w:hAnsi="Garamond"/>
          <w:sz w:val="24"/>
          <w:szCs w:val="24"/>
        </w:rPr>
        <w:t xml:space="preserve"> Il carattere restrittivo della misura </w:t>
      </w:r>
      <w:r w:rsidR="00EA1E06" w:rsidRPr="00EA1E06">
        <w:rPr>
          <w:rFonts w:ascii="Garamond" w:hAnsi="Garamond"/>
          <w:sz w:val="24"/>
          <w:szCs w:val="24"/>
        </w:rPr>
        <w:t>e la</w:t>
      </w:r>
      <w:r w:rsidR="00EA1E06">
        <w:rPr>
          <w:rFonts w:ascii="Garamond" w:hAnsi="Garamond"/>
          <w:sz w:val="24"/>
          <w:szCs w:val="24"/>
        </w:rPr>
        <w:t xml:space="preserve"> necessità di rispettare le garanzie costituzionali in materia di restrizione della libertà personale era</w:t>
      </w:r>
      <w:r w:rsidR="00C56C16">
        <w:rPr>
          <w:rFonts w:ascii="Garamond" w:hAnsi="Garamond"/>
          <w:sz w:val="24"/>
          <w:szCs w:val="24"/>
        </w:rPr>
        <w:t>no emersi</w:t>
      </w:r>
      <w:r w:rsidR="00EA1E06">
        <w:rPr>
          <w:rFonts w:ascii="Garamond" w:hAnsi="Garamond"/>
          <w:sz w:val="24"/>
          <w:szCs w:val="24"/>
        </w:rPr>
        <w:t xml:space="preserve"> già in sede </w:t>
      </w:r>
      <w:r w:rsidR="00C56C16">
        <w:rPr>
          <w:rFonts w:ascii="Garamond" w:hAnsi="Garamond"/>
          <w:sz w:val="24"/>
          <w:szCs w:val="24"/>
        </w:rPr>
        <w:t>di</w:t>
      </w:r>
      <w:r w:rsidR="00EA1E06">
        <w:rPr>
          <w:rFonts w:ascii="Garamond" w:hAnsi="Garamond"/>
          <w:sz w:val="24"/>
          <w:szCs w:val="24"/>
        </w:rPr>
        <w:t xml:space="preserve"> </w:t>
      </w:r>
      <w:r w:rsidR="00C56C16">
        <w:rPr>
          <w:rFonts w:ascii="Garamond" w:hAnsi="Garamond"/>
          <w:sz w:val="24"/>
          <w:szCs w:val="24"/>
        </w:rPr>
        <w:t>conversione</w:t>
      </w:r>
      <w:r w:rsidR="00EA1E06">
        <w:rPr>
          <w:rFonts w:ascii="Garamond" w:hAnsi="Garamond"/>
          <w:sz w:val="24"/>
          <w:szCs w:val="24"/>
        </w:rPr>
        <w:t xml:space="preserve"> in </w:t>
      </w:r>
      <w:r w:rsidR="00C56C16">
        <w:rPr>
          <w:rFonts w:ascii="Garamond" w:hAnsi="Garamond"/>
          <w:sz w:val="24"/>
          <w:szCs w:val="24"/>
        </w:rPr>
        <w:t>legge del d.l. 22 dicembre 1994</w:t>
      </w:r>
      <w:r w:rsidR="00EA1E06">
        <w:rPr>
          <w:rFonts w:ascii="Garamond" w:hAnsi="Garamond"/>
          <w:sz w:val="24"/>
          <w:szCs w:val="24"/>
        </w:rPr>
        <w:t xml:space="preserve">, n. 717, recante misure urgenti per prevenire </w:t>
      </w:r>
      <w:r w:rsidR="00C56C16">
        <w:rPr>
          <w:rFonts w:ascii="Garamond" w:hAnsi="Garamond"/>
          <w:sz w:val="24"/>
          <w:szCs w:val="24"/>
        </w:rPr>
        <w:t>fenomeni</w:t>
      </w:r>
      <w:r w:rsidR="00EA1E06">
        <w:rPr>
          <w:rFonts w:ascii="Garamond" w:hAnsi="Garamond"/>
          <w:sz w:val="24"/>
          <w:szCs w:val="24"/>
        </w:rPr>
        <w:t xml:space="preserve"> di </w:t>
      </w:r>
      <w:r w:rsidR="00C56C16">
        <w:rPr>
          <w:rFonts w:ascii="Garamond" w:hAnsi="Garamond"/>
          <w:sz w:val="24"/>
          <w:szCs w:val="24"/>
        </w:rPr>
        <w:t>violenza</w:t>
      </w:r>
      <w:r w:rsidR="00EA1E06">
        <w:rPr>
          <w:rFonts w:ascii="Garamond" w:hAnsi="Garamond"/>
          <w:sz w:val="24"/>
          <w:szCs w:val="24"/>
        </w:rPr>
        <w:t xml:space="preserve"> in occasione di competizioni agonistiche. Cfr. sul punto, </w:t>
      </w:r>
      <w:r w:rsidR="00C56C16">
        <w:rPr>
          <w:rFonts w:ascii="Garamond" w:hAnsi="Garamond"/>
          <w:sz w:val="24"/>
          <w:szCs w:val="24"/>
        </w:rPr>
        <w:t xml:space="preserve">Senato della Repubblica, XII </w:t>
      </w:r>
      <w:r w:rsidR="00C56C16" w:rsidRPr="00C56C16">
        <w:rPr>
          <w:rFonts w:ascii="Garamond" w:hAnsi="Garamond"/>
          <w:sz w:val="24"/>
          <w:szCs w:val="24"/>
        </w:rPr>
        <w:t>Legislatura, 114</w:t>
      </w:r>
      <w:r w:rsidR="00C56C16">
        <w:rPr>
          <w:rFonts w:ascii="Garamond" w:hAnsi="Garamond"/>
          <w:sz w:val="24"/>
          <w:szCs w:val="24"/>
          <w:vertAlign w:val="superscript"/>
        </w:rPr>
        <w:t>a</w:t>
      </w:r>
      <w:r w:rsidR="00C56C16">
        <w:rPr>
          <w:rFonts w:ascii="Garamond" w:hAnsi="Garamond"/>
          <w:sz w:val="24"/>
          <w:szCs w:val="24"/>
        </w:rPr>
        <w:t xml:space="preserve"> seduta pubblica, Assemblea – Resoconto </w:t>
      </w:r>
      <w:r w:rsidR="00C56C16" w:rsidRPr="00C56C16">
        <w:rPr>
          <w:rFonts w:ascii="Garamond" w:hAnsi="Garamond"/>
          <w:sz w:val="24"/>
          <w:szCs w:val="24"/>
        </w:rPr>
        <w:t xml:space="preserve">stenografico, 2 febbraio 1995. </w:t>
      </w:r>
    </w:p>
  </w:footnote>
  <w:footnote w:id="18">
    <w:p w:rsidR="007A2311" w:rsidRDefault="007A2311" w:rsidP="007A2311">
      <w:pPr>
        <w:pStyle w:val="Testonotaapidipagina"/>
        <w:jc w:val="both"/>
      </w:pPr>
      <w:r w:rsidRPr="00C56C16">
        <w:rPr>
          <w:rStyle w:val="Rimandonotaapidipagina"/>
          <w:rFonts w:ascii="Garamond" w:hAnsi="Garamond"/>
          <w:sz w:val="24"/>
          <w:szCs w:val="24"/>
        </w:rPr>
        <w:footnoteRef/>
      </w:r>
      <w:r w:rsidRPr="00C56C16">
        <w:rPr>
          <w:rFonts w:ascii="Garamond" w:hAnsi="Garamond"/>
          <w:sz w:val="24"/>
          <w:szCs w:val="24"/>
        </w:rPr>
        <w:t xml:space="preserve"> Il ricorso al modello della convalida non impone di assegnare necessariamente al procedimento le medesime garanzie previste per la convalida dell’arresto e del fermo di polizia giudiziaria.</w:t>
      </w:r>
      <w:r>
        <w:rPr>
          <w:rFonts w:ascii="Garamond" w:hAnsi="Garamond"/>
          <w:sz w:val="24"/>
          <w:szCs w:val="24"/>
        </w:rPr>
        <w:t xml:space="preserve"> Invero, non va trascurato </w:t>
      </w:r>
      <w:r w:rsidR="00537046">
        <w:rPr>
          <w:rFonts w:ascii="Garamond" w:hAnsi="Garamond"/>
          <w:sz w:val="24"/>
          <w:szCs w:val="24"/>
        </w:rPr>
        <w:t xml:space="preserve">che il provvedimento assunto dal </w:t>
      </w:r>
      <w:r>
        <w:rPr>
          <w:rFonts w:ascii="Garamond" w:hAnsi="Garamond"/>
          <w:sz w:val="24"/>
          <w:szCs w:val="24"/>
        </w:rPr>
        <w:t>giudice per le indagini pre</w:t>
      </w:r>
      <w:r w:rsidR="00B765D0">
        <w:rPr>
          <w:rFonts w:ascii="Garamond" w:hAnsi="Garamond"/>
          <w:sz w:val="24"/>
          <w:szCs w:val="24"/>
        </w:rPr>
        <w:t>liminari</w:t>
      </w:r>
      <w:r w:rsidR="00F14339">
        <w:rPr>
          <w:rFonts w:ascii="Garamond" w:hAnsi="Garamond"/>
          <w:sz w:val="24"/>
          <w:szCs w:val="24"/>
        </w:rPr>
        <w:t xml:space="preserve"> </w:t>
      </w:r>
      <w:r w:rsidR="00B765D0">
        <w:rPr>
          <w:rFonts w:ascii="Garamond" w:hAnsi="Garamond"/>
          <w:sz w:val="24"/>
          <w:szCs w:val="24"/>
        </w:rPr>
        <w:t>ha portata e conseguenz</w:t>
      </w:r>
      <w:r>
        <w:rPr>
          <w:rFonts w:ascii="Garamond" w:hAnsi="Garamond"/>
          <w:sz w:val="24"/>
          <w:szCs w:val="24"/>
        </w:rPr>
        <w:t>e molto più limitate sulla libertà personale del destinatario rispetto alle suddette misure pre-cautelari o di altre ancora che, comunque, incidono in maniera più rilevante sullo stesso bene (Corte Costituzionale, 23 maggio 1997, n. 144</w:t>
      </w:r>
      <w:r w:rsidR="00307287">
        <w:rPr>
          <w:rFonts w:ascii="Garamond" w:hAnsi="Garamond"/>
          <w:sz w:val="24"/>
          <w:szCs w:val="24"/>
        </w:rPr>
        <w:t xml:space="preserve">, </w:t>
      </w:r>
      <w:r>
        <w:rPr>
          <w:rFonts w:ascii="Garamond" w:hAnsi="Garamond"/>
          <w:sz w:val="24"/>
          <w:szCs w:val="24"/>
        </w:rPr>
        <w:t>par. 3</w:t>
      </w:r>
      <w:r w:rsidR="00D71366">
        <w:rPr>
          <w:rFonts w:ascii="Garamond" w:hAnsi="Garamond"/>
          <w:sz w:val="24"/>
          <w:szCs w:val="24"/>
        </w:rPr>
        <w:t xml:space="preserve"> del Considerato in d</w:t>
      </w:r>
      <w:r w:rsidR="00307287">
        <w:rPr>
          <w:rFonts w:ascii="Garamond" w:hAnsi="Garamond"/>
          <w:sz w:val="24"/>
          <w:szCs w:val="24"/>
        </w:rPr>
        <w:t>iritto</w:t>
      </w:r>
      <w:r>
        <w:rPr>
          <w:rFonts w:ascii="Garamond" w:hAnsi="Garamond"/>
          <w:sz w:val="24"/>
          <w:szCs w:val="24"/>
        </w:rPr>
        <w:t>). Il provvedimento del Questore rientra pur sempre nelle previsioni di cui all’art. 13 Cost. Ciò implica che, in primo luogo, l’autorità amministrativa, in presenza di un soggetto al quale ha irrogato il divieto di accesso, valuti le ragioni di necessità e di urgenza che richiedono anche l’adozione dell’obbligo di comparizione e, in secondo luogo, che l’autorità giudiziaria, in ossequio al sistema di garanzie previsto dall’art. 13 Cost., valuti, in sede di convalida del provvedimento, la sussistenza delle condizioni richieste per la sua adozione sul piano della necessità e dell’urgenza, nonché l’adeguatezza del suo contenuto anche sotto il profilo della durata (Corte Costituzionale, 4 dicembre 2002, n. 512, par. 4</w:t>
      </w:r>
      <w:r w:rsidR="00D71366">
        <w:rPr>
          <w:rFonts w:ascii="Garamond" w:hAnsi="Garamond"/>
          <w:sz w:val="24"/>
          <w:szCs w:val="24"/>
        </w:rPr>
        <w:t xml:space="preserve"> del Considerato in d</w:t>
      </w:r>
      <w:r w:rsidR="00307287">
        <w:rPr>
          <w:rFonts w:ascii="Garamond" w:hAnsi="Garamond"/>
          <w:sz w:val="24"/>
          <w:szCs w:val="24"/>
        </w:rPr>
        <w:t>iritto</w:t>
      </w:r>
      <w:r>
        <w:rPr>
          <w:rFonts w:ascii="Garamond" w:hAnsi="Garamond"/>
          <w:sz w:val="24"/>
          <w:szCs w:val="24"/>
        </w:rPr>
        <w:t>). Il controllo del provvedimento da parte del giudice, che deve essere pieno ed effettivo, garantisce, altresì, all’interessato il diritto di difesa, di cui all’ar</w:t>
      </w:r>
      <w:r w:rsidR="00012F17">
        <w:rPr>
          <w:rFonts w:ascii="Garamond" w:hAnsi="Garamond"/>
          <w:sz w:val="24"/>
          <w:szCs w:val="24"/>
        </w:rPr>
        <w:t>t. 24 Cost. La necessità di un’a</w:t>
      </w:r>
      <w:r>
        <w:rPr>
          <w:rFonts w:ascii="Garamond" w:hAnsi="Garamond"/>
          <w:sz w:val="24"/>
          <w:szCs w:val="24"/>
        </w:rPr>
        <w:t>deguata difesa va coniugata</w:t>
      </w:r>
      <w:r w:rsidR="001F2B94">
        <w:rPr>
          <w:rFonts w:ascii="Garamond" w:hAnsi="Garamond"/>
          <w:sz w:val="24"/>
          <w:szCs w:val="24"/>
        </w:rPr>
        <w:t xml:space="preserve">, però, </w:t>
      </w:r>
      <w:r>
        <w:rPr>
          <w:rFonts w:ascii="Garamond" w:hAnsi="Garamond"/>
          <w:sz w:val="24"/>
          <w:szCs w:val="24"/>
        </w:rPr>
        <w:t>con l’esigenza di celerità nell’applicazione della misura, condizione necessaria affinché la stessa possa rivelarsi efficace, sicché è ammessa l’adozione di forme semplificate attraverso le quali possa esplicarsi il contraddittorio (Corte Costituzionale, 23 maggio 1997, n. 144, par. 3</w:t>
      </w:r>
      <w:r w:rsidR="00D71366">
        <w:rPr>
          <w:rFonts w:ascii="Garamond" w:hAnsi="Garamond"/>
          <w:sz w:val="24"/>
          <w:szCs w:val="24"/>
        </w:rPr>
        <w:t xml:space="preserve"> del Considerato in d</w:t>
      </w:r>
      <w:r w:rsidR="00307287">
        <w:rPr>
          <w:rFonts w:ascii="Garamond" w:hAnsi="Garamond"/>
          <w:sz w:val="24"/>
          <w:szCs w:val="24"/>
        </w:rPr>
        <w:t>iritto</w:t>
      </w:r>
      <w:r>
        <w:rPr>
          <w:rFonts w:ascii="Garamond" w:hAnsi="Garamond"/>
          <w:sz w:val="24"/>
          <w:szCs w:val="24"/>
        </w:rPr>
        <w:t>).</w:t>
      </w:r>
    </w:p>
  </w:footnote>
  <w:footnote w:id="19">
    <w:p w:rsidR="00E83555" w:rsidRPr="00E83555" w:rsidRDefault="00E83555" w:rsidP="00E83555">
      <w:pPr>
        <w:pStyle w:val="Testonotaapidipagina"/>
        <w:jc w:val="both"/>
        <w:rPr>
          <w:rFonts w:ascii="Garamond" w:hAnsi="Garamond"/>
          <w:sz w:val="24"/>
          <w:szCs w:val="24"/>
        </w:rPr>
      </w:pPr>
      <w:r w:rsidRPr="00E83555">
        <w:rPr>
          <w:rStyle w:val="Rimandonotaapidipagina"/>
          <w:rFonts w:ascii="Garamond" w:hAnsi="Garamond"/>
          <w:sz w:val="24"/>
          <w:szCs w:val="24"/>
        </w:rPr>
        <w:footnoteRef/>
      </w:r>
      <w:r w:rsidRPr="00E83555">
        <w:rPr>
          <w:rFonts w:ascii="Garamond" w:hAnsi="Garamond"/>
          <w:sz w:val="24"/>
          <w:szCs w:val="24"/>
        </w:rPr>
        <w:t xml:space="preserve"> La sanzione </w:t>
      </w:r>
      <w:r w:rsidR="0056182B">
        <w:rPr>
          <w:rFonts w:ascii="Garamond" w:hAnsi="Garamond"/>
          <w:sz w:val="24"/>
          <w:szCs w:val="24"/>
        </w:rPr>
        <w:t xml:space="preserve">per chi non osserva il D.A.SPO. </w:t>
      </w:r>
      <w:r w:rsidRPr="00E83555">
        <w:rPr>
          <w:rFonts w:ascii="Garamond" w:hAnsi="Garamond"/>
          <w:sz w:val="24"/>
          <w:szCs w:val="24"/>
        </w:rPr>
        <w:t>è prevista dall’art. 6, comma 6, l. n.</w:t>
      </w:r>
      <w:r w:rsidR="00F14339">
        <w:rPr>
          <w:rFonts w:ascii="Garamond" w:hAnsi="Garamond"/>
          <w:sz w:val="24"/>
          <w:szCs w:val="24"/>
        </w:rPr>
        <w:t xml:space="preserve"> 401 del 1989, in base al quale</w:t>
      </w:r>
      <w:r w:rsidRPr="00E83555">
        <w:rPr>
          <w:rFonts w:ascii="Garamond" w:hAnsi="Garamond"/>
          <w:sz w:val="24"/>
          <w:szCs w:val="24"/>
        </w:rPr>
        <w:t xml:space="preserve"> «</w:t>
      </w:r>
      <w:r w:rsidRPr="00E83555">
        <w:rPr>
          <w:rFonts w:ascii="Garamond" w:hAnsi="Garamond"/>
          <w:i/>
          <w:sz w:val="24"/>
          <w:szCs w:val="24"/>
        </w:rPr>
        <w:t xml:space="preserve">Il contravventore alle disposizioni di cui </w:t>
      </w:r>
      <w:r w:rsidR="00F14339">
        <w:rPr>
          <w:rFonts w:ascii="Garamond" w:hAnsi="Garamond"/>
          <w:i/>
          <w:sz w:val="24"/>
          <w:szCs w:val="24"/>
        </w:rPr>
        <w:t>ai commi 1 e 2</w:t>
      </w:r>
      <w:r w:rsidRPr="00E83555">
        <w:rPr>
          <w:rFonts w:ascii="Garamond" w:hAnsi="Garamond"/>
          <w:i/>
          <w:sz w:val="24"/>
          <w:szCs w:val="24"/>
        </w:rPr>
        <w:t xml:space="preserve"> è punito con la reclusione da uno a tre anni e con la multa da 10.000 euro a 40.000 euro</w:t>
      </w:r>
      <w:r w:rsidRPr="00E83555">
        <w:rPr>
          <w:rFonts w:ascii="Garamond" w:hAnsi="Garamond"/>
          <w:sz w:val="24"/>
          <w:szCs w:val="24"/>
        </w:rPr>
        <w:t>».</w:t>
      </w:r>
    </w:p>
  </w:footnote>
  <w:footnote w:id="20">
    <w:p w:rsidR="008C56CA" w:rsidRPr="00CA2EA9" w:rsidRDefault="008C56CA" w:rsidP="00CA2EA9">
      <w:pPr>
        <w:pStyle w:val="Testonotaapidipagina"/>
        <w:jc w:val="both"/>
        <w:rPr>
          <w:rFonts w:ascii="Garamond" w:hAnsi="Garamond"/>
          <w:sz w:val="24"/>
          <w:szCs w:val="24"/>
        </w:rPr>
      </w:pPr>
      <w:r w:rsidRPr="00FA1287">
        <w:rPr>
          <w:rStyle w:val="Rimandonotaapidipagina"/>
          <w:rFonts w:ascii="Garamond" w:hAnsi="Garamond"/>
          <w:sz w:val="24"/>
          <w:szCs w:val="24"/>
        </w:rPr>
        <w:footnoteRef/>
      </w:r>
      <w:r w:rsidRPr="00FA1287">
        <w:rPr>
          <w:rFonts w:ascii="Garamond" w:hAnsi="Garamond"/>
          <w:sz w:val="24"/>
          <w:szCs w:val="24"/>
        </w:rPr>
        <w:t xml:space="preserve"> </w:t>
      </w:r>
      <w:r w:rsidR="00FA1287" w:rsidRPr="00FA1287">
        <w:rPr>
          <w:rFonts w:ascii="Garamond" w:hAnsi="Garamond"/>
          <w:sz w:val="24"/>
          <w:szCs w:val="24"/>
        </w:rPr>
        <w:t>Si riporta il testo dell’art. 6, comma 1, l. n. 401 del 1989</w:t>
      </w:r>
      <w:r w:rsidRPr="00FA1287">
        <w:rPr>
          <w:rFonts w:ascii="Garamond" w:hAnsi="Garamond"/>
          <w:sz w:val="24"/>
          <w:szCs w:val="24"/>
        </w:rPr>
        <w:t xml:space="preserve"> </w:t>
      </w:r>
      <w:r w:rsidR="0026177E">
        <w:rPr>
          <w:rFonts w:ascii="Garamond" w:hAnsi="Garamond"/>
          <w:sz w:val="24"/>
          <w:szCs w:val="24"/>
        </w:rPr>
        <w:t>attualmente vigente:</w:t>
      </w:r>
      <w:r w:rsidRPr="00FA1287">
        <w:rPr>
          <w:rFonts w:ascii="Garamond" w:hAnsi="Garamond"/>
          <w:sz w:val="24"/>
          <w:szCs w:val="24"/>
        </w:rPr>
        <w:t xml:space="preserve"> «</w:t>
      </w:r>
      <w:r w:rsidRPr="00FA1287">
        <w:rPr>
          <w:rFonts w:ascii="Garamond" w:hAnsi="Garamond"/>
          <w:i/>
          <w:sz w:val="24"/>
          <w:szCs w:val="24"/>
        </w:rPr>
        <w:t xml:space="preserve">1. Il questore può disporre il divieto di accesso ai luoghi in cui si svolgono manifestazioni sportive specificamente indicate, nonché a quelli, specificamente indicati, interessati alla sosta, al transito o al trasporto di coloro che partecipano o assistono alle manifestazioni medesime, nei confronti di: a) coloro che risultino denunciati per aver preso parte attiva a episodi di violenza su persone o cose in occasione o a causa di manifestazioni sportive, o che nelle medesime circostanze abbiano incitato, inneggiato o indotto alla violenza; b) coloro che, sulla base di elementi di fatto, risultino avere tenuto, anche all’estero, sia singolarmente che in gruppo, una condotta evidentemente finalizzata alla partecipazione attiva a episodi di violenza, di minaccia o di intimidazione, tali da porre in pericolo la sicurezza pubblica o da creare turbative per l’ordine pubblico nelle medesime circostanze di cui alla lettera a); c) coloro che risultino denunciati o condannati, anche con sentenza non definitiva, nel corso dei cinque anni precedenti per alcuno dei reati di cui all’articolo 4, primo e secondo comma, della legge 18 aprile 1975, n. 110, all’articolo 5 della legge 22 maggio 1975, n. 152, all’articolo 2, comma 2, del decreto-legge 26 aprile 1993, n. 122, convertito, con modificazioni, dalla legge 25 giugno 1993, n. 205, agli articoli 6-bis, commi 1 e 2, e 6-ter della presente legge, per il reato di cui all’articolo 2-bis </w:t>
      </w:r>
      <w:r w:rsidR="00FA1287" w:rsidRPr="00FA1287">
        <w:rPr>
          <w:rFonts w:ascii="Garamond" w:hAnsi="Garamond"/>
          <w:i/>
          <w:sz w:val="24"/>
          <w:szCs w:val="24"/>
        </w:rPr>
        <w:t xml:space="preserve">del </w:t>
      </w:r>
      <w:r w:rsidRPr="00FA1287">
        <w:rPr>
          <w:rFonts w:ascii="Garamond" w:hAnsi="Garamond"/>
          <w:i/>
          <w:sz w:val="24"/>
          <w:szCs w:val="24"/>
        </w:rPr>
        <w:t>decreto-legge 8 fe</w:t>
      </w:r>
      <w:r w:rsidR="00FA1287" w:rsidRPr="00FA1287">
        <w:rPr>
          <w:rFonts w:ascii="Garamond" w:hAnsi="Garamond"/>
          <w:i/>
          <w:sz w:val="24"/>
          <w:szCs w:val="24"/>
        </w:rPr>
        <w:t xml:space="preserve">bbraio 2007, n. 8, convertito, con modificazioni, </w:t>
      </w:r>
      <w:r w:rsidRPr="00FA1287">
        <w:rPr>
          <w:rFonts w:ascii="Garamond" w:hAnsi="Garamond"/>
          <w:i/>
          <w:sz w:val="24"/>
          <w:szCs w:val="24"/>
        </w:rPr>
        <w:t>dalla le</w:t>
      </w:r>
      <w:r w:rsidR="00FA1287" w:rsidRPr="00FA1287">
        <w:rPr>
          <w:rFonts w:ascii="Garamond" w:hAnsi="Garamond"/>
          <w:i/>
          <w:sz w:val="24"/>
          <w:szCs w:val="24"/>
        </w:rPr>
        <w:t>gge 4 aprile 2007, n. 41, o per alcuno dei delitti</w:t>
      </w:r>
      <w:r w:rsidRPr="00FA1287">
        <w:rPr>
          <w:rFonts w:ascii="Garamond" w:hAnsi="Garamond"/>
          <w:i/>
          <w:sz w:val="24"/>
          <w:szCs w:val="24"/>
        </w:rPr>
        <w:t xml:space="preserve"> contro</w:t>
      </w:r>
      <w:r w:rsidR="00FA1287" w:rsidRPr="00FA1287">
        <w:rPr>
          <w:rFonts w:ascii="Garamond" w:hAnsi="Garamond"/>
          <w:i/>
          <w:sz w:val="24"/>
          <w:szCs w:val="24"/>
        </w:rPr>
        <w:t xml:space="preserve"> l’</w:t>
      </w:r>
      <w:r w:rsidRPr="00FA1287">
        <w:rPr>
          <w:rFonts w:ascii="Garamond" w:hAnsi="Garamond"/>
          <w:i/>
          <w:sz w:val="24"/>
          <w:szCs w:val="24"/>
        </w:rPr>
        <w:t>ordine pubblico o dei delitti di comune pericolo mediante violenza,</w:t>
      </w:r>
      <w:r w:rsidR="00FA1287" w:rsidRPr="00FA1287">
        <w:rPr>
          <w:rFonts w:ascii="Garamond" w:hAnsi="Garamond"/>
          <w:i/>
          <w:sz w:val="24"/>
          <w:szCs w:val="24"/>
        </w:rPr>
        <w:t xml:space="preserve"> </w:t>
      </w:r>
      <w:r w:rsidRPr="00FA1287">
        <w:rPr>
          <w:rFonts w:ascii="Garamond" w:hAnsi="Garamond"/>
          <w:i/>
          <w:sz w:val="24"/>
          <w:szCs w:val="24"/>
        </w:rPr>
        <w:t>di cui al libro secondo, titoli V e VI, capo I</w:t>
      </w:r>
      <w:r w:rsidR="00FA1287" w:rsidRPr="00FA1287">
        <w:rPr>
          <w:rFonts w:ascii="Garamond" w:hAnsi="Garamond"/>
          <w:i/>
          <w:sz w:val="24"/>
          <w:szCs w:val="24"/>
        </w:rPr>
        <w:t>, del codice penale o per il delitto di cui all’articolo 588 dello stesso codice,</w:t>
      </w:r>
      <w:r w:rsidRPr="00FA1287">
        <w:rPr>
          <w:rFonts w:ascii="Garamond" w:hAnsi="Garamond"/>
          <w:i/>
          <w:sz w:val="24"/>
          <w:szCs w:val="24"/>
        </w:rPr>
        <w:t xml:space="preserve"> ovvero</w:t>
      </w:r>
      <w:r w:rsidR="00FA1287" w:rsidRPr="00FA1287">
        <w:rPr>
          <w:rFonts w:ascii="Garamond" w:hAnsi="Garamond"/>
          <w:i/>
          <w:sz w:val="24"/>
          <w:szCs w:val="24"/>
        </w:rPr>
        <w:t xml:space="preserve"> </w:t>
      </w:r>
      <w:r w:rsidRPr="00FA1287">
        <w:rPr>
          <w:rFonts w:ascii="Garamond" w:hAnsi="Garamond"/>
          <w:i/>
          <w:sz w:val="24"/>
          <w:szCs w:val="24"/>
        </w:rPr>
        <w:t>pe</w:t>
      </w:r>
      <w:r w:rsidR="00FA1287" w:rsidRPr="00FA1287">
        <w:rPr>
          <w:rFonts w:ascii="Garamond" w:hAnsi="Garamond"/>
          <w:i/>
          <w:sz w:val="24"/>
          <w:szCs w:val="24"/>
        </w:rPr>
        <w:t>r alcuno dei delitti di cui all’</w:t>
      </w:r>
      <w:r w:rsidRPr="00FA1287">
        <w:rPr>
          <w:rFonts w:ascii="Garamond" w:hAnsi="Garamond"/>
          <w:i/>
          <w:sz w:val="24"/>
          <w:szCs w:val="24"/>
        </w:rPr>
        <w:t>arti</w:t>
      </w:r>
      <w:r w:rsidR="00FA1287" w:rsidRPr="00FA1287">
        <w:rPr>
          <w:rFonts w:ascii="Garamond" w:hAnsi="Garamond"/>
          <w:i/>
          <w:sz w:val="24"/>
          <w:szCs w:val="24"/>
        </w:rPr>
        <w:t xml:space="preserve">colo 380, comma 2, lettere f) e </w:t>
      </w:r>
      <w:r w:rsidRPr="00FA1287">
        <w:rPr>
          <w:rFonts w:ascii="Garamond" w:hAnsi="Garamond"/>
          <w:i/>
          <w:sz w:val="24"/>
          <w:szCs w:val="24"/>
        </w:rPr>
        <w:t>h), del codice di proce</w:t>
      </w:r>
      <w:r w:rsidR="00FA1287" w:rsidRPr="00FA1287">
        <w:rPr>
          <w:rFonts w:ascii="Garamond" w:hAnsi="Garamond"/>
          <w:i/>
          <w:sz w:val="24"/>
          <w:szCs w:val="24"/>
        </w:rPr>
        <w:t xml:space="preserve">dura penale, anche se il fatto non è stato </w:t>
      </w:r>
      <w:r w:rsidRPr="00FA1287">
        <w:rPr>
          <w:rFonts w:ascii="Garamond" w:hAnsi="Garamond"/>
          <w:i/>
          <w:sz w:val="24"/>
          <w:szCs w:val="24"/>
        </w:rPr>
        <w:t>commesso in occasione o a cau</w:t>
      </w:r>
      <w:r w:rsidR="00FA1287" w:rsidRPr="00FA1287">
        <w:rPr>
          <w:rFonts w:ascii="Garamond" w:hAnsi="Garamond"/>
          <w:i/>
          <w:sz w:val="24"/>
          <w:szCs w:val="24"/>
        </w:rPr>
        <w:t xml:space="preserve">sa di manifestazioni sportive; d) </w:t>
      </w:r>
      <w:r w:rsidR="00FA1287" w:rsidRPr="00EB2405">
        <w:rPr>
          <w:rFonts w:ascii="Garamond" w:hAnsi="Garamond"/>
          <w:bCs/>
          <w:i/>
          <w:iCs/>
          <w:sz w:val="24"/>
          <w:szCs w:val="24"/>
        </w:rPr>
        <w:t>soggetti</w:t>
      </w:r>
      <w:r w:rsidR="00FA1287" w:rsidRPr="00EB2405">
        <w:rPr>
          <w:rFonts w:ascii="Garamond" w:hAnsi="Garamond"/>
          <w:i/>
          <w:sz w:val="24"/>
          <w:szCs w:val="24"/>
        </w:rPr>
        <w:t xml:space="preserve"> di</w:t>
      </w:r>
      <w:r w:rsidR="00FA1287" w:rsidRPr="00FA1287">
        <w:rPr>
          <w:rFonts w:ascii="Garamond" w:hAnsi="Garamond"/>
          <w:i/>
          <w:sz w:val="24"/>
          <w:szCs w:val="24"/>
        </w:rPr>
        <w:t xml:space="preserve"> cui all’</w:t>
      </w:r>
      <w:r w:rsidRPr="00FA1287">
        <w:rPr>
          <w:rFonts w:ascii="Garamond" w:hAnsi="Garamond"/>
          <w:i/>
          <w:sz w:val="24"/>
          <w:szCs w:val="24"/>
        </w:rPr>
        <w:t>articol</w:t>
      </w:r>
      <w:r w:rsidR="00FA1287" w:rsidRPr="00FA1287">
        <w:rPr>
          <w:rFonts w:ascii="Garamond" w:hAnsi="Garamond"/>
          <w:i/>
          <w:sz w:val="24"/>
          <w:szCs w:val="24"/>
        </w:rPr>
        <w:t xml:space="preserve">o 4, comma 1, lettera d), del </w:t>
      </w:r>
      <w:r w:rsidRPr="00FA1287">
        <w:rPr>
          <w:rFonts w:ascii="Garamond" w:hAnsi="Garamond"/>
          <w:i/>
          <w:sz w:val="24"/>
          <w:szCs w:val="24"/>
        </w:rPr>
        <w:t>codice delle leggi antimafia e delle misure di prevenzione, di cui al</w:t>
      </w:r>
      <w:r w:rsidR="00FA1287" w:rsidRPr="00FA1287">
        <w:rPr>
          <w:rFonts w:ascii="Garamond" w:hAnsi="Garamond"/>
          <w:i/>
          <w:sz w:val="24"/>
          <w:szCs w:val="24"/>
        </w:rPr>
        <w:t xml:space="preserve"> </w:t>
      </w:r>
      <w:r w:rsidRPr="00FA1287">
        <w:rPr>
          <w:rFonts w:ascii="Garamond" w:hAnsi="Garamond"/>
          <w:i/>
          <w:sz w:val="24"/>
          <w:szCs w:val="24"/>
        </w:rPr>
        <w:t>decreto legislativo 6</w:t>
      </w:r>
      <w:r w:rsidR="00FA1287" w:rsidRPr="00FA1287">
        <w:rPr>
          <w:rFonts w:ascii="Garamond" w:hAnsi="Garamond"/>
          <w:i/>
          <w:sz w:val="24"/>
          <w:szCs w:val="24"/>
        </w:rPr>
        <w:t xml:space="preserve"> settembre 2011, n. 159, anche se la condotta non è</w:t>
      </w:r>
      <w:r w:rsidRPr="00FA1287">
        <w:rPr>
          <w:rFonts w:ascii="Garamond" w:hAnsi="Garamond"/>
          <w:i/>
          <w:sz w:val="24"/>
          <w:szCs w:val="24"/>
        </w:rPr>
        <w:t xml:space="preserve"> stata posta in essere in occasi</w:t>
      </w:r>
      <w:r w:rsidR="00FA1287" w:rsidRPr="00FA1287">
        <w:rPr>
          <w:rFonts w:ascii="Garamond" w:hAnsi="Garamond"/>
          <w:i/>
          <w:sz w:val="24"/>
          <w:szCs w:val="24"/>
        </w:rPr>
        <w:t>one o a causa di manifestazioni sportive</w:t>
      </w:r>
      <w:r w:rsidRPr="00FA1287">
        <w:rPr>
          <w:rFonts w:ascii="Garamond" w:hAnsi="Garamond"/>
          <w:sz w:val="24"/>
          <w:szCs w:val="24"/>
        </w:rPr>
        <w:t>»</w:t>
      </w:r>
      <w:r w:rsidR="00FA1287" w:rsidRPr="00FA1287">
        <w:rPr>
          <w:rFonts w:ascii="Garamond" w:hAnsi="Garamond"/>
          <w:sz w:val="24"/>
          <w:szCs w:val="24"/>
        </w:rPr>
        <w:t>.</w:t>
      </w:r>
    </w:p>
  </w:footnote>
  <w:footnote w:id="21">
    <w:p w:rsidR="00CA2EA9" w:rsidRPr="00CA2EA9" w:rsidRDefault="00CA2EA9" w:rsidP="00CA2EA9">
      <w:pPr>
        <w:pStyle w:val="Testonotaapidipagina"/>
        <w:jc w:val="both"/>
      </w:pPr>
      <w:r w:rsidRPr="00CA2EA9">
        <w:rPr>
          <w:rStyle w:val="Rimandonotaapidipagina"/>
          <w:rFonts w:ascii="Garamond" w:hAnsi="Garamond"/>
          <w:sz w:val="24"/>
          <w:szCs w:val="24"/>
        </w:rPr>
        <w:footnoteRef/>
      </w:r>
      <w:r w:rsidRPr="00CA2EA9">
        <w:rPr>
          <w:rFonts w:ascii="Garamond" w:hAnsi="Garamond"/>
          <w:sz w:val="24"/>
          <w:szCs w:val="24"/>
        </w:rPr>
        <w:t xml:space="preserve"> Per una disamina delle modifiche apportate dai de</w:t>
      </w:r>
      <w:r>
        <w:rPr>
          <w:rFonts w:ascii="Garamond" w:hAnsi="Garamond"/>
          <w:sz w:val="24"/>
          <w:szCs w:val="24"/>
        </w:rPr>
        <w:t xml:space="preserve">creti sicurezza al D.A.SPO, cfr. Cisterna A., </w:t>
      </w:r>
      <w:r>
        <w:rPr>
          <w:rFonts w:ascii="Garamond" w:hAnsi="Garamond"/>
          <w:i/>
          <w:sz w:val="24"/>
          <w:szCs w:val="24"/>
        </w:rPr>
        <w:t>Pericolosità sociale: aggiornato il catalogo dei soggetti da isolare</w:t>
      </w:r>
      <w:r>
        <w:rPr>
          <w:rFonts w:ascii="Garamond" w:hAnsi="Garamond"/>
          <w:sz w:val="24"/>
          <w:szCs w:val="24"/>
        </w:rPr>
        <w:t xml:space="preserve">, in Guida al diritto, 14 settembre 2019, n. 38, pp. 75-81; </w:t>
      </w:r>
      <w:r>
        <w:rPr>
          <w:rFonts w:ascii="Garamond" w:hAnsi="Garamond"/>
          <w:i/>
          <w:sz w:val="24"/>
          <w:szCs w:val="24"/>
        </w:rPr>
        <w:t>Applicabile il Daspo per gli atti all’estero dei tifosi italiani</w:t>
      </w:r>
      <w:r>
        <w:rPr>
          <w:rFonts w:ascii="Garamond" w:hAnsi="Garamond"/>
          <w:sz w:val="24"/>
          <w:szCs w:val="24"/>
        </w:rPr>
        <w:t xml:space="preserve">, in Guida al diritto, 6 luglio 2019, n. 59, pp. 49-53; </w:t>
      </w:r>
      <w:r>
        <w:rPr>
          <w:rFonts w:ascii="Garamond" w:hAnsi="Garamond"/>
          <w:i/>
          <w:sz w:val="24"/>
          <w:szCs w:val="24"/>
        </w:rPr>
        <w:t>Politiche di sicurezza e riforma della polizia in un’unica visione</w:t>
      </w:r>
      <w:r>
        <w:rPr>
          <w:rFonts w:ascii="Garamond" w:hAnsi="Garamond"/>
          <w:sz w:val="24"/>
          <w:szCs w:val="24"/>
        </w:rPr>
        <w:t xml:space="preserve">, in Guida al diritto, 12 gennaio 2019, n. 4, pp. 18-22; Amato G., </w:t>
      </w:r>
      <w:r>
        <w:rPr>
          <w:rFonts w:ascii="Garamond" w:hAnsi="Garamond"/>
          <w:i/>
          <w:sz w:val="24"/>
          <w:szCs w:val="24"/>
        </w:rPr>
        <w:t>Daspo sportivo: l’aggravante scatta nel “trasferimento”</w:t>
      </w:r>
      <w:r>
        <w:rPr>
          <w:rFonts w:ascii="Garamond" w:hAnsi="Garamond"/>
          <w:sz w:val="24"/>
          <w:szCs w:val="24"/>
        </w:rPr>
        <w:t>, in Guida al diritto, 14 settembre 2019, n. 38, pp. 71-74.</w:t>
      </w:r>
    </w:p>
  </w:footnote>
  <w:footnote w:id="22">
    <w:p w:rsidR="00511BEF" w:rsidRPr="00511BEF" w:rsidRDefault="00511BEF" w:rsidP="00511BEF">
      <w:pPr>
        <w:pStyle w:val="Testonotaapidipagina"/>
        <w:jc w:val="both"/>
        <w:rPr>
          <w:rFonts w:ascii="Garamond" w:hAnsi="Garamond"/>
          <w:sz w:val="24"/>
          <w:szCs w:val="24"/>
        </w:rPr>
      </w:pPr>
      <w:r w:rsidRPr="00511BEF">
        <w:rPr>
          <w:rStyle w:val="Rimandonotaapidipagina"/>
          <w:rFonts w:ascii="Garamond" w:hAnsi="Garamond"/>
          <w:sz w:val="24"/>
          <w:szCs w:val="24"/>
        </w:rPr>
        <w:footnoteRef/>
      </w:r>
      <w:r w:rsidRPr="00511BEF">
        <w:rPr>
          <w:rFonts w:ascii="Garamond" w:hAnsi="Garamond"/>
          <w:sz w:val="24"/>
          <w:szCs w:val="24"/>
        </w:rPr>
        <w:t xml:space="preserve"> Trattasi </w:t>
      </w:r>
      <w:r>
        <w:rPr>
          <w:rFonts w:ascii="Garamond" w:hAnsi="Garamond"/>
          <w:sz w:val="24"/>
          <w:szCs w:val="24"/>
        </w:rPr>
        <w:t>degli indiziati di uno dei delitti consumati o tentati con finalità di terrorismo, di cui all’</w:t>
      </w:r>
      <w:r w:rsidRPr="00511BEF">
        <w:rPr>
          <w:rFonts w:ascii="Garamond" w:hAnsi="Garamond"/>
          <w:sz w:val="24"/>
          <w:szCs w:val="24"/>
        </w:rPr>
        <w:t>art</w:t>
      </w:r>
      <w:r>
        <w:rPr>
          <w:rFonts w:ascii="Garamond" w:hAnsi="Garamond"/>
          <w:sz w:val="24"/>
          <w:szCs w:val="24"/>
        </w:rPr>
        <w:t>.</w:t>
      </w:r>
      <w:r w:rsidRPr="00511BEF">
        <w:rPr>
          <w:rFonts w:ascii="Garamond" w:hAnsi="Garamond"/>
          <w:sz w:val="24"/>
          <w:szCs w:val="24"/>
        </w:rPr>
        <w:t xml:space="preserve"> 51, comma 3-</w:t>
      </w:r>
      <w:r w:rsidRPr="00511BEF">
        <w:rPr>
          <w:rFonts w:ascii="Garamond" w:hAnsi="Garamond"/>
          <w:i/>
          <w:sz w:val="24"/>
          <w:szCs w:val="24"/>
        </w:rPr>
        <w:t>quater</w:t>
      </w:r>
      <w:r w:rsidRPr="00511BEF">
        <w:rPr>
          <w:rFonts w:ascii="Garamond" w:hAnsi="Garamond"/>
          <w:sz w:val="24"/>
          <w:szCs w:val="24"/>
        </w:rPr>
        <w:t xml:space="preserve"> </w:t>
      </w:r>
      <w:r>
        <w:rPr>
          <w:rFonts w:ascii="Garamond" w:hAnsi="Garamond"/>
          <w:sz w:val="24"/>
          <w:szCs w:val="24"/>
        </w:rPr>
        <w:t xml:space="preserve">c.p.p. ovvero di </w:t>
      </w:r>
      <w:r w:rsidR="00C77E55">
        <w:rPr>
          <w:rFonts w:ascii="Garamond" w:hAnsi="Garamond"/>
          <w:sz w:val="24"/>
          <w:szCs w:val="24"/>
        </w:rPr>
        <w:t>coloro che, operanti in gruppo</w:t>
      </w:r>
      <w:r w:rsidRPr="00511BEF">
        <w:rPr>
          <w:rFonts w:ascii="Garamond" w:hAnsi="Garamond"/>
          <w:sz w:val="24"/>
          <w:szCs w:val="24"/>
        </w:rPr>
        <w:t xml:space="preserve"> o isolatamente, pongano in essere atti preparatori, obiettivamente rilevanti, ovvero e</w:t>
      </w:r>
      <w:r>
        <w:rPr>
          <w:rFonts w:ascii="Garamond" w:hAnsi="Garamond"/>
          <w:sz w:val="24"/>
          <w:szCs w:val="24"/>
        </w:rPr>
        <w:t>secutivi diretti a sovvertire l’</w:t>
      </w:r>
      <w:r w:rsidRPr="00511BEF">
        <w:rPr>
          <w:rFonts w:ascii="Garamond" w:hAnsi="Garamond"/>
          <w:sz w:val="24"/>
          <w:szCs w:val="24"/>
        </w:rPr>
        <w:t xml:space="preserve">ordinamento dello Stato, con la commissione di uno dei </w:t>
      </w:r>
      <w:r w:rsidR="00153709">
        <w:rPr>
          <w:rFonts w:ascii="Garamond" w:hAnsi="Garamond"/>
          <w:sz w:val="24"/>
          <w:szCs w:val="24"/>
        </w:rPr>
        <w:t>delitti di comune pericolo mediante violenza (</w:t>
      </w:r>
      <w:r w:rsidRPr="00511BEF">
        <w:rPr>
          <w:rFonts w:ascii="Garamond" w:hAnsi="Garamond"/>
          <w:sz w:val="24"/>
          <w:szCs w:val="24"/>
        </w:rPr>
        <w:t>previsti dal capo I del titolo VI del libro II</w:t>
      </w:r>
      <w:r w:rsidR="00153709">
        <w:rPr>
          <w:rFonts w:ascii="Garamond" w:hAnsi="Garamond"/>
          <w:sz w:val="24"/>
          <w:szCs w:val="24"/>
        </w:rPr>
        <w:t xml:space="preserve"> del c.p.)</w:t>
      </w:r>
      <w:r w:rsidRPr="00511BEF">
        <w:rPr>
          <w:rFonts w:ascii="Garamond" w:hAnsi="Garamond"/>
          <w:sz w:val="24"/>
          <w:szCs w:val="24"/>
        </w:rPr>
        <w:t xml:space="preserve"> o </w:t>
      </w:r>
      <w:r w:rsidR="00153709">
        <w:rPr>
          <w:rFonts w:ascii="Garamond" w:hAnsi="Garamond"/>
          <w:sz w:val="24"/>
          <w:szCs w:val="24"/>
        </w:rPr>
        <w:t>dei delitti di insurrezione armata contro i poteri dello Stato</w:t>
      </w:r>
      <w:r w:rsidRPr="00511BEF">
        <w:rPr>
          <w:rFonts w:ascii="Garamond" w:hAnsi="Garamond"/>
          <w:sz w:val="24"/>
          <w:szCs w:val="24"/>
        </w:rPr>
        <w:t xml:space="preserve"> </w:t>
      </w:r>
      <w:r w:rsidR="000E610E">
        <w:rPr>
          <w:rFonts w:ascii="Garamond" w:hAnsi="Garamond"/>
          <w:sz w:val="24"/>
          <w:szCs w:val="24"/>
        </w:rPr>
        <w:t>(art. 284</w:t>
      </w:r>
      <w:r w:rsidR="00153709">
        <w:rPr>
          <w:rFonts w:ascii="Garamond" w:hAnsi="Garamond"/>
          <w:sz w:val="24"/>
          <w:szCs w:val="24"/>
        </w:rPr>
        <w:t xml:space="preserve"> c.p.), devastazione, saccheggio e strage</w:t>
      </w:r>
      <w:r w:rsidRPr="00511BEF">
        <w:rPr>
          <w:rFonts w:ascii="Garamond" w:hAnsi="Garamond"/>
          <w:sz w:val="24"/>
          <w:szCs w:val="24"/>
        </w:rPr>
        <w:t xml:space="preserve"> </w:t>
      </w:r>
      <w:r w:rsidR="000E610E">
        <w:rPr>
          <w:rFonts w:ascii="Garamond" w:hAnsi="Garamond"/>
          <w:sz w:val="24"/>
          <w:szCs w:val="24"/>
        </w:rPr>
        <w:t>(art. 285</w:t>
      </w:r>
      <w:r w:rsidR="00153709">
        <w:rPr>
          <w:rFonts w:ascii="Garamond" w:hAnsi="Garamond"/>
          <w:sz w:val="24"/>
          <w:szCs w:val="24"/>
        </w:rPr>
        <w:t xml:space="preserve"> c.p.), guerra civile</w:t>
      </w:r>
      <w:r w:rsidRPr="00511BEF">
        <w:rPr>
          <w:rFonts w:ascii="Garamond" w:hAnsi="Garamond"/>
          <w:sz w:val="24"/>
          <w:szCs w:val="24"/>
        </w:rPr>
        <w:t xml:space="preserve"> </w:t>
      </w:r>
      <w:r w:rsidR="00153709">
        <w:rPr>
          <w:rFonts w:ascii="Garamond" w:hAnsi="Garamond"/>
          <w:sz w:val="24"/>
          <w:szCs w:val="24"/>
        </w:rPr>
        <w:t xml:space="preserve">(art. </w:t>
      </w:r>
      <w:r w:rsidR="000E610E">
        <w:rPr>
          <w:rFonts w:ascii="Garamond" w:hAnsi="Garamond"/>
          <w:sz w:val="24"/>
          <w:szCs w:val="24"/>
        </w:rPr>
        <w:t xml:space="preserve">286 </w:t>
      </w:r>
      <w:r w:rsidR="00153709">
        <w:rPr>
          <w:rFonts w:ascii="Garamond" w:hAnsi="Garamond"/>
          <w:sz w:val="24"/>
          <w:szCs w:val="24"/>
        </w:rPr>
        <w:t>c.p.), banda armata: formazione e partecipazione</w:t>
      </w:r>
      <w:r w:rsidRPr="00511BEF">
        <w:rPr>
          <w:rFonts w:ascii="Garamond" w:hAnsi="Garamond"/>
          <w:sz w:val="24"/>
          <w:szCs w:val="24"/>
        </w:rPr>
        <w:t xml:space="preserve"> </w:t>
      </w:r>
      <w:r w:rsidR="00153709">
        <w:rPr>
          <w:rFonts w:ascii="Garamond" w:hAnsi="Garamond"/>
          <w:sz w:val="24"/>
          <w:szCs w:val="24"/>
        </w:rPr>
        <w:t xml:space="preserve">(art. </w:t>
      </w:r>
      <w:r w:rsidR="000E610E">
        <w:rPr>
          <w:rFonts w:ascii="Garamond" w:hAnsi="Garamond"/>
          <w:sz w:val="24"/>
          <w:szCs w:val="24"/>
        </w:rPr>
        <w:t xml:space="preserve">306 </w:t>
      </w:r>
      <w:r w:rsidR="00153709">
        <w:rPr>
          <w:rFonts w:ascii="Garamond" w:hAnsi="Garamond"/>
          <w:sz w:val="24"/>
          <w:szCs w:val="24"/>
        </w:rPr>
        <w:t xml:space="preserve">c.p.), epidemia (art. </w:t>
      </w:r>
      <w:r w:rsidR="000E610E">
        <w:rPr>
          <w:rFonts w:ascii="Garamond" w:hAnsi="Garamond"/>
          <w:sz w:val="24"/>
          <w:szCs w:val="24"/>
        </w:rPr>
        <w:t>438</w:t>
      </w:r>
      <w:r w:rsidR="00153709">
        <w:rPr>
          <w:rFonts w:ascii="Garamond" w:hAnsi="Garamond"/>
          <w:sz w:val="24"/>
          <w:szCs w:val="24"/>
        </w:rPr>
        <w:t xml:space="preserve"> c.p.), avvelenamento di acque o di sostanze alimentari (art. </w:t>
      </w:r>
      <w:r w:rsidR="000E610E">
        <w:rPr>
          <w:rFonts w:ascii="Garamond" w:hAnsi="Garamond"/>
          <w:sz w:val="24"/>
          <w:szCs w:val="24"/>
        </w:rPr>
        <w:t>439</w:t>
      </w:r>
      <w:r w:rsidRPr="00511BEF">
        <w:rPr>
          <w:rFonts w:ascii="Garamond" w:hAnsi="Garamond"/>
          <w:sz w:val="24"/>
          <w:szCs w:val="24"/>
        </w:rPr>
        <w:t xml:space="preserve"> </w:t>
      </w:r>
      <w:r w:rsidR="00153709">
        <w:rPr>
          <w:rFonts w:ascii="Garamond" w:hAnsi="Garamond"/>
          <w:sz w:val="24"/>
          <w:szCs w:val="24"/>
        </w:rPr>
        <w:t xml:space="preserve">c.p.), sequestro di persona (art. </w:t>
      </w:r>
      <w:r w:rsidRPr="00511BEF">
        <w:rPr>
          <w:rFonts w:ascii="Garamond" w:hAnsi="Garamond"/>
          <w:sz w:val="24"/>
          <w:szCs w:val="24"/>
        </w:rPr>
        <w:t>605</w:t>
      </w:r>
      <w:r w:rsidR="00153709">
        <w:rPr>
          <w:rFonts w:ascii="Garamond" w:hAnsi="Garamond"/>
          <w:sz w:val="24"/>
          <w:szCs w:val="24"/>
        </w:rPr>
        <w:t xml:space="preserve"> c.p.), sequestro di persona a scopo di rapina o di estorsione (art. </w:t>
      </w:r>
      <w:r w:rsidRPr="00511BEF">
        <w:rPr>
          <w:rFonts w:ascii="Garamond" w:hAnsi="Garamond"/>
          <w:sz w:val="24"/>
          <w:szCs w:val="24"/>
        </w:rPr>
        <w:t>630</w:t>
      </w:r>
      <w:r w:rsidR="00153709">
        <w:rPr>
          <w:rFonts w:ascii="Garamond" w:hAnsi="Garamond"/>
          <w:sz w:val="24"/>
          <w:szCs w:val="24"/>
        </w:rPr>
        <w:t xml:space="preserve"> c.p.)</w:t>
      </w:r>
      <w:r w:rsidRPr="00511BEF">
        <w:rPr>
          <w:rFonts w:ascii="Garamond" w:hAnsi="Garamond"/>
          <w:sz w:val="24"/>
          <w:szCs w:val="24"/>
        </w:rPr>
        <w:t>, nonché alla commissione dei reati con finalità di terrorismo anche internazionale ovvero a prendere parte ad un conflitto in territorio estero</w:t>
      </w:r>
      <w:r w:rsidR="00153709">
        <w:rPr>
          <w:rFonts w:ascii="Garamond" w:hAnsi="Garamond"/>
          <w:sz w:val="24"/>
          <w:szCs w:val="24"/>
        </w:rPr>
        <w:t xml:space="preserve"> (c.d. </w:t>
      </w:r>
      <w:r w:rsidR="00153709">
        <w:rPr>
          <w:rFonts w:ascii="Garamond" w:hAnsi="Garamond"/>
          <w:i/>
          <w:sz w:val="24"/>
          <w:szCs w:val="24"/>
        </w:rPr>
        <w:t>foreign fighters</w:t>
      </w:r>
      <w:r w:rsidR="00153709">
        <w:rPr>
          <w:rFonts w:ascii="Garamond" w:hAnsi="Garamond"/>
          <w:sz w:val="24"/>
          <w:szCs w:val="24"/>
        </w:rPr>
        <w:t>) a sostegno di un’</w:t>
      </w:r>
      <w:r w:rsidRPr="00511BEF">
        <w:rPr>
          <w:rFonts w:ascii="Garamond" w:hAnsi="Garamond"/>
          <w:sz w:val="24"/>
          <w:szCs w:val="24"/>
        </w:rPr>
        <w:t>organizzazione che persegue le fi</w:t>
      </w:r>
      <w:r w:rsidR="00153709">
        <w:rPr>
          <w:rFonts w:ascii="Garamond" w:hAnsi="Garamond"/>
          <w:sz w:val="24"/>
          <w:szCs w:val="24"/>
        </w:rPr>
        <w:t>nalità terroristiche di cui all’art.</w:t>
      </w:r>
      <w:r w:rsidRPr="00511BEF">
        <w:rPr>
          <w:rFonts w:ascii="Garamond" w:hAnsi="Garamond"/>
          <w:sz w:val="24"/>
          <w:szCs w:val="24"/>
        </w:rPr>
        <w:t xml:space="preserve"> 270-</w:t>
      </w:r>
      <w:r w:rsidRPr="00153709">
        <w:rPr>
          <w:rFonts w:ascii="Garamond" w:hAnsi="Garamond"/>
          <w:i/>
          <w:sz w:val="24"/>
          <w:szCs w:val="24"/>
        </w:rPr>
        <w:t>sexies</w:t>
      </w:r>
      <w:r w:rsidR="00C77E55">
        <w:rPr>
          <w:rFonts w:ascii="Garamond" w:hAnsi="Garamond"/>
          <w:sz w:val="24"/>
          <w:szCs w:val="24"/>
        </w:rPr>
        <w:t xml:space="preserve"> </w:t>
      </w:r>
      <w:r w:rsidRPr="00511BEF">
        <w:rPr>
          <w:rFonts w:ascii="Garamond" w:hAnsi="Garamond"/>
          <w:sz w:val="24"/>
          <w:szCs w:val="24"/>
        </w:rPr>
        <w:t>c</w:t>
      </w:r>
      <w:r w:rsidR="00153709">
        <w:rPr>
          <w:rFonts w:ascii="Garamond" w:hAnsi="Garamond"/>
          <w:sz w:val="24"/>
          <w:szCs w:val="24"/>
        </w:rPr>
        <w:t>.p.</w:t>
      </w:r>
    </w:p>
  </w:footnote>
  <w:footnote w:id="23">
    <w:p w:rsidR="00D90CCB" w:rsidRPr="00032956" w:rsidRDefault="00D90CCB" w:rsidP="00D90CCB">
      <w:pPr>
        <w:pStyle w:val="Testonotaapidipagina"/>
        <w:jc w:val="both"/>
        <w:rPr>
          <w:rFonts w:ascii="Garamond" w:hAnsi="Garamond"/>
          <w:sz w:val="24"/>
          <w:szCs w:val="24"/>
        </w:rPr>
      </w:pPr>
      <w:r w:rsidRPr="00032956">
        <w:rPr>
          <w:rStyle w:val="Rimandonotaapidipagina"/>
          <w:rFonts w:ascii="Garamond" w:hAnsi="Garamond"/>
          <w:sz w:val="24"/>
          <w:szCs w:val="24"/>
        </w:rPr>
        <w:footnoteRef/>
      </w:r>
      <w:r>
        <w:rPr>
          <w:rFonts w:ascii="Garamond" w:hAnsi="Garamond"/>
          <w:sz w:val="24"/>
          <w:szCs w:val="24"/>
        </w:rPr>
        <w:t xml:space="preserve"> L’assenza di siffatto inciso nella precedente versione </w:t>
      </w:r>
      <w:r w:rsidR="00093683">
        <w:rPr>
          <w:rFonts w:ascii="Garamond" w:hAnsi="Garamond"/>
          <w:sz w:val="24"/>
          <w:szCs w:val="24"/>
        </w:rPr>
        <w:t xml:space="preserve">della </w:t>
      </w:r>
      <w:r>
        <w:rPr>
          <w:rFonts w:ascii="Garamond" w:hAnsi="Garamond"/>
          <w:sz w:val="24"/>
          <w:szCs w:val="24"/>
        </w:rPr>
        <w:t>norma ha indotto la giurisprudenza a ritenere necessario il</w:t>
      </w:r>
      <w:r w:rsidR="00C77E55">
        <w:rPr>
          <w:rFonts w:ascii="Garamond" w:hAnsi="Garamond"/>
          <w:sz w:val="24"/>
          <w:szCs w:val="24"/>
        </w:rPr>
        <w:t xml:space="preserve"> nesso di causalità tra la condo</w:t>
      </w:r>
      <w:r>
        <w:rPr>
          <w:rFonts w:ascii="Garamond" w:hAnsi="Garamond"/>
          <w:sz w:val="24"/>
          <w:szCs w:val="24"/>
        </w:rPr>
        <w:t xml:space="preserve">tta commessa e la manifestazione sportiva, anche alla stregua del generale </w:t>
      </w:r>
      <w:r w:rsidRPr="000B3717">
        <w:rPr>
          <w:rFonts w:ascii="Garamond" w:hAnsi="Garamond"/>
          <w:sz w:val="24"/>
          <w:szCs w:val="24"/>
        </w:rPr>
        <w:t xml:space="preserve">principio per cui </w:t>
      </w:r>
      <w:r w:rsidRPr="000B3717">
        <w:rPr>
          <w:rFonts w:ascii="Garamond" w:hAnsi="Garamond"/>
          <w:i/>
          <w:sz w:val="24"/>
          <w:szCs w:val="24"/>
        </w:rPr>
        <w:t>ubi lex voluit dixit, ubi noluit tacuit</w:t>
      </w:r>
      <w:r>
        <w:rPr>
          <w:rFonts w:ascii="Garamond" w:hAnsi="Garamond"/>
          <w:sz w:val="24"/>
          <w:szCs w:val="24"/>
        </w:rPr>
        <w:t>. In tal senso, Cons. St., sez. III, 7 aprile 2020, n. 2313, secondo cui «</w:t>
      </w:r>
      <w:r w:rsidRPr="00B65275">
        <w:rPr>
          <w:rFonts w:ascii="Garamond" w:hAnsi="Garamond"/>
          <w:i/>
          <w:sz w:val="24"/>
          <w:szCs w:val="24"/>
        </w:rPr>
        <w:t>tale carenza normativa non può certo essere colmata con un’interpretazione che estenda il campo di applicazione della disposizione in parola a casi non espressamente previsti dalla legge. Il principio di legalità, in materia di misure di prevenzione limitative – come nel caso all’esame – di libertà personali, impone la puntuale individuazione dei presupposti che ne giustificano l’applicazione e, dunque, un’interpretazione restrittiva della norma di prevenzione, la quale non è suscettibile di essere applicata estensivamente o con analogia in malam partem</w:t>
      </w:r>
      <w:r>
        <w:rPr>
          <w:rFonts w:ascii="Garamond" w:hAnsi="Garamond"/>
          <w:sz w:val="24"/>
          <w:szCs w:val="24"/>
        </w:rPr>
        <w:t>»</w:t>
      </w:r>
      <w:r w:rsidRPr="00B65275">
        <w:rPr>
          <w:rFonts w:ascii="Garamond" w:hAnsi="Garamond"/>
          <w:sz w:val="24"/>
          <w:szCs w:val="24"/>
        </w:rPr>
        <w:t>.</w:t>
      </w:r>
      <w:r>
        <w:rPr>
          <w:rFonts w:ascii="Garamond" w:hAnsi="Garamond"/>
          <w:sz w:val="24"/>
          <w:szCs w:val="24"/>
        </w:rPr>
        <w:t xml:space="preserve"> In </w:t>
      </w:r>
      <w:r w:rsidR="00C77E55">
        <w:rPr>
          <w:rFonts w:ascii="Garamond" w:hAnsi="Garamond"/>
          <w:sz w:val="24"/>
          <w:szCs w:val="24"/>
        </w:rPr>
        <w:t xml:space="preserve">tale </w:t>
      </w:r>
      <w:r>
        <w:rPr>
          <w:rFonts w:ascii="Garamond" w:hAnsi="Garamond"/>
          <w:sz w:val="24"/>
          <w:szCs w:val="24"/>
        </w:rPr>
        <w:t xml:space="preserve">occasione il Giudice amministrativo ha ritenuto estranea al perimetro di applicazione del citato art. 6 la condotta di un soggetto – </w:t>
      </w:r>
      <w:r w:rsidRPr="00040E0B">
        <w:rPr>
          <w:rFonts w:ascii="Garamond" w:hAnsi="Garamond"/>
          <w:sz w:val="24"/>
          <w:szCs w:val="24"/>
        </w:rPr>
        <w:t>denu</w:t>
      </w:r>
      <w:r>
        <w:rPr>
          <w:rFonts w:ascii="Garamond" w:hAnsi="Garamond"/>
          <w:sz w:val="24"/>
          <w:szCs w:val="24"/>
        </w:rPr>
        <w:t>nciato per il reato di cui all’a</w:t>
      </w:r>
      <w:r w:rsidRPr="00040E0B">
        <w:rPr>
          <w:rFonts w:ascii="Garamond" w:hAnsi="Garamond"/>
          <w:sz w:val="24"/>
          <w:szCs w:val="24"/>
        </w:rPr>
        <w:t>rt. 5, l. n. 152 del 1975</w:t>
      </w:r>
      <w:r>
        <w:rPr>
          <w:rFonts w:ascii="Garamond" w:hAnsi="Garamond"/>
          <w:sz w:val="24"/>
          <w:szCs w:val="24"/>
        </w:rPr>
        <w:t xml:space="preserve"> – consumata durante una manifestazione di protesta s</w:t>
      </w:r>
      <w:r w:rsidRPr="00012F17">
        <w:rPr>
          <w:rFonts w:ascii="Garamond" w:hAnsi="Garamond"/>
          <w:sz w:val="24"/>
          <w:szCs w:val="24"/>
        </w:rPr>
        <w:t xml:space="preserve">ul disegno legislativo del </w:t>
      </w:r>
      <w:r>
        <w:rPr>
          <w:rFonts w:ascii="Garamond" w:hAnsi="Garamond"/>
          <w:sz w:val="24"/>
          <w:szCs w:val="24"/>
        </w:rPr>
        <w:t>c.d. “</w:t>
      </w:r>
      <w:r w:rsidRPr="00012F17">
        <w:rPr>
          <w:rFonts w:ascii="Garamond" w:hAnsi="Garamond"/>
          <w:i/>
          <w:sz w:val="24"/>
          <w:szCs w:val="24"/>
        </w:rPr>
        <w:t>ius soli</w:t>
      </w:r>
      <w:r>
        <w:rPr>
          <w:rFonts w:ascii="Garamond" w:hAnsi="Garamond"/>
          <w:sz w:val="24"/>
          <w:szCs w:val="24"/>
        </w:rPr>
        <w:t xml:space="preserve">”, totalmente estranea all’ambito sportivo. </w:t>
      </w:r>
    </w:p>
  </w:footnote>
  <w:footnote w:id="24">
    <w:p w:rsidR="009D28D2" w:rsidRPr="009D28D2" w:rsidRDefault="009D28D2" w:rsidP="009D28D2">
      <w:pPr>
        <w:pStyle w:val="Testonotaapidipagina"/>
        <w:jc w:val="both"/>
        <w:rPr>
          <w:rFonts w:ascii="Garamond" w:hAnsi="Garamond"/>
          <w:sz w:val="24"/>
          <w:szCs w:val="24"/>
        </w:rPr>
      </w:pPr>
      <w:r w:rsidRPr="009D28D2">
        <w:rPr>
          <w:rStyle w:val="Rimandonotaapidipagina"/>
          <w:rFonts w:ascii="Garamond" w:hAnsi="Garamond"/>
          <w:sz w:val="24"/>
          <w:szCs w:val="24"/>
        </w:rPr>
        <w:footnoteRef/>
      </w:r>
      <w:r w:rsidRPr="009D28D2">
        <w:rPr>
          <w:rFonts w:ascii="Garamond" w:hAnsi="Garamond"/>
          <w:sz w:val="24"/>
          <w:szCs w:val="24"/>
        </w:rPr>
        <w:t xml:space="preserve"> Cfr. Cassano M. E., </w:t>
      </w:r>
      <w:r w:rsidRPr="009D28D2">
        <w:rPr>
          <w:rFonts w:ascii="Garamond" w:hAnsi="Garamond"/>
          <w:i/>
          <w:sz w:val="24"/>
          <w:szCs w:val="24"/>
        </w:rPr>
        <w:t>Il decreto Salvini, tra istanze preventive e modelli repressivi</w:t>
      </w:r>
      <w:r w:rsidRPr="009D28D2">
        <w:rPr>
          <w:rFonts w:ascii="Garamond" w:hAnsi="Garamond"/>
          <w:sz w:val="24"/>
          <w:szCs w:val="24"/>
        </w:rPr>
        <w:t xml:space="preserve">, in Questione Giustizia, 29 ottobre 2019, </w:t>
      </w:r>
      <w:r>
        <w:rPr>
          <w:rFonts w:ascii="Garamond" w:hAnsi="Garamond"/>
          <w:sz w:val="24"/>
          <w:szCs w:val="24"/>
        </w:rPr>
        <w:t>che giustifica l’estensione del D.A.SPO. ai soggetti indiziati di reati con finalità terroristica, ritenendo</w:t>
      </w:r>
      <w:r w:rsidR="00C77E55">
        <w:rPr>
          <w:rFonts w:ascii="Garamond" w:hAnsi="Garamond"/>
          <w:sz w:val="24"/>
          <w:szCs w:val="24"/>
        </w:rPr>
        <w:t xml:space="preserve"> che il legislatore </w:t>
      </w:r>
      <w:r w:rsidRPr="009D28D2">
        <w:rPr>
          <w:rFonts w:ascii="Garamond" w:hAnsi="Garamond"/>
          <w:sz w:val="24"/>
          <w:szCs w:val="24"/>
        </w:rPr>
        <w:t>abbia voluto predisporre uno strumento volto ad evitare c</w:t>
      </w:r>
      <w:r w:rsidR="00C77E55">
        <w:rPr>
          <w:rFonts w:ascii="Garamond" w:hAnsi="Garamond"/>
          <w:sz w:val="24"/>
          <w:szCs w:val="24"/>
        </w:rPr>
        <w:t>he, all’interno delle tifoserie,</w:t>
      </w:r>
      <w:r w:rsidRPr="009D28D2">
        <w:rPr>
          <w:rFonts w:ascii="Garamond" w:hAnsi="Garamond"/>
          <w:sz w:val="24"/>
          <w:szCs w:val="24"/>
        </w:rPr>
        <w:t xml:space="preserve"> si verifichino infiltrazioni di sogg</w:t>
      </w:r>
      <w:r w:rsidR="00C77E55">
        <w:rPr>
          <w:rFonts w:ascii="Garamond" w:hAnsi="Garamond"/>
          <w:sz w:val="24"/>
          <w:szCs w:val="24"/>
        </w:rPr>
        <w:t>etti sospettatati di terrorismo</w:t>
      </w:r>
      <w:r w:rsidRPr="009D28D2">
        <w:rPr>
          <w:rFonts w:ascii="Garamond" w:hAnsi="Garamond"/>
          <w:sz w:val="24"/>
          <w:szCs w:val="24"/>
        </w:rPr>
        <w:t xml:space="preserve"> e a prevenire, in tal modo, la realizzazione di attentati in luoghi </w:t>
      </w:r>
      <w:r w:rsidR="00C77E55">
        <w:rPr>
          <w:rFonts w:ascii="Garamond" w:hAnsi="Garamond"/>
          <w:sz w:val="24"/>
          <w:szCs w:val="24"/>
        </w:rPr>
        <w:t>naturalmente affollati.</w:t>
      </w:r>
    </w:p>
  </w:footnote>
  <w:footnote w:id="25">
    <w:p w:rsidR="00D40D37" w:rsidRPr="00DC6E63" w:rsidRDefault="00D40D37" w:rsidP="003D59DF">
      <w:pPr>
        <w:pStyle w:val="Testonotaapidipagina"/>
        <w:jc w:val="both"/>
        <w:rPr>
          <w:rFonts w:ascii="Garamond" w:hAnsi="Garamond"/>
          <w:sz w:val="24"/>
          <w:szCs w:val="24"/>
        </w:rPr>
      </w:pPr>
      <w:r w:rsidRPr="00D40D37">
        <w:rPr>
          <w:rStyle w:val="Rimandonotaapidipagina"/>
          <w:rFonts w:ascii="Garamond" w:hAnsi="Garamond"/>
          <w:sz w:val="24"/>
          <w:szCs w:val="24"/>
        </w:rPr>
        <w:footnoteRef/>
      </w:r>
      <w:r w:rsidRPr="00D40D37">
        <w:rPr>
          <w:rFonts w:ascii="Garamond" w:hAnsi="Garamond"/>
          <w:sz w:val="24"/>
          <w:szCs w:val="24"/>
        </w:rPr>
        <w:t xml:space="preserve"> Sul punto, in dottrina, cfr.</w:t>
      </w:r>
      <w:r>
        <w:rPr>
          <w:rFonts w:ascii="Garamond" w:hAnsi="Garamond"/>
          <w:sz w:val="24"/>
          <w:szCs w:val="24"/>
        </w:rPr>
        <w:t xml:space="preserve"> </w:t>
      </w:r>
      <w:r w:rsidRPr="009674E9">
        <w:rPr>
          <w:rFonts w:ascii="Garamond" w:hAnsi="Garamond"/>
          <w:sz w:val="24"/>
          <w:szCs w:val="24"/>
        </w:rPr>
        <w:t xml:space="preserve">Garraffa P., </w:t>
      </w:r>
      <w:r w:rsidRPr="009674E9">
        <w:rPr>
          <w:rFonts w:ascii="Garamond" w:hAnsi="Garamond"/>
          <w:i/>
          <w:sz w:val="24"/>
          <w:szCs w:val="24"/>
        </w:rPr>
        <w:t>Normativa antiviolenza negli stadi: novità giurisprudenziali</w:t>
      </w:r>
      <w:r w:rsidRPr="009674E9">
        <w:rPr>
          <w:rFonts w:ascii="Garamond" w:hAnsi="Garamond"/>
          <w:sz w:val="24"/>
          <w:szCs w:val="24"/>
        </w:rPr>
        <w:t xml:space="preserve">, in Federalisimi.it, 2018, fasc. 6, pp. 4-16; </w:t>
      </w:r>
      <w:r w:rsidR="00CB754F" w:rsidRPr="009674E9">
        <w:rPr>
          <w:rFonts w:ascii="Garamond" w:hAnsi="Garamond"/>
          <w:sz w:val="24"/>
          <w:szCs w:val="24"/>
        </w:rPr>
        <w:t xml:space="preserve">Bedessi S., Piccioni F., </w:t>
      </w:r>
      <w:r w:rsidR="00CB754F" w:rsidRPr="009674E9">
        <w:rPr>
          <w:rFonts w:ascii="Garamond" w:hAnsi="Garamond"/>
          <w:i/>
          <w:sz w:val="24"/>
          <w:szCs w:val="24"/>
        </w:rPr>
        <w:t xml:space="preserve">Il decreto sicurezza. Nuove norme in materia di circolazione stradale, sicurezza urbana, immigrazione e polizia locale. Guida alla Legge 132/2018 </w:t>
      </w:r>
      <w:r w:rsidR="009822D9" w:rsidRPr="009674E9">
        <w:rPr>
          <w:rFonts w:ascii="Garamond" w:hAnsi="Garamond"/>
          <w:i/>
          <w:sz w:val="24"/>
          <w:szCs w:val="24"/>
        </w:rPr>
        <w:t xml:space="preserve">di conversione con modifiche del </w:t>
      </w:r>
      <w:r w:rsidR="00CB754F" w:rsidRPr="009674E9">
        <w:rPr>
          <w:rFonts w:ascii="Garamond" w:hAnsi="Garamond"/>
          <w:i/>
          <w:sz w:val="24"/>
          <w:szCs w:val="24"/>
        </w:rPr>
        <w:t>D.L. 113/2018</w:t>
      </w:r>
      <w:r w:rsidR="00CB754F" w:rsidRPr="009674E9">
        <w:rPr>
          <w:rFonts w:ascii="Garamond" w:hAnsi="Garamond"/>
          <w:sz w:val="24"/>
          <w:szCs w:val="24"/>
        </w:rPr>
        <w:t>, Maggioli Editore, 2019, pp.</w:t>
      </w:r>
      <w:r w:rsidR="00CB754F">
        <w:rPr>
          <w:rFonts w:ascii="Garamond" w:hAnsi="Garamond"/>
          <w:sz w:val="24"/>
          <w:szCs w:val="24"/>
        </w:rPr>
        <w:t xml:space="preserve"> </w:t>
      </w:r>
      <w:r w:rsidR="009674E9">
        <w:rPr>
          <w:rFonts w:ascii="Garamond" w:hAnsi="Garamond"/>
          <w:sz w:val="24"/>
          <w:szCs w:val="24"/>
        </w:rPr>
        <w:t>79-106</w:t>
      </w:r>
      <w:r w:rsidR="00CB754F">
        <w:rPr>
          <w:rFonts w:ascii="Garamond" w:hAnsi="Garamond"/>
          <w:sz w:val="24"/>
          <w:szCs w:val="24"/>
        </w:rPr>
        <w:t xml:space="preserve">; </w:t>
      </w:r>
      <w:r>
        <w:rPr>
          <w:rFonts w:ascii="Garamond" w:hAnsi="Garamond"/>
          <w:sz w:val="24"/>
          <w:szCs w:val="24"/>
        </w:rPr>
        <w:t xml:space="preserve">Menditto F., </w:t>
      </w:r>
      <w:r>
        <w:rPr>
          <w:rFonts w:ascii="Garamond" w:hAnsi="Garamond"/>
          <w:i/>
          <w:sz w:val="24"/>
          <w:szCs w:val="24"/>
        </w:rPr>
        <w:t>op. cit.</w:t>
      </w:r>
      <w:r>
        <w:rPr>
          <w:rFonts w:ascii="Garamond" w:hAnsi="Garamond"/>
          <w:sz w:val="24"/>
          <w:szCs w:val="24"/>
        </w:rPr>
        <w:t xml:space="preserve">, pp. 418-423; Molinari P. V., </w:t>
      </w:r>
      <w:r>
        <w:rPr>
          <w:rFonts w:ascii="Garamond" w:hAnsi="Garamond"/>
          <w:i/>
          <w:sz w:val="24"/>
          <w:szCs w:val="24"/>
        </w:rPr>
        <w:t>op. cit.</w:t>
      </w:r>
      <w:r>
        <w:rPr>
          <w:rFonts w:ascii="Garamond" w:hAnsi="Garamond"/>
          <w:sz w:val="24"/>
          <w:szCs w:val="24"/>
        </w:rPr>
        <w:t>, pp. 7-8;</w:t>
      </w:r>
      <w:r w:rsidR="00DC6E63">
        <w:rPr>
          <w:rFonts w:ascii="Garamond" w:hAnsi="Garamond"/>
          <w:sz w:val="24"/>
          <w:szCs w:val="24"/>
        </w:rPr>
        <w:t xml:space="preserve"> Forlenza O., </w:t>
      </w:r>
      <w:r w:rsidR="00DC6E63">
        <w:rPr>
          <w:rFonts w:ascii="Garamond" w:hAnsi="Garamond"/>
          <w:i/>
          <w:sz w:val="24"/>
          <w:szCs w:val="24"/>
        </w:rPr>
        <w:t>Contro i teppisti aumenta la prevenzione, diminuiscono sanzioni e pene accessorie</w:t>
      </w:r>
      <w:r w:rsidR="00DC6E63">
        <w:rPr>
          <w:rFonts w:ascii="Garamond" w:hAnsi="Garamond"/>
          <w:sz w:val="24"/>
          <w:szCs w:val="24"/>
        </w:rPr>
        <w:t>, in Guida al diritto, 3 novembre 2001, n. 42, p.</w:t>
      </w:r>
      <w:r w:rsidR="00B870F6">
        <w:rPr>
          <w:rFonts w:ascii="Garamond" w:hAnsi="Garamond"/>
          <w:sz w:val="24"/>
          <w:szCs w:val="24"/>
        </w:rPr>
        <w:t xml:space="preserve"> 102; Cortesi M. F., </w:t>
      </w:r>
      <w:r w:rsidR="00B870F6" w:rsidRPr="00B870F6">
        <w:rPr>
          <w:rFonts w:ascii="Garamond" w:hAnsi="Garamond"/>
          <w:i/>
          <w:sz w:val="24"/>
          <w:szCs w:val="24"/>
        </w:rPr>
        <w:t>La Cassazione delimita l’efficacia del “D.A.SPO</w:t>
      </w:r>
      <w:r w:rsidR="003D59DF">
        <w:rPr>
          <w:rFonts w:ascii="Garamond" w:hAnsi="Garamond"/>
          <w:i/>
          <w:sz w:val="24"/>
          <w:szCs w:val="24"/>
        </w:rPr>
        <w:t>.</w:t>
      </w:r>
      <w:r w:rsidR="00B870F6" w:rsidRPr="00B870F6">
        <w:rPr>
          <w:rFonts w:ascii="Garamond" w:hAnsi="Garamond"/>
          <w:i/>
          <w:sz w:val="24"/>
          <w:szCs w:val="24"/>
        </w:rPr>
        <w:t>”</w:t>
      </w:r>
      <w:r w:rsidR="00B870F6">
        <w:rPr>
          <w:rFonts w:ascii="Garamond" w:hAnsi="Garamond"/>
          <w:sz w:val="24"/>
          <w:szCs w:val="24"/>
        </w:rPr>
        <w:t>, in Diritto penale e processo, 2015, fasc. 3, pp. 328-330</w:t>
      </w:r>
      <w:r w:rsidR="003D59DF">
        <w:rPr>
          <w:rFonts w:ascii="Garamond" w:hAnsi="Garamond"/>
          <w:sz w:val="24"/>
          <w:szCs w:val="24"/>
        </w:rPr>
        <w:t xml:space="preserve">; </w:t>
      </w:r>
      <w:r w:rsidR="003D59DF" w:rsidRPr="003D59DF">
        <w:rPr>
          <w:rFonts w:ascii="Garamond" w:hAnsi="Garamond"/>
          <w:sz w:val="24"/>
          <w:szCs w:val="24"/>
        </w:rPr>
        <w:t>Lo Monte</w:t>
      </w:r>
      <w:r w:rsidR="003D59DF">
        <w:rPr>
          <w:rFonts w:ascii="Garamond" w:hAnsi="Garamond"/>
          <w:sz w:val="24"/>
          <w:szCs w:val="24"/>
        </w:rPr>
        <w:t xml:space="preserve"> E.</w:t>
      </w:r>
      <w:r w:rsidR="003D59DF" w:rsidRPr="003D59DF">
        <w:rPr>
          <w:rFonts w:ascii="Garamond" w:hAnsi="Garamond"/>
          <w:sz w:val="24"/>
          <w:szCs w:val="24"/>
        </w:rPr>
        <w:t xml:space="preserve">, </w:t>
      </w:r>
      <w:r w:rsidR="003D59DF" w:rsidRPr="003D59DF">
        <w:rPr>
          <w:rFonts w:ascii="Garamond" w:hAnsi="Garamond"/>
          <w:i/>
          <w:sz w:val="24"/>
          <w:szCs w:val="24"/>
        </w:rPr>
        <w:t>Considerazioni sulla recente normativa in tema di violenza negli stadi: un “calcio” ai teppisti e due ai princìpi dello Stato di diritto</w:t>
      </w:r>
      <w:r w:rsidR="003D59DF">
        <w:rPr>
          <w:rFonts w:ascii="Garamond" w:hAnsi="Garamond"/>
          <w:sz w:val="24"/>
          <w:szCs w:val="24"/>
        </w:rPr>
        <w:t>, in Cassazione penale</w:t>
      </w:r>
      <w:r w:rsidR="003D59DF" w:rsidRPr="003D59DF">
        <w:rPr>
          <w:rFonts w:ascii="Garamond" w:hAnsi="Garamond"/>
          <w:sz w:val="24"/>
          <w:szCs w:val="24"/>
        </w:rPr>
        <w:t>, 2005,</w:t>
      </w:r>
      <w:r w:rsidR="00C77E55">
        <w:rPr>
          <w:rFonts w:ascii="Garamond" w:hAnsi="Garamond"/>
          <w:sz w:val="24"/>
          <w:szCs w:val="24"/>
        </w:rPr>
        <w:t xml:space="preserve"> fasc. 4, pp. 1463 </w:t>
      </w:r>
      <w:r w:rsidR="003D59DF">
        <w:rPr>
          <w:rFonts w:ascii="Garamond" w:hAnsi="Garamond"/>
          <w:sz w:val="24"/>
          <w:szCs w:val="24"/>
        </w:rPr>
        <w:t>ss</w:t>
      </w:r>
      <w:r w:rsidR="003D59DF" w:rsidRPr="003D59DF">
        <w:rPr>
          <w:rFonts w:ascii="Garamond" w:hAnsi="Garamond"/>
          <w:sz w:val="24"/>
          <w:szCs w:val="24"/>
        </w:rPr>
        <w:t>.</w:t>
      </w:r>
    </w:p>
  </w:footnote>
  <w:footnote w:id="26">
    <w:p w:rsidR="001E60B5" w:rsidRPr="001E60B5" w:rsidRDefault="001E60B5" w:rsidP="001E60B5">
      <w:pPr>
        <w:pStyle w:val="Testonotaapidipagina"/>
        <w:jc w:val="both"/>
        <w:rPr>
          <w:rFonts w:ascii="Garamond" w:hAnsi="Garamond"/>
          <w:sz w:val="24"/>
          <w:szCs w:val="24"/>
        </w:rPr>
      </w:pPr>
      <w:r w:rsidRPr="001E60B5">
        <w:rPr>
          <w:rStyle w:val="Rimandonotaapidipagina"/>
          <w:rFonts w:ascii="Garamond" w:hAnsi="Garamond"/>
          <w:sz w:val="24"/>
          <w:szCs w:val="24"/>
        </w:rPr>
        <w:footnoteRef/>
      </w:r>
      <w:r w:rsidRPr="001E60B5">
        <w:rPr>
          <w:rFonts w:ascii="Garamond" w:hAnsi="Garamond"/>
          <w:sz w:val="24"/>
          <w:szCs w:val="24"/>
        </w:rPr>
        <w:t xml:space="preserve"> Cfr. Cassazione </w:t>
      </w:r>
      <w:r>
        <w:rPr>
          <w:rFonts w:ascii="Garamond" w:hAnsi="Garamond"/>
          <w:sz w:val="24"/>
          <w:szCs w:val="24"/>
        </w:rPr>
        <w:t>penale, sez.</w:t>
      </w:r>
      <w:r w:rsidR="008572D8">
        <w:rPr>
          <w:rFonts w:ascii="Garamond" w:hAnsi="Garamond"/>
          <w:sz w:val="24"/>
          <w:szCs w:val="24"/>
        </w:rPr>
        <w:t xml:space="preserve"> III, 11 luglio 2017, n. 50928</w:t>
      </w:r>
      <w:r w:rsidR="00FF402F">
        <w:rPr>
          <w:rFonts w:ascii="Garamond" w:hAnsi="Garamond"/>
          <w:sz w:val="24"/>
          <w:szCs w:val="24"/>
        </w:rPr>
        <w:t>, secondo cui la giurisprudenza ha inteso il riferimento alle manifestazioni sportive «</w:t>
      </w:r>
      <w:r w:rsidR="00FF402F" w:rsidRPr="00FF402F">
        <w:rPr>
          <w:rFonts w:ascii="Garamond" w:hAnsi="Garamond"/>
          <w:i/>
          <w:sz w:val="24"/>
          <w:szCs w:val="24"/>
        </w:rPr>
        <w:t>limitativo dell’area di adottabilità del provvedimento atteso che la manifestazione sportiva deve essere l’occasione del corso della quale sia stata posta in essere la condotta passibile di DASPO. Ciò sia perché trattandosi di misura restrittiva della libertà personale deve ritenersi precluso il ricorso all’analogia, risultando la norma di stretta interpretazione, sia perché il presupposto fattuale ai fini dell’adozione dei provvedimenti di divieto deve essere strettamente correlato alle condotte che si intendono prevenire. L’interpretazione rigorosa e dunque maggiormente aderente al significato letterale della norma è infatti doverosa, avuto riguardo al quadro costituzionale in cui si inserisce il provvedimento restrittivo impugnato, i cui effetti si traducono in una limitazione della libertà di circolazione del soggetto destinatario della misura, posto che l’art. 16 della Carta Costituzionale consente restrizioni del diritto in esame solo nei casi stabiliti dalla legge, quali quelli in materia di sanità e sicurezza</w:t>
      </w:r>
      <w:r w:rsidR="00FF402F">
        <w:rPr>
          <w:rFonts w:ascii="Garamond" w:hAnsi="Garamond"/>
          <w:sz w:val="24"/>
          <w:szCs w:val="24"/>
        </w:rPr>
        <w:t>»</w:t>
      </w:r>
      <w:r w:rsidR="008572D8">
        <w:rPr>
          <w:rFonts w:ascii="Garamond" w:hAnsi="Garamond"/>
          <w:sz w:val="24"/>
          <w:szCs w:val="24"/>
        </w:rPr>
        <w:t xml:space="preserve"> e, da ultimo, </w:t>
      </w:r>
      <w:r>
        <w:rPr>
          <w:rFonts w:ascii="Garamond" w:hAnsi="Garamond"/>
          <w:sz w:val="24"/>
          <w:szCs w:val="24"/>
        </w:rPr>
        <w:t xml:space="preserve">Cons. St., sez. III, 15 ottobre 2020, n. 6235; 1° giugno 2020, n. 3451; 7 aprile 2020, n. 2313; Cassazione penale, sez. III, 20 novembre 2019, n. 7224. </w:t>
      </w:r>
      <w:r w:rsidR="00D761B6">
        <w:rPr>
          <w:rFonts w:ascii="Garamond" w:hAnsi="Garamond"/>
          <w:sz w:val="24"/>
          <w:szCs w:val="24"/>
        </w:rPr>
        <w:t>In linea con tale</w:t>
      </w:r>
      <w:r w:rsidR="00971EBF" w:rsidRPr="00971EBF">
        <w:rPr>
          <w:rFonts w:ascii="Garamond" w:hAnsi="Garamond"/>
          <w:sz w:val="24"/>
          <w:szCs w:val="24"/>
        </w:rPr>
        <w:t xml:space="preserve"> giurisprudenz</w:t>
      </w:r>
      <w:r w:rsidR="00D761B6">
        <w:rPr>
          <w:rFonts w:ascii="Garamond" w:hAnsi="Garamond"/>
          <w:sz w:val="24"/>
          <w:szCs w:val="24"/>
        </w:rPr>
        <w:t>a</w:t>
      </w:r>
      <w:r w:rsidR="00C77E55">
        <w:rPr>
          <w:rFonts w:ascii="Garamond" w:hAnsi="Garamond"/>
          <w:sz w:val="24"/>
          <w:szCs w:val="24"/>
        </w:rPr>
        <w:t>, sono state escluse dal</w:t>
      </w:r>
      <w:r w:rsidR="00971EBF" w:rsidRPr="00971EBF">
        <w:rPr>
          <w:rFonts w:ascii="Garamond" w:hAnsi="Garamond"/>
          <w:sz w:val="24"/>
          <w:szCs w:val="24"/>
        </w:rPr>
        <w:t xml:space="preserve"> novero delle manifestazioni sportive quelle di commemorazione di un evento sportivo (</w:t>
      </w:r>
      <w:r w:rsidR="00971EBF">
        <w:rPr>
          <w:rFonts w:ascii="Garamond" w:hAnsi="Garamond"/>
          <w:sz w:val="24"/>
          <w:szCs w:val="24"/>
        </w:rPr>
        <w:t>Cassazione penale, sez. III</w:t>
      </w:r>
      <w:r w:rsidR="00971EBF" w:rsidRPr="00971EBF">
        <w:rPr>
          <w:rFonts w:ascii="Garamond" w:hAnsi="Garamond"/>
          <w:sz w:val="24"/>
          <w:szCs w:val="24"/>
        </w:rPr>
        <w:t>,</w:t>
      </w:r>
      <w:r w:rsidR="00971EBF">
        <w:rPr>
          <w:rFonts w:ascii="Garamond" w:hAnsi="Garamond"/>
          <w:sz w:val="24"/>
          <w:szCs w:val="24"/>
        </w:rPr>
        <w:t xml:space="preserve"> 13 dicembre 2017,</w:t>
      </w:r>
      <w:r w:rsidR="00971EBF" w:rsidRPr="00971EBF">
        <w:rPr>
          <w:rFonts w:ascii="Garamond" w:hAnsi="Garamond"/>
          <w:sz w:val="24"/>
          <w:szCs w:val="24"/>
        </w:rPr>
        <w:t xml:space="preserve"> n. 18924)</w:t>
      </w:r>
      <w:r w:rsidR="00C77E55">
        <w:rPr>
          <w:rFonts w:ascii="Garamond" w:hAnsi="Garamond"/>
          <w:sz w:val="24"/>
          <w:szCs w:val="24"/>
        </w:rPr>
        <w:t>,</w:t>
      </w:r>
      <w:r w:rsidR="00971EBF" w:rsidRPr="00971EBF">
        <w:rPr>
          <w:rFonts w:ascii="Garamond" w:hAnsi="Garamond"/>
          <w:sz w:val="24"/>
          <w:szCs w:val="24"/>
        </w:rPr>
        <w:t xml:space="preserve"> i festeggiamenti per la fonda</w:t>
      </w:r>
      <w:r w:rsidR="00971EBF">
        <w:rPr>
          <w:rFonts w:ascii="Garamond" w:hAnsi="Garamond"/>
          <w:sz w:val="24"/>
          <w:szCs w:val="24"/>
        </w:rPr>
        <w:t>zione di una squadra sportiva (Cassazione penale, s</w:t>
      </w:r>
      <w:r w:rsidR="00971EBF" w:rsidRPr="00971EBF">
        <w:rPr>
          <w:rFonts w:ascii="Garamond" w:hAnsi="Garamond"/>
          <w:sz w:val="24"/>
          <w:szCs w:val="24"/>
        </w:rPr>
        <w:t xml:space="preserve">ez. </w:t>
      </w:r>
      <w:r w:rsidR="00971EBF">
        <w:rPr>
          <w:rFonts w:ascii="Garamond" w:hAnsi="Garamond"/>
          <w:sz w:val="24"/>
          <w:szCs w:val="24"/>
        </w:rPr>
        <w:t>III</w:t>
      </w:r>
      <w:r w:rsidR="00971EBF" w:rsidRPr="00971EBF">
        <w:rPr>
          <w:rFonts w:ascii="Garamond" w:hAnsi="Garamond"/>
          <w:sz w:val="24"/>
          <w:szCs w:val="24"/>
        </w:rPr>
        <w:t xml:space="preserve">, </w:t>
      </w:r>
      <w:r w:rsidR="00FF402F">
        <w:rPr>
          <w:rFonts w:ascii="Garamond" w:hAnsi="Garamond"/>
          <w:sz w:val="24"/>
          <w:szCs w:val="24"/>
        </w:rPr>
        <w:t xml:space="preserve">9 </w:t>
      </w:r>
      <w:r w:rsidR="00971EBF">
        <w:rPr>
          <w:rFonts w:ascii="Garamond" w:hAnsi="Garamond"/>
          <w:sz w:val="24"/>
          <w:szCs w:val="24"/>
        </w:rPr>
        <w:t xml:space="preserve">novembre 2011, </w:t>
      </w:r>
      <w:r w:rsidR="00971EBF" w:rsidRPr="00971EBF">
        <w:rPr>
          <w:rFonts w:ascii="Garamond" w:hAnsi="Garamond"/>
          <w:sz w:val="24"/>
          <w:szCs w:val="24"/>
        </w:rPr>
        <w:t>n. 44431) e, più in</w:t>
      </w:r>
      <w:r w:rsidR="00C77E55">
        <w:rPr>
          <w:rFonts w:ascii="Garamond" w:hAnsi="Garamond"/>
          <w:sz w:val="24"/>
          <w:szCs w:val="24"/>
        </w:rPr>
        <w:t xml:space="preserve"> generale, gli eventi privi del n</w:t>
      </w:r>
      <w:r w:rsidR="00971EBF" w:rsidRPr="00971EBF">
        <w:rPr>
          <w:rFonts w:ascii="Garamond" w:hAnsi="Garamond"/>
          <w:sz w:val="24"/>
          <w:szCs w:val="24"/>
        </w:rPr>
        <w:t>ecessario collegamento imme</w:t>
      </w:r>
      <w:r w:rsidR="00971EBF">
        <w:rPr>
          <w:rFonts w:ascii="Garamond" w:hAnsi="Garamond"/>
          <w:sz w:val="24"/>
          <w:szCs w:val="24"/>
        </w:rPr>
        <w:t xml:space="preserve">diato e </w:t>
      </w:r>
      <w:r w:rsidR="00C77E55">
        <w:rPr>
          <w:rFonts w:ascii="Garamond" w:hAnsi="Garamond"/>
          <w:sz w:val="24"/>
          <w:szCs w:val="24"/>
        </w:rPr>
        <w:t xml:space="preserve">della </w:t>
      </w:r>
      <w:r w:rsidR="00971EBF">
        <w:rPr>
          <w:rFonts w:ascii="Garamond" w:hAnsi="Garamond"/>
          <w:sz w:val="24"/>
          <w:szCs w:val="24"/>
        </w:rPr>
        <w:t xml:space="preserve">stretta causalità tra </w:t>
      </w:r>
      <w:r w:rsidR="00C77E55">
        <w:rPr>
          <w:rFonts w:ascii="Garamond" w:hAnsi="Garamond"/>
          <w:sz w:val="24"/>
          <w:szCs w:val="24"/>
        </w:rPr>
        <w:t>la condotta</w:t>
      </w:r>
      <w:r w:rsidR="00971EBF" w:rsidRPr="00971EBF">
        <w:rPr>
          <w:rFonts w:ascii="Garamond" w:hAnsi="Garamond"/>
          <w:sz w:val="24"/>
          <w:szCs w:val="24"/>
        </w:rPr>
        <w:t xml:space="preserve"> ed una competizione sportiva.</w:t>
      </w:r>
    </w:p>
  </w:footnote>
  <w:footnote w:id="27">
    <w:p w:rsidR="00D45AC4" w:rsidRPr="00D45AC4" w:rsidRDefault="00D45AC4" w:rsidP="00D45AC4">
      <w:pPr>
        <w:pStyle w:val="Testonotaapidipagina"/>
        <w:jc w:val="both"/>
        <w:rPr>
          <w:rFonts w:ascii="Garamond" w:hAnsi="Garamond"/>
          <w:sz w:val="24"/>
          <w:szCs w:val="24"/>
        </w:rPr>
      </w:pPr>
      <w:r w:rsidRPr="00D45AC4">
        <w:rPr>
          <w:rStyle w:val="Rimandonotaapidipagina"/>
          <w:rFonts w:ascii="Garamond" w:hAnsi="Garamond"/>
          <w:sz w:val="24"/>
          <w:szCs w:val="24"/>
        </w:rPr>
        <w:footnoteRef/>
      </w:r>
      <w:r w:rsidRPr="00D45AC4">
        <w:rPr>
          <w:rFonts w:ascii="Garamond" w:hAnsi="Garamond"/>
          <w:sz w:val="24"/>
          <w:szCs w:val="24"/>
        </w:rPr>
        <w:t xml:space="preserve"> Cfr. Cons. St., sez</w:t>
      </w:r>
      <w:r w:rsidR="001958F5">
        <w:rPr>
          <w:rFonts w:ascii="Garamond" w:hAnsi="Garamond"/>
          <w:sz w:val="24"/>
          <w:szCs w:val="24"/>
        </w:rPr>
        <w:t xml:space="preserve">. III, 28 maggio 2021, n. 4123 e 8 novembre 2011, n. 5887, </w:t>
      </w:r>
      <w:r w:rsidRPr="00D45AC4">
        <w:rPr>
          <w:rFonts w:ascii="Garamond" w:hAnsi="Garamond"/>
          <w:sz w:val="24"/>
          <w:szCs w:val="24"/>
        </w:rPr>
        <w:t>che ha</w:t>
      </w:r>
      <w:r w:rsidR="007C3E56">
        <w:rPr>
          <w:rFonts w:ascii="Garamond" w:hAnsi="Garamond"/>
          <w:sz w:val="24"/>
          <w:szCs w:val="24"/>
        </w:rPr>
        <w:t>nno</w:t>
      </w:r>
      <w:r w:rsidRPr="00D45AC4">
        <w:rPr>
          <w:rFonts w:ascii="Garamond" w:hAnsi="Garamond"/>
          <w:sz w:val="24"/>
          <w:szCs w:val="24"/>
        </w:rPr>
        <w:t xml:space="preserve"> ritenuto legittimo il D.A.SPO. adottato a seguito di una condotta posta in essere durante l’allenamento di una squadra di calcio partecipante alle competizioni prev</w:t>
      </w:r>
      <w:r>
        <w:rPr>
          <w:rFonts w:ascii="Garamond" w:hAnsi="Garamond"/>
          <w:sz w:val="24"/>
          <w:szCs w:val="24"/>
        </w:rPr>
        <w:t>iste dalle federazioni sportive; 15 febbraio 2021, n. 1297, che</w:t>
      </w:r>
      <w:r w:rsidRPr="00D45AC4">
        <w:rPr>
          <w:rFonts w:ascii="Garamond" w:hAnsi="Garamond"/>
          <w:sz w:val="24"/>
          <w:szCs w:val="24"/>
        </w:rPr>
        <w:t xml:space="preserve"> ha ritenuto legittimo il D.A.SPO. adottato a seguito di </w:t>
      </w:r>
      <w:r w:rsidR="001958F5">
        <w:rPr>
          <w:rFonts w:ascii="Garamond" w:hAnsi="Garamond"/>
          <w:sz w:val="24"/>
          <w:szCs w:val="24"/>
        </w:rPr>
        <w:t>condotte poste</w:t>
      </w:r>
      <w:r w:rsidRPr="00D45AC4">
        <w:rPr>
          <w:rFonts w:ascii="Garamond" w:hAnsi="Garamond"/>
          <w:sz w:val="24"/>
          <w:szCs w:val="24"/>
        </w:rPr>
        <w:t xml:space="preserve"> </w:t>
      </w:r>
      <w:r w:rsidR="001958F5">
        <w:rPr>
          <w:rFonts w:ascii="Garamond" w:hAnsi="Garamond"/>
          <w:sz w:val="24"/>
          <w:szCs w:val="24"/>
        </w:rPr>
        <w:t xml:space="preserve">in </w:t>
      </w:r>
      <w:r w:rsidRPr="00D45AC4">
        <w:rPr>
          <w:rFonts w:ascii="Garamond" w:hAnsi="Garamond"/>
          <w:sz w:val="24"/>
          <w:szCs w:val="24"/>
        </w:rPr>
        <w:t>essere</w:t>
      </w:r>
      <w:r w:rsidR="001958F5">
        <w:rPr>
          <w:rFonts w:ascii="Garamond" w:hAnsi="Garamond"/>
          <w:sz w:val="24"/>
          <w:szCs w:val="24"/>
        </w:rPr>
        <w:t xml:space="preserve"> da soggetti che,</w:t>
      </w:r>
      <w:r w:rsidRPr="00D45AC4">
        <w:rPr>
          <w:rFonts w:ascii="Garamond" w:hAnsi="Garamond"/>
          <w:sz w:val="24"/>
          <w:szCs w:val="24"/>
        </w:rPr>
        <w:t xml:space="preserve"> </w:t>
      </w:r>
      <w:r w:rsidR="001958F5">
        <w:rPr>
          <w:rFonts w:ascii="Garamond" w:hAnsi="Garamond"/>
          <w:sz w:val="24"/>
          <w:szCs w:val="24"/>
        </w:rPr>
        <w:t xml:space="preserve">rientrando da una commemorazione delle vittime dello </w:t>
      </w:r>
      <w:r w:rsidR="007C3E56">
        <w:rPr>
          <w:rFonts w:ascii="Garamond" w:hAnsi="Garamond"/>
          <w:sz w:val="24"/>
          <w:szCs w:val="24"/>
        </w:rPr>
        <w:t>s</w:t>
      </w:r>
      <w:r w:rsidR="001958F5">
        <w:rPr>
          <w:rFonts w:ascii="Garamond" w:hAnsi="Garamond"/>
          <w:sz w:val="24"/>
          <w:szCs w:val="24"/>
        </w:rPr>
        <w:t xml:space="preserve">tadio, si sono fermati </w:t>
      </w:r>
      <w:r w:rsidR="001958F5" w:rsidRPr="001958F5">
        <w:rPr>
          <w:rFonts w:ascii="Garamond" w:hAnsi="Garamond"/>
          <w:sz w:val="24"/>
          <w:szCs w:val="24"/>
        </w:rPr>
        <w:t>in un esercizio commerciale e hanno preso parte ad uno scambio di offese e di cori ingiuriosi contro le persone presenti nel locale, appartenenti alla tifoseria</w:t>
      </w:r>
      <w:r w:rsidR="001958F5">
        <w:rPr>
          <w:rFonts w:ascii="Garamond" w:hAnsi="Garamond"/>
          <w:sz w:val="24"/>
          <w:szCs w:val="24"/>
        </w:rPr>
        <w:t xml:space="preserve"> avversaria, r</w:t>
      </w:r>
      <w:r w:rsidR="00C77E55">
        <w:rPr>
          <w:rFonts w:ascii="Garamond" w:hAnsi="Garamond"/>
          <w:sz w:val="24"/>
          <w:szCs w:val="24"/>
        </w:rPr>
        <w:t>ompendo bicchieri e bottiglie; t</w:t>
      </w:r>
      <w:r w:rsidR="001958F5">
        <w:rPr>
          <w:rFonts w:ascii="Garamond" w:hAnsi="Garamond"/>
          <w:sz w:val="24"/>
          <w:szCs w:val="24"/>
        </w:rPr>
        <w:t xml:space="preserve">ale </w:t>
      </w:r>
      <w:r w:rsidR="001958F5" w:rsidRPr="001958F5">
        <w:rPr>
          <w:rFonts w:ascii="Garamond" w:hAnsi="Garamond"/>
          <w:sz w:val="24"/>
          <w:szCs w:val="24"/>
        </w:rPr>
        <w:t xml:space="preserve">scontro è </w:t>
      </w:r>
      <w:r w:rsidR="001958F5">
        <w:rPr>
          <w:rFonts w:ascii="Garamond" w:hAnsi="Garamond"/>
          <w:sz w:val="24"/>
          <w:szCs w:val="24"/>
        </w:rPr>
        <w:t xml:space="preserve">risultato </w:t>
      </w:r>
      <w:r w:rsidR="001958F5" w:rsidRPr="001958F5">
        <w:rPr>
          <w:rFonts w:ascii="Garamond" w:hAnsi="Garamond"/>
          <w:sz w:val="24"/>
          <w:szCs w:val="24"/>
        </w:rPr>
        <w:t xml:space="preserve">causalmente riconducibile alla rivalità calcistica fra le squadre dei quali i facinorosi si </w:t>
      </w:r>
      <w:r w:rsidR="001958F5">
        <w:rPr>
          <w:rFonts w:ascii="Garamond" w:hAnsi="Garamond"/>
          <w:sz w:val="24"/>
          <w:szCs w:val="24"/>
        </w:rPr>
        <w:t>sono dichiarati</w:t>
      </w:r>
      <w:r w:rsidR="00C77E55">
        <w:rPr>
          <w:rFonts w:ascii="Garamond" w:hAnsi="Garamond"/>
          <w:sz w:val="24"/>
          <w:szCs w:val="24"/>
        </w:rPr>
        <w:t xml:space="preserve"> tifosi</w:t>
      </w:r>
      <w:r w:rsidR="001958F5" w:rsidRPr="001958F5">
        <w:rPr>
          <w:rFonts w:ascii="Garamond" w:hAnsi="Garamond"/>
          <w:sz w:val="24"/>
          <w:szCs w:val="24"/>
        </w:rPr>
        <w:t xml:space="preserve"> e</w:t>
      </w:r>
      <w:r w:rsidR="00C77E55">
        <w:rPr>
          <w:rFonts w:ascii="Garamond" w:hAnsi="Garamond"/>
          <w:sz w:val="24"/>
          <w:szCs w:val="24"/>
        </w:rPr>
        <w:t>,</w:t>
      </w:r>
      <w:r w:rsidR="001958F5" w:rsidRPr="001958F5">
        <w:rPr>
          <w:rFonts w:ascii="Garamond" w:hAnsi="Garamond"/>
          <w:sz w:val="24"/>
          <w:szCs w:val="24"/>
        </w:rPr>
        <w:t xml:space="preserve"> dunque</w:t>
      </w:r>
      <w:r w:rsidR="00C77E55">
        <w:rPr>
          <w:rFonts w:ascii="Garamond" w:hAnsi="Garamond"/>
          <w:sz w:val="24"/>
          <w:szCs w:val="24"/>
        </w:rPr>
        <w:t>,</w:t>
      </w:r>
      <w:r w:rsidR="001958F5" w:rsidRPr="001958F5">
        <w:rPr>
          <w:rFonts w:ascii="Garamond" w:hAnsi="Garamond"/>
          <w:sz w:val="24"/>
          <w:szCs w:val="24"/>
        </w:rPr>
        <w:t xml:space="preserve"> connesso alla </w:t>
      </w:r>
      <w:r w:rsidR="001958F5">
        <w:rPr>
          <w:rFonts w:ascii="Garamond" w:hAnsi="Garamond"/>
          <w:sz w:val="24"/>
          <w:szCs w:val="24"/>
        </w:rPr>
        <w:t>“competizione”</w:t>
      </w:r>
      <w:r w:rsidR="001958F5" w:rsidRPr="001958F5">
        <w:rPr>
          <w:rFonts w:ascii="Garamond" w:hAnsi="Garamond"/>
          <w:sz w:val="24"/>
          <w:szCs w:val="24"/>
        </w:rPr>
        <w:t xml:space="preserve"> che ve</w:t>
      </w:r>
      <w:r w:rsidR="001958F5">
        <w:rPr>
          <w:rFonts w:ascii="Garamond" w:hAnsi="Garamond"/>
          <w:sz w:val="24"/>
          <w:szCs w:val="24"/>
        </w:rPr>
        <w:t xml:space="preserve">de le squadre protagoniste nell’ambito del campionato di calcio; </w:t>
      </w:r>
      <w:r w:rsidR="007C3E56">
        <w:rPr>
          <w:rFonts w:ascii="Garamond" w:hAnsi="Garamond"/>
          <w:sz w:val="24"/>
          <w:szCs w:val="24"/>
        </w:rPr>
        <w:t>24 giugno 2020, n. 4033, che ha ritenuto legittimo il D.A.SPO. adottato nei confronti di un soggetto che</w:t>
      </w:r>
      <w:r w:rsidR="007C3E56" w:rsidRPr="007C3E56">
        <w:rPr>
          <w:rFonts w:ascii="Garamond" w:hAnsi="Garamond"/>
          <w:sz w:val="24"/>
          <w:szCs w:val="24"/>
        </w:rPr>
        <w:t xml:space="preserve"> ha partecipato ad un corteo non autorizzato, con bandiere e fum</w:t>
      </w:r>
      <w:r w:rsidR="007C3E56">
        <w:rPr>
          <w:rFonts w:ascii="Garamond" w:hAnsi="Garamond"/>
          <w:sz w:val="24"/>
          <w:szCs w:val="24"/>
        </w:rPr>
        <w:t>ogeni accesi, per dirigersi all’</w:t>
      </w:r>
      <w:r w:rsidR="007C3E56" w:rsidRPr="007C3E56">
        <w:rPr>
          <w:rFonts w:ascii="Garamond" w:hAnsi="Garamond"/>
          <w:sz w:val="24"/>
          <w:szCs w:val="24"/>
        </w:rPr>
        <w:t xml:space="preserve">evento di presentazione </w:t>
      </w:r>
      <w:r w:rsidR="007C3E56">
        <w:rPr>
          <w:rFonts w:ascii="Garamond" w:hAnsi="Garamond"/>
          <w:sz w:val="24"/>
          <w:szCs w:val="24"/>
        </w:rPr>
        <w:t xml:space="preserve">di una squadra </w:t>
      </w:r>
      <w:r w:rsidR="005047CD" w:rsidRPr="005047CD">
        <w:rPr>
          <w:rFonts w:ascii="Garamond" w:hAnsi="Garamond"/>
          <w:sz w:val="24"/>
          <w:szCs w:val="24"/>
        </w:rPr>
        <w:t>calcistica per il campionato 2018/2019</w:t>
      </w:r>
      <w:r w:rsidR="00650EB5">
        <w:rPr>
          <w:rFonts w:ascii="Garamond" w:hAnsi="Garamond"/>
          <w:sz w:val="24"/>
          <w:szCs w:val="24"/>
        </w:rPr>
        <w:t>; 15 dicembre 2016, n. 5304, che ha ravvisato</w:t>
      </w:r>
      <w:r w:rsidR="00650EB5" w:rsidRPr="00650EB5">
        <w:rPr>
          <w:rFonts w:ascii="Garamond" w:hAnsi="Garamond"/>
          <w:sz w:val="24"/>
          <w:szCs w:val="24"/>
        </w:rPr>
        <w:t xml:space="preserve"> la ma</w:t>
      </w:r>
      <w:r w:rsidR="00650EB5">
        <w:rPr>
          <w:rFonts w:ascii="Garamond" w:hAnsi="Garamond"/>
          <w:sz w:val="24"/>
          <w:szCs w:val="24"/>
        </w:rPr>
        <w:t>nifestazione sportiva nel caso di atti di violenza realizzati non durante l’</w:t>
      </w:r>
      <w:r w:rsidR="00650EB5" w:rsidRPr="00650EB5">
        <w:rPr>
          <w:rFonts w:ascii="Garamond" w:hAnsi="Garamond"/>
          <w:sz w:val="24"/>
          <w:szCs w:val="24"/>
        </w:rPr>
        <w:t>effettivo svolgimento della manifestazione sportiva, bensì in un momento</w:t>
      </w:r>
      <w:r w:rsidR="00650EB5">
        <w:rPr>
          <w:rFonts w:ascii="Garamond" w:hAnsi="Garamond"/>
          <w:sz w:val="24"/>
          <w:szCs w:val="24"/>
        </w:rPr>
        <w:t xml:space="preserve"> cronologicamente precedente all’evento sportivo ma a questo connesso.</w:t>
      </w:r>
    </w:p>
  </w:footnote>
  <w:footnote w:id="28">
    <w:p w:rsidR="00982093" w:rsidRPr="004A0285" w:rsidRDefault="00982093" w:rsidP="00982093">
      <w:pPr>
        <w:pStyle w:val="Testonotaapidipagina"/>
        <w:jc w:val="both"/>
        <w:rPr>
          <w:rFonts w:ascii="Garamond" w:hAnsi="Garamond"/>
          <w:sz w:val="24"/>
          <w:szCs w:val="24"/>
        </w:rPr>
      </w:pPr>
      <w:r w:rsidRPr="004A0285">
        <w:rPr>
          <w:rStyle w:val="Rimandonotaapidipagina"/>
          <w:rFonts w:ascii="Garamond" w:hAnsi="Garamond"/>
          <w:sz w:val="24"/>
          <w:szCs w:val="24"/>
        </w:rPr>
        <w:footnoteRef/>
      </w:r>
      <w:r w:rsidRPr="004A0285">
        <w:rPr>
          <w:rFonts w:ascii="Garamond" w:hAnsi="Garamond"/>
          <w:sz w:val="24"/>
          <w:szCs w:val="24"/>
        </w:rPr>
        <w:t xml:space="preserve"> Cassazione penale, sez. III, </w:t>
      </w:r>
      <w:r w:rsidR="00BD2104">
        <w:rPr>
          <w:rFonts w:ascii="Garamond" w:hAnsi="Garamond"/>
          <w:sz w:val="24"/>
          <w:szCs w:val="24"/>
        </w:rPr>
        <w:t>7 aprile 2016, n. 1767</w:t>
      </w:r>
      <w:r w:rsidR="00D72C18">
        <w:rPr>
          <w:rFonts w:ascii="Garamond" w:hAnsi="Garamond"/>
          <w:sz w:val="24"/>
          <w:szCs w:val="24"/>
        </w:rPr>
        <w:t xml:space="preserve">, par. 4 del Considerato in diritto. </w:t>
      </w:r>
    </w:p>
  </w:footnote>
  <w:footnote w:id="29">
    <w:p w:rsidR="002C2A38" w:rsidRPr="00D44FD0" w:rsidRDefault="002C2A38" w:rsidP="00D44FD0">
      <w:pPr>
        <w:pStyle w:val="Testonotaapidipagina"/>
        <w:jc w:val="both"/>
        <w:rPr>
          <w:rFonts w:ascii="Garamond" w:hAnsi="Garamond"/>
          <w:sz w:val="24"/>
          <w:szCs w:val="24"/>
        </w:rPr>
      </w:pPr>
      <w:r w:rsidRPr="002C2A38">
        <w:rPr>
          <w:rStyle w:val="Rimandonotaapidipagina"/>
          <w:rFonts w:ascii="Garamond" w:hAnsi="Garamond"/>
          <w:sz w:val="24"/>
          <w:szCs w:val="24"/>
        </w:rPr>
        <w:footnoteRef/>
      </w:r>
      <w:r w:rsidRPr="002C2A38">
        <w:rPr>
          <w:rFonts w:ascii="Garamond" w:hAnsi="Garamond"/>
          <w:sz w:val="24"/>
          <w:szCs w:val="24"/>
        </w:rPr>
        <w:t xml:space="preserve"> Corte EDU, Grande Camera, 23 febbraio 2017,</w:t>
      </w:r>
      <w:r>
        <w:rPr>
          <w:rFonts w:ascii="Garamond" w:hAnsi="Garamond"/>
          <w:sz w:val="24"/>
          <w:szCs w:val="24"/>
        </w:rPr>
        <w:t xml:space="preserve"> ric. n. 43395/09, </w:t>
      </w:r>
      <w:r>
        <w:rPr>
          <w:rFonts w:ascii="Garamond" w:hAnsi="Garamond"/>
          <w:i/>
          <w:sz w:val="24"/>
          <w:szCs w:val="24"/>
        </w:rPr>
        <w:t>D</w:t>
      </w:r>
      <w:r w:rsidRPr="002C2A38">
        <w:rPr>
          <w:rFonts w:ascii="Garamond" w:hAnsi="Garamond"/>
          <w:i/>
          <w:sz w:val="24"/>
          <w:szCs w:val="24"/>
        </w:rPr>
        <w:t>e Tommaso c. Italia</w:t>
      </w:r>
      <w:r>
        <w:rPr>
          <w:rFonts w:ascii="Garamond" w:hAnsi="Garamond"/>
          <w:sz w:val="24"/>
          <w:szCs w:val="24"/>
        </w:rPr>
        <w:t xml:space="preserve">, </w:t>
      </w:r>
      <w:r w:rsidRPr="002C2A38">
        <w:rPr>
          <w:rFonts w:ascii="Garamond" w:hAnsi="Garamond"/>
          <w:color w:val="000000"/>
          <w:sz w:val="24"/>
          <w:szCs w:val="24"/>
        </w:rPr>
        <w:t>§</w:t>
      </w:r>
      <w:r>
        <w:rPr>
          <w:rFonts w:ascii="Garamond" w:hAnsi="Garamond"/>
          <w:sz w:val="24"/>
          <w:szCs w:val="24"/>
        </w:rPr>
        <w:t xml:space="preserve"> 1</w:t>
      </w:r>
      <w:r w:rsidR="00854ACB">
        <w:rPr>
          <w:rFonts w:ascii="Garamond" w:hAnsi="Garamond"/>
          <w:sz w:val="24"/>
          <w:szCs w:val="24"/>
        </w:rPr>
        <w:t xml:space="preserve">07-109, </w:t>
      </w:r>
      <w:r w:rsidR="00854ACB" w:rsidRPr="00854ACB">
        <w:rPr>
          <w:rFonts w:ascii="Garamond" w:hAnsi="Garamond"/>
          <w:sz w:val="24"/>
          <w:szCs w:val="24"/>
        </w:rPr>
        <w:t>relativa a una fatti</w:t>
      </w:r>
      <w:r w:rsidR="00854ACB">
        <w:rPr>
          <w:rFonts w:ascii="Garamond" w:hAnsi="Garamond"/>
          <w:sz w:val="24"/>
          <w:szCs w:val="24"/>
        </w:rPr>
        <w:t xml:space="preserve">specie di sorveglianza speciale </w:t>
      </w:r>
      <w:r w:rsidR="00854ACB" w:rsidRPr="00854ACB">
        <w:rPr>
          <w:rFonts w:ascii="Garamond" w:hAnsi="Garamond"/>
          <w:sz w:val="24"/>
          <w:szCs w:val="24"/>
        </w:rPr>
        <w:t>di pubblica sicurezza con obbligo di soggiorno</w:t>
      </w:r>
      <w:r>
        <w:rPr>
          <w:rFonts w:ascii="Garamond" w:hAnsi="Garamond"/>
          <w:sz w:val="24"/>
          <w:szCs w:val="24"/>
        </w:rPr>
        <w:t>; cfr. anche, con riferimento alle interdittive antimafia, Cons. St., sez. III, 30 g</w:t>
      </w:r>
      <w:r w:rsidR="003E4DF6">
        <w:rPr>
          <w:rFonts w:ascii="Garamond" w:hAnsi="Garamond"/>
          <w:sz w:val="24"/>
          <w:szCs w:val="24"/>
        </w:rPr>
        <w:t>ennaio 2019, n. 758, par. 9.4.</w:t>
      </w:r>
      <w:r>
        <w:rPr>
          <w:rFonts w:ascii="Garamond" w:hAnsi="Garamond"/>
          <w:sz w:val="24"/>
          <w:szCs w:val="24"/>
        </w:rPr>
        <w:t xml:space="preserve"> </w:t>
      </w:r>
      <w:r w:rsidRPr="00D44FD0">
        <w:rPr>
          <w:rFonts w:ascii="Garamond" w:hAnsi="Garamond"/>
          <w:sz w:val="24"/>
          <w:szCs w:val="24"/>
        </w:rPr>
        <w:t xml:space="preserve">ss. </w:t>
      </w:r>
    </w:p>
  </w:footnote>
  <w:footnote w:id="30">
    <w:p w:rsidR="00D44FD0" w:rsidRDefault="00D44FD0" w:rsidP="00D44FD0">
      <w:pPr>
        <w:pStyle w:val="Testonotaapidipagina"/>
        <w:jc w:val="both"/>
      </w:pPr>
      <w:r w:rsidRPr="00D44FD0">
        <w:rPr>
          <w:rStyle w:val="Rimandonotaapidipagina"/>
          <w:rFonts w:ascii="Garamond" w:hAnsi="Garamond"/>
          <w:sz w:val="24"/>
          <w:szCs w:val="24"/>
        </w:rPr>
        <w:footnoteRef/>
      </w:r>
      <w:r w:rsidRPr="00D44FD0">
        <w:rPr>
          <w:rFonts w:ascii="Garamond" w:hAnsi="Garamond"/>
          <w:sz w:val="24"/>
          <w:szCs w:val="24"/>
        </w:rPr>
        <w:t xml:space="preserve"> Cfr. Cons. St., sez. III,</w:t>
      </w:r>
      <w:r>
        <w:rPr>
          <w:rFonts w:ascii="Garamond" w:hAnsi="Garamond"/>
          <w:sz w:val="24"/>
          <w:szCs w:val="24"/>
        </w:rPr>
        <w:t xml:space="preserve"> 11 gennaio 2021, n. 317.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94C42"/>
    <w:multiLevelType w:val="hybridMultilevel"/>
    <w:tmpl w:val="BAAE1C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265D7C"/>
    <w:multiLevelType w:val="multilevel"/>
    <w:tmpl w:val="B45CC2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DE"/>
    <w:rsid w:val="00011866"/>
    <w:rsid w:val="00012F17"/>
    <w:rsid w:val="0001572B"/>
    <w:rsid w:val="00021BFD"/>
    <w:rsid w:val="00032956"/>
    <w:rsid w:val="00040E0B"/>
    <w:rsid w:val="0005044C"/>
    <w:rsid w:val="000705E6"/>
    <w:rsid w:val="00071D78"/>
    <w:rsid w:val="00073B59"/>
    <w:rsid w:val="00084DDE"/>
    <w:rsid w:val="000916D4"/>
    <w:rsid w:val="00091B8F"/>
    <w:rsid w:val="00093683"/>
    <w:rsid w:val="00094A47"/>
    <w:rsid w:val="000B3717"/>
    <w:rsid w:val="000D7B52"/>
    <w:rsid w:val="000E2C3A"/>
    <w:rsid w:val="000E610E"/>
    <w:rsid w:val="000F01B7"/>
    <w:rsid w:val="0011224A"/>
    <w:rsid w:val="001179D2"/>
    <w:rsid w:val="0012438F"/>
    <w:rsid w:val="00130FD0"/>
    <w:rsid w:val="00132E0D"/>
    <w:rsid w:val="00153153"/>
    <w:rsid w:val="00153709"/>
    <w:rsid w:val="00171847"/>
    <w:rsid w:val="00190FB0"/>
    <w:rsid w:val="001950C4"/>
    <w:rsid w:val="001958F5"/>
    <w:rsid w:val="001A6414"/>
    <w:rsid w:val="001C3C04"/>
    <w:rsid w:val="001D6A22"/>
    <w:rsid w:val="001E55B1"/>
    <w:rsid w:val="001E60B5"/>
    <w:rsid w:val="001F2B94"/>
    <w:rsid w:val="0020199A"/>
    <w:rsid w:val="002502AA"/>
    <w:rsid w:val="00260553"/>
    <w:rsid w:val="0026177E"/>
    <w:rsid w:val="0026500C"/>
    <w:rsid w:val="002A6FAE"/>
    <w:rsid w:val="002B0B38"/>
    <w:rsid w:val="002C2A38"/>
    <w:rsid w:val="002C33CE"/>
    <w:rsid w:val="002F563C"/>
    <w:rsid w:val="00307287"/>
    <w:rsid w:val="00317A14"/>
    <w:rsid w:val="0032110A"/>
    <w:rsid w:val="0033490A"/>
    <w:rsid w:val="00343C35"/>
    <w:rsid w:val="00366E82"/>
    <w:rsid w:val="00382F86"/>
    <w:rsid w:val="0038346D"/>
    <w:rsid w:val="00385A60"/>
    <w:rsid w:val="00387576"/>
    <w:rsid w:val="0039270E"/>
    <w:rsid w:val="003A445B"/>
    <w:rsid w:val="003A6294"/>
    <w:rsid w:val="003C5691"/>
    <w:rsid w:val="003D2A11"/>
    <w:rsid w:val="003D59DF"/>
    <w:rsid w:val="003D6006"/>
    <w:rsid w:val="003E4DF6"/>
    <w:rsid w:val="00414D20"/>
    <w:rsid w:val="00437520"/>
    <w:rsid w:val="00443D23"/>
    <w:rsid w:val="0045198C"/>
    <w:rsid w:val="0046003E"/>
    <w:rsid w:val="004830C0"/>
    <w:rsid w:val="00497A5A"/>
    <w:rsid w:val="004A0285"/>
    <w:rsid w:val="004A23FA"/>
    <w:rsid w:val="004E4AD2"/>
    <w:rsid w:val="005047CD"/>
    <w:rsid w:val="00511BEF"/>
    <w:rsid w:val="005120F5"/>
    <w:rsid w:val="00517F16"/>
    <w:rsid w:val="0053268F"/>
    <w:rsid w:val="00537046"/>
    <w:rsid w:val="005421E8"/>
    <w:rsid w:val="00550B7E"/>
    <w:rsid w:val="00557CBD"/>
    <w:rsid w:val="0056182B"/>
    <w:rsid w:val="00564961"/>
    <w:rsid w:val="0056728F"/>
    <w:rsid w:val="00571625"/>
    <w:rsid w:val="005767B1"/>
    <w:rsid w:val="005901C1"/>
    <w:rsid w:val="005914AF"/>
    <w:rsid w:val="005971E2"/>
    <w:rsid w:val="005C319D"/>
    <w:rsid w:val="005D2694"/>
    <w:rsid w:val="0061407D"/>
    <w:rsid w:val="00615EA3"/>
    <w:rsid w:val="00650EB5"/>
    <w:rsid w:val="00650FC9"/>
    <w:rsid w:val="00674A22"/>
    <w:rsid w:val="00676D2C"/>
    <w:rsid w:val="00677977"/>
    <w:rsid w:val="00684FC1"/>
    <w:rsid w:val="0068674A"/>
    <w:rsid w:val="006E4439"/>
    <w:rsid w:val="006F3E8F"/>
    <w:rsid w:val="00717D9C"/>
    <w:rsid w:val="0072679C"/>
    <w:rsid w:val="007316D2"/>
    <w:rsid w:val="007613F5"/>
    <w:rsid w:val="00762DF4"/>
    <w:rsid w:val="00767E22"/>
    <w:rsid w:val="00791A7C"/>
    <w:rsid w:val="007937DA"/>
    <w:rsid w:val="007A2311"/>
    <w:rsid w:val="007C0252"/>
    <w:rsid w:val="007C3E56"/>
    <w:rsid w:val="007E2D91"/>
    <w:rsid w:val="007F355D"/>
    <w:rsid w:val="007F3B48"/>
    <w:rsid w:val="007F7D66"/>
    <w:rsid w:val="008111E8"/>
    <w:rsid w:val="00821EF3"/>
    <w:rsid w:val="008327D4"/>
    <w:rsid w:val="00842BB1"/>
    <w:rsid w:val="00854ACB"/>
    <w:rsid w:val="008572D8"/>
    <w:rsid w:val="0086229B"/>
    <w:rsid w:val="00872DCC"/>
    <w:rsid w:val="00877B49"/>
    <w:rsid w:val="008A63D9"/>
    <w:rsid w:val="008A7274"/>
    <w:rsid w:val="008C56CA"/>
    <w:rsid w:val="008F060F"/>
    <w:rsid w:val="008F0733"/>
    <w:rsid w:val="008F1044"/>
    <w:rsid w:val="008F622E"/>
    <w:rsid w:val="008F65FC"/>
    <w:rsid w:val="0090468D"/>
    <w:rsid w:val="009069B3"/>
    <w:rsid w:val="00913B9D"/>
    <w:rsid w:val="00921CC5"/>
    <w:rsid w:val="00925F76"/>
    <w:rsid w:val="00935C96"/>
    <w:rsid w:val="00936D24"/>
    <w:rsid w:val="0095401E"/>
    <w:rsid w:val="009674E9"/>
    <w:rsid w:val="00971EBF"/>
    <w:rsid w:val="00982093"/>
    <w:rsid w:val="009822D9"/>
    <w:rsid w:val="00985B5D"/>
    <w:rsid w:val="00997C02"/>
    <w:rsid w:val="009B25C3"/>
    <w:rsid w:val="009B6426"/>
    <w:rsid w:val="009C4016"/>
    <w:rsid w:val="009D28D2"/>
    <w:rsid w:val="009D6FAA"/>
    <w:rsid w:val="009E01FC"/>
    <w:rsid w:val="009F55FB"/>
    <w:rsid w:val="00A07D78"/>
    <w:rsid w:val="00A24715"/>
    <w:rsid w:val="00A25E08"/>
    <w:rsid w:val="00A300FA"/>
    <w:rsid w:val="00A33585"/>
    <w:rsid w:val="00A60C61"/>
    <w:rsid w:val="00A94308"/>
    <w:rsid w:val="00A9726A"/>
    <w:rsid w:val="00AC32D6"/>
    <w:rsid w:val="00AE76C5"/>
    <w:rsid w:val="00AF4B98"/>
    <w:rsid w:val="00B00D06"/>
    <w:rsid w:val="00B3097D"/>
    <w:rsid w:val="00B442CB"/>
    <w:rsid w:val="00B65275"/>
    <w:rsid w:val="00B72B65"/>
    <w:rsid w:val="00B765D0"/>
    <w:rsid w:val="00B870F6"/>
    <w:rsid w:val="00B94F42"/>
    <w:rsid w:val="00BA36F1"/>
    <w:rsid w:val="00BD2104"/>
    <w:rsid w:val="00C07BEE"/>
    <w:rsid w:val="00C24EF7"/>
    <w:rsid w:val="00C24FCB"/>
    <w:rsid w:val="00C34CCC"/>
    <w:rsid w:val="00C376F2"/>
    <w:rsid w:val="00C40C54"/>
    <w:rsid w:val="00C413DF"/>
    <w:rsid w:val="00C421BE"/>
    <w:rsid w:val="00C4630A"/>
    <w:rsid w:val="00C56C16"/>
    <w:rsid w:val="00C60615"/>
    <w:rsid w:val="00C70226"/>
    <w:rsid w:val="00C72A1E"/>
    <w:rsid w:val="00C77E55"/>
    <w:rsid w:val="00C95E02"/>
    <w:rsid w:val="00CA2EA9"/>
    <w:rsid w:val="00CA528E"/>
    <w:rsid w:val="00CB3E96"/>
    <w:rsid w:val="00CB754F"/>
    <w:rsid w:val="00CC73E6"/>
    <w:rsid w:val="00CD0079"/>
    <w:rsid w:val="00D0727C"/>
    <w:rsid w:val="00D1202A"/>
    <w:rsid w:val="00D2124F"/>
    <w:rsid w:val="00D40D37"/>
    <w:rsid w:val="00D44FD0"/>
    <w:rsid w:val="00D45AC4"/>
    <w:rsid w:val="00D5337C"/>
    <w:rsid w:val="00D71366"/>
    <w:rsid w:val="00D727F3"/>
    <w:rsid w:val="00D72C18"/>
    <w:rsid w:val="00D761B6"/>
    <w:rsid w:val="00D84823"/>
    <w:rsid w:val="00D855BD"/>
    <w:rsid w:val="00D90CCB"/>
    <w:rsid w:val="00D9125C"/>
    <w:rsid w:val="00DC3922"/>
    <w:rsid w:val="00DC6B93"/>
    <w:rsid w:val="00DC6E63"/>
    <w:rsid w:val="00DD3539"/>
    <w:rsid w:val="00DF7EC6"/>
    <w:rsid w:val="00E00B11"/>
    <w:rsid w:val="00E02A09"/>
    <w:rsid w:val="00E05CA8"/>
    <w:rsid w:val="00E22EDF"/>
    <w:rsid w:val="00E23DD6"/>
    <w:rsid w:val="00E30FCB"/>
    <w:rsid w:val="00E465DC"/>
    <w:rsid w:val="00E6096F"/>
    <w:rsid w:val="00E628BC"/>
    <w:rsid w:val="00E7507F"/>
    <w:rsid w:val="00E816F2"/>
    <w:rsid w:val="00E82E5C"/>
    <w:rsid w:val="00E83555"/>
    <w:rsid w:val="00E935D5"/>
    <w:rsid w:val="00EA1E06"/>
    <w:rsid w:val="00EB1177"/>
    <w:rsid w:val="00EB1C05"/>
    <w:rsid w:val="00EB2405"/>
    <w:rsid w:val="00EC6C94"/>
    <w:rsid w:val="00ED3A81"/>
    <w:rsid w:val="00ED3D84"/>
    <w:rsid w:val="00EE6197"/>
    <w:rsid w:val="00EE6B3F"/>
    <w:rsid w:val="00EF3A55"/>
    <w:rsid w:val="00EF454C"/>
    <w:rsid w:val="00F049EE"/>
    <w:rsid w:val="00F067DF"/>
    <w:rsid w:val="00F06D2C"/>
    <w:rsid w:val="00F1107B"/>
    <w:rsid w:val="00F14339"/>
    <w:rsid w:val="00F305AC"/>
    <w:rsid w:val="00F45444"/>
    <w:rsid w:val="00F63A31"/>
    <w:rsid w:val="00F823D7"/>
    <w:rsid w:val="00F85510"/>
    <w:rsid w:val="00F91435"/>
    <w:rsid w:val="00FA1287"/>
    <w:rsid w:val="00FA3497"/>
    <w:rsid w:val="00FA6C6E"/>
    <w:rsid w:val="00FB5FE3"/>
    <w:rsid w:val="00FF3B40"/>
    <w:rsid w:val="00FF4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5691"/>
  <w15:docId w15:val="{854F6751-9053-41BF-831E-2100F319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202A"/>
    <w:pPr>
      <w:ind w:left="720"/>
      <w:contextualSpacing/>
    </w:pPr>
  </w:style>
  <w:style w:type="paragraph" w:styleId="Intestazione">
    <w:name w:val="header"/>
    <w:basedOn w:val="Normale"/>
    <w:link w:val="IntestazioneCarattere"/>
    <w:uiPriority w:val="99"/>
    <w:unhideWhenUsed/>
    <w:rsid w:val="00117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79D2"/>
  </w:style>
  <w:style w:type="paragraph" w:styleId="Pidipagina">
    <w:name w:val="footer"/>
    <w:basedOn w:val="Normale"/>
    <w:link w:val="PidipaginaCarattere"/>
    <w:uiPriority w:val="99"/>
    <w:unhideWhenUsed/>
    <w:rsid w:val="00117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79D2"/>
  </w:style>
  <w:style w:type="paragraph" w:styleId="Testonotaapidipagina">
    <w:name w:val="footnote text"/>
    <w:basedOn w:val="Normale"/>
    <w:link w:val="TestonotaapidipaginaCarattere"/>
    <w:uiPriority w:val="99"/>
    <w:unhideWhenUsed/>
    <w:rsid w:val="00F823D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823D7"/>
    <w:rPr>
      <w:sz w:val="20"/>
      <w:szCs w:val="20"/>
    </w:rPr>
  </w:style>
  <w:style w:type="character" w:styleId="Rimandonotaapidipagina">
    <w:name w:val="footnote reference"/>
    <w:basedOn w:val="Carpredefinitoparagrafo"/>
    <w:uiPriority w:val="99"/>
    <w:semiHidden/>
    <w:unhideWhenUsed/>
    <w:rsid w:val="00F823D7"/>
    <w:rPr>
      <w:vertAlign w:val="superscript"/>
    </w:rPr>
  </w:style>
  <w:style w:type="character" w:customStyle="1" w:styleId="sb8d990e2">
    <w:name w:val="sb8d990e2"/>
    <w:basedOn w:val="Carpredefinitoparagrafo"/>
    <w:rsid w:val="00925F76"/>
  </w:style>
  <w:style w:type="paragraph" w:styleId="PreformattatoHTML">
    <w:name w:val="HTML Preformatted"/>
    <w:basedOn w:val="Normale"/>
    <w:link w:val="PreformattatoHTMLCarattere"/>
    <w:uiPriority w:val="99"/>
    <w:semiHidden/>
    <w:unhideWhenUsed/>
    <w:rsid w:val="008C56CA"/>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8C56CA"/>
    <w:rPr>
      <w:rFonts w:ascii="Consolas" w:hAnsi="Consolas" w:cs="Consolas"/>
      <w:sz w:val="20"/>
      <w:szCs w:val="20"/>
    </w:rPr>
  </w:style>
  <w:style w:type="character" w:styleId="Collegamentoipertestuale">
    <w:name w:val="Hyperlink"/>
    <w:basedOn w:val="Carpredefinitoparagrafo"/>
    <w:uiPriority w:val="99"/>
    <w:unhideWhenUsed/>
    <w:rsid w:val="00091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3918">
      <w:bodyDiv w:val="1"/>
      <w:marLeft w:val="0"/>
      <w:marRight w:val="0"/>
      <w:marTop w:val="0"/>
      <w:marBottom w:val="0"/>
      <w:divBdr>
        <w:top w:val="none" w:sz="0" w:space="0" w:color="auto"/>
        <w:left w:val="none" w:sz="0" w:space="0" w:color="auto"/>
        <w:bottom w:val="none" w:sz="0" w:space="0" w:color="auto"/>
        <w:right w:val="none" w:sz="0" w:space="0" w:color="auto"/>
      </w:divBdr>
    </w:div>
    <w:div w:id="195509943">
      <w:bodyDiv w:val="1"/>
      <w:marLeft w:val="0"/>
      <w:marRight w:val="0"/>
      <w:marTop w:val="0"/>
      <w:marBottom w:val="0"/>
      <w:divBdr>
        <w:top w:val="none" w:sz="0" w:space="0" w:color="auto"/>
        <w:left w:val="none" w:sz="0" w:space="0" w:color="auto"/>
        <w:bottom w:val="none" w:sz="0" w:space="0" w:color="auto"/>
        <w:right w:val="none" w:sz="0" w:space="0" w:color="auto"/>
      </w:divBdr>
    </w:div>
    <w:div w:id="273562278">
      <w:bodyDiv w:val="1"/>
      <w:marLeft w:val="0"/>
      <w:marRight w:val="0"/>
      <w:marTop w:val="0"/>
      <w:marBottom w:val="0"/>
      <w:divBdr>
        <w:top w:val="none" w:sz="0" w:space="0" w:color="auto"/>
        <w:left w:val="none" w:sz="0" w:space="0" w:color="auto"/>
        <w:bottom w:val="none" w:sz="0" w:space="0" w:color="auto"/>
        <w:right w:val="none" w:sz="0" w:space="0" w:color="auto"/>
      </w:divBdr>
    </w:div>
    <w:div w:id="362753067">
      <w:bodyDiv w:val="1"/>
      <w:marLeft w:val="0"/>
      <w:marRight w:val="0"/>
      <w:marTop w:val="0"/>
      <w:marBottom w:val="0"/>
      <w:divBdr>
        <w:top w:val="none" w:sz="0" w:space="0" w:color="auto"/>
        <w:left w:val="none" w:sz="0" w:space="0" w:color="auto"/>
        <w:bottom w:val="none" w:sz="0" w:space="0" w:color="auto"/>
        <w:right w:val="none" w:sz="0" w:space="0" w:color="auto"/>
      </w:divBdr>
    </w:div>
    <w:div w:id="550071041">
      <w:bodyDiv w:val="1"/>
      <w:marLeft w:val="0"/>
      <w:marRight w:val="0"/>
      <w:marTop w:val="0"/>
      <w:marBottom w:val="0"/>
      <w:divBdr>
        <w:top w:val="none" w:sz="0" w:space="0" w:color="auto"/>
        <w:left w:val="none" w:sz="0" w:space="0" w:color="auto"/>
        <w:bottom w:val="none" w:sz="0" w:space="0" w:color="auto"/>
        <w:right w:val="none" w:sz="0" w:space="0" w:color="auto"/>
      </w:divBdr>
    </w:div>
    <w:div w:id="924264469">
      <w:bodyDiv w:val="1"/>
      <w:marLeft w:val="0"/>
      <w:marRight w:val="0"/>
      <w:marTop w:val="0"/>
      <w:marBottom w:val="0"/>
      <w:divBdr>
        <w:top w:val="none" w:sz="0" w:space="0" w:color="auto"/>
        <w:left w:val="none" w:sz="0" w:space="0" w:color="auto"/>
        <w:bottom w:val="none" w:sz="0" w:space="0" w:color="auto"/>
        <w:right w:val="none" w:sz="0" w:space="0" w:color="auto"/>
      </w:divBdr>
    </w:div>
    <w:div w:id="1016731812">
      <w:bodyDiv w:val="1"/>
      <w:marLeft w:val="0"/>
      <w:marRight w:val="0"/>
      <w:marTop w:val="0"/>
      <w:marBottom w:val="0"/>
      <w:divBdr>
        <w:top w:val="none" w:sz="0" w:space="0" w:color="auto"/>
        <w:left w:val="none" w:sz="0" w:space="0" w:color="auto"/>
        <w:bottom w:val="none" w:sz="0" w:space="0" w:color="auto"/>
        <w:right w:val="none" w:sz="0" w:space="0" w:color="auto"/>
      </w:divBdr>
    </w:div>
    <w:div w:id="1074862209">
      <w:bodyDiv w:val="1"/>
      <w:marLeft w:val="0"/>
      <w:marRight w:val="0"/>
      <w:marTop w:val="0"/>
      <w:marBottom w:val="0"/>
      <w:divBdr>
        <w:top w:val="none" w:sz="0" w:space="0" w:color="auto"/>
        <w:left w:val="none" w:sz="0" w:space="0" w:color="auto"/>
        <w:bottom w:val="none" w:sz="0" w:space="0" w:color="auto"/>
        <w:right w:val="none" w:sz="0" w:space="0" w:color="auto"/>
      </w:divBdr>
    </w:div>
    <w:div w:id="1271667966">
      <w:bodyDiv w:val="1"/>
      <w:marLeft w:val="0"/>
      <w:marRight w:val="0"/>
      <w:marTop w:val="0"/>
      <w:marBottom w:val="0"/>
      <w:divBdr>
        <w:top w:val="none" w:sz="0" w:space="0" w:color="auto"/>
        <w:left w:val="none" w:sz="0" w:space="0" w:color="auto"/>
        <w:bottom w:val="none" w:sz="0" w:space="0" w:color="auto"/>
        <w:right w:val="none" w:sz="0" w:space="0" w:color="auto"/>
      </w:divBdr>
    </w:div>
    <w:div w:id="1286736302">
      <w:bodyDiv w:val="1"/>
      <w:marLeft w:val="0"/>
      <w:marRight w:val="0"/>
      <w:marTop w:val="0"/>
      <w:marBottom w:val="0"/>
      <w:divBdr>
        <w:top w:val="none" w:sz="0" w:space="0" w:color="auto"/>
        <w:left w:val="none" w:sz="0" w:space="0" w:color="auto"/>
        <w:bottom w:val="none" w:sz="0" w:space="0" w:color="auto"/>
        <w:right w:val="none" w:sz="0" w:space="0" w:color="auto"/>
      </w:divBdr>
    </w:div>
    <w:div w:id="1415202412">
      <w:bodyDiv w:val="1"/>
      <w:marLeft w:val="0"/>
      <w:marRight w:val="0"/>
      <w:marTop w:val="0"/>
      <w:marBottom w:val="0"/>
      <w:divBdr>
        <w:top w:val="none" w:sz="0" w:space="0" w:color="auto"/>
        <w:left w:val="none" w:sz="0" w:space="0" w:color="auto"/>
        <w:bottom w:val="none" w:sz="0" w:space="0" w:color="auto"/>
        <w:right w:val="none" w:sz="0" w:space="0" w:color="auto"/>
      </w:divBdr>
    </w:div>
    <w:div w:id="1551187958">
      <w:bodyDiv w:val="1"/>
      <w:marLeft w:val="0"/>
      <w:marRight w:val="0"/>
      <w:marTop w:val="0"/>
      <w:marBottom w:val="0"/>
      <w:divBdr>
        <w:top w:val="none" w:sz="0" w:space="0" w:color="auto"/>
        <w:left w:val="none" w:sz="0" w:space="0" w:color="auto"/>
        <w:bottom w:val="none" w:sz="0" w:space="0" w:color="auto"/>
        <w:right w:val="none" w:sz="0" w:space="0" w:color="auto"/>
      </w:divBdr>
    </w:div>
    <w:div w:id="1570071560">
      <w:bodyDiv w:val="1"/>
      <w:marLeft w:val="0"/>
      <w:marRight w:val="0"/>
      <w:marTop w:val="0"/>
      <w:marBottom w:val="0"/>
      <w:divBdr>
        <w:top w:val="none" w:sz="0" w:space="0" w:color="auto"/>
        <w:left w:val="none" w:sz="0" w:space="0" w:color="auto"/>
        <w:bottom w:val="none" w:sz="0" w:space="0" w:color="auto"/>
        <w:right w:val="none" w:sz="0" w:space="0" w:color="auto"/>
      </w:divBdr>
    </w:div>
    <w:div w:id="1581018971">
      <w:bodyDiv w:val="1"/>
      <w:marLeft w:val="0"/>
      <w:marRight w:val="0"/>
      <w:marTop w:val="0"/>
      <w:marBottom w:val="0"/>
      <w:divBdr>
        <w:top w:val="none" w:sz="0" w:space="0" w:color="auto"/>
        <w:left w:val="none" w:sz="0" w:space="0" w:color="auto"/>
        <w:bottom w:val="none" w:sz="0" w:space="0" w:color="auto"/>
        <w:right w:val="none" w:sz="0" w:space="0" w:color="auto"/>
      </w:divBdr>
    </w:div>
    <w:div w:id="1819613856">
      <w:bodyDiv w:val="1"/>
      <w:marLeft w:val="0"/>
      <w:marRight w:val="0"/>
      <w:marTop w:val="0"/>
      <w:marBottom w:val="0"/>
      <w:divBdr>
        <w:top w:val="none" w:sz="0" w:space="0" w:color="auto"/>
        <w:left w:val="none" w:sz="0" w:space="0" w:color="auto"/>
        <w:bottom w:val="none" w:sz="0" w:space="0" w:color="auto"/>
        <w:right w:val="none" w:sz="0" w:space="0" w:color="auto"/>
      </w:divBdr>
    </w:div>
    <w:div w:id="1844583741">
      <w:bodyDiv w:val="1"/>
      <w:marLeft w:val="0"/>
      <w:marRight w:val="0"/>
      <w:marTop w:val="0"/>
      <w:marBottom w:val="0"/>
      <w:divBdr>
        <w:top w:val="none" w:sz="0" w:space="0" w:color="auto"/>
        <w:left w:val="none" w:sz="0" w:space="0" w:color="auto"/>
        <w:bottom w:val="none" w:sz="0" w:space="0" w:color="auto"/>
        <w:right w:val="none" w:sz="0" w:space="0" w:color="auto"/>
      </w:divBdr>
    </w:div>
    <w:div w:id="20728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umenti.camera.it/leg18/dossier/pdf/D20130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E8046-D9E1-4ED2-822E-59CE21F1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12</Pages>
  <Words>2600</Words>
  <Characters>14825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FERRARI Giulia</cp:lastModifiedBy>
  <cp:revision>121</cp:revision>
  <dcterms:created xsi:type="dcterms:W3CDTF">2021-02-14T07:11:00Z</dcterms:created>
  <dcterms:modified xsi:type="dcterms:W3CDTF">2021-06-25T16:13:00Z</dcterms:modified>
</cp:coreProperties>
</file>