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174" w:rsidRDefault="00B11174" w:rsidP="00B11174">
      <w:pPr>
        <w:jc w:val="center"/>
        <w:rPr>
          <w:rFonts w:ascii="Kunstler Script" w:hAnsi="Kunstler Script"/>
          <w:sz w:val="80"/>
          <w:szCs w:val="80"/>
        </w:rPr>
      </w:pPr>
      <w:r>
        <w:rPr>
          <w:rFonts w:ascii="Kunstler Script" w:hAnsi="Kunstler Script"/>
          <w:sz w:val="80"/>
          <w:szCs w:val="80"/>
        </w:rPr>
        <w:t xml:space="preserve">Ufficio del massimario </w:t>
      </w:r>
    </w:p>
    <w:p w:rsidR="00B11174" w:rsidRDefault="00B11174" w:rsidP="00B11174">
      <w:pPr>
        <w:tabs>
          <w:tab w:val="decimal" w:pos="2552"/>
        </w:tabs>
        <w:jc w:val="center"/>
        <w:rPr>
          <w:rFonts w:ascii="Kunstler Script" w:eastAsia="Times New Roman" w:hAnsi="Kunstler Script"/>
          <w:i/>
          <w:sz w:val="80"/>
          <w:szCs w:val="80"/>
          <w:lang w:eastAsia="it-IT"/>
        </w:rPr>
      </w:pPr>
      <w:r>
        <w:rPr>
          <w:rFonts w:ascii="Kunstler Script" w:eastAsia="Times New Roman" w:hAnsi="Kunstler Script"/>
          <w:i/>
          <w:sz w:val="80"/>
          <w:szCs w:val="80"/>
          <w:lang w:eastAsia="it-IT"/>
        </w:rPr>
        <w:t xml:space="preserve">della </w:t>
      </w:r>
      <w:r w:rsidR="006C564E">
        <w:rPr>
          <w:rFonts w:ascii="Kunstler Script" w:eastAsia="Times New Roman" w:hAnsi="Kunstler Script"/>
          <w:i/>
          <w:sz w:val="80"/>
          <w:szCs w:val="80"/>
          <w:lang w:eastAsia="it-IT"/>
        </w:rPr>
        <w:t>Giustizia</w:t>
      </w:r>
      <w:r>
        <w:rPr>
          <w:rFonts w:ascii="Kunstler Script" w:eastAsia="Times New Roman" w:hAnsi="Kunstler Script"/>
          <w:i/>
          <w:sz w:val="80"/>
          <w:szCs w:val="80"/>
          <w:lang w:eastAsia="it-IT"/>
        </w:rPr>
        <w:t xml:space="preserve"> amministrativa</w:t>
      </w:r>
    </w:p>
    <w:p w:rsidR="00B11174" w:rsidRDefault="00B11174" w:rsidP="00B11174">
      <w:pPr>
        <w:pStyle w:val="xmsonormal"/>
        <w:shd w:val="clear" w:color="auto" w:fill="FFFFFF"/>
        <w:spacing w:before="0" w:beforeAutospacing="0" w:after="0" w:afterAutospacing="0"/>
        <w:ind w:left="3661" w:right="2783" w:hanging="533"/>
        <w:jc w:val="center"/>
        <w:rPr>
          <w:b/>
          <w:bCs/>
          <w:color w:val="002060"/>
          <w:bdr w:val="none" w:sz="0" w:space="0" w:color="auto" w:frame="1"/>
        </w:rPr>
      </w:pPr>
    </w:p>
    <w:p w:rsidR="00B11174" w:rsidRDefault="00B11174" w:rsidP="00B11174">
      <w:pPr>
        <w:pStyle w:val="xmsonormal"/>
        <w:shd w:val="clear" w:color="auto" w:fill="FFFFFF"/>
        <w:spacing w:before="0" w:beforeAutospacing="0" w:after="0" w:afterAutospacing="0"/>
        <w:ind w:left="3661" w:right="2783" w:hanging="533"/>
        <w:jc w:val="center"/>
        <w:rPr>
          <w:b/>
          <w:bCs/>
          <w:color w:val="002060"/>
          <w:bdr w:val="none" w:sz="0" w:space="0" w:color="auto" w:frame="1"/>
        </w:rPr>
      </w:pPr>
    </w:p>
    <w:p w:rsidR="00B11174" w:rsidRDefault="00B11174" w:rsidP="00B11174">
      <w:pPr>
        <w:pStyle w:val="xmsonormal"/>
        <w:shd w:val="clear" w:color="auto" w:fill="FFFFFF"/>
        <w:spacing w:before="0" w:beforeAutospacing="0" w:after="0" w:afterAutospacing="0"/>
        <w:ind w:left="3661" w:right="2783" w:hanging="533"/>
        <w:jc w:val="center"/>
        <w:rPr>
          <w:rFonts w:ascii="Palatino Linotype" w:hAnsi="Palatino Linotype"/>
          <w:b/>
          <w:bCs/>
          <w:color w:val="002060"/>
          <w:sz w:val="28"/>
          <w:szCs w:val="28"/>
          <w:bdr w:val="none" w:sz="0" w:space="0" w:color="auto" w:frame="1"/>
        </w:rPr>
      </w:pPr>
      <w:r>
        <w:rPr>
          <w:rFonts w:asciiTheme="minorHAnsi" w:eastAsiaTheme="minorHAnsi" w:hAnsiTheme="minorHAnsi" w:cstheme="minorBidi"/>
          <w:noProof/>
          <w:sz w:val="40"/>
          <w:szCs w:val="40"/>
        </w:rPr>
        <w:drawing>
          <wp:inline distT="0" distB="0" distL="0" distR="0">
            <wp:extent cx="1213485" cy="694055"/>
            <wp:effectExtent l="0" t="0" r="5715" b="0"/>
            <wp:docPr id="1" name="Immagine 1" descr="F44B1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F44B10C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485" cy="694055"/>
                    </a:xfrm>
                    <a:prstGeom prst="rect">
                      <a:avLst/>
                    </a:prstGeom>
                    <a:noFill/>
                    <a:ln>
                      <a:noFill/>
                    </a:ln>
                  </pic:spPr>
                </pic:pic>
              </a:graphicData>
            </a:graphic>
          </wp:inline>
        </w:drawing>
      </w:r>
      <w:r>
        <w:rPr>
          <w:b/>
          <w:bCs/>
          <w:color w:val="002060"/>
          <w:bdr w:val="none" w:sz="0" w:space="0" w:color="auto" w:frame="1"/>
        </w:rPr>
        <w:t xml:space="preserve"> </w:t>
      </w:r>
    </w:p>
    <w:p w:rsidR="00B11174" w:rsidRDefault="00B11174" w:rsidP="00B11174">
      <w:pPr>
        <w:tabs>
          <w:tab w:val="left" w:pos="8586"/>
        </w:tabs>
        <w:jc w:val="center"/>
        <w:rPr>
          <w:rFonts w:ascii="Garamond" w:eastAsia="Times New Roman" w:hAnsi="Garamond"/>
          <w:b/>
          <w:color w:val="000000"/>
          <w:spacing w:val="-4"/>
          <w:w w:val="105"/>
          <w:sz w:val="28"/>
          <w:szCs w:val="28"/>
        </w:rPr>
      </w:pPr>
    </w:p>
    <w:p w:rsidR="00B11174" w:rsidRDefault="00B11174" w:rsidP="00B11174">
      <w:pPr>
        <w:tabs>
          <w:tab w:val="left" w:pos="8586"/>
        </w:tabs>
        <w:jc w:val="center"/>
        <w:rPr>
          <w:rFonts w:ascii="Garamond" w:eastAsia="Times New Roman" w:hAnsi="Garamond"/>
          <w:b/>
          <w:color w:val="000000"/>
          <w:spacing w:val="-4"/>
          <w:w w:val="105"/>
          <w:sz w:val="28"/>
          <w:szCs w:val="28"/>
        </w:rPr>
      </w:pPr>
    </w:p>
    <w:p w:rsidR="00B11174" w:rsidRDefault="00B11174" w:rsidP="00B11174">
      <w:pPr>
        <w:jc w:val="center"/>
        <w:textAlignment w:val="baseline"/>
        <w:rPr>
          <w:rFonts w:ascii="Garamond" w:eastAsia="Times New Roman" w:hAnsi="Garamond"/>
          <w:b/>
          <w:color w:val="000000"/>
          <w:spacing w:val="-4"/>
          <w:w w:val="105"/>
          <w:sz w:val="28"/>
          <w:szCs w:val="28"/>
        </w:rPr>
      </w:pPr>
      <w:r>
        <w:rPr>
          <w:rFonts w:ascii="Garamond" w:eastAsia="Times New Roman" w:hAnsi="Garamond"/>
          <w:b/>
          <w:color w:val="000000"/>
          <w:spacing w:val="-4"/>
          <w:w w:val="105"/>
          <w:sz w:val="28"/>
          <w:szCs w:val="28"/>
        </w:rPr>
        <w:t>RASSEGNA MONOTEMATICA DI GIURISPRUDENZA</w:t>
      </w:r>
    </w:p>
    <w:p w:rsidR="00B11174" w:rsidRDefault="00B11174" w:rsidP="00B11174">
      <w:pPr>
        <w:jc w:val="both"/>
        <w:rPr>
          <w:rFonts w:ascii="Garamond" w:eastAsia="Times New Roman" w:hAnsi="Garamond"/>
          <w:b/>
          <w:color w:val="000000"/>
          <w:spacing w:val="-4"/>
          <w:w w:val="105"/>
          <w:sz w:val="28"/>
          <w:szCs w:val="28"/>
        </w:rPr>
      </w:pPr>
    </w:p>
    <w:p w:rsidR="00B11174" w:rsidRDefault="00B11174" w:rsidP="00B11174">
      <w:pPr>
        <w:jc w:val="both"/>
        <w:rPr>
          <w:rFonts w:ascii="Garamond" w:eastAsia="Times New Roman" w:hAnsi="Garamond"/>
          <w:b/>
          <w:color w:val="000000"/>
          <w:spacing w:val="-4"/>
          <w:w w:val="105"/>
          <w:sz w:val="28"/>
          <w:szCs w:val="28"/>
        </w:rPr>
      </w:pPr>
    </w:p>
    <w:p w:rsidR="0073229A" w:rsidRDefault="00B11174" w:rsidP="0073229A">
      <w:pPr>
        <w:pStyle w:val="Default"/>
        <w:jc w:val="center"/>
        <w:rPr>
          <w:sz w:val="28"/>
          <w:szCs w:val="28"/>
        </w:rPr>
      </w:pPr>
      <w:r>
        <w:rPr>
          <w:rFonts w:eastAsia="Times New Roman"/>
          <w:spacing w:val="-4"/>
          <w:w w:val="105"/>
          <w:sz w:val="28"/>
          <w:szCs w:val="28"/>
        </w:rPr>
        <w:t>a cura di Diana Caminiti</w:t>
      </w:r>
      <w:r w:rsidR="0073229A" w:rsidRPr="0073229A">
        <w:rPr>
          <w:sz w:val="28"/>
          <w:szCs w:val="28"/>
        </w:rPr>
        <w:t xml:space="preserve"> </w:t>
      </w:r>
      <w:r w:rsidR="0073229A">
        <w:rPr>
          <w:sz w:val="28"/>
          <w:szCs w:val="28"/>
        </w:rPr>
        <w:t xml:space="preserve">– 1 agosto </w:t>
      </w:r>
      <w:bookmarkStart w:id="0" w:name="_GoBack"/>
      <w:bookmarkEnd w:id="0"/>
      <w:r w:rsidR="0073229A">
        <w:rPr>
          <w:sz w:val="28"/>
          <w:szCs w:val="28"/>
        </w:rPr>
        <w:t>2023</w:t>
      </w:r>
    </w:p>
    <w:p w:rsidR="00B11174" w:rsidRDefault="00B11174" w:rsidP="00B11174">
      <w:pPr>
        <w:jc w:val="both"/>
        <w:rPr>
          <w:rFonts w:ascii="Garamond" w:eastAsia="Times New Roman" w:hAnsi="Garamond"/>
          <w:spacing w:val="-4"/>
          <w:w w:val="105"/>
          <w:sz w:val="28"/>
          <w:szCs w:val="28"/>
        </w:rPr>
      </w:pPr>
    </w:p>
    <w:p w:rsidR="00B11174" w:rsidRDefault="00B11174" w:rsidP="00B11174">
      <w:pPr>
        <w:jc w:val="both"/>
        <w:rPr>
          <w:rFonts w:ascii="Garamond" w:eastAsia="Times New Roman" w:hAnsi="Garamond"/>
          <w:b/>
          <w:spacing w:val="-4"/>
          <w:w w:val="105"/>
          <w:sz w:val="28"/>
          <w:szCs w:val="28"/>
        </w:rPr>
      </w:pPr>
    </w:p>
    <w:p w:rsidR="00B11174" w:rsidRDefault="00B11174" w:rsidP="00B11174">
      <w:pPr>
        <w:jc w:val="both"/>
        <w:rPr>
          <w:rFonts w:ascii="Garamond" w:eastAsia="Times New Roman" w:hAnsi="Garamond"/>
          <w:b/>
          <w:spacing w:val="-4"/>
          <w:w w:val="105"/>
          <w:sz w:val="28"/>
          <w:szCs w:val="28"/>
        </w:rPr>
      </w:pPr>
    </w:p>
    <w:p w:rsidR="00B11174" w:rsidRDefault="00B11174" w:rsidP="00B11174">
      <w:pPr>
        <w:pBdr>
          <w:top w:val="single" w:sz="4" w:space="1" w:color="auto"/>
          <w:left w:val="single" w:sz="4" w:space="4" w:color="auto"/>
          <w:bottom w:val="single" w:sz="4" w:space="1" w:color="auto"/>
          <w:right w:val="single" w:sz="4" w:space="4" w:color="auto"/>
        </w:pBdr>
        <w:jc w:val="center"/>
        <w:textAlignment w:val="baseline"/>
        <w:rPr>
          <w:rFonts w:ascii="Garamond" w:hAnsi="Garamond"/>
          <w:b/>
          <w:bCs/>
          <w:sz w:val="32"/>
          <w:szCs w:val="32"/>
        </w:rPr>
      </w:pPr>
      <w:r>
        <w:rPr>
          <w:rFonts w:ascii="Garamond" w:hAnsi="Garamond"/>
          <w:b/>
          <w:bCs/>
          <w:sz w:val="32"/>
          <w:szCs w:val="32"/>
        </w:rPr>
        <w:t xml:space="preserve">Infrastrutture energetiche e impianti industriali </w:t>
      </w:r>
    </w:p>
    <w:p w:rsidR="00B11174" w:rsidRDefault="00B11174" w:rsidP="00C42663">
      <w:pPr>
        <w:jc w:val="both"/>
        <w:rPr>
          <w:rFonts w:ascii="Palatino Linotype" w:hAnsi="Palatino Linotype" w:cs="Times New Roman"/>
          <w:b/>
          <w:color w:val="000000" w:themeColor="text1"/>
          <w:sz w:val="24"/>
          <w:szCs w:val="24"/>
        </w:rPr>
      </w:pPr>
    </w:p>
    <w:p w:rsidR="00B11174" w:rsidRDefault="00B11174" w:rsidP="00C42663">
      <w:pPr>
        <w:jc w:val="both"/>
        <w:rPr>
          <w:rFonts w:ascii="Palatino Linotype" w:hAnsi="Palatino Linotype" w:cs="Times New Roman"/>
          <w:b/>
          <w:color w:val="000000" w:themeColor="text1"/>
          <w:sz w:val="24"/>
          <w:szCs w:val="24"/>
        </w:rPr>
      </w:pPr>
    </w:p>
    <w:p w:rsidR="00BF2644" w:rsidRPr="00FD6820" w:rsidRDefault="001529B1" w:rsidP="00C42663">
      <w:pPr>
        <w:jc w:val="both"/>
        <w:rPr>
          <w:rFonts w:ascii="Palatino Linotype" w:hAnsi="Palatino Linotype" w:cs="Times New Roman"/>
          <w:b/>
          <w:color w:val="000000" w:themeColor="text1"/>
          <w:sz w:val="24"/>
          <w:szCs w:val="24"/>
        </w:rPr>
      </w:pPr>
      <w:r w:rsidRPr="00076F5E">
        <w:rPr>
          <w:rFonts w:ascii="Palatino Linotype" w:hAnsi="Palatino Linotype" w:cs="Times New Roman"/>
          <w:b/>
          <w:color w:val="000000" w:themeColor="text1"/>
          <w:sz w:val="24"/>
          <w:szCs w:val="24"/>
        </w:rPr>
        <w:t>Premessa</w:t>
      </w:r>
      <w:r w:rsidR="00771B3C">
        <w:rPr>
          <w:rFonts w:ascii="Palatino Linotype" w:hAnsi="Palatino Linotype" w:cs="Times New Roman"/>
          <w:b/>
          <w:color w:val="000000" w:themeColor="text1"/>
          <w:sz w:val="24"/>
          <w:szCs w:val="24"/>
        </w:rPr>
        <w:t xml:space="preserve">. </w:t>
      </w:r>
      <w:r w:rsidR="00771B3C" w:rsidRPr="00771B3C">
        <w:rPr>
          <w:rFonts w:ascii="Palatino Linotype" w:hAnsi="Palatino Linotype" w:cs="Times New Roman"/>
          <w:b/>
          <w:color w:val="000000" w:themeColor="text1"/>
          <w:sz w:val="24"/>
          <w:szCs w:val="24"/>
        </w:rPr>
        <w:t xml:space="preserve">Le infrastrutture energetiche e gli impianti industriali </w:t>
      </w:r>
      <w:r w:rsidR="003F48D6" w:rsidRPr="003F48D6">
        <w:rPr>
          <w:rFonts w:ascii="Palatino Linotype" w:hAnsi="Palatino Linotype" w:cs="Times New Roman"/>
          <w:b/>
          <w:color w:val="000000" w:themeColor="text1"/>
          <w:sz w:val="24"/>
          <w:szCs w:val="24"/>
        </w:rPr>
        <w:t>§</w:t>
      </w:r>
      <w:r w:rsidR="00B234E2" w:rsidRPr="003F48D6">
        <w:rPr>
          <w:rFonts w:ascii="Palatino Linotype" w:hAnsi="Palatino Linotype" w:cs="Times New Roman"/>
          <w:b/>
          <w:color w:val="000000" w:themeColor="text1"/>
          <w:sz w:val="24"/>
          <w:szCs w:val="24"/>
        </w:rPr>
        <w:t>1. Impiantistica</w:t>
      </w:r>
      <w:r w:rsidR="003F48D6" w:rsidRPr="003F48D6">
        <w:rPr>
          <w:rFonts w:ascii="Palatino Linotype" w:hAnsi="Palatino Linotype" w:cs="Times New Roman"/>
          <w:b/>
          <w:color w:val="000000" w:themeColor="text1"/>
          <w:sz w:val="24"/>
          <w:szCs w:val="24"/>
        </w:rPr>
        <w:t xml:space="preserve"> per gestione rifiuti </w:t>
      </w:r>
      <w:r w:rsidR="003F48D6" w:rsidRPr="003F48D6">
        <w:rPr>
          <w:rFonts w:ascii="Palatino Linotype" w:hAnsi="Palatino Linotype" w:cs="Times New Roman"/>
          <w:color w:val="000000" w:themeColor="text1"/>
          <w:sz w:val="24"/>
          <w:szCs w:val="24"/>
        </w:rPr>
        <w:t>§1.1 La giurispr</w:t>
      </w:r>
      <w:r w:rsidR="00431220">
        <w:rPr>
          <w:rFonts w:ascii="Palatino Linotype" w:hAnsi="Palatino Linotype" w:cs="Times New Roman"/>
          <w:color w:val="000000" w:themeColor="text1"/>
          <w:sz w:val="24"/>
          <w:szCs w:val="24"/>
        </w:rPr>
        <w:t xml:space="preserve">udenza della Corte di </w:t>
      </w:r>
      <w:r w:rsidR="006C564E">
        <w:rPr>
          <w:rFonts w:ascii="Palatino Linotype" w:hAnsi="Palatino Linotype" w:cs="Times New Roman"/>
          <w:color w:val="000000" w:themeColor="text1"/>
          <w:sz w:val="24"/>
          <w:szCs w:val="24"/>
        </w:rPr>
        <w:t>giustizia</w:t>
      </w:r>
      <w:r w:rsidR="00C75139">
        <w:rPr>
          <w:rFonts w:ascii="Palatino Linotype" w:hAnsi="Palatino Linotype" w:cs="Times New Roman"/>
          <w:color w:val="000000" w:themeColor="text1"/>
          <w:sz w:val="24"/>
          <w:szCs w:val="24"/>
        </w:rPr>
        <w:t xml:space="preserve"> dell’Unione </w:t>
      </w:r>
      <w:r w:rsidR="008067CE" w:rsidRPr="005E7AC6">
        <w:rPr>
          <w:rFonts w:ascii="Palatino Linotype" w:hAnsi="Palatino Linotype" w:cs="Times New Roman"/>
          <w:color w:val="000000" w:themeColor="text1"/>
          <w:sz w:val="24"/>
          <w:szCs w:val="24"/>
        </w:rPr>
        <w:t>e</w:t>
      </w:r>
      <w:r w:rsidR="00C75139">
        <w:rPr>
          <w:rFonts w:ascii="Palatino Linotype" w:hAnsi="Palatino Linotype" w:cs="Times New Roman"/>
          <w:color w:val="000000" w:themeColor="text1"/>
          <w:sz w:val="24"/>
          <w:szCs w:val="24"/>
        </w:rPr>
        <w:t>uropea</w:t>
      </w:r>
      <w:r w:rsidR="00B234E2">
        <w:rPr>
          <w:rFonts w:ascii="Palatino Linotype" w:hAnsi="Palatino Linotype" w:cs="Times New Roman"/>
          <w:color w:val="000000" w:themeColor="text1"/>
          <w:sz w:val="24"/>
          <w:szCs w:val="24"/>
        </w:rPr>
        <w:t>.</w:t>
      </w:r>
      <w:r w:rsidR="003F48D6" w:rsidRPr="003F48D6">
        <w:rPr>
          <w:rFonts w:ascii="Palatino Linotype" w:hAnsi="Palatino Linotype" w:cs="Times New Roman"/>
          <w:color w:val="000000" w:themeColor="text1"/>
          <w:sz w:val="24"/>
          <w:szCs w:val="24"/>
        </w:rPr>
        <w:t xml:space="preserve"> §1.2.</w:t>
      </w:r>
      <w:r w:rsidR="00431220">
        <w:rPr>
          <w:rFonts w:ascii="Palatino Linotype" w:hAnsi="Palatino Linotype" w:cs="Times New Roman"/>
          <w:color w:val="000000" w:themeColor="text1"/>
          <w:sz w:val="24"/>
          <w:szCs w:val="24"/>
        </w:rPr>
        <w:t xml:space="preserve"> La giurisprudenza della Corte c</w:t>
      </w:r>
      <w:r w:rsidR="003F48D6" w:rsidRPr="003F48D6">
        <w:rPr>
          <w:rFonts w:ascii="Palatino Linotype" w:hAnsi="Palatino Linotype" w:cs="Times New Roman"/>
          <w:color w:val="000000" w:themeColor="text1"/>
          <w:sz w:val="24"/>
          <w:szCs w:val="24"/>
        </w:rPr>
        <w:t xml:space="preserve">ostituzionale: in particolare il riparto di </w:t>
      </w:r>
      <w:r w:rsidR="00B234E2">
        <w:rPr>
          <w:rFonts w:ascii="Palatino Linotype" w:hAnsi="Palatino Linotype" w:cs="Times New Roman"/>
          <w:color w:val="000000" w:themeColor="text1"/>
          <w:sz w:val="24"/>
          <w:szCs w:val="24"/>
        </w:rPr>
        <w:t>competenze.</w:t>
      </w:r>
      <w:r w:rsidR="003F48D6" w:rsidRPr="003F48D6">
        <w:rPr>
          <w:rFonts w:ascii="Palatino Linotype" w:hAnsi="Palatino Linotype" w:cs="Times New Roman"/>
          <w:color w:val="000000" w:themeColor="text1"/>
          <w:sz w:val="24"/>
          <w:szCs w:val="24"/>
        </w:rPr>
        <w:t xml:space="preserve"> §1.2.1. La tariffa regionale. § §1.3. La disciplina reca</w:t>
      </w:r>
      <w:r w:rsidR="001E5B45">
        <w:rPr>
          <w:rFonts w:ascii="Palatino Linotype" w:hAnsi="Palatino Linotype" w:cs="Times New Roman"/>
          <w:color w:val="000000" w:themeColor="text1"/>
          <w:sz w:val="24"/>
          <w:szCs w:val="24"/>
        </w:rPr>
        <w:t xml:space="preserve">ta dall’art. 208 </w:t>
      </w:r>
      <w:r w:rsidR="00D96F0A">
        <w:rPr>
          <w:rFonts w:ascii="Palatino Linotype" w:hAnsi="Palatino Linotype" w:cs="Times New Roman"/>
          <w:color w:val="000000" w:themeColor="text1"/>
          <w:sz w:val="24"/>
          <w:szCs w:val="24"/>
        </w:rPr>
        <w:t xml:space="preserve">del </w:t>
      </w:r>
      <w:r w:rsidR="004F0CCD">
        <w:rPr>
          <w:rFonts w:ascii="Palatino Linotype" w:hAnsi="Palatino Linotype" w:cs="Times New Roman"/>
          <w:color w:val="000000" w:themeColor="text1"/>
          <w:sz w:val="24"/>
          <w:szCs w:val="24"/>
        </w:rPr>
        <w:t>d.lgs.</w:t>
      </w:r>
      <w:r w:rsidR="009D4DE6">
        <w:rPr>
          <w:rFonts w:ascii="Palatino Linotype" w:hAnsi="Palatino Linotype" w:cs="Times New Roman"/>
          <w:color w:val="000000" w:themeColor="text1"/>
          <w:sz w:val="24"/>
          <w:szCs w:val="24"/>
        </w:rPr>
        <w:t xml:space="preserve"> 3 aprile 2006, n. 152: </w:t>
      </w:r>
      <w:r w:rsidR="003F48D6" w:rsidRPr="003F48D6">
        <w:rPr>
          <w:rFonts w:ascii="Palatino Linotype" w:hAnsi="Palatino Linotype" w:cs="Times New Roman"/>
          <w:color w:val="000000" w:themeColor="text1"/>
          <w:sz w:val="24"/>
          <w:szCs w:val="24"/>
        </w:rPr>
        <w:t>la determinazione conclusiva della conferenza di</w:t>
      </w:r>
      <w:r w:rsidR="00B234E2">
        <w:rPr>
          <w:rFonts w:ascii="Palatino Linotype" w:hAnsi="Palatino Linotype" w:cs="Times New Roman"/>
          <w:color w:val="000000" w:themeColor="text1"/>
          <w:sz w:val="24"/>
          <w:szCs w:val="24"/>
        </w:rPr>
        <w:t xml:space="preserve"> servizi adottata a maggioranza.</w:t>
      </w:r>
      <w:r w:rsidR="003F48D6" w:rsidRPr="003F48D6">
        <w:rPr>
          <w:rFonts w:ascii="Palatino Linotype" w:hAnsi="Palatino Linotype" w:cs="Times New Roman"/>
          <w:color w:val="000000" w:themeColor="text1"/>
          <w:sz w:val="24"/>
          <w:szCs w:val="24"/>
        </w:rPr>
        <w:t xml:space="preserve"> §1.3.1. Vari</w:t>
      </w:r>
      <w:r w:rsidR="00B234E2">
        <w:rPr>
          <w:rFonts w:ascii="Palatino Linotype" w:hAnsi="Palatino Linotype" w:cs="Times New Roman"/>
          <w:color w:val="000000" w:themeColor="text1"/>
          <w:sz w:val="24"/>
          <w:szCs w:val="24"/>
        </w:rPr>
        <w:t>ante agli strumenti urbanistici.</w:t>
      </w:r>
      <w:r w:rsidR="00B234E2" w:rsidRPr="003F48D6">
        <w:rPr>
          <w:rFonts w:ascii="Palatino Linotype" w:hAnsi="Palatino Linotype" w:cs="Times New Roman"/>
          <w:color w:val="000000" w:themeColor="text1"/>
          <w:sz w:val="24"/>
          <w:szCs w:val="24"/>
        </w:rPr>
        <w:t xml:space="preserve"> §</w:t>
      </w:r>
      <w:r w:rsidR="00B234E2">
        <w:rPr>
          <w:rFonts w:ascii="Palatino Linotype" w:hAnsi="Palatino Linotype" w:cs="Times New Roman"/>
          <w:color w:val="000000" w:themeColor="text1"/>
          <w:sz w:val="24"/>
          <w:szCs w:val="24"/>
        </w:rPr>
        <w:t>1.3.2. L</w:t>
      </w:r>
      <w:r w:rsidR="003F48D6" w:rsidRPr="003F48D6">
        <w:rPr>
          <w:rFonts w:ascii="Palatino Linotype" w:hAnsi="Palatino Linotype" w:cs="Times New Roman"/>
          <w:color w:val="000000" w:themeColor="text1"/>
          <w:sz w:val="24"/>
          <w:szCs w:val="24"/>
        </w:rPr>
        <w:t>e prescrizioni e le</w:t>
      </w:r>
      <w:r w:rsidR="00B234E2">
        <w:rPr>
          <w:rFonts w:ascii="Palatino Linotype" w:hAnsi="Palatino Linotype" w:cs="Times New Roman"/>
          <w:color w:val="000000" w:themeColor="text1"/>
          <w:sz w:val="24"/>
          <w:szCs w:val="24"/>
        </w:rPr>
        <w:t xml:space="preserve"> condizioni dell’autorizzazione.</w:t>
      </w:r>
      <w:r w:rsidR="003F48D6" w:rsidRPr="003F48D6">
        <w:rPr>
          <w:rFonts w:ascii="Palatino Linotype" w:hAnsi="Palatino Linotype" w:cs="Times New Roman"/>
          <w:color w:val="000000" w:themeColor="text1"/>
          <w:sz w:val="24"/>
          <w:szCs w:val="24"/>
        </w:rPr>
        <w:t xml:space="preserve"> §1.4. Il principio di prossimità di cui all’art. 16 del</w:t>
      </w:r>
      <w:r w:rsidR="00B234E2">
        <w:rPr>
          <w:rFonts w:ascii="Palatino Linotype" w:hAnsi="Palatino Linotype" w:cs="Times New Roman"/>
          <w:color w:val="000000" w:themeColor="text1"/>
          <w:sz w:val="24"/>
          <w:szCs w:val="24"/>
        </w:rPr>
        <w:t xml:space="preserve">la </w:t>
      </w:r>
      <w:r w:rsidR="00C75139">
        <w:rPr>
          <w:rFonts w:ascii="Palatino Linotype" w:hAnsi="Palatino Linotype" w:cs="Times New Roman"/>
          <w:color w:val="000000" w:themeColor="text1"/>
          <w:sz w:val="24"/>
          <w:szCs w:val="24"/>
        </w:rPr>
        <w:t>“</w:t>
      </w:r>
      <w:r w:rsidR="006C564E">
        <w:rPr>
          <w:rFonts w:ascii="Palatino Linotype" w:hAnsi="Palatino Linotype" w:cs="Times New Roman"/>
          <w:i/>
          <w:color w:val="000000" w:themeColor="text1"/>
          <w:sz w:val="24"/>
          <w:szCs w:val="24"/>
        </w:rPr>
        <w:t>direttiva</w:t>
      </w:r>
      <w:r w:rsidR="00B234E2" w:rsidRPr="00C75139">
        <w:rPr>
          <w:rFonts w:ascii="Palatino Linotype" w:hAnsi="Palatino Linotype" w:cs="Times New Roman"/>
          <w:i/>
          <w:color w:val="000000" w:themeColor="text1"/>
          <w:sz w:val="24"/>
          <w:szCs w:val="24"/>
        </w:rPr>
        <w:t xml:space="preserve"> rifiuti</w:t>
      </w:r>
      <w:r w:rsidR="00C75139">
        <w:rPr>
          <w:rFonts w:ascii="Palatino Linotype" w:hAnsi="Palatino Linotype" w:cs="Times New Roman"/>
          <w:color w:val="000000" w:themeColor="text1"/>
          <w:sz w:val="24"/>
          <w:szCs w:val="24"/>
        </w:rPr>
        <w:t>”</w:t>
      </w:r>
      <w:r w:rsidR="00B234E2">
        <w:rPr>
          <w:rFonts w:ascii="Palatino Linotype" w:hAnsi="Palatino Linotype" w:cs="Times New Roman"/>
          <w:color w:val="000000" w:themeColor="text1"/>
          <w:sz w:val="24"/>
          <w:szCs w:val="24"/>
        </w:rPr>
        <w:t xml:space="preserve"> 2008/98/CE.</w:t>
      </w:r>
      <w:r w:rsidR="00771B3C">
        <w:rPr>
          <w:rFonts w:ascii="Palatino Linotype" w:hAnsi="Palatino Linotype" w:cs="Times New Roman"/>
          <w:color w:val="000000" w:themeColor="text1"/>
          <w:sz w:val="24"/>
          <w:szCs w:val="24"/>
        </w:rPr>
        <w:t xml:space="preserve"> </w:t>
      </w:r>
      <w:r w:rsidR="00AC1467">
        <w:rPr>
          <w:rFonts w:ascii="Palatino Linotype" w:hAnsi="Palatino Linotype" w:cs="Times New Roman"/>
          <w:color w:val="000000" w:themeColor="text1"/>
          <w:sz w:val="24"/>
          <w:szCs w:val="24"/>
        </w:rPr>
        <w:t xml:space="preserve"> </w:t>
      </w:r>
      <w:r w:rsidR="00771349" w:rsidRPr="00771349">
        <w:rPr>
          <w:rFonts w:ascii="Palatino Linotype" w:hAnsi="Palatino Linotype" w:cs="Times New Roman"/>
          <w:color w:val="000000" w:themeColor="text1"/>
          <w:sz w:val="24"/>
          <w:szCs w:val="24"/>
        </w:rPr>
        <w:t>§</w:t>
      </w:r>
      <w:r w:rsidR="00771349">
        <w:rPr>
          <w:rFonts w:ascii="Palatino Linotype" w:hAnsi="Palatino Linotype" w:cs="Times New Roman"/>
          <w:color w:val="000000" w:themeColor="text1"/>
          <w:sz w:val="24"/>
          <w:szCs w:val="24"/>
        </w:rPr>
        <w:t>1.5</w:t>
      </w:r>
      <w:r w:rsidR="00771B3C">
        <w:rPr>
          <w:rFonts w:ascii="Palatino Linotype" w:hAnsi="Palatino Linotype" w:cs="Times New Roman"/>
          <w:color w:val="000000" w:themeColor="text1"/>
          <w:sz w:val="24"/>
          <w:szCs w:val="24"/>
        </w:rPr>
        <w:t xml:space="preserve">. </w:t>
      </w:r>
      <w:r w:rsidR="003F48D6" w:rsidRPr="003F48D6">
        <w:rPr>
          <w:rFonts w:ascii="Palatino Linotype" w:hAnsi="Palatino Linotype" w:cs="Times New Roman"/>
          <w:color w:val="000000" w:themeColor="text1"/>
          <w:sz w:val="24"/>
          <w:szCs w:val="24"/>
        </w:rPr>
        <w:t>Rito applicabile alle controversie relative all’impugnativa del provvedimento di autorizzazione unica</w:t>
      </w:r>
      <w:r w:rsidR="00B234E2">
        <w:rPr>
          <w:rFonts w:ascii="Palatino Linotype" w:hAnsi="Palatino Linotype" w:cs="Times New Roman"/>
          <w:color w:val="000000" w:themeColor="text1"/>
          <w:sz w:val="24"/>
          <w:szCs w:val="24"/>
        </w:rPr>
        <w:t>.</w:t>
      </w:r>
      <w:r w:rsidR="00771349">
        <w:rPr>
          <w:rFonts w:ascii="Palatino Linotype" w:hAnsi="Palatino Linotype" w:cs="Times New Roman"/>
          <w:color w:val="000000" w:themeColor="text1"/>
          <w:sz w:val="24"/>
          <w:szCs w:val="24"/>
        </w:rPr>
        <w:t xml:space="preserve"> </w:t>
      </w:r>
      <w:r w:rsidR="004E16E9" w:rsidRPr="003F48D6">
        <w:rPr>
          <w:rFonts w:ascii="Palatino Linotype" w:hAnsi="Palatino Linotype" w:cs="Times New Roman"/>
          <w:color w:val="000000" w:themeColor="text1"/>
          <w:sz w:val="24"/>
          <w:szCs w:val="24"/>
        </w:rPr>
        <w:t>§</w:t>
      </w:r>
      <w:r w:rsidR="004E16E9" w:rsidRPr="004E16E9">
        <w:rPr>
          <w:rFonts w:ascii="Palatino Linotype" w:hAnsi="Palatino Linotype" w:cs="Times New Roman"/>
          <w:color w:val="000000" w:themeColor="text1"/>
          <w:sz w:val="24"/>
          <w:szCs w:val="24"/>
        </w:rPr>
        <w:t xml:space="preserve">1.7.  </w:t>
      </w:r>
      <w:r w:rsidR="007B348B" w:rsidRPr="007B348B">
        <w:rPr>
          <w:rFonts w:ascii="Palatino Linotype" w:hAnsi="Palatino Linotype" w:cs="Times New Roman"/>
          <w:color w:val="000000" w:themeColor="text1"/>
          <w:sz w:val="24"/>
          <w:szCs w:val="24"/>
        </w:rPr>
        <w:t>Rapporti tra AIA, AUA e VAS</w:t>
      </w:r>
      <w:r w:rsidR="007B348B">
        <w:rPr>
          <w:rFonts w:ascii="Palatino Linotype" w:hAnsi="Palatino Linotype" w:cs="Times New Roman"/>
          <w:color w:val="000000" w:themeColor="text1"/>
          <w:sz w:val="24"/>
          <w:szCs w:val="24"/>
        </w:rPr>
        <w:t>.</w:t>
      </w:r>
      <w:r w:rsidR="00E6250A">
        <w:rPr>
          <w:rFonts w:ascii="Palatino Linotype" w:hAnsi="Palatino Linotype" w:cs="Times New Roman"/>
          <w:color w:val="000000" w:themeColor="text1"/>
          <w:sz w:val="24"/>
          <w:szCs w:val="24"/>
        </w:rPr>
        <w:t xml:space="preserve"> </w:t>
      </w:r>
      <w:r w:rsidR="004E16E9" w:rsidRPr="003F48D6">
        <w:rPr>
          <w:rFonts w:ascii="Palatino Linotype" w:hAnsi="Palatino Linotype" w:cs="Times New Roman"/>
          <w:color w:val="000000" w:themeColor="text1"/>
          <w:sz w:val="24"/>
          <w:szCs w:val="24"/>
        </w:rPr>
        <w:t>§</w:t>
      </w:r>
      <w:r w:rsidR="00202C9C" w:rsidRPr="00202C9C">
        <w:rPr>
          <w:rFonts w:ascii="Palatino Linotype" w:hAnsi="Palatino Linotype" w:cs="Times New Roman"/>
          <w:b/>
          <w:color w:val="000000" w:themeColor="text1"/>
          <w:sz w:val="24"/>
          <w:szCs w:val="24"/>
        </w:rPr>
        <w:t>2. Impiantistica per infrastrutture energetiche da fonti rinnovabili e produzione elettricità in genere</w:t>
      </w:r>
      <w:r w:rsidR="00D8472C">
        <w:rPr>
          <w:rFonts w:ascii="Palatino Linotype" w:hAnsi="Palatino Linotype" w:cs="Times New Roman"/>
          <w:b/>
          <w:color w:val="000000" w:themeColor="text1"/>
          <w:sz w:val="24"/>
          <w:szCs w:val="24"/>
        </w:rPr>
        <w:t>:</w:t>
      </w:r>
      <w:r w:rsidR="00B234E2" w:rsidRPr="00B234E2">
        <w:t xml:space="preserve"> </w:t>
      </w:r>
      <w:r w:rsidR="00B234E2" w:rsidRPr="005E7AC6">
        <w:rPr>
          <w:rFonts w:ascii="Palatino Linotype" w:hAnsi="Palatino Linotype" w:cs="Times New Roman"/>
          <w:b/>
          <w:color w:val="000000" w:themeColor="text1"/>
          <w:sz w:val="24"/>
          <w:szCs w:val="24"/>
        </w:rPr>
        <w:t xml:space="preserve">il </w:t>
      </w:r>
      <w:r w:rsidR="00B234E2" w:rsidRPr="005E7AC6">
        <w:rPr>
          <w:rFonts w:ascii="Palatino Linotype" w:hAnsi="Palatino Linotype" w:cs="Times New Roman"/>
          <w:b/>
          <w:i/>
          <w:color w:val="000000" w:themeColor="text1"/>
          <w:sz w:val="24"/>
          <w:szCs w:val="24"/>
        </w:rPr>
        <w:t>favor</w:t>
      </w:r>
      <w:r w:rsidR="00B234E2" w:rsidRPr="00B234E2">
        <w:rPr>
          <w:rFonts w:ascii="Palatino Linotype" w:hAnsi="Palatino Linotype" w:cs="Times New Roman"/>
          <w:b/>
          <w:color w:val="000000" w:themeColor="text1"/>
          <w:sz w:val="24"/>
          <w:szCs w:val="24"/>
        </w:rPr>
        <w:t xml:space="preserve"> della normativa internazionale ed eurounitaria. </w:t>
      </w:r>
      <w:r w:rsidR="00771349" w:rsidRPr="00771349">
        <w:rPr>
          <w:rFonts w:ascii="Palatino Linotype" w:hAnsi="Palatino Linotype" w:cs="Times New Roman"/>
          <w:color w:val="000000" w:themeColor="text1"/>
          <w:sz w:val="24"/>
          <w:szCs w:val="24"/>
        </w:rPr>
        <w:t xml:space="preserve"> </w:t>
      </w:r>
      <w:r w:rsidR="00771349" w:rsidRPr="003F48D6">
        <w:rPr>
          <w:rFonts w:ascii="Palatino Linotype" w:hAnsi="Palatino Linotype" w:cs="Times New Roman"/>
          <w:color w:val="000000" w:themeColor="text1"/>
          <w:sz w:val="24"/>
          <w:szCs w:val="24"/>
        </w:rPr>
        <w:t>§</w:t>
      </w:r>
      <w:r w:rsidR="002D4208">
        <w:rPr>
          <w:rFonts w:ascii="Palatino Linotype" w:hAnsi="Palatino Linotype" w:cs="Times New Roman"/>
          <w:color w:val="000000" w:themeColor="text1"/>
          <w:sz w:val="24"/>
          <w:szCs w:val="24"/>
        </w:rPr>
        <w:t xml:space="preserve"> 2.1. I poteri delle R</w:t>
      </w:r>
      <w:r w:rsidR="00202C9C" w:rsidRPr="00202C9C">
        <w:rPr>
          <w:rFonts w:ascii="Palatino Linotype" w:hAnsi="Palatino Linotype" w:cs="Times New Roman"/>
          <w:color w:val="000000" w:themeColor="text1"/>
          <w:sz w:val="24"/>
          <w:szCs w:val="24"/>
        </w:rPr>
        <w:t>egio</w:t>
      </w:r>
      <w:r w:rsidR="00720E05">
        <w:rPr>
          <w:rFonts w:ascii="Palatino Linotype" w:hAnsi="Palatino Linotype" w:cs="Times New Roman"/>
          <w:color w:val="000000" w:themeColor="text1"/>
          <w:sz w:val="24"/>
          <w:szCs w:val="24"/>
        </w:rPr>
        <w:t xml:space="preserve">ni a Statuto ordinario e delle </w:t>
      </w:r>
      <w:r w:rsidR="002D4208">
        <w:rPr>
          <w:rFonts w:ascii="Palatino Linotype" w:hAnsi="Palatino Linotype" w:cs="Times New Roman"/>
          <w:color w:val="000000" w:themeColor="text1"/>
          <w:sz w:val="24"/>
          <w:szCs w:val="24"/>
        </w:rPr>
        <w:t>R</w:t>
      </w:r>
      <w:r w:rsidR="00202C9C" w:rsidRPr="00202C9C">
        <w:rPr>
          <w:rFonts w:ascii="Palatino Linotype" w:hAnsi="Palatino Linotype" w:cs="Times New Roman"/>
          <w:color w:val="000000" w:themeColor="text1"/>
          <w:sz w:val="24"/>
          <w:szCs w:val="24"/>
        </w:rPr>
        <w:t>egioni a statuto speciale ne</w:t>
      </w:r>
      <w:r w:rsidR="00431220">
        <w:rPr>
          <w:rFonts w:ascii="Palatino Linotype" w:hAnsi="Palatino Linotype" w:cs="Times New Roman"/>
          <w:color w:val="000000" w:themeColor="text1"/>
          <w:sz w:val="24"/>
          <w:szCs w:val="24"/>
        </w:rPr>
        <w:t xml:space="preserve">lla giurisprudenza della </w:t>
      </w:r>
      <w:r w:rsidR="00431220">
        <w:rPr>
          <w:rFonts w:ascii="Palatino Linotype" w:hAnsi="Palatino Linotype" w:cs="Times New Roman"/>
          <w:color w:val="000000" w:themeColor="text1"/>
          <w:sz w:val="24"/>
          <w:szCs w:val="24"/>
        </w:rPr>
        <w:lastRenderedPageBreak/>
        <w:t>Corte c</w:t>
      </w:r>
      <w:r w:rsidR="00202C9C" w:rsidRPr="00202C9C">
        <w:rPr>
          <w:rFonts w:ascii="Palatino Linotype" w:hAnsi="Palatino Linotype" w:cs="Times New Roman"/>
          <w:color w:val="000000" w:themeColor="text1"/>
          <w:sz w:val="24"/>
          <w:szCs w:val="24"/>
        </w:rPr>
        <w:t xml:space="preserve">ostituzionale e del Consiglio di </w:t>
      </w:r>
      <w:r w:rsidR="00B234E2" w:rsidRPr="00202C9C">
        <w:rPr>
          <w:rFonts w:ascii="Palatino Linotype" w:hAnsi="Palatino Linotype" w:cs="Times New Roman"/>
          <w:color w:val="000000" w:themeColor="text1"/>
          <w:sz w:val="24"/>
          <w:szCs w:val="24"/>
        </w:rPr>
        <w:t>Stato</w:t>
      </w:r>
      <w:r w:rsidR="00B234E2">
        <w:rPr>
          <w:rFonts w:ascii="Palatino Linotype" w:hAnsi="Palatino Linotype" w:cs="Times New Roman"/>
          <w:color w:val="000000" w:themeColor="text1"/>
          <w:sz w:val="24"/>
          <w:szCs w:val="24"/>
        </w:rPr>
        <w:t>. §</w:t>
      </w:r>
      <w:r w:rsidR="00771B3C">
        <w:rPr>
          <w:rFonts w:ascii="Palatino Linotype" w:hAnsi="Palatino Linotype" w:cs="Times New Roman"/>
          <w:color w:val="000000" w:themeColor="text1"/>
          <w:sz w:val="24"/>
          <w:szCs w:val="24"/>
        </w:rPr>
        <w:t xml:space="preserve"> </w:t>
      </w:r>
      <w:r w:rsidR="00202C9C" w:rsidRPr="00202C9C">
        <w:rPr>
          <w:rFonts w:ascii="Palatino Linotype" w:hAnsi="Palatino Linotype" w:cs="Times New Roman"/>
          <w:color w:val="000000" w:themeColor="text1"/>
          <w:sz w:val="24"/>
          <w:szCs w:val="24"/>
        </w:rPr>
        <w:t>2.2. Il procedimento per il rilascio dell’autoriz</w:t>
      </w:r>
      <w:r w:rsidR="005C2E9D">
        <w:rPr>
          <w:rFonts w:ascii="Palatino Linotype" w:hAnsi="Palatino Linotype" w:cs="Times New Roman"/>
          <w:color w:val="000000" w:themeColor="text1"/>
          <w:sz w:val="24"/>
          <w:szCs w:val="24"/>
        </w:rPr>
        <w:t>zazione unica</w:t>
      </w:r>
      <w:r w:rsidR="008E6A9E">
        <w:rPr>
          <w:rFonts w:ascii="Palatino Linotype" w:hAnsi="Palatino Linotype" w:cs="Times New Roman"/>
          <w:color w:val="000000" w:themeColor="text1"/>
          <w:sz w:val="24"/>
          <w:szCs w:val="24"/>
        </w:rPr>
        <w:t>.</w:t>
      </w:r>
      <w:r w:rsidR="00FD3E3E">
        <w:rPr>
          <w:rFonts w:ascii="Palatino Linotype" w:hAnsi="Palatino Linotype" w:cs="Times New Roman"/>
          <w:color w:val="000000" w:themeColor="text1"/>
          <w:sz w:val="24"/>
          <w:szCs w:val="24"/>
        </w:rPr>
        <w:t xml:space="preserve"> Il rapporto con la VIA</w:t>
      </w:r>
      <w:r w:rsidR="004A46FC" w:rsidRPr="004A46FC">
        <w:t xml:space="preserve"> </w:t>
      </w:r>
      <w:r w:rsidR="004A46FC">
        <w:rPr>
          <w:rFonts w:ascii="Palatino Linotype" w:hAnsi="Palatino Linotype" w:cs="Times New Roman"/>
          <w:color w:val="000000" w:themeColor="text1"/>
          <w:sz w:val="24"/>
          <w:szCs w:val="24"/>
        </w:rPr>
        <w:t xml:space="preserve">§2.2.1 </w:t>
      </w:r>
      <w:r w:rsidR="0024775D">
        <w:rPr>
          <w:rFonts w:ascii="Palatino Linotype" w:hAnsi="Palatino Linotype" w:cs="Times New Roman"/>
          <w:color w:val="000000" w:themeColor="text1"/>
          <w:sz w:val="24"/>
          <w:szCs w:val="24"/>
        </w:rPr>
        <w:t>Il sind</w:t>
      </w:r>
      <w:r w:rsidR="00CD5D93">
        <w:rPr>
          <w:rFonts w:ascii="Palatino Linotype" w:hAnsi="Palatino Linotype" w:cs="Times New Roman"/>
          <w:color w:val="000000" w:themeColor="text1"/>
          <w:sz w:val="24"/>
          <w:szCs w:val="24"/>
        </w:rPr>
        <w:t>acato del giudice amministrativo</w:t>
      </w:r>
      <w:r w:rsidR="0024775D">
        <w:rPr>
          <w:rFonts w:ascii="Palatino Linotype" w:hAnsi="Palatino Linotype" w:cs="Times New Roman"/>
          <w:color w:val="000000" w:themeColor="text1"/>
          <w:sz w:val="24"/>
          <w:szCs w:val="24"/>
        </w:rPr>
        <w:t xml:space="preserve"> sull</w:t>
      </w:r>
      <w:r w:rsidR="004A46FC" w:rsidRPr="004A46FC">
        <w:rPr>
          <w:rFonts w:ascii="Palatino Linotype" w:hAnsi="Palatino Linotype" w:cs="Times New Roman"/>
          <w:color w:val="000000" w:themeColor="text1"/>
          <w:sz w:val="24"/>
          <w:szCs w:val="24"/>
        </w:rPr>
        <w:t xml:space="preserve">a decisione assunta dal Consiglio dei </w:t>
      </w:r>
      <w:r w:rsidR="008067CE" w:rsidRPr="004A46FC">
        <w:rPr>
          <w:rFonts w:ascii="Palatino Linotype" w:hAnsi="Palatino Linotype" w:cs="Times New Roman"/>
          <w:color w:val="000000" w:themeColor="text1"/>
          <w:sz w:val="24"/>
          <w:szCs w:val="24"/>
        </w:rPr>
        <w:t>m</w:t>
      </w:r>
      <w:r w:rsidR="004A46FC" w:rsidRPr="004A46FC">
        <w:rPr>
          <w:rFonts w:ascii="Palatino Linotype" w:hAnsi="Palatino Linotype" w:cs="Times New Roman"/>
          <w:color w:val="000000" w:themeColor="text1"/>
          <w:sz w:val="24"/>
          <w:szCs w:val="24"/>
        </w:rPr>
        <w:t xml:space="preserve">inistri nell’ambito della procedura di cui all’art. </w:t>
      </w:r>
      <w:r w:rsidR="00D96F0A">
        <w:rPr>
          <w:rFonts w:ascii="Palatino Linotype" w:hAnsi="Palatino Linotype" w:cs="Times New Roman"/>
          <w:color w:val="000000" w:themeColor="text1"/>
          <w:sz w:val="24"/>
          <w:szCs w:val="24"/>
        </w:rPr>
        <w:t>5, comma 2, lett. c-</w:t>
      </w:r>
      <w:r w:rsidR="00D96F0A" w:rsidRPr="008067CE">
        <w:rPr>
          <w:rFonts w:ascii="Palatino Linotype" w:hAnsi="Palatino Linotype" w:cs="Times New Roman"/>
          <w:i/>
          <w:color w:val="000000" w:themeColor="text1"/>
          <w:sz w:val="24"/>
          <w:szCs w:val="24"/>
        </w:rPr>
        <w:t>bis</w:t>
      </w:r>
      <w:r w:rsidR="00D96F0A">
        <w:rPr>
          <w:rFonts w:ascii="Palatino Linotype" w:hAnsi="Palatino Linotype" w:cs="Times New Roman"/>
          <w:color w:val="000000" w:themeColor="text1"/>
          <w:sz w:val="24"/>
          <w:szCs w:val="24"/>
        </w:rPr>
        <w:t xml:space="preserve">) </w:t>
      </w:r>
      <w:r w:rsidR="00D96F0A" w:rsidRPr="005E7AC6">
        <w:rPr>
          <w:rFonts w:ascii="Palatino Linotype" w:hAnsi="Palatino Linotype" w:cs="Times New Roman"/>
          <w:color w:val="000000" w:themeColor="text1"/>
          <w:sz w:val="24"/>
          <w:szCs w:val="24"/>
        </w:rPr>
        <w:t xml:space="preserve">della </w:t>
      </w:r>
      <w:r w:rsidR="006C564E" w:rsidRPr="005E7AC6">
        <w:rPr>
          <w:rFonts w:ascii="Palatino Linotype" w:hAnsi="Palatino Linotype" w:cs="Times New Roman"/>
          <w:color w:val="000000" w:themeColor="text1"/>
          <w:sz w:val="24"/>
          <w:szCs w:val="24"/>
        </w:rPr>
        <w:t>l.</w:t>
      </w:r>
      <w:r w:rsidR="004A46FC" w:rsidRPr="004A46FC">
        <w:rPr>
          <w:rFonts w:ascii="Palatino Linotype" w:hAnsi="Palatino Linotype" w:cs="Times New Roman"/>
          <w:color w:val="000000" w:themeColor="text1"/>
          <w:sz w:val="24"/>
          <w:szCs w:val="24"/>
        </w:rPr>
        <w:t xml:space="preserve"> 23 agosto 1988, n. 400</w:t>
      </w:r>
      <w:r w:rsidR="004A46FC">
        <w:rPr>
          <w:rFonts w:ascii="Palatino Linotype" w:hAnsi="Palatino Linotype" w:cs="Times New Roman"/>
          <w:color w:val="000000" w:themeColor="text1"/>
          <w:sz w:val="24"/>
          <w:szCs w:val="24"/>
        </w:rPr>
        <w:t xml:space="preserve">. </w:t>
      </w:r>
      <w:r w:rsidR="001E5B45" w:rsidRPr="005C2E9D">
        <w:rPr>
          <w:rFonts w:ascii="Palatino Linotype" w:hAnsi="Palatino Linotype" w:cs="Times New Roman"/>
          <w:color w:val="000000" w:themeColor="text1"/>
          <w:sz w:val="24"/>
          <w:szCs w:val="24"/>
        </w:rPr>
        <w:t>§</w:t>
      </w:r>
      <w:r w:rsidR="004A46FC">
        <w:rPr>
          <w:rFonts w:ascii="Palatino Linotype" w:hAnsi="Palatino Linotype" w:cs="Times New Roman"/>
          <w:color w:val="000000" w:themeColor="text1"/>
          <w:sz w:val="24"/>
          <w:szCs w:val="24"/>
        </w:rPr>
        <w:t>2.2.2</w:t>
      </w:r>
      <w:r w:rsidR="001E5B45">
        <w:rPr>
          <w:rFonts w:ascii="Palatino Linotype" w:hAnsi="Palatino Linotype" w:cs="Times New Roman"/>
          <w:color w:val="000000" w:themeColor="text1"/>
          <w:sz w:val="24"/>
          <w:szCs w:val="24"/>
        </w:rPr>
        <w:t>.</w:t>
      </w:r>
      <w:r w:rsidR="001E5B45" w:rsidRPr="001E5B45">
        <w:t xml:space="preserve"> </w:t>
      </w:r>
      <w:r w:rsidR="001E5B45">
        <w:rPr>
          <w:rFonts w:ascii="Palatino Linotype" w:hAnsi="Palatino Linotype" w:cs="Times New Roman"/>
          <w:color w:val="000000" w:themeColor="text1"/>
          <w:sz w:val="24"/>
          <w:szCs w:val="24"/>
        </w:rPr>
        <w:t>Compatibilità</w:t>
      </w:r>
      <w:r w:rsidR="001E5B45" w:rsidRPr="001E5B45">
        <w:rPr>
          <w:rFonts w:ascii="Palatino Linotype" w:hAnsi="Palatino Linotype" w:cs="Times New Roman"/>
          <w:color w:val="000000" w:themeColor="text1"/>
          <w:sz w:val="24"/>
          <w:szCs w:val="24"/>
        </w:rPr>
        <w:t xml:space="preserve"> del d.m. 10 settembre 2010 </w:t>
      </w:r>
      <w:r w:rsidR="001E5B45">
        <w:rPr>
          <w:rFonts w:ascii="Palatino Linotype" w:hAnsi="Palatino Linotype" w:cs="Times New Roman"/>
          <w:color w:val="000000" w:themeColor="text1"/>
          <w:sz w:val="24"/>
          <w:szCs w:val="24"/>
        </w:rPr>
        <w:t xml:space="preserve">con </w:t>
      </w:r>
      <w:r w:rsidR="001E5B45" w:rsidRPr="001E5B45">
        <w:rPr>
          <w:rFonts w:ascii="Palatino Linotype" w:hAnsi="Palatino Linotype" w:cs="Times New Roman"/>
          <w:color w:val="000000" w:themeColor="text1"/>
          <w:sz w:val="24"/>
          <w:szCs w:val="24"/>
        </w:rPr>
        <w:t>l’entrata in vi</w:t>
      </w:r>
      <w:r w:rsidR="00D96F0A">
        <w:rPr>
          <w:rFonts w:ascii="Palatino Linotype" w:hAnsi="Palatino Linotype" w:cs="Times New Roman"/>
          <w:color w:val="000000" w:themeColor="text1"/>
          <w:sz w:val="24"/>
          <w:szCs w:val="24"/>
        </w:rPr>
        <w:t xml:space="preserve">gore </w:t>
      </w:r>
      <w:r w:rsidR="00D96F0A" w:rsidRPr="005E7AC6">
        <w:rPr>
          <w:rFonts w:ascii="Palatino Linotype" w:hAnsi="Palatino Linotype" w:cs="Times New Roman"/>
          <w:color w:val="000000" w:themeColor="text1"/>
          <w:sz w:val="24"/>
          <w:szCs w:val="24"/>
        </w:rPr>
        <w:t xml:space="preserve">del </w:t>
      </w:r>
      <w:r w:rsidR="004F0CCD">
        <w:rPr>
          <w:rFonts w:ascii="Palatino Linotype" w:hAnsi="Palatino Linotype" w:cs="Times New Roman"/>
          <w:color w:val="000000" w:themeColor="text1"/>
          <w:sz w:val="24"/>
          <w:szCs w:val="24"/>
        </w:rPr>
        <w:t>d.lgs.</w:t>
      </w:r>
      <w:r w:rsidR="001E5B45">
        <w:rPr>
          <w:rFonts w:ascii="Palatino Linotype" w:hAnsi="Palatino Linotype" w:cs="Times New Roman"/>
          <w:color w:val="000000" w:themeColor="text1"/>
          <w:sz w:val="24"/>
          <w:szCs w:val="24"/>
        </w:rPr>
        <w:t xml:space="preserve"> </w:t>
      </w:r>
      <w:r w:rsidR="009D4DE6">
        <w:rPr>
          <w:rFonts w:ascii="Palatino Linotype" w:hAnsi="Palatino Linotype" w:cs="Times New Roman"/>
          <w:color w:val="000000" w:themeColor="text1"/>
          <w:sz w:val="24"/>
          <w:szCs w:val="24"/>
        </w:rPr>
        <w:t xml:space="preserve">16 giugno 2017 </w:t>
      </w:r>
      <w:r w:rsidR="001E5B45">
        <w:rPr>
          <w:rFonts w:ascii="Palatino Linotype" w:hAnsi="Palatino Linotype" w:cs="Times New Roman"/>
          <w:color w:val="000000" w:themeColor="text1"/>
          <w:sz w:val="24"/>
          <w:szCs w:val="24"/>
        </w:rPr>
        <w:t>n. 104</w:t>
      </w:r>
      <w:r w:rsidR="001E5B45" w:rsidRPr="001E5B45">
        <w:rPr>
          <w:rFonts w:ascii="Palatino Linotype" w:hAnsi="Palatino Linotype" w:cs="Times New Roman"/>
          <w:color w:val="000000" w:themeColor="text1"/>
          <w:sz w:val="24"/>
          <w:szCs w:val="24"/>
        </w:rPr>
        <w:t>.</w:t>
      </w:r>
      <w:r w:rsidR="001E5B45">
        <w:rPr>
          <w:rFonts w:ascii="Palatino Linotype" w:hAnsi="Palatino Linotype" w:cs="Times New Roman"/>
          <w:color w:val="000000" w:themeColor="text1"/>
          <w:sz w:val="24"/>
          <w:szCs w:val="24"/>
        </w:rPr>
        <w:t xml:space="preserve"> </w:t>
      </w:r>
      <w:r w:rsidR="005C2E9D" w:rsidRPr="005C2E9D">
        <w:rPr>
          <w:rFonts w:ascii="Palatino Linotype" w:hAnsi="Palatino Linotype" w:cs="Times New Roman"/>
          <w:color w:val="000000" w:themeColor="text1"/>
          <w:sz w:val="24"/>
          <w:szCs w:val="24"/>
        </w:rPr>
        <w:t>§</w:t>
      </w:r>
      <w:r w:rsidR="00CD5D93">
        <w:rPr>
          <w:rFonts w:ascii="Palatino Linotype" w:hAnsi="Palatino Linotype" w:cs="Times New Roman"/>
          <w:color w:val="000000" w:themeColor="text1"/>
          <w:sz w:val="24"/>
          <w:szCs w:val="24"/>
        </w:rPr>
        <w:t>2.2.3</w:t>
      </w:r>
      <w:r w:rsidR="005C2E9D">
        <w:rPr>
          <w:rFonts w:ascii="Palatino Linotype" w:hAnsi="Palatino Linotype" w:cs="Times New Roman"/>
          <w:color w:val="000000" w:themeColor="text1"/>
          <w:sz w:val="24"/>
          <w:szCs w:val="24"/>
        </w:rPr>
        <w:t>.</w:t>
      </w:r>
      <w:r w:rsidR="005C2E9D" w:rsidRPr="005C2E9D">
        <w:t xml:space="preserve"> </w:t>
      </w:r>
      <w:r w:rsidR="005C2E9D" w:rsidRPr="005C2E9D">
        <w:rPr>
          <w:rFonts w:ascii="Palatino Linotype" w:hAnsi="Palatino Linotype" w:cs="Times New Roman"/>
          <w:color w:val="000000" w:themeColor="text1"/>
          <w:sz w:val="24"/>
          <w:szCs w:val="24"/>
        </w:rPr>
        <w:t xml:space="preserve">La competenza in ordine al rilascio dell’autorizzazione unica per gli impianti eolici </w:t>
      </w:r>
      <w:r w:rsidR="00720E05">
        <w:rPr>
          <w:rFonts w:ascii="Palatino Linotype" w:hAnsi="Palatino Linotype" w:cs="Times New Roman"/>
          <w:i/>
          <w:color w:val="000000" w:themeColor="text1"/>
          <w:sz w:val="24"/>
          <w:szCs w:val="24"/>
        </w:rPr>
        <w:t>off-</w:t>
      </w:r>
      <w:r w:rsidR="005C2E9D" w:rsidRPr="00B234E2">
        <w:rPr>
          <w:rFonts w:ascii="Palatino Linotype" w:hAnsi="Palatino Linotype" w:cs="Times New Roman"/>
          <w:i/>
          <w:color w:val="000000" w:themeColor="text1"/>
          <w:sz w:val="24"/>
          <w:szCs w:val="24"/>
        </w:rPr>
        <w:t>shore</w:t>
      </w:r>
      <w:r w:rsidR="00771349" w:rsidRPr="00771349">
        <w:rPr>
          <w:rFonts w:ascii="Palatino Linotype" w:hAnsi="Palatino Linotype" w:cs="Times New Roman"/>
          <w:color w:val="000000" w:themeColor="text1"/>
          <w:sz w:val="24"/>
          <w:szCs w:val="24"/>
        </w:rPr>
        <w:t xml:space="preserve"> </w:t>
      </w:r>
      <w:r w:rsidR="00771349" w:rsidRPr="003F48D6">
        <w:rPr>
          <w:rFonts w:ascii="Palatino Linotype" w:hAnsi="Palatino Linotype" w:cs="Times New Roman"/>
          <w:color w:val="000000" w:themeColor="text1"/>
          <w:sz w:val="24"/>
          <w:szCs w:val="24"/>
        </w:rPr>
        <w:t>§</w:t>
      </w:r>
      <w:r w:rsidR="00CD5D93">
        <w:rPr>
          <w:rFonts w:ascii="Palatino Linotype" w:hAnsi="Palatino Linotype" w:cs="Times New Roman"/>
          <w:color w:val="000000" w:themeColor="text1"/>
          <w:sz w:val="24"/>
          <w:szCs w:val="24"/>
        </w:rPr>
        <w:t xml:space="preserve"> 2.2.4</w:t>
      </w:r>
      <w:r w:rsidR="00D96F0A">
        <w:rPr>
          <w:rFonts w:ascii="Palatino Linotype" w:hAnsi="Palatino Linotype" w:cs="Times New Roman"/>
          <w:color w:val="000000" w:themeColor="text1"/>
          <w:sz w:val="24"/>
          <w:szCs w:val="24"/>
        </w:rPr>
        <w:t xml:space="preserve">. Le novità introdotte dalla </w:t>
      </w:r>
      <w:r w:rsidR="00981AFC">
        <w:rPr>
          <w:rFonts w:ascii="Palatino Linotype" w:hAnsi="Palatino Linotype" w:cs="Times New Roman"/>
          <w:color w:val="000000" w:themeColor="text1"/>
          <w:sz w:val="24"/>
          <w:szCs w:val="24"/>
        </w:rPr>
        <w:t>l</w:t>
      </w:r>
      <w:r w:rsidR="006C564E">
        <w:rPr>
          <w:rFonts w:ascii="Palatino Linotype" w:hAnsi="Palatino Linotype" w:cs="Times New Roman"/>
          <w:color w:val="000000" w:themeColor="text1"/>
          <w:sz w:val="24"/>
          <w:szCs w:val="24"/>
        </w:rPr>
        <w:t>.</w:t>
      </w:r>
      <w:r w:rsidR="00202C9C" w:rsidRPr="00202C9C">
        <w:rPr>
          <w:rFonts w:ascii="Palatino Linotype" w:hAnsi="Palatino Linotype" w:cs="Times New Roman"/>
          <w:color w:val="000000" w:themeColor="text1"/>
          <w:sz w:val="24"/>
          <w:szCs w:val="24"/>
        </w:rPr>
        <w:t xml:space="preserve"> </w:t>
      </w:r>
      <w:r w:rsidR="009D4DE6">
        <w:rPr>
          <w:rFonts w:ascii="Palatino Linotype" w:hAnsi="Palatino Linotype" w:cs="Times New Roman"/>
          <w:color w:val="000000" w:themeColor="text1"/>
          <w:sz w:val="24"/>
          <w:szCs w:val="24"/>
        </w:rPr>
        <w:t>29 luglio 2021</w:t>
      </w:r>
      <w:r w:rsidR="00EB702A">
        <w:rPr>
          <w:rFonts w:ascii="Palatino Linotype" w:hAnsi="Palatino Linotype" w:cs="Times New Roman"/>
          <w:color w:val="000000" w:themeColor="text1"/>
          <w:sz w:val="24"/>
          <w:szCs w:val="24"/>
        </w:rPr>
        <w:t>,</w:t>
      </w:r>
      <w:r w:rsidR="009D4DE6">
        <w:rPr>
          <w:rFonts w:ascii="Palatino Linotype" w:hAnsi="Palatino Linotype" w:cs="Times New Roman"/>
          <w:color w:val="000000" w:themeColor="text1"/>
          <w:sz w:val="24"/>
          <w:szCs w:val="24"/>
        </w:rPr>
        <w:t xml:space="preserve"> </w:t>
      </w:r>
      <w:r w:rsidR="00202C9C" w:rsidRPr="00202C9C">
        <w:rPr>
          <w:rFonts w:ascii="Palatino Linotype" w:hAnsi="Palatino Linotype" w:cs="Times New Roman"/>
          <w:color w:val="000000" w:themeColor="text1"/>
          <w:sz w:val="24"/>
          <w:szCs w:val="24"/>
        </w:rPr>
        <w:t xml:space="preserve">n. 108 </w:t>
      </w:r>
      <w:r w:rsidR="00DF3A82" w:rsidRPr="00DF3A82">
        <w:rPr>
          <w:rFonts w:ascii="Palatino Linotype" w:hAnsi="Palatino Linotype" w:cs="Times New Roman"/>
          <w:color w:val="000000" w:themeColor="text1"/>
          <w:sz w:val="24"/>
          <w:szCs w:val="24"/>
        </w:rPr>
        <w:t xml:space="preserve">e </w:t>
      </w:r>
      <w:r w:rsidR="00DF3A82" w:rsidRPr="005E7AC6">
        <w:rPr>
          <w:rFonts w:ascii="Palatino Linotype" w:hAnsi="Palatino Linotype" w:cs="Times New Roman"/>
          <w:sz w:val="24"/>
          <w:szCs w:val="24"/>
        </w:rPr>
        <w:t>dal</w:t>
      </w:r>
      <w:r w:rsidR="00D96F0A" w:rsidRPr="005E7AC6">
        <w:rPr>
          <w:rFonts w:ascii="Palatino Linotype" w:hAnsi="Palatino Linotype" w:cs="Times New Roman"/>
          <w:sz w:val="24"/>
          <w:szCs w:val="24"/>
        </w:rPr>
        <w:t xml:space="preserve"> </w:t>
      </w:r>
      <w:r w:rsidR="004F0CCD">
        <w:rPr>
          <w:rFonts w:ascii="Palatino Linotype" w:hAnsi="Palatino Linotype" w:cs="Times New Roman"/>
          <w:sz w:val="24"/>
          <w:szCs w:val="24"/>
        </w:rPr>
        <w:t>d.lgs.</w:t>
      </w:r>
      <w:r w:rsidR="009D4DE6" w:rsidRPr="006604A8">
        <w:rPr>
          <w:rFonts w:ascii="Palatino Linotype" w:hAnsi="Palatino Linotype" w:cs="Times New Roman"/>
          <w:color w:val="FF0000"/>
          <w:sz w:val="24"/>
          <w:szCs w:val="24"/>
        </w:rPr>
        <w:t xml:space="preserve"> </w:t>
      </w:r>
      <w:r w:rsidR="00DF3A82" w:rsidRPr="006604A8">
        <w:rPr>
          <w:rFonts w:ascii="Palatino Linotype" w:hAnsi="Palatino Linotype" w:cs="Times New Roman"/>
          <w:color w:val="FF0000"/>
          <w:sz w:val="24"/>
          <w:szCs w:val="24"/>
        </w:rPr>
        <w:t xml:space="preserve"> </w:t>
      </w:r>
      <w:r w:rsidR="009D4DE6">
        <w:rPr>
          <w:rFonts w:ascii="Palatino Linotype" w:hAnsi="Palatino Linotype" w:cs="Times New Roman"/>
          <w:color w:val="000000" w:themeColor="text1"/>
          <w:sz w:val="24"/>
          <w:szCs w:val="24"/>
        </w:rPr>
        <w:t>8 novembre 2021</w:t>
      </w:r>
      <w:r w:rsidR="009D4DE6" w:rsidRPr="009D4DE6">
        <w:rPr>
          <w:rFonts w:ascii="Palatino Linotype" w:hAnsi="Palatino Linotype" w:cs="Times New Roman"/>
          <w:color w:val="000000" w:themeColor="text1"/>
          <w:sz w:val="24"/>
          <w:szCs w:val="24"/>
        </w:rPr>
        <w:t>, n. 199.</w:t>
      </w:r>
      <w:r w:rsidR="009D4DE6" w:rsidRPr="00771349">
        <w:rPr>
          <w:rFonts w:ascii="Palatino Linotype" w:hAnsi="Palatino Linotype" w:cs="Times New Roman"/>
          <w:color w:val="000000" w:themeColor="text1"/>
          <w:sz w:val="24"/>
          <w:szCs w:val="24"/>
        </w:rPr>
        <w:t xml:space="preserve"> §</w:t>
      </w:r>
      <w:r w:rsidR="00202C9C" w:rsidRPr="00202C9C">
        <w:rPr>
          <w:rFonts w:ascii="Palatino Linotype" w:hAnsi="Palatino Linotype" w:cs="Times New Roman"/>
          <w:color w:val="000000" w:themeColor="text1"/>
          <w:sz w:val="24"/>
          <w:szCs w:val="24"/>
        </w:rPr>
        <w:t xml:space="preserve"> 2.3. Gli impianti fotovoltaici: i titoli abilitativi e gli impianti rientranti nell’attività di edilizia libera.</w:t>
      </w:r>
      <w:r w:rsidR="00771349" w:rsidRPr="00771349">
        <w:rPr>
          <w:rFonts w:ascii="Palatino Linotype" w:hAnsi="Palatino Linotype" w:cs="Times New Roman"/>
          <w:color w:val="000000" w:themeColor="text1"/>
          <w:sz w:val="24"/>
          <w:szCs w:val="24"/>
        </w:rPr>
        <w:t xml:space="preserve"> </w:t>
      </w:r>
      <w:r w:rsidR="00771349" w:rsidRPr="003F48D6">
        <w:rPr>
          <w:rFonts w:ascii="Palatino Linotype" w:hAnsi="Palatino Linotype" w:cs="Times New Roman"/>
          <w:color w:val="000000" w:themeColor="text1"/>
          <w:sz w:val="24"/>
          <w:szCs w:val="24"/>
        </w:rPr>
        <w:t>§</w:t>
      </w:r>
      <w:r w:rsidR="00202C9C" w:rsidRPr="00202C9C">
        <w:rPr>
          <w:rFonts w:ascii="Palatino Linotype" w:hAnsi="Palatino Linotype" w:cs="Times New Roman"/>
          <w:color w:val="000000" w:themeColor="text1"/>
          <w:sz w:val="24"/>
          <w:szCs w:val="24"/>
        </w:rPr>
        <w:t xml:space="preserve"> 2.3.1. Impianti fotovoltaici e   tutela dei beni culturali</w:t>
      </w:r>
      <w:r w:rsidR="00797297">
        <w:rPr>
          <w:rFonts w:ascii="Palatino Linotype" w:hAnsi="Palatino Linotype" w:cs="Times New Roman"/>
          <w:color w:val="000000" w:themeColor="text1"/>
          <w:sz w:val="24"/>
          <w:szCs w:val="24"/>
        </w:rPr>
        <w:t xml:space="preserve"> e dei beni paesaggistici</w:t>
      </w:r>
      <w:r w:rsidR="00202C9C" w:rsidRPr="00202C9C">
        <w:rPr>
          <w:rFonts w:ascii="Palatino Linotype" w:hAnsi="Palatino Linotype" w:cs="Times New Roman"/>
          <w:color w:val="000000" w:themeColor="text1"/>
          <w:sz w:val="24"/>
          <w:szCs w:val="24"/>
        </w:rPr>
        <w:t>.</w:t>
      </w:r>
      <w:r w:rsidR="00D96F0A" w:rsidRPr="00D96F0A">
        <w:rPr>
          <w:rFonts w:ascii="Palatino Linotype" w:hAnsi="Palatino Linotype" w:cs="Times New Roman"/>
          <w:color w:val="000000" w:themeColor="text1"/>
          <w:sz w:val="24"/>
          <w:szCs w:val="24"/>
        </w:rPr>
        <w:t xml:space="preserve"> § </w:t>
      </w:r>
      <w:r w:rsidR="00640FFB" w:rsidRPr="00640FFB">
        <w:rPr>
          <w:rFonts w:ascii="Palatino Linotype" w:hAnsi="Palatino Linotype" w:cs="Times New Roman"/>
          <w:i/>
          <w:color w:val="000000" w:themeColor="text1"/>
          <w:sz w:val="24"/>
          <w:szCs w:val="24"/>
        </w:rPr>
        <w:t>2.3.2.</w:t>
      </w:r>
      <w:r w:rsidR="00D96F0A">
        <w:rPr>
          <w:rFonts w:ascii="Palatino Linotype" w:hAnsi="Palatino Linotype" w:cs="Times New Roman"/>
          <w:color w:val="000000" w:themeColor="text1"/>
          <w:sz w:val="24"/>
          <w:szCs w:val="24"/>
        </w:rPr>
        <w:t xml:space="preserve"> Distinzione fra</w:t>
      </w:r>
      <w:r w:rsidR="00640FFB" w:rsidRPr="00640FFB">
        <w:t xml:space="preserve"> </w:t>
      </w:r>
      <w:r w:rsidR="00640FFB">
        <w:rPr>
          <w:rFonts w:ascii="Palatino Linotype" w:hAnsi="Palatino Linotype" w:cs="Times New Roman"/>
          <w:color w:val="000000" w:themeColor="text1"/>
          <w:sz w:val="24"/>
          <w:szCs w:val="24"/>
        </w:rPr>
        <w:t>fr</w:t>
      </w:r>
      <w:r w:rsidR="00640FFB" w:rsidRPr="00640FFB">
        <w:rPr>
          <w:rFonts w:ascii="Palatino Linotype" w:hAnsi="Palatino Linotype" w:cs="Times New Roman"/>
          <w:color w:val="000000" w:themeColor="text1"/>
          <w:sz w:val="24"/>
          <w:szCs w:val="24"/>
        </w:rPr>
        <w:t>angisole e serra fotovoltaica ai fini della tariffa premiale</w:t>
      </w:r>
      <w:r w:rsidR="00640FFB">
        <w:rPr>
          <w:rFonts w:ascii="Palatino Linotype" w:hAnsi="Palatino Linotype" w:cs="Times New Roman"/>
          <w:color w:val="000000" w:themeColor="text1"/>
          <w:sz w:val="24"/>
          <w:szCs w:val="24"/>
        </w:rPr>
        <w:t>.</w:t>
      </w:r>
      <w:r w:rsidR="00771349" w:rsidRPr="00640FFB">
        <w:rPr>
          <w:rFonts w:ascii="Palatino Linotype" w:hAnsi="Palatino Linotype" w:cs="Times New Roman"/>
          <w:color w:val="000000" w:themeColor="text1"/>
          <w:sz w:val="24"/>
          <w:szCs w:val="24"/>
        </w:rPr>
        <w:t xml:space="preserve"> </w:t>
      </w:r>
      <w:r w:rsidR="00771349" w:rsidRPr="003F48D6">
        <w:rPr>
          <w:rFonts w:ascii="Palatino Linotype" w:hAnsi="Palatino Linotype" w:cs="Times New Roman"/>
          <w:color w:val="000000" w:themeColor="text1"/>
          <w:sz w:val="24"/>
          <w:szCs w:val="24"/>
        </w:rPr>
        <w:t>§</w:t>
      </w:r>
      <w:r w:rsidR="00202C9C" w:rsidRPr="00202C9C">
        <w:rPr>
          <w:rFonts w:ascii="Palatino Linotype" w:hAnsi="Palatino Linotype" w:cs="Times New Roman"/>
          <w:color w:val="000000" w:themeColor="text1"/>
          <w:sz w:val="24"/>
          <w:szCs w:val="24"/>
        </w:rPr>
        <w:t xml:space="preserve"> 2.4. Gli impianti eolici: </w:t>
      </w:r>
      <w:r w:rsidR="00797297">
        <w:rPr>
          <w:rFonts w:ascii="Palatino Linotype" w:hAnsi="Palatino Linotype" w:cs="Times New Roman"/>
          <w:color w:val="000000" w:themeColor="text1"/>
          <w:sz w:val="24"/>
          <w:szCs w:val="24"/>
        </w:rPr>
        <w:t>divieto di frazionamento ai fini dell’AU e della VIA</w:t>
      </w:r>
      <w:r w:rsidR="00B234E2">
        <w:rPr>
          <w:rFonts w:ascii="Palatino Linotype" w:hAnsi="Palatino Linotype" w:cs="Times New Roman"/>
          <w:color w:val="000000" w:themeColor="text1"/>
          <w:sz w:val="24"/>
          <w:szCs w:val="24"/>
        </w:rPr>
        <w:t>.</w:t>
      </w:r>
      <w:r w:rsidR="00771349" w:rsidRPr="00771349">
        <w:rPr>
          <w:rFonts w:ascii="Palatino Linotype" w:hAnsi="Palatino Linotype" w:cs="Times New Roman"/>
          <w:color w:val="000000" w:themeColor="text1"/>
          <w:sz w:val="24"/>
          <w:szCs w:val="24"/>
        </w:rPr>
        <w:t xml:space="preserve"> §</w:t>
      </w:r>
      <w:r w:rsidR="00771349">
        <w:rPr>
          <w:rFonts w:ascii="Palatino Linotype" w:hAnsi="Palatino Linotype" w:cs="Times New Roman"/>
          <w:color w:val="000000" w:themeColor="text1"/>
          <w:sz w:val="24"/>
          <w:szCs w:val="24"/>
        </w:rPr>
        <w:t xml:space="preserve"> </w:t>
      </w:r>
      <w:r w:rsidR="00202C9C" w:rsidRPr="00202C9C">
        <w:rPr>
          <w:rFonts w:ascii="Palatino Linotype" w:hAnsi="Palatino Linotype" w:cs="Times New Roman"/>
          <w:color w:val="000000" w:themeColor="text1"/>
          <w:sz w:val="24"/>
          <w:szCs w:val="24"/>
        </w:rPr>
        <w:t>2.5.  I parchi eolici e l</w:t>
      </w:r>
      <w:r w:rsidR="00771B3C">
        <w:rPr>
          <w:rFonts w:ascii="Palatino Linotype" w:hAnsi="Palatino Linotype" w:cs="Times New Roman"/>
          <w:color w:val="000000" w:themeColor="text1"/>
          <w:sz w:val="24"/>
          <w:szCs w:val="24"/>
        </w:rPr>
        <w:t>a tutela del bene paesaggistico</w:t>
      </w:r>
      <w:r w:rsidR="00B234E2">
        <w:rPr>
          <w:rFonts w:ascii="Palatino Linotype" w:hAnsi="Palatino Linotype" w:cs="Times New Roman"/>
          <w:color w:val="000000" w:themeColor="text1"/>
          <w:sz w:val="24"/>
          <w:szCs w:val="24"/>
        </w:rPr>
        <w:t>.</w:t>
      </w:r>
      <w:r w:rsidR="00771349" w:rsidRPr="00771349">
        <w:rPr>
          <w:rFonts w:ascii="Palatino Linotype" w:hAnsi="Palatino Linotype" w:cs="Times New Roman"/>
          <w:color w:val="000000" w:themeColor="text1"/>
          <w:sz w:val="24"/>
          <w:szCs w:val="24"/>
        </w:rPr>
        <w:t xml:space="preserve"> §</w:t>
      </w:r>
      <w:r w:rsidR="00202C9C" w:rsidRPr="00202C9C">
        <w:rPr>
          <w:rFonts w:ascii="Palatino Linotype" w:hAnsi="Palatino Linotype" w:cs="Times New Roman"/>
          <w:color w:val="000000" w:themeColor="text1"/>
          <w:sz w:val="24"/>
          <w:szCs w:val="24"/>
        </w:rPr>
        <w:t xml:space="preserve"> 2.6. Inapplicabilità del</w:t>
      </w:r>
      <w:r w:rsidR="00771B3C">
        <w:rPr>
          <w:rFonts w:ascii="Palatino Linotype" w:hAnsi="Palatino Linotype" w:cs="Times New Roman"/>
          <w:color w:val="000000" w:themeColor="text1"/>
          <w:sz w:val="24"/>
          <w:szCs w:val="24"/>
        </w:rPr>
        <w:t>l’istituto del silenzio assenso</w:t>
      </w:r>
      <w:r w:rsidR="00B234E2">
        <w:rPr>
          <w:rFonts w:ascii="Palatino Linotype" w:hAnsi="Palatino Linotype" w:cs="Times New Roman"/>
          <w:color w:val="000000" w:themeColor="text1"/>
          <w:sz w:val="24"/>
          <w:szCs w:val="24"/>
        </w:rPr>
        <w:t>.</w:t>
      </w:r>
      <w:r w:rsidR="00771B3C">
        <w:rPr>
          <w:rFonts w:ascii="Palatino Linotype" w:hAnsi="Palatino Linotype" w:cs="Times New Roman"/>
          <w:color w:val="000000" w:themeColor="text1"/>
          <w:sz w:val="24"/>
          <w:szCs w:val="24"/>
        </w:rPr>
        <w:t xml:space="preserve"> </w:t>
      </w:r>
      <w:r w:rsidR="00771349" w:rsidRPr="00771349">
        <w:rPr>
          <w:rFonts w:ascii="Palatino Linotype" w:hAnsi="Palatino Linotype" w:cs="Times New Roman"/>
          <w:color w:val="000000" w:themeColor="text1"/>
          <w:sz w:val="24"/>
          <w:szCs w:val="24"/>
        </w:rPr>
        <w:t>§</w:t>
      </w:r>
      <w:r w:rsidR="00771349">
        <w:rPr>
          <w:rFonts w:ascii="Palatino Linotype" w:hAnsi="Palatino Linotype" w:cs="Times New Roman"/>
          <w:color w:val="000000" w:themeColor="text1"/>
          <w:sz w:val="24"/>
          <w:szCs w:val="24"/>
        </w:rPr>
        <w:t xml:space="preserve"> 2.7.</w:t>
      </w:r>
      <w:r w:rsidR="00202C9C" w:rsidRPr="00202C9C">
        <w:rPr>
          <w:rFonts w:ascii="Palatino Linotype" w:hAnsi="Palatino Linotype" w:cs="Times New Roman"/>
          <w:color w:val="000000" w:themeColor="text1"/>
          <w:sz w:val="24"/>
          <w:szCs w:val="24"/>
        </w:rPr>
        <w:t xml:space="preserve"> </w:t>
      </w:r>
      <w:r w:rsidR="003523C1">
        <w:rPr>
          <w:rFonts w:ascii="Palatino Linotype" w:hAnsi="Palatino Linotype" w:cs="Times New Roman"/>
          <w:color w:val="000000" w:themeColor="text1"/>
          <w:sz w:val="24"/>
          <w:szCs w:val="24"/>
        </w:rPr>
        <w:t>Gli i</w:t>
      </w:r>
      <w:r w:rsidR="00202C9C" w:rsidRPr="00202C9C">
        <w:rPr>
          <w:rFonts w:ascii="Palatino Linotype" w:hAnsi="Palatino Linotype" w:cs="Times New Roman"/>
          <w:color w:val="000000" w:themeColor="text1"/>
          <w:sz w:val="24"/>
          <w:szCs w:val="24"/>
        </w:rPr>
        <w:t>mpianti geotermici.</w:t>
      </w:r>
      <w:r w:rsidR="00771349" w:rsidRPr="00771349">
        <w:rPr>
          <w:rFonts w:ascii="Palatino Linotype" w:hAnsi="Palatino Linotype" w:cs="Times New Roman"/>
          <w:color w:val="000000" w:themeColor="text1"/>
          <w:sz w:val="24"/>
          <w:szCs w:val="24"/>
        </w:rPr>
        <w:t xml:space="preserve"> §</w:t>
      </w:r>
      <w:r w:rsidR="00771349">
        <w:rPr>
          <w:rFonts w:ascii="Palatino Linotype" w:hAnsi="Palatino Linotype" w:cs="Times New Roman"/>
          <w:color w:val="000000" w:themeColor="text1"/>
          <w:sz w:val="24"/>
          <w:szCs w:val="24"/>
        </w:rPr>
        <w:t xml:space="preserve"> 2.</w:t>
      </w:r>
      <w:r w:rsidR="00771B3C">
        <w:rPr>
          <w:rFonts w:ascii="Palatino Linotype" w:hAnsi="Palatino Linotype" w:cs="Times New Roman"/>
          <w:color w:val="000000" w:themeColor="text1"/>
          <w:sz w:val="24"/>
          <w:szCs w:val="24"/>
        </w:rPr>
        <w:t>8. Impianti</w:t>
      </w:r>
      <w:r w:rsidR="00202C9C" w:rsidRPr="00202C9C">
        <w:rPr>
          <w:rFonts w:ascii="Palatino Linotype" w:hAnsi="Palatino Linotype" w:cs="Times New Roman"/>
          <w:color w:val="000000" w:themeColor="text1"/>
          <w:sz w:val="24"/>
          <w:szCs w:val="24"/>
        </w:rPr>
        <w:t xml:space="preserve"> a bi</w:t>
      </w:r>
      <w:r w:rsidR="00B234E2">
        <w:rPr>
          <w:rFonts w:ascii="Palatino Linotype" w:hAnsi="Palatino Linotype" w:cs="Times New Roman"/>
          <w:color w:val="000000" w:themeColor="text1"/>
          <w:sz w:val="24"/>
          <w:szCs w:val="24"/>
        </w:rPr>
        <w:t>oliquidi, biomasse, biogas.</w:t>
      </w:r>
      <w:r w:rsidR="00771349">
        <w:rPr>
          <w:rFonts w:ascii="Palatino Linotype" w:hAnsi="Palatino Linotype" w:cs="Times New Roman"/>
          <w:color w:val="000000" w:themeColor="text1"/>
          <w:sz w:val="24"/>
          <w:szCs w:val="24"/>
        </w:rPr>
        <w:t xml:space="preserve"> </w:t>
      </w:r>
      <w:r w:rsidR="00771349" w:rsidRPr="003F48D6">
        <w:rPr>
          <w:rFonts w:ascii="Palatino Linotype" w:hAnsi="Palatino Linotype" w:cs="Times New Roman"/>
          <w:color w:val="000000" w:themeColor="text1"/>
          <w:sz w:val="24"/>
          <w:szCs w:val="24"/>
        </w:rPr>
        <w:t>§</w:t>
      </w:r>
      <w:r w:rsidR="00771349">
        <w:rPr>
          <w:rFonts w:ascii="Palatino Linotype" w:hAnsi="Palatino Linotype" w:cs="Times New Roman"/>
          <w:color w:val="000000" w:themeColor="text1"/>
          <w:sz w:val="24"/>
          <w:szCs w:val="24"/>
        </w:rPr>
        <w:t xml:space="preserve"> 2.9</w:t>
      </w:r>
      <w:r w:rsidR="00202C9C" w:rsidRPr="00202C9C">
        <w:rPr>
          <w:rFonts w:ascii="Palatino Linotype" w:hAnsi="Palatino Linotype" w:cs="Times New Roman"/>
          <w:color w:val="000000" w:themeColor="text1"/>
          <w:sz w:val="24"/>
          <w:szCs w:val="24"/>
        </w:rPr>
        <w:t xml:space="preserve"> Inf</w:t>
      </w:r>
      <w:r w:rsidR="00B234E2">
        <w:rPr>
          <w:rFonts w:ascii="Palatino Linotype" w:hAnsi="Palatino Linotype" w:cs="Times New Roman"/>
          <w:color w:val="000000" w:themeColor="text1"/>
          <w:sz w:val="24"/>
          <w:szCs w:val="24"/>
        </w:rPr>
        <w:t>rastrutture energetiche lineari.</w:t>
      </w:r>
      <w:r w:rsidR="00771349" w:rsidRPr="00771349">
        <w:rPr>
          <w:rFonts w:ascii="Palatino Linotype" w:hAnsi="Palatino Linotype" w:cs="Times New Roman"/>
          <w:color w:val="000000" w:themeColor="text1"/>
          <w:sz w:val="24"/>
          <w:szCs w:val="24"/>
        </w:rPr>
        <w:t xml:space="preserve"> </w:t>
      </w:r>
      <w:r w:rsidR="00771349" w:rsidRPr="003F48D6">
        <w:rPr>
          <w:rFonts w:ascii="Palatino Linotype" w:hAnsi="Palatino Linotype" w:cs="Times New Roman"/>
          <w:color w:val="000000" w:themeColor="text1"/>
          <w:sz w:val="24"/>
          <w:szCs w:val="24"/>
        </w:rPr>
        <w:t>§</w:t>
      </w:r>
      <w:r w:rsidR="00771349">
        <w:rPr>
          <w:rFonts w:ascii="Palatino Linotype" w:hAnsi="Palatino Linotype" w:cs="Times New Roman"/>
          <w:color w:val="000000" w:themeColor="text1"/>
          <w:sz w:val="24"/>
          <w:szCs w:val="24"/>
        </w:rPr>
        <w:t xml:space="preserve"> 2.</w:t>
      </w:r>
      <w:r w:rsidR="00202C9C" w:rsidRPr="00202C9C">
        <w:rPr>
          <w:rFonts w:ascii="Palatino Linotype" w:hAnsi="Palatino Linotype" w:cs="Times New Roman"/>
          <w:color w:val="000000" w:themeColor="text1"/>
          <w:sz w:val="24"/>
          <w:szCs w:val="24"/>
        </w:rPr>
        <w:t>1</w:t>
      </w:r>
      <w:r w:rsidR="00771349">
        <w:rPr>
          <w:rFonts w:ascii="Palatino Linotype" w:hAnsi="Palatino Linotype" w:cs="Times New Roman"/>
          <w:color w:val="000000" w:themeColor="text1"/>
          <w:sz w:val="24"/>
          <w:szCs w:val="24"/>
        </w:rPr>
        <w:t>0</w:t>
      </w:r>
      <w:r w:rsidR="00B234E2">
        <w:rPr>
          <w:rFonts w:ascii="Palatino Linotype" w:hAnsi="Palatino Linotype" w:cs="Times New Roman"/>
          <w:color w:val="000000" w:themeColor="text1"/>
          <w:sz w:val="24"/>
          <w:szCs w:val="24"/>
        </w:rPr>
        <w:t>. Impianti nucleari.</w:t>
      </w:r>
      <w:r w:rsidR="00771349" w:rsidRPr="00771349">
        <w:rPr>
          <w:rFonts w:ascii="Palatino Linotype" w:hAnsi="Palatino Linotype" w:cs="Times New Roman"/>
          <w:color w:val="000000" w:themeColor="text1"/>
          <w:sz w:val="24"/>
          <w:szCs w:val="24"/>
        </w:rPr>
        <w:t xml:space="preserve"> </w:t>
      </w:r>
      <w:r w:rsidR="004E625E" w:rsidRPr="004E625E">
        <w:rPr>
          <w:rFonts w:ascii="Palatino Linotype" w:hAnsi="Palatino Linotype" w:cs="Times New Roman"/>
          <w:color w:val="000000" w:themeColor="text1"/>
          <w:sz w:val="24"/>
          <w:szCs w:val="24"/>
        </w:rPr>
        <w:t>§</w:t>
      </w:r>
      <w:r w:rsidR="004E625E">
        <w:rPr>
          <w:rFonts w:ascii="Palatino Linotype" w:hAnsi="Palatino Linotype" w:cs="Times New Roman"/>
          <w:color w:val="000000" w:themeColor="text1"/>
          <w:sz w:val="24"/>
          <w:szCs w:val="24"/>
        </w:rPr>
        <w:t xml:space="preserve"> </w:t>
      </w:r>
      <w:r w:rsidR="009371DB">
        <w:rPr>
          <w:rFonts w:ascii="Palatino Linotype" w:hAnsi="Palatino Linotype" w:cs="Times New Roman"/>
          <w:color w:val="000000" w:themeColor="text1"/>
          <w:sz w:val="24"/>
          <w:szCs w:val="24"/>
        </w:rPr>
        <w:t>2.11</w:t>
      </w:r>
      <w:r w:rsidR="00553EEE">
        <w:rPr>
          <w:rFonts w:ascii="Palatino Linotype" w:hAnsi="Palatino Linotype" w:cs="Times New Roman"/>
          <w:color w:val="000000" w:themeColor="text1"/>
          <w:sz w:val="24"/>
          <w:szCs w:val="24"/>
        </w:rPr>
        <w:t>. La responsabilità della pubblica amministrazione per il ritardo nella conclusione del procedimento per il rila</w:t>
      </w:r>
      <w:r w:rsidR="004E625E">
        <w:rPr>
          <w:rFonts w:ascii="Palatino Linotype" w:hAnsi="Palatino Linotype" w:cs="Times New Roman"/>
          <w:color w:val="000000" w:themeColor="text1"/>
          <w:sz w:val="24"/>
          <w:szCs w:val="24"/>
        </w:rPr>
        <w:t>scio</w:t>
      </w:r>
      <w:r w:rsidR="00535BAE">
        <w:rPr>
          <w:rFonts w:ascii="Palatino Linotype" w:hAnsi="Palatino Linotype" w:cs="Times New Roman"/>
          <w:color w:val="000000" w:themeColor="text1"/>
          <w:sz w:val="24"/>
          <w:szCs w:val="24"/>
        </w:rPr>
        <w:t xml:space="preserve"> dei titoli autorizzativi</w:t>
      </w:r>
      <w:r w:rsidR="00B234E2">
        <w:rPr>
          <w:rFonts w:ascii="Palatino Linotype" w:hAnsi="Palatino Linotype" w:cs="Times New Roman"/>
          <w:color w:val="000000" w:themeColor="text1"/>
          <w:sz w:val="24"/>
          <w:szCs w:val="24"/>
        </w:rPr>
        <w:t>.</w:t>
      </w:r>
      <w:r w:rsidR="004E625E">
        <w:rPr>
          <w:rFonts w:ascii="Palatino Linotype" w:hAnsi="Palatino Linotype" w:cs="Times New Roman"/>
          <w:color w:val="000000" w:themeColor="text1"/>
          <w:sz w:val="24"/>
          <w:szCs w:val="24"/>
        </w:rPr>
        <w:t xml:space="preserve"> </w:t>
      </w:r>
      <w:r w:rsidR="004E625E" w:rsidRPr="004E625E">
        <w:rPr>
          <w:rFonts w:ascii="Palatino Linotype" w:hAnsi="Palatino Linotype" w:cs="Times New Roman"/>
          <w:color w:val="000000" w:themeColor="text1"/>
          <w:sz w:val="24"/>
          <w:szCs w:val="24"/>
        </w:rPr>
        <w:t>§</w:t>
      </w:r>
      <w:r w:rsidR="009637F1">
        <w:rPr>
          <w:rFonts w:ascii="Palatino Linotype" w:hAnsi="Palatino Linotype" w:cs="Times New Roman"/>
          <w:color w:val="000000" w:themeColor="text1"/>
          <w:sz w:val="24"/>
          <w:szCs w:val="24"/>
        </w:rPr>
        <w:t>2.12</w:t>
      </w:r>
      <w:r w:rsidR="004E625E">
        <w:rPr>
          <w:rFonts w:ascii="Palatino Linotype" w:hAnsi="Palatino Linotype" w:cs="Times New Roman"/>
          <w:color w:val="000000" w:themeColor="text1"/>
          <w:sz w:val="24"/>
          <w:szCs w:val="24"/>
        </w:rPr>
        <w:t>.</w:t>
      </w:r>
      <w:r w:rsidR="0070627A">
        <w:rPr>
          <w:rFonts w:ascii="Palatino Linotype" w:hAnsi="Palatino Linotype" w:cs="Times New Roman"/>
          <w:color w:val="000000" w:themeColor="text1"/>
          <w:sz w:val="24"/>
          <w:szCs w:val="24"/>
        </w:rPr>
        <w:t xml:space="preserve"> La competenza dell’Autorità per l’energia elettrica e il gas per l’emanazione di </w:t>
      </w:r>
      <w:r w:rsidR="0070627A" w:rsidRPr="0070627A">
        <w:rPr>
          <w:rFonts w:ascii="Palatino Linotype" w:hAnsi="Palatino Linotype" w:cs="Times New Roman"/>
          <w:color w:val="000000" w:themeColor="text1"/>
          <w:sz w:val="24"/>
          <w:szCs w:val="24"/>
        </w:rPr>
        <w:t>direttive relativamente alle condizioni tecniche ed economiche per l'erogazione del servizio di connessione di impianti alimentati da fonti rinnovabili alle reti elettriche</w:t>
      </w:r>
      <w:r w:rsidR="0070627A">
        <w:rPr>
          <w:rFonts w:ascii="Palatino Linotype" w:hAnsi="Palatino Linotype" w:cs="Times New Roman"/>
          <w:color w:val="000000" w:themeColor="text1"/>
          <w:sz w:val="24"/>
          <w:szCs w:val="24"/>
        </w:rPr>
        <w:t xml:space="preserve">. </w:t>
      </w:r>
      <w:r w:rsidR="001E5B45" w:rsidRPr="001E5B45">
        <w:rPr>
          <w:rFonts w:ascii="Palatino Linotype" w:hAnsi="Palatino Linotype" w:cs="Times New Roman"/>
          <w:b/>
          <w:color w:val="000000" w:themeColor="text1"/>
          <w:sz w:val="24"/>
          <w:szCs w:val="24"/>
        </w:rPr>
        <w:t>§</w:t>
      </w:r>
      <w:r w:rsidR="0062197E">
        <w:rPr>
          <w:rFonts w:ascii="Palatino Linotype" w:hAnsi="Palatino Linotype" w:cs="Times New Roman"/>
          <w:b/>
          <w:color w:val="000000" w:themeColor="text1"/>
          <w:sz w:val="24"/>
          <w:szCs w:val="24"/>
        </w:rPr>
        <w:t xml:space="preserve"> </w:t>
      </w:r>
      <w:r w:rsidR="00202C9C" w:rsidRPr="00202C9C">
        <w:rPr>
          <w:rFonts w:ascii="Palatino Linotype" w:hAnsi="Palatino Linotype" w:cs="Times New Roman"/>
          <w:b/>
          <w:color w:val="000000" w:themeColor="text1"/>
          <w:sz w:val="24"/>
          <w:szCs w:val="24"/>
        </w:rPr>
        <w:t xml:space="preserve">3. </w:t>
      </w:r>
      <w:r w:rsidR="00FD6820">
        <w:rPr>
          <w:rFonts w:ascii="Palatino Linotype" w:hAnsi="Palatino Linotype" w:cs="Times New Roman"/>
          <w:b/>
          <w:color w:val="000000" w:themeColor="text1"/>
          <w:sz w:val="24"/>
          <w:szCs w:val="24"/>
        </w:rPr>
        <w:t>Gli impianti di telefonia: questioni inerenti la localizzazione.</w:t>
      </w:r>
      <w:r w:rsidR="00FD6820" w:rsidRPr="00FD6820">
        <w:t xml:space="preserve"> </w:t>
      </w:r>
      <w:r w:rsidR="00FD6820" w:rsidRPr="00FD6820">
        <w:rPr>
          <w:rFonts w:ascii="Palatino Linotype" w:hAnsi="Palatino Linotype" w:cs="Times New Roman"/>
          <w:b/>
          <w:color w:val="000000" w:themeColor="text1"/>
          <w:sz w:val="24"/>
          <w:szCs w:val="24"/>
        </w:rPr>
        <w:t>§ 4.</w:t>
      </w:r>
      <w:r w:rsidR="00FD6820">
        <w:rPr>
          <w:rFonts w:ascii="Palatino Linotype" w:hAnsi="Palatino Linotype" w:cs="Times New Roman"/>
          <w:b/>
          <w:color w:val="000000" w:themeColor="text1"/>
          <w:sz w:val="24"/>
          <w:szCs w:val="24"/>
        </w:rPr>
        <w:t xml:space="preserve"> </w:t>
      </w:r>
      <w:r w:rsidR="009D0737" w:rsidRPr="009D0737">
        <w:rPr>
          <w:rFonts w:ascii="Palatino Linotype" w:hAnsi="Palatino Linotype" w:cs="Times New Roman"/>
          <w:b/>
          <w:color w:val="000000" w:themeColor="text1"/>
          <w:sz w:val="24"/>
          <w:szCs w:val="24"/>
        </w:rPr>
        <w:t>Cenni in merito alla procedura autorizzativa unica regolata dall’articolo 27</w:t>
      </w:r>
      <w:r w:rsidR="004A1FB7">
        <w:rPr>
          <w:rFonts w:ascii="Palatino Linotype" w:hAnsi="Palatino Linotype" w:cs="Times New Roman"/>
          <w:b/>
          <w:color w:val="000000" w:themeColor="text1"/>
          <w:sz w:val="24"/>
          <w:szCs w:val="24"/>
        </w:rPr>
        <w:t>-</w:t>
      </w:r>
      <w:r w:rsidR="009D0737" w:rsidRPr="005E7AC6">
        <w:rPr>
          <w:rFonts w:ascii="Palatino Linotype" w:hAnsi="Palatino Linotype" w:cs="Times New Roman"/>
          <w:b/>
          <w:i/>
          <w:color w:val="000000" w:themeColor="text1"/>
          <w:sz w:val="24"/>
          <w:szCs w:val="24"/>
        </w:rPr>
        <w:t>bis</w:t>
      </w:r>
      <w:r w:rsidR="009D0737" w:rsidRPr="008067CE">
        <w:rPr>
          <w:rFonts w:ascii="Palatino Linotype" w:hAnsi="Palatino Linotype" w:cs="Times New Roman"/>
          <w:b/>
          <w:i/>
          <w:color w:val="000000" w:themeColor="text1"/>
          <w:sz w:val="24"/>
          <w:szCs w:val="24"/>
        </w:rPr>
        <w:t xml:space="preserve"> </w:t>
      </w:r>
      <w:r w:rsidR="009D0737" w:rsidRPr="009D0737">
        <w:rPr>
          <w:rFonts w:ascii="Palatino Linotype" w:hAnsi="Palatino Linotype" w:cs="Times New Roman"/>
          <w:b/>
          <w:color w:val="000000" w:themeColor="text1"/>
          <w:sz w:val="24"/>
          <w:szCs w:val="24"/>
        </w:rPr>
        <w:t xml:space="preserve">del </w:t>
      </w:r>
      <w:r w:rsidR="004F0CCD">
        <w:rPr>
          <w:rFonts w:ascii="Palatino Linotype" w:hAnsi="Palatino Linotype" w:cs="Times New Roman"/>
          <w:b/>
          <w:color w:val="000000" w:themeColor="text1"/>
          <w:sz w:val="24"/>
          <w:szCs w:val="24"/>
        </w:rPr>
        <w:t>d.lgs.</w:t>
      </w:r>
      <w:r w:rsidR="009D0737">
        <w:rPr>
          <w:rFonts w:ascii="Palatino Linotype" w:hAnsi="Palatino Linotype" w:cs="Times New Roman"/>
          <w:b/>
          <w:color w:val="000000" w:themeColor="text1"/>
          <w:sz w:val="24"/>
          <w:szCs w:val="24"/>
        </w:rPr>
        <w:t xml:space="preserve"> 3 aprile 2006, n. 152 (PAUR) </w:t>
      </w:r>
      <w:r w:rsidR="00771349" w:rsidRPr="00804477">
        <w:rPr>
          <w:rFonts w:ascii="Palatino Linotype" w:hAnsi="Palatino Linotype" w:cs="Times New Roman"/>
          <w:b/>
          <w:color w:val="000000" w:themeColor="text1"/>
          <w:sz w:val="24"/>
          <w:szCs w:val="24"/>
        </w:rPr>
        <w:t>§</w:t>
      </w:r>
      <w:r w:rsidR="009371DB">
        <w:rPr>
          <w:rFonts w:ascii="Palatino Linotype" w:hAnsi="Palatino Linotype" w:cs="Times New Roman"/>
          <w:b/>
          <w:color w:val="000000" w:themeColor="text1"/>
          <w:sz w:val="24"/>
          <w:szCs w:val="24"/>
        </w:rPr>
        <w:t xml:space="preserve"> 5</w:t>
      </w:r>
      <w:r w:rsidR="001E5B45">
        <w:rPr>
          <w:rFonts w:ascii="Palatino Linotype" w:hAnsi="Palatino Linotype" w:cs="Times New Roman"/>
          <w:b/>
          <w:color w:val="000000" w:themeColor="text1"/>
          <w:sz w:val="24"/>
          <w:szCs w:val="24"/>
        </w:rPr>
        <w:t>.</w:t>
      </w:r>
      <w:r w:rsidR="00804477" w:rsidRPr="00804477">
        <w:rPr>
          <w:rFonts w:ascii="Palatino Linotype" w:hAnsi="Palatino Linotype" w:cs="Times New Roman"/>
          <w:b/>
          <w:color w:val="000000" w:themeColor="text1"/>
          <w:sz w:val="24"/>
          <w:szCs w:val="24"/>
        </w:rPr>
        <w:t xml:space="preserve"> </w:t>
      </w:r>
      <w:r w:rsidR="00E5679E" w:rsidRPr="00E5679E">
        <w:rPr>
          <w:rFonts w:ascii="Palatino Linotype" w:hAnsi="Palatino Linotype" w:cs="Times New Roman"/>
          <w:b/>
          <w:color w:val="000000" w:themeColor="text1"/>
          <w:sz w:val="24"/>
          <w:szCs w:val="24"/>
        </w:rPr>
        <w:t>Interferenze con la VAS</w:t>
      </w:r>
      <w:r w:rsidR="00E5679E">
        <w:rPr>
          <w:rFonts w:ascii="Palatino Linotype" w:hAnsi="Palatino Linotype" w:cs="Times New Roman"/>
          <w:b/>
          <w:color w:val="000000" w:themeColor="text1"/>
          <w:sz w:val="24"/>
          <w:szCs w:val="24"/>
        </w:rPr>
        <w:t xml:space="preserve">. </w:t>
      </w:r>
      <w:r w:rsidR="00804477" w:rsidRPr="00804477">
        <w:rPr>
          <w:rFonts w:ascii="Palatino Linotype" w:hAnsi="Palatino Linotype" w:cs="Times New Roman"/>
          <w:b/>
          <w:color w:val="000000" w:themeColor="text1"/>
          <w:sz w:val="24"/>
          <w:szCs w:val="24"/>
        </w:rPr>
        <w:t xml:space="preserve">I piani e programmi da sottoporre a </w:t>
      </w:r>
      <w:r w:rsidR="00E5679E">
        <w:rPr>
          <w:rFonts w:ascii="Palatino Linotype" w:hAnsi="Palatino Linotype" w:cs="Times New Roman"/>
          <w:b/>
          <w:color w:val="000000" w:themeColor="text1"/>
          <w:sz w:val="24"/>
          <w:szCs w:val="24"/>
        </w:rPr>
        <w:t xml:space="preserve">VAS </w:t>
      </w:r>
      <w:r w:rsidR="00804477">
        <w:rPr>
          <w:rFonts w:ascii="Palatino Linotype" w:hAnsi="Palatino Linotype" w:cs="Times New Roman"/>
          <w:b/>
          <w:color w:val="000000" w:themeColor="text1"/>
          <w:sz w:val="24"/>
          <w:szCs w:val="24"/>
        </w:rPr>
        <w:t>nella</w:t>
      </w:r>
      <w:r w:rsidR="00431220">
        <w:rPr>
          <w:rFonts w:ascii="Palatino Linotype" w:hAnsi="Palatino Linotype" w:cs="Times New Roman"/>
          <w:b/>
          <w:color w:val="000000" w:themeColor="text1"/>
          <w:sz w:val="24"/>
          <w:szCs w:val="24"/>
        </w:rPr>
        <w:t xml:space="preserve"> giurisprudenza della Corte di </w:t>
      </w:r>
      <w:r w:rsidR="006C564E">
        <w:rPr>
          <w:rFonts w:ascii="Palatino Linotype" w:hAnsi="Palatino Linotype" w:cs="Times New Roman"/>
          <w:b/>
          <w:color w:val="000000" w:themeColor="text1"/>
          <w:sz w:val="24"/>
          <w:szCs w:val="24"/>
        </w:rPr>
        <w:t>giustizia</w:t>
      </w:r>
      <w:r w:rsidR="00B234E2">
        <w:rPr>
          <w:rFonts w:ascii="Palatino Linotype" w:hAnsi="Palatino Linotype" w:cs="Times New Roman"/>
          <w:b/>
          <w:color w:val="000000" w:themeColor="text1"/>
          <w:sz w:val="24"/>
          <w:szCs w:val="24"/>
        </w:rPr>
        <w:t>.</w:t>
      </w:r>
      <w:r w:rsidR="00804477">
        <w:rPr>
          <w:rFonts w:ascii="Palatino Linotype" w:hAnsi="Palatino Linotype" w:cs="Times New Roman"/>
          <w:b/>
          <w:color w:val="000000" w:themeColor="text1"/>
          <w:sz w:val="24"/>
          <w:szCs w:val="24"/>
        </w:rPr>
        <w:t xml:space="preserve"> </w:t>
      </w:r>
      <w:r w:rsidR="00E5679E">
        <w:rPr>
          <w:rFonts w:ascii="Palatino Linotype" w:hAnsi="Palatino Linotype" w:cs="Times New Roman"/>
          <w:b/>
          <w:color w:val="000000" w:themeColor="text1"/>
          <w:sz w:val="24"/>
          <w:szCs w:val="24"/>
        </w:rPr>
        <w:t xml:space="preserve">§ </w:t>
      </w:r>
      <w:r w:rsidR="009371DB">
        <w:rPr>
          <w:rFonts w:ascii="Palatino Linotype" w:hAnsi="Palatino Linotype" w:cs="Times New Roman"/>
          <w:b/>
          <w:color w:val="000000" w:themeColor="text1"/>
          <w:sz w:val="24"/>
          <w:szCs w:val="24"/>
        </w:rPr>
        <w:t>6</w:t>
      </w:r>
      <w:r w:rsidR="00E5679E">
        <w:rPr>
          <w:rFonts w:ascii="Palatino Linotype" w:hAnsi="Palatino Linotype" w:cs="Times New Roman"/>
          <w:b/>
          <w:color w:val="000000" w:themeColor="text1"/>
          <w:sz w:val="24"/>
          <w:szCs w:val="24"/>
        </w:rPr>
        <w:t xml:space="preserve">. </w:t>
      </w:r>
      <w:r w:rsidR="00E5679E" w:rsidRPr="00E5679E">
        <w:rPr>
          <w:rFonts w:ascii="Palatino Linotype" w:hAnsi="Palatino Linotype" w:cs="Times New Roman"/>
          <w:b/>
          <w:color w:val="000000" w:themeColor="text1"/>
          <w:sz w:val="24"/>
          <w:szCs w:val="24"/>
        </w:rPr>
        <w:t xml:space="preserve">Interferenze con la VIA: profili processuali. </w:t>
      </w:r>
      <w:r w:rsidR="00804477" w:rsidRPr="00804477">
        <w:rPr>
          <w:rFonts w:ascii="Palatino Linotype" w:hAnsi="Palatino Linotype" w:cs="Times New Roman"/>
          <w:b/>
          <w:color w:val="000000" w:themeColor="text1"/>
          <w:sz w:val="24"/>
          <w:szCs w:val="24"/>
        </w:rPr>
        <w:t>§</w:t>
      </w:r>
      <w:r w:rsidR="008E6A9E">
        <w:rPr>
          <w:rFonts w:ascii="Palatino Linotype" w:hAnsi="Palatino Linotype" w:cs="Times New Roman"/>
          <w:b/>
          <w:color w:val="000000" w:themeColor="text1"/>
          <w:sz w:val="24"/>
          <w:szCs w:val="24"/>
        </w:rPr>
        <w:t xml:space="preserve"> </w:t>
      </w:r>
      <w:r w:rsidR="009371DB">
        <w:rPr>
          <w:rFonts w:ascii="Palatino Linotype" w:hAnsi="Palatino Linotype" w:cs="Times New Roman"/>
          <w:b/>
          <w:color w:val="000000" w:themeColor="text1"/>
          <w:sz w:val="24"/>
          <w:szCs w:val="24"/>
        </w:rPr>
        <w:t>7</w:t>
      </w:r>
      <w:r w:rsidR="004E16E9">
        <w:rPr>
          <w:rFonts w:ascii="Palatino Linotype" w:hAnsi="Palatino Linotype" w:cs="Times New Roman"/>
          <w:b/>
          <w:color w:val="000000" w:themeColor="text1"/>
          <w:sz w:val="24"/>
          <w:szCs w:val="24"/>
        </w:rPr>
        <w:t>.</w:t>
      </w:r>
      <w:r w:rsidR="008E6A9E">
        <w:rPr>
          <w:rFonts w:ascii="Palatino Linotype" w:hAnsi="Palatino Linotype" w:cs="Times New Roman"/>
          <w:b/>
          <w:color w:val="000000" w:themeColor="text1"/>
          <w:sz w:val="24"/>
          <w:szCs w:val="24"/>
        </w:rPr>
        <w:t xml:space="preserve"> </w:t>
      </w:r>
      <w:r w:rsidR="00720E05">
        <w:rPr>
          <w:rFonts w:ascii="Palatino Linotype" w:hAnsi="Palatino Linotype" w:cs="Times New Roman"/>
          <w:b/>
          <w:color w:val="000000" w:themeColor="text1"/>
          <w:sz w:val="24"/>
          <w:szCs w:val="24"/>
        </w:rPr>
        <w:t>La legittimazione a ricorrere e</w:t>
      </w:r>
      <w:r w:rsidR="00771349" w:rsidRPr="00771349">
        <w:rPr>
          <w:rFonts w:ascii="Palatino Linotype" w:hAnsi="Palatino Linotype" w:cs="Times New Roman"/>
          <w:b/>
          <w:color w:val="000000" w:themeColor="text1"/>
          <w:sz w:val="24"/>
          <w:szCs w:val="24"/>
        </w:rPr>
        <w:t xml:space="preserve"> a resistere in giudizio e la legittimazione ad intervenire nel procedimento</w:t>
      </w:r>
      <w:r w:rsidR="00771349">
        <w:rPr>
          <w:rFonts w:ascii="Palatino Linotype" w:hAnsi="Palatino Linotype" w:cs="Times New Roman"/>
          <w:b/>
          <w:color w:val="000000" w:themeColor="text1"/>
          <w:sz w:val="24"/>
          <w:szCs w:val="24"/>
        </w:rPr>
        <w:t>. I</w:t>
      </w:r>
      <w:r w:rsidR="00202C9C" w:rsidRPr="00202C9C">
        <w:rPr>
          <w:rFonts w:ascii="Palatino Linotype" w:hAnsi="Palatino Linotype" w:cs="Times New Roman"/>
          <w:b/>
          <w:color w:val="000000" w:themeColor="text1"/>
          <w:sz w:val="24"/>
          <w:szCs w:val="24"/>
        </w:rPr>
        <w:t xml:space="preserve">l criterio della </w:t>
      </w:r>
      <w:r w:rsidR="00202C9C" w:rsidRPr="00720E05">
        <w:rPr>
          <w:rFonts w:ascii="Palatino Linotype" w:hAnsi="Palatino Linotype" w:cs="Times New Roman"/>
          <w:b/>
          <w:i/>
          <w:color w:val="000000" w:themeColor="text1"/>
          <w:sz w:val="24"/>
          <w:szCs w:val="24"/>
        </w:rPr>
        <w:t>vicin</w:t>
      </w:r>
      <w:r w:rsidR="00771349" w:rsidRPr="00720E05">
        <w:rPr>
          <w:rFonts w:ascii="Palatino Linotype" w:hAnsi="Palatino Linotype" w:cs="Times New Roman"/>
          <w:b/>
          <w:i/>
          <w:color w:val="000000" w:themeColor="text1"/>
          <w:sz w:val="24"/>
          <w:szCs w:val="24"/>
        </w:rPr>
        <w:t>i</w:t>
      </w:r>
      <w:r w:rsidR="00202C9C" w:rsidRPr="00720E05">
        <w:rPr>
          <w:rFonts w:ascii="Palatino Linotype" w:hAnsi="Palatino Linotype" w:cs="Times New Roman"/>
          <w:b/>
          <w:i/>
          <w:color w:val="000000" w:themeColor="text1"/>
          <w:sz w:val="24"/>
          <w:szCs w:val="24"/>
        </w:rPr>
        <w:t>tas.</w:t>
      </w:r>
      <w:r w:rsidR="000B398D" w:rsidRPr="000B398D">
        <w:rPr>
          <w:rFonts w:ascii="Palatino Linotype" w:hAnsi="Palatino Linotype" w:cs="Times New Roman"/>
          <w:b/>
          <w:color w:val="000000" w:themeColor="text1"/>
          <w:sz w:val="24"/>
          <w:szCs w:val="24"/>
        </w:rPr>
        <w:t xml:space="preserve"> </w:t>
      </w:r>
      <w:r w:rsidR="004E16E9">
        <w:rPr>
          <w:rFonts w:ascii="Palatino Linotype" w:hAnsi="Palatino Linotype" w:cs="Times New Roman"/>
          <w:b/>
          <w:color w:val="000000" w:themeColor="text1"/>
          <w:sz w:val="24"/>
          <w:szCs w:val="24"/>
        </w:rPr>
        <w:t>§</w:t>
      </w:r>
      <w:r w:rsidR="00D96F0A">
        <w:rPr>
          <w:rFonts w:ascii="Palatino Linotype" w:hAnsi="Palatino Linotype" w:cs="Times New Roman"/>
          <w:b/>
          <w:color w:val="000000" w:themeColor="text1"/>
          <w:sz w:val="24"/>
          <w:szCs w:val="24"/>
        </w:rPr>
        <w:t xml:space="preserve"> </w:t>
      </w:r>
      <w:r w:rsidR="009371DB">
        <w:rPr>
          <w:rFonts w:ascii="Palatino Linotype" w:hAnsi="Palatino Linotype" w:cs="Times New Roman"/>
          <w:b/>
          <w:color w:val="000000" w:themeColor="text1"/>
          <w:sz w:val="24"/>
          <w:szCs w:val="24"/>
        </w:rPr>
        <w:t>8</w:t>
      </w:r>
      <w:r w:rsidR="00D96F0A">
        <w:rPr>
          <w:rFonts w:ascii="Palatino Linotype" w:hAnsi="Palatino Linotype" w:cs="Times New Roman"/>
          <w:b/>
          <w:color w:val="000000" w:themeColor="text1"/>
          <w:sz w:val="24"/>
          <w:szCs w:val="24"/>
        </w:rPr>
        <w:t>.</w:t>
      </w:r>
      <w:r w:rsidR="000B398D">
        <w:rPr>
          <w:rFonts w:ascii="Palatino Linotype" w:hAnsi="Palatino Linotype" w:cs="Times New Roman"/>
          <w:b/>
          <w:color w:val="000000" w:themeColor="text1"/>
          <w:sz w:val="24"/>
          <w:szCs w:val="24"/>
        </w:rPr>
        <w:t xml:space="preserve"> </w:t>
      </w:r>
      <w:r w:rsidR="0007514F">
        <w:rPr>
          <w:rFonts w:ascii="Palatino Linotype" w:hAnsi="Palatino Linotype" w:cs="Times New Roman"/>
          <w:b/>
          <w:color w:val="000000" w:themeColor="text1"/>
          <w:sz w:val="24"/>
          <w:szCs w:val="24"/>
        </w:rPr>
        <w:t>Questioni di giurisdizione</w:t>
      </w:r>
      <w:r w:rsidR="00771B3C">
        <w:rPr>
          <w:rFonts w:ascii="Palatino Linotype" w:hAnsi="Palatino Linotype" w:cs="Times New Roman"/>
          <w:b/>
          <w:color w:val="000000" w:themeColor="text1"/>
          <w:sz w:val="24"/>
          <w:szCs w:val="24"/>
        </w:rPr>
        <w:t xml:space="preserve"> §</w:t>
      </w:r>
      <w:r w:rsidR="0062197E">
        <w:rPr>
          <w:rFonts w:ascii="Palatino Linotype" w:hAnsi="Palatino Linotype" w:cs="Times New Roman"/>
          <w:b/>
          <w:color w:val="000000" w:themeColor="text1"/>
          <w:sz w:val="24"/>
          <w:szCs w:val="24"/>
        </w:rPr>
        <w:t xml:space="preserve"> </w:t>
      </w:r>
      <w:r w:rsidR="009371DB">
        <w:rPr>
          <w:rFonts w:ascii="Palatino Linotype" w:hAnsi="Palatino Linotype" w:cs="Times New Roman"/>
          <w:color w:val="000000" w:themeColor="text1"/>
          <w:sz w:val="24"/>
          <w:szCs w:val="24"/>
        </w:rPr>
        <w:t>8</w:t>
      </w:r>
      <w:r w:rsidR="00EF07AD" w:rsidRPr="0007514F">
        <w:rPr>
          <w:rFonts w:ascii="Palatino Linotype" w:hAnsi="Palatino Linotype" w:cs="Times New Roman"/>
          <w:color w:val="000000" w:themeColor="text1"/>
          <w:sz w:val="24"/>
          <w:szCs w:val="24"/>
        </w:rPr>
        <w:t>.</w:t>
      </w:r>
      <w:r w:rsidR="0007514F" w:rsidRPr="0007514F">
        <w:rPr>
          <w:rFonts w:ascii="Palatino Linotype" w:hAnsi="Palatino Linotype" w:cs="Times New Roman"/>
          <w:color w:val="000000" w:themeColor="text1"/>
          <w:sz w:val="24"/>
          <w:szCs w:val="24"/>
        </w:rPr>
        <w:t>1</w:t>
      </w:r>
      <w:r w:rsidR="00EF07AD" w:rsidRPr="0007514F">
        <w:rPr>
          <w:rFonts w:ascii="Palatino Linotype" w:hAnsi="Palatino Linotype" w:cs="Times New Roman"/>
          <w:color w:val="000000" w:themeColor="text1"/>
          <w:sz w:val="24"/>
          <w:szCs w:val="24"/>
        </w:rPr>
        <w:t xml:space="preserve"> La giurisdizione esclusiva del G.A.  e la compete</w:t>
      </w:r>
      <w:r w:rsidR="0070627A">
        <w:rPr>
          <w:rFonts w:ascii="Palatino Linotype" w:hAnsi="Palatino Linotype" w:cs="Times New Roman"/>
          <w:color w:val="000000" w:themeColor="text1"/>
          <w:sz w:val="24"/>
          <w:szCs w:val="24"/>
        </w:rPr>
        <w:t xml:space="preserve">nza inderogabile </w:t>
      </w:r>
      <w:r w:rsidR="0070627A" w:rsidRPr="005E7AC6">
        <w:rPr>
          <w:rFonts w:ascii="Palatino Linotype" w:hAnsi="Palatino Linotype" w:cs="Times New Roman"/>
          <w:color w:val="000000" w:themeColor="text1"/>
          <w:sz w:val="24"/>
          <w:szCs w:val="24"/>
        </w:rPr>
        <w:t>del T</w:t>
      </w:r>
      <w:r w:rsidR="006604A8" w:rsidRPr="005E7AC6">
        <w:rPr>
          <w:rFonts w:ascii="Palatino Linotype" w:hAnsi="Palatino Linotype" w:cs="Times New Roman"/>
          <w:color w:val="000000" w:themeColor="text1"/>
          <w:sz w:val="24"/>
          <w:szCs w:val="24"/>
        </w:rPr>
        <w:t>.</w:t>
      </w:r>
      <w:r w:rsidR="0070627A" w:rsidRPr="005E7AC6">
        <w:rPr>
          <w:rFonts w:ascii="Palatino Linotype" w:hAnsi="Palatino Linotype" w:cs="Times New Roman"/>
          <w:color w:val="000000" w:themeColor="text1"/>
          <w:sz w:val="24"/>
          <w:szCs w:val="24"/>
        </w:rPr>
        <w:t>a</w:t>
      </w:r>
      <w:r w:rsidR="006604A8" w:rsidRPr="005E7AC6">
        <w:rPr>
          <w:rFonts w:ascii="Palatino Linotype" w:hAnsi="Palatino Linotype" w:cs="Times New Roman"/>
          <w:color w:val="000000" w:themeColor="text1"/>
          <w:sz w:val="24"/>
          <w:szCs w:val="24"/>
        </w:rPr>
        <w:t>.</w:t>
      </w:r>
      <w:r w:rsidR="0070627A" w:rsidRPr="005E7AC6">
        <w:rPr>
          <w:rFonts w:ascii="Palatino Linotype" w:hAnsi="Palatino Linotype" w:cs="Times New Roman"/>
          <w:color w:val="000000" w:themeColor="text1"/>
          <w:sz w:val="24"/>
          <w:szCs w:val="24"/>
        </w:rPr>
        <w:t>r</w:t>
      </w:r>
      <w:r w:rsidR="006604A8" w:rsidRPr="005E7AC6">
        <w:rPr>
          <w:rFonts w:ascii="Palatino Linotype" w:hAnsi="Palatino Linotype" w:cs="Times New Roman"/>
          <w:color w:val="000000" w:themeColor="text1"/>
          <w:sz w:val="24"/>
          <w:szCs w:val="24"/>
        </w:rPr>
        <w:t>.</w:t>
      </w:r>
      <w:r w:rsidR="0070627A">
        <w:rPr>
          <w:rFonts w:ascii="Palatino Linotype" w:hAnsi="Palatino Linotype" w:cs="Times New Roman"/>
          <w:color w:val="000000" w:themeColor="text1"/>
          <w:sz w:val="24"/>
          <w:szCs w:val="24"/>
        </w:rPr>
        <w:t xml:space="preserve"> per il</w:t>
      </w:r>
      <w:r w:rsidR="00EF07AD" w:rsidRPr="0007514F">
        <w:rPr>
          <w:rFonts w:ascii="Palatino Linotype" w:hAnsi="Palatino Linotype" w:cs="Times New Roman"/>
          <w:color w:val="000000" w:themeColor="text1"/>
          <w:sz w:val="24"/>
          <w:szCs w:val="24"/>
        </w:rPr>
        <w:t xml:space="preserve"> Lazio relativamente alle cont</w:t>
      </w:r>
      <w:r w:rsidR="00E5679E">
        <w:rPr>
          <w:rFonts w:ascii="Palatino Linotype" w:hAnsi="Palatino Linotype" w:cs="Times New Roman"/>
          <w:color w:val="000000" w:themeColor="text1"/>
          <w:sz w:val="24"/>
          <w:szCs w:val="24"/>
        </w:rPr>
        <w:t>roversie di cui all’art. 134, primo</w:t>
      </w:r>
      <w:r w:rsidR="00EF07AD" w:rsidRPr="0007514F">
        <w:rPr>
          <w:rFonts w:ascii="Palatino Linotype" w:hAnsi="Palatino Linotype" w:cs="Times New Roman"/>
          <w:color w:val="000000" w:themeColor="text1"/>
          <w:sz w:val="24"/>
          <w:szCs w:val="24"/>
        </w:rPr>
        <w:t xml:space="preserve"> comma, lett. o, </w:t>
      </w:r>
      <w:r w:rsidR="004F0CCD">
        <w:rPr>
          <w:rFonts w:ascii="Palatino Linotype" w:hAnsi="Palatino Linotype" w:cs="Times New Roman"/>
          <w:color w:val="000000" w:themeColor="text1"/>
          <w:sz w:val="24"/>
          <w:szCs w:val="24"/>
        </w:rPr>
        <w:t>d.lgs.</w:t>
      </w:r>
      <w:r w:rsidR="009D4DE6">
        <w:rPr>
          <w:rFonts w:ascii="Palatino Linotype" w:hAnsi="Palatino Linotype" w:cs="Times New Roman"/>
          <w:color w:val="000000" w:themeColor="text1"/>
          <w:sz w:val="24"/>
          <w:szCs w:val="24"/>
        </w:rPr>
        <w:t xml:space="preserve"> 2 luglio 2010, n. 104. </w:t>
      </w:r>
      <w:r w:rsidR="00FD58B6" w:rsidRPr="0007514F">
        <w:rPr>
          <w:rFonts w:ascii="Palatino Linotype" w:hAnsi="Palatino Linotype" w:cs="Times New Roman"/>
          <w:color w:val="000000" w:themeColor="text1"/>
          <w:sz w:val="24"/>
          <w:szCs w:val="24"/>
        </w:rPr>
        <w:t>La declaratoria di incost</w:t>
      </w:r>
      <w:r w:rsidR="0007514F" w:rsidRPr="0007514F">
        <w:rPr>
          <w:rFonts w:ascii="Palatino Linotype" w:hAnsi="Palatino Linotype" w:cs="Times New Roman"/>
          <w:color w:val="000000" w:themeColor="text1"/>
          <w:sz w:val="24"/>
          <w:szCs w:val="24"/>
        </w:rPr>
        <w:t>ituzionalità del previgente art</w:t>
      </w:r>
      <w:r w:rsidR="009D4DE6">
        <w:rPr>
          <w:rFonts w:ascii="Palatino Linotype" w:hAnsi="Palatino Linotype" w:cs="Times New Roman"/>
          <w:color w:val="000000" w:themeColor="text1"/>
          <w:sz w:val="24"/>
          <w:szCs w:val="24"/>
        </w:rPr>
        <w:t>. 41, quinto</w:t>
      </w:r>
      <w:r w:rsidR="0007514F" w:rsidRPr="0007514F">
        <w:rPr>
          <w:rFonts w:ascii="Palatino Linotype" w:hAnsi="Palatino Linotype" w:cs="Times New Roman"/>
          <w:color w:val="000000" w:themeColor="text1"/>
          <w:sz w:val="24"/>
          <w:szCs w:val="24"/>
        </w:rPr>
        <w:t xml:space="preserve"> comma</w:t>
      </w:r>
      <w:r w:rsidR="00997F3E">
        <w:rPr>
          <w:rFonts w:ascii="Palatino Linotype" w:hAnsi="Palatino Linotype" w:cs="Times New Roman"/>
          <w:color w:val="000000" w:themeColor="text1"/>
          <w:sz w:val="24"/>
          <w:szCs w:val="24"/>
        </w:rPr>
        <w:t xml:space="preserve">, </w:t>
      </w:r>
      <w:r w:rsidR="00981AFC">
        <w:rPr>
          <w:rFonts w:ascii="Palatino Linotype" w:hAnsi="Palatino Linotype" w:cs="Times New Roman"/>
          <w:color w:val="000000" w:themeColor="text1"/>
          <w:sz w:val="24"/>
          <w:szCs w:val="24"/>
        </w:rPr>
        <w:t>l</w:t>
      </w:r>
      <w:r w:rsidR="006C564E">
        <w:rPr>
          <w:rFonts w:ascii="Palatino Linotype" w:hAnsi="Palatino Linotype" w:cs="Times New Roman"/>
          <w:color w:val="000000" w:themeColor="text1"/>
          <w:sz w:val="24"/>
          <w:szCs w:val="24"/>
        </w:rPr>
        <w:t>.</w:t>
      </w:r>
      <w:r w:rsidR="00FD58B6" w:rsidRPr="0007514F">
        <w:rPr>
          <w:rFonts w:ascii="Palatino Linotype" w:hAnsi="Palatino Linotype" w:cs="Times New Roman"/>
          <w:color w:val="000000" w:themeColor="text1"/>
          <w:sz w:val="24"/>
          <w:szCs w:val="24"/>
        </w:rPr>
        <w:t xml:space="preserve"> 23 luglio 2009 n. 99.</w:t>
      </w:r>
      <w:r w:rsidR="00FD6820" w:rsidRPr="00FD6820">
        <w:t xml:space="preserve"> </w:t>
      </w:r>
      <w:r w:rsidR="00FD6820" w:rsidRPr="00FD6820">
        <w:rPr>
          <w:rFonts w:ascii="Palatino Linotype" w:hAnsi="Palatino Linotype" w:cs="Times New Roman"/>
          <w:b/>
          <w:color w:val="000000" w:themeColor="text1"/>
          <w:sz w:val="24"/>
          <w:szCs w:val="24"/>
        </w:rPr>
        <w:t>§ 9 Conclusioni</w:t>
      </w:r>
    </w:p>
    <w:p w:rsidR="003F48D6" w:rsidRPr="00BF2644" w:rsidRDefault="003F48D6" w:rsidP="00BF2644">
      <w:pPr>
        <w:spacing w:line="240" w:lineRule="auto"/>
        <w:contextualSpacing/>
        <w:jc w:val="both"/>
        <w:rPr>
          <w:rFonts w:ascii="Garamond" w:hAnsi="Garamond" w:cs="Times New Roman"/>
          <w:color w:val="000000" w:themeColor="text1"/>
          <w:sz w:val="28"/>
          <w:szCs w:val="28"/>
        </w:rPr>
      </w:pPr>
      <w:r w:rsidRPr="00BF2644">
        <w:rPr>
          <w:rFonts w:ascii="Garamond" w:hAnsi="Garamond"/>
          <w:b/>
          <w:bCs/>
          <w:sz w:val="28"/>
          <w:szCs w:val="28"/>
        </w:rPr>
        <w:t>Premessa</w:t>
      </w:r>
    </w:p>
    <w:p w:rsidR="00C306EC" w:rsidRPr="00BF2644" w:rsidRDefault="001529B1"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Il presente studio esamina</w:t>
      </w:r>
      <w:r w:rsidR="00BB6670" w:rsidRPr="00BF2644">
        <w:rPr>
          <w:rFonts w:ascii="Garamond" w:hAnsi="Garamond" w:cs="Times New Roman"/>
          <w:color w:val="000000" w:themeColor="text1"/>
          <w:sz w:val="28"/>
          <w:szCs w:val="28"/>
        </w:rPr>
        <w:t xml:space="preserve">, in modo sintetico e senza </w:t>
      </w:r>
      <w:r w:rsidR="002A291B" w:rsidRPr="00BF2644">
        <w:rPr>
          <w:rFonts w:ascii="Garamond" w:hAnsi="Garamond" w:cs="Times New Roman"/>
          <w:color w:val="000000" w:themeColor="text1"/>
          <w:sz w:val="28"/>
          <w:szCs w:val="28"/>
        </w:rPr>
        <w:t>alcuna pretesa di esaustività,</w:t>
      </w:r>
      <w:r w:rsidRPr="00BF2644">
        <w:rPr>
          <w:rFonts w:ascii="Garamond" w:hAnsi="Garamond" w:cs="Times New Roman"/>
          <w:color w:val="000000" w:themeColor="text1"/>
          <w:sz w:val="28"/>
          <w:szCs w:val="28"/>
        </w:rPr>
        <w:t xml:space="preserve"> la giurisprudenza delle giurisdizioni superiori relativa alle infrastrutture energetiche</w:t>
      </w:r>
      <w:r w:rsidR="00C306EC" w:rsidRPr="00BF2644">
        <w:rPr>
          <w:rFonts w:ascii="Garamond" w:hAnsi="Garamond" w:cs="Times New Roman"/>
          <w:color w:val="000000" w:themeColor="text1"/>
          <w:sz w:val="28"/>
          <w:szCs w:val="28"/>
        </w:rPr>
        <w:t xml:space="preserve"> e agli impianti industriali (impiantistica per gestione rifiuti, impiantistica per infrastrutture energetiche da fonti rinnovabili e produzione elettricità in genere, parchi eolici, impianti geotermici, impianti a bioliquidi, biomasse, biogas, infrastrutture energetiche lineari,</w:t>
      </w:r>
      <w:r w:rsidR="00C306EC" w:rsidRPr="00BF2644">
        <w:rPr>
          <w:rFonts w:ascii="Garamond" w:hAnsi="Garamond"/>
          <w:sz w:val="28"/>
          <w:szCs w:val="28"/>
        </w:rPr>
        <w:t xml:space="preserve"> </w:t>
      </w:r>
      <w:r w:rsidR="00C306EC" w:rsidRPr="00BF2644">
        <w:rPr>
          <w:rFonts w:ascii="Garamond" w:hAnsi="Garamond" w:cs="Times New Roman"/>
          <w:color w:val="000000" w:themeColor="text1"/>
          <w:sz w:val="28"/>
          <w:szCs w:val="28"/>
        </w:rPr>
        <w:t>impianti nucleari etc.) disciplinati</w:t>
      </w:r>
      <w:r w:rsidRPr="00BF2644">
        <w:rPr>
          <w:rFonts w:ascii="Garamond" w:hAnsi="Garamond" w:cs="Times New Roman"/>
          <w:color w:val="000000" w:themeColor="text1"/>
          <w:sz w:val="28"/>
          <w:szCs w:val="28"/>
        </w:rPr>
        <w:t xml:space="preserve"> sia a livello di normazione europea che a livello nazionale. </w:t>
      </w:r>
    </w:p>
    <w:p w:rsidR="00817C58" w:rsidRPr="00BF2644" w:rsidRDefault="00817C58"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In relazione ai connessi proced</w:t>
      </w:r>
      <w:r w:rsidR="002A291B" w:rsidRPr="00BF2644">
        <w:rPr>
          <w:rFonts w:ascii="Garamond" w:hAnsi="Garamond" w:cs="Times New Roman"/>
          <w:color w:val="000000" w:themeColor="text1"/>
          <w:sz w:val="28"/>
          <w:szCs w:val="28"/>
        </w:rPr>
        <w:t>imenti di valutazione ambientale</w:t>
      </w:r>
      <w:r w:rsidRPr="00BF2644">
        <w:rPr>
          <w:rFonts w:ascii="Garamond" w:hAnsi="Garamond" w:cs="Times New Roman"/>
          <w:color w:val="000000" w:themeColor="text1"/>
          <w:sz w:val="28"/>
          <w:szCs w:val="28"/>
        </w:rPr>
        <w:t xml:space="preserve"> (VIA, VAS, AUA, </w:t>
      </w:r>
      <w:r w:rsidR="008067CE" w:rsidRPr="005E7AC6">
        <w:rPr>
          <w:rFonts w:ascii="Garamond" w:hAnsi="Garamond" w:cs="Times New Roman"/>
          <w:color w:val="000000" w:themeColor="text1"/>
          <w:sz w:val="28"/>
          <w:szCs w:val="28"/>
        </w:rPr>
        <w:t xml:space="preserve">AU, </w:t>
      </w:r>
      <w:r w:rsidRPr="005E7AC6">
        <w:rPr>
          <w:rFonts w:ascii="Garamond" w:hAnsi="Garamond" w:cs="Times New Roman"/>
          <w:color w:val="000000" w:themeColor="text1"/>
          <w:sz w:val="28"/>
          <w:szCs w:val="28"/>
        </w:rPr>
        <w:t>AIA</w:t>
      </w:r>
      <w:r w:rsidRPr="00BF2644">
        <w:rPr>
          <w:rFonts w:ascii="Garamond" w:hAnsi="Garamond" w:cs="Times New Roman"/>
          <w:color w:val="000000" w:themeColor="text1"/>
          <w:sz w:val="28"/>
          <w:szCs w:val="28"/>
        </w:rPr>
        <w:t xml:space="preserve"> e VINCA), si rinvia alla relativa rassegna monotematica, trattando so</w:t>
      </w:r>
      <w:r w:rsidR="002A291B" w:rsidRPr="00BF2644">
        <w:rPr>
          <w:rFonts w:ascii="Garamond" w:hAnsi="Garamond" w:cs="Times New Roman"/>
          <w:color w:val="000000" w:themeColor="text1"/>
          <w:sz w:val="28"/>
          <w:szCs w:val="28"/>
        </w:rPr>
        <w:t>lo delle possibili interferenze fra le due tematiche.</w:t>
      </w:r>
    </w:p>
    <w:p w:rsidR="00BF2644" w:rsidRPr="00BF2644" w:rsidRDefault="00BF2644" w:rsidP="00BF2644">
      <w:pPr>
        <w:spacing w:line="240" w:lineRule="auto"/>
        <w:ind w:firstLine="709"/>
        <w:contextualSpacing/>
        <w:jc w:val="both"/>
        <w:rPr>
          <w:rFonts w:ascii="Garamond" w:hAnsi="Garamond" w:cs="Times New Roman"/>
          <w:color w:val="000000" w:themeColor="text1"/>
          <w:sz w:val="28"/>
          <w:szCs w:val="28"/>
        </w:rPr>
      </w:pPr>
    </w:p>
    <w:p w:rsidR="003F48D6" w:rsidRPr="00BF2644" w:rsidRDefault="003F48D6" w:rsidP="00BF2644">
      <w:pPr>
        <w:spacing w:line="240" w:lineRule="auto"/>
        <w:contextualSpacing/>
        <w:jc w:val="both"/>
        <w:rPr>
          <w:rFonts w:ascii="Garamond" w:hAnsi="Garamond" w:cs="Times New Roman"/>
          <w:b/>
          <w:color w:val="000000" w:themeColor="text1"/>
          <w:sz w:val="28"/>
          <w:szCs w:val="28"/>
        </w:rPr>
      </w:pPr>
      <w:r w:rsidRPr="00BF2644">
        <w:rPr>
          <w:rFonts w:ascii="Garamond" w:hAnsi="Garamond" w:cs="Times New Roman"/>
          <w:b/>
          <w:color w:val="000000" w:themeColor="text1"/>
          <w:sz w:val="28"/>
          <w:szCs w:val="28"/>
        </w:rPr>
        <w:t>1. Impiantistica per gestione rifiuti</w:t>
      </w:r>
    </w:p>
    <w:p w:rsidR="00B41CF0" w:rsidRPr="009B57B9" w:rsidRDefault="003F48D6" w:rsidP="000722BF">
      <w:pPr>
        <w:spacing w:line="240" w:lineRule="auto"/>
        <w:ind w:firstLine="709"/>
        <w:contextualSpacing/>
        <w:jc w:val="both"/>
        <w:rPr>
          <w:rFonts w:ascii="Garamond" w:hAnsi="Garamond" w:cs="Times New Roman"/>
          <w:color w:val="000000" w:themeColor="text1"/>
          <w:sz w:val="28"/>
          <w:szCs w:val="28"/>
        </w:rPr>
      </w:pPr>
      <w:r w:rsidRPr="009B57B9">
        <w:rPr>
          <w:rFonts w:ascii="Garamond" w:hAnsi="Garamond" w:cs="Times New Roman"/>
          <w:color w:val="000000" w:themeColor="text1"/>
          <w:sz w:val="28"/>
          <w:szCs w:val="28"/>
        </w:rPr>
        <w:lastRenderedPageBreak/>
        <w:t>L’impiantistica per la gestione dei rifiuti è disciplinata a livello eurounitario</w:t>
      </w:r>
      <w:r w:rsidR="009D4DE6" w:rsidRPr="009B57B9">
        <w:rPr>
          <w:rFonts w:ascii="Garamond" w:hAnsi="Garamond" w:cs="Times New Roman"/>
          <w:color w:val="000000" w:themeColor="text1"/>
          <w:sz w:val="28"/>
          <w:szCs w:val="28"/>
        </w:rPr>
        <w:t xml:space="preserve">, oltre che dalle direttive in materia </w:t>
      </w:r>
      <w:r w:rsidR="00B41CF0" w:rsidRPr="009B57B9">
        <w:rPr>
          <w:rFonts w:ascii="Garamond" w:hAnsi="Garamond" w:cs="Times New Roman"/>
          <w:color w:val="000000" w:themeColor="text1"/>
          <w:sz w:val="28"/>
          <w:szCs w:val="28"/>
        </w:rPr>
        <w:t>ambientale (direttive 2001/42/CE e 85/337/CEE, come successivamente modificate dalle direttive 97/11/CE e 2003/32/CE), in</w:t>
      </w:r>
      <w:r w:rsidRPr="009B57B9">
        <w:rPr>
          <w:rFonts w:ascii="Garamond" w:hAnsi="Garamond" w:cs="Times New Roman"/>
          <w:color w:val="000000" w:themeColor="text1"/>
          <w:sz w:val="28"/>
          <w:szCs w:val="28"/>
        </w:rPr>
        <w:t xml:space="preserve"> primo luogo </w:t>
      </w:r>
      <w:r w:rsidR="00231490" w:rsidRPr="009B57B9">
        <w:rPr>
          <w:rFonts w:ascii="Garamond" w:hAnsi="Garamond" w:cs="Times New Roman"/>
          <w:color w:val="000000" w:themeColor="text1"/>
          <w:sz w:val="28"/>
          <w:szCs w:val="28"/>
        </w:rPr>
        <w:t>da</w:t>
      </w:r>
      <w:r w:rsidR="00804477" w:rsidRPr="009B57B9">
        <w:rPr>
          <w:rFonts w:ascii="Garamond" w:hAnsi="Garamond" w:cs="Times New Roman"/>
          <w:color w:val="000000" w:themeColor="text1"/>
          <w:sz w:val="28"/>
          <w:szCs w:val="28"/>
        </w:rPr>
        <w:t xml:space="preserve">lla </w:t>
      </w:r>
      <w:r w:rsidR="006C564E" w:rsidRPr="009B57B9">
        <w:rPr>
          <w:rFonts w:ascii="Garamond" w:hAnsi="Garamond" w:cs="Times New Roman"/>
          <w:color w:val="000000" w:themeColor="text1"/>
          <w:sz w:val="28"/>
          <w:szCs w:val="28"/>
        </w:rPr>
        <w:t>direttiva</w:t>
      </w:r>
      <w:r w:rsidRPr="009B57B9">
        <w:rPr>
          <w:rFonts w:ascii="Garamond" w:hAnsi="Garamond" w:cs="Times New Roman"/>
          <w:color w:val="000000" w:themeColor="text1"/>
          <w:sz w:val="28"/>
          <w:szCs w:val="28"/>
        </w:rPr>
        <w:t xml:space="preserve"> 2008/98/CE “</w:t>
      </w:r>
      <w:r w:rsidR="006C564E" w:rsidRPr="009B57B9">
        <w:rPr>
          <w:rFonts w:ascii="Garamond" w:hAnsi="Garamond" w:cs="Times New Roman"/>
          <w:i/>
          <w:color w:val="000000" w:themeColor="text1"/>
          <w:sz w:val="28"/>
          <w:szCs w:val="28"/>
        </w:rPr>
        <w:t>direttiva quadro r</w:t>
      </w:r>
      <w:r w:rsidRPr="009B57B9">
        <w:rPr>
          <w:rFonts w:ascii="Garamond" w:hAnsi="Garamond" w:cs="Times New Roman"/>
          <w:i/>
          <w:color w:val="000000" w:themeColor="text1"/>
          <w:sz w:val="28"/>
          <w:szCs w:val="28"/>
        </w:rPr>
        <w:t>ifiuti</w:t>
      </w:r>
      <w:r w:rsidRPr="009B57B9">
        <w:rPr>
          <w:rFonts w:ascii="Garamond" w:hAnsi="Garamond" w:cs="Times New Roman"/>
          <w:color w:val="000000" w:themeColor="text1"/>
          <w:sz w:val="28"/>
          <w:szCs w:val="28"/>
        </w:rPr>
        <w:t>”</w:t>
      </w:r>
      <w:r w:rsidR="004741DC" w:rsidRPr="009B57B9">
        <w:rPr>
          <w:rFonts w:ascii="Garamond" w:hAnsi="Garamond" w:cs="Times New Roman"/>
          <w:color w:val="000000" w:themeColor="text1"/>
          <w:sz w:val="28"/>
          <w:szCs w:val="28"/>
        </w:rPr>
        <w:t xml:space="preserve">, </w:t>
      </w:r>
      <w:r w:rsidR="008067CE" w:rsidRPr="009B57B9">
        <w:rPr>
          <w:rFonts w:ascii="Garamond" w:hAnsi="Garamond" w:cs="Times New Roman"/>
          <w:color w:val="000000" w:themeColor="text1"/>
          <w:sz w:val="28"/>
          <w:szCs w:val="28"/>
        </w:rPr>
        <w:t xml:space="preserve">recentemente modificata dalla </w:t>
      </w:r>
      <w:r w:rsidR="006C564E" w:rsidRPr="009B57B9">
        <w:rPr>
          <w:rFonts w:ascii="Garamond" w:hAnsi="Garamond" w:cs="Times New Roman"/>
          <w:color w:val="000000" w:themeColor="text1"/>
          <w:sz w:val="28"/>
          <w:szCs w:val="28"/>
        </w:rPr>
        <w:t>direttiva</w:t>
      </w:r>
      <w:r w:rsidR="004741DC" w:rsidRPr="009B57B9">
        <w:rPr>
          <w:rFonts w:ascii="Garamond" w:hAnsi="Garamond" w:cs="Times New Roman"/>
          <w:color w:val="000000" w:themeColor="text1"/>
          <w:sz w:val="28"/>
          <w:szCs w:val="28"/>
        </w:rPr>
        <w:t xml:space="preserve"> 2018/851/UE,  </w:t>
      </w:r>
      <w:r w:rsidR="00770CFE">
        <w:rPr>
          <w:rFonts w:ascii="Garamond" w:hAnsi="Garamond" w:cs="Times New Roman"/>
          <w:color w:val="000000" w:themeColor="text1"/>
          <w:sz w:val="28"/>
          <w:szCs w:val="28"/>
        </w:rPr>
        <w:t>che fissa i princì</w:t>
      </w:r>
      <w:r w:rsidRPr="009B57B9">
        <w:rPr>
          <w:rFonts w:ascii="Garamond" w:hAnsi="Garamond" w:cs="Times New Roman"/>
          <w:color w:val="000000" w:themeColor="text1"/>
          <w:sz w:val="28"/>
          <w:szCs w:val="28"/>
        </w:rPr>
        <w:t>pi della materia</w:t>
      </w:r>
      <w:r w:rsidR="00231490" w:rsidRPr="009B57B9">
        <w:rPr>
          <w:rFonts w:ascii="Garamond" w:hAnsi="Garamond" w:cs="Times New Roman"/>
          <w:color w:val="000000" w:themeColor="text1"/>
          <w:sz w:val="28"/>
          <w:szCs w:val="28"/>
        </w:rPr>
        <w:t>,</w:t>
      </w:r>
      <w:r w:rsidRPr="009B57B9">
        <w:rPr>
          <w:rFonts w:ascii="Garamond" w:hAnsi="Garamond" w:cs="Times New Roman"/>
          <w:color w:val="000000" w:themeColor="text1"/>
          <w:sz w:val="28"/>
          <w:szCs w:val="28"/>
        </w:rPr>
        <w:t xml:space="preserve"> nonché, quanto alle discariche dei </w:t>
      </w:r>
      <w:r w:rsidR="00231490" w:rsidRPr="009B57B9">
        <w:rPr>
          <w:rFonts w:ascii="Garamond" w:hAnsi="Garamond" w:cs="Times New Roman"/>
          <w:color w:val="000000" w:themeColor="text1"/>
          <w:sz w:val="28"/>
          <w:szCs w:val="28"/>
        </w:rPr>
        <w:t>rifiuti, da</w:t>
      </w:r>
      <w:r w:rsidR="00804477" w:rsidRPr="009B57B9">
        <w:rPr>
          <w:rFonts w:ascii="Garamond" w:hAnsi="Garamond" w:cs="Times New Roman"/>
          <w:color w:val="000000" w:themeColor="text1"/>
          <w:sz w:val="28"/>
          <w:szCs w:val="28"/>
        </w:rPr>
        <w:t>lla</w:t>
      </w:r>
      <w:r w:rsidRPr="009B57B9">
        <w:rPr>
          <w:rFonts w:ascii="Garamond" w:hAnsi="Garamond" w:cs="Times New Roman"/>
          <w:color w:val="000000" w:themeColor="text1"/>
          <w:sz w:val="28"/>
          <w:szCs w:val="28"/>
        </w:rPr>
        <w:t xml:space="preserve"> </w:t>
      </w:r>
      <w:r w:rsidR="006C564E" w:rsidRPr="009B57B9">
        <w:rPr>
          <w:rFonts w:ascii="Garamond" w:hAnsi="Garamond" w:cs="Times New Roman"/>
          <w:color w:val="000000" w:themeColor="text1"/>
          <w:sz w:val="28"/>
          <w:szCs w:val="28"/>
        </w:rPr>
        <w:t>direttiva</w:t>
      </w:r>
      <w:r w:rsidR="00C75139" w:rsidRPr="009B57B9">
        <w:rPr>
          <w:rFonts w:ascii="Garamond" w:hAnsi="Garamond" w:cs="Times New Roman"/>
          <w:color w:val="000000" w:themeColor="text1"/>
          <w:sz w:val="28"/>
          <w:szCs w:val="28"/>
        </w:rPr>
        <w:t xml:space="preserve"> 1999/31/Ce del C</w:t>
      </w:r>
      <w:r w:rsidRPr="009B57B9">
        <w:rPr>
          <w:rFonts w:ascii="Garamond" w:hAnsi="Garamond" w:cs="Times New Roman"/>
          <w:color w:val="000000" w:themeColor="text1"/>
          <w:sz w:val="28"/>
          <w:szCs w:val="28"/>
        </w:rPr>
        <w:t xml:space="preserve">onsiglio, del </w:t>
      </w:r>
      <w:r w:rsidR="00D96F0A" w:rsidRPr="009B57B9">
        <w:rPr>
          <w:rFonts w:ascii="Garamond" w:hAnsi="Garamond" w:cs="Times New Roman"/>
          <w:color w:val="000000" w:themeColor="text1"/>
          <w:sz w:val="28"/>
          <w:szCs w:val="28"/>
        </w:rPr>
        <w:t xml:space="preserve">26 aprile 1999, attuata con il </w:t>
      </w:r>
      <w:r w:rsidR="004F0CCD">
        <w:rPr>
          <w:rFonts w:ascii="Garamond" w:hAnsi="Garamond" w:cs="Times New Roman"/>
          <w:color w:val="000000" w:themeColor="text1"/>
          <w:sz w:val="28"/>
          <w:szCs w:val="28"/>
        </w:rPr>
        <w:t>d.lgs.</w:t>
      </w:r>
      <w:r w:rsidR="008067CE" w:rsidRPr="009B57B9">
        <w:rPr>
          <w:rFonts w:ascii="Garamond" w:hAnsi="Garamond" w:cs="Times New Roman"/>
          <w:color w:val="000000" w:themeColor="text1"/>
          <w:sz w:val="28"/>
          <w:szCs w:val="28"/>
        </w:rPr>
        <w:t xml:space="preserve"> </w:t>
      </w:r>
      <w:r w:rsidR="000722BF" w:rsidRPr="009B57B9">
        <w:rPr>
          <w:rFonts w:ascii="Garamond" w:hAnsi="Garamond" w:cs="Times New Roman"/>
          <w:color w:val="000000" w:themeColor="text1"/>
          <w:sz w:val="28"/>
          <w:szCs w:val="28"/>
        </w:rPr>
        <w:t>n. 13 gennaio 2003 n. 36</w:t>
      </w:r>
      <w:r w:rsidR="004741DC" w:rsidRPr="009B57B9">
        <w:rPr>
          <w:rFonts w:ascii="Garamond" w:hAnsi="Garamond" w:cs="Times New Roman"/>
          <w:color w:val="000000" w:themeColor="text1"/>
          <w:sz w:val="28"/>
          <w:szCs w:val="28"/>
        </w:rPr>
        <w:t xml:space="preserve">, come successivamente modificata da ultimo dalla </w:t>
      </w:r>
      <w:r w:rsidR="006C564E" w:rsidRPr="009B57B9">
        <w:rPr>
          <w:rFonts w:ascii="Garamond" w:hAnsi="Garamond" w:cs="Times New Roman"/>
          <w:color w:val="000000" w:themeColor="text1"/>
          <w:sz w:val="28"/>
          <w:szCs w:val="28"/>
        </w:rPr>
        <w:t>direttiva</w:t>
      </w:r>
      <w:r w:rsidR="00D96F0A" w:rsidRPr="009B57B9">
        <w:rPr>
          <w:rFonts w:ascii="Garamond" w:hAnsi="Garamond" w:cs="Times New Roman"/>
          <w:color w:val="000000" w:themeColor="text1"/>
          <w:sz w:val="28"/>
          <w:szCs w:val="28"/>
        </w:rPr>
        <w:t xml:space="preserve"> 2018/850/UE, attuata con il </w:t>
      </w:r>
      <w:r w:rsidR="004F0CCD">
        <w:rPr>
          <w:rFonts w:ascii="Garamond" w:hAnsi="Garamond" w:cs="Times New Roman"/>
          <w:color w:val="000000" w:themeColor="text1"/>
          <w:sz w:val="28"/>
          <w:szCs w:val="28"/>
        </w:rPr>
        <w:t>d.lgs.</w:t>
      </w:r>
      <w:r w:rsidR="004741DC" w:rsidRPr="009B57B9">
        <w:rPr>
          <w:rFonts w:ascii="Garamond" w:hAnsi="Garamond" w:cs="Times New Roman"/>
          <w:color w:val="000000" w:themeColor="text1"/>
          <w:sz w:val="28"/>
          <w:szCs w:val="28"/>
        </w:rPr>
        <w:t xml:space="preserve"> 3 settembre 2020 n. 121.</w:t>
      </w:r>
    </w:p>
    <w:p w:rsidR="003F48D6" w:rsidRPr="009B57B9" w:rsidRDefault="003F48D6" w:rsidP="000722BF">
      <w:pPr>
        <w:spacing w:line="240" w:lineRule="auto"/>
        <w:ind w:firstLine="709"/>
        <w:contextualSpacing/>
        <w:jc w:val="both"/>
        <w:rPr>
          <w:rFonts w:ascii="Garamond" w:hAnsi="Garamond" w:cs="Times New Roman"/>
          <w:color w:val="000000" w:themeColor="text1"/>
          <w:sz w:val="28"/>
          <w:szCs w:val="28"/>
        </w:rPr>
      </w:pPr>
      <w:r w:rsidRPr="009B57B9">
        <w:rPr>
          <w:rFonts w:ascii="Garamond" w:hAnsi="Garamond" w:cs="Times New Roman"/>
          <w:color w:val="000000" w:themeColor="text1"/>
          <w:sz w:val="28"/>
          <w:szCs w:val="28"/>
        </w:rPr>
        <w:t>In ambito interno la materia è disciplinata</w:t>
      </w:r>
      <w:r w:rsidR="00D96F0A" w:rsidRPr="009B57B9">
        <w:rPr>
          <w:rFonts w:ascii="Garamond" w:hAnsi="Garamond" w:cs="Times New Roman"/>
          <w:color w:val="000000" w:themeColor="text1"/>
          <w:sz w:val="28"/>
          <w:szCs w:val="28"/>
        </w:rPr>
        <w:t>,</w:t>
      </w:r>
      <w:r w:rsidR="004741DC" w:rsidRPr="009B57B9">
        <w:rPr>
          <w:rFonts w:ascii="Garamond" w:hAnsi="Garamond" w:cs="Times New Roman"/>
          <w:color w:val="000000" w:themeColor="text1"/>
          <w:sz w:val="28"/>
          <w:szCs w:val="28"/>
        </w:rPr>
        <w:t xml:space="preserve"> oltre che dagli </w:t>
      </w:r>
      <w:r w:rsidR="00F2693E" w:rsidRPr="009B57B9">
        <w:rPr>
          <w:rFonts w:ascii="Garamond" w:hAnsi="Garamond" w:cs="Times New Roman"/>
          <w:color w:val="000000" w:themeColor="text1"/>
          <w:sz w:val="28"/>
          <w:szCs w:val="28"/>
        </w:rPr>
        <w:t>indicati testi</w:t>
      </w:r>
      <w:r w:rsidR="000722BF" w:rsidRPr="009B57B9">
        <w:rPr>
          <w:rFonts w:ascii="Garamond" w:hAnsi="Garamond" w:cs="Times New Roman"/>
          <w:color w:val="000000" w:themeColor="text1"/>
          <w:sz w:val="28"/>
          <w:szCs w:val="28"/>
        </w:rPr>
        <w:t xml:space="preserve"> </w:t>
      </w:r>
      <w:r w:rsidR="004741DC" w:rsidRPr="009B57B9">
        <w:rPr>
          <w:rFonts w:ascii="Garamond" w:hAnsi="Garamond" w:cs="Times New Roman"/>
          <w:color w:val="000000" w:themeColor="text1"/>
          <w:sz w:val="28"/>
          <w:szCs w:val="28"/>
        </w:rPr>
        <w:t>normativi</w:t>
      </w:r>
      <w:r w:rsidR="000722BF" w:rsidRPr="009B57B9">
        <w:rPr>
          <w:rFonts w:ascii="Garamond" w:hAnsi="Garamond" w:cs="Times New Roman"/>
          <w:color w:val="000000" w:themeColor="text1"/>
          <w:sz w:val="28"/>
          <w:szCs w:val="28"/>
        </w:rPr>
        <w:t>, dal</w:t>
      </w:r>
      <w:r w:rsidRPr="009B57B9">
        <w:rPr>
          <w:rFonts w:ascii="Garamond" w:hAnsi="Garamond" w:cs="Times New Roman"/>
          <w:color w:val="000000" w:themeColor="text1"/>
          <w:sz w:val="28"/>
          <w:szCs w:val="28"/>
        </w:rPr>
        <w:t xml:space="preserve"> </w:t>
      </w:r>
      <w:r w:rsidR="004F0CCD">
        <w:rPr>
          <w:rFonts w:ascii="Garamond" w:hAnsi="Garamond" w:cs="Times New Roman"/>
          <w:color w:val="000000" w:themeColor="text1"/>
          <w:sz w:val="28"/>
          <w:szCs w:val="28"/>
        </w:rPr>
        <w:t>d.lgs.</w:t>
      </w:r>
      <w:r w:rsidR="008067CE" w:rsidRPr="009B57B9">
        <w:rPr>
          <w:rFonts w:ascii="Garamond" w:hAnsi="Garamond" w:cs="Times New Roman"/>
          <w:color w:val="000000" w:themeColor="text1"/>
          <w:sz w:val="28"/>
          <w:szCs w:val="28"/>
        </w:rPr>
        <w:t xml:space="preserve"> </w:t>
      </w:r>
      <w:r w:rsidR="000722BF" w:rsidRPr="009B57B9">
        <w:rPr>
          <w:rFonts w:ascii="Garamond" w:hAnsi="Garamond" w:cs="Times New Roman"/>
          <w:color w:val="000000" w:themeColor="text1"/>
          <w:sz w:val="28"/>
          <w:szCs w:val="28"/>
        </w:rPr>
        <w:t>3 aprile 2006, n. 152 (c.d. codice dell'ambiente), con il quale sono state recepite le direttive 2001/42/CE e 85/3</w:t>
      </w:r>
      <w:r w:rsidR="00B41CF0" w:rsidRPr="009B57B9">
        <w:rPr>
          <w:rFonts w:ascii="Garamond" w:hAnsi="Garamond" w:cs="Times New Roman"/>
          <w:color w:val="000000" w:themeColor="text1"/>
          <w:sz w:val="28"/>
          <w:szCs w:val="28"/>
        </w:rPr>
        <w:t>3</w:t>
      </w:r>
      <w:r w:rsidR="000722BF" w:rsidRPr="009B57B9">
        <w:rPr>
          <w:rFonts w:ascii="Garamond" w:hAnsi="Garamond" w:cs="Times New Roman"/>
          <w:color w:val="000000" w:themeColor="text1"/>
          <w:sz w:val="28"/>
          <w:szCs w:val="28"/>
        </w:rPr>
        <w:t xml:space="preserve">7/CEE, come modificate dalle direttive 97/11/CE e 2003/32/CE, </w:t>
      </w:r>
      <w:r w:rsidRPr="009B57B9">
        <w:rPr>
          <w:rFonts w:ascii="Garamond" w:hAnsi="Garamond" w:cs="Times New Roman"/>
          <w:color w:val="000000" w:themeColor="text1"/>
          <w:sz w:val="28"/>
          <w:szCs w:val="28"/>
        </w:rPr>
        <w:t>che regola sia il riparto di competenze tra lo Stato e gli enti territoriali che il procedimento per il rilascio dell’</w:t>
      </w:r>
      <w:r w:rsidR="008067CE" w:rsidRPr="009B57B9">
        <w:rPr>
          <w:rFonts w:ascii="Garamond" w:hAnsi="Garamond" w:cs="Times New Roman"/>
          <w:color w:val="000000" w:themeColor="text1"/>
          <w:sz w:val="28"/>
          <w:szCs w:val="28"/>
        </w:rPr>
        <w:t>a</w:t>
      </w:r>
      <w:r w:rsidR="00AE6765" w:rsidRPr="009B57B9">
        <w:rPr>
          <w:rFonts w:ascii="Garamond" w:hAnsi="Garamond" w:cs="Times New Roman"/>
          <w:color w:val="000000" w:themeColor="text1"/>
          <w:sz w:val="28"/>
          <w:szCs w:val="28"/>
        </w:rPr>
        <w:t xml:space="preserve">utorizzazione </w:t>
      </w:r>
      <w:r w:rsidR="008067CE" w:rsidRPr="009B57B9">
        <w:rPr>
          <w:rFonts w:ascii="Garamond" w:hAnsi="Garamond" w:cs="Times New Roman"/>
          <w:color w:val="000000" w:themeColor="text1"/>
          <w:sz w:val="28"/>
          <w:szCs w:val="28"/>
        </w:rPr>
        <w:t>u</w:t>
      </w:r>
      <w:r w:rsidR="00AE6765" w:rsidRPr="009B57B9">
        <w:rPr>
          <w:rFonts w:ascii="Garamond" w:hAnsi="Garamond" w:cs="Times New Roman"/>
          <w:color w:val="000000" w:themeColor="text1"/>
          <w:sz w:val="28"/>
          <w:szCs w:val="28"/>
        </w:rPr>
        <w:t>nica.</w:t>
      </w:r>
      <w:r w:rsidR="00CD5857" w:rsidRPr="009B57B9">
        <w:rPr>
          <w:rFonts w:ascii="Garamond" w:hAnsi="Garamond" w:cs="Times New Roman"/>
          <w:color w:val="000000" w:themeColor="text1"/>
          <w:sz w:val="28"/>
          <w:szCs w:val="28"/>
        </w:rPr>
        <w:t xml:space="preserve"> Detto testo normativo è stato altresì aggiornato per adeguarlo </w:t>
      </w:r>
      <w:r w:rsidR="004741DC" w:rsidRPr="009B57B9">
        <w:rPr>
          <w:rFonts w:ascii="Garamond" w:hAnsi="Garamond" w:cs="Times New Roman"/>
          <w:color w:val="000000" w:themeColor="text1"/>
          <w:sz w:val="28"/>
          <w:szCs w:val="28"/>
        </w:rPr>
        <w:t xml:space="preserve">all’indicata </w:t>
      </w:r>
      <w:r w:rsidR="006C564E" w:rsidRPr="009B57B9">
        <w:rPr>
          <w:rFonts w:ascii="Garamond" w:hAnsi="Garamond" w:cs="Times New Roman"/>
          <w:color w:val="000000" w:themeColor="text1"/>
          <w:sz w:val="28"/>
          <w:szCs w:val="28"/>
        </w:rPr>
        <w:t>direttiva</w:t>
      </w:r>
      <w:r w:rsidR="00CD5857" w:rsidRPr="009B57B9">
        <w:rPr>
          <w:rFonts w:ascii="Garamond" w:hAnsi="Garamond" w:cs="Times New Roman"/>
          <w:color w:val="000000" w:themeColor="text1"/>
          <w:sz w:val="28"/>
          <w:szCs w:val="28"/>
        </w:rPr>
        <w:t xml:space="preserve"> 2008/98/CE.</w:t>
      </w:r>
    </w:p>
    <w:p w:rsidR="003F48D6" w:rsidRDefault="00AE6765" w:rsidP="00BF2644">
      <w:pPr>
        <w:spacing w:line="240" w:lineRule="auto"/>
        <w:ind w:firstLine="709"/>
        <w:contextualSpacing/>
        <w:jc w:val="both"/>
        <w:rPr>
          <w:rFonts w:ascii="Garamond" w:hAnsi="Garamond" w:cs="Times New Roman"/>
          <w:color w:val="000000" w:themeColor="text1"/>
          <w:sz w:val="28"/>
          <w:szCs w:val="28"/>
        </w:rPr>
      </w:pPr>
      <w:r w:rsidRPr="009B57B9">
        <w:rPr>
          <w:rFonts w:ascii="Garamond" w:hAnsi="Garamond" w:cs="Times New Roman"/>
          <w:color w:val="000000" w:themeColor="text1"/>
          <w:sz w:val="28"/>
          <w:szCs w:val="28"/>
        </w:rPr>
        <w:t xml:space="preserve">In tale quadro verranno pertanto </w:t>
      </w:r>
      <w:r w:rsidRPr="009B57B9">
        <w:rPr>
          <w:rFonts w:ascii="Garamond" w:hAnsi="Garamond" w:cs="Times New Roman"/>
          <w:i/>
          <w:color w:val="000000" w:themeColor="text1"/>
          <w:sz w:val="28"/>
          <w:szCs w:val="28"/>
        </w:rPr>
        <w:t>in primis</w:t>
      </w:r>
      <w:r w:rsidR="00770CFE">
        <w:rPr>
          <w:rFonts w:ascii="Garamond" w:hAnsi="Garamond" w:cs="Times New Roman"/>
          <w:color w:val="000000" w:themeColor="text1"/>
          <w:sz w:val="28"/>
          <w:szCs w:val="28"/>
        </w:rPr>
        <w:t xml:space="preserve"> delineati i princì</w:t>
      </w:r>
      <w:r w:rsidRPr="009B57B9">
        <w:rPr>
          <w:rFonts w:ascii="Garamond" w:hAnsi="Garamond" w:cs="Times New Roman"/>
          <w:color w:val="000000" w:themeColor="text1"/>
          <w:sz w:val="28"/>
          <w:szCs w:val="28"/>
        </w:rPr>
        <w:t xml:space="preserve">pi della materia, evincibili soprattutto dalla giurisprudenza della Corte di </w:t>
      </w:r>
      <w:r w:rsidR="006C564E" w:rsidRPr="009B57B9">
        <w:rPr>
          <w:rFonts w:ascii="Garamond" w:hAnsi="Garamond" w:cs="Times New Roman"/>
          <w:color w:val="000000" w:themeColor="text1"/>
          <w:sz w:val="28"/>
          <w:szCs w:val="28"/>
        </w:rPr>
        <w:t>giustizia</w:t>
      </w:r>
      <w:r w:rsidR="00F2693E" w:rsidRPr="009B57B9">
        <w:rPr>
          <w:rFonts w:ascii="Garamond" w:hAnsi="Garamond" w:cs="Times New Roman"/>
          <w:color w:val="000000" w:themeColor="text1"/>
          <w:sz w:val="28"/>
          <w:szCs w:val="28"/>
        </w:rPr>
        <w:t xml:space="preserve"> dell’Unione </w:t>
      </w:r>
      <w:r w:rsidR="008067CE" w:rsidRPr="009B57B9">
        <w:rPr>
          <w:rFonts w:ascii="Garamond" w:hAnsi="Garamond" w:cs="Times New Roman"/>
          <w:color w:val="000000" w:themeColor="text1"/>
          <w:sz w:val="28"/>
          <w:szCs w:val="28"/>
        </w:rPr>
        <w:t>e</w:t>
      </w:r>
      <w:r w:rsidR="00F2693E" w:rsidRPr="009B57B9">
        <w:rPr>
          <w:rFonts w:ascii="Garamond" w:hAnsi="Garamond" w:cs="Times New Roman"/>
          <w:color w:val="000000" w:themeColor="text1"/>
          <w:sz w:val="28"/>
          <w:szCs w:val="28"/>
        </w:rPr>
        <w:t>uropea</w:t>
      </w:r>
      <w:r w:rsidRPr="009B57B9">
        <w:rPr>
          <w:rFonts w:ascii="Garamond" w:hAnsi="Garamond" w:cs="Times New Roman"/>
          <w:color w:val="000000" w:themeColor="text1"/>
          <w:sz w:val="28"/>
          <w:szCs w:val="28"/>
        </w:rPr>
        <w:t xml:space="preserve"> e della Corte </w:t>
      </w:r>
      <w:r w:rsidR="008067CE" w:rsidRPr="009B57B9">
        <w:rPr>
          <w:rFonts w:ascii="Garamond" w:hAnsi="Garamond" w:cs="Times New Roman"/>
          <w:color w:val="000000" w:themeColor="text1"/>
          <w:sz w:val="28"/>
          <w:szCs w:val="28"/>
        </w:rPr>
        <w:t>c</w:t>
      </w:r>
      <w:r w:rsidRPr="009B57B9">
        <w:rPr>
          <w:rFonts w:ascii="Garamond" w:hAnsi="Garamond" w:cs="Times New Roman"/>
          <w:color w:val="000000" w:themeColor="text1"/>
          <w:sz w:val="28"/>
          <w:szCs w:val="28"/>
        </w:rPr>
        <w:t>ostituzionale ed in se</w:t>
      </w:r>
      <w:r w:rsidR="00231490" w:rsidRPr="009B57B9">
        <w:rPr>
          <w:rFonts w:ascii="Garamond" w:hAnsi="Garamond" w:cs="Times New Roman"/>
          <w:color w:val="000000" w:themeColor="text1"/>
          <w:sz w:val="28"/>
          <w:szCs w:val="28"/>
        </w:rPr>
        <w:t>condo luogo verranno</w:t>
      </w:r>
      <w:r w:rsidRPr="009B57B9">
        <w:rPr>
          <w:rFonts w:ascii="Garamond" w:hAnsi="Garamond" w:cs="Times New Roman"/>
          <w:color w:val="000000" w:themeColor="text1"/>
          <w:sz w:val="28"/>
          <w:szCs w:val="28"/>
        </w:rPr>
        <w:t xml:space="preserve"> esaminate le questioni di maggior rilievo affrontate della giurisprudenza del Consiglio di Stato.</w:t>
      </w:r>
      <w:r w:rsidRPr="00BF2644">
        <w:rPr>
          <w:rFonts w:ascii="Garamond" w:hAnsi="Garamond" w:cs="Times New Roman"/>
          <w:color w:val="000000" w:themeColor="text1"/>
          <w:sz w:val="28"/>
          <w:szCs w:val="28"/>
        </w:rPr>
        <w:t xml:space="preserve"> </w:t>
      </w:r>
    </w:p>
    <w:p w:rsidR="00BF2644" w:rsidRPr="00BF2644" w:rsidRDefault="00BF2644" w:rsidP="00BF2644">
      <w:pPr>
        <w:spacing w:line="240" w:lineRule="auto"/>
        <w:ind w:firstLine="709"/>
        <w:contextualSpacing/>
        <w:jc w:val="both"/>
        <w:rPr>
          <w:rFonts w:ascii="Garamond" w:hAnsi="Garamond" w:cs="Times New Roman"/>
          <w:color w:val="000000" w:themeColor="text1"/>
          <w:sz w:val="28"/>
          <w:szCs w:val="28"/>
        </w:rPr>
      </w:pPr>
    </w:p>
    <w:p w:rsidR="00E725DC" w:rsidRPr="00603298" w:rsidRDefault="00817C58" w:rsidP="00B41CF0">
      <w:pPr>
        <w:pStyle w:val="Paragrafoelenco"/>
        <w:numPr>
          <w:ilvl w:val="1"/>
          <w:numId w:val="20"/>
        </w:numPr>
        <w:spacing w:after="0" w:line="240" w:lineRule="auto"/>
        <w:jc w:val="both"/>
        <w:rPr>
          <w:rFonts w:ascii="Garamond" w:hAnsi="Garamond" w:cs="Times New Roman"/>
          <w:b/>
          <w:color w:val="000000" w:themeColor="text1"/>
          <w:sz w:val="28"/>
          <w:szCs w:val="28"/>
        </w:rPr>
      </w:pPr>
      <w:r w:rsidRPr="00603298">
        <w:rPr>
          <w:rFonts w:ascii="Garamond" w:hAnsi="Garamond" w:cs="Times New Roman"/>
          <w:b/>
          <w:color w:val="000000" w:themeColor="text1"/>
          <w:sz w:val="28"/>
          <w:szCs w:val="28"/>
        </w:rPr>
        <w:t>La giurisp</w:t>
      </w:r>
      <w:r w:rsidR="009D0737">
        <w:rPr>
          <w:rFonts w:ascii="Garamond" w:hAnsi="Garamond" w:cs="Times New Roman"/>
          <w:b/>
          <w:color w:val="000000" w:themeColor="text1"/>
          <w:sz w:val="28"/>
          <w:szCs w:val="28"/>
        </w:rPr>
        <w:t xml:space="preserve">rudenza della Corte di </w:t>
      </w:r>
      <w:r w:rsidR="006C564E">
        <w:rPr>
          <w:rFonts w:ascii="Garamond" w:hAnsi="Garamond" w:cs="Times New Roman"/>
          <w:b/>
          <w:color w:val="000000" w:themeColor="text1"/>
          <w:sz w:val="28"/>
          <w:szCs w:val="28"/>
        </w:rPr>
        <w:t>giustizia</w:t>
      </w:r>
      <w:r w:rsidR="00266741">
        <w:rPr>
          <w:rFonts w:ascii="Garamond" w:hAnsi="Garamond" w:cs="Times New Roman"/>
          <w:b/>
          <w:color w:val="000000" w:themeColor="text1"/>
          <w:sz w:val="28"/>
          <w:szCs w:val="28"/>
        </w:rPr>
        <w:t xml:space="preserve"> dell’Unione </w:t>
      </w:r>
      <w:r w:rsidR="00266741" w:rsidRPr="009B57B9">
        <w:rPr>
          <w:rFonts w:ascii="Garamond" w:hAnsi="Garamond" w:cs="Times New Roman"/>
          <w:b/>
          <w:sz w:val="28"/>
          <w:szCs w:val="28"/>
        </w:rPr>
        <w:t>e</w:t>
      </w:r>
      <w:r w:rsidR="000722BF" w:rsidRPr="009B57B9">
        <w:rPr>
          <w:rFonts w:ascii="Garamond" w:hAnsi="Garamond" w:cs="Times New Roman"/>
          <w:b/>
          <w:sz w:val="28"/>
          <w:szCs w:val="28"/>
        </w:rPr>
        <w:t>uropea</w:t>
      </w:r>
    </w:p>
    <w:p w:rsidR="00002F29" w:rsidRPr="00BF2644" w:rsidRDefault="00002F29" w:rsidP="00B41CF0">
      <w:pPr>
        <w:spacing w:after="0"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La tutela ambientale</w:t>
      </w:r>
      <w:r w:rsidR="00231490" w:rsidRPr="00BF2644">
        <w:rPr>
          <w:rFonts w:ascii="Garamond" w:hAnsi="Garamond" w:cs="Times New Roman"/>
          <w:color w:val="000000" w:themeColor="text1"/>
          <w:sz w:val="28"/>
          <w:szCs w:val="28"/>
        </w:rPr>
        <w:t xml:space="preserve"> è stata elaborata </w:t>
      </w:r>
      <w:r w:rsidR="00231490" w:rsidRPr="00BF2644">
        <w:rPr>
          <w:rFonts w:ascii="Garamond" w:hAnsi="Garamond" w:cs="Times New Roman"/>
          <w:i/>
          <w:color w:val="000000" w:themeColor="text1"/>
          <w:sz w:val="28"/>
          <w:szCs w:val="28"/>
        </w:rPr>
        <w:t>ab initio</w:t>
      </w:r>
      <w:r w:rsidR="00231490" w:rsidRPr="00BF2644">
        <w:rPr>
          <w:rFonts w:ascii="Garamond" w:hAnsi="Garamond" w:cs="Times New Roman"/>
          <w:color w:val="000000" w:themeColor="text1"/>
          <w:sz w:val="28"/>
          <w:szCs w:val="28"/>
        </w:rPr>
        <w:t xml:space="preserve"> in via pretoria</w:t>
      </w:r>
      <w:r w:rsidRPr="00BF2644">
        <w:rPr>
          <w:rFonts w:ascii="Garamond" w:hAnsi="Garamond" w:cs="Times New Roman"/>
          <w:color w:val="000000" w:themeColor="text1"/>
          <w:sz w:val="28"/>
          <w:szCs w:val="28"/>
        </w:rPr>
        <w:t xml:space="preserve">, essendo tale nozione quasi totalmente assente nei trattati originari. </w:t>
      </w:r>
    </w:p>
    <w:p w:rsidR="00002F29" w:rsidRPr="00BF2644" w:rsidRDefault="000722BF" w:rsidP="00BF2644">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L</w:t>
      </w:r>
      <w:r w:rsidR="00002F29" w:rsidRPr="00BF2644">
        <w:rPr>
          <w:rFonts w:ascii="Garamond" w:hAnsi="Garamond" w:cs="Times New Roman"/>
          <w:color w:val="000000" w:themeColor="text1"/>
          <w:sz w:val="28"/>
          <w:szCs w:val="28"/>
        </w:rPr>
        <w:t xml:space="preserve">a Corte di </w:t>
      </w:r>
      <w:r w:rsidR="006C564E">
        <w:rPr>
          <w:rFonts w:ascii="Garamond" w:hAnsi="Garamond" w:cs="Times New Roman"/>
          <w:color w:val="000000" w:themeColor="text1"/>
          <w:sz w:val="28"/>
          <w:szCs w:val="28"/>
        </w:rPr>
        <w:t>giustizia</w:t>
      </w:r>
      <w:r w:rsidR="00002F29" w:rsidRPr="00BF2644">
        <w:rPr>
          <w:rFonts w:ascii="Garamond" w:hAnsi="Garamond" w:cs="Times New Roman"/>
          <w:color w:val="000000" w:themeColor="text1"/>
          <w:sz w:val="28"/>
          <w:szCs w:val="28"/>
        </w:rPr>
        <w:t xml:space="preserve">, con le proprie decisioni, già  a partire dal </w:t>
      </w:r>
      <w:r>
        <w:rPr>
          <w:rFonts w:ascii="Garamond" w:hAnsi="Garamond" w:cs="Times New Roman"/>
          <w:color w:val="000000" w:themeColor="text1"/>
          <w:sz w:val="28"/>
          <w:szCs w:val="28"/>
        </w:rPr>
        <w:t xml:space="preserve"> 1985, ha infatti dichiarato</w:t>
      </w:r>
      <w:r w:rsidR="00002F29" w:rsidRPr="00BF2644">
        <w:rPr>
          <w:rFonts w:ascii="Garamond" w:hAnsi="Garamond" w:cs="Times New Roman"/>
          <w:color w:val="000000" w:themeColor="text1"/>
          <w:sz w:val="28"/>
          <w:szCs w:val="28"/>
        </w:rPr>
        <w:t xml:space="preserve"> l’ambiente uno degli “</w:t>
      </w:r>
      <w:r w:rsidR="00002F29" w:rsidRPr="000722BF">
        <w:rPr>
          <w:rFonts w:ascii="Garamond" w:hAnsi="Garamond" w:cs="Times New Roman"/>
          <w:i/>
          <w:color w:val="000000" w:themeColor="text1"/>
          <w:sz w:val="28"/>
          <w:szCs w:val="28"/>
        </w:rPr>
        <w:t>scopi essenziali della Comunità</w:t>
      </w:r>
      <w:r w:rsidR="00002F29" w:rsidRPr="00BF2644">
        <w:rPr>
          <w:rFonts w:ascii="Garamond" w:hAnsi="Garamond" w:cs="Times New Roman"/>
          <w:color w:val="000000" w:themeColor="text1"/>
          <w:sz w:val="28"/>
          <w:szCs w:val="28"/>
        </w:rPr>
        <w:t xml:space="preserve">” (Corte di </w:t>
      </w:r>
      <w:r w:rsidR="006C564E">
        <w:rPr>
          <w:rFonts w:ascii="Garamond" w:hAnsi="Garamond" w:cs="Times New Roman"/>
          <w:color w:val="000000" w:themeColor="text1"/>
          <w:sz w:val="28"/>
          <w:szCs w:val="28"/>
        </w:rPr>
        <w:t>giustizia</w:t>
      </w:r>
      <w:r w:rsidR="00002F29" w:rsidRPr="00BF2644">
        <w:rPr>
          <w:rFonts w:ascii="Garamond" w:hAnsi="Garamond" w:cs="Times New Roman"/>
          <w:color w:val="000000" w:themeColor="text1"/>
          <w:sz w:val="28"/>
          <w:szCs w:val="28"/>
        </w:rPr>
        <w:t xml:space="preserve"> UE, 7 febbraio 1985, causa 240/83) e nel 1988, una “</w:t>
      </w:r>
      <w:r w:rsidR="00002F29" w:rsidRPr="00BF2644">
        <w:rPr>
          <w:rFonts w:ascii="Garamond" w:hAnsi="Garamond" w:cs="Times New Roman"/>
          <w:i/>
          <w:color w:val="000000" w:themeColor="text1"/>
          <w:sz w:val="28"/>
          <w:szCs w:val="28"/>
        </w:rPr>
        <w:t>esigenza imperativa”</w:t>
      </w:r>
      <w:r w:rsidR="00002F29" w:rsidRPr="00BF2644">
        <w:rPr>
          <w:rFonts w:ascii="Garamond" w:hAnsi="Garamond" w:cs="Times New Roman"/>
          <w:color w:val="000000" w:themeColor="text1"/>
          <w:sz w:val="28"/>
          <w:szCs w:val="28"/>
        </w:rPr>
        <w:t xml:space="preserve"> (Corte di </w:t>
      </w:r>
      <w:r w:rsidR="006C564E">
        <w:rPr>
          <w:rFonts w:ascii="Garamond" w:hAnsi="Garamond" w:cs="Times New Roman"/>
          <w:color w:val="000000" w:themeColor="text1"/>
          <w:sz w:val="28"/>
          <w:szCs w:val="28"/>
        </w:rPr>
        <w:t>giustizia</w:t>
      </w:r>
      <w:r w:rsidR="00002F29" w:rsidRPr="00BF2644">
        <w:rPr>
          <w:rFonts w:ascii="Garamond" w:hAnsi="Garamond" w:cs="Times New Roman"/>
          <w:color w:val="000000" w:themeColor="text1"/>
          <w:sz w:val="28"/>
          <w:szCs w:val="28"/>
        </w:rPr>
        <w:t xml:space="preserve"> UE, 20 settembr</w:t>
      </w:r>
      <w:r w:rsidR="00231490" w:rsidRPr="00BF2644">
        <w:rPr>
          <w:rFonts w:ascii="Garamond" w:hAnsi="Garamond" w:cs="Times New Roman"/>
          <w:color w:val="000000" w:themeColor="text1"/>
          <w:sz w:val="28"/>
          <w:szCs w:val="28"/>
        </w:rPr>
        <w:t xml:space="preserve">e 1988, causa 302/86) in grado di </w:t>
      </w:r>
      <w:r w:rsidR="00002F29" w:rsidRPr="00BF2644">
        <w:rPr>
          <w:rFonts w:ascii="Garamond" w:hAnsi="Garamond" w:cs="Times New Roman"/>
          <w:color w:val="000000" w:themeColor="text1"/>
          <w:sz w:val="28"/>
          <w:szCs w:val="28"/>
        </w:rPr>
        <w:t xml:space="preserve"> limitare l’applicazione dell’art. 30 TCE (ora art. 34 TFUE) in tema di libera circolazione delle merci, a condizione che la norma restrittiva del commercio rispettasse i criteri di non discriminazione e di proporzionalità.</w:t>
      </w:r>
    </w:p>
    <w:p w:rsidR="00002F29" w:rsidRPr="00BF2644" w:rsidRDefault="00231490"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A seguito</w:t>
      </w:r>
      <w:r w:rsidR="00002F29" w:rsidRPr="00BF2644">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del</w:t>
      </w:r>
      <w:r w:rsidR="00002F29" w:rsidRPr="00BF2644">
        <w:rPr>
          <w:rFonts w:ascii="Garamond" w:hAnsi="Garamond" w:cs="Times New Roman"/>
          <w:color w:val="000000" w:themeColor="text1"/>
          <w:sz w:val="28"/>
          <w:szCs w:val="28"/>
        </w:rPr>
        <w:t xml:space="preserve">l’entrata in vigore dell’Atto unico europeo (AUE), nel 1987, le competenze in materia di ambiente sono entrate a far parte nel Trattato, </w:t>
      </w:r>
      <w:r w:rsidR="00B41CF0">
        <w:rPr>
          <w:rFonts w:ascii="Garamond" w:hAnsi="Garamond" w:cs="Times New Roman"/>
          <w:color w:val="000000" w:themeColor="text1"/>
          <w:sz w:val="28"/>
          <w:szCs w:val="28"/>
        </w:rPr>
        <w:t xml:space="preserve">con </w:t>
      </w:r>
      <w:r w:rsidR="00002F29" w:rsidRPr="00BF2644">
        <w:rPr>
          <w:rFonts w:ascii="Garamond" w:hAnsi="Garamond" w:cs="Times New Roman"/>
          <w:color w:val="000000" w:themeColor="text1"/>
          <w:sz w:val="28"/>
          <w:szCs w:val="28"/>
        </w:rPr>
        <w:t>l’inseriment</w:t>
      </w:r>
      <w:r w:rsidR="00B41CF0">
        <w:rPr>
          <w:rFonts w:ascii="Garamond" w:hAnsi="Garamond" w:cs="Times New Roman"/>
          <w:color w:val="000000" w:themeColor="text1"/>
          <w:sz w:val="28"/>
          <w:szCs w:val="28"/>
        </w:rPr>
        <w:t xml:space="preserve">o di un titolo specifico (VII), </w:t>
      </w:r>
      <w:r w:rsidR="00002F29" w:rsidRPr="00BF2644">
        <w:rPr>
          <w:rFonts w:ascii="Garamond" w:hAnsi="Garamond" w:cs="Times New Roman"/>
          <w:color w:val="000000" w:themeColor="text1"/>
          <w:sz w:val="28"/>
          <w:szCs w:val="28"/>
        </w:rPr>
        <w:t>e la definizione dei principali obiettivi dell’azione della comunità (salvaguardia, protezione e miglioramento della qualità dell’ambiente, protezione della salute umana, accorta e razionale utilizzazione delle risorse naturali).</w:t>
      </w:r>
    </w:p>
    <w:p w:rsidR="00002F29" w:rsidRPr="00BF2644" w:rsidRDefault="00002F29"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Attualmente a livello euro-unit</w:t>
      </w:r>
      <w:r w:rsidR="00770CFE">
        <w:rPr>
          <w:rFonts w:ascii="Garamond" w:hAnsi="Garamond" w:cs="Times New Roman"/>
          <w:color w:val="000000" w:themeColor="text1"/>
          <w:sz w:val="28"/>
          <w:szCs w:val="28"/>
        </w:rPr>
        <w:t>ario, in applicazione dei princì</w:t>
      </w:r>
      <w:r w:rsidRPr="00BF2644">
        <w:rPr>
          <w:rFonts w:ascii="Garamond" w:hAnsi="Garamond" w:cs="Times New Roman"/>
          <w:color w:val="000000" w:themeColor="text1"/>
          <w:sz w:val="28"/>
          <w:szCs w:val="28"/>
        </w:rPr>
        <w:t>pi enunciati all’art. 174 TCE e all’art. 191 TFUE, nella materia ambientale, le autorizzazioni devono rivestire contenuti espressi ed espliciti.</w:t>
      </w:r>
    </w:p>
    <w:p w:rsidR="00002F29" w:rsidRPr="00BF2644" w:rsidRDefault="00002F29"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Ciò posto in termini generali, va precisato che la </w:t>
      </w:r>
      <w:r w:rsidR="00A860E3" w:rsidRPr="005E7AC6">
        <w:rPr>
          <w:rFonts w:ascii="Garamond" w:hAnsi="Garamond" w:cs="Times New Roman"/>
          <w:sz w:val="28"/>
          <w:szCs w:val="28"/>
        </w:rPr>
        <w:t>d</w:t>
      </w:r>
      <w:r w:rsidR="006C564E" w:rsidRPr="005E7AC6">
        <w:rPr>
          <w:rFonts w:ascii="Garamond" w:hAnsi="Garamond" w:cs="Times New Roman"/>
          <w:sz w:val="28"/>
          <w:szCs w:val="28"/>
        </w:rPr>
        <w:t>irettiva</w:t>
      </w:r>
      <w:r w:rsidRPr="005E7AC6">
        <w:rPr>
          <w:rFonts w:ascii="Garamond" w:hAnsi="Garamond" w:cs="Times New Roman"/>
          <w:sz w:val="28"/>
          <w:szCs w:val="28"/>
        </w:rPr>
        <w:t xml:space="preserve"> </w:t>
      </w:r>
      <w:r w:rsidRPr="00BF2644">
        <w:rPr>
          <w:rFonts w:ascii="Garamond" w:hAnsi="Garamond" w:cs="Times New Roman"/>
          <w:color w:val="000000" w:themeColor="text1"/>
          <w:sz w:val="28"/>
          <w:szCs w:val="28"/>
        </w:rPr>
        <w:t>2008/98/CE “</w:t>
      </w:r>
      <w:r w:rsidR="00A860E3">
        <w:rPr>
          <w:rFonts w:ascii="Garamond" w:hAnsi="Garamond" w:cs="Times New Roman"/>
          <w:i/>
          <w:color w:val="000000" w:themeColor="text1"/>
          <w:sz w:val="28"/>
          <w:szCs w:val="28"/>
        </w:rPr>
        <w:t>d</w:t>
      </w:r>
      <w:r w:rsidR="006C564E">
        <w:rPr>
          <w:rFonts w:ascii="Garamond" w:hAnsi="Garamond" w:cs="Times New Roman"/>
          <w:i/>
          <w:color w:val="000000" w:themeColor="text1"/>
          <w:sz w:val="28"/>
          <w:szCs w:val="28"/>
        </w:rPr>
        <w:t>irettiva</w:t>
      </w:r>
      <w:r w:rsidR="00A860E3">
        <w:rPr>
          <w:rFonts w:ascii="Garamond" w:hAnsi="Garamond" w:cs="Times New Roman"/>
          <w:i/>
          <w:color w:val="000000" w:themeColor="text1"/>
          <w:sz w:val="28"/>
          <w:szCs w:val="28"/>
        </w:rPr>
        <w:t xml:space="preserve"> quadro r</w:t>
      </w:r>
      <w:r w:rsidRPr="00BF2644">
        <w:rPr>
          <w:rFonts w:ascii="Garamond" w:hAnsi="Garamond" w:cs="Times New Roman"/>
          <w:i/>
          <w:color w:val="000000" w:themeColor="text1"/>
          <w:sz w:val="28"/>
          <w:szCs w:val="28"/>
        </w:rPr>
        <w:t>ifiuti</w:t>
      </w:r>
      <w:r w:rsidRPr="00BF2644">
        <w:rPr>
          <w:rFonts w:ascii="Garamond" w:hAnsi="Garamond" w:cs="Times New Roman"/>
          <w:color w:val="000000" w:themeColor="text1"/>
          <w:sz w:val="28"/>
          <w:szCs w:val="28"/>
        </w:rPr>
        <w:t xml:space="preserve">”, recentemente modificata dalla </w:t>
      </w:r>
      <w:r w:rsidR="00A860E3">
        <w:rPr>
          <w:rFonts w:ascii="Garamond" w:hAnsi="Garamond" w:cs="Times New Roman"/>
          <w:color w:val="000000" w:themeColor="text1"/>
          <w:sz w:val="28"/>
          <w:szCs w:val="28"/>
        </w:rPr>
        <w:t>d</w:t>
      </w:r>
      <w:r w:rsidR="006C564E">
        <w:rPr>
          <w:rFonts w:ascii="Garamond" w:hAnsi="Garamond" w:cs="Times New Roman"/>
          <w:color w:val="000000" w:themeColor="text1"/>
          <w:sz w:val="28"/>
          <w:szCs w:val="28"/>
        </w:rPr>
        <w:t>irettiva</w:t>
      </w:r>
      <w:r w:rsidRPr="00BF2644">
        <w:rPr>
          <w:rFonts w:ascii="Garamond" w:hAnsi="Garamond" w:cs="Times New Roman"/>
          <w:color w:val="000000" w:themeColor="text1"/>
          <w:sz w:val="28"/>
          <w:szCs w:val="28"/>
        </w:rPr>
        <w:t xml:space="preserve"> 2018/851/UE, stabilisce un quadro giuridico comune a livello europeo per la gestione e il trattamento dei rifiuti.</w:t>
      </w:r>
    </w:p>
    <w:p w:rsidR="00002F29" w:rsidRPr="00BF2644" w:rsidRDefault="00002F29"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Tale </w:t>
      </w:r>
      <w:r w:rsidR="006C564E">
        <w:rPr>
          <w:rFonts w:ascii="Garamond" w:hAnsi="Garamond" w:cs="Times New Roman"/>
          <w:color w:val="000000" w:themeColor="text1"/>
          <w:sz w:val="28"/>
          <w:szCs w:val="28"/>
        </w:rPr>
        <w:t>direttiva</w:t>
      </w:r>
      <w:r w:rsidRPr="00BF2644">
        <w:rPr>
          <w:rFonts w:ascii="Garamond" w:hAnsi="Garamond" w:cs="Times New Roman"/>
          <w:color w:val="000000" w:themeColor="text1"/>
          <w:sz w:val="28"/>
          <w:szCs w:val="28"/>
        </w:rPr>
        <w:t xml:space="preserve"> in particolare</w:t>
      </w:r>
      <w:r w:rsidR="00CD5857">
        <w:rPr>
          <w:rFonts w:ascii="Garamond" w:hAnsi="Garamond" w:cs="Times New Roman"/>
          <w:color w:val="000000" w:themeColor="text1"/>
          <w:sz w:val="28"/>
          <w:szCs w:val="28"/>
        </w:rPr>
        <w:t>,</w:t>
      </w:r>
      <w:r w:rsidRPr="00BF2644">
        <w:rPr>
          <w:rFonts w:ascii="Garamond" w:hAnsi="Garamond" w:cs="Times New Roman"/>
          <w:color w:val="000000" w:themeColor="text1"/>
          <w:sz w:val="28"/>
          <w:szCs w:val="28"/>
        </w:rPr>
        <w:t xml:space="preserve"> all’art. </w:t>
      </w:r>
      <w:r w:rsidR="00CD5857" w:rsidRPr="00BF2644">
        <w:rPr>
          <w:rFonts w:ascii="Garamond" w:hAnsi="Garamond" w:cs="Times New Roman"/>
          <w:color w:val="000000" w:themeColor="text1"/>
          <w:sz w:val="28"/>
          <w:szCs w:val="28"/>
        </w:rPr>
        <w:t>4</w:t>
      </w:r>
      <w:r w:rsidR="00CD5857">
        <w:rPr>
          <w:rFonts w:ascii="Garamond" w:hAnsi="Garamond" w:cs="Times New Roman"/>
          <w:color w:val="000000" w:themeColor="text1"/>
          <w:sz w:val="28"/>
          <w:szCs w:val="28"/>
        </w:rPr>
        <w:t xml:space="preserve">, </w:t>
      </w:r>
      <w:r w:rsidR="00CD5857" w:rsidRPr="00BF2644">
        <w:rPr>
          <w:rFonts w:ascii="Garamond" w:hAnsi="Garamond" w:cs="Times New Roman"/>
          <w:color w:val="000000" w:themeColor="text1"/>
          <w:sz w:val="28"/>
          <w:szCs w:val="28"/>
        </w:rPr>
        <w:t>enuclea</w:t>
      </w:r>
      <w:r w:rsidRPr="00BF2644">
        <w:rPr>
          <w:rFonts w:ascii="Garamond" w:hAnsi="Garamond" w:cs="Times New Roman"/>
          <w:color w:val="000000" w:themeColor="text1"/>
          <w:sz w:val="28"/>
          <w:szCs w:val="28"/>
        </w:rPr>
        <w:t xml:space="preserve"> il principio della gerarchia dei rifiuti.</w:t>
      </w:r>
    </w:p>
    <w:p w:rsidR="00CD5857" w:rsidRDefault="00002F29"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La gerarchia dei rifiuti si traduce in un ordine di priorità nella legislazione e nella politica di prevenzione e gestione dei rifiuti. È la pietra angolare delle politiche e della legislazione sui rifiuti dell’Unione </w:t>
      </w:r>
      <w:r w:rsidR="00266741" w:rsidRPr="009B57B9">
        <w:rPr>
          <w:rFonts w:ascii="Garamond" w:hAnsi="Garamond" w:cs="Times New Roman"/>
          <w:color w:val="000000" w:themeColor="text1"/>
          <w:sz w:val="28"/>
          <w:szCs w:val="28"/>
        </w:rPr>
        <w:t>e</w:t>
      </w:r>
      <w:r w:rsidRPr="009B57B9">
        <w:rPr>
          <w:rFonts w:ascii="Garamond" w:hAnsi="Garamond" w:cs="Times New Roman"/>
          <w:color w:val="000000" w:themeColor="text1"/>
          <w:sz w:val="28"/>
          <w:szCs w:val="28"/>
        </w:rPr>
        <w:t>ur</w:t>
      </w:r>
      <w:r w:rsidRPr="00BF2644">
        <w:rPr>
          <w:rFonts w:ascii="Garamond" w:hAnsi="Garamond" w:cs="Times New Roman"/>
          <w:color w:val="000000" w:themeColor="text1"/>
          <w:sz w:val="28"/>
          <w:szCs w:val="28"/>
        </w:rPr>
        <w:t xml:space="preserve">opea. </w:t>
      </w:r>
    </w:p>
    <w:p w:rsidR="00002F29" w:rsidRPr="00BF2644" w:rsidRDefault="00002F29"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Il suo obiettivo è duplice:</w:t>
      </w:r>
    </w:p>
    <w:p w:rsidR="00002F29" w:rsidRPr="00BF2644" w:rsidRDefault="00002F29"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lastRenderedPageBreak/>
        <w:t>-ridurre al minimo gli impatti negativi della produzione e della gestione dei rifiuti;</w:t>
      </w:r>
    </w:p>
    <w:p w:rsidR="00002F29" w:rsidRPr="00BF2644" w:rsidRDefault="00002F29"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-migliorare l’efficienza delle risorse.</w:t>
      </w:r>
    </w:p>
    <w:p w:rsidR="00002F29" w:rsidRPr="00BF2644" w:rsidRDefault="00002F29"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La gerarchia pone come opzione preferita</w:t>
      </w:r>
      <w:r w:rsidRPr="004B420A">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per gestire i rifiuti le misure di prevenzione e come soluzione di ultima istanza lo smaltimento.</w:t>
      </w:r>
    </w:p>
    <w:p w:rsidR="00002F29" w:rsidRPr="00BF2644" w:rsidRDefault="00002F29" w:rsidP="004B420A">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Pertanto la gerarchia dei rifiuti si fonda sul seguente ordine di priorità:</w:t>
      </w:r>
    </w:p>
    <w:p w:rsidR="00002F29" w:rsidRPr="00BF2644" w:rsidRDefault="004B420A" w:rsidP="004B420A">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a) </w:t>
      </w:r>
      <w:r w:rsidR="005929DA">
        <w:rPr>
          <w:rFonts w:ascii="Garamond" w:hAnsi="Garamond" w:cs="Times New Roman"/>
          <w:color w:val="000000" w:themeColor="text1"/>
          <w:sz w:val="28"/>
          <w:szCs w:val="28"/>
        </w:rPr>
        <w:t>Prevenzione. Misure che -</w:t>
      </w:r>
      <w:r w:rsidR="00002F29" w:rsidRPr="00BF2644">
        <w:rPr>
          <w:rFonts w:ascii="Garamond" w:hAnsi="Garamond" w:cs="Times New Roman"/>
          <w:color w:val="000000" w:themeColor="text1"/>
          <w:sz w:val="28"/>
          <w:szCs w:val="28"/>
        </w:rPr>
        <w:t xml:space="preserve"> prese prima che una sostanza, un materiale o un pr</w:t>
      </w:r>
      <w:r w:rsidR="005929DA">
        <w:rPr>
          <w:rFonts w:ascii="Garamond" w:hAnsi="Garamond" w:cs="Times New Roman"/>
          <w:color w:val="000000" w:themeColor="text1"/>
          <w:sz w:val="28"/>
          <w:szCs w:val="28"/>
        </w:rPr>
        <w:t>odotto siano diventati rifiuti -</w:t>
      </w:r>
      <w:r w:rsidR="00002F29" w:rsidRPr="00BF2644">
        <w:rPr>
          <w:rFonts w:ascii="Garamond" w:hAnsi="Garamond" w:cs="Times New Roman"/>
          <w:color w:val="000000" w:themeColor="text1"/>
          <w:sz w:val="28"/>
          <w:szCs w:val="28"/>
        </w:rPr>
        <w:t xml:space="preserve"> riducono: la quantità di rifiuti, anche attraverso il riutilizzo dei prodotti o l’estensione della durata di vita dei </w:t>
      </w:r>
      <w:r w:rsidR="00231490" w:rsidRPr="00BF2644">
        <w:rPr>
          <w:rFonts w:ascii="Garamond" w:hAnsi="Garamond" w:cs="Times New Roman"/>
          <w:color w:val="000000" w:themeColor="text1"/>
          <w:sz w:val="28"/>
          <w:szCs w:val="28"/>
        </w:rPr>
        <w:t>prodotti; gli</w:t>
      </w:r>
      <w:r w:rsidR="00002F29" w:rsidRPr="00BF2644">
        <w:rPr>
          <w:rFonts w:ascii="Garamond" w:hAnsi="Garamond" w:cs="Times New Roman"/>
          <w:color w:val="000000" w:themeColor="text1"/>
          <w:sz w:val="28"/>
          <w:szCs w:val="28"/>
        </w:rPr>
        <w:t xml:space="preserve"> impatti negativi dei rifiuti generati sull’ambiente e sulla salute umana; o il contenuto di sostanze nocive nei materiali e nei prodotti;</w:t>
      </w:r>
    </w:p>
    <w:p w:rsidR="00002F29" w:rsidRPr="00BF2644" w:rsidRDefault="004B420A" w:rsidP="004B420A">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b) </w:t>
      </w:r>
      <w:r w:rsidR="00002F29" w:rsidRPr="00BF2644">
        <w:rPr>
          <w:rFonts w:ascii="Garamond" w:hAnsi="Garamond" w:cs="Times New Roman"/>
          <w:color w:val="000000" w:themeColor="text1"/>
          <w:sz w:val="28"/>
          <w:szCs w:val="28"/>
        </w:rPr>
        <w:t>Preparazione per il riutilizzo. Operazioni di recupero volte a controllo, pulizia o riparazione, con le quali prodotti o componenti di prodotti che sono diventati rifiuti vengono preparati in modo da poter essere riutilizzati senza altri trattamenti preparatori;</w:t>
      </w:r>
    </w:p>
    <w:p w:rsidR="00002F29" w:rsidRPr="00BF2644" w:rsidRDefault="004B420A" w:rsidP="004B420A">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c) </w:t>
      </w:r>
      <w:r w:rsidR="00002F29" w:rsidRPr="00BF2644">
        <w:rPr>
          <w:rFonts w:ascii="Garamond" w:hAnsi="Garamond" w:cs="Times New Roman"/>
          <w:color w:val="000000" w:themeColor="text1"/>
          <w:sz w:val="28"/>
          <w:szCs w:val="28"/>
        </w:rPr>
        <w:t>Riciclaggio. Qualsiasi operazione di recupero attraverso la quale i materiali di scarto vengono ritrattati per ottenere prodotti, materiali o sostanze, sia per gli usi originali che per altri usi. Include il ritrattamento di materiale organico (ad esempio il compostaggio), ma non include il recupero di energia e il ritrattamento per ottenere materiali da usare come combustibili o per operazioni di riempimento;</w:t>
      </w:r>
    </w:p>
    <w:p w:rsidR="00002F29" w:rsidRPr="00BF2644" w:rsidRDefault="004B420A" w:rsidP="004B420A">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d) </w:t>
      </w:r>
      <w:r w:rsidR="00002F29" w:rsidRPr="00BF2644">
        <w:rPr>
          <w:rFonts w:ascii="Garamond" w:hAnsi="Garamond" w:cs="Times New Roman"/>
          <w:color w:val="000000" w:themeColor="text1"/>
          <w:sz w:val="28"/>
          <w:szCs w:val="28"/>
        </w:rPr>
        <w:t>Altro recupero (per esempio recupero di energia). Qualsiasi altra operazione il cui risultato principale è un rifiuto che serve a uno scopo utile sostituendo altri materiali che sarebbero stati altrimenti utilizzati per assolvere una funzione particolare, o un rifiuto preparato per assolvere tale funzione, in un impia</w:t>
      </w:r>
      <w:r w:rsidR="00F2693E">
        <w:rPr>
          <w:rFonts w:ascii="Garamond" w:hAnsi="Garamond" w:cs="Times New Roman"/>
          <w:color w:val="000000" w:themeColor="text1"/>
          <w:sz w:val="28"/>
          <w:szCs w:val="28"/>
        </w:rPr>
        <w:t>nto o nell’economia in generale</w:t>
      </w:r>
      <w:r w:rsidR="00002F29" w:rsidRPr="00BF2644">
        <w:rPr>
          <w:rFonts w:ascii="Garamond" w:hAnsi="Garamond" w:cs="Times New Roman"/>
          <w:color w:val="000000" w:themeColor="text1"/>
          <w:sz w:val="28"/>
          <w:szCs w:val="28"/>
        </w:rPr>
        <w:t>;</w:t>
      </w:r>
    </w:p>
    <w:p w:rsidR="00002F29" w:rsidRPr="00BF2644" w:rsidRDefault="004B420A" w:rsidP="004B420A">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e) </w:t>
      </w:r>
      <w:r w:rsidR="00002F29" w:rsidRPr="00BF2644">
        <w:rPr>
          <w:rFonts w:ascii="Garamond" w:hAnsi="Garamond" w:cs="Times New Roman"/>
          <w:color w:val="000000" w:themeColor="text1"/>
          <w:sz w:val="28"/>
          <w:szCs w:val="28"/>
        </w:rPr>
        <w:t>Smaltimento. Qualsiasi operazione che non sia di recupero, anche se l’operazione ha come conseguenza secondaria il recupero di sostanze o di energia (per esempio, discarica, incenerimento).</w:t>
      </w:r>
    </w:p>
    <w:p w:rsidR="00002F29" w:rsidRPr="009B57B9" w:rsidRDefault="00002F29" w:rsidP="00F90B91">
      <w:pPr>
        <w:spacing w:after="0" w:line="240" w:lineRule="auto"/>
        <w:ind w:firstLine="709"/>
        <w:contextualSpacing/>
        <w:jc w:val="both"/>
        <w:rPr>
          <w:rFonts w:ascii="Garamond" w:hAnsi="Garamond" w:cs="Times New Roman"/>
          <w:color w:val="000000" w:themeColor="text1"/>
          <w:sz w:val="28"/>
          <w:szCs w:val="28"/>
        </w:rPr>
      </w:pPr>
      <w:r w:rsidRPr="009B57B9">
        <w:rPr>
          <w:rFonts w:ascii="Garamond" w:hAnsi="Garamond" w:cs="Times New Roman"/>
          <w:color w:val="000000" w:themeColor="text1"/>
          <w:sz w:val="28"/>
          <w:szCs w:val="28"/>
        </w:rPr>
        <w:t xml:space="preserve">Sulla base di tale </w:t>
      </w:r>
      <w:r w:rsidR="006C564E" w:rsidRPr="009B57B9">
        <w:rPr>
          <w:rFonts w:ascii="Garamond" w:hAnsi="Garamond" w:cs="Times New Roman"/>
          <w:color w:val="000000" w:themeColor="text1"/>
          <w:sz w:val="28"/>
          <w:szCs w:val="28"/>
        </w:rPr>
        <w:t>direttiva</w:t>
      </w:r>
      <w:r w:rsidRPr="009B57B9">
        <w:rPr>
          <w:rFonts w:ascii="Garamond" w:hAnsi="Garamond" w:cs="Times New Roman"/>
          <w:color w:val="000000" w:themeColor="text1"/>
          <w:sz w:val="28"/>
          <w:szCs w:val="28"/>
        </w:rPr>
        <w:t xml:space="preserve"> la Corte di </w:t>
      </w:r>
      <w:r w:rsidR="006C564E" w:rsidRPr="009B57B9">
        <w:rPr>
          <w:rFonts w:ascii="Garamond" w:hAnsi="Garamond" w:cs="Times New Roman"/>
          <w:color w:val="000000" w:themeColor="text1"/>
          <w:sz w:val="28"/>
          <w:szCs w:val="28"/>
        </w:rPr>
        <w:t>giustizia</w:t>
      </w:r>
      <w:r w:rsidRPr="009B57B9">
        <w:rPr>
          <w:rFonts w:ascii="Garamond" w:hAnsi="Garamond" w:cs="Times New Roman"/>
          <w:color w:val="000000" w:themeColor="text1"/>
          <w:sz w:val="28"/>
          <w:szCs w:val="28"/>
        </w:rPr>
        <w:t xml:space="preserve"> ha enucleato i princìpi che regolamentano la materia.</w:t>
      </w:r>
    </w:p>
    <w:p w:rsidR="00002F29" w:rsidRPr="00BF2644" w:rsidRDefault="00002F29" w:rsidP="00BF2644">
      <w:pPr>
        <w:spacing w:line="240" w:lineRule="auto"/>
        <w:ind w:firstLine="709"/>
        <w:contextualSpacing/>
        <w:jc w:val="both"/>
        <w:rPr>
          <w:rFonts w:ascii="Garamond" w:hAnsi="Garamond" w:cs="Times New Roman"/>
          <w:color w:val="000000" w:themeColor="text1"/>
          <w:sz w:val="28"/>
          <w:szCs w:val="28"/>
        </w:rPr>
      </w:pPr>
      <w:r w:rsidRPr="009B57B9">
        <w:rPr>
          <w:rFonts w:ascii="Garamond" w:hAnsi="Garamond" w:cs="Times New Roman"/>
          <w:color w:val="000000" w:themeColor="text1"/>
          <w:sz w:val="28"/>
          <w:szCs w:val="28"/>
        </w:rPr>
        <w:t>In pa</w:t>
      </w:r>
      <w:r w:rsidR="009D0737" w:rsidRPr="009B57B9">
        <w:rPr>
          <w:rFonts w:ascii="Garamond" w:hAnsi="Garamond" w:cs="Times New Roman"/>
          <w:color w:val="000000" w:themeColor="text1"/>
          <w:sz w:val="28"/>
          <w:szCs w:val="28"/>
        </w:rPr>
        <w:t>rticolare, secondo la Corte</w:t>
      </w:r>
      <w:r w:rsidRPr="009B57B9">
        <w:rPr>
          <w:rFonts w:ascii="Garamond" w:hAnsi="Garamond" w:cs="Times New Roman"/>
          <w:color w:val="000000" w:themeColor="text1"/>
          <w:sz w:val="28"/>
          <w:szCs w:val="28"/>
        </w:rPr>
        <w:t>:</w:t>
      </w:r>
    </w:p>
    <w:p w:rsidR="00002F29" w:rsidRPr="00BF2644" w:rsidRDefault="00002F29"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il principio della «</w:t>
      </w:r>
      <w:r w:rsidRPr="00BF2644">
        <w:rPr>
          <w:rFonts w:ascii="Garamond" w:hAnsi="Garamond" w:cs="Times New Roman"/>
          <w:i/>
          <w:color w:val="000000" w:themeColor="text1"/>
          <w:sz w:val="28"/>
          <w:szCs w:val="28"/>
        </w:rPr>
        <w:t>gerarchia dei rifiuti</w:t>
      </w:r>
      <w:r w:rsidRPr="00BF2644">
        <w:rPr>
          <w:rFonts w:ascii="Garamond" w:hAnsi="Garamond" w:cs="Times New Roman"/>
          <w:color w:val="000000" w:themeColor="text1"/>
          <w:sz w:val="28"/>
          <w:szCs w:val="28"/>
        </w:rPr>
        <w:t xml:space="preserve">», quale espresso all’articolo 4 della </w:t>
      </w:r>
      <w:r w:rsidR="006C564E">
        <w:rPr>
          <w:rFonts w:ascii="Garamond" w:hAnsi="Garamond" w:cs="Times New Roman"/>
          <w:color w:val="000000" w:themeColor="text1"/>
          <w:sz w:val="28"/>
          <w:szCs w:val="28"/>
        </w:rPr>
        <w:t>direttiva</w:t>
      </w:r>
      <w:r w:rsidRPr="00BF2644">
        <w:rPr>
          <w:rFonts w:ascii="Garamond" w:hAnsi="Garamond" w:cs="Times New Roman"/>
          <w:color w:val="000000" w:themeColor="text1"/>
          <w:sz w:val="28"/>
          <w:szCs w:val="28"/>
        </w:rPr>
        <w:t xml:space="preserve"> 2008/98/CE del Parlamento europeo e del C</w:t>
      </w:r>
      <w:r w:rsidR="00231490" w:rsidRPr="00BF2644">
        <w:rPr>
          <w:rFonts w:ascii="Garamond" w:hAnsi="Garamond" w:cs="Times New Roman"/>
          <w:color w:val="000000" w:themeColor="text1"/>
          <w:sz w:val="28"/>
          <w:szCs w:val="28"/>
        </w:rPr>
        <w:t>onsiglio, del 19 novembre 2008</w:t>
      </w:r>
      <w:r w:rsidRPr="00BF2644">
        <w:rPr>
          <w:rFonts w:ascii="Garamond" w:hAnsi="Garamond" w:cs="Times New Roman"/>
          <w:color w:val="000000" w:themeColor="text1"/>
          <w:sz w:val="28"/>
          <w:szCs w:val="28"/>
        </w:rPr>
        <w:t>,  letto alla luce del successivo art. 13, deve essere interpretato nel senso che non osta ad una normativa nazionale, come quella di cui trattasi nel procedimento principale, che qualifica gli impianti di incenerimento dei rifiuti come «</w:t>
      </w:r>
      <w:r w:rsidRPr="00BF2644">
        <w:rPr>
          <w:rFonts w:ascii="Garamond" w:hAnsi="Garamond" w:cs="Times New Roman"/>
          <w:i/>
          <w:color w:val="000000" w:themeColor="text1"/>
          <w:sz w:val="28"/>
          <w:szCs w:val="28"/>
        </w:rPr>
        <w:t>infrastrutture e insediamenti strategici di preminente interesse nazionale</w:t>
      </w:r>
      <w:r w:rsidRPr="00BF2644">
        <w:rPr>
          <w:rFonts w:ascii="Garamond" w:hAnsi="Garamond" w:cs="Times New Roman"/>
          <w:color w:val="000000" w:themeColor="text1"/>
          <w:sz w:val="28"/>
          <w:szCs w:val="28"/>
        </w:rPr>
        <w:t xml:space="preserve">», purché tale normativa sia compatibile con le altre disposizioni di detta </w:t>
      </w:r>
      <w:r w:rsidR="006C564E">
        <w:rPr>
          <w:rFonts w:ascii="Garamond" w:hAnsi="Garamond" w:cs="Times New Roman"/>
          <w:color w:val="000000" w:themeColor="text1"/>
          <w:sz w:val="28"/>
          <w:szCs w:val="28"/>
        </w:rPr>
        <w:t>direttiva</w:t>
      </w:r>
      <w:r w:rsidRPr="00BF2644">
        <w:rPr>
          <w:rFonts w:ascii="Garamond" w:hAnsi="Garamond" w:cs="Times New Roman"/>
          <w:color w:val="000000" w:themeColor="text1"/>
          <w:sz w:val="28"/>
          <w:szCs w:val="28"/>
        </w:rPr>
        <w:t xml:space="preserve"> che prevedono obblighi più specifici;</w:t>
      </w:r>
      <w:r w:rsidR="00231490" w:rsidRPr="00BF2644">
        <w:rPr>
          <w:rFonts w:ascii="Garamond" w:hAnsi="Garamond" w:cs="Times New Roman"/>
          <w:color w:val="000000" w:themeColor="text1"/>
          <w:sz w:val="28"/>
          <w:szCs w:val="28"/>
        </w:rPr>
        <w:t xml:space="preserve"> ciò in quanto il  fatto che detta</w:t>
      </w:r>
      <w:r w:rsidR="00C75139">
        <w:rPr>
          <w:rFonts w:ascii="Garamond" w:hAnsi="Garamond" w:cs="Times New Roman"/>
          <w:color w:val="000000" w:themeColor="text1"/>
          <w:sz w:val="28"/>
          <w:szCs w:val="28"/>
        </w:rPr>
        <w:t xml:space="preserve"> normativa nazionale</w:t>
      </w:r>
      <w:r w:rsidRPr="00BF2644">
        <w:rPr>
          <w:rFonts w:ascii="Garamond" w:hAnsi="Garamond" w:cs="Times New Roman"/>
          <w:color w:val="000000" w:themeColor="text1"/>
          <w:sz w:val="28"/>
          <w:szCs w:val="28"/>
        </w:rPr>
        <w:t xml:space="preserve"> qualifichi gli impianti di incenerimento dei rifiuti </w:t>
      </w:r>
      <w:r w:rsidR="00231490" w:rsidRPr="00BF2644">
        <w:rPr>
          <w:rFonts w:ascii="Garamond" w:hAnsi="Garamond" w:cs="Times New Roman"/>
          <w:color w:val="000000" w:themeColor="text1"/>
          <w:sz w:val="28"/>
          <w:szCs w:val="28"/>
        </w:rPr>
        <w:t xml:space="preserve">in tal senso </w:t>
      </w:r>
      <w:r w:rsidRPr="00BF2644">
        <w:rPr>
          <w:rFonts w:ascii="Garamond" w:hAnsi="Garamond" w:cs="Times New Roman"/>
          <w:color w:val="000000" w:themeColor="text1"/>
          <w:sz w:val="28"/>
          <w:szCs w:val="28"/>
        </w:rPr>
        <w:t>e pertanto come «</w:t>
      </w:r>
      <w:r w:rsidRPr="00BF2644">
        <w:rPr>
          <w:rFonts w:ascii="Garamond" w:hAnsi="Garamond" w:cs="Times New Roman"/>
          <w:i/>
          <w:color w:val="000000" w:themeColor="text1"/>
          <w:sz w:val="28"/>
          <w:szCs w:val="28"/>
        </w:rPr>
        <w:t>prioritari</w:t>
      </w:r>
      <w:r w:rsidRPr="00BF2644">
        <w:rPr>
          <w:rFonts w:ascii="Garamond" w:hAnsi="Garamond" w:cs="Times New Roman"/>
          <w:color w:val="000000" w:themeColor="text1"/>
          <w:sz w:val="28"/>
          <w:szCs w:val="28"/>
        </w:rPr>
        <w:t>» non può significare che le relative operazioni di trattamento siano dotate delle medesime qualità e, di conseguenza, che dette operazioni si vedano attribuire un qualsiasi grado di priorità rispetto alle altre operazioni di prevenzione e gestione dei rifiuti e che pertanto  il legislatore nazionale abbia ritenuto di non seguire le indicazioni derivanti dal principio della «</w:t>
      </w:r>
      <w:r w:rsidRPr="00BF2644">
        <w:rPr>
          <w:rFonts w:ascii="Garamond" w:hAnsi="Garamond" w:cs="Times New Roman"/>
          <w:i/>
          <w:color w:val="000000" w:themeColor="text1"/>
          <w:sz w:val="28"/>
          <w:szCs w:val="28"/>
        </w:rPr>
        <w:t>gerarchia dei rifiuti</w:t>
      </w:r>
      <w:r w:rsidRPr="00BF2644">
        <w:rPr>
          <w:rFonts w:ascii="Garamond" w:hAnsi="Garamond" w:cs="Times New Roman"/>
          <w:color w:val="000000" w:themeColor="text1"/>
          <w:sz w:val="28"/>
          <w:szCs w:val="28"/>
        </w:rPr>
        <w:t xml:space="preserve">», quale previsto dalla </w:t>
      </w:r>
      <w:r w:rsidR="006C564E">
        <w:rPr>
          <w:rFonts w:ascii="Garamond" w:hAnsi="Garamond" w:cs="Times New Roman"/>
          <w:color w:val="000000" w:themeColor="text1"/>
          <w:sz w:val="28"/>
          <w:szCs w:val="28"/>
        </w:rPr>
        <w:t>direttiva</w:t>
      </w:r>
      <w:r w:rsidRPr="00BF2644">
        <w:rPr>
          <w:rFonts w:ascii="Garamond" w:hAnsi="Garamond" w:cs="Times New Roman"/>
          <w:color w:val="000000" w:themeColor="text1"/>
          <w:sz w:val="28"/>
          <w:szCs w:val="28"/>
        </w:rPr>
        <w:t>; deve infatti ritenersi che   siffatta qualificazione in termini di priorità miri a snellire e a facilitare lo svolgimento della procedura di autorizzazione</w:t>
      </w:r>
      <w:r w:rsidR="004741DC">
        <w:rPr>
          <w:rFonts w:ascii="Garamond" w:hAnsi="Garamond" w:cs="Times New Roman"/>
          <w:color w:val="000000" w:themeColor="text1"/>
          <w:sz w:val="28"/>
          <w:szCs w:val="28"/>
        </w:rPr>
        <w:t>,</w:t>
      </w:r>
      <w:r w:rsidRPr="00BF2644">
        <w:rPr>
          <w:rFonts w:ascii="Garamond" w:hAnsi="Garamond" w:cs="Times New Roman"/>
          <w:color w:val="000000" w:themeColor="text1"/>
          <w:sz w:val="28"/>
          <w:szCs w:val="28"/>
        </w:rPr>
        <w:t xml:space="preserve"> al fine di ovviare alla mancanza di una adeguata rete nazionale di gestione dei rifiuti, constatata nelle precedenti sentenze della Corte </w:t>
      </w:r>
      <w:r w:rsidR="006F307D">
        <w:rPr>
          <w:rFonts w:ascii="Garamond" w:hAnsi="Garamond" w:cs="Times New Roman"/>
          <w:color w:val="000000" w:themeColor="text1"/>
          <w:sz w:val="28"/>
          <w:szCs w:val="28"/>
        </w:rPr>
        <w:t xml:space="preserve">di </w:t>
      </w:r>
      <w:r w:rsidR="006C564E">
        <w:rPr>
          <w:rFonts w:ascii="Garamond" w:hAnsi="Garamond" w:cs="Times New Roman"/>
          <w:color w:val="000000" w:themeColor="text1"/>
          <w:sz w:val="28"/>
          <w:szCs w:val="28"/>
        </w:rPr>
        <w:t>giustizia</w:t>
      </w:r>
      <w:r w:rsidR="006F307D">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 xml:space="preserve">del 26 </w:t>
      </w:r>
      <w:r w:rsidRPr="00BF2644">
        <w:rPr>
          <w:rFonts w:ascii="Garamond" w:hAnsi="Garamond" w:cs="Times New Roman"/>
          <w:color w:val="000000" w:themeColor="text1"/>
          <w:sz w:val="28"/>
          <w:szCs w:val="28"/>
        </w:rPr>
        <w:lastRenderedPageBreak/>
        <w:t>aprile 2007, (</w:t>
      </w:r>
      <w:r w:rsidR="003A59B7">
        <w:rPr>
          <w:rFonts w:ascii="Garamond" w:hAnsi="Garamond" w:cs="Times New Roman"/>
          <w:color w:val="000000" w:themeColor="text1"/>
          <w:sz w:val="28"/>
          <w:szCs w:val="28"/>
        </w:rPr>
        <w:t xml:space="preserve">causa </w:t>
      </w:r>
      <w:r w:rsidRPr="00BF2644">
        <w:rPr>
          <w:rFonts w:ascii="Garamond" w:hAnsi="Garamond" w:cs="Times New Roman"/>
          <w:color w:val="000000" w:themeColor="text1"/>
          <w:sz w:val="28"/>
          <w:szCs w:val="28"/>
        </w:rPr>
        <w:t>C</w:t>
      </w:r>
      <w:r w:rsidRPr="00BF2644">
        <w:rPr>
          <w:rFonts w:ascii="Times New Roman" w:hAnsi="Times New Roman" w:cs="Times New Roman"/>
          <w:color w:val="000000" w:themeColor="text1"/>
          <w:sz w:val="28"/>
          <w:szCs w:val="28"/>
        </w:rPr>
        <w:t>‑</w:t>
      </w:r>
      <w:r w:rsidRPr="00BF2644">
        <w:rPr>
          <w:rFonts w:ascii="Garamond" w:hAnsi="Garamond" w:cs="Times New Roman"/>
          <w:color w:val="000000" w:themeColor="text1"/>
          <w:sz w:val="28"/>
          <w:szCs w:val="28"/>
        </w:rPr>
        <w:t>135/05),  del 14 giugno 2007, (</w:t>
      </w:r>
      <w:r w:rsidR="003A59B7">
        <w:rPr>
          <w:rFonts w:ascii="Garamond" w:hAnsi="Garamond" w:cs="Times New Roman"/>
          <w:color w:val="000000" w:themeColor="text1"/>
          <w:sz w:val="28"/>
          <w:szCs w:val="28"/>
        </w:rPr>
        <w:t xml:space="preserve">causa </w:t>
      </w:r>
      <w:r w:rsidRPr="00BF2644">
        <w:rPr>
          <w:rFonts w:ascii="Garamond" w:hAnsi="Garamond" w:cs="Times New Roman"/>
          <w:color w:val="000000" w:themeColor="text1"/>
          <w:sz w:val="28"/>
          <w:szCs w:val="28"/>
        </w:rPr>
        <w:t>C</w:t>
      </w:r>
      <w:r w:rsidRPr="00BF2644">
        <w:rPr>
          <w:rFonts w:ascii="Times New Roman" w:hAnsi="Times New Roman" w:cs="Times New Roman"/>
          <w:color w:val="000000" w:themeColor="text1"/>
          <w:sz w:val="28"/>
          <w:szCs w:val="28"/>
        </w:rPr>
        <w:t>‑</w:t>
      </w:r>
      <w:r w:rsidRPr="00BF2644">
        <w:rPr>
          <w:rFonts w:ascii="Garamond" w:hAnsi="Garamond" w:cs="Times New Roman"/>
          <w:color w:val="000000" w:themeColor="text1"/>
          <w:sz w:val="28"/>
          <w:szCs w:val="28"/>
        </w:rPr>
        <w:t>82/06), del 4 marzo 2010, (</w:t>
      </w:r>
      <w:r w:rsidR="003A59B7">
        <w:rPr>
          <w:rFonts w:ascii="Garamond" w:hAnsi="Garamond" w:cs="Times New Roman"/>
          <w:color w:val="000000" w:themeColor="text1"/>
          <w:sz w:val="28"/>
          <w:szCs w:val="28"/>
        </w:rPr>
        <w:t xml:space="preserve">causa </w:t>
      </w:r>
      <w:r w:rsidRPr="00BF2644">
        <w:rPr>
          <w:rFonts w:ascii="Garamond" w:hAnsi="Garamond" w:cs="Times New Roman"/>
          <w:color w:val="000000" w:themeColor="text1"/>
          <w:sz w:val="28"/>
          <w:szCs w:val="28"/>
        </w:rPr>
        <w:t>C</w:t>
      </w:r>
      <w:r w:rsidRPr="00BF2644">
        <w:rPr>
          <w:rFonts w:ascii="Times New Roman" w:hAnsi="Times New Roman" w:cs="Times New Roman"/>
          <w:color w:val="000000" w:themeColor="text1"/>
          <w:sz w:val="28"/>
          <w:szCs w:val="28"/>
        </w:rPr>
        <w:t>‑</w:t>
      </w:r>
      <w:r w:rsidRPr="00BF2644">
        <w:rPr>
          <w:rFonts w:ascii="Garamond" w:hAnsi="Garamond" w:cs="Times New Roman"/>
          <w:color w:val="000000" w:themeColor="text1"/>
          <w:sz w:val="28"/>
          <w:szCs w:val="28"/>
        </w:rPr>
        <w:t>297/08), del 15 ottobre 2014, (</w:t>
      </w:r>
      <w:r w:rsidR="003A59B7">
        <w:rPr>
          <w:rFonts w:ascii="Garamond" w:hAnsi="Garamond" w:cs="Times New Roman"/>
          <w:color w:val="000000" w:themeColor="text1"/>
          <w:sz w:val="28"/>
          <w:szCs w:val="28"/>
        </w:rPr>
        <w:t xml:space="preserve">causa </w:t>
      </w:r>
      <w:r w:rsidRPr="00BF2644">
        <w:rPr>
          <w:rFonts w:ascii="Garamond" w:hAnsi="Garamond" w:cs="Times New Roman"/>
          <w:color w:val="000000" w:themeColor="text1"/>
          <w:sz w:val="28"/>
          <w:szCs w:val="28"/>
        </w:rPr>
        <w:t>C</w:t>
      </w:r>
      <w:r w:rsidRPr="00BF2644">
        <w:rPr>
          <w:rFonts w:ascii="Times New Roman" w:hAnsi="Times New Roman" w:cs="Times New Roman"/>
          <w:color w:val="000000" w:themeColor="text1"/>
          <w:sz w:val="28"/>
          <w:szCs w:val="28"/>
        </w:rPr>
        <w:t>‑</w:t>
      </w:r>
      <w:r w:rsidRPr="00BF2644">
        <w:rPr>
          <w:rFonts w:ascii="Garamond" w:hAnsi="Garamond" w:cs="Times New Roman"/>
          <w:color w:val="000000" w:themeColor="text1"/>
          <w:sz w:val="28"/>
          <w:szCs w:val="28"/>
        </w:rPr>
        <w:t>323/13), del 2 dicembre 2014, (</w:t>
      </w:r>
      <w:r w:rsidR="003A59B7">
        <w:rPr>
          <w:rFonts w:ascii="Garamond" w:hAnsi="Garamond" w:cs="Times New Roman"/>
          <w:color w:val="000000" w:themeColor="text1"/>
          <w:sz w:val="28"/>
          <w:szCs w:val="28"/>
        </w:rPr>
        <w:t xml:space="preserve">causa </w:t>
      </w:r>
      <w:r w:rsidRPr="00BF2644">
        <w:rPr>
          <w:rFonts w:ascii="Garamond" w:hAnsi="Garamond" w:cs="Times New Roman"/>
          <w:color w:val="000000" w:themeColor="text1"/>
          <w:sz w:val="28"/>
          <w:szCs w:val="28"/>
        </w:rPr>
        <w:t>C</w:t>
      </w:r>
      <w:r w:rsidRPr="00BF2644">
        <w:rPr>
          <w:rFonts w:ascii="Times New Roman" w:hAnsi="Times New Roman" w:cs="Times New Roman"/>
          <w:color w:val="000000" w:themeColor="text1"/>
          <w:sz w:val="28"/>
          <w:szCs w:val="28"/>
        </w:rPr>
        <w:t>‑</w:t>
      </w:r>
      <w:r w:rsidRPr="00BF2644">
        <w:rPr>
          <w:rFonts w:ascii="Garamond" w:hAnsi="Garamond" w:cs="Times New Roman"/>
          <w:color w:val="000000" w:themeColor="text1"/>
          <w:sz w:val="28"/>
          <w:szCs w:val="28"/>
        </w:rPr>
        <w:t>196/13) nonch</w:t>
      </w:r>
      <w:r w:rsidRPr="00BF2644">
        <w:rPr>
          <w:rFonts w:ascii="Garamond" w:hAnsi="Garamond" w:cs="Garamond"/>
          <w:color w:val="000000" w:themeColor="text1"/>
          <w:sz w:val="28"/>
          <w:szCs w:val="28"/>
        </w:rPr>
        <w:t>é</w:t>
      </w:r>
      <w:r w:rsidRPr="00BF2644">
        <w:rPr>
          <w:rFonts w:ascii="Garamond" w:hAnsi="Garamond" w:cs="Times New Roman"/>
          <w:color w:val="000000" w:themeColor="text1"/>
          <w:sz w:val="28"/>
          <w:szCs w:val="28"/>
        </w:rPr>
        <w:t xml:space="preserve"> del 16 luglio 2015, (</w:t>
      </w:r>
      <w:r w:rsidR="003A59B7">
        <w:rPr>
          <w:rFonts w:ascii="Garamond" w:hAnsi="Garamond" w:cs="Times New Roman"/>
          <w:color w:val="000000" w:themeColor="text1"/>
          <w:sz w:val="28"/>
          <w:szCs w:val="28"/>
        </w:rPr>
        <w:t xml:space="preserve">causa </w:t>
      </w:r>
      <w:r w:rsidRPr="00BF2644">
        <w:rPr>
          <w:rFonts w:ascii="Garamond" w:hAnsi="Garamond" w:cs="Times New Roman"/>
          <w:color w:val="000000" w:themeColor="text1"/>
          <w:sz w:val="28"/>
          <w:szCs w:val="28"/>
        </w:rPr>
        <w:t>C</w:t>
      </w:r>
      <w:r w:rsidRPr="00BF2644">
        <w:rPr>
          <w:rFonts w:ascii="Times New Roman" w:hAnsi="Times New Roman" w:cs="Times New Roman"/>
          <w:color w:val="000000" w:themeColor="text1"/>
          <w:sz w:val="28"/>
          <w:szCs w:val="28"/>
        </w:rPr>
        <w:t>‑</w:t>
      </w:r>
      <w:r w:rsidR="007B348B">
        <w:rPr>
          <w:rFonts w:ascii="Garamond" w:hAnsi="Garamond" w:cs="Times New Roman"/>
          <w:color w:val="000000" w:themeColor="text1"/>
          <w:sz w:val="28"/>
          <w:szCs w:val="28"/>
        </w:rPr>
        <w:t>653/13) (</w:t>
      </w:r>
      <w:r w:rsidR="006F307D">
        <w:rPr>
          <w:rFonts w:ascii="Garamond" w:hAnsi="Garamond" w:cs="Times New Roman"/>
          <w:color w:val="000000" w:themeColor="text1"/>
          <w:sz w:val="28"/>
          <w:szCs w:val="28"/>
        </w:rPr>
        <w:t xml:space="preserve">Corte di </w:t>
      </w:r>
      <w:r w:rsidR="006C564E">
        <w:rPr>
          <w:rFonts w:ascii="Garamond" w:hAnsi="Garamond" w:cs="Times New Roman"/>
          <w:color w:val="000000" w:themeColor="text1"/>
          <w:sz w:val="28"/>
          <w:szCs w:val="28"/>
        </w:rPr>
        <w:t>giustizia</w:t>
      </w:r>
      <w:r w:rsidR="006F307D">
        <w:rPr>
          <w:rFonts w:ascii="Garamond" w:hAnsi="Garamond" w:cs="Times New Roman"/>
          <w:color w:val="000000" w:themeColor="text1"/>
          <w:sz w:val="28"/>
          <w:szCs w:val="28"/>
        </w:rPr>
        <w:t xml:space="preserve">, sez. VI, </w:t>
      </w:r>
      <w:r w:rsidRPr="00BF2644">
        <w:rPr>
          <w:rFonts w:ascii="Garamond" w:hAnsi="Garamond" w:cs="Times New Roman"/>
          <w:color w:val="000000" w:themeColor="text1"/>
          <w:sz w:val="28"/>
          <w:szCs w:val="28"/>
        </w:rPr>
        <w:t xml:space="preserve"> 8 maggio 2019,</w:t>
      </w:r>
      <w:r w:rsidR="00CD5857">
        <w:rPr>
          <w:rFonts w:ascii="Garamond" w:hAnsi="Garamond" w:cs="Times New Roman"/>
          <w:color w:val="000000" w:themeColor="text1"/>
          <w:sz w:val="28"/>
          <w:szCs w:val="28"/>
        </w:rPr>
        <w:t xml:space="preserve"> </w:t>
      </w:r>
      <w:r w:rsidR="003A59B7">
        <w:rPr>
          <w:rFonts w:ascii="Garamond" w:hAnsi="Garamond" w:cs="Times New Roman"/>
          <w:color w:val="000000" w:themeColor="text1"/>
          <w:sz w:val="28"/>
          <w:szCs w:val="28"/>
        </w:rPr>
        <w:t xml:space="preserve">causa </w:t>
      </w:r>
      <w:r w:rsidRPr="00BF2644">
        <w:rPr>
          <w:rFonts w:ascii="Garamond" w:hAnsi="Garamond" w:cs="Times New Roman"/>
          <w:color w:val="000000" w:themeColor="text1"/>
          <w:sz w:val="28"/>
          <w:szCs w:val="28"/>
        </w:rPr>
        <w:t>C</w:t>
      </w:r>
      <w:r w:rsidRPr="00BF2644">
        <w:rPr>
          <w:rFonts w:ascii="Times New Roman" w:hAnsi="Times New Roman" w:cs="Times New Roman"/>
          <w:color w:val="000000" w:themeColor="text1"/>
          <w:sz w:val="28"/>
          <w:szCs w:val="28"/>
        </w:rPr>
        <w:t>‑</w:t>
      </w:r>
      <w:r w:rsidRPr="00BF2644">
        <w:rPr>
          <w:rFonts w:ascii="Garamond" w:hAnsi="Garamond" w:cs="Times New Roman"/>
          <w:color w:val="000000" w:themeColor="text1"/>
          <w:sz w:val="28"/>
          <w:szCs w:val="28"/>
        </w:rPr>
        <w:t>305/18</w:t>
      </w:r>
      <w:r w:rsidR="00C41850" w:rsidRPr="00BF2644">
        <w:rPr>
          <w:rFonts w:ascii="Garamond" w:hAnsi="Garamond" w:cs="Times New Roman"/>
          <w:color w:val="000000" w:themeColor="text1"/>
          <w:sz w:val="28"/>
          <w:szCs w:val="28"/>
        </w:rPr>
        <w:t>,</w:t>
      </w:r>
      <w:r w:rsidRPr="00BF2644">
        <w:rPr>
          <w:rFonts w:ascii="Garamond" w:hAnsi="Garamond" w:cs="Times New Roman"/>
          <w:color w:val="000000" w:themeColor="text1"/>
          <w:sz w:val="28"/>
          <w:szCs w:val="28"/>
        </w:rPr>
        <w:t xml:space="preserve"> resa in sede di rinvio pregiudiziale nell’ambito di una controversia tra associazioni per la tutela dell’ambiente e  la Presidenza del Consiglio dei Ministri e avente ad oggetto un ricorso volto all’annullamento del </w:t>
      </w:r>
      <w:r w:rsidR="006C564E">
        <w:rPr>
          <w:rFonts w:ascii="Garamond" w:hAnsi="Garamond" w:cs="Times New Roman"/>
          <w:color w:val="000000" w:themeColor="text1"/>
          <w:sz w:val="28"/>
          <w:szCs w:val="28"/>
        </w:rPr>
        <w:t>decreto</w:t>
      </w:r>
      <w:r w:rsidRPr="00BF2644">
        <w:rPr>
          <w:rFonts w:ascii="Garamond" w:hAnsi="Garamond" w:cs="Times New Roman"/>
          <w:color w:val="000000" w:themeColor="text1"/>
          <w:sz w:val="28"/>
          <w:szCs w:val="28"/>
        </w:rPr>
        <w:t xml:space="preserve"> del Presidente del Consiglio dei Ministri del 10 agosto 2016 – </w:t>
      </w:r>
      <w:r w:rsidRPr="00CD5857">
        <w:rPr>
          <w:rFonts w:ascii="Garamond" w:hAnsi="Garamond" w:cs="Times New Roman"/>
          <w:i/>
          <w:color w:val="000000" w:themeColor="text1"/>
          <w:sz w:val="28"/>
          <w:szCs w:val="28"/>
        </w:rPr>
        <w:t>Individuazione della capacità complessiva di trattamento degli impianti di incenerimento di rifiuti urbani e assimilabili in esercizio o autorizzati a livello nazionale, nonché individuazione del fabbisogno residuo da coprire mediante la realizzazione di impianti di incenerimento con recupero di rifiuti urbani e assimilati</w:t>
      </w:r>
      <w:r w:rsidRPr="00BF2644">
        <w:rPr>
          <w:rFonts w:ascii="Garamond" w:hAnsi="Garamond" w:cs="Times New Roman"/>
          <w:color w:val="000000" w:themeColor="text1"/>
          <w:sz w:val="28"/>
          <w:szCs w:val="28"/>
        </w:rPr>
        <w:t>);</w:t>
      </w:r>
    </w:p>
    <w:p w:rsidR="00BC7881" w:rsidRPr="00BF2644" w:rsidRDefault="00BC7881"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 la gerarchia dei rifiuti costituisce un obiettivo che lascia agli Stati membri un margine di discrezionalità, non obbligando questi ultimi ad optare per una specifica soluzione di prevenzione e gestione; così, ai sensi dell’articolo 4, paragrafo 2, della </w:t>
      </w:r>
      <w:r w:rsidR="006C564E">
        <w:rPr>
          <w:rFonts w:ascii="Garamond" w:hAnsi="Garamond" w:cs="Times New Roman"/>
          <w:color w:val="000000" w:themeColor="text1"/>
          <w:sz w:val="28"/>
          <w:szCs w:val="28"/>
        </w:rPr>
        <w:t>direttiva</w:t>
      </w:r>
      <w:r w:rsidRPr="00BF2644">
        <w:rPr>
          <w:rFonts w:ascii="Garamond" w:hAnsi="Garamond" w:cs="Times New Roman"/>
          <w:color w:val="000000" w:themeColor="text1"/>
          <w:sz w:val="28"/>
          <w:szCs w:val="28"/>
        </w:rPr>
        <w:t xml:space="preserve"> «</w:t>
      </w:r>
      <w:r w:rsidRPr="00CD5857">
        <w:rPr>
          <w:rFonts w:ascii="Garamond" w:hAnsi="Garamond" w:cs="Times New Roman"/>
          <w:i/>
          <w:color w:val="000000" w:themeColor="text1"/>
          <w:sz w:val="28"/>
          <w:szCs w:val="28"/>
        </w:rPr>
        <w:t>rifiuti</w:t>
      </w:r>
      <w:r w:rsidRPr="00BF2644">
        <w:rPr>
          <w:rFonts w:ascii="Garamond" w:hAnsi="Garamond" w:cs="Times New Roman"/>
          <w:color w:val="000000" w:themeColor="text1"/>
          <w:sz w:val="28"/>
          <w:szCs w:val="28"/>
        </w:rPr>
        <w:t>», nell’attuare il principio della «</w:t>
      </w:r>
      <w:r w:rsidRPr="00CD5857">
        <w:rPr>
          <w:rFonts w:ascii="Garamond" w:hAnsi="Garamond" w:cs="Times New Roman"/>
          <w:i/>
          <w:color w:val="000000" w:themeColor="text1"/>
          <w:sz w:val="28"/>
          <w:szCs w:val="28"/>
        </w:rPr>
        <w:t>gerarchia dei rifiuti</w:t>
      </w:r>
      <w:r w:rsidRPr="00BF2644">
        <w:rPr>
          <w:rFonts w:ascii="Garamond" w:hAnsi="Garamond" w:cs="Times New Roman"/>
          <w:color w:val="000000" w:themeColor="text1"/>
          <w:sz w:val="28"/>
          <w:szCs w:val="28"/>
        </w:rPr>
        <w:t xml:space="preserve">», gli Stati membri adottano misure volte a incoraggiare le opzioni che danno il miglior risultato ambientale complessivo; può pertanto essere necessario che flussi di rifiuti specifici si discostino dalla gerarchia laddove ciò sia giustificato dall’impostazione in termini di ciclo di vita in relazione agli impatti complessivi della produzione e </w:t>
      </w:r>
      <w:r w:rsidR="00CD5857">
        <w:rPr>
          <w:rFonts w:ascii="Garamond" w:hAnsi="Garamond" w:cs="Times New Roman"/>
          <w:color w:val="000000" w:themeColor="text1"/>
          <w:sz w:val="28"/>
          <w:szCs w:val="28"/>
        </w:rPr>
        <w:t xml:space="preserve">della gestione di tali rifiuti </w:t>
      </w:r>
      <w:r w:rsidRPr="00BF2644">
        <w:rPr>
          <w:rFonts w:ascii="Garamond" w:hAnsi="Garamond" w:cs="Times New Roman"/>
          <w:color w:val="000000" w:themeColor="text1"/>
          <w:sz w:val="28"/>
          <w:szCs w:val="28"/>
        </w:rPr>
        <w:t xml:space="preserve"> </w:t>
      </w:r>
      <w:r w:rsidR="007B348B">
        <w:rPr>
          <w:rFonts w:ascii="Garamond" w:hAnsi="Garamond" w:cs="Times New Roman"/>
          <w:color w:val="000000" w:themeColor="text1"/>
          <w:sz w:val="28"/>
          <w:szCs w:val="28"/>
        </w:rPr>
        <w:t>(</w:t>
      </w:r>
      <w:r w:rsidR="006F307D">
        <w:rPr>
          <w:rFonts w:ascii="Garamond" w:hAnsi="Garamond" w:cs="Times New Roman"/>
          <w:color w:val="000000" w:themeColor="text1"/>
          <w:sz w:val="28"/>
          <w:szCs w:val="28"/>
        </w:rPr>
        <w:t xml:space="preserve">Corte di </w:t>
      </w:r>
      <w:r w:rsidR="006C564E">
        <w:rPr>
          <w:rFonts w:ascii="Garamond" w:hAnsi="Garamond" w:cs="Times New Roman"/>
          <w:color w:val="000000" w:themeColor="text1"/>
          <w:sz w:val="28"/>
          <w:szCs w:val="28"/>
        </w:rPr>
        <w:t>giustizia</w:t>
      </w:r>
      <w:r w:rsidR="006F307D">
        <w:rPr>
          <w:rFonts w:ascii="Garamond" w:hAnsi="Garamond" w:cs="Times New Roman"/>
          <w:color w:val="000000" w:themeColor="text1"/>
          <w:sz w:val="28"/>
          <w:szCs w:val="28"/>
        </w:rPr>
        <w:t xml:space="preserve">, sez. VI, </w:t>
      </w:r>
      <w:r w:rsidRPr="00BF2644">
        <w:rPr>
          <w:rFonts w:ascii="Garamond" w:hAnsi="Garamond" w:cs="Times New Roman"/>
          <w:color w:val="000000" w:themeColor="text1"/>
          <w:sz w:val="28"/>
          <w:szCs w:val="28"/>
        </w:rPr>
        <w:t>8 maggio 2019, C</w:t>
      </w:r>
      <w:r w:rsidRPr="00BF2644">
        <w:rPr>
          <w:rFonts w:ascii="Times New Roman" w:hAnsi="Times New Roman" w:cs="Times New Roman"/>
          <w:color w:val="000000" w:themeColor="text1"/>
          <w:sz w:val="28"/>
          <w:szCs w:val="28"/>
        </w:rPr>
        <w:t>‑</w:t>
      </w:r>
      <w:r w:rsidR="00CD5857">
        <w:rPr>
          <w:rFonts w:ascii="Garamond" w:hAnsi="Garamond" w:cs="Times New Roman"/>
          <w:color w:val="000000" w:themeColor="text1"/>
          <w:sz w:val="28"/>
          <w:szCs w:val="28"/>
        </w:rPr>
        <w:t>305/18</w:t>
      </w:r>
      <w:r w:rsidR="006F307D">
        <w:rPr>
          <w:rFonts w:ascii="Garamond" w:hAnsi="Garamond" w:cs="Times New Roman"/>
          <w:color w:val="000000" w:themeColor="text1"/>
          <w:sz w:val="28"/>
          <w:szCs w:val="28"/>
        </w:rPr>
        <w:t xml:space="preserve"> cit.</w:t>
      </w:r>
      <w:r w:rsidRPr="00BF2644">
        <w:rPr>
          <w:rFonts w:ascii="Garamond" w:hAnsi="Garamond" w:cs="Times New Roman"/>
          <w:color w:val="000000" w:themeColor="text1"/>
          <w:sz w:val="28"/>
          <w:szCs w:val="28"/>
        </w:rPr>
        <w:t>)</w:t>
      </w:r>
    </w:p>
    <w:p w:rsidR="00002F29" w:rsidRPr="00BF2644" w:rsidRDefault="00002F29"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 sebbene l’articolo 13  della </w:t>
      </w:r>
      <w:r w:rsidR="00A47E8B" w:rsidRPr="00A47E8B">
        <w:rPr>
          <w:rFonts w:ascii="Garamond" w:hAnsi="Garamond" w:cs="Times New Roman"/>
          <w:color w:val="000000" w:themeColor="text1"/>
          <w:sz w:val="28"/>
          <w:szCs w:val="28"/>
        </w:rPr>
        <w:t xml:space="preserve"> «</w:t>
      </w:r>
      <w:r w:rsidR="006C564E" w:rsidRPr="00A47E8B">
        <w:rPr>
          <w:rFonts w:ascii="Garamond" w:hAnsi="Garamond" w:cs="Times New Roman"/>
          <w:i/>
          <w:color w:val="000000" w:themeColor="text1"/>
          <w:sz w:val="28"/>
          <w:szCs w:val="28"/>
        </w:rPr>
        <w:t>direttiva</w:t>
      </w:r>
      <w:r w:rsidR="00A47E8B" w:rsidRPr="00A47E8B">
        <w:rPr>
          <w:rFonts w:ascii="Garamond" w:hAnsi="Garamond" w:cs="Times New Roman"/>
          <w:i/>
          <w:color w:val="000000" w:themeColor="text1"/>
          <w:sz w:val="28"/>
          <w:szCs w:val="28"/>
        </w:rPr>
        <w:t xml:space="preserve"> </w:t>
      </w:r>
      <w:r w:rsidRPr="00BF2644">
        <w:rPr>
          <w:rFonts w:ascii="Garamond" w:hAnsi="Garamond" w:cs="Times New Roman"/>
          <w:i/>
          <w:color w:val="000000" w:themeColor="text1"/>
          <w:sz w:val="28"/>
          <w:szCs w:val="28"/>
        </w:rPr>
        <w:t>rifiuti</w:t>
      </w:r>
      <w:r w:rsidRPr="00BF2644">
        <w:rPr>
          <w:rFonts w:ascii="Garamond" w:hAnsi="Garamond" w:cs="Times New Roman"/>
          <w:color w:val="000000" w:themeColor="text1"/>
          <w:sz w:val="28"/>
          <w:szCs w:val="28"/>
        </w:rPr>
        <w:t>»</w:t>
      </w:r>
      <w:r w:rsidR="00A47E8B">
        <w:rPr>
          <w:rFonts w:ascii="Garamond" w:hAnsi="Garamond" w:cs="Times New Roman"/>
          <w:color w:val="000000" w:themeColor="text1"/>
          <w:sz w:val="28"/>
          <w:szCs w:val="28"/>
        </w:rPr>
        <w:t>,</w:t>
      </w:r>
      <w:r w:rsidRPr="00BF2644">
        <w:rPr>
          <w:rFonts w:ascii="Garamond" w:hAnsi="Garamond" w:cs="Times New Roman"/>
          <w:color w:val="000000" w:themeColor="text1"/>
          <w:sz w:val="28"/>
          <w:szCs w:val="28"/>
        </w:rPr>
        <w:t xml:space="preserve"> secondo cui gli Stati membri prendono le misure necessarie per garantire che la gestione dei rifiuti sia effettuata senza danneggiare la salute umana e senza recare pregiudizio all’ambiente, in particolare senza creare rischi per l’acqua, l’aria, il suolo, la flora o la fauna,  non precisi il contenuto concreto delle misure che debbono essere adottate per assicurare che i rifiuti siano in tal modo gestiti, ciò non toglie che detto articolo vincoli gli Stati membri circa l’obiettivo da raggiungere, pur lasciando agli stessi un potere discrezionale nella valutazione della necessità di tali misu</w:t>
      </w:r>
      <w:r w:rsidR="007B348B">
        <w:rPr>
          <w:rFonts w:ascii="Garamond" w:hAnsi="Garamond" w:cs="Times New Roman"/>
          <w:color w:val="000000" w:themeColor="text1"/>
          <w:sz w:val="28"/>
          <w:szCs w:val="28"/>
        </w:rPr>
        <w:t>re (</w:t>
      </w:r>
      <w:r w:rsidR="00452C75">
        <w:rPr>
          <w:rFonts w:ascii="Garamond" w:hAnsi="Garamond" w:cs="Times New Roman"/>
          <w:color w:val="000000" w:themeColor="text1"/>
          <w:sz w:val="28"/>
          <w:szCs w:val="28"/>
        </w:rPr>
        <w:t xml:space="preserve">Corte di </w:t>
      </w:r>
      <w:r w:rsidR="006C564E">
        <w:rPr>
          <w:rFonts w:ascii="Garamond" w:hAnsi="Garamond" w:cs="Times New Roman"/>
          <w:color w:val="000000" w:themeColor="text1"/>
          <w:sz w:val="28"/>
          <w:szCs w:val="28"/>
        </w:rPr>
        <w:t>giustizia</w:t>
      </w:r>
      <w:r w:rsidR="00375092">
        <w:rPr>
          <w:rFonts w:ascii="Garamond" w:hAnsi="Garamond" w:cs="Times New Roman"/>
          <w:color w:val="000000" w:themeColor="text1"/>
          <w:sz w:val="28"/>
          <w:szCs w:val="28"/>
        </w:rPr>
        <w:t xml:space="preserve">, sez. </w:t>
      </w:r>
      <w:r w:rsidR="006F307D">
        <w:rPr>
          <w:rFonts w:ascii="Garamond" w:hAnsi="Garamond" w:cs="Times New Roman"/>
          <w:color w:val="000000" w:themeColor="text1"/>
          <w:sz w:val="28"/>
          <w:szCs w:val="28"/>
        </w:rPr>
        <w:t xml:space="preserve">VII, </w:t>
      </w:r>
      <w:r w:rsidR="00202C9C" w:rsidRPr="00BF2644">
        <w:rPr>
          <w:rFonts w:ascii="Garamond" w:hAnsi="Garamond" w:cs="Times New Roman"/>
          <w:color w:val="000000" w:themeColor="text1"/>
          <w:sz w:val="28"/>
          <w:szCs w:val="28"/>
        </w:rPr>
        <w:t xml:space="preserve"> 6 aprile 2017</w:t>
      </w:r>
      <w:r w:rsidRPr="00BF2644">
        <w:rPr>
          <w:rFonts w:ascii="Garamond" w:hAnsi="Garamond" w:cs="Times New Roman"/>
          <w:color w:val="000000" w:themeColor="text1"/>
          <w:sz w:val="28"/>
          <w:szCs w:val="28"/>
        </w:rPr>
        <w:t>,</w:t>
      </w:r>
      <w:r w:rsidR="003A59B7">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C</w:t>
      </w:r>
      <w:r w:rsidRPr="00BF2644">
        <w:rPr>
          <w:rFonts w:ascii="Times New Roman" w:hAnsi="Times New Roman" w:cs="Times New Roman"/>
          <w:color w:val="000000" w:themeColor="text1"/>
          <w:sz w:val="28"/>
          <w:szCs w:val="28"/>
        </w:rPr>
        <w:t>‑</w:t>
      </w:r>
      <w:r w:rsidRPr="00BF2644">
        <w:rPr>
          <w:rFonts w:ascii="Garamond" w:hAnsi="Garamond" w:cs="Times New Roman"/>
          <w:color w:val="000000" w:themeColor="text1"/>
          <w:sz w:val="28"/>
          <w:szCs w:val="28"/>
        </w:rPr>
        <w:t>153/16);</w:t>
      </w:r>
    </w:p>
    <w:p w:rsidR="00002F29" w:rsidRPr="00BF2644" w:rsidRDefault="00002F29" w:rsidP="006F307D">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w:t>
      </w:r>
      <w:r w:rsidR="000722BF">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 xml:space="preserve">l’articolo 4, paragrafo 1, della </w:t>
      </w:r>
      <w:r w:rsidR="002759A8" w:rsidRPr="002759A8">
        <w:rPr>
          <w:rFonts w:ascii="Garamond" w:hAnsi="Garamond" w:cs="Times New Roman"/>
          <w:color w:val="000000" w:themeColor="text1"/>
          <w:sz w:val="28"/>
          <w:szCs w:val="28"/>
        </w:rPr>
        <w:t>«</w:t>
      </w:r>
      <w:r w:rsidR="006C564E" w:rsidRPr="002759A8">
        <w:rPr>
          <w:rFonts w:ascii="Garamond" w:hAnsi="Garamond" w:cs="Times New Roman"/>
          <w:i/>
          <w:color w:val="000000" w:themeColor="text1"/>
          <w:sz w:val="28"/>
          <w:szCs w:val="28"/>
        </w:rPr>
        <w:t>direttiva</w:t>
      </w:r>
      <w:r w:rsidRPr="00BF2644">
        <w:rPr>
          <w:rFonts w:ascii="Garamond" w:hAnsi="Garamond" w:cs="Times New Roman"/>
          <w:color w:val="000000" w:themeColor="text1"/>
          <w:sz w:val="28"/>
          <w:szCs w:val="28"/>
        </w:rPr>
        <w:t xml:space="preserve"> </w:t>
      </w:r>
      <w:r w:rsidRPr="00BF2644">
        <w:rPr>
          <w:rFonts w:ascii="Garamond" w:hAnsi="Garamond" w:cs="Times New Roman"/>
          <w:i/>
          <w:color w:val="000000" w:themeColor="text1"/>
          <w:sz w:val="28"/>
          <w:szCs w:val="28"/>
        </w:rPr>
        <w:t>rifiuti</w:t>
      </w:r>
      <w:r w:rsidRPr="00BF2644">
        <w:rPr>
          <w:rFonts w:ascii="Garamond" w:hAnsi="Garamond" w:cs="Times New Roman"/>
          <w:color w:val="000000" w:themeColor="text1"/>
          <w:sz w:val="28"/>
          <w:szCs w:val="28"/>
        </w:rPr>
        <w:t>» nel disporre che «[l</w:t>
      </w:r>
      <w:r w:rsidRPr="00CD5857">
        <w:rPr>
          <w:rFonts w:ascii="Garamond" w:hAnsi="Garamond" w:cs="Times New Roman"/>
          <w:i/>
          <w:color w:val="000000" w:themeColor="text1"/>
          <w:sz w:val="28"/>
          <w:szCs w:val="28"/>
        </w:rPr>
        <w:t>]a (...) gerarchia dei rifiuti si applica quale ordine di priorità della normativa e della politica in materia di prevenzione e gestione dei rifiuti nel seguente ordine: a) prevenzione; b) preparazione per il riutilizzo; c) riciclaggio; d) recupero di altro tipo, per esempio il recupero di energia; e e) smaltimento</w:t>
      </w:r>
      <w:r w:rsidRPr="00BF2644">
        <w:rPr>
          <w:rFonts w:ascii="Garamond" w:hAnsi="Garamond" w:cs="Times New Roman"/>
          <w:color w:val="000000" w:themeColor="text1"/>
          <w:sz w:val="28"/>
          <w:szCs w:val="28"/>
        </w:rPr>
        <w:t>» non consente di concludere che si dovrebbe preferire un sistema che permetta ai produttori di rifiuti di provvedere personalmente al loro smaltimento</w:t>
      </w:r>
      <w:r w:rsidR="00AC1467">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 xml:space="preserve"> che  figura soltanto all’ultimo posto di t</w:t>
      </w:r>
      <w:r w:rsidR="007B348B">
        <w:rPr>
          <w:rFonts w:ascii="Garamond" w:hAnsi="Garamond" w:cs="Times New Roman"/>
          <w:color w:val="000000" w:themeColor="text1"/>
          <w:sz w:val="28"/>
          <w:szCs w:val="28"/>
        </w:rPr>
        <w:t>ale gerarchia (</w:t>
      </w:r>
      <w:r w:rsidR="006F307D">
        <w:rPr>
          <w:rFonts w:ascii="Garamond" w:hAnsi="Garamond" w:cs="Times New Roman"/>
          <w:color w:val="000000" w:themeColor="text1"/>
          <w:sz w:val="28"/>
          <w:szCs w:val="28"/>
        </w:rPr>
        <w:t xml:space="preserve">Corte di </w:t>
      </w:r>
      <w:r w:rsidR="006C564E">
        <w:rPr>
          <w:rFonts w:ascii="Garamond" w:hAnsi="Garamond" w:cs="Times New Roman"/>
          <w:color w:val="000000" w:themeColor="text1"/>
          <w:sz w:val="28"/>
          <w:szCs w:val="28"/>
        </w:rPr>
        <w:t>giustizia</w:t>
      </w:r>
      <w:r w:rsidR="007C2E08">
        <w:rPr>
          <w:rFonts w:ascii="Garamond" w:hAnsi="Garamond" w:cs="Times New Roman"/>
          <w:color w:val="000000" w:themeColor="text1"/>
          <w:sz w:val="28"/>
          <w:szCs w:val="28"/>
        </w:rPr>
        <w:t>, sez.</w:t>
      </w:r>
      <w:r w:rsidR="006F307D">
        <w:rPr>
          <w:rFonts w:ascii="Garamond" w:hAnsi="Garamond" w:cs="Times New Roman"/>
          <w:color w:val="000000" w:themeColor="text1"/>
          <w:sz w:val="28"/>
          <w:szCs w:val="28"/>
        </w:rPr>
        <w:t xml:space="preserve"> VI, </w:t>
      </w:r>
      <w:r w:rsidRPr="00BF2644">
        <w:rPr>
          <w:rFonts w:ascii="Garamond" w:hAnsi="Garamond" w:cs="Times New Roman"/>
          <w:color w:val="000000" w:themeColor="text1"/>
          <w:sz w:val="28"/>
          <w:szCs w:val="28"/>
        </w:rPr>
        <w:t>18 dicembre 2014, C</w:t>
      </w:r>
      <w:r w:rsidRPr="00BF2644">
        <w:rPr>
          <w:rFonts w:ascii="Times New Roman" w:hAnsi="Times New Roman" w:cs="Times New Roman"/>
          <w:color w:val="000000" w:themeColor="text1"/>
          <w:sz w:val="28"/>
          <w:szCs w:val="28"/>
        </w:rPr>
        <w:t>‑</w:t>
      </w:r>
      <w:r w:rsidRPr="00BF2644">
        <w:rPr>
          <w:rFonts w:ascii="Garamond" w:hAnsi="Garamond" w:cs="Times New Roman"/>
          <w:color w:val="000000" w:themeColor="text1"/>
          <w:sz w:val="28"/>
          <w:szCs w:val="28"/>
        </w:rPr>
        <w:t>551/13</w:t>
      </w:r>
      <w:r w:rsidR="0028521D">
        <w:rPr>
          <w:rFonts w:ascii="Garamond" w:hAnsi="Garamond" w:cs="Times New Roman"/>
          <w:color w:val="000000" w:themeColor="text1"/>
          <w:sz w:val="28"/>
          <w:szCs w:val="28"/>
        </w:rPr>
        <w:t>,</w:t>
      </w:r>
      <w:r w:rsidR="006F307D">
        <w:rPr>
          <w:rFonts w:ascii="Garamond" w:hAnsi="Garamond" w:cs="Times New Roman"/>
          <w:color w:val="000000" w:themeColor="text1"/>
          <w:sz w:val="28"/>
          <w:szCs w:val="28"/>
        </w:rPr>
        <w:t xml:space="preserve"> relativa a domanda di pronuncia pregiudiziale proposta dalla Commissione tributaria </w:t>
      </w:r>
      <w:r w:rsidR="004640B1">
        <w:rPr>
          <w:rFonts w:ascii="Garamond" w:hAnsi="Garamond" w:cs="Times New Roman"/>
          <w:color w:val="000000" w:themeColor="text1"/>
          <w:sz w:val="28"/>
          <w:szCs w:val="28"/>
        </w:rPr>
        <w:t xml:space="preserve">provinciale </w:t>
      </w:r>
      <w:r w:rsidR="006F307D">
        <w:rPr>
          <w:rFonts w:ascii="Garamond" w:hAnsi="Garamond" w:cs="Times New Roman"/>
          <w:color w:val="000000" w:themeColor="text1"/>
          <w:sz w:val="28"/>
          <w:szCs w:val="28"/>
        </w:rPr>
        <w:t>di Cagliari</w:t>
      </w:r>
      <w:r w:rsidRPr="00BF2644">
        <w:rPr>
          <w:rFonts w:ascii="Garamond" w:hAnsi="Garamond" w:cs="Times New Roman"/>
          <w:color w:val="000000" w:themeColor="text1"/>
          <w:sz w:val="28"/>
          <w:szCs w:val="28"/>
        </w:rPr>
        <w:t>);</w:t>
      </w:r>
    </w:p>
    <w:p w:rsidR="00002F29" w:rsidRPr="00BF2644" w:rsidRDefault="00F2693E" w:rsidP="00BF2644">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Quanto alle discariche dei rifiuti</w:t>
      </w:r>
      <w:r w:rsidR="00D96F0A">
        <w:rPr>
          <w:rFonts w:ascii="Garamond" w:hAnsi="Garamond" w:cs="Times New Roman"/>
          <w:color w:val="000000" w:themeColor="text1"/>
          <w:sz w:val="28"/>
          <w:szCs w:val="28"/>
        </w:rPr>
        <w:t>,</w:t>
      </w:r>
      <w:r>
        <w:rPr>
          <w:rFonts w:ascii="Garamond" w:hAnsi="Garamond" w:cs="Times New Roman"/>
          <w:color w:val="000000" w:themeColor="text1"/>
          <w:sz w:val="28"/>
          <w:szCs w:val="28"/>
        </w:rPr>
        <w:t xml:space="preserve"> regolamentate a livello eurounitario </w:t>
      </w:r>
      <w:r w:rsidRPr="00F2693E">
        <w:rPr>
          <w:rFonts w:ascii="Garamond" w:hAnsi="Garamond" w:cs="Times New Roman"/>
          <w:color w:val="000000" w:themeColor="text1"/>
          <w:sz w:val="28"/>
          <w:szCs w:val="28"/>
        </w:rPr>
        <w:t>dalla</w:t>
      </w:r>
      <w:r w:rsidR="00D96F0A">
        <w:rPr>
          <w:rFonts w:ascii="Garamond" w:hAnsi="Garamond" w:cs="Times New Roman"/>
          <w:color w:val="000000" w:themeColor="text1"/>
          <w:sz w:val="28"/>
          <w:szCs w:val="28"/>
        </w:rPr>
        <w:t xml:space="preserve"> cennata</w:t>
      </w:r>
      <w:r w:rsidRPr="00F2693E">
        <w:rPr>
          <w:rFonts w:ascii="Garamond" w:hAnsi="Garamond" w:cs="Times New Roman"/>
          <w:color w:val="000000" w:themeColor="text1"/>
          <w:sz w:val="28"/>
          <w:szCs w:val="28"/>
        </w:rPr>
        <w:t xml:space="preserve"> </w:t>
      </w:r>
      <w:r w:rsidR="006C564E">
        <w:rPr>
          <w:rFonts w:ascii="Garamond" w:hAnsi="Garamond" w:cs="Times New Roman"/>
          <w:color w:val="000000" w:themeColor="text1"/>
          <w:sz w:val="28"/>
          <w:szCs w:val="28"/>
        </w:rPr>
        <w:t>direttiva</w:t>
      </w:r>
      <w:r w:rsidR="00BE3B10">
        <w:rPr>
          <w:rFonts w:ascii="Garamond" w:hAnsi="Garamond" w:cs="Times New Roman"/>
          <w:color w:val="000000" w:themeColor="text1"/>
          <w:sz w:val="28"/>
          <w:szCs w:val="28"/>
        </w:rPr>
        <w:t xml:space="preserve"> 1999/31/CE</w:t>
      </w:r>
      <w:r w:rsidRPr="00F2693E">
        <w:rPr>
          <w:rFonts w:ascii="Garamond" w:hAnsi="Garamond" w:cs="Times New Roman"/>
          <w:color w:val="000000" w:themeColor="text1"/>
          <w:sz w:val="28"/>
          <w:szCs w:val="28"/>
        </w:rPr>
        <w:t xml:space="preserve"> del Consiglio</w:t>
      </w:r>
      <w:r w:rsidR="00EC3B78">
        <w:rPr>
          <w:rFonts w:ascii="Garamond" w:hAnsi="Garamond" w:cs="Times New Roman"/>
          <w:color w:val="000000" w:themeColor="text1"/>
          <w:sz w:val="28"/>
          <w:szCs w:val="28"/>
        </w:rPr>
        <w:t xml:space="preserve">, </w:t>
      </w:r>
      <w:r w:rsidR="00EC3B78" w:rsidRPr="00EC3B78">
        <w:rPr>
          <w:rFonts w:ascii="Garamond" w:hAnsi="Garamond" w:cs="Times New Roman"/>
          <w:color w:val="000000" w:themeColor="text1"/>
          <w:sz w:val="28"/>
          <w:szCs w:val="28"/>
        </w:rPr>
        <w:t xml:space="preserve">come successivamente modificata da ultimo dalla </w:t>
      </w:r>
      <w:r w:rsidR="006C564E">
        <w:rPr>
          <w:rFonts w:ascii="Garamond" w:hAnsi="Garamond" w:cs="Times New Roman"/>
          <w:color w:val="000000" w:themeColor="text1"/>
          <w:sz w:val="28"/>
          <w:szCs w:val="28"/>
        </w:rPr>
        <w:t>direttiva</w:t>
      </w:r>
      <w:r w:rsidR="00EC3B78" w:rsidRPr="00EC3B78">
        <w:rPr>
          <w:rFonts w:ascii="Garamond" w:hAnsi="Garamond" w:cs="Times New Roman"/>
          <w:color w:val="000000" w:themeColor="text1"/>
          <w:sz w:val="28"/>
          <w:szCs w:val="28"/>
        </w:rPr>
        <w:t xml:space="preserve"> 2018/850/</w:t>
      </w:r>
      <w:r w:rsidR="003A59B7" w:rsidRPr="00EC3B78">
        <w:rPr>
          <w:rFonts w:ascii="Garamond" w:hAnsi="Garamond" w:cs="Times New Roman"/>
          <w:color w:val="000000" w:themeColor="text1"/>
          <w:sz w:val="28"/>
          <w:szCs w:val="28"/>
        </w:rPr>
        <w:t>UE</w:t>
      </w:r>
      <w:r w:rsidR="003A59B7">
        <w:rPr>
          <w:rFonts w:ascii="Garamond" w:hAnsi="Garamond" w:cs="Times New Roman"/>
          <w:color w:val="000000" w:themeColor="text1"/>
          <w:sz w:val="28"/>
          <w:szCs w:val="28"/>
        </w:rPr>
        <w:t xml:space="preserve">, </w:t>
      </w:r>
      <w:r w:rsidR="003A59B7" w:rsidRPr="00BF2644">
        <w:rPr>
          <w:rFonts w:ascii="Garamond" w:hAnsi="Garamond" w:cs="Times New Roman"/>
          <w:color w:val="000000" w:themeColor="text1"/>
          <w:sz w:val="28"/>
          <w:szCs w:val="28"/>
        </w:rPr>
        <w:t>la</w:t>
      </w:r>
      <w:r w:rsidR="00002F29" w:rsidRPr="00BF2644">
        <w:rPr>
          <w:rFonts w:ascii="Garamond" w:hAnsi="Garamond" w:cs="Times New Roman"/>
          <w:color w:val="000000" w:themeColor="text1"/>
          <w:sz w:val="28"/>
          <w:szCs w:val="28"/>
        </w:rPr>
        <w:t xml:space="preserve"> giurisprudenza della Corte di </w:t>
      </w:r>
      <w:r w:rsidR="00E81B67">
        <w:rPr>
          <w:rFonts w:ascii="Garamond" w:hAnsi="Garamond" w:cs="Times New Roman"/>
          <w:color w:val="000000" w:themeColor="text1"/>
          <w:sz w:val="28"/>
          <w:szCs w:val="28"/>
        </w:rPr>
        <w:t>g</w:t>
      </w:r>
      <w:r w:rsidR="006C564E">
        <w:rPr>
          <w:rFonts w:ascii="Garamond" w:hAnsi="Garamond" w:cs="Times New Roman"/>
          <w:color w:val="000000" w:themeColor="text1"/>
          <w:sz w:val="28"/>
          <w:szCs w:val="28"/>
        </w:rPr>
        <w:t>iustizia</w:t>
      </w:r>
      <w:r w:rsidR="00EC3B78">
        <w:rPr>
          <w:rFonts w:ascii="Garamond" w:hAnsi="Garamond" w:cs="Times New Roman"/>
          <w:color w:val="000000" w:themeColor="text1"/>
          <w:sz w:val="28"/>
          <w:szCs w:val="28"/>
        </w:rPr>
        <w:t xml:space="preserve"> ha elaborato i seguenti princìpi</w:t>
      </w:r>
      <w:r w:rsidR="00002F29" w:rsidRPr="00BF2644">
        <w:rPr>
          <w:rFonts w:ascii="Garamond" w:hAnsi="Garamond" w:cs="Times New Roman"/>
          <w:color w:val="000000" w:themeColor="text1"/>
          <w:sz w:val="28"/>
          <w:szCs w:val="28"/>
        </w:rPr>
        <w:t>:</w:t>
      </w:r>
    </w:p>
    <w:p w:rsidR="00002F29" w:rsidRPr="00BF2644" w:rsidRDefault="00002F29"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w:t>
      </w:r>
      <w:r w:rsidR="000722BF">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 xml:space="preserve">gli art. 10 e 14 della </w:t>
      </w:r>
      <w:r w:rsidR="006C564E">
        <w:rPr>
          <w:rFonts w:ascii="Garamond" w:hAnsi="Garamond" w:cs="Times New Roman"/>
          <w:color w:val="000000" w:themeColor="text1"/>
          <w:sz w:val="28"/>
          <w:szCs w:val="28"/>
        </w:rPr>
        <w:t>direttiva</w:t>
      </w:r>
      <w:r w:rsidR="00BE3B10">
        <w:rPr>
          <w:rFonts w:ascii="Garamond" w:hAnsi="Garamond" w:cs="Times New Roman"/>
          <w:color w:val="000000" w:themeColor="text1"/>
          <w:sz w:val="28"/>
          <w:szCs w:val="28"/>
        </w:rPr>
        <w:t xml:space="preserve"> 1999/31/CE del C</w:t>
      </w:r>
      <w:r w:rsidRPr="00BF2644">
        <w:rPr>
          <w:rFonts w:ascii="Garamond" w:hAnsi="Garamond" w:cs="Times New Roman"/>
          <w:color w:val="000000" w:themeColor="text1"/>
          <w:sz w:val="28"/>
          <w:szCs w:val="28"/>
        </w:rPr>
        <w:t>onsiglio, del 26 aprile 1999, relativa alle discariche di rifiuti, devono essere interpretati nel senso che non ostano all'interpretazione di una disposizione nazionale secondo la quale una discarica</w:t>
      </w:r>
      <w:r w:rsidR="00363C11">
        <w:rPr>
          <w:rFonts w:ascii="Garamond" w:hAnsi="Garamond" w:cs="Times New Roman"/>
          <w:color w:val="000000" w:themeColor="text1"/>
          <w:sz w:val="28"/>
          <w:szCs w:val="28"/>
        </w:rPr>
        <w:t>,</w:t>
      </w:r>
      <w:r w:rsidRPr="00BF2644">
        <w:rPr>
          <w:rFonts w:ascii="Garamond" w:hAnsi="Garamond" w:cs="Times New Roman"/>
          <w:color w:val="000000" w:themeColor="text1"/>
          <w:sz w:val="28"/>
          <w:szCs w:val="28"/>
        </w:rPr>
        <w:t xml:space="preserve"> in funzione alla data di recepimento di detta </w:t>
      </w:r>
      <w:r w:rsidR="006C564E">
        <w:rPr>
          <w:rFonts w:ascii="Garamond" w:hAnsi="Garamond" w:cs="Times New Roman"/>
          <w:color w:val="000000" w:themeColor="text1"/>
          <w:sz w:val="28"/>
          <w:szCs w:val="28"/>
        </w:rPr>
        <w:t>direttiva</w:t>
      </w:r>
      <w:r w:rsidR="00363C11">
        <w:rPr>
          <w:rFonts w:ascii="Garamond" w:hAnsi="Garamond" w:cs="Times New Roman"/>
          <w:color w:val="000000" w:themeColor="text1"/>
          <w:sz w:val="28"/>
          <w:szCs w:val="28"/>
        </w:rPr>
        <w:t>,</w:t>
      </w:r>
      <w:r w:rsidRPr="00BF2644">
        <w:rPr>
          <w:rFonts w:ascii="Garamond" w:hAnsi="Garamond" w:cs="Times New Roman"/>
          <w:color w:val="000000" w:themeColor="text1"/>
          <w:sz w:val="28"/>
          <w:szCs w:val="28"/>
        </w:rPr>
        <w:t xml:space="preserve"> deve essere assoggettata agli obblighi derivanti da quest’ultima, segnatamente a una proroga del periodo di gestione successiva </w:t>
      </w:r>
      <w:r w:rsidRPr="00BF2644">
        <w:rPr>
          <w:rFonts w:ascii="Garamond" w:hAnsi="Garamond" w:cs="Times New Roman"/>
          <w:color w:val="000000" w:themeColor="text1"/>
          <w:sz w:val="28"/>
          <w:szCs w:val="28"/>
        </w:rPr>
        <w:lastRenderedPageBreak/>
        <w:t xml:space="preserve">alla chiusura, senza che occorra distinguere in base alla data in cui i rifiuti sono stati abbancati, né prevedere alcuna misura intesa a contenere l'impatto finanziario di tale proroga sul detentore </w:t>
      </w:r>
      <w:r w:rsidR="00AC1467">
        <w:rPr>
          <w:rFonts w:ascii="Garamond" w:hAnsi="Garamond" w:cs="Times New Roman"/>
          <w:color w:val="000000" w:themeColor="text1"/>
          <w:sz w:val="28"/>
          <w:szCs w:val="28"/>
        </w:rPr>
        <w:t>dei rifiuti (</w:t>
      </w:r>
      <w:r w:rsidR="007B348B">
        <w:rPr>
          <w:rFonts w:ascii="Garamond" w:hAnsi="Garamond" w:cs="Times New Roman"/>
          <w:color w:val="000000" w:themeColor="text1"/>
          <w:sz w:val="28"/>
          <w:szCs w:val="28"/>
        </w:rPr>
        <w:t xml:space="preserve">Corte di </w:t>
      </w:r>
      <w:r w:rsidR="006C564E">
        <w:rPr>
          <w:rFonts w:ascii="Garamond" w:hAnsi="Garamond" w:cs="Times New Roman"/>
          <w:color w:val="000000" w:themeColor="text1"/>
          <w:sz w:val="28"/>
          <w:szCs w:val="28"/>
        </w:rPr>
        <w:t>giustizia</w:t>
      </w:r>
      <w:r w:rsidR="007B348B">
        <w:rPr>
          <w:rFonts w:ascii="Garamond" w:hAnsi="Garamond" w:cs="Times New Roman"/>
          <w:color w:val="000000" w:themeColor="text1"/>
          <w:sz w:val="28"/>
          <w:szCs w:val="28"/>
        </w:rPr>
        <w:t>,</w:t>
      </w:r>
      <w:r w:rsidR="00B617ED">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 xml:space="preserve">14 maggio 2020, </w:t>
      </w:r>
      <w:r w:rsidR="003A59B7">
        <w:rPr>
          <w:rFonts w:ascii="Garamond" w:hAnsi="Garamond" w:cs="Times New Roman"/>
          <w:color w:val="000000" w:themeColor="text1"/>
          <w:sz w:val="28"/>
          <w:szCs w:val="28"/>
        </w:rPr>
        <w:t xml:space="preserve">causa </w:t>
      </w:r>
      <w:r w:rsidRPr="00BF2644">
        <w:rPr>
          <w:rFonts w:ascii="Garamond" w:hAnsi="Garamond" w:cs="Times New Roman"/>
          <w:color w:val="000000" w:themeColor="text1"/>
          <w:sz w:val="28"/>
          <w:szCs w:val="28"/>
        </w:rPr>
        <w:t>C-15/19 relativa a domanda di pronuncia pregiudiziale resa in riferimento ad una controversia tra l'Ama - Azienda municipale ambiente s.p.a.</w:t>
      </w:r>
      <w:r w:rsidR="00AC1467">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 xml:space="preserve"> responsabile del servizio di raccolta e di smaltimento de</w:t>
      </w:r>
      <w:r w:rsidR="004640B1">
        <w:rPr>
          <w:rFonts w:ascii="Garamond" w:hAnsi="Garamond" w:cs="Times New Roman"/>
          <w:color w:val="000000" w:themeColor="text1"/>
          <w:sz w:val="28"/>
          <w:szCs w:val="28"/>
        </w:rPr>
        <w:t>i rifiuti urbani solidi per il C</w:t>
      </w:r>
      <w:r w:rsidRPr="00BF2644">
        <w:rPr>
          <w:rFonts w:ascii="Garamond" w:hAnsi="Garamond" w:cs="Times New Roman"/>
          <w:color w:val="000000" w:themeColor="text1"/>
          <w:sz w:val="28"/>
          <w:szCs w:val="28"/>
        </w:rPr>
        <w:t>omune di Roma, e il Consorzio laziale rifiuti - Colari, gestore della discarica di Malagrotta, in merito ai maggiori oneri connessi all'obbligo del Colari di assicurare la gestione successiva alla chiusura di detta discarica per un periodo di almeno trent’anni, invece dei dieci anni inizialmente previsti);</w:t>
      </w:r>
    </w:p>
    <w:p w:rsidR="00BC7881" w:rsidRPr="00BF2644" w:rsidRDefault="00BC7881" w:rsidP="00EC3B78">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 l’art. 14, lett. b), della </w:t>
      </w:r>
      <w:r w:rsidR="006C564E">
        <w:rPr>
          <w:rFonts w:ascii="Garamond" w:hAnsi="Garamond" w:cs="Times New Roman"/>
          <w:color w:val="000000" w:themeColor="text1"/>
          <w:sz w:val="28"/>
          <w:szCs w:val="28"/>
        </w:rPr>
        <w:t>direttiva</w:t>
      </w:r>
      <w:r w:rsidRPr="00BF2644">
        <w:rPr>
          <w:rFonts w:ascii="Garamond" w:hAnsi="Garamond" w:cs="Times New Roman"/>
          <w:color w:val="000000" w:themeColor="text1"/>
          <w:sz w:val="28"/>
          <w:szCs w:val="28"/>
        </w:rPr>
        <w:t xml:space="preserve"> 1999/31 richiede, da un lato, che le autorità nazionali competenti adottino una decisione definitiva sul proseguimento delle operazioni in base a un piano di </w:t>
      </w:r>
      <w:r w:rsidR="00AC1467" w:rsidRPr="00BF2644">
        <w:rPr>
          <w:rFonts w:ascii="Garamond" w:hAnsi="Garamond" w:cs="Times New Roman"/>
          <w:color w:val="000000" w:themeColor="text1"/>
          <w:sz w:val="28"/>
          <w:szCs w:val="28"/>
        </w:rPr>
        <w:t>riassetto a</w:t>
      </w:r>
      <w:r w:rsidRPr="00BF2644">
        <w:rPr>
          <w:rFonts w:ascii="Garamond" w:hAnsi="Garamond" w:cs="Times New Roman"/>
          <w:color w:val="000000" w:themeColor="text1"/>
          <w:sz w:val="28"/>
          <w:szCs w:val="28"/>
        </w:rPr>
        <w:t xml:space="preserve"> tale </w:t>
      </w:r>
      <w:r w:rsidR="006C564E">
        <w:rPr>
          <w:rFonts w:ascii="Garamond" w:hAnsi="Garamond" w:cs="Times New Roman"/>
          <w:color w:val="000000" w:themeColor="text1"/>
          <w:sz w:val="28"/>
          <w:szCs w:val="28"/>
        </w:rPr>
        <w:t>direttiva</w:t>
      </w:r>
      <w:r w:rsidRPr="00BF2644">
        <w:rPr>
          <w:rFonts w:ascii="Garamond" w:hAnsi="Garamond" w:cs="Times New Roman"/>
          <w:color w:val="000000" w:themeColor="text1"/>
          <w:sz w:val="28"/>
          <w:szCs w:val="28"/>
        </w:rPr>
        <w:t xml:space="preserve"> e, dall'altro, che gli Stati membri adottino le misure necessarie per far chiudere al più presto le discariche che non abbiano l'autorizzazione a c</w:t>
      </w:r>
      <w:r w:rsidR="007B348B">
        <w:rPr>
          <w:rFonts w:ascii="Garamond" w:hAnsi="Garamond" w:cs="Times New Roman"/>
          <w:color w:val="000000" w:themeColor="text1"/>
          <w:sz w:val="28"/>
          <w:szCs w:val="28"/>
        </w:rPr>
        <w:t>ontinuare a funzionare (</w:t>
      </w:r>
      <w:r w:rsidR="003A59B7">
        <w:rPr>
          <w:rFonts w:ascii="Garamond" w:hAnsi="Garamond" w:cs="Times New Roman"/>
          <w:color w:val="000000" w:themeColor="text1"/>
          <w:sz w:val="28"/>
          <w:szCs w:val="28"/>
        </w:rPr>
        <w:t xml:space="preserve">Corte di </w:t>
      </w:r>
      <w:r w:rsidR="006C564E">
        <w:rPr>
          <w:rFonts w:ascii="Garamond" w:hAnsi="Garamond" w:cs="Times New Roman"/>
          <w:color w:val="000000" w:themeColor="text1"/>
          <w:sz w:val="28"/>
          <w:szCs w:val="28"/>
        </w:rPr>
        <w:t>giustizia</w:t>
      </w:r>
      <w:r w:rsidR="003A59B7">
        <w:rPr>
          <w:rFonts w:ascii="Garamond" w:hAnsi="Garamond" w:cs="Times New Roman"/>
          <w:color w:val="000000" w:themeColor="text1"/>
          <w:sz w:val="28"/>
          <w:szCs w:val="28"/>
        </w:rPr>
        <w:t xml:space="preserve">, sez. VIII, </w:t>
      </w:r>
      <w:r w:rsidR="00AC1467">
        <w:rPr>
          <w:rFonts w:ascii="Garamond" w:hAnsi="Garamond" w:cs="Times New Roman"/>
          <w:color w:val="000000" w:themeColor="text1"/>
          <w:sz w:val="28"/>
          <w:szCs w:val="28"/>
        </w:rPr>
        <w:t xml:space="preserve">25 febbraio 2016, </w:t>
      </w:r>
      <w:r w:rsidR="003A59B7">
        <w:rPr>
          <w:rFonts w:ascii="Garamond" w:hAnsi="Garamond" w:cs="Times New Roman"/>
          <w:color w:val="000000" w:themeColor="text1"/>
          <w:sz w:val="28"/>
          <w:szCs w:val="28"/>
        </w:rPr>
        <w:t xml:space="preserve">causa </w:t>
      </w:r>
      <w:r w:rsidR="00AC1467">
        <w:rPr>
          <w:rFonts w:ascii="Garamond" w:hAnsi="Garamond" w:cs="Times New Roman"/>
          <w:color w:val="000000" w:themeColor="text1"/>
          <w:sz w:val="28"/>
          <w:szCs w:val="28"/>
        </w:rPr>
        <w:t>C-454/14</w:t>
      </w:r>
      <w:r w:rsidR="00061F16">
        <w:rPr>
          <w:rFonts w:ascii="Garamond" w:hAnsi="Garamond" w:cs="Times New Roman"/>
          <w:color w:val="000000" w:themeColor="text1"/>
          <w:sz w:val="28"/>
          <w:szCs w:val="28"/>
        </w:rPr>
        <w:t>,</w:t>
      </w:r>
      <w:r w:rsidR="00EC3B78">
        <w:rPr>
          <w:rFonts w:ascii="Garamond" w:hAnsi="Garamond" w:cs="Times New Roman"/>
          <w:color w:val="000000" w:themeColor="text1"/>
          <w:sz w:val="28"/>
          <w:szCs w:val="28"/>
        </w:rPr>
        <w:t xml:space="preserve"> relativa a procedura di infrazione della Commissione contro la Spagna in relazione a discariche non conformi alla </w:t>
      </w:r>
      <w:r w:rsidR="006C564E">
        <w:rPr>
          <w:rFonts w:ascii="Garamond" w:hAnsi="Garamond" w:cs="Times New Roman"/>
          <w:color w:val="000000" w:themeColor="text1"/>
          <w:sz w:val="28"/>
          <w:szCs w:val="28"/>
        </w:rPr>
        <w:t>direttiva</w:t>
      </w:r>
      <w:r w:rsidRPr="00BF2644">
        <w:rPr>
          <w:rFonts w:ascii="Garamond" w:hAnsi="Garamond" w:cs="Times New Roman"/>
          <w:color w:val="000000" w:themeColor="text1"/>
          <w:sz w:val="28"/>
          <w:szCs w:val="28"/>
        </w:rPr>
        <w:t>);</w:t>
      </w:r>
    </w:p>
    <w:p w:rsidR="00BC7881" w:rsidRPr="00BF2644" w:rsidRDefault="00BC7881"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 l'art. 14, lett. c), della </w:t>
      </w:r>
      <w:r w:rsidR="006C564E">
        <w:rPr>
          <w:rFonts w:ascii="Garamond" w:hAnsi="Garamond" w:cs="Times New Roman"/>
          <w:color w:val="000000" w:themeColor="text1"/>
          <w:sz w:val="28"/>
          <w:szCs w:val="28"/>
        </w:rPr>
        <w:t>direttiva</w:t>
      </w:r>
      <w:r w:rsidRPr="00BF2644">
        <w:rPr>
          <w:rFonts w:ascii="Garamond" w:hAnsi="Garamond" w:cs="Times New Roman"/>
          <w:color w:val="000000" w:themeColor="text1"/>
          <w:sz w:val="28"/>
          <w:szCs w:val="28"/>
        </w:rPr>
        <w:t xml:space="preserve"> 1999/31 prevede che, sulla base del piano di riassetto di una discarica approvato, le autorità competenti autorizzino i necessari lavori e stabiliscano un periodo di transizione per l'attuazione di tale piano, precisando che tutte le discariche preesistenti devono conformarsi ai requisiti stabiliti da detta </w:t>
      </w:r>
      <w:r w:rsidR="006C564E">
        <w:rPr>
          <w:rFonts w:ascii="Garamond" w:hAnsi="Garamond" w:cs="Times New Roman"/>
          <w:color w:val="000000" w:themeColor="text1"/>
          <w:sz w:val="28"/>
          <w:szCs w:val="28"/>
        </w:rPr>
        <w:t>direttiva</w:t>
      </w:r>
      <w:r w:rsidRPr="00BF2644">
        <w:rPr>
          <w:rFonts w:ascii="Garamond" w:hAnsi="Garamond" w:cs="Times New Roman"/>
          <w:color w:val="000000" w:themeColor="text1"/>
          <w:sz w:val="28"/>
          <w:szCs w:val="28"/>
        </w:rPr>
        <w:t>, fatti salvi quelli di cui al suo al</w:t>
      </w:r>
      <w:r w:rsidR="006C564E">
        <w:rPr>
          <w:rFonts w:ascii="Garamond" w:hAnsi="Garamond" w:cs="Times New Roman"/>
          <w:color w:val="000000" w:themeColor="text1"/>
          <w:sz w:val="28"/>
          <w:szCs w:val="28"/>
        </w:rPr>
        <w:t>l.</w:t>
      </w:r>
      <w:r w:rsidRPr="00BF2644">
        <w:rPr>
          <w:rFonts w:ascii="Garamond" w:hAnsi="Garamond" w:cs="Times New Roman"/>
          <w:color w:val="000000" w:themeColor="text1"/>
          <w:sz w:val="28"/>
          <w:szCs w:val="28"/>
        </w:rPr>
        <w:t xml:space="preserve"> I, punto 1, e</w:t>
      </w:r>
      <w:r w:rsidR="007B348B">
        <w:rPr>
          <w:rFonts w:ascii="Garamond" w:hAnsi="Garamond" w:cs="Times New Roman"/>
          <w:color w:val="000000" w:themeColor="text1"/>
          <w:sz w:val="28"/>
          <w:szCs w:val="28"/>
        </w:rPr>
        <w:t xml:space="preserve">ntro il 16 luglio 2009 (Corte di </w:t>
      </w:r>
      <w:r w:rsidR="006C564E">
        <w:rPr>
          <w:rFonts w:ascii="Garamond" w:hAnsi="Garamond" w:cs="Times New Roman"/>
          <w:color w:val="000000" w:themeColor="text1"/>
          <w:sz w:val="28"/>
          <w:szCs w:val="28"/>
        </w:rPr>
        <w:t>giustizia</w:t>
      </w:r>
      <w:r w:rsidR="007B348B">
        <w:rPr>
          <w:rFonts w:ascii="Garamond" w:hAnsi="Garamond" w:cs="Times New Roman"/>
          <w:color w:val="000000" w:themeColor="text1"/>
          <w:sz w:val="28"/>
          <w:szCs w:val="28"/>
        </w:rPr>
        <w:t xml:space="preserve">, </w:t>
      </w:r>
      <w:r w:rsidR="007B348B" w:rsidRPr="00BF2644">
        <w:rPr>
          <w:rFonts w:ascii="Garamond" w:hAnsi="Garamond" w:cs="Times New Roman"/>
          <w:color w:val="000000" w:themeColor="text1"/>
          <w:sz w:val="28"/>
          <w:szCs w:val="28"/>
        </w:rPr>
        <w:t>25</w:t>
      </w:r>
      <w:r w:rsidRPr="00BF2644">
        <w:rPr>
          <w:rFonts w:ascii="Garamond" w:hAnsi="Garamond" w:cs="Times New Roman"/>
          <w:color w:val="000000" w:themeColor="text1"/>
          <w:sz w:val="28"/>
          <w:szCs w:val="28"/>
        </w:rPr>
        <w:t xml:space="preserve"> febbraio 2016, </w:t>
      </w:r>
      <w:r w:rsidR="003A59B7">
        <w:rPr>
          <w:rFonts w:ascii="Garamond" w:hAnsi="Garamond" w:cs="Times New Roman"/>
          <w:color w:val="000000" w:themeColor="text1"/>
          <w:sz w:val="28"/>
          <w:szCs w:val="28"/>
        </w:rPr>
        <w:t xml:space="preserve">causa </w:t>
      </w:r>
      <w:r w:rsidRPr="00BF2644">
        <w:rPr>
          <w:rFonts w:ascii="Garamond" w:hAnsi="Garamond" w:cs="Times New Roman"/>
          <w:color w:val="000000" w:themeColor="text1"/>
          <w:sz w:val="28"/>
          <w:szCs w:val="28"/>
        </w:rPr>
        <w:t>C-454/14 cit.);</w:t>
      </w:r>
    </w:p>
    <w:p w:rsidR="00002F29" w:rsidRPr="00BF2644" w:rsidRDefault="00002F29"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 ai sensi dell'art. 14 della </w:t>
      </w:r>
      <w:r w:rsidR="006C564E">
        <w:rPr>
          <w:rFonts w:ascii="Garamond" w:hAnsi="Garamond" w:cs="Times New Roman"/>
          <w:color w:val="000000" w:themeColor="text1"/>
          <w:sz w:val="28"/>
          <w:szCs w:val="28"/>
        </w:rPr>
        <w:t>direttiva</w:t>
      </w:r>
      <w:r w:rsidRPr="00BF2644">
        <w:rPr>
          <w:rFonts w:ascii="Garamond" w:hAnsi="Garamond" w:cs="Times New Roman"/>
          <w:color w:val="000000" w:themeColor="text1"/>
          <w:sz w:val="28"/>
          <w:szCs w:val="28"/>
        </w:rPr>
        <w:t xml:space="preserve"> 1999/31, gli Stati membri dovevano adottare misure affinché le discariche che avevano ottenuto un'autorizzazione o erano già in funzione alla stessa data potessero rimanere in funzione soltanto se i provvedimenti indicati in tale articolo fossero stati adottati con la massima tempestività e al più tardi entro il 16 luglio 2</w:t>
      </w:r>
      <w:r w:rsidR="007B348B">
        <w:rPr>
          <w:rFonts w:ascii="Garamond" w:hAnsi="Garamond" w:cs="Times New Roman"/>
          <w:color w:val="000000" w:themeColor="text1"/>
          <w:sz w:val="28"/>
          <w:szCs w:val="28"/>
        </w:rPr>
        <w:t xml:space="preserve">009 (Corte di </w:t>
      </w:r>
      <w:r w:rsidR="006C564E">
        <w:rPr>
          <w:rFonts w:ascii="Garamond" w:hAnsi="Garamond" w:cs="Times New Roman"/>
          <w:color w:val="000000" w:themeColor="text1"/>
          <w:sz w:val="28"/>
          <w:szCs w:val="28"/>
        </w:rPr>
        <w:t>giustizia</w:t>
      </w:r>
      <w:r w:rsidR="007B348B">
        <w:rPr>
          <w:rFonts w:ascii="Garamond" w:hAnsi="Garamond" w:cs="Times New Roman"/>
          <w:color w:val="000000" w:themeColor="text1"/>
          <w:sz w:val="28"/>
          <w:szCs w:val="28"/>
        </w:rPr>
        <w:t xml:space="preserve">, </w:t>
      </w:r>
      <w:r w:rsidR="00AC1467">
        <w:rPr>
          <w:rFonts w:ascii="Garamond" w:hAnsi="Garamond" w:cs="Times New Roman"/>
          <w:color w:val="000000" w:themeColor="text1"/>
          <w:sz w:val="28"/>
          <w:szCs w:val="28"/>
        </w:rPr>
        <w:t xml:space="preserve"> 25 febbraio 2016</w:t>
      </w:r>
      <w:r w:rsidRPr="00BF2644">
        <w:rPr>
          <w:rFonts w:ascii="Garamond" w:hAnsi="Garamond" w:cs="Times New Roman"/>
          <w:color w:val="000000" w:themeColor="text1"/>
          <w:sz w:val="28"/>
          <w:szCs w:val="28"/>
        </w:rPr>
        <w:t xml:space="preserve">, </w:t>
      </w:r>
      <w:r w:rsidR="003A59B7">
        <w:rPr>
          <w:rFonts w:ascii="Garamond" w:hAnsi="Garamond" w:cs="Times New Roman"/>
          <w:color w:val="000000" w:themeColor="text1"/>
          <w:sz w:val="28"/>
          <w:szCs w:val="28"/>
        </w:rPr>
        <w:t xml:space="preserve">causa </w:t>
      </w:r>
      <w:r w:rsidRPr="00BF2644">
        <w:rPr>
          <w:rFonts w:ascii="Garamond" w:hAnsi="Garamond" w:cs="Times New Roman"/>
          <w:color w:val="000000" w:themeColor="text1"/>
          <w:sz w:val="28"/>
          <w:szCs w:val="28"/>
        </w:rPr>
        <w:t>C-454/14</w:t>
      </w:r>
      <w:r w:rsidR="00AC1467">
        <w:rPr>
          <w:rFonts w:ascii="Garamond" w:hAnsi="Garamond" w:cs="Times New Roman"/>
          <w:color w:val="000000" w:themeColor="text1"/>
          <w:sz w:val="28"/>
          <w:szCs w:val="28"/>
        </w:rPr>
        <w:t xml:space="preserve"> cit.</w:t>
      </w:r>
      <w:r w:rsidRPr="00BF2644">
        <w:rPr>
          <w:rFonts w:ascii="Garamond" w:hAnsi="Garamond" w:cs="Times New Roman"/>
          <w:color w:val="000000" w:themeColor="text1"/>
          <w:sz w:val="28"/>
          <w:szCs w:val="28"/>
        </w:rPr>
        <w:t>); detto articolo pertanto istituisce un regime transitorio derogatorio affinché tali discariche siano rese conformi ai nuovi requisiti in materia ambientale (v., in tal senso, sentenze</w:t>
      </w:r>
      <w:r w:rsidR="007B348B">
        <w:rPr>
          <w:rFonts w:ascii="Garamond" w:hAnsi="Garamond" w:cs="Times New Roman"/>
          <w:color w:val="000000" w:themeColor="text1"/>
          <w:sz w:val="28"/>
          <w:szCs w:val="28"/>
        </w:rPr>
        <w:t xml:space="preserve"> Corte di </w:t>
      </w:r>
      <w:r w:rsidR="006C564E">
        <w:rPr>
          <w:rFonts w:ascii="Garamond" w:hAnsi="Garamond" w:cs="Times New Roman"/>
          <w:color w:val="000000" w:themeColor="text1"/>
          <w:sz w:val="28"/>
          <w:szCs w:val="28"/>
        </w:rPr>
        <w:t>giustizia</w:t>
      </w:r>
      <w:r w:rsidRPr="00BF2644">
        <w:rPr>
          <w:rFonts w:ascii="Garamond" w:hAnsi="Garamond" w:cs="Times New Roman"/>
          <w:color w:val="000000" w:themeColor="text1"/>
          <w:sz w:val="28"/>
          <w:szCs w:val="28"/>
        </w:rPr>
        <w:t xml:space="preserve"> 2014, </w:t>
      </w:r>
      <w:r w:rsidR="003A59B7">
        <w:rPr>
          <w:rFonts w:ascii="Garamond" w:hAnsi="Garamond" w:cs="Times New Roman"/>
          <w:color w:val="000000" w:themeColor="text1"/>
          <w:sz w:val="28"/>
          <w:szCs w:val="28"/>
        </w:rPr>
        <w:t xml:space="preserve">causa C-225/13 e </w:t>
      </w:r>
      <w:r w:rsidRPr="00BF2644">
        <w:rPr>
          <w:rFonts w:ascii="Garamond" w:hAnsi="Garamond" w:cs="Times New Roman"/>
          <w:color w:val="000000" w:themeColor="text1"/>
          <w:sz w:val="28"/>
          <w:szCs w:val="28"/>
        </w:rPr>
        <w:t xml:space="preserve"> 25 febbraio 2016,</w:t>
      </w:r>
      <w:r w:rsidR="003A59B7">
        <w:rPr>
          <w:rFonts w:ascii="Garamond" w:hAnsi="Garamond" w:cs="Times New Roman"/>
          <w:color w:val="000000" w:themeColor="text1"/>
          <w:sz w:val="28"/>
          <w:szCs w:val="28"/>
        </w:rPr>
        <w:t xml:space="preserve"> causa </w:t>
      </w:r>
      <w:r w:rsidRPr="00BF2644">
        <w:rPr>
          <w:rFonts w:ascii="Garamond" w:hAnsi="Garamond" w:cs="Times New Roman"/>
          <w:color w:val="000000" w:themeColor="text1"/>
          <w:sz w:val="28"/>
          <w:szCs w:val="28"/>
        </w:rPr>
        <w:t xml:space="preserve"> C-454/14);</w:t>
      </w:r>
    </w:p>
    <w:p w:rsidR="00002F29" w:rsidRPr="00BF2644" w:rsidRDefault="00002F29" w:rsidP="00EC3B78">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 l’art. 10 della </w:t>
      </w:r>
      <w:r w:rsidR="006C564E">
        <w:rPr>
          <w:rFonts w:ascii="Garamond" w:hAnsi="Garamond" w:cs="Times New Roman"/>
          <w:color w:val="000000" w:themeColor="text1"/>
          <w:sz w:val="28"/>
          <w:szCs w:val="28"/>
        </w:rPr>
        <w:t>direttiva</w:t>
      </w:r>
      <w:r w:rsidRPr="00BF2644">
        <w:rPr>
          <w:rFonts w:ascii="Garamond" w:hAnsi="Garamond" w:cs="Times New Roman"/>
          <w:color w:val="000000" w:themeColor="text1"/>
          <w:sz w:val="28"/>
          <w:szCs w:val="28"/>
        </w:rPr>
        <w:t xml:space="preserve"> 1999/31 ha un effetto diretto, ponendo a carico degli Stati membri, in termini non equivoci, un obbligo di risultato preciso e non subordina ad alcuna condizione l'applicazione della previsione da esso enunciata. Detta disposizione esige, come risulta anche dal ‘considerando’ 29 di detta </w:t>
      </w:r>
      <w:r w:rsidR="006C564E">
        <w:rPr>
          <w:rFonts w:ascii="Garamond" w:hAnsi="Garamond" w:cs="Times New Roman"/>
          <w:color w:val="000000" w:themeColor="text1"/>
          <w:sz w:val="28"/>
          <w:szCs w:val="28"/>
        </w:rPr>
        <w:t>direttiva</w:t>
      </w:r>
      <w:r w:rsidRPr="00BF2644">
        <w:rPr>
          <w:rFonts w:ascii="Garamond" w:hAnsi="Garamond" w:cs="Times New Roman"/>
          <w:color w:val="000000" w:themeColor="text1"/>
          <w:sz w:val="28"/>
          <w:szCs w:val="28"/>
        </w:rPr>
        <w:t>, che gli Stati membri adottino misure affinché i prezzi di smaltimento dei rifiuti in una discarica coprano l'insieme dei costi connessi con la creazione e la ge</w:t>
      </w:r>
      <w:r w:rsidR="003A59B7">
        <w:rPr>
          <w:rFonts w:ascii="Garamond" w:hAnsi="Garamond" w:cs="Times New Roman"/>
          <w:color w:val="000000" w:themeColor="text1"/>
          <w:sz w:val="28"/>
          <w:szCs w:val="28"/>
        </w:rPr>
        <w:t xml:space="preserve">stione della discarica (Corte di </w:t>
      </w:r>
      <w:r w:rsidR="006C564E">
        <w:rPr>
          <w:rFonts w:ascii="Garamond" w:hAnsi="Garamond" w:cs="Times New Roman"/>
          <w:color w:val="000000" w:themeColor="text1"/>
          <w:sz w:val="28"/>
          <w:szCs w:val="28"/>
        </w:rPr>
        <w:t>giustizia</w:t>
      </w:r>
      <w:r w:rsidR="003A59B7">
        <w:rPr>
          <w:rFonts w:ascii="Garamond" w:hAnsi="Garamond" w:cs="Times New Roman"/>
          <w:color w:val="000000" w:themeColor="text1"/>
          <w:sz w:val="28"/>
          <w:szCs w:val="28"/>
        </w:rPr>
        <w:t>, sez. IV</w:t>
      </w:r>
      <w:r w:rsidR="00533956">
        <w:rPr>
          <w:rFonts w:ascii="Garamond" w:hAnsi="Garamond" w:cs="Times New Roman"/>
          <w:color w:val="000000" w:themeColor="text1"/>
          <w:sz w:val="28"/>
          <w:szCs w:val="28"/>
        </w:rPr>
        <w:t>,</w:t>
      </w:r>
      <w:r w:rsidR="00EC3B78">
        <w:rPr>
          <w:rFonts w:ascii="Garamond" w:hAnsi="Garamond" w:cs="Times New Roman"/>
          <w:color w:val="000000" w:themeColor="text1"/>
          <w:sz w:val="28"/>
          <w:szCs w:val="28"/>
        </w:rPr>
        <w:t xml:space="preserve"> </w:t>
      </w:r>
      <w:r w:rsidR="00EC3B78" w:rsidRPr="00EC3B78">
        <w:rPr>
          <w:rFonts w:ascii="Garamond" w:hAnsi="Garamond" w:cs="Times New Roman"/>
          <w:color w:val="000000" w:themeColor="text1"/>
          <w:sz w:val="28"/>
          <w:szCs w:val="28"/>
        </w:rPr>
        <w:t xml:space="preserve">24 maggio 2012, </w:t>
      </w:r>
      <w:r w:rsidR="003A59B7">
        <w:rPr>
          <w:rFonts w:ascii="Garamond" w:hAnsi="Garamond" w:cs="Times New Roman"/>
          <w:color w:val="000000" w:themeColor="text1"/>
          <w:sz w:val="28"/>
          <w:szCs w:val="28"/>
        </w:rPr>
        <w:t xml:space="preserve">causa </w:t>
      </w:r>
      <w:r w:rsidR="00EC3B78" w:rsidRPr="00EC3B78">
        <w:rPr>
          <w:rFonts w:ascii="Garamond" w:hAnsi="Garamond" w:cs="Times New Roman"/>
          <w:color w:val="000000" w:themeColor="text1"/>
          <w:sz w:val="28"/>
          <w:szCs w:val="28"/>
        </w:rPr>
        <w:t>C-97/11</w:t>
      </w:r>
      <w:r w:rsidR="007416F0">
        <w:rPr>
          <w:rFonts w:ascii="Garamond" w:hAnsi="Garamond" w:cs="Times New Roman"/>
          <w:color w:val="000000" w:themeColor="text1"/>
          <w:sz w:val="28"/>
          <w:szCs w:val="28"/>
        </w:rPr>
        <w:t>,</w:t>
      </w:r>
      <w:r w:rsidR="00EC3B78">
        <w:rPr>
          <w:rFonts w:ascii="Garamond" w:hAnsi="Garamond" w:cs="Times New Roman"/>
          <w:color w:val="000000" w:themeColor="text1"/>
          <w:sz w:val="28"/>
          <w:szCs w:val="28"/>
        </w:rPr>
        <w:t xml:space="preserve"> relativa a d</w:t>
      </w:r>
      <w:r w:rsidR="00EC3B78" w:rsidRPr="00EC3B78">
        <w:rPr>
          <w:rFonts w:ascii="Garamond" w:hAnsi="Garamond" w:cs="Times New Roman"/>
          <w:color w:val="000000" w:themeColor="text1"/>
          <w:sz w:val="28"/>
          <w:szCs w:val="28"/>
        </w:rPr>
        <w:t>omanda di pronuncia pregiudiziale proposta dalla Commissione tributaria provinciale di Palermo</w:t>
      </w:r>
      <w:r w:rsidR="00EC3B78">
        <w:rPr>
          <w:rFonts w:ascii="Garamond" w:hAnsi="Garamond" w:cs="Times New Roman"/>
          <w:color w:val="000000" w:themeColor="text1"/>
          <w:sz w:val="28"/>
          <w:szCs w:val="28"/>
        </w:rPr>
        <w:t xml:space="preserve"> e </w:t>
      </w:r>
      <w:r w:rsidR="003A59B7">
        <w:rPr>
          <w:rFonts w:ascii="Garamond" w:hAnsi="Garamond" w:cs="Times New Roman"/>
          <w:color w:val="000000" w:themeColor="text1"/>
          <w:sz w:val="28"/>
          <w:szCs w:val="28"/>
        </w:rPr>
        <w:t xml:space="preserve">Corte di </w:t>
      </w:r>
      <w:r w:rsidR="006C564E">
        <w:rPr>
          <w:rFonts w:ascii="Garamond" w:hAnsi="Garamond" w:cs="Times New Roman"/>
          <w:color w:val="000000" w:themeColor="text1"/>
          <w:sz w:val="28"/>
          <w:szCs w:val="28"/>
        </w:rPr>
        <w:t>giustizia</w:t>
      </w:r>
      <w:r w:rsidR="003A59B7">
        <w:rPr>
          <w:rFonts w:ascii="Garamond" w:hAnsi="Garamond" w:cs="Times New Roman"/>
          <w:color w:val="000000" w:themeColor="text1"/>
          <w:sz w:val="28"/>
          <w:szCs w:val="28"/>
        </w:rPr>
        <w:t xml:space="preserve">, sez. II, </w:t>
      </w:r>
      <w:r w:rsidRPr="00BF2644">
        <w:rPr>
          <w:rFonts w:ascii="Garamond" w:hAnsi="Garamond" w:cs="Times New Roman"/>
          <w:color w:val="000000" w:themeColor="text1"/>
          <w:sz w:val="28"/>
          <w:szCs w:val="28"/>
        </w:rPr>
        <w:t>25 febbraio 2010</w:t>
      </w:r>
      <w:r w:rsidR="00EC3B78">
        <w:rPr>
          <w:rFonts w:ascii="Garamond" w:hAnsi="Garamond" w:cs="Times New Roman"/>
          <w:color w:val="000000" w:themeColor="text1"/>
          <w:sz w:val="28"/>
          <w:szCs w:val="28"/>
        </w:rPr>
        <w:t xml:space="preserve">, </w:t>
      </w:r>
      <w:r w:rsidR="003A59B7">
        <w:rPr>
          <w:rFonts w:ascii="Garamond" w:hAnsi="Garamond" w:cs="Times New Roman"/>
          <w:color w:val="000000" w:themeColor="text1"/>
          <w:sz w:val="28"/>
          <w:szCs w:val="28"/>
        </w:rPr>
        <w:t xml:space="preserve">causa </w:t>
      </w:r>
      <w:r w:rsidR="00EC3B78">
        <w:rPr>
          <w:rFonts w:ascii="Garamond" w:hAnsi="Garamond" w:cs="Times New Roman"/>
          <w:color w:val="000000" w:themeColor="text1"/>
          <w:sz w:val="28"/>
          <w:szCs w:val="28"/>
        </w:rPr>
        <w:t>C-172/08</w:t>
      </w:r>
      <w:r w:rsidR="003A59B7">
        <w:rPr>
          <w:rFonts w:ascii="Garamond" w:hAnsi="Garamond" w:cs="Times New Roman"/>
          <w:color w:val="000000" w:themeColor="text1"/>
          <w:sz w:val="28"/>
          <w:szCs w:val="28"/>
        </w:rPr>
        <w:t xml:space="preserve">, </w:t>
      </w:r>
      <w:r w:rsidR="00EC3B78">
        <w:rPr>
          <w:rFonts w:ascii="Garamond" w:hAnsi="Garamond" w:cs="Times New Roman"/>
          <w:color w:val="000000" w:themeColor="text1"/>
          <w:sz w:val="28"/>
          <w:szCs w:val="28"/>
        </w:rPr>
        <w:t>relativa a domanda di pronuncia pregiudiziale proposta dalla Commissione tributaria provinciale di Roma</w:t>
      </w:r>
      <w:r w:rsidRPr="00BF2644">
        <w:rPr>
          <w:rFonts w:ascii="Garamond" w:hAnsi="Garamond" w:cs="Times New Roman"/>
          <w:color w:val="000000" w:themeColor="text1"/>
          <w:sz w:val="28"/>
          <w:szCs w:val="28"/>
        </w:rPr>
        <w:t xml:space="preserve">). Tali costi includono i costi stimati di chiusura del sito e di gestione successiva alla chiusura per un periodo di almeno trent’anni, in applicazione del principio «chi inquina paga», costituente ai sensi dell'art. 191, par. 2, </w:t>
      </w:r>
      <w:r w:rsidR="00706C95" w:rsidRPr="00BF2644">
        <w:rPr>
          <w:rFonts w:ascii="Garamond" w:hAnsi="Garamond" w:cs="Times New Roman"/>
          <w:color w:val="000000" w:themeColor="text1"/>
          <w:sz w:val="28"/>
          <w:szCs w:val="28"/>
        </w:rPr>
        <w:t>TFUE</w:t>
      </w:r>
      <w:r w:rsidRPr="00BF2644">
        <w:rPr>
          <w:rFonts w:ascii="Garamond" w:hAnsi="Garamond" w:cs="Times New Roman"/>
          <w:color w:val="000000" w:themeColor="text1"/>
          <w:sz w:val="28"/>
          <w:szCs w:val="28"/>
        </w:rPr>
        <w:t xml:space="preserve">, uno dei principî fondamentali del diritto dell'Unione in materia ambientale,  il quale implica, come la Corte ha già dichiarato nel contesto della </w:t>
      </w:r>
      <w:r w:rsidR="006C564E">
        <w:rPr>
          <w:rFonts w:ascii="Garamond" w:hAnsi="Garamond" w:cs="Times New Roman"/>
          <w:color w:val="000000" w:themeColor="text1"/>
          <w:sz w:val="28"/>
          <w:szCs w:val="28"/>
        </w:rPr>
        <w:t>direttiva</w:t>
      </w:r>
      <w:r w:rsidRPr="00BF2644">
        <w:rPr>
          <w:rFonts w:ascii="Garamond" w:hAnsi="Garamond" w:cs="Times New Roman"/>
          <w:color w:val="000000" w:themeColor="text1"/>
          <w:sz w:val="28"/>
          <w:szCs w:val="28"/>
        </w:rPr>
        <w:t xml:space="preserve"> 75/442 e della </w:t>
      </w:r>
      <w:r w:rsidR="006C564E">
        <w:rPr>
          <w:rFonts w:ascii="Garamond" w:hAnsi="Garamond" w:cs="Times New Roman"/>
          <w:color w:val="000000" w:themeColor="text1"/>
          <w:sz w:val="28"/>
          <w:szCs w:val="28"/>
        </w:rPr>
        <w:t>direttiva</w:t>
      </w:r>
      <w:r w:rsidR="00533956">
        <w:rPr>
          <w:rFonts w:ascii="Garamond" w:hAnsi="Garamond" w:cs="Times New Roman"/>
          <w:color w:val="000000" w:themeColor="text1"/>
          <w:sz w:val="28"/>
          <w:szCs w:val="28"/>
        </w:rPr>
        <w:t xml:space="preserve"> 2006/12/Ce del P</w:t>
      </w:r>
      <w:r w:rsidRPr="00BF2644">
        <w:rPr>
          <w:rFonts w:ascii="Garamond" w:hAnsi="Garamond" w:cs="Times New Roman"/>
          <w:color w:val="000000" w:themeColor="text1"/>
          <w:sz w:val="28"/>
          <w:szCs w:val="28"/>
        </w:rPr>
        <w:t xml:space="preserve">arlamento europeo e del consiglio, del 5 aprile 2006, relativa ai rifiuti,   </w:t>
      </w:r>
      <w:r w:rsidRPr="00BF2644">
        <w:rPr>
          <w:rFonts w:ascii="Garamond" w:hAnsi="Garamond" w:cs="Times New Roman"/>
          <w:color w:val="000000" w:themeColor="text1"/>
          <w:sz w:val="28"/>
          <w:szCs w:val="28"/>
        </w:rPr>
        <w:lastRenderedPageBreak/>
        <w:t xml:space="preserve">che il costo dello smaltimento dei rifiuti debba gravare sui loro detentori. L'applicazione di tale principio è insita nell'obiettivo della </w:t>
      </w:r>
      <w:r w:rsidR="006C564E">
        <w:rPr>
          <w:rFonts w:ascii="Garamond" w:hAnsi="Garamond" w:cs="Times New Roman"/>
          <w:color w:val="000000" w:themeColor="text1"/>
          <w:sz w:val="28"/>
          <w:szCs w:val="28"/>
        </w:rPr>
        <w:t>direttiva</w:t>
      </w:r>
      <w:r w:rsidRPr="00BF2644">
        <w:rPr>
          <w:rFonts w:ascii="Garamond" w:hAnsi="Garamond" w:cs="Times New Roman"/>
          <w:color w:val="000000" w:themeColor="text1"/>
          <w:sz w:val="28"/>
          <w:szCs w:val="28"/>
        </w:rPr>
        <w:t xml:space="preserve"> 1999/31, che, ai sensi del suo art. 1, par. 1, è volta ad adempiere i requisiti della </w:t>
      </w:r>
      <w:r w:rsidR="006C564E">
        <w:rPr>
          <w:rFonts w:ascii="Garamond" w:hAnsi="Garamond" w:cs="Times New Roman"/>
          <w:color w:val="000000" w:themeColor="text1"/>
          <w:sz w:val="28"/>
          <w:szCs w:val="28"/>
        </w:rPr>
        <w:t>direttiva</w:t>
      </w:r>
      <w:r w:rsidRPr="00BF2644">
        <w:rPr>
          <w:rFonts w:ascii="Garamond" w:hAnsi="Garamond" w:cs="Times New Roman"/>
          <w:color w:val="000000" w:themeColor="text1"/>
          <w:sz w:val="28"/>
          <w:szCs w:val="28"/>
        </w:rPr>
        <w:t xml:space="preserve"> 75/442 e, in particolare, del suo art. 3, il quale, </w:t>
      </w:r>
      <w:r w:rsidRPr="00AC1467">
        <w:rPr>
          <w:rFonts w:ascii="Garamond" w:hAnsi="Garamond" w:cs="Times New Roman"/>
          <w:i/>
          <w:color w:val="000000" w:themeColor="text1"/>
          <w:sz w:val="28"/>
          <w:szCs w:val="28"/>
        </w:rPr>
        <w:t>inter alia</w:t>
      </w:r>
      <w:r w:rsidRPr="00BF2644">
        <w:rPr>
          <w:rFonts w:ascii="Garamond" w:hAnsi="Garamond" w:cs="Times New Roman"/>
          <w:color w:val="000000" w:themeColor="text1"/>
          <w:sz w:val="28"/>
          <w:szCs w:val="28"/>
        </w:rPr>
        <w:t xml:space="preserve">, impone agli Stati membri di adottare idonee misure per promuovere la prevenzione o la riduzione della </w:t>
      </w:r>
      <w:r w:rsidR="007B348B">
        <w:rPr>
          <w:rFonts w:ascii="Garamond" w:hAnsi="Garamond" w:cs="Times New Roman"/>
          <w:color w:val="000000" w:themeColor="text1"/>
          <w:sz w:val="28"/>
          <w:szCs w:val="28"/>
        </w:rPr>
        <w:t xml:space="preserve">produzione dei rifiuti (Corte di </w:t>
      </w:r>
      <w:r w:rsidR="006C564E">
        <w:rPr>
          <w:rFonts w:ascii="Garamond" w:hAnsi="Garamond" w:cs="Times New Roman"/>
          <w:color w:val="000000" w:themeColor="text1"/>
          <w:sz w:val="28"/>
          <w:szCs w:val="28"/>
        </w:rPr>
        <w:t>giustizia</w:t>
      </w:r>
      <w:r w:rsidR="007B348B">
        <w:rPr>
          <w:rFonts w:ascii="Garamond" w:hAnsi="Garamond" w:cs="Times New Roman"/>
          <w:color w:val="000000" w:themeColor="text1"/>
          <w:sz w:val="28"/>
          <w:szCs w:val="28"/>
        </w:rPr>
        <w:t>,</w:t>
      </w:r>
      <w:r w:rsidRPr="00BF2644">
        <w:rPr>
          <w:rFonts w:ascii="Garamond" w:hAnsi="Garamond" w:cs="Times New Roman"/>
          <w:color w:val="000000" w:themeColor="text1"/>
          <w:sz w:val="28"/>
          <w:szCs w:val="28"/>
        </w:rPr>
        <w:t xml:space="preserve"> 25 febbraio 2010,</w:t>
      </w:r>
      <w:r w:rsidR="003A59B7">
        <w:rPr>
          <w:rFonts w:ascii="Garamond" w:hAnsi="Garamond" w:cs="Times New Roman"/>
          <w:color w:val="000000" w:themeColor="text1"/>
          <w:sz w:val="28"/>
          <w:szCs w:val="28"/>
        </w:rPr>
        <w:t xml:space="preserve"> causa</w:t>
      </w:r>
      <w:r w:rsidRPr="00BF2644">
        <w:rPr>
          <w:rFonts w:ascii="Garamond" w:hAnsi="Garamond" w:cs="Times New Roman"/>
          <w:color w:val="000000" w:themeColor="text1"/>
          <w:sz w:val="28"/>
          <w:szCs w:val="28"/>
        </w:rPr>
        <w:t xml:space="preserve"> C- 172/08 cit.);</w:t>
      </w:r>
    </w:p>
    <w:p w:rsidR="00002F29" w:rsidRPr="00BF2644" w:rsidRDefault="00002F29" w:rsidP="007416F0">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  l’art. 10 della </w:t>
      </w:r>
      <w:r w:rsidR="006C564E">
        <w:rPr>
          <w:rFonts w:ascii="Garamond" w:hAnsi="Garamond" w:cs="Times New Roman"/>
          <w:color w:val="000000" w:themeColor="text1"/>
          <w:sz w:val="28"/>
          <w:szCs w:val="28"/>
        </w:rPr>
        <w:t>direttiva</w:t>
      </w:r>
      <w:r w:rsidRPr="00BF2644">
        <w:rPr>
          <w:rFonts w:ascii="Garamond" w:hAnsi="Garamond" w:cs="Times New Roman"/>
          <w:color w:val="000000" w:themeColor="text1"/>
          <w:sz w:val="28"/>
          <w:szCs w:val="28"/>
        </w:rPr>
        <w:t xml:space="preserve"> 1999/31 non impone agli Stati membri alcun metodo specifico per quanto attiene al finanziamento dei </w:t>
      </w:r>
      <w:r w:rsidR="00F0403F">
        <w:rPr>
          <w:rFonts w:ascii="Garamond" w:hAnsi="Garamond" w:cs="Times New Roman"/>
          <w:color w:val="000000" w:themeColor="text1"/>
          <w:sz w:val="28"/>
          <w:szCs w:val="28"/>
        </w:rPr>
        <w:t xml:space="preserve">costi delle discariche (Corte di giustizia, </w:t>
      </w:r>
      <w:r w:rsidRPr="00BF2644">
        <w:rPr>
          <w:rFonts w:ascii="Garamond" w:hAnsi="Garamond" w:cs="Times New Roman"/>
          <w:color w:val="000000" w:themeColor="text1"/>
          <w:sz w:val="28"/>
          <w:szCs w:val="28"/>
        </w:rPr>
        <w:t xml:space="preserve"> 24 maggio 2012, </w:t>
      </w:r>
      <w:r w:rsidR="003A59B7">
        <w:rPr>
          <w:rFonts w:ascii="Garamond" w:hAnsi="Garamond" w:cs="Times New Roman"/>
          <w:color w:val="000000" w:themeColor="text1"/>
          <w:sz w:val="28"/>
          <w:szCs w:val="28"/>
        </w:rPr>
        <w:t xml:space="preserve">causa </w:t>
      </w:r>
      <w:r w:rsidRPr="00BF2644">
        <w:rPr>
          <w:rFonts w:ascii="Garamond" w:hAnsi="Garamond" w:cs="Times New Roman"/>
          <w:color w:val="000000" w:themeColor="text1"/>
          <w:sz w:val="28"/>
          <w:szCs w:val="28"/>
        </w:rPr>
        <w:t xml:space="preserve">C-97/11 cit.); pertanto siccome non esiste, allo stato attuale del diritto dell'Unione, alcuna normativa adottata sulla base dell'art. 192 </w:t>
      </w:r>
      <w:r w:rsidR="00706C95" w:rsidRPr="00BF2644">
        <w:rPr>
          <w:rFonts w:ascii="Garamond" w:hAnsi="Garamond" w:cs="Times New Roman"/>
          <w:color w:val="000000" w:themeColor="text1"/>
          <w:sz w:val="28"/>
          <w:szCs w:val="28"/>
        </w:rPr>
        <w:t xml:space="preserve">TFUE </w:t>
      </w:r>
      <w:r w:rsidRPr="00BF2644">
        <w:rPr>
          <w:rFonts w:ascii="Garamond" w:hAnsi="Garamond" w:cs="Times New Roman"/>
          <w:color w:val="000000" w:themeColor="text1"/>
          <w:sz w:val="28"/>
          <w:szCs w:val="28"/>
        </w:rPr>
        <w:t>che imponga agli Stati membri un metodo specifico per quanto riguarda il finanziamento dei costi derivanti dall'impianto e dall'esercizio delle discariche, tale finanziamento può, a scelta dello Stato membro interessato, essere indifferentemente assicurato mediante una tassa, un canone o qu</w:t>
      </w:r>
      <w:r w:rsidR="003A59B7">
        <w:rPr>
          <w:rFonts w:ascii="Garamond" w:hAnsi="Garamond" w:cs="Times New Roman"/>
          <w:color w:val="000000" w:themeColor="text1"/>
          <w:sz w:val="28"/>
          <w:szCs w:val="28"/>
        </w:rPr>
        <w:t xml:space="preserve">alsiasi altra modalità (Corte di </w:t>
      </w:r>
      <w:r w:rsidR="006C564E">
        <w:rPr>
          <w:rFonts w:ascii="Garamond" w:hAnsi="Garamond" w:cs="Times New Roman"/>
          <w:color w:val="000000" w:themeColor="text1"/>
          <w:sz w:val="28"/>
          <w:szCs w:val="28"/>
        </w:rPr>
        <w:t>giustizia</w:t>
      </w:r>
      <w:r w:rsidR="003932E5">
        <w:rPr>
          <w:rFonts w:ascii="Garamond" w:hAnsi="Garamond" w:cs="Times New Roman"/>
          <w:color w:val="000000" w:themeColor="text1"/>
          <w:sz w:val="28"/>
          <w:szCs w:val="28"/>
        </w:rPr>
        <w:t xml:space="preserve">, sez. II, </w:t>
      </w:r>
      <w:r w:rsidRPr="00BF2644">
        <w:rPr>
          <w:rFonts w:ascii="Garamond" w:hAnsi="Garamond" w:cs="Times New Roman"/>
          <w:color w:val="000000" w:themeColor="text1"/>
          <w:sz w:val="28"/>
          <w:szCs w:val="28"/>
        </w:rPr>
        <w:t xml:space="preserve"> 16 luglio 2009, </w:t>
      </w:r>
      <w:r w:rsidR="003932E5">
        <w:rPr>
          <w:rFonts w:ascii="Garamond" w:hAnsi="Garamond" w:cs="Times New Roman"/>
          <w:color w:val="000000" w:themeColor="text1"/>
          <w:sz w:val="28"/>
          <w:szCs w:val="28"/>
        </w:rPr>
        <w:t xml:space="preserve">causa </w:t>
      </w:r>
      <w:r w:rsidRPr="00BF2644">
        <w:rPr>
          <w:rFonts w:ascii="Garamond" w:hAnsi="Garamond" w:cs="Times New Roman"/>
          <w:color w:val="000000" w:themeColor="text1"/>
          <w:sz w:val="28"/>
          <w:szCs w:val="28"/>
        </w:rPr>
        <w:t>C-254/08</w:t>
      </w:r>
      <w:r w:rsidR="007416F0">
        <w:rPr>
          <w:rFonts w:ascii="Garamond" w:hAnsi="Garamond" w:cs="Times New Roman"/>
          <w:color w:val="000000" w:themeColor="text1"/>
          <w:sz w:val="28"/>
          <w:szCs w:val="28"/>
        </w:rPr>
        <w:t>,</w:t>
      </w:r>
      <w:r w:rsidR="007416F0" w:rsidRPr="007416F0">
        <w:rPr>
          <w:rFonts w:ascii="Garamond" w:hAnsi="Garamond" w:cs="Times New Roman"/>
          <w:color w:val="000000" w:themeColor="text1"/>
          <w:sz w:val="28"/>
          <w:szCs w:val="28"/>
        </w:rPr>
        <w:t xml:space="preserve"> </w:t>
      </w:r>
      <w:r w:rsidR="007416F0">
        <w:rPr>
          <w:rFonts w:ascii="Garamond" w:hAnsi="Garamond" w:cs="Times New Roman"/>
          <w:color w:val="000000" w:themeColor="text1"/>
          <w:sz w:val="28"/>
          <w:szCs w:val="28"/>
        </w:rPr>
        <w:t>relativa a domanda pregiudiziale presentata</w:t>
      </w:r>
      <w:r w:rsidR="007416F0" w:rsidRPr="007416F0">
        <w:rPr>
          <w:rFonts w:ascii="Garamond" w:hAnsi="Garamond" w:cs="Times New Roman"/>
          <w:color w:val="000000" w:themeColor="text1"/>
          <w:sz w:val="28"/>
          <w:szCs w:val="28"/>
        </w:rPr>
        <w:t xml:space="preserve"> </w:t>
      </w:r>
      <w:r w:rsidR="007416F0">
        <w:rPr>
          <w:rFonts w:ascii="Garamond" w:hAnsi="Garamond" w:cs="Times New Roman"/>
          <w:color w:val="000000" w:themeColor="text1"/>
          <w:sz w:val="28"/>
          <w:szCs w:val="28"/>
        </w:rPr>
        <w:t>n</w:t>
      </w:r>
      <w:r w:rsidR="007416F0" w:rsidRPr="007416F0">
        <w:rPr>
          <w:rFonts w:ascii="Garamond" w:hAnsi="Garamond" w:cs="Times New Roman"/>
          <w:color w:val="000000" w:themeColor="text1"/>
          <w:sz w:val="28"/>
          <w:szCs w:val="28"/>
        </w:rPr>
        <w:t>ell’</w:t>
      </w:r>
      <w:r w:rsidR="007416F0">
        <w:rPr>
          <w:rFonts w:ascii="Garamond" w:hAnsi="Garamond" w:cs="Times New Roman"/>
          <w:color w:val="000000" w:themeColor="text1"/>
          <w:sz w:val="28"/>
          <w:szCs w:val="28"/>
        </w:rPr>
        <w:t xml:space="preserve">ambito di una controversia tra </w:t>
      </w:r>
      <w:r w:rsidR="007416F0" w:rsidRPr="007416F0">
        <w:rPr>
          <w:rFonts w:ascii="Garamond" w:hAnsi="Garamond" w:cs="Times New Roman"/>
          <w:color w:val="000000" w:themeColor="text1"/>
          <w:sz w:val="28"/>
          <w:szCs w:val="28"/>
        </w:rPr>
        <w:t>società alberghiere e il Comune di Casoria in ordine alla determinazione delle tariffe della tassa per lo smaltimento dei rifiuti solidi urbani intern</w:t>
      </w:r>
      <w:r w:rsidR="007416F0">
        <w:rPr>
          <w:rFonts w:ascii="Garamond" w:hAnsi="Garamond" w:cs="Times New Roman"/>
          <w:color w:val="000000" w:themeColor="text1"/>
          <w:sz w:val="28"/>
          <w:szCs w:val="28"/>
        </w:rPr>
        <w:t>i</w:t>
      </w:r>
      <w:r w:rsidRPr="00BF2644">
        <w:rPr>
          <w:rFonts w:ascii="Garamond" w:hAnsi="Garamond" w:cs="Times New Roman"/>
          <w:color w:val="000000" w:themeColor="text1"/>
          <w:sz w:val="28"/>
          <w:szCs w:val="28"/>
        </w:rPr>
        <w:t xml:space="preserve"> e </w:t>
      </w:r>
      <w:r w:rsidR="003932E5">
        <w:rPr>
          <w:rFonts w:ascii="Garamond" w:hAnsi="Garamond" w:cs="Times New Roman"/>
          <w:color w:val="000000" w:themeColor="text1"/>
          <w:sz w:val="28"/>
          <w:szCs w:val="28"/>
        </w:rPr>
        <w:t xml:space="preserve">Corte di </w:t>
      </w:r>
      <w:r w:rsidR="006C564E">
        <w:rPr>
          <w:rFonts w:ascii="Garamond" w:hAnsi="Garamond" w:cs="Times New Roman"/>
          <w:color w:val="000000" w:themeColor="text1"/>
          <w:sz w:val="28"/>
          <w:szCs w:val="28"/>
        </w:rPr>
        <w:t>giustizia</w:t>
      </w:r>
      <w:r w:rsidR="003932E5">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 xml:space="preserve">25 febbraio 2010, </w:t>
      </w:r>
      <w:r w:rsidR="003932E5">
        <w:rPr>
          <w:rFonts w:ascii="Garamond" w:hAnsi="Garamond" w:cs="Times New Roman"/>
          <w:color w:val="000000" w:themeColor="text1"/>
          <w:sz w:val="28"/>
          <w:szCs w:val="28"/>
        </w:rPr>
        <w:t xml:space="preserve">causa </w:t>
      </w:r>
      <w:r w:rsidRPr="00BF2644">
        <w:rPr>
          <w:rFonts w:ascii="Garamond" w:hAnsi="Garamond" w:cs="Times New Roman"/>
          <w:color w:val="000000" w:themeColor="text1"/>
          <w:sz w:val="28"/>
          <w:szCs w:val="28"/>
        </w:rPr>
        <w:t>C-172/08 cit.); in qualsiasi modo vi procedano, le normative nazionali che disciplinano le discariche devono garantire che tutti i costi di gestione di tali discariche gravino effettivamente sui detentori dei rifiuti che li depositano nelle discariche ai fini del loro smaltimento. In effetti, far gravare sui gestori tali oneri condurrebbe ad imputare ai medesimi i costi connessi allo smaltimento di rifiuti che non hanno prodotto essi stessi, ma di cui garantiscono semplicemente lo smaltimento nell'ambito della loro attività di</w:t>
      </w:r>
      <w:r w:rsidR="007B348B">
        <w:rPr>
          <w:rFonts w:ascii="Garamond" w:hAnsi="Garamond" w:cs="Times New Roman"/>
          <w:color w:val="000000" w:themeColor="text1"/>
          <w:sz w:val="28"/>
          <w:szCs w:val="28"/>
        </w:rPr>
        <w:t xml:space="preserve"> prestatori </w:t>
      </w:r>
      <w:r w:rsidR="004B420A">
        <w:rPr>
          <w:rFonts w:ascii="Garamond" w:hAnsi="Garamond" w:cs="Times New Roman"/>
          <w:color w:val="000000" w:themeColor="text1"/>
          <w:sz w:val="28"/>
          <w:szCs w:val="28"/>
        </w:rPr>
        <w:t xml:space="preserve">di servizi (Corte di </w:t>
      </w:r>
      <w:r w:rsidR="006C564E">
        <w:rPr>
          <w:rFonts w:ascii="Garamond" w:hAnsi="Garamond" w:cs="Times New Roman"/>
          <w:color w:val="000000" w:themeColor="text1"/>
          <w:sz w:val="28"/>
          <w:szCs w:val="28"/>
        </w:rPr>
        <w:t>giustizia</w:t>
      </w:r>
      <w:r w:rsidR="004B420A">
        <w:rPr>
          <w:rFonts w:ascii="Garamond" w:hAnsi="Garamond" w:cs="Times New Roman"/>
          <w:color w:val="000000" w:themeColor="text1"/>
          <w:sz w:val="28"/>
          <w:szCs w:val="28"/>
        </w:rPr>
        <w:t>,</w:t>
      </w:r>
      <w:r w:rsidRPr="00BF2644">
        <w:rPr>
          <w:rFonts w:ascii="Garamond" w:hAnsi="Garamond" w:cs="Times New Roman"/>
          <w:color w:val="000000" w:themeColor="text1"/>
          <w:sz w:val="28"/>
          <w:szCs w:val="28"/>
        </w:rPr>
        <w:t xml:space="preserve"> 25 febbraio 2010,</w:t>
      </w:r>
      <w:r w:rsidR="007416F0">
        <w:rPr>
          <w:rFonts w:ascii="Garamond" w:hAnsi="Garamond" w:cs="Times New Roman"/>
          <w:color w:val="000000" w:themeColor="text1"/>
          <w:sz w:val="28"/>
          <w:szCs w:val="28"/>
        </w:rPr>
        <w:t xml:space="preserve"> </w:t>
      </w:r>
      <w:r w:rsidR="007A6258">
        <w:rPr>
          <w:rFonts w:ascii="Garamond" w:hAnsi="Garamond" w:cs="Times New Roman"/>
          <w:color w:val="000000" w:themeColor="text1"/>
          <w:sz w:val="28"/>
          <w:szCs w:val="28"/>
        </w:rPr>
        <w:t>C-172/08 cit).</w:t>
      </w:r>
    </w:p>
    <w:p w:rsidR="003932E5" w:rsidRDefault="003932E5" w:rsidP="00BF2644">
      <w:pPr>
        <w:spacing w:line="240" w:lineRule="auto"/>
        <w:ind w:firstLine="709"/>
        <w:contextualSpacing/>
        <w:jc w:val="both"/>
        <w:rPr>
          <w:rFonts w:ascii="Garamond" w:hAnsi="Garamond" w:cs="Times New Roman"/>
          <w:b/>
          <w:color w:val="000000" w:themeColor="text1"/>
          <w:sz w:val="28"/>
          <w:szCs w:val="28"/>
        </w:rPr>
      </w:pPr>
    </w:p>
    <w:p w:rsidR="00700152" w:rsidRPr="00BF2644" w:rsidRDefault="00700152"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b/>
          <w:color w:val="000000" w:themeColor="text1"/>
          <w:sz w:val="28"/>
          <w:szCs w:val="28"/>
        </w:rPr>
        <w:t>1.</w:t>
      </w:r>
      <w:r w:rsidR="00817C58" w:rsidRPr="00BF2644">
        <w:rPr>
          <w:rFonts w:ascii="Garamond" w:hAnsi="Garamond" w:cs="Times New Roman"/>
          <w:b/>
          <w:color w:val="000000" w:themeColor="text1"/>
          <w:sz w:val="28"/>
          <w:szCs w:val="28"/>
        </w:rPr>
        <w:t>2</w:t>
      </w:r>
      <w:r w:rsidRPr="00BF2644">
        <w:rPr>
          <w:rFonts w:ascii="Garamond" w:hAnsi="Garamond" w:cs="Times New Roman"/>
          <w:b/>
          <w:color w:val="000000" w:themeColor="text1"/>
          <w:sz w:val="28"/>
          <w:szCs w:val="28"/>
        </w:rPr>
        <w:t>. La giurispru</w:t>
      </w:r>
      <w:r w:rsidR="009D0737">
        <w:rPr>
          <w:rFonts w:ascii="Garamond" w:hAnsi="Garamond" w:cs="Times New Roman"/>
          <w:b/>
          <w:color w:val="000000" w:themeColor="text1"/>
          <w:sz w:val="28"/>
          <w:szCs w:val="28"/>
        </w:rPr>
        <w:t>denza della Corte c</w:t>
      </w:r>
      <w:r w:rsidR="00817C58" w:rsidRPr="00BF2644">
        <w:rPr>
          <w:rFonts w:ascii="Garamond" w:hAnsi="Garamond" w:cs="Times New Roman"/>
          <w:b/>
          <w:color w:val="000000" w:themeColor="text1"/>
          <w:sz w:val="28"/>
          <w:szCs w:val="28"/>
        </w:rPr>
        <w:t>ostituzionale: in particolare il riparto di competenze</w:t>
      </w:r>
      <w:r w:rsidR="00002F29" w:rsidRPr="00BF2644">
        <w:rPr>
          <w:rFonts w:ascii="Garamond" w:hAnsi="Garamond" w:cs="Times New Roman"/>
          <w:b/>
          <w:color w:val="000000" w:themeColor="text1"/>
          <w:sz w:val="28"/>
          <w:szCs w:val="28"/>
        </w:rPr>
        <w:t>.</w:t>
      </w:r>
      <w:r w:rsidR="00002F29" w:rsidRPr="00BF2644">
        <w:rPr>
          <w:rFonts w:ascii="Garamond" w:hAnsi="Garamond"/>
          <w:sz w:val="28"/>
          <w:szCs w:val="28"/>
        </w:rPr>
        <w:t xml:space="preserve"> </w:t>
      </w:r>
    </w:p>
    <w:p w:rsidR="00817C58" w:rsidRPr="00BF2644" w:rsidRDefault="00817C58"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Il legislatore statale ha regolato la materia della gestione dei rifiuti nella parte quarta, titolo I (norme in materia di gestione dei rifiuti e di bonific</w:t>
      </w:r>
      <w:r w:rsidR="003932E5">
        <w:rPr>
          <w:rFonts w:ascii="Garamond" w:hAnsi="Garamond" w:cs="Times New Roman"/>
          <w:color w:val="000000" w:themeColor="text1"/>
          <w:sz w:val="28"/>
          <w:szCs w:val="28"/>
        </w:rPr>
        <w:t xml:space="preserve">a dei siti inquinati), del </w:t>
      </w:r>
      <w:r w:rsidR="004F0CCD">
        <w:rPr>
          <w:rFonts w:ascii="Garamond" w:hAnsi="Garamond" w:cs="Times New Roman"/>
          <w:color w:val="000000" w:themeColor="text1"/>
          <w:sz w:val="28"/>
          <w:szCs w:val="28"/>
        </w:rPr>
        <w:t>d.lgs.</w:t>
      </w:r>
      <w:r w:rsidRPr="00BF2644">
        <w:rPr>
          <w:rFonts w:ascii="Garamond" w:hAnsi="Garamond" w:cs="Times New Roman"/>
          <w:color w:val="000000" w:themeColor="text1"/>
          <w:sz w:val="28"/>
          <w:szCs w:val="28"/>
        </w:rPr>
        <w:t xml:space="preserve"> n. 152 del 2006. </w:t>
      </w:r>
    </w:p>
    <w:p w:rsidR="00817C58" w:rsidRPr="00BF2644" w:rsidRDefault="00817C58"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La normativa statale individua poteri e funzioni dei diversi livelli di governo, che devono essere esercitati «</w:t>
      </w:r>
      <w:r w:rsidRPr="00431220">
        <w:rPr>
          <w:rFonts w:ascii="Garamond" w:hAnsi="Garamond" w:cs="Times New Roman"/>
          <w:i/>
          <w:color w:val="000000" w:themeColor="text1"/>
          <w:sz w:val="28"/>
          <w:szCs w:val="28"/>
        </w:rPr>
        <w:t xml:space="preserve">in conformità alle disposizioni di cui alla parte quarta del presente </w:t>
      </w:r>
      <w:r w:rsidR="006C564E">
        <w:rPr>
          <w:rFonts w:ascii="Garamond" w:hAnsi="Garamond" w:cs="Times New Roman"/>
          <w:i/>
          <w:color w:val="000000" w:themeColor="text1"/>
          <w:sz w:val="28"/>
          <w:szCs w:val="28"/>
        </w:rPr>
        <w:t>decreto</w:t>
      </w:r>
      <w:r w:rsidR="00BF7904">
        <w:rPr>
          <w:rFonts w:ascii="Garamond" w:hAnsi="Garamond" w:cs="Times New Roman"/>
          <w:color w:val="000000" w:themeColor="text1"/>
          <w:sz w:val="28"/>
          <w:szCs w:val="28"/>
        </w:rPr>
        <w:t xml:space="preserve">» (art. </w:t>
      </w:r>
      <w:r w:rsidR="00353F28">
        <w:rPr>
          <w:rFonts w:ascii="Garamond" w:hAnsi="Garamond" w:cs="Times New Roman"/>
          <w:color w:val="000000" w:themeColor="text1"/>
          <w:sz w:val="28"/>
          <w:szCs w:val="28"/>
        </w:rPr>
        <w:t>177, comma</w:t>
      </w:r>
      <w:r w:rsidR="00BF7904">
        <w:rPr>
          <w:rFonts w:ascii="Garamond" w:hAnsi="Garamond" w:cs="Times New Roman"/>
          <w:color w:val="000000" w:themeColor="text1"/>
          <w:sz w:val="28"/>
          <w:szCs w:val="28"/>
        </w:rPr>
        <w:t xml:space="preserve"> 5</w:t>
      </w:r>
      <w:r w:rsidR="001D624D">
        <w:rPr>
          <w:rFonts w:ascii="Garamond" w:hAnsi="Garamond" w:cs="Times New Roman"/>
          <w:color w:val="000000" w:themeColor="text1"/>
          <w:sz w:val="28"/>
          <w:szCs w:val="28"/>
        </w:rPr>
        <w:t xml:space="preserve">, </w:t>
      </w:r>
      <w:r w:rsidR="004F0CCD">
        <w:rPr>
          <w:rFonts w:ascii="Garamond" w:hAnsi="Garamond" w:cs="Times New Roman"/>
          <w:color w:val="000000" w:themeColor="text1"/>
          <w:sz w:val="28"/>
          <w:szCs w:val="28"/>
        </w:rPr>
        <w:t>d.lgs.</w:t>
      </w:r>
      <w:r w:rsidRPr="00BF2644">
        <w:rPr>
          <w:rFonts w:ascii="Garamond" w:hAnsi="Garamond" w:cs="Times New Roman"/>
          <w:color w:val="000000" w:themeColor="text1"/>
          <w:sz w:val="28"/>
          <w:szCs w:val="28"/>
        </w:rPr>
        <w:t xml:space="preserve"> n. 152 del 2006).</w:t>
      </w:r>
    </w:p>
    <w:p w:rsidR="00817C58" w:rsidRPr="00BF2644" w:rsidRDefault="00817C58"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Allo Stato, oltre alle attività già indicate nel resto d</w:t>
      </w:r>
      <w:r w:rsidR="00431220">
        <w:rPr>
          <w:rFonts w:ascii="Garamond" w:hAnsi="Garamond" w:cs="Times New Roman"/>
          <w:color w:val="000000" w:themeColor="text1"/>
          <w:sz w:val="28"/>
          <w:szCs w:val="28"/>
        </w:rPr>
        <w:t xml:space="preserve">ella parte quarta del titolo I </w:t>
      </w:r>
      <w:r w:rsidR="005730E8">
        <w:rPr>
          <w:rFonts w:ascii="Garamond" w:hAnsi="Garamond" w:cs="Times New Roman"/>
          <w:color w:val="000000" w:themeColor="text1"/>
          <w:sz w:val="28"/>
          <w:szCs w:val="28"/>
        </w:rPr>
        <w:t xml:space="preserve">del </w:t>
      </w:r>
      <w:r w:rsidR="004F0CCD">
        <w:rPr>
          <w:rFonts w:ascii="Garamond" w:hAnsi="Garamond" w:cs="Times New Roman"/>
          <w:color w:val="000000" w:themeColor="text1"/>
          <w:sz w:val="28"/>
          <w:szCs w:val="28"/>
        </w:rPr>
        <w:t>d.lgs.</w:t>
      </w:r>
      <w:r w:rsidRPr="00BF2644">
        <w:rPr>
          <w:rFonts w:ascii="Garamond" w:hAnsi="Garamond" w:cs="Times New Roman"/>
          <w:color w:val="000000" w:themeColor="text1"/>
          <w:sz w:val="28"/>
          <w:szCs w:val="28"/>
        </w:rPr>
        <w:t xml:space="preserve"> n. 152 del 2006, spettano numerose competenze (art. 195), tra le quali l’individuazione degli impianti di recupero e di smaltimento di preminente interesse nazionale da realizzare per la modernizzazione e lo sviluppo del paese, sentita la conferenza unificata, procedendo secondo finalità di riequilibrio socio-economico fra le aree del te</w:t>
      </w:r>
      <w:r w:rsidR="00BF7904">
        <w:rPr>
          <w:rFonts w:ascii="Garamond" w:hAnsi="Garamond" w:cs="Times New Roman"/>
          <w:color w:val="000000" w:themeColor="text1"/>
          <w:sz w:val="28"/>
          <w:szCs w:val="28"/>
        </w:rPr>
        <w:t xml:space="preserve">rritorio nazionale (art. 195, </w:t>
      </w:r>
      <w:r w:rsidRPr="00BF2644">
        <w:rPr>
          <w:rFonts w:ascii="Garamond" w:hAnsi="Garamond" w:cs="Times New Roman"/>
          <w:color w:val="000000" w:themeColor="text1"/>
          <w:sz w:val="28"/>
          <w:szCs w:val="28"/>
        </w:rPr>
        <w:t>comma</w:t>
      </w:r>
      <w:r w:rsidR="00BF7904">
        <w:rPr>
          <w:rFonts w:ascii="Garamond" w:hAnsi="Garamond" w:cs="Times New Roman"/>
          <w:color w:val="000000" w:themeColor="text1"/>
          <w:sz w:val="28"/>
          <w:szCs w:val="28"/>
        </w:rPr>
        <w:t xml:space="preserve"> 1</w:t>
      </w:r>
      <w:r w:rsidRPr="00BF2644">
        <w:rPr>
          <w:rFonts w:ascii="Garamond" w:hAnsi="Garamond" w:cs="Times New Roman"/>
          <w:color w:val="000000" w:themeColor="text1"/>
          <w:sz w:val="28"/>
          <w:szCs w:val="28"/>
        </w:rPr>
        <w:t>, lett. f), e l’indicazione dei criteri generali relativi alle caratteristiche delle aree non idonee alla localizzazione degli impianti di smalt</w:t>
      </w:r>
      <w:r w:rsidR="00BF7904">
        <w:rPr>
          <w:rFonts w:ascii="Garamond" w:hAnsi="Garamond" w:cs="Times New Roman"/>
          <w:color w:val="000000" w:themeColor="text1"/>
          <w:sz w:val="28"/>
          <w:szCs w:val="28"/>
        </w:rPr>
        <w:t xml:space="preserve">imento dei rifiuti (art. 195, </w:t>
      </w:r>
      <w:r w:rsidRPr="00BF2644">
        <w:rPr>
          <w:rFonts w:ascii="Garamond" w:hAnsi="Garamond" w:cs="Times New Roman"/>
          <w:color w:val="000000" w:themeColor="text1"/>
          <w:sz w:val="28"/>
          <w:szCs w:val="28"/>
        </w:rPr>
        <w:t xml:space="preserve"> comma</w:t>
      </w:r>
      <w:r w:rsidR="00BF7904">
        <w:rPr>
          <w:rFonts w:ascii="Garamond" w:hAnsi="Garamond" w:cs="Times New Roman"/>
          <w:color w:val="000000" w:themeColor="text1"/>
          <w:sz w:val="28"/>
          <w:szCs w:val="28"/>
        </w:rPr>
        <w:t xml:space="preserve"> 1</w:t>
      </w:r>
      <w:r w:rsidRPr="00BF2644">
        <w:rPr>
          <w:rFonts w:ascii="Garamond" w:hAnsi="Garamond" w:cs="Times New Roman"/>
          <w:color w:val="000000" w:themeColor="text1"/>
          <w:sz w:val="28"/>
          <w:szCs w:val="28"/>
        </w:rPr>
        <w:t>, lett. p). Queste attività si connettono con le più generali funzioni di indiriz</w:t>
      </w:r>
      <w:r w:rsidR="00BF7904">
        <w:rPr>
          <w:rFonts w:ascii="Garamond" w:hAnsi="Garamond" w:cs="Times New Roman"/>
          <w:color w:val="000000" w:themeColor="text1"/>
          <w:sz w:val="28"/>
          <w:szCs w:val="28"/>
        </w:rPr>
        <w:t xml:space="preserve">zo e coordinamento (art. 195, </w:t>
      </w:r>
      <w:r w:rsidRPr="00BF2644">
        <w:rPr>
          <w:rFonts w:ascii="Garamond" w:hAnsi="Garamond" w:cs="Times New Roman"/>
          <w:color w:val="000000" w:themeColor="text1"/>
          <w:sz w:val="28"/>
          <w:szCs w:val="28"/>
        </w:rPr>
        <w:t>comma</w:t>
      </w:r>
      <w:r w:rsidR="00BF7904">
        <w:rPr>
          <w:rFonts w:ascii="Garamond" w:hAnsi="Garamond" w:cs="Times New Roman"/>
          <w:color w:val="000000" w:themeColor="text1"/>
          <w:sz w:val="28"/>
          <w:szCs w:val="28"/>
        </w:rPr>
        <w:t xml:space="preserve"> 1</w:t>
      </w:r>
      <w:r w:rsidRPr="00BF2644">
        <w:rPr>
          <w:rFonts w:ascii="Garamond" w:hAnsi="Garamond" w:cs="Times New Roman"/>
          <w:color w:val="000000" w:themeColor="text1"/>
          <w:sz w:val="28"/>
          <w:szCs w:val="28"/>
        </w:rPr>
        <w:t>, lett. a), la definizione dei criteri generali e delle metodologie per la gestione inte</w:t>
      </w:r>
      <w:r w:rsidR="00BF7904">
        <w:rPr>
          <w:rFonts w:ascii="Garamond" w:hAnsi="Garamond" w:cs="Times New Roman"/>
          <w:color w:val="000000" w:themeColor="text1"/>
          <w:sz w:val="28"/>
          <w:szCs w:val="28"/>
        </w:rPr>
        <w:t xml:space="preserve">grata dei rifiuti (art. 195, </w:t>
      </w:r>
      <w:r w:rsidRPr="00BF2644">
        <w:rPr>
          <w:rFonts w:ascii="Garamond" w:hAnsi="Garamond" w:cs="Times New Roman"/>
          <w:color w:val="000000" w:themeColor="text1"/>
          <w:sz w:val="28"/>
          <w:szCs w:val="28"/>
        </w:rPr>
        <w:t>comma</w:t>
      </w:r>
      <w:r w:rsidR="00BF7904">
        <w:rPr>
          <w:rFonts w:ascii="Garamond" w:hAnsi="Garamond" w:cs="Times New Roman"/>
          <w:color w:val="000000" w:themeColor="text1"/>
          <w:sz w:val="28"/>
          <w:szCs w:val="28"/>
        </w:rPr>
        <w:t xml:space="preserve"> 1</w:t>
      </w:r>
      <w:r w:rsidRPr="00BF2644">
        <w:rPr>
          <w:rFonts w:ascii="Garamond" w:hAnsi="Garamond" w:cs="Times New Roman"/>
          <w:color w:val="000000" w:themeColor="text1"/>
          <w:sz w:val="28"/>
          <w:szCs w:val="28"/>
        </w:rPr>
        <w:t>, lett. b), l’individuazione di obiettivi di qualità dei servizi di ge</w:t>
      </w:r>
      <w:r w:rsidR="00BF7904">
        <w:rPr>
          <w:rFonts w:ascii="Garamond" w:hAnsi="Garamond" w:cs="Times New Roman"/>
          <w:color w:val="000000" w:themeColor="text1"/>
          <w:sz w:val="28"/>
          <w:szCs w:val="28"/>
        </w:rPr>
        <w:t xml:space="preserve">stione dei rifiuti (art. </w:t>
      </w:r>
      <w:r w:rsidR="00353F28">
        <w:rPr>
          <w:rFonts w:ascii="Garamond" w:hAnsi="Garamond" w:cs="Times New Roman"/>
          <w:color w:val="000000" w:themeColor="text1"/>
          <w:sz w:val="28"/>
          <w:szCs w:val="28"/>
        </w:rPr>
        <w:t xml:space="preserve">195, </w:t>
      </w:r>
      <w:r w:rsidR="00353F28" w:rsidRPr="00BF2644">
        <w:rPr>
          <w:rFonts w:ascii="Garamond" w:hAnsi="Garamond" w:cs="Times New Roman"/>
          <w:color w:val="000000" w:themeColor="text1"/>
          <w:sz w:val="28"/>
          <w:szCs w:val="28"/>
        </w:rPr>
        <w:t>comma</w:t>
      </w:r>
      <w:r w:rsidR="00BF7904">
        <w:rPr>
          <w:rFonts w:ascii="Garamond" w:hAnsi="Garamond" w:cs="Times New Roman"/>
          <w:color w:val="000000" w:themeColor="text1"/>
          <w:sz w:val="28"/>
          <w:szCs w:val="28"/>
        </w:rPr>
        <w:t xml:space="preserve"> 1</w:t>
      </w:r>
      <w:r w:rsidRPr="00BF2644">
        <w:rPr>
          <w:rFonts w:ascii="Garamond" w:hAnsi="Garamond" w:cs="Times New Roman"/>
          <w:color w:val="000000" w:themeColor="text1"/>
          <w:sz w:val="28"/>
          <w:szCs w:val="28"/>
        </w:rPr>
        <w:t xml:space="preserve">, lett. l). </w:t>
      </w:r>
    </w:p>
    <w:p w:rsidR="00817C58" w:rsidRPr="00BF2644" w:rsidRDefault="00817C58"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lastRenderedPageBreak/>
        <w:t>Inoltre, l’art. 196 dispone che «</w:t>
      </w:r>
      <w:r w:rsidRPr="00431220">
        <w:rPr>
          <w:rFonts w:ascii="Garamond" w:hAnsi="Garamond" w:cs="Times New Roman"/>
          <w:i/>
          <w:color w:val="000000" w:themeColor="text1"/>
          <w:sz w:val="28"/>
          <w:szCs w:val="28"/>
        </w:rPr>
        <w:t>sono di competenza delle re</w:t>
      </w:r>
      <w:r w:rsidR="00431220" w:rsidRPr="00431220">
        <w:rPr>
          <w:rFonts w:ascii="Garamond" w:hAnsi="Garamond" w:cs="Times New Roman"/>
          <w:i/>
          <w:color w:val="000000" w:themeColor="text1"/>
          <w:sz w:val="28"/>
          <w:szCs w:val="28"/>
        </w:rPr>
        <w:t>gioni, nel rispetto dei princìpi</w:t>
      </w:r>
      <w:r w:rsidRPr="00431220">
        <w:rPr>
          <w:rFonts w:ascii="Garamond" w:hAnsi="Garamond" w:cs="Times New Roman"/>
          <w:i/>
          <w:color w:val="000000" w:themeColor="text1"/>
          <w:sz w:val="28"/>
          <w:szCs w:val="28"/>
        </w:rPr>
        <w:t xml:space="preserve"> previsti dalla normativa vigente e dalla parte quarta del presente </w:t>
      </w:r>
      <w:r w:rsidR="006C564E">
        <w:rPr>
          <w:rFonts w:ascii="Garamond" w:hAnsi="Garamond" w:cs="Times New Roman"/>
          <w:i/>
          <w:color w:val="000000" w:themeColor="text1"/>
          <w:sz w:val="28"/>
          <w:szCs w:val="28"/>
        </w:rPr>
        <w:t>decreto</w:t>
      </w:r>
      <w:r w:rsidRPr="00431220">
        <w:rPr>
          <w:rFonts w:ascii="Garamond" w:hAnsi="Garamond" w:cs="Times New Roman"/>
          <w:i/>
          <w:color w:val="000000" w:themeColor="text1"/>
          <w:sz w:val="28"/>
          <w:szCs w:val="28"/>
        </w:rPr>
        <w:t>, ivi compresi quelli di cui all’art. 195</w:t>
      </w:r>
      <w:r w:rsidRPr="00BF2644">
        <w:rPr>
          <w:rFonts w:ascii="Garamond" w:hAnsi="Garamond" w:cs="Times New Roman"/>
          <w:color w:val="000000" w:themeColor="text1"/>
          <w:sz w:val="28"/>
          <w:szCs w:val="28"/>
        </w:rPr>
        <w:t>» una serie di poteri, tra i quali la definizione di criteri per l’individuazione, da parte delle province, delle aree non idonee alla localizzazione degli impianti di smaltimento e di recupero dei rifiuti, nel rispetto dei criteri gene</w:t>
      </w:r>
      <w:r w:rsidR="00BF7904">
        <w:rPr>
          <w:rFonts w:ascii="Garamond" w:hAnsi="Garamond" w:cs="Times New Roman"/>
          <w:color w:val="000000" w:themeColor="text1"/>
          <w:sz w:val="28"/>
          <w:szCs w:val="28"/>
        </w:rPr>
        <w:t xml:space="preserve">rali indicati nell’art. 195, </w:t>
      </w:r>
      <w:r w:rsidRPr="00BF2644">
        <w:rPr>
          <w:rFonts w:ascii="Garamond" w:hAnsi="Garamond" w:cs="Times New Roman"/>
          <w:color w:val="000000" w:themeColor="text1"/>
          <w:sz w:val="28"/>
          <w:szCs w:val="28"/>
        </w:rPr>
        <w:t>comma</w:t>
      </w:r>
      <w:r w:rsidR="00BF7904">
        <w:rPr>
          <w:rFonts w:ascii="Garamond" w:hAnsi="Garamond" w:cs="Times New Roman"/>
          <w:color w:val="000000" w:themeColor="text1"/>
          <w:sz w:val="28"/>
          <w:szCs w:val="28"/>
        </w:rPr>
        <w:t xml:space="preserve"> 1, lett. p) (art. 196, </w:t>
      </w:r>
      <w:r w:rsidRPr="00BF2644">
        <w:rPr>
          <w:rFonts w:ascii="Garamond" w:hAnsi="Garamond" w:cs="Times New Roman"/>
          <w:color w:val="000000" w:themeColor="text1"/>
          <w:sz w:val="28"/>
          <w:szCs w:val="28"/>
        </w:rPr>
        <w:t>comma</w:t>
      </w:r>
      <w:r w:rsidR="00BF7904">
        <w:rPr>
          <w:rFonts w:ascii="Garamond" w:hAnsi="Garamond" w:cs="Times New Roman"/>
          <w:color w:val="000000" w:themeColor="text1"/>
          <w:sz w:val="28"/>
          <w:szCs w:val="28"/>
        </w:rPr>
        <w:t xml:space="preserve"> 1</w:t>
      </w:r>
      <w:r w:rsidRPr="00BF2644">
        <w:rPr>
          <w:rFonts w:ascii="Garamond" w:hAnsi="Garamond" w:cs="Times New Roman"/>
          <w:color w:val="000000" w:themeColor="text1"/>
          <w:sz w:val="28"/>
          <w:szCs w:val="28"/>
        </w:rPr>
        <w:t>, lett. n), nonché la definizione dei criteri per l’individuazione dei luoghi o impianti idonei</w:t>
      </w:r>
      <w:r w:rsidR="00BF7904">
        <w:rPr>
          <w:rFonts w:ascii="Garamond" w:hAnsi="Garamond" w:cs="Times New Roman"/>
          <w:color w:val="000000" w:themeColor="text1"/>
          <w:sz w:val="28"/>
          <w:szCs w:val="28"/>
        </w:rPr>
        <w:t xml:space="preserve"> allo smaltimento (art. 196, </w:t>
      </w:r>
      <w:r w:rsidRPr="00BF2644">
        <w:rPr>
          <w:rFonts w:ascii="Garamond" w:hAnsi="Garamond" w:cs="Times New Roman"/>
          <w:color w:val="000000" w:themeColor="text1"/>
          <w:sz w:val="28"/>
          <w:szCs w:val="28"/>
        </w:rPr>
        <w:t>comma</w:t>
      </w:r>
      <w:r w:rsidR="00BF7904">
        <w:rPr>
          <w:rFonts w:ascii="Garamond" w:hAnsi="Garamond" w:cs="Times New Roman"/>
          <w:color w:val="000000" w:themeColor="text1"/>
          <w:sz w:val="28"/>
          <w:szCs w:val="28"/>
        </w:rPr>
        <w:t xml:space="preserve"> 1</w:t>
      </w:r>
      <w:r w:rsidRPr="00BF2644">
        <w:rPr>
          <w:rFonts w:ascii="Garamond" w:hAnsi="Garamond" w:cs="Times New Roman"/>
          <w:color w:val="000000" w:themeColor="text1"/>
          <w:sz w:val="28"/>
          <w:szCs w:val="28"/>
        </w:rPr>
        <w:t xml:space="preserve">, lett. o). In questi casi, la </w:t>
      </w:r>
      <w:r w:rsidR="00706C95" w:rsidRPr="00BF2644">
        <w:rPr>
          <w:rFonts w:ascii="Garamond" w:hAnsi="Garamond" w:cs="Times New Roman"/>
          <w:color w:val="000000" w:themeColor="text1"/>
          <w:sz w:val="28"/>
          <w:szCs w:val="28"/>
        </w:rPr>
        <w:t>Regione</w:t>
      </w:r>
      <w:r w:rsidRPr="00BF2644">
        <w:rPr>
          <w:rFonts w:ascii="Garamond" w:hAnsi="Garamond" w:cs="Times New Roman"/>
          <w:color w:val="000000" w:themeColor="text1"/>
          <w:sz w:val="28"/>
          <w:szCs w:val="28"/>
        </w:rPr>
        <w:t xml:space="preserve"> deve quindi procedere nel rispetto di criteri e procedure stabiliti a livello statale.</w:t>
      </w:r>
    </w:p>
    <w:p w:rsidR="00817C58" w:rsidRPr="00BF2644" w:rsidRDefault="005730E8" w:rsidP="00BF2644">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Alle R</w:t>
      </w:r>
      <w:r w:rsidR="00817C58" w:rsidRPr="00BF2644">
        <w:rPr>
          <w:rFonts w:ascii="Garamond" w:hAnsi="Garamond" w:cs="Times New Roman"/>
          <w:color w:val="000000" w:themeColor="text1"/>
          <w:sz w:val="28"/>
          <w:szCs w:val="28"/>
        </w:rPr>
        <w:t>egioni è demandato, altresì, di individuare, quanto alla localizzazione degli impianti di recupero e smaltimento dei rifiuti, le aree di salvaguardia</w:t>
      </w:r>
      <w:r w:rsidR="00431220">
        <w:rPr>
          <w:rFonts w:ascii="Garamond" w:hAnsi="Garamond" w:cs="Times New Roman"/>
          <w:color w:val="000000" w:themeColor="text1"/>
          <w:sz w:val="28"/>
          <w:szCs w:val="28"/>
        </w:rPr>
        <w:t xml:space="preserve"> d</w:t>
      </w:r>
      <w:r w:rsidR="00431220" w:rsidRPr="00431220">
        <w:rPr>
          <w:rFonts w:ascii="Garamond" w:hAnsi="Garamond" w:cs="Times New Roman"/>
          <w:color w:val="000000" w:themeColor="text1"/>
          <w:sz w:val="28"/>
          <w:szCs w:val="28"/>
        </w:rPr>
        <w:t>elle acque superficiali e sotterranee destinate al consumo umano</w:t>
      </w:r>
      <w:r w:rsidR="00431220">
        <w:rPr>
          <w:rFonts w:ascii="Garamond" w:hAnsi="Garamond" w:cs="Times New Roman"/>
          <w:color w:val="000000" w:themeColor="text1"/>
          <w:sz w:val="28"/>
          <w:szCs w:val="28"/>
        </w:rPr>
        <w:t xml:space="preserve">, </w:t>
      </w:r>
      <w:r w:rsidR="00817C58" w:rsidRPr="00BF2644">
        <w:rPr>
          <w:rFonts w:ascii="Garamond" w:hAnsi="Garamond" w:cs="Times New Roman"/>
          <w:color w:val="000000" w:themeColor="text1"/>
          <w:sz w:val="28"/>
          <w:szCs w:val="28"/>
        </w:rPr>
        <w:t>distinte in zone di tutela assoluta e zone di rispetto, nonché le zone di protezione (art. 94).</w:t>
      </w:r>
    </w:p>
    <w:p w:rsidR="00817C58" w:rsidRPr="00BF2644" w:rsidRDefault="00817C58"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Altresì, ancora con riferimento alla disciplina dei rifiuti contenuta nella parte quarta del medesimo cod</w:t>
      </w:r>
      <w:r w:rsidR="001463DA">
        <w:rPr>
          <w:rFonts w:ascii="Garamond" w:hAnsi="Garamond" w:cs="Times New Roman"/>
          <w:color w:val="000000" w:themeColor="text1"/>
          <w:sz w:val="28"/>
          <w:szCs w:val="28"/>
        </w:rPr>
        <w:t>ice dell'ambiente, le R</w:t>
      </w:r>
      <w:r w:rsidRPr="00BF2644">
        <w:rPr>
          <w:rFonts w:ascii="Garamond" w:hAnsi="Garamond" w:cs="Times New Roman"/>
          <w:color w:val="000000" w:themeColor="text1"/>
          <w:sz w:val="28"/>
          <w:szCs w:val="28"/>
        </w:rPr>
        <w:t>egioni e le province autonome sono state chiamate ad adeguare i rispettivi ordinamenti alle disposizioni di tutela dell'ambiente e dell'ecosistema conten</w:t>
      </w:r>
      <w:r w:rsidR="00BF7904">
        <w:rPr>
          <w:rFonts w:ascii="Garamond" w:hAnsi="Garamond" w:cs="Times New Roman"/>
          <w:color w:val="000000" w:themeColor="text1"/>
          <w:sz w:val="28"/>
          <w:szCs w:val="28"/>
        </w:rPr>
        <w:t xml:space="preserve">ute in tale parte (art. 177, </w:t>
      </w:r>
      <w:r w:rsidRPr="00BF2644">
        <w:rPr>
          <w:rFonts w:ascii="Garamond" w:hAnsi="Garamond" w:cs="Times New Roman"/>
          <w:color w:val="000000" w:themeColor="text1"/>
          <w:sz w:val="28"/>
          <w:szCs w:val="28"/>
        </w:rPr>
        <w:t>comma</w:t>
      </w:r>
      <w:r w:rsidR="00BF7904">
        <w:rPr>
          <w:rFonts w:ascii="Garamond" w:hAnsi="Garamond" w:cs="Times New Roman"/>
          <w:color w:val="000000" w:themeColor="text1"/>
          <w:sz w:val="28"/>
          <w:szCs w:val="28"/>
        </w:rPr>
        <w:t xml:space="preserve"> 7</w:t>
      </w:r>
      <w:r w:rsidRPr="00BF2644">
        <w:rPr>
          <w:rFonts w:ascii="Garamond" w:hAnsi="Garamond" w:cs="Times New Roman"/>
          <w:color w:val="000000" w:themeColor="text1"/>
          <w:sz w:val="28"/>
          <w:szCs w:val="28"/>
        </w:rPr>
        <w:t>). Il successivo art. 196 cataloga in dettag</w:t>
      </w:r>
      <w:r w:rsidR="00CC0E76">
        <w:rPr>
          <w:rFonts w:ascii="Garamond" w:hAnsi="Garamond" w:cs="Times New Roman"/>
          <w:color w:val="000000" w:themeColor="text1"/>
          <w:sz w:val="28"/>
          <w:szCs w:val="28"/>
        </w:rPr>
        <w:t>lio le competenze delle R</w:t>
      </w:r>
      <w:r w:rsidRPr="00BF2644">
        <w:rPr>
          <w:rFonts w:ascii="Garamond" w:hAnsi="Garamond" w:cs="Times New Roman"/>
          <w:color w:val="000000" w:themeColor="text1"/>
          <w:sz w:val="28"/>
          <w:szCs w:val="28"/>
        </w:rPr>
        <w:t>egioni, demandando ad</w:t>
      </w:r>
      <w:r w:rsidR="00431220">
        <w:rPr>
          <w:rFonts w:ascii="Garamond" w:hAnsi="Garamond" w:cs="Times New Roman"/>
          <w:color w:val="000000" w:themeColor="text1"/>
          <w:sz w:val="28"/>
          <w:szCs w:val="28"/>
        </w:rPr>
        <w:t xml:space="preserve"> esse, nel rispetto dei princìpi</w:t>
      </w:r>
      <w:r w:rsidRPr="00BF2644">
        <w:rPr>
          <w:rFonts w:ascii="Garamond" w:hAnsi="Garamond" w:cs="Times New Roman"/>
          <w:color w:val="000000" w:themeColor="text1"/>
          <w:sz w:val="28"/>
          <w:szCs w:val="28"/>
        </w:rPr>
        <w:t xml:space="preserve"> previsti dalla normativa vigente e dalla parte quarta del medesimo </w:t>
      </w:r>
      <w:r w:rsidR="006C564E">
        <w:rPr>
          <w:rFonts w:ascii="Garamond" w:hAnsi="Garamond" w:cs="Times New Roman"/>
          <w:color w:val="000000" w:themeColor="text1"/>
          <w:sz w:val="28"/>
          <w:szCs w:val="28"/>
        </w:rPr>
        <w:t>decreto</w:t>
      </w:r>
      <w:r w:rsidRPr="00BF2644">
        <w:rPr>
          <w:rFonts w:ascii="Garamond" w:hAnsi="Garamond" w:cs="Times New Roman"/>
          <w:color w:val="000000" w:themeColor="text1"/>
          <w:sz w:val="28"/>
          <w:szCs w:val="28"/>
        </w:rPr>
        <w:t xml:space="preserve"> legislativo, tra l'altro, «</w:t>
      </w:r>
      <w:r w:rsidRPr="00431220">
        <w:rPr>
          <w:rFonts w:ascii="Garamond" w:hAnsi="Garamond" w:cs="Times New Roman"/>
          <w:i/>
          <w:color w:val="000000" w:themeColor="text1"/>
          <w:sz w:val="28"/>
          <w:szCs w:val="28"/>
        </w:rPr>
        <w:t>la predisposizione, l'adozione e l'aggiornamento, sentiti le province, i comuni e le autorità d'ambito, dei piani regionali di gestione dei rifiuti</w:t>
      </w:r>
      <w:r w:rsidRPr="00BF2644">
        <w:rPr>
          <w:rFonts w:ascii="Garamond" w:hAnsi="Garamond" w:cs="Times New Roman"/>
          <w:color w:val="000000" w:themeColor="text1"/>
          <w:sz w:val="28"/>
          <w:szCs w:val="28"/>
        </w:rPr>
        <w:t>»; «</w:t>
      </w:r>
      <w:r w:rsidRPr="00431220">
        <w:rPr>
          <w:rFonts w:ascii="Garamond" w:hAnsi="Garamond" w:cs="Times New Roman"/>
          <w:i/>
          <w:color w:val="000000" w:themeColor="text1"/>
          <w:sz w:val="28"/>
          <w:szCs w:val="28"/>
        </w:rPr>
        <w:t>la regolamentazione delle attività di gestione dei rifiuti, ivi compresa la raccolta differenziata dei rifiuti urbani</w:t>
      </w:r>
      <w:r w:rsidRPr="00BF2644">
        <w:rPr>
          <w:rFonts w:ascii="Garamond" w:hAnsi="Garamond" w:cs="Times New Roman"/>
          <w:color w:val="000000" w:themeColor="text1"/>
          <w:sz w:val="28"/>
          <w:szCs w:val="28"/>
        </w:rPr>
        <w:t>»; «</w:t>
      </w:r>
      <w:r w:rsidRPr="00431220">
        <w:rPr>
          <w:rFonts w:ascii="Garamond" w:hAnsi="Garamond" w:cs="Times New Roman"/>
          <w:i/>
          <w:color w:val="000000" w:themeColor="text1"/>
          <w:sz w:val="28"/>
          <w:szCs w:val="28"/>
        </w:rPr>
        <w:t>l'approvazione dei progetti di nuovi impianti per la gestione di rifiuti, anche pericolosi, e l'autorizzazione alle modifiche degli impianti esistenti</w:t>
      </w:r>
      <w:r w:rsidRPr="00BF2644">
        <w:rPr>
          <w:rFonts w:ascii="Garamond" w:hAnsi="Garamond" w:cs="Times New Roman"/>
          <w:color w:val="000000" w:themeColor="text1"/>
          <w:sz w:val="28"/>
          <w:szCs w:val="28"/>
        </w:rPr>
        <w:t>»; «</w:t>
      </w:r>
      <w:r w:rsidRPr="00431220">
        <w:rPr>
          <w:rFonts w:ascii="Garamond" w:hAnsi="Garamond" w:cs="Times New Roman"/>
          <w:i/>
          <w:color w:val="000000" w:themeColor="text1"/>
          <w:sz w:val="28"/>
          <w:szCs w:val="28"/>
        </w:rPr>
        <w:t>l'autorizzazione all'esercizio delle operazioni di smaltimento e recupero di rifiuti, anche pericolosi</w:t>
      </w:r>
      <w:r w:rsidRPr="00BF2644">
        <w:rPr>
          <w:rFonts w:ascii="Garamond" w:hAnsi="Garamond" w:cs="Times New Roman"/>
          <w:color w:val="000000" w:themeColor="text1"/>
          <w:sz w:val="28"/>
          <w:szCs w:val="28"/>
        </w:rPr>
        <w:t>»; «</w:t>
      </w:r>
      <w:r w:rsidRPr="007B348B">
        <w:rPr>
          <w:rFonts w:ascii="Garamond" w:hAnsi="Garamond" w:cs="Times New Roman"/>
          <w:i/>
          <w:color w:val="000000" w:themeColor="text1"/>
          <w:sz w:val="28"/>
          <w:szCs w:val="28"/>
        </w:rPr>
        <w:t>la definizione dei criteri per l'individuazione dei luoghi o impianti idonei</w:t>
      </w:r>
      <w:r w:rsidRPr="00BF2644">
        <w:rPr>
          <w:rFonts w:ascii="Garamond" w:hAnsi="Garamond" w:cs="Times New Roman"/>
          <w:color w:val="000000" w:themeColor="text1"/>
          <w:sz w:val="28"/>
          <w:szCs w:val="28"/>
        </w:rPr>
        <w:t>» al loro smaltimento</w:t>
      </w:r>
    </w:p>
    <w:p w:rsidR="00FA7077" w:rsidRPr="00BF2644" w:rsidRDefault="00C52C90"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Ciò posto, quanto al riparto di </w:t>
      </w:r>
      <w:r w:rsidR="001D624D">
        <w:rPr>
          <w:rFonts w:ascii="Garamond" w:hAnsi="Garamond" w:cs="Times New Roman"/>
          <w:color w:val="000000" w:themeColor="text1"/>
          <w:sz w:val="28"/>
          <w:szCs w:val="28"/>
        </w:rPr>
        <w:t>competenze</w:t>
      </w:r>
      <w:r w:rsidR="00431220">
        <w:rPr>
          <w:rFonts w:ascii="Garamond" w:hAnsi="Garamond" w:cs="Times New Roman"/>
          <w:color w:val="000000" w:themeColor="text1"/>
          <w:sz w:val="28"/>
          <w:szCs w:val="28"/>
        </w:rPr>
        <w:t xml:space="preserve">,  evincibile dal </w:t>
      </w:r>
      <w:r w:rsidR="004F0CCD">
        <w:rPr>
          <w:rFonts w:ascii="Garamond" w:hAnsi="Garamond" w:cs="Times New Roman"/>
          <w:color w:val="000000" w:themeColor="text1"/>
          <w:sz w:val="28"/>
          <w:szCs w:val="28"/>
        </w:rPr>
        <w:t>d.lgs.</w:t>
      </w:r>
      <w:r w:rsidR="00DF1717">
        <w:rPr>
          <w:rFonts w:ascii="Garamond" w:hAnsi="Garamond" w:cs="Times New Roman"/>
          <w:color w:val="000000" w:themeColor="text1"/>
          <w:sz w:val="28"/>
          <w:szCs w:val="28"/>
        </w:rPr>
        <w:t xml:space="preserve"> n.</w:t>
      </w:r>
      <w:r w:rsidR="001D624D">
        <w:rPr>
          <w:rFonts w:ascii="Garamond" w:hAnsi="Garamond" w:cs="Times New Roman"/>
          <w:color w:val="000000" w:themeColor="text1"/>
          <w:sz w:val="28"/>
          <w:szCs w:val="28"/>
        </w:rPr>
        <w:t xml:space="preserve"> 152 del 2006</w:t>
      </w:r>
      <w:r w:rsidRPr="00BF2644">
        <w:rPr>
          <w:rFonts w:ascii="Garamond" w:hAnsi="Garamond" w:cs="Times New Roman"/>
          <w:color w:val="000000" w:themeColor="text1"/>
          <w:sz w:val="28"/>
          <w:szCs w:val="28"/>
        </w:rPr>
        <w:t>, s</w:t>
      </w:r>
      <w:r w:rsidR="00212ED4" w:rsidRPr="00BF2644">
        <w:rPr>
          <w:rFonts w:ascii="Garamond" w:hAnsi="Garamond" w:cs="Times New Roman"/>
          <w:color w:val="000000" w:themeColor="text1"/>
          <w:sz w:val="28"/>
          <w:szCs w:val="28"/>
        </w:rPr>
        <w:t xml:space="preserve">econdo la </w:t>
      </w:r>
      <w:r w:rsidR="00FA7077" w:rsidRPr="00BF2644">
        <w:rPr>
          <w:rFonts w:ascii="Garamond" w:hAnsi="Garamond" w:cs="Times New Roman"/>
          <w:color w:val="000000" w:themeColor="text1"/>
          <w:sz w:val="28"/>
          <w:szCs w:val="28"/>
        </w:rPr>
        <w:t xml:space="preserve"> costa</w:t>
      </w:r>
      <w:r w:rsidR="00431220">
        <w:rPr>
          <w:rFonts w:ascii="Garamond" w:hAnsi="Garamond" w:cs="Times New Roman"/>
          <w:color w:val="000000" w:themeColor="text1"/>
          <w:sz w:val="28"/>
          <w:szCs w:val="28"/>
        </w:rPr>
        <w:t>nte giurisprudenza della Corte c</w:t>
      </w:r>
      <w:r w:rsidR="00FA7077" w:rsidRPr="00BF2644">
        <w:rPr>
          <w:rFonts w:ascii="Garamond" w:hAnsi="Garamond" w:cs="Times New Roman"/>
          <w:color w:val="000000" w:themeColor="text1"/>
          <w:sz w:val="28"/>
          <w:szCs w:val="28"/>
        </w:rPr>
        <w:t>ostituzionale, la disciplina dei rifiuti – e dunque le scelte inerenti alle politiche da perseguire e gli strumenti da utilizzare in concreto – attiene</w:t>
      </w:r>
      <w:r w:rsidR="00477405" w:rsidRPr="00BF2644">
        <w:rPr>
          <w:rFonts w:ascii="Garamond" w:hAnsi="Garamond" w:cs="Times New Roman"/>
          <w:color w:val="000000" w:themeColor="text1"/>
          <w:sz w:val="28"/>
          <w:szCs w:val="28"/>
        </w:rPr>
        <w:t xml:space="preserve"> in linea generale </w:t>
      </w:r>
      <w:r w:rsidR="00FA7077" w:rsidRPr="00BF2644">
        <w:rPr>
          <w:rFonts w:ascii="Garamond" w:hAnsi="Garamond" w:cs="Times New Roman"/>
          <w:color w:val="000000" w:themeColor="text1"/>
          <w:sz w:val="28"/>
          <w:szCs w:val="28"/>
        </w:rPr>
        <w:t xml:space="preserve"> alla materia «</w:t>
      </w:r>
      <w:r w:rsidR="00FA7077" w:rsidRPr="00431220">
        <w:rPr>
          <w:rFonts w:ascii="Garamond" w:hAnsi="Garamond" w:cs="Times New Roman"/>
          <w:i/>
          <w:color w:val="000000" w:themeColor="text1"/>
          <w:sz w:val="28"/>
          <w:szCs w:val="28"/>
        </w:rPr>
        <w:t>tutela dell’ambiente e dell’ecosistema</w:t>
      </w:r>
      <w:r w:rsidR="00FA7077" w:rsidRPr="00BF2644">
        <w:rPr>
          <w:rFonts w:ascii="Garamond" w:hAnsi="Garamond" w:cs="Times New Roman"/>
          <w:color w:val="000000" w:themeColor="text1"/>
          <w:sz w:val="28"/>
          <w:szCs w:val="28"/>
        </w:rPr>
        <w:t>», riservata, in base all’art. 11</w:t>
      </w:r>
      <w:r w:rsidR="00BF7904">
        <w:rPr>
          <w:rFonts w:ascii="Garamond" w:hAnsi="Garamond" w:cs="Times New Roman"/>
          <w:color w:val="000000" w:themeColor="text1"/>
          <w:sz w:val="28"/>
          <w:szCs w:val="28"/>
        </w:rPr>
        <w:t>7, comma 2</w:t>
      </w:r>
      <w:r w:rsidR="00FA7077" w:rsidRPr="00BF2644">
        <w:rPr>
          <w:rFonts w:ascii="Garamond" w:hAnsi="Garamond" w:cs="Times New Roman"/>
          <w:color w:val="000000" w:themeColor="text1"/>
          <w:sz w:val="28"/>
          <w:szCs w:val="28"/>
        </w:rPr>
        <w:t>, lettera s), Cost., alla competenza esclusiva dello Stato (in tal senso, fra le altre, le sentenze</w:t>
      </w:r>
      <w:r w:rsidR="00431220">
        <w:rPr>
          <w:rFonts w:ascii="Garamond" w:hAnsi="Garamond" w:cs="Times New Roman"/>
          <w:color w:val="000000" w:themeColor="text1"/>
          <w:sz w:val="28"/>
          <w:szCs w:val="28"/>
        </w:rPr>
        <w:t xml:space="preserve"> Corte cost. </w:t>
      </w:r>
      <w:r w:rsidR="00FA7077" w:rsidRPr="00BF2644">
        <w:rPr>
          <w:rFonts w:ascii="Garamond" w:hAnsi="Garamond" w:cs="Times New Roman"/>
          <w:color w:val="000000" w:themeColor="text1"/>
          <w:sz w:val="28"/>
          <w:szCs w:val="28"/>
        </w:rPr>
        <w:t xml:space="preserve">n. 244, n. 154 e n. 101 del 2016, n. 58 del 2015, </w:t>
      </w:r>
      <w:r w:rsidR="00A33FA1" w:rsidRPr="00BF2644">
        <w:rPr>
          <w:rFonts w:ascii="Garamond" w:hAnsi="Garamond" w:cs="Times New Roman"/>
          <w:color w:val="000000" w:themeColor="text1"/>
          <w:sz w:val="28"/>
          <w:szCs w:val="28"/>
        </w:rPr>
        <w:t>n. 285</w:t>
      </w:r>
      <w:r w:rsidR="00EF27D5" w:rsidRPr="00BF2644">
        <w:rPr>
          <w:rFonts w:ascii="Garamond" w:hAnsi="Garamond" w:cs="Times New Roman"/>
          <w:color w:val="000000" w:themeColor="text1"/>
          <w:sz w:val="28"/>
          <w:szCs w:val="28"/>
        </w:rPr>
        <w:t xml:space="preserve"> del 2013</w:t>
      </w:r>
      <w:r w:rsidR="00FA7077" w:rsidRPr="00BF2644">
        <w:rPr>
          <w:rFonts w:ascii="Garamond" w:hAnsi="Garamond" w:cs="Times New Roman"/>
          <w:color w:val="000000" w:themeColor="text1"/>
          <w:sz w:val="28"/>
          <w:szCs w:val="28"/>
        </w:rPr>
        <w:t>, n. 54 del 2012, n. 244</w:t>
      </w:r>
      <w:r w:rsidR="00A33FA1" w:rsidRPr="00BF2644">
        <w:rPr>
          <w:rFonts w:ascii="Garamond" w:hAnsi="Garamond" w:cs="Times New Roman"/>
          <w:color w:val="000000" w:themeColor="text1"/>
          <w:sz w:val="28"/>
          <w:szCs w:val="28"/>
        </w:rPr>
        <w:t xml:space="preserve"> e n. 33</w:t>
      </w:r>
      <w:r w:rsidR="00FA7077" w:rsidRPr="00BF2644">
        <w:rPr>
          <w:rFonts w:ascii="Garamond" w:hAnsi="Garamond" w:cs="Times New Roman"/>
          <w:color w:val="000000" w:themeColor="text1"/>
          <w:sz w:val="28"/>
          <w:szCs w:val="28"/>
        </w:rPr>
        <w:t xml:space="preserve"> del 2011</w:t>
      </w:r>
      <w:r w:rsidR="00CC0E76">
        <w:rPr>
          <w:rFonts w:ascii="Garamond" w:hAnsi="Garamond" w:cs="Times New Roman"/>
          <w:color w:val="000000" w:themeColor="text1"/>
          <w:sz w:val="28"/>
          <w:szCs w:val="28"/>
        </w:rPr>
        <w:t>,</w:t>
      </w:r>
      <w:r w:rsidRPr="00BF2644">
        <w:rPr>
          <w:rFonts w:ascii="Garamond" w:hAnsi="Garamond" w:cs="Times New Roman"/>
          <w:color w:val="000000" w:themeColor="text1"/>
          <w:sz w:val="28"/>
          <w:szCs w:val="28"/>
        </w:rPr>
        <w:t xml:space="preserve"> n. 331 e n. 278 del 2010, n. 61 e n. 10 del 2009</w:t>
      </w:r>
      <w:r w:rsidR="00A02CCA" w:rsidRPr="00BF2644">
        <w:rPr>
          <w:rFonts w:ascii="Garamond" w:hAnsi="Garamond" w:cs="Times New Roman"/>
          <w:color w:val="000000" w:themeColor="text1"/>
          <w:sz w:val="28"/>
          <w:szCs w:val="28"/>
        </w:rPr>
        <w:t>),</w:t>
      </w:r>
      <w:r w:rsidR="00CC0E76">
        <w:rPr>
          <w:rFonts w:ascii="Garamond" w:hAnsi="Garamond" w:cs="Times New Roman"/>
          <w:color w:val="000000" w:themeColor="text1"/>
          <w:sz w:val="28"/>
          <w:szCs w:val="28"/>
        </w:rPr>
        <w:t xml:space="preserve"> ferme restando per le R</w:t>
      </w:r>
      <w:r w:rsidR="00EF27D5" w:rsidRPr="00BF2644">
        <w:rPr>
          <w:rFonts w:ascii="Garamond" w:hAnsi="Garamond" w:cs="Times New Roman"/>
          <w:color w:val="000000" w:themeColor="text1"/>
          <w:sz w:val="28"/>
          <w:szCs w:val="28"/>
        </w:rPr>
        <w:t>egioni ad autonomia differenziata le previsioni statutarie. In tale materia, lo Stato può dettare una disciplina di protezion</w:t>
      </w:r>
      <w:r w:rsidR="00CC0E76">
        <w:rPr>
          <w:rFonts w:ascii="Garamond" w:hAnsi="Garamond" w:cs="Times New Roman"/>
          <w:color w:val="000000" w:themeColor="text1"/>
          <w:sz w:val="28"/>
          <w:szCs w:val="28"/>
        </w:rPr>
        <w:t>e uniforme valida per tutte le R</w:t>
      </w:r>
      <w:r w:rsidR="00EF27D5" w:rsidRPr="00BF2644">
        <w:rPr>
          <w:rFonts w:ascii="Garamond" w:hAnsi="Garamond" w:cs="Times New Roman"/>
          <w:color w:val="000000" w:themeColor="text1"/>
          <w:sz w:val="28"/>
          <w:szCs w:val="28"/>
        </w:rPr>
        <w:t>egioni e non derogabile da queste.</w:t>
      </w:r>
    </w:p>
    <w:p w:rsidR="00EF27D5" w:rsidRPr="00BF2644" w:rsidRDefault="00700152"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La disciplina </w:t>
      </w:r>
      <w:r w:rsidR="00477405" w:rsidRPr="00BF2644">
        <w:rPr>
          <w:rFonts w:ascii="Garamond" w:hAnsi="Garamond" w:cs="Times New Roman"/>
          <w:color w:val="000000" w:themeColor="text1"/>
          <w:sz w:val="28"/>
          <w:szCs w:val="28"/>
        </w:rPr>
        <w:t>statale, «</w:t>
      </w:r>
      <w:r w:rsidR="00EF27D5" w:rsidRPr="00431220">
        <w:rPr>
          <w:rFonts w:ascii="Garamond" w:hAnsi="Garamond" w:cs="Times New Roman"/>
          <w:i/>
          <w:color w:val="000000" w:themeColor="text1"/>
          <w:sz w:val="28"/>
          <w:szCs w:val="28"/>
        </w:rPr>
        <w:t>costituisce, anche in attuazione degli obblighi comunitari, un livello di tutela uniforme e si impone sull'intero territorio nazionale, come un limite alla disciplina che le regioni e le province autonome dettano in altre materie di loro competenza, per evitare che esse deroghino al livello di tutela ambientale stabilito dallo Stato,</w:t>
      </w:r>
      <w:r w:rsidR="00431220" w:rsidRPr="00431220">
        <w:rPr>
          <w:rFonts w:ascii="Garamond" w:hAnsi="Garamond" w:cs="Times New Roman"/>
          <w:i/>
          <w:color w:val="000000" w:themeColor="text1"/>
          <w:sz w:val="28"/>
          <w:szCs w:val="28"/>
        </w:rPr>
        <w:t xml:space="preserve"> ovvero lo peggiorino</w:t>
      </w:r>
      <w:r w:rsidR="00431220">
        <w:rPr>
          <w:rFonts w:ascii="Garamond" w:hAnsi="Garamond" w:cs="Times New Roman"/>
          <w:color w:val="000000" w:themeColor="text1"/>
          <w:sz w:val="28"/>
          <w:szCs w:val="28"/>
        </w:rPr>
        <w:t>» (Corte cost.</w:t>
      </w:r>
      <w:r w:rsidR="00A50270">
        <w:rPr>
          <w:rFonts w:ascii="Garamond" w:hAnsi="Garamond" w:cs="Times New Roman"/>
          <w:color w:val="000000" w:themeColor="text1"/>
          <w:sz w:val="28"/>
          <w:szCs w:val="28"/>
        </w:rPr>
        <w:t xml:space="preserve">, </w:t>
      </w:r>
      <w:r w:rsidR="00EF27D5" w:rsidRPr="00BF2644">
        <w:rPr>
          <w:rFonts w:ascii="Garamond" w:hAnsi="Garamond" w:cs="Times New Roman"/>
          <w:color w:val="000000" w:themeColor="text1"/>
          <w:sz w:val="28"/>
          <w:szCs w:val="28"/>
        </w:rPr>
        <w:t>n. 58 del 2015).</w:t>
      </w:r>
    </w:p>
    <w:p w:rsidR="006B6D32" w:rsidRPr="00BF2644" w:rsidRDefault="002A7B02"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Tuttavia l</w:t>
      </w:r>
      <w:r w:rsidR="006B6D32" w:rsidRPr="00BF2644">
        <w:rPr>
          <w:rFonts w:ascii="Garamond" w:hAnsi="Garamond" w:cs="Times New Roman"/>
          <w:color w:val="000000" w:themeColor="text1"/>
          <w:sz w:val="28"/>
          <w:szCs w:val="28"/>
        </w:rPr>
        <w:t xml:space="preserve">a </w:t>
      </w:r>
      <w:r w:rsidRPr="00BF2644">
        <w:rPr>
          <w:rFonts w:ascii="Garamond" w:hAnsi="Garamond" w:cs="Times New Roman"/>
          <w:color w:val="000000" w:themeColor="text1"/>
          <w:sz w:val="28"/>
          <w:szCs w:val="28"/>
        </w:rPr>
        <w:t xml:space="preserve">stessa </w:t>
      </w:r>
      <w:r w:rsidR="006B6D32" w:rsidRPr="00BF2644">
        <w:rPr>
          <w:rFonts w:ascii="Garamond" w:hAnsi="Garamond" w:cs="Times New Roman"/>
          <w:color w:val="000000" w:themeColor="text1"/>
          <w:sz w:val="28"/>
          <w:szCs w:val="28"/>
        </w:rPr>
        <w:t>giurisprudenza della Cor</w:t>
      </w:r>
      <w:r w:rsidR="00700152" w:rsidRPr="00BF2644">
        <w:rPr>
          <w:rFonts w:ascii="Garamond" w:hAnsi="Garamond" w:cs="Times New Roman"/>
          <w:color w:val="000000" w:themeColor="text1"/>
          <w:sz w:val="28"/>
          <w:szCs w:val="28"/>
        </w:rPr>
        <w:t xml:space="preserve">te ha </w:t>
      </w:r>
      <w:r w:rsidR="00477405" w:rsidRPr="00BF2644">
        <w:rPr>
          <w:rFonts w:ascii="Garamond" w:hAnsi="Garamond" w:cs="Times New Roman"/>
          <w:color w:val="000000" w:themeColor="text1"/>
          <w:sz w:val="28"/>
          <w:szCs w:val="28"/>
        </w:rPr>
        <w:t>negato</w:t>
      </w:r>
      <w:r w:rsidR="006B6D32" w:rsidRPr="00BF2644">
        <w:rPr>
          <w:rFonts w:ascii="Garamond" w:hAnsi="Garamond" w:cs="Times New Roman"/>
          <w:color w:val="000000" w:themeColor="text1"/>
          <w:sz w:val="28"/>
          <w:szCs w:val="28"/>
        </w:rPr>
        <w:t xml:space="preserve"> la possibilità di identificare «</w:t>
      </w:r>
      <w:r w:rsidR="006B6D32" w:rsidRPr="00431220">
        <w:rPr>
          <w:rFonts w:ascii="Garamond" w:hAnsi="Garamond" w:cs="Times New Roman"/>
          <w:i/>
          <w:color w:val="000000" w:themeColor="text1"/>
          <w:sz w:val="28"/>
          <w:szCs w:val="28"/>
        </w:rPr>
        <w:t>una “materia” in senso tecnico qualificabile come “tutela dell’ambiente”, dal momento che non sembra configurabile come sfera di competenza statale rigorosamente circoscritta e delimitata, giacché, al contrario, essa investe e si intreccia inestricabilmente con altri interessi e competenze</w:t>
      </w:r>
      <w:r w:rsidR="00431220">
        <w:rPr>
          <w:rFonts w:ascii="Garamond" w:hAnsi="Garamond" w:cs="Times New Roman"/>
          <w:color w:val="000000" w:themeColor="text1"/>
          <w:sz w:val="28"/>
          <w:szCs w:val="28"/>
        </w:rPr>
        <w:t>» (Corte cost.</w:t>
      </w:r>
      <w:r w:rsidR="00A50270">
        <w:rPr>
          <w:rFonts w:ascii="Garamond" w:hAnsi="Garamond" w:cs="Times New Roman"/>
          <w:color w:val="000000" w:themeColor="text1"/>
          <w:sz w:val="28"/>
          <w:szCs w:val="28"/>
        </w:rPr>
        <w:t>,</w:t>
      </w:r>
      <w:r w:rsidR="006B6D32" w:rsidRPr="00BF2644">
        <w:rPr>
          <w:rFonts w:ascii="Garamond" w:hAnsi="Garamond" w:cs="Times New Roman"/>
          <w:color w:val="000000" w:themeColor="text1"/>
          <w:sz w:val="28"/>
          <w:szCs w:val="28"/>
        </w:rPr>
        <w:t xml:space="preserve"> n. 407 del 2002). Pertanto la tutela dell’ambiente dà luogo a una competenza trasversale, che può </w:t>
      </w:r>
      <w:r w:rsidR="006B6D32" w:rsidRPr="00BF2644">
        <w:rPr>
          <w:rFonts w:ascii="Garamond" w:hAnsi="Garamond" w:cs="Times New Roman"/>
          <w:color w:val="000000" w:themeColor="text1"/>
          <w:sz w:val="28"/>
          <w:szCs w:val="28"/>
        </w:rPr>
        <w:lastRenderedPageBreak/>
        <w:t>incidere su materie diverse, le quali ben possono</w:t>
      </w:r>
      <w:r w:rsidR="00EF27D5" w:rsidRPr="00BF2644">
        <w:rPr>
          <w:rFonts w:ascii="Garamond" w:hAnsi="Garamond" w:cs="Times New Roman"/>
          <w:color w:val="000000" w:themeColor="text1"/>
          <w:sz w:val="28"/>
          <w:szCs w:val="28"/>
        </w:rPr>
        <w:t xml:space="preserve"> essere regionali o concor</w:t>
      </w:r>
      <w:r w:rsidR="00431220">
        <w:rPr>
          <w:rFonts w:ascii="Garamond" w:hAnsi="Garamond" w:cs="Times New Roman"/>
          <w:color w:val="000000" w:themeColor="text1"/>
          <w:sz w:val="28"/>
          <w:szCs w:val="28"/>
        </w:rPr>
        <w:t>renti (</w:t>
      </w:r>
      <w:r w:rsidR="00431220" w:rsidRPr="00431220">
        <w:rPr>
          <w:rFonts w:ascii="Garamond" w:hAnsi="Garamond" w:cs="Times New Roman"/>
          <w:i/>
          <w:color w:val="000000" w:themeColor="text1"/>
          <w:sz w:val="28"/>
          <w:szCs w:val="28"/>
        </w:rPr>
        <w:t>ex multis</w:t>
      </w:r>
      <w:r w:rsidR="00431220">
        <w:rPr>
          <w:rFonts w:ascii="Garamond" w:hAnsi="Garamond" w:cs="Times New Roman"/>
          <w:color w:val="000000" w:themeColor="text1"/>
          <w:sz w:val="28"/>
          <w:szCs w:val="28"/>
        </w:rPr>
        <w:t>, Corte cost</w:t>
      </w:r>
      <w:r w:rsidR="007267E4">
        <w:rPr>
          <w:rFonts w:ascii="Garamond" w:hAnsi="Garamond" w:cs="Times New Roman"/>
          <w:color w:val="000000" w:themeColor="text1"/>
          <w:sz w:val="28"/>
          <w:szCs w:val="28"/>
        </w:rPr>
        <w:t>., n.</w:t>
      </w:r>
      <w:r w:rsidR="00431220">
        <w:rPr>
          <w:rFonts w:ascii="Garamond" w:hAnsi="Garamond" w:cs="Times New Roman"/>
          <w:color w:val="000000" w:themeColor="text1"/>
          <w:sz w:val="28"/>
          <w:szCs w:val="28"/>
        </w:rPr>
        <w:t xml:space="preserve"> 215 e n. 150 del 2018, </w:t>
      </w:r>
      <w:r w:rsidR="00431220" w:rsidRPr="00BF2644">
        <w:rPr>
          <w:rFonts w:ascii="Garamond" w:hAnsi="Garamond" w:cs="Times New Roman"/>
          <w:color w:val="000000" w:themeColor="text1"/>
          <w:sz w:val="28"/>
          <w:szCs w:val="28"/>
        </w:rPr>
        <w:t>n.</w:t>
      </w:r>
      <w:r w:rsidR="00EF27D5" w:rsidRPr="00BF2644">
        <w:rPr>
          <w:rFonts w:ascii="Garamond" w:hAnsi="Garamond" w:cs="Times New Roman"/>
          <w:color w:val="000000" w:themeColor="text1"/>
          <w:sz w:val="28"/>
          <w:szCs w:val="28"/>
        </w:rPr>
        <w:t xml:space="preserve"> 244 e n. 154 del 2016).</w:t>
      </w:r>
    </w:p>
    <w:p w:rsidR="00080FBC" w:rsidRPr="00BF2644" w:rsidRDefault="00700152"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In tale ottica s</w:t>
      </w:r>
      <w:r w:rsidR="00080FBC" w:rsidRPr="00BF2644">
        <w:rPr>
          <w:rFonts w:ascii="Garamond" w:hAnsi="Garamond" w:cs="Times New Roman"/>
          <w:color w:val="000000" w:themeColor="text1"/>
          <w:sz w:val="28"/>
          <w:szCs w:val="28"/>
        </w:rPr>
        <w:t>pettano alla competenza esclusiva dello Stato le determinazioni che rispondono ad esigenze meritevoli di disciplina uniforme sull'intero territorio nazionale (</w:t>
      </w:r>
      <w:r w:rsidR="00431220">
        <w:rPr>
          <w:rFonts w:ascii="Garamond" w:hAnsi="Garamond" w:cs="Times New Roman"/>
          <w:color w:val="000000" w:themeColor="text1"/>
          <w:sz w:val="28"/>
          <w:szCs w:val="28"/>
        </w:rPr>
        <w:t>Corte cost.</w:t>
      </w:r>
      <w:r w:rsidR="00A50270">
        <w:rPr>
          <w:rFonts w:ascii="Garamond" w:hAnsi="Garamond" w:cs="Times New Roman"/>
          <w:color w:val="000000" w:themeColor="text1"/>
          <w:sz w:val="28"/>
          <w:szCs w:val="28"/>
        </w:rPr>
        <w:t>,</w:t>
      </w:r>
      <w:r w:rsidR="00080FBC" w:rsidRPr="00BF2644">
        <w:rPr>
          <w:rFonts w:ascii="Garamond" w:hAnsi="Garamond" w:cs="Times New Roman"/>
          <w:color w:val="000000" w:themeColor="text1"/>
          <w:sz w:val="28"/>
          <w:szCs w:val="28"/>
        </w:rPr>
        <w:t xml:space="preserve"> n. 77 de</w:t>
      </w:r>
      <w:r w:rsidR="00C52C90" w:rsidRPr="00BF2644">
        <w:rPr>
          <w:rFonts w:ascii="Garamond" w:hAnsi="Garamond" w:cs="Times New Roman"/>
          <w:color w:val="000000" w:themeColor="text1"/>
          <w:sz w:val="28"/>
          <w:szCs w:val="28"/>
        </w:rPr>
        <w:t xml:space="preserve">l 2017; </w:t>
      </w:r>
      <w:r w:rsidR="00431220">
        <w:rPr>
          <w:rFonts w:ascii="Garamond" w:hAnsi="Garamond" w:cs="Times New Roman"/>
          <w:color w:val="000000" w:themeColor="text1"/>
          <w:sz w:val="28"/>
          <w:szCs w:val="28"/>
        </w:rPr>
        <w:t>Corte cost.</w:t>
      </w:r>
      <w:r w:rsidR="00A50270">
        <w:rPr>
          <w:rFonts w:ascii="Garamond" w:hAnsi="Garamond" w:cs="Times New Roman"/>
          <w:color w:val="000000" w:themeColor="text1"/>
          <w:sz w:val="28"/>
          <w:szCs w:val="28"/>
        </w:rPr>
        <w:t>,</w:t>
      </w:r>
      <w:r w:rsidR="00431220">
        <w:rPr>
          <w:rFonts w:ascii="Garamond" w:hAnsi="Garamond" w:cs="Times New Roman"/>
          <w:color w:val="000000" w:themeColor="text1"/>
          <w:sz w:val="28"/>
          <w:szCs w:val="28"/>
        </w:rPr>
        <w:t xml:space="preserve"> </w:t>
      </w:r>
      <w:r w:rsidR="00C52C90" w:rsidRPr="00BF2644">
        <w:rPr>
          <w:rFonts w:ascii="Garamond" w:hAnsi="Garamond" w:cs="Times New Roman"/>
          <w:color w:val="000000" w:themeColor="text1"/>
          <w:sz w:val="28"/>
          <w:szCs w:val="28"/>
        </w:rPr>
        <w:t>n. 249 del 2009,</w:t>
      </w:r>
      <w:r w:rsidR="00431220">
        <w:rPr>
          <w:rFonts w:ascii="Garamond" w:hAnsi="Garamond" w:cs="Times New Roman"/>
          <w:color w:val="000000" w:themeColor="text1"/>
          <w:sz w:val="28"/>
          <w:szCs w:val="28"/>
        </w:rPr>
        <w:t xml:space="preserve"> Corte cost.</w:t>
      </w:r>
      <w:r w:rsidR="00A50270">
        <w:rPr>
          <w:rFonts w:ascii="Garamond" w:hAnsi="Garamond" w:cs="Times New Roman"/>
          <w:color w:val="000000" w:themeColor="text1"/>
          <w:sz w:val="28"/>
          <w:szCs w:val="28"/>
        </w:rPr>
        <w:t>,</w:t>
      </w:r>
      <w:r w:rsidR="00C52C90" w:rsidRPr="00BF2644">
        <w:rPr>
          <w:rFonts w:ascii="Garamond" w:hAnsi="Garamond" w:cs="Times New Roman"/>
          <w:color w:val="000000" w:themeColor="text1"/>
          <w:sz w:val="28"/>
          <w:szCs w:val="28"/>
        </w:rPr>
        <w:t xml:space="preserve"> n. 151</w:t>
      </w:r>
      <w:r w:rsidR="00080FBC" w:rsidRPr="00BF2644">
        <w:rPr>
          <w:rFonts w:ascii="Garamond" w:hAnsi="Garamond" w:cs="Times New Roman"/>
          <w:color w:val="000000" w:themeColor="text1"/>
          <w:sz w:val="28"/>
          <w:szCs w:val="28"/>
        </w:rPr>
        <w:t xml:space="preserve"> e n. 407 del 2002). Tali determinazioni</w:t>
      </w:r>
      <w:r w:rsidRPr="00BF2644">
        <w:rPr>
          <w:rFonts w:ascii="Garamond" w:hAnsi="Garamond" w:cs="Times New Roman"/>
          <w:color w:val="000000" w:themeColor="text1"/>
          <w:sz w:val="28"/>
          <w:szCs w:val="28"/>
        </w:rPr>
        <w:t xml:space="preserve"> </w:t>
      </w:r>
      <w:r w:rsidR="00080FBC" w:rsidRPr="00BF2644">
        <w:rPr>
          <w:rFonts w:ascii="Garamond" w:hAnsi="Garamond" w:cs="Times New Roman"/>
          <w:color w:val="000000" w:themeColor="text1"/>
          <w:sz w:val="28"/>
          <w:szCs w:val="28"/>
        </w:rPr>
        <w:t xml:space="preserve">fungono </w:t>
      </w:r>
      <w:r w:rsidRPr="00BF2644">
        <w:rPr>
          <w:rFonts w:ascii="Garamond" w:hAnsi="Garamond" w:cs="Times New Roman"/>
          <w:color w:val="000000" w:themeColor="text1"/>
          <w:sz w:val="28"/>
          <w:szCs w:val="28"/>
        </w:rPr>
        <w:t xml:space="preserve">pertanto </w:t>
      </w:r>
      <w:r w:rsidR="00080FBC" w:rsidRPr="00BF2644">
        <w:rPr>
          <w:rFonts w:ascii="Garamond" w:hAnsi="Garamond" w:cs="Times New Roman"/>
          <w:color w:val="000000" w:themeColor="text1"/>
          <w:sz w:val="28"/>
          <w:szCs w:val="28"/>
        </w:rPr>
        <w:t>da limite invalicabile per queg</w:t>
      </w:r>
      <w:r w:rsidR="00DD611D">
        <w:rPr>
          <w:rFonts w:ascii="Garamond" w:hAnsi="Garamond" w:cs="Times New Roman"/>
          <w:color w:val="000000" w:themeColor="text1"/>
          <w:sz w:val="28"/>
          <w:szCs w:val="28"/>
        </w:rPr>
        <w:t>li interventi normativi che le Regioni e le P</w:t>
      </w:r>
      <w:r w:rsidR="00080FBC" w:rsidRPr="00BF2644">
        <w:rPr>
          <w:rFonts w:ascii="Garamond" w:hAnsi="Garamond" w:cs="Times New Roman"/>
          <w:color w:val="000000" w:themeColor="text1"/>
          <w:sz w:val="28"/>
          <w:szCs w:val="28"/>
        </w:rPr>
        <w:t>rovince autonome dettano in materie di loro competenza, interferenti con tale attribuzione dello Stato ed ammissibili alla condizione che siano garantiti i livelli di tutela dell'ambiente previsti dall</w:t>
      </w:r>
      <w:r w:rsidR="00A50270">
        <w:rPr>
          <w:rFonts w:ascii="Garamond" w:hAnsi="Garamond" w:cs="Times New Roman"/>
          <w:color w:val="000000" w:themeColor="text1"/>
          <w:sz w:val="28"/>
          <w:szCs w:val="28"/>
        </w:rPr>
        <w:t>a legislazione statale (</w:t>
      </w:r>
      <w:r w:rsidR="00431220">
        <w:rPr>
          <w:rFonts w:ascii="Garamond" w:hAnsi="Garamond" w:cs="Times New Roman"/>
          <w:color w:val="000000" w:themeColor="text1"/>
          <w:sz w:val="28"/>
          <w:szCs w:val="28"/>
        </w:rPr>
        <w:t>Corte cost.</w:t>
      </w:r>
      <w:r w:rsidR="00A50270">
        <w:rPr>
          <w:rFonts w:ascii="Garamond" w:hAnsi="Garamond" w:cs="Times New Roman"/>
          <w:color w:val="000000" w:themeColor="text1"/>
          <w:sz w:val="28"/>
          <w:szCs w:val="28"/>
        </w:rPr>
        <w:t>,</w:t>
      </w:r>
      <w:r w:rsidR="00080FBC" w:rsidRPr="00BF2644">
        <w:rPr>
          <w:rFonts w:ascii="Garamond" w:hAnsi="Garamond" w:cs="Times New Roman"/>
          <w:color w:val="000000" w:themeColor="text1"/>
          <w:sz w:val="28"/>
          <w:szCs w:val="28"/>
        </w:rPr>
        <w:t xml:space="preserve"> n. 180 e n. 58 del 2015;</w:t>
      </w:r>
      <w:r w:rsidR="00431220">
        <w:rPr>
          <w:rFonts w:ascii="Garamond" w:hAnsi="Garamond" w:cs="Times New Roman"/>
          <w:color w:val="000000" w:themeColor="text1"/>
          <w:sz w:val="28"/>
          <w:szCs w:val="28"/>
        </w:rPr>
        <w:t xml:space="preserve"> </w:t>
      </w:r>
      <w:r w:rsidR="00080FBC" w:rsidRPr="00BF2644">
        <w:rPr>
          <w:rFonts w:ascii="Garamond" w:hAnsi="Garamond" w:cs="Times New Roman"/>
          <w:color w:val="000000" w:themeColor="text1"/>
          <w:sz w:val="28"/>
          <w:szCs w:val="28"/>
        </w:rPr>
        <w:t>n. 67 del 2014</w:t>
      </w:r>
      <w:r w:rsidR="007C2E08">
        <w:rPr>
          <w:rFonts w:ascii="Garamond" w:hAnsi="Garamond" w:cs="Times New Roman"/>
          <w:color w:val="000000" w:themeColor="text1"/>
          <w:sz w:val="28"/>
          <w:szCs w:val="28"/>
        </w:rPr>
        <w:t xml:space="preserve">; </w:t>
      </w:r>
      <w:r w:rsidR="00080FBC" w:rsidRPr="00BF2644">
        <w:rPr>
          <w:rFonts w:ascii="Garamond" w:hAnsi="Garamond" w:cs="Times New Roman"/>
          <w:color w:val="000000" w:themeColor="text1"/>
          <w:sz w:val="28"/>
          <w:szCs w:val="28"/>
        </w:rPr>
        <w:t>n. 314 del 2009).</w:t>
      </w:r>
    </w:p>
    <w:p w:rsidR="00EF27D5" w:rsidRPr="00BF2644" w:rsidRDefault="00EF27D5"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Nell'esercizio delle competenze regionali può </w:t>
      </w:r>
      <w:r w:rsidR="00700152" w:rsidRPr="00BF2644">
        <w:rPr>
          <w:rFonts w:ascii="Garamond" w:hAnsi="Garamond" w:cs="Times New Roman"/>
          <w:color w:val="000000" w:themeColor="text1"/>
          <w:sz w:val="28"/>
          <w:szCs w:val="28"/>
        </w:rPr>
        <w:t xml:space="preserve">pertanto </w:t>
      </w:r>
      <w:r w:rsidRPr="00BF2644">
        <w:rPr>
          <w:rFonts w:ascii="Garamond" w:hAnsi="Garamond" w:cs="Times New Roman"/>
          <w:color w:val="000000" w:themeColor="text1"/>
          <w:sz w:val="28"/>
          <w:szCs w:val="28"/>
        </w:rPr>
        <w:t>anche esserci un'incidenza nella materia di competenza esclusiva statale, ma solo in termini di maggiore e più rigorosa tutela dell'ambiente: le regioni possono stabilire, per il raggiungimento dei fini propri delle loro competenze, livelli di tutela più elevati, pur sempre con il limite del rispetto della normativa statale d</w:t>
      </w:r>
      <w:r w:rsidR="00431220">
        <w:rPr>
          <w:rFonts w:ascii="Garamond" w:hAnsi="Garamond" w:cs="Times New Roman"/>
          <w:color w:val="000000" w:themeColor="text1"/>
          <w:sz w:val="28"/>
          <w:szCs w:val="28"/>
        </w:rPr>
        <w:t>i tutela dell'ambiente (Corte cost.</w:t>
      </w:r>
      <w:r w:rsidR="00A50270">
        <w:rPr>
          <w:rFonts w:ascii="Garamond" w:hAnsi="Garamond" w:cs="Times New Roman"/>
          <w:color w:val="000000" w:themeColor="text1"/>
          <w:sz w:val="28"/>
          <w:szCs w:val="28"/>
        </w:rPr>
        <w:t>,</w:t>
      </w:r>
      <w:r w:rsidRPr="00BF2644">
        <w:rPr>
          <w:rFonts w:ascii="Garamond" w:hAnsi="Garamond" w:cs="Times New Roman"/>
          <w:color w:val="000000" w:themeColor="text1"/>
          <w:sz w:val="28"/>
          <w:szCs w:val="28"/>
        </w:rPr>
        <w:t xml:space="preserve"> n. 61 del 2009).</w:t>
      </w:r>
    </w:p>
    <w:p w:rsidR="00212ED4" w:rsidRPr="00BF2644" w:rsidRDefault="00212ED4"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Pertanto</w:t>
      </w:r>
      <w:r w:rsidR="00A02CCA" w:rsidRPr="00BF2644">
        <w:rPr>
          <w:rFonts w:ascii="Garamond" w:hAnsi="Garamond" w:cs="Times New Roman"/>
          <w:color w:val="000000" w:themeColor="text1"/>
          <w:sz w:val="28"/>
          <w:szCs w:val="28"/>
        </w:rPr>
        <w:t xml:space="preserve"> secondo la giurisprudenza della Corte </w:t>
      </w:r>
      <w:r w:rsidR="00266741" w:rsidRPr="00C5025A">
        <w:rPr>
          <w:rFonts w:ascii="Garamond" w:hAnsi="Garamond" w:cs="Times New Roman"/>
          <w:color w:val="000000" w:themeColor="text1"/>
          <w:sz w:val="28"/>
          <w:szCs w:val="28"/>
        </w:rPr>
        <w:t>c</w:t>
      </w:r>
      <w:r w:rsidR="00A02CCA" w:rsidRPr="00BF2644">
        <w:rPr>
          <w:rFonts w:ascii="Garamond" w:hAnsi="Garamond" w:cs="Times New Roman"/>
          <w:color w:val="000000" w:themeColor="text1"/>
          <w:sz w:val="28"/>
          <w:szCs w:val="28"/>
        </w:rPr>
        <w:t>ostituzionale</w:t>
      </w:r>
      <w:r w:rsidRPr="00BF2644">
        <w:rPr>
          <w:rFonts w:ascii="Garamond" w:hAnsi="Garamond" w:cs="Times New Roman"/>
          <w:color w:val="000000" w:themeColor="text1"/>
          <w:sz w:val="28"/>
          <w:szCs w:val="28"/>
        </w:rPr>
        <w:t>:</w:t>
      </w:r>
    </w:p>
    <w:p w:rsidR="00FB0A76" w:rsidRPr="00BF2644" w:rsidRDefault="00BC56B0"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è incostituzionale la norma regionale che prevede che le variazioni non sostanzial</w:t>
      </w:r>
      <w:r w:rsidR="00D34EB4" w:rsidRPr="00BF2644">
        <w:rPr>
          <w:rFonts w:ascii="Garamond" w:hAnsi="Garamond" w:cs="Times New Roman"/>
          <w:color w:val="000000" w:themeColor="text1"/>
          <w:sz w:val="28"/>
          <w:szCs w:val="28"/>
        </w:rPr>
        <w:t xml:space="preserve">i degli impianti autorizzati </w:t>
      </w:r>
      <w:r w:rsidR="00A50270" w:rsidRPr="00BF2644">
        <w:rPr>
          <w:rFonts w:ascii="Garamond" w:hAnsi="Garamond" w:cs="Times New Roman"/>
          <w:color w:val="000000" w:themeColor="text1"/>
          <w:sz w:val="28"/>
          <w:szCs w:val="28"/>
        </w:rPr>
        <w:t>comportanti l’esclusione</w:t>
      </w:r>
      <w:r w:rsidRPr="00BF2644">
        <w:rPr>
          <w:rFonts w:ascii="Garamond" w:hAnsi="Garamond" w:cs="Times New Roman"/>
          <w:color w:val="000000" w:themeColor="text1"/>
          <w:sz w:val="28"/>
          <w:szCs w:val="28"/>
        </w:rPr>
        <w:t xml:space="preserve"> di assoggettabilità alla valutazi</w:t>
      </w:r>
      <w:r w:rsidR="00431220">
        <w:rPr>
          <w:rFonts w:ascii="Garamond" w:hAnsi="Garamond" w:cs="Times New Roman"/>
          <w:color w:val="000000" w:themeColor="text1"/>
          <w:sz w:val="28"/>
          <w:szCs w:val="28"/>
        </w:rPr>
        <w:t>one di impatto ambientale (VIA</w:t>
      </w:r>
      <w:r w:rsidRPr="00BF2644">
        <w:rPr>
          <w:rFonts w:ascii="Garamond" w:hAnsi="Garamond" w:cs="Times New Roman"/>
          <w:color w:val="000000" w:themeColor="text1"/>
          <w:sz w:val="28"/>
          <w:szCs w:val="28"/>
        </w:rPr>
        <w:t>)</w:t>
      </w:r>
      <w:r w:rsidR="00765539">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 xml:space="preserve">non necessitano </w:t>
      </w:r>
      <w:r w:rsidR="00FB0A76" w:rsidRPr="00BF2644">
        <w:rPr>
          <w:rFonts w:ascii="Garamond" w:hAnsi="Garamond" w:cs="Times New Roman"/>
          <w:color w:val="000000" w:themeColor="text1"/>
          <w:sz w:val="28"/>
          <w:szCs w:val="28"/>
        </w:rPr>
        <w:t xml:space="preserve">altresì </w:t>
      </w:r>
      <w:r w:rsidRPr="00BF2644">
        <w:rPr>
          <w:rFonts w:ascii="Garamond" w:hAnsi="Garamond" w:cs="Times New Roman"/>
          <w:color w:val="000000" w:themeColor="text1"/>
          <w:sz w:val="28"/>
          <w:szCs w:val="28"/>
        </w:rPr>
        <w:t>di alcuna nuova autorizzazione regionale e non possono essere subordinate a ulteriori pareri, ivi compresi le autorizzazioni e i pareri previsti dalla legislazione stat</w:t>
      </w:r>
      <w:r w:rsidR="00FB0A76" w:rsidRPr="00BF2644">
        <w:rPr>
          <w:rFonts w:ascii="Garamond" w:hAnsi="Garamond" w:cs="Times New Roman"/>
          <w:color w:val="000000" w:themeColor="text1"/>
          <w:sz w:val="28"/>
          <w:szCs w:val="28"/>
        </w:rPr>
        <w:t>ale sull</w:t>
      </w:r>
      <w:r w:rsidR="00B00EB4">
        <w:rPr>
          <w:rFonts w:ascii="Garamond" w:hAnsi="Garamond" w:cs="Times New Roman"/>
          <w:color w:val="000000" w:themeColor="text1"/>
          <w:sz w:val="28"/>
          <w:szCs w:val="28"/>
        </w:rPr>
        <w:t xml:space="preserve">a tutela del paesaggio </w:t>
      </w:r>
      <w:r w:rsidR="00A50270">
        <w:rPr>
          <w:rFonts w:ascii="Garamond" w:hAnsi="Garamond" w:cs="Times New Roman"/>
          <w:color w:val="000000" w:themeColor="text1"/>
          <w:sz w:val="28"/>
          <w:szCs w:val="28"/>
        </w:rPr>
        <w:t>(Corte</w:t>
      </w:r>
      <w:r w:rsidR="00B00EB4">
        <w:rPr>
          <w:rFonts w:ascii="Garamond" w:hAnsi="Garamond" w:cs="Times New Roman"/>
          <w:color w:val="000000" w:themeColor="text1"/>
          <w:sz w:val="28"/>
          <w:szCs w:val="28"/>
        </w:rPr>
        <w:t xml:space="preserve"> cost.</w:t>
      </w:r>
      <w:r w:rsidR="00FB0A76" w:rsidRPr="00BF2644">
        <w:rPr>
          <w:rFonts w:ascii="Garamond" w:hAnsi="Garamond" w:cs="Times New Roman"/>
          <w:color w:val="000000" w:themeColor="text1"/>
          <w:sz w:val="28"/>
          <w:szCs w:val="28"/>
        </w:rPr>
        <w:t xml:space="preserve"> n. 106 del 2022 che ha dichiarato l’illegittimità costituzionale </w:t>
      </w:r>
      <w:r w:rsidR="00FC2F6C">
        <w:rPr>
          <w:rFonts w:ascii="Garamond" w:hAnsi="Garamond" w:cs="Times New Roman"/>
          <w:color w:val="000000" w:themeColor="text1"/>
          <w:sz w:val="28"/>
          <w:szCs w:val="28"/>
        </w:rPr>
        <w:t>del</w:t>
      </w:r>
      <w:r w:rsidR="00FB0A76" w:rsidRPr="00BF2644">
        <w:rPr>
          <w:rFonts w:ascii="Garamond" w:hAnsi="Garamond" w:cs="Times New Roman"/>
          <w:color w:val="000000" w:themeColor="text1"/>
          <w:sz w:val="28"/>
          <w:szCs w:val="28"/>
        </w:rPr>
        <w:t xml:space="preserve">l'art. 5 </w:t>
      </w:r>
      <w:r w:rsidR="006C564E">
        <w:rPr>
          <w:rFonts w:ascii="Garamond" w:hAnsi="Garamond" w:cs="Times New Roman"/>
          <w:color w:val="000000" w:themeColor="text1"/>
          <w:sz w:val="28"/>
          <w:szCs w:val="28"/>
        </w:rPr>
        <w:t>l.</w:t>
      </w:r>
      <w:r w:rsidR="004A13DF">
        <w:rPr>
          <w:rFonts w:ascii="Garamond" w:hAnsi="Garamond" w:cs="Times New Roman"/>
          <w:color w:val="000000" w:themeColor="text1"/>
          <w:sz w:val="28"/>
          <w:szCs w:val="28"/>
        </w:rPr>
        <w:t>r</w:t>
      </w:r>
      <w:r w:rsidR="00FB0A76" w:rsidRPr="00BF2644">
        <w:rPr>
          <w:rFonts w:ascii="Garamond" w:hAnsi="Garamond" w:cs="Times New Roman"/>
          <w:color w:val="000000" w:themeColor="text1"/>
          <w:sz w:val="28"/>
          <w:szCs w:val="28"/>
        </w:rPr>
        <w:t>. Abruzzo 18 maggio 2021 n. 10 per contrasto con l’art. 117 comma 2 lett. s) Cost</w:t>
      </w:r>
      <w:r w:rsidR="006E682D" w:rsidRPr="00BF2644">
        <w:rPr>
          <w:rFonts w:ascii="Garamond" w:hAnsi="Garamond" w:cs="Times New Roman"/>
          <w:color w:val="000000" w:themeColor="text1"/>
          <w:sz w:val="28"/>
          <w:szCs w:val="28"/>
        </w:rPr>
        <w:t>)</w:t>
      </w:r>
      <w:r w:rsidR="00FB0A76" w:rsidRPr="00BF2644">
        <w:rPr>
          <w:rFonts w:ascii="Garamond" w:hAnsi="Garamond" w:cs="Times New Roman"/>
          <w:color w:val="000000" w:themeColor="text1"/>
          <w:sz w:val="28"/>
          <w:szCs w:val="28"/>
        </w:rPr>
        <w:t>;</w:t>
      </w:r>
    </w:p>
    <w:p w:rsidR="000F4871" w:rsidRPr="00BF2644" w:rsidRDefault="000F4871"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è incostituzionale, per violazione dell'art. 117, 2</w:t>
      </w:r>
      <w:r w:rsidR="00B00EB4">
        <w:rPr>
          <w:rFonts w:ascii="Garamond" w:hAnsi="Garamond" w:cs="Times New Roman"/>
          <w:color w:val="000000" w:themeColor="text1"/>
          <w:sz w:val="28"/>
          <w:szCs w:val="28"/>
        </w:rPr>
        <w:t>° comma, lett. s), Cost. e della norma</w:t>
      </w:r>
      <w:r w:rsidRPr="00BF2644">
        <w:rPr>
          <w:rFonts w:ascii="Garamond" w:hAnsi="Garamond" w:cs="Times New Roman"/>
          <w:color w:val="000000" w:themeColor="text1"/>
          <w:sz w:val="28"/>
          <w:szCs w:val="28"/>
        </w:rPr>
        <w:t xml:space="preserve"> interpos</w:t>
      </w:r>
      <w:r w:rsidR="00B00EB4">
        <w:rPr>
          <w:rFonts w:ascii="Garamond" w:hAnsi="Garamond" w:cs="Times New Roman"/>
          <w:color w:val="000000" w:themeColor="text1"/>
          <w:sz w:val="28"/>
          <w:szCs w:val="28"/>
        </w:rPr>
        <w:t xml:space="preserve">ta contenuta nell'art. 208, </w:t>
      </w:r>
      <w:r w:rsidR="00B00EB4" w:rsidRPr="00B00EB4">
        <w:rPr>
          <w:rFonts w:ascii="Garamond" w:hAnsi="Garamond" w:cs="Times New Roman"/>
          <w:color w:val="000000" w:themeColor="text1"/>
          <w:sz w:val="28"/>
          <w:szCs w:val="28"/>
        </w:rPr>
        <w:t xml:space="preserve"> </w:t>
      </w:r>
      <w:r w:rsidR="00B00EB4">
        <w:rPr>
          <w:rFonts w:ascii="Garamond" w:hAnsi="Garamond" w:cs="Times New Roman"/>
          <w:color w:val="000000" w:themeColor="text1"/>
          <w:sz w:val="28"/>
          <w:szCs w:val="28"/>
        </w:rPr>
        <w:t>comma</w:t>
      </w:r>
      <w:r w:rsidR="00765539">
        <w:rPr>
          <w:rFonts w:ascii="Garamond" w:hAnsi="Garamond" w:cs="Times New Roman"/>
          <w:color w:val="000000" w:themeColor="text1"/>
          <w:sz w:val="28"/>
          <w:szCs w:val="28"/>
        </w:rPr>
        <w:t xml:space="preserve"> 12</w:t>
      </w:r>
      <w:r w:rsidR="00B00EB4">
        <w:rPr>
          <w:rFonts w:ascii="Garamond" w:hAnsi="Garamond" w:cs="Times New Roman"/>
          <w:color w:val="000000" w:themeColor="text1"/>
          <w:sz w:val="28"/>
          <w:szCs w:val="28"/>
        </w:rPr>
        <w:t xml:space="preserve">, </w:t>
      </w:r>
      <w:r w:rsidR="00B26B45">
        <w:rPr>
          <w:rFonts w:ascii="Garamond" w:hAnsi="Garamond" w:cs="Times New Roman"/>
          <w:color w:val="000000" w:themeColor="text1"/>
          <w:sz w:val="28"/>
          <w:szCs w:val="28"/>
        </w:rPr>
        <w:t>d.lgs.</w:t>
      </w:r>
      <w:r w:rsidR="004F0CCD">
        <w:rPr>
          <w:rFonts w:ascii="Garamond" w:hAnsi="Garamond" w:cs="Times New Roman"/>
          <w:color w:val="000000" w:themeColor="text1"/>
          <w:sz w:val="28"/>
          <w:szCs w:val="28"/>
        </w:rPr>
        <w:t>,</w:t>
      </w:r>
      <w:r w:rsidRPr="00BF2644">
        <w:rPr>
          <w:rFonts w:ascii="Garamond" w:hAnsi="Garamond" w:cs="Times New Roman"/>
          <w:color w:val="000000" w:themeColor="text1"/>
          <w:sz w:val="28"/>
          <w:szCs w:val="28"/>
        </w:rPr>
        <w:t xml:space="preserve"> n. 152</w:t>
      </w:r>
      <w:r w:rsidR="00B00EB4">
        <w:rPr>
          <w:rFonts w:ascii="Garamond" w:hAnsi="Garamond" w:cs="Times New Roman"/>
          <w:color w:val="000000" w:themeColor="text1"/>
          <w:sz w:val="28"/>
          <w:szCs w:val="28"/>
        </w:rPr>
        <w:t xml:space="preserve"> del 2006 </w:t>
      </w:r>
      <w:r w:rsidRPr="00BF2644">
        <w:rPr>
          <w:rFonts w:ascii="Garamond" w:hAnsi="Garamond" w:cs="Times New Roman"/>
          <w:color w:val="000000" w:themeColor="text1"/>
          <w:sz w:val="28"/>
          <w:szCs w:val="28"/>
        </w:rPr>
        <w:t>(secondo cui in prossimità della scadenza del titolo, s’imporrebbe l'attivazione, da parte del gestore, dell'iter volto a ottenere il rinnovo dell'autorizzazione</w:t>
      </w:r>
      <w:r w:rsidR="00B00EB4">
        <w:rPr>
          <w:rFonts w:ascii="Garamond" w:hAnsi="Garamond" w:cs="Times New Roman"/>
          <w:color w:val="000000" w:themeColor="text1"/>
          <w:sz w:val="28"/>
          <w:szCs w:val="28"/>
        </w:rPr>
        <w:t xml:space="preserve">)  la norma regionale </w:t>
      </w:r>
      <w:r w:rsidRPr="00BF2644">
        <w:rPr>
          <w:rFonts w:ascii="Garamond" w:hAnsi="Garamond" w:cs="Times New Roman"/>
          <w:color w:val="000000" w:themeColor="text1"/>
          <w:sz w:val="28"/>
          <w:szCs w:val="28"/>
        </w:rPr>
        <w:t xml:space="preserve">che prevede la proroga </w:t>
      </w:r>
      <w:r w:rsidRPr="00BF2644">
        <w:rPr>
          <w:rFonts w:ascii="Garamond" w:hAnsi="Garamond" w:cs="Times New Roman"/>
          <w:i/>
          <w:color w:val="000000" w:themeColor="text1"/>
          <w:sz w:val="28"/>
          <w:szCs w:val="28"/>
        </w:rPr>
        <w:t>ex lege</w:t>
      </w:r>
      <w:r w:rsidRPr="00BF2644">
        <w:rPr>
          <w:rFonts w:ascii="Garamond" w:hAnsi="Garamond" w:cs="Times New Roman"/>
          <w:color w:val="000000" w:themeColor="text1"/>
          <w:sz w:val="28"/>
          <w:szCs w:val="28"/>
        </w:rPr>
        <w:t xml:space="preserve"> delle autorizzazioni necessarie per l'esercizio di discariche per rifiuti speciali </w:t>
      </w:r>
      <w:r w:rsidR="00B00EB4">
        <w:rPr>
          <w:rFonts w:ascii="Garamond" w:hAnsi="Garamond" w:cs="Times New Roman"/>
          <w:color w:val="000000" w:themeColor="text1"/>
          <w:sz w:val="28"/>
          <w:szCs w:val="28"/>
        </w:rPr>
        <w:t xml:space="preserve">inerti di titolarità pubblica (Corte cost., </w:t>
      </w:r>
      <w:r w:rsidRPr="00BF2644">
        <w:rPr>
          <w:rFonts w:ascii="Garamond" w:hAnsi="Garamond" w:cs="Times New Roman"/>
          <w:color w:val="000000" w:themeColor="text1"/>
          <w:sz w:val="28"/>
          <w:szCs w:val="28"/>
        </w:rPr>
        <w:t xml:space="preserve">n. 21 del 2022 che ha dichiarato l’illegittimità </w:t>
      </w:r>
      <w:r w:rsidR="00B26B45">
        <w:rPr>
          <w:rFonts w:ascii="Garamond" w:hAnsi="Garamond" w:cs="Times New Roman"/>
          <w:color w:val="000000" w:themeColor="text1"/>
          <w:sz w:val="28"/>
          <w:szCs w:val="28"/>
        </w:rPr>
        <w:t xml:space="preserve">costituzionale dell’art. 81, </w:t>
      </w:r>
      <w:r w:rsidRPr="00BF2644">
        <w:rPr>
          <w:rFonts w:ascii="Garamond" w:hAnsi="Garamond" w:cs="Times New Roman"/>
          <w:color w:val="000000" w:themeColor="text1"/>
          <w:sz w:val="28"/>
          <w:szCs w:val="28"/>
        </w:rPr>
        <w:t>comma</w:t>
      </w:r>
      <w:r w:rsidR="00B26B45">
        <w:rPr>
          <w:rFonts w:ascii="Garamond" w:hAnsi="Garamond" w:cs="Times New Roman"/>
          <w:color w:val="000000" w:themeColor="text1"/>
          <w:sz w:val="28"/>
          <w:szCs w:val="28"/>
        </w:rPr>
        <w:t xml:space="preserve"> 3</w:t>
      </w:r>
      <w:r w:rsidRPr="00BF2644">
        <w:rPr>
          <w:rFonts w:ascii="Garamond" w:hAnsi="Garamond" w:cs="Times New Roman"/>
          <w:color w:val="000000" w:themeColor="text1"/>
          <w:sz w:val="28"/>
          <w:szCs w:val="28"/>
        </w:rPr>
        <w:t xml:space="preserve">, </w:t>
      </w:r>
      <w:r w:rsidR="006C564E">
        <w:rPr>
          <w:rFonts w:ascii="Garamond" w:hAnsi="Garamond" w:cs="Times New Roman"/>
          <w:color w:val="000000" w:themeColor="text1"/>
          <w:sz w:val="28"/>
          <w:szCs w:val="28"/>
        </w:rPr>
        <w:t>l.</w:t>
      </w:r>
      <w:r w:rsidR="004A13DF">
        <w:rPr>
          <w:rFonts w:ascii="Garamond" w:hAnsi="Garamond" w:cs="Times New Roman"/>
          <w:color w:val="000000" w:themeColor="text1"/>
          <w:sz w:val="28"/>
          <w:szCs w:val="28"/>
        </w:rPr>
        <w:t>r</w:t>
      </w:r>
      <w:r w:rsidRPr="00BF2644">
        <w:rPr>
          <w:rFonts w:ascii="Garamond" w:hAnsi="Garamond" w:cs="Times New Roman"/>
          <w:color w:val="000000" w:themeColor="text1"/>
          <w:sz w:val="28"/>
          <w:szCs w:val="28"/>
        </w:rPr>
        <w:t>. Val</w:t>
      </w:r>
      <w:r w:rsidR="00B00EB4">
        <w:rPr>
          <w:rFonts w:ascii="Garamond" w:hAnsi="Garamond" w:cs="Times New Roman"/>
          <w:color w:val="000000" w:themeColor="text1"/>
          <w:sz w:val="28"/>
          <w:szCs w:val="28"/>
        </w:rPr>
        <w:t>le d'Aosta 13 luglio 2020 n. 8);</w:t>
      </w:r>
    </w:p>
    <w:p w:rsidR="00BB59B5" w:rsidRDefault="006E682D"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la potestà legislativa esclusiva in materia ambientale comporta la legittimazione del solo legislatore nazionale a definire l'organizzazione delle corrisp</w:t>
      </w:r>
      <w:r w:rsidR="00B00EB4">
        <w:rPr>
          <w:rFonts w:ascii="Garamond" w:hAnsi="Garamond" w:cs="Times New Roman"/>
          <w:color w:val="000000" w:themeColor="text1"/>
          <w:sz w:val="28"/>
          <w:szCs w:val="28"/>
        </w:rPr>
        <w:t xml:space="preserve">ondenti funzioni amministrative; va quindi escluso </w:t>
      </w:r>
      <w:r w:rsidRPr="00BF2644">
        <w:rPr>
          <w:rFonts w:ascii="Garamond" w:hAnsi="Garamond" w:cs="Times New Roman"/>
          <w:color w:val="000000" w:themeColor="text1"/>
          <w:sz w:val="28"/>
          <w:szCs w:val="28"/>
        </w:rPr>
        <w:t>che le dette funzioni amministrative, che siano state conferite dallo Stato alla Regione, possano essere da quest'ultima riallocate p</w:t>
      </w:r>
      <w:r w:rsidR="00B00EB4">
        <w:rPr>
          <w:rFonts w:ascii="Garamond" w:hAnsi="Garamond" w:cs="Times New Roman"/>
          <w:color w:val="000000" w:themeColor="text1"/>
          <w:sz w:val="28"/>
          <w:szCs w:val="28"/>
        </w:rPr>
        <w:t xml:space="preserve">resso altro ente infraregionale, non potendo la </w:t>
      </w:r>
      <w:r w:rsidR="006C564E">
        <w:rPr>
          <w:rFonts w:ascii="Garamond" w:hAnsi="Garamond" w:cs="Times New Roman"/>
          <w:color w:val="000000" w:themeColor="text1"/>
          <w:sz w:val="28"/>
          <w:szCs w:val="28"/>
        </w:rPr>
        <w:t>legge</w:t>
      </w:r>
      <w:r w:rsidR="00B00EB4">
        <w:rPr>
          <w:rFonts w:ascii="Garamond" w:hAnsi="Garamond" w:cs="Times New Roman"/>
          <w:color w:val="000000" w:themeColor="text1"/>
          <w:sz w:val="28"/>
          <w:szCs w:val="28"/>
        </w:rPr>
        <w:t xml:space="preserve"> regionale modificare </w:t>
      </w:r>
      <w:r w:rsidR="00B00EB4" w:rsidRPr="00BF2644">
        <w:rPr>
          <w:rFonts w:ascii="Garamond" w:hAnsi="Garamond" w:cs="Times New Roman"/>
          <w:color w:val="000000" w:themeColor="text1"/>
          <w:sz w:val="28"/>
          <w:szCs w:val="28"/>
        </w:rPr>
        <w:t>l’assetto</w:t>
      </w:r>
      <w:r w:rsidRPr="00BF2644">
        <w:rPr>
          <w:rFonts w:ascii="Garamond" w:hAnsi="Garamond" w:cs="Times New Roman"/>
          <w:color w:val="000000" w:themeColor="text1"/>
          <w:sz w:val="28"/>
          <w:szCs w:val="28"/>
        </w:rPr>
        <w:t xml:space="preserve"> di competenze inderogabilmente st</w:t>
      </w:r>
      <w:r w:rsidR="00D34EB4" w:rsidRPr="00BF2644">
        <w:rPr>
          <w:rFonts w:ascii="Garamond" w:hAnsi="Garamond" w:cs="Times New Roman"/>
          <w:color w:val="000000" w:themeColor="text1"/>
          <w:sz w:val="28"/>
          <w:szCs w:val="28"/>
        </w:rPr>
        <w:t xml:space="preserve">abilito dalla </w:t>
      </w:r>
      <w:r w:rsidR="006C564E">
        <w:rPr>
          <w:rFonts w:ascii="Garamond" w:hAnsi="Garamond" w:cs="Times New Roman"/>
          <w:color w:val="000000" w:themeColor="text1"/>
          <w:sz w:val="28"/>
          <w:szCs w:val="28"/>
        </w:rPr>
        <w:t>legge</w:t>
      </w:r>
      <w:r w:rsidR="00D34EB4" w:rsidRPr="00BF2644">
        <w:rPr>
          <w:rFonts w:ascii="Garamond" w:hAnsi="Garamond" w:cs="Times New Roman"/>
          <w:color w:val="000000" w:themeColor="text1"/>
          <w:sz w:val="28"/>
          <w:szCs w:val="28"/>
        </w:rPr>
        <w:t xml:space="preserve"> nazionale </w:t>
      </w:r>
      <w:r w:rsidR="00A50270">
        <w:rPr>
          <w:rFonts w:ascii="Garamond" w:hAnsi="Garamond" w:cs="Times New Roman"/>
          <w:color w:val="000000" w:themeColor="text1"/>
          <w:sz w:val="28"/>
          <w:szCs w:val="28"/>
        </w:rPr>
        <w:t xml:space="preserve">(Corte cost., </w:t>
      </w:r>
      <w:r w:rsidR="00002F29" w:rsidRPr="00BF2644">
        <w:rPr>
          <w:rFonts w:ascii="Garamond" w:hAnsi="Garamond" w:cs="Times New Roman"/>
          <w:color w:val="000000" w:themeColor="text1"/>
          <w:sz w:val="28"/>
          <w:szCs w:val="28"/>
        </w:rPr>
        <w:t xml:space="preserve">n. 189 del </w:t>
      </w:r>
      <w:r w:rsidRPr="00BF2644">
        <w:rPr>
          <w:rFonts w:ascii="Garamond" w:hAnsi="Garamond" w:cs="Times New Roman"/>
          <w:color w:val="000000" w:themeColor="text1"/>
          <w:sz w:val="28"/>
          <w:szCs w:val="28"/>
        </w:rPr>
        <w:t>2021 che ha dichiarato costituzionalmente illegittima</w:t>
      </w:r>
      <w:r w:rsidR="007158DA">
        <w:rPr>
          <w:rFonts w:ascii="Garamond" w:hAnsi="Garamond" w:cs="Times New Roman"/>
          <w:color w:val="000000" w:themeColor="text1"/>
          <w:sz w:val="28"/>
          <w:szCs w:val="28"/>
        </w:rPr>
        <w:t>,</w:t>
      </w:r>
      <w:r w:rsidRPr="00BF2644">
        <w:rPr>
          <w:rFonts w:ascii="Garamond" w:hAnsi="Garamond" w:cs="Times New Roman"/>
          <w:color w:val="000000" w:themeColor="text1"/>
          <w:sz w:val="28"/>
          <w:szCs w:val="28"/>
        </w:rPr>
        <w:t xml:space="preserve"> a far data dal 29 aprile 2006, </w:t>
      </w:r>
      <w:r w:rsidR="00BB59B5" w:rsidRPr="00BF2644">
        <w:rPr>
          <w:rFonts w:ascii="Garamond" w:hAnsi="Garamond" w:cs="Times New Roman"/>
          <w:color w:val="000000" w:themeColor="text1"/>
          <w:sz w:val="28"/>
          <w:szCs w:val="28"/>
        </w:rPr>
        <w:t>l'</w:t>
      </w:r>
      <w:r w:rsidR="00BF7904">
        <w:rPr>
          <w:rFonts w:ascii="Garamond" w:hAnsi="Garamond" w:cs="Times New Roman"/>
          <w:color w:val="000000" w:themeColor="text1"/>
          <w:sz w:val="28"/>
          <w:szCs w:val="28"/>
        </w:rPr>
        <w:t xml:space="preserve">art. 6, </w:t>
      </w:r>
      <w:r w:rsidR="00BB59B5" w:rsidRPr="00BF2644">
        <w:rPr>
          <w:rFonts w:ascii="Garamond" w:hAnsi="Garamond" w:cs="Times New Roman"/>
          <w:color w:val="000000" w:themeColor="text1"/>
          <w:sz w:val="28"/>
          <w:szCs w:val="28"/>
        </w:rPr>
        <w:t>comma</w:t>
      </w:r>
      <w:r w:rsidR="00BF7904">
        <w:rPr>
          <w:rFonts w:ascii="Garamond" w:hAnsi="Garamond" w:cs="Times New Roman"/>
          <w:color w:val="000000" w:themeColor="text1"/>
          <w:sz w:val="28"/>
          <w:szCs w:val="28"/>
        </w:rPr>
        <w:t xml:space="preserve"> 2</w:t>
      </w:r>
      <w:r w:rsidR="00BB59B5" w:rsidRPr="00BF2644">
        <w:rPr>
          <w:rFonts w:ascii="Garamond" w:hAnsi="Garamond" w:cs="Times New Roman"/>
          <w:color w:val="000000" w:themeColor="text1"/>
          <w:sz w:val="28"/>
          <w:szCs w:val="28"/>
        </w:rPr>
        <w:t>, lett</w:t>
      </w:r>
      <w:r w:rsidR="00B00EB4">
        <w:rPr>
          <w:rFonts w:ascii="Garamond" w:hAnsi="Garamond" w:cs="Times New Roman"/>
          <w:color w:val="000000" w:themeColor="text1"/>
          <w:sz w:val="28"/>
          <w:szCs w:val="28"/>
        </w:rPr>
        <w:t xml:space="preserve">. b) e c), </w:t>
      </w:r>
      <w:r w:rsidR="006C564E">
        <w:rPr>
          <w:rFonts w:ascii="Garamond" w:hAnsi="Garamond" w:cs="Times New Roman"/>
          <w:color w:val="000000" w:themeColor="text1"/>
          <w:sz w:val="28"/>
          <w:szCs w:val="28"/>
        </w:rPr>
        <w:t>l.</w:t>
      </w:r>
      <w:r w:rsidR="004A13DF">
        <w:rPr>
          <w:rFonts w:ascii="Garamond" w:hAnsi="Garamond" w:cs="Times New Roman"/>
          <w:color w:val="000000" w:themeColor="text1"/>
          <w:sz w:val="28"/>
          <w:szCs w:val="28"/>
        </w:rPr>
        <w:t>r</w:t>
      </w:r>
      <w:r w:rsidR="00BB59B5" w:rsidRPr="00BF2644">
        <w:rPr>
          <w:rFonts w:ascii="Garamond" w:hAnsi="Garamond" w:cs="Times New Roman"/>
          <w:color w:val="000000" w:themeColor="text1"/>
          <w:sz w:val="28"/>
          <w:szCs w:val="28"/>
        </w:rPr>
        <w:t>. Lazio 9 luglio 1998</w:t>
      </w:r>
      <w:r w:rsidR="007158DA">
        <w:rPr>
          <w:rFonts w:ascii="Garamond" w:hAnsi="Garamond" w:cs="Times New Roman"/>
          <w:color w:val="000000" w:themeColor="text1"/>
          <w:sz w:val="28"/>
          <w:szCs w:val="28"/>
        </w:rPr>
        <w:t xml:space="preserve">, </w:t>
      </w:r>
      <w:r w:rsidR="00BB59B5" w:rsidRPr="00BF2644">
        <w:rPr>
          <w:rFonts w:ascii="Garamond" w:hAnsi="Garamond" w:cs="Times New Roman"/>
          <w:color w:val="000000" w:themeColor="text1"/>
          <w:sz w:val="28"/>
          <w:szCs w:val="28"/>
        </w:rPr>
        <w:t xml:space="preserve"> n. 27, </w:t>
      </w:r>
      <w:r w:rsidR="00B00EB4">
        <w:rPr>
          <w:rFonts w:ascii="Garamond" w:hAnsi="Garamond" w:cs="Times New Roman"/>
          <w:color w:val="000000" w:themeColor="text1"/>
          <w:sz w:val="28"/>
          <w:szCs w:val="28"/>
        </w:rPr>
        <w:t>p</w:t>
      </w:r>
      <w:r w:rsidR="00BF7904">
        <w:rPr>
          <w:rFonts w:ascii="Garamond" w:hAnsi="Garamond" w:cs="Times New Roman"/>
          <w:color w:val="000000" w:themeColor="text1"/>
          <w:sz w:val="28"/>
          <w:szCs w:val="28"/>
        </w:rPr>
        <w:t xml:space="preserve">er violazione dell’art. 117, </w:t>
      </w:r>
      <w:r w:rsidR="00B00EB4">
        <w:rPr>
          <w:rFonts w:ascii="Garamond" w:hAnsi="Garamond" w:cs="Times New Roman"/>
          <w:color w:val="000000" w:themeColor="text1"/>
          <w:sz w:val="28"/>
          <w:szCs w:val="28"/>
        </w:rPr>
        <w:t>comma</w:t>
      </w:r>
      <w:r w:rsidR="00BF7904">
        <w:rPr>
          <w:rFonts w:ascii="Garamond" w:hAnsi="Garamond" w:cs="Times New Roman"/>
          <w:color w:val="000000" w:themeColor="text1"/>
          <w:sz w:val="28"/>
          <w:szCs w:val="28"/>
        </w:rPr>
        <w:t xml:space="preserve"> 2</w:t>
      </w:r>
      <w:r w:rsidR="00B00EB4">
        <w:rPr>
          <w:rFonts w:ascii="Garamond" w:hAnsi="Garamond" w:cs="Times New Roman"/>
          <w:color w:val="000000" w:themeColor="text1"/>
          <w:sz w:val="28"/>
          <w:szCs w:val="28"/>
        </w:rPr>
        <w:t xml:space="preserve">, lett. s) Cost., </w:t>
      </w:r>
      <w:r w:rsidR="00BF7904">
        <w:rPr>
          <w:rFonts w:ascii="Garamond" w:hAnsi="Garamond" w:cs="Times New Roman"/>
          <w:color w:val="000000" w:themeColor="text1"/>
          <w:sz w:val="28"/>
          <w:szCs w:val="28"/>
        </w:rPr>
        <w:t xml:space="preserve">in relazione agli artt. 196, </w:t>
      </w:r>
      <w:r w:rsidR="00B00EB4" w:rsidRPr="00B00EB4">
        <w:rPr>
          <w:rFonts w:ascii="Garamond" w:hAnsi="Garamond" w:cs="Times New Roman"/>
          <w:color w:val="000000" w:themeColor="text1"/>
          <w:sz w:val="28"/>
          <w:szCs w:val="28"/>
        </w:rPr>
        <w:t>comma</w:t>
      </w:r>
      <w:r w:rsidR="00BF7904">
        <w:rPr>
          <w:rFonts w:ascii="Garamond" w:hAnsi="Garamond" w:cs="Times New Roman"/>
          <w:color w:val="000000" w:themeColor="text1"/>
          <w:sz w:val="28"/>
          <w:szCs w:val="28"/>
        </w:rPr>
        <w:t xml:space="preserve"> 1</w:t>
      </w:r>
      <w:r w:rsidR="00B00EB4" w:rsidRPr="00B00EB4">
        <w:rPr>
          <w:rFonts w:ascii="Garamond" w:hAnsi="Garamond" w:cs="Times New Roman"/>
          <w:color w:val="000000" w:themeColor="text1"/>
          <w:sz w:val="28"/>
          <w:szCs w:val="28"/>
        </w:rPr>
        <w:t xml:space="preserve">, lett. d) ed e), e 208 del </w:t>
      </w:r>
      <w:r w:rsidR="004F0CCD">
        <w:rPr>
          <w:rFonts w:ascii="Garamond" w:hAnsi="Garamond" w:cs="Times New Roman"/>
          <w:color w:val="000000" w:themeColor="text1"/>
          <w:sz w:val="28"/>
          <w:szCs w:val="28"/>
        </w:rPr>
        <w:t>d.lgs.</w:t>
      </w:r>
      <w:r w:rsidR="007C3B5E">
        <w:rPr>
          <w:rFonts w:ascii="Garamond" w:hAnsi="Garamond" w:cs="Times New Roman"/>
          <w:color w:val="000000" w:themeColor="text1"/>
          <w:sz w:val="28"/>
          <w:szCs w:val="28"/>
        </w:rPr>
        <w:t xml:space="preserve"> n.</w:t>
      </w:r>
      <w:r w:rsidR="007158DA">
        <w:rPr>
          <w:rFonts w:ascii="Garamond" w:hAnsi="Garamond" w:cs="Times New Roman"/>
          <w:color w:val="000000" w:themeColor="text1"/>
          <w:sz w:val="28"/>
          <w:szCs w:val="28"/>
        </w:rPr>
        <w:t xml:space="preserve"> 152 </w:t>
      </w:r>
      <w:r w:rsidR="00B00EB4" w:rsidRPr="00B00EB4">
        <w:rPr>
          <w:rFonts w:ascii="Garamond" w:hAnsi="Garamond" w:cs="Times New Roman"/>
          <w:color w:val="000000" w:themeColor="text1"/>
          <w:sz w:val="28"/>
          <w:szCs w:val="28"/>
        </w:rPr>
        <w:t xml:space="preserve"> </w:t>
      </w:r>
      <w:r w:rsidR="007158DA">
        <w:rPr>
          <w:rFonts w:ascii="Garamond" w:hAnsi="Garamond" w:cs="Times New Roman"/>
          <w:color w:val="000000" w:themeColor="text1"/>
          <w:sz w:val="28"/>
          <w:szCs w:val="28"/>
        </w:rPr>
        <w:t>del 2006</w:t>
      </w:r>
      <w:r w:rsidR="00DB58D2">
        <w:rPr>
          <w:rFonts w:ascii="Garamond" w:hAnsi="Garamond" w:cs="Times New Roman"/>
          <w:color w:val="000000" w:themeColor="text1"/>
          <w:sz w:val="28"/>
          <w:szCs w:val="28"/>
        </w:rPr>
        <w:t xml:space="preserve">, </w:t>
      </w:r>
      <w:r w:rsidR="007158DA">
        <w:rPr>
          <w:rFonts w:ascii="Garamond" w:hAnsi="Garamond" w:cs="Times New Roman"/>
          <w:color w:val="000000" w:themeColor="text1"/>
          <w:sz w:val="28"/>
          <w:szCs w:val="28"/>
        </w:rPr>
        <w:t>nella parte in cui delega ai C</w:t>
      </w:r>
      <w:r w:rsidR="00BB59B5" w:rsidRPr="00BF2644">
        <w:rPr>
          <w:rFonts w:ascii="Garamond" w:hAnsi="Garamond" w:cs="Times New Roman"/>
          <w:color w:val="000000" w:themeColor="text1"/>
          <w:sz w:val="28"/>
          <w:szCs w:val="28"/>
        </w:rPr>
        <w:t>omuni il rilascio dell'autorizzazione per la realizzazione e gestione di impianti di smaltimento e recupero dei rifiuti derivanti dalla demolizione di veicoli e dalla rottamazione di macchinari e apparec</w:t>
      </w:r>
      <w:r w:rsidR="00DB58D2">
        <w:rPr>
          <w:rFonts w:ascii="Garamond" w:hAnsi="Garamond" w:cs="Times New Roman"/>
          <w:color w:val="000000" w:themeColor="text1"/>
          <w:sz w:val="28"/>
          <w:szCs w:val="28"/>
        </w:rPr>
        <w:t>chiature deteriorati e obsoleti</w:t>
      </w:r>
      <w:r w:rsidR="00BB59B5" w:rsidRPr="00BF2644">
        <w:rPr>
          <w:rFonts w:ascii="Garamond" w:hAnsi="Garamond" w:cs="Times New Roman"/>
          <w:color w:val="000000" w:themeColor="text1"/>
          <w:sz w:val="28"/>
          <w:szCs w:val="28"/>
        </w:rPr>
        <w:t>);</w:t>
      </w:r>
    </w:p>
    <w:p w:rsidR="00DB58D2" w:rsidRPr="00BF2644" w:rsidRDefault="00DB58D2" w:rsidP="00BF2644">
      <w:pPr>
        <w:spacing w:line="240" w:lineRule="auto"/>
        <w:ind w:firstLine="709"/>
        <w:contextualSpacing/>
        <w:jc w:val="both"/>
        <w:rPr>
          <w:rFonts w:ascii="Garamond" w:hAnsi="Garamond" w:cs="Times New Roman"/>
          <w:color w:val="000000" w:themeColor="text1"/>
          <w:sz w:val="28"/>
          <w:szCs w:val="28"/>
        </w:rPr>
      </w:pPr>
      <w:r w:rsidRPr="00DB58D2">
        <w:rPr>
          <w:rFonts w:ascii="Garamond" w:hAnsi="Garamond" w:cs="Times New Roman"/>
          <w:color w:val="000000" w:themeColor="text1"/>
          <w:sz w:val="28"/>
          <w:szCs w:val="28"/>
        </w:rPr>
        <w:t xml:space="preserve">- e’ consentito al legislatore regionale, innalzando i livelli di tutela previsti dal legislatore statale,  dettare una norma che,  nel prevedere la localizzazione degli impianti di recupero e smaltimento dei rifiuti a monte dei punti di captazione di acque destinate al </w:t>
      </w:r>
      <w:r w:rsidRPr="00DB58D2">
        <w:rPr>
          <w:rFonts w:ascii="Garamond" w:hAnsi="Garamond" w:cs="Times New Roman"/>
          <w:color w:val="000000" w:themeColor="text1"/>
          <w:sz w:val="28"/>
          <w:szCs w:val="28"/>
        </w:rPr>
        <w:lastRenderedPageBreak/>
        <w:t xml:space="preserve">consumo umano,  individui un’estensione della zona di rispetto superiore a </w:t>
      </w:r>
      <w:r w:rsidR="00BF7904">
        <w:rPr>
          <w:rFonts w:ascii="Garamond" w:hAnsi="Garamond" w:cs="Times New Roman"/>
          <w:color w:val="000000" w:themeColor="text1"/>
          <w:sz w:val="28"/>
          <w:szCs w:val="28"/>
        </w:rPr>
        <w:t xml:space="preserve">quella indicata dall’art. 94, </w:t>
      </w:r>
      <w:r w:rsidRPr="00DB58D2">
        <w:rPr>
          <w:rFonts w:ascii="Garamond" w:hAnsi="Garamond" w:cs="Times New Roman"/>
          <w:color w:val="000000" w:themeColor="text1"/>
          <w:sz w:val="28"/>
          <w:szCs w:val="28"/>
        </w:rPr>
        <w:t>comma</w:t>
      </w:r>
      <w:r w:rsidR="00BF7904">
        <w:rPr>
          <w:rFonts w:ascii="Garamond" w:hAnsi="Garamond" w:cs="Times New Roman"/>
          <w:color w:val="000000" w:themeColor="text1"/>
          <w:sz w:val="28"/>
          <w:szCs w:val="28"/>
        </w:rPr>
        <w:t xml:space="preserve"> 1 </w:t>
      </w:r>
      <w:r w:rsidRPr="00DB58D2">
        <w:rPr>
          <w:rFonts w:ascii="Garamond" w:hAnsi="Garamond" w:cs="Times New Roman"/>
          <w:color w:val="000000" w:themeColor="text1"/>
          <w:sz w:val="28"/>
          <w:szCs w:val="28"/>
        </w:rPr>
        <w:t xml:space="preserve"> del T.U. Ambiente,  così elevando lo standard di tutela dell'ambiente, venendo in rilievo il più specifico aspetto della tutela della salute in relazione alla prevenzione del rischio di inquinamento delle falde acquifere (Corte cost.</w:t>
      </w:r>
      <w:r w:rsidR="00A50270">
        <w:rPr>
          <w:rFonts w:ascii="Garamond" w:hAnsi="Garamond" w:cs="Times New Roman"/>
          <w:color w:val="000000" w:themeColor="text1"/>
          <w:sz w:val="28"/>
          <w:szCs w:val="28"/>
        </w:rPr>
        <w:t>,</w:t>
      </w:r>
      <w:r w:rsidRPr="00DB58D2">
        <w:rPr>
          <w:rFonts w:ascii="Garamond" w:hAnsi="Garamond" w:cs="Times New Roman"/>
          <w:color w:val="000000" w:themeColor="text1"/>
          <w:sz w:val="28"/>
          <w:szCs w:val="28"/>
        </w:rPr>
        <w:t xml:space="preserve"> n. 215 del 2018);</w:t>
      </w:r>
    </w:p>
    <w:p w:rsidR="002A7B02" w:rsidRPr="00BF2644" w:rsidRDefault="002A7B02"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e’ consentito ad una norma regionale prevedere la sospensione dei provvedimenti di rilascio di nuove autorizzazioni sul territorio regionale per la realizzazione di impianti privati di smaltimento e/o recupero di rifiuti nelle more dell'aggiornamento del piano regionale di gestion</w:t>
      </w:r>
      <w:r w:rsidR="00DB58D2">
        <w:rPr>
          <w:rFonts w:ascii="Garamond" w:hAnsi="Garamond" w:cs="Times New Roman"/>
          <w:color w:val="000000" w:themeColor="text1"/>
          <w:sz w:val="28"/>
          <w:szCs w:val="28"/>
        </w:rPr>
        <w:t>e di cui all'art. 199</w:t>
      </w:r>
      <w:r w:rsidR="007158DA">
        <w:rPr>
          <w:rFonts w:ascii="Garamond" w:hAnsi="Garamond" w:cs="Times New Roman"/>
          <w:color w:val="000000" w:themeColor="text1"/>
          <w:sz w:val="28"/>
          <w:szCs w:val="28"/>
        </w:rPr>
        <w:t xml:space="preserve"> del </w:t>
      </w:r>
      <w:r w:rsidR="00DB58D2">
        <w:rPr>
          <w:rFonts w:ascii="Garamond" w:hAnsi="Garamond" w:cs="Times New Roman"/>
          <w:color w:val="000000" w:themeColor="text1"/>
          <w:sz w:val="28"/>
          <w:szCs w:val="28"/>
        </w:rPr>
        <w:t xml:space="preserve"> </w:t>
      </w:r>
      <w:r w:rsidR="004F0CCD">
        <w:rPr>
          <w:rFonts w:ascii="Garamond" w:hAnsi="Garamond" w:cs="Times New Roman"/>
          <w:color w:val="000000" w:themeColor="text1"/>
          <w:sz w:val="28"/>
          <w:szCs w:val="28"/>
        </w:rPr>
        <w:t>d.lgs.</w:t>
      </w:r>
      <w:r w:rsidR="00DB58D2">
        <w:rPr>
          <w:rFonts w:ascii="Garamond" w:hAnsi="Garamond" w:cs="Times New Roman"/>
          <w:color w:val="000000" w:themeColor="text1"/>
          <w:sz w:val="28"/>
          <w:szCs w:val="28"/>
        </w:rPr>
        <w:t xml:space="preserve"> n. 152 del 2006 </w:t>
      </w:r>
      <w:r w:rsidRPr="00BF2644">
        <w:rPr>
          <w:rFonts w:ascii="Garamond" w:hAnsi="Garamond" w:cs="Times New Roman"/>
          <w:color w:val="000000" w:themeColor="text1"/>
          <w:sz w:val="28"/>
          <w:szCs w:val="28"/>
        </w:rPr>
        <w:t>e comunque per un tem</w:t>
      </w:r>
      <w:r w:rsidR="00D34EB4" w:rsidRPr="00BF2644">
        <w:rPr>
          <w:rFonts w:ascii="Garamond" w:hAnsi="Garamond" w:cs="Times New Roman"/>
          <w:color w:val="000000" w:themeColor="text1"/>
          <w:sz w:val="28"/>
          <w:szCs w:val="28"/>
        </w:rPr>
        <w:t xml:space="preserve">po delimitato,  non comportando, di per sé detta norma, </w:t>
      </w:r>
      <w:r w:rsidRPr="00BF2644">
        <w:rPr>
          <w:rFonts w:ascii="Garamond" w:hAnsi="Garamond" w:cs="Times New Roman"/>
          <w:color w:val="000000" w:themeColor="text1"/>
          <w:sz w:val="28"/>
          <w:szCs w:val="28"/>
        </w:rPr>
        <w:t xml:space="preserve"> alcun decremento del livello di protezione ambientale, essendo finalizzata unicamente a mantenere lo </w:t>
      </w:r>
      <w:r w:rsidRPr="00BF2644">
        <w:rPr>
          <w:rFonts w:ascii="Garamond" w:hAnsi="Garamond" w:cs="Times New Roman"/>
          <w:i/>
          <w:color w:val="000000" w:themeColor="text1"/>
          <w:sz w:val="28"/>
          <w:szCs w:val="28"/>
        </w:rPr>
        <w:t xml:space="preserve">status quo ante </w:t>
      </w:r>
      <w:r w:rsidRPr="00BF2644">
        <w:rPr>
          <w:rFonts w:ascii="Garamond" w:hAnsi="Garamond" w:cs="Times New Roman"/>
          <w:color w:val="000000" w:themeColor="text1"/>
          <w:sz w:val="28"/>
          <w:szCs w:val="28"/>
        </w:rPr>
        <w:t>nelle more dell'aggiornamento del piano di gestione dei rifiuti ed essendo anzi ispirata alla esigenza di impedire che</w:t>
      </w:r>
      <w:r w:rsidR="00FC2F6C">
        <w:rPr>
          <w:rFonts w:ascii="Garamond" w:hAnsi="Garamond" w:cs="Times New Roman"/>
          <w:color w:val="000000" w:themeColor="text1"/>
          <w:sz w:val="28"/>
          <w:szCs w:val="28"/>
        </w:rPr>
        <w:t>,</w:t>
      </w:r>
      <w:r w:rsidRPr="00BF2644">
        <w:rPr>
          <w:rFonts w:ascii="Garamond" w:hAnsi="Garamond" w:cs="Times New Roman"/>
          <w:color w:val="000000" w:themeColor="text1"/>
          <w:sz w:val="28"/>
          <w:szCs w:val="28"/>
        </w:rPr>
        <w:t xml:space="preserve"> durante l'adeguamento dello strumento regionale di pianificazione</w:t>
      </w:r>
      <w:r w:rsidR="00FC2F6C">
        <w:rPr>
          <w:rFonts w:ascii="Garamond" w:hAnsi="Garamond" w:cs="Times New Roman"/>
          <w:color w:val="000000" w:themeColor="text1"/>
          <w:sz w:val="28"/>
          <w:szCs w:val="28"/>
        </w:rPr>
        <w:t>,</w:t>
      </w:r>
      <w:r w:rsidRPr="00BF2644">
        <w:rPr>
          <w:rFonts w:ascii="Garamond" w:hAnsi="Garamond" w:cs="Times New Roman"/>
          <w:color w:val="000000" w:themeColor="text1"/>
          <w:sz w:val="28"/>
          <w:szCs w:val="28"/>
        </w:rPr>
        <w:t xml:space="preserve"> siano adottati provvedimenti che possano arrecare un pregiudizio all'integrità ambientale, rivista all'esito di tale adeguamento</w:t>
      </w:r>
      <w:r w:rsidR="003D0703" w:rsidRPr="00BF2644">
        <w:rPr>
          <w:rFonts w:ascii="Garamond" w:hAnsi="Garamond" w:cs="Times New Roman"/>
          <w:color w:val="000000" w:themeColor="text1"/>
          <w:sz w:val="28"/>
          <w:szCs w:val="28"/>
        </w:rPr>
        <w:t xml:space="preserve">; detta disposizione presenta il contenuto tipico di una «misura di salvaguardia»; essa, pertanto, non vìola la legislazione nazionale, ma introduce una misura di carattere eccezionale e temporaneo, coessenziale alla propria natura cautelare, da ritenersi legittima laddove l’effetto tipico sia contenuto in un termine ragionevole </w:t>
      </w:r>
      <w:r w:rsidR="00DB58D2">
        <w:rPr>
          <w:rFonts w:ascii="Garamond" w:hAnsi="Garamond" w:cs="Times New Roman"/>
          <w:color w:val="000000" w:themeColor="text1"/>
          <w:sz w:val="28"/>
          <w:szCs w:val="28"/>
        </w:rPr>
        <w:t>(Corte cost.</w:t>
      </w:r>
      <w:r w:rsidR="00A50270">
        <w:rPr>
          <w:rFonts w:ascii="Garamond" w:hAnsi="Garamond" w:cs="Times New Roman"/>
          <w:color w:val="000000" w:themeColor="text1"/>
          <w:sz w:val="28"/>
          <w:szCs w:val="28"/>
        </w:rPr>
        <w:t>,</w:t>
      </w:r>
      <w:r w:rsidRPr="00BF2644">
        <w:rPr>
          <w:rFonts w:ascii="Garamond" w:hAnsi="Garamond" w:cs="Times New Roman"/>
          <w:color w:val="000000" w:themeColor="text1"/>
          <w:sz w:val="28"/>
          <w:szCs w:val="28"/>
        </w:rPr>
        <w:t xml:space="preserve"> n. 150 e n.  151 del 2018, con le quali è stata rispettivamente ritenuta infondata la questione di legittimità costituzionale </w:t>
      </w:r>
      <w:r w:rsidRPr="00BF2644">
        <w:rPr>
          <w:rFonts w:ascii="Garamond" w:hAnsi="Garamond" w:cs="Times New Roman"/>
          <w:iCs/>
          <w:color w:val="000000" w:themeColor="text1"/>
          <w:sz w:val="28"/>
          <w:szCs w:val="28"/>
        </w:rPr>
        <w:t xml:space="preserve">dell'art. 1 </w:t>
      </w:r>
      <w:r w:rsidR="006C564E">
        <w:rPr>
          <w:rFonts w:ascii="Garamond" w:hAnsi="Garamond" w:cs="Times New Roman"/>
          <w:iCs/>
          <w:color w:val="000000" w:themeColor="text1"/>
          <w:sz w:val="28"/>
          <w:szCs w:val="28"/>
        </w:rPr>
        <w:t>l.</w:t>
      </w:r>
      <w:r w:rsidR="004A13DF">
        <w:rPr>
          <w:rFonts w:ascii="Garamond" w:hAnsi="Garamond" w:cs="Times New Roman"/>
          <w:iCs/>
          <w:color w:val="000000" w:themeColor="text1"/>
          <w:sz w:val="28"/>
          <w:szCs w:val="28"/>
        </w:rPr>
        <w:t>r</w:t>
      </w:r>
      <w:r w:rsidRPr="00BF2644">
        <w:rPr>
          <w:rFonts w:ascii="Garamond" w:hAnsi="Garamond" w:cs="Times New Roman"/>
          <w:iCs/>
          <w:color w:val="000000" w:themeColor="text1"/>
          <w:sz w:val="28"/>
          <w:szCs w:val="28"/>
        </w:rPr>
        <w:t>. Calabria</w:t>
      </w:r>
      <w:r w:rsidR="00765523">
        <w:rPr>
          <w:rFonts w:ascii="Garamond" w:hAnsi="Garamond" w:cs="Times New Roman"/>
          <w:iCs/>
          <w:color w:val="000000" w:themeColor="text1"/>
          <w:sz w:val="28"/>
          <w:szCs w:val="28"/>
        </w:rPr>
        <w:t xml:space="preserve"> </w:t>
      </w:r>
      <w:r w:rsidR="00765523" w:rsidRPr="00765523">
        <w:rPr>
          <w:rFonts w:ascii="Garamond" w:hAnsi="Garamond" w:cs="Times New Roman"/>
          <w:iCs/>
          <w:color w:val="000000" w:themeColor="text1"/>
          <w:sz w:val="28"/>
          <w:szCs w:val="28"/>
        </w:rPr>
        <w:t xml:space="preserve">19 febbraio 2016, n. 8 </w:t>
      </w:r>
      <w:r w:rsidRPr="00BF2644">
        <w:rPr>
          <w:rFonts w:ascii="Garamond" w:hAnsi="Garamond" w:cs="Times New Roman"/>
          <w:iCs/>
          <w:color w:val="000000" w:themeColor="text1"/>
          <w:sz w:val="28"/>
          <w:szCs w:val="28"/>
        </w:rPr>
        <w:t>e</w:t>
      </w:r>
      <w:r w:rsidRPr="00BF2644">
        <w:rPr>
          <w:rFonts w:ascii="Garamond" w:hAnsi="Garamond" w:cs="Times New Roman"/>
          <w:i/>
          <w:iCs/>
          <w:color w:val="000000" w:themeColor="text1"/>
          <w:sz w:val="28"/>
          <w:szCs w:val="28"/>
        </w:rPr>
        <w:t xml:space="preserve"> </w:t>
      </w:r>
      <w:r w:rsidR="00767B9F">
        <w:rPr>
          <w:rFonts w:ascii="Garamond" w:hAnsi="Garamond" w:cs="Times New Roman"/>
          <w:color w:val="000000" w:themeColor="text1"/>
          <w:sz w:val="28"/>
          <w:szCs w:val="28"/>
        </w:rPr>
        <w:t xml:space="preserve">dell'art.1, </w:t>
      </w:r>
      <w:r w:rsidR="00767B9F" w:rsidRPr="00BF2644">
        <w:rPr>
          <w:rFonts w:ascii="Garamond" w:hAnsi="Garamond" w:cs="Times New Roman"/>
          <w:color w:val="000000" w:themeColor="text1"/>
          <w:sz w:val="28"/>
          <w:szCs w:val="28"/>
        </w:rPr>
        <w:t>comma</w:t>
      </w:r>
      <w:r w:rsidR="00767B9F">
        <w:rPr>
          <w:rFonts w:ascii="Garamond" w:hAnsi="Garamond" w:cs="Times New Roman"/>
          <w:color w:val="000000" w:themeColor="text1"/>
          <w:sz w:val="28"/>
          <w:szCs w:val="28"/>
        </w:rPr>
        <w:t xml:space="preserve"> 1</w:t>
      </w:r>
      <w:r w:rsidRPr="00BF2644">
        <w:rPr>
          <w:rFonts w:ascii="Garamond" w:hAnsi="Garamond" w:cs="Times New Roman"/>
          <w:color w:val="000000" w:themeColor="text1"/>
          <w:sz w:val="28"/>
          <w:szCs w:val="28"/>
        </w:rPr>
        <w:t xml:space="preserve">, </w:t>
      </w:r>
      <w:r w:rsidR="006C564E">
        <w:rPr>
          <w:rFonts w:ascii="Garamond" w:hAnsi="Garamond" w:cs="Times New Roman"/>
          <w:color w:val="000000" w:themeColor="text1"/>
          <w:sz w:val="28"/>
          <w:szCs w:val="28"/>
        </w:rPr>
        <w:t>l.</w:t>
      </w:r>
      <w:r w:rsidR="004A13DF">
        <w:rPr>
          <w:rFonts w:ascii="Garamond" w:hAnsi="Garamond" w:cs="Times New Roman"/>
          <w:color w:val="000000" w:themeColor="text1"/>
          <w:sz w:val="28"/>
          <w:szCs w:val="28"/>
        </w:rPr>
        <w:t>r</w:t>
      </w:r>
      <w:r w:rsidRPr="00BF2644">
        <w:rPr>
          <w:rFonts w:ascii="Garamond" w:hAnsi="Garamond" w:cs="Times New Roman"/>
          <w:color w:val="000000" w:themeColor="text1"/>
          <w:sz w:val="28"/>
          <w:szCs w:val="28"/>
        </w:rPr>
        <w:t>. Basilicata 5 agosto 2016</w:t>
      </w:r>
      <w:r w:rsidR="00DB58D2">
        <w:rPr>
          <w:rFonts w:ascii="Garamond" w:hAnsi="Garamond" w:cs="Times New Roman"/>
          <w:color w:val="000000" w:themeColor="text1"/>
          <w:sz w:val="28"/>
          <w:szCs w:val="28"/>
        </w:rPr>
        <w:t xml:space="preserve"> n. 19</w:t>
      </w:r>
      <w:r w:rsidRPr="00BF2644">
        <w:rPr>
          <w:rFonts w:ascii="Garamond" w:hAnsi="Garamond" w:cs="Times New Roman"/>
          <w:color w:val="000000" w:themeColor="text1"/>
          <w:sz w:val="28"/>
          <w:szCs w:val="28"/>
        </w:rPr>
        <w:t>)</w:t>
      </w:r>
      <w:r w:rsidR="003D0703" w:rsidRPr="00BF2644">
        <w:rPr>
          <w:rFonts w:ascii="Garamond" w:hAnsi="Garamond" w:cs="Times New Roman"/>
          <w:color w:val="000000" w:themeColor="text1"/>
          <w:sz w:val="28"/>
          <w:szCs w:val="28"/>
        </w:rPr>
        <w:t>;</w:t>
      </w:r>
    </w:p>
    <w:p w:rsidR="00BC56B0" w:rsidRPr="00BF2644" w:rsidRDefault="00BC56B0"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w:t>
      </w:r>
      <w:r w:rsidR="00767B9F">
        <w:rPr>
          <w:rFonts w:ascii="Garamond" w:hAnsi="Garamond" w:cs="Times New Roman"/>
          <w:color w:val="000000" w:themeColor="text1"/>
          <w:sz w:val="28"/>
          <w:szCs w:val="28"/>
        </w:rPr>
        <w:t xml:space="preserve"> </w:t>
      </w:r>
      <w:r w:rsidR="00A50270" w:rsidRPr="00BF2644">
        <w:rPr>
          <w:rFonts w:ascii="Garamond" w:hAnsi="Garamond" w:cs="Times New Roman"/>
          <w:color w:val="000000" w:themeColor="text1"/>
          <w:sz w:val="28"/>
          <w:szCs w:val="28"/>
        </w:rPr>
        <w:t>è</w:t>
      </w:r>
      <w:r w:rsidRPr="00BF2644">
        <w:rPr>
          <w:rFonts w:ascii="Garamond" w:hAnsi="Garamond" w:cs="Times New Roman"/>
          <w:color w:val="000000" w:themeColor="text1"/>
          <w:sz w:val="28"/>
          <w:szCs w:val="28"/>
        </w:rPr>
        <w:t xml:space="preserve"> incostituzionale la  norma  regionale che consente di effettuare, negli impianti a servizio dell'attività di cava, il recupero e la lavorazione di materiali di provenienza esterna, sia estratti da altre cave, che derivanti da demolizioni, restauri o sbancamenti, previa la semplice presentazione allo Sportello unico per le attività produttive (SUAP) di una segnalazione certificata di inizio attività (SCIA), secondo le modalità stabilite all'uopo dalla Giunta regionale, trattandosi di disposizione  violativa dell'art. 117, comma 2, lett. s), Cost., in quanto la regola</w:t>
      </w:r>
      <w:r w:rsidR="00822CD6">
        <w:rPr>
          <w:rFonts w:ascii="Garamond" w:hAnsi="Garamond" w:cs="Times New Roman"/>
          <w:color w:val="000000" w:themeColor="text1"/>
          <w:sz w:val="28"/>
          <w:szCs w:val="28"/>
        </w:rPr>
        <w:t>mentazione della materia spetta</w:t>
      </w:r>
      <w:r w:rsidR="00DB58D2">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 xml:space="preserve"> in via</w:t>
      </w:r>
      <w:r w:rsidR="00DB58D2">
        <w:rPr>
          <w:rFonts w:ascii="Garamond" w:hAnsi="Garamond" w:cs="Times New Roman"/>
          <w:color w:val="000000" w:themeColor="text1"/>
          <w:sz w:val="28"/>
          <w:szCs w:val="28"/>
        </w:rPr>
        <w:t xml:space="preserve"> esclusiva, alla Stato e non è  consentito alle r</w:t>
      </w:r>
      <w:r w:rsidRPr="00BF2644">
        <w:rPr>
          <w:rFonts w:ascii="Garamond" w:hAnsi="Garamond" w:cs="Times New Roman"/>
          <w:color w:val="000000" w:themeColor="text1"/>
          <w:sz w:val="28"/>
          <w:szCs w:val="28"/>
        </w:rPr>
        <w:t>egioni di introdurre norme che deroghino la normativa statale in senso peggiorativo</w:t>
      </w:r>
      <w:r w:rsidR="00D34EB4" w:rsidRPr="00BF2644">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 xml:space="preserve"> permettendo di effettuare negli impianti a servizio dell'attività di cava il recupero e la lavorazione di materiali di provenienza esterna, senza richiamare, in modo analitico, le condizioni poste in materia da</w:t>
      </w:r>
      <w:r w:rsidR="00DB58D2">
        <w:rPr>
          <w:rFonts w:ascii="Garamond" w:hAnsi="Garamond" w:cs="Times New Roman"/>
          <w:color w:val="000000" w:themeColor="text1"/>
          <w:sz w:val="28"/>
          <w:szCs w:val="28"/>
        </w:rPr>
        <w:t>lla disciplina statale (Corte cost.</w:t>
      </w:r>
      <w:r w:rsidR="00A50270">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 xml:space="preserve"> n. 210 del 2016 che ha dichiarato l’illegittimità </w:t>
      </w:r>
      <w:r w:rsidR="00DB58D2" w:rsidRPr="00BF2644">
        <w:rPr>
          <w:rFonts w:ascii="Garamond" w:hAnsi="Garamond" w:cs="Times New Roman"/>
          <w:color w:val="000000" w:themeColor="text1"/>
          <w:sz w:val="28"/>
          <w:szCs w:val="28"/>
        </w:rPr>
        <w:t>costituzionale dell’art.</w:t>
      </w:r>
      <w:r w:rsidRPr="00BF2644">
        <w:rPr>
          <w:rFonts w:ascii="Garamond" w:hAnsi="Garamond" w:cs="Times New Roman"/>
          <w:color w:val="000000" w:themeColor="text1"/>
          <w:sz w:val="28"/>
          <w:szCs w:val="28"/>
        </w:rPr>
        <w:t xml:space="preserve"> 15, commi 1 e 2, </w:t>
      </w:r>
      <w:r w:rsidR="006C564E">
        <w:rPr>
          <w:rFonts w:ascii="Garamond" w:hAnsi="Garamond" w:cs="Times New Roman"/>
          <w:color w:val="000000" w:themeColor="text1"/>
          <w:sz w:val="28"/>
          <w:szCs w:val="28"/>
        </w:rPr>
        <w:t>l.</w:t>
      </w:r>
      <w:r w:rsidR="004A13DF">
        <w:rPr>
          <w:rFonts w:ascii="Garamond" w:hAnsi="Garamond" w:cs="Times New Roman"/>
          <w:color w:val="000000" w:themeColor="text1"/>
          <w:sz w:val="28"/>
          <w:szCs w:val="28"/>
        </w:rPr>
        <w:t>r</w:t>
      </w:r>
      <w:r w:rsidRPr="00BF2644">
        <w:rPr>
          <w:rFonts w:ascii="Garamond" w:hAnsi="Garamond" w:cs="Times New Roman"/>
          <w:color w:val="000000" w:themeColor="text1"/>
          <w:sz w:val="28"/>
          <w:szCs w:val="28"/>
        </w:rPr>
        <w:t>. Liguria 6 marzo 2015, n. 6);</w:t>
      </w:r>
    </w:p>
    <w:p w:rsidR="00BC56B0" w:rsidRPr="00A50270" w:rsidRDefault="00BC56B0" w:rsidP="00A50270">
      <w:pPr>
        <w:spacing w:line="240" w:lineRule="auto"/>
        <w:ind w:firstLine="709"/>
        <w:contextualSpacing/>
        <w:jc w:val="both"/>
        <w:rPr>
          <w:rFonts w:ascii="Garamond" w:hAnsi="Garamond" w:cs="Times New Roman"/>
          <w:iCs/>
          <w:color w:val="000000" w:themeColor="text1"/>
          <w:sz w:val="28"/>
          <w:szCs w:val="28"/>
        </w:rPr>
      </w:pPr>
      <w:r w:rsidRPr="00BF2644">
        <w:rPr>
          <w:rFonts w:ascii="Garamond" w:hAnsi="Garamond" w:cs="Times New Roman"/>
          <w:iCs/>
          <w:color w:val="000000" w:themeColor="text1"/>
          <w:sz w:val="28"/>
          <w:szCs w:val="28"/>
        </w:rPr>
        <w:t>-</w:t>
      </w:r>
      <w:r w:rsidR="00DB58D2">
        <w:rPr>
          <w:rFonts w:ascii="Garamond" w:hAnsi="Garamond" w:cs="Times New Roman"/>
          <w:iCs/>
          <w:color w:val="000000" w:themeColor="text1"/>
          <w:sz w:val="28"/>
          <w:szCs w:val="28"/>
        </w:rPr>
        <w:t xml:space="preserve"> </w:t>
      </w:r>
      <w:r w:rsidRPr="00BF2644">
        <w:rPr>
          <w:rFonts w:ascii="Garamond" w:hAnsi="Garamond" w:cs="Times New Roman"/>
          <w:iCs/>
          <w:color w:val="000000" w:themeColor="text1"/>
          <w:sz w:val="28"/>
          <w:szCs w:val="28"/>
        </w:rPr>
        <w:t>non è consentito ad una norma regionale</w:t>
      </w:r>
      <w:r w:rsidR="00002F29" w:rsidRPr="00BF2644">
        <w:rPr>
          <w:rFonts w:ascii="Garamond" w:hAnsi="Garamond" w:cs="Times New Roman"/>
          <w:iCs/>
          <w:color w:val="000000" w:themeColor="text1"/>
          <w:sz w:val="28"/>
          <w:szCs w:val="28"/>
        </w:rPr>
        <w:t xml:space="preserve">, pena la violazione del combinato disposto degli </w:t>
      </w:r>
      <w:r w:rsidR="00A50270" w:rsidRPr="00BF2644">
        <w:rPr>
          <w:rFonts w:ascii="Garamond" w:hAnsi="Garamond" w:cs="Times New Roman"/>
          <w:iCs/>
          <w:color w:val="000000" w:themeColor="text1"/>
          <w:sz w:val="28"/>
          <w:szCs w:val="28"/>
        </w:rPr>
        <w:t>artt.</w:t>
      </w:r>
      <w:r w:rsidR="00002F29" w:rsidRPr="00BF2644">
        <w:rPr>
          <w:rFonts w:ascii="Garamond" w:hAnsi="Garamond" w:cs="Times New Roman"/>
          <w:iCs/>
          <w:color w:val="000000" w:themeColor="text1"/>
          <w:sz w:val="28"/>
          <w:szCs w:val="28"/>
        </w:rPr>
        <w:t xml:space="preserve"> 1</w:t>
      </w:r>
      <w:r w:rsidR="00767B9F">
        <w:rPr>
          <w:rFonts w:ascii="Garamond" w:hAnsi="Garamond" w:cs="Times New Roman"/>
          <w:iCs/>
          <w:color w:val="000000" w:themeColor="text1"/>
          <w:sz w:val="28"/>
          <w:szCs w:val="28"/>
        </w:rPr>
        <w:t xml:space="preserve">17, </w:t>
      </w:r>
      <w:r w:rsidR="00DB58D2">
        <w:rPr>
          <w:rFonts w:ascii="Garamond" w:hAnsi="Garamond" w:cs="Times New Roman"/>
          <w:iCs/>
          <w:color w:val="000000" w:themeColor="text1"/>
          <w:sz w:val="28"/>
          <w:szCs w:val="28"/>
        </w:rPr>
        <w:t>comma</w:t>
      </w:r>
      <w:r w:rsidR="00767B9F">
        <w:rPr>
          <w:rFonts w:ascii="Garamond" w:hAnsi="Garamond" w:cs="Times New Roman"/>
          <w:iCs/>
          <w:color w:val="000000" w:themeColor="text1"/>
          <w:sz w:val="28"/>
          <w:szCs w:val="28"/>
        </w:rPr>
        <w:t xml:space="preserve"> 2</w:t>
      </w:r>
      <w:r w:rsidR="00DB58D2">
        <w:rPr>
          <w:rFonts w:ascii="Garamond" w:hAnsi="Garamond" w:cs="Times New Roman"/>
          <w:iCs/>
          <w:color w:val="000000" w:themeColor="text1"/>
          <w:sz w:val="28"/>
          <w:szCs w:val="28"/>
        </w:rPr>
        <w:t xml:space="preserve">, lett. s), Cost., </w:t>
      </w:r>
      <w:r w:rsidR="00767B9F">
        <w:rPr>
          <w:rFonts w:ascii="Garamond" w:hAnsi="Garamond" w:cs="Times New Roman"/>
          <w:iCs/>
          <w:color w:val="000000" w:themeColor="text1"/>
          <w:sz w:val="28"/>
          <w:szCs w:val="28"/>
        </w:rPr>
        <w:t xml:space="preserve"> 195, </w:t>
      </w:r>
      <w:r w:rsidR="00A50270">
        <w:rPr>
          <w:rFonts w:ascii="Garamond" w:hAnsi="Garamond" w:cs="Times New Roman"/>
          <w:iCs/>
          <w:color w:val="000000" w:themeColor="text1"/>
          <w:sz w:val="28"/>
          <w:szCs w:val="28"/>
        </w:rPr>
        <w:t>comma</w:t>
      </w:r>
      <w:r w:rsidR="00767B9F">
        <w:rPr>
          <w:rFonts w:ascii="Garamond" w:hAnsi="Garamond" w:cs="Times New Roman"/>
          <w:iCs/>
          <w:color w:val="000000" w:themeColor="text1"/>
          <w:sz w:val="28"/>
          <w:szCs w:val="28"/>
        </w:rPr>
        <w:t xml:space="preserve"> 1</w:t>
      </w:r>
      <w:r w:rsidR="00A50270">
        <w:rPr>
          <w:rFonts w:ascii="Garamond" w:hAnsi="Garamond" w:cs="Times New Roman"/>
          <w:iCs/>
          <w:color w:val="000000" w:themeColor="text1"/>
          <w:sz w:val="28"/>
          <w:szCs w:val="28"/>
        </w:rPr>
        <w:t>, lett. f)</w:t>
      </w:r>
      <w:r w:rsidR="00DB58D2">
        <w:rPr>
          <w:rFonts w:ascii="Garamond" w:hAnsi="Garamond" w:cs="Times New Roman"/>
          <w:iCs/>
          <w:color w:val="000000" w:themeColor="text1"/>
          <w:sz w:val="28"/>
          <w:szCs w:val="28"/>
        </w:rPr>
        <w:t xml:space="preserve"> </w:t>
      </w:r>
      <w:r w:rsidR="00765523">
        <w:rPr>
          <w:rFonts w:ascii="Garamond" w:hAnsi="Garamond" w:cs="Times New Roman"/>
          <w:iCs/>
          <w:color w:val="000000" w:themeColor="text1"/>
          <w:sz w:val="28"/>
          <w:szCs w:val="28"/>
        </w:rPr>
        <w:t>-</w:t>
      </w:r>
      <w:r w:rsidR="00002F29" w:rsidRPr="00BF2644">
        <w:rPr>
          <w:rFonts w:ascii="Garamond" w:hAnsi="Garamond" w:cs="Times New Roman"/>
          <w:iCs/>
          <w:color w:val="000000" w:themeColor="text1"/>
          <w:sz w:val="28"/>
          <w:szCs w:val="28"/>
        </w:rPr>
        <w:t xml:space="preserve"> che assegna allo Stato il potere di localizzare gli impianti di recupero e smaltimento dei rifiuti di pre</w:t>
      </w:r>
      <w:r w:rsidR="00765523">
        <w:rPr>
          <w:rFonts w:ascii="Garamond" w:hAnsi="Garamond" w:cs="Times New Roman"/>
          <w:iCs/>
          <w:color w:val="000000" w:themeColor="text1"/>
          <w:sz w:val="28"/>
          <w:szCs w:val="28"/>
        </w:rPr>
        <w:t xml:space="preserve">minente interesse nazionale </w:t>
      </w:r>
      <w:r w:rsidR="00A50270">
        <w:rPr>
          <w:rFonts w:ascii="Garamond" w:hAnsi="Garamond" w:cs="Times New Roman"/>
          <w:iCs/>
          <w:color w:val="000000" w:themeColor="text1"/>
          <w:sz w:val="28"/>
          <w:szCs w:val="28"/>
        </w:rPr>
        <w:t xml:space="preserve"> </w:t>
      </w:r>
      <w:r w:rsidR="00765523">
        <w:rPr>
          <w:rFonts w:ascii="Garamond" w:hAnsi="Garamond" w:cs="Times New Roman"/>
          <w:iCs/>
          <w:color w:val="000000" w:themeColor="text1"/>
          <w:sz w:val="28"/>
          <w:szCs w:val="28"/>
        </w:rPr>
        <w:t>-</w:t>
      </w:r>
      <w:r w:rsidR="00A50270">
        <w:rPr>
          <w:rFonts w:ascii="Garamond" w:hAnsi="Garamond" w:cs="Times New Roman"/>
          <w:iCs/>
          <w:color w:val="000000" w:themeColor="text1"/>
          <w:sz w:val="28"/>
          <w:szCs w:val="28"/>
        </w:rPr>
        <w:t xml:space="preserve"> </w:t>
      </w:r>
      <w:r w:rsidR="00002F29" w:rsidRPr="00BF2644">
        <w:rPr>
          <w:rFonts w:ascii="Garamond" w:hAnsi="Garamond" w:cs="Times New Roman"/>
          <w:iCs/>
          <w:color w:val="000000" w:themeColor="text1"/>
          <w:sz w:val="28"/>
          <w:szCs w:val="28"/>
        </w:rPr>
        <w:t>195</w:t>
      </w:r>
      <w:r w:rsidR="00767B9F">
        <w:rPr>
          <w:rFonts w:ascii="Garamond" w:hAnsi="Garamond" w:cs="Times New Roman"/>
          <w:iCs/>
          <w:color w:val="000000" w:themeColor="text1"/>
          <w:sz w:val="28"/>
          <w:szCs w:val="28"/>
        </w:rPr>
        <w:t>,</w:t>
      </w:r>
      <w:r w:rsidR="00DB58D2" w:rsidRPr="00DB58D2">
        <w:rPr>
          <w:rFonts w:ascii="Garamond" w:hAnsi="Garamond" w:cs="Times New Roman"/>
          <w:iCs/>
          <w:color w:val="000000" w:themeColor="text1"/>
          <w:sz w:val="28"/>
          <w:szCs w:val="28"/>
        </w:rPr>
        <w:t xml:space="preserve"> comma</w:t>
      </w:r>
      <w:r w:rsidR="00767B9F">
        <w:rPr>
          <w:rFonts w:ascii="Garamond" w:hAnsi="Garamond" w:cs="Times New Roman"/>
          <w:iCs/>
          <w:color w:val="000000" w:themeColor="text1"/>
          <w:sz w:val="28"/>
          <w:szCs w:val="28"/>
        </w:rPr>
        <w:t xml:space="preserve"> 1, </w:t>
      </w:r>
      <w:r w:rsidR="00002F29" w:rsidRPr="00BF2644">
        <w:rPr>
          <w:rFonts w:ascii="Garamond" w:hAnsi="Garamond" w:cs="Times New Roman"/>
          <w:iCs/>
          <w:color w:val="000000" w:themeColor="text1"/>
          <w:sz w:val="28"/>
          <w:szCs w:val="28"/>
        </w:rPr>
        <w:t xml:space="preserve"> </w:t>
      </w:r>
      <w:r w:rsidR="00DB58D2">
        <w:rPr>
          <w:rFonts w:ascii="Garamond" w:hAnsi="Garamond" w:cs="Times New Roman"/>
          <w:iCs/>
          <w:color w:val="000000" w:themeColor="text1"/>
          <w:sz w:val="28"/>
          <w:szCs w:val="28"/>
        </w:rPr>
        <w:t>lett. p), 196</w:t>
      </w:r>
      <w:r w:rsidR="00767B9F">
        <w:rPr>
          <w:rFonts w:ascii="Garamond" w:hAnsi="Garamond" w:cs="Times New Roman"/>
          <w:iCs/>
          <w:color w:val="000000" w:themeColor="text1"/>
          <w:sz w:val="28"/>
          <w:szCs w:val="28"/>
        </w:rPr>
        <w:t>,</w:t>
      </w:r>
      <w:r w:rsidR="00DB58D2" w:rsidRPr="00DB58D2">
        <w:rPr>
          <w:rFonts w:ascii="Garamond" w:hAnsi="Garamond" w:cs="Times New Roman"/>
          <w:iCs/>
          <w:color w:val="000000" w:themeColor="text1"/>
          <w:sz w:val="28"/>
          <w:szCs w:val="28"/>
        </w:rPr>
        <w:t xml:space="preserve"> comma</w:t>
      </w:r>
      <w:r w:rsidR="00767B9F">
        <w:rPr>
          <w:rFonts w:ascii="Garamond" w:hAnsi="Garamond" w:cs="Times New Roman"/>
          <w:iCs/>
          <w:color w:val="000000" w:themeColor="text1"/>
          <w:sz w:val="28"/>
          <w:szCs w:val="28"/>
        </w:rPr>
        <w:t xml:space="preserve"> 1</w:t>
      </w:r>
      <w:r w:rsidR="00DB58D2">
        <w:rPr>
          <w:rFonts w:ascii="Garamond" w:hAnsi="Garamond" w:cs="Times New Roman"/>
          <w:iCs/>
          <w:color w:val="000000" w:themeColor="text1"/>
          <w:sz w:val="28"/>
          <w:szCs w:val="28"/>
        </w:rPr>
        <w:t>, lett</w:t>
      </w:r>
      <w:r w:rsidR="00002F29" w:rsidRPr="00BF2644">
        <w:rPr>
          <w:rFonts w:ascii="Garamond" w:hAnsi="Garamond" w:cs="Times New Roman"/>
          <w:iCs/>
          <w:color w:val="000000" w:themeColor="text1"/>
          <w:sz w:val="28"/>
          <w:szCs w:val="28"/>
        </w:rPr>
        <w:t xml:space="preserve"> n) e o) </w:t>
      </w:r>
      <w:r w:rsidR="00DB58D2">
        <w:rPr>
          <w:rFonts w:ascii="Garamond" w:hAnsi="Garamond" w:cs="Times New Roman"/>
          <w:iCs/>
          <w:color w:val="000000" w:themeColor="text1"/>
          <w:sz w:val="28"/>
          <w:szCs w:val="28"/>
        </w:rPr>
        <w:t xml:space="preserve">del </w:t>
      </w:r>
      <w:r w:rsidR="004F0CCD">
        <w:rPr>
          <w:rFonts w:ascii="Garamond" w:hAnsi="Garamond" w:cs="Times New Roman"/>
          <w:iCs/>
          <w:color w:val="000000" w:themeColor="text1"/>
          <w:sz w:val="28"/>
          <w:szCs w:val="28"/>
        </w:rPr>
        <w:t>d.lgs.</w:t>
      </w:r>
      <w:r w:rsidR="00002F29" w:rsidRPr="00BF2644">
        <w:rPr>
          <w:rFonts w:ascii="Garamond" w:hAnsi="Garamond" w:cs="Times New Roman"/>
          <w:iCs/>
          <w:color w:val="000000" w:themeColor="text1"/>
          <w:sz w:val="28"/>
          <w:szCs w:val="28"/>
        </w:rPr>
        <w:t xml:space="preserve"> n. 152 del 2006, secondo cui spetta allo Stato «</w:t>
      </w:r>
      <w:r w:rsidR="00002F29" w:rsidRPr="009C79CB">
        <w:rPr>
          <w:rFonts w:ascii="Garamond" w:hAnsi="Garamond" w:cs="Times New Roman"/>
          <w:i/>
          <w:iCs/>
          <w:color w:val="000000" w:themeColor="text1"/>
          <w:sz w:val="28"/>
          <w:szCs w:val="28"/>
        </w:rPr>
        <w:t>l’indicazione dei criteri generali relativi alle caratteristiche delle aree non idonee alla localizzazione degli impianti di smaltimento dei rifiuti</w:t>
      </w:r>
      <w:r w:rsidR="00002F29" w:rsidRPr="00BF2644">
        <w:rPr>
          <w:rFonts w:ascii="Garamond" w:hAnsi="Garamond" w:cs="Times New Roman"/>
          <w:iCs/>
          <w:color w:val="000000" w:themeColor="text1"/>
          <w:sz w:val="28"/>
          <w:szCs w:val="28"/>
        </w:rPr>
        <w:t>»,</w:t>
      </w:r>
      <w:r w:rsidRPr="00BF2644">
        <w:rPr>
          <w:rFonts w:ascii="Garamond" w:hAnsi="Garamond" w:cs="Times New Roman"/>
          <w:iCs/>
          <w:color w:val="000000" w:themeColor="text1"/>
          <w:sz w:val="28"/>
          <w:szCs w:val="28"/>
        </w:rPr>
        <w:t xml:space="preserve"> precludere allo Stato, con procedure difformi da quelle disposte dalla norma statale, di individuare impianti di preminente interesse nazionale</w:t>
      </w:r>
      <w:r w:rsidR="00A50270">
        <w:rPr>
          <w:rFonts w:ascii="Garamond" w:hAnsi="Garamond" w:cs="Times New Roman"/>
          <w:iCs/>
          <w:color w:val="000000" w:themeColor="text1"/>
          <w:sz w:val="28"/>
          <w:szCs w:val="28"/>
        </w:rPr>
        <w:t>,</w:t>
      </w:r>
      <w:r w:rsidRPr="00BF2644">
        <w:rPr>
          <w:rFonts w:ascii="Garamond" w:hAnsi="Garamond" w:cs="Times New Roman"/>
          <w:iCs/>
          <w:color w:val="000000" w:themeColor="text1"/>
          <w:sz w:val="28"/>
          <w:szCs w:val="28"/>
        </w:rPr>
        <w:t xml:space="preserve"> con la tecnica del trattamento a</w:t>
      </w:r>
      <w:r w:rsidR="00A50270">
        <w:rPr>
          <w:rFonts w:ascii="Garamond" w:hAnsi="Garamond" w:cs="Times New Roman"/>
          <w:iCs/>
          <w:color w:val="000000" w:themeColor="text1"/>
          <w:sz w:val="28"/>
          <w:szCs w:val="28"/>
        </w:rPr>
        <w:t xml:space="preserve"> caldo dei rifiuti, nell’intera </w:t>
      </w:r>
      <w:r w:rsidR="002D4208">
        <w:rPr>
          <w:rFonts w:ascii="Garamond" w:hAnsi="Garamond" w:cs="Times New Roman"/>
          <w:iCs/>
          <w:color w:val="000000" w:themeColor="text1"/>
          <w:sz w:val="28"/>
          <w:szCs w:val="28"/>
        </w:rPr>
        <w:t xml:space="preserve">Regione </w:t>
      </w:r>
      <w:r w:rsidR="00A50270">
        <w:rPr>
          <w:rFonts w:ascii="Garamond" w:hAnsi="Garamond" w:cs="Times New Roman"/>
          <w:iCs/>
          <w:color w:val="000000" w:themeColor="text1"/>
          <w:sz w:val="28"/>
          <w:szCs w:val="28"/>
        </w:rPr>
        <w:t xml:space="preserve">(Corte cost., </w:t>
      </w:r>
      <w:r w:rsidRPr="00BF2644">
        <w:rPr>
          <w:rFonts w:ascii="Garamond" w:hAnsi="Garamond" w:cs="Times New Roman"/>
          <w:iCs/>
          <w:color w:val="000000" w:themeColor="text1"/>
          <w:sz w:val="28"/>
          <w:szCs w:val="28"/>
        </w:rPr>
        <w:t>n. 285 del 2013 che ha dichiarato costituzionalmente illegittimo l’articolo unico</w:t>
      </w:r>
      <w:r w:rsidR="00765523">
        <w:rPr>
          <w:rFonts w:ascii="Garamond" w:hAnsi="Garamond" w:cs="Times New Roman"/>
          <w:iCs/>
          <w:color w:val="000000" w:themeColor="text1"/>
          <w:sz w:val="28"/>
          <w:szCs w:val="28"/>
        </w:rPr>
        <w:t>,</w:t>
      </w:r>
      <w:r w:rsidRPr="00BF2644">
        <w:rPr>
          <w:rFonts w:ascii="Garamond" w:hAnsi="Garamond" w:cs="Times New Roman"/>
          <w:iCs/>
          <w:color w:val="000000" w:themeColor="text1"/>
          <w:sz w:val="28"/>
          <w:szCs w:val="28"/>
        </w:rPr>
        <w:t xml:space="preserve"> </w:t>
      </w:r>
      <w:r w:rsidR="006C564E">
        <w:rPr>
          <w:rFonts w:ascii="Garamond" w:hAnsi="Garamond" w:cs="Times New Roman"/>
          <w:iCs/>
          <w:color w:val="000000" w:themeColor="text1"/>
          <w:sz w:val="28"/>
          <w:szCs w:val="28"/>
        </w:rPr>
        <w:t>l.</w:t>
      </w:r>
      <w:r w:rsidR="004A13DF">
        <w:rPr>
          <w:rFonts w:ascii="Garamond" w:hAnsi="Garamond" w:cs="Times New Roman"/>
          <w:iCs/>
          <w:color w:val="000000" w:themeColor="text1"/>
          <w:sz w:val="28"/>
          <w:szCs w:val="28"/>
        </w:rPr>
        <w:t>r</w:t>
      </w:r>
      <w:r w:rsidRPr="00BF2644">
        <w:rPr>
          <w:rFonts w:ascii="Garamond" w:hAnsi="Garamond" w:cs="Times New Roman"/>
          <w:iCs/>
          <w:color w:val="000000" w:themeColor="text1"/>
          <w:sz w:val="28"/>
          <w:szCs w:val="28"/>
        </w:rPr>
        <w:t xml:space="preserve">. Valle d’Aosta n. 33 del 2012); </w:t>
      </w:r>
      <w:r w:rsidR="00A50270">
        <w:rPr>
          <w:rFonts w:ascii="Garamond" w:hAnsi="Garamond" w:cs="Times New Roman"/>
          <w:iCs/>
          <w:color w:val="000000" w:themeColor="text1"/>
          <w:sz w:val="28"/>
          <w:szCs w:val="28"/>
        </w:rPr>
        <w:t xml:space="preserve">ciò in quanto </w:t>
      </w:r>
      <w:r w:rsidR="002A7B02" w:rsidRPr="00BF2644">
        <w:rPr>
          <w:rFonts w:ascii="Garamond" w:hAnsi="Garamond" w:cs="Times New Roman"/>
          <w:color w:val="000000" w:themeColor="text1"/>
          <w:sz w:val="28"/>
          <w:szCs w:val="28"/>
        </w:rPr>
        <w:t xml:space="preserve"> il legislatore regionale non può prevedere, «</w:t>
      </w:r>
      <w:r w:rsidR="002A7B02" w:rsidRPr="00A50270">
        <w:rPr>
          <w:rFonts w:ascii="Garamond" w:hAnsi="Garamond" w:cs="Times New Roman"/>
          <w:i/>
          <w:color w:val="000000" w:themeColor="text1"/>
          <w:sz w:val="28"/>
          <w:szCs w:val="28"/>
        </w:rPr>
        <w:t xml:space="preserve">sia pure in nome di una protezione più rigorosa della salute degli abitanti della regione medesima, interventi preclusivi suscettibili [...] di pregiudicare, insieme ad altri interessi di rilievo </w:t>
      </w:r>
      <w:r w:rsidR="002A7B02" w:rsidRPr="00A50270">
        <w:rPr>
          <w:rFonts w:ascii="Garamond" w:hAnsi="Garamond" w:cs="Times New Roman"/>
          <w:i/>
          <w:color w:val="000000" w:themeColor="text1"/>
          <w:sz w:val="28"/>
          <w:szCs w:val="28"/>
        </w:rPr>
        <w:lastRenderedPageBreak/>
        <w:t>nazionale, il medesimo interesse della salute in un ambito territoriale più ampio</w:t>
      </w:r>
      <w:r w:rsidR="00A50270">
        <w:rPr>
          <w:rFonts w:ascii="Garamond" w:hAnsi="Garamond" w:cs="Times New Roman"/>
          <w:color w:val="000000" w:themeColor="text1"/>
          <w:sz w:val="28"/>
          <w:szCs w:val="28"/>
        </w:rPr>
        <w:t xml:space="preserve">» (Corte cost., </w:t>
      </w:r>
      <w:r w:rsidR="002A7B02" w:rsidRPr="00BF2644">
        <w:rPr>
          <w:rFonts w:ascii="Garamond" w:hAnsi="Garamond" w:cs="Times New Roman"/>
          <w:color w:val="000000" w:themeColor="text1"/>
          <w:sz w:val="28"/>
          <w:szCs w:val="28"/>
        </w:rPr>
        <w:t xml:space="preserve"> n. 54 del 2012)</w:t>
      </w:r>
      <w:r w:rsidRPr="00BF2644">
        <w:rPr>
          <w:rFonts w:ascii="Garamond" w:hAnsi="Garamond" w:cs="Times New Roman"/>
          <w:color w:val="000000" w:themeColor="text1"/>
          <w:sz w:val="28"/>
          <w:szCs w:val="28"/>
        </w:rPr>
        <w:t>;</w:t>
      </w:r>
    </w:p>
    <w:p w:rsidR="00BC56B0" w:rsidRPr="00BF2644" w:rsidRDefault="00BC56B0"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w:t>
      </w:r>
      <w:r w:rsidR="00767B9F">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 xml:space="preserve">rientrano nel novero delle funzioni di competenza regionale, fra le altre, l’individuazione dei luoghi o degli impianti idonei allo smaltimento dei rifiuti, l’indicazione dei criteri per la determinazione delle aree non idonee a tale localizzazione e, soprattutto, l’adozione del piano regionale di gestione dei rifiuti di cui agli artt. 199 e 200 del </w:t>
      </w:r>
      <w:r w:rsidR="004F0CCD">
        <w:rPr>
          <w:rFonts w:ascii="Garamond" w:hAnsi="Garamond" w:cs="Times New Roman"/>
          <w:color w:val="000000" w:themeColor="text1"/>
          <w:sz w:val="28"/>
          <w:szCs w:val="28"/>
        </w:rPr>
        <w:t>d.lgs.</w:t>
      </w:r>
      <w:r w:rsidRPr="00BF2644">
        <w:rPr>
          <w:rFonts w:ascii="Garamond" w:hAnsi="Garamond" w:cs="Times New Roman"/>
          <w:color w:val="000000" w:themeColor="text1"/>
          <w:sz w:val="28"/>
          <w:szCs w:val="28"/>
        </w:rPr>
        <w:t xml:space="preserve"> n. 152 del 2006, nel quale è ricompresa la delimitazione nel territor</w:t>
      </w:r>
      <w:r w:rsidR="00765523">
        <w:rPr>
          <w:rFonts w:ascii="Garamond" w:hAnsi="Garamond" w:cs="Times New Roman"/>
          <w:color w:val="000000" w:themeColor="text1"/>
          <w:sz w:val="28"/>
          <w:szCs w:val="28"/>
        </w:rPr>
        <w:t>io regionale, su richiesta dei C</w:t>
      </w:r>
      <w:r w:rsidRPr="00BF2644">
        <w:rPr>
          <w:rFonts w:ascii="Garamond" w:hAnsi="Garamond" w:cs="Times New Roman"/>
          <w:color w:val="000000" w:themeColor="text1"/>
          <w:sz w:val="28"/>
          <w:szCs w:val="28"/>
        </w:rPr>
        <w:t>omuni, di “</w:t>
      </w:r>
      <w:r w:rsidRPr="00767B9F">
        <w:rPr>
          <w:rFonts w:ascii="Garamond" w:hAnsi="Garamond" w:cs="Times New Roman"/>
          <w:i/>
          <w:color w:val="000000" w:themeColor="text1"/>
          <w:sz w:val="28"/>
          <w:szCs w:val="28"/>
        </w:rPr>
        <w:t>ambiti ottimali</w:t>
      </w:r>
      <w:r w:rsidRPr="00BF2644">
        <w:rPr>
          <w:rFonts w:ascii="Garamond" w:hAnsi="Garamond" w:cs="Times New Roman"/>
          <w:color w:val="000000" w:themeColor="text1"/>
          <w:sz w:val="28"/>
          <w:szCs w:val="28"/>
        </w:rPr>
        <w:t>” per la gestione integrata dei rifiuti; attribuzione, quest’ultima, che si collega strettamente alle competenze regionali in materia di «</w:t>
      </w:r>
      <w:r w:rsidRPr="00767B9F">
        <w:rPr>
          <w:rFonts w:ascii="Garamond" w:hAnsi="Garamond" w:cs="Times New Roman"/>
          <w:i/>
          <w:color w:val="000000" w:themeColor="text1"/>
          <w:sz w:val="28"/>
          <w:szCs w:val="28"/>
        </w:rPr>
        <w:t>governo del territorio</w:t>
      </w:r>
      <w:r w:rsidR="00767B9F">
        <w:rPr>
          <w:rFonts w:ascii="Garamond" w:hAnsi="Garamond" w:cs="Times New Roman"/>
          <w:color w:val="000000" w:themeColor="text1"/>
          <w:sz w:val="28"/>
          <w:szCs w:val="28"/>
        </w:rPr>
        <w:t xml:space="preserve">» (Corte cost. </w:t>
      </w:r>
      <w:r w:rsidRPr="00BF2644">
        <w:rPr>
          <w:rFonts w:ascii="Garamond" w:hAnsi="Garamond" w:cs="Times New Roman"/>
          <w:color w:val="000000" w:themeColor="text1"/>
          <w:sz w:val="28"/>
          <w:szCs w:val="28"/>
        </w:rPr>
        <w:t>n. 314 del 2009); a conferma del fatto che si tratta di aree di intervento necessariame</w:t>
      </w:r>
      <w:r w:rsidR="00BB704A">
        <w:rPr>
          <w:rFonts w:ascii="Garamond" w:hAnsi="Garamond" w:cs="Times New Roman"/>
          <w:color w:val="000000" w:themeColor="text1"/>
          <w:sz w:val="28"/>
          <w:szCs w:val="28"/>
        </w:rPr>
        <w:t xml:space="preserve">nte destinate ad intersecarsi, </w:t>
      </w:r>
      <w:r w:rsidRPr="00BF2644">
        <w:rPr>
          <w:rFonts w:ascii="Garamond" w:hAnsi="Garamond" w:cs="Times New Roman"/>
          <w:color w:val="000000" w:themeColor="text1"/>
          <w:sz w:val="28"/>
          <w:szCs w:val="28"/>
        </w:rPr>
        <w:t xml:space="preserve">la stessa normativa statale riconosce che </w:t>
      </w:r>
      <w:r w:rsidRPr="00BB704A">
        <w:rPr>
          <w:rFonts w:ascii="Garamond" w:hAnsi="Garamond" w:cs="Times New Roman"/>
          <w:i/>
          <w:color w:val="000000" w:themeColor="text1"/>
          <w:sz w:val="28"/>
          <w:szCs w:val="28"/>
        </w:rPr>
        <w:t>«Il</w:t>
      </w:r>
      <w:r w:rsidRPr="00767B9F">
        <w:rPr>
          <w:rFonts w:ascii="Garamond" w:hAnsi="Garamond" w:cs="Times New Roman"/>
          <w:i/>
          <w:color w:val="000000" w:themeColor="text1"/>
          <w:sz w:val="28"/>
          <w:szCs w:val="28"/>
        </w:rPr>
        <w:t xml:space="preserve"> piano regionale di gestione dei rifiuti è coordinato con gli altri strumenti di pianificazione di competenza regionale previsti dalla normativa vigente, ove adottati</w:t>
      </w:r>
      <w:r w:rsidR="00767B9F">
        <w:rPr>
          <w:rFonts w:ascii="Garamond" w:hAnsi="Garamond" w:cs="Times New Roman"/>
          <w:color w:val="000000" w:themeColor="text1"/>
          <w:sz w:val="28"/>
          <w:szCs w:val="28"/>
        </w:rPr>
        <w:t xml:space="preserve">» (art. 199, </w:t>
      </w:r>
      <w:r w:rsidR="00002F29" w:rsidRPr="00BF2644">
        <w:rPr>
          <w:rFonts w:ascii="Garamond" w:hAnsi="Garamond" w:cs="Times New Roman"/>
          <w:color w:val="000000" w:themeColor="text1"/>
          <w:sz w:val="28"/>
          <w:szCs w:val="28"/>
        </w:rPr>
        <w:t>comma</w:t>
      </w:r>
      <w:r w:rsidR="00767B9F">
        <w:rPr>
          <w:rFonts w:ascii="Garamond" w:hAnsi="Garamond" w:cs="Times New Roman"/>
          <w:color w:val="000000" w:themeColor="text1"/>
          <w:sz w:val="28"/>
          <w:szCs w:val="28"/>
        </w:rPr>
        <w:t xml:space="preserve"> 5, </w:t>
      </w:r>
      <w:r w:rsidR="004F0CCD">
        <w:rPr>
          <w:rFonts w:ascii="Garamond" w:hAnsi="Garamond" w:cs="Times New Roman"/>
          <w:color w:val="000000" w:themeColor="text1"/>
          <w:sz w:val="28"/>
          <w:szCs w:val="28"/>
        </w:rPr>
        <w:t>d.lgs.</w:t>
      </w:r>
      <w:r w:rsidR="00002F29" w:rsidRPr="00BF2644">
        <w:rPr>
          <w:rFonts w:ascii="Garamond" w:hAnsi="Garamond" w:cs="Times New Roman"/>
          <w:color w:val="000000" w:themeColor="text1"/>
          <w:sz w:val="28"/>
          <w:szCs w:val="28"/>
        </w:rPr>
        <w:t xml:space="preserve"> n. 152 del 2006) (</w:t>
      </w:r>
      <w:r w:rsidR="00A50270">
        <w:rPr>
          <w:rFonts w:ascii="Garamond" w:hAnsi="Garamond" w:cs="Times New Roman"/>
          <w:color w:val="000000" w:themeColor="text1"/>
          <w:sz w:val="28"/>
          <w:szCs w:val="28"/>
        </w:rPr>
        <w:t xml:space="preserve">Corte cost., </w:t>
      </w:r>
      <w:r w:rsidR="00002F29" w:rsidRPr="00BF2644">
        <w:rPr>
          <w:rFonts w:ascii="Garamond" w:hAnsi="Garamond" w:cs="Times New Roman"/>
          <w:color w:val="000000" w:themeColor="text1"/>
          <w:sz w:val="28"/>
          <w:szCs w:val="28"/>
        </w:rPr>
        <w:t>n. 285 del 2013).</w:t>
      </w:r>
    </w:p>
    <w:p w:rsidR="001D624D" w:rsidRDefault="001D624D" w:rsidP="00BF2644">
      <w:pPr>
        <w:spacing w:line="240" w:lineRule="auto"/>
        <w:ind w:firstLine="709"/>
        <w:contextualSpacing/>
        <w:jc w:val="both"/>
        <w:rPr>
          <w:rFonts w:ascii="Garamond" w:hAnsi="Garamond" w:cs="Times New Roman"/>
          <w:b/>
          <w:color w:val="000000" w:themeColor="text1"/>
          <w:sz w:val="28"/>
          <w:szCs w:val="28"/>
        </w:rPr>
      </w:pPr>
    </w:p>
    <w:p w:rsidR="0059478A" w:rsidRPr="00BF2644" w:rsidRDefault="0059478A"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b/>
          <w:color w:val="000000" w:themeColor="text1"/>
          <w:sz w:val="28"/>
          <w:szCs w:val="28"/>
        </w:rPr>
        <w:t>1.</w:t>
      </w:r>
      <w:r w:rsidR="00002F29" w:rsidRPr="00BF2644">
        <w:rPr>
          <w:rFonts w:ascii="Garamond" w:hAnsi="Garamond" w:cs="Times New Roman"/>
          <w:b/>
          <w:color w:val="000000" w:themeColor="text1"/>
          <w:sz w:val="28"/>
          <w:szCs w:val="28"/>
        </w:rPr>
        <w:t>2</w:t>
      </w:r>
      <w:r w:rsidRPr="00BF2644">
        <w:rPr>
          <w:rFonts w:ascii="Garamond" w:hAnsi="Garamond" w:cs="Times New Roman"/>
          <w:b/>
          <w:color w:val="000000" w:themeColor="text1"/>
          <w:sz w:val="28"/>
          <w:szCs w:val="28"/>
        </w:rPr>
        <w:t>.</w:t>
      </w:r>
      <w:r w:rsidR="00D43641" w:rsidRPr="00BF2644">
        <w:rPr>
          <w:rFonts w:ascii="Garamond" w:hAnsi="Garamond" w:cs="Times New Roman"/>
          <w:b/>
          <w:color w:val="000000" w:themeColor="text1"/>
          <w:sz w:val="28"/>
          <w:szCs w:val="28"/>
        </w:rPr>
        <w:t>1</w:t>
      </w:r>
      <w:r w:rsidR="00002F29" w:rsidRPr="00BF2644">
        <w:rPr>
          <w:rFonts w:ascii="Garamond" w:hAnsi="Garamond" w:cs="Times New Roman"/>
          <w:b/>
          <w:color w:val="000000" w:themeColor="text1"/>
          <w:sz w:val="28"/>
          <w:szCs w:val="28"/>
        </w:rPr>
        <w:t>.</w:t>
      </w:r>
      <w:r w:rsidRPr="00BF2644">
        <w:rPr>
          <w:rFonts w:ascii="Garamond" w:hAnsi="Garamond" w:cs="Times New Roman"/>
          <w:b/>
          <w:color w:val="000000" w:themeColor="text1"/>
          <w:sz w:val="28"/>
          <w:szCs w:val="28"/>
        </w:rPr>
        <w:t xml:space="preserve"> La tariffa regionale </w:t>
      </w:r>
    </w:p>
    <w:p w:rsidR="0059478A" w:rsidRPr="00BF2644" w:rsidRDefault="0059478A"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La base normativa della tariffa da versarsi a   titolo di corrispettivo ai proprietari degli impianti di smaltimento dai soggetti che vi conferiscono i rifiuti urbani (cd. tariffa cancello) si rinviene, innanzitutto, nei commi da 2 a 5 dell’art. 49 del </w:t>
      </w:r>
      <w:r w:rsidR="006C564E">
        <w:rPr>
          <w:rFonts w:ascii="Garamond" w:hAnsi="Garamond" w:cs="Times New Roman"/>
          <w:color w:val="000000" w:themeColor="text1"/>
          <w:sz w:val="28"/>
          <w:szCs w:val="28"/>
        </w:rPr>
        <w:t>decreto</w:t>
      </w:r>
      <w:r w:rsidRPr="00BF2644">
        <w:rPr>
          <w:rFonts w:ascii="Garamond" w:hAnsi="Garamond" w:cs="Times New Roman"/>
          <w:color w:val="000000" w:themeColor="text1"/>
          <w:sz w:val="28"/>
          <w:szCs w:val="28"/>
        </w:rPr>
        <w:t xml:space="preserve"> legislativo 5 febbraio 1997, n. 22 (Attuazione delle direttive 91/156/CEE sui rifiuti, 91/689/CEE sui rifiuti pericolosi e 94/62/CE sugli imballaggi e sui rifiuti di imballaggio), cosiddetto “</w:t>
      </w:r>
      <w:r w:rsidR="006C564E">
        <w:rPr>
          <w:rFonts w:ascii="Garamond" w:hAnsi="Garamond" w:cs="Times New Roman"/>
          <w:i/>
          <w:color w:val="000000" w:themeColor="text1"/>
          <w:sz w:val="28"/>
          <w:szCs w:val="28"/>
        </w:rPr>
        <w:t>decreto</w:t>
      </w:r>
      <w:r w:rsidRPr="00A50270">
        <w:rPr>
          <w:rFonts w:ascii="Garamond" w:hAnsi="Garamond" w:cs="Times New Roman"/>
          <w:i/>
          <w:color w:val="000000" w:themeColor="text1"/>
          <w:sz w:val="28"/>
          <w:szCs w:val="28"/>
        </w:rPr>
        <w:t xml:space="preserve"> Ronchi</w:t>
      </w:r>
      <w:r w:rsidRPr="00BF2644">
        <w:rPr>
          <w:rFonts w:ascii="Garamond" w:hAnsi="Garamond" w:cs="Times New Roman"/>
          <w:color w:val="000000" w:themeColor="text1"/>
          <w:sz w:val="28"/>
          <w:szCs w:val="28"/>
        </w:rPr>
        <w:t>”, che, dando attuazione al principio europeo “</w:t>
      </w:r>
      <w:r w:rsidRPr="00A50270">
        <w:rPr>
          <w:rFonts w:ascii="Garamond" w:hAnsi="Garamond" w:cs="Times New Roman"/>
          <w:i/>
          <w:color w:val="000000" w:themeColor="text1"/>
          <w:sz w:val="28"/>
          <w:szCs w:val="28"/>
        </w:rPr>
        <w:t>chi inquina paga</w:t>
      </w:r>
      <w:r w:rsidRPr="00BF2644">
        <w:rPr>
          <w:rFonts w:ascii="Garamond" w:hAnsi="Garamond" w:cs="Times New Roman"/>
          <w:color w:val="000000" w:themeColor="text1"/>
          <w:sz w:val="28"/>
          <w:szCs w:val="28"/>
        </w:rPr>
        <w:t>”, hanno previsto la copertura integrale dei costi relativi al ciclo integrato dei rifiuti.</w:t>
      </w:r>
    </w:p>
    <w:p w:rsidR="0059478A" w:rsidRPr="00BF2644" w:rsidRDefault="0059478A"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Tale previsione ha poi trovato conferma nel</w:t>
      </w:r>
      <w:r w:rsidR="00A50270">
        <w:rPr>
          <w:rFonts w:ascii="Garamond" w:hAnsi="Garamond" w:cs="Times New Roman"/>
          <w:color w:val="000000" w:themeColor="text1"/>
          <w:sz w:val="28"/>
          <w:szCs w:val="28"/>
        </w:rPr>
        <w:t xml:space="preserve">l’art. 25, comma 4, del </w:t>
      </w:r>
      <w:r w:rsidR="006C564E">
        <w:rPr>
          <w:rFonts w:ascii="Garamond" w:hAnsi="Garamond" w:cs="Times New Roman"/>
          <w:color w:val="000000" w:themeColor="text1"/>
          <w:sz w:val="28"/>
          <w:szCs w:val="28"/>
        </w:rPr>
        <w:t>decreto</w:t>
      </w:r>
      <w:r w:rsidR="00A50270">
        <w:rPr>
          <w:rFonts w:ascii="Garamond" w:hAnsi="Garamond" w:cs="Times New Roman"/>
          <w:color w:val="000000" w:themeColor="text1"/>
          <w:sz w:val="28"/>
          <w:szCs w:val="28"/>
        </w:rPr>
        <w:t xml:space="preserve"> </w:t>
      </w:r>
      <w:r w:rsidR="006C564E">
        <w:rPr>
          <w:rFonts w:ascii="Garamond" w:hAnsi="Garamond" w:cs="Times New Roman"/>
          <w:color w:val="000000" w:themeColor="text1"/>
          <w:sz w:val="28"/>
          <w:szCs w:val="28"/>
        </w:rPr>
        <w:t>legge</w:t>
      </w:r>
      <w:r w:rsidRPr="00BF2644">
        <w:rPr>
          <w:rFonts w:ascii="Garamond" w:hAnsi="Garamond" w:cs="Times New Roman"/>
          <w:color w:val="000000" w:themeColor="text1"/>
          <w:sz w:val="28"/>
          <w:szCs w:val="28"/>
        </w:rPr>
        <w:t xml:space="preserve"> 24 gennaio 2012, n. 1 (</w:t>
      </w:r>
      <w:r w:rsidRPr="00A50270">
        <w:rPr>
          <w:rFonts w:ascii="Garamond" w:hAnsi="Garamond" w:cs="Times New Roman"/>
          <w:i/>
          <w:color w:val="000000" w:themeColor="text1"/>
          <w:sz w:val="28"/>
          <w:szCs w:val="28"/>
        </w:rPr>
        <w:t>Disposizioni urgenti per la concorrenza, lo sviluppo delle infrastrutture e la competitività</w:t>
      </w:r>
      <w:r w:rsidRPr="00BF2644">
        <w:rPr>
          <w:rFonts w:ascii="Garamond" w:hAnsi="Garamond" w:cs="Times New Roman"/>
          <w:color w:val="000000" w:themeColor="text1"/>
          <w:sz w:val="28"/>
          <w:szCs w:val="28"/>
        </w:rPr>
        <w:t xml:space="preserve">), convertito, con modificazioni, in </w:t>
      </w:r>
      <w:r w:rsidR="006C564E">
        <w:rPr>
          <w:rFonts w:ascii="Garamond" w:hAnsi="Garamond" w:cs="Times New Roman"/>
          <w:color w:val="000000" w:themeColor="text1"/>
          <w:sz w:val="28"/>
          <w:szCs w:val="28"/>
        </w:rPr>
        <w:t>legge</w:t>
      </w:r>
      <w:r w:rsidRPr="00BF2644">
        <w:rPr>
          <w:rFonts w:ascii="Garamond" w:hAnsi="Garamond" w:cs="Times New Roman"/>
          <w:color w:val="000000" w:themeColor="text1"/>
          <w:sz w:val="28"/>
          <w:szCs w:val="28"/>
        </w:rPr>
        <w:t xml:space="preserve"> 24 marzo 2012, n. 27, in base al quale: «[…] </w:t>
      </w:r>
      <w:r w:rsidRPr="00A50270">
        <w:rPr>
          <w:rFonts w:ascii="Garamond" w:hAnsi="Garamond" w:cs="Times New Roman"/>
          <w:i/>
          <w:color w:val="000000" w:themeColor="text1"/>
          <w:sz w:val="28"/>
          <w:szCs w:val="28"/>
        </w:rPr>
        <w:t>all’affidatario del servizio di gestione integrata dei rifiuti urbani devono essere garantiti l’accesso agli impianti a tariffe regolate e predeterminate e la disponibilità delle potenzialità e capacità necessarie a soddisfare le esigenze di conferimento indicate nel piano d’ambito</w:t>
      </w:r>
      <w:r w:rsidRPr="00BF2644">
        <w:rPr>
          <w:rFonts w:ascii="Garamond" w:hAnsi="Garamond" w:cs="Times New Roman"/>
          <w:color w:val="000000" w:themeColor="text1"/>
          <w:sz w:val="28"/>
          <w:szCs w:val="28"/>
        </w:rPr>
        <w:t>».</w:t>
      </w:r>
    </w:p>
    <w:p w:rsidR="0059478A" w:rsidRPr="00BF2644" w:rsidRDefault="0059478A"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Il </w:t>
      </w:r>
      <w:r w:rsidR="00A50270">
        <w:rPr>
          <w:rFonts w:ascii="Garamond" w:hAnsi="Garamond" w:cs="Times New Roman"/>
          <w:color w:val="000000" w:themeColor="text1"/>
          <w:sz w:val="28"/>
          <w:szCs w:val="28"/>
        </w:rPr>
        <w:t>comma</w:t>
      </w:r>
      <w:r w:rsidR="00767B9F">
        <w:rPr>
          <w:rFonts w:ascii="Garamond" w:hAnsi="Garamond" w:cs="Times New Roman"/>
          <w:color w:val="000000" w:themeColor="text1"/>
          <w:sz w:val="28"/>
          <w:szCs w:val="28"/>
        </w:rPr>
        <w:t xml:space="preserve"> 5</w:t>
      </w:r>
      <w:r w:rsidR="00A50270">
        <w:rPr>
          <w:rFonts w:ascii="Garamond" w:hAnsi="Garamond" w:cs="Times New Roman"/>
          <w:color w:val="000000" w:themeColor="text1"/>
          <w:sz w:val="28"/>
          <w:szCs w:val="28"/>
        </w:rPr>
        <w:t xml:space="preserve"> dell’art. 49 del </w:t>
      </w:r>
      <w:r w:rsidR="004F0CCD">
        <w:rPr>
          <w:rFonts w:ascii="Garamond" w:hAnsi="Garamond" w:cs="Times New Roman"/>
          <w:color w:val="000000" w:themeColor="text1"/>
          <w:sz w:val="28"/>
          <w:szCs w:val="28"/>
        </w:rPr>
        <w:t>d.lgs.</w:t>
      </w:r>
      <w:r w:rsidRPr="00BF2644">
        <w:rPr>
          <w:rFonts w:ascii="Garamond" w:hAnsi="Garamond" w:cs="Times New Roman"/>
          <w:color w:val="000000" w:themeColor="text1"/>
          <w:sz w:val="28"/>
          <w:szCs w:val="28"/>
        </w:rPr>
        <w:t xml:space="preserve"> n. 22 del 1997 ha introdotto il cosiddetto “</w:t>
      </w:r>
      <w:r w:rsidRPr="00A50270">
        <w:rPr>
          <w:rFonts w:ascii="Garamond" w:hAnsi="Garamond" w:cs="Times New Roman"/>
          <w:i/>
          <w:color w:val="000000" w:themeColor="text1"/>
          <w:sz w:val="28"/>
          <w:szCs w:val="28"/>
        </w:rPr>
        <w:t>metodo normalizzato</w:t>
      </w:r>
      <w:r w:rsidR="00A50270">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 xml:space="preserve">per definire le componenti dei costi e determinare la tariffa di riferimento, la cui elaborazione è stata in concreto effettuata dal </w:t>
      </w:r>
      <w:r w:rsidR="006C564E">
        <w:rPr>
          <w:rFonts w:ascii="Garamond" w:hAnsi="Garamond" w:cs="Times New Roman"/>
          <w:color w:val="000000" w:themeColor="text1"/>
          <w:sz w:val="28"/>
          <w:szCs w:val="28"/>
        </w:rPr>
        <w:t>d.p.r.</w:t>
      </w:r>
      <w:r w:rsidRPr="00BF2644">
        <w:rPr>
          <w:rFonts w:ascii="Garamond" w:hAnsi="Garamond" w:cs="Times New Roman"/>
          <w:color w:val="000000" w:themeColor="text1"/>
          <w:sz w:val="28"/>
          <w:szCs w:val="28"/>
        </w:rPr>
        <w:t xml:space="preserve"> n. 158 del 1999, tutt’ora vigente, in attesa di nuova regolamentazione, per effetto degli artt. 238, comma 11, e 265 (quest’ultima, quale disposizione transitoria) del </w:t>
      </w:r>
      <w:r w:rsidR="004F0CCD">
        <w:rPr>
          <w:rFonts w:ascii="Garamond" w:hAnsi="Garamond" w:cs="Times New Roman"/>
          <w:color w:val="000000" w:themeColor="text1"/>
          <w:sz w:val="28"/>
          <w:szCs w:val="28"/>
        </w:rPr>
        <w:t>d.lgs.</w:t>
      </w:r>
      <w:r w:rsidR="00995F17">
        <w:rPr>
          <w:rFonts w:ascii="Garamond" w:hAnsi="Garamond" w:cs="Times New Roman"/>
          <w:color w:val="000000" w:themeColor="text1"/>
          <w:sz w:val="28"/>
          <w:szCs w:val="28"/>
        </w:rPr>
        <w:t xml:space="preserve"> n. 152 del 2006.</w:t>
      </w:r>
    </w:p>
    <w:p w:rsidR="0059478A" w:rsidRPr="00BF2644" w:rsidRDefault="0059478A"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In particolare, l’art. 2 del </w:t>
      </w:r>
      <w:r w:rsidR="006C564E">
        <w:rPr>
          <w:rFonts w:ascii="Garamond" w:hAnsi="Garamond" w:cs="Times New Roman"/>
          <w:color w:val="000000" w:themeColor="text1"/>
          <w:sz w:val="28"/>
          <w:szCs w:val="28"/>
        </w:rPr>
        <w:t>d.p.r.</w:t>
      </w:r>
      <w:r w:rsidRPr="00BF2644">
        <w:rPr>
          <w:rFonts w:ascii="Garamond" w:hAnsi="Garamond" w:cs="Times New Roman"/>
          <w:color w:val="000000" w:themeColor="text1"/>
          <w:sz w:val="28"/>
          <w:szCs w:val="28"/>
        </w:rPr>
        <w:t xml:space="preserve"> n. 158 del 1999 ha stabilito che la «</w:t>
      </w:r>
      <w:r w:rsidRPr="00995F17">
        <w:rPr>
          <w:rFonts w:ascii="Garamond" w:hAnsi="Garamond" w:cs="Times New Roman"/>
          <w:i/>
          <w:color w:val="000000" w:themeColor="text1"/>
          <w:sz w:val="28"/>
          <w:szCs w:val="28"/>
        </w:rPr>
        <w:t>tariffa di riferimento</w:t>
      </w:r>
      <w:r w:rsidRPr="00BF2644">
        <w:rPr>
          <w:rFonts w:ascii="Garamond" w:hAnsi="Garamond" w:cs="Times New Roman"/>
          <w:color w:val="000000" w:themeColor="text1"/>
          <w:sz w:val="28"/>
          <w:szCs w:val="28"/>
        </w:rPr>
        <w:t>» rappresenta «</w:t>
      </w:r>
      <w:r w:rsidRPr="00995F17">
        <w:rPr>
          <w:rFonts w:ascii="Garamond" w:hAnsi="Garamond" w:cs="Times New Roman"/>
          <w:i/>
          <w:color w:val="000000" w:themeColor="text1"/>
          <w:sz w:val="28"/>
          <w:szCs w:val="28"/>
        </w:rPr>
        <w:t>l’insieme dei criteri e delle condizioni che devono essere rispettati per la determinazione della tariffa</w:t>
      </w:r>
      <w:r w:rsidRPr="00BF2644">
        <w:rPr>
          <w:rFonts w:ascii="Garamond" w:hAnsi="Garamond" w:cs="Times New Roman"/>
          <w:color w:val="000000" w:themeColor="text1"/>
          <w:sz w:val="28"/>
          <w:szCs w:val="28"/>
        </w:rPr>
        <w:t>» e ha precisato che questa «</w:t>
      </w:r>
      <w:r w:rsidRPr="00995F17">
        <w:rPr>
          <w:rFonts w:ascii="Garamond" w:hAnsi="Garamond" w:cs="Times New Roman"/>
          <w:i/>
          <w:color w:val="000000" w:themeColor="text1"/>
          <w:sz w:val="28"/>
          <w:szCs w:val="28"/>
        </w:rPr>
        <w:t>a regime deve coprire tutti i costi afferenti al servizio di gestione dei rifiuti urbani e deve rispettare la equivalenza di cui al punto 1 dell’allegato 1</w:t>
      </w:r>
      <w:r w:rsidRPr="00BF2644">
        <w:rPr>
          <w:rFonts w:ascii="Garamond" w:hAnsi="Garamond" w:cs="Times New Roman"/>
          <w:color w:val="000000" w:themeColor="text1"/>
          <w:sz w:val="28"/>
          <w:szCs w:val="28"/>
        </w:rPr>
        <w:t>».</w:t>
      </w:r>
    </w:p>
    <w:p w:rsidR="0059478A" w:rsidRPr="00BF2644" w:rsidRDefault="0059478A"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Sulla scorta di tale «</w:t>
      </w:r>
      <w:r w:rsidRPr="00995F17">
        <w:rPr>
          <w:rFonts w:ascii="Garamond" w:hAnsi="Garamond" w:cs="Times New Roman"/>
          <w:i/>
          <w:color w:val="000000" w:themeColor="text1"/>
          <w:sz w:val="28"/>
          <w:szCs w:val="28"/>
        </w:rPr>
        <w:t>equivalenza</w:t>
      </w:r>
      <w:r w:rsidRPr="00BF2644">
        <w:rPr>
          <w:rFonts w:ascii="Garamond" w:hAnsi="Garamond" w:cs="Times New Roman"/>
          <w:color w:val="000000" w:themeColor="text1"/>
          <w:sz w:val="28"/>
          <w:szCs w:val="28"/>
        </w:rPr>
        <w:t>» il totale delle entrate tariffarie deve coprire i costi di gestione del ciclo dei servizi, quelli comuni e anche quelli d’uso del capitale (interessi passivi, ammortamenti e accantonamenti), nel senso che tutti i costi relativi al ciclo dei rifiuti devono trovare integrale copertura.</w:t>
      </w:r>
    </w:p>
    <w:p w:rsidR="0059478A" w:rsidRPr="00BF2644" w:rsidRDefault="0059478A"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La tariffa si compone, quindi, di una parte fissa, determinata in relazione alle componenti essenziali del costo del servizio, riferite in particolare agli investimenti per le </w:t>
      </w:r>
      <w:r w:rsidRPr="00BF2644">
        <w:rPr>
          <w:rFonts w:ascii="Garamond" w:hAnsi="Garamond" w:cs="Times New Roman"/>
          <w:color w:val="000000" w:themeColor="text1"/>
          <w:sz w:val="28"/>
          <w:szCs w:val="28"/>
        </w:rPr>
        <w:lastRenderedPageBreak/>
        <w:t>opere ed ai relativi ammortamenti, e da una parte variabile, rapportata alle quantità di rifiuti conferiti, al servizio fornito e all’entità dei costi di gestione.</w:t>
      </w:r>
    </w:p>
    <w:p w:rsidR="00995F17" w:rsidRDefault="00995F17" w:rsidP="00BF2644">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Poste queste premesse</w:t>
      </w:r>
      <w:r w:rsidR="00767B9F">
        <w:rPr>
          <w:rFonts w:ascii="Garamond" w:hAnsi="Garamond" w:cs="Times New Roman"/>
          <w:color w:val="000000" w:themeColor="text1"/>
          <w:sz w:val="28"/>
          <w:szCs w:val="28"/>
        </w:rPr>
        <w:t xml:space="preserve"> secondo la Corte costituzionale</w:t>
      </w:r>
      <w:r>
        <w:rPr>
          <w:rFonts w:ascii="Garamond" w:hAnsi="Garamond" w:cs="Times New Roman"/>
          <w:color w:val="000000" w:themeColor="text1"/>
          <w:sz w:val="28"/>
          <w:szCs w:val="28"/>
        </w:rPr>
        <w:t>:</w:t>
      </w:r>
    </w:p>
    <w:p w:rsidR="00995F17" w:rsidRPr="00AC0F2C" w:rsidRDefault="00B6110B" w:rsidP="004B420A">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è </w:t>
      </w:r>
      <w:r w:rsidR="00030F5B">
        <w:rPr>
          <w:rFonts w:ascii="Garamond" w:hAnsi="Garamond" w:cs="Times New Roman"/>
          <w:color w:val="000000" w:themeColor="text1"/>
          <w:sz w:val="28"/>
          <w:szCs w:val="28"/>
        </w:rPr>
        <w:t>consentito al legislatore regionale</w:t>
      </w:r>
      <w:r>
        <w:rPr>
          <w:rFonts w:ascii="Garamond" w:hAnsi="Garamond" w:cs="Times New Roman"/>
          <w:color w:val="000000" w:themeColor="text1"/>
          <w:sz w:val="28"/>
          <w:szCs w:val="28"/>
        </w:rPr>
        <w:t xml:space="preserve"> </w:t>
      </w:r>
      <w:r w:rsidR="00AC0F2C">
        <w:rPr>
          <w:rFonts w:ascii="Garamond" w:hAnsi="Garamond" w:cs="Times New Roman"/>
          <w:color w:val="000000" w:themeColor="text1"/>
          <w:sz w:val="28"/>
          <w:szCs w:val="28"/>
        </w:rPr>
        <w:t xml:space="preserve">ai fini della </w:t>
      </w:r>
      <w:r w:rsidR="007267E4">
        <w:rPr>
          <w:rFonts w:ascii="Garamond" w:hAnsi="Garamond" w:cs="Times New Roman"/>
          <w:color w:val="000000" w:themeColor="text1"/>
          <w:sz w:val="28"/>
          <w:szCs w:val="28"/>
        </w:rPr>
        <w:t>determinazione della</w:t>
      </w:r>
      <w:r>
        <w:rPr>
          <w:rFonts w:ascii="Garamond" w:hAnsi="Garamond" w:cs="Times New Roman"/>
          <w:color w:val="000000" w:themeColor="text1"/>
          <w:sz w:val="28"/>
          <w:szCs w:val="28"/>
        </w:rPr>
        <w:t xml:space="preserve"> tariffa regionale di accesso agli impianti di smaltiment</w:t>
      </w:r>
      <w:r w:rsidR="00030F5B">
        <w:rPr>
          <w:rFonts w:ascii="Garamond" w:hAnsi="Garamond" w:cs="Times New Roman"/>
          <w:color w:val="000000" w:themeColor="text1"/>
          <w:sz w:val="28"/>
          <w:szCs w:val="28"/>
        </w:rPr>
        <w:t>o di proprietà privata considerare</w:t>
      </w:r>
      <w:r>
        <w:rPr>
          <w:rFonts w:ascii="Garamond" w:hAnsi="Garamond" w:cs="Times New Roman"/>
          <w:color w:val="000000" w:themeColor="text1"/>
          <w:sz w:val="28"/>
          <w:szCs w:val="28"/>
        </w:rPr>
        <w:t xml:space="preserve"> anche i possibili introiti derivanti dall’utilizzo dei rifiuti (ivi compresi </w:t>
      </w:r>
      <w:r w:rsidR="00030F5B">
        <w:rPr>
          <w:rFonts w:ascii="Garamond" w:hAnsi="Garamond" w:cs="Times New Roman"/>
          <w:color w:val="000000" w:themeColor="text1"/>
          <w:sz w:val="28"/>
          <w:szCs w:val="28"/>
        </w:rPr>
        <w:t xml:space="preserve">eventualmente </w:t>
      </w:r>
      <w:r>
        <w:rPr>
          <w:rFonts w:ascii="Garamond" w:hAnsi="Garamond" w:cs="Times New Roman"/>
          <w:color w:val="000000" w:themeColor="text1"/>
          <w:sz w:val="28"/>
          <w:szCs w:val="28"/>
        </w:rPr>
        <w:t xml:space="preserve">gli </w:t>
      </w:r>
      <w:r w:rsidRPr="00B6110B">
        <w:rPr>
          <w:rFonts w:ascii="Garamond" w:hAnsi="Garamond" w:cs="Times New Roman"/>
          <w:color w:val="000000" w:themeColor="text1"/>
          <w:sz w:val="28"/>
          <w:szCs w:val="28"/>
        </w:rPr>
        <w:t>incentivi per l’energia prodotta da fonte rinnovabile</w:t>
      </w:r>
      <w:r w:rsidR="007267E4">
        <w:rPr>
          <w:rFonts w:ascii="Garamond" w:hAnsi="Garamond" w:cs="Times New Roman"/>
          <w:color w:val="000000" w:themeColor="text1"/>
          <w:sz w:val="28"/>
          <w:szCs w:val="28"/>
        </w:rPr>
        <w:t>). Infatti</w:t>
      </w:r>
      <w:r w:rsidRPr="004B420A">
        <w:rPr>
          <w:rFonts w:ascii="Garamond" w:hAnsi="Garamond" w:cs="Times New Roman"/>
          <w:color w:val="000000" w:themeColor="text1"/>
          <w:sz w:val="28"/>
          <w:szCs w:val="28"/>
        </w:rPr>
        <w:t xml:space="preserve"> </w:t>
      </w:r>
      <w:r w:rsidRPr="00B6110B">
        <w:rPr>
          <w:rFonts w:ascii="Garamond" w:hAnsi="Garamond" w:cs="Times New Roman"/>
          <w:color w:val="000000" w:themeColor="text1"/>
          <w:sz w:val="28"/>
          <w:szCs w:val="28"/>
        </w:rPr>
        <w:t>all’interno di un de</w:t>
      </w:r>
      <w:r w:rsidR="007267E4">
        <w:rPr>
          <w:rFonts w:ascii="Garamond" w:hAnsi="Garamond" w:cs="Times New Roman"/>
          <w:color w:val="000000" w:themeColor="text1"/>
          <w:sz w:val="28"/>
          <w:szCs w:val="28"/>
        </w:rPr>
        <w:t>terminato contesto territoriale</w:t>
      </w:r>
      <w:r w:rsidRPr="00B6110B">
        <w:rPr>
          <w:rFonts w:ascii="Garamond" w:hAnsi="Garamond" w:cs="Times New Roman"/>
          <w:color w:val="000000" w:themeColor="text1"/>
          <w:sz w:val="28"/>
          <w:szCs w:val="28"/>
        </w:rPr>
        <w:t xml:space="preserve"> il raggiungimento dell’auspicabile obiettivo di produrre energia dai rifiuti urbani non riciclabili comporta il coinvolgimento della popolazione interessata; pertanto tanto più l’incentivo statale si rifletterà anche sulla comunità territoriale di riferimento, tanto maggiore sarà quindi la possibilità che possa effettivamente raggiungere il proprio obiettivo, ovvero quello di indurre soluzioni ambientalmente virtuose. Non può quindi considerarsi estranea alla </w:t>
      </w:r>
      <w:r w:rsidRPr="004B420A">
        <w:rPr>
          <w:rFonts w:ascii="Garamond" w:hAnsi="Garamond" w:cs="Times New Roman"/>
          <w:color w:val="000000" w:themeColor="text1"/>
          <w:sz w:val="28"/>
          <w:szCs w:val="28"/>
        </w:rPr>
        <w:t>ratio</w:t>
      </w:r>
      <w:r w:rsidRPr="00B6110B">
        <w:rPr>
          <w:rFonts w:ascii="Garamond" w:hAnsi="Garamond" w:cs="Times New Roman"/>
          <w:color w:val="000000" w:themeColor="text1"/>
          <w:sz w:val="28"/>
          <w:szCs w:val="28"/>
        </w:rPr>
        <w:t xml:space="preserve"> di queste specifiche forme statali di incentivi quella di potersi riferire, in una logica di comune vantaggio, a una pluralità di potenziali destinatari</w:t>
      </w:r>
      <w:r w:rsidR="00AC0F2C">
        <w:rPr>
          <w:rFonts w:ascii="Garamond" w:hAnsi="Garamond" w:cs="Times New Roman"/>
          <w:color w:val="000000" w:themeColor="text1"/>
          <w:sz w:val="28"/>
          <w:szCs w:val="28"/>
        </w:rPr>
        <w:t xml:space="preserve">. Peraltro </w:t>
      </w:r>
      <w:r w:rsidR="0059478A" w:rsidRPr="00AC0F2C">
        <w:rPr>
          <w:rFonts w:ascii="Garamond" w:hAnsi="Garamond" w:cs="Times New Roman"/>
          <w:color w:val="000000" w:themeColor="text1"/>
          <w:sz w:val="28"/>
          <w:szCs w:val="28"/>
        </w:rPr>
        <w:t>la norma regionale censurata, limitandosi a stabilire «</w:t>
      </w:r>
      <w:r w:rsidR="0059478A" w:rsidRPr="00EB78C7">
        <w:rPr>
          <w:rFonts w:ascii="Garamond" w:hAnsi="Garamond" w:cs="Times New Roman"/>
          <w:i/>
          <w:color w:val="000000" w:themeColor="text1"/>
          <w:sz w:val="28"/>
          <w:szCs w:val="28"/>
        </w:rPr>
        <w:t>e considerando anche gli introiti»,</w:t>
      </w:r>
      <w:r w:rsidR="0059478A" w:rsidRPr="00AC0F2C">
        <w:rPr>
          <w:rFonts w:ascii="Garamond" w:hAnsi="Garamond" w:cs="Times New Roman"/>
          <w:color w:val="000000" w:themeColor="text1"/>
          <w:sz w:val="28"/>
          <w:szCs w:val="28"/>
        </w:rPr>
        <w:t xml:space="preserve"> inerisce esclusivamente al metodo di calcolo matematico della “</w:t>
      </w:r>
      <w:r w:rsidR="0059478A" w:rsidRPr="00EB78C7">
        <w:rPr>
          <w:rFonts w:ascii="Garamond" w:hAnsi="Garamond" w:cs="Times New Roman"/>
          <w:i/>
          <w:color w:val="000000" w:themeColor="text1"/>
          <w:sz w:val="28"/>
          <w:szCs w:val="28"/>
        </w:rPr>
        <w:t>tariffa al cancello</w:t>
      </w:r>
      <w:r w:rsidR="0059478A" w:rsidRPr="00AC0F2C">
        <w:rPr>
          <w:rFonts w:ascii="Garamond" w:hAnsi="Garamond" w:cs="Times New Roman"/>
          <w:color w:val="000000" w:themeColor="text1"/>
          <w:sz w:val="28"/>
          <w:szCs w:val="28"/>
        </w:rPr>
        <w:t>”,  ponendosi su un piano estraneo a quello di un prelievo coattivo</w:t>
      </w:r>
      <w:r w:rsidR="007267E4">
        <w:rPr>
          <w:rFonts w:ascii="Garamond" w:hAnsi="Garamond" w:cs="Times New Roman"/>
          <w:color w:val="000000" w:themeColor="text1"/>
          <w:sz w:val="28"/>
          <w:szCs w:val="28"/>
        </w:rPr>
        <w:t>,</w:t>
      </w:r>
      <w:r w:rsidR="0059478A" w:rsidRPr="00AC0F2C">
        <w:rPr>
          <w:rFonts w:ascii="Garamond" w:hAnsi="Garamond" w:cs="Times New Roman"/>
          <w:color w:val="000000" w:themeColor="text1"/>
          <w:sz w:val="28"/>
          <w:szCs w:val="28"/>
        </w:rPr>
        <w:t xml:space="preserve"> configurabile come un’imposizione tributaria o una prestazione patrimoniale imposta, non venendo in questione né l’ambito entro cui si può muovere l’autonomia </w:t>
      </w:r>
      <w:r w:rsidR="007267E4">
        <w:rPr>
          <w:rFonts w:ascii="Garamond" w:hAnsi="Garamond" w:cs="Times New Roman"/>
          <w:color w:val="000000" w:themeColor="text1"/>
          <w:sz w:val="28"/>
          <w:szCs w:val="28"/>
        </w:rPr>
        <w:t>impositiva regionale -</w:t>
      </w:r>
      <w:r w:rsidR="0059478A" w:rsidRPr="00AC0F2C">
        <w:rPr>
          <w:rFonts w:ascii="Garamond" w:hAnsi="Garamond" w:cs="Times New Roman"/>
          <w:color w:val="000000" w:themeColor="text1"/>
          <w:sz w:val="28"/>
          <w:szCs w:val="28"/>
        </w:rPr>
        <w:t xml:space="preserve"> cui, p</w:t>
      </w:r>
      <w:r w:rsidR="007267E4">
        <w:rPr>
          <w:rFonts w:ascii="Garamond" w:hAnsi="Garamond" w:cs="Times New Roman"/>
          <w:color w:val="000000" w:themeColor="text1"/>
          <w:sz w:val="28"/>
          <w:szCs w:val="28"/>
        </w:rPr>
        <w:t xml:space="preserve">eraltro </w:t>
      </w:r>
      <w:r w:rsidR="0059478A" w:rsidRPr="00AC0F2C">
        <w:rPr>
          <w:rFonts w:ascii="Garamond" w:hAnsi="Garamond" w:cs="Times New Roman"/>
          <w:color w:val="000000" w:themeColor="text1"/>
          <w:sz w:val="28"/>
          <w:szCs w:val="28"/>
        </w:rPr>
        <w:t>non è preclusa, in determinati casi, la possibilità di stabilire, «</w:t>
      </w:r>
      <w:r w:rsidR="0059478A" w:rsidRPr="00EB78C7">
        <w:rPr>
          <w:rFonts w:ascii="Garamond" w:hAnsi="Garamond" w:cs="Times New Roman"/>
          <w:i/>
          <w:color w:val="000000" w:themeColor="text1"/>
          <w:sz w:val="28"/>
          <w:szCs w:val="28"/>
        </w:rPr>
        <w:t>nel rispetto dei principi di coordinamento</w:t>
      </w:r>
      <w:r w:rsidR="0059478A" w:rsidRPr="00AC0F2C">
        <w:rPr>
          <w:rFonts w:ascii="Garamond" w:hAnsi="Garamond" w:cs="Times New Roman"/>
          <w:color w:val="000000" w:themeColor="text1"/>
          <w:sz w:val="28"/>
          <w:szCs w:val="28"/>
        </w:rPr>
        <w:t>», tributi</w:t>
      </w:r>
      <w:r w:rsidR="00AC0F2C">
        <w:rPr>
          <w:rFonts w:ascii="Garamond" w:hAnsi="Garamond" w:cs="Times New Roman"/>
          <w:color w:val="000000" w:themeColor="text1"/>
          <w:sz w:val="28"/>
          <w:szCs w:val="28"/>
        </w:rPr>
        <w:t xml:space="preserve"> propr</w:t>
      </w:r>
      <w:r w:rsidR="009B0078">
        <w:rPr>
          <w:rFonts w:ascii="Garamond" w:hAnsi="Garamond" w:cs="Times New Roman"/>
          <w:color w:val="000000" w:themeColor="text1"/>
          <w:sz w:val="28"/>
          <w:szCs w:val="28"/>
        </w:rPr>
        <w:t>i in materia ambientale (Corte c</w:t>
      </w:r>
      <w:r w:rsidR="00AC0F2C">
        <w:rPr>
          <w:rFonts w:ascii="Garamond" w:hAnsi="Garamond" w:cs="Times New Roman"/>
          <w:color w:val="000000" w:themeColor="text1"/>
          <w:sz w:val="28"/>
          <w:szCs w:val="28"/>
        </w:rPr>
        <w:t>ost.,</w:t>
      </w:r>
      <w:r w:rsidR="007267E4">
        <w:rPr>
          <w:rFonts w:ascii="Garamond" w:hAnsi="Garamond" w:cs="Times New Roman"/>
          <w:color w:val="000000" w:themeColor="text1"/>
          <w:sz w:val="28"/>
          <w:szCs w:val="28"/>
        </w:rPr>
        <w:t xml:space="preserve"> n. 82 del 2021) - </w:t>
      </w:r>
      <w:r w:rsidR="0059478A" w:rsidRPr="00AC0F2C">
        <w:rPr>
          <w:rFonts w:ascii="Garamond" w:hAnsi="Garamond" w:cs="Times New Roman"/>
          <w:color w:val="000000" w:themeColor="text1"/>
          <w:sz w:val="28"/>
          <w:szCs w:val="28"/>
        </w:rPr>
        <w:t xml:space="preserve"> né il rispetto dei criteri inerenti alla base legale della riserva relativa di cui all’art. 23 Cost.</w:t>
      </w:r>
      <w:r w:rsidRPr="00AC0F2C">
        <w:rPr>
          <w:rFonts w:ascii="Garamond" w:hAnsi="Garamond" w:cs="Times New Roman"/>
          <w:color w:val="000000" w:themeColor="text1"/>
          <w:sz w:val="28"/>
          <w:szCs w:val="28"/>
        </w:rPr>
        <w:t>(</w:t>
      </w:r>
      <w:r w:rsidR="009B0078">
        <w:rPr>
          <w:rFonts w:ascii="Garamond" w:hAnsi="Garamond" w:cs="Times New Roman"/>
          <w:color w:val="000000" w:themeColor="text1"/>
          <w:sz w:val="28"/>
          <w:szCs w:val="28"/>
        </w:rPr>
        <w:t>Corte c</w:t>
      </w:r>
      <w:r w:rsidR="00995F17" w:rsidRPr="00AC0F2C">
        <w:rPr>
          <w:rFonts w:ascii="Garamond" w:hAnsi="Garamond" w:cs="Times New Roman"/>
          <w:color w:val="000000" w:themeColor="text1"/>
          <w:sz w:val="28"/>
          <w:szCs w:val="28"/>
        </w:rPr>
        <w:t>ost.</w:t>
      </w:r>
      <w:r w:rsidRPr="00AC0F2C">
        <w:rPr>
          <w:rFonts w:ascii="Garamond" w:hAnsi="Garamond" w:cs="Times New Roman"/>
          <w:color w:val="000000" w:themeColor="text1"/>
          <w:sz w:val="28"/>
          <w:szCs w:val="28"/>
        </w:rPr>
        <w:t>,</w:t>
      </w:r>
      <w:r w:rsidR="007267E4">
        <w:rPr>
          <w:rFonts w:ascii="Garamond" w:hAnsi="Garamond" w:cs="Times New Roman"/>
          <w:color w:val="000000" w:themeColor="text1"/>
          <w:sz w:val="28"/>
          <w:szCs w:val="28"/>
        </w:rPr>
        <w:t xml:space="preserve"> </w:t>
      </w:r>
      <w:r w:rsidR="00995F17" w:rsidRPr="00AC0F2C">
        <w:rPr>
          <w:rFonts w:ascii="Garamond" w:hAnsi="Garamond" w:cs="Times New Roman"/>
          <w:color w:val="000000" w:themeColor="text1"/>
          <w:sz w:val="28"/>
          <w:szCs w:val="28"/>
        </w:rPr>
        <w:t xml:space="preserve">n. 11 del </w:t>
      </w:r>
      <w:r w:rsidRPr="00AC0F2C">
        <w:rPr>
          <w:rFonts w:ascii="Garamond" w:hAnsi="Garamond" w:cs="Times New Roman"/>
          <w:color w:val="000000" w:themeColor="text1"/>
          <w:sz w:val="28"/>
          <w:szCs w:val="28"/>
        </w:rPr>
        <w:t xml:space="preserve">2023 che </w:t>
      </w:r>
      <w:r w:rsidR="0059478A" w:rsidRPr="00AC0F2C">
        <w:rPr>
          <w:rFonts w:ascii="Garamond" w:hAnsi="Garamond" w:cs="Times New Roman"/>
          <w:color w:val="000000" w:themeColor="text1"/>
          <w:sz w:val="28"/>
          <w:szCs w:val="28"/>
        </w:rPr>
        <w:t>ha rigettato la questione di legittimità costituzionale sollevata da Co</w:t>
      </w:r>
      <w:r w:rsidR="007267E4">
        <w:rPr>
          <w:rFonts w:ascii="Garamond" w:hAnsi="Garamond" w:cs="Times New Roman"/>
          <w:color w:val="000000" w:themeColor="text1"/>
          <w:sz w:val="28"/>
          <w:szCs w:val="28"/>
        </w:rPr>
        <w:t xml:space="preserve">ns. Stato, sez. IV, </w:t>
      </w:r>
      <w:r w:rsidR="00995F17" w:rsidRPr="00AC0F2C">
        <w:rPr>
          <w:rFonts w:ascii="Garamond" w:hAnsi="Garamond" w:cs="Times New Roman"/>
          <w:color w:val="000000" w:themeColor="text1"/>
          <w:sz w:val="28"/>
          <w:szCs w:val="28"/>
        </w:rPr>
        <w:t xml:space="preserve">ord. n. 138 del </w:t>
      </w:r>
      <w:r w:rsidR="0059478A" w:rsidRPr="00AC0F2C">
        <w:rPr>
          <w:rFonts w:ascii="Garamond" w:hAnsi="Garamond" w:cs="Times New Roman"/>
          <w:color w:val="000000" w:themeColor="text1"/>
          <w:sz w:val="28"/>
          <w:szCs w:val="28"/>
        </w:rPr>
        <w:t>2021</w:t>
      </w:r>
      <w:r w:rsidR="00995F17" w:rsidRPr="00AC0F2C">
        <w:rPr>
          <w:rFonts w:ascii="Garamond" w:hAnsi="Garamond" w:cs="Times New Roman"/>
          <w:color w:val="000000" w:themeColor="text1"/>
          <w:sz w:val="28"/>
          <w:szCs w:val="28"/>
        </w:rPr>
        <w:t xml:space="preserve">, </w:t>
      </w:r>
      <w:r w:rsidR="0059478A" w:rsidRPr="00AC0F2C">
        <w:rPr>
          <w:rFonts w:ascii="Garamond" w:hAnsi="Garamond" w:cs="Times New Roman"/>
          <w:color w:val="000000" w:themeColor="text1"/>
          <w:sz w:val="28"/>
          <w:szCs w:val="28"/>
        </w:rPr>
        <w:t xml:space="preserve"> in riferim</w:t>
      </w:r>
      <w:r w:rsidR="00767B9F">
        <w:rPr>
          <w:rFonts w:ascii="Garamond" w:hAnsi="Garamond" w:cs="Times New Roman"/>
          <w:color w:val="000000" w:themeColor="text1"/>
          <w:sz w:val="28"/>
          <w:szCs w:val="28"/>
        </w:rPr>
        <w:t xml:space="preserve">ento agli artt. 23, 117, </w:t>
      </w:r>
      <w:r w:rsidR="0059478A" w:rsidRPr="00AC0F2C">
        <w:rPr>
          <w:rFonts w:ascii="Garamond" w:hAnsi="Garamond" w:cs="Times New Roman"/>
          <w:color w:val="000000" w:themeColor="text1"/>
          <w:sz w:val="28"/>
          <w:szCs w:val="28"/>
        </w:rPr>
        <w:t>comma</w:t>
      </w:r>
      <w:r w:rsidR="00767B9F">
        <w:rPr>
          <w:rFonts w:ascii="Garamond" w:hAnsi="Garamond" w:cs="Times New Roman"/>
          <w:color w:val="000000" w:themeColor="text1"/>
          <w:sz w:val="28"/>
          <w:szCs w:val="28"/>
        </w:rPr>
        <w:t xml:space="preserve"> 2</w:t>
      </w:r>
      <w:r w:rsidR="0059478A" w:rsidRPr="00AC0F2C">
        <w:rPr>
          <w:rFonts w:ascii="Garamond" w:hAnsi="Garamond" w:cs="Times New Roman"/>
          <w:color w:val="000000" w:themeColor="text1"/>
          <w:sz w:val="28"/>
          <w:szCs w:val="28"/>
        </w:rPr>
        <w:t>, lettere e)</w:t>
      </w:r>
      <w:r w:rsidR="00EB78C7">
        <w:rPr>
          <w:rFonts w:ascii="Garamond" w:hAnsi="Garamond" w:cs="Times New Roman"/>
          <w:color w:val="000000" w:themeColor="text1"/>
          <w:sz w:val="28"/>
          <w:szCs w:val="28"/>
        </w:rPr>
        <w:t xml:space="preserve"> ed s), e 119 Cost.</w:t>
      </w:r>
      <w:r w:rsidR="0059478A" w:rsidRPr="00AC0F2C">
        <w:rPr>
          <w:rFonts w:ascii="Garamond" w:hAnsi="Garamond" w:cs="Times New Roman"/>
          <w:color w:val="000000" w:themeColor="text1"/>
          <w:sz w:val="28"/>
          <w:szCs w:val="28"/>
        </w:rPr>
        <w:t>, del</w:t>
      </w:r>
      <w:r w:rsidR="00995F17" w:rsidRPr="00AC0F2C">
        <w:rPr>
          <w:rFonts w:ascii="Garamond" w:hAnsi="Garamond" w:cs="Times New Roman"/>
          <w:color w:val="000000" w:themeColor="text1"/>
          <w:sz w:val="28"/>
          <w:szCs w:val="28"/>
        </w:rPr>
        <w:t xml:space="preserve">l’art. 16, comma 1, della </w:t>
      </w:r>
      <w:r w:rsidR="006C564E">
        <w:rPr>
          <w:rFonts w:ascii="Garamond" w:hAnsi="Garamond" w:cs="Times New Roman"/>
          <w:color w:val="000000" w:themeColor="text1"/>
          <w:sz w:val="28"/>
          <w:szCs w:val="28"/>
        </w:rPr>
        <w:t>l.</w:t>
      </w:r>
      <w:r w:rsidR="00995F17" w:rsidRPr="00AC0F2C">
        <w:rPr>
          <w:rFonts w:ascii="Garamond" w:hAnsi="Garamond" w:cs="Times New Roman"/>
          <w:color w:val="000000" w:themeColor="text1"/>
          <w:sz w:val="28"/>
          <w:szCs w:val="28"/>
        </w:rPr>
        <w:t xml:space="preserve">r. </w:t>
      </w:r>
      <w:r w:rsidR="0059478A" w:rsidRPr="00AC0F2C">
        <w:rPr>
          <w:rFonts w:ascii="Garamond" w:hAnsi="Garamond" w:cs="Times New Roman"/>
          <w:color w:val="000000" w:themeColor="text1"/>
          <w:sz w:val="28"/>
          <w:szCs w:val="28"/>
        </w:rPr>
        <w:t>Emilia-Romagna</w:t>
      </w:r>
      <w:r w:rsidR="00995F17" w:rsidRPr="00AC0F2C">
        <w:rPr>
          <w:rFonts w:ascii="Garamond" w:hAnsi="Garamond" w:cs="Times New Roman"/>
          <w:color w:val="000000" w:themeColor="text1"/>
          <w:sz w:val="28"/>
          <w:szCs w:val="28"/>
        </w:rPr>
        <w:t xml:space="preserve">, </w:t>
      </w:r>
      <w:r w:rsidR="0059478A" w:rsidRPr="00AC0F2C">
        <w:rPr>
          <w:rFonts w:ascii="Garamond" w:hAnsi="Garamond" w:cs="Times New Roman"/>
          <w:color w:val="000000" w:themeColor="text1"/>
          <w:sz w:val="28"/>
          <w:szCs w:val="28"/>
        </w:rPr>
        <w:t xml:space="preserve"> 23 dicembre 2011, n. 23</w:t>
      </w:r>
      <w:r w:rsidR="00AC0F2C" w:rsidRPr="00AC0F2C">
        <w:rPr>
          <w:rFonts w:ascii="Garamond" w:hAnsi="Garamond" w:cs="Times New Roman"/>
          <w:color w:val="000000" w:themeColor="text1"/>
          <w:sz w:val="28"/>
          <w:szCs w:val="28"/>
        </w:rPr>
        <w:t>,</w:t>
      </w:r>
      <w:r w:rsidR="0059478A" w:rsidRPr="00AC0F2C">
        <w:rPr>
          <w:rFonts w:ascii="Garamond" w:hAnsi="Garamond" w:cs="Times New Roman"/>
          <w:color w:val="000000" w:themeColor="text1"/>
          <w:sz w:val="28"/>
          <w:szCs w:val="28"/>
        </w:rPr>
        <w:t xml:space="preserve"> nella parte in cui, nell’a</w:t>
      </w:r>
      <w:r w:rsidR="00AC0F2C" w:rsidRPr="00AC0F2C">
        <w:rPr>
          <w:rFonts w:ascii="Garamond" w:hAnsi="Garamond" w:cs="Times New Roman"/>
          <w:color w:val="000000" w:themeColor="text1"/>
          <w:sz w:val="28"/>
          <w:szCs w:val="28"/>
        </w:rPr>
        <w:t>mbito della determinazione di detta</w:t>
      </w:r>
      <w:r w:rsidR="0059478A" w:rsidRPr="00AC0F2C">
        <w:rPr>
          <w:rFonts w:ascii="Garamond" w:hAnsi="Garamond" w:cs="Times New Roman"/>
          <w:color w:val="000000" w:themeColor="text1"/>
          <w:sz w:val="28"/>
          <w:szCs w:val="28"/>
        </w:rPr>
        <w:t xml:space="preserve"> tariffa regionale, comprende la dizione “</w:t>
      </w:r>
      <w:r w:rsidR="0059478A" w:rsidRPr="00EB78C7">
        <w:rPr>
          <w:rFonts w:ascii="Garamond" w:hAnsi="Garamond" w:cs="Times New Roman"/>
          <w:i/>
          <w:color w:val="000000" w:themeColor="text1"/>
          <w:sz w:val="28"/>
          <w:szCs w:val="28"/>
        </w:rPr>
        <w:t>e considerando anche gli introiti</w:t>
      </w:r>
      <w:r w:rsidR="0059478A" w:rsidRPr="00AC0F2C">
        <w:rPr>
          <w:rFonts w:ascii="Garamond" w:hAnsi="Garamond" w:cs="Times New Roman"/>
          <w:color w:val="000000" w:themeColor="text1"/>
          <w:sz w:val="28"/>
          <w:szCs w:val="28"/>
        </w:rPr>
        <w:t>” per «</w:t>
      </w:r>
      <w:r w:rsidR="0059478A" w:rsidRPr="004B420A">
        <w:rPr>
          <w:rFonts w:ascii="Garamond" w:hAnsi="Garamond" w:cs="Times New Roman"/>
          <w:color w:val="000000" w:themeColor="text1"/>
          <w:sz w:val="28"/>
          <w:szCs w:val="28"/>
        </w:rPr>
        <w:t>possibile contrasto</w:t>
      </w:r>
      <w:r w:rsidR="0059478A" w:rsidRPr="00AC0F2C">
        <w:rPr>
          <w:rFonts w:ascii="Garamond" w:hAnsi="Garamond" w:cs="Times New Roman"/>
          <w:color w:val="000000" w:themeColor="text1"/>
          <w:sz w:val="28"/>
          <w:szCs w:val="28"/>
        </w:rPr>
        <w:t>»</w:t>
      </w:r>
      <w:r w:rsidR="007267E4">
        <w:rPr>
          <w:rFonts w:ascii="Garamond" w:hAnsi="Garamond" w:cs="Times New Roman"/>
          <w:color w:val="000000" w:themeColor="text1"/>
          <w:sz w:val="28"/>
          <w:szCs w:val="28"/>
        </w:rPr>
        <w:t xml:space="preserve">, </w:t>
      </w:r>
      <w:r w:rsidR="0059478A" w:rsidRPr="00AC0F2C">
        <w:rPr>
          <w:rFonts w:ascii="Garamond" w:hAnsi="Garamond" w:cs="Times New Roman"/>
          <w:color w:val="000000" w:themeColor="text1"/>
          <w:sz w:val="28"/>
          <w:szCs w:val="28"/>
        </w:rPr>
        <w:t xml:space="preserve"> da un lato  con la competenza esclusiva statale in materia di ambiente,  ed in secondo luogo nella parte in cui </w:t>
      </w:r>
      <w:r w:rsidR="0059478A" w:rsidRPr="00EB78C7">
        <w:rPr>
          <w:rFonts w:ascii="Garamond" w:hAnsi="Garamond" w:cs="Times New Roman"/>
          <w:i/>
          <w:color w:val="000000" w:themeColor="text1"/>
          <w:sz w:val="28"/>
          <w:szCs w:val="28"/>
        </w:rPr>
        <w:t>«[s]otto un diverso profilo</w:t>
      </w:r>
      <w:r w:rsidR="0059478A" w:rsidRPr="00AC0F2C">
        <w:rPr>
          <w:rFonts w:ascii="Garamond" w:hAnsi="Garamond" w:cs="Times New Roman"/>
          <w:color w:val="000000" w:themeColor="text1"/>
          <w:sz w:val="28"/>
          <w:szCs w:val="28"/>
        </w:rPr>
        <w:t>», la medesima norma con la riduzione dell’importo della tariffa, «</w:t>
      </w:r>
      <w:r w:rsidR="0059478A" w:rsidRPr="00EB78C7">
        <w:rPr>
          <w:rFonts w:ascii="Garamond" w:hAnsi="Garamond" w:cs="Times New Roman"/>
          <w:i/>
          <w:color w:val="000000" w:themeColor="text1"/>
          <w:sz w:val="28"/>
          <w:szCs w:val="28"/>
        </w:rPr>
        <w:t>potrebbe integrare un tributo o, comunque, una surrettizia “prestazione patrimoniale imposta</w:t>
      </w:r>
      <w:r w:rsidR="0059478A" w:rsidRPr="00AC0F2C">
        <w:rPr>
          <w:rFonts w:ascii="Garamond" w:hAnsi="Garamond" w:cs="Times New Roman"/>
          <w:color w:val="000000" w:themeColor="text1"/>
          <w:sz w:val="28"/>
          <w:szCs w:val="28"/>
        </w:rPr>
        <w:t>»</w:t>
      </w:r>
      <w:r w:rsidR="00030F5B">
        <w:rPr>
          <w:rFonts w:ascii="Garamond" w:hAnsi="Garamond" w:cs="Times New Roman"/>
          <w:color w:val="000000" w:themeColor="text1"/>
          <w:sz w:val="28"/>
          <w:szCs w:val="28"/>
        </w:rPr>
        <w:t>)</w:t>
      </w:r>
      <w:r w:rsidR="0059478A" w:rsidRPr="00AC0F2C">
        <w:rPr>
          <w:rFonts w:ascii="Garamond" w:hAnsi="Garamond" w:cs="Times New Roman"/>
          <w:color w:val="000000" w:themeColor="text1"/>
          <w:sz w:val="28"/>
          <w:szCs w:val="28"/>
        </w:rPr>
        <w:t xml:space="preserve">. </w:t>
      </w:r>
    </w:p>
    <w:p w:rsidR="004B420A" w:rsidRPr="004B420A" w:rsidRDefault="00AC0F2C" w:rsidP="004B420A">
      <w:pPr>
        <w:spacing w:line="240" w:lineRule="auto"/>
        <w:ind w:firstLine="709"/>
        <w:contextualSpacing/>
        <w:jc w:val="both"/>
        <w:rPr>
          <w:rFonts w:ascii="Garamond" w:hAnsi="Garamond" w:cs="Times New Roman"/>
          <w:color w:val="000000" w:themeColor="text1"/>
          <w:sz w:val="28"/>
          <w:szCs w:val="28"/>
        </w:rPr>
      </w:pPr>
      <w:r w:rsidRPr="004B420A">
        <w:rPr>
          <w:rFonts w:ascii="Garamond" w:hAnsi="Garamond" w:cs="Times New Roman"/>
          <w:color w:val="000000" w:themeColor="text1"/>
          <w:sz w:val="28"/>
          <w:szCs w:val="28"/>
        </w:rPr>
        <w:t xml:space="preserve">          </w:t>
      </w:r>
    </w:p>
    <w:p w:rsidR="00DC70BA" w:rsidRDefault="000F67D3" w:rsidP="00DC70BA">
      <w:pPr>
        <w:spacing w:line="240" w:lineRule="auto"/>
        <w:ind w:firstLine="709"/>
        <w:contextualSpacing/>
        <w:jc w:val="both"/>
        <w:rPr>
          <w:rFonts w:ascii="Garamond" w:hAnsi="Garamond" w:cs="Times New Roman"/>
          <w:b/>
          <w:color w:val="000000" w:themeColor="text1"/>
          <w:sz w:val="28"/>
          <w:szCs w:val="28"/>
        </w:rPr>
      </w:pPr>
      <w:r w:rsidRPr="004B420A">
        <w:rPr>
          <w:rFonts w:ascii="Garamond" w:hAnsi="Garamond" w:cs="Times New Roman"/>
          <w:b/>
          <w:color w:val="000000" w:themeColor="text1"/>
          <w:sz w:val="28"/>
          <w:szCs w:val="28"/>
        </w:rPr>
        <w:t>1.3</w:t>
      </w:r>
      <w:r w:rsidR="00817C58" w:rsidRPr="004B420A">
        <w:rPr>
          <w:rFonts w:ascii="Garamond" w:hAnsi="Garamond" w:cs="Times New Roman"/>
          <w:b/>
          <w:color w:val="000000" w:themeColor="text1"/>
          <w:sz w:val="28"/>
          <w:szCs w:val="28"/>
        </w:rPr>
        <w:t xml:space="preserve">. </w:t>
      </w:r>
      <w:r w:rsidR="00DC70BA" w:rsidRPr="00DC70BA">
        <w:rPr>
          <w:rFonts w:ascii="Garamond" w:hAnsi="Garamond" w:cs="Times New Roman"/>
          <w:b/>
          <w:color w:val="000000" w:themeColor="text1"/>
          <w:sz w:val="28"/>
          <w:szCs w:val="28"/>
        </w:rPr>
        <w:t xml:space="preserve">La disciplina recata dall’art. 208 del </w:t>
      </w:r>
      <w:r w:rsidR="004F0CCD">
        <w:rPr>
          <w:rFonts w:ascii="Garamond" w:hAnsi="Garamond" w:cs="Times New Roman"/>
          <w:b/>
          <w:color w:val="000000" w:themeColor="text1"/>
          <w:sz w:val="28"/>
          <w:szCs w:val="28"/>
        </w:rPr>
        <w:t>d.lgs.</w:t>
      </w:r>
      <w:r w:rsidR="00DC70BA" w:rsidRPr="00DC70BA">
        <w:rPr>
          <w:rFonts w:ascii="Garamond" w:hAnsi="Garamond" w:cs="Times New Roman"/>
          <w:b/>
          <w:color w:val="000000" w:themeColor="text1"/>
          <w:sz w:val="28"/>
          <w:szCs w:val="28"/>
        </w:rPr>
        <w:t xml:space="preserve"> 3 aprile 2006, n. 152: la determinazione conclusiva della conferenza di servizi adottata a maggioranza</w:t>
      </w:r>
    </w:p>
    <w:p w:rsidR="006C421B" w:rsidRPr="00DC70BA" w:rsidRDefault="00817C58" w:rsidP="00DC70BA">
      <w:pPr>
        <w:spacing w:line="240" w:lineRule="auto"/>
        <w:ind w:firstLine="709"/>
        <w:contextualSpacing/>
        <w:jc w:val="both"/>
        <w:rPr>
          <w:rFonts w:ascii="Garamond" w:hAnsi="Garamond" w:cs="Times New Roman"/>
          <w:b/>
          <w:color w:val="000000" w:themeColor="text1"/>
          <w:sz w:val="28"/>
          <w:szCs w:val="28"/>
        </w:rPr>
      </w:pPr>
      <w:r w:rsidRPr="00BF2644">
        <w:rPr>
          <w:rFonts w:ascii="Garamond" w:hAnsi="Garamond" w:cs="Times New Roman"/>
          <w:color w:val="000000" w:themeColor="text1"/>
          <w:sz w:val="28"/>
          <w:szCs w:val="28"/>
        </w:rPr>
        <w:t>Il procedimento per il rilascio dell’autorizzazione</w:t>
      </w:r>
      <w:r w:rsidR="00D34EB4" w:rsidRPr="00BF2644">
        <w:rPr>
          <w:rFonts w:ascii="Garamond" w:hAnsi="Garamond" w:cs="Times New Roman"/>
          <w:color w:val="000000" w:themeColor="text1"/>
          <w:sz w:val="28"/>
          <w:szCs w:val="28"/>
        </w:rPr>
        <w:t xml:space="preserve"> per la realizzazione degli impianti di smaltimento e recupero dei rifiuti</w:t>
      </w:r>
      <w:r w:rsidRPr="00BF2644">
        <w:rPr>
          <w:rFonts w:ascii="Garamond" w:hAnsi="Garamond" w:cs="Times New Roman"/>
          <w:color w:val="000000" w:themeColor="text1"/>
          <w:sz w:val="28"/>
          <w:szCs w:val="28"/>
        </w:rPr>
        <w:t xml:space="preserve"> è disciplinato dall’art. 208 </w:t>
      </w:r>
      <w:r w:rsidR="00B52E15">
        <w:rPr>
          <w:rFonts w:ascii="Garamond" w:hAnsi="Garamond" w:cs="Times New Roman"/>
          <w:color w:val="000000" w:themeColor="text1"/>
          <w:sz w:val="28"/>
          <w:szCs w:val="28"/>
        </w:rPr>
        <w:t xml:space="preserve">del </w:t>
      </w:r>
      <w:r w:rsidR="004F0CCD">
        <w:rPr>
          <w:rFonts w:ascii="Garamond" w:hAnsi="Garamond" w:cs="Times New Roman"/>
          <w:color w:val="000000" w:themeColor="text1"/>
          <w:sz w:val="28"/>
          <w:szCs w:val="28"/>
        </w:rPr>
        <w:t>d.lgs.</w:t>
      </w:r>
      <w:r w:rsidR="00BA7B5D">
        <w:rPr>
          <w:rFonts w:ascii="Garamond" w:hAnsi="Garamond" w:cs="Times New Roman"/>
          <w:color w:val="000000" w:themeColor="text1"/>
          <w:sz w:val="28"/>
          <w:szCs w:val="28"/>
        </w:rPr>
        <w:t xml:space="preserve"> n. 152 del </w:t>
      </w:r>
      <w:r w:rsidRPr="00BF2644">
        <w:rPr>
          <w:rFonts w:ascii="Garamond" w:hAnsi="Garamond" w:cs="Times New Roman"/>
          <w:color w:val="000000" w:themeColor="text1"/>
          <w:sz w:val="28"/>
          <w:szCs w:val="28"/>
        </w:rPr>
        <w:t>2006</w:t>
      </w:r>
      <w:r w:rsidR="00B52E15">
        <w:rPr>
          <w:rFonts w:ascii="Garamond" w:hAnsi="Garamond" w:cs="Times New Roman"/>
          <w:color w:val="000000" w:themeColor="text1"/>
          <w:sz w:val="28"/>
          <w:szCs w:val="28"/>
        </w:rPr>
        <w:t>.</w:t>
      </w:r>
      <w:r w:rsidR="000C3859">
        <w:rPr>
          <w:rFonts w:ascii="Garamond" w:hAnsi="Garamond" w:cs="Times New Roman"/>
          <w:color w:val="000000" w:themeColor="text1"/>
          <w:sz w:val="28"/>
          <w:szCs w:val="28"/>
        </w:rPr>
        <w:t xml:space="preserve"> </w:t>
      </w:r>
      <w:r w:rsidR="00B52E15">
        <w:rPr>
          <w:rFonts w:ascii="Garamond" w:hAnsi="Garamond" w:cs="Times New Roman"/>
          <w:color w:val="000000" w:themeColor="text1"/>
          <w:sz w:val="28"/>
          <w:szCs w:val="28"/>
        </w:rPr>
        <w:t xml:space="preserve">Detto disposto normativo </w:t>
      </w:r>
      <w:r w:rsidRPr="00BF2644">
        <w:rPr>
          <w:rFonts w:ascii="Garamond" w:hAnsi="Garamond" w:cs="Times New Roman"/>
          <w:color w:val="000000" w:themeColor="text1"/>
          <w:sz w:val="28"/>
          <w:szCs w:val="28"/>
        </w:rPr>
        <w:t xml:space="preserve">prevede al riguardo  che i soggetti che intendono realizzare e gestire nuovi impianti di smaltimento o di recupero di rifiuti, anche pericolosi, devono presentare apposita domanda alla </w:t>
      </w:r>
      <w:r w:rsidR="002D4208" w:rsidRPr="00BF2644">
        <w:rPr>
          <w:rFonts w:ascii="Garamond" w:hAnsi="Garamond" w:cs="Times New Roman"/>
          <w:color w:val="000000" w:themeColor="text1"/>
          <w:sz w:val="28"/>
          <w:szCs w:val="28"/>
        </w:rPr>
        <w:t xml:space="preserve">Regione </w:t>
      </w:r>
      <w:r w:rsidRPr="00BF2644">
        <w:rPr>
          <w:rFonts w:ascii="Garamond" w:hAnsi="Garamond" w:cs="Times New Roman"/>
          <w:color w:val="000000" w:themeColor="text1"/>
          <w:sz w:val="28"/>
          <w:szCs w:val="28"/>
        </w:rPr>
        <w:t>competente per territorio, allegando il progetto definitivo dell'impianto e la documentazione tecnica prevista, per la realizzazione del progetto stesso, dalle disposizioni vigenti in materia urbanistica, di tutela ambientale, di salute, di sicurezza sul lavoro e di igiene pubblica. A seguito dell'espletamento dell'analitica procedura</w:t>
      </w:r>
      <w:r w:rsidR="00BB041C">
        <w:rPr>
          <w:rFonts w:ascii="Garamond" w:hAnsi="Garamond" w:cs="Times New Roman"/>
          <w:color w:val="000000" w:themeColor="text1"/>
          <w:sz w:val="28"/>
          <w:szCs w:val="28"/>
        </w:rPr>
        <w:t>,</w:t>
      </w:r>
      <w:r w:rsidRPr="00BF2644">
        <w:rPr>
          <w:rFonts w:ascii="Garamond" w:hAnsi="Garamond" w:cs="Times New Roman"/>
          <w:color w:val="000000" w:themeColor="text1"/>
          <w:sz w:val="28"/>
          <w:szCs w:val="28"/>
        </w:rPr>
        <w:t xml:space="preserve"> descritta </w:t>
      </w:r>
      <w:r w:rsidR="00BB041C">
        <w:rPr>
          <w:rFonts w:ascii="Garamond" w:hAnsi="Garamond" w:cs="Times New Roman"/>
          <w:color w:val="000000" w:themeColor="text1"/>
          <w:sz w:val="28"/>
          <w:szCs w:val="28"/>
        </w:rPr>
        <w:t xml:space="preserve">dal </w:t>
      </w:r>
      <w:r w:rsidR="00767B9F">
        <w:rPr>
          <w:rFonts w:ascii="Garamond" w:hAnsi="Garamond" w:cs="Times New Roman"/>
          <w:color w:val="000000" w:themeColor="text1"/>
          <w:sz w:val="28"/>
          <w:szCs w:val="28"/>
        </w:rPr>
        <w:t xml:space="preserve">comma 1 </w:t>
      </w:r>
      <w:r w:rsidR="00BB041C">
        <w:rPr>
          <w:rFonts w:ascii="Garamond" w:hAnsi="Garamond" w:cs="Times New Roman"/>
          <w:color w:val="000000" w:themeColor="text1"/>
          <w:sz w:val="28"/>
          <w:szCs w:val="28"/>
        </w:rPr>
        <w:t xml:space="preserve">al </w:t>
      </w:r>
      <w:r w:rsidR="00767B9F">
        <w:rPr>
          <w:rFonts w:ascii="Garamond" w:hAnsi="Garamond" w:cs="Times New Roman"/>
          <w:color w:val="000000" w:themeColor="text1"/>
          <w:sz w:val="28"/>
          <w:szCs w:val="28"/>
        </w:rPr>
        <w:t xml:space="preserve"> comma 7, </w:t>
      </w:r>
      <w:r w:rsidR="003C3E2B" w:rsidRPr="00BF2644">
        <w:rPr>
          <w:rFonts w:ascii="Garamond" w:hAnsi="Garamond" w:cs="Times New Roman"/>
          <w:color w:val="000000" w:themeColor="text1"/>
          <w:sz w:val="28"/>
          <w:szCs w:val="28"/>
        </w:rPr>
        <w:t xml:space="preserve">che prevede lo svolgimento di una conferenza di servizi alla quale sono invitati i  responsabili degli uffici regionali competenti e i rappresentanti delle autorità d'ambito e degli enti locali sul cui territorio </w:t>
      </w:r>
      <w:r w:rsidR="00BB041C">
        <w:rPr>
          <w:rFonts w:ascii="Garamond" w:hAnsi="Garamond" w:cs="Times New Roman"/>
          <w:color w:val="000000" w:themeColor="text1"/>
          <w:sz w:val="28"/>
          <w:szCs w:val="28"/>
        </w:rPr>
        <w:t xml:space="preserve">deve essere realizzato </w:t>
      </w:r>
      <w:r w:rsidR="003C3E2B" w:rsidRPr="00BF2644">
        <w:rPr>
          <w:rFonts w:ascii="Garamond" w:hAnsi="Garamond" w:cs="Times New Roman"/>
          <w:color w:val="000000" w:themeColor="text1"/>
          <w:sz w:val="28"/>
          <w:szCs w:val="28"/>
        </w:rPr>
        <w:t xml:space="preserve">l'impianto, nonché il richiedente l'autorizzazione o un suo rappresentante, </w:t>
      </w:r>
      <w:r w:rsidR="00BB041C">
        <w:rPr>
          <w:rFonts w:ascii="Garamond" w:hAnsi="Garamond" w:cs="Times New Roman"/>
          <w:color w:val="000000" w:themeColor="text1"/>
          <w:sz w:val="28"/>
          <w:szCs w:val="28"/>
        </w:rPr>
        <w:t xml:space="preserve">la </w:t>
      </w:r>
      <w:r w:rsidR="002D4208">
        <w:rPr>
          <w:rFonts w:ascii="Garamond" w:hAnsi="Garamond" w:cs="Times New Roman"/>
          <w:color w:val="000000" w:themeColor="text1"/>
          <w:sz w:val="28"/>
          <w:szCs w:val="28"/>
        </w:rPr>
        <w:lastRenderedPageBreak/>
        <w:t>R</w:t>
      </w:r>
      <w:r w:rsidR="002D4208" w:rsidRPr="00BF2644">
        <w:rPr>
          <w:rFonts w:ascii="Garamond" w:hAnsi="Garamond" w:cs="Times New Roman"/>
          <w:color w:val="000000" w:themeColor="text1"/>
          <w:sz w:val="28"/>
          <w:szCs w:val="28"/>
        </w:rPr>
        <w:t xml:space="preserve">egione </w:t>
      </w:r>
      <w:r w:rsidRPr="00BF2644">
        <w:rPr>
          <w:rFonts w:ascii="Garamond" w:hAnsi="Garamond" w:cs="Times New Roman"/>
          <w:color w:val="000000" w:themeColor="text1"/>
          <w:sz w:val="28"/>
          <w:szCs w:val="28"/>
        </w:rPr>
        <w:t>competente procede al rilascio dell'autorizzazione unica o con il diniego motivato della stessa.</w:t>
      </w:r>
    </w:p>
    <w:p w:rsidR="00C95C06" w:rsidRPr="00BF2644" w:rsidRDefault="00C95C06"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L'autorizzazione unica può</w:t>
      </w:r>
      <w:r w:rsidR="003C3E2B" w:rsidRPr="00BF2644">
        <w:rPr>
          <w:rFonts w:ascii="Garamond" w:hAnsi="Garamond" w:cs="Times New Roman"/>
          <w:color w:val="000000" w:themeColor="text1"/>
          <w:sz w:val="28"/>
          <w:szCs w:val="28"/>
        </w:rPr>
        <w:t xml:space="preserve"> pertanto </w:t>
      </w:r>
      <w:r w:rsidRPr="00BF2644">
        <w:rPr>
          <w:rFonts w:ascii="Garamond" w:hAnsi="Garamond" w:cs="Times New Roman"/>
          <w:color w:val="000000" w:themeColor="text1"/>
          <w:sz w:val="28"/>
          <w:szCs w:val="28"/>
        </w:rPr>
        <w:t xml:space="preserve"> essere rilasciata dalla </w:t>
      </w:r>
      <w:r w:rsidR="002D4208">
        <w:rPr>
          <w:rFonts w:ascii="Garamond" w:hAnsi="Garamond" w:cs="Times New Roman"/>
          <w:color w:val="000000" w:themeColor="text1"/>
          <w:sz w:val="28"/>
          <w:szCs w:val="28"/>
        </w:rPr>
        <w:t>R</w:t>
      </w:r>
      <w:r w:rsidR="002D4208" w:rsidRPr="00BF2644">
        <w:rPr>
          <w:rFonts w:ascii="Garamond" w:hAnsi="Garamond" w:cs="Times New Roman"/>
          <w:color w:val="000000" w:themeColor="text1"/>
          <w:sz w:val="28"/>
          <w:szCs w:val="28"/>
        </w:rPr>
        <w:t>egione</w:t>
      </w:r>
      <w:r w:rsidRPr="00BF2644">
        <w:rPr>
          <w:rFonts w:ascii="Garamond" w:hAnsi="Garamond" w:cs="Times New Roman"/>
          <w:color w:val="000000" w:themeColor="text1"/>
          <w:sz w:val="28"/>
          <w:szCs w:val="28"/>
        </w:rPr>
        <w:t xml:space="preserve"> qualora la conferenza di servizi, con decisione "</w:t>
      </w:r>
      <w:r w:rsidRPr="00521EA9">
        <w:rPr>
          <w:rFonts w:ascii="Garamond" w:hAnsi="Garamond" w:cs="Times New Roman"/>
          <w:i/>
          <w:color w:val="000000" w:themeColor="text1"/>
          <w:sz w:val="28"/>
          <w:szCs w:val="28"/>
        </w:rPr>
        <w:t>assunta a maggioranza</w:t>
      </w:r>
      <w:r w:rsidRPr="00BF2644">
        <w:rPr>
          <w:rFonts w:ascii="Garamond" w:hAnsi="Garamond" w:cs="Times New Roman"/>
          <w:color w:val="000000" w:themeColor="text1"/>
          <w:sz w:val="28"/>
          <w:szCs w:val="28"/>
        </w:rPr>
        <w:t>", abbia espresso parere favorevole</w:t>
      </w:r>
      <w:r w:rsidR="003C3E2B" w:rsidRPr="00BF2644">
        <w:rPr>
          <w:rFonts w:ascii="Garamond" w:hAnsi="Garamond" w:cs="Times New Roman"/>
          <w:color w:val="000000" w:themeColor="text1"/>
          <w:sz w:val="28"/>
          <w:szCs w:val="28"/>
        </w:rPr>
        <w:t xml:space="preserve">; pertanto non può riconoscersi </w:t>
      </w:r>
      <w:r w:rsidR="004640B1">
        <w:rPr>
          <w:rFonts w:ascii="Garamond" w:hAnsi="Garamond" w:cs="Times New Roman"/>
          <w:color w:val="000000" w:themeColor="text1"/>
          <w:sz w:val="28"/>
          <w:szCs w:val="28"/>
        </w:rPr>
        <w:t xml:space="preserve"> al C</w:t>
      </w:r>
      <w:r w:rsidRPr="00BF2644">
        <w:rPr>
          <w:rFonts w:ascii="Garamond" w:hAnsi="Garamond" w:cs="Times New Roman"/>
          <w:color w:val="000000" w:themeColor="text1"/>
          <w:sz w:val="28"/>
          <w:szCs w:val="28"/>
        </w:rPr>
        <w:t>omune alcun "</w:t>
      </w:r>
      <w:r w:rsidRPr="00767B9F">
        <w:rPr>
          <w:rFonts w:ascii="Garamond" w:hAnsi="Garamond" w:cs="Times New Roman"/>
          <w:i/>
          <w:color w:val="000000" w:themeColor="text1"/>
          <w:sz w:val="28"/>
          <w:szCs w:val="28"/>
        </w:rPr>
        <w:t>potere di veto</w:t>
      </w:r>
      <w:r w:rsidRPr="00BF2644">
        <w:rPr>
          <w:rFonts w:ascii="Garamond" w:hAnsi="Garamond" w:cs="Times New Roman"/>
          <w:color w:val="000000" w:themeColor="text1"/>
          <w:sz w:val="28"/>
          <w:szCs w:val="28"/>
        </w:rPr>
        <w:t>": un siffatto potere di veto, infatti, non è previsto da alcuna disposizione normativa, né è in alcun modo desumibile dalla</w:t>
      </w:r>
      <w:r w:rsidRPr="00BF2644">
        <w:rPr>
          <w:rFonts w:ascii="Garamond" w:hAnsi="Garamond" w:cs="Times New Roman"/>
          <w:i/>
          <w:color w:val="000000" w:themeColor="text1"/>
          <w:sz w:val="28"/>
          <w:szCs w:val="28"/>
        </w:rPr>
        <w:t xml:space="preserve"> ratio</w:t>
      </w:r>
      <w:r w:rsidRPr="00BF2644">
        <w:rPr>
          <w:rFonts w:ascii="Garamond" w:hAnsi="Garamond" w:cs="Times New Roman"/>
          <w:color w:val="000000" w:themeColor="text1"/>
          <w:sz w:val="28"/>
          <w:szCs w:val="28"/>
        </w:rPr>
        <w:t xml:space="preserve"> del citato articolo 208, che ha invece introdotto uno speciale procedimento in deroga al normale quadro degli assetti procedimentali e sostanziali in materia di costruzione e gestione di impianti di smaltimento o di recupero di rifiut</w:t>
      </w:r>
      <w:r w:rsidR="004A488C">
        <w:rPr>
          <w:rFonts w:ascii="Garamond" w:hAnsi="Garamond" w:cs="Times New Roman"/>
          <w:color w:val="000000" w:themeColor="text1"/>
          <w:sz w:val="28"/>
          <w:szCs w:val="28"/>
        </w:rPr>
        <w:t xml:space="preserve">i (Cons. Stato, sez. V, n. 565 del </w:t>
      </w:r>
      <w:r w:rsidRPr="00BF2644">
        <w:rPr>
          <w:rFonts w:ascii="Garamond" w:hAnsi="Garamond" w:cs="Times New Roman"/>
          <w:color w:val="000000" w:themeColor="text1"/>
          <w:sz w:val="28"/>
          <w:szCs w:val="28"/>
        </w:rPr>
        <w:t>2015</w:t>
      </w:r>
      <w:r w:rsidRPr="00A82D78">
        <w:rPr>
          <w:rFonts w:ascii="Garamond" w:hAnsi="Garamond" w:cs="Times New Roman"/>
          <w:color w:val="000000" w:themeColor="text1"/>
          <w:sz w:val="28"/>
          <w:szCs w:val="28"/>
        </w:rPr>
        <w:t>); sif</w:t>
      </w:r>
      <w:r w:rsidR="00767B9F" w:rsidRPr="00A82D78">
        <w:rPr>
          <w:rFonts w:ascii="Garamond" w:hAnsi="Garamond" w:cs="Times New Roman"/>
          <w:color w:val="000000" w:themeColor="text1"/>
          <w:sz w:val="28"/>
          <w:szCs w:val="28"/>
        </w:rPr>
        <w:t xml:space="preserve">fatta disposizione </w:t>
      </w:r>
      <w:r w:rsidRPr="00A82D78">
        <w:rPr>
          <w:rFonts w:ascii="Garamond" w:hAnsi="Garamond" w:cs="Times New Roman"/>
          <w:color w:val="000000" w:themeColor="text1"/>
          <w:sz w:val="28"/>
          <w:szCs w:val="28"/>
        </w:rPr>
        <w:t>è significativa della volontà del legislatore di coordinare in modo armonico l'esercizio dei concorrenti poteri di pianificazione spettanti ai diversi livelli di governo del territorio e, secondo il consolidato indirizzo ermeneutico seguito dalla giurisprudenza costituzionale, appare anzi doverosa la leale collaborazione degli enti territoriali nel rispetto delle reciproche prerogative, anche costituzionalmente tutelate (C</w:t>
      </w:r>
      <w:r w:rsidR="004A488C" w:rsidRPr="00A82D78">
        <w:rPr>
          <w:rFonts w:ascii="Garamond" w:hAnsi="Garamond" w:cs="Times New Roman"/>
          <w:color w:val="000000" w:themeColor="text1"/>
          <w:sz w:val="28"/>
          <w:szCs w:val="28"/>
        </w:rPr>
        <w:t xml:space="preserve">ons. Stato, sez. IV, n. 5376 del </w:t>
      </w:r>
      <w:r w:rsidRPr="00A82D78">
        <w:rPr>
          <w:rFonts w:ascii="Garamond" w:hAnsi="Garamond" w:cs="Times New Roman"/>
          <w:color w:val="000000" w:themeColor="text1"/>
          <w:sz w:val="28"/>
          <w:szCs w:val="28"/>
        </w:rPr>
        <w:t>2022;</w:t>
      </w:r>
      <w:r w:rsidR="004A488C" w:rsidRPr="00A82D78">
        <w:rPr>
          <w:rFonts w:ascii="Garamond" w:hAnsi="Garamond" w:cs="Times New Roman"/>
          <w:color w:val="000000" w:themeColor="text1"/>
          <w:sz w:val="28"/>
          <w:szCs w:val="28"/>
        </w:rPr>
        <w:t xml:space="preserve"> sez. IV, n. 4991 del </w:t>
      </w:r>
      <w:r w:rsidRPr="00A82D78">
        <w:rPr>
          <w:rFonts w:ascii="Garamond" w:hAnsi="Garamond" w:cs="Times New Roman"/>
          <w:color w:val="000000" w:themeColor="text1"/>
          <w:sz w:val="28"/>
          <w:szCs w:val="28"/>
        </w:rPr>
        <w:t>2020).</w:t>
      </w:r>
    </w:p>
    <w:p w:rsidR="00966E4B" w:rsidRPr="00BF2644" w:rsidRDefault="00767B9F" w:rsidP="00BF2644">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L’art. 208, comma 3, </w:t>
      </w:r>
      <w:r w:rsidR="004F0CCD">
        <w:rPr>
          <w:rFonts w:ascii="Garamond" w:hAnsi="Garamond" w:cs="Times New Roman"/>
          <w:color w:val="000000" w:themeColor="text1"/>
          <w:sz w:val="28"/>
          <w:szCs w:val="28"/>
        </w:rPr>
        <w:t>d.lgs.</w:t>
      </w:r>
      <w:r w:rsidR="006810F5">
        <w:rPr>
          <w:rFonts w:ascii="Garamond" w:hAnsi="Garamond" w:cs="Times New Roman"/>
          <w:color w:val="000000" w:themeColor="text1"/>
          <w:sz w:val="28"/>
          <w:szCs w:val="28"/>
        </w:rPr>
        <w:t xml:space="preserve"> n. 152 del </w:t>
      </w:r>
      <w:r w:rsidR="00016F37" w:rsidRPr="00BF2644">
        <w:rPr>
          <w:rFonts w:ascii="Garamond" w:hAnsi="Garamond" w:cs="Times New Roman"/>
          <w:color w:val="000000" w:themeColor="text1"/>
          <w:sz w:val="28"/>
          <w:szCs w:val="28"/>
        </w:rPr>
        <w:t>2006, laddove  prevede che: “</w:t>
      </w:r>
      <w:r w:rsidR="00016F37" w:rsidRPr="00BF2644">
        <w:rPr>
          <w:rFonts w:ascii="Garamond" w:hAnsi="Garamond" w:cs="Times New Roman"/>
          <w:i/>
          <w:color w:val="000000" w:themeColor="text1"/>
          <w:sz w:val="28"/>
          <w:szCs w:val="28"/>
        </w:rPr>
        <w:t>La decisione della conferenza dei servizi</w:t>
      </w:r>
      <w:r w:rsidR="00016F37" w:rsidRPr="00BF2644">
        <w:rPr>
          <w:rFonts w:ascii="Garamond" w:hAnsi="Garamond" w:cs="Times New Roman"/>
          <w:color w:val="000000" w:themeColor="text1"/>
          <w:sz w:val="28"/>
          <w:szCs w:val="28"/>
        </w:rPr>
        <w:t xml:space="preserve"> </w:t>
      </w:r>
      <w:r w:rsidR="00016F37" w:rsidRPr="00BF2644">
        <w:rPr>
          <w:rFonts w:ascii="Garamond" w:hAnsi="Garamond" w:cs="Times New Roman"/>
          <w:i/>
          <w:color w:val="000000" w:themeColor="text1"/>
          <w:sz w:val="28"/>
          <w:szCs w:val="28"/>
        </w:rPr>
        <w:t>è assunta a maggioranza e le relative determinazioni devono fornire una adeguata motivazione rispetto alle opinioni dissenzienti espresse nel corso della conferenza</w:t>
      </w:r>
      <w:r w:rsidR="00016F37" w:rsidRPr="00BF2644">
        <w:rPr>
          <w:rFonts w:ascii="Garamond" w:hAnsi="Garamond" w:cs="Times New Roman"/>
          <w:color w:val="000000" w:themeColor="text1"/>
          <w:sz w:val="28"/>
          <w:szCs w:val="28"/>
        </w:rPr>
        <w:t>” costituisce</w:t>
      </w:r>
      <w:r w:rsidR="006C421B" w:rsidRPr="00BF2644">
        <w:rPr>
          <w:rFonts w:ascii="Garamond" w:hAnsi="Garamond" w:cs="Times New Roman"/>
          <w:color w:val="000000" w:themeColor="text1"/>
          <w:sz w:val="28"/>
          <w:szCs w:val="28"/>
        </w:rPr>
        <w:t xml:space="preserve"> </w:t>
      </w:r>
      <w:r w:rsidR="00016F37" w:rsidRPr="00BF2644">
        <w:rPr>
          <w:rFonts w:ascii="Garamond" w:hAnsi="Garamond" w:cs="Times New Roman"/>
          <w:color w:val="000000" w:themeColor="text1"/>
          <w:sz w:val="28"/>
          <w:szCs w:val="28"/>
        </w:rPr>
        <w:t>norma speciale rispet</w:t>
      </w:r>
      <w:r w:rsidR="003A2EFA">
        <w:rPr>
          <w:rFonts w:ascii="Garamond" w:hAnsi="Garamond" w:cs="Times New Roman"/>
          <w:color w:val="000000" w:themeColor="text1"/>
          <w:sz w:val="28"/>
          <w:szCs w:val="28"/>
        </w:rPr>
        <w:t>to alla previsione dell’art. 14-</w:t>
      </w:r>
      <w:r w:rsidR="00016F37" w:rsidRPr="003A2EFA">
        <w:rPr>
          <w:rFonts w:ascii="Garamond" w:hAnsi="Garamond" w:cs="Times New Roman"/>
          <w:i/>
          <w:color w:val="000000" w:themeColor="text1"/>
          <w:sz w:val="28"/>
          <w:szCs w:val="28"/>
        </w:rPr>
        <w:t>ter</w:t>
      </w:r>
      <w:r w:rsidR="00016F37" w:rsidRPr="00BF2644">
        <w:rPr>
          <w:rFonts w:ascii="Garamond" w:hAnsi="Garamond" w:cs="Times New Roman"/>
          <w:color w:val="000000" w:themeColor="text1"/>
          <w:sz w:val="28"/>
          <w:szCs w:val="28"/>
        </w:rPr>
        <w:t xml:space="preserve">, comma 7, </w:t>
      </w:r>
      <w:r w:rsidR="006C564E">
        <w:rPr>
          <w:rFonts w:ascii="Garamond" w:hAnsi="Garamond" w:cs="Times New Roman"/>
          <w:color w:val="000000" w:themeColor="text1"/>
          <w:sz w:val="28"/>
          <w:szCs w:val="28"/>
        </w:rPr>
        <w:t>legge</w:t>
      </w:r>
      <w:r w:rsidR="00016F37" w:rsidRPr="00BF2644">
        <w:rPr>
          <w:rFonts w:ascii="Garamond" w:hAnsi="Garamond" w:cs="Times New Roman"/>
          <w:color w:val="000000" w:themeColor="text1"/>
          <w:sz w:val="28"/>
          <w:szCs w:val="28"/>
        </w:rPr>
        <w:t xml:space="preserve"> n. 241/1990 secondo cui  “</w:t>
      </w:r>
      <w:r w:rsidR="00016F37" w:rsidRPr="00BF2644">
        <w:rPr>
          <w:rFonts w:ascii="Garamond" w:hAnsi="Garamond" w:cs="Times New Roman"/>
          <w:i/>
          <w:color w:val="000000" w:themeColor="text1"/>
          <w:sz w:val="28"/>
          <w:szCs w:val="28"/>
        </w:rPr>
        <w:t>All’esito dell'ultima riunione, e comunque non oltre il termine di cui al comma 2, l'amministrazione procedente adotta la determinazione motivata di conclusione della conferenza, con gli effetti di cui all'articolo 14-quater, sulla base delle posizioni prevalenti espresse dalle amministrazioni partecipanti alla conferenza tramite i rispettivi rappresentanti</w:t>
      </w:r>
      <w:r w:rsidR="00A568BA" w:rsidRPr="00BF2644">
        <w:rPr>
          <w:rFonts w:ascii="Garamond" w:hAnsi="Garamond" w:cs="Times New Roman"/>
          <w:color w:val="000000" w:themeColor="text1"/>
          <w:sz w:val="28"/>
          <w:szCs w:val="28"/>
        </w:rPr>
        <w:t xml:space="preserve">” </w:t>
      </w:r>
      <w:r w:rsidR="00016F37" w:rsidRPr="00BF2644">
        <w:rPr>
          <w:rFonts w:ascii="Garamond" w:hAnsi="Garamond" w:cs="Times New Roman"/>
          <w:color w:val="000000" w:themeColor="text1"/>
          <w:sz w:val="28"/>
          <w:szCs w:val="28"/>
        </w:rPr>
        <w:t xml:space="preserve"> </w:t>
      </w:r>
      <w:r w:rsidR="004A488C">
        <w:rPr>
          <w:rFonts w:ascii="Garamond" w:hAnsi="Garamond" w:cs="Times New Roman"/>
          <w:color w:val="000000" w:themeColor="text1"/>
          <w:sz w:val="28"/>
          <w:szCs w:val="28"/>
        </w:rPr>
        <w:t xml:space="preserve">(Cons. Stato, sez. IV, n. 446 del </w:t>
      </w:r>
      <w:r w:rsidR="00E721C6" w:rsidRPr="00BF2644">
        <w:rPr>
          <w:rFonts w:ascii="Garamond" w:hAnsi="Garamond" w:cs="Times New Roman"/>
          <w:color w:val="000000" w:themeColor="text1"/>
          <w:sz w:val="28"/>
          <w:szCs w:val="28"/>
        </w:rPr>
        <w:t>2022 relativa a fattispecie in cui non si era</w:t>
      </w:r>
      <w:r w:rsidR="004A488C">
        <w:rPr>
          <w:rFonts w:ascii="Garamond" w:hAnsi="Garamond" w:cs="Times New Roman"/>
          <w:color w:val="000000" w:themeColor="text1"/>
          <w:sz w:val="28"/>
          <w:szCs w:val="28"/>
        </w:rPr>
        <w:t xml:space="preserve"> immotivatamente </w:t>
      </w:r>
      <w:r w:rsidR="00E721C6" w:rsidRPr="00BF2644">
        <w:rPr>
          <w:rFonts w:ascii="Garamond" w:hAnsi="Garamond" w:cs="Times New Roman"/>
          <w:color w:val="000000" w:themeColor="text1"/>
          <w:sz w:val="28"/>
          <w:szCs w:val="28"/>
        </w:rPr>
        <w:t xml:space="preserve"> tenuto conto del parere negativo espresso da Roma Capitale, relativo alla difformità del progetto rispetto al Piano di Gestione dei Rifiuti e del parere negativo espresso dal Ministero della Difesa che aveva rappresentato le sensibili interferenze con il  “</w:t>
      </w:r>
      <w:r w:rsidR="00E721C6" w:rsidRPr="00BF2644">
        <w:rPr>
          <w:rFonts w:ascii="Garamond" w:hAnsi="Garamond" w:cs="Times New Roman"/>
          <w:i/>
          <w:color w:val="000000" w:themeColor="text1"/>
          <w:sz w:val="28"/>
          <w:szCs w:val="28"/>
        </w:rPr>
        <w:t>parco antenne, posto a circa 700 metri di distanza</w:t>
      </w:r>
      <w:r w:rsidR="006C421B" w:rsidRPr="00BF2644">
        <w:rPr>
          <w:rFonts w:ascii="Garamond" w:hAnsi="Garamond" w:cs="Times New Roman"/>
          <w:color w:val="000000" w:themeColor="text1"/>
          <w:sz w:val="28"/>
          <w:szCs w:val="28"/>
        </w:rPr>
        <w:t>”).</w:t>
      </w:r>
    </w:p>
    <w:p w:rsidR="005A65BC" w:rsidRPr="00BF2644" w:rsidRDefault="00767B9F" w:rsidP="000B35CF">
      <w:pPr>
        <w:spacing w:line="240" w:lineRule="auto"/>
        <w:ind w:firstLine="709"/>
        <w:contextualSpacing/>
        <w:jc w:val="both"/>
        <w:rPr>
          <w:rFonts w:ascii="Garamond" w:hAnsi="Garamond" w:cs="Times New Roman"/>
          <w:color w:val="000000" w:themeColor="text1"/>
          <w:sz w:val="28"/>
          <w:szCs w:val="28"/>
        </w:rPr>
      </w:pPr>
      <w:r w:rsidRPr="00A82D78">
        <w:rPr>
          <w:rFonts w:ascii="Garamond" w:hAnsi="Garamond" w:cs="Times New Roman"/>
          <w:color w:val="000000" w:themeColor="text1"/>
          <w:sz w:val="28"/>
          <w:szCs w:val="28"/>
        </w:rPr>
        <w:t>I</w:t>
      </w:r>
      <w:r w:rsidR="004A488C" w:rsidRPr="00A82D78">
        <w:rPr>
          <w:rFonts w:ascii="Garamond" w:hAnsi="Garamond" w:cs="Times New Roman"/>
          <w:color w:val="000000" w:themeColor="text1"/>
          <w:sz w:val="28"/>
          <w:szCs w:val="28"/>
        </w:rPr>
        <w:t xml:space="preserve"> partecipanti alla c</w:t>
      </w:r>
      <w:r w:rsidR="005A65BC" w:rsidRPr="00A82D78">
        <w:rPr>
          <w:rFonts w:ascii="Garamond" w:hAnsi="Garamond" w:cs="Times New Roman"/>
          <w:color w:val="000000" w:themeColor="text1"/>
          <w:sz w:val="28"/>
          <w:szCs w:val="28"/>
        </w:rPr>
        <w:t xml:space="preserve">onferenza dei servizi non sono chiamati ad esprimersi in qualità di titolari di autonome competenze, ma di interlocutori di un confronto che si conclude con un provvedimento della </w:t>
      </w:r>
      <w:r w:rsidR="002D4208" w:rsidRPr="00A82D78">
        <w:rPr>
          <w:rFonts w:ascii="Garamond" w:hAnsi="Garamond" w:cs="Times New Roman"/>
          <w:color w:val="000000" w:themeColor="text1"/>
          <w:sz w:val="28"/>
          <w:szCs w:val="28"/>
        </w:rPr>
        <w:t>Regione</w:t>
      </w:r>
      <w:r w:rsidR="005A65BC" w:rsidRPr="00A82D78">
        <w:rPr>
          <w:rFonts w:ascii="Garamond" w:hAnsi="Garamond" w:cs="Times New Roman"/>
          <w:color w:val="000000" w:themeColor="text1"/>
          <w:sz w:val="28"/>
          <w:szCs w:val="28"/>
        </w:rPr>
        <w:t xml:space="preserve"> </w:t>
      </w:r>
      <w:r w:rsidR="000B35CF" w:rsidRPr="00A82D78">
        <w:rPr>
          <w:rFonts w:ascii="Garamond" w:hAnsi="Garamond" w:cs="Times New Roman"/>
          <w:color w:val="000000" w:themeColor="text1"/>
          <w:sz w:val="28"/>
          <w:szCs w:val="28"/>
        </w:rPr>
        <w:t>[</w:t>
      </w:r>
      <w:r w:rsidR="005A65BC" w:rsidRPr="00BF2644">
        <w:rPr>
          <w:rFonts w:ascii="Garamond" w:hAnsi="Garamond" w:cs="Times New Roman"/>
          <w:color w:val="000000" w:themeColor="text1"/>
          <w:sz w:val="28"/>
          <w:szCs w:val="28"/>
        </w:rPr>
        <w:t xml:space="preserve">Cons. Stato </w:t>
      </w:r>
      <w:r w:rsidR="00181410">
        <w:rPr>
          <w:rFonts w:ascii="Garamond" w:hAnsi="Garamond" w:cs="Times New Roman"/>
          <w:color w:val="000000" w:themeColor="text1"/>
          <w:sz w:val="28"/>
          <w:szCs w:val="28"/>
        </w:rPr>
        <w:t>sez.</w:t>
      </w:r>
      <w:r w:rsidR="00375092">
        <w:rPr>
          <w:rFonts w:ascii="Garamond" w:hAnsi="Garamond" w:cs="Times New Roman"/>
          <w:color w:val="000000" w:themeColor="text1"/>
          <w:sz w:val="28"/>
          <w:szCs w:val="28"/>
        </w:rPr>
        <w:t xml:space="preserve"> II, </w:t>
      </w:r>
      <w:r w:rsidR="005A65BC" w:rsidRPr="00BF2644">
        <w:rPr>
          <w:rFonts w:ascii="Garamond" w:hAnsi="Garamond" w:cs="Times New Roman"/>
          <w:color w:val="000000" w:themeColor="text1"/>
          <w:sz w:val="28"/>
          <w:szCs w:val="28"/>
        </w:rPr>
        <w:t>n. 4734</w:t>
      </w:r>
      <w:r w:rsidR="004A488C">
        <w:rPr>
          <w:rFonts w:ascii="Garamond" w:hAnsi="Garamond" w:cs="Times New Roman"/>
          <w:color w:val="000000" w:themeColor="text1"/>
          <w:sz w:val="28"/>
          <w:szCs w:val="28"/>
        </w:rPr>
        <w:t xml:space="preserve"> del 2019</w:t>
      </w:r>
      <w:r w:rsidR="005A65BC" w:rsidRPr="00BF2644">
        <w:rPr>
          <w:rFonts w:ascii="Garamond" w:hAnsi="Garamond" w:cs="Times New Roman"/>
          <w:color w:val="000000" w:themeColor="text1"/>
          <w:sz w:val="28"/>
          <w:szCs w:val="28"/>
        </w:rPr>
        <w:t xml:space="preserve"> secondo cui non è sindacabile la scelta dell'amministrazione procedente di condividere e fare propri i pareri sfavorevoli espressi dagli uffici che hanno partecipato alla conferenza dei servizi, poiché tale determinazione rientra nell'ambito della discrezionalità tecnico-amministrativa, sottratta al sindacato di legittimità (</w:t>
      </w:r>
      <w:r w:rsidR="004A488C">
        <w:rPr>
          <w:rFonts w:ascii="Garamond" w:hAnsi="Garamond" w:cs="Times New Roman"/>
          <w:color w:val="000000" w:themeColor="text1"/>
          <w:sz w:val="28"/>
          <w:szCs w:val="28"/>
        </w:rPr>
        <w:t xml:space="preserve"> in termini </w:t>
      </w:r>
      <w:r w:rsidR="007C2E08">
        <w:rPr>
          <w:rFonts w:ascii="Garamond" w:hAnsi="Garamond" w:cs="Times New Roman"/>
          <w:color w:val="000000" w:themeColor="text1"/>
          <w:sz w:val="28"/>
          <w:szCs w:val="28"/>
        </w:rPr>
        <w:t xml:space="preserve">Cons. </w:t>
      </w:r>
      <w:r w:rsidR="005A65BC" w:rsidRPr="00BF2644">
        <w:rPr>
          <w:rFonts w:ascii="Garamond" w:hAnsi="Garamond" w:cs="Times New Roman"/>
          <w:color w:val="000000" w:themeColor="text1"/>
          <w:sz w:val="28"/>
          <w:szCs w:val="28"/>
        </w:rPr>
        <w:t>Stato, sez. V</w:t>
      </w:r>
      <w:r w:rsidR="004A488C">
        <w:rPr>
          <w:rFonts w:ascii="Garamond" w:hAnsi="Garamond" w:cs="Times New Roman"/>
          <w:color w:val="000000" w:themeColor="text1"/>
          <w:sz w:val="28"/>
          <w:szCs w:val="28"/>
        </w:rPr>
        <w:t xml:space="preserve">, </w:t>
      </w:r>
      <w:r w:rsidR="000B35CF">
        <w:rPr>
          <w:rFonts w:ascii="Garamond" w:hAnsi="Garamond" w:cs="Times New Roman"/>
          <w:color w:val="000000" w:themeColor="text1"/>
          <w:sz w:val="28"/>
          <w:szCs w:val="28"/>
        </w:rPr>
        <w:t xml:space="preserve"> n. 3000 del 2016)]</w:t>
      </w:r>
      <w:r w:rsidR="005A65BC" w:rsidRPr="00BF2644">
        <w:rPr>
          <w:rFonts w:ascii="Garamond" w:hAnsi="Garamond" w:cs="Times New Roman"/>
          <w:color w:val="000000" w:themeColor="text1"/>
          <w:sz w:val="28"/>
          <w:szCs w:val="28"/>
        </w:rPr>
        <w:t>.</w:t>
      </w:r>
    </w:p>
    <w:p w:rsidR="003E37AA" w:rsidRDefault="003E37AA" w:rsidP="00BF2644">
      <w:pPr>
        <w:spacing w:line="240" w:lineRule="auto"/>
        <w:ind w:firstLine="709"/>
        <w:contextualSpacing/>
        <w:jc w:val="both"/>
        <w:rPr>
          <w:rFonts w:ascii="Garamond" w:hAnsi="Garamond" w:cs="Times New Roman"/>
          <w:b/>
          <w:color w:val="000000" w:themeColor="text1"/>
          <w:sz w:val="28"/>
          <w:szCs w:val="28"/>
        </w:rPr>
      </w:pPr>
    </w:p>
    <w:p w:rsidR="000F67D3" w:rsidRPr="00BF2644" w:rsidRDefault="000F67D3" w:rsidP="00BF2644">
      <w:pPr>
        <w:spacing w:line="240" w:lineRule="auto"/>
        <w:ind w:firstLine="709"/>
        <w:contextualSpacing/>
        <w:jc w:val="both"/>
        <w:rPr>
          <w:rFonts w:ascii="Garamond" w:hAnsi="Garamond" w:cs="Times New Roman"/>
          <w:b/>
          <w:color w:val="000000" w:themeColor="text1"/>
          <w:sz w:val="28"/>
          <w:szCs w:val="28"/>
        </w:rPr>
      </w:pPr>
      <w:r w:rsidRPr="00BF2644">
        <w:rPr>
          <w:rFonts w:ascii="Garamond" w:hAnsi="Garamond" w:cs="Times New Roman"/>
          <w:b/>
          <w:color w:val="000000" w:themeColor="text1"/>
          <w:sz w:val="28"/>
          <w:szCs w:val="28"/>
        </w:rPr>
        <w:t>1.3.1. Variante agli strumenti urbanistici</w:t>
      </w:r>
    </w:p>
    <w:p w:rsidR="00697866" w:rsidRPr="003B706A" w:rsidRDefault="00EC5932" w:rsidP="003B706A">
      <w:pPr>
        <w:spacing w:line="240" w:lineRule="auto"/>
        <w:ind w:firstLine="709"/>
        <w:contextualSpacing/>
        <w:jc w:val="both"/>
      </w:pPr>
      <w:r>
        <w:rPr>
          <w:rFonts w:ascii="Garamond" w:hAnsi="Garamond" w:cs="Times New Roman"/>
          <w:color w:val="000000" w:themeColor="text1"/>
          <w:sz w:val="28"/>
          <w:szCs w:val="28"/>
        </w:rPr>
        <w:t>Per giurisprudenza costante (</w:t>
      </w:r>
      <w:r w:rsidR="000B35CF" w:rsidRPr="00375092">
        <w:rPr>
          <w:rFonts w:ascii="Garamond" w:hAnsi="Garamond" w:cs="Times New Roman"/>
          <w:i/>
          <w:color w:val="000000" w:themeColor="text1"/>
          <w:sz w:val="28"/>
          <w:szCs w:val="28"/>
        </w:rPr>
        <w:t>ex multis</w:t>
      </w:r>
      <w:r w:rsidR="000B35CF">
        <w:rPr>
          <w:rFonts w:ascii="Garamond" w:hAnsi="Garamond" w:cs="Times New Roman"/>
          <w:color w:val="000000" w:themeColor="text1"/>
          <w:sz w:val="28"/>
          <w:szCs w:val="28"/>
        </w:rPr>
        <w:t xml:space="preserve"> </w:t>
      </w:r>
      <w:r w:rsidRPr="00EC5932">
        <w:rPr>
          <w:rFonts w:ascii="Garamond" w:hAnsi="Garamond" w:cs="Times New Roman"/>
          <w:color w:val="000000" w:themeColor="text1"/>
          <w:sz w:val="28"/>
          <w:szCs w:val="28"/>
        </w:rPr>
        <w:t>Cons. Stato, sez. V,  n. 291 del 2023; Cons. Stato, sez. IV,</w:t>
      </w:r>
      <w:r>
        <w:rPr>
          <w:rFonts w:ascii="Garamond" w:hAnsi="Garamond" w:cs="Times New Roman"/>
          <w:color w:val="000000" w:themeColor="text1"/>
          <w:sz w:val="28"/>
          <w:szCs w:val="28"/>
        </w:rPr>
        <w:t xml:space="preserve"> n. </w:t>
      </w:r>
      <w:r w:rsidRPr="00EC5932">
        <w:rPr>
          <w:rFonts w:ascii="Garamond" w:hAnsi="Garamond" w:cs="Times New Roman"/>
          <w:color w:val="000000" w:themeColor="text1"/>
          <w:sz w:val="28"/>
          <w:szCs w:val="28"/>
        </w:rPr>
        <w:t xml:space="preserve">1015 del 2018) </w:t>
      </w:r>
      <w:r w:rsidR="00697866" w:rsidRPr="00BF2644">
        <w:rPr>
          <w:rFonts w:ascii="Garamond" w:hAnsi="Garamond" w:cs="Times New Roman"/>
          <w:color w:val="000000" w:themeColor="text1"/>
          <w:sz w:val="28"/>
          <w:szCs w:val="28"/>
        </w:rPr>
        <w:t>l'art. </w:t>
      </w:r>
      <w:r w:rsidR="00767B9F">
        <w:rPr>
          <w:rFonts w:ascii="Garamond" w:hAnsi="Garamond" w:cs="Times New Roman"/>
          <w:color w:val="000000" w:themeColor="text1"/>
          <w:sz w:val="28"/>
          <w:szCs w:val="28"/>
        </w:rPr>
        <w:t xml:space="preserve">208, </w:t>
      </w:r>
      <w:r w:rsidR="003B706A">
        <w:rPr>
          <w:rFonts w:ascii="Garamond" w:hAnsi="Garamond" w:cs="Times New Roman"/>
          <w:color w:val="000000" w:themeColor="text1"/>
          <w:sz w:val="28"/>
          <w:szCs w:val="28"/>
        </w:rPr>
        <w:t>comma</w:t>
      </w:r>
      <w:r w:rsidR="00767B9F">
        <w:rPr>
          <w:rFonts w:ascii="Garamond" w:hAnsi="Garamond" w:cs="Times New Roman"/>
          <w:color w:val="000000" w:themeColor="text1"/>
          <w:sz w:val="28"/>
          <w:szCs w:val="28"/>
        </w:rPr>
        <w:t xml:space="preserve"> 6</w:t>
      </w:r>
      <w:r w:rsidR="003B706A">
        <w:rPr>
          <w:rFonts w:ascii="Garamond" w:hAnsi="Garamond" w:cs="Times New Roman"/>
          <w:color w:val="000000" w:themeColor="text1"/>
          <w:sz w:val="28"/>
          <w:szCs w:val="28"/>
        </w:rPr>
        <w:t xml:space="preserve"> </w:t>
      </w:r>
      <w:r w:rsidR="004F0CCD">
        <w:rPr>
          <w:rFonts w:ascii="Garamond" w:hAnsi="Garamond" w:cs="Times New Roman"/>
          <w:color w:val="000000" w:themeColor="text1"/>
          <w:sz w:val="28"/>
          <w:szCs w:val="28"/>
        </w:rPr>
        <w:t>d.lgs.</w:t>
      </w:r>
      <w:r w:rsidR="003B706A">
        <w:rPr>
          <w:rFonts w:ascii="Garamond" w:hAnsi="Garamond" w:cs="Times New Roman"/>
          <w:color w:val="000000" w:themeColor="text1"/>
          <w:sz w:val="28"/>
          <w:szCs w:val="28"/>
        </w:rPr>
        <w:t xml:space="preserve"> </w:t>
      </w:r>
      <w:r w:rsidR="000512D1">
        <w:rPr>
          <w:rFonts w:ascii="Garamond" w:hAnsi="Garamond" w:cs="Times New Roman"/>
          <w:color w:val="000000" w:themeColor="text1"/>
          <w:sz w:val="28"/>
          <w:szCs w:val="28"/>
        </w:rPr>
        <w:t xml:space="preserve">n. </w:t>
      </w:r>
      <w:r w:rsidR="003B706A">
        <w:rPr>
          <w:rFonts w:ascii="Garamond" w:hAnsi="Garamond" w:cs="Times New Roman"/>
          <w:color w:val="000000" w:themeColor="text1"/>
          <w:sz w:val="28"/>
          <w:szCs w:val="28"/>
        </w:rPr>
        <w:t xml:space="preserve">152 del 2006, </w:t>
      </w:r>
      <w:r w:rsidR="005A65BC" w:rsidRPr="00BF2644">
        <w:rPr>
          <w:rFonts w:ascii="Garamond" w:hAnsi="Garamond" w:cs="Times New Roman"/>
          <w:color w:val="000000" w:themeColor="text1"/>
          <w:sz w:val="28"/>
          <w:szCs w:val="28"/>
        </w:rPr>
        <w:t>comporta</w:t>
      </w:r>
      <w:r w:rsidR="00697866" w:rsidRPr="00BF2644">
        <w:rPr>
          <w:rFonts w:ascii="Garamond" w:hAnsi="Garamond" w:cs="Times New Roman"/>
          <w:color w:val="000000" w:themeColor="text1"/>
          <w:sz w:val="28"/>
          <w:szCs w:val="28"/>
        </w:rPr>
        <w:t xml:space="preserve"> che l'approvazione di un progetto relativo ad un impianto di smaltimento e recupero dei rifiuti sostituisce ad ogni effetto visti, pareri, autorizzazioni e concessioni di organi regionali, provinciali e comunali e costituisce, ove occorra, variante allo strumento urbanistico comportante la dichiarazione di pubblica utilità, urgenza ed indifferibilità dei lavori.</w:t>
      </w:r>
    </w:p>
    <w:p w:rsidR="003C3E2B" w:rsidRPr="00BF2644" w:rsidRDefault="003C2E11"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La giurisprudenza del Consiglio di Stato ha peraltro precisato che:</w:t>
      </w:r>
    </w:p>
    <w:p w:rsidR="00A568BA" w:rsidRPr="00BF2644" w:rsidRDefault="004B778B"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lastRenderedPageBreak/>
        <w:t>-</w:t>
      </w:r>
      <w:r w:rsidR="0070472D" w:rsidRPr="00BF2644">
        <w:rPr>
          <w:rFonts w:ascii="Garamond" w:hAnsi="Garamond" w:cs="Times New Roman"/>
          <w:color w:val="000000" w:themeColor="text1"/>
          <w:sz w:val="28"/>
          <w:szCs w:val="28"/>
        </w:rPr>
        <w:t xml:space="preserve"> </w:t>
      </w:r>
      <w:r w:rsidR="00A568BA" w:rsidRPr="00BF2644">
        <w:rPr>
          <w:rFonts w:ascii="Garamond" w:hAnsi="Garamond" w:cs="Times New Roman"/>
          <w:color w:val="000000" w:themeColor="text1"/>
          <w:sz w:val="28"/>
          <w:szCs w:val="28"/>
        </w:rPr>
        <w:t xml:space="preserve">in termini generali </w:t>
      </w:r>
      <w:r w:rsidR="0070472D" w:rsidRPr="00EE14EF">
        <w:rPr>
          <w:rFonts w:ascii="Garamond" w:hAnsi="Garamond" w:cs="Times New Roman"/>
          <w:color w:val="000000" w:themeColor="text1"/>
          <w:sz w:val="28"/>
          <w:szCs w:val="28"/>
        </w:rPr>
        <w:t>il potere di pianificazione del territorio non può precludere insediamenti industriali in zone a destinazione agricola se non in via eccezionale, vale a dire nei casi in cui si discuta di assetto agricolo di particolare pregio, servendo tal destinazione ad impedire gli insediamenti abitativi residenziali e non anche a precludere in via radicale qualsiasi intervento urbanisticamente rilevante, specie quelli di tipo industriale per ovvi motivi incompatibili con zone abitate e quindi necessariamente da realizzare in</w:t>
      </w:r>
      <w:r w:rsidR="00224AE6">
        <w:rPr>
          <w:rFonts w:ascii="Garamond" w:hAnsi="Garamond" w:cs="Times New Roman"/>
          <w:color w:val="000000" w:themeColor="text1"/>
          <w:sz w:val="28"/>
          <w:szCs w:val="28"/>
        </w:rPr>
        <w:t xml:space="preserve"> aperta campagna (cfr. Cons. Stato</w:t>
      </w:r>
      <w:r w:rsidR="0070472D" w:rsidRPr="00EE14EF">
        <w:rPr>
          <w:rFonts w:ascii="Garamond" w:hAnsi="Garamond" w:cs="Times New Roman"/>
          <w:color w:val="000000" w:themeColor="text1"/>
          <w:sz w:val="28"/>
          <w:szCs w:val="28"/>
        </w:rPr>
        <w:t xml:space="preserve">, </w:t>
      </w:r>
      <w:r w:rsidR="00EC5932" w:rsidRPr="00EE14EF">
        <w:rPr>
          <w:rFonts w:ascii="Garamond" w:hAnsi="Garamond" w:cs="Times New Roman"/>
          <w:color w:val="000000" w:themeColor="text1"/>
          <w:sz w:val="28"/>
          <w:szCs w:val="28"/>
        </w:rPr>
        <w:t>sez</w:t>
      </w:r>
      <w:r w:rsidR="00EC5932">
        <w:rPr>
          <w:rFonts w:ascii="Garamond" w:hAnsi="Garamond" w:cs="Times New Roman"/>
          <w:color w:val="000000" w:themeColor="text1"/>
          <w:sz w:val="28"/>
          <w:szCs w:val="28"/>
        </w:rPr>
        <w:t xml:space="preserve">. </w:t>
      </w:r>
      <w:r w:rsidR="0070472D" w:rsidRPr="00BF2644">
        <w:rPr>
          <w:rFonts w:ascii="Garamond" w:hAnsi="Garamond" w:cs="Times New Roman"/>
          <w:color w:val="000000" w:themeColor="text1"/>
          <w:sz w:val="28"/>
          <w:szCs w:val="28"/>
        </w:rPr>
        <w:t>V,</w:t>
      </w:r>
      <w:r w:rsidR="00F8437B" w:rsidRPr="00BF2644">
        <w:rPr>
          <w:rFonts w:ascii="Garamond" w:hAnsi="Garamond"/>
          <w:sz w:val="28"/>
          <w:szCs w:val="28"/>
        </w:rPr>
        <w:t xml:space="preserve"> </w:t>
      </w:r>
      <w:r w:rsidR="00F8437B" w:rsidRPr="00BF2644">
        <w:rPr>
          <w:rFonts w:ascii="Garamond" w:hAnsi="Garamond" w:cs="Times New Roman"/>
          <w:color w:val="000000" w:themeColor="text1"/>
          <w:sz w:val="28"/>
          <w:szCs w:val="28"/>
        </w:rPr>
        <w:t>n. 3818</w:t>
      </w:r>
      <w:r w:rsidR="00EC5932">
        <w:rPr>
          <w:rFonts w:ascii="Garamond" w:hAnsi="Garamond" w:cs="Times New Roman"/>
          <w:color w:val="000000" w:themeColor="text1"/>
          <w:sz w:val="28"/>
          <w:szCs w:val="28"/>
        </w:rPr>
        <w:t xml:space="preserve"> del 2012</w:t>
      </w:r>
      <w:r w:rsidR="00375092">
        <w:rPr>
          <w:rFonts w:ascii="Garamond" w:hAnsi="Garamond" w:cs="Times New Roman"/>
          <w:color w:val="000000" w:themeColor="text1"/>
          <w:sz w:val="28"/>
          <w:szCs w:val="28"/>
        </w:rPr>
        <w:t xml:space="preserve">; </w:t>
      </w:r>
      <w:r w:rsidR="0070472D" w:rsidRPr="00BF2644">
        <w:rPr>
          <w:rFonts w:ascii="Garamond" w:hAnsi="Garamond" w:cs="Times New Roman"/>
          <w:color w:val="000000" w:themeColor="text1"/>
          <w:sz w:val="28"/>
          <w:szCs w:val="28"/>
        </w:rPr>
        <w:t>n. 4861</w:t>
      </w:r>
      <w:r w:rsidR="00EC5932">
        <w:rPr>
          <w:rFonts w:ascii="Garamond" w:hAnsi="Garamond" w:cs="Times New Roman"/>
          <w:color w:val="000000" w:themeColor="text1"/>
          <w:sz w:val="28"/>
          <w:szCs w:val="28"/>
        </w:rPr>
        <w:t xml:space="preserve"> del 2007</w:t>
      </w:r>
      <w:r w:rsidR="00F8437B" w:rsidRPr="00BF2644">
        <w:rPr>
          <w:rFonts w:ascii="Garamond" w:hAnsi="Garamond" w:cs="Times New Roman"/>
          <w:color w:val="000000" w:themeColor="text1"/>
          <w:sz w:val="28"/>
          <w:szCs w:val="28"/>
        </w:rPr>
        <w:t>)</w:t>
      </w:r>
      <w:r w:rsidR="0070472D" w:rsidRPr="00BF2644">
        <w:rPr>
          <w:rFonts w:ascii="Garamond" w:hAnsi="Garamond" w:cs="Times New Roman"/>
          <w:color w:val="000000" w:themeColor="text1"/>
          <w:sz w:val="28"/>
          <w:szCs w:val="28"/>
        </w:rPr>
        <w:t xml:space="preserve">; </w:t>
      </w:r>
    </w:p>
    <w:p w:rsidR="0070472D" w:rsidRPr="00BF2644" w:rsidRDefault="00EC5932" w:rsidP="00BF2644">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 </w:t>
      </w:r>
      <w:r w:rsidR="00A568BA" w:rsidRPr="00BF2644">
        <w:rPr>
          <w:rFonts w:ascii="Garamond" w:hAnsi="Garamond" w:cs="Times New Roman"/>
          <w:color w:val="000000" w:themeColor="text1"/>
          <w:sz w:val="28"/>
          <w:szCs w:val="28"/>
        </w:rPr>
        <w:t xml:space="preserve"> </w:t>
      </w:r>
      <w:r w:rsidR="0070472D" w:rsidRPr="00BF2644">
        <w:rPr>
          <w:rFonts w:ascii="Garamond" w:hAnsi="Garamond" w:cs="Times New Roman"/>
          <w:color w:val="000000" w:themeColor="text1"/>
          <w:sz w:val="28"/>
          <w:szCs w:val="28"/>
        </w:rPr>
        <w:t xml:space="preserve">le restrizioni insediative introdotte per le zone agricole, ragionevolmente intese a rafforzare le cautele in tema di edificazione in tali zone, sono misure assunte </w:t>
      </w:r>
      <w:r>
        <w:rPr>
          <w:rFonts w:ascii="Garamond" w:hAnsi="Garamond" w:cs="Times New Roman"/>
          <w:color w:val="000000" w:themeColor="text1"/>
          <w:sz w:val="28"/>
          <w:szCs w:val="28"/>
        </w:rPr>
        <w:t>allo</w:t>
      </w:r>
      <w:r w:rsidR="0070472D" w:rsidRPr="00BF2644">
        <w:rPr>
          <w:rFonts w:ascii="Garamond" w:hAnsi="Garamond" w:cs="Times New Roman"/>
          <w:color w:val="000000" w:themeColor="text1"/>
          <w:sz w:val="28"/>
          <w:szCs w:val="28"/>
        </w:rPr>
        <w:t xml:space="preserve"> scopo di evitare, in territori ad alta valenza paesistico-ambientale, sia interventi speculativi penalizzanti detta tutela, sia quelli del tutto estranei alla coltivazione dei fondi e preordinati a svolgere altri e non con</w:t>
      </w:r>
      <w:r w:rsidR="006C421B" w:rsidRPr="00BF2644">
        <w:rPr>
          <w:rFonts w:ascii="Garamond" w:hAnsi="Garamond" w:cs="Times New Roman"/>
          <w:color w:val="000000" w:themeColor="text1"/>
          <w:sz w:val="28"/>
          <w:szCs w:val="28"/>
        </w:rPr>
        <w:t>sentiti scopi (cfr. Cons. Stato</w:t>
      </w:r>
      <w:r w:rsidR="0070472D" w:rsidRPr="00BF2644">
        <w:rPr>
          <w:rFonts w:ascii="Garamond" w:hAnsi="Garamond" w:cs="Times New Roman"/>
          <w:color w:val="000000" w:themeColor="text1"/>
          <w:sz w:val="28"/>
          <w:szCs w:val="28"/>
        </w:rPr>
        <w:t>,</w:t>
      </w:r>
      <w:r>
        <w:rPr>
          <w:rFonts w:ascii="Garamond" w:hAnsi="Garamond" w:cs="Times New Roman"/>
          <w:color w:val="000000" w:themeColor="text1"/>
          <w:sz w:val="28"/>
          <w:szCs w:val="28"/>
        </w:rPr>
        <w:t xml:space="preserve"> sez. IV, n. 5380 del 2020; n. 5350 del </w:t>
      </w:r>
      <w:r w:rsidR="00F8437B" w:rsidRPr="00BF2644">
        <w:rPr>
          <w:rFonts w:ascii="Garamond" w:hAnsi="Garamond" w:cs="Times New Roman"/>
          <w:color w:val="000000" w:themeColor="text1"/>
          <w:sz w:val="28"/>
          <w:szCs w:val="28"/>
        </w:rPr>
        <w:t xml:space="preserve">2018; sez. </w:t>
      </w:r>
      <w:r w:rsidR="0070472D" w:rsidRPr="00BF2644">
        <w:rPr>
          <w:rFonts w:ascii="Garamond" w:hAnsi="Garamond" w:cs="Times New Roman"/>
          <w:color w:val="000000" w:themeColor="text1"/>
          <w:sz w:val="28"/>
          <w:szCs w:val="28"/>
        </w:rPr>
        <w:t xml:space="preserve"> VI, </w:t>
      </w:r>
      <w:r>
        <w:rPr>
          <w:rFonts w:ascii="Garamond" w:hAnsi="Garamond" w:cs="Times New Roman"/>
          <w:color w:val="000000" w:themeColor="text1"/>
          <w:sz w:val="28"/>
          <w:szCs w:val="28"/>
        </w:rPr>
        <w:t xml:space="preserve">n. </w:t>
      </w:r>
      <w:r w:rsidR="0070472D" w:rsidRPr="00BF2644">
        <w:rPr>
          <w:rFonts w:ascii="Garamond" w:hAnsi="Garamond" w:cs="Times New Roman"/>
          <w:color w:val="000000" w:themeColor="text1"/>
          <w:sz w:val="28"/>
          <w:szCs w:val="28"/>
        </w:rPr>
        <w:t>5886</w:t>
      </w:r>
      <w:r>
        <w:rPr>
          <w:rFonts w:ascii="Garamond" w:hAnsi="Garamond" w:cs="Times New Roman"/>
          <w:color w:val="000000" w:themeColor="text1"/>
          <w:sz w:val="28"/>
          <w:szCs w:val="28"/>
        </w:rPr>
        <w:t xml:space="preserve"> del </w:t>
      </w:r>
      <w:r w:rsidR="00F8437B" w:rsidRPr="00BF2644">
        <w:rPr>
          <w:rFonts w:ascii="Garamond" w:hAnsi="Garamond" w:cs="Times New Roman"/>
          <w:color w:val="000000" w:themeColor="text1"/>
          <w:sz w:val="28"/>
          <w:szCs w:val="28"/>
        </w:rPr>
        <w:t xml:space="preserve">2014); </w:t>
      </w:r>
      <w:r w:rsidR="0070472D" w:rsidRPr="00BF2644">
        <w:rPr>
          <w:rFonts w:ascii="Garamond" w:hAnsi="Garamond" w:cs="Times New Roman"/>
          <w:color w:val="000000" w:themeColor="text1"/>
          <w:sz w:val="28"/>
          <w:szCs w:val="28"/>
        </w:rPr>
        <w:t xml:space="preserve">pertanto la P.A. ben può avere interesse a tutelare e salvaguardare il paesaggio, a conservare valori naturalistici, o decongestionare o contenere l'espansione dell'aggregato urbano, perseguendo anche lo </w:t>
      </w:r>
      <w:r w:rsidR="00F8437B" w:rsidRPr="00BF2644">
        <w:rPr>
          <w:rFonts w:ascii="Garamond" w:hAnsi="Garamond" w:cs="Times New Roman"/>
          <w:color w:val="000000" w:themeColor="text1"/>
          <w:sz w:val="28"/>
          <w:szCs w:val="28"/>
        </w:rPr>
        <w:t>scopo di mitigazione ambientale</w:t>
      </w:r>
      <w:r w:rsidR="0070472D" w:rsidRPr="00BF2644">
        <w:rPr>
          <w:rFonts w:ascii="Garamond" w:hAnsi="Garamond" w:cs="Times New Roman"/>
          <w:color w:val="000000" w:themeColor="text1"/>
          <w:sz w:val="28"/>
          <w:szCs w:val="28"/>
        </w:rPr>
        <w:t>;</w:t>
      </w:r>
      <w:r w:rsidR="0070472D" w:rsidRPr="00BF2644">
        <w:rPr>
          <w:rFonts w:ascii="Garamond" w:hAnsi="Garamond"/>
          <w:sz w:val="28"/>
          <w:szCs w:val="28"/>
        </w:rPr>
        <w:t xml:space="preserve"> </w:t>
      </w:r>
      <w:r w:rsidR="0070472D" w:rsidRPr="00BF2644">
        <w:rPr>
          <w:rFonts w:ascii="Garamond" w:hAnsi="Garamond" w:cs="Times New Roman"/>
          <w:color w:val="000000" w:themeColor="text1"/>
          <w:sz w:val="28"/>
          <w:szCs w:val="28"/>
        </w:rPr>
        <w:t>infatti, il</w:t>
      </w:r>
      <w:r w:rsidR="00F8437B" w:rsidRPr="00BF2644">
        <w:rPr>
          <w:rFonts w:ascii="Garamond" w:hAnsi="Garamond" w:cs="Times New Roman"/>
          <w:color w:val="000000" w:themeColor="text1"/>
          <w:sz w:val="28"/>
          <w:szCs w:val="28"/>
        </w:rPr>
        <w:t xml:space="preserve"> dato testuale dell'art. 208, </w:t>
      </w:r>
      <w:r w:rsidR="00767B9F">
        <w:rPr>
          <w:rFonts w:ascii="Garamond" w:hAnsi="Garamond" w:cs="Times New Roman"/>
          <w:color w:val="000000" w:themeColor="text1"/>
          <w:sz w:val="28"/>
          <w:szCs w:val="28"/>
        </w:rPr>
        <w:t xml:space="preserve"> </w:t>
      </w:r>
      <w:r w:rsidR="00565B9D">
        <w:rPr>
          <w:rFonts w:ascii="Garamond" w:hAnsi="Garamond" w:cs="Times New Roman"/>
          <w:color w:val="000000" w:themeColor="text1"/>
          <w:sz w:val="28"/>
          <w:szCs w:val="28"/>
        </w:rPr>
        <w:t>comma</w:t>
      </w:r>
      <w:r w:rsidR="00767B9F">
        <w:rPr>
          <w:rFonts w:ascii="Garamond" w:hAnsi="Garamond" w:cs="Times New Roman"/>
          <w:color w:val="000000" w:themeColor="text1"/>
          <w:sz w:val="28"/>
          <w:szCs w:val="28"/>
        </w:rPr>
        <w:t xml:space="preserve"> 6</w:t>
      </w:r>
      <w:r w:rsidR="00565B9D">
        <w:rPr>
          <w:rFonts w:ascii="Garamond" w:hAnsi="Garamond" w:cs="Times New Roman"/>
          <w:color w:val="000000" w:themeColor="text1"/>
          <w:sz w:val="28"/>
          <w:szCs w:val="28"/>
        </w:rPr>
        <w:t xml:space="preserve">, </w:t>
      </w:r>
      <w:r w:rsidR="0070472D" w:rsidRPr="00BF2644">
        <w:rPr>
          <w:rFonts w:ascii="Garamond" w:hAnsi="Garamond" w:cs="Times New Roman"/>
          <w:color w:val="000000" w:themeColor="text1"/>
          <w:sz w:val="28"/>
          <w:szCs w:val="28"/>
        </w:rPr>
        <w:t xml:space="preserve">nel prevedere che l'AU costituisca "... </w:t>
      </w:r>
      <w:r w:rsidR="0070472D" w:rsidRPr="00767B9F">
        <w:rPr>
          <w:rFonts w:ascii="Garamond" w:hAnsi="Garamond" w:cs="Times New Roman"/>
          <w:i/>
          <w:color w:val="000000" w:themeColor="text1"/>
          <w:sz w:val="28"/>
          <w:szCs w:val="28"/>
        </w:rPr>
        <w:t>ove occorra, variante all</w:t>
      </w:r>
      <w:r w:rsidR="003C2E11" w:rsidRPr="00767B9F">
        <w:rPr>
          <w:rFonts w:ascii="Garamond" w:hAnsi="Garamond" w:cs="Times New Roman"/>
          <w:i/>
          <w:color w:val="000000" w:themeColor="text1"/>
          <w:sz w:val="28"/>
          <w:szCs w:val="28"/>
        </w:rPr>
        <w:t>o strumento urbanistico</w:t>
      </w:r>
      <w:r w:rsidR="003C2E11" w:rsidRPr="00BF2644">
        <w:rPr>
          <w:rFonts w:ascii="Garamond" w:hAnsi="Garamond" w:cs="Times New Roman"/>
          <w:color w:val="000000" w:themeColor="text1"/>
          <w:sz w:val="28"/>
          <w:szCs w:val="28"/>
        </w:rPr>
        <w:t xml:space="preserve">...", </w:t>
      </w:r>
      <w:r w:rsidR="0070472D" w:rsidRPr="00BF2644">
        <w:rPr>
          <w:rFonts w:ascii="Garamond" w:hAnsi="Garamond" w:cs="Times New Roman"/>
          <w:color w:val="000000" w:themeColor="text1"/>
          <w:sz w:val="28"/>
          <w:szCs w:val="28"/>
        </w:rPr>
        <w:t>lascia intendere che tal misura non è obbligata, ma è suggerita in quei contesti urbanistici sprovvisti di aree a vocazione industriale</w:t>
      </w:r>
      <w:r w:rsidR="00565B9D">
        <w:rPr>
          <w:rFonts w:ascii="Garamond" w:hAnsi="Garamond" w:cs="Times New Roman"/>
          <w:color w:val="000000" w:themeColor="text1"/>
          <w:sz w:val="28"/>
          <w:szCs w:val="28"/>
        </w:rPr>
        <w:t>,</w:t>
      </w:r>
      <w:r w:rsidR="0070472D" w:rsidRPr="00BF2644">
        <w:rPr>
          <w:rFonts w:ascii="Garamond" w:hAnsi="Garamond" w:cs="Times New Roman"/>
          <w:color w:val="000000" w:themeColor="text1"/>
          <w:sz w:val="28"/>
          <w:szCs w:val="28"/>
        </w:rPr>
        <w:t xml:space="preserve"> site a sufficiente distanza dai centri abitati, per i quali occorra comunque insediare impianti di trattamento e/o di stoccaggio di rifiuti della più varia tipologia, onde la semplice esistenza di aree in zona agricola non ne implica necessariamente la variante industriale che, in ogni caso, non avendo efficacia sanante degli abusi</w:t>
      </w:r>
      <w:r w:rsidR="00AE28C1">
        <w:rPr>
          <w:rFonts w:ascii="Garamond" w:hAnsi="Garamond" w:cs="Times New Roman"/>
          <w:color w:val="000000" w:themeColor="text1"/>
          <w:sz w:val="28"/>
          <w:szCs w:val="28"/>
        </w:rPr>
        <w:t>,</w:t>
      </w:r>
      <w:r w:rsidR="0070472D" w:rsidRPr="00BF2644">
        <w:rPr>
          <w:rFonts w:ascii="Garamond" w:hAnsi="Garamond" w:cs="Times New Roman"/>
          <w:color w:val="000000" w:themeColor="text1"/>
          <w:sz w:val="28"/>
          <w:szCs w:val="28"/>
        </w:rPr>
        <w:t xml:space="preserve"> legittima intanto i provvedimenti sanzionato</w:t>
      </w:r>
      <w:r w:rsidR="00565B9D">
        <w:rPr>
          <w:rFonts w:ascii="Garamond" w:hAnsi="Garamond" w:cs="Times New Roman"/>
          <w:color w:val="000000" w:themeColor="text1"/>
          <w:sz w:val="28"/>
          <w:szCs w:val="28"/>
        </w:rPr>
        <w:t>ri (Cons. Stato</w:t>
      </w:r>
      <w:r w:rsidR="00814538">
        <w:rPr>
          <w:rFonts w:ascii="Garamond" w:hAnsi="Garamond" w:cs="Times New Roman"/>
          <w:color w:val="000000" w:themeColor="text1"/>
          <w:sz w:val="28"/>
          <w:szCs w:val="28"/>
        </w:rPr>
        <w:t>,</w:t>
      </w:r>
      <w:r w:rsidR="00565B9D">
        <w:rPr>
          <w:rFonts w:ascii="Garamond" w:hAnsi="Garamond" w:cs="Times New Roman"/>
          <w:color w:val="000000" w:themeColor="text1"/>
          <w:sz w:val="28"/>
          <w:szCs w:val="28"/>
        </w:rPr>
        <w:t xml:space="preserve"> </w:t>
      </w:r>
      <w:r w:rsidR="00181410">
        <w:rPr>
          <w:rFonts w:ascii="Garamond" w:hAnsi="Garamond" w:cs="Times New Roman"/>
          <w:color w:val="000000" w:themeColor="text1"/>
          <w:sz w:val="28"/>
          <w:szCs w:val="28"/>
        </w:rPr>
        <w:t>sez.</w:t>
      </w:r>
      <w:r w:rsidR="00565B9D">
        <w:rPr>
          <w:rFonts w:ascii="Garamond" w:hAnsi="Garamond" w:cs="Times New Roman"/>
          <w:color w:val="000000" w:themeColor="text1"/>
          <w:sz w:val="28"/>
          <w:szCs w:val="28"/>
        </w:rPr>
        <w:t xml:space="preserve"> VI, n. 1775 del 2021);</w:t>
      </w:r>
    </w:p>
    <w:p w:rsidR="003C2E11" w:rsidRPr="00BF2644" w:rsidRDefault="00D43641"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 stante il disposto dell’art. 208, </w:t>
      </w:r>
      <w:r w:rsidR="00565B9D">
        <w:rPr>
          <w:rFonts w:ascii="Garamond" w:hAnsi="Garamond" w:cs="Times New Roman"/>
          <w:color w:val="000000" w:themeColor="text1"/>
          <w:sz w:val="28"/>
          <w:szCs w:val="28"/>
        </w:rPr>
        <w:t>comma</w:t>
      </w:r>
      <w:r w:rsidR="00767B9F">
        <w:rPr>
          <w:rFonts w:ascii="Garamond" w:hAnsi="Garamond" w:cs="Times New Roman"/>
          <w:color w:val="000000" w:themeColor="text1"/>
          <w:sz w:val="28"/>
          <w:szCs w:val="28"/>
        </w:rPr>
        <w:t xml:space="preserve"> 3</w:t>
      </w:r>
      <w:r w:rsidR="00565B9D">
        <w:rPr>
          <w:rFonts w:ascii="Garamond" w:hAnsi="Garamond" w:cs="Times New Roman"/>
          <w:color w:val="000000" w:themeColor="text1"/>
          <w:sz w:val="28"/>
          <w:szCs w:val="28"/>
        </w:rPr>
        <w:t xml:space="preserve">,  </w:t>
      </w:r>
      <w:r w:rsidR="004F0CCD">
        <w:rPr>
          <w:rFonts w:ascii="Garamond" w:hAnsi="Garamond" w:cs="Times New Roman"/>
          <w:color w:val="000000" w:themeColor="text1"/>
          <w:sz w:val="28"/>
          <w:szCs w:val="28"/>
        </w:rPr>
        <w:t>d.lgs.</w:t>
      </w:r>
      <w:r w:rsidR="003C2E11" w:rsidRPr="00BF2644">
        <w:rPr>
          <w:rFonts w:ascii="Garamond" w:hAnsi="Garamond" w:cs="Times New Roman"/>
          <w:color w:val="000000" w:themeColor="text1"/>
          <w:sz w:val="28"/>
          <w:szCs w:val="28"/>
        </w:rPr>
        <w:t xml:space="preserve"> n. 152 del 2006</w:t>
      </w:r>
      <w:r w:rsidR="000B35CF">
        <w:rPr>
          <w:rFonts w:ascii="Garamond" w:hAnsi="Garamond" w:cs="Times New Roman"/>
          <w:color w:val="000000" w:themeColor="text1"/>
          <w:sz w:val="28"/>
          <w:szCs w:val="28"/>
        </w:rPr>
        <w:t>,</w:t>
      </w:r>
      <w:r w:rsidR="003C2E11" w:rsidRPr="00BF2644">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 xml:space="preserve"> </w:t>
      </w:r>
      <w:r w:rsidR="003C3E2B" w:rsidRPr="00BF2644">
        <w:rPr>
          <w:rFonts w:ascii="Garamond" w:hAnsi="Garamond" w:cs="Times New Roman"/>
          <w:color w:val="000000" w:themeColor="text1"/>
          <w:sz w:val="28"/>
          <w:szCs w:val="28"/>
        </w:rPr>
        <w:t>vi è</w:t>
      </w:r>
      <w:r w:rsidR="003C2E11" w:rsidRPr="00BF2644">
        <w:rPr>
          <w:rFonts w:ascii="Garamond" w:hAnsi="Garamond" w:cs="Times New Roman"/>
          <w:color w:val="000000" w:themeColor="text1"/>
          <w:sz w:val="28"/>
          <w:szCs w:val="28"/>
        </w:rPr>
        <w:t xml:space="preserve">  la necessità di motivare le ragioni di pubblico interesse sottese ad una scelta pianificatoria provinciale che si pone in aperto contrasto rispetto alla posizione assunta</w:t>
      </w:r>
      <w:r w:rsidR="00565B9D">
        <w:rPr>
          <w:rFonts w:ascii="Garamond" w:hAnsi="Garamond" w:cs="Times New Roman"/>
          <w:color w:val="000000" w:themeColor="text1"/>
          <w:sz w:val="28"/>
          <w:szCs w:val="28"/>
        </w:rPr>
        <w:t xml:space="preserve"> dal </w:t>
      </w:r>
      <w:r w:rsidR="004640B1">
        <w:rPr>
          <w:rFonts w:ascii="Garamond" w:hAnsi="Garamond" w:cs="Times New Roman"/>
          <w:color w:val="000000" w:themeColor="text1"/>
          <w:sz w:val="28"/>
          <w:szCs w:val="28"/>
        </w:rPr>
        <w:t>C</w:t>
      </w:r>
      <w:r w:rsidR="004640B1" w:rsidRPr="00BF2644">
        <w:rPr>
          <w:rFonts w:ascii="Garamond" w:hAnsi="Garamond" w:cs="Times New Roman"/>
          <w:color w:val="000000" w:themeColor="text1"/>
          <w:sz w:val="28"/>
          <w:szCs w:val="28"/>
        </w:rPr>
        <w:t xml:space="preserve">omune </w:t>
      </w:r>
      <w:r w:rsidR="003C2E11" w:rsidRPr="00BF2644">
        <w:rPr>
          <w:rFonts w:ascii="Garamond" w:hAnsi="Garamond" w:cs="Times New Roman"/>
          <w:color w:val="000000" w:themeColor="text1"/>
          <w:sz w:val="28"/>
          <w:szCs w:val="28"/>
        </w:rPr>
        <w:t>in sede conferenziale, nonché rispetto alla formale variante urbanistica comunale, la quale deno</w:t>
      </w:r>
      <w:r w:rsidR="00565B9D">
        <w:rPr>
          <w:rFonts w:ascii="Garamond" w:hAnsi="Garamond" w:cs="Times New Roman"/>
          <w:color w:val="000000" w:themeColor="text1"/>
          <w:sz w:val="28"/>
          <w:szCs w:val="28"/>
        </w:rPr>
        <w:t xml:space="preserve">ta la forte determinazione del </w:t>
      </w:r>
      <w:r w:rsidR="004640B1">
        <w:rPr>
          <w:rFonts w:ascii="Garamond" w:hAnsi="Garamond" w:cs="Times New Roman"/>
          <w:color w:val="000000" w:themeColor="text1"/>
          <w:sz w:val="28"/>
          <w:szCs w:val="28"/>
        </w:rPr>
        <w:t>C</w:t>
      </w:r>
      <w:r w:rsidR="004640B1" w:rsidRPr="00BF2644">
        <w:rPr>
          <w:rFonts w:ascii="Garamond" w:hAnsi="Garamond" w:cs="Times New Roman"/>
          <w:color w:val="000000" w:themeColor="text1"/>
          <w:sz w:val="28"/>
          <w:szCs w:val="28"/>
        </w:rPr>
        <w:t xml:space="preserve">omune </w:t>
      </w:r>
      <w:r w:rsidR="003C2E11" w:rsidRPr="00BF2644">
        <w:rPr>
          <w:rFonts w:ascii="Garamond" w:hAnsi="Garamond" w:cs="Times New Roman"/>
          <w:color w:val="000000" w:themeColor="text1"/>
          <w:sz w:val="28"/>
          <w:szCs w:val="28"/>
        </w:rPr>
        <w:t>nel volere trasferire l'impianto in altro sito</w:t>
      </w:r>
      <w:r w:rsidR="00565B9D">
        <w:rPr>
          <w:rFonts w:ascii="Garamond" w:hAnsi="Garamond" w:cs="Times New Roman"/>
          <w:color w:val="000000" w:themeColor="text1"/>
          <w:sz w:val="28"/>
          <w:szCs w:val="28"/>
        </w:rPr>
        <w:t>,</w:t>
      </w:r>
      <w:r w:rsidR="003C2E11" w:rsidRPr="00BF2644">
        <w:rPr>
          <w:rFonts w:ascii="Garamond" w:hAnsi="Garamond" w:cs="Times New Roman"/>
          <w:color w:val="000000" w:themeColor="text1"/>
          <w:sz w:val="28"/>
          <w:szCs w:val="28"/>
        </w:rPr>
        <w:t xml:space="preserve"> in considerazione del particolare contesto paesaggistico ed ambientale dell'are</w:t>
      </w:r>
      <w:r w:rsidR="00565B9D">
        <w:rPr>
          <w:rFonts w:ascii="Garamond" w:hAnsi="Garamond" w:cs="Times New Roman"/>
          <w:color w:val="000000" w:themeColor="text1"/>
          <w:sz w:val="28"/>
          <w:szCs w:val="28"/>
        </w:rPr>
        <w:t>a (Cons. Stato</w:t>
      </w:r>
      <w:r w:rsidR="00814538">
        <w:rPr>
          <w:rFonts w:ascii="Garamond" w:hAnsi="Garamond" w:cs="Times New Roman"/>
          <w:color w:val="000000" w:themeColor="text1"/>
          <w:sz w:val="28"/>
          <w:szCs w:val="28"/>
        </w:rPr>
        <w:t>,</w:t>
      </w:r>
      <w:r w:rsidR="00565B9D">
        <w:rPr>
          <w:rFonts w:ascii="Garamond" w:hAnsi="Garamond" w:cs="Times New Roman"/>
          <w:color w:val="000000" w:themeColor="text1"/>
          <w:sz w:val="28"/>
          <w:szCs w:val="28"/>
        </w:rPr>
        <w:t xml:space="preserve"> </w:t>
      </w:r>
      <w:r w:rsidR="00181410">
        <w:rPr>
          <w:rFonts w:ascii="Garamond" w:hAnsi="Garamond" w:cs="Times New Roman"/>
          <w:color w:val="000000" w:themeColor="text1"/>
          <w:sz w:val="28"/>
          <w:szCs w:val="28"/>
        </w:rPr>
        <w:t>sez.</w:t>
      </w:r>
      <w:r w:rsidR="00565B9D">
        <w:rPr>
          <w:rFonts w:ascii="Garamond" w:hAnsi="Garamond" w:cs="Times New Roman"/>
          <w:color w:val="000000" w:themeColor="text1"/>
          <w:sz w:val="28"/>
          <w:szCs w:val="28"/>
        </w:rPr>
        <w:t xml:space="preserve"> IV, n. 4991 del </w:t>
      </w:r>
      <w:r w:rsidR="003C2E11" w:rsidRPr="00BF2644">
        <w:rPr>
          <w:rFonts w:ascii="Garamond" w:hAnsi="Garamond" w:cs="Times New Roman"/>
          <w:color w:val="000000" w:themeColor="text1"/>
          <w:sz w:val="28"/>
          <w:szCs w:val="28"/>
        </w:rPr>
        <w:t>2020);</w:t>
      </w:r>
    </w:p>
    <w:p w:rsidR="003C3E2B" w:rsidRPr="00BF2644" w:rsidRDefault="003C3E2B"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 </w:t>
      </w:r>
      <w:r w:rsidR="009A16BC" w:rsidRPr="00BF2644">
        <w:rPr>
          <w:rFonts w:ascii="Garamond" w:hAnsi="Garamond" w:cs="Times New Roman"/>
          <w:color w:val="000000" w:themeColor="text1"/>
          <w:sz w:val="28"/>
          <w:szCs w:val="28"/>
        </w:rPr>
        <w:t>i</w:t>
      </w:r>
      <w:r w:rsidRPr="00BF2644">
        <w:rPr>
          <w:rFonts w:ascii="Garamond" w:hAnsi="Garamond" w:cs="Times New Roman"/>
          <w:color w:val="000000" w:themeColor="text1"/>
          <w:sz w:val="28"/>
          <w:szCs w:val="28"/>
        </w:rPr>
        <w:t xml:space="preserve">l vincolo d'inedificabilità gravante sulla fascia di rispetto autostradale ha carattere assoluto e prescinde dalle caratteristiche dell'opera realizzata, in quanto il divieto di costruzione sancito dall'art. 9 </w:t>
      </w:r>
      <w:r w:rsidR="006C564E">
        <w:rPr>
          <w:rFonts w:ascii="Garamond" w:hAnsi="Garamond" w:cs="Times New Roman"/>
          <w:color w:val="000000" w:themeColor="text1"/>
          <w:sz w:val="28"/>
          <w:szCs w:val="28"/>
        </w:rPr>
        <w:t>l.</w:t>
      </w:r>
      <w:r w:rsidRPr="00BF2644">
        <w:rPr>
          <w:rFonts w:ascii="Garamond" w:hAnsi="Garamond" w:cs="Times New Roman"/>
          <w:color w:val="000000" w:themeColor="text1"/>
          <w:sz w:val="28"/>
          <w:szCs w:val="28"/>
        </w:rPr>
        <w:t xml:space="preserve"> 24 luglio 1961 n. 729 (e dal susseguente d.m. 1º aprile 1968 n. 1404) non può essere inteso restrittivamente al solo scopo di prevenire l'esistenza di ostacoli materiali suscettibili di costituire, per la loro prossimità alla sede autostradale, pregiudizio alla sicurezza del traffico e all'incolumità delle persone, ma appare correlato alla più ampia esigenza di assicurare una fascia di rispetto utilizzabile, all'occorrenza, dal concessionario, per l'esecuzione dei lavori, per l'impianto dei cantieri, per il deposito di materiali, per la realizzazione di opere accessorie, senza limiti connessi alla presenza di costruzioni, con la conseguenza che le distanze previste vanno osservate anche con riferimento ad opere che non superino il livello della sede stradale o che costituiscano mere sopraelevazioni o che, pur rientrando nella fascia, siano arretrate rispetto alle opere preesistenti (ex plurimis, </w:t>
      </w:r>
      <w:r w:rsidR="00F8437B" w:rsidRPr="00BF2644">
        <w:rPr>
          <w:rFonts w:ascii="Garamond" w:hAnsi="Garamond" w:cs="Times New Roman"/>
          <w:color w:val="000000" w:themeColor="text1"/>
          <w:sz w:val="28"/>
          <w:szCs w:val="28"/>
        </w:rPr>
        <w:t xml:space="preserve">Cass. civ., </w:t>
      </w:r>
      <w:r w:rsidR="00181410">
        <w:rPr>
          <w:rFonts w:ascii="Garamond" w:hAnsi="Garamond" w:cs="Times New Roman"/>
          <w:color w:val="000000" w:themeColor="text1"/>
          <w:sz w:val="28"/>
          <w:szCs w:val="28"/>
        </w:rPr>
        <w:t>sez.</w:t>
      </w:r>
      <w:r w:rsidR="00F8437B" w:rsidRPr="00BF2644">
        <w:rPr>
          <w:rFonts w:ascii="Garamond" w:hAnsi="Garamond" w:cs="Times New Roman"/>
          <w:color w:val="000000" w:themeColor="text1"/>
          <w:sz w:val="28"/>
          <w:szCs w:val="28"/>
        </w:rPr>
        <w:t xml:space="preserve"> I, </w:t>
      </w:r>
      <w:r w:rsidR="00440CF8">
        <w:rPr>
          <w:rFonts w:ascii="Garamond" w:hAnsi="Garamond" w:cs="Times New Roman"/>
          <w:color w:val="000000" w:themeColor="text1"/>
          <w:sz w:val="28"/>
          <w:szCs w:val="28"/>
        </w:rPr>
        <w:t xml:space="preserve">n. 25401 del </w:t>
      </w:r>
      <w:r w:rsidR="00F8437B" w:rsidRPr="00BF2644">
        <w:rPr>
          <w:rFonts w:ascii="Garamond" w:hAnsi="Garamond" w:cs="Times New Roman"/>
          <w:color w:val="000000" w:themeColor="text1"/>
          <w:sz w:val="28"/>
          <w:szCs w:val="28"/>
        </w:rPr>
        <w:t xml:space="preserve">2016; </w:t>
      </w:r>
      <w:r w:rsidR="00440CF8">
        <w:rPr>
          <w:rFonts w:ascii="Garamond" w:hAnsi="Garamond" w:cs="Times New Roman"/>
          <w:color w:val="000000" w:themeColor="text1"/>
          <w:sz w:val="28"/>
          <w:szCs w:val="28"/>
        </w:rPr>
        <w:t xml:space="preserve">n.  25668 del </w:t>
      </w:r>
      <w:r w:rsidR="00F8437B" w:rsidRPr="00BF2644">
        <w:rPr>
          <w:rFonts w:ascii="Garamond" w:hAnsi="Garamond" w:cs="Times New Roman"/>
          <w:color w:val="000000" w:themeColor="text1"/>
          <w:sz w:val="28"/>
          <w:szCs w:val="28"/>
        </w:rPr>
        <w:t xml:space="preserve">2015; </w:t>
      </w:r>
      <w:r w:rsidR="00565B9D">
        <w:rPr>
          <w:rFonts w:ascii="Garamond" w:hAnsi="Garamond" w:cs="Times New Roman"/>
          <w:color w:val="000000" w:themeColor="text1"/>
          <w:sz w:val="28"/>
          <w:szCs w:val="28"/>
        </w:rPr>
        <w:t>Cons. Stato</w:t>
      </w:r>
      <w:r w:rsidRPr="00BF2644">
        <w:rPr>
          <w:rFonts w:ascii="Garamond" w:hAnsi="Garamond" w:cs="Times New Roman"/>
          <w:color w:val="000000" w:themeColor="text1"/>
          <w:sz w:val="28"/>
          <w:szCs w:val="28"/>
        </w:rPr>
        <w:t>,</w:t>
      </w:r>
      <w:r w:rsidR="00966E4B" w:rsidRPr="00BF2644">
        <w:rPr>
          <w:rFonts w:ascii="Garamond" w:hAnsi="Garamond"/>
          <w:sz w:val="28"/>
          <w:szCs w:val="28"/>
        </w:rPr>
        <w:t xml:space="preserve"> </w:t>
      </w:r>
      <w:r w:rsidR="00181410">
        <w:rPr>
          <w:rFonts w:ascii="Garamond" w:hAnsi="Garamond" w:cs="Times New Roman"/>
          <w:color w:val="000000" w:themeColor="text1"/>
          <w:sz w:val="28"/>
          <w:szCs w:val="28"/>
        </w:rPr>
        <w:t>sez.</w:t>
      </w:r>
      <w:r w:rsidR="00565B9D">
        <w:rPr>
          <w:rFonts w:ascii="Garamond" w:hAnsi="Garamond" w:cs="Times New Roman"/>
          <w:color w:val="000000" w:themeColor="text1"/>
          <w:sz w:val="28"/>
          <w:szCs w:val="28"/>
        </w:rPr>
        <w:t xml:space="preserve"> I, </w:t>
      </w:r>
      <w:r w:rsidR="00440CF8">
        <w:rPr>
          <w:rFonts w:ascii="Garamond" w:hAnsi="Garamond" w:cs="Times New Roman"/>
          <w:color w:val="000000" w:themeColor="text1"/>
          <w:sz w:val="28"/>
          <w:szCs w:val="28"/>
        </w:rPr>
        <w:t xml:space="preserve">n. </w:t>
      </w:r>
      <w:r w:rsidR="00565B9D">
        <w:rPr>
          <w:rFonts w:ascii="Garamond" w:hAnsi="Garamond" w:cs="Times New Roman"/>
          <w:color w:val="000000" w:themeColor="text1"/>
          <w:sz w:val="28"/>
          <w:szCs w:val="28"/>
        </w:rPr>
        <w:t xml:space="preserve">282 del </w:t>
      </w:r>
      <w:r w:rsidR="00966E4B" w:rsidRPr="00BF2644">
        <w:rPr>
          <w:rFonts w:ascii="Garamond" w:hAnsi="Garamond" w:cs="Times New Roman"/>
          <w:color w:val="000000" w:themeColor="text1"/>
          <w:sz w:val="28"/>
          <w:szCs w:val="28"/>
        </w:rPr>
        <w:t xml:space="preserve">2016; </w:t>
      </w:r>
      <w:r w:rsidR="00181410">
        <w:rPr>
          <w:rFonts w:ascii="Garamond" w:hAnsi="Garamond" w:cs="Times New Roman"/>
          <w:color w:val="000000" w:themeColor="text1"/>
          <w:sz w:val="28"/>
          <w:szCs w:val="28"/>
        </w:rPr>
        <w:t>sez.</w:t>
      </w:r>
      <w:r w:rsidRPr="00BF2644">
        <w:rPr>
          <w:rFonts w:ascii="Garamond" w:hAnsi="Garamond" w:cs="Times New Roman"/>
          <w:color w:val="000000" w:themeColor="text1"/>
          <w:sz w:val="28"/>
          <w:szCs w:val="28"/>
        </w:rPr>
        <w:t xml:space="preserve"> IV,</w:t>
      </w:r>
      <w:r w:rsidR="00966E4B" w:rsidRPr="00BF2644">
        <w:rPr>
          <w:rFonts w:ascii="Garamond" w:hAnsi="Garamond"/>
          <w:sz w:val="28"/>
          <w:szCs w:val="28"/>
        </w:rPr>
        <w:t xml:space="preserve"> </w:t>
      </w:r>
      <w:r w:rsidR="00565B9D">
        <w:rPr>
          <w:rFonts w:ascii="Garamond" w:hAnsi="Garamond"/>
          <w:sz w:val="28"/>
          <w:szCs w:val="28"/>
        </w:rPr>
        <w:t xml:space="preserve">n. </w:t>
      </w:r>
      <w:r w:rsidR="00565B9D">
        <w:rPr>
          <w:rFonts w:ascii="Garamond" w:hAnsi="Garamond" w:cs="Times New Roman"/>
          <w:color w:val="000000" w:themeColor="text1"/>
          <w:sz w:val="28"/>
          <w:szCs w:val="28"/>
        </w:rPr>
        <w:t xml:space="preserve">5014 del </w:t>
      </w:r>
      <w:r w:rsidR="00966E4B" w:rsidRPr="00BF2644">
        <w:rPr>
          <w:rFonts w:ascii="Garamond" w:hAnsi="Garamond" w:cs="Times New Roman"/>
          <w:color w:val="000000" w:themeColor="text1"/>
          <w:sz w:val="28"/>
          <w:szCs w:val="28"/>
        </w:rPr>
        <w:t xml:space="preserve">2015; </w:t>
      </w:r>
      <w:r w:rsidR="00440CF8">
        <w:rPr>
          <w:rFonts w:ascii="Garamond" w:hAnsi="Garamond" w:cs="Times New Roman"/>
          <w:color w:val="000000" w:themeColor="text1"/>
          <w:sz w:val="28"/>
          <w:szCs w:val="28"/>
        </w:rPr>
        <w:t xml:space="preserve">n. </w:t>
      </w:r>
      <w:r w:rsidR="00565B9D">
        <w:rPr>
          <w:rFonts w:ascii="Garamond" w:hAnsi="Garamond" w:cs="Times New Roman"/>
          <w:color w:val="000000" w:themeColor="text1"/>
          <w:sz w:val="28"/>
          <w:szCs w:val="28"/>
        </w:rPr>
        <w:t xml:space="preserve">2062 del </w:t>
      </w:r>
      <w:r w:rsidR="00966E4B" w:rsidRPr="00BF2644">
        <w:rPr>
          <w:rFonts w:ascii="Garamond" w:hAnsi="Garamond" w:cs="Times New Roman"/>
          <w:color w:val="000000" w:themeColor="text1"/>
          <w:sz w:val="28"/>
          <w:szCs w:val="28"/>
        </w:rPr>
        <w:t>2013)</w:t>
      </w:r>
      <w:r w:rsidR="00565B9D">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 xml:space="preserve">pertanto è illegittimo il provvedimento della </w:t>
      </w:r>
      <w:r w:rsidR="00375092">
        <w:rPr>
          <w:rFonts w:ascii="Garamond" w:hAnsi="Garamond" w:cs="Times New Roman"/>
          <w:color w:val="000000" w:themeColor="text1"/>
          <w:sz w:val="28"/>
          <w:szCs w:val="28"/>
        </w:rPr>
        <w:t>p</w:t>
      </w:r>
      <w:r w:rsidR="004640B1" w:rsidRPr="00BF2644">
        <w:rPr>
          <w:rFonts w:ascii="Garamond" w:hAnsi="Garamond" w:cs="Times New Roman"/>
          <w:color w:val="000000" w:themeColor="text1"/>
          <w:sz w:val="28"/>
          <w:szCs w:val="28"/>
        </w:rPr>
        <w:t xml:space="preserve">rovincia </w:t>
      </w:r>
      <w:r w:rsidR="00966E4B" w:rsidRPr="00BF2644">
        <w:rPr>
          <w:rFonts w:ascii="Garamond" w:hAnsi="Garamond" w:cs="Times New Roman"/>
          <w:color w:val="000000" w:themeColor="text1"/>
          <w:sz w:val="28"/>
          <w:szCs w:val="28"/>
        </w:rPr>
        <w:t>di</w:t>
      </w:r>
      <w:r w:rsidRPr="00BF2644">
        <w:rPr>
          <w:rFonts w:ascii="Garamond" w:hAnsi="Garamond" w:cs="Times New Roman"/>
          <w:color w:val="000000" w:themeColor="text1"/>
          <w:sz w:val="28"/>
          <w:szCs w:val="28"/>
        </w:rPr>
        <w:t xml:space="preserve"> approvazione del progetto per la </w:t>
      </w:r>
      <w:r w:rsidRPr="00BF2644">
        <w:rPr>
          <w:rFonts w:ascii="Garamond" w:hAnsi="Garamond" w:cs="Times New Roman"/>
          <w:color w:val="000000" w:themeColor="text1"/>
          <w:sz w:val="28"/>
          <w:szCs w:val="28"/>
        </w:rPr>
        <w:lastRenderedPageBreak/>
        <w:t>realizzazione di una discarica di inerti da realizzarsi nella fascia di rispetto autostradale</w:t>
      </w:r>
      <w:r w:rsidR="00121DC4">
        <w:rPr>
          <w:rFonts w:ascii="Garamond" w:hAnsi="Garamond" w:cs="Times New Roman"/>
          <w:color w:val="000000" w:themeColor="text1"/>
          <w:sz w:val="28"/>
          <w:szCs w:val="28"/>
        </w:rPr>
        <w:t xml:space="preserve"> (Cons. Stato, sez.</w:t>
      </w:r>
      <w:r w:rsidR="00565B9D">
        <w:rPr>
          <w:rFonts w:ascii="Garamond" w:hAnsi="Garamond" w:cs="Times New Roman"/>
          <w:color w:val="000000" w:themeColor="text1"/>
          <w:sz w:val="28"/>
          <w:szCs w:val="28"/>
        </w:rPr>
        <w:t xml:space="preserve"> IV, n. 1250 del </w:t>
      </w:r>
      <w:r w:rsidRPr="00BF2644">
        <w:rPr>
          <w:rFonts w:ascii="Garamond" w:hAnsi="Garamond" w:cs="Times New Roman"/>
          <w:color w:val="000000" w:themeColor="text1"/>
          <w:sz w:val="28"/>
          <w:szCs w:val="28"/>
        </w:rPr>
        <w:t>2018);</w:t>
      </w:r>
    </w:p>
    <w:p w:rsidR="00D31D83" w:rsidRPr="00BF2644" w:rsidRDefault="003C3E2B"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w:t>
      </w:r>
      <w:r w:rsidR="00565B9D">
        <w:rPr>
          <w:rFonts w:ascii="Garamond" w:hAnsi="Garamond" w:cs="Times New Roman"/>
          <w:color w:val="000000" w:themeColor="text1"/>
          <w:sz w:val="28"/>
          <w:szCs w:val="28"/>
        </w:rPr>
        <w:t xml:space="preserve"> </w:t>
      </w:r>
      <w:r w:rsidRPr="009E16C6">
        <w:rPr>
          <w:rFonts w:ascii="Garamond" w:hAnsi="Garamond" w:cs="Times New Roman"/>
          <w:color w:val="000000" w:themeColor="text1"/>
          <w:sz w:val="28"/>
          <w:szCs w:val="28"/>
        </w:rPr>
        <w:t>l</w:t>
      </w:r>
      <w:r w:rsidR="0047115B" w:rsidRPr="009E16C6">
        <w:rPr>
          <w:rFonts w:ascii="Garamond" w:hAnsi="Garamond" w:cs="Times New Roman"/>
          <w:color w:val="000000" w:themeColor="text1"/>
          <w:sz w:val="28"/>
          <w:szCs w:val="28"/>
        </w:rPr>
        <w:t>o strumento urban</w:t>
      </w:r>
      <w:r w:rsidR="00565B9D" w:rsidRPr="009E16C6">
        <w:rPr>
          <w:rFonts w:ascii="Garamond" w:hAnsi="Garamond" w:cs="Times New Roman"/>
          <w:color w:val="000000" w:themeColor="text1"/>
          <w:sz w:val="28"/>
          <w:szCs w:val="28"/>
        </w:rPr>
        <w:t xml:space="preserve">istico </w:t>
      </w:r>
      <w:r w:rsidR="0070472D" w:rsidRPr="009E16C6">
        <w:rPr>
          <w:rFonts w:ascii="Garamond" w:hAnsi="Garamond" w:cs="Times New Roman"/>
          <w:color w:val="000000" w:themeColor="text1"/>
          <w:sz w:val="28"/>
          <w:szCs w:val="28"/>
        </w:rPr>
        <w:t>rispetto al quale l’autorizzazione unica opera quale variante automatica, è</w:t>
      </w:r>
      <w:r w:rsidR="0047115B" w:rsidRPr="009E16C6">
        <w:rPr>
          <w:rFonts w:ascii="Garamond" w:hAnsi="Garamond" w:cs="Times New Roman"/>
          <w:color w:val="000000" w:themeColor="text1"/>
          <w:sz w:val="28"/>
          <w:szCs w:val="28"/>
        </w:rPr>
        <w:t xml:space="preserve"> identificabile nel solo</w:t>
      </w:r>
      <w:r w:rsidR="0070472D" w:rsidRPr="009E16C6">
        <w:rPr>
          <w:rFonts w:ascii="Garamond" w:hAnsi="Garamond" w:cs="Times New Roman"/>
          <w:color w:val="000000" w:themeColor="text1"/>
          <w:sz w:val="28"/>
          <w:szCs w:val="28"/>
        </w:rPr>
        <w:t xml:space="preserve"> strumento urbanistico comunale</w:t>
      </w:r>
      <w:r w:rsidR="0047115B" w:rsidRPr="009E16C6">
        <w:rPr>
          <w:rFonts w:ascii="Garamond" w:hAnsi="Garamond" w:cs="Times New Roman"/>
          <w:color w:val="000000" w:themeColor="text1"/>
          <w:sz w:val="28"/>
          <w:szCs w:val="28"/>
        </w:rPr>
        <w:t>; detta approvazione pertanto non può costituire variante automatica agli altri piani e programmi sovra ordinati (in particolare piani territoriali paesistici, piani territoriali regionali, piani paesistici e così via)</w:t>
      </w:r>
      <w:r w:rsidR="009A16BC" w:rsidRPr="009E16C6">
        <w:rPr>
          <w:rFonts w:ascii="Garamond" w:hAnsi="Garamond"/>
          <w:sz w:val="28"/>
          <w:szCs w:val="28"/>
        </w:rPr>
        <w:t xml:space="preserve"> </w:t>
      </w:r>
      <w:r w:rsidR="009A16BC" w:rsidRPr="009E16C6">
        <w:rPr>
          <w:rFonts w:ascii="Garamond" w:hAnsi="Garamond" w:cs="Times New Roman"/>
          <w:color w:val="000000" w:themeColor="text1"/>
          <w:sz w:val="28"/>
          <w:szCs w:val="28"/>
        </w:rPr>
        <w:t>atteso</w:t>
      </w:r>
      <w:r w:rsidR="009A16BC" w:rsidRPr="00BF2644">
        <w:rPr>
          <w:rFonts w:ascii="Garamond" w:hAnsi="Garamond" w:cs="Times New Roman"/>
          <w:color w:val="000000" w:themeColor="text1"/>
          <w:sz w:val="28"/>
          <w:szCs w:val="28"/>
        </w:rPr>
        <w:t xml:space="preserve"> il carattere eccezionale dell’art. 208, che opera in deroga al normale quadro degli assetti procedimentali e sostanziali in materia di costruzione e gestione di impianti di smaltimento di rifiuti e, come tale, è soggetto ad esegesi rigorosa;  è pertanto legittimo il diniego di autorizzazione di un impianto di recupero di materiali inerti in area sottoposta a vincolo da parte del piano territoriale regionale, cui la </w:t>
      </w:r>
      <w:r w:rsidR="006C564E">
        <w:rPr>
          <w:rFonts w:ascii="Garamond" w:hAnsi="Garamond" w:cs="Times New Roman"/>
          <w:color w:val="000000" w:themeColor="text1"/>
          <w:sz w:val="28"/>
          <w:szCs w:val="28"/>
        </w:rPr>
        <w:t>legge</w:t>
      </w:r>
      <w:r w:rsidR="009A16BC" w:rsidRPr="00BF2644">
        <w:rPr>
          <w:rFonts w:ascii="Garamond" w:hAnsi="Garamond" w:cs="Times New Roman"/>
          <w:color w:val="000000" w:themeColor="text1"/>
          <w:sz w:val="28"/>
          <w:szCs w:val="28"/>
        </w:rPr>
        <w:t xml:space="preserve">  regionale  attribuisce anche la tutela dei beni storico-artistici e ambientali, con particolare attenzione alla tutela del paesaggio </w:t>
      </w:r>
      <w:r w:rsidR="0047115B" w:rsidRPr="00BF2644">
        <w:rPr>
          <w:rFonts w:ascii="Garamond" w:hAnsi="Garamond"/>
          <w:sz w:val="28"/>
          <w:szCs w:val="28"/>
        </w:rPr>
        <w:t>(</w:t>
      </w:r>
      <w:r w:rsidR="004605D3">
        <w:rPr>
          <w:rFonts w:ascii="Garamond" w:hAnsi="Garamond" w:cs="Times New Roman"/>
          <w:color w:val="000000" w:themeColor="text1"/>
          <w:sz w:val="28"/>
          <w:szCs w:val="28"/>
        </w:rPr>
        <w:t xml:space="preserve">Cons. </w:t>
      </w:r>
      <w:r w:rsidR="0047115B" w:rsidRPr="00BF2644">
        <w:rPr>
          <w:rFonts w:ascii="Garamond" w:hAnsi="Garamond" w:cs="Times New Roman"/>
          <w:color w:val="000000" w:themeColor="text1"/>
          <w:sz w:val="28"/>
          <w:szCs w:val="28"/>
        </w:rPr>
        <w:t>Stato, sez</w:t>
      </w:r>
      <w:r w:rsidR="00814538">
        <w:rPr>
          <w:rFonts w:ascii="Garamond" w:hAnsi="Garamond" w:cs="Times New Roman"/>
          <w:color w:val="000000" w:themeColor="text1"/>
          <w:sz w:val="28"/>
          <w:szCs w:val="28"/>
        </w:rPr>
        <w:t>.</w:t>
      </w:r>
      <w:r w:rsidR="0047115B" w:rsidRPr="00BF2644">
        <w:rPr>
          <w:rFonts w:ascii="Garamond" w:hAnsi="Garamond" w:cs="Times New Roman"/>
          <w:color w:val="000000" w:themeColor="text1"/>
          <w:sz w:val="28"/>
          <w:szCs w:val="28"/>
        </w:rPr>
        <w:t xml:space="preserve"> V, n. 5658</w:t>
      </w:r>
      <w:r w:rsidR="00565B9D">
        <w:rPr>
          <w:rFonts w:ascii="Garamond" w:hAnsi="Garamond" w:cs="Times New Roman"/>
          <w:color w:val="000000" w:themeColor="text1"/>
          <w:sz w:val="28"/>
          <w:szCs w:val="28"/>
        </w:rPr>
        <w:t xml:space="preserve"> e 5659 del </w:t>
      </w:r>
      <w:r w:rsidR="0047115B" w:rsidRPr="00BF2644">
        <w:rPr>
          <w:rFonts w:ascii="Garamond" w:hAnsi="Garamond" w:cs="Times New Roman"/>
          <w:color w:val="000000" w:themeColor="text1"/>
          <w:sz w:val="28"/>
          <w:szCs w:val="28"/>
        </w:rPr>
        <w:t>2015)</w:t>
      </w:r>
      <w:r w:rsidR="00C14FC4" w:rsidRPr="00BF2644">
        <w:rPr>
          <w:rFonts w:ascii="Garamond" w:hAnsi="Garamond" w:cs="Times New Roman"/>
          <w:color w:val="000000" w:themeColor="text1"/>
          <w:sz w:val="28"/>
          <w:szCs w:val="28"/>
        </w:rPr>
        <w:t xml:space="preserve"> </w:t>
      </w:r>
      <w:r w:rsidR="00647DC7" w:rsidRPr="00BF2644">
        <w:rPr>
          <w:rFonts w:ascii="Garamond" w:hAnsi="Garamond" w:cs="Times New Roman"/>
          <w:color w:val="000000" w:themeColor="text1"/>
          <w:sz w:val="28"/>
          <w:szCs w:val="28"/>
        </w:rPr>
        <w:t>;</w:t>
      </w:r>
    </w:p>
    <w:p w:rsidR="00647DC7" w:rsidRPr="00BF2644" w:rsidRDefault="00647DC7"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 </w:t>
      </w:r>
      <w:r w:rsidR="000B35CF">
        <w:rPr>
          <w:rFonts w:ascii="Garamond" w:hAnsi="Garamond" w:cs="Times New Roman"/>
          <w:color w:val="000000" w:themeColor="text1"/>
          <w:sz w:val="28"/>
          <w:szCs w:val="28"/>
        </w:rPr>
        <w:t xml:space="preserve">sulla base della normativa del </w:t>
      </w:r>
      <w:r w:rsidR="004F0CCD">
        <w:rPr>
          <w:rFonts w:ascii="Garamond" w:hAnsi="Garamond" w:cs="Times New Roman"/>
          <w:color w:val="000000" w:themeColor="text1"/>
          <w:sz w:val="28"/>
          <w:szCs w:val="28"/>
        </w:rPr>
        <w:t>d.lgs.</w:t>
      </w:r>
      <w:r w:rsidRPr="00BF2644">
        <w:rPr>
          <w:rFonts w:ascii="Garamond" w:hAnsi="Garamond" w:cs="Times New Roman"/>
          <w:color w:val="000000" w:themeColor="text1"/>
          <w:sz w:val="28"/>
          <w:szCs w:val="28"/>
        </w:rPr>
        <w:t xml:space="preserve"> </w:t>
      </w:r>
      <w:r w:rsidR="003A6A3E">
        <w:rPr>
          <w:rFonts w:ascii="Garamond" w:hAnsi="Garamond" w:cs="Times New Roman"/>
          <w:color w:val="000000" w:themeColor="text1"/>
          <w:sz w:val="28"/>
          <w:szCs w:val="28"/>
        </w:rPr>
        <w:t xml:space="preserve">n. 22 del </w:t>
      </w:r>
      <w:r w:rsidRPr="00BF2644">
        <w:rPr>
          <w:rFonts w:ascii="Garamond" w:hAnsi="Garamond" w:cs="Times New Roman"/>
          <w:color w:val="000000" w:themeColor="text1"/>
          <w:sz w:val="28"/>
          <w:szCs w:val="28"/>
        </w:rPr>
        <w:t xml:space="preserve">1997, vigente </w:t>
      </w:r>
      <w:r w:rsidRPr="00F27963">
        <w:rPr>
          <w:rFonts w:ascii="Garamond" w:hAnsi="Garamond" w:cs="Times New Roman"/>
          <w:i/>
          <w:color w:val="000000" w:themeColor="text1"/>
          <w:sz w:val="28"/>
          <w:szCs w:val="28"/>
        </w:rPr>
        <w:t>ratione temporis</w:t>
      </w:r>
      <w:r w:rsidR="00F27963">
        <w:rPr>
          <w:rFonts w:ascii="Garamond" w:hAnsi="Garamond" w:cs="Times New Roman"/>
          <w:color w:val="000000" w:themeColor="text1"/>
          <w:sz w:val="28"/>
          <w:szCs w:val="28"/>
        </w:rPr>
        <w:t>, perché sia</w:t>
      </w:r>
      <w:r w:rsidRPr="00BF2644">
        <w:rPr>
          <w:rFonts w:ascii="Garamond" w:hAnsi="Garamond" w:cs="Times New Roman"/>
          <w:color w:val="000000" w:themeColor="text1"/>
          <w:sz w:val="28"/>
          <w:szCs w:val="28"/>
        </w:rPr>
        <w:t xml:space="preserve"> corretto l’esercizio dell’attività di recupero</w:t>
      </w:r>
      <w:r w:rsidR="00F27963">
        <w:rPr>
          <w:rFonts w:ascii="Garamond" w:hAnsi="Garamond" w:cs="Times New Roman"/>
          <w:color w:val="000000" w:themeColor="text1"/>
          <w:sz w:val="28"/>
          <w:szCs w:val="28"/>
        </w:rPr>
        <w:t xml:space="preserve"> dei rifiuti - e quindi, possa</w:t>
      </w:r>
      <w:r w:rsidRPr="00BF2644">
        <w:rPr>
          <w:rFonts w:ascii="Garamond" w:hAnsi="Garamond" w:cs="Times New Roman"/>
          <w:color w:val="000000" w:themeColor="text1"/>
          <w:sz w:val="28"/>
          <w:szCs w:val="28"/>
        </w:rPr>
        <w:t xml:space="preserve"> disporsi o mantenersi, in esito alla comunicazione prevista nella procedura semplificata di cui agli artt. 31 ss., l’iscrizione nell’apposito registro delle impres</w:t>
      </w:r>
      <w:r w:rsidR="00711F80">
        <w:rPr>
          <w:rFonts w:ascii="Garamond" w:hAnsi="Garamond" w:cs="Times New Roman"/>
          <w:color w:val="000000" w:themeColor="text1"/>
          <w:sz w:val="28"/>
          <w:szCs w:val="28"/>
        </w:rPr>
        <w:t>e di cui all’art. 33, comma 3</w:t>
      </w:r>
      <w:r w:rsidR="00F27963">
        <w:rPr>
          <w:rFonts w:ascii="Garamond" w:hAnsi="Garamond" w:cs="Times New Roman"/>
          <w:color w:val="000000" w:themeColor="text1"/>
          <w:sz w:val="28"/>
          <w:szCs w:val="28"/>
        </w:rPr>
        <w:t xml:space="preserve"> - è</w:t>
      </w:r>
      <w:r w:rsidRPr="00BF2644">
        <w:rPr>
          <w:rFonts w:ascii="Garamond" w:hAnsi="Garamond" w:cs="Times New Roman"/>
          <w:color w:val="000000" w:themeColor="text1"/>
          <w:sz w:val="28"/>
          <w:szCs w:val="28"/>
        </w:rPr>
        <w:t xml:space="preserve"> necessario che l’impianto dest</w:t>
      </w:r>
      <w:r w:rsidR="00F27963">
        <w:rPr>
          <w:rFonts w:ascii="Garamond" w:hAnsi="Garamond" w:cs="Times New Roman"/>
          <w:color w:val="000000" w:themeColor="text1"/>
          <w:sz w:val="28"/>
          <w:szCs w:val="28"/>
        </w:rPr>
        <w:t>inato a tale attività risulti</w:t>
      </w:r>
      <w:r w:rsidRPr="00BF2644">
        <w:rPr>
          <w:rFonts w:ascii="Garamond" w:hAnsi="Garamond" w:cs="Times New Roman"/>
          <w:color w:val="000000" w:themeColor="text1"/>
          <w:sz w:val="28"/>
          <w:szCs w:val="28"/>
        </w:rPr>
        <w:t xml:space="preserve"> compatibile con la destinazione urbanistica dell’area.</w:t>
      </w:r>
      <w:r w:rsidR="00521EA9">
        <w:rPr>
          <w:rFonts w:ascii="Garamond" w:hAnsi="Garamond" w:cs="Times New Roman"/>
          <w:color w:val="000000" w:themeColor="text1"/>
          <w:sz w:val="28"/>
          <w:szCs w:val="28"/>
        </w:rPr>
        <w:t xml:space="preserve"> </w:t>
      </w:r>
      <w:r w:rsidR="000B35CF">
        <w:rPr>
          <w:rFonts w:ascii="Garamond" w:hAnsi="Garamond" w:cs="Times New Roman"/>
          <w:color w:val="000000" w:themeColor="text1"/>
          <w:sz w:val="28"/>
          <w:szCs w:val="28"/>
        </w:rPr>
        <w:t xml:space="preserve">Infatti, l’art. 27 del </w:t>
      </w:r>
      <w:r w:rsidR="004F0CCD">
        <w:rPr>
          <w:rFonts w:ascii="Garamond" w:hAnsi="Garamond" w:cs="Times New Roman"/>
          <w:color w:val="000000" w:themeColor="text1"/>
          <w:sz w:val="28"/>
          <w:szCs w:val="28"/>
        </w:rPr>
        <w:t>d.lgs.</w:t>
      </w:r>
      <w:r w:rsidRPr="00BF2644">
        <w:rPr>
          <w:rFonts w:ascii="Garamond" w:hAnsi="Garamond" w:cs="Times New Roman"/>
          <w:color w:val="000000" w:themeColor="text1"/>
          <w:sz w:val="28"/>
          <w:szCs w:val="28"/>
        </w:rPr>
        <w:t xml:space="preserve"> </w:t>
      </w:r>
      <w:r w:rsidR="00711F80">
        <w:rPr>
          <w:rFonts w:ascii="Garamond" w:hAnsi="Garamond" w:cs="Times New Roman"/>
          <w:color w:val="000000" w:themeColor="text1"/>
          <w:sz w:val="28"/>
          <w:szCs w:val="28"/>
        </w:rPr>
        <w:t xml:space="preserve">n. 22 del </w:t>
      </w:r>
      <w:r w:rsidRPr="00BF2644">
        <w:rPr>
          <w:rFonts w:ascii="Garamond" w:hAnsi="Garamond" w:cs="Times New Roman"/>
          <w:color w:val="000000" w:themeColor="text1"/>
          <w:sz w:val="28"/>
          <w:szCs w:val="28"/>
        </w:rPr>
        <w:t>1997, concernente l’approvazione del progetto e autorizzazione alla realizzazione degli impianti di smaltimento e di</w:t>
      </w:r>
      <w:r w:rsidR="00F27963">
        <w:rPr>
          <w:rFonts w:ascii="Garamond" w:hAnsi="Garamond" w:cs="Times New Roman"/>
          <w:color w:val="000000" w:themeColor="text1"/>
          <w:sz w:val="28"/>
          <w:szCs w:val="28"/>
        </w:rPr>
        <w:t xml:space="preserve"> recupero dei rifiuti, prevede</w:t>
      </w:r>
      <w:r w:rsidRPr="00BF2644">
        <w:rPr>
          <w:rFonts w:ascii="Garamond" w:hAnsi="Garamond" w:cs="Times New Roman"/>
          <w:color w:val="000000" w:themeColor="text1"/>
          <w:sz w:val="28"/>
          <w:szCs w:val="28"/>
        </w:rPr>
        <w:t xml:space="preserve"> (</w:t>
      </w:r>
      <w:r w:rsidR="00521EA9">
        <w:rPr>
          <w:rFonts w:ascii="Garamond" w:hAnsi="Garamond" w:cs="Times New Roman"/>
          <w:color w:val="000000" w:themeColor="text1"/>
          <w:sz w:val="28"/>
          <w:szCs w:val="28"/>
        </w:rPr>
        <w:t>al</w:t>
      </w:r>
      <w:r w:rsidR="0012448D">
        <w:rPr>
          <w:rFonts w:ascii="Garamond" w:hAnsi="Garamond" w:cs="Times New Roman"/>
          <w:color w:val="000000" w:themeColor="text1"/>
          <w:sz w:val="28"/>
          <w:szCs w:val="28"/>
        </w:rPr>
        <w:t xml:space="preserve"> </w:t>
      </w:r>
      <w:r w:rsidR="00521EA9">
        <w:rPr>
          <w:rFonts w:ascii="Garamond" w:hAnsi="Garamond" w:cs="Times New Roman"/>
          <w:color w:val="000000" w:themeColor="text1"/>
          <w:sz w:val="28"/>
          <w:szCs w:val="28"/>
        </w:rPr>
        <w:t>c</w:t>
      </w:r>
      <w:r w:rsidR="00F27963">
        <w:rPr>
          <w:rFonts w:ascii="Garamond" w:hAnsi="Garamond" w:cs="Times New Roman"/>
          <w:color w:val="000000" w:themeColor="text1"/>
          <w:sz w:val="28"/>
          <w:szCs w:val="28"/>
        </w:rPr>
        <w:t>omma 1) che alla domanda venga</w:t>
      </w:r>
      <w:r w:rsidRPr="00BF2644">
        <w:rPr>
          <w:rFonts w:ascii="Garamond" w:hAnsi="Garamond" w:cs="Times New Roman"/>
          <w:color w:val="000000" w:themeColor="text1"/>
          <w:sz w:val="28"/>
          <w:szCs w:val="28"/>
        </w:rPr>
        <w:t xml:space="preserve"> allegato il prog</w:t>
      </w:r>
      <w:r w:rsidR="00521EA9">
        <w:rPr>
          <w:rFonts w:ascii="Garamond" w:hAnsi="Garamond" w:cs="Times New Roman"/>
          <w:color w:val="000000" w:themeColor="text1"/>
          <w:sz w:val="28"/>
          <w:szCs w:val="28"/>
        </w:rPr>
        <w:t xml:space="preserve">etto definitivo dell’impianto </w:t>
      </w:r>
      <w:r w:rsidRPr="00BF2644">
        <w:rPr>
          <w:rFonts w:ascii="Garamond" w:hAnsi="Garamond" w:cs="Times New Roman"/>
          <w:color w:val="000000" w:themeColor="text1"/>
          <w:sz w:val="28"/>
          <w:szCs w:val="28"/>
        </w:rPr>
        <w:t xml:space="preserve">e la documentazione tecnica prevista per la realizzazione del progetto stesso dalle disposizioni </w:t>
      </w:r>
      <w:r w:rsidR="00F27963">
        <w:rPr>
          <w:rFonts w:ascii="Garamond" w:hAnsi="Garamond" w:cs="Times New Roman"/>
          <w:color w:val="000000" w:themeColor="text1"/>
          <w:sz w:val="28"/>
          <w:szCs w:val="28"/>
        </w:rPr>
        <w:t>vigenti in materia urbanistica</w:t>
      </w:r>
      <w:r w:rsidRPr="00BF2644">
        <w:rPr>
          <w:rFonts w:ascii="Garamond" w:hAnsi="Garamond" w:cs="Times New Roman"/>
          <w:color w:val="000000" w:themeColor="text1"/>
          <w:sz w:val="28"/>
          <w:szCs w:val="28"/>
        </w:rPr>
        <w:t xml:space="preserve"> (oltre che di tutela ambientale, di salute e di sicurezza sul lavoro, e di igiene pubblica); che la conferenza di servizi convo</w:t>
      </w:r>
      <w:r w:rsidR="00F27963">
        <w:rPr>
          <w:rFonts w:ascii="Garamond" w:hAnsi="Garamond" w:cs="Times New Roman"/>
          <w:color w:val="000000" w:themeColor="text1"/>
          <w:sz w:val="28"/>
          <w:szCs w:val="28"/>
        </w:rPr>
        <w:t xml:space="preserve">cata per l’esame della domanda </w:t>
      </w:r>
      <w:r w:rsidR="0059478A" w:rsidRPr="00F27963">
        <w:rPr>
          <w:rFonts w:ascii="Garamond" w:hAnsi="Garamond" w:cs="Times New Roman"/>
          <w:color w:val="000000" w:themeColor="text1"/>
          <w:sz w:val="28"/>
          <w:szCs w:val="28"/>
        </w:rPr>
        <w:t>«</w:t>
      </w:r>
      <w:r w:rsidRPr="00F27963">
        <w:rPr>
          <w:rFonts w:ascii="Garamond" w:hAnsi="Garamond" w:cs="Times New Roman"/>
          <w:i/>
          <w:color w:val="000000" w:themeColor="text1"/>
          <w:sz w:val="28"/>
          <w:szCs w:val="28"/>
        </w:rPr>
        <w:t>acquisisce e valuta tutti gli elementi relativi alla compatibilità del progetto con le esigenze ambientali e territoriali</w:t>
      </w:r>
      <w:r w:rsidR="00F27963" w:rsidRPr="00F27963">
        <w:rPr>
          <w:rFonts w:ascii="Garamond" w:hAnsi="Garamond" w:cs="Times New Roman"/>
          <w:color w:val="000000" w:themeColor="text1"/>
          <w:sz w:val="28"/>
          <w:szCs w:val="28"/>
        </w:rPr>
        <w:t>»</w:t>
      </w:r>
      <w:r w:rsidRPr="00BF2644">
        <w:rPr>
          <w:rFonts w:ascii="Garamond" w:hAnsi="Garamond" w:cs="Times New Roman"/>
          <w:color w:val="000000" w:themeColor="text1"/>
          <w:sz w:val="28"/>
          <w:szCs w:val="28"/>
        </w:rPr>
        <w:t xml:space="preserve"> (</w:t>
      </w:r>
      <w:r w:rsidR="00F27963">
        <w:rPr>
          <w:rFonts w:ascii="Garamond" w:hAnsi="Garamond" w:cs="Times New Roman"/>
          <w:color w:val="000000" w:themeColor="text1"/>
          <w:sz w:val="28"/>
          <w:szCs w:val="28"/>
        </w:rPr>
        <w:t>comma</w:t>
      </w:r>
      <w:r w:rsidR="0012448D">
        <w:rPr>
          <w:rFonts w:ascii="Garamond" w:hAnsi="Garamond" w:cs="Times New Roman"/>
          <w:color w:val="000000" w:themeColor="text1"/>
          <w:sz w:val="28"/>
          <w:szCs w:val="28"/>
        </w:rPr>
        <w:t xml:space="preserve"> 3</w:t>
      </w:r>
      <w:r w:rsidR="00F27963">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lettera b).</w:t>
      </w:r>
      <w:r w:rsidR="0012448D">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 xml:space="preserve">Ed anche la procedura semplificata sulle operazioni di recupero, tracciata dall’art. 33, dovendo </w:t>
      </w:r>
      <w:r w:rsidR="00F27963" w:rsidRPr="00F27963">
        <w:rPr>
          <w:rFonts w:ascii="Garamond" w:hAnsi="Garamond" w:cs="Times New Roman"/>
          <w:color w:val="000000" w:themeColor="text1"/>
          <w:sz w:val="28"/>
          <w:szCs w:val="28"/>
        </w:rPr>
        <w:t>«</w:t>
      </w:r>
      <w:r w:rsidRPr="00F27963">
        <w:rPr>
          <w:rFonts w:ascii="Garamond" w:hAnsi="Garamond" w:cs="Times New Roman"/>
          <w:i/>
          <w:color w:val="000000" w:themeColor="text1"/>
          <w:sz w:val="28"/>
          <w:szCs w:val="28"/>
        </w:rPr>
        <w:t>comunque garantire un elevato livello di protezione a</w:t>
      </w:r>
      <w:r w:rsidR="00F27963" w:rsidRPr="00F27963">
        <w:rPr>
          <w:rFonts w:ascii="Garamond" w:hAnsi="Garamond" w:cs="Times New Roman"/>
          <w:i/>
          <w:color w:val="000000" w:themeColor="text1"/>
          <w:sz w:val="28"/>
          <w:szCs w:val="28"/>
        </w:rPr>
        <w:t>mbientale e controlli efficaci</w:t>
      </w:r>
      <w:r w:rsidR="00F27963" w:rsidRPr="00F27963">
        <w:rPr>
          <w:rFonts w:ascii="Garamond" w:hAnsi="Garamond" w:cs="Times New Roman"/>
          <w:color w:val="000000" w:themeColor="text1"/>
          <w:sz w:val="28"/>
          <w:szCs w:val="28"/>
        </w:rPr>
        <w:t>»</w:t>
      </w:r>
      <w:r w:rsidR="0012448D">
        <w:rPr>
          <w:rFonts w:ascii="Garamond" w:hAnsi="Garamond" w:cs="Times New Roman"/>
          <w:color w:val="000000" w:themeColor="text1"/>
          <w:sz w:val="28"/>
          <w:szCs w:val="28"/>
        </w:rPr>
        <w:t xml:space="preserve"> (art. 31, </w:t>
      </w:r>
      <w:r w:rsidR="00F27963">
        <w:rPr>
          <w:rFonts w:ascii="Garamond" w:hAnsi="Garamond" w:cs="Times New Roman"/>
          <w:color w:val="000000" w:themeColor="text1"/>
          <w:sz w:val="28"/>
          <w:szCs w:val="28"/>
        </w:rPr>
        <w:t>comma</w:t>
      </w:r>
      <w:r w:rsidR="0012448D">
        <w:rPr>
          <w:rFonts w:ascii="Garamond" w:hAnsi="Garamond" w:cs="Times New Roman"/>
          <w:color w:val="000000" w:themeColor="text1"/>
          <w:sz w:val="28"/>
          <w:szCs w:val="28"/>
        </w:rPr>
        <w:t xml:space="preserve"> 1</w:t>
      </w:r>
      <w:r w:rsidRPr="00BF2644">
        <w:rPr>
          <w:rFonts w:ascii="Garamond" w:hAnsi="Garamond" w:cs="Times New Roman"/>
          <w:color w:val="000000" w:themeColor="text1"/>
          <w:sz w:val="28"/>
          <w:szCs w:val="28"/>
        </w:rPr>
        <w:t>), pur non menzionando esplicitamente la compatibi</w:t>
      </w:r>
      <w:r w:rsidR="00F27963">
        <w:rPr>
          <w:rFonts w:ascii="Garamond" w:hAnsi="Garamond" w:cs="Times New Roman"/>
          <w:color w:val="000000" w:themeColor="text1"/>
          <w:sz w:val="28"/>
          <w:szCs w:val="28"/>
        </w:rPr>
        <w:t xml:space="preserve">lità urbanistica accanto alle </w:t>
      </w:r>
      <w:r w:rsidR="00F27963" w:rsidRPr="00F27963">
        <w:rPr>
          <w:rFonts w:ascii="Garamond" w:hAnsi="Garamond" w:cs="Times New Roman"/>
          <w:i/>
          <w:color w:val="000000" w:themeColor="text1"/>
          <w:sz w:val="28"/>
          <w:szCs w:val="28"/>
        </w:rPr>
        <w:t>«</w:t>
      </w:r>
      <w:r w:rsidRPr="00F27963">
        <w:rPr>
          <w:rFonts w:ascii="Garamond" w:hAnsi="Garamond" w:cs="Times New Roman"/>
          <w:i/>
          <w:color w:val="000000" w:themeColor="text1"/>
          <w:sz w:val="28"/>
          <w:szCs w:val="28"/>
        </w:rPr>
        <w:t>norme tecniche e … prescrizioni specifiche adottate ai sensi dei commi 1, 2 e 3 de</w:t>
      </w:r>
      <w:r w:rsidR="00F27963" w:rsidRPr="00F27963">
        <w:rPr>
          <w:rFonts w:ascii="Garamond" w:hAnsi="Garamond" w:cs="Times New Roman"/>
          <w:i/>
          <w:color w:val="000000" w:themeColor="text1"/>
          <w:sz w:val="28"/>
          <w:szCs w:val="28"/>
        </w:rPr>
        <w:t>ll'articolo 31</w:t>
      </w:r>
      <w:r w:rsidR="00F27963" w:rsidRPr="00F27963">
        <w:rPr>
          <w:rFonts w:ascii="Garamond" w:hAnsi="Garamond" w:cs="Times New Roman"/>
          <w:color w:val="000000" w:themeColor="text1"/>
          <w:sz w:val="28"/>
          <w:szCs w:val="28"/>
        </w:rPr>
        <w:t>»</w:t>
      </w:r>
      <w:r w:rsidRPr="00BF2644">
        <w:rPr>
          <w:rFonts w:ascii="Garamond" w:hAnsi="Garamond" w:cs="Times New Roman"/>
          <w:color w:val="000000" w:themeColor="text1"/>
          <w:sz w:val="28"/>
          <w:szCs w:val="28"/>
        </w:rPr>
        <w:t xml:space="preserve"> (concernenti, per i rifiuti non pericolosi: le quantità massime impiegabili; la provenienza, i tipi e le caratteristiche; le prescrizioni necessarie a tutela della salute umana e dell’ambiente), cui subordina l’esercizio dell’attività, deve ritenersi presupponga implicitamente la compatibilità urbanistica (Cons</w:t>
      </w:r>
      <w:r w:rsidR="00375092">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Stato, sez. III, n. 4689 del 2013 che ha osservato come una formulazione del tutto analoga a quella dell’art. 27, cit., se non coincidente, era contenuta nel testo originario dell’art. 208</w:t>
      </w:r>
      <w:r w:rsidR="00F27963">
        <w:rPr>
          <w:rFonts w:ascii="Garamond" w:hAnsi="Garamond" w:cs="Times New Roman"/>
          <w:color w:val="000000" w:themeColor="text1"/>
          <w:sz w:val="28"/>
          <w:szCs w:val="28"/>
        </w:rPr>
        <w:t xml:space="preserve">, </w:t>
      </w:r>
      <w:r w:rsidR="000B35CF">
        <w:rPr>
          <w:rFonts w:ascii="Garamond" w:hAnsi="Garamond" w:cs="Times New Roman"/>
          <w:color w:val="000000" w:themeColor="text1"/>
          <w:sz w:val="28"/>
          <w:szCs w:val="28"/>
        </w:rPr>
        <w:t xml:space="preserve">commi 1 e 4, lettera b), del </w:t>
      </w:r>
      <w:r w:rsidR="004F0CCD">
        <w:rPr>
          <w:rFonts w:ascii="Garamond" w:hAnsi="Garamond" w:cs="Times New Roman"/>
          <w:color w:val="000000" w:themeColor="text1"/>
          <w:sz w:val="28"/>
          <w:szCs w:val="28"/>
        </w:rPr>
        <w:t>d.lgs.</w:t>
      </w:r>
      <w:r w:rsidR="000E2339">
        <w:rPr>
          <w:rFonts w:ascii="Garamond" w:hAnsi="Garamond" w:cs="Times New Roman"/>
          <w:color w:val="000000" w:themeColor="text1"/>
          <w:sz w:val="28"/>
          <w:szCs w:val="28"/>
        </w:rPr>
        <w:t xml:space="preserve"> 152 del </w:t>
      </w:r>
      <w:r w:rsidRPr="00BF2644">
        <w:rPr>
          <w:rFonts w:ascii="Garamond" w:hAnsi="Garamond" w:cs="Times New Roman"/>
          <w:color w:val="000000" w:themeColor="text1"/>
          <w:sz w:val="28"/>
          <w:szCs w:val="28"/>
        </w:rPr>
        <w:t>2006</w:t>
      </w:r>
      <w:r w:rsidR="00BF3709">
        <w:rPr>
          <w:rFonts w:ascii="Garamond" w:hAnsi="Garamond" w:cs="Times New Roman"/>
          <w:color w:val="000000" w:themeColor="text1"/>
          <w:sz w:val="28"/>
          <w:szCs w:val="28"/>
        </w:rPr>
        <w:t>,</w:t>
      </w:r>
      <w:r w:rsidRPr="00BF2644">
        <w:rPr>
          <w:rFonts w:ascii="Garamond" w:hAnsi="Garamond" w:cs="Times New Roman"/>
          <w:color w:val="000000" w:themeColor="text1"/>
          <w:sz w:val="28"/>
          <w:szCs w:val="28"/>
        </w:rPr>
        <w:t xml:space="preserve"> poi novellata dal </w:t>
      </w:r>
      <w:r w:rsidR="004F0CCD">
        <w:rPr>
          <w:rFonts w:ascii="Garamond" w:hAnsi="Garamond" w:cs="Times New Roman"/>
          <w:color w:val="000000" w:themeColor="text1"/>
          <w:sz w:val="28"/>
          <w:szCs w:val="28"/>
        </w:rPr>
        <w:t>d.lgs.</w:t>
      </w:r>
      <w:r w:rsidRPr="00BF2644">
        <w:rPr>
          <w:rFonts w:ascii="Garamond" w:hAnsi="Garamond" w:cs="Times New Roman"/>
          <w:color w:val="000000" w:themeColor="text1"/>
          <w:sz w:val="28"/>
          <w:szCs w:val="28"/>
        </w:rPr>
        <w:t xml:space="preserve"> </w:t>
      </w:r>
      <w:r w:rsidR="00D33C24">
        <w:rPr>
          <w:rFonts w:ascii="Garamond" w:hAnsi="Garamond" w:cs="Times New Roman"/>
          <w:color w:val="000000" w:themeColor="text1"/>
          <w:sz w:val="28"/>
          <w:szCs w:val="28"/>
        </w:rPr>
        <w:t>3 dicembre 2010, n. 205).</w:t>
      </w:r>
    </w:p>
    <w:p w:rsidR="003E37AA" w:rsidRDefault="003E37AA" w:rsidP="00BF2644">
      <w:pPr>
        <w:spacing w:line="240" w:lineRule="auto"/>
        <w:ind w:firstLine="709"/>
        <w:contextualSpacing/>
        <w:jc w:val="both"/>
        <w:rPr>
          <w:rFonts w:ascii="Garamond" w:hAnsi="Garamond" w:cs="Times New Roman"/>
          <w:b/>
          <w:color w:val="000000" w:themeColor="text1"/>
          <w:sz w:val="28"/>
          <w:szCs w:val="28"/>
        </w:rPr>
      </w:pPr>
    </w:p>
    <w:p w:rsidR="000F67D3" w:rsidRPr="00BF2644" w:rsidRDefault="000F67D3" w:rsidP="00BF2644">
      <w:pPr>
        <w:spacing w:line="240" w:lineRule="auto"/>
        <w:ind w:firstLine="709"/>
        <w:contextualSpacing/>
        <w:jc w:val="both"/>
        <w:rPr>
          <w:rFonts w:ascii="Garamond" w:hAnsi="Garamond" w:cs="Times New Roman"/>
          <w:b/>
          <w:color w:val="000000" w:themeColor="text1"/>
          <w:sz w:val="28"/>
          <w:szCs w:val="28"/>
        </w:rPr>
      </w:pPr>
      <w:r w:rsidRPr="00BF2644">
        <w:rPr>
          <w:rFonts w:ascii="Garamond" w:hAnsi="Garamond" w:cs="Times New Roman"/>
          <w:b/>
          <w:color w:val="000000" w:themeColor="text1"/>
          <w:sz w:val="28"/>
          <w:szCs w:val="28"/>
        </w:rPr>
        <w:t>1.3.2.  le prescrizioni e le condizioni dell’autorizzazione.</w:t>
      </w:r>
    </w:p>
    <w:p w:rsidR="00966E4B" w:rsidRPr="00BF2644" w:rsidRDefault="00D31D83"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L'autorizzazione unica</w:t>
      </w:r>
      <w:r w:rsidR="0024268C">
        <w:rPr>
          <w:rFonts w:ascii="Garamond" w:hAnsi="Garamond" w:cs="Times New Roman"/>
          <w:color w:val="000000" w:themeColor="text1"/>
          <w:sz w:val="28"/>
          <w:szCs w:val="28"/>
        </w:rPr>
        <w:t>,</w:t>
      </w:r>
      <w:r w:rsidR="00A82D78">
        <w:rPr>
          <w:rFonts w:ascii="Garamond" w:hAnsi="Garamond" w:cs="Times New Roman"/>
          <w:color w:val="000000" w:themeColor="text1"/>
          <w:sz w:val="28"/>
          <w:szCs w:val="28"/>
        </w:rPr>
        <w:t xml:space="preserve"> disciplinata dall'art. 208, </w:t>
      </w:r>
      <w:r w:rsidR="004F0CCD">
        <w:rPr>
          <w:rFonts w:ascii="Garamond" w:hAnsi="Garamond" w:cs="Times New Roman"/>
          <w:color w:val="000000" w:themeColor="text1"/>
          <w:sz w:val="28"/>
          <w:szCs w:val="28"/>
        </w:rPr>
        <w:t>d.lgs.</w:t>
      </w:r>
      <w:r w:rsidR="002A668B">
        <w:rPr>
          <w:rFonts w:ascii="Garamond" w:hAnsi="Garamond" w:cs="Times New Roman"/>
          <w:color w:val="000000" w:themeColor="text1"/>
          <w:sz w:val="28"/>
          <w:szCs w:val="28"/>
        </w:rPr>
        <w:t xml:space="preserve"> n. 152 del </w:t>
      </w:r>
      <w:r w:rsidRPr="00BF2644">
        <w:rPr>
          <w:rFonts w:ascii="Garamond" w:hAnsi="Garamond" w:cs="Times New Roman"/>
          <w:color w:val="000000" w:themeColor="text1"/>
          <w:sz w:val="28"/>
          <w:szCs w:val="28"/>
        </w:rPr>
        <w:t>2006</w:t>
      </w:r>
      <w:r w:rsidR="0024268C">
        <w:rPr>
          <w:rFonts w:ascii="Garamond" w:hAnsi="Garamond" w:cs="Times New Roman"/>
          <w:color w:val="000000" w:themeColor="text1"/>
          <w:sz w:val="28"/>
          <w:szCs w:val="28"/>
        </w:rPr>
        <w:t>,</w:t>
      </w:r>
      <w:r w:rsidRPr="00BF2644">
        <w:rPr>
          <w:rFonts w:ascii="Garamond" w:hAnsi="Garamond" w:cs="Times New Roman"/>
          <w:color w:val="000000" w:themeColor="text1"/>
          <w:sz w:val="28"/>
          <w:szCs w:val="28"/>
        </w:rPr>
        <w:t xml:space="preserve"> consente la costruzione e la gestione degli impianti di smaltimento e di recupero dei rifiuti alla stregua delle prescrizioni e delle condizioni dettate dall'autorizzazione medesima. Il comma 11 della richiamata disposizione individua il contenuto "</w:t>
      </w:r>
      <w:r w:rsidRPr="0012448D">
        <w:rPr>
          <w:rFonts w:ascii="Garamond" w:hAnsi="Garamond" w:cs="Times New Roman"/>
          <w:i/>
          <w:color w:val="000000" w:themeColor="text1"/>
          <w:sz w:val="28"/>
          <w:szCs w:val="28"/>
        </w:rPr>
        <w:t>minimo</w:t>
      </w:r>
      <w:r w:rsidRPr="00BF2644">
        <w:rPr>
          <w:rFonts w:ascii="Garamond" w:hAnsi="Garamond" w:cs="Times New Roman"/>
          <w:color w:val="000000" w:themeColor="text1"/>
          <w:sz w:val="28"/>
          <w:szCs w:val="28"/>
        </w:rPr>
        <w:t xml:space="preserve">" di tali prescrizioni tra cui </w:t>
      </w:r>
      <w:r w:rsidRPr="0012448D">
        <w:rPr>
          <w:rFonts w:ascii="Garamond" w:hAnsi="Garamond" w:cs="Times New Roman"/>
          <w:i/>
          <w:color w:val="000000" w:themeColor="text1"/>
          <w:sz w:val="28"/>
          <w:szCs w:val="28"/>
        </w:rPr>
        <w:t>"(…) d) la localizzazione dell'impianto autorizzato (…); g) le garanzie finanziarie richieste, che devono essere prestate solo al</w:t>
      </w:r>
      <w:r w:rsidR="00966E4B" w:rsidRPr="0012448D">
        <w:rPr>
          <w:rFonts w:ascii="Garamond" w:hAnsi="Garamond" w:cs="Times New Roman"/>
          <w:i/>
          <w:color w:val="000000" w:themeColor="text1"/>
          <w:sz w:val="28"/>
          <w:szCs w:val="28"/>
        </w:rPr>
        <w:t xml:space="preserve"> </w:t>
      </w:r>
      <w:r w:rsidRPr="0012448D">
        <w:rPr>
          <w:rFonts w:ascii="Garamond" w:hAnsi="Garamond" w:cs="Times New Roman"/>
          <w:i/>
          <w:color w:val="000000" w:themeColor="text1"/>
          <w:sz w:val="28"/>
          <w:szCs w:val="28"/>
        </w:rPr>
        <w:t>momento</w:t>
      </w:r>
      <w:r w:rsidR="0070472D" w:rsidRPr="0012448D">
        <w:rPr>
          <w:rFonts w:ascii="Garamond" w:hAnsi="Garamond" w:cs="Times New Roman"/>
          <w:i/>
          <w:color w:val="000000" w:themeColor="text1"/>
          <w:sz w:val="28"/>
          <w:szCs w:val="28"/>
        </w:rPr>
        <w:t xml:space="preserve"> </w:t>
      </w:r>
      <w:r w:rsidRPr="0012448D">
        <w:rPr>
          <w:rFonts w:ascii="Garamond" w:hAnsi="Garamond" w:cs="Times New Roman"/>
          <w:i/>
          <w:color w:val="000000" w:themeColor="text1"/>
          <w:sz w:val="28"/>
          <w:szCs w:val="28"/>
        </w:rPr>
        <w:t xml:space="preserve">dell'avvio effettivo dell'esercizio dell'impianto (…); h) la data di scadenza </w:t>
      </w:r>
      <w:r w:rsidRPr="0012448D">
        <w:rPr>
          <w:rFonts w:ascii="Garamond" w:hAnsi="Garamond" w:cs="Times New Roman"/>
          <w:i/>
          <w:color w:val="000000" w:themeColor="text1"/>
          <w:sz w:val="28"/>
          <w:szCs w:val="28"/>
        </w:rPr>
        <w:lastRenderedPageBreak/>
        <w:t>dell'autorizzazione, in conformità con quanto previsto al comma 1</w:t>
      </w:r>
      <w:r w:rsidR="0012448D" w:rsidRPr="0012448D">
        <w:rPr>
          <w:rFonts w:ascii="Garamond" w:hAnsi="Garamond" w:cs="Times New Roman"/>
          <w:i/>
          <w:color w:val="000000" w:themeColor="text1"/>
          <w:sz w:val="28"/>
          <w:szCs w:val="28"/>
        </w:rPr>
        <w:t>2; (…)</w:t>
      </w:r>
      <w:r w:rsidR="0012448D">
        <w:rPr>
          <w:rFonts w:ascii="Garamond" w:hAnsi="Garamond" w:cs="Times New Roman"/>
          <w:color w:val="000000" w:themeColor="text1"/>
          <w:sz w:val="28"/>
          <w:szCs w:val="28"/>
        </w:rPr>
        <w:t>". Ai sensi del comma 12 “</w:t>
      </w:r>
      <w:r w:rsidRPr="0012448D">
        <w:rPr>
          <w:rFonts w:ascii="Garamond" w:hAnsi="Garamond" w:cs="Times New Roman"/>
          <w:i/>
          <w:color w:val="000000" w:themeColor="text1"/>
          <w:sz w:val="28"/>
          <w:szCs w:val="28"/>
        </w:rPr>
        <w:t>Salva l'applicazione dell'articolo 29-octies per le installazioni di cui all'articolo 6, comma 13, l'autorizzazione di cui al comma 1 è concessa per un periodo di dieci anni ed è rinnovabile. (…)</w:t>
      </w:r>
      <w:r w:rsidRPr="00BF2644">
        <w:rPr>
          <w:rFonts w:ascii="Garamond" w:hAnsi="Garamond" w:cs="Times New Roman"/>
          <w:color w:val="000000" w:themeColor="text1"/>
          <w:sz w:val="28"/>
          <w:szCs w:val="28"/>
        </w:rPr>
        <w:t>"</w:t>
      </w:r>
      <w:r w:rsidR="00966E4B" w:rsidRPr="00BF2644">
        <w:rPr>
          <w:rFonts w:ascii="Garamond" w:hAnsi="Garamond" w:cs="Times New Roman"/>
          <w:color w:val="000000" w:themeColor="text1"/>
          <w:sz w:val="28"/>
          <w:szCs w:val="28"/>
        </w:rPr>
        <w:t>.</w:t>
      </w:r>
    </w:p>
    <w:p w:rsidR="00D31D83" w:rsidRPr="00BF2644" w:rsidRDefault="007D4D6E" w:rsidP="00310059">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Nessuna prescrizione</w:t>
      </w:r>
      <w:r w:rsidR="00966E4B" w:rsidRPr="00BF2644">
        <w:rPr>
          <w:rFonts w:ascii="Garamond" w:hAnsi="Garamond" w:cs="Times New Roman"/>
          <w:color w:val="000000" w:themeColor="text1"/>
          <w:sz w:val="28"/>
          <w:szCs w:val="28"/>
        </w:rPr>
        <w:t xml:space="preserve"> è per contro dettata in ordine al termine per l’avvio ed il completamento dei lavori.</w:t>
      </w:r>
      <w:r w:rsidR="00310059">
        <w:rPr>
          <w:rFonts w:ascii="Garamond" w:hAnsi="Garamond" w:cs="Times New Roman"/>
          <w:color w:val="000000" w:themeColor="text1"/>
          <w:sz w:val="28"/>
          <w:szCs w:val="28"/>
        </w:rPr>
        <w:t xml:space="preserve"> </w:t>
      </w:r>
      <w:r w:rsidR="00966E4B" w:rsidRPr="00BF2644">
        <w:rPr>
          <w:rFonts w:ascii="Garamond" w:hAnsi="Garamond" w:cs="Times New Roman"/>
          <w:color w:val="000000" w:themeColor="text1"/>
          <w:sz w:val="28"/>
          <w:szCs w:val="28"/>
        </w:rPr>
        <w:t>La giurisprudenza del Consiglio di Stato ha al riguardo chiarito che l</w:t>
      </w:r>
      <w:r w:rsidR="00D31D83" w:rsidRPr="00BF2644">
        <w:rPr>
          <w:rFonts w:ascii="Garamond" w:hAnsi="Garamond" w:cs="Times New Roman"/>
          <w:color w:val="000000" w:themeColor="text1"/>
          <w:sz w:val="28"/>
          <w:szCs w:val="28"/>
        </w:rPr>
        <w:t>'assenza di disposizioni normative puntuali in ordine al termine di avvio e di completamento dei lavori, non rappresenta necessariamente una lacuna ma riflette una scelta del legislatore statale il quale, in relazione alla peculiarità degli impianti in esame e alla complessità del procedimento di autorizzazione, ha rimesso la fissazione dei termini alla stessa Amministrazion</w:t>
      </w:r>
      <w:r>
        <w:rPr>
          <w:rFonts w:ascii="Garamond" w:hAnsi="Garamond" w:cs="Times New Roman"/>
          <w:color w:val="000000" w:themeColor="text1"/>
          <w:sz w:val="28"/>
          <w:szCs w:val="28"/>
        </w:rPr>
        <w:t>e procedente, su impulso della c</w:t>
      </w:r>
      <w:r w:rsidR="00D31D83" w:rsidRPr="00BF2644">
        <w:rPr>
          <w:rFonts w:ascii="Garamond" w:hAnsi="Garamond" w:cs="Times New Roman"/>
          <w:color w:val="000000" w:themeColor="text1"/>
          <w:sz w:val="28"/>
          <w:szCs w:val="28"/>
        </w:rPr>
        <w:t>onferenza di servizi, secondo valutazioni da effettuarsi caso per caso e fatto salvo il termine finale di scadenza dell'autorizzazione medesim</w:t>
      </w:r>
      <w:r w:rsidR="0012448D">
        <w:rPr>
          <w:rFonts w:ascii="Garamond" w:hAnsi="Garamond" w:cs="Times New Roman"/>
          <w:color w:val="000000" w:themeColor="text1"/>
          <w:sz w:val="28"/>
          <w:szCs w:val="28"/>
        </w:rPr>
        <w:t>a (Cons. Stato</w:t>
      </w:r>
      <w:r w:rsidR="00BB0A10">
        <w:rPr>
          <w:rFonts w:ascii="Garamond" w:hAnsi="Garamond" w:cs="Times New Roman"/>
          <w:color w:val="000000" w:themeColor="text1"/>
          <w:sz w:val="28"/>
          <w:szCs w:val="28"/>
        </w:rPr>
        <w:t>,</w:t>
      </w:r>
      <w:r w:rsidR="0012448D">
        <w:rPr>
          <w:rFonts w:ascii="Garamond" w:hAnsi="Garamond" w:cs="Times New Roman"/>
          <w:color w:val="000000" w:themeColor="text1"/>
          <w:sz w:val="28"/>
          <w:szCs w:val="28"/>
        </w:rPr>
        <w:t xml:space="preserve"> </w:t>
      </w:r>
      <w:r w:rsidR="00181410">
        <w:rPr>
          <w:rFonts w:ascii="Garamond" w:hAnsi="Garamond" w:cs="Times New Roman"/>
          <w:color w:val="000000" w:themeColor="text1"/>
          <w:sz w:val="28"/>
          <w:szCs w:val="28"/>
        </w:rPr>
        <w:t>sez.</w:t>
      </w:r>
      <w:r w:rsidR="0012448D">
        <w:rPr>
          <w:rFonts w:ascii="Garamond" w:hAnsi="Garamond" w:cs="Times New Roman"/>
          <w:color w:val="000000" w:themeColor="text1"/>
          <w:sz w:val="28"/>
          <w:szCs w:val="28"/>
        </w:rPr>
        <w:t xml:space="preserve"> IV, n. 9738 del </w:t>
      </w:r>
      <w:r w:rsidR="00D31D83" w:rsidRPr="00BF2644">
        <w:rPr>
          <w:rFonts w:ascii="Garamond" w:hAnsi="Garamond" w:cs="Times New Roman"/>
          <w:color w:val="000000" w:themeColor="text1"/>
          <w:sz w:val="28"/>
          <w:szCs w:val="28"/>
        </w:rPr>
        <w:t>2022</w:t>
      </w:r>
      <w:r w:rsidR="0012448D">
        <w:rPr>
          <w:rFonts w:ascii="Garamond" w:hAnsi="Garamond" w:cs="Times New Roman"/>
          <w:color w:val="000000" w:themeColor="text1"/>
          <w:sz w:val="28"/>
          <w:szCs w:val="28"/>
        </w:rPr>
        <w:t xml:space="preserve">; Cons. Stato, </w:t>
      </w:r>
      <w:r w:rsidR="00181410">
        <w:rPr>
          <w:rFonts w:ascii="Garamond" w:hAnsi="Garamond" w:cs="Times New Roman"/>
          <w:color w:val="000000" w:themeColor="text1"/>
          <w:sz w:val="28"/>
          <w:szCs w:val="28"/>
        </w:rPr>
        <w:t>sez.</w:t>
      </w:r>
      <w:r w:rsidR="0012448D">
        <w:rPr>
          <w:rFonts w:ascii="Garamond" w:hAnsi="Garamond" w:cs="Times New Roman"/>
          <w:color w:val="000000" w:themeColor="text1"/>
          <w:sz w:val="28"/>
          <w:szCs w:val="28"/>
        </w:rPr>
        <w:t xml:space="preserve"> IV, n. 4091del </w:t>
      </w:r>
      <w:r w:rsidR="00A155F2" w:rsidRPr="00BF2644">
        <w:rPr>
          <w:rFonts w:ascii="Garamond" w:hAnsi="Garamond" w:cs="Times New Roman"/>
          <w:color w:val="000000" w:themeColor="text1"/>
          <w:sz w:val="28"/>
          <w:szCs w:val="28"/>
        </w:rPr>
        <w:t>2018</w:t>
      </w:r>
      <w:r w:rsidR="00D31D83" w:rsidRPr="00BF2644">
        <w:rPr>
          <w:rFonts w:ascii="Garamond" w:hAnsi="Garamond" w:cs="Times New Roman"/>
          <w:color w:val="000000" w:themeColor="text1"/>
          <w:sz w:val="28"/>
          <w:szCs w:val="28"/>
        </w:rPr>
        <w:t>).</w:t>
      </w:r>
    </w:p>
    <w:p w:rsidR="007864FE" w:rsidRPr="00BF2644" w:rsidRDefault="007D4D6E" w:rsidP="00BF2644">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N</w:t>
      </w:r>
      <w:r w:rsidR="007864FE" w:rsidRPr="00BF2644">
        <w:rPr>
          <w:rFonts w:ascii="Garamond" w:hAnsi="Garamond" w:cs="Times New Roman"/>
          <w:color w:val="000000" w:themeColor="text1"/>
          <w:sz w:val="28"/>
          <w:szCs w:val="28"/>
        </w:rPr>
        <w:t>elle determinazioni di autorizzazione unica e di autorizzazione integrata ambientale, l’autorità competente può fissare valori limite di emissione più rigorosi delle soglie tecniche di miglior tecnologia, in tre casi specifici:</w:t>
      </w:r>
    </w:p>
    <w:p w:rsidR="007864FE" w:rsidRPr="00BF2644" w:rsidRDefault="007864FE"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 - quando lo richieda la pianificazione regionale in materia di ambiente, tutela delle acque o emissioni; </w:t>
      </w:r>
    </w:p>
    <w:p w:rsidR="007864FE" w:rsidRPr="00BF2644" w:rsidRDefault="007864FE"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 quando lo richieda la normativa regionale; </w:t>
      </w:r>
    </w:p>
    <w:p w:rsidR="007864FE" w:rsidRDefault="007864FE" w:rsidP="007D4D6E">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 quando, in mancanza di autorizzazione integrata ambientale, lo richieda </w:t>
      </w:r>
      <w:r w:rsidR="007D4D6E">
        <w:rPr>
          <w:rFonts w:ascii="Garamond" w:hAnsi="Garamond" w:cs="Times New Roman"/>
          <w:color w:val="000000" w:themeColor="text1"/>
          <w:sz w:val="28"/>
          <w:szCs w:val="28"/>
        </w:rPr>
        <w:t>il provvedimento autorizzatorio (</w:t>
      </w:r>
      <w:r w:rsidR="007D4D6E" w:rsidRPr="007D4D6E">
        <w:rPr>
          <w:rFonts w:ascii="Garamond" w:hAnsi="Garamond" w:cs="Times New Roman"/>
          <w:color w:val="000000" w:themeColor="text1"/>
          <w:sz w:val="28"/>
          <w:szCs w:val="28"/>
        </w:rPr>
        <w:t>Cons. S</w:t>
      </w:r>
      <w:r w:rsidR="007D4D6E">
        <w:rPr>
          <w:rFonts w:ascii="Garamond" w:hAnsi="Garamond" w:cs="Times New Roman"/>
          <w:color w:val="000000" w:themeColor="text1"/>
          <w:sz w:val="28"/>
          <w:szCs w:val="28"/>
        </w:rPr>
        <w:t xml:space="preserve">tato, sez. IV, n. 2245 del 2023 che ha pertanto precisato come costituisce </w:t>
      </w:r>
      <w:r w:rsidRPr="00BF2644">
        <w:rPr>
          <w:rFonts w:ascii="Garamond" w:hAnsi="Garamond" w:cs="Times New Roman"/>
          <w:color w:val="000000" w:themeColor="text1"/>
          <w:sz w:val="28"/>
          <w:szCs w:val="28"/>
        </w:rPr>
        <w:t>scelta ragionevole e non manifestamente sproporzionata, in adesione al principio di precauzione, che l’autorità preposta imponga limiti e prescrizioni più rigorosi in relazione a situazioni di vetustà dell’impianto, per il quale non si dimostri il possesso dei requisiti della migliore tecnologia disponibile. Il tutto muovendo dall’ineludibile regola cardine, secondo cui i progettisti, i costruttori e i gestori di impianti di co-incenerimento non possono progettare, costruire, equipaggiare e gestire impianti aventi emissioni superiori ai valori limite</w:t>
      </w:r>
      <w:r w:rsidR="007D4D6E">
        <w:rPr>
          <w:rFonts w:ascii="Garamond" w:hAnsi="Garamond" w:cs="Times New Roman"/>
          <w:color w:val="000000" w:themeColor="text1"/>
          <w:sz w:val="28"/>
          <w:szCs w:val="28"/>
        </w:rPr>
        <w:t>)</w:t>
      </w:r>
      <w:r w:rsidRPr="00BF2644">
        <w:rPr>
          <w:rFonts w:ascii="Garamond" w:hAnsi="Garamond" w:cs="Times New Roman"/>
          <w:color w:val="000000" w:themeColor="text1"/>
          <w:sz w:val="28"/>
          <w:szCs w:val="28"/>
        </w:rPr>
        <w:t>.</w:t>
      </w:r>
    </w:p>
    <w:p w:rsidR="0024268C" w:rsidRPr="0024268C" w:rsidRDefault="0024268C" w:rsidP="0024268C">
      <w:pPr>
        <w:spacing w:line="240" w:lineRule="auto"/>
        <w:ind w:firstLine="709"/>
        <w:contextualSpacing/>
        <w:jc w:val="both"/>
        <w:rPr>
          <w:rFonts w:ascii="Garamond" w:hAnsi="Garamond" w:cs="Times New Roman"/>
          <w:color w:val="000000" w:themeColor="text1"/>
          <w:sz w:val="28"/>
          <w:szCs w:val="28"/>
        </w:rPr>
      </w:pPr>
      <w:r w:rsidRPr="0024268C">
        <w:rPr>
          <w:rFonts w:ascii="Garamond" w:hAnsi="Garamond" w:cs="Times New Roman"/>
          <w:color w:val="000000" w:themeColor="text1"/>
          <w:sz w:val="28"/>
          <w:szCs w:val="28"/>
        </w:rPr>
        <w:t xml:space="preserve">In sede di rilascio delle autorizzazioni ambientali debbono ritenersi legittime anche prescrizioni più restrittive rispetto a quelle individuate dalla disciplina tecnica di settore </w:t>
      </w:r>
      <w:r>
        <w:rPr>
          <w:rFonts w:ascii="Garamond" w:hAnsi="Garamond" w:cs="Times New Roman"/>
          <w:color w:val="000000" w:themeColor="text1"/>
          <w:sz w:val="28"/>
          <w:szCs w:val="28"/>
        </w:rPr>
        <w:t>(</w:t>
      </w:r>
      <w:r w:rsidRPr="0024268C">
        <w:rPr>
          <w:rFonts w:ascii="Garamond" w:hAnsi="Garamond" w:cs="Times New Roman"/>
          <w:color w:val="000000" w:themeColor="text1"/>
          <w:sz w:val="28"/>
          <w:szCs w:val="28"/>
        </w:rPr>
        <w:t>Cons. Stato, sez. IV n. 5991 del 2023 che ha considerato legittimo il provvedimento della Regione di rigetto dell’istanza volta alla modifica della prescrizione secondo la quale il cascame di lana inviato al riutilizzo come ammendante/fertilizzante deve essere  costituito esclusivamente da lana o da altre fibre d</w:t>
      </w:r>
      <w:r>
        <w:rPr>
          <w:rFonts w:ascii="Garamond" w:hAnsi="Garamond" w:cs="Times New Roman"/>
          <w:color w:val="000000" w:themeColor="text1"/>
          <w:sz w:val="28"/>
          <w:szCs w:val="28"/>
        </w:rPr>
        <w:t>i origine animale affinché sia</w:t>
      </w:r>
      <w:r w:rsidRPr="0024268C">
        <w:rPr>
          <w:rFonts w:ascii="Garamond" w:hAnsi="Garamond" w:cs="Times New Roman"/>
          <w:color w:val="000000" w:themeColor="text1"/>
          <w:sz w:val="28"/>
          <w:szCs w:val="28"/>
        </w:rPr>
        <w:t xml:space="preserve"> possibile, per la produzione del concime denominato “</w:t>
      </w:r>
      <w:r w:rsidRPr="0024268C">
        <w:rPr>
          <w:rFonts w:ascii="Garamond" w:hAnsi="Garamond" w:cs="Times New Roman"/>
          <w:i/>
          <w:color w:val="000000" w:themeColor="text1"/>
          <w:sz w:val="28"/>
          <w:szCs w:val="28"/>
        </w:rPr>
        <w:t>Cascami di lana</w:t>
      </w:r>
      <w:r w:rsidRPr="0024268C">
        <w:rPr>
          <w:rFonts w:ascii="Garamond" w:hAnsi="Garamond" w:cs="Times New Roman"/>
          <w:color w:val="000000" w:themeColor="text1"/>
          <w:sz w:val="28"/>
          <w:szCs w:val="28"/>
        </w:rPr>
        <w:t>”, utilizzare i residui della lavorazione della lana contenenti anche fibre sintetiche; ciò in quanto le tipologie di rifiuti non pericolosi che possono essere sottoposti a procedure semplificate di recupero, e le relative norme tecniche, sono contenute nel d.m. 5 febbraio 1998 - recante “</w:t>
      </w:r>
      <w:r w:rsidRPr="0024268C">
        <w:rPr>
          <w:rFonts w:ascii="Garamond" w:hAnsi="Garamond" w:cs="Times New Roman"/>
          <w:i/>
          <w:color w:val="000000" w:themeColor="text1"/>
          <w:sz w:val="28"/>
          <w:szCs w:val="28"/>
        </w:rPr>
        <w:t xml:space="preserve">Individuazione dei rifiuti non pericolosi sottoposti alle procedure semplificate di recupero ai sensi degli articoli 31 e 33 del </w:t>
      </w:r>
      <w:r w:rsidR="004F0CCD">
        <w:rPr>
          <w:rFonts w:ascii="Garamond" w:hAnsi="Garamond" w:cs="Times New Roman"/>
          <w:i/>
          <w:color w:val="000000" w:themeColor="text1"/>
          <w:sz w:val="28"/>
          <w:szCs w:val="28"/>
        </w:rPr>
        <w:t>d.lgs.</w:t>
      </w:r>
      <w:r w:rsidRPr="0024268C">
        <w:rPr>
          <w:rFonts w:ascii="Garamond" w:hAnsi="Garamond" w:cs="Times New Roman"/>
          <w:i/>
          <w:color w:val="000000" w:themeColor="text1"/>
          <w:sz w:val="28"/>
          <w:szCs w:val="28"/>
        </w:rPr>
        <w:t xml:space="preserve"> 5 febbraio 1997, n. 22</w:t>
      </w:r>
      <w:r w:rsidRPr="0024268C">
        <w:rPr>
          <w:rFonts w:ascii="Garamond" w:hAnsi="Garamond" w:cs="Times New Roman"/>
          <w:color w:val="000000" w:themeColor="text1"/>
          <w:sz w:val="28"/>
          <w:szCs w:val="28"/>
        </w:rPr>
        <w:t>” -  che al par. 18.2. dell’Allegato 1, in tema di rifiuti destinati alla produzione di fertilizzanti</w:t>
      </w:r>
      <w:r w:rsidR="00E008C6">
        <w:rPr>
          <w:rFonts w:ascii="Garamond" w:hAnsi="Garamond" w:cs="Times New Roman"/>
          <w:color w:val="000000" w:themeColor="text1"/>
          <w:sz w:val="28"/>
          <w:szCs w:val="28"/>
        </w:rPr>
        <w:t>,</w:t>
      </w:r>
      <w:r w:rsidRPr="0024268C">
        <w:rPr>
          <w:rFonts w:ascii="Garamond" w:hAnsi="Garamond" w:cs="Times New Roman"/>
          <w:color w:val="000000" w:themeColor="text1"/>
          <w:sz w:val="28"/>
          <w:szCs w:val="28"/>
        </w:rPr>
        <w:t xml:space="preserve"> prevede che la tipologia del rifiuto in ingresso è costituita da “</w:t>
      </w:r>
      <w:r w:rsidRPr="0024268C">
        <w:rPr>
          <w:rFonts w:ascii="Garamond" w:hAnsi="Garamond" w:cs="Times New Roman"/>
          <w:i/>
          <w:color w:val="000000" w:themeColor="text1"/>
          <w:sz w:val="28"/>
          <w:szCs w:val="28"/>
        </w:rPr>
        <w:t>scarti, peluria e pelucchi di lana e altre fibre di origine animale, rifilature e scarti di pelo</w:t>
      </w:r>
      <w:r w:rsidRPr="0024268C">
        <w:rPr>
          <w:rFonts w:ascii="Garamond" w:hAnsi="Garamond" w:cs="Times New Roman"/>
          <w:color w:val="000000" w:themeColor="text1"/>
          <w:sz w:val="28"/>
          <w:szCs w:val="28"/>
        </w:rPr>
        <w:t>” e al punto  18.2.1 prevede che gli stessi debbono provenire  dalla “</w:t>
      </w:r>
      <w:r w:rsidRPr="0024268C">
        <w:rPr>
          <w:rFonts w:ascii="Garamond" w:hAnsi="Garamond" w:cs="Times New Roman"/>
          <w:i/>
          <w:color w:val="000000" w:themeColor="text1"/>
          <w:sz w:val="28"/>
          <w:szCs w:val="28"/>
        </w:rPr>
        <w:t>lavorazione della lana e suoi manufatti, ritagli dell'industria conciaria prima del trattamento conciante</w:t>
      </w:r>
      <w:r w:rsidRPr="0024268C">
        <w:rPr>
          <w:rFonts w:ascii="Garamond" w:hAnsi="Garamond" w:cs="Times New Roman"/>
          <w:color w:val="000000" w:themeColor="text1"/>
          <w:sz w:val="28"/>
          <w:szCs w:val="28"/>
        </w:rPr>
        <w:t>”, non trova</w:t>
      </w:r>
      <w:r w:rsidR="00310059">
        <w:rPr>
          <w:rFonts w:ascii="Garamond" w:hAnsi="Garamond" w:cs="Times New Roman"/>
          <w:color w:val="000000" w:themeColor="text1"/>
          <w:sz w:val="28"/>
          <w:szCs w:val="28"/>
        </w:rPr>
        <w:t xml:space="preserve">ndo per contro </w:t>
      </w:r>
      <w:r w:rsidR="00310059">
        <w:rPr>
          <w:rFonts w:ascii="Garamond" w:hAnsi="Garamond" w:cs="Times New Roman"/>
          <w:color w:val="000000" w:themeColor="text1"/>
          <w:sz w:val="28"/>
          <w:szCs w:val="28"/>
        </w:rPr>
        <w:lastRenderedPageBreak/>
        <w:t xml:space="preserve">applicazione il </w:t>
      </w:r>
      <w:r w:rsidR="004F0CCD">
        <w:rPr>
          <w:rFonts w:ascii="Garamond" w:hAnsi="Garamond" w:cs="Times New Roman"/>
          <w:color w:val="000000" w:themeColor="text1"/>
          <w:sz w:val="28"/>
          <w:szCs w:val="28"/>
        </w:rPr>
        <w:t>d.lgs.</w:t>
      </w:r>
      <w:r w:rsidRPr="0024268C">
        <w:rPr>
          <w:rFonts w:ascii="Garamond" w:hAnsi="Garamond" w:cs="Times New Roman"/>
          <w:color w:val="000000" w:themeColor="text1"/>
          <w:sz w:val="28"/>
          <w:szCs w:val="28"/>
        </w:rPr>
        <w:t xml:space="preserve"> n. 75 del 2010</w:t>
      </w:r>
      <w:r w:rsidR="00E008C6">
        <w:rPr>
          <w:rFonts w:ascii="Garamond" w:hAnsi="Garamond" w:cs="Times New Roman"/>
          <w:color w:val="000000" w:themeColor="text1"/>
          <w:sz w:val="28"/>
          <w:szCs w:val="28"/>
        </w:rPr>
        <w:t xml:space="preserve">, </w:t>
      </w:r>
      <w:r w:rsidRPr="0024268C">
        <w:rPr>
          <w:rFonts w:ascii="Garamond" w:hAnsi="Garamond" w:cs="Times New Roman"/>
          <w:color w:val="000000" w:themeColor="text1"/>
          <w:sz w:val="28"/>
          <w:szCs w:val="28"/>
        </w:rPr>
        <w:t xml:space="preserve"> il quale disciplina il prodotto finale, fissandone le caratteristiche per poter essere immesso nel mercato interno e dell’Unione europea).</w:t>
      </w:r>
    </w:p>
    <w:p w:rsidR="0024268C" w:rsidRPr="00BF2644" w:rsidRDefault="0024268C" w:rsidP="00310059">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 </w:t>
      </w:r>
      <w:r w:rsidRPr="005E30FA">
        <w:rPr>
          <w:rFonts w:ascii="Garamond" w:hAnsi="Garamond" w:cs="Times New Roman"/>
          <w:color w:val="000000" w:themeColor="text1"/>
          <w:sz w:val="28"/>
          <w:szCs w:val="28"/>
        </w:rPr>
        <w:t>Le ragioni tecniche per le quali vengono dettate le prescrizioni non sono sindacabili in sede giurisdizionale amministrativa, allorquando non trasmodino nella abnormità e nella palese illogicità (ex plurimis Cons. Stato, sez. IV</w:t>
      </w:r>
      <w:r w:rsidR="00375092">
        <w:rPr>
          <w:rFonts w:ascii="Garamond" w:hAnsi="Garamond" w:cs="Times New Roman"/>
          <w:color w:val="000000" w:themeColor="text1"/>
          <w:sz w:val="28"/>
          <w:szCs w:val="28"/>
        </w:rPr>
        <w:t>,</w:t>
      </w:r>
      <w:r w:rsidRPr="005E30FA">
        <w:rPr>
          <w:rFonts w:ascii="Garamond" w:hAnsi="Garamond" w:cs="Times New Roman"/>
          <w:color w:val="000000" w:themeColor="text1"/>
          <w:sz w:val="28"/>
          <w:szCs w:val="28"/>
        </w:rPr>
        <w:t xml:space="preserve"> n. 5991 del 2023 cit</w:t>
      </w:r>
      <w:r w:rsidR="00375092">
        <w:rPr>
          <w:rFonts w:ascii="Garamond" w:hAnsi="Garamond" w:cs="Times New Roman"/>
          <w:color w:val="000000" w:themeColor="text1"/>
          <w:sz w:val="28"/>
          <w:szCs w:val="28"/>
        </w:rPr>
        <w:t>.</w:t>
      </w:r>
      <w:r w:rsidRPr="005E30FA">
        <w:rPr>
          <w:rFonts w:ascii="Garamond" w:hAnsi="Garamond" w:cs="Times New Roman"/>
          <w:color w:val="000000" w:themeColor="text1"/>
          <w:sz w:val="28"/>
          <w:szCs w:val="28"/>
        </w:rPr>
        <w:t>;</w:t>
      </w:r>
      <w:r w:rsidR="00520546">
        <w:rPr>
          <w:rFonts w:ascii="Garamond" w:hAnsi="Garamond" w:cs="Times New Roman"/>
          <w:color w:val="000000" w:themeColor="text1"/>
          <w:sz w:val="28"/>
          <w:szCs w:val="28"/>
        </w:rPr>
        <w:t xml:space="preserve"> </w:t>
      </w:r>
      <w:r w:rsidRPr="005E30FA">
        <w:rPr>
          <w:rFonts w:ascii="Garamond" w:hAnsi="Garamond" w:cs="Times New Roman"/>
          <w:color w:val="000000" w:themeColor="text1"/>
          <w:sz w:val="28"/>
          <w:szCs w:val="28"/>
        </w:rPr>
        <w:t xml:space="preserve">n. 1761 del </w:t>
      </w:r>
      <w:proofErr w:type="gramStart"/>
      <w:r w:rsidRPr="005E30FA">
        <w:rPr>
          <w:rFonts w:ascii="Garamond" w:hAnsi="Garamond" w:cs="Times New Roman"/>
          <w:color w:val="000000" w:themeColor="text1"/>
          <w:sz w:val="28"/>
          <w:szCs w:val="28"/>
        </w:rPr>
        <w:t>2022;  n.</w:t>
      </w:r>
      <w:proofErr w:type="gramEnd"/>
      <w:r w:rsidRPr="005E30FA">
        <w:rPr>
          <w:rFonts w:ascii="Garamond" w:hAnsi="Garamond" w:cs="Times New Roman"/>
          <w:color w:val="000000" w:themeColor="text1"/>
          <w:sz w:val="28"/>
          <w:szCs w:val="28"/>
        </w:rPr>
        <w:t xml:space="preserve"> 87</w:t>
      </w:r>
      <w:r w:rsidR="00310059" w:rsidRPr="005E30FA">
        <w:rPr>
          <w:rFonts w:ascii="Garamond" w:hAnsi="Garamond" w:cs="Times New Roman"/>
          <w:color w:val="000000" w:themeColor="text1"/>
          <w:sz w:val="28"/>
          <w:szCs w:val="28"/>
        </w:rPr>
        <w:t>54 e n. 1714 del 2021).</w:t>
      </w:r>
      <w:r w:rsidR="00375092">
        <w:rPr>
          <w:rFonts w:ascii="Garamond" w:hAnsi="Garamond" w:cs="Times New Roman"/>
          <w:color w:val="000000" w:themeColor="text1"/>
          <w:sz w:val="28"/>
          <w:szCs w:val="28"/>
        </w:rPr>
        <w:t xml:space="preserve"> </w:t>
      </w:r>
      <w:r w:rsidRPr="005E30FA">
        <w:rPr>
          <w:rFonts w:ascii="Garamond" w:hAnsi="Garamond" w:cs="Times New Roman"/>
          <w:color w:val="000000" w:themeColor="text1"/>
          <w:sz w:val="28"/>
          <w:szCs w:val="28"/>
        </w:rPr>
        <w:t>Il giudice amministrativo, infatti, non può sostituirsi alle valutazioni, anche di tipo tecnico, riservate alle Amministrazioni pubbliche di settore (</w:t>
      </w:r>
      <w:r w:rsidRPr="0024268C">
        <w:rPr>
          <w:rFonts w:ascii="Garamond" w:hAnsi="Garamond" w:cs="Times New Roman"/>
          <w:color w:val="000000" w:themeColor="text1"/>
          <w:sz w:val="28"/>
          <w:szCs w:val="28"/>
        </w:rPr>
        <w:t>da ultimo, Cons. Stato, sez. IV, n. 2245 del 2023; n. 2344 del 2022).</w:t>
      </w:r>
    </w:p>
    <w:p w:rsidR="00D31D83" w:rsidRDefault="00D47CE2" w:rsidP="0012448D">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L’art. 208 T.U.A. </w:t>
      </w:r>
      <w:r w:rsidR="0012448D">
        <w:rPr>
          <w:rFonts w:ascii="Garamond" w:hAnsi="Garamond" w:cs="Times New Roman"/>
          <w:color w:val="000000" w:themeColor="text1"/>
          <w:sz w:val="28"/>
          <w:szCs w:val="28"/>
        </w:rPr>
        <w:t xml:space="preserve"> stabilisce, poi, al </w:t>
      </w:r>
      <w:r w:rsidR="00D31D83" w:rsidRPr="00BF2644">
        <w:rPr>
          <w:rFonts w:ascii="Garamond" w:hAnsi="Garamond" w:cs="Times New Roman"/>
          <w:color w:val="000000" w:themeColor="text1"/>
          <w:sz w:val="28"/>
          <w:szCs w:val="28"/>
        </w:rPr>
        <w:t>comma</w:t>
      </w:r>
      <w:r w:rsidR="0012448D">
        <w:rPr>
          <w:rFonts w:ascii="Garamond" w:hAnsi="Garamond" w:cs="Times New Roman"/>
          <w:color w:val="000000" w:themeColor="text1"/>
          <w:sz w:val="28"/>
          <w:szCs w:val="28"/>
        </w:rPr>
        <w:t xml:space="preserve"> 13</w:t>
      </w:r>
      <w:r w:rsidR="00D31D83" w:rsidRPr="00BF2644">
        <w:rPr>
          <w:rFonts w:ascii="Garamond" w:hAnsi="Garamond" w:cs="Times New Roman"/>
          <w:color w:val="000000" w:themeColor="text1"/>
          <w:sz w:val="28"/>
          <w:szCs w:val="28"/>
        </w:rPr>
        <w:t xml:space="preserve">  che, in caso di inosservanza delle prescrizioni dell'autorizzazione, l'autorità competente procede, secondo la gravità dell'infrazione: a) alla diffida, stabilendo un termine entro il quale devono essere eliminate le inosservanze; b) alla diffida e contestuale sospensione dell'autorizzazione per un tempo determinato, ove si manifestino situazioni di pericolo per la salute pubblica e per l'ambiente; c) alla revoca dell'autorizzazione</w:t>
      </w:r>
      <w:r w:rsidR="00520546">
        <w:rPr>
          <w:rFonts w:ascii="Garamond" w:hAnsi="Garamond" w:cs="Times New Roman"/>
          <w:color w:val="000000" w:themeColor="text1"/>
          <w:sz w:val="28"/>
          <w:szCs w:val="28"/>
        </w:rPr>
        <w:t>,</w:t>
      </w:r>
      <w:r w:rsidR="00D31D83" w:rsidRPr="00BF2644">
        <w:rPr>
          <w:rFonts w:ascii="Garamond" w:hAnsi="Garamond" w:cs="Times New Roman"/>
          <w:color w:val="000000" w:themeColor="text1"/>
          <w:sz w:val="28"/>
          <w:szCs w:val="28"/>
        </w:rPr>
        <w:t xml:space="preserve"> in caso di mancato adeguamento alle prescrizioni imposte con la diffida e in caso di reiterate violazioni che determinino situazioni di pericolo per la salute pubblica e per l'ambiente.</w:t>
      </w:r>
      <w:r w:rsidR="0012448D">
        <w:rPr>
          <w:rFonts w:ascii="Garamond" w:hAnsi="Garamond"/>
          <w:sz w:val="28"/>
          <w:szCs w:val="28"/>
        </w:rPr>
        <w:t xml:space="preserve"> </w:t>
      </w:r>
      <w:r w:rsidR="0012448D">
        <w:rPr>
          <w:rFonts w:ascii="Garamond" w:hAnsi="Garamond" w:cs="Times New Roman"/>
          <w:color w:val="000000" w:themeColor="text1"/>
          <w:sz w:val="28"/>
          <w:szCs w:val="28"/>
        </w:rPr>
        <w:t>S</w:t>
      </w:r>
      <w:r w:rsidR="006C26E7" w:rsidRPr="00BF2644">
        <w:rPr>
          <w:rFonts w:ascii="Garamond" w:hAnsi="Garamond" w:cs="Times New Roman"/>
          <w:color w:val="000000" w:themeColor="text1"/>
          <w:sz w:val="28"/>
          <w:szCs w:val="28"/>
        </w:rPr>
        <w:t>econdo</w:t>
      </w:r>
      <w:r w:rsidR="0012448D">
        <w:rPr>
          <w:rFonts w:ascii="Garamond" w:hAnsi="Garamond" w:cs="Times New Roman"/>
          <w:color w:val="000000" w:themeColor="text1"/>
          <w:sz w:val="28"/>
          <w:szCs w:val="28"/>
        </w:rPr>
        <w:t xml:space="preserve"> quanto</w:t>
      </w:r>
      <w:r w:rsidR="006C26E7" w:rsidRPr="00BF2644">
        <w:rPr>
          <w:rFonts w:ascii="Garamond" w:hAnsi="Garamond" w:cs="Times New Roman"/>
          <w:color w:val="000000" w:themeColor="text1"/>
          <w:sz w:val="28"/>
          <w:szCs w:val="28"/>
        </w:rPr>
        <w:t xml:space="preserve"> prescritto da tale comma è proprio attraverso la diffida che al gestore viene contestata l'inosservanza delle prescrizioni dell'autorizzazione, allo scopo di metterlo nelle condizioni di eliminare le violazioni riscontrate. La diffida assolve quindi anche alla funzione di mezzo di comunicazione dell'avvio del procedimento destinato a culminare (o meno) nella statuizione sanzionatoria (della sospensione e/o della revoca) in modo da soddisfare le esigenze del giusto procedimento di cui all'art. 7, della </w:t>
      </w:r>
      <w:r w:rsidR="00981AFC">
        <w:rPr>
          <w:rFonts w:ascii="Garamond" w:hAnsi="Garamond" w:cs="Times New Roman"/>
          <w:color w:val="000000" w:themeColor="text1"/>
          <w:sz w:val="28"/>
          <w:szCs w:val="28"/>
        </w:rPr>
        <w:t>l</w:t>
      </w:r>
      <w:r w:rsidR="006C564E">
        <w:rPr>
          <w:rFonts w:ascii="Garamond" w:hAnsi="Garamond" w:cs="Times New Roman"/>
          <w:color w:val="000000" w:themeColor="text1"/>
          <w:sz w:val="28"/>
          <w:szCs w:val="28"/>
        </w:rPr>
        <w:t>.</w:t>
      </w:r>
      <w:r w:rsidR="006C26E7" w:rsidRPr="00BF2644">
        <w:rPr>
          <w:rFonts w:ascii="Garamond" w:hAnsi="Garamond" w:cs="Times New Roman"/>
          <w:color w:val="000000" w:themeColor="text1"/>
          <w:sz w:val="28"/>
          <w:szCs w:val="28"/>
        </w:rPr>
        <w:t xml:space="preserve"> n. 241 del 1990 (Cons. Stato</w:t>
      </w:r>
      <w:r w:rsidR="00A24130">
        <w:rPr>
          <w:rFonts w:ascii="Garamond" w:hAnsi="Garamond" w:cs="Times New Roman"/>
          <w:color w:val="000000" w:themeColor="text1"/>
          <w:sz w:val="28"/>
          <w:szCs w:val="28"/>
        </w:rPr>
        <w:t>,</w:t>
      </w:r>
      <w:r w:rsidR="00BB0A10">
        <w:rPr>
          <w:rFonts w:ascii="Garamond" w:hAnsi="Garamond" w:cs="Times New Roman"/>
          <w:color w:val="000000" w:themeColor="text1"/>
          <w:sz w:val="28"/>
          <w:szCs w:val="28"/>
        </w:rPr>
        <w:t xml:space="preserve"> s</w:t>
      </w:r>
      <w:r w:rsidR="006C26E7" w:rsidRPr="00BF2644">
        <w:rPr>
          <w:rFonts w:ascii="Garamond" w:hAnsi="Garamond" w:cs="Times New Roman"/>
          <w:color w:val="000000" w:themeColor="text1"/>
          <w:sz w:val="28"/>
          <w:szCs w:val="28"/>
        </w:rPr>
        <w:t>ez. IV, n. 803</w:t>
      </w:r>
      <w:r w:rsidR="00A24130">
        <w:rPr>
          <w:rFonts w:ascii="Garamond" w:hAnsi="Garamond" w:cs="Times New Roman"/>
          <w:color w:val="000000" w:themeColor="text1"/>
          <w:sz w:val="28"/>
          <w:szCs w:val="28"/>
        </w:rPr>
        <w:t xml:space="preserve"> del 2020</w:t>
      </w:r>
      <w:r w:rsidR="006C26E7" w:rsidRPr="00BF2644">
        <w:rPr>
          <w:rFonts w:ascii="Garamond" w:hAnsi="Garamond" w:cs="Times New Roman"/>
          <w:color w:val="000000" w:themeColor="text1"/>
          <w:sz w:val="28"/>
          <w:szCs w:val="28"/>
        </w:rPr>
        <w:t>;</w:t>
      </w:r>
      <w:r w:rsidR="00375092">
        <w:rPr>
          <w:rFonts w:ascii="Garamond" w:hAnsi="Garamond" w:cs="Times New Roman"/>
          <w:color w:val="000000" w:themeColor="text1"/>
          <w:sz w:val="28"/>
          <w:szCs w:val="28"/>
        </w:rPr>
        <w:t xml:space="preserve"> </w:t>
      </w:r>
      <w:r w:rsidR="006C26E7" w:rsidRPr="00BF2644">
        <w:rPr>
          <w:rFonts w:ascii="Garamond" w:hAnsi="Garamond" w:cs="Times New Roman"/>
          <w:color w:val="000000" w:themeColor="text1"/>
          <w:sz w:val="28"/>
          <w:szCs w:val="28"/>
        </w:rPr>
        <w:t>n. 3933</w:t>
      </w:r>
      <w:r w:rsidR="00A24130">
        <w:rPr>
          <w:rFonts w:ascii="Garamond" w:hAnsi="Garamond" w:cs="Times New Roman"/>
          <w:color w:val="000000" w:themeColor="text1"/>
          <w:sz w:val="28"/>
          <w:szCs w:val="28"/>
        </w:rPr>
        <w:t xml:space="preserve"> del 2018</w:t>
      </w:r>
      <w:r w:rsidR="006C26E7" w:rsidRPr="00BF2644">
        <w:rPr>
          <w:rFonts w:ascii="Garamond" w:hAnsi="Garamond" w:cs="Times New Roman"/>
          <w:color w:val="000000" w:themeColor="text1"/>
          <w:sz w:val="28"/>
          <w:szCs w:val="28"/>
        </w:rPr>
        <w:t xml:space="preserve">; </w:t>
      </w:r>
      <w:r w:rsidR="00375092">
        <w:rPr>
          <w:rFonts w:ascii="Garamond" w:hAnsi="Garamond" w:cs="Times New Roman"/>
          <w:color w:val="000000" w:themeColor="text1"/>
          <w:sz w:val="28"/>
          <w:szCs w:val="28"/>
        </w:rPr>
        <w:t>s</w:t>
      </w:r>
      <w:r w:rsidR="00A24130">
        <w:rPr>
          <w:rFonts w:ascii="Garamond" w:hAnsi="Garamond" w:cs="Times New Roman"/>
          <w:color w:val="000000" w:themeColor="text1"/>
          <w:sz w:val="28"/>
          <w:szCs w:val="28"/>
        </w:rPr>
        <w:t>ez. V,</w:t>
      </w:r>
      <w:r w:rsidR="006C26E7" w:rsidRPr="00BF2644">
        <w:rPr>
          <w:rFonts w:ascii="Garamond" w:hAnsi="Garamond" w:cs="Times New Roman"/>
          <w:color w:val="000000" w:themeColor="text1"/>
          <w:sz w:val="28"/>
          <w:szCs w:val="28"/>
        </w:rPr>
        <w:t xml:space="preserve"> n.</w:t>
      </w:r>
      <w:r w:rsidR="00375092">
        <w:rPr>
          <w:rFonts w:ascii="Garamond" w:hAnsi="Garamond" w:cs="Times New Roman"/>
          <w:color w:val="000000" w:themeColor="text1"/>
          <w:sz w:val="28"/>
          <w:szCs w:val="28"/>
        </w:rPr>
        <w:t xml:space="preserve"> </w:t>
      </w:r>
      <w:r w:rsidR="006C26E7" w:rsidRPr="00BF2644">
        <w:rPr>
          <w:rFonts w:ascii="Garamond" w:hAnsi="Garamond" w:cs="Times New Roman"/>
          <w:color w:val="000000" w:themeColor="text1"/>
          <w:sz w:val="28"/>
          <w:szCs w:val="28"/>
        </w:rPr>
        <w:t>6238</w:t>
      </w:r>
      <w:r w:rsidR="00A24130">
        <w:rPr>
          <w:rFonts w:ascii="Garamond" w:hAnsi="Garamond" w:cs="Times New Roman"/>
          <w:color w:val="000000" w:themeColor="text1"/>
          <w:sz w:val="28"/>
          <w:szCs w:val="28"/>
        </w:rPr>
        <w:t xml:space="preserve"> del 2012; </w:t>
      </w:r>
      <w:r w:rsidR="006C26E7" w:rsidRPr="00BF2644">
        <w:rPr>
          <w:rFonts w:ascii="Garamond" w:hAnsi="Garamond" w:cs="Times New Roman"/>
          <w:color w:val="000000" w:themeColor="text1"/>
          <w:sz w:val="28"/>
          <w:szCs w:val="28"/>
        </w:rPr>
        <w:t>sez. VI, n. 8049</w:t>
      </w:r>
      <w:r w:rsidR="00A24130">
        <w:rPr>
          <w:rFonts w:ascii="Garamond" w:hAnsi="Garamond" w:cs="Times New Roman"/>
          <w:color w:val="000000" w:themeColor="text1"/>
          <w:sz w:val="28"/>
          <w:szCs w:val="28"/>
        </w:rPr>
        <w:t xml:space="preserve"> del 2010</w:t>
      </w:r>
      <w:r w:rsidR="006C26E7" w:rsidRPr="00BF2644">
        <w:rPr>
          <w:rFonts w:ascii="Garamond" w:hAnsi="Garamond" w:cs="Times New Roman"/>
          <w:color w:val="000000" w:themeColor="text1"/>
          <w:sz w:val="28"/>
          <w:szCs w:val="28"/>
        </w:rPr>
        <w:t>).</w:t>
      </w:r>
    </w:p>
    <w:p w:rsidR="006C26E7" w:rsidRPr="00BF2644" w:rsidRDefault="00A24130" w:rsidP="00BF2644">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Solo ai fini del</w:t>
      </w:r>
      <w:r w:rsidR="006C26E7" w:rsidRPr="00BF2644">
        <w:rPr>
          <w:rFonts w:ascii="Garamond" w:hAnsi="Garamond" w:cs="Times New Roman"/>
          <w:color w:val="000000" w:themeColor="text1"/>
          <w:sz w:val="28"/>
          <w:szCs w:val="28"/>
        </w:rPr>
        <w:t xml:space="preserve"> provvedimento di sos</w:t>
      </w:r>
      <w:r>
        <w:rPr>
          <w:rFonts w:ascii="Garamond" w:hAnsi="Garamond" w:cs="Times New Roman"/>
          <w:color w:val="000000" w:themeColor="text1"/>
          <w:sz w:val="28"/>
          <w:szCs w:val="28"/>
        </w:rPr>
        <w:t>pensione dell'autorizzazione</w:t>
      </w:r>
      <w:r w:rsidR="006C26E7" w:rsidRPr="00BF2644">
        <w:rPr>
          <w:rFonts w:ascii="Garamond" w:hAnsi="Garamond" w:cs="Times New Roman"/>
          <w:color w:val="000000" w:themeColor="text1"/>
          <w:sz w:val="28"/>
          <w:szCs w:val="28"/>
        </w:rPr>
        <w:t xml:space="preserve"> è necessario l'accertamento di una situazione di pericolo</w:t>
      </w:r>
      <w:r w:rsidR="00520546">
        <w:rPr>
          <w:rFonts w:ascii="Garamond" w:hAnsi="Garamond" w:cs="Times New Roman"/>
          <w:color w:val="000000" w:themeColor="text1"/>
          <w:sz w:val="28"/>
          <w:szCs w:val="28"/>
        </w:rPr>
        <w:t>,</w:t>
      </w:r>
      <w:r w:rsidR="006C26E7" w:rsidRPr="00BF2644">
        <w:rPr>
          <w:rFonts w:ascii="Garamond" w:hAnsi="Garamond" w:cs="Times New Roman"/>
          <w:color w:val="000000" w:themeColor="text1"/>
          <w:sz w:val="28"/>
          <w:szCs w:val="28"/>
        </w:rPr>
        <w:t xml:space="preserve"> mentre la revoca del titolo è applicabile in due differenti e alternative ipotesi, la prima delle quali richiede esclusivamente l'accertamento dell'inadempimento delle prescrizioni imposte da specific</w:t>
      </w:r>
      <w:r>
        <w:rPr>
          <w:rFonts w:ascii="Garamond" w:hAnsi="Garamond" w:cs="Times New Roman"/>
          <w:color w:val="000000" w:themeColor="text1"/>
          <w:sz w:val="28"/>
          <w:szCs w:val="28"/>
        </w:rPr>
        <w:t>a diffida (Cons. Stato</w:t>
      </w:r>
      <w:r w:rsidR="007D4D6E">
        <w:rPr>
          <w:rFonts w:ascii="Garamond" w:hAnsi="Garamond" w:cs="Times New Roman"/>
          <w:color w:val="000000" w:themeColor="text1"/>
          <w:sz w:val="28"/>
          <w:szCs w:val="28"/>
        </w:rPr>
        <w:t>,</w:t>
      </w:r>
      <w:r>
        <w:rPr>
          <w:rFonts w:ascii="Garamond" w:hAnsi="Garamond" w:cs="Times New Roman"/>
          <w:color w:val="000000" w:themeColor="text1"/>
          <w:sz w:val="28"/>
          <w:szCs w:val="28"/>
        </w:rPr>
        <w:t xml:space="preserve"> </w:t>
      </w:r>
      <w:r w:rsidR="00181410">
        <w:rPr>
          <w:rFonts w:ascii="Garamond" w:hAnsi="Garamond" w:cs="Times New Roman"/>
          <w:color w:val="000000" w:themeColor="text1"/>
          <w:sz w:val="28"/>
          <w:szCs w:val="28"/>
        </w:rPr>
        <w:t>sez.</w:t>
      </w:r>
      <w:r>
        <w:rPr>
          <w:rFonts w:ascii="Garamond" w:hAnsi="Garamond" w:cs="Times New Roman"/>
          <w:color w:val="000000" w:themeColor="text1"/>
          <w:sz w:val="28"/>
          <w:szCs w:val="28"/>
        </w:rPr>
        <w:t xml:space="preserve"> IV</w:t>
      </w:r>
      <w:r w:rsidR="006C26E7" w:rsidRPr="00BF2644">
        <w:rPr>
          <w:rFonts w:ascii="Garamond" w:hAnsi="Garamond" w:cs="Times New Roman"/>
          <w:color w:val="000000" w:themeColor="text1"/>
          <w:sz w:val="28"/>
          <w:szCs w:val="28"/>
        </w:rPr>
        <w:t>, n. 803</w:t>
      </w:r>
      <w:r>
        <w:rPr>
          <w:rFonts w:ascii="Garamond" w:hAnsi="Garamond" w:cs="Times New Roman"/>
          <w:color w:val="000000" w:themeColor="text1"/>
          <w:sz w:val="28"/>
          <w:szCs w:val="28"/>
        </w:rPr>
        <w:t xml:space="preserve"> del </w:t>
      </w:r>
      <w:r w:rsidR="00BB0A10">
        <w:rPr>
          <w:rFonts w:ascii="Garamond" w:hAnsi="Garamond" w:cs="Times New Roman"/>
          <w:color w:val="000000" w:themeColor="text1"/>
          <w:sz w:val="28"/>
          <w:szCs w:val="28"/>
        </w:rPr>
        <w:t xml:space="preserve">2020; </w:t>
      </w:r>
      <w:r w:rsidR="00084F88">
        <w:rPr>
          <w:rFonts w:ascii="Garamond" w:hAnsi="Garamond" w:cs="Times New Roman"/>
          <w:color w:val="000000" w:themeColor="text1"/>
          <w:sz w:val="28"/>
          <w:szCs w:val="28"/>
        </w:rPr>
        <w:t>n. 3933 del 2018</w:t>
      </w:r>
      <w:r w:rsidR="00520546">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n.</w:t>
      </w:r>
      <w:r w:rsidR="006C26E7" w:rsidRPr="00BF2644">
        <w:rPr>
          <w:rFonts w:ascii="Garamond" w:hAnsi="Garamond" w:cs="Times New Roman"/>
          <w:color w:val="000000" w:themeColor="text1"/>
          <w:sz w:val="28"/>
          <w:szCs w:val="28"/>
        </w:rPr>
        <w:t xml:space="preserve"> 401 del 2013).</w:t>
      </w:r>
    </w:p>
    <w:p w:rsidR="003E37AA" w:rsidRDefault="003E37AA" w:rsidP="00BF2644">
      <w:pPr>
        <w:spacing w:line="240" w:lineRule="auto"/>
        <w:ind w:firstLine="709"/>
        <w:contextualSpacing/>
        <w:jc w:val="both"/>
        <w:rPr>
          <w:rFonts w:ascii="Garamond" w:hAnsi="Garamond" w:cs="Times New Roman"/>
          <w:b/>
          <w:color w:val="000000" w:themeColor="text1"/>
          <w:sz w:val="28"/>
          <w:szCs w:val="28"/>
        </w:rPr>
      </w:pPr>
    </w:p>
    <w:p w:rsidR="00CB11BA" w:rsidRPr="00BF2644" w:rsidRDefault="000F67D3" w:rsidP="00BF2644">
      <w:pPr>
        <w:spacing w:line="240" w:lineRule="auto"/>
        <w:ind w:firstLine="709"/>
        <w:contextualSpacing/>
        <w:jc w:val="both"/>
        <w:rPr>
          <w:rFonts w:ascii="Garamond" w:hAnsi="Garamond" w:cs="Times New Roman"/>
          <w:b/>
          <w:color w:val="000000" w:themeColor="text1"/>
          <w:sz w:val="28"/>
          <w:szCs w:val="28"/>
        </w:rPr>
      </w:pPr>
      <w:r w:rsidRPr="00BF2644">
        <w:rPr>
          <w:rFonts w:ascii="Garamond" w:hAnsi="Garamond" w:cs="Times New Roman"/>
          <w:b/>
          <w:color w:val="000000" w:themeColor="text1"/>
          <w:sz w:val="28"/>
          <w:szCs w:val="28"/>
        </w:rPr>
        <w:t xml:space="preserve">1.4. </w:t>
      </w:r>
      <w:r w:rsidR="00CB11BA" w:rsidRPr="00BF2644">
        <w:rPr>
          <w:rFonts w:ascii="Garamond" w:hAnsi="Garamond" w:cs="Times New Roman"/>
          <w:b/>
          <w:color w:val="000000" w:themeColor="text1"/>
          <w:sz w:val="28"/>
          <w:szCs w:val="28"/>
        </w:rPr>
        <w:t>Il principio di prossimità</w:t>
      </w:r>
      <w:r w:rsidR="0010704C" w:rsidRPr="00BF2644">
        <w:rPr>
          <w:rFonts w:ascii="Garamond" w:hAnsi="Garamond" w:cs="Times New Roman"/>
          <w:b/>
          <w:color w:val="000000" w:themeColor="text1"/>
          <w:sz w:val="28"/>
          <w:szCs w:val="28"/>
        </w:rPr>
        <w:t xml:space="preserve"> di cui all’art. 16 della </w:t>
      </w:r>
      <w:r w:rsidR="000A4774">
        <w:rPr>
          <w:rFonts w:ascii="Garamond" w:hAnsi="Garamond" w:cs="Times New Roman"/>
          <w:b/>
          <w:color w:val="000000" w:themeColor="text1"/>
          <w:sz w:val="28"/>
          <w:szCs w:val="28"/>
        </w:rPr>
        <w:t>“</w:t>
      </w:r>
      <w:r w:rsidR="006C564E">
        <w:rPr>
          <w:rFonts w:ascii="Garamond" w:hAnsi="Garamond" w:cs="Times New Roman"/>
          <w:b/>
          <w:i/>
          <w:color w:val="000000" w:themeColor="text1"/>
          <w:sz w:val="28"/>
          <w:szCs w:val="28"/>
        </w:rPr>
        <w:t>direttiva</w:t>
      </w:r>
      <w:r w:rsidR="0010704C" w:rsidRPr="00BF2644">
        <w:rPr>
          <w:rFonts w:ascii="Garamond" w:hAnsi="Garamond" w:cs="Times New Roman"/>
          <w:b/>
          <w:color w:val="000000" w:themeColor="text1"/>
          <w:sz w:val="28"/>
          <w:szCs w:val="28"/>
        </w:rPr>
        <w:t xml:space="preserve"> </w:t>
      </w:r>
      <w:r w:rsidR="0010704C" w:rsidRPr="000A4774">
        <w:rPr>
          <w:rFonts w:ascii="Garamond" w:hAnsi="Garamond" w:cs="Times New Roman"/>
          <w:b/>
          <w:i/>
          <w:color w:val="000000" w:themeColor="text1"/>
          <w:sz w:val="28"/>
          <w:szCs w:val="28"/>
        </w:rPr>
        <w:t>rifiuti</w:t>
      </w:r>
      <w:r w:rsidR="000A4774">
        <w:rPr>
          <w:rFonts w:ascii="Garamond" w:hAnsi="Garamond" w:cs="Times New Roman"/>
          <w:b/>
          <w:i/>
          <w:color w:val="000000" w:themeColor="text1"/>
          <w:sz w:val="28"/>
          <w:szCs w:val="28"/>
        </w:rPr>
        <w:t>”</w:t>
      </w:r>
      <w:r w:rsidR="0010704C" w:rsidRPr="000A4774">
        <w:rPr>
          <w:rFonts w:ascii="Garamond" w:hAnsi="Garamond" w:cs="Times New Roman"/>
          <w:b/>
          <w:i/>
          <w:color w:val="000000" w:themeColor="text1"/>
          <w:sz w:val="28"/>
          <w:szCs w:val="28"/>
        </w:rPr>
        <w:t xml:space="preserve"> </w:t>
      </w:r>
      <w:r w:rsidR="0010704C" w:rsidRPr="00BF2644">
        <w:rPr>
          <w:rFonts w:ascii="Garamond" w:hAnsi="Garamond" w:cs="Times New Roman"/>
          <w:b/>
          <w:color w:val="000000" w:themeColor="text1"/>
          <w:sz w:val="28"/>
          <w:szCs w:val="28"/>
        </w:rPr>
        <w:t>2008/98/CE</w:t>
      </w:r>
    </w:p>
    <w:p w:rsidR="0010704C" w:rsidRDefault="0010704C"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L’articolo 16 della </w:t>
      </w:r>
      <w:r w:rsidR="006C564E">
        <w:rPr>
          <w:rFonts w:ascii="Garamond" w:hAnsi="Garamond" w:cs="Times New Roman"/>
          <w:color w:val="000000" w:themeColor="text1"/>
          <w:sz w:val="28"/>
          <w:szCs w:val="28"/>
        </w:rPr>
        <w:t>direttiva</w:t>
      </w:r>
      <w:r w:rsidRPr="00BF2644">
        <w:rPr>
          <w:rFonts w:ascii="Garamond" w:hAnsi="Garamond" w:cs="Times New Roman"/>
          <w:color w:val="000000" w:themeColor="text1"/>
          <w:sz w:val="28"/>
          <w:szCs w:val="28"/>
        </w:rPr>
        <w:t xml:space="preserve"> 2008/98 </w:t>
      </w:r>
      <w:r w:rsidR="00E95455">
        <w:rPr>
          <w:rFonts w:ascii="Garamond" w:hAnsi="Garamond" w:cs="Times New Roman"/>
          <w:color w:val="000000" w:themeColor="text1"/>
          <w:sz w:val="28"/>
          <w:szCs w:val="28"/>
        </w:rPr>
        <w:t xml:space="preserve">CE </w:t>
      </w:r>
      <w:r w:rsidRPr="00BF2644">
        <w:rPr>
          <w:rFonts w:ascii="Garamond" w:hAnsi="Garamond" w:cs="Times New Roman"/>
          <w:color w:val="000000" w:themeColor="text1"/>
          <w:sz w:val="28"/>
          <w:szCs w:val="28"/>
        </w:rPr>
        <w:t>impone agli Stati membri di creare una rete integrata e adeguata di impianti per il trattamento dei rifiuti destinati allo smaltimento e dei «</w:t>
      </w:r>
      <w:r w:rsidRPr="007D4D6E">
        <w:rPr>
          <w:rFonts w:ascii="Garamond" w:hAnsi="Garamond" w:cs="Times New Roman"/>
          <w:i/>
          <w:color w:val="000000" w:themeColor="text1"/>
          <w:sz w:val="28"/>
          <w:szCs w:val="28"/>
        </w:rPr>
        <w:t>rifiuti urbani non differenziati provenienti dalla raccolta domestica, inclusi i casi in cui detta raccolta comprenda tali rifiuti provenienti da altri produttori</w:t>
      </w:r>
      <w:r w:rsidRPr="00BF2644">
        <w:rPr>
          <w:rFonts w:ascii="Garamond" w:hAnsi="Garamond" w:cs="Times New Roman"/>
          <w:color w:val="000000" w:themeColor="text1"/>
          <w:sz w:val="28"/>
          <w:szCs w:val="28"/>
        </w:rPr>
        <w:t>», tenendo conto delle migliori tecniche disponibili. Tale articolo prevede altresì che gli Stati membri debbano concepire detta rete, in particolare, in modo da consentire l’autosufficienza nel trattamento di tali rifiuti e che detto trattamento possa avvenire in uno degli impianti appropriati più vicini al luogo in cui vengono prodotti</w:t>
      </w:r>
      <w:r w:rsidR="000B39DF">
        <w:rPr>
          <w:rFonts w:ascii="Garamond" w:hAnsi="Garamond" w:cs="Times New Roman"/>
          <w:color w:val="000000" w:themeColor="text1"/>
          <w:sz w:val="28"/>
          <w:szCs w:val="28"/>
        </w:rPr>
        <w:t>.</w:t>
      </w:r>
    </w:p>
    <w:p w:rsidR="000B39DF" w:rsidRDefault="000B39DF" w:rsidP="000B39DF">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S</w:t>
      </w:r>
      <w:r w:rsidRPr="000B39DF">
        <w:rPr>
          <w:rFonts w:ascii="Garamond" w:hAnsi="Garamond" w:cs="Times New Roman"/>
          <w:color w:val="000000" w:themeColor="text1"/>
          <w:sz w:val="28"/>
          <w:szCs w:val="28"/>
        </w:rPr>
        <w:t>econdo la</w:t>
      </w:r>
      <w:r w:rsidR="00EE09F2">
        <w:rPr>
          <w:rFonts w:ascii="Garamond" w:hAnsi="Garamond" w:cs="Times New Roman"/>
          <w:color w:val="000000" w:themeColor="text1"/>
          <w:sz w:val="28"/>
          <w:szCs w:val="28"/>
        </w:rPr>
        <w:t xml:space="preserve"> giurisprudenza della Corte di </w:t>
      </w:r>
      <w:r w:rsidR="006C564E">
        <w:rPr>
          <w:rFonts w:ascii="Garamond" w:hAnsi="Garamond" w:cs="Times New Roman"/>
          <w:color w:val="000000" w:themeColor="text1"/>
          <w:sz w:val="28"/>
          <w:szCs w:val="28"/>
        </w:rPr>
        <w:t>giustizia</w:t>
      </w:r>
      <w:r>
        <w:rPr>
          <w:rFonts w:ascii="Garamond" w:hAnsi="Garamond" w:cs="Times New Roman"/>
          <w:color w:val="000000" w:themeColor="text1"/>
          <w:sz w:val="28"/>
          <w:szCs w:val="28"/>
        </w:rPr>
        <w:t>:</w:t>
      </w:r>
    </w:p>
    <w:p w:rsidR="000B39DF" w:rsidRPr="000B39DF" w:rsidRDefault="000B39DF" w:rsidP="000B39DF">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 </w:t>
      </w:r>
      <w:r w:rsidRPr="00A82D78">
        <w:rPr>
          <w:rFonts w:ascii="Garamond" w:hAnsi="Garamond" w:cs="Times New Roman"/>
          <w:color w:val="000000" w:themeColor="text1"/>
          <w:sz w:val="28"/>
          <w:szCs w:val="28"/>
        </w:rPr>
        <w:t>Il principio di correzione, prioritariamente alla fonte, d</w:t>
      </w:r>
      <w:r w:rsidR="00853502">
        <w:rPr>
          <w:rFonts w:ascii="Garamond" w:hAnsi="Garamond" w:cs="Times New Roman"/>
          <w:color w:val="000000" w:themeColor="text1"/>
          <w:sz w:val="28"/>
          <w:szCs w:val="28"/>
        </w:rPr>
        <w:t xml:space="preserve">ei danni causati all’ambiente - </w:t>
      </w:r>
      <w:r w:rsidRPr="00A82D78">
        <w:rPr>
          <w:rFonts w:ascii="Garamond" w:hAnsi="Garamond" w:cs="Times New Roman"/>
          <w:color w:val="000000" w:themeColor="text1"/>
          <w:sz w:val="28"/>
          <w:szCs w:val="28"/>
        </w:rPr>
        <w:t>principio stabilito per l’azione dell’Unione in materia amb</w:t>
      </w:r>
      <w:r w:rsidR="00853502">
        <w:rPr>
          <w:rFonts w:ascii="Garamond" w:hAnsi="Garamond" w:cs="Times New Roman"/>
          <w:color w:val="000000" w:themeColor="text1"/>
          <w:sz w:val="28"/>
          <w:szCs w:val="28"/>
        </w:rPr>
        <w:t xml:space="preserve">ientale all’articolo 191 TFUE - </w:t>
      </w:r>
      <w:r w:rsidRPr="00A82D78">
        <w:rPr>
          <w:rFonts w:ascii="Garamond" w:hAnsi="Garamond" w:cs="Times New Roman"/>
          <w:color w:val="000000" w:themeColor="text1"/>
          <w:sz w:val="28"/>
          <w:szCs w:val="28"/>
        </w:rPr>
        <w:t xml:space="preserve">implica che spetta a ciascuna </w:t>
      </w:r>
      <w:r w:rsidR="002D4208" w:rsidRPr="00A82D78">
        <w:rPr>
          <w:rFonts w:ascii="Garamond" w:hAnsi="Garamond" w:cs="Times New Roman"/>
          <w:color w:val="000000" w:themeColor="text1"/>
          <w:sz w:val="28"/>
          <w:szCs w:val="28"/>
        </w:rPr>
        <w:t>Regione</w:t>
      </w:r>
      <w:r w:rsidRPr="00A82D78">
        <w:rPr>
          <w:rFonts w:ascii="Garamond" w:hAnsi="Garamond" w:cs="Times New Roman"/>
          <w:color w:val="000000" w:themeColor="text1"/>
          <w:sz w:val="28"/>
          <w:szCs w:val="28"/>
        </w:rPr>
        <w:t xml:space="preserve">, </w:t>
      </w:r>
      <w:r w:rsidR="004640B1" w:rsidRPr="00A82D78">
        <w:rPr>
          <w:rFonts w:ascii="Garamond" w:hAnsi="Garamond" w:cs="Times New Roman"/>
          <w:color w:val="000000" w:themeColor="text1"/>
          <w:sz w:val="28"/>
          <w:szCs w:val="28"/>
        </w:rPr>
        <w:t xml:space="preserve">Comune </w:t>
      </w:r>
      <w:r w:rsidRPr="00A82D78">
        <w:rPr>
          <w:rFonts w:ascii="Garamond" w:hAnsi="Garamond" w:cs="Times New Roman"/>
          <w:color w:val="000000" w:themeColor="text1"/>
          <w:sz w:val="28"/>
          <w:szCs w:val="28"/>
        </w:rPr>
        <w:t xml:space="preserve">o altro ente locale adottare le misure appropriate per garantire il ricevimento, il trattamento e lo smaltimento dei propri rifiuti e che questi ultimi vanno quindi smaltiti il più vicino possibile al luogo in cui vengono </w:t>
      </w:r>
      <w:r w:rsidRPr="00A82D78">
        <w:rPr>
          <w:rFonts w:ascii="Garamond" w:hAnsi="Garamond" w:cs="Times New Roman"/>
          <w:color w:val="000000" w:themeColor="text1"/>
          <w:sz w:val="28"/>
          <w:szCs w:val="28"/>
        </w:rPr>
        <w:lastRenderedPageBreak/>
        <w:t>prodotti, per li</w:t>
      </w:r>
      <w:r w:rsidR="00853502">
        <w:rPr>
          <w:rFonts w:ascii="Garamond" w:hAnsi="Garamond" w:cs="Times New Roman"/>
          <w:color w:val="000000" w:themeColor="text1"/>
          <w:sz w:val="28"/>
          <w:szCs w:val="28"/>
        </w:rPr>
        <w:t xml:space="preserve">mitarne al massimo il trasporto </w:t>
      </w:r>
      <w:r w:rsidRPr="00A82D78">
        <w:rPr>
          <w:rFonts w:ascii="Garamond" w:hAnsi="Garamond" w:cs="Times New Roman"/>
          <w:color w:val="000000" w:themeColor="text1"/>
          <w:sz w:val="28"/>
          <w:szCs w:val="28"/>
        </w:rPr>
        <w:t xml:space="preserve">(Corte di </w:t>
      </w:r>
      <w:r w:rsidR="006C564E">
        <w:rPr>
          <w:rFonts w:ascii="Garamond" w:hAnsi="Garamond" w:cs="Times New Roman"/>
          <w:color w:val="000000" w:themeColor="text1"/>
          <w:sz w:val="28"/>
          <w:szCs w:val="28"/>
        </w:rPr>
        <w:t>giustizia</w:t>
      </w:r>
      <w:r w:rsidRPr="00A82D78">
        <w:rPr>
          <w:rFonts w:ascii="Garamond" w:hAnsi="Garamond" w:cs="Times New Roman"/>
          <w:color w:val="000000" w:themeColor="text1"/>
          <w:sz w:val="28"/>
          <w:szCs w:val="28"/>
        </w:rPr>
        <w:t>, sez. III, 16 luglio 2015, C-653/13);</w:t>
      </w:r>
    </w:p>
    <w:p w:rsidR="000B39DF" w:rsidRDefault="000B39DF" w:rsidP="000B39DF">
      <w:pPr>
        <w:spacing w:line="240" w:lineRule="auto"/>
        <w:ind w:firstLine="709"/>
        <w:contextualSpacing/>
        <w:jc w:val="both"/>
        <w:rPr>
          <w:rFonts w:ascii="Garamond" w:hAnsi="Garamond" w:cs="Times New Roman"/>
          <w:color w:val="000000" w:themeColor="text1"/>
          <w:sz w:val="28"/>
          <w:szCs w:val="28"/>
        </w:rPr>
      </w:pPr>
      <w:r w:rsidRPr="000B39DF">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 xml:space="preserve">per </w:t>
      </w:r>
      <w:r w:rsidRPr="000B39DF">
        <w:rPr>
          <w:rFonts w:ascii="Garamond" w:hAnsi="Garamond" w:cs="Times New Roman"/>
          <w:color w:val="000000" w:themeColor="text1"/>
          <w:sz w:val="28"/>
          <w:szCs w:val="28"/>
        </w:rPr>
        <w:t>quanto concerne in particolare le misure atte ad incoraggiare la razionalizzazione della raccolta, della cernita e del trattamento dei rifiuti, una delle più importanti misure che devono essere adottate dagli Stati membri, in particolare tramite gli enti locali dotati di competenza a tale riguardo, consiste nel cercare di trattare i rifiuti nell’impianto più vicino possibile al luogo in cui vengono prodotti, segnatamente per i rifiuti urbani non differenziati, per limitarne al massimo il trasporto (</w:t>
      </w:r>
      <w:r>
        <w:rPr>
          <w:rFonts w:ascii="Garamond" w:hAnsi="Garamond" w:cs="Times New Roman"/>
          <w:color w:val="000000" w:themeColor="text1"/>
          <w:sz w:val="28"/>
          <w:szCs w:val="28"/>
        </w:rPr>
        <w:t xml:space="preserve">Corte di </w:t>
      </w:r>
      <w:r w:rsidR="006C564E">
        <w:rPr>
          <w:rFonts w:ascii="Garamond" w:hAnsi="Garamond" w:cs="Times New Roman"/>
          <w:color w:val="000000" w:themeColor="text1"/>
          <w:sz w:val="28"/>
          <w:szCs w:val="28"/>
        </w:rPr>
        <w:t>giustizia</w:t>
      </w:r>
      <w:r>
        <w:rPr>
          <w:rFonts w:ascii="Garamond" w:hAnsi="Garamond" w:cs="Times New Roman"/>
          <w:color w:val="000000" w:themeColor="text1"/>
          <w:sz w:val="28"/>
          <w:szCs w:val="28"/>
        </w:rPr>
        <w:t xml:space="preserve">, sez. VIII, </w:t>
      </w:r>
      <w:r w:rsidRPr="000B39DF">
        <w:rPr>
          <w:rFonts w:ascii="Garamond" w:hAnsi="Garamond" w:cs="Times New Roman"/>
          <w:color w:val="000000" w:themeColor="text1"/>
          <w:sz w:val="28"/>
          <w:szCs w:val="28"/>
        </w:rPr>
        <w:t xml:space="preserve">11 novembre 2021, </w:t>
      </w:r>
      <w:r>
        <w:rPr>
          <w:rFonts w:ascii="Garamond" w:hAnsi="Garamond" w:cs="Times New Roman"/>
          <w:color w:val="000000" w:themeColor="text1"/>
          <w:sz w:val="28"/>
          <w:szCs w:val="28"/>
        </w:rPr>
        <w:t xml:space="preserve">C 315/20; </w:t>
      </w:r>
      <w:r w:rsidRPr="000B39DF">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 xml:space="preserve">sez. V, </w:t>
      </w:r>
      <w:r w:rsidRPr="000B39DF">
        <w:rPr>
          <w:rFonts w:ascii="Garamond" w:hAnsi="Garamond" w:cs="Times New Roman"/>
          <w:color w:val="000000" w:themeColor="text1"/>
          <w:sz w:val="28"/>
          <w:szCs w:val="28"/>
        </w:rPr>
        <w:t xml:space="preserve">12 dicembre 2013, </w:t>
      </w:r>
      <w:r>
        <w:rPr>
          <w:rFonts w:ascii="Garamond" w:hAnsi="Garamond" w:cs="Times New Roman"/>
          <w:color w:val="000000" w:themeColor="text1"/>
          <w:sz w:val="28"/>
          <w:szCs w:val="28"/>
        </w:rPr>
        <w:t>C 292/12);</w:t>
      </w:r>
    </w:p>
    <w:p w:rsidR="000B39DF" w:rsidRDefault="000B39DF" w:rsidP="000B39DF">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w:t>
      </w:r>
      <w:r w:rsidRPr="000B39DF">
        <w:rPr>
          <w:rFonts w:ascii="Garamond" w:hAnsi="Garamond" w:cs="Times New Roman"/>
          <w:color w:val="000000" w:themeColor="text1"/>
          <w:sz w:val="28"/>
          <w:szCs w:val="28"/>
        </w:rPr>
        <w:t xml:space="preserve"> l’articolo 3, paragrafo 5, e l’articolo 11 del regolamento (CE) n. 1013/2006 del Parlamento europeo e del Consiglio, del 14 giugno 2006, relativo alle spedizioni di rifiuti, devono</w:t>
      </w:r>
      <w:r>
        <w:rPr>
          <w:rFonts w:ascii="Garamond" w:hAnsi="Garamond" w:cs="Times New Roman"/>
          <w:color w:val="000000" w:themeColor="text1"/>
          <w:sz w:val="28"/>
          <w:szCs w:val="28"/>
        </w:rPr>
        <w:t xml:space="preserve"> </w:t>
      </w:r>
      <w:r w:rsidRPr="000B39DF">
        <w:rPr>
          <w:rFonts w:ascii="Garamond" w:hAnsi="Garamond" w:cs="Times New Roman"/>
          <w:color w:val="000000" w:themeColor="text1"/>
          <w:sz w:val="28"/>
          <w:szCs w:val="28"/>
        </w:rPr>
        <w:t xml:space="preserve"> essere interpretati nel senso che, tenuto conto dei principi di autosufficienza e di prossimità, l’autorità competente di spedizione può, basandosi in particolare sul motivo previsto all’articolo 11, paragrafo 1, lettera i), del medesimo regolamento, opporsi a una spedizione di rifiuti urbani non differenziati che pur  se sottoposti ad un trattamento meccanico ai fini del loro recupero energetico, mantengano  sostanzialmente inalterate le loro proprietà originarie</w:t>
      </w:r>
      <w:r w:rsidR="00E95F25">
        <w:rPr>
          <w:rFonts w:ascii="Garamond" w:hAnsi="Garamond" w:cs="Times New Roman"/>
          <w:color w:val="000000" w:themeColor="text1"/>
          <w:sz w:val="28"/>
          <w:szCs w:val="28"/>
        </w:rPr>
        <w:t xml:space="preserve"> (</w:t>
      </w:r>
      <w:r w:rsidR="00E95F25" w:rsidRPr="00E95F25">
        <w:rPr>
          <w:rFonts w:ascii="Garamond" w:hAnsi="Garamond" w:cs="Times New Roman"/>
          <w:color w:val="000000" w:themeColor="text1"/>
          <w:sz w:val="28"/>
          <w:szCs w:val="28"/>
        </w:rPr>
        <w:t xml:space="preserve">Corte di </w:t>
      </w:r>
      <w:r w:rsidR="006C564E">
        <w:rPr>
          <w:rFonts w:ascii="Garamond" w:hAnsi="Garamond" w:cs="Times New Roman"/>
          <w:color w:val="000000" w:themeColor="text1"/>
          <w:sz w:val="28"/>
          <w:szCs w:val="28"/>
        </w:rPr>
        <w:t>giustizia</w:t>
      </w:r>
      <w:r w:rsidR="00E95F25" w:rsidRPr="00E95F25">
        <w:rPr>
          <w:rFonts w:ascii="Garamond" w:hAnsi="Garamond" w:cs="Times New Roman"/>
          <w:color w:val="000000" w:themeColor="text1"/>
          <w:sz w:val="28"/>
          <w:szCs w:val="28"/>
        </w:rPr>
        <w:t>, sez. VIII, 11 novembre 2021, C 315/20</w:t>
      </w:r>
      <w:r w:rsidR="00E95F25">
        <w:rPr>
          <w:rFonts w:ascii="Garamond" w:hAnsi="Garamond" w:cs="Times New Roman"/>
          <w:color w:val="000000" w:themeColor="text1"/>
          <w:sz w:val="28"/>
          <w:szCs w:val="28"/>
        </w:rPr>
        <w:t xml:space="preserve"> cit).  </w:t>
      </w:r>
    </w:p>
    <w:p w:rsidR="00E95F25" w:rsidRDefault="00E95F25" w:rsidP="000B39DF">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Secondo la giurisprudenza della Corte costituzionale:</w:t>
      </w:r>
    </w:p>
    <w:p w:rsidR="00E95F25" w:rsidRPr="00BF2644" w:rsidRDefault="00E95F25" w:rsidP="00E95F25">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w:t>
      </w:r>
      <w:r w:rsidR="00F453C9" w:rsidRPr="00F453C9">
        <w:t xml:space="preserve"> </w:t>
      </w:r>
      <w:r w:rsidR="00F453C9" w:rsidRPr="00F453C9">
        <w:rPr>
          <w:rFonts w:ascii="Garamond" w:hAnsi="Garamond" w:cs="Times New Roman"/>
          <w:color w:val="000000" w:themeColor="text1"/>
          <w:sz w:val="28"/>
          <w:szCs w:val="28"/>
        </w:rPr>
        <w:t>l’utilizzazione dell’impianto di smaltimento più vicino al luogo di produzione dei rifiuti speciali viene a costituire la prima opzione da adottar</w:t>
      </w:r>
      <w:r w:rsidR="00F453C9">
        <w:rPr>
          <w:rFonts w:ascii="Garamond" w:hAnsi="Garamond" w:cs="Times New Roman"/>
          <w:color w:val="000000" w:themeColor="text1"/>
          <w:sz w:val="28"/>
          <w:szCs w:val="28"/>
        </w:rPr>
        <w:t xml:space="preserve">e (Corte cost., n. 10 del 2009), </w:t>
      </w:r>
      <w:r w:rsidRPr="00E95F25">
        <w:rPr>
          <w:rFonts w:ascii="Garamond" w:hAnsi="Garamond" w:cs="Times New Roman"/>
          <w:color w:val="000000" w:themeColor="text1"/>
          <w:sz w:val="28"/>
          <w:szCs w:val="28"/>
        </w:rPr>
        <w:t>seppur un divieto di smaltimento dei rifiuti di produzione extraregionale sia applicabile ai rifiuti urbani non pericolosi, mentre il principio dell’autosufficienza locale ed il connesso divieto di smaltimento dei rifiuti di prov</w:t>
      </w:r>
      <w:r w:rsidR="00F453C9">
        <w:rPr>
          <w:rFonts w:ascii="Garamond" w:hAnsi="Garamond" w:cs="Times New Roman"/>
          <w:color w:val="000000" w:themeColor="text1"/>
          <w:sz w:val="28"/>
          <w:szCs w:val="28"/>
        </w:rPr>
        <w:t>enienza extraregionale non può</w:t>
      </w:r>
      <w:r w:rsidRPr="00E95F25">
        <w:rPr>
          <w:rFonts w:ascii="Garamond" w:hAnsi="Garamond" w:cs="Times New Roman"/>
          <w:color w:val="000000" w:themeColor="text1"/>
          <w:sz w:val="28"/>
          <w:szCs w:val="28"/>
        </w:rPr>
        <w:t xml:space="preserve"> valere né per quelli speciali pericolos</w:t>
      </w:r>
      <w:r>
        <w:rPr>
          <w:rFonts w:ascii="Garamond" w:hAnsi="Garamond" w:cs="Times New Roman"/>
          <w:color w:val="000000" w:themeColor="text1"/>
          <w:sz w:val="28"/>
          <w:szCs w:val="28"/>
        </w:rPr>
        <w:t xml:space="preserve">i (Corte cost., n. </w:t>
      </w:r>
      <w:r w:rsidRPr="00E95F25">
        <w:rPr>
          <w:rFonts w:ascii="Garamond" w:hAnsi="Garamond" w:cs="Times New Roman"/>
          <w:color w:val="000000" w:themeColor="text1"/>
          <w:sz w:val="28"/>
          <w:szCs w:val="28"/>
        </w:rPr>
        <w:t xml:space="preserve"> 12 del 2007,</w:t>
      </w:r>
      <w:r>
        <w:rPr>
          <w:rFonts w:ascii="Garamond" w:hAnsi="Garamond" w:cs="Times New Roman"/>
          <w:color w:val="000000" w:themeColor="text1"/>
          <w:sz w:val="28"/>
          <w:szCs w:val="28"/>
        </w:rPr>
        <w:t xml:space="preserve"> </w:t>
      </w:r>
      <w:r w:rsidRPr="00E95F25">
        <w:rPr>
          <w:rFonts w:ascii="Garamond" w:hAnsi="Garamond" w:cs="Times New Roman"/>
          <w:color w:val="000000" w:themeColor="text1"/>
          <w:sz w:val="28"/>
          <w:szCs w:val="28"/>
        </w:rPr>
        <w:t>n. 62 del 2005,</w:t>
      </w:r>
      <w:r w:rsidR="009B0078">
        <w:rPr>
          <w:rFonts w:ascii="Garamond" w:hAnsi="Garamond" w:cs="Times New Roman"/>
          <w:color w:val="000000" w:themeColor="text1"/>
          <w:sz w:val="28"/>
          <w:szCs w:val="28"/>
        </w:rPr>
        <w:t xml:space="preserve"> </w:t>
      </w:r>
      <w:r w:rsidRPr="00E95F25">
        <w:rPr>
          <w:rFonts w:ascii="Garamond" w:hAnsi="Garamond" w:cs="Times New Roman"/>
          <w:color w:val="000000" w:themeColor="text1"/>
          <w:sz w:val="28"/>
          <w:szCs w:val="28"/>
        </w:rPr>
        <w:t>n. 505 del 2002,</w:t>
      </w:r>
      <w:r>
        <w:rPr>
          <w:rFonts w:ascii="Garamond" w:hAnsi="Garamond" w:cs="Times New Roman"/>
          <w:color w:val="000000" w:themeColor="text1"/>
          <w:sz w:val="28"/>
          <w:szCs w:val="28"/>
        </w:rPr>
        <w:t xml:space="preserve"> </w:t>
      </w:r>
      <w:r w:rsidRPr="00E95F25">
        <w:rPr>
          <w:rFonts w:ascii="Garamond" w:hAnsi="Garamond" w:cs="Times New Roman"/>
          <w:color w:val="000000" w:themeColor="text1"/>
          <w:sz w:val="28"/>
          <w:szCs w:val="28"/>
        </w:rPr>
        <w:t>n. 281 del 2000), né per quelli speciali non pericolosi (</w:t>
      </w:r>
      <w:r w:rsidR="00F453C9">
        <w:rPr>
          <w:rFonts w:ascii="Garamond" w:hAnsi="Garamond" w:cs="Times New Roman"/>
          <w:color w:val="000000" w:themeColor="text1"/>
          <w:sz w:val="28"/>
          <w:szCs w:val="28"/>
        </w:rPr>
        <w:t>Corte cost., n. 335 del 2001).</w:t>
      </w:r>
    </w:p>
    <w:p w:rsidR="0010704C" w:rsidRPr="00BF2644" w:rsidRDefault="0010704C"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Secondo la giurisprudenza</w:t>
      </w:r>
      <w:r w:rsidR="007D4D6E">
        <w:rPr>
          <w:rFonts w:ascii="Garamond" w:hAnsi="Garamond" w:cs="Times New Roman"/>
          <w:color w:val="000000" w:themeColor="text1"/>
          <w:sz w:val="28"/>
          <w:szCs w:val="28"/>
        </w:rPr>
        <w:t xml:space="preserve"> amministrativa:</w:t>
      </w:r>
      <w:r w:rsidRPr="00BF2644">
        <w:rPr>
          <w:rFonts w:ascii="Garamond" w:hAnsi="Garamond"/>
          <w:sz w:val="28"/>
          <w:szCs w:val="28"/>
        </w:rPr>
        <w:t xml:space="preserve"> </w:t>
      </w:r>
    </w:p>
    <w:p w:rsidR="0010704C" w:rsidRPr="00BF2644" w:rsidRDefault="0010704C"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w:t>
      </w:r>
      <w:r w:rsidRPr="00BF2644">
        <w:rPr>
          <w:rFonts w:ascii="Garamond" w:hAnsi="Garamond"/>
          <w:sz w:val="28"/>
          <w:szCs w:val="28"/>
        </w:rPr>
        <w:t xml:space="preserve"> </w:t>
      </w:r>
      <w:r w:rsidRPr="00BF2644">
        <w:rPr>
          <w:rFonts w:ascii="Garamond" w:hAnsi="Garamond" w:cs="Times New Roman"/>
          <w:color w:val="000000" w:themeColor="text1"/>
          <w:sz w:val="28"/>
          <w:szCs w:val="28"/>
        </w:rPr>
        <w:t>il principio di prossimità di cui all’art. 16 dell</w:t>
      </w:r>
      <w:r w:rsidR="000F67D3" w:rsidRPr="00BF2644">
        <w:rPr>
          <w:rFonts w:ascii="Garamond" w:hAnsi="Garamond" w:cs="Times New Roman"/>
          <w:color w:val="000000" w:themeColor="text1"/>
          <w:sz w:val="28"/>
          <w:szCs w:val="28"/>
        </w:rPr>
        <w:t xml:space="preserve">a </w:t>
      </w:r>
      <w:r w:rsidR="006C564E">
        <w:rPr>
          <w:rFonts w:ascii="Garamond" w:hAnsi="Garamond" w:cs="Times New Roman"/>
          <w:color w:val="000000" w:themeColor="text1"/>
          <w:sz w:val="28"/>
          <w:szCs w:val="28"/>
        </w:rPr>
        <w:t>direttiva</w:t>
      </w:r>
      <w:r w:rsidR="000F67D3" w:rsidRPr="00BF2644">
        <w:rPr>
          <w:rFonts w:ascii="Garamond" w:hAnsi="Garamond" w:cs="Times New Roman"/>
          <w:color w:val="000000" w:themeColor="text1"/>
          <w:sz w:val="28"/>
          <w:szCs w:val="28"/>
        </w:rPr>
        <w:t xml:space="preserve"> rifiuti 2008/98/CE, </w:t>
      </w:r>
      <w:r w:rsidRPr="00BF2644">
        <w:rPr>
          <w:rFonts w:ascii="Garamond" w:hAnsi="Garamond" w:cs="Times New Roman"/>
          <w:color w:val="000000" w:themeColor="text1"/>
          <w:sz w:val="28"/>
          <w:szCs w:val="28"/>
        </w:rPr>
        <w:t>trova applicazione nell’ordinamento italiano non solo con riferimento allo smaltimento dei ri</w:t>
      </w:r>
      <w:r w:rsidR="007D4D6E">
        <w:rPr>
          <w:rFonts w:ascii="Garamond" w:hAnsi="Garamond" w:cs="Times New Roman"/>
          <w:color w:val="000000" w:themeColor="text1"/>
          <w:sz w:val="28"/>
          <w:szCs w:val="28"/>
        </w:rPr>
        <w:t>fiuti urbani (art. 182-</w:t>
      </w:r>
      <w:r w:rsidR="007D4D6E" w:rsidRPr="004A1FB7">
        <w:rPr>
          <w:rFonts w:ascii="Garamond" w:hAnsi="Garamond" w:cs="Times New Roman"/>
          <w:i/>
          <w:color w:val="000000" w:themeColor="text1"/>
          <w:sz w:val="28"/>
          <w:szCs w:val="28"/>
        </w:rPr>
        <w:t>bis</w:t>
      </w:r>
      <w:r w:rsidR="007D4D6E">
        <w:rPr>
          <w:rFonts w:ascii="Garamond" w:hAnsi="Garamond" w:cs="Times New Roman"/>
          <w:color w:val="000000" w:themeColor="text1"/>
          <w:sz w:val="28"/>
          <w:szCs w:val="28"/>
        </w:rPr>
        <w:t xml:space="preserve"> del </w:t>
      </w:r>
      <w:r w:rsidR="004F0CCD">
        <w:rPr>
          <w:rFonts w:ascii="Garamond" w:hAnsi="Garamond" w:cs="Times New Roman"/>
          <w:color w:val="000000" w:themeColor="text1"/>
          <w:sz w:val="28"/>
          <w:szCs w:val="28"/>
        </w:rPr>
        <w:t>d.lgs.</w:t>
      </w:r>
      <w:r w:rsidR="007D4D6E">
        <w:rPr>
          <w:rFonts w:ascii="Garamond" w:hAnsi="Garamond" w:cs="Times New Roman"/>
          <w:color w:val="000000" w:themeColor="text1"/>
          <w:sz w:val="28"/>
          <w:szCs w:val="28"/>
        </w:rPr>
        <w:t xml:space="preserve"> 152 del </w:t>
      </w:r>
      <w:r w:rsidRPr="00BF2644">
        <w:rPr>
          <w:rFonts w:ascii="Garamond" w:hAnsi="Garamond" w:cs="Times New Roman"/>
          <w:color w:val="000000" w:themeColor="text1"/>
          <w:sz w:val="28"/>
          <w:szCs w:val="28"/>
        </w:rPr>
        <w:t>2006 rubricato “</w:t>
      </w:r>
      <w:r w:rsidRPr="007D4D6E">
        <w:rPr>
          <w:rFonts w:ascii="Garamond" w:hAnsi="Garamond" w:cs="Times New Roman"/>
          <w:i/>
          <w:color w:val="000000" w:themeColor="text1"/>
          <w:sz w:val="28"/>
          <w:szCs w:val="28"/>
        </w:rPr>
        <w:t>Principi di autosufficienza e prossimità</w:t>
      </w:r>
      <w:r w:rsidRPr="00BF2644">
        <w:rPr>
          <w:rFonts w:ascii="Garamond" w:hAnsi="Garamond" w:cs="Times New Roman"/>
          <w:color w:val="000000" w:themeColor="text1"/>
          <w:sz w:val="28"/>
          <w:szCs w:val="28"/>
        </w:rPr>
        <w:t>”), ma anche con riguardo al recupero dei rifiut</w:t>
      </w:r>
      <w:r w:rsidR="000F67D3" w:rsidRPr="00BF2644">
        <w:rPr>
          <w:rFonts w:ascii="Garamond" w:hAnsi="Garamond" w:cs="Times New Roman"/>
          <w:color w:val="000000" w:themeColor="text1"/>
          <w:sz w:val="28"/>
          <w:szCs w:val="28"/>
        </w:rPr>
        <w:t>i speciali (</w:t>
      </w:r>
      <w:r w:rsidR="004A1FB7">
        <w:rPr>
          <w:rFonts w:ascii="Garamond" w:hAnsi="Garamond" w:cs="Times New Roman"/>
          <w:color w:val="000000" w:themeColor="text1"/>
          <w:sz w:val="28"/>
          <w:szCs w:val="28"/>
        </w:rPr>
        <w:t>cfr. l’art. 182-</w:t>
      </w:r>
      <w:r w:rsidR="004A1FB7" w:rsidRPr="004A1FB7">
        <w:rPr>
          <w:rFonts w:ascii="Garamond" w:hAnsi="Garamond" w:cs="Times New Roman"/>
          <w:i/>
          <w:color w:val="000000" w:themeColor="text1"/>
          <w:sz w:val="28"/>
          <w:szCs w:val="28"/>
        </w:rPr>
        <w:t>bis</w:t>
      </w:r>
      <w:r w:rsidR="004A1FB7" w:rsidRPr="00BF2644">
        <w:rPr>
          <w:rFonts w:ascii="Garamond" w:hAnsi="Garamond" w:cs="Times New Roman"/>
          <w:color w:val="000000" w:themeColor="text1"/>
          <w:sz w:val="28"/>
          <w:szCs w:val="28"/>
        </w:rPr>
        <w:t xml:space="preserve"> </w:t>
      </w:r>
      <w:r w:rsidR="00CB11BA" w:rsidRPr="00BF2644">
        <w:rPr>
          <w:rFonts w:ascii="Garamond" w:hAnsi="Garamond" w:cs="Times New Roman"/>
          <w:color w:val="000000" w:themeColor="text1"/>
          <w:sz w:val="28"/>
          <w:szCs w:val="28"/>
        </w:rPr>
        <w:t>e l’</w:t>
      </w:r>
      <w:r w:rsidRPr="00BF2644">
        <w:rPr>
          <w:rFonts w:ascii="Garamond" w:hAnsi="Garamond" w:cs="Times New Roman"/>
          <w:color w:val="000000" w:themeColor="text1"/>
          <w:sz w:val="28"/>
          <w:szCs w:val="28"/>
        </w:rPr>
        <w:t>art. 199, comma 3, lett. g) (Cons</w:t>
      </w:r>
      <w:r w:rsidR="003E3C55">
        <w:rPr>
          <w:rFonts w:ascii="Garamond" w:hAnsi="Garamond" w:cs="Times New Roman"/>
          <w:color w:val="000000" w:themeColor="text1"/>
          <w:sz w:val="28"/>
          <w:szCs w:val="28"/>
        </w:rPr>
        <w:t>. S</w:t>
      </w:r>
      <w:r w:rsidRPr="00BF2644">
        <w:rPr>
          <w:rFonts w:ascii="Garamond" w:hAnsi="Garamond" w:cs="Times New Roman"/>
          <w:color w:val="000000" w:themeColor="text1"/>
          <w:sz w:val="28"/>
          <w:szCs w:val="28"/>
        </w:rPr>
        <w:t>tato, sez. VI, n. 5025 del 2021)</w:t>
      </w:r>
      <w:r w:rsidR="000F67D3" w:rsidRPr="00BF2644">
        <w:rPr>
          <w:rFonts w:ascii="Garamond" w:hAnsi="Garamond" w:cs="Times New Roman"/>
          <w:color w:val="000000" w:themeColor="text1"/>
          <w:sz w:val="28"/>
          <w:szCs w:val="28"/>
        </w:rPr>
        <w:t xml:space="preserve">; </w:t>
      </w:r>
    </w:p>
    <w:p w:rsidR="00E95F25" w:rsidRDefault="0010704C"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 </w:t>
      </w:r>
      <w:r w:rsidR="007D4D6E" w:rsidRPr="009E16C6">
        <w:rPr>
          <w:rFonts w:ascii="Garamond" w:hAnsi="Garamond" w:cs="Times New Roman"/>
          <w:color w:val="000000" w:themeColor="text1"/>
          <w:sz w:val="28"/>
          <w:szCs w:val="28"/>
        </w:rPr>
        <w:t>per i rifiuti speciali ha rilievo primario il criterio della specializzazione dell’impianto, in relazione al quale deve essere coordinato il principio di prossimità, con cui si persegue lo scopo di ridurre il più possibile la movimentazion</w:t>
      </w:r>
      <w:r w:rsidR="00E95F25" w:rsidRPr="009E16C6">
        <w:rPr>
          <w:rFonts w:ascii="Garamond" w:hAnsi="Garamond" w:cs="Times New Roman"/>
          <w:color w:val="000000" w:themeColor="text1"/>
          <w:sz w:val="28"/>
          <w:szCs w:val="28"/>
        </w:rPr>
        <w:t>e di r</w:t>
      </w:r>
      <w:r w:rsidR="006233AF" w:rsidRPr="009E16C6">
        <w:rPr>
          <w:rFonts w:ascii="Garamond" w:hAnsi="Garamond" w:cs="Times New Roman"/>
          <w:color w:val="000000" w:themeColor="text1"/>
          <w:sz w:val="28"/>
          <w:szCs w:val="28"/>
        </w:rPr>
        <w:t>ifiuti (</w:t>
      </w:r>
      <w:r w:rsidR="00E95F25" w:rsidRPr="009E16C6">
        <w:rPr>
          <w:rFonts w:ascii="Garamond" w:hAnsi="Garamond" w:cs="Times New Roman"/>
          <w:color w:val="000000" w:themeColor="text1"/>
          <w:sz w:val="28"/>
          <w:szCs w:val="28"/>
        </w:rPr>
        <w:t>Cons. Stato, sez. V</w:t>
      </w:r>
      <w:r w:rsidR="003A4B8D">
        <w:rPr>
          <w:rFonts w:ascii="Garamond" w:hAnsi="Garamond" w:cs="Times New Roman"/>
          <w:color w:val="000000" w:themeColor="text1"/>
          <w:sz w:val="28"/>
          <w:szCs w:val="28"/>
        </w:rPr>
        <w:t>,</w:t>
      </w:r>
      <w:r w:rsidR="007D4D6E" w:rsidRPr="009E16C6">
        <w:rPr>
          <w:rFonts w:ascii="Garamond" w:hAnsi="Garamond" w:cs="Times New Roman"/>
          <w:color w:val="000000" w:themeColor="text1"/>
          <w:sz w:val="28"/>
          <w:szCs w:val="28"/>
        </w:rPr>
        <w:t xml:space="preserve"> n. 1556</w:t>
      </w:r>
      <w:r w:rsidR="00E95F25" w:rsidRPr="009E16C6">
        <w:rPr>
          <w:rFonts w:ascii="Garamond" w:hAnsi="Garamond" w:cs="Times New Roman"/>
          <w:color w:val="000000" w:themeColor="text1"/>
          <w:sz w:val="28"/>
          <w:szCs w:val="28"/>
        </w:rPr>
        <w:t xml:space="preserve"> del 2015;</w:t>
      </w:r>
      <w:r w:rsidRPr="009E16C6">
        <w:rPr>
          <w:rFonts w:ascii="Garamond" w:hAnsi="Garamond" w:cs="Times New Roman"/>
          <w:color w:val="000000" w:themeColor="text1"/>
          <w:sz w:val="28"/>
          <w:szCs w:val="28"/>
        </w:rPr>
        <w:t xml:space="preserve"> </w:t>
      </w:r>
      <w:r w:rsidR="00E95F25" w:rsidRPr="009E16C6">
        <w:rPr>
          <w:rFonts w:ascii="Garamond" w:hAnsi="Garamond" w:cs="Times New Roman"/>
          <w:color w:val="000000" w:themeColor="text1"/>
          <w:sz w:val="28"/>
          <w:szCs w:val="28"/>
        </w:rPr>
        <w:t xml:space="preserve">sez. V, </w:t>
      </w:r>
      <w:r w:rsidRPr="009E16C6">
        <w:rPr>
          <w:rFonts w:ascii="Garamond" w:hAnsi="Garamond" w:cs="Times New Roman"/>
          <w:color w:val="000000" w:themeColor="text1"/>
          <w:sz w:val="28"/>
          <w:szCs w:val="28"/>
        </w:rPr>
        <w:t>n. 3215</w:t>
      </w:r>
      <w:r w:rsidR="00E95F25" w:rsidRPr="009E16C6">
        <w:rPr>
          <w:rFonts w:ascii="Garamond" w:hAnsi="Garamond" w:cs="Times New Roman"/>
          <w:color w:val="000000" w:themeColor="text1"/>
          <w:sz w:val="28"/>
          <w:szCs w:val="28"/>
        </w:rPr>
        <w:t xml:space="preserve"> del 2013</w:t>
      </w:r>
      <w:r w:rsidRPr="009E16C6">
        <w:rPr>
          <w:rFonts w:ascii="Garamond" w:hAnsi="Garamond" w:cs="Times New Roman"/>
          <w:color w:val="000000" w:themeColor="text1"/>
          <w:sz w:val="28"/>
          <w:szCs w:val="28"/>
        </w:rPr>
        <w:t>;</w:t>
      </w:r>
      <w:r w:rsidR="00E95F25" w:rsidRPr="009E16C6">
        <w:rPr>
          <w:rFonts w:ascii="Garamond" w:hAnsi="Garamond" w:cs="Times New Roman"/>
          <w:color w:val="000000" w:themeColor="text1"/>
          <w:sz w:val="28"/>
          <w:szCs w:val="28"/>
        </w:rPr>
        <w:t xml:space="preserve"> </w:t>
      </w:r>
      <w:r w:rsidR="006233AF" w:rsidRPr="009E16C6">
        <w:rPr>
          <w:rFonts w:ascii="Garamond" w:hAnsi="Garamond" w:cs="Times New Roman"/>
          <w:color w:val="000000" w:themeColor="text1"/>
          <w:sz w:val="28"/>
          <w:szCs w:val="28"/>
        </w:rPr>
        <w:t xml:space="preserve">sez. VI, </w:t>
      </w:r>
      <w:r w:rsidRPr="009E16C6">
        <w:rPr>
          <w:rFonts w:ascii="Garamond" w:hAnsi="Garamond" w:cs="Times New Roman"/>
          <w:color w:val="000000" w:themeColor="text1"/>
          <w:sz w:val="28"/>
          <w:szCs w:val="28"/>
        </w:rPr>
        <w:t>n. 993</w:t>
      </w:r>
      <w:r w:rsidR="00E95F25" w:rsidRPr="009E16C6">
        <w:rPr>
          <w:rFonts w:ascii="Garamond" w:hAnsi="Garamond" w:cs="Times New Roman"/>
          <w:color w:val="000000" w:themeColor="text1"/>
          <w:sz w:val="28"/>
          <w:szCs w:val="28"/>
        </w:rPr>
        <w:t xml:space="preserve"> del 2013</w:t>
      </w:r>
      <w:r w:rsidRPr="009E16C6">
        <w:rPr>
          <w:rFonts w:ascii="Garamond" w:hAnsi="Garamond" w:cs="Times New Roman"/>
          <w:color w:val="000000" w:themeColor="text1"/>
          <w:sz w:val="28"/>
          <w:szCs w:val="28"/>
        </w:rPr>
        <w:t>)</w:t>
      </w:r>
      <w:r w:rsidR="00E95F25" w:rsidRPr="009E16C6">
        <w:rPr>
          <w:rFonts w:ascii="Garamond" w:hAnsi="Garamond" w:cs="Times New Roman"/>
          <w:color w:val="000000" w:themeColor="text1"/>
          <w:sz w:val="28"/>
          <w:szCs w:val="28"/>
        </w:rPr>
        <w:t>.</w:t>
      </w:r>
      <w:r w:rsidRPr="00BF2644">
        <w:rPr>
          <w:rFonts w:ascii="Garamond" w:hAnsi="Garamond" w:cs="Times New Roman"/>
          <w:color w:val="000000" w:themeColor="text1"/>
          <w:sz w:val="28"/>
          <w:szCs w:val="28"/>
        </w:rPr>
        <w:t xml:space="preserve"> </w:t>
      </w:r>
    </w:p>
    <w:p w:rsidR="003E37AA" w:rsidRDefault="003E37AA" w:rsidP="00BF2644">
      <w:pPr>
        <w:spacing w:line="240" w:lineRule="auto"/>
        <w:ind w:firstLine="709"/>
        <w:contextualSpacing/>
        <w:jc w:val="both"/>
        <w:rPr>
          <w:rFonts w:ascii="Garamond" w:hAnsi="Garamond" w:cs="Times New Roman"/>
          <w:b/>
          <w:color w:val="000000" w:themeColor="text1"/>
          <w:sz w:val="28"/>
          <w:szCs w:val="28"/>
        </w:rPr>
      </w:pPr>
    </w:p>
    <w:p w:rsidR="007A6D25" w:rsidRPr="00BF2644" w:rsidRDefault="00904A20" w:rsidP="00BF2644">
      <w:pPr>
        <w:spacing w:line="240" w:lineRule="auto"/>
        <w:ind w:firstLine="709"/>
        <w:contextualSpacing/>
        <w:jc w:val="both"/>
        <w:rPr>
          <w:rFonts w:ascii="Garamond" w:hAnsi="Garamond" w:cs="Times New Roman"/>
          <w:b/>
          <w:color w:val="000000" w:themeColor="text1"/>
          <w:sz w:val="28"/>
          <w:szCs w:val="28"/>
        </w:rPr>
      </w:pPr>
      <w:r w:rsidRPr="00BF2644">
        <w:rPr>
          <w:rFonts w:ascii="Garamond" w:hAnsi="Garamond" w:cs="Times New Roman"/>
          <w:b/>
          <w:color w:val="000000" w:themeColor="text1"/>
          <w:sz w:val="28"/>
          <w:szCs w:val="28"/>
        </w:rPr>
        <w:t>1.5</w:t>
      </w:r>
      <w:r w:rsidR="007A6D25" w:rsidRPr="00BF2644">
        <w:rPr>
          <w:rFonts w:ascii="Garamond" w:hAnsi="Garamond" w:cs="Times New Roman"/>
          <w:b/>
          <w:color w:val="000000" w:themeColor="text1"/>
          <w:sz w:val="28"/>
          <w:szCs w:val="28"/>
        </w:rPr>
        <w:t xml:space="preserve">. Rito applicabile alle controversie relative all’impugnativa del provvedimento di autorizzazione unica </w:t>
      </w:r>
    </w:p>
    <w:p w:rsidR="007A6D25" w:rsidRPr="00BF2644" w:rsidRDefault="007A6D25"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I giudizi relativi all’impugnativa del provvedimento di autorizzazion</w:t>
      </w:r>
      <w:r w:rsidR="006233AF">
        <w:rPr>
          <w:rFonts w:ascii="Garamond" w:hAnsi="Garamond" w:cs="Times New Roman"/>
          <w:color w:val="000000" w:themeColor="text1"/>
          <w:sz w:val="28"/>
          <w:szCs w:val="28"/>
        </w:rPr>
        <w:t>e unica ex art. 208 d.</w:t>
      </w:r>
      <w:r w:rsidR="00D8422B">
        <w:rPr>
          <w:rFonts w:ascii="Garamond" w:hAnsi="Garamond" w:cs="Times New Roman"/>
          <w:color w:val="000000" w:themeColor="text1"/>
          <w:sz w:val="28"/>
          <w:szCs w:val="28"/>
        </w:rPr>
        <w:t>l</w:t>
      </w:r>
      <w:r w:rsidR="006233AF">
        <w:rPr>
          <w:rFonts w:ascii="Garamond" w:hAnsi="Garamond" w:cs="Times New Roman"/>
          <w:color w:val="000000" w:themeColor="text1"/>
          <w:sz w:val="28"/>
          <w:szCs w:val="28"/>
        </w:rPr>
        <w:t xml:space="preserve">gs. 152 del </w:t>
      </w:r>
      <w:r w:rsidRPr="00BF2644">
        <w:rPr>
          <w:rFonts w:ascii="Garamond" w:hAnsi="Garamond" w:cs="Times New Roman"/>
          <w:color w:val="000000" w:themeColor="text1"/>
          <w:sz w:val="28"/>
          <w:szCs w:val="28"/>
        </w:rPr>
        <w:t xml:space="preserve">2006 rilasciato dalla </w:t>
      </w:r>
      <w:r w:rsidR="003E3C55">
        <w:rPr>
          <w:rFonts w:ascii="Garamond" w:hAnsi="Garamond" w:cs="Times New Roman"/>
          <w:color w:val="000000" w:themeColor="text1"/>
          <w:sz w:val="28"/>
          <w:szCs w:val="28"/>
        </w:rPr>
        <w:t>r</w:t>
      </w:r>
      <w:r w:rsidRPr="00BF2644">
        <w:rPr>
          <w:rFonts w:ascii="Garamond" w:hAnsi="Garamond" w:cs="Times New Roman"/>
          <w:color w:val="000000" w:themeColor="text1"/>
          <w:sz w:val="28"/>
          <w:szCs w:val="28"/>
        </w:rPr>
        <w:t xml:space="preserve">egione sono soggetti al rito ordinario, non applicandosi il disposto </w:t>
      </w:r>
      <w:r w:rsidR="006233AF">
        <w:rPr>
          <w:rFonts w:ascii="Garamond" w:hAnsi="Garamond" w:cs="Times New Roman"/>
          <w:color w:val="000000" w:themeColor="text1"/>
          <w:sz w:val="28"/>
          <w:szCs w:val="28"/>
        </w:rPr>
        <w:t>dell’art. 1</w:t>
      </w:r>
      <w:r w:rsidRPr="00BF2644">
        <w:rPr>
          <w:rFonts w:ascii="Garamond" w:hAnsi="Garamond" w:cs="Times New Roman"/>
          <w:color w:val="000000" w:themeColor="text1"/>
          <w:sz w:val="28"/>
          <w:szCs w:val="28"/>
        </w:rPr>
        <w:t xml:space="preserve">19, comma 1, lett. l) </w:t>
      </w:r>
      <w:r w:rsidR="006233AF">
        <w:rPr>
          <w:rFonts w:ascii="Garamond" w:hAnsi="Garamond" w:cs="Times New Roman"/>
          <w:color w:val="000000" w:themeColor="text1"/>
          <w:sz w:val="28"/>
          <w:szCs w:val="28"/>
        </w:rPr>
        <w:t xml:space="preserve">c.p.a. </w:t>
      </w:r>
      <w:r w:rsidRPr="00BF2644">
        <w:rPr>
          <w:rFonts w:ascii="Garamond" w:hAnsi="Garamond" w:cs="Times New Roman"/>
          <w:color w:val="000000" w:themeColor="text1"/>
          <w:sz w:val="28"/>
          <w:szCs w:val="28"/>
        </w:rPr>
        <w:t>che riguarda invece gli impianti di generazione di ener</w:t>
      </w:r>
      <w:r w:rsidR="001572E2">
        <w:rPr>
          <w:rFonts w:ascii="Garamond" w:hAnsi="Garamond" w:cs="Times New Roman"/>
          <w:color w:val="000000" w:themeColor="text1"/>
          <w:sz w:val="28"/>
          <w:szCs w:val="28"/>
        </w:rPr>
        <w:t>gia elettrica disciplinati dal d</w:t>
      </w:r>
      <w:r w:rsidRPr="00BF2644">
        <w:rPr>
          <w:rFonts w:ascii="Garamond" w:hAnsi="Garamond" w:cs="Times New Roman"/>
          <w:color w:val="000000" w:themeColor="text1"/>
          <w:sz w:val="28"/>
          <w:szCs w:val="28"/>
        </w:rPr>
        <w:t>.</w:t>
      </w:r>
      <w:r w:rsidR="001572E2">
        <w:rPr>
          <w:rFonts w:ascii="Garamond" w:hAnsi="Garamond" w:cs="Times New Roman"/>
          <w:color w:val="000000" w:themeColor="text1"/>
          <w:sz w:val="28"/>
          <w:szCs w:val="28"/>
        </w:rPr>
        <w:t>l</w:t>
      </w:r>
      <w:r w:rsidR="006C564E">
        <w:rPr>
          <w:rFonts w:ascii="Garamond" w:hAnsi="Garamond" w:cs="Times New Roman"/>
          <w:color w:val="000000" w:themeColor="text1"/>
          <w:sz w:val="28"/>
          <w:szCs w:val="28"/>
        </w:rPr>
        <w:t>.</w:t>
      </w:r>
      <w:r w:rsidRPr="00BF2644">
        <w:rPr>
          <w:rFonts w:ascii="Garamond" w:hAnsi="Garamond" w:cs="Times New Roman"/>
          <w:color w:val="000000" w:themeColor="text1"/>
          <w:sz w:val="28"/>
          <w:szCs w:val="28"/>
        </w:rPr>
        <w:t xml:space="preserve"> n. 7 del 2002, nonché gli ulteriori impianti ivi specificamente indicati e soggetti ad autorizzazione in sede statale in ragione del loro rilievo ai fini dell'efficienza della rete elettrica nazionale. La natura derogatoria della disposizione rispetto alla disciplina del rito ordinario ne impedisce, altresì, </w:t>
      </w:r>
      <w:r w:rsidRPr="00BF2644">
        <w:rPr>
          <w:rFonts w:ascii="Garamond" w:hAnsi="Garamond" w:cs="Times New Roman"/>
          <w:color w:val="000000" w:themeColor="text1"/>
          <w:sz w:val="28"/>
          <w:szCs w:val="28"/>
        </w:rPr>
        <w:lastRenderedPageBreak/>
        <w:t>qualsivoglia forma di interpretazione estensiva, analogica o teleologica (cfr. la decisione dell'Aduna</w:t>
      </w:r>
      <w:r w:rsidR="006233AF">
        <w:rPr>
          <w:rFonts w:ascii="Garamond" w:hAnsi="Garamond" w:cs="Times New Roman"/>
          <w:color w:val="000000" w:themeColor="text1"/>
          <w:sz w:val="28"/>
          <w:szCs w:val="28"/>
        </w:rPr>
        <w:t>nza plenaria n. 16 del 2022</w:t>
      </w:r>
      <w:r w:rsidR="004605D3">
        <w:rPr>
          <w:rFonts w:ascii="Garamond" w:hAnsi="Garamond" w:cs="Times New Roman"/>
          <w:color w:val="000000" w:themeColor="text1"/>
          <w:sz w:val="28"/>
          <w:szCs w:val="28"/>
        </w:rPr>
        <w:t xml:space="preserve">) (Cons. </w:t>
      </w:r>
      <w:r w:rsidRPr="00BF2644">
        <w:rPr>
          <w:rFonts w:ascii="Garamond" w:hAnsi="Garamond" w:cs="Times New Roman"/>
          <w:color w:val="000000" w:themeColor="text1"/>
          <w:sz w:val="28"/>
          <w:szCs w:val="28"/>
        </w:rPr>
        <w:t>Stato, sez.</w:t>
      </w:r>
      <w:r w:rsidR="005C2E9D" w:rsidRPr="00BF2644">
        <w:rPr>
          <w:rFonts w:ascii="Garamond" w:hAnsi="Garamond" w:cs="Times New Roman"/>
          <w:color w:val="000000" w:themeColor="text1"/>
          <w:sz w:val="28"/>
          <w:szCs w:val="28"/>
        </w:rPr>
        <w:t xml:space="preserve"> </w:t>
      </w:r>
      <w:r w:rsidR="006233AF">
        <w:rPr>
          <w:rFonts w:ascii="Garamond" w:hAnsi="Garamond" w:cs="Times New Roman"/>
          <w:color w:val="000000" w:themeColor="text1"/>
          <w:sz w:val="28"/>
          <w:szCs w:val="28"/>
        </w:rPr>
        <w:t xml:space="preserve">IV, n. 9738 del </w:t>
      </w:r>
      <w:r w:rsidRPr="00BF2644">
        <w:rPr>
          <w:rFonts w:ascii="Garamond" w:hAnsi="Garamond" w:cs="Times New Roman"/>
          <w:color w:val="000000" w:themeColor="text1"/>
          <w:sz w:val="28"/>
          <w:szCs w:val="28"/>
        </w:rPr>
        <w:t>2022)</w:t>
      </w:r>
      <w:r w:rsidR="001572E2">
        <w:rPr>
          <w:rFonts w:ascii="Garamond" w:hAnsi="Garamond" w:cs="Times New Roman"/>
          <w:color w:val="000000" w:themeColor="text1"/>
          <w:sz w:val="28"/>
          <w:szCs w:val="28"/>
        </w:rPr>
        <w:t>.</w:t>
      </w:r>
    </w:p>
    <w:p w:rsidR="003E37AA" w:rsidRDefault="003E37AA" w:rsidP="00BF2644">
      <w:pPr>
        <w:spacing w:line="240" w:lineRule="auto"/>
        <w:ind w:firstLine="709"/>
        <w:contextualSpacing/>
        <w:jc w:val="both"/>
        <w:rPr>
          <w:rFonts w:ascii="Garamond" w:hAnsi="Garamond" w:cs="Times New Roman"/>
          <w:b/>
          <w:color w:val="000000" w:themeColor="text1"/>
          <w:sz w:val="28"/>
          <w:szCs w:val="28"/>
        </w:rPr>
      </w:pPr>
    </w:p>
    <w:p w:rsidR="00BB3E3D" w:rsidRDefault="0059478A" w:rsidP="00BF2644">
      <w:pPr>
        <w:spacing w:line="240" w:lineRule="auto"/>
        <w:ind w:firstLine="709"/>
        <w:contextualSpacing/>
        <w:jc w:val="both"/>
        <w:rPr>
          <w:rFonts w:ascii="Garamond" w:hAnsi="Garamond" w:cs="Times New Roman"/>
          <w:b/>
          <w:color w:val="000000" w:themeColor="text1"/>
          <w:sz w:val="28"/>
          <w:szCs w:val="28"/>
        </w:rPr>
      </w:pPr>
      <w:r w:rsidRPr="00BF2644">
        <w:rPr>
          <w:rFonts w:ascii="Garamond" w:hAnsi="Garamond" w:cs="Times New Roman"/>
          <w:b/>
          <w:color w:val="000000" w:themeColor="text1"/>
          <w:sz w:val="28"/>
          <w:szCs w:val="28"/>
        </w:rPr>
        <w:t>1.7</w:t>
      </w:r>
      <w:r w:rsidR="00D31D83" w:rsidRPr="00BF2644">
        <w:rPr>
          <w:rFonts w:ascii="Garamond" w:hAnsi="Garamond" w:cs="Times New Roman"/>
          <w:b/>
          <w:color w:val="000000" w:themeColor="text1"/>
          <w:sz w:val="28"/>
          <w:szCs w:val="28"/>
        </w:rPr>
        <w:t xml:space="preserve">. </w:t>
      </w:r>
      <w:r w:rsidR="00BB3E3D" w:rsidRPr="00BB3E3D">
        <w:rPr>
          <w:rFonts w:ascii="Garamond" w:hAnsi="Garamond" w:cs="Times New Roman"/>
          <w:b/>
          <w:color w:val="000000" w:themeColor="text1"/>
          <w:sz w:val="28"/>
          <w:szCs w:val="28"/>
        </w:rPr>
        <w:t>Rapporti tra AIA, AUA e VAS.</w:t>
      </w:r>
      <w:r w:rsidR="00D31D83" w:rsidRPr="00BF2644">
        <w:rPr>
          <w:rFonts w:ascii="Garamond" w:hAnsi="Garamond" w:cs="Times New Roman"/>
          <w:b/>
          <w:color w:val="000000" w:themeColor="text1"/>
          <w:sz w:val="28"/>
          <w:szCs w:val="28"/>
        </w:rPr>
        <w:t xml:space="preserve"> </w:t>
      </w:r>
    </w:p>
    <w:p w:rsidR="00EE68B3" w:rsidRDefault="00EE68B3" w:rsidP="00BF2644">
      <w:pPr>
        <w:spacing w:line="240" w:lineRule="auto"/>
        <w:ind w:firstLine="709"/>
        <w:contextualSpacing/>
        <w:jc w:val="both"/>
        <w:rPr>
          <w:rFonts w:ascii="Garamond" w:hAnsi="Garamond" w:cs="Times New Roman"/>
          <w:color w:val="000000" w:themeColor="text1"/>
          <w:sz w:val="28"/>
          <w:szCs w:val="28"/>
        </w:rPr>
      </w:pPr>
      <w:r w:rsidRPr="00EE68B3">
        <w:rPr>
          <w:rFonts w:ascii="Garamond" w:hAnsi="Garamond" w:cs="Times New Roman"/>
          <w:color w:val="000000" w:themeColor="text1"/>
          <w:sz w:val="28"/>
          <w:szCs w:val="28"/>
        </w:rPr>
        <w:t>Ai sensi dell’</w:t>
      </w:r>
      <w:r w:rsidR="002F5487">
        <w:rPr>
          <w:rFonts w:ascii="Garamond" w:hAnsi="Garamond" w:cs="Times New Roman"/>
          <w:color w:val="000000" w:themeColor="text1"/>
          <w:sz w:val="28"/>
          <w:szCs w:val="28"/>
        </w:rPr>
        <w:t xml:space="preserve">art. 29 </w:t>
      </w:r>
      <w:r w:rsidR="002F5487" w:rsidRPr="00CF6DEE">
        <w:rPr>
          <w:rFonts w:ascii="Garamond" w:hAnsi="Garamond" w:cs="Times New Roman"/>
          <w:i/>
          <w:color w:val="000000" w:themeColor="text1"/>
          <w:sz w:val="28"/>
          <w:szCs w:val="28"/>
        </w:rPr>
        <w:t>quater</w:t>
      </w:r>
      <w:r w:rsidR="002F5487">
        <w:rPr>
          <w:rFonts w:ascii="Garamond" w:hAnsi="Garamond" w:cs="Times New Roman"/>
          <w:color w:val="000000" w:themeColor="text1"/>
          <w:sz w:val="28"/>
          <w:szCs w:val="28"/>
        </w:rPr>
        <w:t xml:space="preserve">, comma 1 del </w:t>
      </w:r>
      <w:r w:rsidR="004F0CCD">
        <w:rPr>
          <w:rFonts w:ascii="Garamond" w:hAnsi="Garamond" w:cs="Times New Roman"/>
          <w:color w:val="000000" w:themeColor="text1"/>
          <w:sz w:val="28"/>
          <w:szCs w:val="28"/>
        </w:rPr>
        <w:t>d.lgs.</w:t>
      </w:r>
      <w:r w:rsidR="002F5487">
        <w:rPr>
          <w:rFonts w:ascii="Garamond" w:hAnsi="Garamond" w:cs="Times New Roman"/>
          <w:color w:val="000000" w:themeColor="text1"/>
          <w:sz w:val="28"/>
          <w:szCs w:val="28"/>
        </w:rPr>
        <w:t xml:space="preserve"> </w:t>
      </w:r>
      <w:r w:rsidR="00A07ACF">
        <w:rPr>
          <w:rFonts w:ascii="Garamond" w:hAnsi="Garamond" w:cs="Times New Roman"/>
          <w:color w:val="000000" w:themeColor="text1"/>
          <w:sz w:val="28"/>
          <w:szCs w:val="28"/>
        </w:rPr>
        <w:t xml:space="preserve">n. </w:t>
      </w:r>
      <w:r w:rsidRPr="00EE68B3">
        <w:rPr>
          <w:rFonts w:ascii="Garamond" w:hAnsi="Garamond" w:cs="Times New Roman"/>
          <w:color w:val="000000" w:themeColor="text1"/>
          <w:sz w:val="28"/>
          <w:szCs w:val="28"/>
        </w:rPr>
        <w:t>152</w:t>
      </w:r>
      <w:r w:rsidR="004371FA">
        <w:rPr>
          <w:rFonts w:ascii="Garamond" w:hAnsi="Garamond" w:cs="Times New Roman"/>
          <w:color w:val="000000" w:themeColor="text1"/>
          <w:sz w:val="28"/>
          <w:szCs w:val="28"/>
        </w:rPr>
        <w:t xml:space="preserve"> del </w:t>
      </w:r>
      <w:r w:rsidRPr="00EE68B3">
        <w:rPr>
          <w:rFonts w:ascii="Garamond" w:hAnsi="Garamond" w:cs="Times New Roman"/>
          <w:color w:val="000000" w:themeColor="text1"/>
          <w:sz w:val="28"/>
          <w:szCs w:val="28"/>
        </w:rPr>
        <w:t>2006 per gli impianti di competenza statale si procede al rilascio di un’autorizzazione integrata ambientale, la quale, ai sensi del successivo comma 11, sostituisce ad ogni effetto le autorizzazioni riportate nel</w:t>
      </w:r>
      <w:r w:rsidR="00CF6DEE">
        <w:rPr>
          <w:rFonts w:ascii="Garamond" w:hAnsi="Garamond" w:cs="Times New Roman"/>
          <w:color w:val="000000" w:themeColor="text1"/>
          <w:sz w:val="28"/>
          <w:szCs w:val="28"/>
        </w:rPr>
        <w:t>l'elenco dell'Allegato IX alla parte s</w:t>
      </w:r>
      <w:r w:rsidRPr="00EE68B3">
        <w:rPr>
          <w:rFonts w:ascii="Garamond" w:hAnsi="Garamond" w:cs="Times New Roman"/>
          <w:color w:val="000000" w:themeColor="text1"/>
          <w:sz w:val="28"/>
          <w:szCs w:val="28"/>
        </w:rPr>
        <w:t xml:space="preserve">econda del </w:t>
      </w:r>
      <w:r w:rsidR="002F5487" w:rsidRPr="00EE68B3">
        <w:rPr>
          <w:rFonts w:ascii="Garamond" w:hAnsi="Garamond" w:cs="Times New Roman"/>
          <w:color w:val="000000" w:themeColor="text1"/>
          <w:sz w:val="28"/>
          <w:szCs w:val="28"/>
        </w:rPr>
        <w:t xml:space="preserve">medesimo </w:t>
      </w:r>
      <w:r w:rsidR="006C564E">
        <w:rPr>
          <w:rFonts w:ascii="Garamond" w:hAnsi="Garamond" w:cs="Times New Roman"/>
          <w:color w:val="000000" w:themeColor="text1"/>
          <w:sz w:val="28"/>
          <w:szCs w:val="28"/>
        </w:rPr>
        <w:t>decreto</w:t>
      </w:r>
      <w:r w:rsidRPr="00EE68B3">
        <w:rPr>
          <w:rFonts w:ascii="Garamond" w:hAnsi="Garamond" w:cs="Times New Roman"/>
          <w:color w:val="000000" w:themeColor="text1"/>
          <w:sz w:val="28"/>
          <w:szCs w:val="28"/>
        </w:rPr>
        <w:t>.</w:t>
      </w:r>
    </w:p>
    <w:p w:rsidR="002F5487" w:rsidRPr="00EE68B3" w:rsidRDefault="002F5487" w:rsidP="00BF2644">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La giurisprudenza amministrativa ha chiarito che:</w:t>
      </w:r>
    </w:p>
    <w:p w:rsidR="00D31D83" w:rsidRDefault="002F5487" w:rsidP="00BF2644">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-s</w:t>
      </w:r>
      <w:r w:rsidR="00697866" w:rsidRPr="00BF2644">
        <w:rPr>
          <w:rFonts w:ascii="Garamond" w:hAnsi="Garamond" w:cs="Times New Roman"/>
          <w:color w:val="000000" w:themeColor="text1"/>
          <w:sz w:val="28"/>
          <w:szCs w:val="28"/>
        </w:rPr>
        <w:t>tante la previsione dell'</w:t>
      </w:r>
      <w:r w:rsidR="006233AF">
        <w:rPr>
          <w:rFonts w:ascii="Garamond" w:hAnsi="Garamond" w:cs="Times New Roman"/>
          <w:color w:val="000000" w:themeColor="text1"/>
          <w:sz w:val="28"/>
          <w:szCs w:val="28"/>
        </w:rPr>
        <w:t>art. 29</w:t>
      </w:r>
      <w:r w:rsidR="006233AF" w:rsidRPr="003A2EFA">
        <w:rPr>
          <w:rFonts w:ascii="Garamond" w:hAnsi="Garamond" w:cs="Times New Roman"/>
          <w:i/>
          <w:color w:val="000000" w:themeColor="text1"/>
          <w:sz w:val="28"/>
          <w:szCs w:val="28"/>
        </w:rPr>
        <w:t>-quater</w:t>
      </w:r>
      <w:r w:rsidR="006233AF">
        <w:rPr>
          <w:rFonts w:ascii="Garamond" w:hAnsi="Garamond" w:cs="Times New Roman"/>
          <w:color w:val="000000" w:themeColor="text1"/>
          <w:sz w:val="28"/>
          <w:szCs w:val="28"/>
        </w:rPr>
        <w:t xml:space="preserve">, comma 11 del </w:t>
      </w:r>
      <w:r w:rsidR="004F0CCD">
        <w:rPr>
          <w:rFonts w:ascii="Garamond" w:hAnsi="Garamond" w:cs="Times New Roman"/>
          <w:color w:val="000000" w:themeColor="text1"/>
          <w:sz w:val="28"/>
          <w:szCs w:val="28"/>
        </w:rPr>
        <w:t>d.lgs.</w:t>
      </w:r>
      <w:r w:rsidR="00A07ACF">
        <w:rPr>
          <w:rFonts w:ascii="Garamond" w:hAnsi="Garamond" w:cs="Times New Roman"/>
          <w:color w:val="000000" w:themeColor="text1"/>
          <w:sz w:val="28"/>
          <w:szCs w:val="28"/>
        </w:rPr>
        <w:t xml:space="preserve"> n. </w:t>
      </w:r>
      <w:r w:rsidR="00697866" w:rsidRPr="00BF2644">
        <w:rPr>
          <w:rFonts w:ascii="Garamond" w:hAnsi="Garamond" w:cs="Times New Roman"/>
          <w:color w:val="000000" w:themeColor="text1"/>
          <w:sz w:val="28"/>
          <w:szCs w:val="28"/>
        </w:rPr>
        <w:t>152 del 2006  secondo cui la procedura di AIA (Autorizzazione integrata ambientale) sostituisce quella avente per oggetto la "</w:t>
      </w:r>
      <w:r w:rsidR="00697866" w:rsidRPr="00BF2644">
        <w:rPr>
          <w:rFonts w:ascii="Garamond" w:hAnsi="Garamond" w:cs="Times New Roman"/>
          <w:i/>
          <w:color w:val="000000" w:themeColor="text1"/>
          <w:sz w:val="28"/>
          <w:szCs w:val="28"/>
        </w:rPr>
        <w:t>autorizzazione unica per i nuovi impianti di smaltimento e di recupero dei rifiuti</w:t>
      </w:r>
      <w:r w:rsidR="00697866" w:rsidRPr="00BF2644">
        <w:rPr>
          <w:rFonts w:ascii="Garamond" w:hAnsi="Garamond" w:cs="Times New Roman"/>
          <w:color w:val="000000" w:themeColor="text1"/>
          <w:sz w:val="28"/>
          <w:szCs w:val="28"/>
        </w:rPr>
        <w:t>" di cui al successivo art. 208,  nelle procedure in cui l'AIA sostituisce l'autorizzazione unica per i nuovi impianti di smaltimento e recupero dei rifiuti, la conferenza dei servizi convocata per il suo rilascio è integrata con i soggetti pr</w:t>
      </w:r>
      <w:r w:rsidR="006233AF">
        <w:rPr>
          <w:rFonts w:ascii="Garamond" w:hAnsi="Garamond" w:cs="Times New Roman"/>
          <w:color w:val="000000" w:themeColor="text1"/>
          <w:sz w:val="28"/>
          <w:szCs w:val="28"/>
        </w:rPr>
        <w:t xml:space="preserve">evisti dallo stesso art. 208 </w:t>
      </w:r>
      <w:r w:rsidR="004F0CCD">
        <w:rPr>
          <w:rFonts w:ascii="Garamond" w:hAnsi="Garamond" w:cs="Times New Roman"/>
          <w:color w:val="000000" w:themeColor="text1"/>
          <w:sz w:val="28"/>
          <w:szCs w:val="28"/>
        </w:rPr>
        <w:t>d.lgs.</w:t>
      </w:r>
      <w:r w:rsidR="00697866" w:rsidRPr="00BF2644">
        <w:rPr>
          <w:rFonts w:ascii="Garamond" w:hAnsi="Garamond" w:cs="Times New Roman"/>
          <w:color w:val="000000" w:themeColor="text1"/>
          <w:sz w:val="28"/>
          <w:szCs w:val="28"/>
        </w:rPr>
        <w:t xml:space="preserve"> n. 152 del 2006 per la conferenza relativa al rilascio dell'autorizzazione unica in materia di rifiuti.</w:t>
      </w:r>
      <w:r w:rsidR="00956385" w:rsidRPr="00BF2644">
        <w:rPr>
          <w:rFonts w:ascii="Garamond" w:hAnsi="Garamond" w:cs="Times New Roman"/>
          <w:color w:val="000000" w:themeColor="text1"/>
          <w:sz w:val="28"/>
          <w:szCs w:val="28"/>
        </w:rPr>
        <w:t xml:space="preserve"> </w:t>
      </w:r>
      <w:r w:rsidR="00697866" w:rsidRPr="00BF2644">
        <w:rPr>
          <w:rFonts w:ascii="Garamond" w:hAnsi="Garamond" w:cs="Times New Roman"/>
          <w:color w:val="000000" w:themeColor="text1"/>
          <w:sz w:val="28"/>
          <w:szCs w:val="28"/>
        </w:rPr>
        <w:t>L'AIA rilasciata in esito alla conferenza dei servizi "</w:t>
      </w:r>
      <w:r w:rsidR="00697866" w:rsidRPr="006233AF">
        <w:rPr>
          <w:rFonts w:ascii="Garamond" w:hAnsi="Garamond" w:cs="Times New Roman"/>
          <w:i/>
          <w:color w:val="000000" w:themeColor="text1"/>
          <w:sz w:val="28"/>
          <w:szCs w:val="28"/>
        </w:rPr>
        <w:t>integrata</w:t>
      </w:r>
      <w:r w:rsidR="00697866" w:rsidRPr="00BF2644">
        <w:rPr>
          <w:rFonts w:ascii="Garamond" w:hAnsi="Garamond" w:cs="Times New Roman"/>
          <w:color w:val="000000" w:themeColor="text1"/>
          <w:sz w:val="28"/>
          <w:szCs w:val="28"/>
        </w:rPr>
        <w:t>" ha pertanto gli ste</w:t>
      </w:r>
      <w:r w:rsidR="006233AF">
        <w:rPr>
          <w:rFonts w:ascii="Garamond" w:hAnsi="Garamond" w:cs="Times New Roman"/>
          <w:color w:val="000000" w:themeColor="text1"/>
          <w:sz w:val="28"/>
          <w:szCs w:val="28"/>
        </w:rPr>
        <w:t xml:space="preserve">ssi effetti dell'art. 208 </w:t>
      </w:r>
      <w:r w:rsidR="00F353CF">
        <w:rPr>
          <w:rFonts w:ascii="Garamond" w:hAnsi="Garamond" w:cs="Times New Roman"/>
          <w:color w:val="000000" w:themeColor="text1"/>
          <w:sz w:val="28"/>
          <w:szCs w:val="28"/>
        </w:rPr>
        <w:t>d</w:t>
      </w:r>
      <w:r w:rsidR="004F0CCD">
        <w:rPr>
          <w:rFonts w:ascii="Garamond" w:hAnsi="Garamond" w:cs="Times New Roman"/>
          <w:color w:val="000000" w:themeColor="text1"/>
          <w:sz w:val="28"/>
          <w:szCs w:val="28"/>
        </w:rPr>
        <w:t>.lgs.</w:t>
      </w:r>
      <w:r w:rsidR="00697866" w:rsidRPr="00BF2644">
        <w:rPr>
          <w:rFonts w:ascii="Garamond" w:hAnsi="Garamond" w:cs="Times New Roman"/>
          <w:color w:val="000000" w:themeColor="text1"/>
          <w:sz w:val="28"/>
          <w:szCs w:val="28"/>
        </w:rPr>
        <w:t xml:space="preserve"> n. 152 del 2006 cit. </w:t>
      </w:r>
      <w:r w:rsidR="004605D3">
        <w:rPr>
          <w:rFonts w:ascii="Garamond" w:hAnsi="Garamond" w:cs="Times New Roman"/>
          <w:color w:val="000000" w:themeColor="text1"/>
          <w:sz w:val="28"/>
          <w:szCs w:val="28"/>
        </w:rPr>
        <w:t xml:space="preserve">(Cons. </w:t>
      </w:r>
      <w:r w:rsidR="002319B3" w:rsidRPr="00BF2644">
        <w:rPr>
          <w:rFonts w:ascii="Garamond" w:hAnsi="Garamond" w:cs="Times New Roman"/>
          <w:color w:val="000000" w:themeColor="text1"/>
          <w:sz w:val="28"/>
          <w:szCs w:val="28"/>
        </w:rPr>
        <w:t xml:space="preserve">Stato, sez. V, n. 291 del </w:t>
      </w:r>
      <w:r>
        <w:rPr>
          <w:rFonts w:ascii="Garamond" w:hAnsi="Garamond" w:cs="Times New Roman"/>
          <w:color w:val="000000" w:themeColor="text1"/>
          <w:sz w:val="28"/>
          <w:szCs w:val="28"/>
        </w:rPr>
        <w:t xml:space="preserve">2023); </w:t>
      </w:r>
    </w:p>
    <w:p w:rsidR="002F5487" w:rsidRPr="002F5487" w:rsidRDefault="002F5487" w:rsidP="002F5487">
      <w:pPr>
        <w:spacing w:line="240" w:lineRule="auto"/>
        <w:ind w:firstLine="709"/>
        <w:contextualSpacing/>
        <w:jc w:val="both"/>
        <w:rPr>
          <w:rFonts w:ascii="Garamond" w:hAnsi="Garamond" w:cs="Times New Roman"/>
          <w:color w:val="000000" w:themeColor="text1"/>
          <w:sz w:val="28"/>
          <w:szCs w:val="28"/>
        </w:rPr>
      </w:pPr>
      <w:r w:rsidRPr="002F5487">
        <w:rPr>
          <w:rFonts w:ascii="Garamond" w:hAnsi="Garamond" w:cs="Times New Roman"/>
          <w:color w:val="000000" w:themeColor="text1"/>
          <w:sz w:val="28"/>
          <w:szCs w:val="28"/>
        </w:rPr>
        <w:t xml:space="preserve">-l’AIA non costituisce variante automatica al PRG. L’art. 6, comma 12, del </w:t>
      </w:r>
      <w:r w:rsidR="004F0CCD">
        <w:rPr>
          <w:rFonts w:ascii="Garamond" w:hAnsi="Garamond" w:cs="Times New Roman"/>
          <w:color w:val="000000" w:themeColor="text1"/>
          <w:sz w:val="28"/>
          <w:szCs w:val="28"/>
        </w:rPr>
        <w:t>d.lgs.</w:t>
      </w:r>
      <w:r w:rsidRPr="002F5487">
        <w:rPr>
          <w:rFonts w:ascii="Garamond" w:hAnsi="Garamond" w:cs="Times New Roman"/>
          <w:color w:val="000000" w:themeColor="text1"/>
          <w:sz w:val="28"/>
          <w:szCs w:val="28"/>
        </w:rPr>
        <w:t xml:space="preserve"> n. 152 del 2006 prevede che “</w:t>
      </w:r>
      <w:r w:rsidRPr="002F5487">
        <w:rPr>
          <w:rFonts w:ascii="Garamond" w:hAnsi="Garamond" w:cs="Times New Roman"/>
          <w:i/>
          <w:color w:val="000000" w:themeColor="text1"/>
          <w:sz w:val="28"/>
          <w:szCs w:val="28"/>
        </w:rPr>
        <w:t xml:space="preserve">Per le modifiche dei piani e dei programmi elaborati per la pianificazione territoriale o della destinazione dei suoli conseguenti a provvedimenti di autorizzazione di opere singole che hanno per </w:t>
      </w:r>
      <w:r w:rsidR="006C564E">
        <w:rPr>
          <w:rFonts w:ascii="Garamond" w:hAnsi="Garamond" w:cs="Times New Roman"/>
          <w:i/>
          <w:color w:val="000000" w:themeColor="text1"/>
          <w:sz w:val="28"/>
          <w:szCs w:val="28"/>
        </w:rPr>
        <w:t>legge</w:t>
      </w:r>
      <w:r w:rsidRPr="002F5487">
        <w:rPr>
          <w:rFonts w:ascii="Garamond" w:hAnsi="Garamond" w:cs="Times New Roman"/>
          <w:i/>
          <w:color w:val="000000" w:themeColor="text1"/>
          <w:sz w:val="28"/>
          <w:szCs w:val="28"/>
        </w:rPr>
        <w:t xml:space="preserve"> l’effetto di variante ai suddetti piani e programmi, ferma restando l’applicazione della disciplina in materia di VIA, la valutazione ambientale strategica non è necessaria per la localizzazione delle singole opere</w:t>
      </w:r>
      <w:r w:rsidRPr="002F5487">
        <w:rPr>
          <w:rFonts w:ascii="Garamond" w:hAnsi="Garamond" w:cs="Times New Roman"/>
          <w:color w:val="000000" w:themeColor="text1"/>
          <w:sz w:val="28"/>
          <w:szCs w:val="28"/>
        </w:rPr>
        <w:t xml:space="preserve">”. Inoltre ai sensi dell’art. 6, commi 3 </w:t>
      </w:r>
      <w:r w:rsidR="004A1FB7">
        <w:rPr>
          <w:rFonts w:ascii="Garamond" w:hAnsi="Garamond" w:cs="Times New Roman"/>
          <w:color w:val="000000" w:themeColor="text1"/>
          <w:sz w:val="28"/>
          <w:szCs w:val="28"/>
        </w:rPr>
        <w:t>e 3-</w:t>
      </w:r>
      <w:r w:rsidR="004A1FB7" w:rsidRPr="004A1FB7">
        <w:rPr>
          <w:rFonts w:ascii="Garamond" w:hAnsi="Garamond" w:cs="Times New Roman"/>
          <w:i/>
          <w:color w:val="000000" w:themeColor="text1"/>
          <w:sz w:val="28"/>
          <w:szCs w:val="28"/>
        </w:rPr>
        <w:t>bis</w:t>
      </w:r>
      <w:r w:rsidRPr="002F5487">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 xml:space="preserve">del </w:t>
      </w:r>
      <w:r w:rsidR="004F0CCD">
        <w:rPr>
          <w:rFonts w:ascii="Garamond" w:hAnsi="Garamond" w:cs="Times New Roman"/>
          <w:color w:val="000000" w:themeColor="text1"/>
          <w:sz w:val="28"/>
          <w:szCs w:val="28"/>
        </w:rPr>
        <w:t>d.lgs.</w:t>
      </w:r>
      <w:r>
        <w:rPr>
          <w:rFonts w:ascii="Garamond" w:hAnsi="Garamond" w:cs="Times New Roman"/>
          <w:color w:val="000000" w:themeColor="text1"/>
          <w:sz w:val="28"/>
          <w:szCs w:val="28"/>
        </w:rPr>
        <w:t xml:space="preserve"> </w:t>
      </w:r>
      <w:r w:rsidR="00A07ACF">
        <w:rPr>
          <w:rFonts w:ascii="Garamond" w:hAnsi="Garamond" w:cs="Times New Roman"/>
          <w:color w:val="000000" w:themeColor="text1"/>
          <w:sz w:val="28"/>
          <w:szCs w:val="28"/>
        </w:rPr>
        <w:t xml:space="preserve">n. </w:t>
      </w:r>
      <w:r w:rsidRPr="002F5487">
        <w:rPr>
          <w:rFonts w:ascii="Garamond" w:hAnsi="Garamond" w:cs="Times New Roman"/>
          <w:color w:val="000000" w:themeColor="text1"/>
          <w:sz w:val="28"/>
          <w:szCs w:val="28"/>
        </w:rPr>
        <w:t>152 del 2006, la verifica di assoggettabilità riguarda solo i piani e i programmi individuati dalla disposizione per i quali la procedura di VAS è discrezionale. Pertanto, mentre la valutazione di impatto ambientale ha ad oggetto un progetto o un’attività puntuale, le attività pianificatorie o programmatorie devono essere sottoposte a valutazione ambientale strategica; pertanto qualora oggetto di autorizzazione sia un progetto per l’ampliamento di un impianto di recupero, lo stesso non è da sottoporsi a VAS o a veri</w:t>
      </w:r>
      <w:r>
        <w:rPr>
          <w:rFonts w:ascii="Garamond" w:hAnsi="Garamond" w:cs="Times New Roman"/>
          <w:color w:val="000000" w:themeColor="text1"/>
          <w:sz w:val="28"/>
          <w:szCs w:val="28"/>
        </w:rPr>
        <w:t>fica di assoggettabilità a VAS [</w:t>
      </w:r>
      <w:r w:rsidRPr="002F5487">
        <w:rPr>
          <w:rFonts w:ascii="Garamond" w:hAnsi="Garamond" w:cs="Times New Roman"/>
          <w:color w:val="000000" w:themeColor="text1"/>
          <w:sz w:val="28"/>
          <w:szCs w:val="28"/>
        </w:rPr>
        <w:t>Cons. Stato</w:t>
      </w:r>
      <w:r w:rsidR="0000794B">
        <w:rPr>
          <w:rFonts w:ascii="Garamond" w:hAnsi="Garamond" w:cs="Times New Roman"/>
          <w:color w:val="000000" w:themeColor="text1"/>
          <w:sz w:val="28"/>
          <w:szCs w:val="28"/>
        </w:rPr>
        <w:t>,</w:t>
      </w:r>
      <w:r w:rsidR="003E3C55">
        <w:rPr>
          <w:rFonts w:ascii="Garamond" w:hAnsi="Garamond" w:cs="Times New Roman"/>
          <w:color w:val="000000" w:themeColor="text1"/>
          <w:sz w:val="28"/>
          <w:szCs w:val="28"/>
        </w:rPr>
        <w:t xml:space="preserve"> sez. IV, n. 4351 del 2022 (</w:t>
      </w:r>
      <w:r w:rsidRPr="002F5487">
        <w:rPr>
          <w:rFonts w:ascii="Garamond" w:hAnsi="Garamond" w:cs="Times New Roman"/>
          <w:color w:val="000000" w:themeColor="text1"/>
          <w:sz w:val="28"/>
          <w:szCs w:val="28"/>
        </w:rPr>
        <w:t>relativa all'autorizzazione per l'ampliamento di un impianto già esistente in zona agricola e autorizzato ex art.</w:t>
      </w:r>
      <w:r>
        <w:rPr>
          <w:rFonts w:ascii="Garamond" w:hAnsi="Garamond" w:cs="Times New Roman"/>
          <w:color w:val="000000" w:themeColor="text1"/>
          <w:sz w:val="28"/>
          <w:szCs w:val="28"/>
        </w:rPr>
        <w:t xml:space="preserve"> 208 del </w:t>
      </w:r>
      <w:r w:rsidR="004F0CCD">
        <w:rPr>
          <w:rFonts w:ascii="Garamond" w:hAnsi="Garamond" w:cs="Times New Roman"/>
          <w:color w:val="000000" w:themeColor="text1"/>
          <w:sz w:val="28"/>
          <w:szCs w:val="28"/>
        </w:rPr>
        <w:t>d.lgs.</w:t>
      </w:r>
      <w:r>
        <w:rPr>
          <w:rFonts w:ascii="Garamond" w:hAnsi="Garamond" w:cs="Times New Roman"/>
          <w:color w:val="000000" w:themeColor="text1"/>
          <w:sz w:val="28"/>
          <w:szCs w:val="28"/>
        </w:rPr>
        <w:t xml:space="preserve"> n. 152 del 2006]</w:t>
      </w:r>
      <w:r w:rsidRPr="002F5487">
        <w:rPr>
          <w:rFonts w:ascii="Garamond" w:hAnsi="Garamond" w:cs="Times New Roman"/>
          <w:color w:val="000000" w:themeColor="text1"/>
          <w:sz w:val="28"/>
          <w:szCs w:val="28"/>
        </w:rPr>
        <w:t>;</w:t>
      </w:r>
    </w:p>
    <w:p w:rsidR="002F5487" w:rsidRPr="00BF2644" w:rsidRDefault="002F5487" w:rsidP="002F5487">
      <w:pPr>
        <w:spacing w:line="240" w:lineRule="auto"/>
        <w:ind w:firstLine="709"/>
        <w:contextualSpacing/>
        <w:jc w:val="both"/>
        <w:rPr>
          <w:rFonts w:ascii="Garamond" w:hAnsi="Garamond" w:cs="Times New Roman"/>
          <w:color w:val="000000" w:themeColor="text1"/>
          <w:sz w:val="28"/>
          <w:szCs w:val="28"/>
        </w:rPr>
      </w:pPr>
      <w:r w:rsidRPr="002F5487">
        <w:rPr>
          <w:rFonts w:ascii="Garamond" w:hAnsi="Garamond" w:cs="Times New Roman"/>
          <w:color w:val="000000" w:themeColor="text1"/>
          <w:sz w:val="28"/>
          <w:szCs w:val="28"/>
        </w:rPr>
        <w:t xml:space="preserve">-in merito alla compatibilità urbanistica dell'ampliamento, qualora l’impianto ricada nell'allegato VIII alla parte II del </w:t>
      </w:r>
      <w:r w:rsidR="004F0CCD">
        <w:rPr>
          <w:rFonts w:ascii="Garamond" w:hAnsi="Garamond" w:cs="Times New Roman"/>
          <w:color w:val="000000" w:themeColor="text1"/>
          <w:sz w:val="28"/>
          <w:szCs w:val="28"/>
        </w:rPr>
        <w:t>d.lgs.</w:t>
      </w:r>
      <w:r w:rsidRPr="002F5487">
        <w:rPr>
          <w:rFonts w:ascii="Garamond" w:hAnsi="Garamond" w:cs="Times New Roman"/>
          <w:color w:val="000000" w:themeColor="text1"/>
          <w:sz w:val="28"/>
          <w:szCs w:val="28"/>
        </w:rPr>
        <w:t xml:space="preserve"> n. 152 del 2006, l'autorizzazione integrata sostituisce l'autorizzazione unica, ex art. 208 comma 6, che, a sua volta, costituisce variante allo strumento urbanistico e comporta la dichiarazione di pubblica utilità, urgenza e indifferibilità dei lavori (Cons. Stato, </w:t>
      </w:r>
      <w:r w:rsidR="005974DC">
        <w:rPr>
          <w:rFonts w:ascii="Garamond" w:hAnsi="Garamond" w:cs="Times New Roman"/>
          <w:color w:val="000000" w:themeColor="text1"/>
          <w:sz w:val="28"/>
          <w:szCs w:val="28"/>
        </w:rPr>
        <w:t>sez. IV, n. 4351 del 2022 cit.);</w:t>
      </w:r>
    </w:p>
    <w:p w:rsidR="00A04540" w:rsidRPr="00BF2644" w:rsidRDefault="002F5487" w:rsidP="00BF2644">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 </w:t>
      </w:r>
      <w:r w:rsidR="006233AF">
        <w:rPr>
          <w:rFonts w:ascii="Garamond" w:hAnsi="Garamond" w:cs="Times New Roman"/>
          <w:color w:val="000000" w:themeColor="text1"/>
          <w:sz w:val="28"/>
          <w:szCs w:val="28"/>
        </w:rPr>
        <w:t>Il rilascio dell'AIA</w:t>
      </w:r>
      <w:r w:rsidR="00A04540" w:rsidRPr="00BF2644">
        <w:rPr>
          <w:rFonts w:ascii="Garamond" w:hAnsi="Garamond" w:cs="Times New Roman"/>
          <w:color w:val="000000" w:themeColor="text1"/>
          <w:sz w:val="28"/>
          <w:szCs w:val="28"/>
        </w:rPr>
        <w:t xml:space="preserve"> sostituisce anche l'autorizzazione ambientale di cui all'art. 208 del </w:t>
      </w:r>
      <w:r w:rsidR="004F0CCD">
        <w:rPr>
          <w:rFonts w:ascii="Garamond" w:hAnsi="Garamond" w:cs="Times New Roman"/>
          <w:color w:val="000000" w:themeColor="text1"/>
          <w:sz w:val="28"/>
          <w:szCs w:val="28"/>
        </w:rPr>
        <w:t>d.lgs.</w:t>
      </w:r>
      <w:r w:rsidR="00A04540" w:rsidRPr="00BF2644">
        <w:rPr>
          <w:rFonts w:ascii="Garamond" w:hAnsi="Garamond" w:cs="Times New Roman"/>
          <w:color w:val="000000" w:themeColor="text1"/>
          <w:sz w:val="28"/>
          <w:szCs w:val="28"/>
        </w:rPr>
        <w:t xml:space="preserve"> n. 152 del 2006 per gli impianti di recupero dei rifiuti pericolosi e di rigenerazione degli oli usati, sostituendo ogni altro parere regionale, provinciale o comunale e costituendo, nel caso sia necessario, una var</w:t>
      </w:r>
      <w:r w:rsidR="0000794B">
        <w:rPr>
          <w:rFonts w:ascii="Garamond" w:hAnsi="Garamond" w:cs="Times New Roman"/>
          <w:color w:val="000000" w:themeColor="text1"/>
          <w:sz w:val="28"/>
          <w:szCs w:val="28"/>
        </w:rPr>
        <w:t>iante urbanistica (Cons. Stato, s</w:t>
      </w:r>
      <w:r w:rsidR="00A04540" w:rsidRPr="00BF2644">
        <w:rPr>
          <w:rFonts w:ascii="Garamond" w:hAnsi="Garamond" w:cs="Times New Roman"/>
          <w:color w:val="000000" w:themeColor="text1"/>
          <w:sz w:val="28"/>
          <w:szCs w:val="28"/>
        </w:rPr>
        <w:t>ez. IV, n. 2733</w:t>
      </w:r>
      <w:r w:rsidR="002319B3" w:rsidRPr="00BF2644">
        <w:rPr>
          <w:rFonts w:ascii="Garamond" w:hAnsi="Garamond" w:cs="Times New Roman"/>
          <w:color w:val="000000" w:themeColor="text1"/>
          <w:sz w:val="28"/>
          <w:szCs w:val="28"/>
        </w:rPr>
        <w:t xml:space="preserve"> del </w:t>
      </w:r>
      <w:r w:rsidR="00966E4B" w:rsidRPr="00BF2644">
        <w:rPr>
          <w:rFonts w:ascii="Garamond" w:hAnsi="Garamond" w:cs="Times New Roman"/>
          <w:color w:val="000000" w:themeColor="text1"/>
          <w:sz w:val="28"/>
          <w:szCs w:val="28"/>
        </w:rPr>
        <w:t>2020</w:t>
      </w:r>
      <w:r w:rsidR="00A04540" w:rsidRPr="00BF2644">
        <w:rPr>
          <w:rFonts w:ascii="Garamond" w:hAnsi="Garamond" w:cs="Times New Roman"/>
          <w:color w:val="000000" w:themeColor="text1"/>
          <w:sz w:val="28"/>
          <w:szCs w:val="28"/>
        </w:rPr>
        <w:t>)</w:t>
      </w:r>
      <w:r w:rsidR="002319B3" w:rsidRPr="00BF2644">
        <w:rPr>
          <w:rFonts w:ascii="Garamond" w:hAnsi="Garamond" w:cs="Times New Roman"/>
          <w:color w:val="000000" w:themeColor="text1"/>
          <w:sz w:val="28"/>
          <w:szCs w:val="28"/>
        </w:rPr>
        <w:t>.</w:t>
      </w:r>
    </w:p>
    <w:p w:rsidR="003E37AA" w:rsidRDefault="003E37AA" w:rsidP="002F6D7A">
      <w:pPr>
        <w:spacing w:line="240" w:lineRule="auto"/>
        <w:contextualSpacing/>
        <w:jc w:val="both"/>
        <w:rPr>
          <w:rFonts w:ascii="Garamond" w:hAnsi="Garamond" w:cs="Times New Roman"/>
          <w:b/>
          <w:color w:val="000000" w:themeColor="text1"/>
          <w:sz w:val="28"/>
          <w:szCs w:val="28"/>
        </w:rPr>
      </w:pPr>
    </w:p>
    <w:p w:rsidR="00C82DAB" w:rsidRPr="00BF2644" w:rsidRDefault="00AE6765" w:rsidP="00BF2644">
      <w:pPr>
        <w:spacing w:line="240" w:lineRule="auto"/>
        <w:ind w:firstLine="709"/>
        <w:contextualSpacing/>
        <w:jc w:val="both"/>
        <w:rPr>
          <w:rFonts w:ascii="Garamond" w:hAnsi="Garamond" w:cs="Times New Roman"/>
          <w:b/>
          <w:color w:val="000000" w:themeColor="text1"/>
          <w:sz w:val="28"/>
          <w:szCs w:val="28"/>
        </w:rPr>
      </w:pPr>
      <w:r w:rsidRPr="00BF2644">
        <w:rPr>
          <w:rFonts w:ascii="Garamond" w:hAnsi="Garamond" w:cs="Times New Roman"/>
          <w:b/>
          <w:color w:val="000000" w:themeColor="text1"/>
          <w:sz w:val="28"/>
          <w:szCs w:val="28"/>
        </w:rPr>
        <w:lastRenderedPageBreak/>
        <w:t>2. Impiantistica</w:t>
      </w:r>
      <w:r w:rsidR="00F41363" w:rsidRPr="00BF2644">
        <w:rPr>
          <w:rFonts w:ascii="Garamond" w:hAnsi="Garamond" w:cs="Times New Roman"/>
          <w:b/>
          <w:color w:val="000000" w:themeColor="text1"/>
          <w:sz w:val="28"/>
          <w:szCs w:val="28"/>
        </w:rPr>
        <w:t xml:space="preserve"> per infrastrutture energetiche da fonti rinnovabili e produzione elettricità in genere</w:t>
      </w:r>
      <w:r w:rsidR="00C82DAB" w:rsidRPr="00BF2644">
        <w:rPr>
          <w:rFonts w:ascii="Garamond" w:hAnsi="Garamond" w:cs="Times New Roman"/>
          <w:b/>
          <w:color w:val="000000" w:themeColor="text1"/>
          <w:sz w:val="28"/>
          <w:szCs w:val="28"/>
        </w:rPr>
        <w:t>: i</w:t>
      </w:r>
      <w:r w:rsidR="00043788" w:rsidRPr="00BF2644">
        <w:rPr>
          <w:rFonts w:ascii="Garamond" w:hAnsi="Garamond" w:cs="Times New Roman"/>
          <w:b/>
          <w:color w:val="000000" w:themeColor="text1"/>
          <w:sz w:val="28"/>
          <w:szCs w:val="28"/>
        </w:rPr>
        <w:t xml:space="preserve">l </w:t>
      </w:r>
      <w:r w:rsidR="00043788" w:rsidRPr="00720E05">
        <w:rPr>
          <w:rFonts w:ascii="Garamond" w:hAnsi="Garamond" w:cs="Times New Roman"/>
          <w:b/>
          <w:i/>
          <w:color w:val="000000" w:themeColor="text1"/>
          <w:sz w:val="28"/>
          <w:szCs w:val="28"/>
        </w:rPr>
        <w:t xml:space="preserve">favor </w:t>
      </w:r>
      <w:r w:rsidR="00043788" w:rsidRPr="00BF2644">
        <w:rPr>
          <w:rFonts w:ascii="Garamond" w:hAnsi="Garamond" w:cs="Times New Roman"/>
          <w:b/>
          <w:color w:val="000000" w:themeColor="text1"/>
          <w:sz w:val="28"/>
          <w:szCs w:val="28"/>
        </w:rPr>
        <w:t>della normativa internazionale ed eurounitaria.</w:t>
      </w:r>
      <w:r w:rsidR="00C82DAB" w:rsidRPr="00BF2644">
        <w:rPr>
          <w:rFonts w:ascii="Garamond" w:hAnsi="Garamond" w:cs="Times New Roman"/>
          <w:b/>
          <w:color w:val="000000" w:themeColor="text1"/>
          <w:sz w:val="28"/>
          <w:szCs w:val="28"/>
        </w:rPr>
        <w:t xml:space="preserve"> </w:t>
      </w:r>
    </w:p>
    <w:p w:rsidR="00043788" w:rsidRPr="00BF2644" w:rsidRDefault="00127DA1"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L</w:t>
      </w:r>
      <w:r w:rsidR="00043788" w:rsidRPr="00BF2644">
        <w:rPr>
          <w:rFonts w:ascii="Garamond" w:hAnsi="Garamond" w:cs="Times New Roman"/>
          <w:color w:val="000000" w:themeColor="text1"/>
          <w:sz w:val="28"/>
          <w:szCs w:val="28"/>
        </w:rPr>
        <w:t>a normativa internazionale (Protocollo di Kyoto addizionale alla Convenzione-quadro delle Nazioni Unite sui cambiamenti climatici, adottato l’11 dicembre 1997, ratifica</w:t>
      </w:r>
      <w:r w:rsidR="00433041">
        <w:rPr>
          <w:rFonts w:ascii="Garamond" w:hAnsi="Garamond" w:cs="Times New Roman"/>
          <w:color w:val="000000" w:themeColor="text1"/>
          <w:sz w:val="28"/>
          <w:szCs w:val="28"/>
        </w:rPr>
        <w:t xml:space="preserve">to e reso esecutivo con </w:t>
      </w:r>
      <w:r w:rsidR="00981AFC">
        <w:rPr>
          <w:rFonts w:ascii="Garamond" w:hAnsi="Garamond" w:cs="Times New Roman"/>
          <w:color w:val="000000" w:themeColor="text1"/>
          <w:sz w:val="28"/>
          <w:szCs w:val="28"/>
        </w:rPr>
        <w:t>l</w:t>
      </w:r>
      <w:r w:rsidR="006C564E">
        <w:rPr>
          <w:rFonts w:ascii="Garamond" w:hAnsi="Garamond" w:cs="Times New Roman"/>
          <w:color w:val="000000" w:themeColor="text1"/>
          <w:sz w:val="28"/>
          <w:szCs w:val="28"/>
        </w:rPr>
        <w:t>.</w:t>
      </w:r>
      <w:r w:rsidR="00433041">
        <w:rPr>
          <w:rFonts w:ascii="Garamond" w:hAnsi="Garamond" w:cs="Times New Roman"/>
          <w:color w:val="000000" w:themeColor="text1"/>
          <w:sz w:val="28"/>
          <w:szCs w:val="28"/>
        </w:rPr>
        <w:t xml:space="preserve"> 1</w:t>
      </w:r>
      <w:r w:rsidR="00043788" w:rsidRPr="00BF2644">
        <w:rPr>
          <w:rFonts w:ascii="Garamond" w:hAnsi="Garamond" w:cs="Times New Roman"/>
          <w:color w:val="000000" w:themeColor="text1"/>
          <w:sz w:val="28"/>
          <w:szCs w:val="28"/>
        </w:rPr>
        <w:t xml:space="preserve"> giugno 2002, n. 120) e quella comunitaria (</w:t>
      </w:r>
      <w:r w:rsidR="006C564E">
        <w:rPr>
          <w:rFonts w:ascii="Garamond" w:hAnsi="Garamond" w:cs="Times New Roman"/>
          <w:color w:val="000000" w:themeColor="text1"/>
          <w:sz w:val="28"/>
          <w:szCs w:val="28"/>
        </w:rPr>
        <w:t>direttiva</w:t>
      </w:r>
      <w:r w:rsidR="00043788" w:rsidRPr="00BF2644">
        <w:rPr>
          <w:rFonts w:ascii="Garamond" w:hAnsi="Garamond" w:cs="Times New Roman"/>
          <w:color w:val="000000" w:themeColor="text1"/>
          <w:sz w:val="28"/>
          <w:szCs w:val="28"/>
        </w:rPr>
        <w:t xml:space="preserve"> 27 settembre 2001, n. 2001/77/CE e </w:t>
      </w:r>
      <w:r w:rsidR="006C564E">
        <w:rPr>
          <w:rFonts w:ascii="Garamond" w:hAnsi="Garamond" w:cs="Times New Roman"/>
          <w:color w:val="000000" w:themeColor="text1"/>
          <w:sz w:val="28"/>
          <w:szCs w:val="28"/>
        </w:rPr>
        <w:t>direttiva</w:t>
      </w:r>
      <w:r w:rsidR="00043788" w:rsidRPr="00BF2644">
        <w:rPr>
          <w:rFonts w:ascii="Garamond" w:hAnsi="Garamond" w:cs="Times New Roman"/>
          <w:color w:val="000000" w:themeColor="text1"/>
          <w:sz w:val="28"/>
          <w:szCs w:val="28"/>
        </w:rPr>
        <w:t xml:space="preserve"> 23 aprile 2009, n. 2009/28/CE) manifestano un</w:t>
      </w:r>
      <w:r w:rsidR="00043788" w:rsidRPr="002F6D7A">
        <w:rPr>
          <w:rFonts w:ascii="Garamond" w:hAnsi="Garamond" w:cs="Times New Roman"/>
          <w:i/>
          <w:color w:val="000000" w:themeColor="text1"/>
          <w:sz w:val="28"/>
          <w:szCs w:val="28"/>
        </w:rPr>
        <w:t xml:space="preserve"> favor </w:t>
      </w:r>
      <w:r w:rsidR="00043788" w:rsidRPr="00BF2644">
        <w:rPr>
          <w:rFonts w:ascii="Garamond" w:hAnsi="Garamond" w:cs="Times New Roman"/>
          <w:color w:val="000000" w:themeColor="text1"/>
          <w:sz w:val="28"/>
          <w:szCs w:val="28"/>
        </w:rPr>
        <w:t>per le fonti energetiche rinnovabili al fine di eliminare la dipendenza dai carburanti f</w:t>
      </w:r>
      <w:r w:rsidRPr="00BF2644">
        <w:rPr>
          <w:rFonts w:ascii="Garamond" w:hAnsi="Garamond" w:cs="Times New Roman"/>
          <w:color w:val="000000" w:themeColor="text1"/>
          <w:sz w:val="28"/>
          <w:szCs w:val="28"/>
        </w:rPr>
        <w:t>ossili.</w:t>
      </w:r>
    </w:p>
    <w:p w:rsidR="00043788" w:rsidRPr="00BF2644" w:rsidRDefault="00043788"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Il legislatore nazionale ha recepito tali indi</w:t>
      </w:r>
      <w:r w:rsidR="00433041">
        <w:rPr>
          <w:rFonts w:ascii="Garamond" w:hAnsi="Garamond" w:cs="Times New Roman"/>
          <w:color w:val="000000" w:themeColor="text1"/>
          <w:sz w:val="28"/>
          <w:szCs w:val="28"/>
        </w:rPr>
        <w:t xml:space="preserve">rizzi con il </w:t>
      </w:r>
      <w:r w:rsidR="004F0CCD">
        <w:rPr>
          <w:rFonts w:ascii="Garamond" w:hAnsi="Garamond" w:cs="Times New Roman"/>
          <w:color w:val="000000" w:themeColor="text1"/>
          <w:sz w:val="28"/>
          <w:szCs w:val="28"/>
        </w:rPr>
        <w:t>d.lgs.</w:t>
      </w:r>
      <w:r w:rsidRPr="00BF2644">
        <w:rPr>
          <w:rFonts w:ascii="Garamond" w:hAnsi="Garamond" w:cs="Times New Roman"/>
          <w:color w:val="000000" w:themeColor="text1"/>
          <w:sz w:val="28"/>
          <w:szCs w:val="28"/>
        </w:rPr>
        <w:t xml:space="preserve"> 29 dicembre 2003, n. 387 (</w:t>
      </w:r>
      <w:r w:rsidRPr="00A07ACF">
        <w:rPr>
          <w:rFonts w:ascii="Garamond" w:hAnsi="Garamond" w:cs="Times New Roman"/>
          <w:i/>
          <w:color w:val="000000" w:themeColor="text1"/>
          <w:sz w:val="28"/>
          <w:szCs w:val="28"/>
        </w:rPr>
        <w:t xml:space="preserve">Attuazione della </w:t>
      </w:r>
      <w:r w:rsidR="006C564E">
        <w:rPr>
          <w:rFonts w:ascii="Garamond" w:hAnsi="Garamond" w:cs="Times New Roman"/>
          <w:i/>
          <w:color w:val="000000" w:themeColor="text1"/>
          <w:sz w:val="28"/>
          <w:szCs w:val="28"/>
        </w:rPr>
        <w:t>direttiva</w:t>
      </w:r>
      <w:r w:rsidRPr="00A07ACF">
        <w:rPr>
          <w:rFonts w:ascii="Garamond" w:hAnsi="Garamond" w:cs="Times New Roman"/>
          <w:i/>
          <w:color w:val="000000" w:themeColor="text1"/>
          <w:sz w:val="28"/>
          <w:szCs w:val="28"/>
        </w:rPr>
        <w:t xml:space="preserve"> 2001/77/CE relativa alla promozione dell’energia elettrica prodotta da fonti energetiche rinnovabili nel mercato interno dell’elettricità</w:t>
      </w:r>
      <w:r w:rsidRPr="00BF2644">
        <w:rPr>
          <w:rFonts w:ascii="Garamond" w:hAnsi="Garamond" w:cs="Times New Roman"/>
          <w:color w:val="000000" w:themeColor="text1"/>
          <w:sz w:val="28"/>
          <w:szCs w:val="28"/>
        </w:rPr>
        <w:t>), dal qua</w:t>
      </w:r>
      <w:r w:rsidR="00770CFE">
        <w:rPr>
          <w:rFonts w:ascii="Garamond" w:hAnsi="Garamond" w:cs="Times New Roman"/>
          <w:color w:val="000000" w:themeColor="text1"/>
          <w:sz w:val="28"/>
          <w:szCs w:val="28"/>
        </w:rPr>
        <w:t>le è possibile ricavare i princì</w:t>
      </w:r>
      <w:r w:rsidRPr="00BF2644">
        <w:rPr>
          <w:rFonts w:ascii="Garamond" w:hAnsi="Garamond" w:cs="Times New Roman"/>
          <w:color w:val="000000" w:themeColor="text1"/>
          <w:sz w:val="28"/>
          <w:szCs w:val="28"/>
        </w:rPr>
        <w:t>pi fondamentali della sopra indica</w:t>
      </w:r>
      <w:r w:rsidR="00127DA1" w:rsidRPr="00BF2644">
        <w:rPr>
          <w:rFonts w:ascii="Garamond" w:hAnsi="Garamond" w:cs="Times New Roman"/>
          <w:color w:val="000000" w:themeColor="text1"/>
          <w:sz w:val="28"/>
          <w:szCs w:val="28"/>
        </w:rPr>
        <w:t>ta mate</w:t>
      </w:r>
      <w:r w:rsidR="00433041">
        <w:rPr>
          <w:rFonts w:ascii="Garamond" w:hAnsi="Garamond" w:cs="Times New Roman"/>
          <w:color w:val="000000" w:themeColor="text1"/>
          <w:sz w:val="28"/>
          <w:szCs w:val="28"/>
        </w:rPr>
        <w:t xml:space="preserve">ria (ex plurimis </w:t>
      </w:r>
      <w:r w:rsidR="00127DA1" w:rsidRPr="00BF2644">
        <w:rPr>
          <w:rFonts w:ascii="Garamond" w:hAnsi="Garamond" w:cs="Times New Roman"/>
          <w:color w:val="000000" w:themeColor="text1"/>
          <w:sz w:val="28"/>
          <w:szCs w:val="28"/>
        </w:rPr>
        <w:t>Co</w:t>
      </w:r>
      <w:r w:rsidR="00433041">
        <w:rPr>
          <w:rFonts w:ascii="Garamond" w:hAnsi="Garamond" w:cs="Times New Roman"/>
          <w:color w:val="000000" w:themeColor="text1"/>
          <w:sz w:val="28"/>
          <w:szCs w:val="28"/>
        </w:rPr>
        <w:t>rte cost.</w:t>
      </w:r>
      <w:r w:rsidR="00127DA1" w:rsidRPr="00BF2644">
        <w:rPr>
          <w:rFonts w:ascii="Garamond" w:hAnsi="Garamond" w:cs="Times New Roman"/>
          <w:color w:val="000000" w:themeColor="text1"/>
          <w:sz w:val="28"/>
          <w:szCs w:val="28"/>
        </w:rPr>
        <w:t xml:space="preserve"> n. 364 del 2006 e</w:t>
      </w:r>
      <w:r w:rsidR="00433041">
        <w:rPr>
          <w:rFonts w:ascii="Garamond" w:hAnsi="Garamond" w:cs="Times New Roman"/>
          <w:color w:val="000000" w:themeColor="text1"/>
          <w:sz w:val="28"/>
          <w:szCs w:val="28"/>
        </w:rPr>
        <w:t xml:space="preserve"> Corte cost.</w:t>
      </w:r>
      <w:r w:rsidR="00127DA1" w:rsidRPr="00BF2644">
        <w:rPr>
          <w:rFonts w:ascii="Garamond" w:hAnsi="Garamond" w:cs="Times New Roman"/>
          <w:color w:val="000000" w:themeColor="text1"/>
          <w:sz w:val="28"/>
          <w:szCs w:val="28"/>
        </w:rPr>
        <w:t xml:space="preserve"> n. 124 del 2010).</w:t>
      </w:r>
    </w:p>
    <w:p w:rsidR="00127DA1" w:rsidRPr="00BF2644" w:rsidRDefault="00127DA1"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Le norme internazionali (Protocollo di Kyoto) e comunitarie (</w:t>
      </w:r>
      <w:r w:rsidR="00433041">
        <w:rPr>
          <w:rFonts w:ascii="Garamond" w:hAnsi="Garamond" w:cs="Times New Roman"/>
          <w:color w:val="000000" w:themeColor="text1"/>
          <w:sz w:val="28"/>
          <w:szCs w:val="28"/>
        </w:rPr>
        <w:t xml:space="preserve">art. 3 </w:t>
      </w:r>
      <w:r w:rsidR="006C564E">
        <w:rPr>
          <w:rFonts w:ascii="Garamond" w:hAnsi="Garamond" w:cs="Times New Roman"/>
          <w:color w:val="000000" w:themeColor="text1"/>
          <w:sz w:val="28"/>
          <w:szCs w:val="28"/>
        </w:rPr>
        <w:t>direttiva</w:t>
      </w:r>
      <w:r w:rsidR="00433041">
        <w:rPr>
          <w:rFonts w:ascii="Garamond" w:hAnsi="Garamond" w:cs="Times New Roman"/>
          <w:color w:val="000000" w:themeColor="text1"/>
          <w:sz w:val="28"/>
          <w:szCs w:val="28"/>
        </w:rPr>
        <w:t xml:space="preserve"> n. 2001/77/CE), </w:t>
      </w:r>
      <w:r w:rsidRPr="00BF2644">
        <w:rPr>
          <w:rFonts w:ascii="Garamond" w:hAnsi="Garamond" w:cs="Times New Roman"/>
          <w:color w:val="000000" w:themeColor="text1"/>
          <w:sz w:val="28"/>
          <w:szCs w:val="28"/>
        </w:rPr>
        <w:t>nell’incentivare lo sviluppo delle suddette fonti di energia, individuano soglie minime di produzione che ogni Stato si impegna a raggiungere entro un determinato periodo di tempo.</w:t>
      </w:r>
    </w:p>
    <w:p w:rsidR="00127DA1" w:rsidRPr="00BF2644" w:rsidRDefault="00127DA1"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In ottemperanza agli indirizzi sopra riportati </w:t>
      </w:r>
      <w:r w:rsidR="00433041">
        <w:rPr>
          <w:rFonts w:ascii="Garamond" w:hAnsi="Garamond" w:cs="Times New Roman"/>
          <w:color w:val="000000" w:themeColor="text1"/>
          <w:sz w:val="28"/>
          <w:szCs w:val="28"/>
        </w:rPr>
        <w:t xml:space="preserve">l’art. 2, comma 167, della </w:t>
      </w:r>
      <w:r w:rsidR="00981AFC">
        <w:rPr>
          <w:rFonts w:ascii="Garamond" w:hAnsi="Garamond" w:cs="Times New Roman"/>
          <w:color w:val="000000" w:themeColor="text1"/>
          <w:sz w:val="28"/>
          <w:szCs w:val="28"/>
        </w:rPr>
        <w:t>l</w:t>
      </w:r>
      <w:r w:rsidR="006C564E">
        <w:rPr>
          <w:rFonts w:ascii="Garamond" w:hAnsi="Garamond" w:cs="Times New Roman"/>
          <w:color w:val="000000" w:themeColor="text1"/>
          <w:sz w:val="28"/>
          <w:szCs w:val="28"/>
        </w:rPr>
        <w:t>.</w:t>
      </w:r>
      <w:r w:rsidR="00A23ADB">
        <w:rPr>
          <w:rFonts w:ascii="Garamond" w:hAnsi="Garamond" w:cs="Times New Roman"/>
          <w:color w:val="000000" w:themeColor="text1"/>
          <w:sz w:val="28"/>
          <w:szCs w:val="28"/>
        </w:rPr>
        <w:t xml:space="preserve"> 24 dicembre 2007  n. 244</w:t>
      </w:r>
      <w:r w:rsidRPr="00BF2644">
        <w:rPr>
          <w:rFonts w:ascii="Garamond" w:hAnsi="Garamond" w:cs="Times New Roman"/>
          <w:color w:val="000000" w:themeColor="text1"/>
          <w:sz w:val="28"/>
          <w:szCs w:val="28"/>
        </w:rPr>
        <w:t>, ha previsto  che «</w:t>
      </w:r>
      <w:r w:rsidRPr="002F6D7A">
        <w:rPr>
          <w:rFonts w:ascii="Garamond" w:hAnsi="Garamond" w:cs="Times New Roman"/>
          <w:i/>
          <w:color w:val="000000" w:themeColor="text1"/>
          <w:sz w:val="28"/>
          <w:szCs w:val="28"/>
        </w:rPr>
        <w:t xml:space="preserve">Il Ministro dello sviluppo economico, di concerto con il Ministro dell’ambiente e della tutela del territorio e del mare, d’intesa con la Conferenza permanente per i rapporti tra lo Stato, le regioni e le province autonome di Trento e di Bolzano, emana, entro novanta giorni dalla data di entrata in vigore della presente disposizione, uno o più decreti per definire la ripartizione fra regioni e province autonome di Trento e di Bolzano della quota minima di incremento dell’energia prodotta con fonti rinnovabili per raggiungere l’obiettivo del 17 per cento del consumo interno lordo entro </w:t>
      </w:r>
      <w:r w:rsidR="00F524FE">
        <w:rPr>
          <w:rFonts w:ascii="Garamond" w:hAnsi="Garamond" w:cs="Times New Roman"/>
          <w:i/>
          <w:color w:val="000000" w:themeColor="text1"/>
          <w:sz w:val="28"/>
          <w:szCs w:val="28"/>
        </w:rPr>
        <w:t xml:space="preserve">il </w:t>
      </w:r>
      <w:r w:rsidRPr="002F6D7A">
        <w:rPr>
          <w:rFonts w:ascii="Garamond" w:hAnsi="Garamond" w:cs="Times New Roman"/>
          <w:i/>
          <w:color w:val="000000" w:themeColor="text1"/>
          <w:sz w:val="28"/>
          <w:szCs w:val="28"/>
        </w:rPr>
        <w:t>2020 ed i successivi aggiornamenti propost</w:t>
      </w:r>
      <w:r w:rsidR="00433041" w:rsidRPr="002F6D7A">
        <w:rPr>
          <w:rFonts w:ascii="Garamond" w:hAnsi="Garamond" w:cs="Times New Roman"/>
          <w:i/>
          <w:color w:val="000000" w:themeColor="text1"/>
          <w:sz w:val="28"/>
          <w:szCs w:val="28"/>
        </w:rPr>
        <w:t>i dall’Unione europea</w:t>
      </w:r>
      <w:r w:rsidR="00433041" w:rsidRPr="00433041">
        <w:rPr>
          <w:rFonts w:ascii="Garamond" w:hAnsi="Garamond" w:cs="Times New Roman"/>
          <w:color w:val="000000" w:themeColor="text1"/>
          <w:sz w:val="28"/>
          <w:szCs w:val="28"/>
        </w:rPr>
        <w:t>»</w:t>
      </w:r>
      <w:r w:rsidR="00433041">
        <w:rPr>
          <w:rFonts w:ascii="Garamond" w:hAnsi="Garamond" w:cs="Times New Roman"/>
          <w:color w:val="000000" w:themeColor="text1"/>
          <w:sz w:val="28"/>
          <w:szCs w:val="28"/>
        </w:rPr>
        <w:t xml:space="preserve"> (Corte cost.</w:t>
      </w:r>
      <w:r w:rsidR="0012585C">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n. 124 del 2010 cit).</w:t>
      </w:r>
    </w:p>
    <w:p w:rsidR="00C82DAB" w:rsidRPr="00BF2644" w:rsidRDefault="00C82DAB" w:rsidP="00BF2644">
      <w:pPr>
        <w:spacing w:line="240" w:lineRule="auto"/>
        <w:ind w:firstLine="709"/>
        <w:contextualSpacing/>
        <w:jc w:val="both"/>
        <w:rPr>
          <w:rFonts w:ascii="Garamond" w:hAnsi="Garamond" w:cs="Times New Roman"/>
          <w:b/>
          <w:color w:val="000000" w:themeColor="text1"/>
          <w:sz w:val="28"/>
          <w:szCs w:val="28"/>
        </w:rPr>
      </w:pPr>
      <w:r w:rsidRPr="00BF2644">
        <w:rPr>
          <w:rFonts w:ascii="Garamond" w:hAnsi="Garamond" w:cs="Times New Roman"/>
          <w:color w:val="000000" w:themeColor="text1"/>
          <w:sz w:val="28"/>
          <w:szCs w:val="28"/>
        </w:rPr>
        <w:t xml:space="preserve">La disciplina a livello eurounitario delle  fonti energetiche rinnovabili è attualmente prevista </w:t>
      </w:r>
      <w:r w:rsidRPr="0061250F">
        <w:rPr>
          <w:rFonts w:ascii="Garamond" w:hAnsi="Garamond" w:cs="Times New Roman"/>
          <w:color w:val="000000" w:themeColor="text1"/>
          <w:sz w:val="28"/>
          <w:szCs w:val="28"/>
        </w:rPr>
        <w:t>dalla</w:t>
      </w:r>
      <w:r w:rsidRPr="00BF2644">
        <w:rPr>
          <w:rFonts w:ascii="Garamond" w:hAnsi="Garamond" w:cs="Times New Roman"/>
          <w:b/>
          <w:color w:val="000000" w:themeColor="text1"/>
          <w:sz w:val="28"/>
          <w:szCs w:val="28"/>
        </w:rPr>
        <w:t xml:space="preserve"> </w:t>
      </w:r>
      <w:hyperlink r:id="rId9" w:tgtFrame="_new" w:history="1">
        <w:r w:rsidR="00A860E3">
          <w:rPr>
            <w:rStyle w:val="Collegamentoipertestuale"/>
            <w:rFonts w:ascii="Garamond" w:hAnsi="Garamond" w:cs="Times New Roman"/>
            <w:color w:val="auto"/>
            <w:sz w:val="28"/>
            <w:szCs w:val="28"/>
            <w:u w:val="none"/>
          </w:rPr>
          <w:t>d</w:t>
        </w:r>
        <w:r w:rsidR="006C564E">
          <w:rPr>
            <w:rStyle w:val="Collegamentoipertestuale"/>
            <w:rFonts w:ascii="Garamond" w:hAnsi="Garamond" w:cs="Times New Roman"/>
            <w:color w:val="auto"/>
            <w:sz w:val="28"/>
            <w:szCs w:val="28"/>
            <w:u w:val="none"/>
          </w:rPr>
          <w:t>irettiva</w:t>
        </w:r>
        <w:r w:rsidRPr="00BF2644">
          <w:rPr>
            <w:rStyle w:val="Collegamentoipertestuale"/>
            <w:rFonts w:ascii="Garamond" w:hAnsi="Garamond" w:cs="Times New Roman"/>
            <w:color w:val="auto"/>
            <w:sz w:val="28"/>
            <w:szCs w:val="28"/>
            <w:u w:val="none"/>
          </w:rPr>
          <w:t xml:space="preserve"> (UE) 2018/2001</w:t>
        </w:r>
      </w:hyperlink>
      <w:r w:rsidRPr="00BF2644">
        <w:rPr>
          <w:rFonts w:ascii="Garamond" w:hAnsi="Garamond" w:cs="Times New Roman"/>
          <w:color w:val="000000" w:themeColor="text1"/>
          <w:sz w:val="28"/>
          <w:szCs w:val="28"/>
        </w:rPr>
        <w:t> la quale dispone che gli Stati membri provvedono collettivamente a far sì che, nel </w:t>
      </w:r>
      <w:r w:rsidRPr="00BF2644">
        <w:rPr>
          <w:rFonts w:ascii="Garamond" w:hAnsi="Garamond" w:cs="Times New Roman"/>
          <w:bCs/>
          <w:color w:val="000000" w:themeColor="text1"/>
          <w:sz w:val="28"/>
          <w:szCs w:val="28"/>
        </w:rPr>
        <w:t>2030,</w:t>
      </w:r>
      <w:r w:rsidRPr="00BF2644">
        <w:rPr>
          <w:rFonts w:ascii="Garamond" w:hAnsi="Garamond" w:cs="Times New Roman"/>
          <w:color w:val="000000" w:themeColor="text1"/>
          <w:sz w:val="28"/>
          <w:szCs w:val="28"/>
        </w:rPr>
        <w:t> la quota di energia da</w:t>
      </w:r>
      <w:r w:rsidRPr="00BF2644">
        <w:rPr>
          <w:rFonts w:ascii="Garamond" w:hAnsi="Garamond" w:cs="Times New Roman"/>
          <w:bCs/>
          <w:color w:val="000000" w:themeColor="text1"/>
          <w:sz w:val="28"/>
          <w:szCs w:val="28"/>
        </w:rPr>
        <w:t> fonti rinnovabili </w:t>
      </w:r>
      <w:r w:rsidRPr="00BF2644">
        <w:rPr>
          <w:rFonts w:ascii="Garamond" w:hAnsi="Garamond" w:cs="Times New Roman"/>
          <w:color w:val="000000" w:themeColor="text1"/>
          <w:sz w:val="28"/>
          <w:szCs w:val="28"/>
        </w:rPr>
        <w:t>nel </w:t>
      </w:r>
      <w:r w:rsidRPr="00BF2644">
        <w:rPr>
          <w:rFonts w:ascii="Garamond" w:hAnsi="Garamond" w:cs="Times New Roman"/>
          <w:bCs/>
          <w:color w:val="000000" w:themeColor="text1"/>
          <w:sz w:val="28"/>
          <w:szCs w:val="28"/>
        </w:rPr>
        <w:t>consumo finale lordo</w:t>
      </w:r>
      <w:r w:rsidRPr="00BF2644">
        <w:rPr>
          <w:rFonts w:ascii="Garamond" w:hAnsi="Garamond" w:cs="Times New Roman"/>
          <w:color w:val="000000" w:themeColor="text1"/>
          <w:sz w:val="28"/>
          <w:szCs w:val="28"/>
        </w:rPr>
        <w:t> di energia dell'</w:t>
      </w:r>
      <w:r w:rsidRPr="00BF2644">
        <w:rPr>
          <w:rFonts w:ascii="Garamond" w:hAnsi="Garamond" w:cs="Times New Roman"/>
          <w:bCs/>
          <w:color w:val="000000" w:themeColor="text1"/>
          <w:sz w:val="28"/>
          <w:szCs w:val="28"/>
        </w:rPr>
        <w:t>Unione </w:t>
      </w:r>
      <w:r w:rsidRPr="00BF2644">
        <w:rPr>
          <w:rFonts w:ascii="Garamond" w:hAnsi="Garamond" w:cs="Times New Roman"/>
          <w:color w:val="000000" w:themeColor="text1"/>
          <w:sz w:val="28"/>
          <w:szCs w:val="28"/>
        </w:rPr>
        <w:t>sia almeno pari al </w:t>
      </w:r>
      <w:r w:rsidRPr="00BF2644">
        <w:rPr>
          <w:rFonts w:ascii="Garamond" w:hAnsi="Garamond" w:cs="Times New Roman"/>
          <w:bCs/>
          <w:color w:val="000000" w:themeColor="text1"/>
          <w:sz w:val="28"/>
          <w:szCs w:val="28"/>
        </w:rPr>
        <w:t>32% </w:t>
      </w:r>
      <w:r w:rsidRPr="00BF2644">
        <w:rPr>
          <w:rFonts w:ascii="Garamond" w:hAnsi="Garamond" w:cs="Times New Roman"/>
          <w:color w:val="000000" w:themeColor="text1"/>
          <w:sz w:val="28"/>
          <w:szCs w:val="28"/>
        </w:rPr>
        <w:t>(articolo 1 e articolo 3, par. 1) e la quota di energia da fonti rinnovabili nei </w:t>
      </w:r>
      <w:r w:rsidRPr="00BF2644">
        <w:rPr>
          <w:rFonts w:ascii="Garamond" w:hAnsi="Garamond" w:cs="Times New Roman"/>
          <w:bCs/>
          <w:color w:val="000000" w:themeColor="text1"/>
          <w:sz w:val="28"/>
          <w:szCs w:val="28"/>
        </w:rPr>
        <w:t>trasporti</w:t>
      </w:r>
      <w:r w:rsidRPr="00BF2644">
        <w:rPr>
          <w:rFonts w:ascii="Garamond" w:hAnsi="Garamond" w:cs="Times New Roman"/>
          <w:color w:val="000000" w:themeColor="text1"/>
          <w:sz w:val="28"/>
          <w:szCs w:val="28"/>
        </w:rPr>
        <w:t> sia almeno pari al </w:t>
      </w:r>
      <w:r w:rsidRPr="00BF2644">
        <w:rPr>
          <w:rFonts w:ascii="Garamond" w:hAnsi="Garamond" w:cs="Times New Roman"/>
          <w:bCs/>
          <w:color w:val="000000" w:themeColor="text1"/>
          <w:sz w:val="28"/>
          <w:szCs w:val="28"/>
        </w:rPr>
        <w:t>14%</w:t>
      </w:r>
      <w:r w:rsidRPr="00BF2644">
        <w:rPr>
          <w:rFonts w:ascii="Garamond" w:hAnsi="Garamond" w:cs="Times New Roman"/>
          <w:color w:val="000000" w:themeColor="text1"/>
          <w:sz w:val="28"/>
          <w:szCs w:val="28"/>
        </w:rPr>
        <w:t> del consumo finale in tale settore (articolo 25, par. 1).</w:t>
      </w:r>
    </w:p>
    <w:p w:rsidR="00C82DAB" w:rsidRPr="00BF2644" w:rsidRDefault="00C82DAB"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Gli </w:t>
      </w:r>
      <w:r w:rsidRPr="00BF2644">
        <w:rPr>
          <w:rFonts w:ascii="Garamond" w:hAnsi="Garamond" w:cs="Times New Roman"/>
          <w:bCs/>
          <w:color w:val="000000" w:themeColor="text1"/>
          <w:sz w:val="28"/>
          <w:szCs w:val="28"/>
        </w:rPr>
        <w:t>Stati membri </w:t>
      </w:r>
      <w:r w:rsidRPr="00BF2644">
        <w:rPr>
          <w:rFonts w:ascii="Garamond" w:hAnsi="Garamond" w:cs="Times New Roman"/>
          <w:color w:val="000000" w:themeColor="text1"/>
          <w:sz w:val="28"/>
          <w:szCs w:val="28"/>
        </w:rPr>
        <w:t>devono, ciascuno, fissare i</w:t>
      </w:r>
      <w:r w:rsidRPr="00BF2644">
        <w:rPr>
          <w:rFonts w:ascii="Garamond" w:hAnsi="Garamond" w:cs="Times New Roman"/>
          <w:bCs/>
          <w:color w:val="000000" w:themeColor="text1"/>
          <w:sz w:val="28"/>
          <w:szCs w:val="28"/>
        </w:rPr>
        <w:t> contributi nazionali</w:t>
      </w:r>
      <w:r w:rsidRPr="00BF2644">
        <w:rPr>
          <w:rFonts w:ascii="Garamond" w:hAnsi="Garamond" w:cs="Times New Roman"/>
          <w:color w:val="000000" w:themeColor="text1"/>
          <w:sz w:val="28"/>
          <w:szCs w:val="28"/>
        </w:rPr>
        <w:t> per conseguire collettivamente l'obiettivo vincolante UE 2030 </w:t>
      </w:r>
      <w:r w:rsidRPr="00BF2644">
        <w:rPr>
          <w:rFonts w:ascii="Garamond" w:hAnsi="Garamond" w:cs="Times New Roman"/>
          <w:bCs/>
          <w:color w:val="000000" w:themeColor="text1"/>
          <w:sz w:val="28"/>
          <w:szCs w:val="28"/>
        </w:rPr>
        <w:t>nell'ambito</w:t>
      </w:r>
      <w:r w:rsidRPr="00BF2644">
        <w:rPr>
          <w:rFonts w:ascii="Garamond" w:hAnsi="Garamond" w:cs="Times New Roman"/>
          <w:color w:val="000000" w:themeColor="text1"/>
          <w:sz w:val="28"/>
          <w:szCs w:val="28"/>
        </w:rPr>
        <w:t> dei loro Piani nazionali integrati per l'energia e il clima-PNIEC (articolo 3, par. 1).</w:t>
      </w:r>
    </w:p>
    <w:p w:rsidR="00C82DAB" w:rsidRPr="00BF2644" w:rsidRDefault="00C82DAB"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Tale previsione ha contenuto auto-applicativo (articolo 37) ed è </w:t>
      </w:r>
      <w:r w:rsidR="00433041">
        <w:rPr>
          <w:rFonts w:ascii="Garamond" w:hAnsi="Garamond" w:cs="Times New Roman"/>
          <w:color w:val="000000" w:themeColor="text1"/>
          <w:sz w:val="28"/>
          <w:szCs w:val="28"/>
        </w:rPr>
        <w:t>stata già adempiuta, posto che</w:t>
      </w:r>
      <w:r w:rsidRPr="00BF2644">
        <w:rPr>
          <w:rFonts w:ascii="Garamond" w:hAnsi="Garamond" w:cs="Times New Roman"/>
          <w:color w:val="000000" w:themeColor="text1"/>
          <w:sz w:val="28"/>
          <w:szCs w:val="28"/>
        </w:rPr>
        <w:t xml:space="preserve"> </w:t>
      </w:r>
      <w:r w:rsidR="00433041">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 xml:space="preserve">in applicazione del processo di </w:t>
      </w:r>
      <w:r w:rsidRPr="00433041">
        <w:rPr>
          <w:rFonts w:ascii="Garamond" w:hAnsi="Garamond" w:cs="Times New Roman"/>
          <w:i/>
          <w:color w:val="000000" w:themeColor="text1"/>
          <w:sz w:val="28"/>
          <w:szCs w:val="28"/>
        </w:rPr>
        <w:t>governance</w:t>
      </w:r>
      <w:r w:rsidRPr="00BF2644">
        <w:rPr>
          <w:rFonts w:ascii="Garamond" w:hAnsi="Garamond" w:cs="Times New Roman"/>
          <w:color w:val="000000" w:themeColor="text1"/>
          <w:sz w:val="28"/>
          <w:szCs w:val="28"/>
        </w:rPr>
        <w:t xml:space="preserve"> dell'energia definito </w:t>
      </w:r>
      <w:r w:rsidRPr="00BF2644">
        <w:rPr>
          <w:rFonts w:ascii="Garamond" w:hAnsi="Garamond" w:cs="Times New Roman"/>
          <w:sz w:val="28"/>
          <w:szCs w:val="28"/>
        </w:rPr>
        <w:t>nel </w:t>
      </w:r>
      <w:hyperlink r:id="rId10" w:anchor="id=10LX0000203122ART0,__m=document" w:tgtFrame="_new" w:history="1">
        <w:r w:rsidRPr="00BF2644">
          <w:rPr>
            <w:rStyle w:val="Collegamentoipertestuale"/>
            <w:rFonts w:ascii="Garamond" w:hAnsi="Garamond" w:cs="Times New Roman"/>
            <w:color w:val="auto"/>
            <w:sz w:val="28"/>
            <w:szCs w:val="28"/>
            <w:u w:val="none"/>
          </w:rPr>
          <w:t>Regolamento (UE) 2018/1999</w:t>
        </w:r>
      </w:hyperlink>
      <w:r w:rsidR="00433041">
        <w:rPr>
          <w:rFonts w:ascii="Garamond" w:hAnsi="Garamond" w:cs="Times New Roman"/>
          <w:sz w:val="28"/>
          <w:szCs w:val="28"/>
        </w:rPr>
        <w:t xml:space="preserve"> -</w:t>
      </w:r>
      <w:r w:rsidRPr="00BF2644">
        <w:rPr>
          <w:rFonts w:ascii="Garamond" w:hAnsi="Garamond" w:cs="Times New Roman"/>
          <w:sz w:val="28"/>
          <w:szCs w:val="28"/>
        </w:rPr>
        <w:t xml:space="preserve"> il </w:t>
      </w:r>
      <w:hyperlink r:id="rId11" w:tgtFrame="_new" w:history="1">
        <w:r w:rsidRPr="00BF2644">
          <w:rPr>
            <w:rStyle w:val="Collegamentoipertestuale"/>
            <w:rFonts w:ascii="Garamond" w:hAnsi="Garamond" w:cs="Times New Roman"/>
            <w:bCs/>
            <w:color w:val="auto"/>
            <w:sz w:val="28"/>
            <w:szCs w:val="28"/>
            <w:u w:val="none"/>
          </w:rPr>
          <w:t>PNIEC nazionale</w:t>
        </w:r>
      </w:hyperlink>
      <w:r w:rsidRPr="00BF2644">
        <w:rPr>
          <w:rFonts w:ascii="Garamond" w:hAnsi="Garamond" w:cs="Times New Roman"/>
          <w:bCs/>
          <w:color w:val="000000" w:themeColor="text1"/>
          <w:sz w:val="28"/>
          <w:szCs w:val="28"/>
        </w:rPr>
        <w:t> per il periodo programmatorio 2021-2030</w:t>
      </w:r>
      <w:r w:rsidRPr="00BF2644">
        <w:rPr>
          <w:rFonts w:ascii="Garamond" w:hAnsi="Garamond" w:cs="Times New Roman"/>
          <w:color w:val="000000" w:themeColor="text1"/>
          <w:sz w:val="28"/>
          <w:szCs w:val="28"/>
        </w:rPr>
        <w:t> è già stato predisposto, a seguito di interlocuzione con la Commissione UE, e notificato nella sua versione definitiva alla Commissione stessa.</w:t>
      </w:r>
    </w:p>
    <w:p w:rsidR="00C82DAB" w:rsidRPr="00BF2644" w:rsidRDefault="00C82DAB"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Funzionali al raggiungimento degli</w:t>
      </w:r>
      <w:r w:rsidR="00433041">
        <w:rPr>
          <w:rFonts w:ascii="Garamond" w:hAnsi="Garamond" w:cs="Times New Roman"/>
          <w:color w:val="000000" w:themeColor="text1"/>
          <w:sz w:val="28"/>
          <w:szCs w:val="28"/>
        </w:rPr>
        <w:t xml:space="preserve"> obiettivi 2030, sono le norme -</w:t>
      </w:r>
      <w:r w:rsidRPr="00BF2644">
        <w:rPr>
          <w:rFonts w:ascii="Garamond" w:hAnsi="Garamond" w:cs="Times New Roman"/>
          <w:color w:val="000000" w:themeColor="text1"/>
          <w:sz w:val="28"/>
          <w:szCs w:val="28"/>
        </w:rPr>
        <w:t xml:space="preserve"> co</w:t>
      </w:r>
      <w:r w:rsidR="00433041">
        <w:rPr>
          <w:rFonts w:ascii="Garamond" w:hAnsi="Garamond" w:cs="Times New Roman"/>
          <w:color w:val="000000" w:themeColor="text1"/>
          <w:sz w:val="28"/>
          <w:szCs w:val="28"/>
        </w:rPr>
        <w:t xml:space="preserve">ntenute nella </w:t>
      </w:r>
      <w:r w:rsidR="00A860E3">
        <w:rPr>
          <w:rFonts w:ascii="Garamond" w:hAnsi="Garamond" w:cs="Times New Roman"/>
          <w:color w:val="000000" w:themeColor="text1"/>
          <w:sz w:val="28"/>
          <w:szCs w:val="28"/>
        </w:rPr>
        <w:t>d</w:t>
      </w:r>
      <w:r w:rsidR="006C564E">
        <w:rPr>
          <w:rFonts w:ascii="Garamond" w:hAnsi="Garamond" w:cs="Times New Roman"/>
          <w:color w:val="000000" w:themeColor="text1"/>
          <w:sz w:val="28"/>
          <w:szCs w:val="28"/>
        </w:rPr>
        <w:t>irettiva</w:t>
      </w:r>
      <w:r w:rsidR="00433041">
        <w:rPr>
          <w:rFonts w:ascii="Garamond" w:hAnsi="Garamond" w:cs="Times New Roman"/>
          <w:color w:val="000000" w:themeColor="text1"/>
          <w:sz w:val="28"/>
          <w:szCs w:val="28"/>
        </w:rPr>
        <w:t xml:space="preserve"> stessa -</w:t>
      </w:r>
      <w:r w:rsidRPr="00BF2644">
        <w:rPr>
          <w:rFonts w:ascii="Garamond" w:hAnsi="Garamond" w:cs="Times New Roman"/>
          <w:color w:val="000000" w:themeColor="text1"/>
          <w:sz w:val="28"/>
          <w:szCs w:val="28"/>
        </w:rPr>
        <w:t xml:space="preserve"> che forni</w:t>
      </w:r>
      <w:r w:rsidR="00770CFE">
        <w:rPr>
          <w:rFonts w:ascii="Garamond" w:hAnsi="Garamond" w:cs="Times New Roman"/>
          <w:color w:val="000000" w:themeColor="text1"/>
          <w:sz w:val="28"/>
          <w:szCs w:val="28"/>
        </w:rPr>
        <w:t>scono agli Stati membri i princì</w:t>
      </w:r>
      <w:r w:rsidRPr="00BF2644">
        <w:rPr>
          <w:rFonts w:ascii="Garamond" w:hAnsi="Garamond" w:cs="Times New Roman"/>
          <w:color w:val="000000" w:themeColor="text1"/>
          <w:sz w:val="28"/>
          <w:szCs w:val="28"/>
        </w:rPr>
        <w:t>pi e i criteri per disciplinare (articolo 1):</w:t>
      </w:r>
    </w:p>
    <w:p w:rsidR="00C82DAB" w:rsidRPr="00BF2644" w:rsidRDefault="00C82DAB"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-il sostegno finanziario all'energia elettrica da fonti rinnovabili (articoli 4-6 e 13);</w:t>
      </w:r>
    </w:p>
    <w:p w:rsidR="00C82DAB" w:rsidRPr="00BF2644" w:rsidRDefault="00C82DAB"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-l'autoconsumo dell'energia elettrica prodotta da tali fonti (articoli 21 e 22);</w:t>
      </w:r>
    </w:p>
    <w:p w:rsidR="00C82DAB" w:rsidRPr="00BF2644" w:rsidRDefault="00C82DAB"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lastRenderedPageBreak/>
        <w:t>-l'uso di energia da FER (fonti energetiche rinnovabili) nel settore del riscaldamento e raffrescamento e nel settore dei trasporti (articoli 23-24 e 25-28);</w:t>
      </w:r>
    </w:p>
    <w:p w:rsidR="00C82DAB" w:rsidRPr="00BF2644" w:rsidRDefault="00C82DAB"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-la cooperazione tra gli Stati membri e tra gli Stati membri e i paesi terzi su progetti per la produzione di energia elettrica da fonti rinnovabili (9-12 e 14);</w:t>
      </w:r>
    </w:p>
    <w:p w:rsidR="00C82DAB" w:rsidRPr="00BF2644" w:rsidRDefault="00C82DAB"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-le garanzie di origine dell'energia da FER (articolo 19), le procedure amministrative improntate a garantire un </w:t>
      </w:r>
      <w:r w:rsidRPr="00F524FE">
        <w:rPr>
          <w:rFonts w:ascii="Garamond" w:hAnsi="Garamond" w:cs="Times New Roman"/>
          <w:i/>
          <w:color w:val="000000" w:themeColor="text1"/>
          <w:sz w:val="28"/>
          <w:szCs w:val="28"/>
        </w:rPr>
        <w:t xml:space="preserve">favor </w:t>
      </w:r>
      <w:r w:rsidRPr="00BF2644">
        <w:rPr>
          <w:rFonts w:ascii="Garamond" w:hAnsi="Garamond" w:cs="Times New Roman"/>
          <w:color w:val="000000" w:themeColor="text1"/>
          <w:sz w:val="28"/>
          <w:szCs w:val="28"/>
        </w:rPr>
        <w:t>per la produzione da FER e l'informazione e la formazione sulle FER (articoli 15-18).</w:t>
      </w:r>
    </w:p>
    <w:p w:rsidR="00C82DAB" w:rsidRPr="00BF2644" w:rsidRDefault="00C82DAB"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La </w:t>
      </w:r>
      <w:r w:rsidR="00A860E3">
        <w:rPr>
          <w:rFonts w:ascii="Garamond" w:hAnsi="Garamond" w:cs="Times New Roman"/>
          <w:color w:val="000000" w:themeColor="text1"/>
          <w:sz w:val="28"/>
          <w:szCs w:val="28"/>
        </w:rPr>
        <w:t>d</w:t>
      </w:r>
      <w:r w:rsidR="006C564E">
        <w:rPr>
          <w:rFonts w:ascii="Garamond" w:hAnsi="Garamond" w:cs="Times New Roman"/>
          <w:color w:val="000000" w:themeColor="text1"/>
          <w:sz w:val="28"/>
          <w:szCs w:val="28"/>
        </w:rPr>
        <w:t>irettiva</w:t>
      </w:r>
      <w:r w:rsidRPr="00BF2644">
        <w:rPr>
          <w:rFonts w:ascii="Garamond" w:hAnsi="Garamond" w:cs="Times New Roman"/>
          <w:color w:val="000000" w:themeColor="text1"/>
          <w:sz w:val="28"/>
          <w:szCs w:val="28"/>
        </w:rPr>
        <w:t xml:space="preserve"> fissa altresì criteri di sostenibilità e di riduzione delle emissioni di gas a effetto serra per i biocarburanti, i bioliquidi e i combustibili da biomassa (articoli 29-31).</w:t>
      </w:r>
    </w:p>
    <w:p w:rsidR="00C82DAB" w:rsidRPr="00BF2644" w:rsidRDefault="00C82DAB"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Strumentale alla nuova disciplina è il quadro definitorio (contenu</w:t>
      </w:r>
      <w:r w:rsidR="00433041">
        <w:rPr>
          <w:rFonts w:ascii="Garamond" w:hAnsi="Garamond" w:cs="Times New Roman"/>
          <w:color w:val="000000" w:themeColor="text1"/>
          <w:sz w:val="28"/>
          <w:szCs w:val="28"/>
        </w:rPr>
        <w:t>to nell'articolo 2), integrato -</w:t>
      </w:r>
      <w:r w:rsidRPr="00BF2644">
        <w:rPr>
          <w:rFonts w:ascii="Garamond" w:hAnsi="Garamond" w:cs="Times New Roman"/>
          <w:color w:val="000000" w:themeColor="text1"/>
          <w:sz w:val="28"/>
          <w:szCs w:val="28"/>
        </w:rPr>
        <w:t xml:space="preserve"> risp</w:t>
      </w:r>
      <w:r w:rsidR="00433041">
        <w:rPr>
          <w:rFonts w:ascii="Garamond" w:hAnsi="Garamond" w:cs="Times New Roman"/>
          <w:color w:val="000000" w:themeColor="text1"/>
          <w:sz w:val="28"/>
          <w:szCs w:val="28"/>
        </w:rPr>
        <w:t xml:space="preserve">etto alla </w:t>
      </w:r>
      <w:r w:rsidR="00A860E3">
        <w:rPr>
          <w:rFonts w:ascii="Garamond" w:hAnsi="Garamond" w:cs="Times New Roman"/>
          <w:color w:val="000000" w:themeColor="text1"/>
          <w:sz w:val="28"/>
          <w:szCs w:val="28"/>
        </w:rPr>
        <w:t>d</w:t>
      </w:r>
      <w:r w:rsidR="006C564E">
        <w:rPr>
          <w:rFonts w:ascii="Garamond" w:hAnsi="Garamond" w:cs="Times New Roman"/>
          <w:color w:val="000000" w:themeColor="text1"/>
          <w:sz w:val="28"/>
          <w:szCs w:val="28"/>
        </w:rPr>
        <w:t>irettiva</w:t>
      </w:r>
      <w:r w:rsidR="00433041">
        <w:rPr>
          <w:rFonts w:ascii="Garamond" w:hAnsi="Garamond" w:cs="Times New Roman"/>
          <w:color w:val="000000" w:themeColor="text1"/>
          <w:sz w:val="28"/>
          <w:szCs w:val="28"/>
        </w:rPr>
        <w:t xml:space="preserve"> 2009/28/UE - </w:t>
      </w:r>
      <w:r w:rsidR="001B3231" w:rsidRPr="00BF2644">
        <w:rPr>
          <w:rFonts w:ascii="Garamond" w:hAnsi="Garamond" w:cs="Times New Roman"/>
          <w:color w:val="000000" w:themeColor="text1"/>
          <w:sz w:val="28"/>
          <w:szCs w:val="28"/>
        </w:rPr>
        <w:t xml:space="preserve">in base alle novità introdotte. La stessa reca anche </w:t>
      </w:r>
      <w:r w:rsidRPr="00BF2644">
        <w:rPr>
          <w:rFonts w:ascii="Garamond" w:hAnsi="Garamond" w:cs="Times New Roman"/>
          <w:color w:val="000000" w:themeColor="text1"/>
          <w:sz w:val="28"/>
          <w:szCs w:val="28"/>
        </w:rPr>
        <w:t>la più dettagliata definizione di energia rinnovabile quale l'energia proveniente da fonti rinnovabili non fossili, vale a dire energia eolica, solare (solare termico e fotovoltaico) e geotermica, energia dell'ambiente, energia mareomotrice, del moto ondoso e altre forme di energia marina, energia idraulica, biomassa, gas di discarica, gas residuati dai processi di depurazione e biogas.</w:t>
      </w:r>
    </w:p>
    <w:p w:rsidR="00C82DAB" w:rsidRPr="00BF2644" w:rsidRDefault="00C82DAB"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Gli Stati membri sono stati obbligati a recepire nel diritto nazionale la </w:t>
      </w:r>
      <w:r w:rsidR="006C564E">
        <w:rPr>
          <w:rFonts w:ascii="Garamond" w:hAnsi="Garamond" w:cs="Times New Roman"/>
          <w:color w:val="000000" w:themeColor="text1"/>
          <w:sz w:val="28"/>
          <w:szCs w:val="28"/>
        </w:rPr>
        <w:t>direttiva</w:t>
      </w:r>
      <w:r w:rsidRPr="00BF2644">
        <w:rPr>
          <w:rFonts w:ascii="Garamond" w:hAnsi="Garamond" w:cs="Times New Roman"/>
          <w:color w:val="000000" w:themeColor="text1"/>
          <w:sz w:val="28"/>
          <w:szCs w:val="28"/>
        </w:rPr>
        <w:t xml:space="preserve"> entro il 30 giugno 2021. La </w:t>
      </w:r>
      <w:r w:rsidR="006C564E">
        <w:rPr>
          <w:rFonts w:ascii="Garamond" w:hAnsi="Garamond" w:cs="Times New Roman"/>
          <w:color w:val="000000" w:themeColor="text1"/>
          <w:sz w:val="28"/>
          <w:szCs w:val="28"/>
        </w:rPr>
        <w:t>direttiva</w:t>
      </w:r>
      <w:r w:rsidRPr="00BF2644">
        <w:rPr>
          <w:rFonts w:ascii="Garamond" w:hAnsi="Garamond" w:cs="Times New Roman"/>
          <w:color w:val="000000" w:themeColor="text1"/>
          <w:sz w:val="28"/>
          <w:szCs w:val="28"/>
        </w:rPr>
        <w:t xml:space="preserve"> è en</w:t>
      </w:r>
      <w:r w:rsidR="00433041">
        <w:rPr>
          <w:rFonts w:ascii="Garamond" w:hAnsi="Garamond" w:cs="Times New Roman"/>
          <w:color w:val="000000" w:themeColor="text1"/>
          <w:sz w:val="28"/>
          <w:szCs w:val="28"/>
        </w:rPr>
        <w:t>trata in vigore a partire dal 1</w:t>
      </w:r>
      <w:r w:rsidRPr="00BF2644">
        <w:rPr>
          <w:rFonts w:ascii="Garamond" w:hAnsi="Garamond" w:cs="Times New Roman"/>
          <w:color w:val="000000" w:themeColor="text1"/>
          <w:sz w:val="28"/>
          <w:szCs w:val="28"/>
        </w:rPr>
        <w:t xml:space="preserve"> luglio 2021 (articolo 36). A decorrere da tale data è stata abrogata la precedente </w:t>
      </w:r>
      <w:r w:rsidR="00A860E3">
        <w:rPr>
          <w:rFonts w:ascii="Garamond" w:hAnsi="Garamond" w:cs="Times New Roman"/>
          <w:color w:val="000000" w:themeColor="text1"/>
          <w:sz w:val="28"/>
          <w:szCs w:val="28"/>
        </w:rPr>
        <w:t>d</w:t>
      </w:r>
      <w:r w:rsidR="006C564E">
        <w:rPr>
          <w:rFonts w:ascii="Garamond" w:hAnsi="Garamond" w:cs="Times New Roman"/>
          <w:color w:val="000000" w:themeColor="text1"/>
          <w:sz w:val="28"/>
          <w:szCs w:val="28"/>
        </w:rPr>
        <w:t>irettiva</w:t>
      </w:r>
      <w:r w:rsidRPr="00BF2644">
        <w:rPr>
          <w:rFonts w:ascii="Garamond" w:hAnsi="Garamond" w:cs="Times New Roman"/>
          <w:color w:val="000000" w:themeColor="text1"/>
          <w:sz w:val="28"/>
          <w:szCs w:val="28"/>
        </w:rPr>
        <w:t xml:space="preserve"> in materia di promozione dell'uso di fonti rinnovabili (</w:t>
      </w:r>
      <w:r w:rsidR="00A860E3">
        <w:rPr>
          <w:rFonts w:ascii="Garamond" w:hAnsi="Garamond" w:cs="Times New Roman"/>
          <w:color w:val="000000" w:themeColor="text1"/>
          <w:sz w:val="28"/>
          <w:szCs w:val="28"/>
        </w:rPr>
        <w:t>d</w:t>
      </w:r>
      <w:r w:rsidR="006C564E">
        <w:rPr>
          <w:rFonts w:ascii="Garamond" w:hAnsi="Garamond" w:cs="Times New Roman"/>
          <w:color w:val="000000" w:themeColor="text1"/>
          <w:sz w:val="28"/>
          <w:szCs w:val="28"/>
        </w:rPr>
        <w:t>irettiva</w:t>
      </w:r>
      <w:r w:rsidRPr="00BF2644">
        <w:rPr>
          <w:rFonts w:ascii="Garamond" w:hAnsi="Garamond" w:cs="Times New Roman"/>
          <w:color w:val="000000" w:themeColor="text1"/>
          <w:sz w:val="28"/>
          <w:szCs w:val="28"/>
        </w:rPr>
        <w:t xml:space="preserve"> 2009/28/UE, come modificata dalla </w:t>
      </w:r>
      <w:r w:rsidR="00A860E3">
        <w:rPr>
          <w:rFonts w:ascii="Garamond" w:hAnsi="Garamond" w:cs="Times New Roman"/>
          <w:color w:val="000000" w:themeColor="text1"/>
          <w:sz w:val="28"/>
          <w:szCs w:val="28"/>
        </w:rPr>
        <w:t>d</w:t>
      </w:r>
      <w:r w:rsidR="006C564E">
        <w:rPr>
          <w:rFonts w:ascii="Garamond" w:hAnsi="Garamond" w:cs="Times New Roman"/>
          <w:color w:val="000000" w:themeColor="text1"/>
          <w:sz w:val="28"/>
          <w:szCs w:val="28"/>
        </w:rPr>
        <w:t>irettiva</w:t>
      </w:r>
      <w:r w:rsidRPr="00BF2644">
        <w:rPr>
          <w:rFonts w:ascii="Garamond" w:hAnsi="Garamond" w:cs="Times New Roman"/>
          <w:color w:val="000000" w:themeColor="text1"/>
          <w:sz w:val="28"/>
          <w:szCs w:val="28"/>
        </w:rPr>
        <w:t xml:space="preserve"> 2013/18/UE e dalla </w:t>
      </w:r>
      <w:r w:rsidR="00A860E3">
        <w:rPr>
          <w:rFonts w:ascii="Garamond" w:hAnsi="Garamond" w:cs="Times New Roman"/>
          <w:color w:val="000000" w:themeColor="text1"/>
          <w:sz w:val="28"/>
          <w:szCs w:val="28"/>
        </w:rPr>
        <w:t>d</w:t>
      </w:r>
      <w:r w:rsidR="006C564E">
        <w:rPr>
          <w:rFonts w:ascii="Garamond" w:hAnsi="Garamond" w:cs="Times New Roman"/>
          <w:color w:val="000000" w:themeColor="text1"/>
          <w:sz w:val="28"/>
          <w:szCs w:val="28"/>
        </w:rPr>
        <w:t>irettiva</w:t>
      </w:r>
      <w:r w:rsidRPr="00BF2644">
        <w:rPr>
          <w:rFonts w:ascii="Garamond" w:hAnsi="Garamond" w:cs="Times New Roman"/>
          <w:color w:val="000000" w:themeColor="text1"/>
          <w:sz w:val="28"/>
          <w:szCs w:val="28"/>
        </w:rPr>
        <w:t xml:space="preserve"> (UE) 2015/1513) (articolo 37 e Allegato X).</w:t>
      </w:r>
    </w:p>
    <w:p w:rsidR="003E37AA" w:rsidRDefault="003E37AA" w:rsidP="00102395">
      <w:pPr>
        <w:spacing w:line="240" w:lineRule="auto"/>
        <w:contextualSpacing/>
        <w:jc w:val="both"/>
        <w:rPr>
          <w:rFonts w:ascii="Garamond" w:hAnsi="Garamond" w:cs="Times New Roman"/>
          <w:b/>
          <w:color w:val="000000" w:themeColor="text1"/>
          <w:sz w:val="28"/>
          <w:szCs w:val="28"/>
        </w:rPr>
      </w:pPr>
    </w:p>
    <w:p w:rsidR="00D62996" w:rsidRPr="00BF2644" w:rsidRDefault="00635C04" w:rsidP="00BF2644">
      <w:pPr>
        <w:spacing w:line="240" w:lineRule="auto"/>
        <w:ind w:firstLine="709"/>
        <w:contextualSpacing/>
        <w:jc w:val="both"/>
        <w:rPr>
          <w:rFonts w:ascii="Garamond" w:hAnsi="Garamond" w:cs="Times New Roman"/>
          <w:b/>
          <w:color w:val="000000" w:themeColor="text1"/>
          <w:sz w:val="28"/>
          <w:szCs w:val="28"/>
        </w:rPr>
      </w:pPr>
      <w:r w:rsidRPr="00BF2644">
        <w:rPr>
          <w:rFonts w:ascii="Garamond" w:hAnsi="Garamond" w:cs="Times New Roman"/>
          <w:b/>
          <w:color w:val="000000" w:themeColor="text1"/>
          <w:sz w:val="28"/>
          <w:szCs w:val="28"/>
        </w:rPr>
        <w:t xml:space="preserve">2.1. </w:t>
      </w:r>
      <w:r w:rsidR="00CC07F7" w:rsidRPr="00BF2644">
        <w:rPr>
          <w:rFonts w:ascii="Garamond" w:hAnsi="Garamond" w:cs="Times New Roman"/>
          <w:b/>
          <w:color w:val="000000" w:themeColor="text1"/>
          <w:sz w:val="28"/>
          <w:szCs w:val="28"/>
        </w:rPr>
        <w:t xml:space="preserve">I </w:t>
      </w:r>
      <w:r w:rsidR="00F524FE">
        <w:rPr>
          <w:rFonts w:ascii="Garamond" w:hAnsi="Garamond" w:cs="Times New Roman"/>
          <w:b/>
          <w:color w:val="000000" w:themeColor="text1"/>
          <w:sz w:val="28"/>
          <w:szCs w:val="28"/>
        </w:rPr>
        <w:t>poteri delle R</w:t>
      </w:r>
      <w:r w:rsidRPr="00BF2644">
        <w:rPr>
          <w:rFonts w:ascii="Garamond" w:hAnsi="Garamond" w:cs="Times New Roman"/>
          <w:b/>
          <w:color w:val="000000" w:themeColor="text1"/>
          <w:sz w:val="28"/>
          <w:szCs w:val="28"/>
        </w:rPr>
        <w:t>egio</w:t>
      </w:r>
      <w:r w:rsidR="00720E05">
        <w:rPr>
          <w:rFonts w:ascii="Garamond" w:hAnsi="Garamond" w:cs="Times New Roman"/>
          <w:b/>
          <w:color w:val="000000" w:themeColor="text1"/>
          <w:sz w:val="28"/>
          <w:szCs w:val="28"/>
        </w:rPr>
        <w:t xml:space="preserve">ni a Statuto ordinario e delle </w:t>
      </w:r>
      <w:r w:rsidR="00F524FE">
        <w:rPr>
          <w:rFonts w:ascii="Garamond" w:hAnsi="Garamond" w:cs="Times New Roman"/>
          <w:b/>
          <w:color w:val="000000" w:themeColor="text1"/>
          <w:sz w:val="28"/>
          <w:szCs w:val="28"/>
        </w:rPr>
        <w:t>R</w:t>
      </w:r>
      <w:r w:rsidRPr="00BF2644">
        <w:rPr>
          <w:rFonts w:ascii="Garamond" w:hAnsi="Garamond" w:cs="Times New Roman"/>
          <w:b/>
          <w:color w:val="000000" w:themeColor="text1"/>
          <w:sz w:val="28"/>
          <w:szCs w:val="28"/>
        </w:rPr>
        <w:t>egioni a statuto speciale</w:t>
      </w:r>
      <w:r w:rsidR="00CC07F7" w:rsidRPr="00BF2644">
        <w:rPr>
          <w:rFonts w:ascii="Garamond" w:hAnsi="Garamond" w:cs="Times New Roman"/>
          <w:b/>
          <w:color w:val="000000" w:themeColor="text1"/>
          <w:sz w:val="28"/>
          <w:szCs w:val="28"/>
        </w:rPr>
        <w:t xml:space="preserve"> ne</w:t>
      </w:r>
      <w:r w:rsidR="00720E05">
        <w:rPr>
          <w:rFonts w:ascii="Garamond" w:hAnsi="Garamond" w:cs="Times New Roman"/>
          <w:b/>
          <w:color w:val="000000" w:themeColor="text1"/>
          <w:sz w:val="28"/>
          <w:szCs w:val="28"/>
        </w:rPr>
        <w:t>lla giurisprudenza della Corte c</w:t>
      </w:r>
      <w:r w:rsidR="00CC07F7" w:rsidRPr="00BF2644">
        <w:rPr>
          <w:rFonts w:ascii="Garamond" w:hAnsi="Garamond" w:cs="Times New Roman"/>
          <w:b/>
          <w:color w:val="000000" w:themeColor="text1"/>
          <w:sz w:val="28"/>
          <w:szCs w:val="28"/>
        </w:rPr>
        <w:t xml:space="preserve">ostituzionale e del Consiglio di </w:t>
      </w:r>
      <w:r w:rsidR="00433041" w:rsidRPr="00BF2644">
        <w:rPr>
          <w:rFonts w:ascii="Garamond" w:hAnsi="Garamond" w:cs="Times New Roman"/>
          <w:b/>
          <w:color w:val="000000" w:themeColor="text1"/>
          <w:sz w:val="28"/>
          <w:szCs w:val="28"/>
        </w:rPr>
        <w:t>Stato.</w:t>
      </w:r>
    </w:p>
    <w:p w:rsidR="00C34B67" w:rsidRDefault="00AD0860" w:rsidP="00BF2644">
      <w:pPr>
        <w:spacing w:line="240" w:lineRule="auto"/>
        <w:ind w:firstLine="709"/>
        <w:contextualSpacing/>
        <w:jc w:val="both"/>
        <w:rPr>
          <w:rFonts w:ascii="Garamond" w:hAnsi="Garamond" w:cs="Times New Roman"/>
          <w:color w:val="000000" w:themeColor="text1"/>
          <w:sz w:val="28"/>
          <w:szCs w:val="28"/>
        </w:rPr>
      </w:pPr>
      <w:r w:rsidRPr="009E16C6">
        <w:rPr>
          <w:rFonts w:ascii="Garamond" w:hAnsi="Garamond" w:cs="Times New Roman"/>
          <w:color w:val="000000" w:themeColor="text1"/>
          <w:sz w:val="28"/>
          <w:szCs w:val="28"/>
        </w:rPr>
        <w:t>Secondo la giurisprudenza della Corte costituzionale</w:t>
      </w:r>
      <w:r w:rsidR="004B34C5" w:rsidRPr="009E16C6">
        <w:t xml:space="preserve"> </w:t>
      </w:r>
      <w:r w:rsidR="004B34C5" w:rsidRPr="009E16C6">
        <w:rPr>
          <w:rFonts w:ascii="Garamond" w:hAnsi="Garamond" w:cs="Times New Roman"/>
          <w:color w:val="000000" w:themeColor="text1"/>
          <w:sz w:val="28"/>
          <w:szCs w:val="28"/>
        </w:rPr>
        <w:t>le nor</w:t>
      </w:r>
      <w:r w:rsidR="00770CFE">
        <w:rPr>
          <w:rFonts w:ascii="Garamond" w:hAnsi="Garamond" w:cs="Times New Roman"/>
          <w:color w:val="000000" w:themeColor="text1"/>
          <w:sz w:val="28"/>
          <w:szCs w:val="28"/>
        </w:rPr>
        <w:t>me statali contenenti i princì</w:t>
      </w:r>
      <w:r w:rsidR="0004722E">
        <w:rPr>
          <w:rFonts w:ascii="Garamond" w:hAnsi="Garamond" w:cs="Times New Roman"/>
          <w:color w:val="000000" w:themeColor="text1"/>
          <w:sz w:val="28"/>
          <w:szCs w:val="28"/>
        </w:rPr>
        <w:t>pi</w:t>
      </w:r>
      <w:r w:rsidR="004B34C5" w:rsidRPr="009E16C6">
        <w:rPr>
          <w:rFonts w:ascii="Garamond" w:hAnsi="Garamond" w:cs="Times New Roman"/>
          <w:color w:val="000000" w:themeColor="text1"/>
          <w:sz w:val="28"/>
          <w:szCs w:val="28"/>
        </w:rPr>
        <w:t xml:space="preserve"> fondamentali della </w:t>
      </w:r>
      <w:r w:rsidR="00C34B67" w:rsidRPr="009E16C6">
        <w:rPr>
          <w:rFonts w:ascii="Garamond" w:hAnsi="Garamond" w:cs="Times New Roman"/>
          <w:color w:val="000000" w:themeColor="text1"/>
          <w:sz w:val="28"/>
          <w:szCs w:val="28"/>
        </w:rPr>
        <w:t>materia, recate</w:t>
      </w:r>
      <w:r w:rsidR="0004722E">
        <w:rPr>
          <w:rFonts w:ascii="Garamond" w:hAnsi="Garamond" w:cs="Times New Roman"/>
          <w:color w:val="000000" w:themeColor="text1"/>
          <w:sz w:val="28"/>
          <w:szCs w:val="28"/>
        </w:rPr>
        <w:t xml:space="preserve"> dall'art. 12 d.lgs. </w:t>
      </w:r>
      <w:r w:rsidR="004B34C5" w:rsidRPr="009E16C6">
        <w:rPr>
          <w:rFonts w:ascii="Garamond" w:hAnsi="Garamond" w:cs="Times New Roman"/>
          <w:color w:val="000000" w:themeColor="text1"/>
          <w:sz w:val="28"/>
          <w:szCs w:val="28"/>
        </w:rPr>
        <w:t xml:space="preserve"> n. 387 del 2003 e dagli art. 4</w:t>
      </w:r>
      <w:r w:rsidR="0004722E">
        <w:rPr>
          <w:rFonts w:ascii="Garamond" w:hAnsi="Garamond" w:cs="Times New Roman"/>
          <w:color w:val="000000" w:themeColor="text1"/>
          <w:sz w:val="28"/>
          <w:szCs w:val="28"/>
        </w:rPr>
        <w:t xml:space="preserve"> e</w:t>
      </w:r>
      <w:r w:rsidR="004B34C5" w:rsidRPr="009E16C6">
        <w:rPr>
          <w:rFonts w:ascii="Garamond" w:hAnsi="Garamond" w:cs="Times New Roman"/>
          <w:color w:val="000000" w:themeColor="text1"/>
          <w:sz w:val="28"/>
          <w:szCs w:val="28"/>
        </w:rPr>
        <w:t xml:space="preserve"> ss. </w:t>
      </w:r>
      <w:r w:rsidR="0004722E">
        <w:rPr>
          <w:rFonts w:ascii="Garamond" w:hAnsi="Garamond" w:cs="Times New Roman"/>
          <w:color w:val="000000" w:themeColor="text1"/>
          <w:sz w:val="28"/>
          <w:szCs w:val="28"/>
        </w:rPr>
        <w:t>del</w:t>
      </w:r>
      <w:r w:rsidR="004B34C5" w:rsidRPr="009E16C6">
        <w:rPr>
          <w:rFonts w:ascii="Garamond" w:hAnsi="Garamond" w:cs="Times New Roman"/>
          <w:color w:val="000000" w:themeColor="text1"/>
          <w:sz w:val="28"/>
          <w:szCs w:val="28"/>
        </w:rPr>
        <w:t xml:space="preserve"> </w:t>
      </w:r>
      <w:r w:rsidR="004F0CCD">
        <w:rPr>
          <w:rFonts w:ascii="Garamond" w:hAnsi="Garamond" w:cs="Times New Roman"/>
          <w:color w:val="000000" w:themeColor="text1"/>
          <w:sz w:val="28"/>
          <w:szCs w:val="28"/>
        </w:rPr>
        <w:t>d.lgs.</w:t>
      </w:r>
      <w:r w:rsidR="004B34C5" w:rsidRPr="009E16C6">
        <w:rPr>
          <w:rFonts w:ascii="Garamond" w:hAnsi="Garamond" w:cs="Times New Roman"/>
          <w:color w:val="000000" w:themeColor="text1"/>
          <w:sz w:val="28"/>
          <w:szCs w:val="28"/>
        </w:rPr>
        <w:t xml:space="preserve"> </w:t>
      </w:r>
      <w:r w:rsidR="0012585C" w:rsidRPr="009E16C6">
        <w:rPr>
          <w:rFonts w:ascii="Garamond" w:hAnsi="Garamond" w:cs="Times New Roman"/>
          <w:color w:val="000000" w:themeColor="text1"/>
          <w:sz w:val="28"/>
          <w:szCs w:val="28"/>
        </w:rPr>
        <w:t>3 marzo 2011 n. 28</w:t>
      </w:r>
      <w:r w:rsidR="004B34C5" w:rsidRPr="009E16C6">
        <w:rPr>
          <w:rFonts w:ascii="Garamond" w:hAnsi="Garamond" w:cs="Times New Roman"/>
          <w:color w:val="000000" w:themeColor="text1"/>
          <w:sz w:val="28"/>
          <w:szCs w:val="28"/>
        </w:rPr>
        <w:t>, nonché dalle previsioni del d.m. 10 settembre 2010</w:t>
      </w:r>
      <w:r w:rsidR="0012585C" w:rsidRPr="009E16C6">
        <w:rPr>
          <w:rFonts w:ascii="Garamond" w:hAnsi="Garamond" w:cs="Times New Roman"/>
          <w:color w:val="000000" w:themeColor="text1"/>
          <w:sz w:val="28"/>
          <w:szCs w:val="28"/>
        </w:rPr>
        <w:t>,</w:t>
      </w:r>
      <w:r w:rsidR="004B34C5" w:rsidRPr="009E16C6">
        <w:rPr>
          <w:rFonts w:ascii="Garamond" w:hAnsi="Garamond" w:cs="Times New Roman"/>
          <w:color w:val="000000" w:themeColor="text1"/>
          <w:sz w:val="28"/>
          <w:szCs w:val="28"/>
        </w:rPr>
        <w:t xml:space="preserve"> esprimono i princìpi fondamentali</w:t>
      </w:r>
      <w:r w:rsidR="004E1FFA" w:rsidRPr="009E16C6">
        <w:rPr>
          <w:rFonts w:ascii="Garamond" w:hAnsi="Garamond" w:cs="Times New Roman"/>
          <w:color w:val="000000" w:themeColor="text1"/>
          <w:sz w:val="28"/>
          <w:szCs w:val="28"/>
        </w:rPr>
        <w:t xml:space="preserve"> in materia di «</w:t>
      </w:r>
      <w:r w:rsidR="004E1FFA" w:rsidRPr="009E16C6">
        <w:rPr>
          <w:rFonts w:ascii="Garamond" w:hAnsi="Garamond" w:cs="Times New Roman"/>
          <w:i/>
          <w:color w:val="000000" w:themeColor="text1"/>
          <w:sz w:val="28"/>
          <w:szCs w:val="28"/>
        </w:rPr>
        <w:t>produzione, trasporto e distribuzione nazionale dell’energia</w:t>
      </w:r>
      <w:r w:rsidR="00C34B67" w:rsidRPr="009E16C6">
        <w:rPr>
          <w:rFonts w:ascii="Garamond" w:hAnsi="Garamond" w:cs="Times New Roman"/>
          <w:color w:val="000000" w:themeColor="text1"/>
          <w:sz w:val="28"/>
          <w:szCs w:val="28"/>
        </w:rPr>
        <w:t>» e</w:t>
      </w:r>
      <w:r w:rsidR="004E1FFA" w:rsidRPr="009E16C6">
        <w:rPr>
          <w:rFonts w:ascii="Garamond" w:hAnsi="Garamond" w:cs="Times New Roman"/>
          <w:color w:val="000000" w:themeColor="text1"/>
          <w:sz w:val="28"/>
          <w:szCs w:val="28"/>
        </w:rPr>
        <w:t xml:space="preserve"> </w:t>
      </w:r>
      <w:r w:rsidR="00C34B67" w:rsidRPr="009E16C6">
        <w:rPr>
          <w:rFonts w:ascii="Garamond" w:hAnsi="Garamond" w:cs="Times New Roman"/>
          <w:color w:val="000000" w:themeColor="text1"/>
          <w:sz w:val="28"/>
          <w:szCs w:val="28"/>
        </w:rPr>
        <w:t>«</w:t>
      </w:r>
      <w:r w:rsidR="00C34B67" w:rsidRPr="009E16C6">
        <w:rPr>
          <w:rFonts w:ascii="Garamond" w:hAnsi="Garamond" w:cs="Times New Roman"/>
          <w:i/>
          <w:color w:val="000000" w:themeColor="text1"/>
          <w:sz w:val="28"/>
          <w:szCs w:val="28"/>
        </w:rPr>
        <w:t>non tollerano eccezioni sull'intero territorio nazionale</w:t>
      </w:r>
      <w:r w:rsidR="00C34B67" w:rsidRPr="009E16C6">
        <w:rPr>
          <w:rFonts w:ascii="Garamond" w:hAnsi="Garamond" w:cs="Times New Roman"/>
          <w:color w:val="000000" w:themeColor="text1"/>
          <w:sz w:val="28"/>
          <w:szCs w:val="28"/>
        </w:rPr>
        <w:t xml:space="preserve">» (Corte cost., n. 77 del 2022; </w:t>
      </w:r>
      <w:r w:rsidR="009B0078">
        <w:rPr>
          <w:rFonts w:ascii="Garamond" w:hAnsi="Garamond" w:cs="Times New Roman"/>
          <w:color w:val="000000" w:themeColor="text1"/>
          <w:sz w:val="28"/>
          <w:szCs w:val="28"/>
        </w:rPr>
        <w:t xml:space="preserve">n. 177 del 2021, </w:t>
      </w:r>
      <w:r w:rsidR="003E3C55">
        <w:rPr>
          <w:rFonts w:ascii="Garamond" w:hAnsi="Garamond" w:cs="Times New Roman"/>
          <w:color w:val="000000" w:themeColor="text1"/>
          <w:sz w:val="28"/>
          <w:szCs w:val="28"/>
        </w:rPr>
        <w:t xml:space="preserve">n. 106 del 2020; </w:t>
      </w:r>
      <w:r w:rsidR="00C34B67" w:rsidRPr="009E16C6">
        <w:rPr>
          <w:rFonts w:ascii="Garamond" w:hAnsi="Garamond" w:cs="Times New Roman"/>
          <w:color w:val="000000" w:themeColor="text1"/>
          <w:sz w:val="28"/>
          <w:szCs w:val="28"/>
        </w:rPr>
        <w:t xml:space="preserve">n. 286 del 2019; </w:t>
      </w:r>
      <w:r w:rsidR="009B0078">
        <w:rPr>
          <w:rFonts w:ascii="Garamond" w:hAnsi="Garamond" w:cs="Times New Roman"/>
          <w:color w:val="000000" w:themeColor="text1"/>
          <w:sz w:val="28"/>
          <w:szCs w:val="28"/>
        </w:rPr>
        <w:t xml:space="preserve">n. 177 del 2018; </w:t>
      </w:r>
      <w:r w:rsidR="00C34B67" w:rsidRPr="009E16C6">
        <w:rPr>
          <w:rFonts w:ascii="Garamond" w:hAnsi="Garamond" w:cs="Times New Roman"/>
          <w:color w:val="000000" w:themeColor="text1"/>
          <w:sz w:val="28"/>
          <w:szCs w:val="28"/>
        </w:rPr>
        <w:t>n. 69 del 2</w:t>
      </w:r>
      <w:r w:rsidR="0012585C" w:rsidRPr="009E16C6">
        <w:rPr>
          <w:rFonts w:ascii="Garamond" w:hAnsi="Garamond" w:cs="Times New Roman"/>
          <w:color w:val="000000" w:themeColor="text1"/>
          <w:sz w:val="28"/>
          <w:szCs w:val="28"/>
        </w:rPr>
        <w:t xml:space="preserve">018; n. 99 del 2012), </w:t>
      </w:r>
      <w:r w:rsidR="00C34B67" w:rsidRPr="009E16C6">
        <w:rPr>
          <w:rFonts w:ascii="Garamond" w:hAnsi="Garamond" w:cs="Times New Roman"/>
          <w:color w:val="000000" w:themeColor="text1"/>
          <w:sz w:val="28"/>
          <w:szCs w:val="28"/>
        </w:rPr>
        <w:t>in quanto funzionali «</w:t>
      </w:r>
      <w:r w:rsidR="004E1FFA" w:rsidRPr="009E16C6">
        <w:rPr>
          <w:rFonts w:ascii="Garamond" w:hAnsi="Garamond" w:cs="Times New Roman"/>
          <w:i/>
          <w:color w:val="000000" w:themeColor="text1"/>
          <w:sz w:val="28"/>
          <w:szCs w:val="28"/>
        </w:rPr>
        <w:t>al raggiungimento degli obiettivi di massima diffusione delle fonti energetiche rinnovabili sancito dalla normativa europea</w:t>
      </w:r>
      <w:r w:rsidRPr="009E16C6">
        <w:rPr>
          <w:rFonts w:ascii="Garamond" w:hAnsi="Garamond" w:cs="Times New Roman"/>
          <w:color w:val="000000" w:themeColor="text1"/>
          <w:sz w:val="28"/>
          <w:szCs w:val="28"/>
        </w:rPr>
        <w:t xml:space="preserve">» (Corte cost., n. 46 </w:t>
      </w:r>
      <w:r w:rsidR="004B34C5" w:rsidRPr="009E16C6">
        <w:rPr>
          <w:rFonts w:ascii="Garamond" w:hAnsi="Garamond" w:cs="Times New Roman"/>
          <w:color w:val="000000" w:themeColor="text1"/>
          <w:sz w:val="28"/>
          <w:szCs w:val="28"/>
        </w:rPr>
        <w:t>del 2021) e v</w:t>
      </w:r>
      <w:r w:rsidR="00C34B67" w:rsidRPr="009E16C6">
        <w:rPr>
          <w:rFonts w:ascii="Garamond" w:hAnsi="Garamond" w:cs="Times New Roman"/>
          <w:color w:val="000000" w:themeColor="text1"/>
          <w:sz w:val="28"/>
          <w:szCs w:val="28"/>
        </w:rPr>
        <w:t>olti</w:t>
      </w:r>
      <w:r w:rsidR="004E1FFA" w:rsidRPr="009E16C6">
        <w:rPr>
          <w:rFonts w:ascii="Garamond" w:hAnsi="Garamond" w:cs="Times New Roman"/>
          <w:color w:val="000000" w:themeColor="text1"/>
          <w:sz w:val="28"/>
          <w:szCs w:val="28"/>
        </w:rPr>
        <w:t xml:space="preserve"> a bilanciare </w:t>
      </w:r>
      <w:r w:rsidR="00C34B67" w:rsidRPr="009E16C6">
        <w:rPr>
          <w:rFonts w:ascii="Garamond" w:hAnsi="Garamond" w:cs="Times New Roman"/>
          <w:color w:val="000000" w:themeColor="text1"/>
          <w:sz w:val="28"/>
          <w:szCs w:val="28"/>
        </w:rPr>
        <w:t>interessi di fondamentale rilevanza assiologica (Corte cost.</w:t>
      </w:r>
      <w:r w:rsidR="0004722E">
        <w:rPr>
          <w:rFonts w:ascii="Garamond" w:hAnsi="Garamond" w:cs="Times New Roman"/>
          <w:color w:val="000000" w:themeColor="text1"/>
          <w:sz w:val="28"/>
          <w:szCs w:val="28"/>
        </w:rPr>
        <w:t>,</w:t>
      </w:r>
      <w:r w:rsidR="00C34B67" w:rsidRPr="009E16C6">
        <w:rPr>
          <w:rFonts w:ascii="Garamond" w:hAnsi="Garamond" w:cs="Times New Roman"/>
          <w:color w:val="000000" w:themeColor="text1"/>
          <w:sz w:val="28"/>
          <w:szCs w:val="28"/>
        </w:rPr>
        <w:t xml:space="preserve"> n. 121 del 2022), ovvero l’esigenza</w:t>
      </w:r>
      <w:r w:rsidR="004E1FFA" w:rsidRPr="009E16C6">
        <w:rPr>
          <w:rFonts w:ascii="Garamond" w:hAnsi="Garamond" w:cs="Times New Roman"/>
          <w:color w:val="000000" w:themeColor="text1"/>
          <w:sz w:val="28"/>
          <w:szCs w:val="28"/>
        </w:rPr>
        <w:t xml:space="preserve"> di potenziare le fonti rinnovabili con quella di tutelare il territorio nella dimensione paesaggistica, storico-cultural</w:t>
      </w:r>
      <w:r w:rsidR="00C34B67" w:rsidRPr="009E16C6">
        <w:rPr>
          <w:rFonts w:ascii="Garamond" w:hAnsi="Garamond" w:cs="Times New Roman"/>
          <w:color w:val="000000" w:themeColor="text1"/>
          <w:sz w:val="28"/>
          <w:szCs w:val="28"/>
        </w:rPr>
        <w:t>e e della biodiversità.</w:t>
      </w:r>
    </w:p>
    <w:p w:rsidR="00F24E24" w:rsidRDefault="004B34C5" w:rsidP="00BF2644">
      <w:pPr>
        <w:spacing w:line="240" w:lineRule="auto"/>
        <w:ind w:firstLine="709"/>
        <w:contextualSpacing/>
        <w:jc w:val="both"/>
        <w:rPr>
          <w:rFonts w:ascii="Garamond" w:hAnsi="Garamond" w:cs="Times New Roman"/>
          <w:color w:val="000000" w:themeColor="text1"/>
          <w:sz w:val="28"/>
          <w:szCs w:val="28"/>
        </w:rPr>
      </w:pPr>
      <w:r w:rsidRPr="004B34C5">
        <w:rPr>
          <w:rFonts w:ascii="Garamond" w:hAnsi="Garamond" w:cs="Times New Roman"/>
          <w:color w:val="000000" w:themeColor="text1"/>
          <w:sz w:val="28"/>
          <w:szCs w:val="28"/>
        </w:rPr>
        <w:t>Per un verso, esse si rendono interpreti dell'esigenza di potenziare le fonti rinnovabili, che, in virtù della loro naturale vocazione a preservare l'interesse ambientale, costituiscono un punto di intersezione tra l'obiettivo di difendere il citato interesse e l'istanza di garantire la</w:t>
      </w:r>
      <w:r w:rsidR="00C34B67">
        <w:rPr>
          <w:rFonts w:ascii="Garamond" w:hAnsi="Garamond" w:cs="Times New Roman"/>
          <w:color w:val="000000" w:themeColor="text1"/>
          <w:sz w:val="28"/>
          <w:szCs w:val="28"/>
        </w:rPr>
        <w:t xml:space="preserve"> produzione di energia (Cor</w:t>
      </w:r>
      <w:r w:rsidR="009B0078">
        <w:rPr>
          <w:rFonts w:ascii="Garamond" w:hAnsi="Garamond" w:cs="Times New Roman"/>
          <w:color w:val="000000" w:themeColor="text1"/>
          <w:sz w:val="28"/>
          <w:szCs w:val="28"/>
        </w:rPr>
        <w:t xml:space="preserve">te cost, n. 86 del 2019; </w:t>
      </w:r>
      <w:r w:rsidR="00C34B67">
        <w:rPr>
          <w:rFonts w:ascii="Garamond" w:hAnsi="Garamond" w:cs="Times New Roman"/>
          <w:color w:val="000000" w:themeColor="text1"/>
          <w:sz w:val="28"/>
          <w:szCs w:val="28"/>
        </w:rPr>
        <w:t xml:space="preserve">n. 199 del </w:t>
      </w:r>
      <w:proofErr w:type="gramStart"/>
      <w:r w:rsidR="00C34B67">
        <w:rPr>
          <w:rFonts w:ascii="Garamond" w:hAnsi="Garamond" w:cs="Times New Roman"/>
          <w:color w:val="000000" w:themeColor="text1"/>
          <w:sz w:val="28"/>
          <w:szCs w:val="28"/>
        </w:rPr>
        <w:t>2014;  n.</w:t>
      </w:r>
      <w:proofErr w:type="gramEnd"/>
      <w:r w:rsidR="00C34B67">
        <w:rPr>
          <w:rFonts w:ascii="Garamond" w:hAnsi="Garamond" w:cs="Times New Roman"/>
          <w:color w:val="000000" w:themeColor="text1"/>
          <w:sz w:val="28"/>
          <w:szCs w:val="28"/>
        </w:rPr>
        <w:t xml:space="preserve"> 67 del 2011; </w:t>
      </w:r>
      <w:r w:rsidRPr="004B34C5">
        <w:rPr>
          <w:rFonts w:ascii="Garamond" w:hAnsi="Garamond" w:cs="Times New Roman"/>
          <w:color w:val="000000" w:themeColor="text1"/>
          <w:sz w:val="28"/>
          <w:szCs w:val="28"/>
        </w:rPr>
        <w:t xml:space="preserve">n. </w:t>
      </w:r>
      <w:r w:rsidR="00C34B67">
        <w:rPr>
          <w:rFonts w:ascii="Garamond" w:hAnsi="Garamond" w:cs="Times New Roman"/>
          <w:color w:val="000000" w:themeColor="text1"/>
          <w:sz w:val="28"/>
          <w:szCs w:val="28"/>
        </w:rPr>
        <w:t>119 del 2010</w:t>
      </w:r>
      <w:r w:rsidRPr="004B34C5">
        <w:rPr>
          <w:rFonts w:ascii="Garamond" w:hAnsi="Garamond" w:cs="Times New Roman"/>
          <w:color w:val="000000" w:themeColor="text1"/>
          <w:sz w:val="28"/>
          <w:szCs w:val="28"/>
        </w:rPr>
        <w:t>). Per un altro verso, cercano di contemperare il massimo sviluppo delle fonti rinnovabili con l'istanza, potenzialmente confliggente, della tutela del territorio, nella dimensione paesaggistica, storico-culturale e</w:t>
      </w:r>
      <w:r w:rsidR="00C34B67">
        <w:rPr>
          <w:rFonts w:ascii="Garamond" w:hAnsi="Garamond" w:cs="Times New Roman"/>
          <w:color w:val="000000" w:themeColor="text1"/>
          <w:sz w:val="28"/>
          <w:szCs w:val="28"/>
        </w:rPr>
        <w:t xml:space="preserve"> della biodiversità (Corte cost. n. </w:t>
      </w:r>
      <w:r w:rsidRPr="004B34C5">
        <w:rPr>
          <w:rFonts w:ascii="Garamond" w:hAnsi="Garamond" w:cs="Times New Roman"/>
          <w:color w:val="000000" w:themeColor="text1"/>
          <w:sz w:val="28"/>
          <w:szCs w:val="28"/>
        </w:rPr>
        <w:t xml:space="preserve"> 46 del 202</w:t>
      </w:r>
      <w:r w:rsidR="00C34B67">
        <w:rPr>
          <w:rFonts w:ascii="Garamond" w:hAnsi="Garamond" w:cs="Times New Roman"/>
          <w:color w:val="000000" w:themeColor="text1"/>
          <w:sz w:val="28"/>
          <w:szCs w:val="28"/>
        </w:rPr>
        <w:t>1; n. 177 del 2018</w:t>
      </w:r>
      <w:r w:rsidRPr="004B34C5">
        <w:rPr>
          <w:rFonts w:ascii="Garamond" w:hAnsi="Garamond" w:cs="Times New Roman"/>
          <w:color w:val="000000" w:themeColor="text1"/>
          <w:sz w:val="28"/>
          <w:szCs w:val="28"/>
        </w:rPr>
        <w:t xml:space="preserve">). </w:t>
      </w:r>
    </w:p>
    <w:p w:rsidR="004B34C5" w:rsidRDefault="004B34C5" w:rsidP="00BF2644">
      <w:pPr>
        <w:spacing w:line="240" w:lineRule="auto"/>
        <w:ind w:firstLine="709"/>
        <w:contextualSpacing/>
        <w:jc w:val="both"/>
        <w:rPr>
          <w:rFonts w:ascii="Garamond" w:hAnsi="Garamond" w:cs="Times New Roman"/>
          <w:color w:val="000000" w:themeColor="text1"/>
          <w:sz w:val="28"/>
          <w:szCs w:val="28"/>
        </w:rPr>
      </w:pPr>
      <w:r w:rsidRPr="004B34C5">
        <w:rPr>
          <w:rFonts w:ascii="Garamond" w:hAnsi="Garamond" w:cs="Times New Roman"/>
          <w:color w:val="000000" w:themeColor="text1"/>
          <w:sz w:val="28"/>
          <w:szCs w:val="28"/>
        </w:rPr>
        <w:t>Nel valorizzare lo sviluppo delle fo</w:t>
      </w:r>
      <w:r w:rsidR="0004722E">
        <w:rPr>
          <w:rFonts w:ascii="Garamond" w:hAnsi="Garamond" w:cs="Times New Roman"/>
          <w:color w:val="000000" w:themeColor="text1"/>
          <w:sz w:val="28"/>
          <w:szCs w:val="28"/>
        </w:rPr>
        <w:t>nti rinnovabili, l'art. 12 d.lgs</w:t>
      </w:r>
      <w:r w:rsidRPr="004B34C5">
        <w:rPr>
          <w:rFonts w:ascii="Garamond" w:hAnsi="Garamond" w:cs="Times New Roman"/>
          <w:color w:val="000000" w:themeColor="text1"/>
          <w:sz w:val="28"/>
          <w:szCs w:val="28"/>
        </w:rPr>
        <w:t>. n. 387 del</w:t>
      </w:r>
      <w:r w:rsidR="00F24E24">
        <w:rPr>
          <w:rFonts w:ascii="Garamond" w:hAnsi="Garamond" w:cs="Times New Roman"/>
          <w:color w:val="000000" w:themeColor="text1"/>
          <w:sz w:val="28"/>
          <w:szCs w:val="28"/>
        </w:rPr>
        <w:t xml:space="preserve"> 2003 e gli art. da 4 a 9</w:t>
      </w:r>
      <w:r w:rsidR="0004722E">
        <w:rPr>
          <w:rFonts w:ascii="Garamond" w:hAnsi="Garamond" w:cs="Times New Roman"/>
          <w:color w:val="000000" w:themeColor="text1"/>
          <w:sz w:val="28"/>
          <w:szCs w:val="28"/>
        </w:rPr>
        <w:t xml:space="preserve"> del </w:t>
      </w:r>
      <w:r w:rsidR="004F0CCD">
        <w:rPr>
          <w:rFonts w:ascii="Garamond" w:hAnsi="Garamond" w:cs="Times New Roman"/>
          <w:color w:val="000000" w:themeColor="text1"/>
          <w:sz w:val="28"/>
          <w:szCs w:val="28"/>
        </w:rPr>
        <w:t>d.lgs.</w:t>
      </w:r>
      <w:r w:rsidR="00F24E24">
        <w:rPr>
          <w:rFonts w:ascii="Garamond" w:hAnsi="Garamond" w:cs="Times New Roman"/>
          <w:color w:val="000000" w:themeColor="text1"/>
          <w:sz w:val="28"/>
          <w:szCs w:val="28"/>
        </w:rPr>
        <w:t xml:space="preserve"> </w:t>
      </w:r>
      <w:r w:rsidRPr="004B34C5">
        <w:rPr>
          <w:rFonts w:ascii="Garamond" w:hAnsi="Garamond" w:cs="Times New Roman"/>
          <w:color w:val="000000" w:themeColor="text1"/>
          <w:sz w:val="28"/>
          <w:szCs w:val="28"/>
        </w:rPr>
        <w:t xml:space="preserve"> n. 28 del 2011 regolano le autorizzazioni e le relative procedure </w:t>
      </w:r>
      <w:r w:rsidRPr="004B34C5">
        <w:rPr>
          <w:rFonts w:ascii="Garamond" w:hAnsi="Garamond" w:cs="Times New Roman"/>
          <w:color w:val="000000" w:themeColor="text1"/>
          <w:sz w:val="28"/>
          <w:szCs w:val="28"/>
        </w:rPr>
        <w:lastRenderedPageBreak/>
        <w:t>amministrative, nel solco della «</w:t>
      </w:r>
      <w:r w:rsidRPr="00F24E24">
        <w:rPr>
          <w:rFonts w:ascii="Garamond" w:hAnsi="Garamond" w:cs="Times New Roman"/>
          <w:i/>
          <w:color w:val="000000" w:themeColor="text1"/>
          <w:sz w:val="28"/>
          <w:szCs w:val="28"/>
        </w:rPr>
        <w:t>semplificazione</w:t>
      </w:r>
      <w:r w:rsidRPr="004B34C5">
        <w:rPr>
          <w:rFonts w:ascii="Garamond" w:hAnsi="Garamond" w:cs="Times New Roman"/>
          <w:color w:val="000000" w:themeColor="text1"/>
          <w:sz w:val="28"/>
          <w:szCs w:val="28"/>
        </w:rPr>
        <w:t>» e dell'esigenza di «</w:t>
      </w:r>
      <w:r w:rsidRPr="00F24E24">
        <w:rPr>
          <w:rFonts w:ascii="Garamond" w:hAnsi="Garamond" w:cs="Times New Roman"/>
          <w:i/>
          <w:color w:val="000000" w:themeColor="text1"/>
          <w:sz w:val="28"/>
          <w:szCs w:val="28"/>
        </w:rPr>
        <w:t>rendere più rapida la costruzione degli impianti di produzione di energia alternativa</w:t>
      </w:r>
      <w:r w:rsidR="00F24E24">
        <w:rPr>
          <w:rFonts w:ascii="Garamond" w:hAnsi="Garamond" w:cs="Times New Roman"/>
          <w:color w:val="000000" w:themeColor="text1"/>
          <w:sz w:val="28"/>
          <w:szCs w:val="28"/>
        </w:rPr>
        <w:t xml:space="preserve">» (Corte cost., </w:t>
      </w:r>
      <w:r w:rsidRPr="004B34C5">
        <w:rPr>
          <w:rFonts w:ascii="Garamond" w:hAnsi="Garamond" w:cs="Times New Roman"/>
          <w:color w:val="000000" w:themeColor="text1"/>
          <w:sz w:val="28"/>
          <w:szCs w:val="28"/>
        </w:rPr>
        <w:t>n. 189 del 2014</w:t>
      </w:r>
      <w:r w:rsidR="00F24E24">
        <w:rPr>
          <w:rFonts w:ascii="Garamond" w:hAnsi="Garamond" w:cs="Times New Roman"/>
          <w:color w:val="000000" w:themeColor="text1"/>
          <w:sz w:val="28"/>
          <w:szCs w:val="28"/>
        </w:rPr>
        <w:t xml:space="preserve">; </w:t>
      </w:r>
      <w:r w:rsidRPr="004B34C5">
        <w:rPr>
          <w:rFonts w:ascii="Garamond" w:hAnsi="Garamond" w:cs="Times New Roman"/>
          <w:color w:val="000000" w:themeColor="text1"/>
          <w:sz w:val="28"/>
          <w:szCs w:val="28"/>
        </w:rPr>
        <w:t>n. 344 del 2010).</w:t>
      </w:r>
    </w:p>
    <w:p w:rsidR="0031299B" w:rsidRDefault="00F24E24" w:rsidP="00BF2644">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Pertanto</w:t>
      </w:r>
      <w:r w:rsidR="0031299B">
        <w:rPr>
          <w:rFonts w:ascii="Garamond" w:hAnsi="Garamond" w:cs="Times New Roman"/>
          <w:color w:val="000000" w:themeColor="text1"/>
          <w:sz w:val="28"/>
          <w:szCs w:val="28"/>
        </w:rPr>
        <w:t>:</w:t>
      </w:r>
    </w:p>
    <w:p w:rsidR="00FE158B" w:rsidRDefault="0031299B" w:rsidP="0031299B">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w:t>
      </w:r>
      <w:r w:rsidR="00F24E24">
        <w:rPr>
          <w:rFonts w:ascii="Garamond" w:hAnsi="Garamond" w:cs="Times New Roman"/>
          <w:color w:val="000000" w:themeColor="text1"/>
          <w:sz w:val="28"/>
          <w:szCs w:val="28"/>
        </w:rPr>
        <w:t xml:space="preserve"> </w:t>
      </w:r>
      <w:r w:rsidR="00A36C1E">
        <w:rPr>
          <w:rFonts w:ascii="Garamond" w:hAnsi="Garamond" w:cs="Times New Roman"/>
          <w:color w:val="000000" w:themeColor="text1"/>
          <w:sz w:val="28"/>
          <w:szCs w:val="28"/>
        </w:rPr>
        <w:t>l</w:t>
      </w:r>
      <w:r w:rsidR="008734F1">
        <w:rPr>
          <w:rFonts w:ascii="Garamond" w:hAnsi="Garamond" w:cs="Times New Roman"/>
          <w:color w:val="000000" w:themeColor="text1"/>
          <w:sz w:val="28"/>
          <w:szCs w:val="28"/>
        </w:rPr>
        <w:t>e R</w:t>
      </w:r>
      <w:r w:rsidR="004E1FFA" w:rsidRPr="00BF2644">
        <w:rPr>
          <w:rFonts w:ascii="Garamond" w:hAnsi="Garamond" w:cs="Times New Roman"/>
          <w:color w:val="000000" w:themeColor="text1"/>
          <w:sz w:val="28"/>
          <w:szCs w:val="28"/>
        </w:rPr>
        <w:t>egioni non possono sospendere le procedure di autorizzazione, né subordinarle a vincoli o condizioni non previste dalla normat</w:t>
      </w:r>
      <w:r w:rsidR="00F24E24">
        <w:rPr>
          <w:rFonts w:ascii="Garamond" w:hAnsi="Garamond" w:cs="Times New Roman"/>
          <w:color w:val="000000" w:themeColor="text1"/>
          <w:sz w:val="28"/>
          <w:szCs w:val="28"/>
        </w:rPr>
        <w:t xml:space="preserve">iva statale; </w:t>
      </w:r>
      <w:r w:rsidR="004E1FFA" w:rsidRPr="00BF2644">
        <w:rPr>
          <w:rFonts w:ascii="Garamond" w:hAnsi="Garamond" w:cs="Times New Roman"/>
          <w:color w:val="000000" w:themeColor="text1"/>
          <w:sz w:val="28"/>
          <w:szCs w:val="28"/>
        </w:rPr>
        <w:t>è soltanto nella sede del procedimento unico infatti, che «</w:t>
      </w:r>
      <w:r w:rsidR="004E1FFA" w:rsidRPr="00AD0860">
        <w:rPr>
          <w:rFonts w:ascii="Garamond" w:hAnsi="Garamond" w:cs="Times New Roman"/>
          <w:i/>
          <w:color w:val="000000" w:themeColor="text1"/>
          <w:sz w:val="28"/>
          <w:szCs w:val="28"/>
        </w:rPr>
        <w:t>può e deve avvenire la valutazione sincronica degli interessi pubblici coinvolti e meritevoli di tutela, a confronto sia con l’interesse del soggetto privato operatore economico, sia ancora (e non da ultimo) con ulteriori interessi di cui sono titolari singoli cittadini e comunità, e che trovano nei principi costituzionali la loro previsione e tutela. La struttura del procedimento amministrativo, infatti, rende possibili l’emersione di tali interessi, la loro adeguata prospettazione, nonché la pubblicità e la trasparenza della loro valutazione</w:t>
      </w:r>
      <w:r w:rsidR="00AD0860">
        <w:rPr>
          <w:rFonts w:ascii="Garamond" w:hAnsi="Garamond" w:cs="Times New Roman"/>
          <w:color w:val="000000" w:themeColor="text1"/>
          <w:sz w:val="28"/>
          <w:szCs w:val="28"/>
        </w:rPr>
        <w:t>» (</w:t>
      </w:r>
      <w:r w:rsidR="00F24E24" w:rsidRPr="00F24E24">
        <w:rPr>
          <w:rFonts w:ascii="Garamond" w:hAnsi="Garamond" w:cs="Times New Roman"/>
          <w:color w:val="000000" w:themeColor="text1"/>
          <w:sz w:val="28"/>
          <w:szCs w:val="28"/>
        </w:rPr>
        <w:t>Corte cost., n. 77 del 2022; n. 177 del 2021; n. 258 del 2020; n. 177 del 2018; n. 69 del 2018</w:t>
      </w:r>
      <w:r w:rsidR="00F24E24">
        <w:rPr>
          <w:rFonts w:ascii="Garamond" w:hAnsi="Garamond" w:cs="Times New Roman"/>
          <w:color w:val="000000" w:themeColor="text1"/>
          <w:sz w:val="28"/>
          <w:szCs w:val="28"/>
        </w:rPr>
        <w:t xml:space="preserve">; </w:t>
      </w:r>
      <w:r w:rsidR="0012585C">
        <w:rPr>
          <w:rFonts w:ascii="Garamond" w:hAnsi="Garamond" w:cs="Times New Roman"/>
          <w:color w:val="000000" w:themeColor="text1"/>
          <w:sz w:val="28"/>
          <w:szCs w:val="28"/>
        </w:rPr>
        <w:t>n. 124 del 2010</w:t>
      </w:r>
      <w:r w:rsidR="00F24E24" w:rsidRPr="00F24E24">
        <w:rPr>
          <w:rFonts w:ascii="Garamond" w:hAnsi="Garamond" w:cs="Times New Roman"/>
          <w:color w:val="000000" w:themeColor="text1"/>
          <w:sz w:val="28"/>
          <w:szCs w:val="28"/>
        </w:rPr>
        <w:t>;</w:t>
      </w:r>
      <w:r w:rsidR="00F24E24">
        <w:rPr>
          <w:rFonts w:ascii="Garamond" w:hAnsi="Garamond" w:cs="Times New Roman"/>
          <w:color w:val="000000" w:themeColor="text1"/>
          <w:sz w:val="28"/>
          <w:szCs w:val="28"/>
        </w:rPr>
        <w:t xml:space="preserve"> </w:t>
      </w:r>
      <w:r w:rsidR="004E1FFA" w:rsidRPr="00BF2644">
        <w:rPr>
          <w:rFonts w:ascii="Garamond" w:hAnsi="Garamond" w:cs="Times New Roman"/>
          <w:color w:val="000000" w:themeColor="text1"/>
          <w:sz w:val="28"/>
          <w:szCs w:val="28"/>
        </w:rPr>
        <w:t xml:space="preserve">più in generale, con riferimento </w:t>
      </w:r>
      <w:r w:rsidR="00E478C7">
        <w:rPr>
          <w:rFonts w:ascii="Garamond" w:hAnsi="Garamond" w:cs="Times New Roman"/>
          <w:color w:val="000000" w:themeColor="text1"/>
          <w:sz w:val="28"/>
          <w:szCs w:val="28"/>
        </w:rPr>
        <w:t xml:space="preserve">alle competenze primarie delle </w:t>
      </w:r>
      <w:r w:rsidR="003E3C55">
        <w:rPr>
          <w:rFonts w:ascii="Garamond" w:hAnsi="Garamond" w:cs="Times New Roman"/>
          <w:color w:val="000000" w:themeColor="text1"/>
          <w:sz w:val="28"/>
          <w:szCs w:val="28"/>
        </w:rPr>
        <w:t>r</w:t>
      </w:r>
      <w:r w:rsidR="003E3C55" w:rsidRPr="00BF2644">
        <w:rPr>
          <w:rFonts w:ascii="Garamond" w:hAnsi="Garamond" w:cs="Times New Roman"/>
          <w:color w:val="000000" w:themeColor="text1"/>
          <w:sz w:val="28"/>
          <w:szCs w:val="28"/>
        </w:rPr>
        <w:t>egioni a statuto speciale e d</w:t>
      </w:r>
      <w:r w:rsidR="003E3C55">
        <w:rPr>
          <w:rFonts w:ascii="Garamond" w:hAnsi="Garamond" w:cs="Times New Roman"/>
          <w:color w:val="000000" w:themeColor="text1"/>
          <w:sz w:val="28"/>
          <w:szCs w:val="28"/>
        </w:rPr>
        <w:t xml:space="preserve">elle province </w:t>
      </w:r>
      <w:r w:rsidR="00AD0860">
        <w:rPr>
          <w:rFonts w:ascii="Garamond" w:hAnsi="Garamond" w:cs="Times New Roman"/>
          <w:color w:val="000000" w:themeColor="text1"/>
          <w:sz w:val="28"/>
          <w:szCs w:val="28"/>
        </w:rPr>
        <w:t xml:space="preserve">autonome, Corte cost., </w:t>
      </w:r>
      <w:r>
        <w:rPr>
          <w:rFonts w:ascii="Garamond" w:hAnsi="Garamond" w:cs="Times New Roman"/>
          <w:color w:val="000000" w:themeColor="text1"/>
          <w:sz w:val="28"/>
          <w:szCs w:val="28"/>
        </w:rPr>
        <w:t xml:space="preserve">n. 117 del 2022); </w:t>
      </w:r>
      <w:r w:rsidR="00AD0860">
        <w:rPr>
          <w:rFonts w:ascii="Garamond" w:hAnsi="Garamond" w:cs="Times New Roman"/>
          <w:color w:val="000000" w:themeColor="text1"/>
          <w:sz w:val="28"/>
          <w:szCs w:val="28"/>
        </w:rPr>
        <w:t>n</w:t>
      </w:r>
      <w:r w:rsidR="004E1FFA" w:rsidRPr="00BF2644">
        <w:rPr>
          <w:rFonts w:ascii="Garamond" w:hAnsi="Garamond" w:cs="Times New Roman"/>
          <w:color w:val="000000" w:themeColor="text1"/>
          <w:sz w:val="28"/>
          <w:szCs w:val="28"/>
        </w:rPr>
        <w:t>on assume alcun rilievo la circostanza che la sospensione per il rilascio dell’autorizzazione</w:t>
      </w:r>
      <w:r w:rsidR="00E979C8">
        <w:rPr>
          <w:rFonts w:ascii="Garamond" w:hAnsi="Garamond" w:cs="Times New Roman"/>
          <w:color w:val="000000" w:themeColor="text1"/>
          <w:sz w:val="28"/>
          <w:szCs w:val="28"/>
        </w:rPr>
        <w:t xml:space="preserve"> prescritta dalla normativa regionale </w:t>
      </w:r>
      <w:r w:rsidR="00E979C8" w:rsidRPr="00BF2644">
        <w:rPr>
          <w:rFonts w:ascii="Garamond" w:hAnsi="Garamond" w:cs="Times New Roman"/>
          <w:color w:val="000000" w:themeColor="text1"/>
          <w:sz w:val="28"/>
          <w:szCs w:val="28"/>
        </w:rPr>
        <w:t>sia</w:t>
      </w:r>
      <w:r w:rsidR="004E1FFA" w:rsidRPr="00BF2644">
        <w:rPr>
          <w:rFonts w:ascii="Garamond" w:hAnsi="Garamond" w:cs="Times New Roman"/>
          <w:color w:val="000000" w:themeColor="text1"/>
          <w:sz w:val="28"/>
          <w:szCs w:val="28"/>
        </w:rPr>
        <w:t xml:space="preserve"> temporalmente circoscritta, anche con la fissazion</w:t>
      </w:r>
      <w:r w:rsidR="00AD0860">
        <w:rPr>
          <w:rFonts w:ascii="Garamond" w:hAnsi="Garamond" w:cs="Times New Roman"/>
          <w:color w:val="000000" w:themeColor="text1"/>
          <w:sz w:val="28"/>
          <w:szCs w:val="28"/>
        </w:rPr>
        <w:t xml:space="preserve">e di un termine </w:t>
      </w:r>
      <w:r w:rsidR="00E979C8">
        <w:rPr>
          <w:rFonts w:ascii="Garamond" w:hAnsi="Garamond" w:cs="Times New Roman"/>
          <w:color w:val="000000" w:themeColor="text1"/>
          <w:sz w:val="28"/>
          <w:szCs w:val="28"/>
        </w:rPr>
        <w:t>massimo, soprattutto</w:t>
      </w:r>
      <w:r w:rsidR="00AD0860">
        <w:rPr>
          <w:rFonts w:ascii="Garamond" w:hAnsi="Garamond" w:cs="Times New Roman"/>
          <w:color w:val="000000" w:themeColor="text1"/>
          <w:sz w:val="28"/>
          <w:szCs w:val="28"/>
        </w:rPr>
        <w:t xml:space="preserve"> laddove lo </w:t>
      </w:r>
      <w:r w:rsidR="00E979C8">
        <w:rPr>
          <w:rFonts w:ascii="Garamond" w:hAnsi="Garamond" w:cs="Times New Roman"/>
          <w:color w:val="000000" w:themeColor="text1"/>
          <w:sz w:val="28"/>
          <w:szCs w:val="28"/>
        </w:rPr>
        <w:t xml:space="preserve">stesso sia </w:t>
      </w:r>
      <w:r w:rsidR="00E979C8" w:rsidRPr="00BF2644">
        <w:rPr>
          <w:rFonts w:ascii="Garamond" w:hAnsi="Garamond" w:cs="Times New Roman"/>
          <w:color w:val="000000" w:themeColor="text1"/>
          <w:sz w:val="28"/>
          <w:szCs w:val="28"/>
        </w:rPr>
        <w:t>di</w:t>
      </w:r>
      <w:r w:rsidR="004E1FFA" w:rsidRPr="00BF2644">
        <w:rPr>
          <w:rFonts w:ascii="Garamond" w:hAnsi="Garamond" w:cs="Times New Roman"/>
          <w:color w:val="000000" w:themeColor="text1"/>
          <w:sz w:val="28"/>
          <w:szCs w:val="28"/>
        </w:rPr>
        <w:t xml:space="preserve"> gran lunga superiore a quello, di novanta giorni, che l’art. 12 del </w:t>
      </w:r>
      <w:r w:rsidR="004F0CCD">
        <w:rPr>
          <w:rFonts w:ascii="Garamond" w:hAnsi="Garamond" w:cs="Times New Roman"/>
          <w:color w:val="000000" w:themeColor="text1"/>
          <w:sz w:val="28"/>
          <w:szCs w:val="28"/>
        </w:rPr>
        <w:t>d.lgs.</w:t>
      </w:r>
      <w:r w:rsidR="004E1FFA" w:rsidRPr="00BF2644">
        <w:rPr>
          <w:rFonts w:ascii="Garamond" w:hAnsi="Garamond" w:cs="Times New Roman"/>
          <w:color w:val="000000" w:themeColor="text1"/>
          <w:sz w:val="28"/>
          <w:szCs w:val="28"/>
        </w:rPr>
        <w:t xml:space="preserve"> n. 387 del 2003 prescrive per la conclusione del procedimento unico ivi pre</w:t>
      </w:r>
      <w:r w:rsidR="00AD0860">
        <w:rPr>
          <w:rFonts w:ascii="Garamond" w:hAnsi="Garamond" w:cs="Times New Roman"/>
          <w:color w:val="000000" w:themeColor="text1"/>
          <w:sz w:val="28"/>
          <w:szCs w:val="28"/>
        </w:rPr>
        <w:t>visto (Corte cost.</w:t>
      </w:r>
      <w:r w:rsidR="00E979C8">
        <w:rPr>
          <w:rFonts w:ascii="Garamond" w:hAnsi="Garamond" w:cs="Times New Roman"/>
          <w:color w:val="000000" w:themeColor="text1"/>
          <w:sz w:val="28"/>
          <w:szCs w:val="28"/>
        </w:rPr>
        <w:t xml:space="preserve">, </w:t>
      </w:r>
      <w:r w:rsidR="004E1FFA" w:rsidRPr="00BF2644">
        <w:rPr>
          <w:rFonts w:ascii="Garamond" w:hAnsi="Garamond" w:cs="Times New Roman"/>
          <w:color w:val="000000" w:themeColor="text1"/>
          <w:sz w:val="28"/>
          <w:szCs w:val="28"/>
        </w:rPr>
        <w:t>n. 221 del 2022)</w:t>
      </w:r>
      <w:r>
        <w:rPr>
          <w:rFonts w:ascii="Garamond" w:hAnsi="Garamond" w:cs="Times New Roman"/>
          <w:color w:val="000000" w:themeColor="text1"/>
          <w:sz w:val="28"/>
          <w:szCs w:val="28"/>
        </w:rPr>
        <w:t>;</w:t>
      </w:r>
    </w:p>
    <w:p w:rsidR="0031299B" w:rsidRDefault="00A36C1E" w:rsidP="0031299B">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l</w:t>
      </w:r>
      <w:r w:rsidR="00FE158B" w:rsidRPr="00BF2644">
        <w:rPr>
          <w:rFonts w:ascii="Garamond" w:hAnsi="Garamond" w:cs="Times New Roman"/>
          <w:color w:val="000000" w:themeColor="text1"/>
          <w:sz w:val="28"/>
          <w:szCs w:val="28"/>
        </w:rPr>
        <w:t>e linee guida, emanate con il d.m. 10 settembre 2010, disciplinano l'inserimento degli impianti nel contesto del paesa</w:t>
      </w:r>
      <w:r w:rsidR="00770CFE">
        <w:rPr>
          <w:rFonts w:ascii="Garamond" w:hAnsi="Garamond" w:cs="Times New Roman"/>
          <w:color w:val="000000" w:themeColor="text1"/>
          <w:sz w:val="28"/>
          <w:szCs w:val="28"/>
        </w:rPr>
        <w:t>ggio, vincolando, quali princì</w:t>
      </w:r>
      <w:r w:rsidR="00F24E24">
        <w:rPr>
          <w:rFonts w:ascii="Garamond" w:hAnsi="Garamond" w:cs="Times New Roman"/>
          <w:color w:val="000000" w:themeColor="text1"/>
          <w:sz w:val="28"/>
          <w:szCs w:val="28"/>
        </w:rPr>
        <w:t>pi</w:t>
      </w:r>
      <w:r w:rsidR="00FE158B" w:rsidRPr="00BF2644">
        <w:rPr>
          <w:rFonts w:ascii="Garamond" w:hAnsi="Garamond" w:cs="Times New Roman"/>
          <w:color w:val="000000" w:themeColor="text1"/>
          <w:sz w:val="28"/>
          <w:szCs w:val="28"/>
        </w:rPr>
        <w:t xml:space="preserve"> generali della materia, «</w:t>
      </w:r>
      <w:r w:rsidR="00FE158B" w:rsidRPr="00F24E24">
        <w:rPr>
          <w:rFonts w:ascii="Garamond" w:hAnsi="Garamond" w:cs="Times New Roman"/>
          <w:i/>
          <w:color w:val="000000" w:themeColor="text1"/>
          <w:sz w:val="28"/>
          <w:szCs w:val="28"/>
        </w:rPr>
        <w:t>tutto il territorio nazionale</w:t>
      </w:r>
      <w:r w:rsidR="00FE158B" w:rsidRPr="00BF2644">
        <w:rPr>
          <w:rFonts w:ascii="Garamond" w:hAnsi="Garamond" w:cs="Times New Roman"/>
          <w:color w:val="000000" w:themeColor="text1"/>
          <w:sz w:val="28"/>
          <w:szCs w:val="28"/>
        </w:rPr>
        <w:t>» (</w:t>
      </w:r>
      <w:r w:rsidR="00F24E24">
        <w:rPr>
          <w:rFonts w:ascii="Garamond" w:hAnsi="Garamond" w:cs="Times New Roman"/>
          <w:color w:val="000000" w:themeColor="text1"/>
          <w:sz w:val="28"/>
          <w:szCs w:val="28"/>
        </w:rPr>
        <w:t xml:space="preserve">Corte cost. n. 77 del 2022, con richiamo alle sentenze n. 11 del 2022, </w:t>
      </w:r>
      <w:r w:rsidR="00FE158B" w:rsidRPr="00BF2644">
        <w:rPr>
          <w:rFonts w:ascii="Garamond" w:hAnsi="Garamond" w:cs="Times New Roman"/>
          <w:color w:val="000000" w:themeColor="text1"/>
          <w:sz w:val="28"/>
          <w:szCs w:val="28"/>
        </w:rPr>
        <w:t xml:space="preserve">n. 177 e n. 46 del 2021, n. 106 del 2020, n. 286 e n. 86 </w:t>
      </w:r>
      <w:r w:rsidR="0031299B">
        <w:rPr>
          <w:rFonts w:ascii="Garamond" w:hAnsi="Garamond" w:cs="Times New Roman"/>
          <w:color w:val="000000" w:themeColor="text1"/>
          <w:sz w:val="28"/>
          <w:szCs w:val="28"/>
        </w:rPr>
        <w:t>del 2019, n. 69 del 2018</w:t>
      </w:r>
      <w:r w:rsidR="00FE158B" w:rsidRPr="00BF2644">
        <w:rPr>
          <w:rFonts w:ascii="Garamond" w:hAnsi="Garamond" w:cs="Times New Roman"/>
          <w:color w:val="000000" w:themeColor="text1"/>
          <w:sz w:val="28"/>
          <w:szCs w:val="28"/>
        </w:rPr>
        <w:t>). Le relative norme sono, infatti, espressione della leale collaborazione fra</w:t>
      </w:r>
      <w:r w:rsidR="00F24E24">
        <w:rPr>
          <w:rFonts w:ascii="Garamond" w:hAnsi="Garamond" w:cs="Times New Roman"/>
          <w:color w:val="000000" w:themeColor="text1"/>
          <w:sz w:val="28"/>
          <w:szCs w:val="28"/>
        </w:rPr>
        <w:t xml:space="preserve"> Stato e regioni (Corte cost., n. 177 del 2021; </w:t>
      </w:r>
      <w:r w:rsidR="0031299B">
        <w:rPr>
          <w:rFonts w:ascii="Garamond" w:hAnsi="Garamond" w:cs="Times New Roman"/>
          <w:color w:val="000000" w:themeColor="text1"/>
          <w:sz w:val="28"/>
          <w:szCs w:val="28"/>
        </w:rPr>
        <w:t>n. 106 del 2020</w:t>
      </w:r>
      <w:r w:rsidR="00FE158B" w:rsidRPr="00BF2644">
        <w:rPr>
          <w:rFonts w:ascii="Garamond" w:hAnsi="Garamond" w:cs="Times New Roman"/>
          <w:color w:val="000000" w:themeColor="text1"/>
          <w:sz w:val="28"/>
          <w:szCs w:val="28"/>
        </w:rPr>
        <w:t xml:space="preserve"> e </w:t>
      </w:r>
      <w:r w:rsidR="00F24E24">
        <w:rPr>
          <w:rFonts w:ascii="Garamond" w:hAnsi="Garamond" w:cs="Times New Roman"/>
          <w:color w:val="000000" w:themeColor="text1"/>
          <w:sz w:val="28"/>
          <w:szCs w:val="28"/>
        </w:rPr>
        <w:t xml:space="preserve">n. </w:t>
      </w:r>
      <w:r w:rsidR="00FE158B" w:rsidRPr="00BF2644">
        <w:rPr>
          <w:rFonts w:ascii="Garamond" w:hAnsi="Garamond" w:cs="Times New Roman"/>
          <w:color w:val="000000" w:themeColor="text1"/>
          <w:sz w:val="28"/>
          <w:szCs w:val="28"/>
        </w:rPr>
        <w:t>n. 308 del 2011) e rappresentano, «</w:t>
      </w:r>
      <w:r w:rsidR="00FE158B" w:rsidRPr="00F24E24">
        <w:rPr>
          <w:rFonts w:ascii="Garamond" w:hAnsi="Garamond" w:cs="Times New Roman"/>
          <w:i/>
          <w:color w:val="000000" w:themeColor="text1"/>
          <w:sz w:val="28"/>
          <w:szCs w:val="28"/>
        </w:rPr>
        <w:t>in settori squisitamente tecnici, il […] completamento</w:t>
      </w:r>
      <w:r w:rsidR="00FE158B" w:rsidRPr="00BF2644">
        <w:rPr>
          <w:rFonts w:ascii="Garamond" w:hAnsi="Garamond" w:cs="Times New Roman"/>
          <w:color w:val="000000" w:themeColor="text1"/>
          <w:sz w:val="28"/>
          <w:szCs w:val="28"/>
        </w:rPr>
        <w:t>» della normativa primaria (</w:t>
      </w:r>
      <w:r w:rsidR="00F24E24">
        <w:rPr>
          <w:rFonts w:ascii="Garamond" w:hAnsi="Garamond" w:cs="Times New Roman"/>
          <w:color w:val="000000" w:themeColor="text1"/>
          <w:sz w:val="28"/>
          <w:szCs w:val="28"/>
        </w:rPr>
        <w:t xml:space="preserve">Corte cost., n. 77 del 2022; n. 177 del 2021; n. 106 del 2020; n. 286 del 2019; </w:t>
      </w:r>
      <w:r w:rsidR="0031299B" w:rsidRPr="0031299B">
        <w:rPr>
          <w:rFonts w:ascii="Garamond" w:hAnsi="Garamond" w:cs="Times New Roman"/>
          <w:color w:val="000000" w:themeColor="text1"/>
          <w:sz w:val="28"/>
          <w:szCs w:val="28"/>
        </w:rPr>
        <w:t xml:space="preserve">n. 86 del 2019; </w:t>
      </w:r>
      <w:r w:rsidR="00F24E24">
        <w:rPr>
          <w:rFonts w:ascii="Garamond" w:hAnsi="Garamond" w:cs="Times New Roman"/>
          <w:color w:val="000000" w:themeColor="text1"/>
          <w:sz w:val="28"/>
          <w:szCs w:val="28"/>
        </w:rPr>
        <w:t>n.  69 del 2018</w:t>
      </w:r>
      <w:r w:rsidR="009835B4">
        <w:rPr>
          <w:rFonts w:ascii="Garamond" w:hAnsi="Garamond" w:cs="Times New Roman"/>
          <w:color w:val="000000" w:themeColor="text1"/>
          <w:sz w:val="28"/>
          <w:szCs w:val="28"/>
        </w:rPr>
        <w:t>);</w:t>
      </w:r>
    </w:p>
    <w:p w:rsidR="0031299B" w:rsidRDefault="0031299B" w:rsidP="0031299B">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 </w:t>
      </w:r>
      <w:r w:rsidR="00FE158B" w:rsidRPr="00BF2644">
        <w:rPr>
          <w:rFonts w:ascii="Garamond" w:hAnsi="Garamond" w:cs="Times New Roman"/>
          <w:color w:val="000000" w:themeColor="text1"/>
          <w:sz w:val="28"/>
          <w:szCs w:val="28"/>
        </w:rPr>
        <w:t xml:space="preserve"> </w:t>
      </w:r>
      <w:r w:rsidR="00A36C1E">
        <w:rPr>
          <w:rFonts w:ascii="Garamond" w:hAnsi="Garamond" w:cs="Times New Roman"/>
          <w:color w:val="000000" w:themeColor="text1"/>
          <w:sz w:val="28"/>
          <w:szCs w:val="28"/>
        </w:rPr>
        <w:t>l</w:t>
      </w:r>
      <w:r w:rsidR="00FE158B" w:rsidRPr="00BF2644">
        <w:rPr>
          <w:rFonts w:ascii="Garamond" w:hAnsi="Garamond" w:cs="Times New Roman"/>
          <w:color w:val="000000" w:themeColor="text1"/>
          <w:sz w:val="28"/>
          <w:szCs w:val="28"/>
        </w:rPr>
        <w:t xml:space="preserve">e linee guida, nel regolare l'inserimento degli impianti nel paesaggio e sul territorio (parte IV), da un lato, individuano requisiti che costituiscono elementi positivi ai fini dell'autorizzazione del progetto (par. 16) e, da un altro lato, rimettono </w:t>
      </w:r>
      <w:r w:rsidR="003E3C55" w:rsidRPr="00BF2644">
        <w:rPr>
          <w:rFonts w:ascii="Garamond" w:hAnsi="Garamond" w:cs="Times New Roman"/>
          <w:color w:val="000000" w:themeColor="text1"/>
          <w:sz w:val="28"/>
          <w:szCs w:val="28"/>
        </w:rPr>
        <w:t>a</w:t>
      </w:r>
      <w:r w:rsidR="003E3C55">
        <w:rPr>
          <w:rFonts w:ascii="Garamond" w:hAnsi="Garamond" w:cs="Times New Roman"/>
          <w:color w:val="000000" w:themeColor="text1"/>
          <w:sz w:val="28"/>
          <w:szCs w:val="28"/>
        </w:rPr>
        <w:t>lle regioni e alle p</w:t>
      </w:r>
      <w:r w:rsidR="003E3C55" w:rsidRPr="00BF2644">
        <w:rPr>
          <w:rFonts w:ascii="Garamond" w:hAnsi="Garamond" w:cs="Times New Roman"/>
          <w:color w:val="000000" w:themeColor="text1"/>
          <w:sz w:val="28"/>
          <w:szCs w:val="28"/>
        </w:rPr>
        <w:t>rovince autonome la fac</w:t>
      </w:r>
      <w:r w:rsidR="00FE158B" w:rsidRPr="00BF2644">
        <w:rPr>
          <w:rFonts w:ascii="Garamond" w:hAnsi="Garamond" w:cs="Times New Roman"/>
          <w:color w:val="000000" w:themeColor="text1"/>
          <w:sz w:val="28"/>
          <w:szCs w:val="28"/>
        </w:rPr>
        <w:t>oltà di determinare, previa istruttoria amministrativa, l'individuazione di aree e siti non idonei, nel rispetto delle condizioni dett</w:t>
      </w:r>
      <w:r>
        <w:rPr>
          <w:rFonts w:ascii="Garamond" w:hAnsi="Garamond" w:cs="Times New Roman"/>
          <w:color w:val="000000" w:themeColor="text1"/>
          <w:sz w:val="28"/>
          <w:szCs w:val="28"/>
        </w:rPr>
        <w:t>ate dal par. 17 e dall'al</w:t>
      </w:r>
      <w:r w:rsidR="006C564E">
        <w:rPr>
          <w:rFonts w:ascii="Garamond" w:hAnsi="Garamond" w:cs="Times New Roman"/>
          <w:color w:val="000000" w:themeColor="text1"/>
          <w:sz w:val="28"/>
          <w:szCs w:val="28"/>
        </w:rPr>
        <w:t>l.</w:t>
      </w:r>
      <w:r>
        <w:rPr>
          <w:rFonts w:ascii="Garamond" w:hAnsi="Garamond" w:cs="Times New Roman"/>
          <w:color w:val="000000" w:themeColor="text1"/>
          <w:sz w:val="28"/>
          <w:szCs w:val="28"/>
        </w:rPr>
        <w:t xml:space="preserve"> 3, </w:t>
      </w:r>
      <w:r w:rsidR="00FE158B" w:rsidRPr="00BF2644">
        <w:rPr>
          <w:rFonts w:ascii="Garamond" w:hAnsi="Garamond" w:cs="Times New Roman"/>
          <w:color w:val="000000" w:themeColor="text1"/>
          <w:sz w:val="28"/>
          <w:szCs w:val="28"/>
        </w:rPr>
        <w:t>al mero fine di agevolare le procedure autorizzative. L'identificazione di tali aree comporta, infatti, «</w:t>
      </w:r>
      <w:r w:rsidR="00FE158B" w:rsidRPr="0031299B">
        <w:rPr>
          <w:rFonts w:ascii="Garamond" w:hAnsi="Garamond" w:cs="Times New Roman"/>
          <w:i/>
          <w:color w:val="000000" w:themeColor="text1"/>
          <w:sz w:val="28"/>
          <w:szCs w:val="28"/>
        </w:rPr>
        <w:t>una elevata probabilità di esito negativo delle valutazioni, in sede di autorizzazione</w:t>
      </w:r>
      <w:r>
        <w:rPr>
          <w:rFonts w:ascii="Garamond" w:hAnsi="Garamond" w:cs="Times New Roman"/>
          <w:color w:val="000000" w:themeColor="text1"/>
          <w:sz w:val="28"/>
          <w:szCs w:val="28"/>
        </w:rPr>
        <w:t>» (Corte cost.,  n. 11 del 2022</w:t>
      </w:r>
      <w:r w:rsidR="00FE158B" w:rsidRPr="00BF2644">
        <w:rPr>
          <w:rFonts w:ascii="Garamond" w:hAnsi="Garamond" w:cs="Times New Roman"/>
          <w:color w:val="000000" w:themeColor="text1"/>
          <w:sz w:val="28"/>
          <w:szCs w:val="28"/>
        </w:rPr>
        <w:t>), e, dunque, integra un giudizio di primo livello «</w:t>
      </w:r>
      <w:r w:rsidR="00FE158B" w:rsidRPr="0031299B">
        <w:rPr>
          <w:rFonts w:ascii="Garamond" w:hAnsi="Garamond" w:cs="Times New Roman"/>
          <w:i/>
          <w:color w:val="000000" w:themeColor="text1"/>
          <w:sz w:val="28"/>
          <w:szCs w:val="28"/>
        </w:rPr>
        <w:t>con finalità acceleratorie, spettando poi al procedimento di autorizzazione il compito di verificare</w:t>
      </w:r>
      <w:r>
        <w:rPr>
          <w:rFonts w:ascii="Garamond" w:hAnsi="Garamond" w:cs="Times New Roman"/>
          <w:color w:val="000000" w:themeColor="text1"/>
          <w:sz w:val="28"/>
          <w:szCs w:val="28"/>
        </w:rPr>
        <w:t xml:space="preserve">» (Corte cost., </w:t>
      </w:r>
      <w:r w:rsidR="00FE158B" w:rsidRPr="00BF2644">
        <w:rPr>
          <w:rFonts w:ascii="Garamond" w:hAnsi="Garamond" w:cs="Times New Roman"/>
          <w:color w:val="000000" w:themeColor="text1"/>
          <w:sz w:val="28"/>
          <w:szCs w:val="28"/>
        </w:rPr>
        <w:t xml:space="preserve"> n. 77 del 2022, cit.) «</w:t>
      </w:r>
      <w:r w:rsidR="00FE158B" w:rsidRPr="0031299B">
        <w:rPr>
          <w:rFonts w:ascii="Garamond" w:hAnsi="Garamond" w:cs="Times New Roman"/>
          <w:i/>
          <w:color w:val="000000" w:themeColor="text1"/>
          <w:sz w:val="28"/>
          <w:szCs w:val="28"/>
        </w:rPr>
        <w:t>se l'impianto così come effettivamente progettato, considerati i vincoli insistenti sull'area, possa essere realizzabile</w:t>
      </w:r>
      <w:r>
        <w:rPr>
          <w:rFonts w:ascii="Garamond" w:hAnsi="Garamond" w:cs="Times New Roman"/>
          <w:color w:val="000000" w:themeColor="text1"/>
          <w:sz w:val="28"/>
          <w:szCs w:val="28"/>
        </w:rPr>
        <w:t>» (Corte cost.,  n. 177 del 2021);</w:t>
      </w:r>
    </w:p>
    <w:p w:rsidR="00FE158B" w:rsidRDefault="0031299B" w:rsidP="0031299B">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 </w:t>
      </w:r>
      <w:r w:rsidR="00A36C1E">
        <w:rPr>
          <w:rFonts w:ascii="Garamond" w:hAnsi="Garamond" w:cs="Times New Roman"/>
          <w:color w:val="000000" w:themeColor="text1"/>
          <w:sz w:val="28"/>
          <w:szCs w:val="28"/>
        </w:rPr>
        <w:t>i</w:t>
      </w:r>
      <w:r w:rsidR="00FE158B" w:rsidRPr="00BF2644">
        <w:rPr>
          <w:rFonts w:ascii="Garamond" w:hAnsi="Garamond" w:cs="Times New Roman"/>
          <w:color w:val="000000" w:themeColor="text1"/>
          <w:sz w:val="28"/>
          <w:szCs w:val="28"/>
        </w:rPr>
        <w:t xml:space="preserve">l meccanismo </w:t>
      </w:r>
      <w:r w:rsidR="007B0E07">
        <w:rPr>
          <w:rFonts w:ascii="Garamond" w:hAnsi="Garamond" w:cs="Times New Roman"/>
          <w:color w:val="000000" w:themeColor="text1"/>
          <w:sz w:val="28"/>
          <w:szCs w:val="28"/>
        </w:rPr>
        <w:t xml:space="preserve">disegnato dalle linee guida ha </w:t>
      </w:r>
      <w:r w:rsidR="00FE158B" w:rsidRPr="00BF2644">
        <w:rPr>
          <w:rFonts w:ascii="Garamond" w:hAnsi="Garamond" w:cs="Times New Roman"/>
          <w:color w:val="000000" w:themeColor="text1"/>
          <w:sz w:val="28"/>
          <w:szCs w:val="28"/>
        </w:rPr>
        <w:t>l'obiettivo di preservare il paesaggio e, contestualmente, di garantire la celerità de</w:t>
      </w:r>
      <w:r w:rsidR="00D343D0">
        <w:rPr>
          <w:rFonts w:ascii="Garamond" w:hAnsi="Garamond" w:cs="Times New Roman"/>
          <w:color w:val="000000" w:themeColor="text1"/>
          <w:sz w:val="28"/>
          <w:szCs w:val="28"/>
        </w:rPr>
        <w:t>lle procedure, assegnando alle Regioni e alle P</w:t>
      </w:r>
      <w:r w:rsidR="00FE158B" w:rsidRPr="00BF2644">
        <w:rPr>
          <w:rFonts w:ascii="Garamond" w:hAnsi="Garamond" w:cs="Times New Roman"/>
          <w:color w:val="000000" w:themeColor="text1"/>
          <w:sz w:val="28"/>
          <w:szCs w:val="28"/>
        </w:rPr>
        <w:t>rovince au</w:t>
      </w:r>
      <w:r>
        <w:rPr>
          <w:rFonts w:ascii="Garamond" w:hAnsi="Garamond" w:cs="Times New Roman"/>
          <w:color w:val="000000" w:themeColor="text1"/>
          <w:sz w:val="28"/>
          <w:szCs w:val="28"/>
        </w:rPr>
        <w:t>tonome il compito di segnalare -</w:t>
      </w:r>
      <w:r w:rsidR="00FE158B" w:rsidRPr="00BF2644">
        <w:rPr>
          <w:rFonts w:ascii="Garamond" w:hAnsi="Garamond" w:cs="Times New Roman"/>
          <w:color w:val="000000" w:themeColor="text1"/>
          <w:sz w:val="28"/>
          <w:szCs w:val="28"/>
        </w:rPr>
        <w:t xml:space="preserve"> attraverso le aree e i siti non </w:t>
      </w:r>
      <w:r>
        <w:rPr>
          <w:rFonts w:ascii="Garamond" w:hAnsi="Garamond" w:cs="Times New Roman"/>
          <w:color w:val="000000" w:themeColor="text1"/>
          <w:sz w:val="28"/>
          <w:szCs w:val="28"/>
        </w:rPr>
        <w:t>idonei -</w:t>
      </w:r>
      <w:r w:rsidR="00FE158B" w:rsidRPr="00BF2644">
        <w:rPr>
          <w:rFonts w:ascii="Garamond" w:hAnsi="Garamond" w:cs="Times New Roman"/>
          <w:color w:val="000000" w:themeColor="text1"/>
          <w:sz w:val="28"/>
          <w:szCs w:val="28"/>
        </w:rPr>
        <w:t xml:space="preserve"> meri indici rivelatori di possibili esigenze di tutela del paesaggio. Non è dato, invece, inferire dai citati prin</w:t>
      </w:r>
      <w:r w:rsidR="00770CFE">
        <w:rPr>
          <w:rFonts w:ascii="Garamond" w:hAnsi="Garamond" w:cs="Times New Roman"/>
          <w:color w:val="000000" w:themeColor="text1"/>
          <w:sz w:val="28"/>
          <w:szCs w:val="28"/>
        </w:rPr>
        <w:t>cì</w:t>
      </w:r>
      <w:r>
        <w:rPr>
          <w:rFonts w:ascii="Garamond" w:hAnsi="Garamond" w:cs="Times New Roman"/>
          <w:color w:val="000000" w:themeColor="text1"/>
          <w:sz w:val="28"/>
          <w:szCs w:val="28"/>
        </w:rPr>
        <w:t>pi</w:t>
      </w:r>
      <w:r w:rsidR="00FE158B" w:rsidRPr="00BF2644">
        <w:rPr>
          <w:rFonts w:ascii="Garamond" w:hAnsi="Garamond" w:cs="Times New Roman"/>
          <w:color w:val="000000" w:themeColor="text1"/>
          <w:sz w:val="28"/>
          <w:szCs w:val="28"/>
        </w:rPr>
        <w:t xml:space="preserve"> un potere delle «</w:t>
      </w:r>
      <w:r w:rsidR="00FE158B" w:rsidRPr="00D10062">
        <w:rPr>
          <w:rFonts w:ascii="Garamond" w:hAnsi="Garamond" w:cs="Times New Roman"/>
          <w:i/>
          <w:color w:val="000000" w:themeColor="text1"/>
          <w:sz w:val="28"/>
          <w:szCs w:val="28"/>
        </w:rPr>
        <w:t>regioni […] di provvedere autonomamente all'individuazione di criteri per il corretto inserimento nel paesaggio degli impianti alimentati da fonti di energia alternativa</w:t>
      </w:r>
      <w:r w:rsidR="00D10062">
        <w:rPr>
          <w:rFonts w:ascii="Garamond" w:hAnsi="Garamond" w:cs="Times New Roman"/>
          <w:color w:val="000000" w:themeColor="text1"/>
          <w:sz w:val="28"/>
          <w:szCs w:val="28"/>
        </w:rPr>
        <w:t xml:space="preserve">» (Corte </w:t>
      </w:r>
      <w:r w:rsidR="00D10062">
        <w:rPr>
          <w:rFonts w:ascii="Garamond" w:hAnsi="Garamond" w:cs="Times New Roman"/>
          <w:color w:val="000000" w:themeColor="text1"/>
          <w:sz w:val="28"/>
          <w:szCs w:val="28"/>
        </w:rPr>
        <w:lastRenderedPageBreak/>
        <w:t>cost. n. 168 del 2010;</w:t>
      </w:r>
      <w:r w:rsidR="00FE158B" w:rsidRPr="00BF2644">
        <w:rPr>
          <w:rFonts w:ascii="Garamond" w:hAnsi="Garamond" w:cs="Times New Roman"/>
          <w:color w:val="000000" w:themeColor="text1"/>
          <w:sz w:val="28"/>
          <w:szCs w:val="28"/>
        </w:rPr>
        <w:t xml:space="preserve"> in termini simili anche </w:t>
      </w:r>
      <w:r w:rsidR="009B0078">
        <w:rPr>
          <w:rFonts w:ascii="Garamond" w:hAnsi="Garamond" w:cs="Times New Roman"/>
          <w:color w:val="000000" w:themeColor="text1"/>
          <w:sz w:val="28"/>
          <w:szCs w:val="28"/>
        </w:rPr>
        <w:t>Corte c</w:t>
      </w:r>
      <w:r w:rsidR="00D10062">
        <w:rPr>
          <w:rFonts w:ascii="Garamond" w:hAnsi="Garamond" w:cs="Times New Roman"/>
          <w:color w:val="000000" w:themeColor="text1"/>
          <w:sz w:val="28"/>
          <w:szCs w:val="28"/>
        </w:rPr>
        <w:t>ost., n. 106 del 2020;</w:t>
      </w:r>
      <w:r w:rsidR="003E3C55">
        <w:rPr>
          <w:rFonts w:ascii="Garamond" w:hAnsi="Garamond" w:cs="Times New Roman"/>
          <w:color w:val="000000" w:themeColor="text1"/>
          <w:sz w:val="28"/>
          <w:szCs w:val="28"/>
        </w:rPr>
        <w:t xml:space="preserve"> </w:t>
      </w:r>
      <w:r w:rsidR="00D10062">
        <w:rPr>
          <w:rFonts w:ascii="Garamond" w:hAnsi="Garamond" w:cs="Times New Roman"/>
          <w:color w:val="000000" w:themeColor="text1"/>
          <w:sz w:val="28"/>
          <w:szCs w:val="28"/>
        </w:rPr>
        <w:t xml:space="preserve">n. 298 del </w:t>
      </w:r>
      <w:proofErr w:type="gramStart"/>
      <w:r w:rsidR="00D10062">
        <w:rPr>
          <w:rFonts w:ascii="Garamond" w:hAnsi="Garamond" w:cs="Times New Roman"/>
          <w:color w:val="000000" w:themeColor="text1"/>
          <w:sz w:val="28"/>
          <w:szCs w:val="28"/>
        </w:rPr>
        <w:t>2013;  n.</w:t>
      </w:r>
      <w:proofErr w:type="gramEnd"/>
      <w:r w:rsidR="00D10062">
        <w:rPr>
          <w:rFonts w:ascii="Garamond" w:hAnsi="Garamond" w:cs="Times New Roman"/>
          <w:color w:val="000000" w:themeColor="text1"/>
          <w:sz w:val="28"/>
          <w:szCs w:val="28"/>
        </w:rPr>
        <w:t xml:space="preserve"> </w:t>
      </w:r>
      <w:r w:rsidR="00FE158B" w:rsidRPr="00BF2644">
        <w:rPr>
          <w:rFonts w:ascii="Garamond" w:hAnsi="Garamond" w:cs="Times New Roman"/>
          <w:color w:val="000000" w:themeColor="text1"/>
          <w:sz w:val="28"/>
          <w:szCs w:val="28"/>
        </w:rPr>
        <w:t xml:space="preserve"> 308 del 2011, cit.), né a fortiori quello di creare preclusioni assolute e aprioristiche che inibiscano ogni accertamento in concreto da effettuare in sede autorizzativa (</w:t>
      </w:r>
      <w:r w:rsidR="00D10062">
        <w:rPr>
          <w:rFonts w:ascii="Garamond" w:hAnsi="Garamond" w:cs="Times New Roman"/>
          <w:color w:val="000000" w:themeColor="text1"/>
          <w:sz w:val="28"/>
          <w:szCs w:val="28"/>
        </w:rPr>
        <w:t>Corte cost., n. 106 del 2020; n. 286 del 2019</w:t>
      </w:r>
      <w:r w:rsidR="00E7384B">
        <w:rPr>
          <w:rFonts w:ascii="Garamond" w:hAnsi="Garamond" w:cs="Times New Roman"/>
          <w:color w:val="000000" w:themeColor="text1"/>
          <w:sz w:val="28"/>
          <w:szCs w:val="28"/>
        </w:rPr>
        <w:t>);</w:t>
      </w:r>
    </w:p>
    <w:p w:rsidR="00E7384B" w:rsidRPr="009E16C6" w:rsidRDefault="00A36C1E" w:rsidP="0031299B">
      <w:pPr>
        <w:spacing w:line="240" w:lineRule="auto"/>
        <w:ind w:firstLine="709"/>
        <w:contextualSpacing/>
        <w:jc w:val="both"/>
        <w:rPr>
          <w:rFonts w:ascii="Garamond" w:hAnsi="Garamond" w:cs="Times New Roman"/>
          <w:color w:val="000000" w:themeColor="text1"/>
          <w:sz w:val="28"/>
          <w:szCs w:val="28"/>
        </w:rPr>
      </w:pPr>
      <w:r w:rsidRPr="009E16C6">
        <w:rPr>
          <w:rFonts w:ascii="Garamond" w:hAnsi="Garamond" w:cs="Times New Roman"/>
          <w:color w:val="000000" w:themeColor="text1"/>
          <w:sz w:val="28"/>
          <w:szCs w:val="28"/>
        </w:rPr>
        <w:t>- l</w:t>
      </w:r>
      <w:r w:rsidR="00E7384B" w:rsidRPr="009E16C6">
        <w:rPr>
          <w:rFonts w:ascii="Garamond" w:hAnsi="Garamond" w:cs="Times New Roman"/>
          <w:color w:val="000000" w:themeColor="text1"/>
          <w:sz w:val="28"/>
          <w:szCs w:val="28"/>
        </w:rPr>
        <w:t xml:space="preserve">a </w:t>
      </w:r>
      <w:r w:rsidR="003E3C55" w:rsidRPr="009E16C6">
        <w:rPr>
          <w:rFonts w:ascii="Garamond" w:hAnsi="Garamond" w:cs="Times New Roman"/>
          <w:color w:val="000000" w:themeColor="text1"/>
          <w:sz w:val="28"/>
          <w:szCs w:val="28"/>
        </w:rPr>
        <w:t>r</w:t>
      </w:r>
      <w:r w:rsidR="002D4208" w:rsidRPr="009E16C6">
        <w:rPr>
          <w:rFonts w:ascii="Garamond" w:hAnsi="Garamond" w:cs="Times New Roman"/>
          <w:color w:val="000000" w:themeColor="text1"/>
          <w:sz w:val="28"/>
          <w:szCs w:val="28"/>
        </w:rPr>
        <w:t xml:space="preserve">egione </w:t>
      </w:r>
      <w:r w:rsidR="00E7384B" w:rsidRPr="009E16C6">
        <w:rPr>
          <w:rFonts w:ascii="Garamond" w:hAnsi="Garamond" w:cs="Times New Roman"/>
          <w:color w:val="000000" w:themeColor="text1"/>
          <w:sz w:val="28"/>
          <w:szCs w:val="28"/>
        </w:rPr>
        <w:t>non può introdurre “</w:t>
      </w:r>
      <w:r w:rsidR="00E7384B" w:rsidRPr="009E16C6">
        <w:rPr>
          <w:rFonts w:ascii="Garamond" w:hAnsi="Garamond" w:cs="Times New Roman"/>
          <w:i/>
          <w:color w:val="000000" w:themeColor="text1"/>
          <w:sz w:val="28"/>
          <w:szCs w:val="28"/>
        </w:rPr>
        <w:t>limitazioni alla localizzazione</w:t>
      </w:r>
      <w:r w:rsidR="00E7384B" w:rsidRPr="009E16C6">
        <w:rPr>
          <w:rFonts w:ascii="Garamond" w:hAnsi="Garamond" w:cs="Times New Roman"/>
          <w:color w:val="000000" w:themeColor="text1"/>
          <w:sz w:val="28"/>
          <w:szCs w:val="28"/>
        </w:rPr>
        <w:t>”, ma può somministrare “</w:t>
      </w:r>
      <w:r w:rsidR="00E7384B" w:rsidRPr="009E16C6">
        <w:rPr>
          <w:rFonts w:ascii="Garamond" w:hAnsi="Garamond" w:cs="Times New Roman"/>
          <w:i/>
          <w:color w:val="000000" w:themeColor="text1"/>
          <w:sz w:val="28"/>
          <w:szCs w:val="28"/>
        </w:rPr>
        <w:t>criteri di localizzazione</w:t>
      </w:r>
      <w:r w:rsidR="00E7384B" w:rsidRPr="009E16C6">
        <w:rPr>
          <w:rFonts w:ascii="Garamond" w:hAnsi="Garamond" w:cs="Times New Roman"/>
          <w:color w:val="000000" w:themeColor="text1"/>
          <w:sz w:val="28"/>
          <w:szCs w:val="28"/>
        </w:rPr>
        <w:t>”, quand’anche formulati “</w:t>
      </w:r>
      <w:r w:rsidR="00E7384B" w:rsidRPr="009E16C6">
        <w:rPr>
          <w:rFonts w:ascii="Garamond" w:hAnsi="Garamond" w:cs="Times New Roman"/>
          <w:i/>
          <w:color w:val="000000" w:themeColor="text1"/>
          <w:sz w:val="28"/>
          <w:szCs w:val="28"/>
        </w:rPr>
        <w:t>in negativo</w:t>
      </w:r>
      <w:r w:rsidR="00E7384B" w:rsidRPr="009E16C6">
        <w:rPr>
          <w:rFonts w:ascii="Garamond" w:hAnsi="Garamond" w:cs="Times New Roman"/>
          <w:color w:val="000000" w:themeColor="text1"/>
          <w:sz w:val="28"/>
          <w:szCs w:val="28"/>
        </w:rPr>
        <w:t>”, ovvero per mezzo della delimitazione di aree ben identificate, ove emergano interessi particolarmente pregnanti affidati alle cure del legislatore regionale, e purché ciò non determini l’impossibilità di una localizzazione alternativa» (Corte cost.,  n. 278 del 2010); del resto, «</w:t>
      </w:r>
      <w:r w:rsidR="00E7384B" w:rsidRPr="009E16C6">
        <w:rPr>
          <w:rFonts w:ascii="Garamond" w:hAnsi="Garamond" w:cs="Times New Roman"/>
          <w:i/>
          <w:color w:val="000000" w:themeColor="text1"/>
          <w:sz w:val="28"/>
          <w:szCs w:val="28"/>
        </w:rPr>
        <w:t>la generale esclusione di tutto il territorio [. . .] esime dall’individuazione della ratio che presiede alla dichiarazione di inidoneità di specifiche tipologie di aree</w:t>
      </w:r>
      <w:r w:rsidR="00E7384B" w:rsidRPr="009E16C6">
        <w:rPr>
          <w:rFonts w:ascii="Garamond" w:hAnsi="Garamond" w:cs="Times New Roman"/>
          <w:color w:val="000000" w:themeColor="text1"/>
          <w:sz w:val="28"/>
          <w:szCs w:val="28"/>
        </w:rPr>
        <w:t xml:space="preserve">» (Corte cost., n. </w:t>
      </w:r>
      <w:r w:rsidR="003E3C55">
        <w:rPr>
          <w:rFonts w:ascii="Garamond" w:hAnsi="Garamond" w:cs="Times New Roman"/>
          <w:color w:val="000000" w:themeColor="text1"/>
          <w:sz w:val="28"/>
          <w:szCs w:val="28"/>
        </w:rPr>
        <w:t>2</w:t>
      </w:r>
      <w:r w:rsidR="00E7384B" w:rsidRPr="009E16C6">
        <w:rPr>
          <w:rFonts w:ascii="Garamond" w:hAnsi="Garamond" w:cs="Times New Roman"/>
          <w:color w:val="000000" w:themeColor="text1"/>
          <w:sz w:val="28"/>
          <w:szCs w:val="28"/>
        </w:rPr>
        <w:t xml:space="preserve">24 del 2012); pertanto, alla </w:t>
      </w:r>
      <w:r w:rsidR="003E3C55" w:rsidRPr="009E16C6">
        <w:rPr>
          <w:rFonts w:ascii="Garamond" w:hAnsi="Garamond" w:cs="Times New Roman"/>
          <w:color w:val="000000" w:themeColor="text1"/>
          <w:sz w:val="28"/>
          <w:szCs w:val="28"/>
        </w:rPr>
        <w:t>r</w:t>
      </w:r>
      <w:r w:rsidR="002D4208" w:rsidRPr="009E16C6">
        <w:rPr>
          <w:rFonts w:ascii="Garamond" w:hAnsi="Garamond" w:cs="Times New Roman"/>
          <w:color w:val="000000" w:themeColor="text1"/>
          <w:sz w:val="28"/>
          <w:szCs w:val="28"/>
        </w:rPr>
        <w:t xml:space="preserve">egione </w:t>
      </w:r>
      <w:r w:rsidR="00E7384B" w:rsidRPr="009E16C6">
        <w:rPr>
          <w:rFonts w:ascii="Garamond" w:hAnsi="Garamond" w:cs="Times New Roman"/>
          <w:color w:val="000000" w:themeColor="text1"/>
          <w:sz w:val="28"/>
          <w:szCs w:val="28"/>
        </w:rPr>
        <w:t>non può essere consentito, anche nelle more della definizione dei criteri statali, di porre limiti assoluti di edificabilità degli impianti (Corte cost.,  n. 192 del 20</w:t>
      </w:r>
      <w:r w:rsidRPr="009E16C6">
        <w:rPr>
          <w:rFonts w:ascii="Garamond" w:hAnsi="Garamond" w:cs="Times New Roman"/>
          <w:color w:val="000000" w:themeColor="text1"/>
          <w:sz w:val="28"/>
          <w:szCs w:val="28"/>
        </w:rPr>
        <w:t>11);</w:t>
      </w:r>
    </w:p>
    <w:p w:rsidR="00E7384B" w:rsidRDefault="00A36C1E" w:rsidP="0031299B">
      <w:pPr>
        <w:spacing w:line="240" w:lineRule="auto"/>
        <w:ind w:firstLine="709"/>
        <w:contextualSpacing/>
        <w:jc w:val="both"/>
        <w:rPr>
          <w:rFonts w:ascii="Garamond" w:hAnsi="Garamond" w:cs="Times New Roman"/>
          <w:color w:val="000000" w:themeColor="text1"/>
          <w:sz w:val="28"/>
          <w:szCs w:val="28"/>
        </w:rPr>
      </w:pPr>
      <w:r w:rsidRPr="009E16C6">
        <w:rPr>
          <w:rFonts w:ascii="Garamond" w:hAnsi="Garamond" w:cs="Times New Roman"/>
          <w:color w:val="000000" w:themeColor="text1"/>
          <w:sz w:val="28"/>
          <w:szCs w:val="28"/>
        </w:rPr>
        <w:t>- r</w:t>
      </w:r>
      <w:r w:rsidR="00E7384B" w:rsidRPr="009E16C6">
        <w:rPr>
          <w:rFonts w:ascii="Garamond" w:hAnsi="Garamond" w:cs="Times New Roman"/>
          <w:color w:val="000000" w:themeColor="text1"/>
          <w:sz w:val="28"/>
          <w:szCs w:val="28"/>
        </w:rPr>
        <w:t>ientrando la questione della localizzazione di impianti energetici, nonostante la</w:t>
      </w:r>
      <w:r w:rsidR="00E7384B" w:rsidRPr="00E7384B">
        <w:rPr>
          <w:rFonts w:ascii="Garamond" w:hAnsi="Garamond" w:cs="Times New Roman"/>
          <w:color w:val="000000" w:themeColor="text1"/>
          <w:sz w:val="28"/>
          <w:szCs w:val="28"/>
        </w:rPr>
        <w:t xml:space="preserve"> possibile interferenza con altre materie, nell'ambito della materia «</w:t>
      </w:r>
      <w:r w:rsidR="00E7384B" w:rsidRPr="00E7384B">
        <w:rPr>
          <w:rFonts w:ascii="Garamond" w:hAnsi="Garamond" w:cs="Times New Roman"/>
          <w:i/>
          <w:color w:val="000000" w:themeColor="text1"/>
          <w:sz w:val="28"/>
          <w:szCs w:val="28"/>
        </w:rPr>
        <w:t>produzione, trasporto e distribuzione nazionale dell'energia</w:t>
      </w:r>
      <w:r w:rsidR="00E7384B" w:rsidRPr="00E7384B">
        <w:rPr>
          <w:rFonts w:ascii="Garamond" w:hAnsi="Garamond" w:cs="Times New Roman"/>
          <w:color w:val="000000" w:themeColor="text1"/>
          <w:sz w:val="28"/>
          <w:szCs w:val="28"/>
        </w:rPr>
        <w:t>», di competenza concorrente, ai sensi dell'art. 117, comma 3  Cos</w:t>
      </w:r>
      <w:r w:rsidR="007172E2">
        <w:rPr>
          <w:rFonts w:ascii="Garamond" w:hAnsi="Garamond" w:cs="Times New Roman"/>
          <w:color w:val="000000" w:themeColor="text1"/>
          <w:sz w:val="28"/>
          <w:szCs w:val="28"/>
        </w:rPr>
        <w:t>t., è incompatibile con i princì</w:t>
      </w:r>
      <w:r w:rsidR="00E7384B" w:rsidRPr="00E7384B">
        <w:rPr>
          <w:rFonts w:ascii="Garamond" w:hAnsi="Garamond" w:cs="Times New Roman"/>
          <w:color w:val="000000" w:themeColor="text1"/>
          <w:sz w:val="28"/>
          <w:szCs w:val="28"/>
        </w:rPr>
        <w:t>pi fondamentali della materia, di competenza dello Stato, una  norma regionale che ne faccia divieto in  alcuni siti,  ponendo una prescrizione assoluta di immodificabilità,  nella specie, degli argini fluviali. La competenza regionale in materia di utilizzazione delle acque non legittima tale divieto assoluto, ma comporta solo che il favore che assiste la produzione dell'energia idroelettrica debba essere bilanciato, nell'apposito procedimento, con le esigenze sottese alla competenza</w:t>
      </w:r>
      <w:r w:rsidR="00E7384B">
        <w:rPr>
          <w:rFonts w:ascii="Garamond" w:hAnsi="Garamond" w:cs="Times New Roman"/>
          <w:color w:val="000000" w:themeColor="text1"/>
          <w:sz w:val="28"/>
          <w:szCs w:val="28"/>
        </w:rPr>
        <w:t xml:space="preserve"> regionale in materia di acque (Corte cost., </w:t>
      </w:r>
      <w:r w:rsidR="00E7384B" w:rsidRPr="00E7384B">
        <w:rPr>
          <w:rFonts w:ascii="Garamond" w:hAnsi="Garamond" w:cs="Times New Roman"/>
          <w:color w:val="000000" w:themeColor="text1"/>
          <w:sz w:val="28"/>
          <w:szCs w:val="28"/>
        </w:rPr>
        <w:t>n. 148 del 2019</w:t>
      </w:r>
      <w:r w:rsidR="00E7384B">
        <w:rPr>
          <w:rFonts w:ascii="Garamond" w:hAnsi="Garamond" w:cs="Times New Roman"/>
          <w:color w:val="000000" w:themeColor="text1"/>
          <w:sz w:val="28"/>
          <w:szCs w:val="28"/>
        </w:rPr>
        <w:t>);</w:t>
      </w:r>
    </w:p>
    <w:p w:rsidR="00FE158B" w:rsidRPr="00BF2644" w:rsidRDefault="00A36C1E" w:rsidP="00E7384B">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l</w:t>
      </w:r>
      <w:r w:rsidR="00FE158B" w:rsidRPr="00BF2644">
        <w:rPr>
          <w:rFonts w:ascii="Garamond" w:hAnsi="Garamond" w:cs="Times New Roman"/>
          <w:color w:val="000000" w:themeColor="text1"/>
          <w:sz w:val="28"/>
          <w:szCs w:val="28"/>
        </w:rPr>
        <w:t>a solu</w:t>
      </w:r>
      <w:r w:rsidR="00E7384B">
        <w:rPr>
          <w:rFonts w:ascii="Garamond" w:hAnsi="Garamond" w:cs="Times New Roman"/>
          <w:color w:val="000000" w:themeColor="text1"/>
          <w:sz w:val="28"/>
          <w:szCs w:val="28"/>
        </w:rPr>
        <w:t>zione legislativa adottata da una</w:t>
      </w:r>
      <w:r w:rsidR="00FE158B" w:rsidRPr="00BF2644">
        <w:rPr>
          <w:rFonts w:ascii="Garamond" w:hAnsi="Garamond" w:cs="Times New Roman"/>
          <w:color w:val="000000" w:themeColor="text1"/>
          <w:sz w:val="28"/>
          <w:szCs w:val="28"/>
        </w:rPr>
        <w:t xml:space="preserve"> </w:t>
      </w:r>
      <w:r w:rsidR="003E3C55" w:rsidRPr="00BF2644">
        <w:rPr>
          <w:rFonts w:ascii="Garamond" w:hAnsi="Garamond" w:cs="Times New Roman"/>
          <w:color w:val="000000" w:themeColor="text1"/>
          <w:sz w:val="28"/>
          <w:szCs w:val="28"/>
        </w:rPr>
        <w:t>r</w:t>
      </w:r>
      <w:r w:rsidR="002D4208" w:rsidRPr="00BF2644">
        <w:rPr>
          <w:rFonts w:ascii="Garamond" w:hAnsi="Garamond" w:cs="Times New Roman"/>
          <w:color w:val="000000" w:themeColor="text1"/>
          <w:sz w:val="28"/>
          <w:szCs w:val="28"/>
        </w:rPr>
        <w:t>egione</w:t>
      </w:r>
      <w:r w:rsidR="00FE158B" w:rsidRPr="00BF2644">
        <w:rPr>
          <w:rFonts w:ascii="Garamond" w:hAnsi="Garamond" w:cs="Times New Roman"/>
          <w:color w:val="000000" w:themeColor="text1"/>
          <w:sz w:val="28"/>
          <w:szCs w:val="28"/>
        </w:rPr>
        <w:t>, nello stabilire in via generale, senza istruttoria e valutazione in concreto dei luoghi in sede procedimentale, distanze minime per la collocazione degli impianti</w:t>
      </w:r>
      <w:r w:rsidR="001E5668">
        <w:rPr>
          <w:rFonts w:ascii="Garamond" w:hAnsi="Garamond" w:cs="Times New Roman"/>
          <w:color w:val="000000" w:themeColor="text1"/>
          <w:sz w:val="28"/>
          <w:szCs w:val="28"/>
        </w:rPr>
        <w:t xml:space="preserve"> energetici a biomassa ed a</w:t>
      </w:r>
      <w:r w:rsidR="001178BE" w:rsidRPr="00BF2644">
        <w:rPr>
          <w:rFonts w:ascii="Garamond" w:hAnsi="Garamond" w:cs="Times New Roman"/>
          <w:color w:val="000000" w:themeColor="text1"/>
          <w:sz w:val="28"/>
          <w:szCs w:val="28"/>
        </w:rPr>
        <w:t xml:space="preserve"> biogas</w:t>
      </w:r>
      <w:r w:rsidR="00FE158B" w:rsidRPr="00BF2644">
        <w:rPr>
          <w:rFonts w:ascii="Garamond" w:hAnsi="Garamond" w:cs="Times New Roman"/>
          <w:color w:val="000000" w:themeColor="text1"/>
          <w:sz w:val="28"/>
          <w:szCs w:val="28"/>
        </w:rPr>
        <w:t xml:space="preserve"> non previste d</w:t>
      </w:r>
      <w:r w:rsidR="001178BE" w:rsidRPr="00BF2644">
        <w:rPr>
          <w:rFonts w:ascii="Garamond" w:hAnsi="Garamond" w:cs="Times New Roman"/>
          <w:color w:val="000000" w:themeColor="text1"/>
          <w:sz w:val="28"/>
          <w:szCs w:val="28"/>
        </w:rPr>
        <w:t>alla disciplina statale, non ga</w:t>
      </w:r>
      <w:r w:rsidR="00E7384B">
        <w:rPr>
          <w:rFonts w:ascii="Garamond" w:hAnsi="Garamond" w:cs="Times New Roman"/>
          <w:color w:val="000000" w:themeColor="text1"/>
          <w:sz w:val="28"/>
          <w:szCs w:val="28"/>
        </w:rPr>
        <w:t>rantisce il rispetto dei princìpi</w:t>
      </w:r>
      <w:r w:rsidR="00FE158B" w:rsidRPr="00BF2644">
        <w:rPr>
          <w:rFonts w:ascii="Garamond" w:hAnsi="Garamond" w:cs="Times New Roman"/>
          <w:color w:val="000000" w:themeColor="text1"/>
          <w:sz w:val="28"/>
          <w:szCs w:val="28"/>
        </w:rPr>
        <w:t xml:space="preserve"> fondamentali </w:t>
      </w:r>
      <w:r w:rsidR="00E7384B">
        <w:rPr>
          <w:rFonts w:ascii="Garamond" w:hAnsi="Garamond" w:cs="Times New Roman"/>
          <w:color w:val="000000" w:themeColor="text1"/>
          <w:sz w:val="28"/>
          <w:szCs w:val="28"/>
        </w:rPr>
        <w:t xml:space="preserve">della materia </w:t>
      </w:r>
      <w:r w:rsidR="00FE158B" w:rsidRPr="00BF2644">
        <w:rPr>
          <w:rFonts w:ascii="Garamond" w:hAnsi="Garamond" w:cs="Times New Roman"/>
          <w:color w:val="000000" w:themeColor="text1"/>
          <w:sz w:val="28"/>
          <w:szCs w:val="28"/>
        </w:rPr>
        <w:t xml:space="preserve">e non permette un'adeguata tutela dei molteplici </w:t>
      </w:r>
      <w:r w:rsidR="00E7384B">
        <w:rPr>
          <w:rFonts w:ascii="Garamond" w:hAnsi="Garamond" w:cs="Times New Roman"/>
          <w:color w:val="000000" w:themeColor="text1"/>
          <w:sz w:val="28"/>
          <w:szCs w:val="28"/>
        </w:rPr>
        <w:t xml:space="preserve">e rilevanti interessi coinvolti (Corte cost., n. </w:t>
      </w:r>
      <w:r w:rsidR="00E7384B" w:rsidRPr="00E7384B">
        <w:rPr>
          <w:rFonts w:ascii="Garamond" w:hAnsi="Garamond" w:cs="Times New Roman"/>
          <w:color w:val="000000" w:themeColor="text1"/>
          <w:sz w:val="28"/>
          <w:szCs w:val="28"/>
        </w:rPr>
        <w:t>69 del 2018</w:t>
      </w:r>
      <w:r w:rsidR="00A245FA">
        <w:rPr>
          <w:rFonts w:ascii="Garamond" w:hAnsi="Garamond" w:cs="Times New Roman"/>
          <w:color w:val="000000" w:themeColor="text1"/>
          <w:sz w:val="28"/>
          <w:szCs w:val="28"/>
        </w:rPr>
        <w:t>).</w:t>
      </w:r>
    </w:p>
    <w:p w:rsidR="00A82D78" w:rsidRDefault="003F6055" w:rsidP="00A82D78">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Ne consegue che </w:t>
      </w:r>
      <w:r w:rsidR="00745F44" w:rsidRPr="00BF2644">
        <w:rPr>
          <w:rFonts w:ascii="Garamond" w:hAnsi="Garamond" w:cs="Times New Roman"/>
          <w:color w:val="000000" w:themeColor="text1"/>
          <w:sz w:val="28"/>
          <w:szCs w:val="28"/>
        </w:rPr>
        <w:t xml:space="preserve">tra l’altro </w:t>
      </w:r>
      <w:r w:rsidRPr="00BF2644">
        <w:rPr>
          <w:rFonts w:ascii="Garamond" w:hAnsi="Garamond" w:cs="Times New Roman"/>
          <w:color w:val="000000" w:themeColor="text1"/>
          <w:sz w:val="28"/>
          <w:szCs w:val="28"/>
        </w:rPr>
        <w:t xml:space="preserve">le </w:t>
      </w:r>
      <w:r w:rsidR="003E3C55" w:rsidRPr="00BF2644">
        <w:rPr>
          <w:rFonts w:ascii="Garamond" w:hAnsi="Garamond" w:cs="Times New Roman"/>
          <w:color w:val="000000" w:themeColor="text1"/>
          <w:sz w:val="28"/>
          <w:szCs w:val="28"/>
        </w:rPr>
        <w:t>REG</w:t>
      </w:r>
      <w:r w:rsidRPr="00BF2644">
        <w:rPr>
          <w:rFonts w:ascii="Garamond" w:hAnsi="Garamond" w:cs="Times New Roman"/>
          <w:color w:val="000000" w:themeColor="text1"/>
          <w:sz w:val="28"/>
          <w:szCs w:val="28"/>
        </w:rPr>
        <w:t>ioni</w:t>
      </w:r>
      <w:r w:rsidR="005112E1" w:rsidRPr="00BF2644">
        <w:rPr>
          <w:rFonts w:ascii="Garamond" w:hAnsi="Garamond" w:cs="Times New Roman"/>
          <w:color w:val="000000" w:themeColor="text1"/>
          <w:sz w:val="28"/>
          <w:szCs w:val="28"/>
        </w:rPr>
        <w:t xml:space="preserve"> non possono:</w:t>
      </w:r>
    </w:p>
    <w:p w:rsidR="00A245FA" w:rsidRDefault="00A82D78" w:rsidP="00A82D78">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w:t>
      </w:r>
      <w:r w:rsidR="003F6055" w:rsidRPr="00A245FA">
        <w:rPr>
          <w:rFonts w:ascii="Garamond" w:hAnsi="Garamond" w:cs="Times New Roman"/>
          <w:color w:val="000000" w:themeColor="text1"/>
          <w:sz w:val="28"/>
          <w:szCs w:val="28"/>
        </w:rPr>
        <w:t xml:space="preserve">prescrivere </w:t>
      </w:r>
      <w:r w:rsidR="003F6055" w:rsidRPr="00A82D78">
        <w:rPr>
          <w:rFonts w:ascii="Garamond" w:hAnsi="Garamond" w:cs="Times New Roman"/>
          <w:color w:val="000000" w:themeColor="text1"/>
          <w:sz w:val="28"/>
          <w:szCs w:val="28"/>
        </w:rPr>
        <w:t>«</w:t>
      </w:r>
      <w:r w:rsidR="003F6055" w:rsidRPr="007172E2">
        <w:rPr>
          <w:rFonts w:ascii="Garamond" w:hAnsi="Garamond" w:cs="Times New Roman"/>
          <w:i/>
          <w:color w:val="000000" w:themeColor="text1"/>
          <w:sz w:val="28"/>
          <w:szCs w:val="28"/>
        </w:rPr>
        <w:t>limiti generali inderogabili, valevoli sull’intero territorio regionale, specie nella forma di distanze minime, perché ciò contrasterebbe con il principio fondamentale di massima diffusione delle fonti di energia rinnovabili, stabilito dal legislatore statale in conformità alla normativa dell’Unione europ</w:t>
      </w:r>
      <w:r w:rsidR="00A245FA" w:rsidRPr="007172E2">
        <w:rPr>
          <w:rFonts w:ascii="Garamond" w:hAnsi="Garamond" w:cs="Times New Roman"/>
          <w:i/>
          <w:color w:val="000000" w:themeColor="text1"/>
          <w:sz w:val="28"/>
          <w:szCs w:val="28"/>
        </w:rPr>
        <w:t>ea</w:t>
      </w:r>
      <w:r w:rsidR="00A245FA">
        <w:rPr>
          <w:rFonts w:ascii="Garamond" w:hAnsi="Garamond" w:cs="Times New Roman"/>
          <w:color w:val="000000" w:themeColor="text1"/>
          <w:sz w:val="28"/>
          <w:szCs w:val="28"/>
        </w:rPr>
        <w:t xml:space="preserve">» (Corte cost., </w:t>
      </w:r>
      <w:r w:rsidR="00A36C1E">
        <w:rPr>
          <w:rFonts w:ascii="Garamond" w:hAnsi="Garamond" w:cs="Times New Roman"/>
          <w:color w:val="000000" w:themeColor="text1"/>
          <w:sz w:val="28"/>
          <w:szCs w:val="28"/>
        </w:rPr>
        <w:t>n. 286 del 2019 e Corte cost., n. 69 del 2018 cit.);</w:t>
      </w:r>
    </w:p>
    <w:p w:rsidR="00A245FA" w:rsidRDefault="00A82D78" w:rsidP="00A82D78">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w:t>
      </w:r>
      <w:r w:rsidR="00EB0FDD" w:rsidRPr="00A245FA">
        <w:rPr>
          <w:rFonts w:ascii="Garamond" w:hAnsi="Garamond" w:cs="Times New Roman"/>
          <w:color w:val="000000" w:themeColor="text1"/>
          <w:sz w:val="28"/>
          <w:szCs w:val="28"/>
        </w:rPr>
        <w:t xml:space="preserve">introdurre per gli impianti fotovoltaici di grande generazione, </w:t>
      </w:r>
      <w:r w:rsidR="0062197E" w:rsidRPr="00A245FA">
        <w:rPr>
          <w:rFonts w:ascii="Garamond" w:hAnsi="Garamond" w:cs="Times New Roman"/>
          <w:color w:val="000000" w:themeColor="text1"/>
          <w:sz w:val="28"/>
          <w:szCs w:val="28"/>
        </w:rPr>
        <w:t>tetti massimi</w:t>
      </w:r>
      <w:r w:rsidR="00EB0FDD" w:rsidRPr="00A245FA">
        <w:rPr>
          <w:rFonts w:ascii="Garamond" w:hAnsi="Garamond" w:cs="Times New Roman"/>
          <w:color w:val="000000" w:themeColor="text1"/>
          <w:sz w:val="28"/>
          <w:szCs w:val="28"/>
        </w:rPr>
        <w:t xml:space="preserve"> di potenza idonei a condizionare i procedimenti </w:t>
      </w:r>
      <w:r w:rsidR="0062197E" w:rsidRPr="00A245FA">
        <w:rPr>
          <w:rFonts w:ascii="Garamond" w:hAnsi="Garamond" w:cs="Times New Roman"/>
          <w:color w:val="000000" w:themeColor="text1"/>
          <w:sz w:val="28"/>
          <w:szCs w:val="28"/>
        </w:rPr>
        <w:t>di autorizzazione</w:t>
      </w:r>
      <w:r w:rsidR="00EB0FDD" w:rsidRPr="00A245FA">
        <w:rPr>
          <w:rFonts w:ascii="Garamond" w:hAnsi="Garamond" w:cs="Times New Roman"/>
          <w:color w:val="000000" w:themeColor="text1"/>
          <w:sz w:val="28"/>
          <w:szCs w:val="28"/>
        </w:rPr>
        <w:t xml:space="preserve"> </w:t>
      </w:r>
      <w:r w:rsidR="00A245FA" w:rsidRPr="00A245FA">
        <w:rPr>
          <w:rFonts w:ascii="Garamond" w:hAnsi="Garamond" w:cs="Times New Roman"/>
          <w:color w:val="000000" w:themeColor="text1"/>
          <w:sz w:val="28"/>
          <w:szCs w:val="28"/>
        </w:rPr>
        <w:t xml:space="preserve">ed </w:t>
      </w:r>
      <w:r w:rsidR="00A245FA" w:rsidRPr="00A82D78">
        <w:rPr>
          <w:rFonts w:ascii="Garamond" w:hAnsi="Garamond" w:cs="Times New Roman"/>
          <w:color w:val="000000" w:themeColor="text1"/>
          <w:sz w:val="28"/>
          <w:szCs w:val="28"/>
        </w:rPr>
        <w:t>introdurre</w:t>
      </w:r>
      <w:r w:rsidR="00EB0FDD" w:rsidRPr="00A245FA">
        <w:rPr>
          <w:rFonts w:ascii="Garamond" w:hAnsi="Garamond" w:cs="Times New Roman"/>
          <w:color w:val="000000" w:themeColor="text1"/>
          <w:sz w:val="28"/>
          <w:szCs w:val="28"/>
        </w:rPr>
        <w:t xml:space="preserve"> criteri inderogabili per </w:t>
      </w:r>
      <w:r w:rsidR="00A245FA" w:rsidRPr="00A245FA">
        <w:rPr>
          <w:rFonts w:ascii="Garamond" w:hAnsi="Garamond" w:cs="Times New Roman"/>
          <w:color w:val="000000" w:themeColor="text1"/>
          <w:sz w:val="28"/>
          <w:szCs w:val="28"/>
        </w:rPr>
        <w:t>il rilascio</w:t>
      </w:r>
      <w:r w:rsidR="00EB0FDD" w:rsidRPr="00A245FA">
        <w:rPr>
          <w:rFonts w:ascii="Garamond" w:hAnsi="Garamond" w:cs="Times New Roman"/>
          <w:color w:val="000000" w:themeColor="text1"/>
          <w:sz w:val="28"/>
          <w:szCs w:val="28"/>
        </w:rPr>
        <w:t xml:space="preserve"> dell'autorizzazione unica di cui all'art. 12 </w:t>
      </w:r>
      <w:r w:rsidR="004F0CCD">
        <w:rPr>
          <w:rFonts w:ascii="Garamond" w:hAnsi="Garamond" w:cs="Times New Roman"/>
          <w:color w:val="000000" w:themeColor="text1"/>
          <w:sz w:val="28"/>
          <w:szCs w:val="28"/>
        </w:rPr>
        <w:t>d.lgs.</w:t>
      </w:r>
      <w:r w:rsidR="00A245FA">
        <w:rPr>
          <w:rFonts w:ascii="Garamond" w:hAnsi="Garamond" w:cs="Times New Roman"/>
          <w:color w:val="000000" w:themeColor="text1"/>
          <w:sz w:val="28"/>
          <w:szCs w:val="28"/>
        </w:rPr>
        <w:t xml:space="preserve"> </w:t>
      </w:r>
      <w:r w:rsidR="00EB0FDD" w:rsidRPr="00A245FA">
        <w:rPr>
          <w:rFonts w:ascii="Garamond" w:hAnsi="Garamond" w:cs="Times New Roman"/>
          <w:color w:val="000000" w:themeColor="text1"/>
          <w:sz w:val="28"/>
          <w:szCs w:val="28"/>
        </w:rPr>
        <w:t>n. 387</w:t>
      </w:r>
      <w:r w:rsidR="00A245FA">
        <w:rPr>
          <w:rFonts w:ascii="Garamond" w:hAnsi="Garamond" w:cs="Times New Roman"/>
          <w:color w:val="000000" w:themeColor="text1"/>
          <w:sz w:val="28"/>
          <w:szCs w:val="28"/>
        </w:rPr>
        <w:t xml:space="preserve"> del 2003</w:t>
      </w:r>
      <w:r w:rsidR="00EB0FDD" w:rsidRPr="00A245FA">
        <w:rPr>
          <w:rFonts w:ascii="Garamond" w:hAnsi="Garamond" w:cs="Times New Roman"/>
          <w:color w:val="000000" w:themeColor="text1"/>
          <w:sz w:val="28"/>
          <w:szCs w:val="28"/>
        </w:rPr>
        <w:t xml:space="preserve">, riducendo i siti eleggibili all'installazione di impianti eolici, e prevede come obbligatorio uno studio anemologico con rilevazioni di almeno tre anni, da </w:t>
      </w:r>
      <w:r w:rsidR="00A245FA">
        <w:rPr>
          <w:rFonts w:ascii="Garamond" w:hAnsi="Garamond" w:cs="Times New Roman"/>
          <w:color w:val="000000" w:themeColor="text1"/>
          <w:sz w:val="28"/>
          <w:szCs w:val="28"/>
        </w:rPr>
        <w:t xml:space="preserve">integrare nel progetto (Corte cost., </w:t>
      </w:r>
      <w:r w:rsidR="00EB0FDD" w:rsidRPr="00A245FA">
        <w:rPr>
          <w:rFonts w:ascii="Garamond" w:hAnsi="Garamond" w:cs="Times New Roman"/>
          <w:color w:val="000000" w:themeColor="text1"/>
          <w:sz w:val="28"/>
          <w:szCs w:val="28"/>
        </w:rPr>
        <w:t xml:space="preserve"> n. 121 del 2022</w:t>
      </w:r>
      <w:r w:rsidR="00F250B6" w:rsidRPr="00A245FA">
        <w:rPr>
          <w:rFonts w:ascii="Garamond" w:hAnsi="Garamond" w:cs="Times New Roman"/>
          <w:color w:val="000000" w:themeColor="text1"/>
          <w:sz w:val="28"/>
          <w:szCs w:val="28"/>
        </w:rPr>
        <w:t xml:space="preserve">) ovvero prevedere un limite di potenza ai fini della realizzazione di impianti fotovoltaici a terra o che per quelli superiori ad una certa potenza l'autorizzazione unica alla costruzione ed esercizio sia rilasciata previa intesa con il </w:t>
      </w:r>
      <w:r w:rsidR="004640B1" w:rsidRPr="00A245FA">
        <w:rPr>
          <w:rFonts w:ascii="Garamond" w:hAnsi="Garamond" w:cs="Times New Roman"/>
          <w:color w:val="000000" w:themeColor="text1"/>
          <w:sz w:val="28"/>
          <w:szCs w:val="28"/>
        </w:rPr>
        <w:t xml:space="preserve">Comune </w:t>
      </w:r>
      <w:r w:rsidR="00F250B6" w:rsidRPr="00A245FA">
        <w:rPr>
          <w:rFonts w:ascii="Garamond" w:hAnsi="Garamond" w:cs="Times New Roman"/>
          <w:color w:val="000000" w:themeColor="text1"/>
          <w:sz w:val="28"/>
          <w:szCs w:val="28"/>
        </w:rPr>
        <w:t>o i comuni interessati dall'impianto</w:t>
      </w:r>
      <w:r w:rsidR="00A245FA">
        <w:rPr>
          <w:rFonts w:ascii="Garamond" w:hAnsi="Garamond" w:cs="Times New Roman"/>
          <w:color w:val="000000" w:themeColor="text1"/>
          <w:sz w:val="28"/>
          <w:szCs w:val="28"/>
        </w:rPr>
        <w:t xml:space="preserve"> (Corte cost., </w:t>
      </w:r>
      <w:r w:rsidR="00AD327E" w:rsidRPr="00A245FA">
        <w:rPr>
          <w:rFonts w:ascii="Garamond" w:hAnsi="Garamond" w:cs="Times New Roman"/>
          <w:color w:val="000000" w:themeColor="text1"/>
          <w:sz w:val="28"/>
          <w:szCs w:val="28"/>
        </w:rPr>
        <w:t xml:space="preserve"> </w:t>
      </w:r>
      <w:r w:rsidR="00A35F37" w:rsidRPr="00A245FA">
        <w:rPr>
          <w:rFonts w:ascii="Garamond" w:hAnsi="Garamond" w:cs="Times New Roman"/>
          <w:color w:val="000000" w:themeColor="text1"/>
          <w:sz w:val="28"/>
          <w:szCs w:val="28"/>
        </w:rPr>
        <w:t>n. 177 del 2021)</w:t>
      </w:r>
      <w:r w:rsidR="006F6959" w:rsidRPr="00A245FA">
        <w:rPr>
          <w:rFonts w:ascii="Garamond" w:hAnsi="Garamond" w:cs="Times New Roman"/>
          <w:color w:val="000000" w:themeColor="text1"/>
          <w:sz w:val="28"/>
          <w:szCs w:val="28"/>
        </w:rPr>
        <w:t>;</w:t>
      </w:r>
    </w:p>
    <w:p w:rsidR="00A245FA" w:rsidRDefault="001E5668" w:rsidP="001E5668">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w:t>
      </w:r>
      <w:r w:rsidR="003E3C55">
        <w:rPr>
          <w:rFonts w:ascii="Garamond" w:hAnsi="Garamond" w:cs="Times New Roman"/>
          <w:color w:val="000000" w:themeColor="text1"/>
          <w:sz w:val="28"/>
          <w:szCs w:val="28"/>
        </w:rPr>
        <w:t xml:space="preserve"> </w:t>
      </w:r>
      <w:r w:rsidR="006F6959" w:rsidRPr="00A245FA">
        <w:rPr>
          <w:rFonts w:ascii="Garamond" w:hAnsi="Garamond" w:cs="Times New Roman"/>
          <w:color w:val="000000" w:themeColor="text1"/>
          <w:sz w:val="28"/>
          <w:szCs w:val="28"/>
        </w:rPr>
        <w:t>creare una competenza autorizzatoria, a favore dei Comuni, per tipi di impianti caratterizzati da determinate capacità di generazione, derogatoria rispe</w:t>
      </w:r>
      <w:r w:rsidR="00A245FA">
        <w:rPr>
          <w:rFonts w:ascii="Garamond" w:hAnsi="Garamond" w:cs="Times New Roman"/>
          <w:color w:val="000000" w:themeColor="text1"/>
          <w:sz w:val="28"/>
          <w:szCs w:val="28"/>
        </w:rPr>
        <w:t xml:space="preserve">tto all’assetto </w:t>
      </w:r>
      <w:r w:rsidR="00A245FA">
        <w:rPr>
          <w:rFonts w:ascii="Garamond" w:hAnsi="Garamond" w:cs="Times New Roman"/>
          <w:color w:val="000000" w:themeColor="text1"/>
          <w:sz w:val="28"/>
          <w:szCs w:val="28"/>
        </w:rPr>
        <w:lastRenderedPageBreak/>
        <w:t xml:space="preserve">delineato dal </w:t>
      </w:r>
      <w:r w:rsidR="004F0CCD">
        <w:rPr>
          <w:rFonts w:ascii="Garamond" w:hAnsi="Garamond" w:cs="Times New Roman"/>
          <w:color w:val="000000" w:themeColor="text1"/>
          <w:sz w:val="28"/>
          <w:szCs w:val="28"/>
        </w:rPr>
        <w:t>d.lgs.</w:t>
      </w:r>
      <w:r w:rsidR="006F6959" w:rsidRPr="00A245FA">
        <w:rPr>
          <w:rFonts w:ascii="Garamond" w:hAnsi="Garamond" w:cs="Times New Roman"/>
          <w:color w:val="000000" w:themeColor="text1"/>
          <w:sz w:val="28"/>
          <w:szCs w:val="28"/>
        </w:rPr>
        <w:t xml:space="preserve"> n. 387 del 2003, che all’art. 12 assoggetta la costruzione ed esercizio degli impianti alimentati da fonti rinnovabili </w:t>
      </w:r>
      <w:r w:rsidR="00A245FA">
        <w:rPr>
          <w:rFonts w:ascii="Garamond" w:hAnsi="Garamond" w:cs="Times New Roman"/>
          <w:color w:val="000000" w:themeColor="text1"/>
          <w:sz w:val="28"/>
          <w:szCs w:val="28"/>
        </w:rPr>
        <w:t>all’autorizzazione unica delle r</w:t>
      </w:r>
      <w:r w:rsidR="006F6959" w:rsidRPr="00A245FA">
        <w:rPr>
          <w:rFonts w:ascii="Garamond" w:hAnsi="Garamond" w:cs="Times New Roman"/>
          <w:color w:val="000000" w:themeColor="text1"/>
          <w:sz w:val="28"/>
          <w:szCs w:val="28"/>
        </w:rPr>
        <w:t xml:space="preserve">egioni (o delle </w:t>
      </w:r>
      <w:r w:rsidR="003E3C55" w:rsidRPr="00A245FA">
        <w:rPr>
          <w:rFonts w:ascii="Garamond" w:hAnsi="Garamond" w:cs="Times New Roman"/>
          <w:color w:val="000000" w:themeColor="text1"/>
          <w:sz w:val="28"/>
          <w:szCs w:val="28"/>
        </w:rPr>
        <w:t>pr</w:t>
      </w:r>
      <w:r w:rsidR="006F6959" w:rsidRPr="00A245FA">
        <w:rPr>
          <w:rFonts w:ascii="Garamond" w:hAnsi="Garamond" w:cs="Times New Roman"/>
          <w:color w:val="000000" w:themeColor="text1"/>
          <w:sz w:val="28"/>
          <w:szCs w:val="28"/>
        </w:rPr>
        <w:t xml:space="preserve">ovince delegate), e ove la capacità di generazione degli stessi impianti sia inferiore alle soglie individuate dalla tabella A dello stesso </w:t>
      </w:r>
      <w:r w:rsidR="004F0CCD">
        <w:rPr>
          <w:rFonts w:ascii="Garamond" w:hAnsi="Garamond" w:cs="Times New Roman"/>
          <w:color w:val="000000" w:themeColor="text1"/>
          <w:sz w:val="28"/>
          <w:szCs w:val="28"/>
        </w:rPr>
        <w:t>d.lgs.</w:t>
      </w:r>
      <w:r w:rsidR="006F6959" w:rsidRPr="00A245FA">
        <w:rPr>
          <w:rFonts w:ascii="Garamond" w:hAnsi="Garamond" w:cs="Times New Roman"/>
          <w:color w:val="000000" w:themeColor="text1"/>
          <w:sz w:val="28"/>
          <w:szCs w:val="28"/>
        </w:rPr>
        <w:t xml:space="preserve"> n. 387 del 2003, ne subordina la costruzione e l’esercizio alla sola denu</w:t>
      </w:r>
      <w:r w:rsidR="00A245FA">
        <w:rPr>
          <w:rFonts w:ascii="Garamond" w:hAnsi="Garamond" w:cs="Times New Roman"/>
          <w:color w:val="000000" w:themeColor="text1"/>
          <w:sz w:val="28"/>
          <w:szCs w:val="28"/>
        </w:rPr>
        <w:t xml:space="preserve">ncia di inizio attività (DIA) (Corte cost., </w:t>
      </w:r>
      <w:r w:rsidR="006F6959" w:rsidRPr="00A245FA">
        <w:rPr>
          <w:rFonts w:ascii="Garamond" w:hAnsi="Garamond" w:cs="Times New Roman"/>
          <w:color w:val="000000" w:themeColor="text1"/>
          <w:sz w:val="28"/>
          <w:szCs w:val="28"/>
        </w:rPr>
        <w:t xml:space="preserve"> n. 194 del 2010</w:t>
      </w:r>
      <w:r w:rsidR="00127DA1" w:rsidRPr="00A245FA">
        <w:rPr>
          <w:rFonts w:ascii="Garamond" w:hAnsi="Garamond" w:cs="Times New Roman"/>
          <w:color w:val="000000" w:themeColor="text1"/>
          <w:sz w:val="28"/>
          <w:szCs w:val="28"/>
        </w:rPr>
        <w:t xml:space="preserve">); </w:t>
      </w:r>
      <w:r w:rsidR="006F6959" w:rsidRPr="00A245FA">
        <w:rPr>
          <w:rFonts w:ascii="Garamond" w:hAnsi="Garamond" w:cs="Times New Roman"/>
          <w:color w:val="000000" w:themeColor="text1"/>
          <w:sz w:val="28"/>
          <w:szCs w:val="28"/>
        </w:rPr>
        <w:t xml:space="preserve"> </w:t>
      </w:r>
    </w:p>
    <w:p w:rsidR="00A245FA" w:rsidRDefault="001E5668" w:rsidP="001E5668">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w:t>
      </w:r>
      <w:r w:rsidR="003E3C55">
        <w:rPr>
          <w:rFonts w:ascii="Garamond" w:hAnsi="Garamond" w:cs="Times New Roman"/>
          <w:color w:val="000000" w:themeColor="text1"/>
          <w:sz w:val="28"/>
          <w:szCs w:val="28"/>
        </w:rPr>
        <w:t xml:space="preserve">  </w:t>
      </w:r>
      <w:r w:rsidR="00745F44" w:rsidRPr="00A245FA">
        <w:rPr>
          <w:rFonts w:ascii="Garamond" w:hAnsi="Garamond" w:cs="Times New Roman"/>
          <w:color w:val="000000" w:themeColor="text1"/>
          <w:sz w:val="28"/>
          <w:szCs w:val="28"/>
        </w:rPr>
        <w:t>nelle more dell’adozione delle linee guida nazionali provvedere autonomamente alla individuazione di criteri per il corretto inserimento degli impianti alimentati da fonti di energia alternativa. Infatti l’individuazione di aree territoriali ritenute non idonee all’installazione di impianti eolici e fotovoltaici, non ottemperando alla necessità di ponderazione concertata degli interessi rilevanti in questo ambito, in ossequio al principio di leale cooperazione, risulta in contrasto con l’art. 12, comma 10, d</w:t>
      </w:r>
      <w:r w:rsidR="0009411F">
        <w:rPr>
          <w:rFonts w:ascii="Garamond" w:hAnsi="Garamond" w:cs="Times New Roman"/>
          <w:color w:val="000000" w:themeColor="text1"/>
          <w:sz w:val="28"/>
          <w:szCs w:val="28"/>
        </w:rPr>
        <w:t xml:space="preserve">el </w:t>
      </w:r>
      <w:r w:rsidR="004F0CCD">
        <w:rPr>
          <w:rFonts w:ascii="Garamond" w:hAnsi="Garamond" w:cs="Times New Roman"/>
          <w:color w:val="000000" w:themeColor="text1"/>
          <w:sz w:val="28"/>
          <w:szCs w:val="28"/>
        </w:rPr>
        <w:t>d.lgs.</w:t>
      </w:r>
      <w:r w:rsidR="0009411F">
        <w:rPr>
          <w:rFonts w:ascii="Garamond" w:hAnsi="Garamond" w:cs="Times New Roman"/>
          <w:color w:val="000000" w:themeColor="text1"/>
          <w:sz w:val="28"/>
          <w:szCs w:val="28"/>
        </w:rPr>
        <w:t xml:space="preserve"> n. 387 del 2003 (Corte cost., </w:t>
      </w:r>
      <w:r w:rsidR="0009411F" w:rsidRPr="00A245FA">
        <w:rPr>
          <w:rFonts w:ascii="Garamond" w:hAnsi="Garamond" w:cs="Times New Roman"/>
          <w:color w:val="000000" w:themeColor="text1"/>
          <w:sz w:val="28"/>
          <w:szCs w:val="28"/>
        </w:rPr>
        <w:t>n.</w:t>
      </w:r>
      <w:r w:rsidR="00745F44" w:rsidRPr="00A245FA">
        <w:rPr>
          <w:rFonts w:ascii="Garamond" w:hAnsi="Garamond" w:cs="Times New Roman"/>
          <w:color w:val="000000" w:themeColor="text1"/>
          <w:sz w:val="28"/>
          <w:szCs w:val="28"/>
        </w:rPr>
        <w:t xml:space="preserve"> 382 del 2009 e n. 119 del 2010</w:t>
      </w:r>
      <w:r w:rsidR="00E33DEF">
        <w:rPr>
          <w:rFonts w:ascii="Garamond" w:hAnsi="Garamond" w:cs="Times New Roman"/>
          <w:color w:val="000000" w:themeColor="text1"/>
          <w:sz w:val="28"/>
          <w:szCs w:val="28"/>
        </w:rPr>
        <w:t>).</w:t>
      </w:r>
    </w:p>
    <w:p w:rsidR="00A82D78" w:rsidRDefault="001E5668" w:rsidP="001E5668">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     </w:t>
      </w:r>
      <w:r w:rsidR="00E33DEF">
        <w:rPr>
          <w:rFonts w:ascii="Garamond" w:hAnsi="Garamond" w:cs="Times New Roman"/>
          <w:color w:val="000000" w:themeColor="text1"/>
          <w:sz w:val="28"/>
          <w:szCs w:val="28"/>
        </w:rPr>
        <w:t xml:space="preserve">Il menzionato </w:t>
      </w:r>
      <w:r w:rsidR="004F0CCD">
        <w:rPr>
          <w:rFonts w:ascii="Garamond" w:hAnsi="Garamond" w:cs="Times New Roman"/>
          <w:color w:val="000000" w:themeColor="text1"/>
          <w:sz w:val="28"/>
          <w:szCs w:val="28"/>
        </w:rPr>
        <w:t>d.lgs.</w:t>
      </w:r>
      <w:r w:rsidR="00DD77EA" w:rsidRPr="00BF2644">
        <w:rPr>
          <w:rFonts w:ascii="Garamond" w:hAnsi="Garamond" w:cs="Times New Roman"/>
          <w:color w:val="000000" w:themeColor="text1"/>
          <w:sz w:val="28"/>
          <w:szCs w:val="28"/>
        </w:rPr>
        <w:t xml:space="preserve"> n. 387 del 2003 e le linee guida approvate con d.m. 10 settembre 2010 si rivolgono nella loro «</w:t>
      </w:r>
      <w:r w:rsidR="00DD77EA" w:rsidRPr="00E33DEF">
        <w:rPr>
          <w:rFonts w:ascii="Garamond" w:hAnsi="Garamond" w:cs="Times New Roman"/>
          <w:i/>
          <w:color w:val="000000" w:themeColor="text1"/>
          <w:sz w:val="28"/>
          <w:szCs w:val="28"/>
        </w:rPr>
        <w:t>interezza</w:t>
      </w:r>
      <w:r w:rsidR="007172E2">
        <w:rPr>
          <w:rFonts w:ascii="Garamond" w:hAnsi="Garamond" w:cs="Times New Roman"/>
          <w:color w:val="000000" w:themeColor="text1"/>
          <w:sz w:val="28"/>
          <w:szCs w:val="28"/>
        </w:rPr>
        <w:t xml:space="preserve">» alle sole </w:t>
      </w:r>
      <w:r w:rsidR="003E3C55">
        <w:rPr>
          <w:rFonts w:ascii="Garamond" w:hAnsi="Garamond" w:cs="Times New Roman"/>
          <w:color w:val="000000" w:themeColor="text1"/>
          <w:sz w:val="28"/>
          <w:szCs w:val="28"/>
        </w:rPr>
        <w:t>r</w:t>
      </w:r>
      <w:r w:rsidR="003E3C55" w:rsidRPr="00BF2644">
        <w:rPr>
          <w:rFonts w:ascii="Garamond" w:hAnsi="Garamond" w:cs="Times New Roman"/>
          <w:color w:val="000000" w:themeColor="text1"/>
          <w:sz w:val="28"/>
          <w:szCs w:val="28"/>
        </w:rPr>
        <w:t>e</w:t>
      </w:r>
      <w:r w:rsidR="00DD77EA" w:rsidRPr="00BF2644">
        <w:rPr>
          <w:rFonts w:ascii="Garamond" w:hAnsi="Garamond" w:cs="Times New Roman"/>
          <w:color w:val="000000" w:themeColor="text1"/>
          <w:sz w:val="28"/>
          <w:szCs w:val="28"/>
        </w:rPr>
        <w:t>gioni ordinarie (</w:t>
      </w:r>
      <w:r w:rsidR="00E33DEF">
        <w:rPr>
          <w:rFonts w:ascii="Garamond" w:hAnsi="Garamond" w:cs="Times New Roman"/>
          <w:color w:val="000000" w:themeColor="text1"/>
          <w:sz w:val="28"/>
          <w:szCs w:val="28"/>
        </w:rPr>
        <w:t xml:space="preserve">Corte cost. n. 224 del 2012); </w:t>
      </w:r>
      <w:r w:rsidR="007172E2">
        <w:rPr>
          <w:rFonts w:ascii="Garamond" w:hAnsi="Garamond" w:cs="Times New Roman"/>
          <w:color w:val="000000" w:themeColor="text1"/>
          <w:sz w:val="28"/>
          <w:szCs w:val="28"/>
        </w:rPr>
        <w:t xml:space="preserve">le competenze delle </w:t>
      </w:r>
      <w:r w:rsidR="003E3C55">
        <w:rPr>
          <w:rFonts w:ascii="Garamond" w:hAnsi="Garamond" w:cs="Times New Roman"/>
          <w:color w:val="000000" w:themeColor="text1"/>
          <w:sz w:val="28"/>
          <w:szCs w:val="28"/>
        </w:rPr>
        <w:t>r</w:t>
      </w:r>
      <w:r w:rsidR="003E3C55" w:rsidRPr="00BF2644">
        <w:rPr>
          <w:rFonts w:ascii="Garamond" w:hAnsi="Garamond" w:cs="Times New Roman"/>
          <w:color w:val="000000" w:themeColor="text1"/>
          <w:sz w:val="28"/>
          <w:szCs w:val="28"/>
        </w:rPr>
        <w:t xml:space="preserve">egioni a statuto </w:t>
      </w:r>
      <w:r w:rsidR="003E3C55">
        <w:rPr>
          <w:rFonts w:ascii="Garamond" w:hAnsi="Garamond" w:cs="Times New Roman"/>
          <w:color w:val="000000" w:themeColor="text1"/>
          <w:sz w:val="28"/>
          <w:szCs w:val="28"/>
        </w:rPr>
        <w:t>speciale e delle p</w:t>
      </w:r>
      <w:r w:rsidR="003E3C55" w:rsidRPr="00BF2644">
        <w:rPr>
          <w:rFonts w:ascii="Garamond" w:hAnsi="Garamond" w:cs="Times New Roman"/>
          <w:color w:val="000000" w:themeColor="text1"/>
          <w:sz w:val="28"/>
          <w:szCs w:val="28"/>
        </w:rPr>
        <w:t xml:space="preserve">rovince autonome </w:t>
      </w:r>
      <w:r w:rsidR="00DD77EA" w:rsidRPr="00BF2644">
        <w:rPr>
          <w:rFonts w:ascii="Garamond" w:hAnsi="Garamond" w:cs="Times New Roman"/>
          <w:color w:val="000000" w:themeColor="text1"/>
          <w:sz w:val="28"/>
          <w:szCs w:val="28"/>
        </w:rPr>
        <w:t>di Trento e di Bolzano sono fatte salve in forza della «</w:t>
      </w:r>
      <w:r w:rsidR="00DD77EA" w:rsidRPr="00E33DEF">
        <w:rPr>
          <w:rFonts w:ascii="Garamond" w:hAnsi="Garamond" w:cs="Times New Roman"/>
          <w:i/>
          <w:color w:val="000000" w:themeColor="text1"/>
          <w:sz w:val="28"/>
          <w:szCs w:val="28"/>
        </w:rPr>
        <w:t>clausola di salvezza</w:t>
      </w:r>
      <w:r w:rsidR="00DD77EA" w:rsidRPr="00BF2644">
        <w:rPr>
          <w:rFonts w:ascii="Garamond" w:hAnsi="Garamond" w:cs="Times New Roman"/>
          <w:color w:val="000000" w:themeColor="text1"/>
          <w:sz w:val="28"/>
          <w:szCs w:val="28"/>
        </w:rPr>
        <w:t xml:space="preserve">» di cui all'art. 19 </w:t>
      </w:r>
      <w:r w:rsidR="004F0CCD">
        <w:rPr>
          <w:rFonts w:ascii="Garamond" w:hAnsi="Garamond" w:cs="Times New Roman"/>
          <w:color w:val="000000" w:themeColor="text1"/>
          <w:sz w:val="28"/>
          <w:szCs w:val="28"/>
        </w:rPr>
        <w:t>d.lgs.</w:t>
      </w:r>
      <w:r w:rsidR="00E33DEF">
        <w:rPr>
          <w:rFonts w:ascii="Garamond" w:hAnsi="Garamond" w:cs="Times New Roman"/>
          <w:color w:val="000000" w:themeColor="text1"/>
          <w:sz w:val="28"/>
          <w:szCs w:val="28"/>
        </w:rPr>
        <w:t xml:space="preserve"> </w:t>
      </w:r>
      <w:r w:rsidR="007172E2">
        <w:rPr>
          <w:rFonts w:ascii="Garamond" w:hAnsi="Garamond" w:cs="Times New Roman"/>
          <w:color w:val="000000" w:themeColor="text1"/>
          <w:sz w:val="28"/>
          <w:szCs w:val="28"/>
        </w:rPr>
        <w:t xml:space="preserve">n. </w:t>
      </w:r>
      <w:r w:rsidR="00E33DEF">
        <w:rPr>
          <w:rFonts w:ascii="Garamond" w:hAnsi="Garamond" w:cs="Times New Roman"/>
          <w:color w:val="000000" w:themeColor="text1"/>
          <w:sz w:val="28"/>
          <w:szCs w:val="28"/>
        </w:rPr>
        <w:t>387 del 20</w:t>
      </w:r>
      <w:r w:rsidR="00DD77EA" w:rsidRPr="00BF2644">
        <w:rPr>
          <w:rFonts w:ascii="Garamond" w:hAnsi="Garamond" w:cs="Times New Roman"/>
          <w:color w:val="000000" w:themeColor="text1"/>
          <w:sz w:val="28"/>
          <w:szCs w:val="28"/>
        </w:rPr>
        <w:t>03, ma purtuttavia l</w:t>
      </w:r>
      <w:r w:rsidR="007172E2">
        <w:rPr>
          <w:rFonts w:ascii="Garamond" w:hAnsi="Garamond" w:cs="Times New Roman"/>
          <w:color w:val="000000" w:themeColor="text1"/>
          <w:sz w:val="28"/>
          <w:szCs w:val="28"/>
        </w:rPr>
        <w:t xml:space="preserve">a competenza legislativa </w:t>
      </w:r>
      <w:r w:rsidR="003E3C55">
        <w:rPr>
          <w:rFonts w:ascii="Garamond" w:hAnsi="Garamond" w:cs="Times New Roman"/>
          <w:color w:val="000000" w:themeColor="text1"/>
          <w:sz w:val="28"/>
          <w:szCs w:val="28"/>
        </w:rPr>
        <w:t>delle r</w:t>
      </w:r>
      <w:r w:rsidR="00DD77EA" w:rsidRPr="00BF2644">
        <w:rPr>
          <w:rFonts w:ascii="Garamond" w:hAnsi="Garamond" w:cs="Times New Roman"/>
          <w:color w:val="000000" w:themeColor="text1"/>
          <w:sz w:val="28"/>
          <w:szCs w:val="28"/>
        </w:rPr>
        <w:t>egi</w:t>
      </w:r>
      <w:r w:rsidR="007172E2">
        <w:rPr>
          <w:rFonts w:ascii="Garamond" w:hAnsi="Garamond" w:cs="Times New Roman"/>
          <w:color w:val="000000" w:themeColor="text1"/>
          <w:sz w:val="28"/>
          <w:szCs w:val="28"/>
        </w:rPr>
        <w:t xml:space="preserve">oni a statuto speciale e delle </w:t>
      </w:r>
      <w:r w:rsidR="003E3C55">
        <w:rPr>
          <w:rFonts w:ascii="Garamond" w:hAnsi="Garamond" w:cs="Times New Roman"/>
          <w:color w:val="000000" w:themeColor="text1"/>
          <w:sz w:val="28"/>
          <w:szCs w:val="28"/>
        </w:rPr>
        <w:t>p</w:t>
      </w:r>
      <w:r w:rsidR="00DD77EA" w:rsidRPr="00BF2644">
        <w:rPr>
          <w:rFonts w:ascii="Garamond" w:hAnsi="Garamond" w:cs="Times New Roman"/>
          <w:color w:val="000000" w:themeColor="text1"/>
          <w:sz w:val="28"/>
          <w:szCs w:val="28"/>
        </w:rPr>
        <w:t>rovincie autonome deve coesistere con la competenza statale in materia di tutela dell'ambiente e con quella concorrente</w:t>
      </w:r>
      <w:r w:rsidR="00E33DEF">
        <w:rPr>
          <w:rFonts w:ascii="Garamond" w:hAnsi="Garamond" w:cs="Times New Roman"/>
          <w:color w:val="000000" w:themeColor="text1"/>
          <w:sz w:val="28"/>
          <w:szCs w:val="28"/>
        </w:rPr>
        <w:t xml:space="preserve"> in materia di energia (Corte cost.</w:t>
      </w:r>
      <w:r w:rsidR="007172E2">
        <w:rPr>
          <w:rFonts w:ascii="Garamond" w:hAnsi="Garamond" w:cs="Times New Roman"/>
          <w:color w:val="000000" w:themeColor="text1"/>
          <w:sz w:val="28"/>
          <w:szCs w:val="28"/>
        </w:rPr>
        <w:t>,</w:t>
      </w:r>
      <w:r w:rsidR="00E33DEF">
        <w:rPr>
          <w:rFonts w:ascii="Garamond" w:hAnsi="Garamond" w:cs="Times New Roman"/>
          <w:color w:val="000000" w:themeColor="text1"/>
          <w:sz w:val="28"/>
          <w:szCs w:val="28"/>
        </w:rPr>
        <w:t xml:space="preserve"> n. 275 del 2011</w:t>
      </w:r>
      <w:r w:rsidR="00DD77EA" w:rsidRPr="00BF2644">
        <w:rPr>
          <w:rFonts w:ascii="Garamond" w:hAnsi="Garamond" w:cs="Times New Roman"/>
          <w:color w:val="000000" w:themeColor="text1"/>
          <w:sz w:val="28"/>
          <w:szCs w:val="28"/>
        </w:rPr>
        <w:t>)</w:t>
      </w:r>
      <w:r w:rsidR="00E33DEF">
        <w:rPr>
          <w:rFonts w:ascii="Garamond" w:hAnsi="Garamond" w:cs="Times New Roman"/>
          <w:color w:val="000000" w:themeColor="text1"/>
          <w:sz w:val="28"/>
          <w:szCs w:val="28"/>
        </w:rPr>
        <w:t xml:space="preserve">. Pertanto </w:t>
      </w:r>
      <w:r w:rsidR="00E33DEF" w:rsidRPr="00BF2644">
        <w:rPr>
          <w:rFonts w:ascii="Garamond" w:hAnsi="Garamond" w:cs="Times New Roman"/>
          <w:color w:val="000000" w:themeColor="text1"/>
          <w:sz w:val="28"/>
          <w:szCs w:val="28"/>
        </w:rPr>
        <w:t>la</w:t>
      </w:r>
      <w:r w:rsidR="00DD77EA" w:rsidRPr="00BF2644">
        <w:rPr>
          <w:rFonts w:ascii="Garamond" w:hAnsi="Garamond" w:cs="Times New Roman"/>
          <w:color w:val="000000" w:themeColor="text1"/>
          <w:sz w:val="28"/>
          <w:szCs w:val="28"/>
        </w:rPr>
        <w:t xml:space="preserve"> competenza primaria attribuita ad una </w:t>
      </w:r>
      <w:r w:rsidR="007C254A" w:rsidRPr="00BF2644">
        <w:rPr>
          <w:rFonts w:ascii="Garamond" w:hAnsi="Garamond" w:cs="Times New Roman"/>
          <w:color w:val="000000" w:themeColor="text1"/>
          <w:sz w:val="28"/>
          <w:szCs w:val="28"/>
        </w:rPr>
        <w:t>r</w:t>
      </w:r>
      <w:r w:rsidR="002D4208" w:rsidRPr="00BF2644">
        <w:rPr>
          <w:rFonts w:ascii="Garamond" w:hAnsi="Garamond" w:cs="Times New Roman"/>
          <w:color w:val="000000" w:themeColor="text1"/>
          <w:sz w:val="28"/>
          <w:szCs w:val="28"/>
        </w:rPr>
        <w:t>egione</w:t>
      </w:r>
      <w:r w:rsidR="007172E2">
        <w:rPr>
          <w:rFonts w:ascii="Garamond" w:hAnsi="Garamond" w:cs="Times New Roman"/>
          <w:color w:val="000000" w:themeColor="text1"/>
          <w:sz w:val="28"/>
          <w:szCs w:val="28"/>
        </w:rPr>
        <w:t xml:space="preserve"> a statuto</w:t>
      </w:r>
      <w:r w:rsidR="002D4208" w:rsidRPr="00BF2644">
        <w:rPr>
          <w:rFonts w:ascii="Garamond" w:hAnsi="Garamond" w:cs="Times New Roman"/>
          <w:color w:val="000000" w:themeColor="text1"/>
          <w:sz w:val="28"/>
          <w:szCs w:val="28"/>
        </w:rPr>
        <w:t xml:space="preserve"> </w:t>
      </w:r>
      <w:r w:rsidR="00DD77EA" w:rsidRPr="00BF2644">
        <w:rPr>
          <w:rFonts w:ascii="Garamond" w:hAnsi="Garamond" w:cs="Times New Roman"/>
          <w:color w:val="000000" w:themeColor="text1"/>
          <w:sz w:val="28"/>
          <w:szCs w:val="28"/>
        </w:rPr>
        <w:t xml:space="preserve">speciale o ad una </w:t>
      </w:r>
      <w:r w:rsidR="007C254A" w:rsidRPr="00BF2644">
        <w:rPr>
          <w:rFonts w:ascii="Garamond" w:hAnsi="Garamond" w:cs="Times New Roman"/>
          <w:color w:val="000000" w:themeColor="text1"/>
          <w:sz w:val="28"/>
          <w:szCs w:val="28"/>
        </w:rPr>
        <w:t>p</w:t>
      </w:r>
      <w:r w:rsidR="004640B1" w:rsidRPr="00BF2644">
        <w:rPr>
          <w:rFonts w:ascii="Garamond" w:hAnsi="Garamond" w:cs="Times New Roman"/>
          <w:color w:val="000000" w:themeColor="text1"/>
          <w:sz w:val="28"/>
          <w:szCs w:val="28"/>
        </w:rPr>
        <w:t xml:space="preserve">rovincia </w:t>
      </w:r>
      <w:r w:rsidR="00DD77EA" w:rsidRPr="00BF2644">
        <w:rPr>
          <w:rFonts w:ascii="Garamond" w:hAnsi="Garamond" w:cs="Times New Roman"/>
          <w:color w:val="000000" w:themeColor="text1"/>
          <w:sz w:val="28"/>
          <w:szCs w:val="28"/>
        </w:rPr>
        <w:t xml:space="preserve">autonoma, in materia di tutela del paesaggio, da un lato rende inapplicabili alle suddette autonomie speciali le linee guida nella loro interezza, ma dall'altro lato non esonera le medesime autonomie speciali dall'osservanza delle disposizioni a carattere generale contenute nelle </w:t>
      </w:r>
      <w:r w:rsidR="00E33DEF">
        <w:rPr>
          <w:rFonts w:ascii="Garamond" w:hAnsi="Garamond" w:cs="Times New Roman"/>
          <w:color w:val="000000" w:themeColor="text1"/>
          <w:sz w:val="28"/>
          <w:szCs w:val="28"/>
        </w:rPr>
        <w:t xml:space="preserve">menzionate linee guida (Corte cost., n. 224 del 2012; </w:t>
      </w:r>
      <w:r w:rsidR="003E3C55">
        <w:rPr>
          <w:rFonts w:ascii="Garamond" w:hAnsi="Garamond" w:cs="Times New Roman"/>
          <w:color w:val="000000" w:themeColor="text1"/>
          <w:sz w:val="28"/>
          <w:szCs w:val="28"/>
        </w:rPr>
        <w:t>n</w:t>
      </w:r>
      <w:r w:rsidR="00E33DEF">
        <w:rPr>
          <w:rFonts w:ascii="Garamond" w:hAnsi="Garamond" w:cs="Times New Roman"/>
          <w:color w:val="000000" w:themeColor="text1"/>
          <w:sz w:val="28"/>
          <w:szCs w:val="28"/>
        </w:rPr>
        <w:t xml:space="preserve">. 168 del 2010); </w:t>
      </w:r>
      <w:r w:rsidR="00DD77EA" w:rsidRPr="00BF2644">
        <w:rPr>
          <w:rFonts w:ascii="Garamond" w:hAnsi="Garamond" w:cs="Times New Roman"/>
          <w:color w:val="000000" w:themeColor="text1"/>
          <w:sz w:val="28"/>
          <w:szCs w:val="28"/>
        </w:rPr>
        <w:t>non sono comunque ammissibili, nei confronti delle autonomie speciali, «</w:t>
      </w:r>
      <w:r w:rsidR="00DD77EA" w:rsidRPr="007172E2">
        <w:rPr>
          <w:rFonts w:ascii="Garamond" w:hAnsi="Garamond" w:cs="Times New Roman"/>
          <w:i/>
          <w:color w:val="000000" w:themeColor="text1"/>
          <w:sz w:val="28"/>
          <w:szCs w:val="28"/>
        </w:rPr>
        <w:t>vincoli puntuali e concreti</w:t>
      </w:r>
      <w:r w:rsidR="00E33DEF">
        <w:rPr>
          <w:rFonts w:ascii="Garamond" w:hAnsi="Garamond" w:cs="Times New Roman"/>
          <w:color w:val="000000" w:themeColor="text1"/>
          <w:sz w:val="28"/>
          <w:szCs w:val="28"/>
        </w:rPr>
        <w:t xml:space="preserve">» da parte dello Stato (Corte cost., </w:t>
      </w:r>
      <w:r w:rsidR="00E33DEF" w:rsidRPr="00BF2644">
        <w:rPr>
          <w:rFonts w:ascii="Garamond" w:hAnsi="Garamond" w:cs="Times New Roman"/>
          <w:color w:val="000000" w:themeColor="text1"/>
          <w:sz w:val="28"/>
          <w:szCs w:val="28"/>
        </w:rPr>
        <w:t>n.</w:t>
      </w:r>
      <w:r w:rsidR="00DD77EA" w:rsidRPr="00BF2644">
        <w:rPr>
          <w:rFonts w:ascii="Garamond" w:hAnsi="Garamond" w:cs="Times New Roman"/>
          <w:color w:val="000000" w:themeColor="text1"/>
          <w:sz w:val="28"/>
          <w:szCs w:val="28"/>
        </w:rPr>
        <w:t xml:space="preserve"> 275 del 2011</w:t>
      </w:r>
      <w:r w:rsidR="00F22AEC" w:rsidRPr="00BF2644">
        <w:rPr>
          <w:rFonts w:ascii="Garamond" w:hAnsi="Garamond" w:cs="Times New Roman"/>
          <w:color w:val="000000" w:themeColor="text1"/>
          <w:sz w:val="28"/>
          <w:szCs w:val="28"/>
        </w:rPr>
        <w:t>).</w:t>
      </w:r>
    </w:p>
    <w:p w:rsidR="00F22AEC" w:rsidRPr="00BF2644" w:rsidRDefault="00E33DEF" w:rsidP="001E5668">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A</w:t>
      </w:r>
      <w:r w:rsidR="00F22AEC" w:rsidRPr="00BF2644">
        <w:rPr>
          <w:rFonts w:ascii="Garamond" w:hAnsi="Garamond" w:cs="Times New Roman"/>
          <w:color w:val="000000" w:themeColor="text1"/>
          <w:sz w:val="28"/>
          <w:szCs w:val="28"/>
        </w:rPr>
        <w:t xml:space="preserve"> fronte della generale utilizzabilità di tutti i terreni per l'insediamento degli impianti di produzione di energia elettrica da fonti rinnovabili, le scelte di diverso avviso ad </w:t>
      </w:r>
      <w:r w:rsidR="00635C04" w:rsidRPr="00BF2644">
        <w:rPr>
          <w:rFonts w:ascii="Garamond" w:hAnsi="Garamond" w:cs="Times New Roman"/>
          <w:color w:val="000000" w:themeColor="text1"/>
          <w:sz w:val="28"/>
          <w:szCs w:val="28"/>
        </w:rPr>
        <w:t>effetto</w:t>
      </w:r>
      <w:r>
        <w:rPr>
          <w:rFonts w:ascii="Garamond" w:hAnsi="Garamond" w:cs="Times New Roman"/>
          <w:color w:val="000000" w:themeColor="text1"/>
          <w:sz w:val="28"/>
          <w:szCs w:val="28"/>
        </w:rPr>
        <w:t xml:space="preserve"> limitativo - </w:t>
      </w:r>
      <w:r w:rsidR="007172E2">
        <w:rPr>
          <w:rFonts w:ascii="Garamond" w:hAnsi="Garamond" w:cs="Times New Roman"/>
          <w:color w:val="000000" w:themeColor="text1"/>
          <w:sz w:val="28"/>
          <w:szCs w:val="28"/>
        </w:rPr>
        <w:t xml:space="preserve">compiute in particolare dalle </w:t>
      </w:r>
      <w:r w:rsidR="007C254A">
        <w:rPr>
          <w:rFonts w:ascii="Garamond" w:hAnsi="Garamond" w:cs="Times New Roman"/>
          <w:color w:val="000000" w:themeColor="text1"/>
          <w:sz w:val="28"/>
          <w:szCs w:val="28"/>
        </w:rPr>
        <w:t>r</w:t>
      </w:r>
      <w:r w:rsidR="007C254A" w:rsidRPr="00BF2644">
        <w:rPr>
          <w:rFonts w:ascii="Garamond" w:hAnsi="Garamond" w:cs="Times New Roman"/>
          <w:color w:val="000000" w:themeColor="text1"/>
          <w:sz w:val="28"/>
          <w:szCs w:val="28"/>
        </w:rPr>
        <w:t>egio</w:t>
      </w:r>
      <w:r w:rsidR="00F22AEC" w:rsidRPr="00BF2644">
        <w:rPr>
          <w:rFonts w:ascii="Garamond" w:hAnsi="Garamond" w:cs="Times New Roman"/>
          <w:color w:val="000000" w:themeColor="text1"/>
          <w:sz w:val="28"/>
          <w:szCs w:val="28"/>
        </w:rPr>
        <w:t>ni a statuto speciale</w:t>
      </w:r>
      <w:r w:rsidR="007172E2">
        <w:rPr>
          <w:rFonts w:ascii="Garamond" w:hAnsi="Garamond" w:cs="Times New Roman"/>
          <w:color w:val="000000" w:themeColor="text1"/>
          <w:sz w:val="28"/>
          <w:szCs w:val="28"/>
        </w:rPr>
        <w:t>,</w:t>
      </w:r>
      <w:r w:rsidR="00F22AEC" w:rsidRPr="00BF2644">
        <w:rPr>
          <w:rFonts w:ascii="Garamond" w:hAnsi="Garamond" w:cs="Times New Roman"/>
          <w:color w:val="000000" w:themeColor="text1"/>
          <w:sz w:val="28"/>
          <w:szCs w:val="28"/>
        </w:rPr>
        <w:t xml:space="preserve"> tributarie di una competenza legislativa primaria in determinate materie, nell'ambito delle quali vengono poste particolari limitazioni alla di</w:t>
      </w:r>
      <w:r>
        <w:rPr>
          <w:rFonts w:ascii="Garamond" w:hAnsi="Garamond" w:cs="Times New Roman"/>
          <w:color w:val="000000" w:themeColor="text1"/>
          <w:sz w:val="28"/>
          <w:szCs w:val="28"/>
        </w:rPr>
        <w:t>ffusione dei suddetti impianti -</w:t>
      </w:r>
      <w:r w:rsidR="00F22AEC" w:rsidRPr="00BF2644">
        <w:rPr>
          <w:rFonts w:ascii="Garamond" w:hAnsi="Garamond" w:cs="Times New Roman"/>
          <w:color w:val="000000" w:themeColor="text1"/>
          <w:sz w:val="28"/>
          <w:szCs w:val="28"/>
        </w:rPr>
        <w:t xml:space="preserve"> devono essere valutate «</w:t>
      </w:r>
      <w:r w:rsidR="00F22AEC" w:rsidRPr="00E33DEF">
        <w:rPr>
          <w:rFonts w:ascii="Garamond" w:hAnsi="Garamond" w:cs="Times New Roman"/>
          <w:i/>
          <w:color w:val="000000" w:themeColor="text1"/>
          <w:sz w:val="28"/>
          <w:szCs w:val="28"/>
        </w:rPr>
        <w:t>non alla stregua dei criteri generali validi per tutte le regioni, ma in considerazione dell'esigenza di dare idonea tutela agli interessi sottesi alla competenza legislativa statutariamente attribuita</w:t>
      </w:r>
      <w:r w:rsidR="00F22AEC" w:rsidRPr="00BF2644">
        <w:rPr>
          <w:rFonts w:ascii="Garamond" w:hAnsi="Garamond" w:cs="Times New Roman"/>
          <w:color w:val="000000" w:themeColor="text1"/>
          <w:sz w:val="28"/>
          <w:szCs w:val="28"/>
        </w:rPr>
        <w:t>» (</w:t>
      </w:r>
      <w:r>
        <w:rPr>
          <w:rFonts w:ascii="Garamond" w:hAnsi="Garamond" w:cs="Times New Roman"/>
          <w:color w:val="000000" w:themeColor="text1"/>
          <w:sz w:val="28"/>
          <w:szCs w:val="28"/>
        </w:rPr>
        <w:t>Corte cost. n. sentenza n. 224 del 2012); in</w:t>
      </w:r>
      <w:r w:rsidR="00F22AEC" w:rsidRPr="00BF2644">
        <w:rPr>
          <w:rFonts w:ascii="Garamond" w:hAnsi="Garamond" w:cs="Times New Roman"/>
          <w:color w:val="000000" w:themeColor="text1"/>
          <w:sz w:val="28"/>
          <w:szCs w:val="28"/>
        </w:rPr>
        <w:t xml:space="preserve"> particolare la </w:t>
      </w:r>
      <w:r w:rsidR="007C254A" w:rsidRPr="00BF2644">
        <w:rPr>
          <w:rFonts w:ascii="Garamond" w:hAnsi="Garamond" w:cs="Times New Roman"/>
          <w:color w:val="000000" w:themeColor="text1"/>
          <w:sz w:val="28"/>
          <w:szCs w:val="28"/>
        </w:rPr>
        <w:t>re</w:t>
      </w:r>
      <w:r w:rsidR="002D4208" w:rsidRPr="00BF2644">
        <w:rPr>
          <w:rFonts w:ascii="Garamond" w:hAnsi="Garamond" w:cs="Times New Roman"/>
          <w:color w:val="000000" w:themeColor="text1"/>
          <w:sz w:val="28"/>
          <w:szCs w:val="28"/>
        </w:rPr>
        <w:t xml:space="preserve">gione </w:t>
      </w:r>
      <w:r w:rsidR="00F22AEC" w:rsidRPr="00BF2644">
        <w:rPr>
          <w:rFonts w:ascii="Garamond" w:hAnsi="Garamond" w:cs="Times New Roman"/>
          <w:color w:val="000000" w:themeColor="text1"/>
          <w:sz w:val="28"/>
          <w:szCs w:val="28"/>
        </w:rPr>
        <w:t>autonoma Sardegna, in base al proprio statuto, ha competenza legislativa primaria nel disciplinare gli aspetti paesistico-ambientali del proprio territorio,</w:t>
      </w:r>
      <w:r w:rsidR="007172E2">
        <w:rPr>
          <w:rFonts w:ascii="Garamond" w:hAnsi="Garamond" w:cs="Times New Roman"/>
          <w:color w:val="000000" w:themeColor="text1"/>
          <w:sz w:val="28"/>
          <w:szCs w:val="28"/>
        </w:rPr>
        <w:t xml:space="preserve"> in ciò differenziandosi dalle </w:t>
      </w:r>
      <w:r w:rsidR="007C254A">
        <w:rPr>
          <w:rFonts w:ascii="Garamond" w:hAnsi="Garamond" w:cs="Times New Roman"/>
          <w:color w:val="000000" w:themeColor="text1"/>
          <w:sz w:val="28"/>
          <w:szCs w:val="28"/>
        </w:rPr>
        <w:t>r</w:t>
      </w:r>
      <w:r w:rsidR="007C254A" w:rsidRPr="00BF2644">
        <w:rPr>
          <w:rFonts w:ascii="Garamond" w:hAnsi="Garamond" w:cs="Times New Roman"/>
          <w:color w:val="000000" w:themeColor="text1"/>
          <w:sz w:val="28"/>
          <w:szCs w:val="28"/>
        </w:rPr>
        <w:t>egioni cui tale competenza non è attribuita, ben potendo quindi la suddetta regione individuare, con maggior</w:t>
      </w:r>
      <w:r w:rsidR="007C254A">
        <w:rPr>
          <w:rFonts w:ascii="Garamond" w:hAnsi="Garamond" w:cs="Times New Roman"/>
          <w:color w:val="000000" w:themeColor="text1"/>
          <w:sz w:val="28"/>
          <w:szCs w:val="28"/>
        </w:rPr>
        <w:t>e autonomia rispetto alle r</w:t>
      </w:r>
      <w:r w:rsidR="00F22AEC" w:rsidRPr="00BF2644">
        <w:rPr>
          <w:rFonts w:ascii="Garamond" w:hAnsi="Garamond" w:cs="Times New Roman"/>
          <w:color w:val="000000" w:themeColor="text1"/>
          <w:sz w:val="28"/>
          <w:szCs w:val="28"/>
        </w:rPr>
        <w:t>egioni ordinarie, le aree non idonee all'insediame</w:t>
      </w:r>
      <w:r>
        <w:rPr>
          <w:rFonts w:ascii="Garamond" w:hAnsi="Garamond" w:cs="Times New Roman"/>
          <w:color w:val="000000" w:themeColor="text1"/>
          <w:sz w:val="28"/>
          <w:szCs w:val="28"/>
        </w:rPr>
        <w:t>nto di impianti eolici (Corte cost.  n. 224 del 2012</w:t>
      </w:r>
      <w:r w:rsidR="00F22AEC" w:rsidRPr="00BF2644">
        <w:rPr>
          <w:rFonts w:ascii="Garamond" w:hAnsi="Garamond" w:cs="Times New Roman"/>
          <w:color w:val="000000" w:themeColor="text1"/>
          <w:sz w:val="28"/>
          <w:szCs w:val="28"/>
        </w:rPr>
        <w:t xml:space="preserve">), considerato che la puntuale applicazione delle linee guida statali, nei confronti della </w:t>
      </w:r>
      <w:r w:rsidR="007C254A">
        <w:rPr>
          <w:rFonts w:ascii="Garamond" w:hAnsi="Garamond" w:cs="Times New Roman"/>
          <w:color w:val="000000" w:themeColor="text1"/>
          <w:sz w:val="28"/>
          <w:szCs w:val="28"/>
        </w:rPr>
        <w:t>r</w:t>
      </w:r>
      <w:r w:rsidR="002D4208" w:rsidRPr="00BF2644">
        <w:rPr>
          <w:rFonts w:ascii="Garamond" w:hAnsi="Garamond" w:cs="Times New Roman"/>
          <w:color w:val="000000" w:themeColor="text1"/>
          <w:sz w:val="28"/>
          <w:szCs w:val="28"/>
        </w:rPr>
        <w:t xml:space="preserve">egione </w:t>
      </w:r>
      <w:r w:rsidR="00F22AEC" w:rsidRPr="00BF2644">
        <w:rPr>
          <w:rFonts w:ascii="Garamond" w:hAnsi="Garamond" w:cs="Times New Roman"/>
          <w:color w:val="000000" w:themeColor="text1"/>
          <w:sz w:val="28"/>
          <w:szCs w:val="28"/>
        </w:rPr>
        <w:t>autonoma Sardegna, incontra il limite di competenza inerente ai profili d</w:t>
      </w:r>
      <w:r>
        <w:rPr>
          <w:rFonts w:ascii="Garamond" w:hAnsi="Garamond" w:cs="Times New Roman"/>
          <w:color w:val="000000" w:themeColor="text1"/>
          <w:sz w:val="28"/>
          <w:szCs w:val="28"/>
        </w:rPr>
        <w:t xml:space="preserve">i tutela del paesaggio (Corte cost., n. 199 del 2014); </w:t>
      </w:r>
      <w:r w:rsidR="00F22AEC" w:rsidRPr="00BF2644">
        <w:rPr>
          <w:rFonts w:ascii="Garamond" w:hAnsi="Garamond" w:cs="Times New Roman"/>
          <w:color w:val="000000" w:themeColor="text1"/>
          <w:sz w:val="28"/>
          <w:szCs w:val="28"/>
        </w:rPr>
        <w:t>rimane fermo i</w:t>
      </w:r>
      <w:r w:rsidR="007C254A">
        <w:rPr>
          <w:rFonts w:ascii="Garamond" w:hAnsi="Garamond" w:cs="Times New Roman"/>
          <w:color w:val="000000" w:themeColor="text1"/>
          <w:sz w:val="28"/>
          <w:szCs w:val="28"/>
        </w:rPr>
        <w:t>l divieto, valido anche per le r</w:t>
      </w:r>
      <w:r w:rsidR="00F22AEC" w:rsidRPr="00BF2644">
        <w:rPr>
          <w:rFonts w:ascii="Garamond" w:hAnsi="Garamond" w:cs="Times New Roman"/>
          <w:color w:val="000000" w:themeColor="text1"/>
          <w:sz w:val="28"/>
          <w:szCs w:val="28"/>
        </w:rPr>
        <w:t>egioni a statuto speciale, di invertire il criterio stabilito dal legislator</w:t>
      </w:r>
      <w:r w:rsidR="007172E2">
        <w:rPr>
          <w:rFonts w:ascii="Garamond" w:hAnsi="Garamond" w:cs="Times New Roman"/>
          <w:color w:val="000000" w:themeColor="text1"/>
          <w:sz w:val="28"/>
          <w:szCs w:val="28"/>
        </w:rPr>
        <w:t xml:space="preserve">e statale, dovendo comunque le </w:t>
      </w:r>
      <w:r w:rsidR="007C254A">
        <w:rPr>
          <w:rFonts w:ascii="Garamond" w:hAnsi="Garamond" w:cs="Times New Roman"/>
          <w:color w:val="000000" w:themeColor="text1"/>
          <w:sz w:val="28"/>
          <w:szCs w:val="28"/>
        </w:rPr>
        <w:t>r</w:t>
      </w:r>
      <w:r w:rsidR="00F22AEC" w:rsidRPr="00BF2644">
        <w:rPr>
          <w:rFonts w:ascii="Garamond" w:hAnsi="Garamond" w:cs="Times New Roman"/>
          <w:color w:val="000000" w:themeColor="text1"/>
          <w:sz w:val="28"/>
          <w:szCs w:val="28"/>
        </w:rPr>
        <w:t>egioni indicare le aree «</w:t>
      </w:r>
      <w:r w:rsidR="00F22AEC" w:rsidRPr="00E33DEF">
        <w:rPr>
          <w:rFonts w:ascii="Garamond" w:hAnsi="Garamond" w:cs="Times New Roman"/>
          <w:i/>
          <w:color w:val="000000" w:themeColor="text1"/>
          <w:sz w:val="28"/>
          <w:szCs w:val="28"/>
        </w:rPr>
        <w:t>non idonee</w:t>
      </w:r>
      <w:r w:rsidR="00F22AEC" w:rsidRPr="00BF2644">
        <w:rPr>
          <w:rFonts w:ascii="Garamond" w:hAnsi="Garamond" w:cs="Times New Roman"/>
          <w:color w:val="000000" w:themeColor="text1"/>
          <w:sz w:val="28"/>
          <w:szCs w:val="28"/>
        </w:rPr>
        <w:t>» all'installaz</w:t>
      </w:r>
      <w:r>
        <w:rPr>
          <w:rFonts w:ascii="Garamond" w:hAnsi="Garamond" w:cs="Times New Roman"/>
          <w:color w:val="000000" w:themeColor="text1"/>
          <w:sz w:val="28"/>
          <w:szCs w:val="28"/>
        </w:rPr>
        <w:t>ione d</w:t>
      </w:r>
      <w:r w:rsidR="007C254A">
        <w:rPr>
          <w:rFonts w:ascii="Garamond" w:hAnsi="Garamond" w:cs="Times New Roman"/>
          <w:color w:val="000000" w:themeColor="text1"/>
          <w:sz w:val="28"/>
          <w:szCs w:val="28"/>
        </w:rPr>
        <w:t xml:space="preserve">egli impianti (Corte cost., n. </w:t>
      </w:r>
      <w:r>
        <w:rPr>
          <w:rFonts w:ascii="Garamond" w:hAnsi="Garamond" w:cs="Times New Roman"/>
          <w:color w:val="000000" w:themeColor="text1"/>
          <w:sz w:val="28"/>
          <w:szCs w:val="28"/>
        </w:rPr>
        <w:t>199 del 2014</w:t>
      </w:r>
      <w:r w:rsidR="00F22AEC" w:rsidRPr="00BF2644">
        <w:rPr>
          <w:rFonts w:ascii="Garamond" w:hAnsi="Garamond" w:cs="Times New Roman"/>
          <w:color w:val="000000" w:themeColor="text1"/>
          <w:sz w:val="28"/>
          <w:szCs w:val="28"/>
        </w:rPr>
        <w:t xml:space="preserve">), e non potendo comunque introdurre divieti </w:t>
      </w:r>
      <w:r w:rsidR="00F22AEC" w:rsidRPr="00BF2644">
        <w:rPr>
          <w:rFonts w:ascii="Garamond" w:hAnsi="Garamond" w:cs="Times New Roman"/>
          <w:color w:val="000000" w:themeColor="text1"/>
          <w:sz w:val="28"/>
          <w:szCs w:val="28"/>
        </w:rPr>
        <w:lastRenderedPageBreak/>
        <w:t>aprioristici di carattere generale all'insediam</w:t>
      </w:r>
      <w:r w:rsidR="00373759">
        <w:rPr>
          <w:rFonts w:ascii="Garamond" w:hAnsi="Garamond" w:cs="Times New Roman"/>
          <w:color w:val="000000" w:themeColor="text1"/>
          <w:sz w:val="28"/>
          <w:szCs w:val="28"/>
        </w:rPr>
        <w:t xml:space="preserve">ento degli impianti </w:t>
      </w:r>
      <w:r w:rsidR="00373759" w:rsidRPr="0000794B">
        <w:rPr>
          <w:rFonts w:ascii="Garamond" w:hAnsi="Garamond" w:cs="Times New Roman"/>
          <w:i/>
          <w:color w:val="000000" w:themeColor="text1"/>
          <w:sz w:val="28"/>
          <w:szCs w:val="28"/>
        </w:rPr>
        <w:t>de quibus</w:t>
      </w:r>
      <w:r w:rsidR="00373759">
        <w:rPr>
          <w:rFonts w:ascii="Garamond" w:hAnsi="Garamond" w:cs="Times New Roman"/>
          <w:color w:val="000000" w:themeColor="text1"/>
          <w:sz w:val="28"/>
          <w:szCs w:val="28"/>
        </w:rPr>
        <w:t xml:space="preserve"> (Corte cost., n. 148 del 2019; </w:t>
      </w:r>
      <w:r w:rsidR="00F22AEC" w:rsidRPr="00BF2644">
        <w:rPr>
          <w:rFonts w:ascii="Garamond" w:hAnsi="Garamond" w:cs="Times New Roman"/>
          <w:color w:val="000000" w:themeColor="text1"/>
          <w:sz w:val="28"/>
          <w:szCs w:val="28"/>
        </w:rPr>
        <w:t>n. 69 del 20</w:t>
      </w:r>
      <w:r w:rsidR="00373759">
        <w:rPr>
          <w:rFonts w:ascii="Garamond" w:hAnsi="Garamond" w:cs="Times New Roman"/>
          <w:color w:val="000000" w:themeColor="text1"/>
          <w:sz w:val="28"/>
          <w:szCs w:val="28"/>
        </w:rPr>
        <w:t>18</w:t>
      </w:r>
      <w:r w:rsidR="00F22AEC" w:rsidRPr="00BF2644">
        <w:rPr>
          <w:rFonts w:ascii="Garamond" w:hAnsi="Garamond" w:cs="Times New Roman"/>
          <w:color w:val="000000" w:themeColor="text1"/>
          <w:sz w:val="28"/>
          <w:szCs w:val="28"/>
        </w:rPr>
        <w:t>)</w:t>
      </w:r>
      <w:r w:rsidR="005C2E9D" w:rsidRPr="00BF2644">
        <w:rPr>
          <w:rFonts w:ascii="Garamond" w:hAnsi="Garamond" w:cs="Times New Roman"/>
          <w:color w:val="000000" w:themeColor="text1"/>
          <w:sz w:val="28"/>
          <w:szCs w:val="28"/>
        </w:rPr>
        <w:t>.</w:t>
      </w:r>
    </w:p>
    <w:p w:rsidR="005A79D8" w:rsidRDefault="005A79D8" w:rsidP="00BF2644">
      <w:pPr>
        <w:spacing w:line="240" w:lineRule="auto"/>
        <w:ind w:firstLine="709"/>
        <w:contextualSpacing/>
        <w:jc w:val="both"/>
        <w:rPr>
          <w:rFonts w:ascii="Garamond" w:hAnsi="Garamond" w:cs="Times New Roman"/>
          <w:b/>
          <w:color w:val="000000" w:themeColor="text1"/>
          <w:sz w:val="28"/>
          <w:szCs w:val="28"/>
        </w:rPr>
      </w:pPr>
    </w:p>
    <w:p w:rsidR="005C2E9D" w:rsidRPr="00BF2644" w:rsidRDefault="00B71832" w:rsidP="00BF2644">
      <w:pPr>
        <w:spacing w:line="240" w:lineRule="auto"/>
        <w:ind w:firstLine="709"/>
        <w:contextualSpacing/>
        <w:jc w:val="both"/>
        <w:rPr>
          <w:rFonts w:ascii="Garamond" w:hAnsi="Garamond" w:cs="Times New Roman"/>
          <w:b/>
          <w:color w:val="000000" w:themeColor="text1"/>
          <w:sz w:val="28"/>
          <w:szCs w:val="28"/>
        </w:rPr>
      </w:pPr>
      <w:r w:rsidRPr="00BF2644">
        <w:rPr>
          <w:rFonts w:ascii="Garamond" w:hAnsi="Garamond" w:cs="Times New Roman"/>
          <w:b/>
          <w:color w:val="000000" w:themeColor="text1"/>
          <w:sz w:val="28"/>
          <w:szCs w:val="28"/>
        </w:rPr>
        <w:t xml:space="preserve">2.2. Il procedimento per il rilascio dell’autorizzazione unica. </w:t>
      </w:r>
      <w:r w:rsidR="002319B3" w:rsidRPr="00BF2644">
        <w:rPr>
          <w:rFonts w:ascii="Garamond" w:hAnsi="Garamond" w:cs="Times New Roman"/>
          <w:b/>
          <w:color w:val="000000" w:themeColor="text1"/>
          <w:sz w:val="28"/>
          <w:szCs w:val="28"/>
        </w:rPr>
        <w:t>Il rapporto con la VIA</w:t>
      </w:r>
    </w:p>
    <w:p w:rsidR="00387844" w:rsidRPr="00BF2644" w:rsidRDefault="00387844"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L’installazione degli impianti alimentati da fonti rinnovabili di energia è regolata dall’art. 12 del </w:t>
      </w:r>
      <w:r w:rsidR="004F0CCD">
        <w:rPr>
          <w:rFonts w:ascii="Garamond" w:hAnsi="Garamond" w:cs="Times New Roman"/>
          <w:color w:val="000000" w:themeColor="text1"/>
          <w:sz w:val="28"/>
          <w:szCs w:val="28"/>
        </w:rPr>
        <w:t>d.lgs.</w:t>
      </w:r>
      <w:r w:rsidRPr="00BF2644">
        <w:rPr>
          <w:rFonts w:ascii="Garamond" w:hAnsi="Garamond" w:cs="Times New Roman"/>
          <w:color w:val="000000" w:themeColor="text1"/>
          <w:sz w:val="28"/>
          <w:szCs w:val="28"/>
        </w:rPr>
        <w:t xml:space="preserve"> n. 387 del 2003, il quale prevede, ai commi 3 e 4, una disciplina generale caratterizzata da un procedimento che si conclude con il rilascio di una autorizzazione unica.</w:t>
      </w:r>
    </w:p>
    <w:p w:rsidR="00E0745F" w:rsidRPr="00BF2644" w:rsidRDefault="00E0745F"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In linea generale pertanto, ai sensi di tale dettato normativo,  la costruzione e l'esercizio degli impianti di produzione di energia elettrica alimentati da fonti rinnovabili, gli interventi di modifica, potenziamento, rifacimento nonché le opere e le infrastrutture connesse sono soggetti ad una autorizzazione unica, rilasciata dalla </w:t>
      </w:r>
      <w:r w:rsidR="007C254A" w:rsidRPr="00BF2644">
        <w:rPr>
          <w:rFonts w:ascii="Garamond" w:hAnsi="Garamond" w:cs="Times New Roman"/>
          <w:color w:val="000000" w:themeColor="text1"/>
          <w:sz w:val="28"/>
          <w:szCs w:val="28"/>
        </w:rPr>
        <w:t xml:space="preserve">regione </w:t>
      </w:r>
      <w:r w:rsidR="007C254A">
        <w:rPr>
          <w:rFonts w:ascii="Garamond" w:hAnsi="Garamond" w:cs="Times New Roman"/>
          <w:color w:val="000000" w:themeColor="text1"/>
          <w:sz w:val="28"/>
          <w:szCs w:val="28"/>
        </w:rPr>
        <w:t>o dalle p</w:t>
      </w:r>
      <w:r w:rsidR="007C254A" w:rsidRPr="00BF2644">
        <w:rPr>
          <w:rFonts w:ascii="Garamond" w:hAnsi="Garamond" w:cs="Times New Roman"/>
          <w:color w:val="000000" w:themeColor="text1"/>
          <w:sz w:val="28"/>
          <w:szCs w:val="28"/>
        </w:rPr>
        <w:t>rovince delegate dalla regione, ovvero, pe</w:t>
      </w:r>
      <w:r w:rsidRPr="00BF2644">
        <w:rPr>
          <w:rFonts w:ascii="Garamond" w:hAnsi="Garamond" w:cs="Times New Roman"/>
          <w:color w:val="000000" w:themeColor="text1"/>
          <w:sz w:val="28"/>
          <w:szCs w:val="28"/>
        </w:rPr>
        <w:t>r impianti con potenza termica installata p</w:t>
      </w:r>
      <w:r w:rsidR="00223667">
        <w:rPr>
          <w:rFonts w:ascii="Garamond" w:hAnsi="Garamond" w:cs="Times New Roman"/>
          <w:color w:val="000000" w:themeColor="text1"/>
          <w:sz w:val="28"/>
          <w:szCs w:val="28"/>
        </w:rPr>
        <w:t>ari o superiore ai 300 MW, dal M</w:t>
      </w:r>
      <w:r w:rsidRPr="00BF2644">
        <w:rPr>
          <w:rFonts w:ascii="Garamond" w:hAnsi="Garamond" w:cs="Times New Roman"/>
          <w:color w:val="000000" w:themeColor="text1"/>
          <w:sz w:val="28"/>
          <w:szCs w:val="28"/>
        </w:rPr>
        <w:t>inistero dello sviluppo economico (Cons</w:t>
      </w:r>
      <w:r w:rsidR="007C254A">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Stato</w:t>
      </w:r>
      <w:r w:rsidR="0000794B">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 xml:space="preserve"> sez</w:t>
      </w:r>
      <w:r w:rsidR="007C254A">
        <w:rPr>
          <w:rFonts w:ascii="Garamond" w:hAnsi="Garamond" w:cs="Times New Roman"/>
          <w:color w:val="000000" w:themeColor="text1"/>
          <w:sz w:val="28"/>
          <w:szCs w:val="28"/>
        </w:rPr>
        <w:t>.</w:t>
      </w:r>
      <w:r w:rsidRPr="00BF2644">
        <w:rPr>
          <w:rFonts w:ascii="Garamond" w:hAnsi="Garamond" w:cs="Times New Roman"/>
          <w:color w:val="000000" w:themeColor="text1"/>
          <w:sz w:val="28"/>
          <w:szCs w:val="28"/>
        </w:rPr>
        <w:t xml:space="preserve"> IV, n. 3294 del 2023).</w:t>
      </w:r>
    </w:p>
    <w:p w:rsidR="00387844" w:rsidRPr="00BF2644" w:rsidRDefault="00387844"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A tale disciplina fanno eccezione determinati impianti che, se producono energia in misura inferiore a quella indicata dalla tabella </w:t>
      </w:r>
      <w:r w:rsidR="002E2BAB">
        <w:rPr>
          <w:rFonts w:ascii="Garamond" w:hAnsi="Garamond" w:cs="Times New Roman"/>
          <w:color w:val="000000" w:themeColor="text1"/>
          <w:sz w:val="28"/>
          <w:szCs w:val="28"/>
        </w:rPr>
        <w:t xml:space="preserve">allegata allo stesso </w:t>
      </w:r>
      <w:r w:rsidR="004F0CCD">
        <w:rPr>
          <w:rFonts w:ascii="Garamond" w:hAnsi="Garamond" w:cs="Times New Roman"/>
          <w:color w:val="000000" w:themeColor="text1"/>
          <w:sz w:val="28"/>
          <w:szCs w:val="28"/>
        </w:rPr>
        <w:t>d.lgs.</w:t>
      </w:r>
      <w:r w:rsidRPr="00BF2644">
        <w:rPr>
          <w:rFonts w:ascii="Garamond" w:hAnsi="Garamond" w:cs="Times New Roman"/>
          <w:color w:val="000000" w:themeColor="text1"/>
          <w:sz w:val="28"/>
          <w:szCs w:val="28"/>
        </w:rPr>
        <w:t xml:space="preserve"> n. 387 del 2003, sono sottoposti non al rilascio di alcuna autorizzazione, bensì alla disciplina della denuncia di inizio attività (art. 12, comma 5).</w:t>
      </w:r>
      <w:r w:rsidR="005112E1" w:rsidRPr="00BF2644">
        <w:rPr>
          <w:rFonts w:ascii="Garamond" w:hAnsi="Garamond"/>
          <w:sz w:val="28"/>
          <w:szCs w:val="28"/>
        </w:rPr>
        <w:t xml:space="preserve"> </w:t>
      </w:r>
      <w:r w:rsidR="005112E1" w:rsidRPr="00BF2644">
        <w:rPr>
          <w:rFonts w:ascii="Garamond" w:hAnsi="Garamond" w:cs="Times New Roman"/>
          <w:color w:val="000000" w:themeColor="text1"/>
          <w:sz w:val="28"/>
          <w:szCs w:val="28"/>
        </w:rPr>
        <w:t xml:space="preserve">Agli impianti rientranti nelle suddette soglie si applica </w:t>
      </w:r>
      <w:r w:rsidR="0062197E" w:rsidRPr="00BF2644">
        <w:rPr>
          <w:rFonts w:ascii="Garamond" w:hAnsi="Garamond" w:cs="Times New Roman"/>
          <w:color w:val="000000" w:themeColor="text1"/>
          <w:sz w:val="28"/>
          <w:szCs w:val="28"/>
        </w:rPr>
        <w:t>pertanto la</w:t>
      </w:r>
      <w:r w:rsidR="00A9782F">
        <w:rPr>
          <w:rFonts w:ascii="Garamond" w:hAnsi="Garamond" w:cs="Times New Roman"/>
          <w:color w:val="000000" w:themeColor="text1"/>
          <w:sz w:val="28"/>
          <w:szCs w:val="28"/>
        </w:rPr>
        <w:t xml:space="preserve"> disciplina della DIA (ora SCIA)</w:t>
      </w:r>
      <w:r w:rsidR="005112E1" w:rsidRPr="00BF2644">
        <w:rPr>
          <w:rFonts w:ascii="Garamond" w:hAnsi="Garamond" w:cs="Times New Roman"/>
          <w:color w:val="000000" w:themeColor="text1"/>
          <w:sz w:val="28"/>
          <w:szCs w:val="28"/>
        </w:rPr>
        <w:t xml:space="preserve"> di cui agli articoli 22 e 23 del </w:t>
      </w:r>
      <w:r w:rsidR="006C564E">
        <w:rPr>
          <w:rFonts w:ascii="Garamond" w:hAnsi="Garamond" w:cs="Times New Roman"/>
          <w:color w:val="000000" w:themeColor="text1"/>
          <w:sz w:val="28"/>
          <w:szCs w:val="28"/>
        </w:rPr>
        <w:t>decreto</w:t>
      </w:r>
      <w:r w:rsidR="005112E1" w:rsidRPr="00BF2644">
        <w:rPr>
          <w:rFonts w:ascii="Garamond" w:hAnsi="Garamond" w:cs="Times New Roman"/>
          <w:color w:val="000000" w:themeColor="text1"/>
          <w:sz w:val="28"/>
          <w:szCs w:val="28"/>
        </w:rPr>
        <w:t xml:space="preserve"> del Presidente della Repubblica 6 giugno 2001, n. 380 (</w:t>
      </w:r>
      <w:r w:rsidR="007C254A">
        <w:rPr>
          <w:rFonts w:ascii="Garamond" w:hAnsi="Garamond" w:cs="Times New Roman"/>
          <w:color w:val="000000" w:themeColor="text1"/>
          <w:sz w:val="28"/>
          <w:szCs w:val="28"/>
        </w:rPr>
        <w:t>t</w:t>
      </w:r>
      <w:r w:rsidR="005112E1" w:rsidRPr="00BF2644">
        <w:rPr>
          <w:rFonts w:ascii="Garamond" w:hAnsi="Garamond" w:cs="Times New Roman"/>
          <w:color w:val="000000" w:themeColor="text1"/>
          <w:sz w:val="28"/>
          <w:szCs w:val="28"/>
        </w:rPr>
        <w:t>esto unico delle disposizioni legislative e regolamentari in materia edilizia), da presentare al Comune com</w:t>
      </w:r>
      <w:r w:rsidR="009B0078">
        <w:rPr>
          <w:rFonts w:ascii="Garamond" w:hAnsi="Garamond" w:cs="Times New Roman"/>
          <w:color w:val="000000" w:themeColor="text1"/>
          <w:sz w:val="28"/>
          <w:szCs w:val="28"/>
        </w:rPr>
        <w:t xml:space="preserve">petente per territorio </w:t>
      </w:r>
      <w:r w:rsidR="00223667">
        <w:rPr>
          <w:rFonts w:ascii="Garamond" w:hAnsi="Garamond" w:cs="Times New Roman"/>
          <w:color w:val="000000" w:themeColor="text1"/>
          <w:sz w:val="28"/>
          <w:szCs w:val="28"/>
        </w:rPr>
        <w:t>(</w:t>
      </w:r>
      <w:r w:rsidR="005112E1" w:rsidRPr="00BF2644">
        <w:rPr>
          <w:rFonts w:ascii="Garamond" w:hAnsi="Garamond" w:cs="Times New Roman"/>
          <w:color w:val="000000" w:themeColor="text1"/>
          <w:sz w:val="28"/>
          <w:szCs w:val="28"/>
        </w:rPr>
        <w:t>Cort</w:t>
      </w:r>
      <w:r w:rsidR="009B0078">
        <w:rPr>
          <w:rFonts w:ascii="Garamond" w:hAnsi="Garamond" w:cs="Times New Roman"/>
          <w:color w:val="000000" w:themeColor="text1"/>
          <w:sz w:val="28"/>
          <w:szCs w:val="28"/>
        </w:rPr>
        <w:t>e c</w:t>
      </w:r>
      <w:r w:rsidR="002E2BAB">
        <w:rPr>
          <w:rFonts w:ascii="Garamond" w:hAnsi="Garamond" w:cs="Times New Roman"/>
          <w:color w:val="000000" w:themeColor="text1"/>
          <w:sz w:val="28"/>
          <w:szCs w:val="28"/>
        </w:rPr>
        <w:t>ost.</w:t>
      </w:r>
      <w:r w:rsidR="0009411F">
        <w:rPr>
          <w:rFonts w:ascii="Garamond" w:hAnsi="Garamond" w:cs="Times New Roman"/>
          <w:color w:val="000000" w:themeColor="text1"/>
          <w:sz w:val="28"/>
          <w:szCs w:val="28"/>
        </w:rPr>
        <w:t xml:space="preserve">, </w:t>
      </w:r>
      <w:r w:rsidR="005112E1" w:rsidRPr="00BF2644">
        <w:rPr>
          <w:rFonts w:ascii="Garamond" w:hAnsi="Garamond" w:cs="Times New Roman"/>
          <w:color w:val="000000" w:themeColor="text1"/>
          <w:sz w:val="28"/>
          <w:szCs w:val="28"/>
        </w:rPr>
        <w:t>n. 124 e n. 119 del 2010).</w:t>
      </w:r>
    </w:p>
    <w:p w:rsidR="00387844" w:rsidRPr="00BF2644" w:rsidRDefault="00387844"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In particolare, la indicata tabella distingue i suddetti impianti in base alla tipologia di fonte che utilizzano (eolica, soglia 60 kW, solare, soglia 20 kW, etc).</w:t>
      </w:r>
    </w:p>
    <w:p w:rsidR="00387844" w:rsidRPr="00BF2644" w:rsidRDefault="00387844"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Sempre l’indicato art. 12, comma 5, prevede, poi, che «</w:t>
      </w:r>
      <w:r w:rsidRPr="002E2BAB">
        <w:rPr>
          <w:rFonts w:ascii="Garamond" w:hAnsi="Garamond" w:cs="Times New Roman"/>
          <w:i/>
          <w:color w:val="000000" w:themeColor="text1"/>
          <w:sz w:val="28"/>
          <w:szCs w:val="28"/>
        </w:rPr>
        <w:t xml:space="preserve">con </w:t>
      </w:r>
      <w:r w:rsidR="006C564E">
        <w:rPr>
          <w:rFonts w:ascii="Garamond" w:hAnsi="Garamond" w:cs="Times New Roman"/>
          <w:i/>
          <w:color w:val="000000" w:themeColor="text1"/>
          <w:sz w:val="28"/>
          <w:szCs w:val="28"/>
        </w:rPr>
        <w:t>decreto</w:t>
      </w:r>
      <w:r w:rsidRPr="002E2BAB">
        <w:rPr>
          <w:rFonts w:ascii="Garamond" w:hAnsi="Garamond" w:cs="Times New Roman"/>
          <w:i/>
          <w:color w:val="000000" w:themeColor="text1"/>
          <w:sz w:val="28"/>
          <w:szCs w:val="28"/>
        </w:rPr>
        <w:t xml:space="preserve"> del Ministro dello sviluppo economico, di concerto con il Ministro dell’ambiente e della tutela del territorio e del mare, d’intesa con la Conferenza unificata di cui all’articolo 8 del </w:t>
      </w:r>
      <w:r w:rsidR="006C564E">
        <w:rPr>
          <w:rFonts w:ascii="Garamond" w:hAnsi="Garamond" w:cs="Times New Roman"/>
          <w:i/>
          <w:color w:val="000000" w:themeColor="text1"/>
          <w:sz w:val="28"/>
          <w:szCs w:val="28"/>
        </w:rPr>
        <w:t>decreto</w:t>
      </w:r>
      <w:r w:rsidRPr="002E2BAB">
        <w:rPr>
          <w:rFonts w:ascii="Garamond" w:hAnsi="Garamond" w:cs="Times New Roman"/>
          <w:i/>
          <w:color w:val="000000" w:themeColor="text1"/>
          <w:sz w:val="28"/>
          <w:szCs w:val="28"/>
        </w:rPr>
        <w:t xml:space="preserve"> legislativo 28 agosto 1997, n. 281, e successive modificazioni, possono essere individuate maggiori soglie di capacità di generazione e caratteristiche dei siti di installazione per i quali si procede con la medesima disciplina della denuncia di inizio attività</w:t>
      </w:r>
      <w:r w:rsidR="009B0078">
        <w:rPr>
          <w:rFonts w:ascii="Garamond" w:hAnsi="Garamond" w:cs="Times New Roman"/>
          <w:color w:val="000000" w:themeColor="text1"/>
          <w:sz w:val="28"/>
          <w:szCs w:val="28"/>
        </w:rPr>
        <w:t>» (Corte c</w:t>
      </w:r>
      <w:r w:rsidR="002E2BAB">
        <w:rPr>
          <w:rFonts w:ascii="Garamond" w:hAnsi="Garamond" w:cs="Times New Roman"/>
          <w:color w:val="000000" w:themeColor="text1"/>
          <w:sz w:val="28"/>
          <w:szCs w:val="28"/>
        </w:rPr>
        <w:t>ost.</w:t>
      </w:r>
      <w:r w:rsidR="0009411F">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 xml:space="preserve"> n. 124 del 2010).</w:t>
      </w:r>
    </w:p>
    <w:p w:rsidR="00387844" w:rsidRPr="00BF2644" w:rsidRDefault="00E35150"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La procedura autorizza</w:t>
      </w:r>
      <w:r w:rsidR="00B71832" w:rsidRPr="00BF2644">
        <w:rPr>
          <w:rFonts w:ascii="Garamond" w:hAnsi="Garamond" w:cs="Times New Roman"/>
          <w:color w:val="000000" w:themeColor="text1"/>
          <w:sz w:val="28"/>
          <w:szCs w:val="28"/>
        </w:rPr>
        <w:t>toria, di competenza regionale non coincide</w:t>
      </w:r>
      <w:r w:rsidRPr="00BF2644">
        <w:rPr>
          <w:rFonts w:ascii="Garamond" w:hAnsi="Garamond" w:cs="Times New Roman"/>
          <w:color w:val="000000" w:themeColor="text1"/>
          <w:sz w:val="28"/>
          <w:szCs w:val="28"/>
        </w:rPr>
        <w:t xml:space="preserve"> peraltro   con la procedura di VIA. I due procedimenti, sono autonomi e finalizzati alla cura di interessi distinti, pur se l'esito della VIA condiziona il merito della procedura autorizzatoria. Sebbene sia indubbio il collegamento, in termini di utilità concreta e finale per il richiedente, tra il procedimento diretto alla espressione del giudizio di compatibilità ambientale per la realizzazione di un impianto ed il procedimento per il rilascio dell'autorizzazione, sono distinte le norme che individuano le autorità coinvolte e le rispettive modalità e termini per il compimento degli atti</w:t>
      </w:r>
      <w:r w:rsidR="00B71832" w:rsidRPr="00BF2644">
        <w:rPr>
          <w:rFonts w:ascii="Garamond" w:hAnsi="Garamond" w:cs="Times New Roman"/>
          <w:color w:val="000000" w:themeColor="text1"/>
          <w:sz w:val="28"/>
          <w:szCs w:val="28"/>
        </w:rPr>
        <w:t xml:space="preserve">. La procedura per il conseguimento dell'autorizzazione, abbreviata che sia, non toglie, in base al vincolo esistente tra procedura autorizzatoria e subprocedimento di VIA, che quest'ultima debba comunque essere esperita, quale condizione per la validità stessa dell'autorizzazione. La necessità della VIA si pone ogni volta che si debba procedere al rinnovo dell'autorizzazione, o anche quando, da un regime di provvisorietà autorizzativa, si passi </w:t>
      </w:r>
      <w:r w:rsidR="00B71832" w:rsidRPr="00BF2644">
        <w:rPr>
          <w:rFonts w:ascii="Garamond" w:hAnsi="Garamond" w:cs="Times New Roman"/>
          <w:color w:val="000000" w:themeColor="text1"/>
          <w:sz w:val="28"/>
          <w:szCs w:val="28"/>
        </w:rPr>
        <w:lastRenderedPageBreak/>
        <w:t xml:space="preserve">alla necessaria verifica in funzione del conseguimento di un'autorizzazione definitiva: ed è il caso degli elettrodotti autorizzati </w:t>
      </w:r>
      <w:r w:rsidR="00B71832" w:rsidRPr="008953D2">
        <w:rPr>
          <w:rFonts w:ascii="Garamond" w:hAnsi="Garamond" w:cs="Times New Roman"/>
          <w:i/>
          <w:color w:val="000000" w:themeColor="text1"/>
          <w:sz w:val="28"/>
          <w:szCs w:val="28"/>
        </w:rPr>
        <w:t>ab antiquo</w:t>
      </w:r>
      <w:r w:rsidR="00B71832" w:rsidRPr="00BF2644">
        <w:rPr>
          <w:rFonts w:ascii="Garamond" w:hAnsi="Garamond" w:cs="Times New Roman"/>
          <w:color w:val="000000" w:themeColor="text1"/>
          <w:sz w:val="28"/>
          <w:szCs w:val="28"/>
        </w:rPr>
        <w:t xml:space="preserve"> in base all'art. 113 del r.d. n. 1775 del 1933 </w:t>
      </w:r>
      <w:r w:rsidR="009B0078">
        <w:rPr>
          <w:rFonts w:ascii="Garamond" w:hAnsi="Garamond" w:cs="Times New Roman"/>
          <w:color w:val="000000" w:themeColor="text1"/>
          <w:sz w:val="28"/>
          <w:szCs w:val="28"/>
        </w:rPr>
        <w:t>(Corte c</w:t>
      </w:r>
      <w:r w:rsidR="002E2BAB">
        <w:rPr>
          <w:rFonts w:ascii="Garamond" w:hAnsi="Garamond" w:cs="Times New Roman"/>
          <w:color w:val="000000" w:themeColor="text1"/>
          <w:sz w:val="28"/>
          <w:szCs w:val="28"/>
        </w:rPr>
        <w:t>ost</w:t>
      </w:r>
      <w:r w:rsidR="00997F3E">
        <w:rPr>
          <w:rFonts w:ascii="Garamond" w:hAnsi="Garamond" w:cs="Times New Roman"/>
          <w:color w:val="000000" w:themeColor="text1"/>
          <w:sz w:val="28"/>
          <w:szCs w:val="28"/>
        </w:rPr>
        <w:t xml:space="preserve">., </w:t>
      </w:r>
      <w:r w:rsidR="00997F3E" w:rsidRPr="00BF2644">
        <w:rPr>
          <w:rFonts w:ascii="Garamond" w:hAnsi="Garamond" w:cs="Times New Roman"/>
          <w:color w:val="000000" w:themeColor="text1"/>
          <w:sz w:val="28"/>
          <w:szCs w:val="28"/>
        </w:rPr>
        <w:t>n.</w:t>
      </w:r>
      <w:r w:rsidRPr="00BF2644">
        <w:rPr>
          <w:rFonts w:ascii="Garamond" w:hAnsi="Garamond" w:cs="Times New Roman"/>
          <w:color w:val="000000" w:themeColor="text1"/>
          <w:sz w:val="28"/>
          <w:szCs w:val="28"/>
        </w:rPr>
        <w:t xml:space="preserve"> 120 del 2010).</w:t>
      </w:r>
    </w:p>
    <w:p w:rsidR="00E0745F" w:rsidRPr="00BF2644" w:rsidRDefault="00E0745F"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Nell’ambito del procedimento inteso al rilascio dell’autorizzazione unica alla realizzazione di impianti e</w:t>
      </w:r>
      <w:r w:rsidR="002E2BAB">
        <w:rPr>
          <w:rFonts w:ascii="Garamond" w:hAnsi="Garamond" w:cs="Times New Roman"/>
          <w:color w:val="000000" w:themeColor="text1"/>
          <w:sz w:val="28"/>
          <w:szCs w:val="28"/>
        </w:rPr>
        <w:t xml:space="preserve">nergetici da fonti </w:t>
      </w:r>
      <w:r w:rsidR="002E2BAB" w:rsidRPr="00102395">
        <w:rPr>
          <w:rFonts w:ascii="Garamond" w:hAnsi="Garamond" w:cs="Times New Roman"/>
          <w:color w:val="000000" w:themeColor="text1"/>
          <w:sz w:val="28"/>
          <w:szCs w:val="28"/>
        </w:rPr>
        <w:t xml:space="preserve">rinnovabili </w:t>
      </w:r>
      <w:r w:rsidRPr="00102395">
        <w:rPr>
          <w:rFonts w:ascii="Garamond" w:hAnsi="Garamond" w:cs="Times New Roman"/>
          <w:color w:val="000000" w:themeColor="text1"/>
          <w:sz w:val="28"/>
          <w:szCs w:val="28"/>
        </w:rPr>
        <w:t>la determinazione conclusiva della conferenza di servizi ha valore di atto istruttorio endoprocedimentale a contenuto consultivo, ben distinto dal provvedimento di autorizzazione unica che deve essere poi rilasci</w:t>
      </w:r>
      <w:r w:rsidR="002E2BAB" w:rsidRPr="00102395">
        <w:rPr>
          <w:rFonts w:ascii="Garamond" w:hAnsi="Garamond" w:cs="Times New Roman"/>
          <w:color w:val="000000" w:themeColor="text1"/>
          <w:sz w:val="28"/>
          <w:szCs w:val="28"/>
        </w:rPr>
        <w:t xml:space="preserve">ato dalla </w:t>
      </w:r>
      <w:r w:rsidR="007C254A">
        <w:rPr>
          <w:rFonts w:ascii="Garamond" w:hAnsi="Garamond" w:cs="Times New Roman"/>
          <w:color w:val="000000" w:themeColor="text1"/>
          <w:sz w:val="28"/>
          <w:szCs w:val="28"/>
        </w:rPr>
        <w:t>r</w:t>
      </w:r>
      <w:r w:rsidR="002D4208" w:rsidRPr="00102395">
        <w:rPr>
          <w:rFonts w:ascii="Garamond" w:hAnsi="Garamond" w:cs="Times New Roman"/>
          <w:color w:val="000000" w:themeColor="text1"/>
          <w:sz w:val="28"/>
          <w:szCs w:val="28"/>
        </w:rPr>
        <w:t xml:space="preserve">egione </w:t>
      </w:r>
      <w:r w:rsidRPr="00102395">
        <w:rPr>
          <w:rFonts w:ascii="Garamond" w:hAnsi="Garamond" w:cs="Times New Roman"/>
          <w:color w:val="000000" w:themeColor="text1"/>
          <w:sz w:val="28"/>
          <w:szCs w:val="28"/>
        </w:rPr>
        <w:t>(Cons. Stato, sez. IV, n. 2235</w:t>
      </w:r>
      <w:r w:rsidR="002E2BAB" w:rsidRPr="00102395">
        <w:rPr>
          <w:rFonts w:ascii="Garamond" w:hAnsi="Garamond" w:cs="Times New Roman"/>
          <w:color w:val="000000" w:themeColor="text1"/>
          <w:sz w:val="28"/>
          <w:szCs w:val="28"/>
        </w:rPr>
        <w:t xml:space="preserve"> del 2020</w:t>
      </w:r>
      <w:r w:rsidRPr="00102395">
        <w:rPr>
          <w:rFonts w:ascii="Garamond" w:hAnsi="Garamond" w:cs="Times New Roman"/>
          <w:color w:val="000000" w:themeColor="text1"/>
          <w:sz w:val="28"/>
          <w:szCs w:val="28"/>
        </w:rPr>
        <w:t>; sez. V, n. 6342</w:t>
      </w:r>
      <w:r w:rsidR="002E2BAB" w:rsidRPr="00102395">
        <w:rPr>
          <w:rFonts w:ascii="Garamond" w:hAnsi="Garamond" w:cs="Times New Roman"/>
          <w:color w:val="000000" w:themeColor="text1"/>
          <w:sz w:val="28"/>
          <w:szCs w:val="28"/>
        </w:rPr>
        <w:t xml:space="preserve"> del 2018</w:t>
      </w:r>
      <w:r w:rsidRPr="00102395">
        <w:rPr>
          <w:rFonts w:ascii="Garamond" w:hAnsi="Garamond" w:cs="Times New Roman"/>
          <w:color w:val="000000" w:themeColor="text1"/>
          <w:sz w:val="28"/>
          <w:szCs w:val="28"/>
        </w:rPr>
        <w:t>; sez. V, n. 6192</w:t>
      </w:r>
      <w:r w:rsidR="002E2BAB" w:rsidRPr="00102395">
        <w:rPr>
          <w:rFonts w:ascii="Garamond" w:hAnsi="Garamond" w:cs="Times New Roman"/>
          <w:color w:val="000000" w:themeColor="text1"/>
          <w:sz w:val="28"/>
          <w:szCs w:val="28"/>
        </w:rPr>
        <w:t xml:space="preserve"> del 2013</w:t>
      </w:r>
      <w:r w:rsidRPr="00102395">
        <w:rPr>
          <w:rFonts w:ascii="Garamond" w:hAnsi="Garamond" w:cs="Times New Roman"/>
          <w:color w:val="000000" w:themeColor="text1"/>
          <w:sz w:val="28"/>
          <w:szCs w:val="28"/>
        </w:rPr>
        <w:t>); ne dis</w:t>
      </w:r>
      <w:r w:rsidRPr="00BF2644">
        <w:rPr>
          <w:rFonts w:ascii="Garamond" w:hAnsi="Garamond" w:cs="Times New Roman"/>
          <w:color w:val="000000" w:themeColor="text1"/>
          <w:sz w:val="28"/>
          <w:szCs w:val="28"/>
        </w:rPr>
        <w:t xml:space="preserve">cende che, ove mai fra il momento della conclusione della conferenza e quello in cui deve essere rilasciata l’autorizzazione unica intervengano sopravvenienze fattuali o normative, di queste l’Amministrazione deve tenere conto ai fini del decidere, in virtù del principio </w:t>
      </w:r>
      <w:r w:rsidRPr="00BF2644">
        <w:rPr>
          <w:rFonts w:ascii="Garamond" w:hAnsi="Garamond" w:cs="Times New Roman"/>
          <w:i/>
          <w:color w:val="000000" w:themeColor="text1"/>
          <w:sz w:val="28"/>
          <w:szCs w:val="28"/>
        </w:rPr>
        <w:t>tempus regit actum</w:t>
      </w:r>
      <w:r w:rsidR="00223667">
        <w:rPr>
          <w:rFonts w:ascii="Garamond" w:hAnsi="Garamond" w:cs="Times New Roman"/>
          <w:color w:val="000000" w:themeColor="text1"/>
          <w:sz w:val="28"/>
          <w:szCs w:val="28"/>
        </w:rPr>
        <w:t xml:space="preserve"> (Cons. Stato</w:t>
      </w:r>
      <w:r w:rsidR="008953D2">
        <w:rPr>
          <w:rFonts w:ascii="Garamond" w:hAnsi="Garamond" w:cs="Times New Roman"/>
          <w:color w:val="000000" w:themeColor="text1"/>
          <w:sz w:val="28"/>
          <w:szCs w:val="28"/>
        </w:rPr>
        <w:t xml:space="preserve">, sez. IV, </w:t>
      </w:r>
      <w:r w:rsidRPr="00BF2644">
        <w:rPr>
          <w:rFonts w:ascii="Garamond" w:hAnsi="Garamond" w:cs="Times New Roman"/>
          <w:color w:val="000000" w:themeColor="text1"/>
          <w:sz w:val="28"/>
          <w:szCs w:val="28"/>
        </w:rPr>
        <w:t>n. 7052 del 2020).</w:t>
      </w:r>
    </w:p>
    <w:p w:rsidR="003E37AA" w:rsidRDefault="003E37AA" w:rsidP="00BF2644">
      <w:pPr>
        <w:spacing w:line="240" w:lineRule="auto"/>
        <w:ind w:firstLine="709"/>
        <w:contextualSpacing/>
        <w:jc w:val="both"/>
        <w:rPr>
          <w:rFonts w:ascii="Garamond" w:hAnsi="Garamond" w:cs="Times New Roman"/>
          <w:b/>
          <w:color w:val="000000" w:themeColor="text1"/>
          <w:sz w:val="28"/>
          <w:szCs w:val="28"/>
        </w:rPr>
      </w:pPr>
    </w:p>
    <w:p w:rsidR="004A46FC" w:rsidRPr="006C37BC" w:rsidRDefault="004A46FC" w:rsidP="00BF2644">
      <w:pPr>
        <w:spacing w:line="240" w:lineRule="auto"/>
        <w:ind w:firstLine="709"/>
        <w:contextualSpacing/>
        <w:jc w:val="both"/>
        <w:rPr>
          <w:rFonts w:ascii="Garamond" w:hAnsi="Garamond" w:cs="Times New Roman"/>
          <w:b/>
          <w:color w:val="000000" w:themeColor="text1"/>
          <w:sz w:val="28"/>
          <w:szCs w:val="28"/>
        </w:rPr>
      </w:pPr>
      <w:r w:rsidRPr="006C37BC">
        <w:rPr>
          <w:rFonts w:ascii="Garamond" w:hAnsi="Garamond" w:cs="Times New Roman"/>
          <w:b/>
          <w:color w:val="000000" w:themeColor="text1"/>
          <w:sz w:val="28"/>
          <w:szCs w:val="28"/>
        </w:rPr>
        <w:t xml:space="preserve">2.2.1. </w:t>
      </w:r>
      <w:r w:rsidR="0024775D" w:rsidRPr="006C37BC">
        <w:rPr>
          <w:rFonts w:ascii="Garamond" w:hAnsi="Garamond" w:cs="Times New Roman"/>
          <w:b/>
          <w:color w:val="000000" w:themeColor="text1"/>
          <w:sz w:val="28"/>
          <w:szCs w:val="28"/>
        </w:rPr>
        <w:t>Il sindacato del giudice amministrativo sull</w:t>
      </w:r>
      <w:r w:rsidRPr="006C37BC">
        <w:rPr>
          <w:rFonts w:ascii="Garamond" w:hAnsi="Garamond" w:cs="Times New Roman"/>
          <w:b/>
          <w:color w:val="000000" w:themeColor="text1"/>
          <w:sz w:val="28"/>
          <w:szCs w:val="28"/>
        </w:rPr>
        <w:t>a decisione assunta dal Consiglio dei Ministri nell’ambito della procedura di cui all’art. 5, comma 2, lett. c-</w:t>
      </w:r>
      <w:r w:rsidRPr="004A1FB7">
        <w:rPr>
          <w:rFonts w:ascii="Garamond" w:hAnsi="Garamond" w:cs="Times New Roman"/>
          <w:b/>
          <w:i/>
          <w:color w:val="000000" w:themeColor="text1"/>
          <w:sz w:val="28"/>
          <w:szCs w:val="28"/>
        </w:rPr>
        <w:t>bis</w:t>
      </w:r>
      <w:r w:rsidRPr="006C37BC">
        <w:rPr>
          <w:rFonts w:ascii="Garamond" w:hAnsi="Garamond" w:cs="Times New Roman"/>
          <w:b/>
          <w:color w:val="000000" w:themeColor="text1"/>
          <w:sz w:val="28"/>
          <w:szCs w:val="28"/>
        </w:rPr>
        <w:t xml:space="preserve">) della </w:t>
      </w:r>
      <w:r w:rsidR="006C564E">
        <w:rPr>
          <w:rFonts w:ascii="Garamond" w:hAnsi="Garamond" w:cs="Times New Roman"/>
          <w:b/>
          <w:color w:val="000000" w:themeColor="text1"/>
          <w:sz w:val="28"/>
          <w:szCs w:val="28"/>
        </w:rPr>
        <w:t>l.</w:t>
      </w:r>
      <w:r w:rsidRPr="006C37BC">
        <w:rPr>
          <w:rFonts w:ascii="Garamond" w:hAnsi="Garamond" w:cs="Times New Roman"/>
          <w:b/>
          <w:color w:val="000000" w:themeColor="text1"/>
          <w:sz w:val="28"/>
          <w:szCs w:val="28"/>
        </w:rPr>
        <w:t xml:space="preserve"> 23 agosto 1988, n. 400</w:t>
      </w:r>
    </w:p>
    <w:p w:rsidR="004A46FC" w:rsidRPr="00BF2644" w:rsidRDefault="004A46FC" w:rsidP="00BF2644">
      <w:pPr>
        <w:spacing w:line="240" w:lineRule="auto"/>
        <w:ind w:firstLine="709"/>
        <w:contextualSpacing/>
        <w:jc w:val="both"/>
        <w:rPr>
          <w:rFonts w:ascii="Garamond" w:hAnsi="Garamond" w:cs="Times New Roman"/>
          <w:color w:val="000000" w:themeColor="text1"/>
          <w:sz w:val="28"/>
          <w:szCs w:val="28"/>
        </w:rPr>
      </w:pPr>
      <w:r w:rsidRPr="004B420A">
        <w:rPr>
          <w:rFonts w:ascii="Garamond" w:hAnsi="Garamond" w:cs="Times New Roman"/>
          <w:color w:val="000000" w:themeColor="text1"/>
          <w:sz w:val="28"/>
          <w:szCs w:val="28"/>
        </w:rPr>
        <w:t>La decisione assunta dal Consiglio dei ministri nell’ambito della procedura di cui all’art. 5, comma 2, lett. c-</w:t>
      </w:r>
      <w:r w:rsidRPr="004A1FB7">
        <w:rPr>
          <w:rFonts w:ascii="Garamond" w:hAnsi="Garamond" w:cs="Times New Roman"/>
          <w:i/>
          <w:color w:val="000000" w:themeColor="text1"/>
          <w:sz w:val="28"/>
          <w:szCs w:val="28"/>
        </w:rPr>
        <w:t>bis</w:t>
      </w:r>
      <w:r w:rsidRPr="004B420A">
        <w:rPr>
          <w:rFonts w:ascii="Garamond" w:hAnsi="Garamond" w:cs="Times New Roman"/>
          <w:color w:val="000000" w:themeColor="text1"/>
          <w:sz w:val="28"/>
          <w:szCs w:val="28"/>
        </w:rPr>
        <w:t xml:space="preserve">) della </w:t>
      </w:r>
      <w:r w:rsidR="006C564E">
        <w:rPr>
          <w:rFonts w:ascii="Garamond" w:hAnsi="Garamond" w:cs="Times New Roman"/>
          <w:color w:val="000000" w:themeColor="text1"/>
          <w:sz w:val="28"/>
          <w:szCs w:val="28"/>
        </w:rPr>
        <w:t>l.</w:t>
      </w:r>
      <w:r w:rsidRPr="004B420A">
        <w:rPr>
          <w:rFonts w:ascii="Garamond" w:hAnsi="Garamond" w:cs="Times New Roman"/>
          <w:color w:val="000000" w:themeColor="text1"/>
          <w:sz w:val="28"/>
          <w:szCs w:val="28"/>
        </w:rPr>
        <w:t xml:space="preserve"> 23 agosto 1988, n. 400 – rimedio generale attivabile anche in caso di contrasto tra amministrazioni nell’ambito di un procedimento di VIA/VAS – è frutto di un giudizio valutativo reso sulla base di oggettivi criteri di ponderazione pienamente esposti al sindacato del giudice, caratterizzato tuttavia da profili particolarmente intensi di discrezionalità amministrativa sul piano dell’apprezzamento degli interessi pubblici in rilievo e del loro apprezzamento rispetto all’interesse dell’esecuzione dell’opera. Detto apprezzamento è, dunque, sindacabile dal giudice amministrativo nella pienezza della cognizione del fatto e censurabile in ipotesi di manifesta illogicità o travisamento dei fatti, ovvero nel caso in cui l’istruttoria sia mancata o sia stata svolta in modo inadeguato e risulti perciò evidente lo sconfinamento del potere discrezionale riconosciuto all’amministrazione</w:t>
      </w:r>
      <w:r w:rsidRPr="004A46FC">
        <w:rPr>
          <w:rFonts w:ascii="Garamond" w:hAnsi="Garamond" w:cs="Times New Roman"/>
          <w:color w:val="000000" w:themeColor="text1"/>
          <w:sz w:val="28"/>
          <w:szCs w:val="28"/>
        </w:rPr>
        <w:t xml:space="preserve"> (</w:t>
      </w:r>
      <w:r w:rsidR="00141443">
        <w:rPr>
          <w:rFonts w:ascii="Garamond" w:hAnsi="Garamond" w:cs="Times New Roman"/>
          <w:color w:val="000000" w:themeColor="text1"/>
          <w:sz w:val="28"/>
          <w:szCs w:val="28"/>
        </w:rPr>
        <w:t>Cons. Stato,  sez. IV</w:t>
      </w:r>
      <w:r w:rsidR="00EC7074">
        <w:rPr>
          <w:rFonts w:ascii="Garamond" w:hAnsi="Garamond" w:cs="Times New Roman"/>
          <w:color w:val="000000" w:themeColor="text1"/>
          <w:sz w:val="28"/>
          <w:szCs w:val="28"/>
        </w:rPr>
        <w:t xml:space="preserve">, n. 5019 </w:t>
      </w:r>
      <w:r w:rsidR="00141443">
        <w:rPr>
          <w:rFonts w:ascii="Garamond" w:hAnsi="Garamond" w:cs="Times New Roman"/>
          <w:color w:val="000000" w:themeColor="text1"/>
          <w:sz w:val="28"/>
          <w:szCs w:val="28"/>
        </w:rPr>
        <w:t xml:space="preserve">del 2023 </w:t>
      </w:r>
      <w:r w:rsidR="00EC7074">
        <w:rPr>
          <w:rFonts w:ascii="Garamond" w:hAnsi="Garamond" w:cs="Times New Roman"/>
          <w:color w:val="000000" w:themeColor="text1"/>
          <w:sz w:val="28"/>
          <w:szCs w:val="28"/>
        </w:rPr>
        <w:t xml:space="preserve">di conferma della </w:t>
      </w:r>
      <w:r w:rsidRPr="004A46FC">
        <w:rPr>
          <w:rFonts w:ascii="Garamond" w:hAnsi="Garamond" w:cs="Times New Roman"/>
          <w:color w:val="000000" w:themeColor="text1"/>
          <w:sz w:val="28"/>
          <w:szCs w:val="28"/>
        </w:rPr>
        <w:t>sentenza del T</w:t>
      </w:r>
      <w:r w:rsidR="00747E93">
        <w:rPr>
          <w:rFonts w:ascii="Garamond" w:hAnsi="Garamond" w:cs="Times New Roman"/>
          <w:color w:val="000000" w:themeColor="text1"/>
          <w:sz w:val="28"/>
          <w:szCs w:val="28"/>
        </w:rPr>
        <w:t>.a.</w:t>
      </w:r>
      <w:r w:rsidRPr="004A46FC">
        <w:rPr>
          <w:rFonts w:ascii="Garamond" w:hAnsi="Garamond" w:cs="Times New Roman"/>
          <w:color w:val="000000" w:themeColor="text1"/>
          <w:sz w:val="28"/>
          <w:szCs w:val="28"/>
        </w:rPr>
        <w:t>r</w:t>
      </w:r>
      <w:r w:rsidR="00747E93">
        <w:rPr>
          <w:rFonts w:ascii="Garamond" w:hAnsi="Garamond" w:cs="Times New Roman"/>
          <w:color w:val="000000" w:themeColor="text1"/>
          <w:sz w:val="28"/>
          <w:szCs w:val="28"/>
        </w:rPr>
        <w:t>.</w:t>
      </w:r>
      <w:r w:rsidRPr="004A46FC">
        <w:rPr>
          <w:rFonts w:ascii="Garamond" w:hAnsi="Garamond" w:cs="Times New Roman"/>
          <w:color w:val="000000" w:themeColor="text1"/>
          <w:sz w:val="28"/>
          <w:szCs w:val="28"/>
        </w:rPr>
        <w:t xml:space="preserve"> per la Puglia, </w:t>
      </w:r>
      <w:r w:rsidR="00141443">
        <w:rPr>
          <w:rFonts w:ascii="Garamond" w:hAnsi="Garamond" w:cs="Times New Roman"/>
          <w:color w:val="000000" w:themeColor="text1"/>
          <w:sz w:val="28"/>
          <w:szCs w:val="28"/>
        </w:rPr>
        <w:t xml:space="preserve"> </w:t>
      </w:r>
      <w:r w:rsidRPr="004A46FC">
        <w:rPr>
          <w:rFonts w:ascii="Garamond" w:hAnsi="Garamond" w:cs="Times New Roman"/>
          <w:color w:val="000000" w:themeColor="text1"/>
          <w:sz w:val="28"/>
          <w:szCs w:val="28"/>
        </w:rPr>
        <w:t>Lecce, sez. I, n. 1014</w:t>
      </w:r>
      <w:r w:rsidR="00141443">
        <w:rPr>
          <w:rFonts w:ascii="Garamond" w:hAnsi="Garamond" w:cs="Times New Roman"/>
          <w:color w:val="000000" w:themeColor="text1"/>
          <w:sz w:val="28"/>
          <w:szCs w:val="28"/>
        </w:rPr>
        <w:t xml:space="preserve"> del 2022</w:t>
      </w:r>
      <w:r w:rsidRPr="004A46FC">
        <w:rPr>
          <w:rFonts w:ascii="Garamond" w:hAnsi="Garamond" w:cs="Times New Roman"/>
          <w:color w:val="000000" w:themeColor="text1"/>
          <w:sz w:val="28"/>
          <w:szCs w:val="28"/>
        </w:rPr>
        <w:t xml:space="preserve"> che aveva accolto il ricorso di una società, e conseguentemente annullato la delibera del Consiglio dei ministri, nonché il </w:t>
      </w:r>
      <w:r w:rsidR="006C564E">
        <w:rPr>
          <w:rFonts w:ascii="Garamond" w:hAnsi="Garamond" w:cs="Times New Roman"/>
          <w:color w:val="000000" w:themeColor="text1"/>
          <w:sz w:val="28"/>
          <w:szCs w:val="28"/>
        </w:rPr>
        <w:t>decreto</w:t>
      </w:r>
      <w:r w:rsidRPr="004A46FC">
        <w:rPr>
          <w:rFonts w:ascii="Garamond" w:hAnsi="Garamond" w:cs="Times New Roman"/>
          <w:color w:val="000000" w:themeColor="text1"/>
          <w:sz w:val="28"/>
          <w:szCs w:val="28"/>
        </w:rPr>
        <w:t xml:space="preserve"> interministeriale che sulla prima era basato, per eccesso di potere da disparità di trattamento, con</w:t>
      </w:r>
      <w:r w:rsidRPr="00A07ACF">
        <w:rPr>
          <w:rFonts w:ascii="Garamond" w:hAnsi="Garamond" w:cs="Times New Roman"/>
          <w:i/>
          <w:color w:val="000000" w:themeColor="text1"/>
          <w:sz w:val="28"/>
          <w:szCs w:val="28"/>
        </w:rPr>
        <w:t xml:space="preserve"> remand</w:t>
      </w:r>
      <w:r w:rsidRPr="004A46FC">
        <w:rPr>
          <w:rFonts w:ascii="Garamond" w:hAnsi="Garamond" w:cs="Times New Roman"/>
          <w:color w:val="000000" w:themeColor="text1"/>
          <w:sz w:val="28"/>
          <w:szCs w:val="28"/>
        </w:rPr>
        <w:t xml:space="preserve"> al Consiglio dei Ministri ai fini di una complessiva (ri)valutazione ed armonizzazione degli interessi pubblici coinvolti e per un suo motivato riesame, tanto sul presupposto motivazionale che non fosse stata effettivamente confutata l’allegazione secondo cui il Consiglio dei ministri, in tempi recenti, aveva ritenuto prevalente l’interesse all’incremento dell’energia da fonti rinnovabili, facendo proprie le valutazioni favorevoli alla realizzazione degli impianti eolici espresse dal Ministero dell’ambiente e in presenza di situazioni a impatto ambientale analogo o maggiore rispetto a quello riferibile all’intervento in esame).</w:t>
      </w:r>
    </w:p>
    <w:p w:rsidR="003E37AA" w:rsidRDefault="003E37AA" w:rsidP="00BF2644">
      <w:pPr>
        <w:spacing w:line="240" w:lineRule="auto"/>
        <w:ind w:firstLine="709"/>
        <w:contextualSpacing/>
        <w:jc w:val="both"/>
        <w:rPr>
          <w:rFonts w:ascii="Garamond" w:hAnsi="Garamond" w:cs="Times New Roman"/>
          <w:b/>
          <w:color w:val="000000" w:themeColor="text1"/>
          <w:sz w:val="28"/>
          <w:szCs w:val="28"/>
        </w:rPr>
      </w:pPr>
    </w:p>
    <w:p w:rsidR="001E5B45" w:rsidRPr="00BF2644" w:rsidRDefault="004A46FC" w:rsidP="00BF2644">
      <w:pPr>
        <w:spacing w:line="240" w:lineRule="auto"/>
        <w:ind w:firstLine="709"/>
        <w:contextualSpacing/>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2.2.2</w:t>
      </w:r>
      <w:r w:rsidR="001E5B45" w:rsidRPr="00BF2644">
        <w:rPr>
          <w:rFonts w:ascii="Garamond" w:hAnsi="Garamond" w:cs="Times New Roman"/>
          <w:b/>
          <w:color w:val="000000" w:themeColor="text1"/>
          <w:sz w:val="28"/>
          <w:szCs w:val="28"/>
        </w:rPr>
        <w:t xml:space="preserve">. Compatibilità del d.m. 10 settembre 2010 con l’entrata in vigore del </w:t>
      </w:r>
      <w:r w:rsidR="004F0CCD">
        <w:rPr>
          <w:rFonts w:ascii="Garamond" w:hAnsi="Garamond" w:cs="Times New Roman"/>
          <w:b/>
          <w:color w:val="000000" w:themeColor="text1"/>
          <w:sz w:val="28"/>
          <w:szCs w:val="28"/>
        </w:rPr>
        <w:t>d.lgs.</w:t>
      </w:r>
      <w:r w:rsidR="001E5B45" w:rsidRPr="00BF2644">
        <w:rPr>
          <w:rFonts w:ascii="Garamond" w:hAnsi="Garamond" w:cs="Times New Roman"/>
          <w:b/>
          <w:color w:val="000000" w:themeColor="text1"/>
          <w:sz w:val="28"/>
          <w:szCs w:val="28"/>
        </w:rPr>
        <w:t xml:space="preserve"> n. 104 del 2017</w:t>
      </w:r>
    </w:p>
    <w:p w:rsidR="001E5B45" w:rsidRPr="00BF2644" w:rsidRDefault="001E5B45"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Non sussiste alcun profilo di incompatibilità della disciplina </w:t>
      </w:r>
      <w:r w:rsidR="00A9782F">
        <w:rPr>
          <w:rFonts w:ascii="Garamond" w:hAnsi="Garamond" w:cs="Times New Roman"/>
          <w:color w:val="000000" w:themeColor="text1"/>
          <w:sz w:val="28"/>
          <w:szCs w:val="28"/>
        </w:rPr>
        <w:t xml:space="preserve">della VIA, come modificata dal </w:t>
      </w:r>
      <w:r w:rsidR="004F0CCD">
        <w:rPr>
          <w:rFonts w:ascii="Garamond" w:hAnsi="Garamond" w:cs="Times New Roman"/>
          <w:color w:val="000000" w:themeColor="text1"/>
          <w:sz w:val="28"/>
          <w:szCs w:val="28"/>
        </w:rPr>
        <w:t>d.lgs.</w:t>
      </w:r>
      <w:r w:rsidRPr="00BF2644">
        <w:rPr>
          <w:rFonts w:ascii="Garamond" w:hAnsi="Garamond" w:cs="Times New Roman"/>
          <w:color w:val="000000" w:themeColor="text1"/>
          <w:sz w:val="28"/>
          <w:szCs w:val="28"/>
        </w:rPr>
        <w:t xml:space="preserve"> n. 104 del 2017, con le disposizioni del d.m. del 10 settembre 2010</w:t>
      </w:r>
      <w:r w:rsidR="00247ADE">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 “</w:t>
      </w:r>
      <w:r w:rsidRPr="00BF2644">
        <w:rPr>
          <w:rFonts w:ascii="Garamond" w:hAnsi="Garamond" w:cs="Times New Roman"/>
          <w:i/>
          <w:iCs/>
          <w:color w:val="000000" w:themeColor="text1"/>
          <w:sz w:val="28"/>
          <w:szCs w:val="28"/>
        </w:rPr>
        <w:t xml:space="preserve">Linee guida per il procedimento di cui all'articolo 12 del </w:t>
      </w:r>
      <w:r w:rsidR="006C564E">
        <w:rPr>
          <w:rFonts w:ascii="Garamond" w:hAnsi="Garamond" w:cs="Times New Roman"/>
          <w:i/>
          <w:iCs/>
          <w:color w:val="000000" w:themeColor="text1"/>
          <w:sz w:val="28"/>
          <w:szCs w:val="28"/>
        </w:rPr>
        <w:t>decreto</w:t>
      </w:r>
      <w:r w:rsidRPr="00BF2644">
        <w:rPr>
          <w:rFonts w:ascii="Garamond" w:hAnsi="Garamond" w:cs="Times New Roman"/>
          <w:i/>
          <w:iCs/>
          <w:color w:val="000000" w:themeColor="text1"/>
          <w:sz w:val="28"/>
          <w:szCs w:val="28"/>
        </w:rPr>
        <w:t xml:space="preserve"> legislativo 29 dicembre 2003, n. 387 </w:t>
      </w:r>
      <w:r w:rsidRPr="00BF2644">
        <w:rPr>
          <w:rFonts w:ascii="Garamond" w:hAnsi="Garamond" w:cs="Times New Roman"/>
          <w:i/>
          <w:iCs/>
          <w:color w:val="000000" w:themeColor="text1"/>
          <w:sz w:val="28"/>
          <w:szCs w:val="28"/>
        </w:rPr>
        <w:lastRenderedPageBreak/>
        <w:t>per l'autorizzazione alla costruzione e all'esercizio di impianti di produzione di elettricità da fonti rinnovabili nonché linee guida tecniche per gli impianti stessi</w:t>
      </w:r>
      <w:r w:rsidRPr="00BF2644">
        <w:rPr>
          <w:rFonts w:ascii="Garamond" w:hAnsi="Garamond" w:cs="Times New Roman"/>
          <w:color w:val="000000" w:themeColor="text1"/>
          <w:sz w:val="28"/>
          <w:szCs w:val="28"/>
        </w:rPr>
        <w:t xml:space="preserve">”- che consentono al proponente di presentare direttamente istanza di valutazione di impatto ambientale in luogo della verifica di assoggettabilità a VIA. Si tratta, in sostanza, di una disciplina, integrativa della fonte primaria, che lascia all’operatore la facoltà di avvalersi o meno, di tale strumento di semplificazione, senza correlativamente recare alcuna lesione agli interessi oggetto di tutela. Resta ferma la facoltà del proponente di presentare la domanda di VIA anche per i progetti per </w:t>
      </w:r>
      <w:r w:rsidR="00A9782F">
        <w:rPr>
          <w:rFonts w:ascii="Garamond" w:hAnsi="Garamond" w:cs="Times New Roman"/>
          <w:color w:val="000000" w:themeColor="text1"/>
          <w:sz w:val="28"/>
          <w:szCs w:val="28"/>
        </w:rPr>
        <w:t xml:space="preserve">i quali l’art. 6, comma 6, del </w:t>
      </w:r>
      <w:r w:rsidR="004F0CCD">
        <w:rPr>
          <w:rFonts w:ascii="Garamond" w:hAnsi="Garamond" w:cs="Times New Roman"/>
          <w:color w:val="000000" w:themeColor="text1"/>
          <w:sz w:val="28"/>
          <w:szCs w:val="28"/>
        </w:rPr>
        <w:t>d.lgs.</w:t>
      </w:r>
      <w:r w:rsidRPr="00BF2644">
        <w:rPr>
          <w:rFonts w:ascii="Garamond" w:hAnsi="Garamond" w:cs="Times New Roman"/>
          <w:color w:val="000000" w:themeColor="text1"/>
          <w:sz w:val="28"/>
          <w:szCs w:val="28"/>
        </w:rPr>
        <w:t xml:space="preserve"> </w:t>
      </w:r>
      <w:r w:rsidR="00A9782F">
        <w:rPr>
          <w:rFonts w:ascii="Garamond" w:hAnsi="Garamond" w:cs="Times New Roman"/>
          <w:color w:val="000000" w:themeColor="text1"/>
          <w:sz w:val="28"/>
          <w:szCs w:val="28"/>
        </w:rPr>
        <w:t xml:space="preserve">n. 152 del </w:t>
      </w:r>
      <w:r w:rsidRPr="00BF2644">
        <w:rPr>
          <w:rFonts w:ascii="Garamond" w:hAnsi="Garamond" w:cs="Times New Roman"/>
          <w:color w:val="000000" w:themeColor="text1"/>
          <w:sz w:val="28"/>
          <w:szCs w:val="28"/>
        </w:rPr>
        <w:t xml:space="preserve">2006 prevede la verifica di assoggettabilità alla VIA […]” (Cons. Stato, sez. IV, n. 445 del 2023). </w:t>
      </w:r>
    </w:p>
    <w:p w:rsidR="005C2E9D" w:rsidRPr="00BF2644" w:rsidRDefault="001E5B45"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Non ha pertanto fondamento la tesi secondo cui la sopravvenuta riforma delle norme in materia di valutazione di</w:t>
      </w:r>
      <w:r w:rsidR="00A9782F">
        <w:rPr>
          <w:rFonts w:ascii="Garamond" w:hAnsi="Garamond" w:cs="Times New Roman"/>
          <w:color w:val="000000" w:themeColor="text1"/>
          <w:sz w:val="28"/>
          <w:szCs w:val="28"/>
        </w:rPr>
        <w:t xml:space="preserve"> impatto ambientale, di cui al </w:t>
      </w:r>
      <w:r w:rsidR="004F0CCD">
        <w:rPr>
          <w:rFonts w:ascii="Garamond" w:hAnsi="Garamond" w:cs="Times New Roman"/>
          <w:color w:val="000000" w:themeColor="text1"/>
          <w:sz w:val="28"/>
          <w:szCs w:val="28"/>
        </w:rPr>
        <w:t>d.lgs.</w:t>
      </w:r>
      <w:r w:rsidRPr="00BF2644">
        <w:rPr>
          <w:rFonts w:ascii="Garamond" w:hAnsi="Garamond" w:cs="Times New Roman"/>
          <w:color w:val="000000" w:themeColor="text1"/>
          <w:sz w:val="28"/>
          <w:szCs w:val="28"/>
        </w:rPr>
        <w:t xml:space="preserve"> n. 104 del 2017, ha comportato l’abrogazione implicita della disciplina recata dalle Linee guid</w:t>
      </w:r>
      <w:r w:rsidR="00A9782F">
        <w:rPr>
          <w:rFonts w:ascii="Garamond" w:hAnsi="Garamond" w:cs="Times New Roman"/>
          <w:color w:val="000000" w:themeColor="text1"/>
          <w:sz w:val="28"/>
          <w:szCs w:val="28"/>
        </w:rPr>
        <w:t xml:space="preserve">a, nella parte di </w:t>
      </w:r>
      <w:r w:rsidR="000035E7">
        <w:rPr>
          <w:rFonts w:ascii="Garamond" w:hAnsi="Garamond" w:cs="Times New Roman"/>
          <w:color w:val="000000" w:themeColor="text1"/>
          <w:sz w:val="28"/>
          <w:szCs w:val="28"/>
        </w:rPr>
        <w:t xml:space="preserve">interesse </w:t>
      </w:r>
      <w:r w:rsidR="000035E7" w:rsidRPr="00BF2644">
        <w:rPr>
          <w:rFonts w:ascii="Garamond" w:hAnsi="Garamond" w:cs="Times New Roman"/>
          <w:color w:val="000000" w:themeColor="text1"/>
          <w:sz w:val="28"/>
          <w:szCs w:val="28"/>
        </w:rPr>
        <w:t>(</w:t>
      </w:r>
      <w:r w:rsidRPr="00BF2644">
        <w:rPr>
          <w:rFonts w:ascii="Garamond" w:hAnsi="Garamond" w:cs="Times New Roman"/>
          <w:color w:val="000000" w:themeColor="text1"/>
          <w:sz w:val="28"/>
          <w:szCs w:val="28"/>
        </w:rPr>
        <w:t xml:space="preserve">Cons. Stato, sez. IV, n. 445 </w:t>
      </w:r>
      <w:r w:rsidR="00247ADE">
        <w:rPr>
          <w:rFonts w:ascii="Garamond" w:hAnsi="Garamond" w:cs="Times New Roman"/>
          <w:color w:val="000000" w:themeColor="text1"/>
          <w:sz w:val="28"/>
          <w:szCs w:val="28"/>
        </w:rPr>
        <w:t>e n. 444 del 2023</w:t>
      </w:r>
      <w:r w:rsidRPr="00BF2644">
        <w:rPr>
          <w:rFonts w:ascii="Garamond" w:hAnsi="Garamond" w:cs="Times New Roman"/>
          <w:color w:val="000000" w:themeColor="text1"/>
          <w:sz w:val="28"/>
          <w:szCs w:val="28"/>
        </w:rPr>
        <w:t>).</w:t>
      </w:r>
    </w:p>
    <w:p w:rsidR="003E37AA" w:rsidRDefault="003E37AA" w:rsidP="00BF2644">
      <w:pPr>
        <w:spacing w:line="240" w:lineRule="auto"/>
        <w:ind w:firstLine="709"/>
        <w:contextualSpacing/>
        <w:jc w:val="both"/>
        <w:rPr>
          <w:rFonts w:ascii="Garamond" w:hAnsi="Garamond" w:cs="Times New Roman"/>
          <w:b/>
          <w:color w:val="000000" w:themeColor="text1"/>
          <w:sz w:val="28"/>
          <w:szCs w:val="28"/>
        </w:rPr>
      </w:pPr>
    </w:p>
    <w:p w:rsidR="005C2E9D" w:rsidRPr="00BF2644" w:rsidRDefault="004A46FC" w:rsidP="00BF2644">
      <w:pPr>
        <w:spacing w:line="240" w:lineRule="auto"/>
        <w:ind w:firstLine="709"/>
        <w:contextualSpacing/>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2.2.3</w:t>
      </w:r>
      <w:r w:rsidR="00A20B54" w:rsidRPr="00BF2644">
        <w:rPr>
          <w:rFonts w:ascii="Garamond" w:hAnsi="Garamond" w:cs="Times New Roman"/>
          <w:b/>
          <w:color w:val="000000" w:themeColor="text1"/>
          <w:sz w:val="28"/>
          <w:szCs w:val="28"/>
        </w:rPr>
        <w:t xml:space="preserve">. </w:t>
      </w:r>
      <w:r w:rsidR="005C2E9D" w:rsidRPr="00BF2644">
        <w:rPr>
          <w:rFonts w:ascii="Garamond" w:hAnsi="Garamond" w:cs="Times New Roman"/>
          <w:b/>
          <w:color w:val="000000" w:themeColor="text1"/>
          <w:sz w:val="28"/>
          <w:szCs w:val="28"/>
        </w:rPr>
        <w:t xml:space="preserve">La competenza in ordine al rilascio dell’autorizzazione unica per gli impianti eolici </w:t>
      </w:r>
      <w:r w:rsidR="000035E7">
        <w:rPr>
          <w:rFonts w:ascii="Garamond" w:hAnsi="Garamond" w:cs="Times New Roman"/>
          <w:b/>
          <w:i/>
          <w:color w:val="000000" w:themeColor="text1"/>
          <w:sz w:val="28"/>
          <w:szCs w:val="28"/>
        </w:rPr>
        <w:t xml:space="preserve">off- </w:t>
      </w:r>
      <w:r w:rsidR="005C2E9D" w:rsidRPr="00BF2644">
        <w:rPr>
          <w:rFonts w:ascii="Garamond" w:hAnsi="Garamond" w:cs="Times New Roman"/>
          <w:b/>
          <w:i/>
          <w:color w:val="000000" w:themeColor="text1"/>
          <w:sz w:val="28"/>
          <w:szCs w:val="28"/>
        </w:rPr>
        <w:t>shore</w:t>
      </w:r>
    </w:p>
    <w:p w:rsidR="005C2E9D" w:rsidRPr="00BF2644" w:rsidRDefault="005C2E9D"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Il testo originario del </w:t>
      </w:r>
      <w:r w:rsidR="004F0CCD">
        <w:rPr>
          <w:rFonts w:ascii="Garamond" w:hAnsi="Garamond" w:cs="Times New Roman"/>
          <w:color w:val="000000" w:themeColor="text1"/>
          <w:sz w:val="28"/>
          <w:szCs w:val="28"/>
        </w:rPr>
        <w:t>d.lgs.</w:t>
      </w:r>
      <w:r w:rsidRPr="00BF2644">
        <w:rPr>
          <w:rFonts w:ascii="Garamond" w:hAnsi="Garamond" w:cs="Times New Roman"/>
          <w:color w:val="000000" w:themeColor="text1"/>
          <w:sz w:val="28"/>
          <w:szCs w:val="28"/>
        </w:rPr>
        <w:t xml:space="preserve"> n. 152 del 2006 (vigente fino al 12 febbraio 2008) attribuiva la competenza in ordine alla valutazione di impatto ambientale allo Stato o alle Regioni secondo la competenza ad autorizzare il progetto da esaminare.</w:t>
      </w:r>
    </w:p>
    <w:p w:rsidR="005C2E9D" w:rsidRPr="00BF2644" w:rsidRDefault="006C37BC" w:rsidP="00BF2644">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L’art. 12 del </w:t>
      </w:r>
      <w:r w:rsidR="004F0CCD">
        <w:rPr>
          <w:rFonts w:ascii="Garamond" w:hAnsi="Garamond" w:cs="Times New Roman"/>
          <w:color w:val="000000" w:themeColor="text1"/>
          <w:sz w:val="28"/>
          <w:szCs w:val="28"/>
        </w:rPr>
        <w:t>d.lgs.</w:t>
      </w:r>
      <w:r w:rsidR="00A9782F">
        <w:rPr>
          <w:rFonts w:ascii="Garamond" w:hAnsi="Garamond" w:cs="Times New Roman"/>
          <w:color w:val="000000" w:themeColor="text1"/>
          <w:sz w:val="28"/>
          <w:szCs w:val="28"/>
        </w:rPr>
        <w:t xml:space="preserve"> n. 387 del 2003 </w:t>
      </w:r>
      <w:r w:rsidR="005C2E9D" w:rsidRPr="00BF2644">
        <w:rPr>
          <w:rFonts w:ascii="Garamond" w:hAnsi="Garamond" w:cs="Times New Roman"/>
          <w:color w:val="000000" w:themeColor="text1"/>
          <w:sz w:val="28"/>
          <w:szCs w:val="28"/>
        </w:rPr>
        <w:t>prevedeva, a sua volta, la competenza regionale in ordine alla autorizzazione degli impianti di energie alternative (e, tra essi, pertanto, di quelli ad energia eolica).</w:t>
      </w:r>
    </w:p>
    <w:p w:rsidR="005C2E9D" w:rsidRPr="00BF2644" w:rsidRDefault="005C2E9D"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Dal combinato disposto di tali disposizioni, pertanto, derivava che la competenza in ordine alla autorizzazione ed alla VIA di tutti gli impianti eolici era regionale (salva la necessaria partecipazione ai lavori della relativa conferenza di servizi del Ministero per i beni e le attività culturali, in caso di impianti in aree paesistiche, e del Ministero dell’ambiente).</w:t>
      </w:r>
    </w:p>
    <w:p w:rsidR="005C2E9D" w:rsidRPr="00BF2644" w:rsidRDefault="005C2E9D" w:rsidP="000035E7">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L’art. 2, comma 158, della </w:t>
      </w:r>
      <w:r w:rsidR="006C564E">
        <w:rPr>
          <w:rFonts w:ascii="Garamond" w:hAnsi="Garamond" w:cs="Times New Roman"/>
          <w:color w:val="000000" w:themeColor="text1"/>
          <w:sz w:val="28"/>
          <w:szCs w:val="28"/>
        </w:rPr>
        <w:t>legge</w:t>
      </w:r>
      <w:r w:rsidR="000035E7">
        <w:rPr>
          <w:rFonts w:ascii="Garamond" w:hAnsi="Garamond" w:cs="Times New Roman"/>
          <w:color w:val="000000" w:themeColor="text1"/>
          <w:sz w:val="28"/>
          <w:szCs w:val="28"/>
        </w:rPr>
        <w:t xml:space="preserve"> 24 dicembre</w:t>
      </w:r>
      <w:r w:rsidR="00A9782F">
        <w:rPr>
          <w:rFonts w:ascii="Garamond" w:hAnsi="Garamond" w:cs="Times New Roman"/>
          <w:color w:val="000000" w:themeColor="text1"/>
          <w:sz w:val="28"/>
          <w:szCs w:val="28"/>
        </w:rPr>
        <w:t xml:space="preserve"> 2007</w:t>
      </w:r>
      <w:r w:rsidR="000035E7">
        <w:rPr>
          <w:rFonts w:ascii="Garamond" w:hAnsi="Garamond" w:cs="Times New Roman"/>
          <w:color w:val="000000" w:themeColor="text1"/>
          <w:sz w:val="28"/>
          <w:szCs w:val="28"/>
        </w:rPr>
        <w:t xml:space="preserve"> n. 244</w:t>
      </w:r>
      <w:r w:rsidR="00A9782F">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ha, tutt</w:t>
      </w:r>
      <w:r w:rsidR="00FF6D0E">
        <w:rPr>
          <w:rFonts w:ascii="Garamond" w:hAnsi="Garamond" w:cs="Times New Roman"/>
          <w:color w:val="000000" w:themeColor="text1"/>
          <w:sz w:val="28"/>
          <w:szCs w:val="28"/>
        </w:rPr>
        <w:t xml:space="preserve">avia, modificato l’art. 12 del </w:t>
      </w:r>
      <w:r w:rsidR="00A62CF5">
        <w:rPr>
          <w:rFonts w:ascii="Garamond" w:hAnsi="Garamond" w:cs="Times New Roman"/>
          <w:color w:val="000000" w:themeColor="text1"/>
          <w:sz w:val="28"/>
          <w:szCs w:val="28"/>
        </w:rPr>
        <w:t>d</w:t>
      </w:r>
      <w:r w:rsidR="00A62CF5" w:rsidRPr="00BF2644">
        <w:rPr>
          <w:rFonts w:ascii="Garamond" w:hAnsi="Garamond" w:cs="Times New Roman"/>
          <w:color w:val="000000" w:themeColor="text1"/>
          <w:sz w:val="28"/>
          <w:szCs w:val="28"/>
        </w:rPr>
        <w:t>.lgs.</w:t>
      </w:r>
      <w:r w:rsidRPr="00BF2644">
        <w:rPr>
          <w:rFonts w:ascii="Garamond" w:hAnsi="Garamond" w:cs="Times New Roman"/>
          <w:color w:val="000000" w:themeColor="text1"/>
          <w:sz w:val="28"/>
          <w:szCs w:val="28"/>
        </w:rPr>
        <w:t xml:space="preserve"> n. 387 del 2003, prevedendo</w:t>
      </w:r>
      <w:r w:rsidR="006C37BC">
        <w:rPr>
          <w:rFonts w:ascii="Garamond" w:hAnsi="Garamond" w:cs="Times New Roman"/>
          <w:color w:val="000000" w:themeColor="text1"/>
          <w:sz w:val="28"/>
          <w:szCs w:val="28"/>
        </w:rPr>
        <w:t xml:space="preserve"> </w:t>
      </w:r>
      <w:r w:rsidR="0062197E" w:rsidRPr="00BF2644">
        <w:rPr>
          <w:rFonts w:ascii="Garamond" w:hAnsi="Garamond" w:cs="Times New Roman"/>
          <w:color w:val="000000" w:themeColor="text1"/>
          <w:sz w:val="28"/>
          <w:szCs w:val="28"/>
        </w:rPr>
        <w:t>l’attribuzione</w:t>
      </w:r>
      <w:r w:rsidRPr="00BF2644">
        <w:rPr>
          <w:rFonts w:ascii="Garamond" w:hAnsi="Garamond" w:cs="Times New Roman"/>
          <w:color w:val="000000" w:themeColor="text1"/>
          <w:sz w:val="28"/>
          <w:szCs w:val="28"/>
        </w:rPr>
        <w:t xml:space="preserve"> allo Stato della competenza in ordine agli impianti eolici</w:t>
      </w:r>
      <w:r w:rsidR="000035E7">
        <w:rPr>
          <w:rFonts w:ascii="Garamond" w:hAnsi="Garamond" w:cs="Times New Roman"/>
          <w:i/>
          <w:color w:val="000000" w:themeColor="text1"/>
          <w:sz w:val="28"/>
          <w:szCs w:val="28"/>
        </w:rPr>
        <w:t xml:space="preserve"> off-</w:t>
      </w:r>
      <w:r w:rsidRPr="00BF2644">
        <w:rPr>
          <w:rFonts w:ascii="Garamond" w:hAnsi="Garamond" w:cs="Times New Roman"/>
          <w:i/>
          <w:color w:val="000000" w:themeColor="text1"/>
          <w:sz w:val="28"/>
          <w:szCs w:val="28"/>
        </w:rPr>
        <w:t>shore</w:t>
      </w:r>
      <w:r w:rsidRPr="00BF2644">
        <w:rPr>
          <w:rFonts w:ascii="Garamond" w:hAnsi="Garamond" w:cs="Times New Roman"/>
          <w:color w:val="000000" w:themeColor="text1"/>
          <w:sz w:val="28"/>
          <w:szCs w:val="28"/>
        </w:rPr>
        <w:t>.</w:t>
      </w:r>
      <w:r w:rsidR="000035E7">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 xml:space="preserve">Dopo la </w:t>
      </w:r>
      <w:r w:rsidR="000035E7">
        <w:rPr>
          <w:rFonts w:ascii="Garamond" w:hAnsi="Garamond" w:cs="Times New Roman"/>
          <w:color w:val="000000" w:themeColor="text1"/>
          <w:sz w:val="28"/>
          <w:szCs w:val="28"/>
        </w:rPr>
        <w:t xml:space="preserve">citata </w:t>
      </w:r>
      <w:r w:rsidR="006C564E">
        <w:rPr>
          <w:rFonts w:ascii="Garamond" w:hAnsi="Garamond" w:cs="Times New Roman"/>
          <w:color w:val="000000" w:themeColor="text1"/>
          <w:sz w:val="28"/>
          <w:szCs w:val="28"/>
        </w:rPr>
        <w:t>legge</w:t>
      </w:r>
      <w:r w:rsidR="000035E7">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 xml:space="preserve">e fino al 12 febbraio 2008, la competenza per la autorizzazione dei soli impianti eolici </w:t>
      </w:r>
      <w:r w:rsidR="000035E7">
        <w:rPr>
          <w:rFonts w:ascii="Garamond" w:hAnsi="Garamond" w:cs="Times New Roman"/>
          <w:i/>
          <w:color w:val="000000" w:themeColor="text1"/>
          <w:sz w:val="28"/>
          <w:szCs w:val="28"/>
        </w:rPr>
        <w:t xml:space="preserve">off </w:t>
      </w:r>
      <w:r w:rsidRPr="00CE4A20">
        <w:rPr>
          <w:rFonts w:ascii="Garamond" w:hAnsi="Garamond" w:cs="Times New Roman"/>
          <w:i/>
          <w:color w:val="000000" w:themeColor="text1"/>
          <w:sz w:val="28"/>
          <w:szCs w:val="28"/>
        </w:rPr>
        <w:t>shore</w:t>
      </w:r>
      <w:r w:rsidRPr="00BF2644">
        <w:rPr>
          <w:rFonts w:ascii="Garamond" w:hAnsi="Garamond" w:cs="Times New Roman"/>
          <w:color w:val="000000" w:themeColor="text1"/>
          <w:sz w:val="28"/>
          <w:szCs w:val="28"/>
        </w:rPr>
        <w:t xml:space="preserve"> è, pertanto, passata allo Stato e, con essa, è passata allo Stato anche la competenza in ordine alla VIA (mentre è rimasta alle Regioni quella relativa ad ogni impianto eolico su terra).</w:t>
      </w:r>
    </w:p>
    <w:p w:rsidR="005C2E9D" w:rsidRDefault="005C2E9D"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A partire dal 13 febbraio 2008, data di entrata in vigore del </w:t>
      </w:r>
      <w:r w:rsidR="006C564E">
        <w:rPr>
          <w:rFonts w:ascii="Garamond" w:hAnsi="Garamond" w:cs="Times New Roman"/>
          <w:color w:val="000000" w:themeColor="text1"/>
          <w:sz w:val="28"/>
          <w:szCs w:val="28"/>
        </w:rPr>
        <w:t>decreto</w:t>
      </w:r>
      <w:r w:rsidRPr="00BF2644">
        <w:rPr>
          <w:rFonts w:ascii="Garamond" w:hAnsi="Garamond" w:cs="Times New Roman"/>
          <w:color w:val="000000" w:themeColor="text1"/>
          <w:sz w:val="28"/>
          <w:szCs w:val="28"/>
        </w:rPr>
        <w:t xml:space="preserve"> legislativo 16 gennaio 2008, n. 4 (</w:t>
      </w:r>
      <w:r w:rsidRPr="000035E7">
        <w:rPr>
          <w:rFonts w:ascii="Garamond" w:hAnsi="Garamond" w:cs="Times New Roman"/>
          <w:i/>
          <w:color w:val="000000" w:themeColor="text1"/>
          <w:sz w:val="28"/>
          <w:szCs w:val="28"/>
        </w:rPr>
        <w:t xml:space="preserve">Ulteriori disposizioni correttive ed integrative del </w:t>
      </w:r>
      <w:r w:rsidR="004F0CCD">
        <w:rPr>
          <w:rFonts w:ascii="Garamond" w:hAnsi="Garamond" w:cs="Times New Roman"/>
          <w:i/>
          <w:color w:val="000000" w:themeColor="text1"/>
          <w:sz w:val="28"/>
          <w:szCs w:val="28"/>
        </w:rPr>
        <w:t>d.lgs.</w:t>
      </w:r>
      <w:r w:rsidRPr="000035E7">
        <w:rPr>
          <w:rFonts w:ascii="Garamond" w:hAnsi="Garamond" w:cs="Times New Roman"/>
          <w:i/>
          <w:color w:val="000000" w:themeColor="text1"/>
          <w:sz w:val="28"/>
          <w:szCs w:val="28"/>
        </w:rPr>
        <w:t xml:space="preserve"> 3 aprile 2006, n. 152, recante norme in materia ambientale</w:t>
      </w:r>
      <w:r w:rsidRPr="00BF2644">
        <w:rPr>
          <w:rFonts w:ascii="Garamond" w:hAnsi="Garamond" w:cs="Times New Roman"/>
          <w:color w:val="000000" w:themeColor="text1"/>
          <w:sz w:val="28"/>
          <w:szCs w:val="28"/>
        </w:rPr>
        <w:t xml:space="preserve">), invece, la competenza in ordine alla VIA per tutti gli impianti eolici (su terra o </w:t>
      </w:r>
      <w:r w:rsidR="000035E7">
        <w:rPr>
          <w:rFonts w:ascii="Garamond" w:hAnsi="Garamond" w:cs="Times New Roman"/>
          <w:i/>
          <w:color w:val="000000" w:themeColor="text1"/>
          <w:sz w:val="28"/>
          <w:szCs w:val="28"/>
        </w:rPr>
        <w:t>off-</w:t>
      </w:r>
      <w:r w:rsidRPr="00CE4A20">
        <w:rPr>
          <w:rFonts w:ascii="Garamond" w:hAnsi="Garamond" w:cs="Times New Roman"/>
          <w:i/>
          <w:color w:val="000000" w:themeColor="text1"/>
          <w:sz w:val="28"/>
          <w:szCs w:val="28"/>
        </w:rPr>
        <w:t>shore</w:t>
      </w:r>
      <w:r w:rsidRPr="00BF2644">
        <w:rPr>
          <w:rFonts w:ascii="Garamond" w:hAnsi="Garamond" w:cs="Times New Roman"/>
          <w:color w:val="000000" w:themeColor="text1"/>
          <w:sz w:val="28"/>
          <w:szCs w:val="28"/>
        </w:rPr>
        <w:t xml:space="preserve">) è stata attribuita alle </w:t>
      </w:r>
      <w:r w:rsidR="007C254A">
        <w:rPr>
          <w:rFonts w:ascii="Garamond" w:hAnsi="Garamond" w:cs="Times New Roman"/>
          <w:color w:val="000000" w:themeColor="text1"/>
          <w:sz w:val="28"/>
          <w:szCs w:val="28"/>
        </w:rPr>
        <w:t>r</w:t>
      </w:r>
      <w:r w:rsidRPr="00BF2644">
        <w:rPr>
          <w:rFonts w:ascii="Garamond" w:hAnsi="Garamond" w:cs="Times New Roman"/>
          <w:color w:val="000000" w:themeColor="text1"/>
          <w:sz w:val="28"/>
          <w:szCs w:val="28"/>
        </w:rPr>
        <w:t>egioni. Conseguentemente in c</w:t>
      </w:r>
      <w:r w:rsidR="000035E7">
        <w:rPr>
          <w:rFonts w:ascii="Garamond" w:hAnsi="Garamond" w:cs="Times New Roman"/>
          <w:color w:val="000000" w:themeColor="text1"/>
          <w:sz w:val="28"/>
          <w:szCs w:val="28"/>
        </w:rPr>
        <w:t xml:space="preserve">aso di impianti </w:t>
      </w:r>
      <w:r w:rsidR="000035E7">
        <w:rPr>
          <w:rFonts w:ascii="Garamond" w:hAnsi="Garamond" w:cs="Times New Roman"/>
          <w:i/>
          <w:color w:val="000000" w:themeColor="text1"/>
          <w:sz w:val="28"/>
          <w:szCs w:val="28"/>
        </w:rPr>
        <w:t>off-</w:t>
      </w:r>
      <w:r w:rsidR="000035E7" w:rsidRPr="000035E7">
        <w:rPr>
          <w:rFonts w:ascii="Garamond" w:hAnsi="Garamond" w:cs="Times New Roman"/>
          <w:i/>
          <w:color w:val="000000" w:themeColor="text1"/>
          <w:sz w:val="28"/>
          <w:szCs w:val="28"/>
        </w:rPr>
        <w:t>shore</w:t>
      </w:r>
      <w:r w:rsidR="000035E7">
        <w:rPr>
          <w:rFonts w:ascii="Garamond" w:hAnsi="Garamond" w:cs="Times New Roman"/>
          <w:color w:val="000000" w:themeColor="text1"/>
          <w:sz w:val="28"/>
          <w:szCs w:val="28"/>
        </w:rPr>
        <w:t xml:space="preserve"> si è p</w:t>
      </w:r>
      <w:r w:rsidRPr="00BF2644">
        <w:rPr>
          <w:rFonts w:ascii="Garamond" w:hAnsi="Garamond" w:cs="Times New Roman"/>
          <w:color w:val="000000" w:themeColor="text1"/>
          <w:sz w:val="28"/>
          <w:szCs w:val="28"/>
        </w:rPr>
        <w:t>revista una duplicità di competenze: statale in ordine alla autorizzazione dell’impianto, regio</w:t>
      </w:r>
      <w:r w:rsidR="009B0078">
        <w:rPr>
          <w:rFonts w:ascii="Garamond" w:hAnsi="Garamond" w:cs="Times New Roman"/>
          <w:color w:val="000000" w:themeColor="text1"/>
          <w:sz w:val="28"/>
          <w:szCs w:val="28"/>
        </w:rPr>
        <w:t>nale in ordine alla VIA (Corte c</w:t>
      </w:r>
      <w:r w:rsidRPr="00BF2644">
        <w:rPr>
          <w:rFonts w:ascii="Garamond" w:hAnsi="Garamond" w:cs="Times New Roman"/>
          <w:color w:val="000000" w:themeColor="text1"/>
          <w:sz w:val="28"/>
          <w:szCs w:val="28"/>
        </w:rPr>
        <w:t>ost</w:t>
      </w:r>
      <w:r w:rsidR="009B0078">
        <w:rPr>
          <w:rFonts w:ascii="Garamond" w:hAnsi="Garamond" w:cs="Times New Roman"/>
          <w:color w:val="000000" w:themeColor="text1"/>
          <w:sz w:val="28"/>
          <w:szCs w:val="28"/>
        </w:rPr>
        <w:t>.</w:t>
      </w:r>
      <w:r w:rsidR="00CE4A20">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 xml:space="preserve"> n. 171 del 2010 che nell’ambito di un giudizio per conflitto di</w:t>
      </w:r>
      <w:r w:rsidR="00B617ED">
        <w:rPr>
          <w:rFonts w:ascii="Garamond" w:hAnsi="Garamond" w:cs="Times New Roman"/>
          <w:color w:val="000000" w:themeColor="text1"/>
          <w:sz w:val="28"/>
          <w:szCs w:val="28"/>
        </w:rPr>
        <w:t xml:space="preserve"> attribuzione fra poteri dello S</w:t>
      </w:r>
      <w:r w:rsidRPr="00BF2644">
        <w:rPr>
          <w:rFonts w:ascii="Garamond" w:hAnsi="Garamond" w:cs="Times New Roman"/>
          <w:color w:val="000000" w:themeColor="text1"/>
          <w:sz w:val="28"/>
          <w:szCs w:val="28"/>
        </w:rPr>
        <w:t>tato avente ad oggetto l’indizione di una conferenza di servizi per il giudizio di compatibilità am</w:t>
      </w:r>
      <w:r w:rsidR="000035E7">
        <w:rPr>
          <w:rFonts w:ascii="Garamond" w:hAnsi="Garamond" w:cs="Times New Roman"/>
          <w:color w:val="000000" w:themeColor="text1"/>
          <w:sz w:val="28"/>
          <w:szCs w:val="28"/>
        </w:rPr>
        <w:t xml:space="preserve">bientale di impianti eolici </w:t>
      </w:r>
      <w:r w:rsidR="000035E7">
        <w:rPr>
          <w:rFonts w:ascii="Garamond" w:hAnsi="Garamond" w:cs="Times New Roman"/>
          <w:i/>
          <w:color w:val="000000" w:themeColor="text1"/>
          <w:sz w:val="28"/>
          <w:szCs w:val="28"/>
        </w:rPr>
        <w:t>off-</w:t>
      </w:r>
      <w:r w:rsidRPr="000035E7">
        <w:rPr>
          <w:rFonts w:ascii="Garamond" w:hAnsi="Garamond" w:cs="Times New Roman"/>
          <w:i/>
          <w:color w:val="000000" w:themeColor="text1"/>
          <w:sz w:val="28"/>
          <w:szCs w:val="28"/>
        </w:rPr>
        <w:t>shore</w:t>
      </w:r>
      <w:r w:rsidRPr="00BF2644">
        <w:rPr>
          <w:rFonts w:ascii="Garamond" w:hAnsi="Garamond" w:cs="Times New Roman"/>
          <w:color w:val="000000" w:themeColor="text1"/>
          <w:sz w:val="28"/>
          <w:szCs w:val="28"/>
        </w:rPr>
        <w:t xml:space="preserve"> per la produzione di energia elettrica, da realizzarsi ad opera della Trevi Energy s.p.a. nel mare antistante le </w:t>
      </w:r>
      <w:r w:rsidR="007C254A">
        <w:rPr>
          <w:rFonts w:ascii="Garamond" w:hAnsi="Garamond" w:cs="Times New Roman"/>
          <w:color w:val="000000" w:themeColor="text1"/>
          <w:sz w:val="28"/>
          <w:szCs w:val="28"/>
        </w:rPr>
        <w:t>p</w:t>
      </w:r>
      <w:r w:rsidRPr="00BF2644">
        <w:rPr>
          <w:rFonts w:ascii="Garamond" w:hAnsi="Garamond" w:cs="Times New Roman"/>
          <w:color w:val="000000" w:themeColor="text1"/>
          <w:sz w:val="28"/>
          <w:szCs w:val="28"/>
        </w:rPr>
        <w:t>rovince di Brindisi e Lecce, promosso dal Presidente del Consiglio dei ministri, ha accolto il ricorso, affermando la competenza dello Stato an</w:t>
      </w:r>
      <w:r w:rsidR="00CE4A20">
        <w:rPr>
          <w:rFonts w:ascii="Garamond" w:hAnsi="Garamond" w:cs="Times New Roman"/>
          <w:color w:val="000000" w:themeColor="text1"/>
          <w:sz w:val="28"/>
          <w:szCs w:val="28"/>
        </w:rPr>
        <w:t>che per il rilascio della VIA</w:t>
      </w:r>
      <w:r w:rsidR="000035E7">
        <w:rPr>
          <w:rFonts w:ascii="Garamond" w:hAnsi="Garamond" w:cs="Times New Roman"/>
          <w:color w:val="000000" w:themeColor="text1"/>
          <w:sz w:val="28"/>
          <w:szCs w:val="28"/>
        </w:rPr>
        <w:t>,</w:t>
      </w:r>
      <w:r w:rsidRPr="00BF2644">
        <w:rPr>
          <w:rFonts w:ascii="Garamond" w:hAnsi="Garamond" w:cs="Times New Roman"/>
          <w:color w:val="000000" w:themeColor="text1"/>
          <w:sz w:val="28"/>
          <w:szCs w:val="28"/>
        </w:rPr>
        <w:t xml:space="preserve"> in quanto la domanda dell’impresa Trevi Energy </w:t>
      </w:r>
      <w:r w:rsidRPr="00BF2644">
        <w:rPr>
          <w:rFonts w:ascii="Garamond" w:hAnsi="Garamond" w:cs="Times New Roman"/>
          <w:color w:val="000000" w:themeColor="text1"/>
          <w:sz w:val="28"/>
          <w:szCs w:val="28"/>
        </w:rPr>
        <w:lastRenderedPageBreak/>
        <w:t>interessata alla realizzazione degli impianti per i</w:t>
      </w:r>
      <w:r w:rsidR="004E625E" w:rsidRPr="00BF2644">
        <w:rPr>
          <w:rFonts w:ascii="Garamond" w:hAnsi="Garamond" w:cs="Times New Roman"/>
          <w:color w:val="000000" w:themeColor="text1"/>
          <w:sz w:val="28"/>
          <w:szCs w:val="28"/>
        </w:rPr>
        <w:t xml:space="preserve"> quali era</w:t>
      </w:r>
      <w:r w:rsidRPr="00BF2644">
        <w:rPr>
          <w:rFonts w:ascii="Garamond" w:hAnsi="Garamond" w:cs="Times New Roman"/>
          <w:color w:val="000000" w:themeColor="text1"/>
          <w:sz w:val="28"/>
          <w:szCs w:val="28"/>
        </w:rPr>
        <w:t xml:space="preserve"> stata indetta la VIA da parte della</w:t>
      </w:r>
      <w:r w:rsidR="006C37BC">
        <w:rPr>
          <w:rFonts w:ascii="Garamond" w:hAnsi="Garamond" w:cs="Times New Roman"/>
          <w:color w:val="000000" w:themeColor="text1"/>
          <w:sz w:val="28"/>
          <w:szCs w:val="28"/>
        </w:rPr>
        <w:t xml:space="preserve"> Regione con la nota impugnata era</w:t>
      </w:r>
      <w:r w:rsidRPr="00BF2644">
        <w:rPr>
          <w:rFonts w:ascii="Garamond" w:hAnsi="Garamond" w:cs="Times New Roman"/>
          <w:color w:val="000000" w:themeColor="text1"/>
          <w:sz w:val="28"/>
          <w:szCs w:val="28"/>
        </w:rPr>
        <w:t xml:space="preserve"> del 16 gennaio 2008</w:t>
      </w:r>
      <w:r w:rsidR="006C37BC">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 xml:space="preserve"> ovvero successiva alla entrata in vigore della </w:t>
      </w:r>
      <w:r w:rsidR="006C564E">
        <w:rPr>
          <w:rFonts w:ascii="Garamond" w:hAnsi="Garamond" w:cs="Times New Roman"/>
          <w:color w:val="000000" w:themeColor="text1"/>
          <w:sz w:val="28"/>
          <w:szCs w:val="28"/>
        </w:rPr>
        <w:t>legge</w:t>
      </w:r>
      <w:r w:rsidRPr="00BF2644">
        <w:rPr>
          <w:rFonts w:ascii="Garamond" w:hAnsi="Garamond" w:cs="Times New Roman"/>
          <w:color w:val="000000" w:themeColor="text1"/>
          <w:sz w:val="28"/>
          <w:szCs w:val="28"/>
        </w:rPr>
        <w:t xml:space="preserve"> n. 244 del 2007 - 24 dicembre 2007 - ed anteriore alla entrata in vigor</w:t>
      </w:r>
      <w:r w:rsidR="000035E7">
        <w:rPr>
          <w:rFonts w:ascii="Garamond" w:hAnsi="Garamond" w:cs="Times New Roman"/>
          <w:color w:val="000000" w:themeColor="text1"/>
          <w:sz w:val="28"/>
          <w:szCs w:val="28"/>
        </w:rPr>
        <w:t xml:space="preserve">e del </w:t>
      </w:r>
      <w:r w:rsidR="004F0CCD">
        <w:rPr>
          <w:rFonts w:ascii="Garamond" w:hAnsi="Garamond" w:cs="Times New Roman"/>
          <w:color w:val="000000" w:themeColor="text1"/>
          <w:sz w:val="28"/>
          <w:szCs w:val="28"/>
        </w:rPr>
        <w:t>d.lgs.</w:t>
      </w:r>
      <w:r w:rsidRPr="00BF2644">
        <w:rPr>
          <w:rFonts w:ascii="Garamond" w:hAnsi="Garamond" w:cs="Times New Roman"/>
          <w:color w:val="000000" w:themeColor="text1"/>
          <w:sz w:val="28"/>
          <w:szCs w:val="28"/>
        </w:rPr>
        <w:t xml:space="preserve"> correttivo n. 4 del 20</w:t>
      </w:r>
      <w:r w:rsidR="009B0078">
        <w:rPr>
          <w:rFonts w:ascii="Garamond" w:hAnsi="Garamond" w:cs="Times New Roman"/>
          <w:color w:val="000000" w:themeColor="text1"/>
          <w:sz w:val="28"/>
          <w:szCs w:val="28"/>
        </w:rPr>
        <w:t>08; in termini  Corte c</w:t>
      </w:r>
      <w:r w:rsidR="00A20B54" w:rsidRPr="00BF2644">
        <w:rPr>
          <w:rFonts w:ascii="Garamond" w:hAnsi="Garamond" w:cs="Times New Roman"/>
          <w:color w:val="000000" w:themeColor="text1"/>
          <w:sz w:val="28"/>
          <w:szCs w:val="28"/>
        </w:rPr>
        <w:t>ost</w:t>
      </w:r>
      <w:r w:rsidR="009B0078">
        <w:rPr>
          <w:rFonts w:ascii="Garamond" w:hAnsi="Garamond" w:cs="Times New Roman"/>
          <w:color w:val="000000" w:themeColor="text1"/>
          <w:sz w:val="28"/>
          <w:szCs w:val="28"/>
        </w:rPr>
        <w:t>.</w:t>
      </w:r>
      <w:r w:rsidR="00A20B54" w:rsidRPr="00BF2644">
        <w:rPr>
          <w:rFonts w:ascii="Garamond" w:hAnsi="Garamond" w:cs="Times New Roman"/>
          <w:color w:val="000000" w:themeColor="text1"/>
          <w:sz w:val="28"/>
          <w:szCs w:val="28"/>
        </w:rPr>
        <w:t xml:space="preserve">, n. 282 del 2009 che ha dichiarato, fra le altre disposizioni, l’illegittimità costituzionale dell’articolo 2, comma 1, lettera m) della </w:t>
      </w:r>
      <w:r w:rsidR="00A62CF5">
        <w:rPr>
          <w:rFonts w:ascii="Garamond" w:hAnsi="Garamond" w:cs="Times New Roman"/>
          <w:color w:val="000000" w:themeColor="text1"/>
          <w:sz w:val="28"/>
          <w:szCs w:val="28"/>
        </w:rPr>
        <w:t xml:space="preserve">l.r.  Molise 18 del </w:t>
      </w:r>
      <w:r w:rsidR="00A20B54" w:rsidRPr="00BF2644">
        <w:rPr>
          <w:rFonts w:ascii="Garamond" w:hAnsi="Garamond" w:cs="Times New Roman"/>
          <w:color w:val="000000" w:themeColor="text1"/>
          <w:sz w:val="28"/>
          <w:szCs w:val="28"/>
        </w:rPr>
        <w:t>2008,</w:t>
      </w:r>
      <w:r w:rsidR="00CE4A20" w:rsidRPr="00CE4A20">
        <w:t xml:space="preserve"> </w:t>
      </w:r>
      <w:r w:rsidR="00CE4A20" w:rsidRPr="00CE4A20">
        <w:rPr>
          <w:rFonts w:ascii="Garamond" w:hAnsi="Garamond" w:cs="Times New Roman"/>
          <w:color w:val="000000" w:themeColor="text1"/>
          <w:sz w:val="28"/>
          <w:szCs w:val="28"/>
        </w:rPr>
        <w:t>per viol</w:t>
      </w:r>
      <w:r w:rsidR="00A62CF5">
        <w:rPr>
          <w:rFonts w:ascii="Garamond" w:hAnsi="Garamond" w:cs="Times New Roman"/>
          <w:color w:val="000000" w:themeColor="text1"/>
          <w:sz w:val="28"/>
          <w:szCs w:val="28"/>
        </w:rPr>
        <w:t xml:space="preserve">azione dell’articolo 117, </w:t>
      </w:r>
      <w:r w:rsidR="00CE4A20" w:rsidRPr="00CE4A20">
        <w:rPr>
          <w:rFonts w:ascii="Garamond" w:hAnsi="Garamond" w:cs="Times New Roman"/>
          <w:color w:val="000000" w:themeColor="text1"/>
          <w:sz w:val="28"/>
          <w:szCs w:val="28"/>
        </w:rPr>
        <w:t>comma</w:t>
      </w:r>
      <w:r w:rsidR="00A62CF5">
        <w:rPr>
          <w:rFonts w:ascii="Garamond" w:hAnsi="Garamond" w:cs="Times New Roman"/>
          <w:color w:val="000000" w:themeColor="text1"/>
          <w:sz w:val="28"/>
          <w:szCs w:val="28"/>
        </w:rPr>
        <w:t xml:space="preserve"> 3</w:t>
      </w:r>
      <w:r w:rsidR="00CE4A20" w:rsidRPr="00CE4A20">
        <w:rPr>
          <w:rFonts w:ascii="Garamond" w:hAnsi="Garamond" w:cs="Times New Roman"/>
          <w:color w:val="000000" w:themeColor="text1"/>
          <w:sz w:val="28"/>
          <w:szCs w:val="28"/>
        </w:rPr>
        <w:t>, Cost</w:t>
      </w:r>
      <w:r w:rsidR="00A62CF5" w:rsidRPr="00CE4A20">
        <w:rPr>
          <w:rFonts w:ascii="Garamond" w:hAnsi="Garamond" w:cs="Times New Roman"/>
          <w:color w:val="000000" w:themeColor="text1"/>
          <w:sz w:val="28"/>
          <w:szCs w:val="28"/>
        </w:rPr>
        <w:t>.</w:t>
      </w:r>
      <w:r w:rsidR="00A62CF5">
        <w:rPr>
          <w:rFonts w:ascii="Garamond" w:hAnsi="Garamond" w:cs="Times New Roman"/>
          <w:color w:val="000000" w:themeColor="text1"/>
          <w:sz w:val="28"/>
          <w:szCs w:val="28"/>
        </w:rPr>
        <w:t xml:space="preserve">, </w:t>
      </w:r>
      <w:r w:rsidR="00A62CF5" w:rsidRPr="00BF2644">
        <w:rPr>
          <w:rFonts w:ascii="Garamond" w:hAnsi="Garamond" w:cs="Times New Roman"/>
          <w:color w:val="000000" w:themeColor="text1"/>
          <w:sz w:val="28"/>
          <w:szCs w:val="28"/>
        </w:rPr>
        <w:t>in</w:t>
      </w:r>
      <w:r w:rsidR="00A20B54" w:rsidRPr="00BF2644">
        <w:rPr>
          <w:rFonts w:ascii="Garamond" w:hAnsi="Garamond" w:cs="Times New Roman"/>
          <w:color w:val="000000" w:themeColor="text1"/>
          <w:sz w:val="28"/>
          <w:szCs w:val="28"/>
        </w:rPr>
        <w:t xml:space="preserve"> quanto lo stesso vieta l’installa</w:t>
      </w:r>
      <w:r w:rsidR="000035E7">
        <w:rPr>
          <w:rFonts w:ascii="Garamond" w:hAnsi="Garamond" w:cs="Times New Roman"/>
          <w:color w:val="000000" w:themeColor="text1"/>
          <w:sz w:val="28"/>
          <w:szCs w:val="28"/>
        </w:rPr>
        <w:t xml:space="preserve">zione degli impianti eolici </w:t>
      </w:r>
      <w:r w:rsidR="000035E7">
        <w:rPr>
          <w:rFonts w:ascii="Garamond" w:hAnsi="Garamond" w:cs="Times New Roman"/>
          <w:i/>
          <w:color w:val="000000" w:themeColor="text1"/>
          <w:sz w:val="28"/>
          <w:szCs w:val="28"/>
        </w:rPr>
        <w:t>off-</w:t>
      </w:r>
      <w:r w:rsidR="00A20B54" w:rsidRPr="000035E7">
        <w:rPr>
          <w:rFonts w:ascii="Garamond" w:hAnsi="Garamond" w:cs="Times New Roman"/>
          <w:i/>
          <w:color w:val="000000" w:themeColor="text1"/>
          <w:sz w:val="28"/>
          <w:szCs w:val="28"/>
        </w:rPr>
        <w:t>shore</w:t>
      </w:r>
      <w:r w:rsidR="00A20B54" w:rsidRPr="00BF2644">
        <w:rPr>
          <w:rFonts w:ascii="Garamond" w:hAnsi="Garamond" w:cs="Times New Roman"/>
          <w:color w:val="000000" w:themeColor="text1"/>
          <w:sz w:val="28"/>
          <w:szCs w:val="28"/>
        </w:rPr>
        <w:t>, nonostante l’articolo 12, comma 3,</w:t>
      </w:r>
      <w:r w:rsidR="004E625E" w:rsidRPr="00BF2644">
        <w:rPr>
          <w:rFonts w:ascii="Garamond" w:hAnsi="Garamond" w:cs="Times New Roman"/>
          <w:color w:val="000000" w:themeColor="text1"/>
          <w:sz w:val="28"/>
          <w:szCs w:val="28"/>
        </w:rPr>
        <w:t xml:space="preserve"> </w:t>
      </w:r>
      <w:r w:rsidR="00A20B54" w:rsidRPr="00BF2644">
        <w:rPr>
          <w:rFonts w:ascii="Garamond" w:hAnsi="Garamond" w:cs="Times New Roman"/>
          <w:color w:val="000000" w:themeColor="text1"/>
          <w:sz w:val="28"/>
          <w:szCs w:val="28"/>
        </w:rPr>
        <w:t xml:space="preserve">del </w:t>
      </w:r>
      <w:r w:rsidR="006C564E">
        <w:rPr>
          <w:rFonts w:ascii="Garamond" w:hAnsi="Garamond" w:cs="Times New Roman"/>
          <w:color w:val="000000" w:themeColor="text1"/>
          <w:sz w:val="28"/>
          <w:szCs w:val="28"/>
        </w:rPr>
        <w:t>decreto</w:t>
      </w:r>
      <w:r w:rsidR="00A20B54" w:rsidRPr="00BF2644">
        <w:rPr>
          <w:rFonts w:ascii="Garamond" w:hAnsi="Garamond" w:cs="Times New Roman"/>
          <w:color w:val="000000" w:themeColor="text1"/>
          <w:sz w:val="28"/>
          <w:szCs w:val="28"/>
        </w:rPr>
        <w:t xml:space="preserve"> legislativo n. 387 del 2003 preveda che per gli impianti </w:t>
      </w:r>
      <w:r w:rsidR="000035E7">
        <w:rPr>
          <w:rFonts w:ascii="Garamond" w:hAnsi="Garamond" w:cs="Times New Roman"/>
          <w:color w:val="000000" w:themeColor="text1"/>
          <w:sz w:val="28"/>
          <w:szCs w:val="28"/>
        </w:rPr>
        <w:t xml:space="preserve">medesimo </w:t>
      </w:r>
      <w:r w:rsidR="00A20B54" w:rsidRPr="00BF2644">
        <w:rPr>
          <w:rFonts w:ascii="Garamond" w:hAnsi="Garamond" w:cs="Times New Roman"/>
          <w:color w:val="000000" w:themeColor="text1"/>
          <w:sz w:val="28"/>
          <w:szCs w:val="28"/>
        </w:rPr>
        <w:t>l’autorizzazione è rilasciata dal Ministero dei trasporti, sentito il Ministero per lo sviluppo economico, previa concessi</w:t>
      </w:r>
      <w:r w:rsidR="004E625E" w:rsidRPr="00BF2644">
        <w:rPr>
          <w:rFonts w:ascii="Garamond" w:hAnsi="Garamond" w:cs="Times New Roman"/>
          <w:color w:val="000000" w:themeColor="text1"/>
          <w:sz w:val="28"/>
          <w:szCs w:val="28"/>
        </w:rPr>
        <w:t>one d’uso del d</w:t>
      </w:r>
      <w:r w:rsidR="009B0078">
        <w:rPr>
          <w:rFonts w:ascii="Garamond" w:hAnsi="Garamond" w:cs="Times New Roman"/>
          <w:color w:val="000000" w:themeColor="text1"/>
          <w:sz w:val="28"/>
          <w:szCs w:val="28"/>
        </w:rPr>
        <w:t>emanio marittimo; Corte cost.</w:t>
      </w:r>
      <w:r w:rsidR="004E625E" w:rsidRPr="00BF2644">
        <w:rPr>
          <w:rFonts w:ascii="Garamond" w:hAnsi="Garamond" w:cs="Times New Roman"/>
          <w:color w:val="000000" w:themeColor="text1"/>
          <w:sz w:val="28"/>
          <w:szCs w:val="28"/>
        </w:rPr>
        <w:t xml:space="preserve"> n. 88 del 2009 che ha rite</w:t>
      </w:r>
      <w:r w:rsidR="00CE4A20">
        <w:rPr>
          <w:rFonts w:ascii="Garamond" w:hAnsi="Garamond" w:cs="Times New Roman"/>
          <w:color w:val="000000" w:themeColor="text1"/>
          <w:sz w:val="28"/>
          <w:szCs w:val="28"/>
        </w:rPr>
        <w:t>nuto infondata la questione di c</w:t>
      </w:r>
      <w:r w:rsidR="004E625E" w:rsidRPr="00BF2644">
        <w:rPr>
          <w:rFonts w:ascii="Garamond" w:hAnsi="Garamond" w:cs="Times New Roman"/>
          <w:color w:val="000000" w:themeColor="text1"/>
          <w:sz w:val="28"/>
          <w:szCs w:val="28"/>
        </w:rPr>
        <w:t>ostituzionalità</w:t>
      </w:r>
      <w:r w:rsidR="000035E7">
        <w:rPr>
          <w:rFonts w:ascii="Garamond" w:hAnsi="Garamond" w:cs="Times New Roman"/>
          <w:color w:val="000000" w:themeColor="text1"/>
          <w:sz w:val="28"/>
          <w:szCs w:val="28"/>
        </w:rPr>
        <w:t>,</w:t>
      </w:r>
      <w:r w:rsidR="004E625E" w:rsidRPr="00BF2644">
        <w:rPr>
          <w:rFonts w:ascii="Garamond" w:hAnsi="Garamond" w:cs="Times New Roman"/>
          <w:color w:val="000000" w:themeColor="text1"/>
          <w:sz w:val="28"/>
          <w:szCs w:val="28"/>
        </w:rPr>
        <w:t xml:space="preserve"> sollevata dalla </w:t>
      </w:r>
      <w:r w:rsidR="007C254A">
        <w:rPr>
          <w:rFonts w:ascii="Garamond" w:hAnsi="Garamond" w:cs="Times New Roman"/>
          <w:color w:val="000000" w:themeColor="text1"/>
          <w:sz w:val="28"/>
          <w:szCs w:val="28"/>
        </w:rPr>
        <w:t>r</w:t>
      </w:r>
      <w:r w:rsidR="004E625E" w:rsidRPr="00BF2644">
        <w:rPr>
          <w:rFonts w:ascii="Garamond" w:hAnsi="Garamond" w:cs="Times New Roman"/>
          <w:color w:val="000000" w:themeColor="text1"/>
          <w:sz w:val="28"/>
          <w:szCs w:val="28"/>
        </w:rPr>
        <w:t xml:space="preserve">egione Toscana in riferimento all’art. 2, comma 158, lettera c), della </w:t>
      </w:r>
      <w:r w:rsidR="00A62CF5">
        <w:rPr>
          <w:rFonts w:ascii="Garamond" w:hAnsi="Garamond" w:cs="Times New Roman"/>
          <w:color w:val="000000" w:themeColor="text1"/>
          <w:sz w:val="28"/>
          <w:szCs w:val="28"/>
        </w:rPr>
        <w:t>l.</w:t>
      </w:r>
      <w:r w:rsidR="004E625E" w:rsidRPr="00BF2644">
        <w:rPr>
          <w:rFonts w:ascii="Garamond" w:hAnsi="Garamond" w:cs="Times New Roman"/>
          <w:color w:val="000000" w:themeColor="text1"/>
          <w:sz w:val="28"/>
          <w:szCs w:val="28"/>
        </w:rPr>
        <w:t xml:space="preserve"> n. 244 del 2007</w:t>
      </w:r>
      <w:r w:rsidR="00CE4A20">
        <w:rPr>
          <w:rFonts w:ascii="Garamond" w:hAnsi="Garamond" w:cs="Times New Roman"/>
          <w:color w:val="000000" w:themeColor="text1"/>
          <w:sz w:val="28"/>
          <w:szCs w:val="28"/>
        </w:rPr>
        <w:t xml:space="preserve">, </w:t>
      </w:r>
      <w:r w:rsidR="004E625E" w:rsidRPr="00BF2644">
        <w:rPr>
          <w:rFonts w:ascii="Garamond" w:hAnsi="Garamond" w:cs="Times New Roman"/>
          <w:color w:val="000000" w:themeColor="text1"/>
          <w:sz w:val="28"/>
          <w:szCs w:val="28"/>
        </w:rPr>
        <w:t xml:space="preserve"> laddove stabilisce che l'autorizzazione di cui all'art. 12, comma 3, del </w:t>
      </w:r>
      <w:r w:rsidR="004F0CCD">
        <w:rPr>
          <w:rFonts w:ascii="Garamond" w:hAnsi="Garamond" w:cs="Times New Roman"/>
          <w:color w:val="000000" w:themeColor="text1"/>
          <w:sz w:val="28"/>
          <w:szCs w:val="28"/>
        </w:rPr>
        <w:t>d.lgs.</w:t>
      </w:r>
      <w:r w:rsidR="004E625E" w:rsidRPr="00BF2644">
        <w:rPr>
          <w:rFonts w:ascii="Garamond" w:hAnsi="Garamond" w:cs="Times New Roman"/>
          <w:color w:val="000000" w:themeColor="text1"/>
          <w:sz w:val="28"/>
          <w:szCs w:val="28"/>
        </w:rPr>
        <w:t xml:space="preserve"> n. 387 del 2003 per gli impianti </w:t>
      </w:r>
      <w:r w:rsidR="004E625E" w:rsidRPr="000035E7">
        <w:rPr>
          <w:rFonts w:ascii="Garamond" w:hAnsi="Garamond" w:cs="Times New Roman"/>
          <w:i/>
          <w:color w:val="000000" w:themeColor="text1"/>
          <w:sz w:val="28"/>
          <w:szCs w:val="28"/>
        </w:rPr>
        <w:t>off</w:t>
      </w:r>
      <w:r w:rsidR="000035E7" w:rsidRPr="000035E7">
        <w:rPr>
          <w:rFonts w:ascii="Garamond" w:hAnsi="Garamond" w:cs="Times New Roman"/>
          <w:i/>
          <w:color w:val="000000" w:themeColor="text1"/>
          <w:sz w:val="28"/>
          <w:szCs w:val="28"/>
        </w:rPr>
        <w:t>-</w:t>
      </w:r>
      <w:r w:rsidR="004E625E" w:rsidRPr="000035E7">
        <w:rPr>
          <w:rFonts w:ascii="Garamond" w:hAnsi="Garamond" w:cs="Times New Roman"/>
          <w:i/>
          <w:color w:val="000000" w:themeColor="text1"/>
          <w:sz w:val="28"/>
          <w:szCs w:val="28"/>
        </w:rPr>
        <w:t>shore</w:t>
      </w:r>
      <w:r w:rsidR="004E625E" w:rsidRPr="00BF2644">
        <w:rPr>
          <w:rFonts w:ascii="Garamond" w:hAnsi="Garamond" w:cs="Times New Roman"/>
          <w:color w:val="000000" w:themeColor="text1"/>
          <w:sz w:val="28"/>
          <w:szCs w:val="28"/>
        </w:rPr>
        <w:t xml:space="preserve"> è rilasciata dal Ministero dei trasporti, sentiti il Ministero dello sviluppo economico e il Ministero dell'ambiente e della tutela del territorio e del mare, con le modalità di cui al comma 4 e previa concessione d'uso del demanio marittimo da parte dell</w:t>
      </w:r>
      <w:r w:rsidR="000035E7">
        <w:rPr>
          <w:rFonts w:ascii="Garamond" w:hAnsi="Garamond" w:cs="Times New Roman"/>
          <w:color w:val="000000" w:themeColor="text1"/>
          <w:sz w:val="28"/>
          <w:szCs w:val="28"/>
        </w:rPr>
        <w:t>a competente autorità marittima</w:t>
      </w:r>
      <w:r w:rsidR="00CE4A20">
        <w:rPr>
          <w:rFonts w:ascii="Garamond" w:hAnsi="Garamond" w:cs="Times New Roman"/>
          <w:color w:val="000000" w:themeColor="text1"/>
          <w:sz w:val="28"/>
          <w:szCs w:val="28"/>
        </w:rPr>
        <w:t xml:space="preserve">, </w:t>
      </w:r>
      <w:r w:rsidR="004E625E" w:rsidRPr="00BF2644">
        <w:rPr>
          <w:rFonts w:ascii="Garamond" w:hAnsi="Garamond" w:cs="Times New Roman"/>
          <w:color w:val="000000" w:themeColor="text1"/>
          <w:sz w:val="28"/>
          <w:szCs w:val="28"/>
        </w:rPr>
        <w:t xml:space="preserve"> sulla base del rilievo che </w:t>
      </w:r>
      <w:r w:rsidR="00CE4A20">
        <w:rPr>
          <w:rFonts w:ascii="Garamond" w:hAnsi="Garamond" w:cs="Times New Roman"/>
          <w:color w:val="000000" w:themeColor="text1"/>
          <w:sz w:val="28"/>
          <w:szCs w:val="28"/>
        </w:rPr>
        <w:t xml:space="preserve">la </w:t>
      </w:r>
      <w:r w:rsidR="004E625E" w:rsidRPr="00BF2644">
        <w:rPr>
          <w:rFonts w:ascii="Garamond" w:hAnsi="Garamond" w:cs="Times New Roman"/>
          <w:color w:val="000000" w:themeColor="text1"/>
          <w:sz w:val="28"/>
          <w:szCs w:val="28"/>
        </w:rPr>
        <w:t xml:space="preserve">norma impugnata, nell'attribuire all'organo statale il compito di rilasciare il titolo autorizzatorio, stabilisce espressamente che ciò avvenga all'esito del procedimento svolto nel rispetto dei princìpi di semplificazione e con le modalità stabilite dalla </w:t>
      </w:r>
      <w:r w:rsidR="006C564E">
        <w:rPr>
          <w:rFonts w:ascii="Garamond" w:hAnsi="Garamond" w:cs="Times New Roman"/>
          <w:color w:val="000000" w:themeColor="text1"/>
          <w:sz w:val="28"/>
          <w:szCs w:val="28"/>
        </w:rPr>
        <w:t>legge</w:t>
      </w:r>
      <w:r w:rsidR="004E625E" w:rsidRPr="00BF2644">
        <w:rPr>
          <w:rFonts w:ascii="Garamond" w:hAnsi="Garamond" w:cs="Times New Roman"/>
          <w:color w:val="000000" w:themeColor="text1"/>
          <w:sz w:val="28"/>
          <w:szCs w:val="28"/>
        </w:rPr>
        <w:t xml:space="preserve"> 7 agosto 1990, n. 241 e successive modificazioni e integrazioni. Pertanto </w:t>
      </w:r>
      <w:r w:rsidR="00CE4A20">
        <w:rPr>
          <w:rFonts w:ascii="Garamond" w:hAnsi="Garamond" w:cs="Times New Roman"/>
          <w:color w:val="000000" w:themeColor="text1"/>
          <w:sz w:val="28"/>
          <w:szCs w:val="28"/>
        </w:rPr>
        <w:t>l</w:t>
      </w:r>
      <w:r w:rsidR="004E625E" w:rsidRPr="00BF2644">
        <w:rPr>
          <w:rFonts w:ascii="Garamond" w:hAnsi="Garamond" w:cs="Times New Roman"/>
          <w:color w:val="000000" w:themeColor="text1"/>
          <w:sz w:val="28"/>
          <w:szCs w:val="28"/>
        </w:rPr>
        <w:t xml:space="preserve">'attuale assetto normativo garantisce ampiamente l'esercizio delle competenze regionali in materia, giacché per un verso spetta alla </w:t>
      </w:r>
      <w:r w:rsidR="007C254A">
        <w:rPr>
          <w:rFonts w:ascii="Garamond" w:hAnsi="Garamond" w:cs="Times New Roman"/>
          <w:color w:val="000000" w:themeColor="text1"/>
          <w:sz w:val="28"/>
          <w:szCs w:val="28"/>
        </w:rPr>
        <w:t>g</w:t>
      </w:r>
      <w:r w:rsidR="004E625E" w:rsidRPr="00BF2644">
        <w:rPr>
          <w:rFonts w:ascii="Garamond" w:hAnsi="Garamond" w:cs="Times New Roman"/>
          <w:color w:val="000000" w:themeColor="text1"/>
          <w:sz w:val="28"/>
          <w:szCs w:val="28"/>
        </w:rPr>
        <w:t xml:space="preserve">iunta regionale pronunciarsi all'esito del procedimento unico, e, per altro verso, il dissenso </w:t>
      </w:r>
      <w:r w:rsidR="004E625E" w:rsidRPr="000035E7">
        <w:rPr>
          <w:rFonts w:ascii="Garamond" w:hAnsi="Garamond" w:cs="Times New Roman"/>
          <w:i/>
          <w:color w:val="000000" w:themeColor="text1"/>
          <w:sz w:val="28"/>
          <w:szCs w:val="28"/>
        </w:rPr>
        <w:t>“qualificato</w:t>
      </w:r>
      <w:r w:rsidR="004E625E" w:rsidRPr="00BF2644">
        <w:rPr>
          <w:rFonts w:ascii="Garamond" w:hAnsi="Garamond" w:cs="Times New Roman"/>
          <w:color w:val="000000" w:themeColor="text1"/>
          <w:sz w:val="28"/>
          <w:szCs w:val="28"/>
        </w:rPr>
        <w:t>” espresso da un'amministrazione statale attiva, ai sensi dell'art. 14</w:t>
      </w:r>
      <w:r w:rsidR="004E625E" w:rsidRPr="003A2EFA">
        <w:rPr>
          <w:rFonts w:ascii="Garamond" w:hAnsi="Garamond" w:cs="Times New Roman"/>
          <w:i/>
          <w:color w:val="000000" w:themeColor="text1"/>
          <w:sz w:val="28"/>
          <w:szCs w:val="28"/>
        </w:rPr>
        <w:t>-quater</w:t>
      </w:r>
      <w:r w:rsidR="004E625E" w:rsidRPr="00BF2644">
        <w:rPr>
          <w:rFonts w:ascii="Garamond" w:hAnsi="Garamond" w:cs="Times New Roman"/>
          <w:color w:val="000000" w:themeColor="text1"/>
          <w:sz w:val="28"/>
          <w:szCs w:val="28"/>
        </w:rPr>
        <w:t xml:space="preserve"> della </w:t>
      </w:r>
      <w:r w:rsidR="006C564E">
        <w:rPr>
          <w:rFonts w:ascii="Garamond" w:hAnsi="Garamond" w:cs="Times New Roman"/>
          <w:color w:val="000000" w:themeColor="text1"/>
          <w:sz w:val="28"/>
          <w:szCs w:val="28"/>
        </w:rPr>
        <w:t>legge</w:t>
      </w:r>
      <w:r w:rsidR="004E625E" w:rsidRPr="00BF2644">
        <w:rPr>
          <w:rFonts w:ascii="Garamond" w:hAnsi="Garamond" w:cs="Times New Roman"/>
          <w:color w:val="000000" w:themeColor="text1"/>
          <w:sz w:val="28"/>
          <w:szCs w:val="28"/>
        </w:rPr>
        <w:t xml:space="preserve"> 7 agosto 1990, n. 241, la Conferenza Stato-Regioni, ove è altresì assicurata la sfera di azione regionale)</w:t>
      </w:r>
      <w:r w:rsidR="0001670E">
        <w:rPr>
          <w:rFonts w:ascii="Garamond" w:hAnsi="Garamond" w:cs="Times New Roman"/>
          <w:color w:val="000000" w:themeColor="text1"/>
          <w:sz w:val="28"/>
          <w:szCs w:val="28"/>
        </w:rPr>
        <w:t>.</w:t>
      </w:r>
    </w:p>
    <w:p w:rsidR="003E37AA" w:rsidRDefault="003E37AA" w:rsidP="0001670E">
      <w:pPr>
        <w:spacing w:line="240" w:lineRule="auto"/>
        <w:ind w:firstLine="709"/>
        <w:contextualSpacing/>
        <w:jc w:val="both"/>
        <w:rPr>
          <w:rFonts w:ascii="Garamond" w:hAnsi="Garamond" w:cs="Times New Roman"/>
          <w:b/>
          <w:color w:val="000000" w:themeColor="text1"/>
          <w:sz w:val="28"/>
          <w:szCs w:val="28"/>
        </w:rPr>
      </w:pPr>
    </w:p>
    <w:p w:rsidR="0001670E" w:rsidRPr="00BF2644" w:rsidRDefault="00997F3E" w:rsidP="0001670E">
      <w:pPr>
        <w:spacing w:line="240" w:lineRule="auto"/>
        <w:ind w:firstLine="709"/>
        <w:contextualSpacing/>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2.2.4</w:t>
      </w:r>
      <w:r w:rsidR="0001670E" w:rsidRPr="00BF2644">
        <w:rPr>
          <w:rFonts w:ascii="Garamond" w:hAnsi="Garamond" w:cs="Times New Roman"/>
          <w:b/>
          <w:color w:val="000000" w:themeColor="text1"/>
          <w:sz w:val="28"/>
          <w:szCs w:val="28"/>
        </w:rPr>
        <w:t>. Le novità introdotte dall</w:t>
      </w:r>
      <w:r w:rsidR="00EB702A">
        <w:rPr>
          <w:rFonts w:ascii="Garamond" w:hAnsi="Garamond" w:cs="Times New Roman"/>
          <w:b/>
          <w:color w:val="000000" w:themeColor="text1"/>
          <w:sz w:val="28"/>
          <w:szCs w:val="28"/>
        </w:rPr>
        <w:t xml:space="preserve">a </w:t>
      </w:r>
      <w:r w:rsidR="00981AFC">
        <w:rPr>
          <w:rFonts w:ascii="Garamond" w:hAnsi="Garamond" w:cs="Times New Roman"/>
          <w:b/>
          <w:color w:val="000000" w:themeColor="text1"/>
          <w:sz w:val="28"/>
          <w:szCs w:val="28"/>
        </w:rPr>
        <w:t>l</w:t>
      </w:r>
      <w:r w:rsidR="006C564E">
        <w:rPr>
          <w:rFonts w:ascii="Garamond" w:hAnsi="Garamond" w:cs="Times New Roman"/>
          <w:b/>
          <w:color w:val="000000" w:themeColor="text1"/>
          <w:sz w:val="28"/>
          <w:szCs w:val="28"/>
        </w:rPr>
        <w:t>.</w:t>
      </w:r>
      <w:r w:rsidR="00EB702A">
        <w:rPr>
          <w:rFonts w:ascii="Garamond" w:hAnsi="Garamond" w:cs="Times New Roman"/>
          <w:b/>
          <w:color w:val="000000" w:themeColor="text1"/>
          <w:sz w:val="28"/>
          <w:szCs w:val="28"/>
        </w:rPr>
        <w:t xml:space="preserve">  29 luglio 2021, n.</w:t>
      </w:r>
      <w:r>
        <w:rPr>
          <w:rFonts w:ascii="Garamond" w:hAnsi="Garamond" w:cs="Times New Roman"/>
          <w:b/>
          <w:color w:val="000000" w:themeColor="text1"/>
          <w:sz w:val="28"/>
          <w:szCs w:val="28"/>
        </w:rPr>
        <w:t xml:space="preserve"> 108 del 2021 e dal </w:t>
      </w:r>
      <w:r w:rsidR="004F0CCD">
        <w:rPr>
          <w:rFonts w:ascii="Garamond" w:hAnsi="Garamond" w:cs="Times New Roman"/>
          <w:b/>
          <w:color w:val="000000" w:themeColor="text1"/>
          <w:sz w:val="28"/>
          <w:szCs w:val="28"/>
        </w:rPr>
        <w:t>d.lgs.</w:t>
      </w:r>
      <w:r w:rsidR="00EB702A">
        <w:rPr>
          <w:rFonts w:ascii="Garamond" w:hAnsi="Garamond" w:cs="Times New Roman"/>
          <w:b/>
          <w:color w:val="000000" w:themeColor="text1"/>
          <w:sz w:val="28"/>
          <w:szCs w:val="28"/>
        </w:rPr>
        <w:t xml:space="preserve"> 8 novembre 2021, n.</w:t>
      </w:r>
      <w:r w:rsidR="0001670E" w:rsidRPr="00BF2644">
        <w:rPr>
          <w:rFonts w:ascii="Garamond" w:hAnsi="Garamond" w:cs="Times New Roman"/>
          <w:b/>
          <w:color w:val="000000" w:themeColor="text1"/>
          <w:sz w:val="28"/>
          <w:szCs w:val="28"/>
        </w:rPr>
        <w:t xml:space="preserve"> 199 sulla promozione dell'uso dell'energia da fonti rinnovabili</w:t>
      </w:r>
    </w:p>
    <w:p w:rsidR="0001670E" w:rsidRPr="00BF2644" w:rsidRDefault="0001670E" w:rsidP="0001670E">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Diverse sono state le innovazioni por</w:t>
      </w:r>
      <w:r w:rsidR="00997F3E">
        <w:rPr>
          <w:rFonts w:ascii="Garamond" w:hAnsi="Garamond" w:cs="Times New Roman"/>
          <w:color w:val="000000" w:themeColor="text1"/>
          <w:sz w:val="28"/>
          <w:szCs w:val="28"/>
        </w:rPr>
        <w:t xml:space="preserve">tate </w:t>
      </w:r>
      <w:r w:rsidR="00997F3E" w:rsidRPr="00997F3E">
        <w:rPr>
          <w:rFonts w:ascii="Garamond" w:hAnsi="Garamond" w:cs="Times New Roman"/>
          <w:i/>
          <w:color w:val="000000" w:themeColor="text1"/>
          <w:sz w:val="28"/>
          <w:szCs w:val="28"/>
        </w:rPr>
        <w:t>in subiecta materia</w:t>
      </w:r>
      <w:r w:rsidR="00997F3E">
        <w:rPr>
          <w:rFonts w:ascii="Garamond" w:hAnsi="Garamond" w:cs="Times New Roman"/>
          <w:color w:val="000000" w:themeColor="text1"/>
          <w:sz w:val="28"/>
          <w:szCs w:val="28"/>
        </w:rPr>
        <w:t xml:space="preserve"> dalla </w:t>
      </w:r>
      <w:r w:rsidR="00981AFC">
        <w:rPr>
          <w:rFonts w:ascii="Garamond" w:hAnsi="Garamond" w:cs="Times New Roman"/>
          <w:color w:val="000000" w:themeColor="text1"/>
          <w:sz w:val="28"/>
          <w:szCs w:val="28"/>
        </w:rPr>
        <w:t>l</w:t>
      </w:r>
      <w:r w:rsidR="006C564E">
        <w:rPr>
          <w:rFonts w:ascii="Garamond" w:hAnsi="Garamond" w:cs="Times New Roman"/>
          <w:color w:val="000000" w:themeColor="text1"/>
          <w:sz w:val="28"/>
          <w:szCs w:val="28"/>
        </w:rPr>
        <w:t>.</w:t>
      </w:r>
      <w:r w:rsidRPr="00BF2644">
        <w:rPr>
          <w:rFonts w:ascii="Garamond" w:hAnsi="Garamond" w:cs="Times New Roman"/>
          <w:color w:val="000000" w:themeColor="text1"/>
          <w:sz w:val="28"/>
          <w:szCs w:val="28"/>
        </w:rPr>
        <w:t xml:space="preserve"> </w:t>
      </w:r>
      <w:r w:rsidR="00997F3E">
        <w:rPr>
          <w:rFonts w:ascii="Garamond" w:hAnsi="Garamond" w:cs="Times New Roman"/>
          <w:color w:val="000000" w:themeColor="text1"/>
          <w:sz w:val="28"/>
          <w:szCs w:val="28"/>
        </w:rPr>
        <w:t>29 luglio 2021</w:t>
      </w:r>
      <w:r w:rsidR="00B02A47">
        <w:rPr>
          <w:rFonts w:ascii="Garamond" w:hAnsi="Garamond" w:cs="Times New Roman"/>
          <w:color w:val="000000" w:themeColor="text1"/>
          <w:sz w:val="28"/>
          <w:szCs w:val="28"/>
        </w:rPr>
        <w:t>,</w:t>
      </w:r>
      <w:r w:rsidR="00997F3E">
        <w:rPr>
          <w:rFonts w:ascii="Garamond" w:hAnsi="Garamond" w:cs="Times New Roman"/>
          <w:color w:val="000000" w:themeColor="text1"/>
          <w:sz w:val="28"/>
          <w:szCs w:val="28"/>
        </w:rPr>
        <w:t xml:space="preserve"> n. 108</w:t>
      </w:r>
      <w:r w:rsidRPr="00BF2644">
        <w:rPr>
          <w:rFonts w:ascii="Garamond" w:hAnsi="Garamond" w:cs="Times New Roman"/>
          <w:color w:val="000000" w:themeColor="text1"/>
          <w:sz w:val="28"/>
          <w:szCs w:val="28"/>
        </w:rPr>
        <w:t>, di conve</w:t>
      </w:r>
      <w:r w:rsidR="00B02A47">
        <w:rPr>
          <w:rFonts w:ascii="Garamond" w:hAnsi="Garamond" w:cs="Times New Roman"/>
          <w:color w:val="000000" w:themeColor="text1"/>
          <w:sz w:val="28"/>
          <w:szCs w:val="28"/>
        </w:rPr>
        <w:t>rsione, con modificazioni, del d</w:t>
      </w:r>
      <w:r w:rsidR="00997F3E">
        <w:rPr>
          <w:rFonts w:ascii="Garamond" w:hAnsi="Garamond" w:cs="Times New Roman"/>
          <w:color w:val="000000" w:themeColor="text1"/>
          <w:sz w:val="28"/>
          <w:szCs w:val="28"/>
        </w:rPr>
        <w:t>.</w:t>
      </w:r>
      <w:r w:rsidR="00B02A47">
        <w:rPr>
          <w:rFonts w:ascii="Garamond" w:hAnsi="Garamond" w:cs="Times New Roman"/>
          <w:color w:val="000000" w:themeColor="text1"/>
          <w:sz w:val="28"/>
          <w:szCs w:val="28"/>
        </w:rPr>
        <w:t>l</w:t>
      </w:r>
      <w:r w:rsidR="006C564E">
        <w:rPr>
          <w:rFonts w:ascii="Garamond" w:hAnsi="Garamond" w:cs="Times New Roman"/>
          <w:color w:val="000000" w:themeColor="text1"/>
          <w:sz w:val="28"/>
          <w:szCs w:val="28"/>
        </w:rPr>
        <w:t>.</w:t>
      </w:r>
      <w:r w:rsidR="00997F3E">
        <w:rPr>
          <w:rFonts w:ascii="Garamond" w:hAnsi="Garamond" w:cs="Times New Roman"/>
          <w:color w:val="000000" w:themeColor="text1"/>
          <w:sz w:val="28"/>
          <w:szCs w:val="28"/>
        </w:rPr>
        <w:t>31 maggio 2021</w:t>
      </w:r>
      <w:r w:rsidRPr="00BF2644">
        <w:rPr>
          <w:rFonts w:ascii="Garamond" w:hAnsi="Garamond" w:cs="Times New Roman"/>
          <w:color w:val="000000" w:themeColor="text1"/>
          <w:sz w:val="28"/>
          <w:szCs w:val="28"/>
        </w:rPr>
        <w:t xml:space="preserve"> n. 77, (concernente la </w:t>
      </w:r>
      <w:r w:rsidRPr="00B02A47">
        <w:rPr>
          <w:rFonts w:ascii="Garamond" w:hAnsi="Garamond" w:cs="Times New Roman"/>
          <w:i/>
          <w:color w:val="000000" w:themeColor="text1"/>
          <w:sz w:val="28"/>
          <w:szCs w:val="28"/>
        </w:rPr>
        <w:t>governance</w:t>
      </w:r>
      <w:r w:rsidRPr="00BF2644">
        <w:rPr>
          <w:rFonts w:ascii="Garamond" w:hAnsi="Garamond" w:cs="Times New Roman"/>
          <w:color w:val="000000" w:themeColor="text1"/>
          <w:sz w:val="28"/>
          <w:szCs w:val="28"/>
        </w:rPr>
        <w:t xml:space="preserve"> del piano nazionale di rilancio</w:t>
      </w:r>
      <w:r w:rsidR="00997F3E">
        <w:rPr>
          <w:rFonts w:ascii="Garamond" w:hAnsi="Garamond" w:cs="Times New Roman"/>
          <w:color w:val="000000" w:themeColor="text1"/>
          <w:sz w:val="28"/>
          <w:szCs w:val="28"/>
        </w:rPr>
        <w:t xml:space="preserve"> e resilienza), nonché dal </w:t>
      </w:r>
      <w:r w:rsidR="004F0CCD">
        <w:rPr>
          <w:rFonts w:ascii="Garamond" w:hAnsi="Garamond" w:cs="Times New Roman"/>
          <w:color w:val="000000" w:themeColor="text1"/>
          <w:sz w:val="28"/>
          <w:szCs w:val="28"/>
        </w:rPr>
        <w:t>d.lgs.</w:t>
      </w:r>
      <w:r w:rsidR="00C408F2">
        <w:rPr>
          <w:rFonts w:ascii="Garamond" w:hAnsi="Garamond" w:cs="Times New Roman"/>
          <w:color w:val="000000" w:themeColor="text1"/>
          <w:sz w:val="28"/>
          <w:szCs w:val="28"/>
        </w:rPr>
        <w:t xml:space="preserve"> </w:t>
      </w:r>
      <w:r w:rsidR="00997F3E" w:rsidRPr="00997F3E">
        <w:rPr>
          <w:rFonts w:ascii="Garamond" w:hAnsi="Garamond" w:cs="Times New Roman"/>
          <w:color w:val="000000" w:themeColor="text1"/>
          <w:sz w:val="28"/>
          <w:szCs w:val="28"/>
        </w:rPr>
        <w:t>8 novembre 2021</w:t>
      </w:r>
      <w:r w:rsidR="00B02A47">
        <w:rPr>
          <w:rFonts w:ascii="Garamond" w:hAnsi="Garamond" w:cs="Times New Roman"/>
          <w:color w:val="000000" w:themeColor="text1"/>
          <w:sz w:val="28"/>
          <w:szCs w:val="28"/>
        </w:rPr>
        <w:t>,</w:t>
      </w:r>
      <w:r w:rsidR="00997F3E" w:rsidRPr="00997F3E">
        <w:rPr>
          <w:rFonts w:ascii="Garamond" w:hAnsi="Garamond" w:cs="Times New Roman"/>
          <w:color w:val="000000" w:themeColor="text1"/>
          <w:sz w:val="28"/>
          <w:szCs w:val="28"/>
        </w:rPr>
        <w:t xml:space="preserve"> n. 199 </w:t>
      </w:r>
      <w:r w:rsidRPr="00BF2644">
        <w:rPr>
          <w:rFonts w:ascii="Garamond" w:hAnsi="Garamond" w:cs="Times New Roman"/>
          <w:color w:val="000000" w:themeColor="text1"/>
          <w:sz w:val="28"/>
          <w:szCs w:val="28"/>
        </w:rPr>
        <w:t xml:space="preserve">(attuativo della </w:t>
      </w:r>
      <w:r w:rsidR="006C564E">
        <w:rPr>
          <w:rFonts w:ascii="Garamond" w:hAnsi="Garamond" w:cs="Times New Roman"/>
          <w:color w:val="000000" w:themeColor="text1"/>
          <w:sz w:val="28"/>
          <w:szCs w:val="28"/>
        </w:rPr>
        <w:t>direttiva</w:t>
      </w:r>
      <w:r w:rsidR="00B02A47">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U</w:t>
      </w:r>
      <w:r w:rsidR="00BD2F84">
        <w:rPr>
          <w:rFonts w:ascii="Garamond" w:hAnsi="Garamond" w:cs="Times New Roman"/>
          <w:color w:val="000000" w:themeColor="text1"/>
          <w:sz w:val="28"/>
          <w:szCs w:val="28"/>
        </w:rPr>
        <w:t>E</w:t>
      </w:r>
      <w:r w:rsidRPr="00BF2644">
        <w:rPr>
          <w:rFonts w:ascii="Garamond" w:hAnsi="Garamond" w:cs="Times New Roman"/>
          <w:color w:val="000000" w:themeColor="text1"/>
          <w:sz w:val="28"/>
          <w:szCs w:val="28"/>
        </w:rPr>
        <w:t xml:space="preserve"> 2018/2001, sulla promozione dell'uso dell'energia da fonti rinnovabili</w:t>
      </w:r>
      <w:r w:rsidR="00997F3E">
        <w:rPr>
          <w:rFonts w:ascii="Garamond" w:hAnsi="Garamond" w:cs="Times New Roman"/>
          <w:color w:val="000000" w:themeColor="text1"/>
          <w:sz w:val="28"/>
          <w:szCs w:val="28"/>
        </w:rPr>
        <w:t>).</w:t>
      </w:r>
    </w:p>
    <w:p w:rsidR="0001670E" w:rsidRPr="00BF2644" w:rsidRDefault="0001670E" w:rsidP="0001670E">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 A titolo meramente esemplificativo e non esaustivo, si consideri: </w:t>
      </w:r>
    </w:p>
    <w:p w:rsidR="0001670E" w:rsidRPr="00BF2644" w:rsidRDefault="0001670E" w:rsidP="0001670E">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a) l'inseriment</w:t>
      </w:r>
      <w:r>
        <w:rPr>
          <w:rFonts w:ascii="Garamond" w:hAnsi="Garamond" w:cs="Times New Roman"/>
          <w:color w:val="000000" w:themeColor="text1"/>
          <w:sz w:val="28"/>
          <w:szCs w:val="28"/>
        </w:rPr>
        <w:t xml:space="preserve">o, nel corpo dell'art. 12 </w:t>
      </w:r>
      <w:r w:rsidR="004F0CCD">
        <w:rPr>
          <w:rFonts w:ascii="Garamond" w:hAnsi="Garamond" w:cs="Times New Roman"/>
          <w:color w:val="000000" w:themeColor="text1"/>
          <w:sz w:val="28"/>
          <w:szCs w:val="28"/>
        </w:rPr>
        <w:t>d.lgs.</w:t>
      </w:r>
      <w:r>
        <w:rPr>
          <w:rFonts w:ascii="Garamond" w:hAnsi="Garamond" w:cs="Times New Roman"/>
          <w:color w:val="000000" w:themeColor="text1"/>
          <w:sz w:val="28"/>
          <w:szCs w:val="28"/>
        </w:rPr>
        <w:t xml:space="preserve"> </w:t>
      </w:r>
      <w:r w:rsidR="004A1FB7">
        <w:rPr>
          <w:rFonts w:ascii="Garamond" w:hAnsi="Garamond" w:cs="Times New Roman"/>
          <w:color w:val="000000" w:themeColor="text1"/>
          <w:sz w:val="28"/>
          <w:szCs w:val="28"/>
        </w:rPr>
        <w:t>n. 387 del 2003, del comma 3-</w:t>
      </w:r>
      <w:r w:rsidR="004A1FB7" w:rsidRPr="004A1FB7">
        <w:rPr>
          <w:rFonts w:ascii="Garamond" w:hAnsi="Garamond" w:cs="Times New Roman"/>
          <w:i/>
          <w:color w:val="000000" w:themeColor="text1"/>
          <w:sz w:val="28"/>
          <w:szCs w:val="28"/>
        </w:rPr>
        <w:t>bis</w:t>
      </w:r>
      <w:r w:rsidRPr="00BF2644">
        <w:rPr>
          <w:rFonts w:ascii="Garamond" w:hAnsi="Garamond" w:cs="Times New Roman"/>
          <w:color w:val="000000" w:themeColor="text1"/>
          <w:sz w:val="28"/>
          <w:szCs w:val="28"/>
        </w:rPr>
        <w:t>, che espressamente consente la realizzazione di «</w:t>
      </w:r>
      <w:r w:rsidRPr="00C408F2">
        <w:rPr>
          <w:rFonts w:ascii="Garamond" w:hAnsi="Garamond" w:cs="Times New Roman"/>
          <w:i/>
          <w:color w:val="000000" w:themeColor="text1"/>
          <w:sz w:val="28"/>
          <w:szCs w:val="28"/>
        </w:rPr>
        <w:t>progetti aventi ad oggetto impianti alimentati da fonti rinnovabili, comprese le opere connesse e le infrastrutture indispensabili alla costruzione e all'esercizio degli stessi impianti</w:t>
      </w:r>
      <w:r w:rsidRPr="00BF2644">
        <w:rPr>
          <w:rFonts w:ascii="Garamond" w:hAnsi="Garamond" w:cs="Times New Roman"/>
          <w:color w:val="000000" w:themeColor="text1"/>
          <w:sz w:val="28"/>
          <w:szCs w:val="28"/>
        </w:rPr>
        <w:t>», che siano localizzati «</w:t>
      </w:r>
      <w:r w:rsidRPr="00B02A47">
        <w:rPr>
          <w:rFonts w:ascii="Garamond" w:hAnsi="Garamond" w:cs="Times New Roman"/>
          <w:i/>
          <w:color w:val="000000" w:themeColor="text1"/>
          <w:sz w:val="28"/>
          <w:szCs w:val="28"/>
        </w:rPr>
        <w:t xml:space="preserve">in aree sottoposte a tutela, anche in itinere, ai sensi del d.leg. 22 gennaio 2004 n.  42, nonché nelle aree contermini ai beni sottoposti a tutela ai sensi del medesimo </w:t>
      </w:r>
      <w:r w:rsidR="006C564E" w:rsidRPr="00B02A47">
        <w:rPr>
          <w:rFonts w:ascii="Garamond" w:hAnsi="Garamond" w:cs="Times New Roman"/>
          <w:i/>
          <w:color w:val="000000" w:themeColor="text1"/>
          <w:sz w:val="28"/>
          <w:szCs w:val="28"/>
        </w:rPr>
        <w:t>decreto</w:t>
      </w:r>
      <w:r w:rsidRPr="00B02A47">
        <w:rPr>
          <w:rFonts w:ascii="Garamond" w:hAnsi="Garamond" w:cs="Times New Roman"/>
          <w:i/>
          <w:color w:val="000000" w:themeColor="text1"/>
          <w:sz w:val="28"/>
          <w:szCs w:val="28"/>
        </w:rPr>
        <w:t xml:space="preserve"> legislativo</w:t>
      </w:r>
      <w:r w:rsidRPr="00BF2644">
        <w:rPr>
          <w:rFonts w:ascii="Garamond" w:hAnsi="Garamond" w:cs="Times New Roman"/>
          <w:color w:val="000000" w:themeColor="text1"/>
          <w:sz w:val="28"/>
          <w:szCs w:val="28"/>
        </w:rPr>
        <w:t>», con la precisa</w:t>
      </w:r>
      <w:r w:rsidR="00B02A47">
        <w:rPr>
          <w:rFonts w:ascii="Garamond" w:hAnsi="Garamond" w:cs="Times New Roman"/>
          <w:color w:val="000000" w:themeColor="text1"/>
          <w:sz w:val="28"/>
          <w:szCs w:val="28"/>
        </w:rPr>
        <w:t>zione che, in tali ipotesi, il M</w:t>
      </w:r>
      <w:r w:rsidRPr="00BF2644">
        <w:rPr>
          <w:rFonts w:ascii="Garamond" w:hAnsi="Garamond" w:cs="Times New Roman"/>
          <w:color w:val="000000" w:themeColor="text1"/>
          <w:sz w:val="28"/>
          <w:szCs w:val="28"/>
        </w:rPr>
        <w:t xml:space="preserve">inistero della cultura deve partecipare al procedimento unico di autorizzazione ai sensi del menzionato art. 12; </w:t>
      </w:r>
    </w:p>
    <w:p w:rsidR="0001670E" w:rsidRPr="00BF2644" w:rsidRDefault="0001670E" w:rsidP="0001670E">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b) la natura obbligatoria ma non </w:t>
      </w:r>
      <w:r w:rsidR="00B02A47">
        <w:rPr>
          <w:rFonts w:ascii="Garamond" w:hAnsi="Garamond" w:cs="Times New Roman"/>
          <w:color w:val="000000" w:themeColor="text1"/>
          <w:sz w:val="28"/>
          <w:szCs w:val="28"/>
        </w:rPr>
        <w:t>vincolante del parere reso dal M</w:t>
      </w:r>
      <w:r w:rsidRPr="00BF2644">
        <w:rPr>
          <w:rFonts w:ascii="Garamond" w:hAnsi="Garamond" w:cs="Times New Roman"/>
          <w:color w:val="000000" w:themeColor="text1"/>
          <w:sz w:val="28"/>
          <w:szCs w:val="28"/>
        </w:rPr>
        <w:t>inistero della cultura per la realizzazione degli impianti in questione «</w:t>
      </w:r>
      <w:r w:rsidRPr="00C408F2">
        <w:rPr>
          <w:rFonts w:ascii="Garamond" w:hAnsi="Garamond" w:cs="Times New Roman"/>
          <w:i/>
          <w:color w:val="000000" w:themeColor="text1"/>
          <w:sz w:val="28"/>
          <w:szCs w:val="28"/>
        </w:rPr>
        <w:t>localizzati in aree contermini a quelle sottoposte a tutela paesaggistica</w:t>
      </w:r>
      <w:r w:rsidRPr="00BF2644">
        <w:rPr>
          <w:rFonts w:ascii="Garamond" w:hAnsi="Garamond" w:cs="Times New Roman"/>
          <w:color w:val="000000" w:themeColor="text1"/>
          <w:sz w:val="28"/>
          <w:szCs w:val="28"/>
        </w:rPr>
        <w:t>», con l'ulteriore previsione che, in caso di sile</w:t>
      </w:r>
      <w:r w:rsidR="00B02A47">
        <w:rPr>
          <w:rFonts w:ascii="Garamond" w:hAnsi="Garamond" w:cs="Times New Roman"/>
          <w:color w:val="000000" w:themeColor="text1"/>
          <w:sz w:val="28"/>
          <w:szCs w:val="28"/>
        </w:rPr>
        <w:t xml:space="preserve">nzio del predetto </w:t>
      </w:r>
      <w:r w:rsidR="00B02A47">
        <w:rPr>
          <w:rFonts w:ascii="Garamond" w:hAnsi="Garamond" w:cs="Times New Roman"/>
          <w:color w:val="000000" w:themeColor="text1"/>
          <w:sz w:val="28"/>
          <w:szCs w:val="28"/>
        </w:rPr>
        <w:lastRenderedPageBreak/>
        <w:t>M</w:t>
      </w:r>
      <w:r w:rsidRPr="00BF2644">
        <w:rPr>
          <w:rFonts w:ascii="Garamond" w:hAnsi="Garamond" w:cs="Times New Roman"/>
          <w:color w:val="000000" w:themeColor="text1"/>
          <w:sz w:val="28"/>
          <w:szCs w:val="28"/>
        </w:rPr>
        <w:t>inistero, l'amministrazione competente «</w:t>
      </w:r>
      <w:r w:rsidRPr="00B02A47">
        <w:rPr>
          <w:rFonts w:ascii="Garamond" w:hAnsi="Garamond" w:cs="Times New Roman"/>
          <w:i/>
          <w:color w:val="000000" w:themeColor="text1"/>
          <w:sz w:val="28"/>
          <w:szCs w:val="28"/>
        </w:rPr>
        <w:t>provvede comunque sulla domanda di autorizzazione</w:t>
      </w:r>
      <w:r>
        <w:rPr>
          <w:rFonts w:ascii="Garamond" w:hAnsi="Garamond" w:cs="Times New Roman"/>
          <w:color w:val="000000" w:themeColor="text1"/>
          <w:sz w:val="28"/>
          <w:szCs w:val="28"/>
        </w:rPr>
        <w:t xml:space="preserve">» (art. </w:t>
      </w:r>
      <w:r w:rsidR="00997F3E">
        <w:rPr>
          <w:rFonts w:ascii="Garamond" w:hAnsi="Garamond" w:cs="Times New Roman"/>
          <w:color w:val="000000" w:themeColor="text1"/>
          <w:sz w:val="28"/>
          <w:szCs w:val="28"/>
        </w:rPr>
        <w:t>30, comma</w:t>
      </w:r>
      <w:r>
        <w:rPr>
          <w:rFonts w:ascii="Garamond" w:hAnsi="Garamond" w:cs="Times New Roman"/>
          <w:color w:val="000000" w:themeColor="text1"/>
          <w:sz w:val="28"/>
          <w:szCs w:val="28"/>
        </w:rPr>
        <w:t xml:space="preserve"> 2, </w:t>
      </w:r>
      <w:r w:rsidR="004F0CCD">
        <w:rPr>
          <w:rFonts w:ascii="Garamond" w:hAnsi="Garamond" w:cs="Times New Roman"/>
          <w:color w:val="000000" w:themeColor="text1"/>
          <w:sz w:val="28"/>
          <w:szCs w:val="28"/>
        </w:rPr>
        <w:t>d.lgs.</w:t>
      </w:r>
      <w:r>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 xml:space="preserve">n. 77 del 2021); </w:t>
      </w:r>
    </w:p>
    <w:p w:rsidR="0001670E" w:rsidRPr="00BF2644" w:rsidRDefault="0001670E" w:rsidP="0001670E">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c) la nuova disciplina, in sostituzione del d.m. 10 settembre 2010, concernente l'ind</w:t>
      </w:r>
      <w:r>
        <w:rPr>
          <w:rFonts w:ascii="Garamond" w:hAnsi="Garamond" w:cs="Times New Roman"/>
          <w:color w:val="000000" w:themeColor="text1"/>
          <w:sz w:val="28"/>
          <w:szCs w:val="28"/>
        </w:rPr>
        <w:t>ividuazione «</w:t>
      </w:r>
      <w:r w:rsidRPr="00C408F2">
        <w:rPr>
          <w:rFonts w:ascii="Garamond" w:hAnsi="Garamond" w:cs="Times New Roman"/>
          <w:i/>
          <w:color w:val="000000" w:themeColor="text1"/>
          <w:sz w:val="28"/>
          <w:szCs w:val="28"/>
        </w:rPr>
        <w:t xml:space="preserve">delle superfici e delle aree idonee e non idonee all'installazione di impianti </w:t>
      </w:r>
      <w:r w:rsidR="00997F3E" w:rsidRPr="00C408F2">
        <w:rPr>
          <w:rFonts w:ascii="Garamond" w:hAnsi="Garamond" w:cs="Times New Roman"/>
          <w:i/>
          <w:color w:val="000000" w:themeColor="text1"/>
          <w:sz w:val="28"/>
          <w:szCs w:val="28"/>
        </w:rPr>
        <w:t>a fonti</w:t>
      </w:r>
      <w:r w:rsidRPr="00C408F2">
        <w:rPr>
          <w:rFonts w:ascii="Garamond" w:hAnsi="Garamond" w:cs="Times New Roman"/>
          <w:i/>
          <w:color w:val="000000" w:themeColor="text1"/>
          <w:sz w:val="28"/>
          <w:szCs w:val="28"/>
        </w:rPr>
        <w:t xml:space="preserve"> rinnovabili aventi una potenza complessiva almeno </w:t>
      </w:r>
      <w:r w:rsidR="00997F3E" w:rsidRPr="00C408F2">
        <w:rPr>
          <w:rFonts w:ascii="Garamond" w:hAnsi="Garamond" w:cs="Times New Roman"/>
          <w:i/>
          <w:color w:val="000000" w:themeColor="text1"/>
          <w:sz w:val="28"/>
          <w:szCs w:val="28"/>
        </w:rPr>
        <w:t>pari a</w:t>
      </w:r>
      <w:r w:rsidRPr="00C408F2">
        <w:rPr>
          <w:rFonts w:ascii="Garamond" w:hAnsi="Garamond" w:cs="Times New Roman"/>
          <w:i/>
          <w:color w:val="000000" w:themeColor="text1"/>
          <w:sz w:val="28"/>
          <w:szCs w:val="28"/>
        </w:rPr>
        <w:t xml:space="preserve"> quella individuata come necessaria dal Pniec</w:t>
      </w:r>
      <w:r w:rsidRPr="00BF2644">
        <w:rPr>
          <w:rFonts w:ascii="Garamond" w:hAnsi="Garamond" w:cs="Times New Roman"/>
          <w:color w:val="000000" w:themeColor="text1"/>
          <w:sz w:val="28"/>
          <w:szCs w:val="28"/>
        </w:rPr>
        <w:t>», con la previsione della «</w:t>
      </w:r>
      <w:r w:rsidRPr="00C408F2">
        <w:rPr>
          <w:rFonts w:ascii="Garamond" w:hAnsi="Garamond" w:cs="Times New Roman"/>
          <w:i/>
          <w:color w:val="000000" w:themeColor="text1"/>
          <w:sz w:val="28"/>
          <w:szCs w:val="28"/>
        </w:rPr>
        <w:t xml:space="preserve">ripartizione della </w:t>
      </w:r>
      <w:r w:rsidR="00C408F2" w:rsidRPr="00C408F2">
        <w:rPr>
          <w:rFonts w:ascii="Garamond" w:hAnsi="Garamond" w:cs="Times New Roman"/>
          <w:i/>
          <w:color w:val="000000" w:themeColor="text1"/>
          <w:sz w:val="28"/>
          <w:szCs w:val="28"/>
        </w:rPr>
        <w:t xml:space="preserve">potenza installata fra regioni </w:t>
      </w:r>
      <w:r w:rsidRPr="00C408F2">
        <w:rPr>
          <w:rFonts w:ascii="Garamond" w:hAnsi="Garamond" w:cs="Times New Roman"/>
          <w:i/>
          <w:color w:val="000000" w:themeColor="text1"/>
          <w:sz w:val="28"/>
          <w:szCs w:val="28"/>
        </w:rPr>
        <w:t>e province autonome</w:t>
      </w:r>
      <w:r w:rsidR="00C408F2">
        <w:rPr>
          <w:rFonts w:ascii="Garamond" w:hAnsi="Garamond" w:cs="Times New Roman"/>
          <w:color w:val="000000" w:themeColor="text1"/>
          <w:sz w:val="28"/>
          <w:szCs w:val="28"/>
        </w:rPr>
        <w:t>» (art. 20, commi 1 e 2</w:t>
      </w:r>
      <w:r>
        <w:rPr>
          <w:rFonts w:ascii="Garamond" w:hAnsi="Garamond" w:cs="Times New Roman"/>
          <w:color w:val="000000" w:themeColor="text1"/>
          <w:sz w:val="28"/>
          <w:szCs w:val="28"/>
        </w:rPr>
        <w:t xml:space="preserve">, </w:t>
      </w:r>
      <w:r w:rsidR="004F0CCD">
        <w:rPr>
          <w:rFonts w:ascii="Garamond" w:hAnsi="Garamond" w:cs="Times New Roman"/>
          <w:color w:val="000000" w:themeColor="text1"/>
          <w:sz w:val="28"/>
          <w:szCs w:val="28"/>
        </w:rPr>
        <w:t>d.lgs.</w:t>
      </w:r>
      <w:r>
        <w:rPr>
          <w:rFonts w:ascii="Garamond" w:hAnsi="Garamond" w:cs="Times New Roman"/>
          <w:color w:val="000000" w:themeColor="text1"/>
          <w:sz w:val="28"/>
          <w:szCs w:val="28"/>
        </w:rPr>
        <w:t xml:space="preserve"> </w:t>
      </w:r>
      <w:r w:rsidR="00C408F2">
        <w:rPr>
          <w:rFonts w:ascii="Garamond" w:hAnsi="Garamond" w:cs="Times New Roman"/>
          <w:color w:val="000000" w:themeColor="text1"/>
          <w:sz w:val="28"/>
          <w:szCs w:val="28"/>
        </w:rPr>
        <w:t xml:space="preserve"> n. 199 </w:t>
      </w:r>
      <w:r w:rsidRPr="00BF2644">
        <w:rPr>
          <w:rFonts w:ascii="Garamond" w:hAnsi="Garamond" w:cs="Times New Roman"/>
          <w:color w:val="000000" w:themeColor="text1"/>
          <w:sz w:val="28"/>
          <w:szCs w:val="28"/>
        </w:rPr>
        <w:t xml:space="preserve">del 2021); </w:t>
      </w:r>
    </w:p>
    <w:p w:rsidR="0001670E" w:rsidRPr="00BF2644" w:rsidRDefault="0001670E" w:rsidP="0001670E">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d) la previsione secondo cui «</w:t>
      </w:r>
      <w:r w:rsidRPr="00C408F2">
        <w:rPr>
          <w:rFonts w:ascii="Garamond" w:hAnsi="Garamond" w:cs="Times New Roman"/>
          <w:i/>
          <w:color w:val="000000" w:themeColor="text1"/>
          <w:sz w:val="28"/>
          <w:szCs w:val="28"/>
        </w:rPr>
        <w:t>nelle more dell'individuazione delle aree idonee, non possono essere disposte moratorie ovvero sospensioni dei termini dei procedimenti di autorizzazione</w:t>
      </w:r>
      <w:r>
        <w:rPr>
          <w:rFonts w:ascii="Garamond" w:hAnsi="Garamond" w:cs="Times New Roman"/>
          <w:color w:val="000000" w:themeColor="text1"/>
          <w:sz w:val="28"/>
          <w:szCs w:val="28"/>
        </w:rPr>
        <w:t xml:space="preserve">» (art. 20, comma 6, </w:t>
      </w:r>
      <w:r w:rsidR="004F0CCD">
        <w:rPr>
          <w:rFonts w:ascii="Garamond" w:hAnsi="Garamond" w:cs="Times New Roman"/>
          <w:color w:val="000000" w:themeColor="text1"/>
          <w:sz w:val="28"/>
          <w:szCs w:val="28"/>
        </w:rPr>
        <w:t>d.lgs.</w:t>
      </w:r>
      <w:r>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 xml:space="preserve"> n. 199 del 2021); </w:t>
      </w:r>
    </w:p>
    <w:p w:rsidR="0001670E" w:rsidRPr="00BF2644" w:rsidRDefault="0001670E" w:rsidP="0001670E">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e) la precisazione secondo cui «</w:t>
      </w:r>
      <w:r w:rsidRPr="00C408F2">
        <w:rPr>
          <w:rFonts w:ascii="Garamond" w:hAnsi="Garamond" w:cs="Times New Roman"/>
          <w:i/>
          <w:color w:val="000000" w:themeColor="text1"/>
          <w:sz w:val="28"/>
          <w:szCs w:val="28"/>
        </w:rPr>
        <w:t>le aree non incluse tra le aree idonee non possono essere dichiarate non idonee</w:t>
      </w:r>
      <w:r>
        <w:rPr>
          <w:rFonts w:ascii="Garamond" w:hAnsi="Garamond" w:cs="Times New Roman"/>
          <w:color w:val="000000" w:themeColor="text1"/>
          <w:sz w:val="28"/>
          <w:szCs w:val="28"/>
        </w:rPr>
        <w:t xml:space="preserve">» (art.  20, </w:t>
      </w:r>
      <w:r w:rsidRPr="00BF2644">
        <w:rPr>
          <w:rFonts w:ascii="Garamond" w:hAnsi="Garamond" w:cs="Times New Roman"/>
          <w:color w:val="000000" w:themeColor="text1"/>
          <w:sz w:val="28"/>
          <w:szCs w:val="28"/>
        </w:rPr>
        <w:t>comm</w:t>
      </w:r>
      <w:r>
        <w:rPr>
          <w:rFonts w:ascii="Garamond" w:hAnsi="Garamond" w:cs="Times New Roman"/>
          <w:color w:val="000000" w:themeColor="text1"/>
          <w:sz w:val="28"/>
          <w:szCs w:val="28"/>
        </w:rPr>
        <w:t xml:space="preserve">a 7, </w:t>
      </w:r>
      <w:r w:rsidR="004F0CCD">
        <w:rPr>
          <w:rFonts w:ascii="Garamond" w:hAnsi="Garamond" w:cs="Times New Roman"/>
          <w:color w:val="000000" w:themeColor="text1"/>
          <w:sz w:val="28"/>
          <w:szCs w:val="28"/>
        </w:rPr>
        <w:t>d.lgs.</w:t>
      </w:r>
      <w:r w:rsidRPr="00BF2644">
        <w:rPr>
          <w:rFonts w:ascii="Garamond" w:hAnsi="Garamond" w:cs="Times New Roman"/>
          <w:color w:val="000000" w:themeColor="text1"/>
          <w:sz w:val="28"/>
          <w:szCs w:val="28"/>
        </w:rPr>
        <w:t xml:space="preserve"> n. 199 del 2021); </w:t>
      </w:r>
    </w:p>
    <w:p w:rsidR="005C2E9D" w:rsidRDefault="0001670E" w:rsidP="0018341F">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f) la semplificazione della disciplina autorizzatoria per gli impianti da installare nelle «</w:t>
      </w:r>
      <w:r w:rsidRPr="00C408F2">
        <w:rPr>
          <w:rFonts w:ascii="Garamond" w:hAnsi="Garamond" w:cs="Times New Roman"/>
          <w:i/>
          <w:color w:val="000000" w:themeColor="text1"/>
          <w:sz w:val="28"/>
          <w:szCs w:val="28"/>
        </w:rPr>
        <w:t xml:space="preserve">aree idonee», </w:t>
      </w:r>
      <w:r w:rsidR="004F0CCD">
        <w:rPr>
          <w:rFonts w:ascii="Garamond" w:hAnsi="Garamond" w:cs="Times New Roman"/>
          <w:color w:val="000000" w:themeColor="text1"/>
          <w:sz w:val="28"/>
          <w:szCs w:val="28"/>
        </w:rPr>
        <w:t xml:space="preserve">ai sensi dell'art.  22 </w:t>
      </w:r>
      <w:r w:rsidR="00B02A47">
        <w:rPr>
          <w:rFonts w:ascii="Garamond" w:hAnsi="Garamond" w:cs="Times New Roman"/>
          <w:color w:val="000000" w:themeColor="text1"/>
          <w:sz w:val="28"/>
          <w:szCs w:val="28"/>
        </w:rPr>
        <w:t>d</w:t>
      </w:r>
      <w:r w:rsidR="00B02A47" w:rsidRPr="00BF2644">
        <w:rPr>
          <w:rFonts w:ascii="Garamond" w:hAnsi="Garamond" w:cs="Times New Roman"/>
          <w:color w:val="000000" w:themeColor="text1"/>
          <w:sz w:val="28"/>
          <w:szCs w:val="28"/>
        </w:rPr>
        <w:t>.</w:t>
      </w:r>
      <w:r w:rsidR="00B02A47">
        <w:rPr>
          <w:rFonts w:ascii="Garamond" w:hAnsi="Garamond" w:cs="Times New Roman"/>
          <w:color w:val="000000" w:themeColor="text1"/>
          <w:sz w:val="28"/>
          <w:szCs w:val="28"/>
        </w:rPr>
        <w:t>lgs.</w:t>
      </w:r>
      <w:r w:rsidRPr="00BF2644">
        <w:rPr>
          <w:rFonts w:ascii="Garamond" w:hAnsi="Garamond" w:cs="Times New Roman"/>
          <w:color w:val="000000" w:themeColor="text1"/>
          <w:sz w:val="28"/>
          <w:szCs w:val="28"/>
        </w:rPr>
        <w:t xml:space="preserve"> n. 199 del 2021(</w:t>
      </w:r>
      <w:r>
        <w:rPr>
          <w:rFonts w:ascii="Garamond" w:hAnsi="Garamond" w:cs="Times New Roman"/>
          <w:color w:val="000000" w:themeColor="text1"/>
          <w:sz w:val="28"/>
          <w:szCs w:val="28"/>
        </w:rPr>
        <w:t>Cons. Stato, sez</w:t>
      </w:r>
      <w:r w:rsidR="007C254A">
        <w:rPr>
          <w:rFonts w:ascii="Garamond" w:hAnsi="Garamond" w:cs="Times New Roman"/>
          <w:color w:val="000000" w:themeColor="text1"/>
          <w:sz w:val="28"/>
          <w:szCs w:val="28"/>
        </w:rPr>
        <w:t xml:space="preserve">. </w:t>
      </w:r>
      <w:r w:rsidR="00997F3E">
        <w:rPr>
          <w:rFonts w:ascii="Garamond" w:hAnsi="Garamond" w:cs="Times New Roman"/>
          <w:color w:val="000000" w:themeColor="text1"/>
          <w:sz w:val="28"/>
          <w:szCs w:val="28"/>
        </w:rPr>
        <w:t xml:space="preserve">IV, </w:t>
      </w:r>
      <w:r w:rsidR="00997F3E" w:rsidRPr="00BF2644">
        <w:rPr>
          <w:rFonts w:ascii="Garamond" w:hAnsi="Garamond" w:cs="Times New Roman"/>
          <w:color w:val="000000" w:themeColor="text1"/>
          <w:sz w:val="28"/>
          <w:szCs w:val="28"/>
        </w:rPr>
        <w:t>n.</w:t>
      </w:r>
      <w:r w:rsidRPr="00BF2644">
        <w:rPr>
          <w:rFonts w:ascii="Garamond" w:hAnsi="Garamond" w:cs="Times New Roman"/>
          <w:color w:val="000000" w:themeColor="text1"/>
          <w:sz w:val="28"/>
          <w:szCs w:val="28"/>
        </w:rPr>
        <w:t xml:space="preserve"> 8754</w:t>
      </w:r>
      <w:r>
        <w:rPr>
          <w:rFonts w:ascii="Garamond" w:hAnsi="Garamond" w:cs="Times New Roman"/>
          <w:color w:val="000000" w:themeColor="text1"/>
          <w:sz w:val="28"/>
          <w:szCs w:val="28"/>
        </w:rPr>
        <w:t xml:space="preserve"> del 2021</w:t>
      </w:r>
      <w:r w:rsidRPr="00BF2644">
        <w:rPr>
          <w:rFonts w:ascii="Garamond" w:hAnsi="Garamond" w:cs="Times New Roman"/>
          <w:color w:val="000000" w:themeColor="text1"/>
          <w:sz w:val="28"/>
          <w:szCs w:val="28"/>
        </w:rPr>
        <w:t>)</w:t>
      </w:r>
      <w:r w:rsidR="00EB702A">
        <w:rPr>
          <w:rFonts w:ascii="Garamond" w:hAnsi="Garamond" w:cs="Times New Roman"/>
          <w:color w:val="000000" w:themeColor="text1"/>
          <w:sz w:val="28"/>
          <w:szCs w:val="28"/>
        </w:rPr>
        <w:t>.</w:t>
      </w:r>
    </w:p>
    <w:p w:rsidR="003E37AA" w:rsidRDefault="003E37AA" w:rsidP="00787761">
      <w:pPr>
        <w:spacing w:line="240" w:lineRule="auto"/>
        <w:ind w:firstLine="709"/>
        <w:contextualSpacing/>
        <w:jc w:val="both"/>
        <w:rPr>
          <w:rFonts w:ascii="Garamond" w:hAnsi="Garamond" w:cs="Times New Roman"/>
          <w:b/>
          <w:color w:val="000000" w:themeColor="text1"/>
          <w:sz w:val="28"/>
          <w:szCs w:val="28"/>
        </w:rPr>
      </w:pPr>
    </w:p>
    <w:p w:rsidR="00787761" w:rsidRDefault="00787761" w:rsidP="00787761">
      <w:pPr>
        <w:spacing w:line="240" w:lineRule="auto"/>
        <w:ind w:firstLine="709"/>
        <w:contextualSpacing/>
        <w:jc w:val="both"/>
        <w:rPr>
          <w:rFonts w:ascii="Garamond" w:hAnsi="Garamond" w:cs="Times New Roman"/>
          <w:color w:val="000000" w:themeColor="text1"/>
          <w:sz w:val="28"/>
          <w:szCs w:val="28"/>
        </w:rPr>
      </w:pPr>
      <w:r w:rsidRPr="00787761">
        <w:rPr>
          <w:rFonts w:ascii="Garamond" w:hAnsi="Garamond" w:cs="Times New Roman"/>
          <w:b/>
          <w:color w:val="000000" w:themeColor="text1"/>
          <w:sz w:val="28"/>
          <w:szCs w:val="28"/>
        </w:rPr>
        <w:t>2.3. Gli impianti fotovoltaici: i titoli abilitativi e gli impianti rientranti nell’attività di edilizia libera</w:t>
      </w:r>
      <w:r w:rsidRPr="00787761">
        <w:rPr>
          <w:rFonts w:ascii="Garamond" w:hAnsi="Garamond" w:cs="Times New Roman"/>
          <w:color w:val="000000" w:themeColor="text1"/>
          <w:sz w:val="28"/>
          <w:szCs w:val="28"/>
        </w:rPr>
        <w:t>.</w:t>
      </w:r>
    </w:p>
    <w:p w:rsidR="00052D46" w:rsidRPr="006C5A6A" w:rsidRDefault="00052D46" w:rsidP="006C5A6A">
      <w:pPr>
        <w:spacing w:line="240" w:lineRule="auto"/>
        <w:ind w:firstLine="709"/>
        <w:contextualSpacing/>
        <w:jc w:val="both"/>
        <w:rPr>
          <w:rFonts w:ascii="Garamond" w:hAnsi="Garamond" w:cs="Times New Roman"/>
          <w:color w:val="000000" w:themeColor="text1"/>
          <w:sz w:val="28"/>
          <w:szCs w:val="28"/>
        </w:rPr>
      </w:pPr>
      <w:r w:rsidRPr="00052D46">
        <w:rPr>
          <w:rFonts w:ascii="Garamond" w:hAnsi="Garamond" w:cs="Times New Roman"/>
          <w:color w:val="000000" w:themeColor="text1"/>
          <w:sz w:val="28"/>
          <w:szCs w:val="28"/>
        </w:rPr>
        <w:t>A segu</w:t>
      </w:r>
      <w:r w:rsidR="00923B8C">
        <w:rPr>
          <w:rFonts w:ascii="Garamond" w:hAnsi="Garamond" w:cs="Times New Roman"/>
          <w:color w:val="000000" w:themeColor="text1"/>
          <w:sz w:val="28"/>
          <w:szCs w:val="28"/>
        </w:rPr>
        <w:t>ito dell’entrata in vigore del d.</w:t>
      </w:r>
      <w:r w:rsidR="00EB702A">
        <w:rPr>
          <w:rFonts w:ascii="Garamond" w:hAnsi="Garamond" w:cs="Times New Roman"/>
          <w:color w:val="000000" w:themeColor="text1"/>
          <w:sz w:val="28"/>
          <w:szCs w:val="28"/>
        </w:rPr>
        <w:t xml:space="preserve">lgs. </w:t>
      </w:r>
      <w:r w:rsidR="00C53F10">
        <w:rPr>
          <w:rFonts w:ascii="Garamond" w:hAnsi="Garamond" w:cs="Times New Roman"/>
          <w:color w:val="000000" w:themeColor="text1"/>
          <w:sz w:val="28"/>
          <w:szCs w:val="28"/>
        </w:rPr>
        <w:t xml:space="preserve">n. </w:t>
      </w:r>
      <w:r w:rsidR="00EB702A">
        <w:rPr>
          <w:rFonts w:ascii="Garamond" w:hAnsi="Garamond" w:cs="Times New Roman"/>
          <w:color w:val="000000" w:themeColor="text1"/>
          <w:sz w:val="28"/>
          <w:szCs w:val="28"/>
        </w:rPr>
        <w:t xml:space="preserve">28 del </w:t>
      </w:r>
      <w:r w:rsidRPr="00052D46">
        <w:rPr>
          <w:rFonts w:ascii="Garamond" w:hAnsi="Garamond" w:cs="Times New Roman"/>
          <w:color w:val="000000" w:themeColor="text1"/>
          <w:sz w:val="28"/>
          <w:szCs w:val="28"/>
        </w:rPr>
        <w:t>2011, il sistema prevede tre modalità per installare impianti fotovoltaici, ovvero l’autorizzazion</w:t>
      </w:r>
      <w:r w:rsidR="0001477D">
        <w:rPr>
          <w:rFonts w:ascii="Garamond" w:hAnsi="Garamond" w:cs="Times New Roman"/>
          <w:color w:val="000000" w:themeColor="text1"/>
          <w:sz w:val="28"/>
          <w:szCs w:val="28"/>
        </w:rPr>
        <w:t xml:space="preserve">e regionale di cui all’art. 12 </w:t>
      </w:r>
      <w:r w:rsidR="004F0CCD">
        <w:rPr>
          <w:rFonts w:ascii="Garamond" w:hAnsi="Garamond" w:cs="Times New Roman"/>
          <w:color w:val="000000" w:themeColor="text1"/>
          <w:sz w:val="28"/>
          <w:szCs w:val="28"/>
        </w:rPr>
        <w:t>d.lgs.</w:t>
      </w:r>
      <w:r w:rsidRPr="00052D46">
        <w:rPr>
          <w:rFonts w:ascii="Garamond" w:hAnsi="Garamond" w:cs="Times New Roman"/>
          <w:color w:val="000000" w:themeColor="text1"/>
          <w:sz w:val="28"/>
          <w:szCs w:val="28"/>
        </w:rPr>
        <w:t xml:space="preserve"> </w:t>
      </w:r>
      <w:r w:rsidR="0001477D">
        <w:rPr>
          <w:rFonts w:ascii="Garamond" w:hAnsi="Garamond" w:cs="Times New Roman"/>
          <w:color w:val="000000" w:themeColor="text1"/>
          <w:sz w:val="28"/>
          <w:szCs w:val="28"/>
        </w:rPr>
        <w:t xml:space="preserve">n. 387 del </w:t>
      </w:r>
      <w:r w:rsidRPr="00052D46">
        <w:rPr>
          <w:rFonts w:ascii="Garamond" w:hAnsi="Garamond" w:cs="Times New Roman"/>
          <w:color w:val="000000" w:themeColor="text1"/>
          <w:sz w:val="28"/>
          <w:szCs w:val="28"/>
        </w:rPr>
        <w:t>2003, la p.a.s.</w:t>
      </w:r>
      <w:r w:rsidR="0001477D">
        <w:rPr>
          <w:rFonts w:ascii="Garamond" w:hAnsi="Garamond" w:cs="Times New Roman"/>
          <w:color w:val="000000" w:themeColor="text1"/>
          <w:sz w:val="28"/>
          <w:szCs w:val="28"/>
        </w:rPr>
        <w:t xml:space="preserve"> di</w:t>
      </w:r>
      <w:r w:rsidR="00923B8C">
        <w:rPr>
          <w:rFonts w:ascii="Garamond" w:hAnsi="Garamond" w:cs="Times New Roman"/>
          <w:color w:val="000000" w:themeColor="text1"/>
          <w:sz w:val="28"/>
          <w:szCs w:val="28"/>
        </w:rPr>
        <w:t xml:space="preserve"> cui all’art. 6</w:t>
      </w:r>
      <w:r w:rsidR="00C53F10">
        <w:rPr>
          <w:rFonts w:ascii="Garamond" w:hAnsi="Garamond" w:cs="Times New Roman"/>
          <w:color w:val="000000" w:themeColor="text1"/>
          <w:sz w:val="28"/>
          <w:szCs w:val="28"/>
        </w:rPr>
        <w:t>,</w:t>
      </w:r>
      <w:r w:rsidR="00923B8C">
        <w:rPr>
          <w:rFonts w:ascii="Garamond" w:hAnsi="Garamond" w:cs="Times New Roman"/>
          <w:color w:val="000000" w:themeColor="text1"/>
          <w:sz w:val="28"/>
          <w:szCs w:val="28"/>
        </w:rPr>
        <w:t xml:space="preserve"> comma 1 del d.l</w:t>
      </w:r>
      <w:r w:rsidR="0001477D">
        <w:rPr>
          <w:rFonts w:ascii="Garamond" w:hAnsi="Garamond" w:cs="Times New Roman"/>
          <w:color w:val="000000" w:themeColor="text1"/>
          <w:sz w:val="28"/>
          <w:szCs w:val="28"/>
        </w:rPr>
        <w:t xml:space="preserve">gs. n. 28 del </w:t>
      </w:r>
      <w:r w:rsidRPr="00052D46">
        <w:rPr>
          <w:rFonts w:ascii="Garamond" w:hAnsi="Garamond" w:cs="Times New Roman"/>
          <w:color w:val="000000" w:themeColor="text1"/>
          <w:sz w:val="28"/>
          <w:szCs w:val="28"/>
        </w:rPr>
        <w:t>2011 e la comunicazione di edilizia libera di cui all’art. 6</w:t>
      </w:r>
      <w:r w:rsidR="00C53F10">
        <w:rPr>
          <w:rFonts w:ascii="Garamond" w:hAnsi="Garamond" w:cs="Times New Roman"/>
          <w:color w:val="000000" w:themeColor="text1"/>
          <w:sz w:val="28"/>
          <w:szCs w:val="28"/>
        </w:rPr>
        <w:t xml:space="preserve">, </w:t>
      </w:r>
      <w:r w:rsidRPr="00052D46">
        <w:rPr>
          <w:rFonts w:ascii="Garamond" w:hAnsi="Garamond" w:cs="Times New Roman"/>
          <w:color w:val="000000" w:themeColor="text1"/>
          <w:sz w:val="28"/>
          <w:szCs w:val="28"/>
        </w:rPr>
        <w:t>comma 11</w:t>
      </w:r>
      <w:r w:rsidR="00923B8C">
        <w:rPr>
          <w:rFonts w:ascii="Garamond" w:hAnsi="Garamond" w:cs="Times New Roman"/>
          <w:color w:val="000000" w:themeColor="text1"/>
          <w:sz w:val="28"/>
          <w:szCs w:val="28"/>
        </w:rPr>
        <w:t xml:space="preserve"> del d</w:t>
      </w:r>
      <w:r w:rsidR="0001477D">
        <w:rPr>
          <w:rFonts w:ascii="Garamond" w:hAnsi="Garamond" w:cs="Times New Roman"/>
          <w:color w:val="000000" w:themeColor="text1"/>
          <w:sz w:val="28"/>
          <w:szCs w:val="28"/>
        </w:rPr>
        <w:t>.</w:t>
      </w:r>
      <w:r w:rsidRPr="00052D46">
        <w:rPr>
          <w:rFonts w:ascii="Garamond" w:hAnsi="Garamond" w:cs="Times New Roman"/>
          <w:color w:val="000000" w:themeColor="text1"/>
          <w:sz w:val="28"/>
          <w:szCs w:val="28"/>
        </w:rPr>
        <w:t xml:space="preserve">lgs. </w:t>
      </w:r>
      <w:r w:rsidR="0001477D">
        <w:rPr>
          <w:rFonts w:ascii="Garamond" w:hAnsi="Garamond" w:cs="Times New Roman"/>
          <w:color w:val="000000" w:themeColor="text1"/>
          <w:sz w:val="28"/>
          <w:szCs w:val="28"/>
        </w:rPr>
        <w:t xml:space="preserve">n. 28 del </w:t>
      </w:r>
      <w:r w:rsidRPr="00052D46">
        <w:rPr>
          <w:rFonts w:ascii="Garamond" w:hAnsi="Garamond" w:cs="Times New Roman"/>
          <w:color w:val="000000" w:themeColor="text1"/>
          <w:sz w:val="28"/>
          <w:szCs w:val="28"/>
        </w:rPr>
        <w:t>2011</w:t>
      </w:r>
      <w:r w:rsidR="00923B8C">
        <w:rPr>
          <w:rFonts w:ascii="Garamond" w:hAnsi="Garamond" w:cs="Times New Roman"/>
          <w:color w:val="000000" w:themeColor="text1"/>
          <w:sz w:val="28"/>
          <w:szCs w:val="28"/>
        </w:rPr>
        <w:t>,</w:t>
      </w:r>
      <w:r w:rsidRPr="00052D46">
        <w:rPr>
          <w:rFonts w:ascii="Garamond" w:hAnsi="Garamond" w:cs="Times New Roman"/>
          <w:color w:val="000000" w:themeColor="text1"/>
          <w:sz w:val="28"/>
          <w:szCs w:val="28"/>
        </w:rPr>
        <w:t xml:space="preserve"> in relazione al § 12.1 delle linee guida 10 settembre 2010.</w:t>
      </w:r>
    </w:p>
    <w:p w:rsidR="006C5A6A" w:rsidRPr="006C5A6A" w:rsidRDefault="0001477D" w:rsidP="00256DFE">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L</w:t>
      </w:r>
      <w:r w:rsidR="006C5A6A">
        <w:rPr>
          <w:rFonts w:ascii="Garamond" w:hAnsi="Garamond" w:cs="Times New Roman"/>
          <w:color w:val="000000" w:themeColor="text1"/>
          <w:sz w:val="28"/>
          <w:szCs w:val="28"/>
        </w:rPr>
        <w:t>e</w:t>
      </w:r>
      <w:r w:rsidR="006C5A6A" w:rsidRPr="006C5A6A">
        <w:rPr>
          <w:rFonts w:ascii="Garamond" w:hAnsi="Garamond" w:cs="Times New Roman"/>
          <w:color w:val="000000" w:themeColor="text1"/>
          <w:sz w:val="28"/>
          <w:szCs w:val="28"/>
        </w:rPr>
        <w:t xml:space="preserve"> linee guida approvate</w:t>
      </w:r>
      <w:r w:rsidR="006C5A6A">
        <w:rPr>
          <w:rFonts w:ascii="Garamond" w:hAnsi="Garamond" w:cs="Times New Roman"/>
          <w:color w:val="000000" w:themeColor="text1"/>
          <w:sz w:val="28"/>
          <w:szCs w:val="28"/>
        </w:rPr>
        <w:t xml:space="preserve"> con il d.m. 10 settembre 2010 </w:t>
      </w:r>
      <w:r w:rsidR="006C5A6A" w:rsidRPr="006C5A6A">
        <w:rPr>
          <w:rFonts w:ascii="Garamond" w:hAnsi="Garamond" w:cs="Times New Roman"/>
          <w:color w:val="000000" w:themeColor="text1"/>
          <w:sz w:val="28"/>
          <w:szCs w:val="28"/>
        </w:rPr>
        <w:t>per gl</w:t>
      </w:r>
      <w:r w:rsidR="00052D46">
        <w:rPr>
          <w:rFonts w:ascii="Garamond" w:hAnsi="Garamond" w:cs="Times New Roman"/>
          <w:color w:val="000000" w:themeColor="text1"/>
          <w:sz w:val="28"/>
          <w:szCs w:val="28"/>
        </w:rPr>
        <w:t>i impianti fotovoltaici, prevedono</w:t>
      </w:r>
      <w:r w:rsidR="00C53F10">
        <w:rPr>
          <w:rFonts w:ascii="Garamond" w:hAnsi="Garamond" w:cs="Times New Roman"/>
          <w:color w:val="000000" w:themeColor="text1"/>
          <w:sz w:val="28"/>
          <w:szCs w:val="28"/>
        </w:rPr>
        <w:t xml:space="preserve"> infatti</w:t>
      </w:r>
      <w:r w:rsidR="006C5A6A" w:rsidRPr="006C5A6A">
        <w:rPr>
          <w:rFonts w:ascii="Garamond" w:hAnsi="Garamond" w:cs="Times New Roman"/>
          <w:color w:val="000000" w:themeColor="text1"/>
          <w:sz w:val="28"/>
          <w:szCs w:val="28"/>
        </w:rPr>
        <w:t xml:space="preserve"> al § 11.1</w:t>
      </w:r>
      <w:r w:rsidR="0072270B">
        <w:rPr>
          <w:rFonts w:ascii="Garamond" w:hAnsi="Garamond" w:cs="Times New Roman"/>
          <w:color w:val="000000" w:themeColor="text1"/>
          <w:sz w:val="28"/>
          <w:szCs w:val="28"/>
        </w:rPr>
        <w:t>,</w:t>
      </w:r>
      <w:r w:rsidR="00256DFE">
        <w:rPr>
          <w:rFonts w:ascii="Garamond" w:hAnsi="Garamond" w:cs="Times New Roman"/>
          <w:color w:val="000000" w:themeColor="text1"/>
          <w:sz w:val="28"/>
          <w:szCs w:val="28"/>
        </w:rPr>
        <w:t xml:space="preserve"> nel rinviare al </w:t>
      </w:r>
      <w:r w:rsidR="0072270B">
        <w:rPr>
          <w:rFonts w:ascii="Garamond" w:hAnsi="Garamond" w:cs="Times New Roman"/>
          <w:color w:val="000000" w:themeColor="text1"/>
          <w:sz w:val="28"/>
          <w:szCs w:val="28"/>
        </w:rPr>
        <w:t xml:space="preserve">successivo </w:t>
      </w:r>
      <w:r w:rsidR="00256DFE" w:rsidRPr="00256DFE">
        <w:rPr>
          <w:rFonts w:ascii="Garamond" w:hAnsi="Garamond" w:cs="Times New Roman"/>
          <w:color w:val="000000" w:themeColor="text1"/>
          <w:sz w:val="28"/>
          <w:szCs w:val="28"/>
        </w:rPr>
        <w:t>§</w:t>
      </w:r>
      <w:r w:rsidR="00256DFE">
        <w:rPr>
          <w:rFonts w:ascii="Garamond" w:hAnsi="Garamond" w:cs="Times New Roman"/>
          <w:color w:val="000000" w:themeColor="text1"/>
          <w:sz w:val="28"/>
          <w:szCs w:val="28"/>
        </w:rPr>
        <w:t xml:space="preserve"> 12</w:t>
      </w:r>
      <w:r w:rsidR="0072270B">
        <w:rPr>
          <w:rFonts w:ascii="Garamond" w:hAnsi="Garamond" w:cs="Times New Roman"/>
          <w:color w:val="000000" w:themeColor="text1"/>
          <w:sz w:val="28"/>
          <w:szCs w:val="28"/>
        </w:rPr>
        <w:t xml:space="preserve">, </w:t>
      </w:r>
      <w:r w:rsidR="006C5A6A" w:rsidRPr="006C5A6A">
        <w:rPr>
          <w:rFonts w:ascii="Garamond" w:hAnsi="Garamond" w:cs="Times New Roman"/>
          <w:color w:val="000000" w:themeColor="text1"/>
          <w:sz w:val="28"/>
          <w:szCs w:val="28"/>
        </w:rPr>
        <w:t>due ipotesi di deroga alla necessità dell’autorizzazione di cui all’art. 12 comma 5</w:t>
      </w:r>
      <w:r w:rsidR="00052D46">
        <w:rPr>
          <w:rFonts w:ascii="Garamond" w:hAnsi="Garamond" w:cs="Times New Roman"/>
          <w:color w:val="000000" w:themeColor="text1"/>
          <w:sz w:val="28"/>
          <w:szCs w:val="28"/>
        </w:rPr>
        <w:t xml:space="preserve"> del </w:t>
      </w:r>
      <w:r w:rsidR="004F0CCD">
        <w:rPr>
          <w:rFonts w:ascii="Garamond" w:hAnsi="Garamond" w:cs="Times New Roman"/>
          <w:color w:val="000000" w:themeColor="text1"/>
          <w:sz w:val="28"/>
          <w:szCs w:val="28"/>
        </w:rPr>
        <w:t>d.lgs.</w:t>
      </w:r>
      <w:r w:rsidR="00256DFE">
        <w:rPr>
          <w:rFonts w:ascii="Garamond" w:hAnsi="Garamond" w:cs="Times New Roman"/>
          <w:color w:val="000000" w:themeColor="text1"/>
          <w:sz w:val="28"/>
          <w:szCs w:val="28"/>
        </w:rPr>
        <w:t xml:space="preserve"> </w:t>
      </w:r>
      <w:r w:rsidR="007C3B5E">
        <w:rPr>
          <w:rFonts w:ascii="Garamond" w:hAnsi="Garamond" w:cs="Times New Roman"/>
          <w:color w:val="000000" w:themeColor="text1"/>
          <w:sz w:val="28"/>
          <w:szCs w:val="28"/>
        </w:rPr>
        <w:t xml:space="preserve">n. </w:t>
      </w:r>
      <w:r w:rsidR="00256DFE">
        <w:rPr>
          <w:rFonts w:ascii="Garamond" w:hAnsi="Garamond" w:cs="Times New Roman"/>
          <w:color w:val="000000" w:themeColor="text1"/>
          <w:sz w:val="28"/>
          <w:szCs w:val="28"/>
        </w:rPr>
        <w:t>387 del 2003:</w:t>
      </w:r>
    </w:p>
    <w:p w:rsidR="006C5A6A" w:rsidRPr="006C5A6A" w:rsidRDefault="00256DFE" w:rsidP="006C5A6A">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1)</w:t>
      </w:r>
      <w:r w:rsidR="006C5A6A" w:rsidRPr="006C5A6A">
        <w:rPr>
          <w:rFonts w:ascii="Garamond" w:hAnsi="Garamond" w:cs="Times New Roman"/>
          <w:color w:val="000000" w:themeColor="text1"/>
          <w:sz w:val="28"/>
          <w:szCs w:val="28"/>
        </w:rPr>
        <w:t xml:space="preserve"> al § 12.1, considera</w:t>
      </w:r>
      <w:r>
        <w:rPr>
          <w:rFonts w:ascii="Garamond" w:hAnsi="Garamond" w:cs="Times New Roman"/>
          <w:color w:val="000000" w:themeColor="text1"/>
          <w:sz w:val="28"/>
          <w:szCs w:val="28"/>
        </w:rPr>
        <w:t>no</w:t>
      </w:r>
      <w:r w:rsidR="006C5A6A" w:rsidRPr="006C5A6A">
        <w:rPr>
          <w:rFonts w:ascii="Garamond" w:hAnsi="Garamond" w:cs="Times New Roman"/>
          <w:color w:val="000000" w:themeColor="text1"/>
          <w:sz w:val="28"/>
          <w:szCs w:val="28"/>
        </w:rPr>
        <w:t xml:space="preserve"> attività ad edilizia libera, realizzabile medi</w:t>
      </w:r>
      <w:r w:rsidR="0072270B">
        <w:rPr>
          <w:rFonts w:ascii="Garamond" w:hAnsi="Garamond" w:cs="Times New Roman"/>
          <w:color w:val="000000" w:themeColor="text1"/>
          <w:sz w:val="28"/>
          <w:szCs w:val="28"/>
        </w:rPr>
        <w:t xml:space="preserve">ante semplice comunicazione al </w:t>
      </w:r>
      <w:r w:rsidR="004640B1">
        <w:rPr>
          <w:rFonts w:ascii="Garamond" w:hAnsi="Garamond" w:cs="Times New Roman"/>
          <w:color w:val="000000" w:themeColor="text1"/>
          <w:sz w:val="28"/>
          <w:szCs w:val="28"/>
        </w:rPr>
        <w:t>C</w:t>
      </w:r>
      <w:r w:rsidR="004640B1" w:rsidRPr="006C5A6A">
        <w:rPr>
          <w:rFonts w:ascii="Garamond" w:hAnsi="Garamond" w:cs="Times New Roman"/>
          <w:color w:val="000000" w:themeColor="text1"/>
          <w:sz w:val="28"/>
          <w:szCs w:val="28"/>
        </w:rPr>
        <w:t>omune</w:t>
      </w:r>
      <w:r w:rsidR="006C5A6A" w:rsidRPr="006C5A6A">
        <w:rPr>
          <w:rFonts w:ascii="Garamond" w:hAnsi="Garamond" w:cs="Times New Roman"/>
          <w:color w:val="000000" w:themeColor="text1"/>
          <w:sz w:val="28"/>
          <w:szCs w:val="28"/>
        </w:rPr>
        <w:t>, due categorie di impianti fotovoltaici, ovvero:</w:t>
      </w:r>
    </w:p>
    <w:p w:rsidR="006C5A6A" w:rsidRPr="006C5A6A" w:rsidRDefault="006C5A6A" w:rsidP="006C5A6A">
      <w:pPr>
        <w:spacing w:line="240" w:lineRule="auto"/>
        <w:ind w:firstLine="709"/>
        <w:contextualSpacing/>
        <w:jc w:val="both"/>
        <w:rPr>
          <w:rFonts w:ascii="Garamond" w:hAnsi="Garamond" w:cs="Times New Roman"/>
          <w:color w:val="000000" w:themeColor="text1"/>
          <w:sz w:val="28"/>
          <w:szCs w:val="28"/>
        </w:rPr>
      </w:pPr>
      <w:r w:rsidRPr="006C5A6A">
        <w:rPr>
          <w:rFonts w:ascii="Garamond" w:hAnsi="Garamond" w:cs="Times New Roman"/>
          <w:color w:val="000000" w:themeColor="text1"/>
          <w:sz w:val="28"/>
          <w:szCs w:val="28"/>
        </w:rPr>
        <w:t>a) gli impianti aderenti o integrati nei tetti di edifici esistenti con la stessa inclinazione e lo stesso orientamento della falda e i cui componenti non modificano la sagoma degli edifici stessi, che abbiano superficie non superiore a quella del tetto sui quali vengono realizzati e non ricadano in zona sottoposta a vincol</w:t>
      </w:r>
      <w:r w:rsidR="00684E45">
        <w:rPr>
          <w:rFonts w:ascii="Garamond" w:hAnsi="Garamond" w:cs="Times New Roman"/>
          <w:color w:val="000000" w:themeColor="text1"/>
          <w:sz w:val="28"/>
          <w:szCs w:val="28"/>
        </w:rPr>
        <w:t>o paesaggistico ai sensi del d.</w:t>
      </w:r>
      <w:r w:rsidRPr="006C5A6A">
        <w:rPr>
          <w:rFonts w:ascii="Garamond" w:hAnsi="Garamond" w:cs="Times New Roman"/>
          <w:color w:val="000000" w:themeColor="text1"/>
          <w:sz w:val="28"/>
          <w:szCs w:val="28"/>
        </w:rPr>
        <w:t>lgs. 22 gennaio 2004 n.42;</w:t>
      </w:r>
    </w:p>
    <w:p w:rsidR="006C5A6A" w:rsidRDefault="006C5A6A" w:rsidP="006C5A6A">
      <w:pPr>
        <w:spacing w:line="240" w:lineRule="auto"/>
        <w:ind w:firstLine="709"/>
        <w:contextualSpacing/>
        <w:jc w:val="both"/>
        <w:rPr>
          <w:rFonts w:ascii="Garamond" w:hAnsi="Garamond" w:cs="Times New Roman"/>
          <w:color w:val="000000" w:themeColor="text1"/>
          <w:sz w:val="28"/>
          <w:szCs w:val="28"/>
        </w:rPr>
      </w:pPr>
      <w:r w:rsidRPr="006C5A6A">
        <w:rPr>
          <w:rFonts w:ascii="Garamond" w:hAnsi="Garamond" w:cs="Times New Roman"/>
          <w:color w:val="000000" w:themeColor="text1"/>
          <w:sz w:val="28"/>
          <w:szCs w:val="28"/>
        </w:rPr>
        <w:t>b) gli impianti realizzati su edifici esistenti o sulle loro pertinenze, con capacità di generazione compatibile con lo scambio sul posto (ovvero, con qualche approssimazione, modesta, non</w:t>
      </w:r>
      <w:r w:rsidR="00256DFE">
        <w:rPr>
          <w:rFonts w:ascii="Garamond" w:hAnsi="Garamond" w:cs="Times New Roman"/>
          <w:color w:val="000000" w:themeColor="text1"/>
          <w:sz w:val="28"/>
          <w:szCs w:val="28"/>
        </w:rPr>
        <w:t xml:space="preserve"> realizzati nei centri storici);</w:t>
      </w:r>
    </w:p>
    <w:p w:rsidR="006C5A6A" w:rsidRPr="006C5A6A" w:rsidRDefault="00256DFE" w:rsidP="00256DFE">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2) </w:t>
      </w:r>
      <w:r w:rsidR="006C5A6A" w:rsidRPr="006C5A6A">
        <w:rPr>
          <w:rFonts w:ascii="Garamond" w:hAnsi="Garamond" w:cs="Times New Roman"/>
          <w:color w:val="000000" w:themeColor="text1"/>
          <w:sz w:val="28"/>
          <w:szCs w:val="28"/>
        </w:rPr>
        <w:t>al § 12.2, considera</w:t>
      </w:r>
      <w:r>
        <w:rPr>
          <w:rFonts w:ascii="Garamond" w:hAnsi="Garamond" w:cs="Times New Roman"/>
          <w:color w:val="000000" w:themeColor="text1"/>
          <w:sz w:val="28"/>
          <w:szCs w:val="28"/>
        </w:rPr>
        <w:t>no</w:t>
      </w:r>
      <w:r w:rsidR="006C5A6A" w:rsidRPr="006C5A6A">
        <w:rPr>
          <w:rFonts w:ascii="Garamond" w:hAnsi="Garamond" w:cs="Times New Roman"/>
          <w:color w:val="000000" w:themeColor="text1"/>
          <w:sz w:val="28"/>
          <w:szCs w:val="28"/>
        </w:rPr>
        <w:t xml:space="preserve"> real</w:t>
      </w:r>
      <w:r w:rsidR="00C53F10">
        <w:rPr>
          <w:rFonts w:ascii="Garamond" w:hAnsi="Garamond" w:cs="Times New Roman"/>
          <w:color w:val="000000" w:themeColor="text1"/>
          <w:sz w:val="28"/>
          <w:szCs w:val="28"/>
        </w:rPr>
        <w:t>izzabili con DIA</w:t>
      </w:r>
      <w:r w:rsidR="006C5A6A" w:rsidRPr="006C5A6A">
        <w:rPr>
          <w:rFonts w:ascii="Garamond" w:hAnsi="Garamond" w:cs="Times New Roman"/>
          <w:color w:val="000000" w:themeColor="text1"/>
          <w:sz w:val="28"/>
          <w:szCs w:val="28"/>
        </w:rPr>
        <w:t xml:space="preserve"> gli impianti di cui al comma 5 del</w:t>
      </w:r>
      <w:r w:rsidR="00684E45">
        <w:rPr>
          <w:rFonts w:ascii="Garamond" w:hAnsi="Garamond" w:cs="Times New Roman"/>
          <w:color w:val="000000" w:themeColor="text1"/>
          <w:sz w:val="28"/>
          <w:szCs w:val="28"/>
        </w:rPr>
        <w:t>l’art. 12 del d.</w:t>
      </w:r>
      <w:r w:rsidR="00676900">
        <w:rPr>
          <w:rFonts w:ascii="Garamond" w:hAnsi="Garamond" w:cs="Times New Roman"/>
          <w:color w:val="000000" w:themeColor="text1"/>
          <w:sz w:val="28"/>
          <w:szCs w:val="28"/>
        </w:rPr>
        <w:t xml:space="preserve">lgs. </w:t>
      </w:r>
      <w:r w:rsidR="007C3B5E">
        <w:rPr>
          <w:rFonts w:ascii="Garamond" w:hAnsi="Garamond" w:cs="Times New Roman"/>
          <w:color w:val="000000" w:themeColor="text1"/>
          <w:sz w:val="28"/>
          <w:szCs w:val="28"/>
        </w:rPr>
        <w:t xml:space="preserve">n. 387 del </w:t>
      </w:r>
      <w:r w:rsidR="00676900">
        <w:rPr>
          <w:rFonts w:ascii="Garamond" w:hAnsi="Garamond" w:cs="Times New Roman"/>
          <w:color w:val="000000" w:themeColor="text1"/>
          <w:sz w:val="28"/>
          <w:szCs w:val="28"/>
        </w:rPr>
        <w:t>2003</w:t>
      </w:r>
      <w:r w:rsidR="006C5A6A" w:rsidRPr="006C5A6A">
        <w:rPr>
          <w:rFonts w:ascii="Garamond" w:hAnsi="Garamond" w:cs="Times New Roman"/>
          <w:color w:val="000000" w:themeColor="text1"/>
          <w:sz w:val="28"/>
          <w:szCs w:val="28"/>
        </w:rPr>
        <w:t>, nonché gli impianti, diversi dai precedenti, con moduli “</w:t>
      </w:r>
      <w:r w:rsidR="006C5A6A" w:rsidRPr="006C5A6A">
        <w:rPr>
          <w:rFonts w:ascii="Garamond" w:hAnsi="Garamond" w:cs="Times New Roman"/>
          <w:i/>
          <w:iCs/>
          <w:color w:val="000000" w:themeColor="text1"/>
          <w:sz w:val="28"/>
          <w:szCs w:val="28"/>
        </w:rPr>
        <w:t>collocati sugli edifici</w:t>
      </w:r>
      <w:r w:rsidR="006C5A6A" w:rsidRPr="006C5A6A">
        <w:rPr>
          <w:rFonts w:ascii="Garamond" w:hAnsi="Garamond" w:cs="Times New Roman"/>
          <w:color w:val="000000" w:themeColor="text1"/>
          <w:sz w:val="28"/>
          <w:szCs w:val="28"/>
        </w:rPr>
        <w:t>” e aventi anche qui superficie non superiore a quella del tetto su cui sono realizzati.</w:t>
      </w:r>
    </w:p>
    <w:p w:rsidR="006C5A6A" w:rsidRPr="006C5A6A" w:rsidRDefault="006C5A6A" w:rsidP="006C5A6A">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Il </w:t>
      </w:r>
      <w:r w:rsidR="004F0CCD">
        <w:rPr>
          <w:rFonts w:ascii="Garamond" w:hAnsi="Garamond" w:cs="Times New Roman"/>
          <w:color w:val="000000" w:themeColor="text1"/>
          <w:sz w:val="28"/>
          <w:szCs w:val="28"/>
        </w:rPr>
        <w:t>d.lgs.</w:t>
      </w:r>
      <w:r w:rsidR="0072270B">
        <w:rPr>
          <w:rFonts w:ascii="Garamond" w:hAnsi="Garamond" w:cs="Times New Roman"/>
          <w:color w:val="000000" w:themeColor="text1"/>
          <w:sz w:val="28"/>
          <w:szCs w:val="28"/>
        </w:rPr>
        <w:t xml:space="preserve"> </w:t>
      </w:r>
      <w:r w:rsidR="00C53F10">
        <w:rPr>
          <w:rFonts w:ascii="Garamond" w:hAnsi="Garamond" w:cs="Times New Roman"/>
          <w:color w:val="000000" w:themeColor="text1"/>
          <w:sz w:val="28"/>
          <w:szCs w:val="28"/>
        </w:rPr>
        <w:t xml:space="preserve">n. </w:t>
      </w:r>
      <w:r w:rsidR="0072270B">
        <w:rPr>
          <w:rFonts w:ascii="Garamond" w:hAnsi="Garamond" w:cs="Times New Roman"/>
          <w:color w:val="000000" w:themeColor="text1"/>
          <w:sz w:val="28"/>
          <w:szCs w:val="28"/>
        </w:rPr>
        <w:t xml:space="preserve">28 del </w:t>
      </w:r>
      <w:r w:rsidRPr="006C5A6A">
        <w:rPr>
          <w:rFonts w:ascii="Garamond" w:hAnsi="Garamond" w:cs="Times New Roman"/>
          <w:color w:val="000000" w:themeColor="text1"/>
          <w:sz w:val="28"/>
          <w:szCs w:val="28"/>
        </w:rPr>
        <w:t xml:space="preserve">2011, </w:t>
      </w:r>
      <w:r>
        <w:rPr>
          <w:rFonts w:ascii="Garamond" w:hAnsi="Garamond" w:cs="Times New Roman"/>
          <w:color w:val="000000" w:themeColor="text1"/>
          <w:sz w:val="28"/>
          <w:szCs w:val="28"/>
        </w:rPr>
        <w:t>con l’</w:t>
      </w:r>
      <w:r w:rsidRPr="006C5A6A">
        <w:rPr>
          <w:rFonts w:ascii="Garamond" w:hAnsi="Garamond" w:cs="Times New Roman"/>
          <w:color w:val="000000" w:themeColor="text1"/>
          <w:sz w:val="28"/>
          <w:szCs w:val="28"/>
        </w:rPr>
        <w:t xml:space="preserve">art. 6, che al comma 1 ha </w:t>
      </w:r>
      <w:r w:rsidR="00256DFE">
        <w:rPr>
          <w:rFonts w:ascii="Garamond" w:hAnsi="Garamond" w:cs="Times New Roman"/>
          <w:color w:val="000000" w:themeColor="text1"/>
          <w:sz w:val="28"/>
          <w:szCs w:val="28"/>
        </w:rPr>
        <w:t xml:space="preserve">successivamente </w:t>
      </w:r>
      <w:r w:rsidRPr="006C5A6A">
        <w:rPr>
          <w:rFonts w:ascii="Garamond" w:hAnsi="Garamond" w:cs="Times New Roman"/>
          <w:color w:val="000000" w:themeColor="text1"/>
          <w:sz w:val="28"/>
          <w:szCs w:val="28"/>
        </w:rPr>
        <w:t>introdotto la p.a.s.-procedura abilitativa semplificata -in sostanza una segnalazione certifi</w:t>
      </w:r>
      <w:r w:rsidR="00C53F10">
        <w:rPr>
          <w:rFonts w:ascii="Garamond" w:hAnsi="Garamond" w:cs="Times New Roman"/>
          <w:color w:val="000000" w:themeColor="text1"/>
          <w:sz w:val="28"/>
          <w:szCs w:val="28"/>
        </w:rPr>
        <w:t>cata di inizio attività- SCIA</w:t>
      </w:r>
      <w:r w:rsidRPr="006C5A6A">
        <w:rPr>
          <w:rFonts w:ascii="Garamond" w:hAnsi="Garamond" w:cs="Times New Roman"/>
          <w:color w:val="000000" w:themeColor="text1"/>
          <w:sz w:val="28"/>
          <w:szCs w:val="28"/>
        </w:rPr>
        <w:t>- per tutti gli impianti previsti ai §§ 11 e 12 delle linee guida 10 settembre 2010, facendo però salva</w:t>
      </w:r>
      <w:r w:rsidR="00256DFE">
        <w:rPr>
          <w:rFonts w:ascii="Garamond" w:hAnsi="Garamond" w:cs="Times New Roman"/>
          <w:color w:val="000000" w:themeColor="text1"/>
          <w:sz w:val="28"/>
          <w:szCs w:val="28"/>
        </w:rPr>
        <w:t>,</w:t>
      </w:r>
      <w:r w:rsidRPr="006C5A6A">
        <w:rPr>
          <w:rFonts w:ascii="Garamond" w:hAnsi="Garamond" w:cs="Times New Roman"/>
          <w:color w:val="000000" w:themeColor="text1"/>
          <w:sz w:val="28"/>
          <w:szCs w:val="28"/>
        </w:rPr>
        <w:t xml:space="preserve"> al comma 11</w:t>
      </w:r>
      <w:r w:rsidR="00256DFE">
        <w:rPr>
          <w:rFonts w:ascii="Garamond" w:hAnsi="Garamond" w:cs="Times New Roman"/>
          <w:color w:val="000000" w:themeColor="text1"/>
          <w:sz w:val="28"/>
          <w:szCs w:val="28"/>
        </w:rPr>
        <w:t xml:space="preserve">, </w:t>
      </w:r>
      <w:r w:rsidRPr="006C5A6A">
        <w:rPr>
          <w:rFonts w:ascii="Garamond" w:hAnsi="Garamond" w:cs="Times New Roman"/>
          <w:color w:val="000000" w:themeColor="text1"/>
          <w:sz w:val="28"/>
          <w:szCs w:val="28"/>
        </w:rPr>
        <w:t>la disciplina degli impianti soggetti a comunicazione di edilizia libera.</w:t>
      </w:r>
    </w:p>
    <w:p w:rsidR="00787761" w:rsidRDefault="00676900" w:rsidP="0067690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lastRenderedPageBreak/>
        <w:t>A</w:t>
      </w:r>
      <w:r w:rsidRPr="00676900">
        <w:rPr>
          <w:rFonts w:ascii="Garamond" w:hAnsi="Garamond" w:cs="Times New Roman"/>
          <w:color w:val="000000" w:themeColor="text1"/>
          <w:sz w:val="28"/>
          <w:szCs w:val="28"/>
        </w:rPr>
        <w:t xml:space="preserve">i sensi dell’art. 16 comma 4 lettera f) della </w:t>
      </w:r>
      <w:r w:rsidR="006C564E">
        <w:rPr>
          <w:rFonts w:ascii="Garamond" w:hAnsi="Garamond" w:cs="Times New Roman"/>
          <w:color w:val="000000" w:themeColor="text1"/>
          <w:sz w:val="28"/>
          <w:szCs w:val="28"/>
        </w:rPr>
        <w:t>l.</w:t>
      </w:r>
      <w:r w:rsidRPr="00676900">
        <w:rPr>
          <w:rFonts w:ascii="Garamond" w:hAnsi="Garamond" w:cs="Times New Roman"/>
          <w:color w:val="000000" w:themeColor="text1"/>
          <w:sz w:val="28"/>
          <w:szCs w:val="28"/>
        </w:rPr>
        <w:t xml:space="preserve">r. 11 ottobre 2012 n.19, sono state </w:t>
      </w:r>
      <w:r>
        <w:rPr>
          <w:rFonts w:ascii="Garamond" w:hAnsi="Garamond" w:cs="Times New Roman"/>
          <w:color w:val="000000" w:themeColor="text1"/>
          <w:sz w:val="28"/>
          <w:szCs w:val="28"/>
        </w:rPr>
        <w:t xml:space="preserve">inoltre </w:t>
      </w:r>
      <w:r w:rsidRPr="00676900">
        <w:rPr>
          <w:rFonts w:ascii="Garamond" w:hAnsi="Garamond" w:cs="Times New Roman"/>
          <w:color w:val="000000" w:themeColor="text1"/>
          <w:sz w:val="28"/>
          <w:szCs w:val="28"/>
        </w:rPr>
        <w:t>assoggettate in modo espresso a p.a.s. “</w:t>
      </w:r>
      <w:r w:rsidRPr="00676900">
        <w:rPr>
          <w:rFonts w:ascii="Garamond" w:hAnsi="Garamond" w:cs="Times New Roman"/>
          <w:i/>
          <w:iCs/>
          <w:color w:val="000000" w:themeColor="text1"/>
          <w:sz w:val="28"/>
          <w:szCs w:val="28"/>
        </w:rPr>
        <w:t>le serre fotovoltaiche di potenza inferiore ad un megawatt elettrico</w:t>
      </w:r>
      <w:r>
        <w:rPr>
          <w:rFonts w:ascii="Garamond" w:hAnsi="Garamond" w:cs="Times New Roman"/>
          <w:color w:val="000000" w:themeColor="text1"/>
          <w:sz w:val="28"/>
          <w:szCs w:val="28"/>
        </w:rPr>
        <w:t xml:space="preserve">” </w:t>
      </w:r>
      <w:r w:rsidR="0072270B">
        <w:rPr>
          <w:rFonts w:ascii="Garamond" w:hAnsi="Garamond" w:cs="Times New Roman"/>
          <w:color w:val="000000" w:themeColor="text1"/>
          <w:sz w:val="28"/>
          <w:szCs w:val="28"/>
        </w:rPr>
        <w:t>[</w:t>
      </w:r>
      <w:r w:rsidR="00256DFE">
        <w:rPr>
          <w:rFonts w:ascii="Garamond" w:hAnsi="Garamond" w:cs="Times New Roman"/>
          <w:color w:val="000000" w:themeColor="text1"/>
          <w:sz w:val="28"/>
          <w:szCs w:val="28"/>
        </w:rPr>
        <w:t xml:space="preserve">Consiglio di Stato, sez. </w:t>
      </w:r>
      <w:r w:rsidR="00787761" w:rsidRPr="00787761">
        <w:rPr>
          <w:rFonts w:ascii="Garamond" w:hAnsi="Garamond" w:cs="Times New Roman"/>
          <w:color w:val="000000" w:themeColor="text1"/>
          <w:sz w:val="28"/>
          <w:szCs w:val="28"/>
        </w:rPr>
        <w:t xml:space="preserve"> IV, </w:t>
      </w:r>
      <w:r w:rsidR="00A5688D">
        <w:rPr>
          <w:rFonts w:ascii="Garamond" w:hAnsi="Garamond" w:cs="Times New Roman"/>
          <w:color w:val="000000" w:themeColor="text1"/>
          <w:sz w:val="28"/>
          <w:szCs w:val="28"/>
        </w:rPr>
        <w:t xml:space="preserve">n. 3294 del 2023 </w:t>
      </w:r>
      <w:r w:rsidR="0072270B">
        <w:rPr>
          <w:rFonts w:ascii="Garamond" w:hAnsi="Garamond" w:cs="Times New Roman"/>
          <w:color w:val="000000" w:themeColor="text1"/>
          <w:sz w:val="28"/>
          <w:szCs w:val="28"/>
        </w:rPr>
        <w:t>(</w:t>
      </w:r>
      <w:r w:rsidR="00A5688D" w:rsidRPr="00A5688D">
        <w:rPr>
          <w:rFonts w:ascii="Garamond" w:hAnsi="Garamond" w:cs="Times New Roman"/>
          <w:color w:val="000000" w:themeColor="text1"/>
          <w:sz w:val="28"/>
          <w:szCs w:val="28"/>
        </w:rPr>
        <w:t xml:space="preserve">fattispecie inerente la realizzazione di un intervento integrato, consistente in quattro serre con impianto fotovoltaico integrato di potenza nominale 582,36 KW; la sezione ha concluso nel senso dell’ineludibilità dell’autorizzazione unica regionale, atteso che le serre fotovoltaiche non sono in regime di edilizia libera e non </w:t>
      </w:r>
      <w:r w:rsidR="0072270B">
        <w:rPr>
          <w:rFonts w:ascii="Garamond" w:hAnsi="Garamond" w:cs="Times New Roman"/>
          <w:color w:val="000000" w:themeColor="text1"/>
          <w:sz w:val="28"/>
          <w:szCs w:val="28"/>
        </w:rPr>
        <w:t>sono edifici in senso normativo</w:t>
      </w:r>
      <w:r w:rsidR="00A5688D" w:rsidRPr="00A5688D">
        <w:rPr>
          <w:rFonts w:ascii="Garamond" w:hAnsi="Garamond" w:cs="Times New Roman"/>
          <w:color w:val="000000" w:themeColor="text1"/>
          <w:sz w:val="28"/>
          <w:szCs w:val="28"/>
        </w:rPr>
        <w:t>)</w:t>
      </w:r>
      <w:r w:rsidR="0072270B">
        <w:rPr>
          <w:rFonts w:ascii="Garamond" w:hAnsi="Garamond" w:cs="Times New Roman"/>
          <w:color w:val="000000" w:themeColor="text1"/>
          <w:sz w:val="28"/>
          <w:szCs w:val="28"/>
        </w:rPr>
        <w:t>]</w:t>
      </w:r>
      <w:r w:rsidR="00A5688D" w:rsidRPr="00A5688D">
        <w:rPr>
          <w:rFonts w:ascii="Garamond" w:hAnsi="Garamond" w:cs="Times New Roman"/>
          <w:color w:val="000000" w:themeColor="text1"/>
          <w:sz w:val="28"/>
          <w:szCs w:val="28"/>
        </w:rPr>
        <w:t>.</w:t>
      </w:r>
    </w:p>
    <w:p w:rsidR="003E37AA" w:rsidRDefault="0018341F" w:rsidP="0018341F">
      <w:pPr>
        <w:spacing w:line="240" w:lineRule="auto"/>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         </w:t>
      </w:r>
      <w:r w:rsidR="00787761">
        <w:rPr>
          <w:rFonts w:ascii="Garamond" w:hAnsi="Garamond" w:cs="Times New Roman"/>
          <w:color w:val="000000" w:themeColor="text1"/>
          <w:sz w:val="28"/>
          <w:szCs w:val="28"/>
        </w:rPr>
        <w:t xml:space="preserve"> </w:t>
      </w:r>
    </w:p>
    <w:p w:rsidR="00A60660" w:rsidRDefault="00787761" w:rsidP="0018341F">
      <w:pPr>
        <w:spacing w:line="240" w:lineRule="auto"/>
        <w:contextualSpacing/>
        <w:jc w:val="both"/>
        <w:rPr>
          <w:rFonts w:ascii="Garamond" w:hAnsi="Garamond" w:cs="Times New Roman"/>
          <w:b/>
          <w:color w:val="000000" w:themeColor="text1"/>
          <w:sz w:val="28"/>
          <w:szCs w:val="28"/>
        </w:rPr>
      </w:pPr>
      <w:r w:rsidRPr="00787761">
        <w:rPr>
          <w:rFonts w:ascii="Garamond" w:hAnsi="Garamond" w:cs="Times New Roman"/>
          <w:b/>
          <w:color w:val="000000" w:themeColor="text1"/>
          <w:sz w:val="28"/>
          <w:szCs w:val="28"/>
        </w:rPr>
        <w:t>2</w:t>
      </w:r>
      <w:r w:rsidR="0044526B">
        <w:rPr>
          <w:rFonts w:ascii="Garamond" w:hAnsi="Garamond" w:cs="Times New Roman"/>
          <w:b/>
          <w:color w:val="000000" w:themeColor="text1"/>
          <w:sz w:val="28"/>
          <w:szCs w:val="28"/>
        </w:rPr>
        <w:t xml:space="preserve">.3.1. Impianti fotovoltaici e </w:t>
      </w:r>
      <w:r w:rsidRPr="00787761">
        <w:rPr>
          <w:rFonts w:ascii="Garamond" w:hAnsi="Garamond" w:cs="Times New Roman"/>
          <w:b/>
          <w:color w:val="000000" w:themeColor="text1"/>
          <w:sz w:val="28"/>
          <w:szCs w:val="28"/>
        </w:rPr>
        <w:t>tutela dei beni culturali</w:t>
      </w:r>
      <w:r w:rsidR="00417101">
        <w:rPr>
          <w:rFonts w:ascii="Garamond" w:hAnsi="Garamond" w:cs="Times New Roman"/>
          <w:b/>
          <w:color w:val="000000" w:themeColor="text1"/>
          <w:sz w:val="28"/>
          <w:szCs w:val="28"/>
        </w:rPr>
        <w:t xml:space="preserve"> e dei beni paesaggistici</w:t>
      </w:r>
    </w:p>
    <w:p w:rsidR="00A60660" w:rsidRPr="00A60660" w:rsidRDefault="00A60660" w:rsidP="0018341F">
      <w:pPr>
        <w:spacing w:line="240" w:lineRule="auto"/>
        <w:contextualSpacing/>
        <w:jc w:val="both"/>
        <w:rPr>
          <w:rFonts w:ascii="Garamond" w:hAnsi="Garamond" w:cs="Times New Roman"/>
          <w:color w:val="000000" w:themeColor="text1"/>
          <w:sz w:val="28"/>
          <w:szCs w:val="28"/>
        </w:rPr>
      </w:pPr>
      <w:r>
        <w:rPr>
          <w:rFonts w:ascii="Garamond" w:hAnsi="Garamond" w:cs="Times New Roman"/>
          <w:b/>
          <w:color w:val="000000" w:themeColor="text1"/>
          <w:sz w:val="28"/>
          <w:szCs w:val="28"/>
        </w:rPr>
        <w:t xml:space="preserve">          </w:t>
      </w:r>
      <w:r w:rsidRPr="00A60660">
        <w:rPr>
          <w:rFonts w:ascii="Garamond" w:hAnsi="Garamond" w:cs="Times New Roman"/>
          <w:color w:val="000000" w:themeColor="text1"/>
          <w:sz w:val="28"/>
          <w:szCs w:val="28"/>
        </w:rPr>
        <w:t>Secondo</w:t>
      </w:r>
      <w:r>
        <w:rPr>
          <w:rFonts w:ascii="Garamond" w:hAnsi="Garamond" w:cs="Times New Roman"/>
          <w:color w:val="000000" w:themeColor="text1"/>
          <w:sz w:val="28"/>
          <w:szCs w:val="28"/>
        </w:rPr>
        <w:t xml:space="preserve"> la giurisprudenza amministrativa l’istallazione di pannelli fotovoltaici su edifici di valore storico ed artistico deve avvenire nel contemperamento delle esigenze di efficientamento energetico e di tutela del bene culturale.</w:t>
      </w:r>
    </w:p>
    <w:p w:rsidR="00417101" w:rsidRDefault="00A60660" w:rsidP="00A6066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In tale ottica, s</w:t>
      </w:r>
      <w:r w:rsidR="00BE4762" w:rsidRPr="00BE4762">
        <w:rPr>
          <w:rFonts w:ascii="Garamond" w:hAnsi="Garamond" w:cs="Times New Roman"/>
          <w:color w:val="000000" w:themeColor="text1"/>
          <w:sz w:val="28"/>
          <w:szCs w:val="28"/>
        </w:rPr>
        <w:t xml:space="preserve">ono </w:t>
      </w:r>
      <w:r w:rsidR="00787761" w:rsidRPr="00BE4762">
        <w:rPr>
          <w:rFonts w:ascii="Garamond" w:hAnsi="Garamond" w:cs="Times New Roman"/>
          <w:color w:val="000000" w:themeColor="text1"/>
          <w:sz w:val="28"/>
          <w:szCs w:val="28"/>
        </w:rPr>
        <w:t xml:space="preserve"> legittime le prescrizioni con cui la Soprintendenza autorizza l’istallazione di pannelli fotovoltaici su un edificio di valore storico ed architettonico, a condizione che si tratti di sistemi fotovoltaici integrati di nuova generazione; che siano istallati sulle parti di più recente realizzazione dell’edificio (e dunque di minor pregio storico ed architettonico); che i pannelli fotovoltaici siano integrati con la copertura, assecondandone la conformazione curva dell'estradosso, tramite l’utilizzo di film sottili di nuova generazione, i laminati flessibili, le tegole fotovoltaiche o i pannelli curvi. Si tratta infatti di prescrizioni che raggiungono un ragionevole punto di equilibrio tra le esigenze di efficientamento energetico e quelle di tutela del bene culturale</w:t>
      </w:r>
      <w:r w:rsidR="00417101">
        <w:rPr>
          <w:rFonts w:ascii="Garamond" w:hAnsi="Garamond" w:cs="Times New Roman"/>
          <w:color w:val="000000" w:themeColor="text1"/>
          <w:sz w:val="28"/>
          <w:szCs w:val="28"/>
        </w:rPr>
        <w:t>.</w:t>
      </w:r>
      <w:r>
        <w:rPr>
          <w:rFonts w:ascii="Garamond" w:hAnsi="Garamond" w:cs="Times New Roman"/>
          <w:color w:val="000000" w:themeColor="text1"/>
          <w:sz w:val="28"/>
          <w:szCs w:val="28"/>
        </w:rPr>
        <w:t xml:space="preserve"> </w:t>
      </w:r>
      <w:r w:rsidR="00417101" w:rsidRPr="00417101">
        <w:rPr>
          <w:rFonts w:ascii="Garamond" w:hAnsi="Garamond" w:cs="Times New Roman"/>
          <w:color w:val="000000" w:themeColor="text1"/>
          <w:sz w:val="28"/>
          <w:szCs w:val="28"/>
        </w:rPr>
        <w:t xml:space="preserve">Infatti i beni culturali sono ontologicamente diversi dai beni paesaggistici ed assoggettati ad uno specifico regime giuridico e a peculiari meccanismi di tutela: i beni culturali esprimono un valore culturale e identitario pregnante ed incorporato nella </w:t>
      </w:r>
      <w:r w:rsidR="00417101" w:rsidRPr="00AB45D8">
        <w:rPr>
          <w:rFonts w:ascii="Garamond" w:hAnsi="Garamond" w:cs="Times New Roman"/>
          <w:i/>
          <w:color w:val="000000" w:themeColor="text1"/>
          <w:sz w:val="28"/>
          <w:szCs w:val="28"/>
        </w:rPr>
        <w:t>res extensa</w:t>
      </w:r>
      <w:r w:rsidR="00417101" w:rsidRPr="00417101">
        <w:rPr>
          <w:rFonts w:ascii="Garamond" w:hAnsi="Garamond" w:cs="Times New Roman"/>
          <w:color w:val="000000" w:themeColor="text1"/>
          <w:sz w:val="28"/>
          <w:szCs w:val="28"/>
        </w:rPr>
        <w:t>, mentre i beni paesaggistici sono considerati quali rappresentazione materiale e visibile dell’identità nazionale, in quanto espressione di valori culturali. Pertan</w:t>
      </w:r>
      <w:r w:rsidR="003D3EA2">
        <w:rPr>
          <w:rFonts w:ascii="Garamond" w:hAnsi="Garamond" w:cs="Times New Roman"/>
          <w:color w:val="000000" w:themeColor="text1"/>
          <w:sz w:val="28"/>
          <w:szCs w:val="28"/>
        </w:rPr>
        <w:t>to, gli orientamenti ed i princì</w:t>
      </w:r>
      <w:r w:rsidR="00417101" w:rsidRPr="00417101">
        <w:rPr>
          <w:rFonts w:ascii="Garamond" w:hAnsi="Garamond" w:cs="Times New Roman"/>
          <w:color w:val="000000" w:themeColor="text1"/>
          <w:sz w:val="28"/>
          <w:szCs w:val="28"/>
        </w:rPr>
        <w:t xml:space="preserve">pi elaborati con riferimento alla tutela dei beni paesaggistici non sono </w:t>
      </w:r>
      <w:r w:rsidR="00417101" w:rsidRPr="00AB45D8">
        <w:rPr>
          <w:rFonts w:ascii="Garamond" w:hAnsi="Garamond" w:cs="Times New Roman"/>
          <w:i/>
          <w:color w:val="000000" w:themeColor="text1"/>
          <w:sz w:val="28"/>
          <w:szCs w:val="28"/>
        </w:rPr>
        <w:t>tout court</w:t>
      </w:r>
      <w:r w:rsidR="00417101" w:rsidRPr="00417101">
        <w:rPr>
          <w:rFonts w:ascii="Garamond" w:hAnsi="Garamond" w:cs="Times New Roman"/>
          <w:color w:val="000000" w:themeColor="text1"/>
          <w:sz w:val="28"/>
          <w:szCs w:val="28"/>
        </w:rPr>
        <w:t xml:space="preserve"> appl</w:t>
      </w:r>
      <w:r w:rsidR="00F7672A">
        <w:rPr>
          <w:rFonts w:ascii="Garamond" w:hAnsi="Garamond" w:cs="Times New Roman"/>
          <w:color w:val="000000" w:themeColor="text1"/>
          <w:sz w:val="28"/>
          <w:szCs w:val="28"/>
        </w:rPr>
        <w:t xml:space="preserve">icabili anche ai beni culturali </w:t>
      </w:r>
      <w:r w:rsidR="00787761" w:rsidRPr="00BE4762">
        <w:rPr>
          <w:rFonts w:ascii="Garamond" w:hAnsi="Garamond" w:cs="Times New Roman"/>
          <w:color w:val="000000" w:themeColor="text1"/>
          <w:sz w:val="28"/>
          <w:szCs w:val="28"/>
        </w:rPr>
        <w:t>(</w:t>
      </w:r>
      <w:r w:rsidR="00BE4762" w:rsidRPr="00BE4762">
        <w:rPr>
          <w:rFonts w:ascii="Garamond" w:hAnsi="Garamond" w:cs="Times New Roman"/>
          <w:color w:val="000000" w:themeColor="text1"/>
          <w:sz w:val="28"/>
          <w:szCs w:val="28"/>
        </w:rPr>
        <w:t>Cons</w:t>
      </w:r>
      <w:r w:rsidR="007C254A">
        <w:rPr>
          <w:rFonts w:ascii="Garamond" w:hAnsi="Garamond" w:cs="Times New Roman"/>
          <w:color w:val="000000" w:themeColor="text1"/>
          <w:sz w:val="28"/>
          <w:szCs w:val="28"/>
        </w:rPr>
        <w:t xml:space="preserve">. </w:t>
      </w:r>
      <w:r w:rsidR="00BE4762" w:rsidRPr="00BE4762">
        <w:rPr>
          <w:rFonts w:ascii="Garamond" w:hAnsi="Garamond" w:cs="Times New Roman"/>
          <w:color w:val="000000" w:themeColor="text1"/>
          <w:sz w:val="28"/>
          <w:szCs w:val="28"/>
        </w:rPr>
        <w:t>Stato, sez</w:t>
      </w:r>
      <w:r w:rsidR="007C254A">
        <w:rPr>
          <w:rFonts w:ascii="Garamond" w:hAnsi="Garamond" w:cs="Times New Roman"/>
          <w:color w:val="000000" w:themeColor="text1"/>
          <w:sz w:val="28"/>
          <w:szCs w:val="28"/>
        </w:rPr>
        <w:t>.</w:t>
      </w:r>
      <w:r w:rsidR="00BE4762" w:rsidRPr="00BE4762">
        <w:rPr>
          <w:rFonts w:ascii="Garamond" w:hAnsi="Garamond" w:cs="Times New Roman"/>
          <w:color w:val="000000" w:themeColor="text1"/>
          <w:sz w:val="28"/>
          <w:szCs w:val="28"/>
        </w:rPr>
        <w:t xml:space="preserve"> VI, n. 3406 </w:t>
      </w:r>
      <w:r w:rsidR="00BE4762">
        <w:rPr>
          <w:rFonts w:ascii="Garamond" w:hAnsi="Garamond" w:cs="Times New Roman"/>
          <w:color w:val="000000" w:themeColor="text1"/>
          <w:sz w:val="28"/>
          <w:szCs w:val="28"/>
        </w:rPr>
        <w:t xml:space="preserve">del 2023; </w:t>
      </w:r>
      <w:r w:rsidR="00787761" w:rsidRPr="00BE4762">
        <w:rPr>
          <w:rFonts w:ascii="Garamond" w:hAnsi="Garamond" w:cs="Times New Roman"/>
          <w:color w:val="000000" w:themeColor="text1"/>
          <w:sz w:val="28"/>
          <w:szCs w:val="28"/>
        </w:rPr>
        <w:t xml:space="preserve">nella fattispecie un </w:t>
      </w:r>
      <w:r w:rsidR="007C254A" w:rsidRPr="00BE4762">
        <w:rPr>
          <w:rFonts w:ascii="Garamond" w:hAnsi="Garamond" w:cs="Times New Roman"/>
          <w:color w:val="000000" w:themeColor="text1"/>
          <w:sz w:val="28"/>
          <w:szCs w:val="28"/>
        </w:rPr>
        <w:t>c</w:t>
      </w:r>
      <w:r w:rsidR="004640B1" w:rsidRPr="00BE4762">
        <w:rPr>
          <w:rFonts w:ascii="Garamond" w:hAnsi="Garamond" w:cs="Times New Roman"/>
          <w:color w:val="000000" w:themeColor="text1"/>
          <w:sz w:val="28"/>
          <w:szCs w:val="28"/>
        </w:rPr>
        <w:t xml:space="preserve">omune </w:t>
      </w:r>
      <w:r w:rsidR="00787761" w:rsidRPr="00BE4762">
        <w:rPr>
          <w:rFonts w:ascii="Garamond" w:hAnsi="Garamond" w:cs="Times New Roman"/>
          <w:color w:val="000000" w:themeColor="text1"/>
          <w:sz w:val="28"/>
          <w:szCs w:val="28"/>
        </w:rPr>
        <w:t>aveva presentato un progetto per l’efficientamento energetico, che prevedeva, tra l’altro, l’istallazione di pannelli fotovoltaici su un teatro co</w:t>
      </w:r>
      <w:r>
        <w:rPr>
          <w:rFonts w:ascii="Garamond" w:hAnsi="Garamond" w:cs="Times New Roman"/>
          <w:color w:val="000000" w:themeColor="text1"/>
          <w:sz w:val="28"/>
          <w:szCs w:val="28"/>
        </w:rPr>
        <w:t xml:space="preserve">munale, vincolato ai sensi del </w:t>
      </w:r>
      <w:r w:rsidR="004F0CCD">
        <w:rPr>
          <w:rFonts w:ascii="Garamond" w:hAnsi="Garamond" w:cs="Times New Roman"/>
          <w:color w:val="000000" w:themeColor="text1"/>
          <w:sz w:val="28"/>
          <w:szCs w:val="28"/>
        </w:rPr>
        <w:t>d.lgs.</w:t>
      </w:r>
      <w:r w:rsidR="00787761" w:rsidRPr="00BE4762">
        <w:rPr>
          <w:rFonts w:ascii="Garamond" w:hAnsi="Garamond" w:cs="Times New Roman"/>
          <w:color w:val="000000" w:themeColor="text1"/>
          <w:sz w:val="28"/>
          <w:szCs w:val="28"/>
        </w:rPr>
        <w:t xml:space="preserve"> n. 42 del 2004. La Soprintendenza aveva, dopo un primo diniego, autorizzato il progetto, dettando alcune prescrizioni finalizzate a contemperare l’istallazione dei pannelli con le esigenze di tutela del bene culturale; il Consiglio di Stato, riformando sul punto la sentenza di </w:t>
      </w:r>
      <w:r w:rsidR="00787761" w:rsidRPr="00BE4762">
        <w:rPr>
          <w:rFonts w:ascii="Garamond" w:hAnsi="Garamond" w:cs="Times New Roman"/>
          <w:i/>
          <w:color w:val="000000" w:themeColor="text1"/>
          <w:sz w:val="28"/>
          <w:szCs w:val="28"/>
        </w:rPr>
        <w:t>prime cure</w:t>
      </w:r>
      <w:r w:rsidR="00787761" w:rsidRPr="00BE4762">
        <w:rPr>
          <w:rFonts w:ascii="Garamond" w:hAnsi="Garamond" w:cs="Times New Roman"/>
          <w:color w:val="000000" w:themeColor="text1"/>
          <w:sz w:val="28"/>
          <w:szCs w:val="28"/>
        </w:rPr>
        <w:t>, ha ritenuto legittime le prescrizioni</w:t>
      </w:r>
      <w:r w:rsidR="00BE4762">
        <w:rPr>
          <w:rFonts w:ascii="Garamond" w:hAnsi="Garamond" w:cs="Times New Roman"/>
          <w:color w:val="000000" w:themeColor="text1"/>
          <w:sz w:val="28"/>
          <w:szCs w:val="28"/>
        </w:rPr>
        <w:t xml:space="preserve"> imposte dalla Soprintendenza). </w:t>
      </w:r>
    </w:p>
    <w:p w:rsidR="0018341F" w:rsidRDefault="00417101" w:rsidP="0018341F">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Diversamente per i beni paesaggistici la giurisprudenza ha da tempo affermato che </w:t>
      </w:r>
      <w:r w:rsidRPr="00417101">
        <w:rPr>
          <w:rFonts w:ascii="Garamond" w:hAnsi="Garamond" w:cs="Times New Roman"/>
          <w:color w:val="000000" w:themeColor="text1"/>
          <w:sz w:val="28"/>
          <w:szCs w:val="28"/>
        </w:rPr>
        <w:t>la presenza di pannelli sulla sommità degli edifici non può più essere percepita soltanto come un fattore di disturbo visivo, ma anche come un'evoluzione dello stile costruttivo accettata dall'ordinamento e dalla sensibilità collettiva, purché non sia modificato l'assetto esteriore complessivo dell'area circostante, paesisticamente vincolata</w:t>
      </w:r>
      <w:r>
        <w:rPr>
          <w:rFonts w:ascii="Garamond" w:hAnsi="Garamond" w:cs="Times New Roman"/>
          <w:color w:val="000000" w:themeColor="text1"/>
          <w:sz w:val="28"/>
          <w:szCs w:val="28"/>
        </w:rPr>
        <w:t xml:space="preserve"> (</w:t>
      </w:r>
      <w:r w:rsidRPr="00417101">
        <w:rPr>
          <w:rFonts w:ascii="Garamond" w:hAnsi="Garamond" w:cs="Times New Roman"/>
          <w:color w:val="000000" w:themeColor="text1"/>
          <w:sz w:val="28"/>
          <w:szCs w:val="28"/>
        </w:rPr>
        <w:t xml:space="preserve">Cons. Stato, sez. VI, 18 </w:t>
      </w:r>
      <w:r w:rsidR="00AB45D8">
        <w:rPr>
          <w:rFonts w:ascii="Garamond" w:hAnsi="Garamond" w:cs="Times New Roman"/>
          <w:color w:val="000000" w:themeColor="text1"/>
          <w:sz w:val="28"/>
          <w:szCs w:val="28"/>
        </w:rPr>
        <w:t>gennaio 2012 n. 179</w:t>
      </w:r>
      <w:r w:rsidRPr="00417101">
        <w:rPr>
          <w:rFonts w:ascii="Garamond" w:hAnsi="Garamond" w:cs="Times New Roman"/>
          <w:color w:val="000000" w:themeColor="text1"/>
          <w:sz w:val="28"/>
          <w:szCs w:val="28"/>
        </w:rPr>
        <w:t>)</w:t>
      </w:r>
      <w:r>
        <w:rPr>
          <w:rFonts w:ascii="Garamond" w:hAnsi="Garamond" w:cs="Times New Roman"/>
          <w:color w:val="000000" w:themeColor="text1"/>
          <w:sz w:val="28"/>
          <w:szCs w:val="28"/>
        </w:rPr>
        <w:t>.</w:t>
      </w:r>
    </w:p>
    <w:p w:rsidR="003E37AA" w:rsidRDefault="003E37AA" w:rsidP="0018341F">
      <w:pPr>
        <w:spacing w:line="240" w:lineRule="auto"/>
        <w:ind w:firstLine="709"/>
        <w:contextualSpacing/>
        <w:jc w:val="both"/>
        <w:rPr>
          <w:rFonts w:ascii="Garamond" w:hAnsi="Garamond" w:cs="Times New Roman"/>
          <w:b/>
          <w:color w:val="000000" w:themeColor="text1"/>
          <w:sz w:val="28"/>
          <w:szCs w:val="28"/>
        </w:rPr>
      </w:pPr>
    </w:p>
    <w:p w:rsidR="00640FFB" w:rsidRPr="00640FFB" w:rsidRDefault="00BE4762" w:rsidP="0018341F">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b/>
          <w:color w:val="000000" w:themeColor="text1"/>
          <w:sz w:val="28"/>
          <w:szCs w:val="28"/>
        </w:rPr>
        <w:t>2.3.</w:t>
      </w:r>
      <w:r w:rsidR="0001670E">
        <w:rPr>
          <w:rFonts w:ascii="Garamond" w:hAnsi="Garamond" w:cs="Times New Roman"/>
          <w:b/>
          <w:color w:val="000000" w:themeColor="text1"/>
          <w:sz w:val="28"/>
          <w:szCs w:val="28"/>
        </w:rPr>
        <w:t>2.</w:t>
      </w:r>
      <w:r w:rsidR="0001670E" w:rsidRPr="00640FFB">
        <w:rPr>
          <w:rFonts w:ascii="Garamond" w:hAnsi="Garamond" w:cs="Times New Roman"/>
          <w:b/>
          <w:color w:val="000000" w:themeColor="text1"/>
          <w:sz w:val="28"/>
          <w:szCs w:val="28"/>
        </w:rPr>
        <w:t xml:space="preserve"> Sui</w:t>
      </w:r>
      <w:r w:rsidR="00640FFB" w:rsidRPr="00640FFB">
        <w:rPr>
          <w:rFonts w:ascii="Garamond" w:hAnsi="Garamond" w:cs="Times New Roman"/>
          <w:b/>
          <w:color w:val="000000" w:themeColor="text1"/>
          <w:sz w:val="28"/>
          <w:szCs w:val="28"/>
        </w:rPr>
        <w:t xml:space="preserve"> requisiti distintivi tra frangisole e serra fotovoltaica ai fini della tariffa premiale </w:t>
      </w:r>
    </w:p>
    <w:p w:rsidR="0018341F" w:rsidRDefault="00BE4762" w:rsidP="0018341F">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I</w:t>
      </w:r>
      <w:r w:rsidR="00640FFB" w:rsidRPr="00640FFB">
        <w:rPr>
          <w:rFonts w:ascii="Garamond" w:hAnsi="Garamond" w:cs="Times New Roman"/>
          <w:color w:val="000000" w:themeColor="text1"/>
          <w:sz w:val="28"/>
          <w:szCs w:val="28"/>
        </w:rPr>
        <w:t>l quarto conto energia di cui al d.m. 5 maggio 2011 prevede una tariffa premiale per gli impianti i cui moduli costituiscono elem</w:t>
      </w:r>
      <w:r>
        <w:rPr>
          <w:rFonts w:ascii="Garamond" w:hAnsi="Garamond" w:cs="Times New Roman"/>
          <w:color w:val="000000" w:themeColor="text1"/>
          <w:sz w:val="28"/>
          <w:szCs w:val="28"/>
        </w:rPr>
        <w:t xml:space="preserve">enti costruttivi di serre, e </w:t>
      </w:r>
      <w:r w:rsidR="00640FFB" w:rsidRPr="00640FFB">
        <w:rPr>
          <w:rFonts w:ascii="Garamond" w:hAnsi="Garamond" w:cs="Times New Roman"/>
          <w:color w:val="000000" w:themeColor="text1"/>
          <w:sz w:val="28"/>
          <w:szCs w:val="28"/>
        </w:rPr>
        <w:t xml:space="preserve"> le regole </w:t>
      </w:r>
      <w:r w:rsidR="00640FFB" w:rsidRPr="00640FFB">
        <w:rPr>
          <w:rFonts w:ascii="Garamond" w:hAnsi="Garamond" w:cs="Times New Roman"/>
          <w:color w:val="000000" w:themeColor="text1"/>
          <w:sz w:val="28"/>
          <w:szCs w:val="28"/>
        </w:rPr>
        <w:lastRenderedPageBreak/>
        <w:t xml:space="preserve">applicative per il riconoscimento delle tariffe incentivanti adottate dal GSE ai sensi del detto </w:t>
      </w:r>
      <w:r w:rsidR="006C564E">
        <w:rPr>
          <w:rFonts w:ascii="Garamond" w:hAnsi="Garamond" w:cs="Times New Roman"/>
          <w:color w:val="000000" w:themeColor="text1"/>
          <w:sz w:val="28"/>
          <w:szCs w:val="28"/>
        </w:rPr>
        <w:t>decreto</w:t>
      </w:r>
      <w:r>
        <w:rPr>
          <w:rFonts w:ascii="Garamond" w:hAnsi="Garamond" w:cs="Times New Roman"/>
          <w:color w:val="000000" w:themeColor="text1"/>
          <w:sz w:val="28"/>
          <w:szCs w:val="28"/>
        </w:rPr>
        <w:t xml:space="preserve">, </w:t>
      </w:r>
      <w:r w:rsidR="00640FFB" w:rsidRPr="00640FFB">
        <w:rPr>
          <w:rFonts w:ascii="Garamond" w:hAnsi="Garamond" w:cs="Times New Roman"/>
          <w:color w:val="000000" w:themeColor="text1"/>
          <w:sz w:val="28"/>
          <w:szCs w:val="28"/>
        </w:rPr>
        <w:t xml:space="preserve"> recano la definizione di “</w:t>
      </w:r>
      <w:r w:rsidR="00640FFB" w:rsidRPr="00BE4762">
        <w:rPr>
          <w:rFonts w:ascii="Garamond" w:hAnsi="Garamond" w:cs="Times New Roman"/>
          <w:i/>
          <w:color w:val="000000" w:themeColor="text1"/>
          <w:sz w:val="28"/>
          <w:szCs w:val="28"/>
        </w:rPr>
        <w:t>serra fotovoltaica</w:t>
      </w:r>
      <w:r w:rsidR="00640FFB" w:rsidRPr="00640FFB">
        <w:rPr>
          <w:rFonts w:ascii="Garamond" w:hAnsi="Garamond" w:cs="Times New Roman"/>
          <w:color w:val="000000" w:themeColor="text1"/>
          <w:sz w:val="28"/>
          <w:szCs w:val="28"/>
        </w:rPr>
        <w:t>”, distinguendola dal “</w:t>
      </w:r>
      <w:r w:rsidR="00640FFB" w:rsidRPr="00BE4762">
        <w:rPr>
          <w:rFonts w:ascii="Garamond" w:hAnsi="Garamond" w:cs="Times New Roman"/>
          <w:i/>
          <w:color w:val="000000" w:themeColor="text1"/>
          <w:sz w:val="28"/>
          <w:szCs w:val="28"/>
        </w:rPr>
        <w:t>frangisole</w:t>
      </w:r>
      <w:r w:rsidR="00640FFB" w:rsidRPr="00640FFB">
        <w:rPr>
          <w:rFonts w:ascii="Garamond" w:hAnsi="Garamond" w:cs="Times New Roman"/>
          <w:color w:val="000000" w:themeColor="text1"/>
          <w:sz w:val="28"/>
          <w:szCs w:val="28"/>
        </w:rPr>
        <w:t>”, essendo quest’ultimo “</w:t>
      </w:r>
      <w:r w:rsidR="00640FFB" w:rsidRPr="00BE4762">
        <w:rPr>
          <w:rFonts w:ascii="Garamond" w:hAnsi="Garamond" w:cs="Times New Roman"/>
          <w:i/>
          <w:color w:val="000000" w:themeColor="text1"/>
          <w:sz w:val="28"/>
          <w:szCs w:val="28"/>
        </w:rPr>
        <w:t>struttura collegata alle superfici verticali di edifici, atta a produrre ombreggiamento e schermatura di superfici trasparenti sottostanti</w:t>
      </w:r>
      <w:r w:rsidR="00640FFB" w:rsidRPr="00640FFB">
        <w:rPr>
          <w:rFonts w:ascii="Garamond" w:hAnsi="Garamond" w:cs="Times New Roman"/>
          <w:color w:val="000000" w:themeColor="text1"/>
          <w:sz w:val="28"/>
          <w:szCs w:val="28"/>
        </w:rPr>
        <w:t>”, mentre la serra fotovoltaica è definita come “</w:t>
      </w:r>
      <w:r w:rsidR="00640FFB" w:rsidRPr="00BE4762">
        <w:rPr>
          <w:rFonts w:ascii="Garamond" w:hAnsi="Garamond" w:cs="Times New Roman"/>
          <w:i/>
          <w:color w:val="000000" w:themeColor="text1"/>
          <w:sz w:val="28"/>
          <w:szCs w:val="28"/>
        </w:rPr>
        <w:t>struttura, di altezza minima dal suolo pari a 2 metri, nella quale i moduli fotovoltaici costituiscono gli elementi costruttivi della copertura o delle pareti di un manufatto adibito, per tutta la durata dell'erogazione della tariffa incentivante, a una serra dedicata alle coltivazioni agricole o alla floricoltura. La struttura della serra, in metallo, legno o muratura, deve essere fissa, ancorata al terreno e con chiusure fisse o stagionalmente rimovibili</w:t>
      </w:r>
      <w:r>
        <w:rPr>
          <w:rFonts w:ascii="Garamond" w:hAnsi="Garamond" w:cs="Times New Roman"/>
          <w:color w:val="000000" w:themeColor="text1"/>
          <w:sz w:val="28"/>
          <w:szCs w:val="28"/>
        </w:rPr>
        <w:t xml:space="preserve">”; ciò </w:t>
      </w:r>
      <w:r w:rsidR="0001670E">
        <w:rPr>
          <w:rFonts w:ascii="Garamond" w:hAnsi="Garamond" w:cs="Times New Roman"/>
          <w:color w:val="000000" w:themeColor="text1"/>
          <w:sz w:val="28"/>
          <w:szCs w:val="28"/>
        </w:rPr>
        <w:t xml:space="preserve">posto </w:t>
      </w:r>
      <w:r w:rsidR="0001670E" w:rsidRPr="00640FFB">
        <w:rPr>
          <w:rFonts w:ascii="Garamond" w:hAnsi="Garamond" w:cs="Times New Roman"/>
          <w:color w:val="000000" w:themeColor="text1"/>
          <w:sz w:val="28"/>
          <w:szCs w:val="28"/>
        </w:rPr>
        <w:t>la</w:t>
      </w:r>
      <w:r w:rsidR="00640FFB" w:rsidRPr="00640FFB">
        <w:rPr>
          <w:rFonts w:ascii="Garamond" w:hAnsi="Garamond" w:cs="Times New Roman"/>
          <w:color w:val="000000" w:themeColor="text1"/>
          <w:sz w:val="28"/>
          <w:szCs w:val="28"/>
        </w:rPr>
        <w:t xml:space="preserve"> definizione di serra fotovoltaica non prevede tra gli elementi costitutivi che le chiusure, sebbene stagionalmente rimovibili, siano ancorate al manufatto mediante agganci fissi, né che siano montati teli late</w:t>
      </w:r>
      <w:r>
        <w:rPr>
          <w:rFonts w:ascii="Garamond" w:hAnsi="Garamond" w:cs="Times New Roman"/>
          <w:color w:val="000000" w:themeColor="text1"/>
          <w:sz w:val="28"/>
          <w:szCs w:val="28"/>
        </w:rPr>
        <w:t>rali al momento del sopralluogo (</w:t>
      </w:r>
      <w:r w:rsidR="006206D5">
        <w:rPr>
          <w:rFonts w:ascii="Garamond" w:hAnsi="Garamond" w:cs="Times New Roman"/>
          <w:color w:val="000000" w:themeColor="text1"/>
          <w:sz w:val="28"/>
          <w:szCs w:val="28"/>
        </w:rPr>
        <w:t xml:space="preserve">Cons. </w:t>
      </w:r>
      <w:r w:rsidRPr="00BE4762">
        <w:rPr>
          <w:rFonts w:ascii="Garamond" w:hAnsi="Garamond" w:cs="Times New Roman"/>
          <w:color w:val="000000" w:themeColor="text1"/>
          <w:sz w:val="28"/>
          <w:szCs w:val="28"/>
        </w:rPr>
        <w:t>Stato,</w:t>
      </w:r>
      <w:r w:rsidR="00A60660">
        <w:rPr>
          <w:rFonts w:ascii="Garamond" w:hAnsi="Garamond" w:cs="Times New Roman"/>
          <w:color w:val="000000" w:themeColor="text1"/>
          <w:sz w:val="28"/>
          <w:szCs w:val="28"/>
        </w:rPr>
        <w:t xml:space="preserve"> sez. </w:t>
      </w:r>
      <w:r w:rsidR="00C35649">
        <w:rPr>
          <w:rFonts w:ascii="Garamond" w:hAnsi="Garamond" w:cs="Times New Roman"/>
          <w:color w:val="000000" w:themeColor="text1"/>
          <w:sz w:val="28"/>
          <w:szCs w:val="28"/>
        </w:rPr>
        <w:t>II</w:t>
      </w:r>
      <w:r w:rsidR="00A60660">
        <w:rPr>
          <w:rFonts w:ascii="Garamond" w:hAnsi="Garamond" w:cs="Times New Roman"/>
          <w:color w:val="000000" w:themeColor="text1"/>
          <w:sz w:val="28"/>
          <w:szCs w:val="28"/>
        </w:rPr>
        <w:t>, n.</w:t>
      </w:r>
      <w:r>
        <w:rPr>
          <w:rFonts w:ascii="Garamond" w:hAnsi="Garamond" w:cs="Times New Roman"/>
          <w:color w:val="000000" w:themeColor="text1"/>
          <w:sz w:val="28"/>
          <w:szCs w:val="28"/>
        </w:rPr>
        <w:t xml:space="preserve"> 3992 del 2023)</w:t>
      </w:r>
      <w:r w:rsidR="00C35649">
        <w:rPr>
          <w:rFonts w:ascii="Garamond" w:hAnsi="Garamond" w:cs="Times New Roman"/>
          <w:color w:val="000000" w:themeColor="text1"/>
          <w:sz w:val="28"/>
          <w:szCs w:val="28"/>
        </w:rPr>
        <w:t>.</w:t>
      </w:r>
    </w:p>
    <w:p w:rsidR="003E37AA" w:rsidRDefault="003E37AA" w:rsidP="0018341F">
      <w:pPr>
        <w:spacing w:line="240" w:lineRule="auto"/>
        <w:ind w:firstLine="709"/>
        <w:contextualSpacing/>
        <w:jc w:val="both"/>
        <w:rPr>
          <w:rFonts w:ascii="Garamond" w:hAnsi="Garamond" w:cs="Times New Roman"/>
          <w:b/>
          <w:color w:val="000000" w:themeColor="text1"/>
          <w:sz w:val="28"/>
          <w:szCs w:val="28"/>
        </w:rPr>
      </w:pPr>
    </w:p>
    <w:p w:rsidR="000A1C45" w:rsidRDefault="00797297" w:rsidP="0018341F">
      <w:pPr>
        <w:spacing w:line="240" w:lineRule="auto"/>
        <w:ind w:firstLine="709"/>
        <w:contextualSpacing/>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 xml:space="preserve">2.4. </w:t>
      </w:r>
      <w:r w:rsidRPr="00797297">
        <w:rPr>
          <w:rFonts w:ascii="Garamond" w:hAnsi="Garamond" w:cs="Times New Roman"/>
          <w:b/>
          <w:color w:val="000000" w:themeColor="text1"/>
          <w:sz w:val="28"/>
          <w:szCs w:val="28"/>
        </w:rPr>
        <w:t>Gli impianti eolici: divieto di frazionamento ai fini dell’AU e della VIA.</w:t>
      </w:r>
    </w:p>
    <w:p w:rsidR="005E1857" w:rsidRDefault="005E1857" w:rsidP="005E1857">
      <w:pPr>
        <w:spacing w:line="240" w:lineRule="auto"/>
        <w:ind w:firstLine="709"/>
        <w:contextualSpacing/>
        <w:jc w:val="both"/>
        <w:rPr>
          <w:rFonts w:ascii="Garamond" w:hAnsi="Garamond" w:cs="Times New Roman"/>
          <w:color w:val="000000" w:themeColor="text1"/>
          <w:sz w:val="28"/>
          <w:szCs w:val="28"/>
        </w:rPr>
      </w:pPr>
      <w:r w:rsidRPr="005E1857">
        <w:rPr>
          <w:rFonts w:ascii="Garamond" w:hAnsi="Garamond" w:cs="Times New Roman"/>
          <w:color w:val="000000" w:themeColor="text1"/>
          <w:sz w:val="28"/>
          <w:szCs w:val="28"/>
        </w:rPr>
        <w:t>Secondo la giurisprudenza amministrativa ai fini del rilascio dei necessari titoli abilitativi l’impianto eolico va visto nella sua unitarietà, avuto riguardo all’intero progetto, anche in riferimento alle preesistenze, con conseguent</w:t>
      </w:r>
      <w:r>
        <w:rPr>
          <w:rFonts w:ascii="Garamond" w:hAnsi="Garamond" w:cs="Times New Roman"/>
          <w:color w:val="000000" w:themeColor="text1"/>
          <w:sz w:val="28"/>
          <w:szCs w:val="28"/>
        </w:rPr>
        <w:t>e</w:t>
      </w:r>
      <w:r w:rsidRPr="005E1857">
        <w:rPr>
          <w:rFonts w:ascii="Garamond" w:hAnsi="Garamond" w:cs="Times New Roman"/>
          <w:color w:val="000000" w:themeColor="text1"/>
          <w:sz w:val="28"/>
          <w:szCs w:val="28"/>
        </w:rPr>
        <w:t xml:space="preserve"> divieto di frazionamento.</w:t>
      </w:r>
      <w:r>
        <w:rPr>
          <w:rFonts w:ascii="Garamond" w:hAnsi="Garamond" w:cs="Times New Roman"/>
          <w:color w:val="000000" w:themeColor="text1"/>
          <w:sz w:val="28"/>
          <w:szCs w:val="28"/>
        </w:rPr>
        <w:t xml:space="preserve"> Pertanto:</w:t>
      </w:r>
    </w:p>
    <w:p w:rsidR="00DE5E5F" w:rsidRPr="005E1857" w:rsidRDefault="005E1857" w:rsidP="005E1857">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w:t>
      </w:r>
      <w:r w:rsidR="007E1FA1">
        <w:rPr>
          <w:rFonts w:ascii="Garamond" w:hAnsi="Garamond" w:cs="Times New Roman"/>
          <w:color w:val="000000" w:themeColor="text1"/>
          <w:sz w:val="28"/>
          <w:szCs w:val="28"/>
        </w:rPr>
        <w:t xml:space="preserve"> </w:t>
      </w:r>
      <w:r w:rsidRPr="005E1857">
        <w:rPr>
          <w:rFonts w:ascii="Garamond" w:hAnsi="Garamond" w:cs="Times New Roman"/>
          <w:color w:val="000000" w:themeColor="text1"/>
          <w:sz w:val="28"/>
          <w:szCs w:val="28"/>
        </w:rPr>
        <w:t xml:space="preserve">ai sensi dell’art. 12 del </w:t>
      </w:r>
      <w:r w:rsidR="004F0CCD">
        <w:rPr>
          <w:rFonts w:ascii="Garamond" w:hAnsi="Garamond" w:cs="Times New Roman"/>
          <w:color w:val="000000" w:themeColor="text1"/>
          <w:sz w:val="28"/>
          <w:szCs w:val="28"/>
        </w:rPr>
        <w:t>d.lgs.</w:t>
      </w:r>
      <w:r w:rsidR="000A1C45" w:rsidRPr="005E1857">
        <w:rPr>
          <w:rFonts w:ascii="Garamond" w:hAnsi="Garamond" w:cs="Times New Roman"/>
          <w:color w:val="000000" w:themeColor="text1"/>
          <w:sz w:val="28"/>
          <w:szCs w:val="28"/>
        </w:rPr>
        <w:t xml:space="preserve"> n. 387</w:t>
      </w:r>
      <w:r w:rsidR="007C3B5E">
        <w:rPr>
          <w:rFonts w:ascii="Garamond" w:hAnsi="Garamond" w:cs="Times New Roman"/>
          <w:color w:val="000000" w:themeColor="text1"/>
          <w:sz w:val="28"/>
          <w:szCs w:val="28"/>
        </w:rPr>
        <w:t xml:space="preserve"> del 200</w:t>
      </w:r>
      <w:r w:rsidRPr="005E1857">
        <w:rPr>
          <w:rFonts w:ascii="Garamond" w:hAnsi="Garamond" w:cs="Times New Roman"/>
          <w:color w:val="000000" w:themeColor="text1"/>
          <w:sz w:val="28"/>
          <w:szCs w:val="28"/>
        </w:rPr>
        <w:t>3</w:t>
      </w:r>
      <w:r w:rsidR="000A1C45" w:rsidRPr="005E1857">
        <w:rPr>
          <w:rFonts w:ascii="Garamond" w:hAnsi="Garamond" w:cs="Times New Roman"/>
          <w:color w:val="000000" w:themeColor="text1"/>
          <w:sz w:val="28"/>
          <w:szCs w:val="28"/>
        </w:rPr>
        <w:t>, costituiscono oggetto di autorizzazione unica non solo la costruzione e l’esercizio degli impianti di produzione di energia elettrica alimentati da fonti rinnovabili, ma anche le opere connesse e le infrastrutture indispensabili alla costruzione e all’e</w:t>
      </w:r>
      <w:r w:rsidRPr="005E1857">
        <w:rPr>
          <w:rFonts w:ascii="Garamond" w:hAnsi="Garamond" w:cs="Times New Roman"/>
          <w:color w:val="000000" w:themeColor="text1"/>
          <w:sz w:val="28"/>
          <w:szCs w:val="28"/>
        </w:rPr>
        <w:t xml:space="preserve">sercizio degli impianti stessi - </w:t>
      </w:r>
      <w:r w:rsidR="000A1C45" w:rsidRPr="005E1857">
        <w:rPr>
          <w:rFonts w:ascii="Garamond" w:hAnsi="Garamond" w:cs="Times New Roman"/>
          <w:color w:val="000000" w:themeColor="text1"/>
          <w:sz w:val="28"/>
          <w:szCs w:val="28"/>
        </w:rPr>
        <w:t xml:space="preserve">senza le quali questi ultimi difetterebbero delle coordinate essenziali di praticabilità </w:t>
      </w:r>
      <w:r w:rsidRPr="005E1857">
        <w:rPr>
          <w:rFonts w:ascii="Garamond" w:hAnsi="Garamond" w:cs="Times New Roman"/>
          <w:color w:val="000000" w:themeColor="text1"/>
          <w:sz w:val="28"/>
          <w:szCs w:val="28"/>
        </w:rPr>
        <w:t xml:space="preserve">-  anch’esse per </w:t>
      </w:r>
      <w:r w:rsidR="006C564E">
        <w:rPr>
          <w:rFonts w:ascii="Garamond" w:hAnsi="Garamond" w:cs="Times New Roman"/>
          <w:color w:val="000000" w:themeColor="text1"/>
          <w:sz w:val="28"/>
          <w:szCs w:val="28"/>
        </w:rPr>
        <w:t>legge</w:t>
      </w:r>
      <w:r w:rsidR="000A1C45" w:rsidRPr="005E1857">
        <w:rPr>
          <w:rFonts w:ascii="Garamond" w:hAnsi="Garamond" w:cs="Times New Roman"/>
          <w:color w:val="000000" w:themeColor="text1"/>
          <w:sz w:val="28"/>
          <w:szCs w:val="28"/>
        </w:rPr>
        <w:t xml:space="preserve"> qualificate di pubblica u</w:t>
      </w:r>
      <w:r w:rsidRPr="005E1857">
        <w:rPr>
          <w:rFonts w:ascii="Garamond" w:hAnsi="Garamond" w:cs="Times New Roman"/>
          <w:color w:val="000000" w:themeColor="text1"/>
          <w:sz w:val="28"/>
          <w:szCs w:val="28"/>
        </w:rPr>
        <w:t>tilità, indifferibili e urgenti</w:t>
      </w:r>
      <w:r w:rsidR="000A1C45" w:rsidRPr="005E1857">
        <w:rPr>
          <w:rFonts w:ascii="Garamond" w:hAnsi="Garamond" w:cs="Times New Roman"/>
          <w:color w:val="000000" w:themeColor="text1"/>
          <w:sz w:val="28"/>
          <w:szCs w:val="28"/>
        </w:rPr>
        <w:t>.</w:t>
      </w:r>
      <w:r w:rsidRPr="005E1857">
        <w:rPr>
          <w:rFonts w:ascii="Garamond" w:hAnsi="Garamond" w:cs="Times New Roman"/>
          <w:color w:val="000000" w:themeColor="text1"/>
          <w:sz w:val="28"/>
          <w:szCs w:val="28"/>
        </w:rPr>
        <w:t xml:space="preserve"> </w:t>
      </w:r>
      <w:r w:rsidR="000A1C45" w:rsidRPr="005E1857">
        <w:rPr>
          <w:rFonts w:ascii="Garamond" w:hAnsi="Garamond" w:cs="Times New Roman"/>
          <w:color w:val="000000" w:themeColor="text1"/>
          <w:sz w:val="28"/>
          <w:szCs w:val="28"/>
        </w:rPr>
        <w:t>Inoltre</w:t>
      </w:r>
      <w:r w:rsidR="007E1FA1">
        <w:rPr>
          <w:rFonts w:ascii="Garamond" w:hAnsi="Garamond" w:cs="Times New Roman"/>
          <w:color w:val="000000" w:themeColor="text1"/>
          <w:sz w:val="28"/>
          <w:szCs w:val="28"/>
        </w:rPr>
        <w:t>,</w:t>
      </w:r>
      <w:r w:rsidR="000A1C45" w:rsidRPr="005E1857">
        <w:rPr>
          <w:rFonts w:ascii="Garamond" w:hAnsi="Garamond" w:cs="Times New Roman"/>
          <w:color w:val="000000" w:themeColor="text1"/>
          <w:sz w:val="28"/>
          <w:szCs w:val="28"/>
        </w:rPr>
        <w:t xml:space="preserve"> ai fini </w:t>
      </w:r>
      <w:r w:rsidRPr="005E1857">
        <w:rPr>
          <w:rFonts w:ascii="Garamond" w:hAnsi="Garamond" w:cs="Times New Roman"/>
          <w:color w:val="000000" w:themeColor="text1"/>
          <w:sz w:val="28"/>
          <w:szCs w:val="28"/>
        </w:rPr>
        <w:t>della sottoposizione alla VIA e all’ AU</w:t>
      </w:r>
      <w:r w:rsidR="007E1FA1">
        <w:rPr>
          <w:rFonts w:ascii="Garamond" w:hAnsi="Garamond" w:cs="Times New Roman"/>
          <w:color w:val="000000" w:themeColor="text1"/>
          <w:sz w:val="28"/>
          <w:szCs w:val="28"/>
        </w:rPr>
        <w:t>,</w:t>
      </w:r>
      <w:r w:rsidR="000A1C45" w:rsidRPr="005E1857">
        <w:rPr>
          <w:rFonts w:ascii="Garamond" w:hAnsi="Garamond" w:cs="Times New Roman"/>
          <w:color w:val="000000" w:themeColor="text1"/>
          <w:sz w:val="28"/>
          <w:szCs w:val="28"/>
        </w:rPr>
        <w:t xml:space="preserve"> il progetto va considerato unitariamente.</w:t>
      </w:r>
      <w:r w:rsidR="00797297" w:rsidRPr="005E1857">
        <w:rPr>
          <w:rFonts w:ascii="Garamond" w:hAnsi="Garamond" w:cs="Times New Roman"/>
          <w:color w:val="000000" w:themeColor="text1"/>
          <w:sz w:val="28"/>
          <w:szCs w:val="28"/>
        </w:rPr>
        <w:t xml:space="preserve"> </w:t>
      </w:r>
      <w:r w:rsidR="00DE5E5F" w:rsidRPr="005E1857">
        <w:rPr>
          <w:rFonts w:ascii="Garamond" w:hAnsi="Garamond" w:cs="Times New Roman"/>
          <w:color w:val="000000" w:themeColor="text1"/>
          <w:sz w:val="28"/>
          <w:szCs w:val="28"/>
        </w:rPr>
        <w:t>L’unitarietà del progetto si ravvisa ogniqualvolta sussistono i seguenti indici sintomatici: 1) gli impianti sono localizzati in aree vicine; 2) essi sono riconducibili al medesimo centro di interessi, con la conseguenziale necessità di assoggettare il progetto a verifica di compatibilità ambientale, in caso di superamento delle soglie di potenza normativamente contemplate</w:t>
      </w:r>
      <w:r w:rsidR="006A4FE7" w:rsidRPr="006A4FE7">
        <w:t xml:space="preserve"> </w:t>
      </w:r>
      <w:r w:rsidR="000A1C45">
        <w:t>(</w:t>
      </w:r>
      <w:r w:rsidR="000A1C45" w:rsidRPr="005E1857">
        <w:rPr>
          <w:rFonts w:ascii="Garamond" w:hAnsi="Garamond" w:cs="Times New Roman"/>
          <w:color w:val="000000" w:themeColor="text1"/>
          <w:sz w:val="28"/>
          <w:szCs w:val="28"/>
        </w:rPr>
        <w:t>Cons. Stato, sezione IV, n. 282 del 2023; n</w:t>
      </w:r>
      <w:r w:rsidR="00DE5E5F" w:rsidRPr="005E1857">
        <w:rPr>
          <w:rFonts w:ascii="Garamond" w:hAnsi="Garamond" w:cs="Times New Roman"/>
          <w:color w:val="000000" w:themeColor="text1"/>
          <w:sz w:val="28"/>
          <w:szCs w:val="28"/>
        </w:rPr>
        <w:t xml:space="preserve">ella fattispecie </w:t>
      </w:r>
      <w:r w:rsidR="007E1FA1">
        <w:rPr>
          <w:rFonts w:ascii="Garamond" w:hAnsi="Garamond" w:cs="Times New Roman"/>
          <w:color w:val="000000" w:themeColor="text1"/>
          <w:sz w:val="28"/>
          <w:szCs w:val="28"/>
        </w:rPr>
        <w:t xml:space="preserve">la sezione </w:t>
      </w:r>
      <w:r w:rsidR="00DE5E5F" w:rsidRPr="005E1857">
        <w:rPr>
          <w:rFonts w:ascii="Garamond" w:hAnsi="Garamond" w:cs="Times New Roman"/>
          <w:color w:val="000000" w:themeColor="text1"/>
          <w:sz w:val="28"/>
          <w:szCs w:val="28"/>
        </w:rPr>
        <w:t>ha riscontrato che le istanze presentate dai ricorrenti per i 55 impianti eolici, collo</w:t>
      </w:r>
      <w:r w:rsidR="007E1FA1">
        <w:rPr>
          <w:rFonts w:ascii="Garamond" w:hAnsi="Garamond" w:cs="Times New Roman"/>
          <w:color w:val="000000" w:themeColor="text1"/>
          <w:sz w:val="28"/>
          <w:szCs w:val="28"/>
        </w:rPr>
        <w:t>cati tra il territorio dei due C</w:t>
      </w:r>
      <w:r w:rsidR="00DE5E5F" w:rsidRPr="005E1857">
        <w:rPr>
          <w:rFonts w:ascii="Garamond" w:hAnsi="Garamond" w:cs="Times New Roman"/>
          <w:color w:val="000000" w:themeColor="text1"/>
          <w:sz w:val="28"/>
          <w:szCs w:val="28"/>
        </w:rPr>
        <w:t>omuni interessati, integrano l’artato frazionamento di progetti unitari di impianti eolici</w:t>
      </w:r>
      <w:r w:rsidR="000A1C45" w:rsidRPr="005E1857">
        <w:rPr>
          <w:rFonts w:ascii="Garamond" w:hAnsi="Garamond" w:cs="Times New Roman"/>
          <w:color w:val="000000" w:themeColor="text1"/>
          <w:sz w:val="28"/>
          <w:szCs w:val="28"/>
        </w:rPr>
        <w:t>)</w:t>
      </w:r>
      <w:r>
        <w:rPr>
          <w:rFonts w:ascii="Garamond" w:hAnsi="Garamond" w:cs="Times New Roman"/>
          <w:color w:val="000000" w:themeColor="text1"/>
          <w:sz w:val="28"/>
          <w:szCs w:val="28"/>
        </w:rPr>
        <w:t>;</w:t>
      </w:r>
    </w:p>
    <w:p w:rsidR="0001670E" w:rsidRPr="00BF2644" w:rsidRDefault="005E1857" w:rsidP="0001670E">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w:t>
      </w:r>
      <w:r w:rsidR="00982BCE">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i</w:t>
      </w:r>
      <w:r w:rsidR="000A1C45">
        <w:rPr>
          <w:rFonts w:ascii="Garamond" w:hAnsi="Garamond" w:cs="Times New Roman"/>
          <w:color w:val="000000" w:themeColor="text1"/>
          <w:sz w:val="28"/>
          <w:szCs w:val="28"/>
        </w:rPr>
        <w:t xml:space="preserve">n </w:t>
      </w:r>
      <w:r w:rsidR="00D1211B">
        <w:rPr>
          <w:rFonts w:ascii="Garamond" w:hAnsi="Garamond" w:cs="Times New Roman"/>
          <w:color w:val="000000" w:themeColor="text1"/>
          <w:sz w:val="28"/>
          <w:szCs w:val="28"/>
        </w:rPr>
        <w:t xml:space="preserve"> </w:t>
      </w:r>
      <w:r w:rsidR="0001670E" w:rsidRPr="0001670E">
        <w:rPr>
          <w:rFonts w:ascii="Garamond" w:hAnsi="Garamond" w:cs="Times New Roman"/>
          <w:color w:val="000000" w:themeColor="text1"/>
          <w:sz w:val="28"/>
          <w:szCs w:val="28"/>
        </w:rPr>
        <w:t xml:space="preserve"> tema di sottoposizione degli impianti eolici a valutazione di impatto ambientale la necessità di tale valutazione non può ritenersi esclusa dalla conformità del progetto alla disciplina di cui al pu</w:t>
      </w:r>
      <w:r w:rsidR="00982BCE">
        <w:rPr>
          <w:rFonts w:ascii="Garamond" w:hAnsi="Garamond" w:cs="Times New Roman"/>
          <w:color w:val="000000" w:themeColor="text1"/>
          <w:sz w:val="28"/>
          <w:szCs w:val="28"/>
        </w:rPr>
        <w:t>nto 2 -</w:t>
      </w:r>
      <w:r>
        <w:rPr>
          <w:rFonts w:ascii="Garamond" w:hAnsi="Garamond" w:cs="Times New Roman"/>
          <w:color w:val="000000" w:themeColor="text1"/>
          <w:sz w:val="28"/>
          <w:szCs w:val="28"/>
        </w:rPr>
        <w:t xml:space="preserve"> b dell’allegato IV del </w:t>
      </w:r>
      <w:r w:rsidR="004F0CCD">
        <w:rPr>
          <w:rFonts w:ascii="Garamond" w:hAnsi="Garamond" w:cs="Times New Roman"/>
          <w:color w:val="000000" w:themeColor="text1"/>
          <w:sz w:val="28"/>
          <w:szCs w:val="28"/>
        </w:rPr>
        <w:t>d.lgs.</w:t>
      </w:r>
      <w:r w:rsidR="0001670E" w:rsidRPr="0001670E">
        <w:rPr>
          <w:rFonts w:ascii="Garamond" w:hAnsi="Garamond" w:cs="Times New Roman"/>
          <w:color w:val="000000" w:themeColor="text1"/>
          <w:sz w:val="28"/>
          <w:szCs w:val="28"/>
        </w:rPr>
        <w:t xml:space="preserve"> n. 165 del 2006, che impone la sottoposizione alla verifica di assogg</w:t>
      </w:r>
      <w:r w:rsidR="00982BCE">
        <w:rPr>
          <w:rFonts w:ascii="Garamond" w:hAnsi="Garamond" w:cs="Times New Roman"/>
          <w:color w:val="000000" w:themeColor="text1"/>
          <w:sz w:val="28"/>
          <w:szCs w:val="28"/>
        </w:rPr>
        <w:t xml:space="preserve">ettabilità di competenza delle </w:t>
      </w:r>
      <w:r w:rsidR="007C254A">
        <w:rPr>
          <w:rFonts w:ascii="Garamond" w:hAnsi="Garamond" w:cs="Times New Roman"/>
          <w:color w:val="000000" w:themeColor="text1"/>
          <w:sz w:val="28"/>
          <w:szCs w:val="28"/>
        </w:rPr>
        <w:t>r</w:t>
      </w:r>
      <w:r w:rsidR="0001670E" w:rsidRPr="0001670E">
        <w:rPr>
          <w:rFonts w:ascii="Garamond" w:hAnsi="Garamond" w:cs="Times New Roman"/>
          <w:color w:val="000000" w:themeColor="text1"/>
          <w:sz w:val="28"/>
          <w:szCs w:val="28"/>
        </w:rPr>
        <w:t>egioni degli impianti per la produzione di energia con potenza complessiva superiore a 1 MW. Soprattutto nel caso di realizzazione di diversi impianti sostanzialmente avvinti dal vincolo della complessità è necessario, infatti, avere riguardo non solo alle dimensioni del progettato ampliamento di opera già esistente, bensì alle dimensioni dell’opera finale,</w:t>
      </w:r>
      <w:r w:rsidR="000A1C45">
        <w:rPr>
          <w:rFonts w:ascii="Garamond" w:hAnsi="Garamond" w:cs="Times New Roman"/>
          <w:color w:val="000000" w:themeColor="text1"/>
          <w:sz w:val="28"/>
          <w:szCs w:val="28"/>
        </w:rPr>
        <w:t xml:space="preserve"> </w:t>
      </w:r>
      <w:r w:rsidR="0001670E" w:rsidRPr="0001670E">
        <w:rPr>
          <w:rFonts w:ascii="Garamond" w:hAnsi="Garamond" w:cs="Times New Roman"/>
          <w:color w:val="000000" w:themeColor="text1"/>
          <w:sz w:val="28"/>
          <w:szCs w:val="28"/>
        </w:rPr>
        <w:t xml:space="preserve">risultante dalla somma di quella esistente con quella nuova, perché è l’opera finale nel suo complesso che, incidendo sull’ambiente, deve </w:t>
      </w:r>
      <w:r w:rsidR="00D1211B">
        <w:rPr>
          <w:rFonts w:ascii="Garamond" w:hAnsi="Garamond" w:cs="Times New Roman"/>
          <w:color w:val="000000" w:themeColor="text1"/>
          <w:sz w:val="28"/>
          <w:szCs w:val="28"/>
        </w:rPr>
        <w:t>essere sottoposta a valutazione (</w:t>
      </w:r>
      <w:r w:rsidR="00BB0A10">
        <w:rPr>
          <w:rFonts w:ascii="Garamond" w:hAnsi="Garamond" w:cs="Times New Roman"/>
          <w:color w:val="000000" w:themeColor="text1"/>
          <w:sz w:val="28"/>
          <w:szCs w:val="28"/>
        </w:rPr>
        <w:t>Cons. Stato, sez.</w:t>
      </w:r>
      <w:r w:rsidR="00D1211B" w:rsidRPr="00D1211B">
        <w:rPr>
          <w:rFonts w:ascii="Garamond" w:hAnsi="Garamond" w:cs="Times New Roman"/>
          <w:color w:val="000000" w:themeColor="text1"/>
          <w:sz w:val="28"/>
          <w:szCs w:val="28"/>
        </w:rPr>
        <w:t xml:space="preserve"> IV, n. 5465 del 2022</w:t>
      </w:r>
      <w:r w:rsidR="00982BCE">
        <w:rPr>
          <w:rFonts w:ascii="Garamond" w:hAnsi="Garamond" w:cs="Times New Roman"/>
          <w:color w:val="000000" w:themeColor="text1"/>
          <w:sz w:val="28"/>
          <w:szCs w:val="28"/>
        </w:rPr>
        <w:t>);</w:t>
      </w:r>
    </w:p>
    <w:p w:rsidR="005E1857" w:rsidRDefault="005E1857" w:rsidP="0018341F">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w:t>
      </w:r>
      <w:r w:rsidR="00982BCE">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l</w:t>
      </w:r>
      <w:r w:rsidR="00D1211B" w:rsidRPr="00D1211B">
        <w:rPr>
          <w:rFonts w:ascii="Garamond" w:hAnsi="Garamond" w:cs="Times New Roman"/>
          <w:color w:val="000000" w:themeColor="text1"/>
          <w:sz w:val="28"/>
          <w:szCs w:val="28"/>
        </w:rPr>
        <w:t xml:space="preserve">'esistenza di un parco eolico non preclude né impedisce all'amministrazione di valutare la compatibilità, sotto il profilo ambientale e paesaggistico, di interventi di </w:t>
      </w:r>
      <w:r w:rsidR="00D1211B" w:rsidRPr="00D1211B">
        <w:rPr>
          <w:rFonts w:ascii="Garamond" w:hAnsi="Garamond" w:cs="Times New Roman"/>
          <w:color w:val="000000" w:themeColor="text1"/>
          <w:sz w:val="28"/>
          <w:szCs w:val="28"/>
        </w:rPr>
        <w:lastRenderedPageBreak/>
        <w:t xml:space="preserve">ammodernamento e di sostituzione dei parchi eolici, almeno tutte le volte in cui l'intervento asseritamente di </w:t>
      </w:r>
      <w:r w:rsidR="00D1211B" w:rsidRPr="005E1857">
        <w:rPr>
          <w:rFonts w:ascii="Garamond" w:hAnsi="Garamond" w:cs="Times New Roman"/>
          <w:i/>
          <w:color w:val="000000" w:themeColor="text1"/>
          <w:sz w:val="28"/>
          <w:szCs w:val="28"/>
        </w:rPr>
        <w:t>repowering</w:t>
      </w:r>
      <w:r w:rsidR="00D1211B" w:rsidRPr="00D1211B">
        <w:rPr>
          <w:rFonts w:ascii="Garamond" w:hAnsi="Garamond" w:cs="Times New Roman"/>
          <w:color w:val="000000" w:themeColor="text1"/>
          <w:sz w:val="28"/>
          <w:szCs w:val="28"/>
        </w:rPr>
        <w:t xml:space="preserve"> si sostanzia nella realizzazione di un parco eolico del tutto nuovo rispetto al precedente, sia per numero e per dimensione degli aerogeneratori, sia per potenza generata (sull'ammodernamento degli impianti in senso proprio, rispetto alla progettazione di un nuovo impianto, cfr. Cons. Stato, sez. IV, n. 4062 del 2017, confermata da Cass</w:t>
      </w:r>
      <w:r w:rsidR="00F257A6">
        <w:rPr>
          <w:rFonts w:ascii="Garamond" w:hAnsi="Garamond" w:cs="Times New Roman"/>
          <w:color w:val="000000" w:themeColor="text1"/>
          <w:sz w:val="28"/>
          <w:szCs w:val="28"/>
        </w:rPr>
        <w:t>.</w:t>
      </w:r>
      <w:r w:rsidR="007C254A">
        <w:rPr>
          <w:rFonts w:ascii="Garamond" w:hAnsi="Garamond" w:cs="Times New Roman"/>
          <w:color w:val="000000" w:themeColor="text1"/>
          <w:sz w:val="28"/>
          <w:szCs w:val="28"/>
        </w:rPr>
        <w:t xml:space="preserve"> civ.</w:t>
      </w:r>
      <w:r w:rsidR="00F257A6">
        <w:rPr>
          <w:rFonts w:ascii="Garamond" w:hAnsi="Garamond" w:cs="Times New Roman"/>
          <w:color w:val="000000" w:themeColor="text1"/>
          <w:sz w:val="28"/>
          <w:szCs w:val="28"/>
        </w:rPr>
        <w:t xml:space="preserve">, sez. un., n. 18829 del 2019; Cons. Stato, </w:t>
      </w:r>
      <w:r w:rsidR="00D1211B" w:rsidRPr="00D1211B">
        <w:rPr>
          <w:rFonts w:ascii="Garamond" w:hAnsi="Garamond" w:cs="Times New Roman"/>
          <w:color w:val="000000" w:themeColor="text1"/>
          <w:sz w:val="28"/>
          <w:szCs w:val="28"/>
        </w:rPr>
        <w:t>sez. IV, n. 1619 del 2018 sulla nozione di adeguamento fun</w:t>
      </w:r>
      <w:r w:rsidR="00F257A6">
        <w:rPr>
          <w:rFonts w:ascii="Garamond" w:hAnsi="Garamond" w:cs="Times New Roman"/>
          <w:color w:val="000000" w:themeColor="text1"/>
          <w:sz w:val="28"/>
          <w:szCs w:val="28"/>
        </w:rPr>
        <w:t>zionale in materia ambientale)</w:t>
      </w:r>
      <w:r w:rsidR="00540A75">
        <w:rPr>
          <w:rFonts w:ascii="Garamond" w:hAnsi="Garamond" w:cs="Times New Roman"/>
          <w:color w:val="000000" w:themeColor="text1"/>
          <w:sz w:val="28"/>
          <w:szCs w:val="28"/>
        </w:rPr>
        <w:t xml:space="preserve">; </w:t>
      </w:r>
    </w:p>
    <w:p w:rsidR="0018341F" w:rsidRDefault="005E1857" w:rsidP="0018341F">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 </w:t>
      </w:r>
      <w:r w:rsidR="00540A75">
        <w:rPr>
          <w:rFonts w:ascii="Garamond" w:hAnsi="Garamond" w:cs="Times New Roman"/>
          <w:color w:val="000000" w:themeColor="text1"/>
          <w:sz w:val="28"/>
          <w:szCs w:val="28"/>
        </w:rPr>
        <w:t>deve</w:t>
      </w:r>
      <w:r>
        <w:rPr>
          <w:rFonts w:ascii="Garamond" w:hAnsi="Garamond" w:cs="Times New Roman"/>
          <w:color w:val="000000" w:themeColor="text1"/>
          <w:sz w:val="28"/>
          <w:szCs w:val="28"/>
        </w:rPr>
        <w:t xml:space="preserve">  </w:t>
      </w:r>
      <w:r w:rsidR="00540A75">
        <w:rPr>
          <w:rFonts w:ascii="Garamond" w:hAnsi="Garamond" w:cs="Times New Roman"/>
          <w:color w:val="000000" w:themeColor="text1"/>
          <w:sz w:val="28"/>
          <w:szCs w:val="28"/>
        </w:rPr>
        <w:t xml:space="preserve"> considerarsi legittima </w:t>
      </w:r>
      <w:r w:rsidR="00982BCE">
        <w:rPr>
          <w:rFonts w:ascii="Garamond" w:hAnsi="Garamond" w:cs="Times New Roman"/>
          <w:color w:val="000000" w:themeColor="text1"/>
          <w:sz w:val="28"/>
          <w:szCs w:val="28"/>
        </w:rPr>
        <w:t xml:space="preserve">la delibera della </w:t>
      </w:r>
      <w:r w:rsidR="007C254A">
        <w:rPr>
          <w:rFonts w:ascii="Garamond" w:hAnsi="Garamond" w:cs="Times New Roman"/>
          <w:color w:val="000000" w:themeColor="text1"/>
          <w:sz w:val="28"/>
          <w:szCs w:val="28"/>
        </w:rPr>
        <w:t>g</w:t>
      </w:r>
      <w:r w:rsidR="00540A75" w:rsidRPr="00540A75">
        <w:rPr>
          <w:rFonts w:ascii="Garamond" w:hAnsi="Garamond" w:cs="Times New Roman"/>
          <w:color w:val="000000" w:themeColor="text1"/>
          <w:sz w:val="28"/>
          <w:szCs w:val="28"/>
        </w:rPr>
        <w:t xml:space="preserve">iunta regionale della Sardegna che, in attuazione della </w:t>
      </w:r>
      <w:r w:rsidR="00F46F51">
        <w:rPr>
          <w:rFonts w:ascii="Garamond" w:hAnsi="Garamond" w:cs="Times New Roman"/>
          <w:color w:val="000000" w:themeColor="text1"/>
          <w:sz w:val="28"/>
          <w:szCs w:val="28"/>
        </w:rPr>
        <w:t>competenza legislativa primaria,</w:t>
      </w:r>
      <w:r w:rsidR="00540A75" w:rsidRPr="00540A75">
        <w:rPr>
          <w:rFonts w:ascii="Garamond" w:hAnsi="Garamond" w:cs="Times New Roman"/>
          <w:color w:val="000000" w:themeColor="text1"/>
          <w:sz w:val="28"/>
          <w:szCs w:val="28"/>
        </w:rPr>
        <w:t xml:space="preserve"> statutariamente prevista, in tema di tutela paesistico-ambientale</w:t>
      </w:r>
      <w:r w:rsidR="00F46F51">
        <w:rPr>
          <w:rFonts w:ascii="Garamond" w:hAnsi="Garamond" w:cs="Times New Roman"/>
          <w:color w:val="000000" w:themeColor="text1"/>
          <w:sz w:val="28"/>
          <w:szCs w:val="28"/>
        </w:rPr>
        <w:t xml:space="preserve"> (</w:t>
      </w:r>
      <w:r w:rsidR="00982BCE">
        <w:rPr>
          <w:rFonts w:ascii="Garamond" w:hAnsi="Garamond" w:cs="Times New Roman"/>
          <w:color w:val="000000" w:themeColor="text1"/>
          <w:sz w:val="28"/>
          <w:szCs w:val="28"/>
        </w:rPr>
        <w:t>alla luce dei princìpi</w:t>
      </w:r>
      <w:r w:rsidR="00F46F51" w:rsidRPr="00F46F51">
        <w:rPr>
          <w:rFonts w:ascii="Garamond" w:hAnsi="Garamond" w:cs="Times New Roman"/>
          <w:color w:val="000000" w:themeColor="text1"/>
          <w:sz w:val="28"/>
          <w:szCs w:val="28"/>
        </w:rPr>
        <w:t xml:space="preserve"> desumibili dalla gi</w:t>
      </w:r>
      <w:r w:rsidR="00F46F51">
        <w:rPr>
          <w:rFonts w:ascii="Garamond" w:hAnsi="Garamond" w:cs="Times New Roman"/>
          <w:color w:val="000000" w:themeColor="text1"/>
          <w:sz w:val="28"/>
          <w:szCs w:val="28"/>
        </w:rPr>
        <w:t xml:space="preserve">urisprudenza </w:t>
      </w:r>
      <w:r>
        <w:rPr>
          <w:rFonts w:ascii="Garamond" w:hAnsi="Garamond" w:cs="Times New Roman"/>
          <w:color w:val="000000" w:themeColor="text1"/>
          <w:sz w:val="28"/>
          <w:szCs w:val="28"/>
        </w:rPr>
        <w:t xml:space="preserve">costituzionale: </w:t>
      </w:r>
      <w:r w:rsidRPr="00F46F51">
        <w:rPr>
          <w:rFonts w:ascii="Garamond" w:hAnsi="Garamond" w:cs="Times New Roman"/>
          <w:color w:val="000000" w:themeColor="text1"/>
          <w:sz w:val="28"/>
          <w:szCs w:val="28"/>
        </w:rPr>
        <w:t>Corte</w:t>
      </w:r>
      <w:r w:rsidR="00F46F51" w:rsidRPr="00F46F51">
        <w:rPr>
          <w:rFonts w:ascii="Garamond" w:hAnsi="Garamond" w:cs="Times New Roman"/>
          <w:color w:val="000000" w:themeColor="text1"/>
          <w:sz w:val="28"/>
          <w:szCs w:val="28"/>
        </w:rPr>
        <w:t xml:space="preserve"> cost. n. 258</w:t>
      </w:r>
      <w:r w:rsidR="00F46F51">
        <w:rPr>
          <w:rFonts w:ascii="Garamond" w:hAnsi="Garamond" w:cs="Times New Roman"/>
          <w:color w:val="000000" w:themeColor="text1"/>
          <w:sz w:val="28"/>
          <w:szCs w:val="28"/>
        </w:rPr>
        <w:t xml:space="preserve"> del 2020; </w:t>
      </w:r>
      <w:r w:rsidR="00F46F51" w:rsidRPr="00F46F51">
        <w:rPr>
          <w:rFonts w:ascii="Garamond" w:hAnsi="Garamond" w:cs="Times New Roman"/>
          <w:color w:val="000000" w:themeColor="text1"/>
          <w:sz w:val="28"/>
          <w:szCs w:val="28"/>
        </w:rPr>
        <w:t>n. 106</w:t>
      </w:r>
      <w:r w:rsidR="00F46F51">
        <w:rPr>
          <w:rFonts w:ascii="Garamond" w:hAnsi="Garamond" w:cs="Times New Roman"/>
          <w:color w:val="000000" w:themeColor="text1"/>
          <w:sz w:val="28"/>
          <w:szCs w:val="28"/>
        </w:rPr>
        <w:t xml:space="preserve"> del 2020;</w:t>
      </w:r>
      <w:r w:rsidR="00F46F51" w:rsidRPr="00F46F51">
        <w:rPr>
          <w:rFonts w:ascii="Garamond" w:hAnsi="Garamond" w:cs="Times New Roman"/>
          <w:color w:val="000000" w:themeColor="text1"/>
          <w:sz w:val="28"/>
          <w:szCs w:val="28"/>
        </w:rPr>
        <w:t xml:space="preserve"> </w:t>
      </w:r>
      <w:r w:rsidR="00982BCE">
        <w:rPr>
          <w:rFonts w:ascii="Garamond" w:hAnsi="Garamond" w:cs="Times New Roman"/>
          <w:color w:val="000000" w:themeColor="text1"/>
          <w:sz w:val="28"/>
          <w:szCs w:val="28"/>
        </w:rPr>
        <w:t>n. 148 del 2019</w:t>
      </w:r>
      <w:r w:rsidR="00F46F51">
        <w:rPr>
          <w:rFonts w:ascii="Garamond" w:hAnsi="Garamond" w:cs="Times New Roman"/>
          <w:color w:val="000000" w:themeColor="text1"/>
          <w:sz w:val="28"/>
          <w:szCs w:val="28"/>
        </w:rPr>
        <w:t>;</w:t>
      </w:r>
      <w:r w:rsidR="00F46F51" w:rsidRPr="00F46F51">
        <w:rPr>
          <w:rFonts w:ascii="Garamond" w:hAnsi="Garamond" w:cs="Times New Roman"/>
          <w:color w:val="000000" w:themeColor="text1"/>
          <w:sz w:val="28"/>
          <w:szCs w:val="28"/>
        </w:rPr>
        <w:t xml:space="preserve"> </w:t>
      </w:r>
      <w:r w:rsidR="00F46F51">
        <w:rPr>
          <w:rFonts w:ascii="Garamond" w:hAnsi="Garamond" w:cs="Times New Roman"/>
          <w:color w:val="000000" w:themeColor="text1"/>
          <w:sz w:val="28"/>
          <w:szCs w:val="28"/>
        </w:rPr>
        <w:t>n. 69 del 2018; n. 232 del 2017; n. 199 del 2014; n. 13 del 2014; n. 224 del 2012)</w:t>
      </w:r>
      <w:r w:rsidR="00540A75" w:rsidRPr="00540A75">
        <w:rPr>
          <w:rFonts w:ascii="Garamond" w:hAnsi="Garamond" w:cs="Times New Roman"/>
          <w:color w:val="000000" w:themeColor="text1"/>
          <w:sz w:val="28"/>
          <w:szCs w:val="28"/>
        </w:rPr>
        <w:t xml:space="preserve"> e senza porre alcun vincolo né preclusione di carattere generale, ha indicato le aree non idonee all'installazione degli impianti eolici, all'esito di un'approfondita istruttoria su ogni singolo sito di interesse, nella quale si è tenuto conto anche delle ragioni di tutela dell'identità culturale della popolazione insediata sul territorio</w:t>
      </w:r>
      <w:r w:rsidR="00982BCE">
        <w:rPr>
          <w:rFonts w:ascii="Garamond" w:hAnsi="Garamond" w:cs="Times New Roman"/>
          <w:color w:val="000000" w:themeColor="text1"/>
          <w:sz w:val="28"/>
          <w:szCs w:val="28"/>
        </w:rPr>
        <w:t xml:space="preserve"> [</w:t>
      </w:r>
      <w:r w:rsidR="00BB0A10">
        <w:rPr>
          <w:rFonts w:ascii="Garamond" w:hAnsi="Garamond" w:cs="Times New Roman"/>
          <w:color w:val="000000" w:themeColor="text1"/>
          <w:sz w:val="28"/>
          <w:szCs w:val="28"/>
        </w:rPr>
        <w:t>Cons. Stato, sez. IV,</w:t>
      </w:r>
      <w:r w:rsidR="00F257A6">
        <w:rPr>
          <w:rFonts w:ascii="Garamond" w:hAnsi="Garamond" w:cs="Times New Roman"/>
          <w:color w:val="000000" w:themeColor="text1"/>
          <w:sz w:val="28"/>
          <w:szCs w:val="28"/>
        </w:rPr>
        <w:t xml:space="preserve"> n. 8754 del 2021</w:t>
      </w:r>
      <w:r w:rsidR="00540A75">
        <w:rPr>
          <w:rFonts w:ascii="Garamond" w:hAnsi="Garamond" w:cs="Times New Roman"/>
          <w:color w:val="000000" w:themeColor="text1"/>
          <w:sz w:val="28"/>
          <w:szCs w:val="28"/>
        </w:rPr>
        <w:t xml:space="preserve">; </w:t>
      </w:r>
      <w:r w:rsidR="00F257A6">
        <w:rPr>
          <w:rFonts w:ascii="Garamond" w:hAnsi="Garamond" w:cs="Times New Roman"/>
          <w:color w:val="000000" w:themeColor="text1"/>
          <w:sz w:val="28"/>
          <w:szCs w:val="28"/>
        </w:rPr>
        <w:t>l</w:t>
      </w:r>
      <w:r w:rsidR="00420327" w:rsidRPr="00BF2644">
        <w:rPr>
          <w:rFonts w:ascii="Garamond" w:hAnsi="Garamond" w:cs="Times New Roman"/>
          <w:color w:val="000000" w:themeColor="text1"/>
          <w:sz w:val="28"/>
          <w:szCs w:val="28"/>
        </w:rPr>
        <w:t>a controversia trae</w:t>
      </w:r>
      <w:r w:rsidR="00F257A6">
        <w:rPr>
          <w:rFonts w:ascii="Garamond" w:hAnsi="Garamond" w:cs="Times New Roman"/>
          <w:color w:val="000000" w:themeColor="text1"/>
          <w:sz w:val="28"/>
          <w:szCs w:val="28"/>
        </w:rPr>
        <w:t>va</w:t>
      </w:r>
      <w:r w:rsidR="00420327" w:rsidRPr="00BF2644">
        <w:rPr>
          <w:rFonts w:ascii="Garamond" w:hAnsi="Garamond" w:cs="Times New Roman"/>
          <w:color w:val="000000" w:themeColor="text1"/>
          <w:sz w:val="28"/>
          <w:szCs w:val="28"/>
        </w:rPr>
        <w:t xml:space="preserve"> origine dall'iniziativa del gestore di un parco eolico ubicato in Sardegna, il quale intendeva potenziarlo, trasformandolo in impianto «di grande taglia», e all'uopo presentava istanza di valutazione di impatto ambientale</w:t>
      </w:r>
      <w:r w:rsidR="00540A75">
        <w:rPr>
          <w:rFonts w:ascii="Garamond" w:hAnsi="Garamond" w:cs="Times New Roman"/>
          <w:color w:val="000000" w:themeColor="text1"/>
          <w:sz w:val="28"/>
          <w:szCs w:val="28"/>
        </w:rPr>
        <w:t xml:space="preserve">;  </w:t>
      </w:r>
      <w:r w:rsidR="00420327" w:rsidRPr="00BF2644">
        <w:rPr>
          <w:rFonts w:ascii="Garamond" w:hAnsi="Garamond" w:cs="Times New Roman"/>
          <w:color w:val="000000" w:themeColor="text1"/>
          <w:sz w:val="28"/>
          <w:szCs w:val="28"/>
        </w:rPr>
        <w:t xml:space="preserve">l'amministrazione statale preposta alla tutela dei </w:t>
      </w:r>
      <w:r w:rsidR="00F46F51">
        <w:rPr>
          <w:rFonts w:ascii="Garamond" w:hAnsi="Garamond" w:cs="Times New Roman"/>
          <w:color w:val="000000" w:themeColor="text1"/>
          <w:sz w:val="28"/>
          <w:szCs w:val="28"/>
        </w:rPr>
        <w:t xml:space="preserve">beni culturali e del paesaggio - </w:t>
      </w:r>
      <w:r w:rsidR="00420327" w:rsidRPr="00BF2644">
        <w:rPr>
          <w:rFonts w:ascii="Garamond" w:hAnsi="Garamond" w:cs="Times New Roman"/>
          <w:color w:val="000000" w:themeColor="text1"/>
          <w:sz w:val="28"/>
          <w:szCs w:val="28"/>
        </w:rPr>
        <w:t>il cui coinvolgimento è necessario anche nell'ambito del procedimento autorizzativo di impianti mini-eolici, anche nelle «aree contermi</w:t>
      </w:r>
      <w:r w:rsidR="00982BCE">
        <w:rPr>
          <w:rFonts w:ascii="Garamond" w:hAnsi="Garamond" w:cs="Times New Roman"/>
          <w:color w:val="000000" w:themeColor="text1"/>
          <w:sz w:val="28"/>
          <w:szCs w:val="28"/>
        </w:rPr>
        <w:t>ni» (</w:t>
      </w:r>
      <w:r w:rsidR="00540A75">
        <w:rPr>
          <w:rFonts w:ascii="Garamond" w:hAnsi="Garamond" w:cs="Times New Roman"/>
          <w:color w:val="000000" w:themeColor="text1"/>
          <w:sz w:val="28"/>
          <w:szCs w:val="28"/>
        </w:rPr>
        <w:t>cfr. Cons. Stato, sez. IV, n. 1729 del 201</w:t>
      </w:r>
      <w:r w:rsidR="00422D58">
        <w:rPr>
          <w:rFonts w:ascii="Garamond" w:hAnsi="Garamond" w:cs="Times New Roman"/>
          <w:color w:val="000000" w:themeColor="text1"/>
          <w:sz w:val="28"/>
          <w:szCs w:val="28"/>
        </w:rPr>
        <w:t>9</w:t>
      </w:r>
      <w:r w:rsidR="00982BCE">
        <w:rPr>
          <w:rFonts w:ascii="Garamond" w:hAnsi="Garamond" w:cs="Times New Roman"/>
          <w:color w:val="000000" w:themeColor="text1"/>
          <w:sz w:val="28"/>
          <w:szCs w:val="28"/>
        </w:rPr>
        <w:t>)</w:t>
      </w:r>
      <w:r w:rsidR="00422D58">
        <w:rPr>
          <w:rFonts w:ascii="Garamond" w:hAnsi="Garamond" w:cs="Times New Roman"/>
          <w:color w:val="000000" w:themeColor="text1"/>
          <w:sz w:val="28"/>
          <w:szCs w:val="28"/>
        </w:rPr>
        <w:t xml:space="preserve"> - </w:t>
      </w:r>
      <w:r w:rsidR="00420327" w:rsidRPr="00BF2644">
        <w:rPr>
          <w:rFonts w:ascii="Garamond" w:hAnsi="Garamond" w:cs="Times New Roman"/>
          <w:color w:val="000000" w:themeColor="text1"/>
          <w:sz w:val="28"/>
          <w:szCs w:val="28"/>
        </w:rPr>
        <w:t>dapprima comunicava i motivi ostativi all'accoglimento dell'istanza e poi esprimeva un parere tecnico preclusiv</w:t>
      </w:r>
      <w:r w:rsidR="00DF7F21">
        <w:rPr>
          <w:rFonts w:ascii="Garamond" w:hAnsi="Garamond" w:cs="Times New Roman"/>
          <w:color w:val="000000" w:themeColor="text1"/>
          <w:sz w:val="28"/>
          <w:szCs w:val="28"/>
        </w:rPr>
        <w:t xml:space="preserve">o del progettato intervento, provvedimenti </w:t>
      </w:r>
      <w:r w:rsidR="00420327" w:rsidRPr="00BF2644">
        <w:rPr>
          <w:rFonts w:ascii="Garamond" w:hAnsi="Garamond" w:cs="Times New Roman"/>
          <w:color w:val="000000" w:themeColor="text1"/>
          <w:sz w:val="28"/>
          <w:szCs w:val="28"/>
        </w:rPr>
        <w:t>entrambi impugnati dinanzi al giudice amministrativo, unitamente alla disposizione, c</w:t>
      </w:r>
      <w:r w:rsidR="00982BCE">
        <w:rPr>
          <w:rFonts w:ascii="Garamond" w:hAnsi="Garamond" w:cs="Times New Roman"/>
          <w:color w:val="000000" w:themeColor="text1"/>
          <w:sz w:val="28"/>
          <w:szCs w:val="28"/>
        </w:rPr>
        <w:t xml:space="preserve">ontenuta in una delibera della </w:t>
      </w:r>
      <w:r w:rsidR="007C254A">
        <w:rPr>
          <w:rFonts w:ascii="Garamond" w:hAnsi="Garamond" w:cs="Times New Roman"/>
          <w:color w:val="000000" w:themeColor="text1"/>
          <w:sz w:val="28"/>
          <w:szCs w:val="28"/>
        </w:rPr>
        <w:t>g</w:t>
      </w:r>
      <w:r w:rsidR="00420327" w:rsidRPr="00BF2644">
        <w:rPr>
          <w:rFonts w:ascii="Garamond" w:hAnsi="Garamond" w:cs="Times New Roman"/>
          <w:color w:val="000000" w:themeColor="text1"/>
          <w:sz w:val="28"/>
          <w:szCs w:val="28"/>
        </w:rPr>
        <w:t>iunta regionale che indicava le aree non idonee all'insediamento degli impianti eolici</w:t>
      </w:r>
      <w:r w:rsidR="00982BCE">
        <w:rPr>
          <w:rFonts w:ascii="Garamond" w:hAnsi="Garamond" w:cs="Times New Roman"/>
          <w:color w:val="000000" w:themeColor="text1"/>
          <w:sz w:val="28"/>
          <w:szCs w:val="28"/>
        </w:rPr>
        <w:t>]</w:t>
      </w:r>
      <w:r w:rsidR="00420327" w:rsidRPr="00BF2644">
        <w:rPr>
          <w:rFonts w:ascii="Garamond" w:hAnsi="Garamond" w:cs="Times New Roman"/>
          <w:color w:val="000000" w:themeColor="text1"/>
          <w:sz w:val="28"/>
          <w:szCs w:val="28"/>
        </w:rPr>
        <w:t xml:space="preserve">. </w:t>
      </w:r>
    </w:p>
    <w:p w:rsidR="003E37AA" w:rsidRDefault="003E37AA" w:rsidP="0018341F">
      <w:pPr>
        <w:spacing w:line="240" w:lineRule="auto"/>
        <w:ind w:firstLine="709"/>
        <w:contextualSpacing/>
        <w:jc w:val="both"/>
        <w:rPr>
          <w:rFonts w:ascii="Garamond" w:hAnsi="Garamond" w:cs="Times New Roman"/>
          <w:b/>
          <w:color w:val="000000" w:themeColor="text1"/>
          <w:sz w:val="28"/>
          <w:szCs w:val="28"/>
        </w:rPr>
      </w:pPr>
    </w:p>
    <w:p w:rsidR="00552F94" w:rsidRPr="0018341F" w:rsidRDefault="0012719B" w:rsidP="0018341F">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b/>
          <w:color w:val="000000" w:themeColor="text1"/>
          <w:sz w:val="28"/>
          <w:szCs w:val="28"/>
        </w:rPr>
        <w:t xml:space="preserve">2.6. </w:t>
      </w:r>
      <w:r w:rsidR="00552F94" w:rsidRPr="00BF2644">
        <w:rPr>
          <w:rFonts w:ascii="Garamond" w:hAnsi="Garamond" w:cs="Times New Roman"/>
          <w:b/>
          <w:color w:val="000000" w:themeColor="text1"/>
          <w:sz w:val="28"/>
          <w:szCs w:val="28"/>
        </w:rPr>
        <w:t>Inapplicabilità dell’istituto del silenzio assenso</w:t>
      </w:r>
    </w:p>
    <w:p w:rsidR="0018341F" w:rsidRDefault="00E854C9" w:rsidP="0018341F">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I provvedimenti che concernono la realizzazione di impianti da </w:t>
      </w:r>
      <w:r w:rsidR="00DF7F21">
        <w:rPr>
          <w:rFonts w:ascii="Garamond" w:hAnsi="Garamond" w:cs="Times New Roman"/>
          <w:color w:val="000000" w:themeColor="text1"/>
          <w:sz w:val="28"/>
          <w:szCs w:val="28"/>
        </w:rPr>
        <w:t xml:space="preserve">energie rinnovabili ex art. 12 </w:t>
      </w:r>
      <w:r w:rsidR="004F0CCD">
        <w:rPr>
          <w:rFonts w:ascii="Garamond" w:hAnsi="Garamond" w:cs="Times New Roman"/>
          <w:color w:val="000000" w:themeColor="text1"/>
          <w:sz w:val="28"/>
          <w:szCs w:val="28"/>
        </w:rPr>
        <w:t>d.lgs.</w:t>
      </w:r>
      <w:r w:rsidRPr="00BF2644">
        <w:rPr>
          <w:rFonts w:ascii="Garamond" w:hAnsi="Garamond" w:cs="Times New Roman"/>
          <w:color w:val="000000" w:themeColor="text1"/>
          <w:sz w:val="28"/>
          <w:szCs w:val="28"/>
        </w:rPr>
        <w:t xml:space="preserve"> n. 387 del 2003 sono attratti alla disciplina</w:t>
      </w:r>
      <w:r w:rsidR="00DF7F21">
        <w:rPr>
          <w:rFonts w:ascii="Garamond" w:hAnsi="Garamond" w:cs="Times New Roman"/>
          <w:color w:val="000000" w:themeColor="text1"/>
          <w:sz w:val="28"/>
          <w:szCs w:val="28"/>
        </w:rPr>
        <w:t xml:space="preserve"> di cui all’art. 20, comma 4, </w:t>
      </w:r>
      <w:r w:rsidR="00981AFC">
        <w:rPr>
          <w:rFonts w:ascii="Garamond" w:hAnsi="Garamond" w:cs="Times New Roman"/>
          <w:color w:val="000000" w:themeColor="text1"/>
          <w:sz w:val="28"/>
          <w:szCs w:val="28"/>
        </w:rPr>
        <w:t>l</w:t>
      </w:r>
      <w:r w:rsidR="006C564E">
        <w:rPr>
          <w:rFonts w:ascii="Garamond" w:hAnsi="Garamond" w:cs="Times New Roman"/>
          <w:color w:val="000000" w:themeColor="text1"/>
          <w:sz w:val="28"/>
          <w:szCs w:val="28"/>
        </w:rPr>
        <w:t>.</w:t>
      </w:r>
      <w:r w:rsidRPr="00BF2644">
        <w:rPr>
          <w:rFonts w:ascii="Garamond" w:hAnsi="Garamond" w:cs="Times New Roman"/>
          <w:color w:val="000000" w:themeColor="text1"/>
          <w:sz w:val="28"/>
          <w:szCs w:val="28"/>
        </w:rPr>
        <w:t xml:space="preserve"> n. 241 del 1990, con la conseguenza che, ai fini dell’autorizzazione, è sempre richiesta l’adozione di un provvedimento espresso, non potendo trovare applicazione l</w:t>
      </w:r>
      <w:r w:rsidR="00797297">
        <w:rPr>
          <w:rFonts w:ascii="Garamond" w:hAnsi="Garamond" w:cs="Times New Roman"/>
          <w:color w:val="000000" w:themeColor="text1"/>
          <w:sz w:val="28"/>
          <w:szCs w:val="28"/>
        </w:rPr>
        <w:t xml:space="preserve">’istituto del silenzio assenso </w:t>
      </w:r>
      <w:r w:rsidR="007817F8">
        <w:rPr>
          <w:rFonts w:ascii="Garamond" w:hAnsi="Garamond" w:cs="Times New Roman"/>
          <w:color w:val="000000" w:themeColor="text1"/>
          <w:sz w:val="28"/>
          <w:szCs w:val="28"/>
        </w:rPr>
        <w:t>[</w:t>
      </w:r>
      <w:r w:rsidR="0012719B" w:rsidRPr="00BF2644">
        <w:rPr>
          <w:rFonts w:ascii="Garamond" w:hAnsi="Garamond" w:cs="Times New Roman"/>
          <w:color w:val="000000" w:themeColor="text1"/>
          <w:sz w:val="28"/>
          <w:szCs w:val="28"/>
        </w:rPr>
        <w:t>Cons.  Stato, sez. IV, n. 7384 del 2021;</w:t>
      </w:r>
      <w:r w:rsidR="00797297" w:rsidRPr="00797297">
        <w:t xml:space="preserve"> </w:t>
      </w:r>
      <w:r w:rsidR="00797297">
        <w:rPr>
          <w:rFonts w:ascii="Garamond" w:hAnsi="Garamond" w:cs="Times New Roman"/>
          <w:color w:val="000000" w:themeColor="text1"/>
          <w:sz w:val="28"/>
          <w:szCs w:val="28"/>
        </w:rPr>
        <w:t>sez. IV</w:t>
      </w:r>
      <w:r w:rsidR="00BB0A10">
        <w:rPr>
          <w:rFonts w:ascii="Garamond" w:hAnsi="Garamond" w:cs="Times New Roman"/>
          <w:color w:val="000000" w:themeColor="text1"/>
          <w:sz w:val="28"/>
          <w:szCs w:val="28"/>
        </w:rPr>
        <w:t>,</w:t>
      </w:r>
      <w:r w:rsidR="00797297">
        <w:rPr>
          <w:rFonts w:ascii="Garamond" w:hAnsi="Garamond" w:cs="Times New Roman"/>
          <w:color w:val="000000" w:themeColor="text1"/>
          <w:sz w:val="28"/>
          <w:szCs w:val="28"/>
        </w:rPr>
        <w:t xml:space="preserve"> n.</w:t>
      </w:r>
      <w:r w:rsidR="00797297" w:rsidRPr="00797297">
        <w:rPr>
          <w:rFonts w:ascii="Garamond" w:hAnsi="Garamond" w:cs="Times New Roman"/>
          <w:color w:val="000000" w:themeColor="text1"/>
          <w:sz w:val="28"/>
          <w:szCs w:val="28"/>
        </w:rPr>
        <w:t xml:space="preserve"> 499 </w:t>
      </w:r>
      <w:r w:rsidR="007C254A">
        <w:rPr>
          <w:rFonts w:ascii="Garamond" w:hAnsi="Garamond" w:cs="Times New Roman"/>
          <w:color w:val="000000" w:themeColor="text1"/>
          <w:sz w:val="28"/>
          <w:szCs w:val="28"/>
        </w:rPr>
        <w:t xml:space="preserve">del </w:t>
      </w:r>
      <w:r w:rsidR="00797297">
        <w:rPr>
          <w:rFonts w:ascii="Garamond" w:hAnsi="Garamond" w:cs="Times New Roman"/>
          <w:color w:val="000000" w:themeColor="text1"/>
          <w:sz w:val="28"/>
          <w:szCs w:val="28"/>
        </w:rPr>
        <w:t xml:space="preserve">2018, che </w:t>
      </w:r>
      <w:r w:rsidR="007817F8">
        <w:rPr>
          <w:rFonts w:ascii="Garamond" w:hAnsi="Garamond" w:cs="Times New Roman"/>
          <w:color w:val="000000" w:themeColor="text1"/>
          <w:sz w:val="28"/>
          <w:szCs w:val="28"/>
        </w:rPr>
        <w:t>evidenzia</w:t>
      </w:r>
      <w:r w:rsidR="00797297" w:rsidRPr="00797297">
        <w:rPr>
          <w:rFonts w:ascii="Garamond" w:hAnsi="Garamond" w:cs="Times New Roman"/>
          <w:color w:val="000000" w:themeColor="text1"/>
          <w:sz w:val="28"/>
          <w:szCs w:val="28"/>
        </w:rPr>
        <w:t>: a)</w:t>
      </w:r>
      <w:r w:rsidR="00C265EB">
        <w:rPr>
          <w:rFonts w:ascii="Garamond" w:hAnsi="Garamond" w:cs="Times New Roman"/>
          <w:color w:val="000000" w:themeColor="text1"/>
          <w:sz w:val="28"/>
          <w:szCs w:val="28"/>
        </w:rPr>
        <w:t xml:space="preserve"> </w:t>
      </w:r>
      <w:r w:rsidR="007817F8">
        <w:rPr>
          <w:rFonts w:ascii="Garamond" w:hAnsi="Garamond" w:cs="Times New Roman"/>
          <w:color w:val="000000" w:themeColor="text1"/>
          <w:sz w:val="28"/>
          <w:szCs w:val="28"/>
        </w:rPr>
        <w:t xml:space="preserve">che </w:t>
      </w:r>
      <w:r w:rsidR="00797297" w:rsidRPr="00797297">
        <w:rPr>
          <w:rFonts w:ascii="Garamond" w:hAnsi="Garamond" w:cs="Times New Roman"/>
          <w:color w:val="000000" w:themeColor="text1"/>
          <w:sz w:val="28"/>
          <w:szCs w:val="28"/>
        </w:rPr>
        <w:t xml:space="preserve"> l’art. 20, comma 4, della </w:t>
      </w:r>
      <w:r w:rsidR="006C564E">
        <w:rPr>
          <w:rFonts w:ascii="Garamond" w:hAnsi="Garamond" w:cs="Times New Roman"/>
          <w:color w:val="000000" w:themeColor="text1"/>
          <w:sz w:val="28"/>
          <w:szCs w:val="28"/>
        </w:rPr>
        <w:t>legge</w:t>
      </w:r>
      <w:r w:rsidR="00797297" w:rsidRPr="00797297">
        <w:rPr>
          <w:rFonts w:ascii="Garamond" w:hAnsi="Garamond" w:cs="Times New Roman"/>
          <w:color w:val="000000" w:themeColor="text1"/>
          <w:sz w:val="28"/>
          <w:szCs w:val="28"/>
        </w:rPr>
        <w:t xml:space="preserve"> n. 241 del 1990 stabiliva, nella versione vigente all’epoca, l’esplicita esclusione della formazione del silenzio assenso in materia ambientale; b) il contrasto tra la previsione normativa del silenzio assenso ed i principi comunitari, che impongono l’esplicitazione delle ragioni della compatibilità ambientale del prog</w:t>
      </w:r>
      <w:r w:rsidR="004A1FB7">
        <w:rPr>
          <w:rFonts w:ascii="Garamond" w:hAnsi="Garamond" w:cs="Times New Roman"/>
          <w:color w:val="000000" w:themeColor="text1"/>
          <w:sz w:val="28"/>
          <w:szCs w:val="28"/>
        </w:rPr>
        <w:t>etto (cfr. artt.14, comma 4, 14-</w:t>
      </w:r>
      <w:r w:rsidR="004A1FB7" w:rsidRPr="004A1FB7">
        <w:rPr>
          <w:rFonts w:ascii="Garamond" w:hAnsi="Garamond" w:cs="Times New Roman"/>
          <w:i/>
          <w:color w:val="000000" w:themeColor="text1"/>
          <w:sz w:val="28"/>
          <w:szCs w:val="28"/>
        </w:rPr>
        <w:t>bis</w:t>
      </w:r>
      <w:r w:rsidR="00797297" w:rsidRPr="00797297">
        <w:rPr>
          <w:rFonts w:ascii="Garamond" w:hAnsi="Garamond" w:cs="Times New Roman"/>
          <w:color w:val="000000" w:themeColor="text1"/>
          <w:sz w:val="28"/>
          <w:szCs w:val="28"/>
        </w:rPr>
        <w:t>, comma 4, 17</w:t>
      </w:r>
      <w:r w:rsidR="004A1FB7">
        <w:rPr>
          <w:rFonts w:ascii="Garamond" w:hAnsi="Garamond" w:cs="Times New Roman"/>
          <w:color w:val="000000" w:themeColor="text1"/>
          <w:sz w:val="28"/>
          <w:szCs w:val="28"/>
        </w:rPr>
        <w:t>-</w:t>
      </w:r>
      <w:r w:rsidR="004A1FB7" w:rsidRPr="004A1FB7">
        <w:rPr>
          <w:rFonts w:ascii="Garamond" w:hAnsi="Garamond" w:cs="Times New Roman"/>
          <w:i/>
          <w:color w:val="000000" w:themeColor="text1"/>
          <w:sz w:val="28"/>
          <w:szCs w:val="28"/>
        </w:rPr>
        <w:t>bis</w:t>
      </w:r>
      <w:r w:rsidR="00797297" w:rsidRPr="00797297">
        <w:rPr>
          <w:rFonts w:ascii="Garamond" w:hAnsi="Garamond" w:cs="Times New Roman"/>
          <w:color w:val="000000" w:themeColor="text1"/>
          <w:sz w:val="28"/>
          <w:szCs w:val="28"/>
        </w:rPr>
        <w:t xml:space="preserve">, comma 4, </w:t>
      </w:r>
      <w:r w:rsidR="006C564E">
        <w:rPr>
          <w:rFonts w:ascii="Garamond" w:hAnsi="Garamond" w:cs="Times New Roman"/>
          <w:color w:val="000000" w:themeColor="text1"/>
          <w:sz w:val="28"/>
          <w:szCs w:val="28"/>
        </w:rPr>
        <w:t>legge</w:t>
      </w:r>
      <w:r w:rsidR="00797297" w:rsidRPr="00797297">
        <w:rPr>
          <w:rFonts w:ascii="Garamond" w:hAnsi="Garamond" w:cs="Times New Roman"/>
          <w:color w:val="000000" w:themeColor="text1"/>
          <w:sz w:val="28"/>
          <w:szCs w:val="28"/>
        </w:rPr>
        <w:t xml:space="preserve"> n. 241 </w:t>
      </w:r>
      <w:r w:rsidR="007817F8">
        <w:rPr>
          <w:rFonts w:ascii="Garamond" w:hAnsi="Garamond" w:cs="Times New Roman"/>
          <w:color w:val="000000" w:themeColor="text1"/>
          <w:sz w:val="28"/>
          <w:szCs w:val="28"/>
        </w:rPr>
        <w:t xml:space="preserve">del 1990 e </w:t>
      </w:r>
      <w:r w:rsidR="006C564E">
        <w:rPr>
          <w:rFonts w:ascii="Garamond" w:hAnsi="Garamond" w:cs="Times New Roman"/>
          <w:color w:val="000000" w:themeColor="text1"/>
          <w:sz w:val="28"/>
          <w:szCs w:val="28"/>
        </w:rPr>
        <w:t>direttiva</w:t>
      </w:r>
      <w:r w:rsidR="007817F8">
        <w:rPr>
          <w:rFonts w:ascii="Garamond" w:hAnsi="Garamond" w:cs="Times New Roman"/>
          <w:color w:val="000000" w:themeColor="text1"/>
          <w:sz w:val="28"/>
          <w:szCs w:val="28"/>
        </w:rPr>
        <w:t xml:space="preserve"> 92/11/CE); </w:t>
      </w:r>
      <w:r w:rsidRPr="00BF2644">
        <w:rPr>
          <w:rFonts w:ascii="Garamond" w:hAnsi="Garamond" w:cs="Times New Roman"/>
          <w:color w:val="000000" w:themeColor="text1"/>
          <w:sz w:val="28"/>
          <w:szCs w:val="28"/>
        </w:rPr>
        <w:t>Cons. Stato, sez. IV, n. 4712</w:t>
      </w:r>
      <w:r w:rsidR="0012719B" w:rsidRPr="00BF2644">
        <w:rPr>
          <w:rFonts w:ascii="Garamond" w:hAnsi="Garamond" w:cs="Times New Roman"/>
          <w:color w:val="000000" w:themeColor="text1"/>
          <w:sz w:val="28"/>
          <w:szCs w:val="28"/>
        </w:rPr>
        <w:t xml:space="preserve"> del 2015</w:t>
      </w:r>
      <w:r w:rsidR="007817F8">
        <w:rPr>
          <w:rFonts w:ascii="Garamond" w:hAnsi="Garamond" w:cs="Times New Roman"/>
          <w:color w:val="000000" w:themeColor="text1"/>
          <w:sz w:val="28"/>
          <w:szCs w:val="28"/>
        </w:rPr>
        <w:t>]</w:t>
      </w:r>
      <w:r w:rsidRPr="00BF2644">
        <w:rPr>
          <w:rFonts w:ascii="Garamond" w:hAnsi="Garamond" w:cs="Times New Roman"/>
          <w:color w:val="000000" w:themeColor="text1"/>
          <w:sz w:val="28"/>
          <w:szCs w:val="28"/>
        </w:rPr>
        <w:t>.</w:t>
      </w:r>
    </w:p>
    <w:p w:rsidR="003E37AA" w:rsidRDefault="003E37AA" w:rsidP="0018341F">
      <w:pPr>
        <w:spacing w:line="240" w:lineRule="auto"/>
        <w:ind w:firstLine="709"/>
        <w:contextualSpacing/>
        <w:jc w:val="both"/>
        <w:rPr>
          <w:rFonts w:ascii="Garamond" w:hAnsi="Garamond" w:cs="Times New Roman"/>
          <w:b/>
          <w:color w:val="000000" w:themeColor="text1"/>
          <w:sz w:val="28"/>
          <w:szCs w:val="28"/>
        </w:rPr>
      </w:pPr>
    </w:p>
    <w:p w:rsidR="004D4B73" w:rsidRDefault="003523C1" w:rsidP="0018341F">
      <w:pPr>
        <w:spacing w:line="240" w:lineRule="auto"/>
        <w:ind w:firstLine="709"/>
        <w:contextualSpacing/>
        <w:jc w:val="both"/>
        <w:rPr>
          <w:rFonts w:ascii="Garamond" w:hAnsi="Garamond" w:cs="Times New Roman"/>
          <w:b/>
          <w:color w:val="000000" w:themeColor="text1"/>
          <w:sz w:val="28"/>
          <w:szCs w:val="28"/>
        </w:rPr>
      </w:pPr>
      <w:r w:rsidRPr="00BF2644">
        <w:rPr>
          <w:rFonts w:ascii="Garamond" w:hAnsi="Garamond" w:cs="Times New Roman"/>
          <w:b/>
          <w:color w:val="000000" w:themeColor="text1"/>
          <w:sz w:val="28"/>
          <w:szCs w:val="28"/>
        </w:rPr>
        <w:t xml:space="preserve">2.7. </w:t>
      </w:r>
      <w:r w:rsidR="004D4B73" w:rsidRPr="00BF2644">
        <w:rPr>
          <w:rFonts w:ascii="Garamond" w:hAnsi="Garamond" w:cs="Times New Roman"/>
          <w:b/>
          <w:color w:val="000000" w:themeColor="text1"/>
          <w:sz w:val="28"/>
          <w:szCs w:val="28"/>
        </w:rPr>
        <w:t>Gli impianti geotermici</w:t>
      </w:r>
    </w:p>
    <w:p w:rsidR="008F48A0" w:rsidRDefault="008F48A0" w:rsidP="0018341F">
      <w:pPr>
        <w:spacing w:line="240" w:lineRule="auto"/>
        <w:ind w:firstLine="709"/>
        <w:contextualSpacing/>
        <w:jc w:val="both"/>
        <w:rPr>
          <w:rFonts w:ascii="Garamond" w:hAnsi="Garamond" w:cs="Times New Roman"/>
          <w:color w:val="000000" w:themeColor="text1"/>
          <w:sz w:val="28"/>
          <w:szCs w:val="28"/>
        </w:rPr>
      </w:pPr>
      <w:r w:rsidRPr="008F48A0">
        <w:rPr>
          <w:rFonts w:ascii="Garamond" w:hAnsi="Garamond" w:cs="Times New Roman"/>
          <w:color w:val="000000" w:themeColor="text1"/>
          <w:sz w:val="28"/>
          <w:szCs w:val="28"/>
        </w:rPr>
        <w:t>Secondo la giurisprud</w:t>
      </w:r>
      <w:r w:rsidR="007C254A">
        <w:rPr>
          <w:rFonts w:ascii="Garamond" w:hAnsi="Garamond" w:cs="Times New Roman"/>
          <w:color w:val="000000" w:themeColor="text1"/>
          <w:sz w:val="28"/>
          <w:szCs w:val="28"/>
        </w:rPr>
        <w:t xml:space="preserve">enza della Corte costituzionale </w:t>
      </w:r>
      <w:r>
        <w:rPr>
          <w:rFonts w:ascii="Garamond" w:hAnsi="Garamond" w:cs="Times New Roman"/>
          <w:color w:val="000000" w:themeColor="text1"/>
          <w:sz w:val="28"/>
          <w:szCs w:val="28"/>
        </w:rPr>
        <w:t>e’</w:t>
      </w:r>
      <w:r w:rsidRPr="008F48A0">
        <w:rPr>
          <w:rFonts w:ascii="Garamond" w:hAnsi="Garamond" w:cs="Times New Roman"/>
          <w:color w:val="000000" w:themeColor="text1"/>
          <w:sz w:val="28"/>
          <w:szCs w:val="28"/>
        </w:rPr>
        <w:t xml:space="preserve"> infondata</w:t>
      </w:r>
      <w:r w:rsidR="00C265EB">
        <w:rPr>
          <w:rFonts w:ascii="Garamond" w:hAnsi="Garamond" w:cs="Times New Roman"/>
          <w:color w:val="000000" w:themeColor="text1"/>
          <w:sz w:val="28"/>
          <w:szCs w:val="28"/>
        </w:rPr>
        <w:t>,</w:t>
      </w:r>
      <w:r w:rsidRPr="008F48A0">
        <w:rPr>
          <w:rFonts w:ascii="Garamond" w:hAnsi="Garamond" w:cs="Times New Roman"/>
          <w:color w:val="000000" w:themeColor="text1"/>
          <w:sz w:val="28"/>
          <w:szCs w:val="28"/>
        </w:rPr>
        <w:t xml:space="preserve"> in riferimento all'art. 117, comma 3 Cost</w:t>
      </w:r>
      <w:r w:rsidR="00C265EB">
        <w:rPr>
          <w:rFonts w:ascii="Garamond" w:hAnsi="Garamond" w:cs="Times New Roman"/>
          <w:color w:val="000000" w:themeColor="text1"/>
          <w:sz w:val="28"/>
          <w:szCs w:val="28"/>
        </w:rPr>
        <w:t>.,</w:t>
      </w:r>
      <w:r w:rsidRPr="008F48A0">
        <w:rPr>
          <w:rFonts w:ascii="Garamond" w:hAnsi="Garamond" w:cs="Times New Roman"/>
          <w:color w:val="000000" w:themeColor="text1"/>
          <w:sz w:val="28"/>
          <w:szCs w:val="28"/>
        </w:rPr>
        <w:t xml:space="preserve"> la questione di legittimità costit</w:t>
      </w:r>
      <w:r w:rsidR="00C265EB">
        <w:rPr>
          <w:rFonts w:ascii="Garamond" w:hAnsi="Garamond" w:cs="Times New Roman"/>
          <w:color w:val="000000" w:themeColor="text1"/>
          <w:sz w:val="28"/>
          <w:szCs w:val="28"/>
        </w:rPr>
        <w:t xml:space="preserve">uzionale di una norma regionale, </w:t>
      </w:r>
      <w:r w:rsidRPr="008F48A0">
        <w:rPr>
          <w:rFonts w:ascii="Garamond" w:hAnsi="Garamond" w:cs="Times New Roman"/>
          <w:color w:val="000000" w:themeColor="text1"/>
          <w:sz w:val="28"/>
          <w:szCs w:val="28"/>
        </w:rPr>
        <w:t>nella parte in cui, nel prevedere che la individuazione delle aree non idonee per l'installazione di impianti di produzione di energia geotermica ef</w:t>
      </w:r>
      <w:r w:rsidR="00C265EB">
        <w:rPr>
          <w:rFonts w:ascii="Garamond" w:hAnsi="Garamond" w:cs="Times New Roman"/>
          <w:color w:val="000000" w:themeColor="text1"/>
          <w:sz w:val="28"/>
          <w:szCs w:val="28"/>
        </w:rPr>
        <w:t xml:space="preserve">fettuata mediante delibera </w:t>
      </w:r>
      <w:r w:rsidR="00C265EB">
        <w:rPr>
          <w:rFonts w:ascii="Garamond" w:hAnsi="Garamond" w:cs="Times New Roman"/>
          <w:color w:val="000000" w:themeColor="text1"/>
          <w:sz w:val="28"/>
          <w:szCs w:val="28"/>
        </w:rPr>
        <w:lastRenderedPageBreak/>
        <w:t>del C</w:t>
      </w:r>
      <w:r w:rsidRPr="008F48A0">
        <w:rPr>
          <w:rFonts w:ascii="Garamond" w:hAnsi="Garamond" w:cs="Times New Roman"/>
          <w:color w:val="000000" w:themeColor="text1"/>
          <w:sz w:val="28"/>
          <w:szCs w:val="28"/>
        </w:rPr>
        <w:t xml:space="preserve">onsiglio, è immediatamente efficace e si applica anche ai procedimenti in corso alla data di entrata in vigore della medesima </w:t>
      </w:r>
      <w:r w:rsidR="006C564E">
        <w:rPr>
          <w:rFonts w:ascii="Garamond" w:hAnsi="Garamond" w:cs="Times New Roman"/>
          <w:color w:val="000000" w:themeColor="text1"/>
          <w:sz w:val="28"/>
          <w:szCs w:val="28"/>
        </w:rPr>
        <w:t>legge</w:t>
      </w:r>
      <w:r w:rsidRPr="008F48A0">
        <w:rPr>
          <w:rFonts w:ascii="Garamond" w:hAnsi="Garamond" w:cs="Times New Roman"/>
          <w:color w:val="000000" w:themeColor="text1"/>
          <w:sz w:val="28"/>
          <w:szCs w:val="28"/>
        </w:rPr>
        <w:t>, potrebbe comprendere anche gli impianti geotermici "pilota"; ciò in quanto l'omesso richiamo della normativa statale non consente di far presumere la volontà del legislatore regionale di non rispettare le prerogative dello Stato nella materia che viene disciplinata; la disposizione censurata deve pertanto essere letta  nel quadro normativo di riferimento, quindi nel senso che essa - nel recepire l'atto consiliare indicato - si riferisce solo agli impianti che rientrano nella competenza regionale, e non anche a quelli "pilota", ossia delle centrali geotermoelettriche che, per effetto del ridotto impatto ambientale e delle connesse esigenze di sperimentazione che li caratterizzano, sono considerati, al pari dei fluidi geotermici impiegati,</w:t>
      </w:r>
      <w:r w:rsidR="009B0078">
        <w:rPr>
          <w:rFonts w:ascii="Garamond" w:hAnsi="Garamond" w:cs="Times New Roman"/>
          <w:color w:val="000000" w:themeColor="text1"/>
          <w:sz w:val="28"/>
          <w:szCs w:val="28"/>
        </w:rPr>
        <w:t xml:space="preserve"> di interesse nazionale (Corte c</w:t>
      </w:r>
      <w:r w:rsidRPr="008F48A0">
        <w:rPr>
          <w:rFonts w:ascii="Garamond" w:hAnsi="Garamond" w:cs="Times New Roman"/>
          <w:color w:val="000000" w:themeColor="text1"/>
          <w:sz w:val="28"/>
          <w:szCs w:val="28"/>
        </w:rPr>
        <w:t>ost.</w:t>
      </w:r>
      <w:r w:rsidR="00C265EB">
        <w:rPr>
          <w:rFonts w:ascii="Garamond" w:hAnsi="Garamond" w:cs="Times New Roman"/>
          <w:color w:val="000000" w:themeColor="text1"/>
          <w:sz w:val="28"/>
          <w:szCs w:val="28"/>
        </w:rPr>
        <w:t>,</w:t>
      </w:r>
      <w:r w:rsidRPr="008F48A0">
        <w:rPr>
          <w:rFonts w:ascii="Garamond" w:hAnsi="Garamond" w:cs="Times New Roman"/>
          <w:color w:val="000000" w:themeColor="text1"/>
          <w:sz w:val="28"/>
          <w:szCs w:val="28"/>
        </w:rPr>
        <w:t xml:space="preserve"> n. 11 del 2022 che ha dichiarato infondata   la questione di costituzionalità promossa dal Governo in riferimento all’art. 2 </w:t>
      </w:r>
      <w:r w:rsidR="006C564E">
        <w:rPr>
          <w:rFonts w:ascii="Garamond" w:hAnsi="Garamond" w:cs="Times New Roman"/>
          <w:color w:val="000000" w:themeColor="text1"/>
          <w:sz w:val="28"/>
          <w:szCs w:val="28"/>
        </w:rPr>
        <w:t>l.</w:t>
      </w:r>
      <w:r w:rsidR="004A13DF">
        <w:rPr>
          <w:rFonts w:ascii="Garamond" w:hAnsi="Garamond" w:cs="Times New Roman"/>
          <w:color w:val="000000" w:themeColor="text1"/>
          <w:sz w:val="28"/>
          <w:szCs w:val="28"/>
        </w:rPr>
        <w:t>r</w:t>
      </w:r>
      <w:r w:rsidRPr="008F48A0">
        <w:rPr>
          <w:rFonts w:ascii="Garamond" w:hAnsi="Garamond" w:cs="Times New Roman"/>
          <w:color w:val="000000" w:themeColor="text1"/>
          <w:sz w:val="28"/>
          <w:szCs w:val="28"/>
        </w:rPr>
        <w:t>. Toscana 27 luglio 2020 n. 73 per erroneo presupposto interpretativo).</w:t>
      </w:r>
    </w:p>
    <w:p w:rsidR="003523C1" w:rsidRDefault="008F48A0" w:rsidP="00E214F6">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La giurisprudenza amm</w:t>
      </w:r>
      <w:r w:rsidR="007C254A">
        <w:rPr>
          <w:rFonts w:ascii="Garamond" w:hAnsi="Garamond" w:cs="Times New Roman"/>
          <w:color w:val="000000" w:themeColor="text1"/>
          <w:sz w:val="28"/>
          <w:szCs w:val="28"/>
        </w:rPr>
        <w:t xml:space="preserve">inistrativa ha chiarito che </w:t>
      </w:r>
      <w:r>
        <w:rPr>
          <w:rFonts w:ascii="Garamond" w:hAnsi="Garamond" w:cs="Times New Roman"/>
          <w:color w:val="000000" w:themeColor="text1"/>
          <w:sz w:val="28"/>
          <w:szCs w:val="28"/>
        </w:rPr>
        <w:t>l</w:t>
      </w:r>
      <w:r w:rsidR="003523C1" w:rsidRPr="00BF2644">
        <w:rPr>
          <w:rFonts w:ascii="Garamond" w:hAnsi="Garamond" w:cs="Times New Roman"/>
          <w:color w:val="000000" w:themeColor="text1"/>
          <w:sz w:val="28"/>
          <w:szCs w:val="28"/>
        </w:rPr>
        <w:t xml:space="preserve">’interesse particolare </w:t>
      </w:r>
      <w:r w:rsidR="00E214F6">
        <w:rPr>
          <w:rFonts w:ascii="Garamond" w:hAnsi="Garamond" w:cs="Times New Roman"/>
          <w:color w:val="000000" w:themeColor="text1"/>
          <w:sz w:val="28"/>
          <w:szCs w:val="28"/>
        </w:rPr>
        <w:t xml:space="preserve">degli impianti geotermici </w:t>
      </w:r>
      <w:r w:rsidR="003523C1" w:rsidRPr="00BF2644">
        <w:rPr>
          <w:rFonts w:ascii="Garamond" w:hAnsi="Garamond" w:cs="Times New Roman"/>
          <w:color w:val="000000" w:themeColor="text1"/>
          <w:sz w:val="28"/>
          <w:szCs w:val="28"/>
        </w:rPr>
        <w:t>è dato dal fatto per cui essi funzionano nella sostanza ad emissioni zero, e quindi consentono di produrre energia senza contribui</w:t>
      </w:r>
      <w:r w:rsidR="004D4B73" w:rsidRPr="00BF2644">
        <w:rPr>
          <w:rFonts w:ascii="Garamond" w:hAnsi="Garamond" w:cs="Times New Roman"/>
          <w:color w:val="000000" w:themeColor="text1"/>
          <w:sz w:val="28"/>
          <w:szCs w:val="28"/>
        </w:rPr>
        <w:t xml:space="preserve">re al pericoloso “effetto </w:t>
      </w:r>
      <w:r w:rsidR="008B5381" w:rsidRPr="00BF2644">
        <w:rPr>
          <w:rFonts w:ascii="Garamond" w:hAnsi="Garamond" w:cs="Times New Roman"/>
          <w:color w:val="000000" w:themeColor="text1"/>
          <w:sz w:val="28"/>
          <w:szCs w:val="28"/>
        </w:rPr>
        <w:t>serra”</w:t>
      </w:r>
      <w:r w:rsidR="00E214F6">
        <w:rPr>
          <w:rFonts w:ascii="Garamond" w:hAnsi="Garamond"/>
          <w:sz w:val="28"/>
          <w:szCs w:val="28"/>
        </w:rPr>
        <w:t xml:space="preserve">. Essi </w:t>
      </w:r>
      <w:r w:rsidR="003523C1" w:rsidRPr="00BF2644">
        <w:rPr>
          <w:rFonts w:ascii="Garamond" w:hAnsi="Garamond" w:cs="Times New Roman"/>
          <w:color w:val="000000" w:themeColor="text1"/>
          <w:sz w:val="28"/>
          <w:szCs w:val="28"/>
        </w:rPr>
        <w:t>richiedono la conces</w:t>
      </w:r>
      <w:r>
        <w:rPr>
          <w:rFonts w:ascii="Garamond" w:hAnsi="Garamond" w:cs="Times New Roman"/>
          <w:color w:val="000000" w:themeColor="text1"/>
          <w:sz w:val="28"/>
          <w:szCs w:val="28"/>
        </w:rPr>
        <w:t xml:space="preserve">sione ai sensi dell’art. 6 del </w:t>
      </w:r>
      <w:r w:rsidR="004F0CCD">
        <w:rPr>
          <w:rFonts w:ascii="Garamond" w:hAnsi="Garamond" w:cs="Times New Roman"/>
          <w:color w:val="000000" w:themeColor="text1"/>
          <w:sz w:val="28"/>
          <w:szCs w:val="28"/>
        </w:rPr>
        <w:t>d.lgs.</w:t>
      </w:r>
      <w:r w:rsidR="00C3480C">
        <w:rPr>
          <w:rFonts w:ascii="Garamond" w:hAnsi="Garamond" w:cs="Times New Roman"/>
          <w:color w:val="000000" w:themeColor="text1"/>
          <w:sz w:val="28"/>
          <w:szCs w:val="28"/>
        </w:rPr>
        <w:t xml:space="preserve"> 11 febbraio </w:t>
      </w:r>
      <w:r w:rsidR="003523C1" w:rsidRPr="00BF2644">
        <w:rPr>
          <w:rFonts w:ascii="Garamond" w:hAnsi="Garamond" w:cs="Times New Roman"/>
          <w:color w:val="000000" w:themeColor="text1"/>
          <w:sz w:val="28"/>
          <w:szCs w:val="28"/>
        </w:rPr>
        <w:t>2010</w:t>
      </w:r>
      <w:r w:rsidR="00C3480C">
        <w:rPr>
          <w:rFonts w:ascii="Garamond" w:hAnsi="Garamond" w:cs="Times New Roman"/>
          <w:color w:val="000000" w:themeColor="text1"/>
          <w:sz w:val="28"/>
          <w:szCs w:val="28"/>
        </w:rPr>
        <w:t xml:space="preserve"> n. 22</w:t>
      </w:r>
      <w:r w:rsidR="004D4B73" w:rsidRPr="00BF2644">
        <w:rPr>
          <w:rFonts w:ascii="Garamond" w:hAnsi="Garamond" w:cs="Times New Roman"/>
          <w:color w:val="000000" w:themeColor="text1"/>
          <w:sz w:val="28"/>
          <w:szCs w:val="28"/>
        </w:rPr>
        <w:t xml:space="preserve"> (</w:t>
      </w:r>
      <w:r w:rsidR="008B5381" w:rsidRPr="00BF2644">
        <w:rPr>
          <w:rFonts w:ascii="Garamond" w:hAnsi="Garamond" w:cs="Times New Roman"/>
          <w:color w:val="000000" w:themeColor="text1"/>
          <w:sz w:val="28"/>
          <w:szCs w:val="28"/>
        </w:rPr>
        <w:t>“</w:t>
      </w:r>
      <w:r w:rsidR="004D4B73" w:rsidRPr="00BF2644">
        <w:rPr>
          <w:rFonts w:ascii="Garamond" w:hAnsi="Garamond" w:cs="Times New Roman"/>
          <w:i/>
          <w:color w:val="000000" w:themeColor="text1"/>
          <w:sz w:val="28"/>
          <w:szCs w:val="28"/>
        </w:rPr>
        <w:t>Rilascio di concessioni di coltivazione per risorse geotermiche di interesse nazionale e locale</w:t>
      </w:r>
      <w:r w:rsidR="008B5381" w:rsidRPr="00BF2644">
        <w:rPr>
          <w:rFonts w:ascii="Garamond" w:hAnsi="Garamond" w:cs="Times New Roman"/>
          <w:i/>
          <w:color w:val="000000" w:themeColor="text1"/>
          <w:sz w:val="28"/>
          <w:szCs w:val="28"/>
        </w:rPr>
        <w:t>”</w:t>
      </w:r>
      <w:r w:rsidR="008B5381" w:rsidRPr="00BF2644">
        <w:rPr>
          <w:rFonts w:ascii="Garamond" w:hAnsi="Garamond" w:cs="Times New Roman"/>
          <w:color w:val="000000" w:themeColor="text1"/>
          <w:sz w:val="28"/>
          <w:szCs w:val="28"/>
        </w:rPr>
        <w:t xml:space="preserve">) </w:t>
      </w:r>
      <w:r w:rsidR="003523C1" w:rsidRPr="00BF2644">
        <w:rPr>
          <w:rFonts w:ascii="Garamond" w:hAnsi="Garamond" w:cs="Times New Roman"/>
          <w:color w:val="000000" w:themeColor="text1"/>
          <w:sz w:val="28"/>
          <w:szCs w:val="28"/>
        </w:rPr>
        <w:t>e contestualmente l’autorizzazione alla costruzione e all’esercizio della centrale geotermoelettrica necessaria per sfruttar</w:t>
      </w:r>
      <w:r>
        <w:rPr>
          <w:rFonts w:ascii="Garamond" w:hAnsi="Garamond" w:cs="Times New Roman"/>
          <w:color w:val="000000" w:themeColor="text1"/>
          <w:sz w:val="28"/>
          <w:szCs w:val="28"/>
        </w:rPr>
        <w:t xml:space="preserve">la, ai sensi dell’art. 12 del </w:t>
      </w:r>
      <w:r w:rsidR="004F0CCD">
        <w:rPr>
          <w:rFonts w:ascii="Garamond" w:hAnsi="Garamond" w:cs="Times New Roman"/>
          <w:color w:val="000000" w:themeColor="text1"/>
          <w:sz w:val="28"/>
          <w:szCs w:val="28"/>
        </w:rPr>
        <w:t>d.lgs.</w:t>
      </w:r>
      <w:r w:rsidR="003523C1" w:rsidRPr="00BF2644">
        <w:rPr>
          <w:rFonts w:ascii="Garamond" w:hAnsi="Garamond" w:cs="Times New Roman"/>
          <w:color w:val="000000" w:themeColor="text1"/>
          <w:sz w:val="28"/>
          <w:szCs w:val="28"/>
        </w:rPr>
        <w:t xml:space="preserve"> n.387</w:t>
      </w:r>
      <w:r w:rsidR="004D4B73" w:rsidRPr="00BF2644">
        <w:rPr>
          <w:rFonts w:ascii="Garamond" w:hAnsi="Garamond" w:cs="Times New Roman"/>
          <w:color w:val="000000" w:themeColor="text1"/>
          <w:sz w:val="28"/>
          <w:szCs w:val="28"/>
        </w:rPr>
        <w:t xml:space="preserve"> del </w:t>
      </w:r>
      <w:r w:rsidR="00E214F6" w:rsidRPr="00BF2644">
        <w:rPr>
          <w:rFonts w:ascii="Garamond" w:hAnsi="Garamond" w:cs="Times New Roman"/>
          <w:color w:val="000000" w:themeColor="text1"/>
          <w:sz w:val="28"/>
          <w:szCs w:val="28"/>
        </w:rPr>
        <w:t>2003</w:t>
      </w:r>
      <w:r w:rsidR="00E214F6">
        <w:rPr>
          <w:rFonts w:ascii="Garamond" w:hAnsi="Garamond" w:cs="Times New Roman"/>
          <w:color w:val="000000" w:themeColor="text1"/>
          <w:sz w:val="28"/>
          <w:szCs w:val="28"/>
        </w:rPr>
        <w:t xml:space="preserve">, </w:t>
      </w:r>
      <w:r w:rsidR="00E214F6" w:rsidRPr="00BF2644">
        <w:rPr>
          <w:rFonts w:ascii="Garamond" w:hAnsi="Garamond" w:cs="Times New Roman"/>
          <w:color w:val="000000" w:themeColor="text1"/>
          <w:sz w:val="28"/>
          <w:szCs w:val="28"/>
        </w:rPr>
        <w:t>nonché</w:t>
      </w:r>
      <w:r w:rsidR="003523C1" w:rsidRPr="00BF2644">
        <w:rPr>
          <w:rFonts w:ascii="Garamond" w:hAnsi="Garamond" w:cs="Times New Roman"/>
          <w:color w:val="000000" w:themeColor="text1"/>
          <w:sz w:val="28"/>
          <w:szCs w:val="28"/>
        </w:rPr>
        <w:t xml:space="preserve"> </w:t>
      </w:r>
      <w:r w:rsidR="004D4B73" w:rsidRPr="00BF2644">
        <w:rPr>
          <w:rFonts w:ascii="Garamond" w:hAnsi="Garamond" w:cs="Times New Roman"/>
          <w:color w:val="000000" w:themeColor="text1"/>
          <w:sz w:val="28"/>
          <w:szCs w:val="28"/>
        </w:rPr>
        <w:t>la VIA</w:t>
      </w:r>
      <w:r w:rsidR="003523C1" w:rsidRPr="00BF2644">
        <w:rPr>
          <w:rFonts w:ascii="Garamond" w:hAnsi="Garamond" w:cs="Times New Roman"/>
          <w:color w:val="000000" w:themeColor="text1"/>
          <w:sz w:val="28"/>
          <w:szCs w:val="28"/>
        </w:rPr>
        <w:t xml:space="preserve"> di competen</w:t>
      </w:r>
      <w:r w:rsidR="004D4B73" w:rsidRPr="00BF2644">
        <w:rPr>
          <w:rFonts w:ascii="Garamond" w:hAnsi="Garamond" w:cs="Times New Roman"/>
          <w:color w:val="000000" w:themeColor="text1"/>
          <w:sz w:val="28"/>
          <w:szCs w:val="28"/>
        </w:rPr>
        <w:t>za regionale di cui a</w:t>
      </w:r>
      <w:r w:rsidR="003523C1" w:rsidRPr="00BF2644">
        <w:rPr>
          <w:rFonts w:ascii="Garamond" w:hAnsi="Garamond" w:cs="Times New Roman"/>
          <w:color w:val="000000" w:themeColor="text1"/>
          <w:sz w:val="28"/>
          <w:szCs w:val="28"/>
        </w:rPr>
        <w:t>lla lettera v) dell’allegato III alla parte II d</w:t>
      </w:r>
      <w:r w:rsidR="004A13DF">
        <w:rPr>
          <w:rFonts w:ascii="Garamond" w:hAnsi="Garamond" w:cs="Times New Roman"/>
          <w:color w:val="000000" w:themeColor="text1"/>
          <w:sz w:val="28"/>
          <w:szCs w:val="28"/>
        </w:rPr>
        <w:t>el d.</w:t>
      </w:r>
      <w:r w:rsidR="004D4B73" w:rsidRPr="00BF2644">
        <w:rPr>
          <w:rFonts w:ascii="Garamond" w:hAnsi="Garamond" w:cs="Times New Roman"/>
          <w:color w:val="000000" w:themeColor="text1"/>
          <w:sz w:val="28"/>
          <w:szCs w:val="28"/>
        </w:rPr>
        <w:t>lgs</w:t>
      </w:r>
      <w:r>
        <w:rPr>
          <w:rFonts w:ascii="Garamond" w:hAnsi="Garamond" w:cs="Times New Roman"/>
          <w:color w:val="000000" w:themeColor="text1"/>
          <w:sz w:val="28"/>
          <w:szCs w:val="28"/>
        </w:rPr>
        <w:t xml:space="preserve">. </w:t>
      </w:r>
      <w:r w:rsidR="004D4B73" w:rsidRPr="00BF2644">
        <w:rPr>
          <w:rFonts w:ascii="Garamond" w:hAnsi="Garamond" w:cs="Times New Roman"/>
          <w:color w:val="000000" w:themeColor="text1"/>
          <w:sz w:val="28"/>
          <w:szCs w:val="28"/>
        </w:rPr>
        <w:t>n.152</w:t>
      </w:r>
      <w:r>
        <w:rPr>
          <w:rFonts w:ascii="Garamond" w:hAnsi="Garamond" w:cs="Times New Roman"/>
          <w:color w:val="000000" w:themeColor="text1"/>
          <w:sz w:val="28"/>
          <w:szCs w:val="28"/>
        </w:rPr>
        <w:t xml:space="preserve"> del 2006</w:t>
      </w:r>
      <w:r w:rsidR="004D4B73" w:rsidRPr="00BF2644">
        <w:rPr>
          <w:rFonts w:ascii="Garamond" w:hAnsi="Garamond" w:cs="Times New Roman"/>
          <w:color w:val="000000" w:themeColor="text1"/>
          <w:sz w:val="28"/>
          <w:szCs w:val="28"/>
        </w:rPr>
        <w:t>, disciplinata</w:t>
      </w:r>
      <w:r w:rsidR="003523C1" w:rsidRPr="00BF2644">
        <w:rPr>
          <w:rFonts w:ascii="Garamond" w:hAnsi="Garamond" w:cs="Times New Roman"/>
          <w:color w:val="000000" w:themeColor="text1"/>
          <w:sz w:val="28"/>
          <w:szCs w:val="28"/>
        </w:rPr>
        <w:t xml:space="preserve">, oltre che dalle norme generali di questo </w:t>
      </w:r>
      <w:r w:rsidR="006C564E">
        <w:rPr>
          <w:rFonts w:ascii="Garamond" w:hAnsi="Garamond" w:cs="Times New Roman"/>
          <w:color w:val="000000" w:themeColor="text1"/>
          <w:sz w:val="28"/>
          <w:szCs w:val="28"/>
        </w:rPr>
        <w:t>decreto</w:t>
      </w:r>
      <w:r w:rsidR="003523C1" w:rsidRPr="00BF2644">
        <w:rPr>
          <w:rFonts w:ascii="Garamond" w:hAnsi="Garamond" w:cs="Times New Roman"/>
          <w:color w:val="000000" w:themeColor="text1"/>
          <w:sz w:val="28"/>
          <w:szCs w:val="28"/>
        </w:rPr>
        <w:t>, appu</w:t>
      </w:r>
      <w:r w:rsidR="007C254A">
        <w:rPr>
          <w:rFonts w:ascii="Garamond" w:hAnsi="Garamond" w:cs="Times New Roman"/>
          <w:color w:val="000000" w:themeColor="text1"/>
          <w:sz w:val="28"/>
          <w:szCs w:val="28"/>
        </w:rPr>
        <w:t xml:space="preserve">nto dalle norme regionali (Cons. </w:t>
      </w:r>
      <w:r w:rsidR="003523C1" w:rsidRPr="00BF2644">
        <w:rPr>
          <w:rFonts w:ascii="Garamond" w:hAnsi="Garamond" w:cs="Times New Roman"/>
          <w:color w:val="000000" w:themeColor="text1"/>
          <w:sz w:val="28"/>
          <w:szCs w:val="28"/>
        </w:rPr>
        <w:t xml:space="preserve">Stato, sez. </w:t>
      </w:r>
      <w:r w:rsidR="00261E14" w:rsidRPr="00BF2644">
        <w:rPr>
          <w:rFonts w:ascii="Garamond" w:hAnsi="Garamond" w:cs="Times New Roman"/>
          <w:color w:val="000000" w:themeColor="text1"/>
          <w:sz w:val="28"/>
          <w:szCs w:val="28"/>
        </w:rPr>
        <w:t>IV</w:t>
      </w:r>
      <w:r w:rsidR="00261E14">
        <w:rPr>
          <w:rFonts w:ascii="Garamond" w:hAnsi="Garamond" w:cs="Times New Roman"/>
          <w:color w:val="000000" w:themeColor="text1"/>
          <w:sz w:val="28"/>
          <w:szCs w:val="28"/>
        </w:rPr>
        <w:t xml:space="preserve">, </w:t>
      </w:r>
      <w:r w:rsidR="00261E14" w:rsidRPr="00BF2644">
        <w:rPr>
          <w:rFonts w:ascii="Garamond" w:hAnsi="Garamond" w:cs="Times New Roman"/>
          <w:color w:val="000000" w:themeColor="text1"/>
          <w:sz w:val="28"/>
          <w:szCs w:val="28"/>
        </w:rPr>
        <w:t>n.</w:t>
      </w:r>
      <w:r w:rsidR="003523C1" w:rsidRPr="00BF2644">
        <w:rPr>
          <w:rFonts w:ascii="Garamond" w:hAnsi="Garamond" w:cs="Times New Roman"/>
          <w:color w:val="000000" w:themeColor="text1"/>
          <w:sz w:val="28"/>
          <w:szCs w:val="28"/>
        </w:rPr>
        <w:t xml:space="preserve"> 10226 del 2022 che ha affermato che il procedimento non è regolato dall’art. 27</w:t>
      </w:r>
      <w:r w:rsidR="004A1FB7">
        <w:rPr>
          <w:rFonts w:ascii="Garamond" w:hAnsi="Garamond" w:cs="Times New Roman"/>
          <w:color w:val="000000" w:themeColor="text1"/>
          <w:sz w:val="28"/>
          <w:szCs w:val="28"/>
        </w:rPr>
        <w:t>-</w:t>
      </w:r>
      <w:r w:rsidR="004A1FB7" w:rsidRPr="004A1FB7">
        <w:rPr>
          <w:rFonts w:ascii="Garamond" w:hAnsi="Garamond" w:cs="Times New Roman"/>
          <w:i/>
          <w:color w:val="000000" w:themeColor="text1"/>
          <w:sz w:val="28"/>
          <w:szCs w:val="28"/>
        </w:rPr>
        <w:t>bis</w:t>
      </w:r>
      <w:r w:rsidR="00684E45">
        <w:rPr>
          <w:rFonts w:ascii="Garamond" w:hAnsi="Garamond" w:cs="Times New Roman"/>
          <w:color w:val="000000" w:themeColor="text1"/>
          <w:sz w:val="28"/>
          <w:szCs w:val="28"/>
        </w:rPr>
        <w:t xml:space="preserve"> del d.</w:t>
      </w:r>
      <w:r w:rsidR="003523C1" w:rsidRPr="00BF2644">
        <w:rPr>
          <w:rFonts w:ascii="Garamond" w:hAnsi="Garamond" w:cs="Times New Roman"/>
          <w:color w:val="000000" w:themeColor="text1"/>
          <w:sz w:val="28"/>
          <w:szCs w:val="28"/>
        </w:rPr>
        <w:t xml:space="preserve">lgs. 152/2006 </w:t>
      </w:r>
      <w:r w:rsidR="00C265EB">
        <w:rPr>
          <w:rFonts w:ascii="Garamond" w:hAnsi="Garamond" w:cs="Times New Roman"/>
          <w:color w:val="000000" w:themeColor="text1"/>
          <w:sz w:val="28"/>
          <w:szCs w:val="28"/>
        </w:rPr>
        <w:t>-riferito al</w:t>
      </w:r>
      <w:r w:rsidR="009E611A">
        <w:rPr>
          <w:rFonts w:ascii="Garamond" w:hAnsi="Garamond" w:cs="Times New Roman"/>
          <w:color w:val="000000" w:themeColor="text1"/>
          <w:sz w:val="28"/>
          <w:szCs w:val="28"/>
        </w:rPr>
        <w:t xml:space="preserve"> PAUR- </w:t>
      </w:r>
      <w:r w:rsidR="003523C1" w:rsidRPr="00BF2644">
        <w:rPr>
          <w:rFonts w:ascii="Garamond" w:hAnsi="Garamond" w:cs="Times New Roman"/>
          <w:color w:val="000000" w:themeColor="text1"/>
          <w:sz w:val="28"/>
          <w:szCs w:val="28"/>
        </w:rPr>
        <w:t xml:space="preserve"> in cui vi è effettivamente un unico provvedimento di VIA che però assorbe in sé tanto la valutazione sull’impatto ambientale vera e propria, quanto gli altri titoli eventualmente richiesti per realizzare il progetto; </w:t>
      </w:r>
      <w:r w:rsidR="008B5381" w:rsidRPr="00BF2644">
        <w:rPr>
          <w:rFonts w:ascii="Garamond" w:hAnsi="Garamond" w:cs="Times New Roman"/>
          <w:color w:val="000000" w:themeColor="text1"/>
          <w:sz w:val="28"/>
          <w:szCs w:val="28"/>
        </w:rPr>
        <w:t xml:space="preserve">nella fattispecie </w:t>
      </w:r>
      <w:r w:rsidR="003523C1" w:rsidRPr="00BF2644">
        <w:rPr>
          <w:rFonts w:ascii="Garamond" w:hAnsi="Garamond" w:cs="Times New Roman"/>
          <w:color w:val="000000" w:themeColor="text1"/>
          <w:sz w:val="28"/>
          <w:szCs w:val="28"/>
        </w:rPr>
        <w:t>l</w:t>
      </w:r>
      <w:r w:rsidR="004D4B73" w:rsidRPr="00BF2644">
        <w:rPr>
          <w:rFonts w:ascii="Garamond" w:hAnsi="Garamond" w:cs="Times New Roman"/>
          <w:color w:val="000000" w:themeColor="text1"/>
          <w:sz w:val="28"/>
          <w:szCs w:val="28"/>
        </w:rPr>
        <w:t>o schema procedimentale è differente, essendo il provvedimento</w:t>
      </w:r>
      <w:r w:rsidR="008B5381" w:rsidRPr="00BF2644">
        <w:rPr>
          <w:rFonts w:ascii="Garamond" w:hAnsi="Garamond" w:cs="Times New Roman"/>
          <w:color w:val="000000" w:themeColor="text1"/>
          <w:sz w:val="28"/>
          <w:szCs w:val="28"/>
        </w:rPr>
        <w:t xml:space="preserve"> unico </w:t>
      </w:r>
      <w:r w:rsidR="003523C1" w:rsidRPr="00BF2644">
        <w:rPr>
          <w:rFonts w:ascii="Garamond" w:hAnsi="Garamond" w:cs="Times New Roman"/>
          <w:color w:val="000000" w:themeColor="text1"/>
          <w:sz w:val="28"/>
          <w:szCs w:val="28"/>
        </w:rPr>
        <w:t xml:space="preserve"> quello finale di concessione della risorsa e di autorizzazione a gestire l’impianto, che si avvale di una VIA rilasciata all’esito di un autonomo subprocedimento</w:t>
      </w:r>
      <w:r w:rsidR="008B5381" w:rsidRPr="00BF2644">
        <w:rPr>
          <w:rFonts w:ascii="Garamond" w:hAnsi="Garamond" w:cs="Times New Roman"/>
          <w:color w:val="000000" w:themeColor="text1"/>
          <w:sz w:val="28"/>
          <w:szCs w:val="28"/>
        </w:rPr>
        <w:t>).</w:t>
      </w:r>
    </w:p>
    <w:p w:rsidR="003E37AA" w:rsidRDefault="003E37AA" w:rsidP="00BF2644">
      <w:pPr>
        <w:spacing w:line="240" w:lineRule="auto"/>
        <w:ind w:firstLine="709"/>
        <w:contextualSpacing/>
        <w:jc w:val="both"/>
        <w:rPr>
          <w:rFonts w:ascii="Garamond" w:hAnsi="Garamond" w:cs="Times New Roman"/>
          <w:b/>
          <w:color w:val="000000" w:themeColor="text1"/>
          <w:sz w:val="28"/>
          <w:szCs w:val="28"/>
        </w:rPr>
      </w:pPr>
    </w:p>
    <w:p w:rsidR="00A239DF" w:rsidRDefault="00A239DF" w:rsidP="00BF2644">
      <w:pPr>
        <w:spacing w:line="240" w:lineRule="auto"/>
        <w:ind w:firstLine="709"/>
        <w:contextualSpacing/>
        <w:jc w:val="both"/>
        <w:rPr>
          <w:rFonts w:ascii="Garamond" w:hAnsi="Garamond" w:cs="Times New Roman"/>
          <w:b/>
          <w:color w:val="000000" w:themeColor="text1"/>
          <w:sz w:val="28"/>
          <w:szCs w:val="28"/>
        </w:rPr>
      </w:pPr>
      <w:r w:rsidRPr="00BF2644">
        <w:rPr>
          <w:rFonts w:ascii="Garamond" w:hAnsi="Garamond" w:cs="Times New Roman"/>
          <w:b/>
          <w:color w:val="000000" w:themeColor="text1"/>
          <w:sz w:val="28"/>
          <w:szCs w:val="28"/>
        </w:rPr>
        <w:t>2.8. Impianti a bioliquidi, biomasse, biogas</w:t>
      </w:r>
      <w:r w:rsidR="008E7576" w:rsidRPr="00BF2644">
        <w:rPr>
          <w:rFonts w:ascii="Garamond" w:hAnsi="Garamond" w:cs="Times New Roman"/>
          <w:b/>
          <w:color w:val="000000" w:themeColor="text1"/>
          <w:sz w:val="28"/>
          <w:szCs w:val="28"/>
        </w:rPr>
        <w:t xml:space="preserve">. </w:t>
      </w:r>
    </w:p>
    <w:p w:rsidR="00C3480C" w:rsidRPr="00C3480C" w:rsidRDefault="00C3480C" w:rsidP="00BF2644">
      <w:pPr>
        <w:spacing w:line="240" w:lineRule="auto"/>
        <w:ind w:firstLine="709"/>
        <w:contextualSpacing/>
        <w:jc w:val="both"/>
        <w:rPr>
          <w:rFonts w:ascii="Garamond" w:hAnsi="Garamond" w:cs="Times New Roman"/>
          <w:color w:val="000000" w:themeColor="text1"/>
          <w:sz w:val="28"/>
          <w:szCs w:val="28"/>
        </w:rPr>
      </w:pPr>
      <w:r w:rsidRPr="00C3480C">
        <w:rPr>
          <w:rFonts w:ascii="Garamond" w:hAnsi="Garamond" w:cs="Times New Roman"/>
          <w:color w:val="000000" w:themeColor="text1"/>
          <w:sz w:val="28"/>
          <w:szCs w:val="28"/>
        </w:rPr>
        <w:t xml:space="preserve">La giurisprudenza della Corte di </w:t>
      </w:r>
      <w:r w:rsidR="006C564E">
        <w:rPr>
          <w:rFonts w:ascii="Garamond" w:hAnsi="Garamond" w:cs="Times New Roman"/>
          <w:color w:val="000000" w:themeColor="text1"/>
          <w:sz w:val="28"/>
          <w:szCs w:val="28"/>
        </w:rPr>
        <w:t>giustizia</w:t>
      </w:r>
      <w:r w:rsidRPr="00C3480C">
        <w:rPr>
          <w:rFonts w:ascii="Garamond" w:hAnsi="Garamond" w:cs="Times New Roman"/>
          <w:color w:val="000000" w:themeColor="text1"/>
          <w:sz w:val="28"/>
          <w:szCs w:val="28"/>
        </w:rPr>
        <w:t xml:space="preserve"> UE ha chiarito che:</w:t>
      </w:r>
    </w:p>
    <w:p w:rsidR="00803B51" w:rsidRDefault="009A74B1" w:rsidP="00803B51">
      <w:pPr>
        <w:spacing w:line="240" w:lineRule="auto"/>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          - </w:t>
      </w:r>
      <w:r w:rsidR="00363D75">
        <w:rPr>
          <w:rFonts w:ascii="Garamond" w:hAnsi="Garamond" w:cs="Times New Roman"/>
          <w:color w:val="000000" w:themeColor="text1"/>
          <w:sz w:val="28"/>
          <w:szCs w:val="28"/>
        </w:rPr>
        <w:t>l</w:t>
      </w:r>
      <w:r w:rsidR="00FA75E2">
        <w:rPr>
          <w:rFonts w:ascii="Garamond" w:hAnsi="Garamond" w:cs="Times New Roman"/>
          <w:color w:val="000000" w:themeColor="text1"/>
          <w:sz w:val="28"/>
          <w:szCs w:val="28"/>
        </w:rPr>
        <w:t xml:space="preserve">’art. 6 </w:t>
      </w:r>
      <w:r w:rsidR="00FA75E2" w:rsidRPr="00FA75E2">
        <w:rPr>
          <w:rFonts w:ascii="Garamond" w:hAnsi="Garamond" w:cs="Times New Roman"/>
          <w:color w:val="000000" w:themeColor="text1"/>
          <w:sz w:val="28"/>
          <w:szCs w:val="28"/>
        </w:rPr>
        <w:t xml:space="preserve">par. 1 e 4, della </w:t>
      </w:r>
      <w:r w:rsidR="006C564E">
        <w:rPr>
          <w:rFonts w:ascii="Garamond" w:hAnsi="Garamond" w:cs="Times New Roman"/>
          <w:color w:val="000000" w:themeColor="text1"/>
          <w:sz w:val="28"/>
          <w:szCs w:val="28"/>
        </w:rPr>
        <w:t>direttiva</w:t>
      </w:r>
      <w:r w:rsidR="00647079">
        <w:rPr>
          <w:rFonts w:ascii="Garamond" w:hAnsi="Garamond" w:cs="Times New Roman"/>
          <w:color w:val="000000" w:themeColor="text1"/>
          <w:sz w:val="28"/>
          <w:szCs w:val="28"/>
        </w:rPr>
        <w:t xml:space="preserve"> 2008/98/Ce del Parlamento europeo e del C</w:t>
      </w:r>
      <w:r w:rsidR="00FA75E2" w:rsidRPr="00FA75E2">
        <w:rPr>
          <w:rFonts w:ascii="Garamond" w:hAnsi="Garamond" w:cs="Times New Roman"/>
          <w:color w:val="000000" w:themeColor="text1"/>
          <w:sz w:val="28"/>
          <w:szCs w:val="28"/>
        </w:rPr>
        <w:t xml:space="preserve">onsiglio, del 19 novembre 2008, relativa ai rifiuti e che abroga alcune direttive, e l'art. 13, par. 1, della </w:t>
      </w:r>
      <w:r w:rsidR="006C564E">
        <w:rPr>
          <w:rFonts w:ascii="Garamond" w:hAnsi="Garamond" w:cs="Times New Roman"/>
          <w:color w:val="000000" w:themeColor="text1"/>
          <w:sz w:val="28"/>
          <w:szCs w:val="28"/>
        </w:rPr>
        <w:t>direttiva</w:t>
      </w:r>
      <w:r w:rsidR="00647079">
        <w:rPr>
          <w:rFonts w:ascii="Garamond" w:hAnsi="Garamond" w:cs="Times New Roman"/>
          <w:color w:val="000000" w:themeColor="text1"/>
          <w:sz w:val="28"/>
          <w:szCs w:val="28"/>
        </w:rPr>
        <w:t xml:space="preserve"> 2009/28/Ce del Parlamento europeo e del C</w:t>
      </w:r>
      <w:r w:rsidR="00FA75E2" w:rsidRPr="00FA75E2">
        <w:rPr>
          <w:rFonts w:ascii="Garamond" w:hAnsi="Garamond" w:cs="Times New Roman"/>
          <w:color w:val="000000" w:themeColor="text1"/>
          <w:sz w:val="28"/>
          <w:szCs w:val="28"/>
        </w:rPr>
        <w:t xml:space="preserve">onsiglio, del 23 aprile 2009, sulla promozione dell'uso dell'energia da fonti rinnovabili, recante modifica e successiva abrogazione delle direttive 2001/77/Ce e 2003/30/Ce, come modificata dalla </w:t>
      </w:r>
      <w:r w:rsidR="006C564E">
        <w:rPr>
          <w:rFonts w:ascii="Garamond" w:hAnsi="Garamond" w:cs="Times New Roman"/>
          <w:color w:val="000000" w:themeColor="text1"/>
          <w:sz w:val="28"/>
          <w:szCs w:val="28"/>
        </w:rPr>
        <w:t>direttiva</w:t>
      </w:r>
      <w:r w:rsidR="00647079">
        <w:rPr>
          <w:rFonts w:ascii="Garamond" w:hAnsi="Garamond" w:cs="Times New Roman"/>
          <w:color w:val="000000" w:themeColor="text1"/>
          <w:sz w:val="28"/>
          <w:szCs w:val="28"/>
        </w:rPr>
        <w:t xml:space="preserve"> </w:t>
      </w:r>
      <w:r w:rsidR="00BD2F84">
        <w:rPr>
          <w:rFonts w:ascii="Garamond" w:hAnsi="Garamond" w:cs="Times New Roman"/>
          <w:color w:val="000000" w:themeColor="text1"/>
          <w:sz w:val="28"/>
          <w:szCs w:val="28"/>
        </w:rPr>
        <w:t>UE</w:t>
      </w:r>
      <w:r w:rsidR="00647079">
        <w:rPr>
          <w:rFonts w:ascii="Garamond" w:hAnsi="Garamond" w:cs="Times New Roman"/>
          <w:color w:val="000000" w:themeColor="text1"/>
          <w:sz w:val="28"/>
          <w:szCs w:val="28"/>
        </w:rPr>
        <w:t xml:space="preserve"> 2015/1513 del Parlamento europeo e del C</w:t>
      </w:r>
      <w:r w:rsidR="00FA75E2" w:rsidRPr="00FA75E2">
        <w:rPr>
          <w:rFonts w:ascii="Garamond" w:hAnsi="Garamond" w:cs="Times New Roman"/>
          <w:color w:val="000000" w:themeColor="text1"/>
          <w:sz w:val="28"/>
          <w:szCs w:val="28"/>
        </w:rPr>
        <w:t>onsiglio, del 9 settembre 2015, in combinato disposto, devono essere interpretati nel senso che non ostano a una normativa nazionale in forza della quale un'istanza di autoriz</w:t>
      </w:r>
      <w:r>
        <w:rPr>
          <w:rFonts w:ascii="Garamond" w:hAnsi="Garamond" w:cs="Times New Roman"/>
          <w:color w:val="000000" w:themeColor="text1"/>
          <w:sz w:val="28"/>
          <w:szCs w:val="28"/>
        </w:rPr>
        <w:t>zazione a sostituire il metano -</w:t>
      </w:r>
      <w:r w:rsidR="00FA75E2" w:rsidRPr="00FA75E2">
        <w:rPr>
          <w:rFonts w:ascii="Garamond" w:hAnsi="Garamond" w:cs="Times New Roman"/>
          <w:color w:val="000000" w:themeColor="text1"/>
          <w:sz w:val="28"/>
          <w:szCs w:val="28"/>
        </w:rPr>
        <w:t xml:space="preserve"> quale fonte di alimentazione di un impianto di produzione di energia elettrica che genera </w:t>
      </w:r>
      <w:r>
        <w:rPr>
          <w:rFonts w:ascii="Garamond" w:hAnsi="Garamond" w:cs="Times New Roman"/>
          <w:color w:val="000000" w:themeColor="text1"/>
          <w:sz w:val="28"/>
          <w:szCs w:val="28"/>
        </w:rPr>
        <w:t xml:space="preserve">emissioni in atmosfera - </w:t>
      </w:r>
      <w:r w:rsidR="00FA75E2" w:rsidRPr="00FA75E2">
        <w:rPr>
          <w:rFonts w:ascii="Garamond" w:hAnsi="Garamond" w:cs="Times New Roman"/>
          <w:color w:val="000000" w:themeColor="text1"/>
          <w:sz w:val="28"/>
          <w:szCs w:val="28"/>
        </w:rPr>
        <w:t xml:space="preserve">con una sostanza ottenuta dal trattamento chimico di oli vegetali esausti deve essere respinta per la ragione che tale sostanza non è iscritta nell'elenco delle categorie di combustibili ottenuti dalla biomassa autorizzati a tal fine e che detto elenco </w:t>
      </w:r>
      <w:r w:rsidR="00FA75E2" w:rsidRPr="00FA75E2">
        <w:rPr>
          <w:rFonts w:ascii="Garamond" w:hAnsi="Garamond" w:cs="Times New Roman"/>
          <w:color w:val="000000" w:themeColor="text1"/>
          <w:sz w:val="28"/>
          <w:szCs w:val="28"/>
        </w:rPr>
        <w:lastRenderedPageBreak/>
        <w:t xml:space="preserve">può essere modificato solo con </w:t>
      </w:r>
      <w:r w:rsidR="006C564E">
        <w:rPr>
          <w:rFonts w:ascii="Garamond" w:hAnsi="Garamond" w:cs="Times New Roman"/>
          <w:color w:val="000000" w:themeColor="text1"/>
          <w:sz w:val="28"/>
          <w:szCs w:val="28"/>
        </w:rPr>
        <w:t>decreto</w:t>
      </w:r>
      <w:r w:rsidR="00FA75E2" w:rsidRPr="00FA75E2">
        <w:rPr>
          <w:rFonts w:ascii="Garamond" w:hAnsi="Garamond" w:cs="Times New Roman"/>
          <w:color w:val="000000" w:themeColor="text1"/>
          <w:sz w:val="28"/>
          <w:szCs w:val="28"/>
        </w:rPr>
        <w:t xml:space="preserve"> ministeriale</w:t>
      </w:r>
      <w:r w:rsidR="00647079">
        <w:rPr>
          <w:rFonts w:ascii="Garamond" w:hAnsi="Garamond" w:cs="Times New Roman"/>
          <w:color w:val="000000" w:themeColor="text1"/>
          <w:sz w:val="28"/>
          <w:szCs w:val="28"/>
        </w:rPr>
        <w:t>,</w:t>
      </w:r>
      <w:r w:rsidR="00FA75E2" w:rsidRPr="00FA75E2">
        <w:rPr>
          <w:rFonts w:ascii="Garamond" w:hAnsi="Garamond" w:cs="Times New Roman"/>
          <w:color w:val="000000" w:themeColor="text1"/>
          <w:sz w:val="28"/>
          <w:szCs w:val="28"/>
        </w:rPr>
        <w:t xml:space="preserve"> la cui procedura di adozione non è coordinata con la procedura amministrativa di autorizzazione dell'utilizzo di tale sostanza come combustibile, se lo Stato membro ha potuto ritenere, senza incorrere in un errore manifesto di valutazione, che non sia stato dimostrato che l'utilizzo di tale olio vegetale, in simili circostanze, soddisfa le condizioni previste all'art. 6, par. 1, della </w:t>
      </w:r>
      <w:r w:rsidR="006C564E">
        <w:rPr>
          <w:rFonts w:ascii="Garamond" w:hAnsi="Garamond" w:cs="Times New Roman"/>
          <w:color w:val="000000" w:themeColor="text1"/>
          <w:sz w:val="28"/>
          <w:szCs w:val="28"/>
        </w:rPr>
        <w:t>direttiva</w:t>
      </w:r>
      <w:r w:rsidR="00FA75E2" w:rsidRPr="00FA75E2">
        <w:rPr>
          <w:rFonts w:ascii="Garamond" w:hAnsi="Garamond" w:cs="Times New Roman"/>
          <w:color w:val="000000" w:themeColor="text1"/>
          <w:sz w:val="28"/>
          <w:szCs w:val="28"/>
        </w:rPr>
        <w:t xml:space="preserve"> 2008/98 e, in particolare, è privo di qualsiasi possibile effetto nocivo sull'ambiente e sulla salute umana; spetta al giudice del rinvio verificare se tale ipotesi ricorra nel procedimento principale</w:t>
      </w:r>
      <w:r w:rsidR="00FA75E2">
        <w:rPr>
          <w:rFonts w:ascii="Garamond" w:hAnsi="Garamond" w:cs="Times New Roman"/>
          <w:color w:val="000000" w:themeColor="text1"/>
          <w:sz w:val="28"/>
          <w:szCs w:val="28"/>
        </w:rPr>
        <w:t xml:space="preserve"> </w:t>
      </w:r>
      <w:r w:rsidR="00EE7B55">
        <w:rPr>
          <w:rFonts w:ascii="Garamond" w:hAnsi="Garamond" w:cs="Times New Roman"/>
          <w:color w:val="000000" w:themeColor="text1"/>
          <w:sz w:val="28"/>
          <w:szCs w:val="28"/>
        </w:rPr>
        <w:t>[</w:t>
      </w:r>
      <w:r w:rsidR="00A239DF" w:rsidRPr="00BF2644">
        <w:rPr>
          <w:rFonts w:ascii="Garamond" w:hAnsi="Garamond" w:cs="Times New Roman"/>
          <w:color w:val="000000" w:themeColor="text1"/>
          <w:sz w:val="28"/>
          <w:szCs w:val="28"/>
        </w:rPr>
        <w:t xml:space="preserve">Corte di </w:t>
      </w:r>
      <w:r w:rsidR="006C564E">
        <w:rPr>
          <w:rFonts w:ascii="Garamond" w:hAnsi="Garamond" w:cs="Times New Roman"/>
          <w:color w:val="000000" w:themeColor="text1"/>
          <w:sz w:val="28"/>
          <w:szCs w:val="28"/>
        </w:rPr>
        <w:t>Giustizia</w:t>
      </w:r>
      <w:r w:rsidR="00EE7B55">
        <w:rPr>
          <w:rFonts w:ascii="Garamond" w:hAnsi="Garamond" w:cs="Times New Roman"/>
          <w:color w:val="000000" w:themeColor="text1"/>
          <w:sz w:val="28"/>
          <w:szCs w:val="28"/>
        </w:rPr>
        <w:t xml:space="preserve"> UE, </w:t>
      </w:r>
      <w:r w:rsidR="00A239DF" w:rsidRPr="00BF2644">
        <w:rPr>
          <w:rFonts w:ascii="Garamond" w:hAnsi="Garamond" w:cs="Times New Roman"/>
          <w:color w:val="000000" w:themeColor="text1"/>
          <w:sz w:val="28"/>
          <w:szCs w:val="28"/>
        </w:rPr>
        <w:t xml:space="preserve"> 24 ott</w:t>
      </w:r>
      <w:r w:rsidR="00EE7B55">
        <w:rPr>
          <w:rFonts w:ascii="Garamond" w:hAnsi="Garamond" w:cs="Times New Roman"/>
          <w:color w:val="000000" w:themeColor="text1"/>
          <w:sz w:val="28"/>
          <w:szCs w:val="28"/>
        </w:rPr>
        <w:t xml:space="preserve">obre 2019, C-212/18, resa in </w:t>
      </w:r>
      <w:r w:rsidR="00A239DF" w:rsidRPr="00BF2644">
        <w:rPr>
          <w:rFonts w:ascii="Garamond" w:hAnsi="Garamond" w:cs="Times New Roman"/>
          <w:color w:val="000000" w:themeColor="text1"/>
          <w:sz w:val="28"/>
          <w:szCs w:val="28"/>
        </w:rPr>
        <w:t xml:space="preserve"> riferimento alla questioni pregiudiziali sollevat</w:t>
      </w:r>
      <w:r w:rsidR="00EE7B55">
        <w:rPr>
          <w:rFonts w:ascii="Garamond" w:hAnsi="Garamond" w:cs="Times New Roman"/>
          <w:color w:val="000000" w:themeColor="text1"/>
          <w:sz w:val="28"/>
          <w:szCs w:val="28"/>
        </w:rPr>
        <w:t xml:space="preserve">a da </w:t>
      </w:r>
      <w:r w:rsidR="00747E93" w:rsidRPr="004A46FC">
        <w:rPr>
          <w:rFonts w:ascii="Garamond" w:hAnsi="Garamond" w:cs="Times New Roman"/>
          <w:color w:val="000000" w:themeColor="text1"/>
          <w:sz w:val="28"/>
          <w:szCs w:val="28"/>
        </w:rPr>
        <w:t>T</w:t>
      </w:r>
      <w:r w:rsidR="00747E93">
        <w:rPr>
          <w:rFonts w:ascii="Garamond" w:hAnsi="Garamond" w:cs="Times New Roman"/>
          <w:color w:val="000000" w:themeColor="text1"/>
          <w:sz w:val="28"/>
          <w:szCs w:val="28"/>
        </w:rPr>
        <w:t>.a.</w:t>
      </w:r>
      <w:r w:rsidR="00747E93" w:rsidRPr="004A46FC">
        <w:rPr>
          <w:rFonts w:ascii="Garamond" w:hAnsi="Garamond" w:cs="Times New Roman"/>
          <w:color w:val="000000" w:themeColor="text1"/>
          <w:sz w:val="28"/>
          <w:szCs w:val="28"/>
        </w:rPr>
        <w:t>r</w:t>
      </w:r>
      <w:r w:rsidR="00747E93">
        <w:rPr>
          <w:rFonts w:ascii="Garamond" w:hAnsi="Garamond" w:cs="Times New Roman"/>
          <w:color w:val="000000" w:themeColor="text1"/>
          <w:sz w:val="28"/>
          <w:szCs w:val="28"/>
        </w:rPr>
        <w:t>.</w:t>
      </w:r>
      <w:r w:rsidR="00747E93" w:rsidRPr="004A46FC">
        <w:rPr>
          <w:rFonts w:ascii="Garamond" w:hAnsi="Garamond" w:cs="Times New Roman"/>
          <w:color w:val="000000" w:themeColor="text1"/>
          <w:sz w:val="28"/>
          <w:szCs w:val="28"/>
        </w:rPr>
        <w:t xml:space="preserve"> </w:t>
      </w:r>
      <w:r w:rsidR="00EE7B55">
        <w:rPr>
          <w:rFonts w:ascii="Garamond" w:hAnsi="Garamond" w:cs="Times New Roman"/>
          <w:color w:val="000000" w:themeColor="text1"/>
          <w:sz w:val="28"/>
          <w:szCs w:val="28"/>
        </w:rPr>
        <w:t>Piemonte, sez. II, o</w:t>
      </w:r>
      <w:r w:rsidR="00A239DF" w:rsidRPr="00BF2644">
        <w:rPr>
          <w:rFonts w:ascii="Garamond" w:hAnsi="Garamond" w:cs="Times New Roman"/>
          <w:color w:val="000000" w:themeColor="text1"/>
          <w:sz w:val="28"/>
          <w:szCs w:val="28"/>
        </w:rPr>
        <w:t xml:space="preserve">rd. n. 318 del </w:t>
      </w:r>
      <w:r w:rsidR="00EE7B55" w:rsidRPr="00BF2644">
        <w:rPr>
          <w:rFonts w:ascii="Garamond" w:hAnsi="Garamond" w:cs="Times New Roman"/>
          <w:color w:val="000000" w:themeColor="text1"/>
          <w:sz w:val="28"/>
          <w:szCs w:val="28"/>
        </w:rPr>
        <w:t>2018, relativamente</w:t>
      </w:r>
      <w:r w:rsidR="00A239DF" w:rsidRPr="00BF2644">
        <w:rPr>
          <w:rFonts w:ascii="Garamond" w:hAnsi="Garamond" w:cs="Times New Roman"/>
          <w:color w:val="000000" w:themeColor="text1"/>
          <w:sz w:val="28"/>
          <w:szCs w:val="28"/>
        </w:rPr>
        <w:t xml:space="preserve"> alla compatibilità con il diritto europeo di due gruppi di previsioni normative nazionali, correlate al rilascio di autorizzazione all'impiego di un bioliquido come fonte di alimentazione di una centrale termica ed elet</w:t>
      </w:r>
      <w:r>
        <w:rPr>
          <w:rFonts w:ascii="Garamond" w:hAnsi="Garamond" w:cs="Times New Roman"/>
          <w:color w:val="000000" w:themeColor="text1"/>
          <w:sz w:val="28"/>
          <w:szCs w:val="28"/>
        </w:rPr>
        <w:t xml:space="preserve">trica (ovvero le norme del </w:t>
      </w:r>
      <w:r w:rsidR="004F0CCD">
        <w:rPr>
          <w:rFonts w:ascii="Garamond" w:hAnsi="Garamond" w:cs="Times New Roman"/>
          <w:color w:val="000000" w:themeColor="text1"/>
          <w:sz w:val="28"/>
          <w:szCs w:val="28"/>
        </w:rPr>
        <w:t>d.lgs.</w:t>
      </w:r>
      <w:r w:rsidR="00647079">
        <w:rPr>
          <w:rFonts w:ascii="Garamond" w:hAnsi="Garamond" w:cs="Times New Roman"/>
          <w:color w:val="000000" w:themeColor="text1"/>
          <w:sz w:val="28"/>
          <w:szCs w:val="28"/>
        </w:rPr>
        <w:t xml:space="preserve"> n.  152 del 20</w:t>
      </w:r>
      <w:r w:rsidR="00A239DF" w:rsidRPr="00BF2644">
        <w:rPr>
          <w:rFonts w:ascii="Garamond" w:hAnsi="Garamond" w:cs="Times New Roman"/>
          <w:color w:val="000000" w:themeColor="text1"/>
          <w:sz w:val="28"/>
          <w:szCs w:val="28"/>
        </w:rPr>
        <w:t>06 che a date condizioni impongono di considerare tale bioliquido come un rifi</w:t>
      </w:r>
      <w:r w:rsidR="00EE7B55">
        <w:rPr>
          <w:rFonts w:ascii="Garamond" w:hAnsi="Garamond" w:cs="Times New Roman"/>
          <w:color w:val="000000" w:themeColor="text1"/>
          <w:sz w:val="28"/>
          <w:szCs w:val="28"/>
        </w:rPr>
        <w:t xml:space="preserve">uto e la disposizione del </w:t>
      </w:r>
      <w:r w:rsidR="004F0CCD">
        <w:rPr>
          <w:rFonts w:ascii="Garamond" w:hAnsi="Garamond" w:cs="Times New Roman"/>
          <w:color w:val="000000" w:themeColor="text1"/>
          <w:sz w:val="28"/>
          <w:szCs w:val="28"/>
        </w:rPr>
        <w:t>d.lgs.</w:t>
      </w:r>
      <w:r w:rsidR="00A239DF" w:rsidRPr="00BF2644">
        <w:rPr>
          <w:rFonts w:ascii="Garamond" w:hAnsi="Garamond" w:cs="Times New Roman"/>
          <w:color w:val="000000" w:themeColor="text1"/>
          <w:sz w:val="28"/>
          <w:szCs w:val="28"/>
        </w:rPr>
        <w:t xml:space="preserve"> </w:t>
      </w:r>
      <w:r w:rsidR="00647079">
        <w:rPr>
          <w:rFonts w:ascii="Garamond" w:hAnsi="Garamond" w:cs="Times New Roman"/>
          <w:color w:val="000000" w:themeColor="text1"/>
          <w:sz w:val="28"/>
          <w:szCs w:val="28"/>
        </w:rPr>
        <w:t>n. 28 del 20</w:t>
      </w:r>
      <w:r w:rsidR="00A239DF" w:rsidRPr="00BF2644">
        <w:rPr>
          <w:rFonts w:ascii="Garamond" w:hAnsi="Garamond" w:cs="Times New Roman"/>
          <w:color w:val="000000" w:themeColor="text1"/>
          <w:sz w:val="28"/>
          <w:szCs w:val="28"/>
        </w:rPr>
        <w:t xml:space="preserve">11 che, nel disciplinare l'autorizzazione unica per gli impianti di produzione di energia </w:t>
      </w:r>
      <w:r w:rsidR="00EE7B55" w:rsidRPr="00BF2644">
        <w:rPr>
          <w:rFonts w:ascii="Garamond" w:hAnsi="Garamond" w:cs="Times New Roman"/>
          <w:color w:val="000000" w:themeColor="text1"/>
          <w:sz w:val="28"/>
          <w:szCs w:val="28"/>
        </w:rPr>
        <w:t>da fonti</w:t>
      </w:r>
      <w:r w:rsidR="00A239DF" w:rsidRPr="00BF2644">
        <w:rPr>
          <w:rFonts w:ascii="Garamond" w:hAnsi="Garamond" w:cs="Times New Roman"/>
          <w:color w:val="000000" w:themeColor="text1"/>
          <w:sz w:val="28"/>
          <w:szCs w:val="28"/>
        </w:rPr>
        <w:t xml:space="preserve"> rinnovabili, non risulta coordinata con la normativa ambie</w:t>
      </w:r>
      <w:r w:rsidR="00EE7B55">
        <w:rPr>
          <w:rFonts w:ascii="Garamond" w:hAnsi="Garamond" w:cs="Times New Roman"/>
          <w:color w:val="000000" w:themeColor="text1"/>
          <w:sz w:val="28"/>
          <w:szCs w:val="28"/>
        </w:rPr>
        <w:t xml:space="preserve">ntale del </w:t>
      </w:r>
      <w:r w:rsidR="004F0CCD">
        <w:rPr>
          <w:rFonts w:ascii="Garamond" w:hAnsi="Garamond" w:cs="Times New Roman"/>
          <w:color w:val="000000" w:themeColor="text1"/>
          <w:sz w:val="28"/>
          <w:szCs w:val="28"/>
        </w:rPr>
        <w:t>d.lgs.</w:t>
      </w:r>
      <w:r w:rsidR="00647079">
        <w:rPr>
          <w:rFonts w:ascii="Garamond" w:hAnsi="Garamond" w:cs="Times New Roman"/>
          <w:color w:val="000000" w:themeColor="text1"/>
          <w:sz w:val="28"/>
          <w:szCs w:val="28"/>
        </w:rPr>
        <w:t xml:space="preserve"> n. 152 del </w:t>
      </w:r>
      <w:r w:rsidR="00EE7B55">
        <w:rPr>
          <w:rFonts w:ascii="Garamond" w:hAnsi="Garamond" w:cs="Times New Roman"/>
          <w:color w:val="000000" w:themeColor="text1"/>
          <w:sz w:val="28"/>
          <w:szCs w:val="28"/>
        </w:rPr>
        <w:t>06</w:t>
      </w:r>
      <w:r w:rsidR="00363D75">
        <w:rPr>
          <w:rFonts w:ascii="Garamond" w:hAnsi="Garamond" w:cs="Times New Roman"/>
          <w:color w:val="000000" w:themeColor="text1"/>
          <w:sz w:val="28"/>
          <w:szCs w:val="28"/>
        </w:rPr>
        <w:t>)</w:t>
      </w:r>
      <w:r w:rsidR="00EE7B55">
        <w:rPr>
          <w:rFonts w:ascii="Garamond" w:hAnsi="Garamond" w:cs="Times New Roman"/>
          <w:color w:val="000000" w:themeColor="text1"/>
          <w:sz w:val="28"/>
          <w:szCs w:val="28"/>
        </w:rPr>
        <w:t>].</w:t>
      </w:r>
    </w:p>
    <w:p w:rsidR="00FE0B7A" w:rsidRPr="00FE0B7A" w:rsidRDefault="00803B51" w:rsidP="00803B51">
      <w:pPr>
        <w:spacing w:line="240" w:lineRule="auto"/>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         - </w:t>
      </w:r>
      <w:r w:rsidR="00363D75">
        <w:rPr>
          <w:rFonts w:ascii="Garamond" w:hAnsi="Garamond" w:cs="Times New Roman"/>
          <w:color w:val="000000" w:themeColor="text1"/>
          <w:sz w:val="28"/>
          <w:szCs w:val="28"/>
        </w:rPr>
        <w:t>l</w:t>
      </w:r>
      <w:r w:rsidR="00EE7B55">
        <w:rPr>
          <w:rFonts w:ascii="Garamond" w:hAnsi="Garamond" w:cs="Times New Roman"/>
          <w:color w:val="000000" w:themeColor="text1"/>
          <w:sz w:val="28"/>
          <w:szCs w:val="28"/>
        </w:rPr>
        <w:t>’</w:t>
      </w:r>
      <w:r w:rsidR="008E7576" w:rsidRPr="00BF2644">
        <w:rPr>
          <w:rFonts w:ascii="Garamond" w:hAnsi="Garamond" w:cs="Times New Roman"/>
          <w:color w:val="000000" w:themeColor="text1"/>
          <w:sz w:val="28"/>
          <w:szCs w:val="28"/>
        </w:rPr>
        <w:t xml:space="preserve">art. 18, par. 7, della </w:t>
      </w:r>
      <w:r w:rsidR="006C564E">
        <w:rPr>
          <w:rFonts w:ascii="Garamond" w:hAnsi="Garamond" w:cs="Times New Roman"/>
          <w:color w:val="000000" w:themeColor="text1"/>
          <w:sz w:val="28"/>
          <w:szCs w:val="28"/>
        </w:rPr>
        <w:t>direttiva</w:t>
      </w:r>
      <w:r w:rsidR="008E7576" w:rsidRPr="00BF2644">
        <w:rPr>
          <w:rFonts w:ascii="Garamond" w:hAnsi="Garamond" w:cs="Times New Roman"/>
          <w:color w:val="000000" w:themeColor="text1"/>
          <w:sz w:val="28"/>
          <w:szCs w:val="28"/>
        </w:rPr>
        <w:t xml:space="preserve"> 2009/28/</w:t>
      </w:r>
      <w:r w:rsidR="00363D75" w:rsidRPr="00BF2644">
        <w:rPr>
          <w:rFonts w:ascii="Garamond" w:hAnsi="Garamond" w:cs="Times New Roman"/>
          <w:color w:val="000000" w:themeColor="text1"/>
          <w:sz w:val="28"/>
          <w:szCs w:val="28"/>
        </w:rPr>
        <w:t>CE</w:t>
      </w:r>
      <w:r w:rsidR="00B878A6">
        <w:rPr>
          <w:rFonts w:ascii="Garamond" w:hAnsi="Garamond" w:cs="Times New Roman"/>
          <w:color w:val="000000" w:themeColor="text1"/>
          <w:sz w:val="28"/>
          <w:szCs w:val="28"/>
        </w:rPr>
        <w:t xml:space="preserve"> del  Parlamento europeo e del C</w:t>
      </w:r>
      <w:r w:rsidR="008E7576" w:rsidRPr="00BF2644">
        <w:rPr>
          <w:rFonts w:ascii="Garamond" w:hAnsi="Garamond" w:cs="Times New Roman"/>
          <w:color w:val="000000" w:themeColor="text1"/>
          <w:sz w:val="28"/>
          <w:szCs w:val="28"/>
        </w:rPr>
        <w:t>onsiglio, del 23 aprile 2009, sulla  promozione dell'uso dell'energia da fonti rinnovabili, recante  modifica e successiva abrogazione delle direttive 2001/77/</w:t>
      </w:r>
      <w:r w:rsidR="00363D75" w:rsidRPr="00BF2644">
        <w:rPr>
          <w:rFonts w:ascii="Garamond" w:hAnsi="Garamond" w:cs="Times New Roman"/>
          <w:color w:val="000000" w:themeColor="text1"/>
          <w:sz w:val="28"/>
          <w:szCs w:val="28"/>
        </w:rPr>
        <w:t xml:space="preserve">CE </w:t>
      </w:r>
      <w:r w:rsidR="008E7576" w:rsidRPr="00BF2644">
        <w:rPr>
          <w:rFonts w:ascii="Garamond" w:hAnsi="Garamond" w:cs="Times New Roman"/>
          <w:color w:val="000000" w:themeColor="text1"/>
          <w:sz w:val="28"/>
          <w:szCs w:val="28"/>
        </w:rPr>
        <w:t xml:space="preserve"> e 2003/30/</w:t>
      </w:r>
      <w:r w:rsidR="00363D75" w:rsidRPr="00BF2644">
        <w:rPr>
          <w:rFonts w:ascii="Garamond" w:hAnsi="Garamond" w:cs="Times New Roman"/>
          <w:color w:val="000000" w:themeColor="text1"/>
          <w:sz w:val="28"/>
          <w:szCs w:val="28"/>
        </w:rPr>
        <w:t>CE</w:t>
      </w:r>
      <w:r w:rsidR="008E7576" w:rsidRPr="00BF2644">
        <w:rPr>
          <w:rFonts w:ascii="Garamond" w:hAnsi="Garamond" w:cs="Times New Roman"/>
          <w:color w:val="000000" w:themeColor="text1"/>
          <w:sz w:val="28"/>
          <w:szCs w:val="28"/>
        </w:rPr>
        <w:t>, letto in combinato disposto con la decisione di  esecuzione 2011/438/</w:t>
      </w:r>
      <w:r w:rsidR="00363D75" w:rsidRPr="00BF2644">
        <w:rPr>
          <w:rFonts w:ascii="Garamond" w:hAnsi="Garamond" w:cs="Times New Roman"/>
          <w:color w:val="000000" w:themeColor="text1"/>
          <w:sz w:val="28"/>
          <w:szCs w:val="28"/>
        </w:rPr>
        <w:t>UE</w:t>
      </w:r>
      <w:r w:rsidR="008E7576" w:rsidRPr="00BF2644">
        <w:rPr>
          <w:rFonts w:ascii="Garamond" w:hAnsi="Garamond" w:cs="Times New Roman"/>
          <w:color w:val="000000" w:themeColor="text1"/>
          <w:sz w:val="28"/>
          <w:szCs w:val="28"/>
        </w:rPr>
        <w:t xml:space="preserve"> della </w:t>
      </w:r>
      <w:r w:rsidR="00161F00" w:rsidRPr="00BF2644">
        <w:rPr>
          <w:rFonts w:ascii="Garamond" w:hAnsi="Garamond" w:cs="Times New Roman"/>
          <w:color w:val="000000" w:themeColor="text1"/>
          <w:sz w:val="28"/>
          <w:szCs w:val="28"/>
        </w:rPr>
        <w:t>Commissione</w:t>
      </w:r>
      <w:r w:rsidR="008E7576" w:rsidRPr="00BF2644">
        <w:rPr>
          <w:rFonts w:ascii="Garamond" w:hAnsi="Garamond" w:cs="Times New Roman"/>
          <w:color w:val="000000" w:themeColor="text1"/>
          <w:sz w:val="28"/>
          <w:szCs w:val="28"/>
        </w:rPr>
        <w:t>, del 19 luglio 2011,  relativa al riconoscimento del sistema Iscc «</w:t>
      </w:r>
      <w:r w:rsidR="008E7576" w:rsidRPr="00363D75">
        <w:rPr>
          <w:rFonts w:ascii="Garamond" w:hAnsi="Garamond" w:cs="Times New Roman"/>
          <w:i/>
          <w:color w:val="000000" w:themeColor="text1"/>
          <w:sz w:val="28"/>
          <w:szCs w:val="28"/>
        </w:rPr>
        <w:t>International Sustainability and Carbon Certification</w:t>
      </w:r>
      <w:r w:rsidR="008E7576" w:rsidRPr="00BF2644">
        <w:rPr>
          <w:rFonts w:ascii="Garamond" w:hAnsi="Garamond" w:cs="Times New Roman"/>
          <w:color w:val="000000" w:themeColor="text1"/>
          <w:sz w:val="28"/>
          <w:szCs w:val="28"/>
        </w:rPr>
        <w:t>» per la verifica del rispetto dei criteri di sostenibilità di cui alle direttive del parlamento europeo e del consiglio 2009/28 e 2009/30/</w:t>
      </w:r>
      <w:r w:rsidR="00363D75" w:rsidRPr="00BF2644">
        <w:rPr>
          <w:rFonts w:ascii="Garamond" w:hAnsi="Garamond" w:cs="Times New Roman"/>
          <w:color w:val="000000" w:themeColor="text1"/>
          <w:sz w:val="28"/>
          <w:szCs w:val="28"/>
        </w:rPr>
        <w:t>CE</w:t>
      </w:r>
      <w:r w:rsidR="008E7576" w:rsidRPr="00BF2644">
        <w:rPr>
          <w:rFonts w:ascii="Garamond" w:hAnsi="Garamond" w:cs="Times New Roman"/>
          <w:color w:val="000000" w:themeColor="text1"/>
          <w:sz w:val="28"/>
          <w:szCs w:val="28"/>
        </w:rPr>
        <w:t xml:space="preserve">, deve essere interpretato nel senso che esso non osta ad una normativa  nazionale, come quella in discussione nel procedimento principale, la quale imponga agli operatori economici, per la certificazione della sostenibilità dei bioliquidi, oneri specifici, diversi e più ampi rispetto a quelli previsti da un sistema volontario di certificazione della sostenibilità, quale il sistema Iscc,  riconosciuto dalla citata decisione di esecuzione, adottata dalla  </w:t>
      </w:r>
      <w:r w:rsidR="00161F00" w:rsidRPr="00BF2644">
        <w:rPr>
          <w:rFonts w:ascii="Garamond" w:hAnsi="Garamond" w:cs="Times New Roman"/>
          <w:color w:val="000000" w:themeColor="text1"/>
          <w:sz w:val="28"/>
          <w:szCs w:val="28"/>
        </w:rPr>
        <w:t xml:space="preserve">Commissione </w:t>
      </w:r>
      <w:r w:rsidR="008E7576" w:rsidRPr="00BF2644">
        <w:rPr>
          <w:rFonts w:ascii="Garamond" w:hAnsi="Garamond" w:cs="Times New Roman"/>
          <w:color w:val="000000" w:themeColor="text1"/>
          <w:sz w:val="28"/>
          <w:szCs w:val="28"/>
        </w:rPr>
        <w:t>europea ai sensi dell</w:t>
      </w:r>
      <w:r>
        <w:rPr>
          <w:rFonts w:ascii="Garamond" w:hAnsi="Garamond" w:cs="Times New Roman"/>
          <w:color w:val="000000" w:themeColor="text1"/>
          <w:sz w:val="28"/>
          <w:szCs w:val="28"/>
        </w:rPr>
        <w:t xml:space="preserve">'art. 18, par. 4, della </w:t>
      </w:r>
      <w:r w:rsidR="006C564E">
        <w:rPr>
          <w:rFonts w:ascii="Garamond" w:hAnsi="Garamond" w:cs="Times New Roman"/>
          <w:color w:val="000000" w:themeColor="text1"/>
          <w:sz w:val="28"/>
          <w:szCs w:val="28"/>
        </w:rPr>
        <w:t>direttiva</w:t>
      </w:r>
      <w:r w:rsidR="008E7576" w:rsidRPr="00BF2644">
        <w:rPr>
          <w:rFonts w:ascii="Garamond" w:hAnsi="Garamond" w:cs="Times New Roman"/>
          <w:color w:val="000000" w:themeColor="text1"/>
          <w:sz w:val="28"/>
          <w:szCs w:val="28"/>
        </w:rPr>
        <w:t xml:space="preserve"> summenzionata, nella misura in cui tale sistema è stato approvato soltanto per i biocarburanti e gli oneri suddetti riguardano soltanto i bioliquidi; </w:t>
      </w:r>
      <w:r>
        <w:rPr>
          <w:rFonts w:ascii="Garamond" w:hAnsi="Garamond" w:cs="Times New Roman"/>
          <w:color w:val="000000" w:themeColor="text1"/>
          <w:sz w:val="28"/>
          <w:szCs w:val="28"/>
        </w:rPr>
        <w:t xml:space="preserve">inoltre </w:t>
      </w:r>
      <w:r w:rsidR="008E7576" w:rsidRPr="00BF2644">
        <w:rPr>
          <w:rFonts w:ascii="Garamond" w:hAnsi="Garamond" w:cs="Times New Roman"/>
          <w:color w:val="000000" w:themeColor="text1"/>
          <w:sz w:val="28"/>
          <w:szCs w:val="28"/>
        </w:rPr>
        <w:t xml:space="preserve">il diritto dell'Unione, e in particolare l'art. 34 </w:t>
      </w:r>
      <w:r w:rsidR="00363D75" w:rsidRPr="00BF2644">
        <w:rPr>
          <w:rFonts w:ascii="Garamond" w:hAnsi="Garamond" w:cs="Times New Roman"/>
          <w:color w:val="000000" w:themeColor="text1"/>
          <w:sz w:val="28"/>
          <w:szCs w:val="28"/>
        </w:rPr>
        <w:t>TFUE</w:t>
      </w:r>
      <w:r w:rsidR="008E7576" w:rsidRPr="00BF2644">
        <w:rPr>
          <w:rFonts w:ascii="Garamond" w:hAnsi="Garamond" w:cs="Times New Roman"/>
          <w:color w:val="000000" w:themeColor="text1"/>
          <w:sz w:val="28"/>
          <w:szCs w:val="28"/>
        </w:rPr>
        <w:t xml:space="preserve"> e l'art. 18, par. 1 e 3, della </w:t>
      </w:r>
      <w:r w:rsidR="006C564E">
        <w:rPr>
          <w:rFonts w:ascii="Garamond" w:hAnsi="Garamond" w:cs="Times New Roman"/>
          <w:color w:val="000000" w:themeColor="text1"/>
          <w:sz w:val="28"/>
          <w:szCs w:val="28"/>
        </w:rPr>
        <w:t>direttiva</w:t>
      </w:r>
      <w:r w:rsidR="008E7576" w:rsidRPr="00BF2644">
        <w:rPr>
          <w:rFonts w:ascii="Garamond" w:hAnsi="Garamond" w:cs="Times New Roman"/>
          <w:color w:val="000000" w:themeColor="text1"/>
          <w:sz w:val="28"/>
          <w:szCs w:val="28"/>
        </w:rPr>
        <w:t xml:space="preserve"> 2009/28,  deve essere interpretato nel senso che esso non osta a che una  normativa nazionale, come quella in discussione nel procedimento principale, imponga un sistema nazionale di verifica  della sostenibilità dei bioliquidi, il quale stabilisca che tutti gli  operatori economici che intervengono nella catena di consegna  del prodotto considerato, anche quando si tratti di intermediari che non conseguono alcuna disponibilità fisica delle partite di bioliquidi, sono tenuti a rispettare taluni obblighi di certificazione, di comunicazione e di informazion</w:t>
      </w:r>
      <w:r w:rsidR="00EE7B55">
        <w:rPr>
          <w:rFonts w:ascii="Garamond" w:hAnsi="Garamond" w:cs="Times New Roman"/>
          <w:color w:val="000000" w:themeColor="text1"/>
          <w:sz w:val="28"/>
          <w:szCs w:val="28"/>
        </w:rPr>
        <w:t xml:space="preserve">e scaturenti da detto  sistema </w:t>
      </w:r>
      <w:r w:rsidR="00FD6A42">
        <w:rPr>
          <w:rFonts w:ascii="Garamond" w:hAnsi="Garamond" w:cs="Times New Roman"/>
          <w:color w:val="000000" w:themeColor="text1"/>
          <w:sz w:val="28"/>
          <w:szCs w:val="28"/>
        </w:rPr>
        <w:t>[</w:t>
      </w:r>
      <w:r w:rsidR="00EE7B55">
        <w:rPr>
          <w:rFonts w:ascii="Garamond" w:hAnsi="Garamond" w:cs="Times New Roman"/>
          <w:color w:val="000000" w:themeColor="text1"/>
          <w:sz w:val="28"/>
          <w:szCs w:val="28"/>
        </w:rPr>
        <w:t xml:space="preserve">Corte </w:t>
      </w:r>
      <w:r w:rsidR="006C564E">
        <w:rPr>
          <w:rFonts w:ascii="Garamond" w:hAnsi="Garamond" w:cs="Times New Roman"/>
          <w:color w:val="000000" w:themeColor="text1"/>
          <w:sz w:val="28"/>
          <w:szCs w:val="28"/>
        </w:rPr>
        <w:t>giustizia</w:t>
      </w:r>
      <w:r w:rsidR="00EE7B55">
        <w:rPr>
          <w:rFonts w:ascii="Garamond" w:hAnsi="Garamond" w:cs="Times New Roman"/>
          <w:color w:val="000000" w:themeColor="text1"/>
          <w:sz w:val="28"/>
          <w:szCs w:val="28"/>
        </w:rPr>
        <w:t xml:space="preserve"> UE,  4 ottobre 2018, C-242/17</w:t>
      </w:r>
      <w:r w:rsidR="00FE0B7A">
        <w:rPr>
          <w:rFonts w:ascii="Garamond" w:hAnsi="Garamond" w:cs="Times New Roman"/>
          <w:color w:val="000000" w:themeColor="text1"/>
          <w:sz w:val="28"/>
          <w:szCs w:val="28"/>
        </w:rPr>
        <w:t xml:space="preserve">, </w:t>
      </w:r>
      <w:r w:rsidR="00FE0B7A" w:rsidRPr="00FE0B7A">
        <w:rPr>
          <w:rFonts w:ascii="Garamond" w:hAnsi="Garamond" w:cs="Times New Roman"/>
          <w:color w:val="000000" w:themeColor="text1"/>
          <w:sz w:val="28"/>
          <w:szCs w:val="28"/>
        </w:rPr>
        <w:t>avente ad oggetto la domanda di pronuncia pregiudiziale proposta alla Corte, ai sensi dell’articolo 267 TFUE,</w:t>
      </w:r>
      <w:r w:rsidR="001844F7">
        <w:rPr>
          <w:rFonts w:ascii="Garamond" w:hAnsi="Garamond" w:cs="Times New Roman"/>
          <w:color w:val="000000" w:themeColor="text1"/>
          <w:sz w:val="28"/>
          <w:szCs w:val="28"/>
        </w:rPr>
        <w:t xml:space="preserve"> dal Consiglio di Stato, </w:t>
      </w:r>
      <w:r w:rsidR="00FE0B7A" w:rsidRPr="00FE0B7A">
        <w:rPr>
          <w:rFonts w:ascii="Garamond" w:hAnsi="Garamond" w:cs="Times New Roman"/>
          <w:color w:val="000000" w:themeColor="text1"/>
          <w:sz w:val="28"/>
          <w:szCs w:val="28"/>
        </w:rPr>
        <w:t xml:space="preserve"> con ordinanza del 26 gennaio 2017,</w:t>
      </w:r>
      <w:r w:rsidR="00FE0B7A" w:rsidRPr="00FE0B7A">
        <w:rPr>
          <w:rFonts w:ascii="Helvetica" w:eastAsia="Times New Roman" w:hAnsi="Helvetica" w:cs="Helvetica"/>
          <w:color w:val="000000"/>
          <w:sz w:val="21"/>
          <w:szCs w:val="21"/>
          <w:lang w:eastAsia="it-IT"/>
        </w:rPr>
        <w:t xml:space="preserve"> </w:t>
      </w:r>
      <w:r w:rsidR="00FE0B7A" w:rsidRPr="00FE0B7A">
        <w:rPr>
          <w:rFonts w:ascii="Garamond" w:hAnsi="Garamond" w:cs="Times New Roman"/>
          <w:color w:val="000000" w:themeColor="text1"/>
          <w:sz w:val="28"/>
          <w:szCs w:val="28"/>
        </w:rPr>
        <w:t>nell’ambito di una controversia che oppone la Legatoria Editoriale Giovanni Olivotto (</w:t>
      </w:r>
      <w:r w:rsidR="006C564E">
        <w:rPr>
          <w:rFonts w:ascii="Garamond" w:hAnsi="Garamond" w:cs="Times New Roman"/>
          <w:color w:val="000000" w:themeColor="text1"/>
          <w:sz w:val="28"/>
          <w:szCs w:val="28"/>
        </w:rPr>
        <w:t>L.</w:t>
      </w:r>
      <w:r w:rsidR="00FE0B7A" w:rsidRPr="00FE0B7A">
        <w:rPr>
          <w:rFonts w:ascii="Garamond" w:hAnsi="Garamond" w:cs="Times New Roman"/>
          <w:color w:val="000000" w:themeColor="text1"/>
          <w:sz w:val="28"/>
          <w:szCs w:val="28"/>
        </w:rPr>
        <w:t>E.G.O.) SpA alla società Gestore dei servizi energetici (GSE) SpA, al Ministero dell’Ambiente e della Tutela de</w:t>
      </w:r>
      <w:r w:rsidR="00FD6A42">
        <w:rPr>
          <w:rFonts w:ascii="Garamond" w:hAnsi="Garamond" w:cs="Times New Roman"/>
          <w:color w:val="000000" w:themeColor="text1"/>
          <w:sz w:val="28"/>
          <w:szCs w:val="28"/>
        </w:rPr>
        <w:t>l Mare e del Territorio</w:t>
      </w:r>
      <w:r w:rsidR="00FE0B7A" w:rsidRPr="00FE0B7A">
        <w:rPr>
          <w:rFonts w:ascii="Garamond" w:hAnsi="Garamond" w:cs="Times New Roman"/>
          <w:color w:val="000000" w:themeColor="text1"/>
          <w:sz w:val="28"/>
          <w:szCs w:val="28"/>
        </w:rPr>
        <w:t>, al Ministero d</w:t>
      </w:r>
      <w:r w:rsidR="001844F7">
        <w:rPr>
          <w:rFonts w:ascii="Garamond" w:hAnsi="Garamond" w:cs="Times New Roman"/>
          <w:color w:val="000000" w:themeColor="text1"/>
          <w:sz w:val="28"/>
          <w:szCs w:val="28"/>
        </w:rPr>
        <w:t xml:space="preserve">ello Sviluppo Economico </w:t>
      </w:r>
      <w:r w:rsidR="00FE0B7A" w:rsidRPr="00FE0B7A">
        <w:rPr>
          <w:rFonts w:ascii="Garamond" w:hAnsi="Garamond" w:cs="Times New Roman"/>
          <w:color w:val="000000" w:themeColor="text1"/>
          <w:sz w:val="28"/>
          <w:szCs w:val="28"/>
        </w:rPr>
        <w:t xml:space="preserve"> e al Ministero delle Politic</w:t>
      </w:r>
      <w:r w:rsidR="001844F7">
        <w:rPr>
          <w:rFonts w:ascii="Garamond" w:hAnsi="Garamond" w:cs="Times New Roman"/>
          <w:color w:val="000000" w:themeColor="text1"/>
          <w:sz w:val="28"/>
          <w:szCs w:val="28"/>
        </w:rPr>
        <w:t>he Agricole e Forestali</w:t>
      </w:r>
      <w:r w:rsidR="00FE0B7A" w:rsidRPr="00FE0B7A">
        <w:rPr>
          <w:rFonts w:ascii="Garamond" w:hAnsi="Garamond" w:cs="Times New Roman"/>
          <w:color w:val="000000" w:themeColor="text1"/>
          <w:sz w:val="28"/>
          <w:szCs w:val="28"/>
        </w:rPr>
        <w:t xml:space="preserve">, in merito alla mancata presentazione di certificati di sostenibilità relativi a bioliquidi </w:t>
      </w:r>
      <w:r w:rsidR="00FE0B7A" w:rsidRPr="00FE0B7A">
        <w:rPr>
          <w:rFonts w:ascii="Garamond" w:hAnsi="Garamond" w:cs="Times New Roman"/>
          <w:color w:val="000000" w:themeColor="text1"/>
          <w:sz w:val="28"/>
          <w:szCs w:val="28"/>
        </w:rPr>
        <w:lastRenderedPageBreak/>
        <w:t xml:space="preserve">utilizzati per il funzionamento dell’impianto termoelettrico della </w:t>
      </w:r>
      <w:r w:rsidR="006C564E">
        <w:rPr>
          <w:rFonts w:ascii="Garamond" w:hAnsi="Garamond" w:cs="Times New Roman"/>
          <w:color w:val="000000" w:themeColor="text1"/>
          <w:sz w:val="28"/>
          <w:szCs w:val="28"/>
        </w:rPr>
        <w:t>L.</w:t>
      </w:r>
      <w:r w:rsidR="00FE0B7A" w:rsidRPr="00FE0B7A">
        <w:rPr>
          <w:rFonts w:ascii="Garamond" w:hAnsi="Garamond" w:cs="Times New Roman"/>
          <w:color w:val="000000" w:themeColor="text1"/>
          <w:sz w:val="28"/>
          <w:szCs w:val="28"/>
        </w:rPr>
        <w:t>E.G.O., mancanza questa che ha determinato la decadenza dal regime di incentivazione dei certificati verdi di cui beneficiava tale impianto</w:t>
      </w:r>
      <w:r w:rsidR="00FD6A42">
        <w:rPr>
          <w:rFonts w:ascii="Garamond" w:hAnsi="Garamond" w:cs="Times New Roman"/>
          <w:color w:val="000000" w:themeColor="text1"/>
          <w:sz w:val="28"/>
          <w:szCs w:val="28"/>
        </w:rPr>
        <w:t>].</w:t>
      </w:r>
    </w:p>
    <w:p w:rsidR="00A239DF" w:rsidRPr="00BF2644" w:rsidRDefault="00FE0B7A" w:rsidP="003E37AA">
      <w:pPr>
        <w:spacing w:line="240" w:lineRule="auto"/>
        <w:ind w:firstLine="709"/>
        <w:contextualSpacing/>
        <w:jc w:val="both"/>
        <w:rPr>
          <w:rFonts w:ascii="Garamond" w:hAnsi="Garamond" w:cs="Times New Roman"/>
          <w:color w:val="000000" w:themeColor="text1"/>
          <w:sz w:val="28"/>
          <w:szCs w:val="28"/>
        </w:rPr>
      </w:pPr>
      <w:r w:rsidRPr="00FE0B7A">
        <w:rPr>
          <w:rFonts w:ascii="Garamond" w:hAnsi="Garamond" w:cs="Times New Roman"/>
          <w:color w:val="000000" w:themeColor="text1"/>
          <w:sz w:val="28"/>
          <w:szCs w:val="28"/>
        </w:rPr>
        <w:t> </w:t>
      </w:r>
    </w:p>
    <w:p w:rsidR="006D6C8E" w:rsidRDefault="006D6C8E" w:rsidP="00BF2644">
      <w:pPr>
        <w:spacing w:line="240" w:lineRule="auto"/>
        <w:ind w:firstLine="709"/>
        <w:contextualSpacing/>
        <w:jc w:val="both"/>
        <w:rPr>
          <w:rFonts w:ascii="Garamond" w:hAnsi="Garamond" w:cs="Times New Roman"/>
          <w:b/>
          <w:color w:val="000000" w:themeColor="text1"/>
          <w:sz w:val="28"/>
          <w:szCs w:val="28"/>
        </w:rPr>
      </w:pPr>
      <w:r w:rsidRPr="00BF2644">
        <w:rPr>
          <w:rFonts w:ascii="Garamond" w:hAnsi="Garamond" w:cs="Times New Roman"/>
          <w:b/>
          <w:color w:val="000000" w:themeColor="text1"/>
          <w:sz w:val="28"/>
          <w:szCs w:val="28"/>
        </w:rPr>
        <w:t>2.9 Infrastrutture energetiche lineari</w:t>
      </w:r>
    </w:p>
    <w:p w:rsidR="00363D75" w:rsidRPr="00363D75" w:rsidRDefault="00363D75" w:rsidP="00BF2644">
      <w:pPr>
        <w:spacing w:line="240" w:lineRule="auto"/>
        <w:ind w:firstLine="709"/>
        <w:contextualSpacing/>
        <w:jc w:val="both"/>
        <w:rPr>
          <w:rFonts w:ascii="Garamond" w:hAnsi="Garamond" w:cs="Times New Roman"/>
          <w:color w:val="000000" w:themeColor="text1"/>
          <w:sz w:val="28"/>
          <w:szCs w:val="28"/>
        </w:rPr>
      </w:pPr>
      <w:r w:rsidRPr="00363D75">
        <w:rPr>
          <w:rFonts w:ascii="Garamond" w:hAnsi="Garamond" w:cs="Times New Roman"/>
          <w:color w:val="000000" w:themeColor="text1"/>
          <w:sz w:val="28"/>
          <w:szCs w:val="28"/>
        </w:rPr>
        <w:t>Secondo la giurisprudenza della Corte costituzionale:</w:t>
      </w:r>
    </w:p>
    <w:p w:rsidR="00ED67BD" w:rsidRDefault="003E37AA" w:rsidP="00ED67BD">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w:t>
      </w:r>
      <w:r w:rsidR="009C3515">
        <w:rPr>
          <w:rFonts w:ascii="Garamond" w:hAnsi="Garamond" w:cs="Times New Roman"/>
          <w:color w:val="000000" w:themeColor="text1"/>
          <w:sz w:val="28"/>
          <w:szCs w:val="28"/>
        </w:rPr>
        <w:t xml:space="preserve"> </w:t>
      </w:r>
      <w:r w:rsidR="00363D75">
        <w:rPr>
          <w:rFonts w:ascii="Garamond" w:hAnsi="Garamond" w:cs="Times New Roman"/>
          <w:color w:val="000000" w:themeColor="text1"/>
          <w:sz w:val="28"/>
          <w:szCs w:val="28"/>
        </w:rPr>
        <w:t>s</w:t>
      </w:r>
      <w:r w:rsidR="00FD6A42" w:rsidRPr="00FD6A42">
        <w:rPr>
          <w:rFonts w:ascii="Garamond" w:hAnsi="Garamond" w:cs="Times New Roman"/>
          <w:color w:val="000000" w:themeColor="text1"/>
          <w:sz w:val="28"/>
          <w:szCs w:val="28"/>
        </w:rPr>
        <w:t xml:space="preserve">ono costituzionalmente illegittimi, per </w:t>
      </w:r>
      <w:r w:rsidR="009C3515">
        <w:rPr>
          <w:rFonts w:ascii="Garamond" w:hAnsi="Garamond" w:cs="Times New Roman"/>
          <w:color w:val="000000" w:themeColor="text1"/>
          <w:sz w:val="28"/>
          <w:szCs w:val="28"/>
        </w:rPr>
        <w:t xml:space="preserve">violazione dell'art. 117, </w:t>
      </w:r>
      <w:r w:rsidR="00FD6A42" w:rsidRPr="00FD6A42">
        <w:rPr>
          <w:rFonts w:ascii="Garamond" w:hAnsi="Garamond" w:cs="Times New Roman"/>
          <w:color w:val="000000" w:themeColor="text1"/>
          <w:sz w:val="28"/>
          <w:szCs w:val="28"/>
        </w:rPr>
        <w:t>comma</w:t>
      </w:r>
      <w:r w:rsidR="009C3515">
        <w:rPr>
          <w:rFonts w:ascii="Garamond" w:hAnsi="Garamond" w:cs="Times New Roman"/>
          <w:color w:val="000000" w:themeColor="text1"/>
          <w:sz w:val="28"/>
          <w:szCs w:val="28"/>
        </w:rPr>
        <w:t xml:space="preserve"> 3</w:t>
      </w:r>
      <w:r w:rsidR="00FD6A42" w:rsidRPr="00FD6A42">
        <w:rPr>
          <w:rFonts w:ascii="Garamond" w:hAnsi="Garamond" w:cs="Times New Roman"/>
          <w:color w:val="000000" w:themeColor="text1"/>
          <w:sz w:val="28"/>
          <w:szCs w:val="28"/>
        </w:rPr>
        <w:t xml:space="preserve">, Cost., </w:t>
      </w:r>
      <w:r>
        <w:rPr>
          <w:rFonts w:ascii="Garamond" w:hAnsi="Garamond" w:cs="Times New Roman"/>
          <w:color w:val="000000" w:themeColor="text1"/>
          <w:sz w:val="28"/>
          <w:szCs w:val="28"/>
        </w:rPr>
        <w:t>le norme regionali laddove -</w:t>
      </w:r>
      <w:r w:rsidR="00FD6A42">
        <w:rPr>
          <w:rFonts w:ascii="Garamond" w:hAnsi="Garamond" w:cs="Times New Roman"/>
          <w:color w:val="000000" w:themeColor="text1"/>
          <w:sz w:val="28"/>
          <w:szCs w:val="28"/>
        </w:rPr>
        <w:t xml:space="preserve"> </w:t>
      </w:r>
      <w:r w:rsidR="00FD6A42" w:rsidRPr="00FD6A42">
        <w:rPr>
          <w:rFonts w:ascii="Garamond" w:hAnsi="Garamond" w:cs="Times New Roman"/>
          <w:color w:val="000000" w:themeColor="text1"/>
          <w:sz w:val="28"/>
          <w:szCs w:val="28"/>
        </w:rPr>
        <w:t>limitatamente alla disciplina delle inf</w:t>
      </w:r>
      <w:r>
        <w:rPr>
          <w:rFonts w:ascii="Garamond" w:hAnsi="Garamond" w:cs="Times New Roman"/>
          <w:color w:val="000000" w:themeColor="text1"/>
          <w:sz w:val="28"/>
          <w:szCs w:val="28"/>
        </w:rPr>
        <w:t xml:space="preserve">rastrutture energetiche lineari - </w:t>
      </w:r>
      <w:r w:rsidR="00FD6A42" w:rsidRPr="00FD6A42">
        <w:rPr>
          <w:rFonts w:ascii="Garamond" w:hAnsi="Garamond" w:cs="Times New Roman"/>
          <w:color w:val="000000" w:themeColor="text1"/>
          <w:sz w:val="28"/>
          <w:szCs w:val="28"/>
        </w:rPr>
        <w:t xml:space="preserve"> prevedono che il rilascio dell'autorizzazione sortisca l'effetto di variante urbanistica solo subordinatamente alla circostanza che, in sede di conferenza di servizi, il rappresentante del Comune esprima il suo assenso, sulla base del previo parere favorevole espresso dal Consiglio comunale. </w:t>
      </w:r>
      <w:proofErr w:type="gramStart"/>
      <w:r w:rsidR="00FD6A42" w:rsidRPr="00FD6A42">
        <w:rPr>
          <w:rFonts w:ascii="Garamond" w:hAnsi="Garamond" w:cs="Times New Roman"/>
          <w:color w:val="000000" w:themeColor="text1"/>
          <w:sz w:val="28"/>
          <w:szCs w:val="28"/>
        </w:rPr>
        <w:t>E'</w:t>
      </w:r>
      <w:proofErr w:type="gramEnd"/>
      <w:r w:rsidR="00FD6A42" w:rsidRPr="00FD6A42">
        <w:rPr>
          <w:rFonts w:ascii="Garamond" w:hAnsi="Garamond" w:cs="Times New Roman"/>
          <w:color w:val="000000" w:themeColor="text1"/>
          <w:sz w:val="28"/>
          <w:szCs w:val="28"/>
        </w:rPr>
        <w:t>, infatti, evidente la difformità di tale disciplina rispetto a quella statale di principio nella materia concorrente della produzione, trasporto e distribuzione nazionale dell'en</w:t>
      </w:r>
      <w:r w:rsidR="00BD2F84">
        <w:rPr>
          <w:rFonts w:ascii="Garamond" w:hAnsi="Garamond" w:cs="Times New Roman"/>
          <w:color w:val="000000" w:themeColor="text1"/>
          <w:sz w:val="28"/>
          <w:szCs w:val="28"/>
        </w:rPr>
        <w:t>ergia (art. 1</w:t>
      </w:r>
      <w:r w:rsidR="00BD2F84" w:rsidRPr="00BD2F84">
        <w:rPr>
          <w:rFonts w:ascii="Garamond" w:hAnsi="Garamond" w:cs="Times New Roman"/>
          <w:i/>
          <w:color w:val="000000" w:themeColor="text1"/>
          <w:sz w:val="28"/>
          <w:szCs w:val="28"/>
        </w:rPr>
        <w:t>-</w:t>
      </w:r>
      <w:r w:rsidR="00FD6A42" w:rsidRPr="00BD2F84">
        <w:rPr>
          <w:rFonts w:ascii="Garamond" w:hAnsi="Garamond" w:cs="Times New Roman"/>
          <w:i/>
          <w:color w:val="000000" w:themeColor="text1"/>
          <w:sz w:val="28"/>
          <w:szCs w:val="28"/>
        </w:rPr>
        <w:t>sexies</w:t>
      </w:r>
      <w:r w:rsidR="00FD6A42" w:rsidRPr="00FD6A42">
        <w:rPr>
          <w:rFonts w:ascii="Garamond" w:hAnsi="Garamond" w:cs="Times New Roman"/>
          <w:color w:val="000000" w:themeColor="text1"/>
          <w:sz w:val="28"/>
          <w:szCs w:val="28"/>
        </w:rPr>
        <w:t xml:space="preserve">, comma 2, lett. </w:t>
      </w:r>
      <w:r w:rsidR="009C3515">
        <w:rPr>
          <w:rFonts w:ascii="Garamond" w:hAnsi="Garamond" w:cs="Times New Roman"/>
          <w:color w:val="000000" w:themeColor="text1"/>
          <w:sz w:val="28"/>
          <w:szCs w:val="28"/>
        </w:rPr>
        <w:t>b, del d</w:t>
      </w:r>
      <w:r w:rsidR="00FD6A42" w:rsidRPr="00FD6A42">
        <w:rPr>
          <w:rFonts w:ascii="Garamond" w:hAnsi="Garamond" w:cs="Times New Roman"/>
          <w:color w:val="000000" w:themeColor="text1"/>
          <w:sz w:val="28"/>
          <w:szCs w:val="28"/>
        </w:rPr>
        <w:t>.</w:t>
      </w:r>
      <w:r w:rsidR="009C3515">
        <w:rPr>
          <w:rFonts w:ascii="Garamond" w:hAnsi="Garamond" w:cs="Times New Roman"/>
          <w:color w:val="000000" w:themeColor="text1"/>
          <w:sz w:val="28"/>
          <w:szCs w:val="28"/>
        </w:rPr>
        <w:t>l</w:t>
      </w:r>
      <w:r w:rsidR="006C564E">
        <w:rPr>
          <w:rFonts w:ascii="Garamond" w:hAnsi="Garamond" w:cs="Times New Roman"/>
          <w:color w:val="000000" w:themeColor="text1"/>
          <w:sz w:val="28"/>
          <w:szCs w:val="28"/>
        </w:rPr>
        <w:t>.</w:t>
      </w:r>
      <w:r w:rsidR="00FD6A42" w:rsidRPr="00FD6A42">
        <w:rPr>
          <w:rFonts w:ascii="Garamond" w:hAnsi="Garamond" w:cs="Times New Roman"/>
          <w:color w:val="000000" w:themeColor="text1"/>
          <w:sz w:val="28"/>
          <w:szCs w:val="28"/>
        </w:rPr>
        <w:t xml:space="preserve"> n. 239 del 2003, convertito, con modificazioni, dalla </w:t>
      </w:r>
      <w:r w:rsidR="006C564E">
        <w:rPr>
          <w:rFonts w:ascii="Garamond" w:hAnsi="Garamond" w:cs="Times New Roman"/>
          <w:color w:val="000000" w:themeColor="text1"/>
          <w:sz w:val="28"/>
          <w:szCs w:val="28"/>
        </w:rPr>
        <w:t>legge</w:t>
      </w:r>
      <w:r w:rsidR="00FD6A42" w:rsidRPr="00FD6A42">
        <w:rPr>
          <w:rFonts w:ascii="Garamond" w:hAnsi="Garamond" w:cs="Times New Roman"/>
          <w:color w:val="000000" w:themeColor="text1"/>
          <w:sz w:val="28"/>
          <w:szCs w:val="28"/>
        </w:rPr>
        <w:t xml:space="preserve"> n. 290 del 2003), poiché essa introduce un passaggio ulteriore e superfluo nell'</w:t>
      </w:r>
      <w:r w:rsidR="00FD6A42" w:rsidRPr="009C3515">
        <w:rPr>
          <w:rFonts w:ascii="Garamond" w:hAnsi="Garamond" w:cs="Times New Roman"/>
          <w:i/>
          <w:color w:val="000000" w:themeColor="text1"/>
          <w:sz w:val="28"/>
          <w:szCs w:val="28"/>
        </w:rPr>
        <w:t>iter</w:t>
      </w:r>
      <w:r w:rsidR="00FD6A42" w:rsidRPr="00FD6A42">
        <w:rPr>
          <w:rFonts w:ascii="Garamond" w:hAnsi="Garamond" w:cs="Times New Roman"/>
          <w:color w:val="000000" w:themeColor="text1"/>
          <w:sz w:val="28"/>
          <w:szCs w:val="28"/>
        </w:rPr>
        <w:t xml:space="preserve"> pro</w:t>
      </w:r>
      <w:r w:rsidR="00FD6A42">
        <w:rPr>
          <w:rFonts w:ascii="Garamond" w:hAnsi="Garamond" w:cs="Times New Roman"/>
          <w:color w:val="000000" w:themeColor="text1"/>
          <w:sz w:val="28"/>
          <w:szCs w:val="28"/>
        </w:rPr>
        <w:t xml:space="preserve">cedimentale dell'autorizzazione (Corte cost. n. 398 del 2013 che ha dichiarato illegittimi </w:t>
      </w:r>
      <w:r w:rsidR="00FD6A42" w:rsidRPr="00FD6A42">
        <w:rPr>
          <w:rFonts w:ascii="Garamond" w:hAnsi="Garamond" w:cs="Times New Roman"/>
          <w:color w:val="000000" w:themeColor="text1"/>
          <w:sz w:val="28"/>
          <w:szCs w:val="28"/>
        </w:rPr>
        <w:t xml:space="preserve">gli artt. 14, comma 9, e 18, comma 2, della </w:t>
      </w:r>
      <w:r w:rsidR="009C3515">
        <w:rPr>
          <w:rFonts w:ascii="Garamond" w:hAnsi="Garamond" w:cs="Times New Roman"/>
          <w:color w:val="000000" w:themeColor="text1"/>
          <w:sz w:val="28"/>
          <w:szCs w:val="28"/>
        </w:rPr>
        <w:t>l.r.</w:t>
      </w:r>
      <w:r w:rsidR="00FD6A42" w:rsidRPr="00FD6A42">
        <w:rPr>
          <w:rFonts w:ascii="Garamond" w:hAnsi="Garamond" w:cs="Times New Roman"/>
          <w:color w:val="000000" w:themeColor="text1"/>
          <w:sz w:val="28"/>
          <w:szCs w:val="28"/>
        </w:rPr>
        <w:t xml:space="preserve"> Friuli-Venezi</w:t>
      </w:r>
      <w:r w:rsidR="00FD6A42">
        <w:rPr>
          <w:rFonts w:ascii="Garamond" w:hAnsi="Garamond" w:cs="Times New Roman"/>
          <w:color w:val="000000" w:themeColor="text1"/>
          <w:sz w:val="28"/>
          <w:szCs w:val="28"/>
        </w:rPr>
        <w:t xml:space="preserve">a </w:t>
      </w:r>
      <w:r w:rsidR="009C3515">
        <w:rPr>
          <w:rFonts w:ascii="Garamond" w:hAnsi="Garamond" w:cs="Times New Roman"/>
          <w:color w:val="000000" w:themeColor="text1"/>
          <w:sz w:val="28"/>
          <w:szCs w:val="28"/>
        </w:rPr>
        <w:t>Giulia, 11</w:t>
      </w:r>
      <w:r w:rsidR="00FD6A42">
        <w:rPr>
          <w:rFonts w:ascii="Garamond" w:hAnsi="Garamond" w:cs="Times New Roman"/>
          <w:color w:val="000000" w:themeColor="text1"/>
          <w:sz w:val="28"/>
          <w:szCs w:val="28"/>
        </w:rPr>
        <w:t xml:space="preserve"> ottobre 2012, n. 19)</w:t>
      </w:r>
      <w:r w:rsidR="009C3515">
        <w:rPr>
          <w:rFonts w:ascii="Garamond" w:hAnsi="Garamond" w:cs="Times New Roman"/>
          <w:color w:val="000000" w:themeColor="text1"/>
          <w:sz w:val="28"/>
          <w:szCs w:val="28"/>
        </w:rPr>
        <w:t>;</w:t>
      </w:r>
    </w:p>
    <w:p w:rsidR="006D6C8E" w:rsidRPr="00BF2644" w:rsidRDefault="003E37AA" w:rsidP="00ED67BD">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w:t>
      </w:r>
      <w:r w:rsidR="009C3515">
        <w:rPr>
          <w:rFonts w:ascii="Garamond" w:hAnsi="Garamond" w:cs="Times New Roman"/>
          <w:color w:val="000000" w:themeColor="text1"/>
          <w:sz w:val="28"/>
          <w:szCs w:val="28"/>
        </w:rPr>
        <w:t xml:space="preserve"> </w:t>
      </w:r>
      <w:r w:rsidR="00363D75">
        <w:rPr>
          <w:rFonts w:ascii="Garamond" w:hAnsi="Garamond" w:cs="Times New Roman"/>
          <w:color w:val="000000" w:themeColor="text1"/>
          <w:sz w:val="28"/>
          <w:szCs w:val="28"/>
        </w:rPr>
        <w:t>a</w:t>
      </w:r>
      <w:r w:rsidR="00D30ED4" w:rsidRPr="00D30ED4">
        <w:rPr>
          <w:rFonts w:ascii="Garamond" w:hAnsi="Garamond" w:cs="Times New Roman"/>
          <w:color w:val="000000" w:themeColor="text1"/>
          <w:sz w:val="28"/>
          <w:szCs w:val="28"/>
        </w:rPr>
        <w:t>nche ai gasdotti di approvvigionamento di gas dall’estero, in quanto infrastrutture lineari energetiche, si applica l’art. 52-</w:t>
      </w:r>
      <w:r w:rsidR="00D30ED4" w:rsidRPr="0016263F">
        <w:rPr>
          <w:rFonts w:ascii="Garamond" w:hAnsi="Garamond" w:cs="Times New Roman"/>
          <w:i/>
          <w:color w:val="000000" w:themeColor="text1"/>
          <w:sz w:val="28"/>
          <w:szCs w:val="28"/>
        </w:rPr>
        <w:t>quinquies</w:t>
      </w:r>
      <w:r w:rsidR="00D30ED4" w:rsidRPr="00D30ED4">
        <w:rPr>
          <w:rFonts w:ascii="Garamond" w:hAnsi="Garamond" w:cs="Times New Roman"/>
          <w:color w:val="000000" w:themeColor="text1"/>
          <w:sz w:val="28"/>
          <w:szCs w:val="28"/>
        </w:rPr>
        <w:t xml:space="preserve">, </w:t>
      </w:r>
      <w:r w:rsidR="00313D49" w:rsidRPr="00D30ED4">
        <w:rPr>
          <w:rFonts w:ascii="Garamond" w:hAnsi="Garamond" w:cs="Times New Roman"/>
          <w:color w:val="000000" w:themeColor="text1"/>
          <w:sz w:val="28"/>
          <w:szCs w:val="28"/>
        </w:rPr>
        <w:t xml:space="preserve">comma 5, del </w:t>
      </w:r>
      <w:r w:rsidR="006C564E">
        <w:rPr>
          <w:rFonts w:ascii="Garamond" w:hAnsi="Garamond" w:cs="Times New Roman"/>
          <w:color w:val="000000" w:themeColor="text1"/>
          <w:sz w:val="28"/>
          <w:szCs w:val="28"/>
        </w:rPr>
        <w:t>decreto</w:t>
      </w:r>
      <w:r w:rsidR="00313D49" w:rsidRPr="00D30ED4">
        <w:rPr>
          <w:rFonts w:ascii="Garamond" w:hAnsi="Garamond" w:cs="Times New Roman"/>
          <w:color w:val="000000" w:themeColor="text1"/>
          <w:sz w:val="28"/>
          <w:szCs w:val="28"/>
        </w:rPr>
        <w:t xml:space="preserve"> </w:t>
      </w:r>
      <w:r w:rsidR="00803B51" w:rsidRPr="00D30ED4">
        <w:rPr>
          <w:rFonts w:ascii="Garamond" w:hAnsi="Garamond" w:cs="Times New Roman"/>
          <w:color w:val="000000" w:themeColor="text1"/>
          <w:sz w:val="28"/>
          <w:szCs w:val="28"/>
        </w:rPr>
        <w:t>del Presidente della Repubblica 8</w:t>
      </w:r>
      <w:r w:rsidR="00D30ED4" w:rsidRPr="00D30ED4">
        <w:rPr>
          <w:rFonts w:ascii="Garamond" w:hAnsi="Garamond" w:cs="Times New Roman"/>
          <w:color w:val="000000" w:themeColor="text1"/>
          <w:sz w:val="28"/>
          <w:szCs w:val="28"/>
        </w:rPr>
        <w:t xml:space="preserve"> </w:t>
      </w:r>
      <w:r w:rsidR="00803B51" w:rsidRPr="00D30ED4">
        <w:rPr>
          <w:rFonts w:ascii="Garamond" w:hAnsi="Garamond" w:cs="Times New Roman"/>
          <w:color w:val="000000" w:themeColor="text1"/>
          <w:sz w:val="28"/>
          <w:szCs w:val="28"/>
        </w:rPr>
        <w:t>giugno 2001, n.</w:t>
      </w:r>
      <w:r w:rsidR="00D30ED4" w:rsidRPr="00D30ED4">
        <w:rPr>
          <w:rFonts w:ascii="Garamond" w:hAnsi="Garamond" w:cs="Times New Roman"/>
          <w:color w:val="000000" w:themeColor="text1"/>
          <w:sz w:val="28"/>
          <w:szCs w:val="28"/>
        </w:rPr>
        <w:t xml:space="preserve">  </w:t>
      </w:r>
      <w:r w:rsidR="00803B51">
        <w:rPr>
          <w:rFonts w:ascii="Garamond" w:hAnsi="Garamond" w:cs="Times New Roman"/>
          <w:color w:val="000000" w:themeColor="text1"/>
          <w:sz w:val="28"/>
          <w:szCs w:val="28"/>
        </w:rPr>
        <w:t xml:space="preserve">327, </w:t>
      </w:r>
      <w:r w:rsidR="00D30ED4" w:rsidRPr="00D30ED4">
        <w:rPr>
          <w:rFonts w:ascii="Garamond" w:hAnsi="Garamond" w:cs="Times New Roman"/>
          <w:color w:val="000000" w:themeColor="text1"/>
          <w:sz w:val="28"/>
          <w:szCs w:val="28"/>
        </w:rPr>
        <w:t>il quale prevede che l’atto conclusivo del procedimento di autorizzazione alla costruzione di ogni infrastruttura lineare energetica sia adottato d’intesa con</w:t>
      </w:r>
      <w:r w:rsidR="00D30ED4">
        <w:rPr>
          <w:rFonts w:ascii="Garamond" w:hAnsi="Garamond" w:cs="Times New Roman"/>
          <w:color w:val="000000" w:themeColor="text1"/>
          <w:sz w:val="28"/>
          <w:szCs w:val="28"/>
        </w:rPr>
        <w:t xml:space="preserve"> le </w:t>
      </w:r>
      <w:r w:rsidR="007C254A">
        <w:rPr>
          <w:rFonts w:ascii="Garamond" w:hAnsi="Garamond" w:cs="Times New Roman"/>
          <w:color w:val="000000" w:themeColor="text1"/>
          <w:sz w:val="28"/>
          <w:szCs w:val="28"/>
        </w:rPr>
        <w:t>r</w:t>
      </w:r>
      <w:r w:rsidR="00D30ED4">
        <w:rPr>
          <w:rFonts w:ascii="Garamond" w:hAnsi="Garamond" w:cs="Times New Roman"/>
          <w:color w:val="000000" w:themeColor="text1"/>
          <w:sz w:val="28"/>
          <w:szCs w:val="28"/>
        </w:rPr>
        <w:t>egioni; detta i</w:t>
      </w:r>
      <w:r w:rsidR="00ED67BD">
        <w:rPr>
          <w:rFonts w:ascii="Garamond" w:hAnsi="Garamond" w:cs="Times New Roman"/>
          <w:color w:val="000000" w:themeColor="text1"/>
          <w:sz w:val="28"/>
          <w:szCs w:val="28"/>
        </w:rPr>
        <w:t xml:space="preserve">ntesa </w:t>
      </w:r>
      <w:r w:rsidR="00803B51">
        <w:rPr>
          <w:rFonts w:ascii="Garamond" w:hAnsi="Garamond" w:cs="Times New Roman"/>
          <w:color w:val="000000" w:themeColor="text1"/>
          <w:sz w:val="28"/>
          <w:szCs w:val="28"/>
        </w:rPr>
        <w:t xml:space="preserve">deve </w:t>
      </w:r>
      <w:r w:rsidR="00803B51" w:rsidRPr="00ED67BD">
        <w:rPr>
          <w:rFonts w:ascii="Garamond" w:hAnsi="Garamond" w:cs="Times New Roman"/>
          <w:color w:val="000000" w:themeColor="text1"/>
          <w:sz w:val="28"/>
          <w:szCs w:val="28"/>
        </w:rPr>
        <w:t>riguardare</w:t>
      </w:r>
      <w:r w:rsidR="00ED67BD" w:rsidRPr="00ED67BD">
        <w:rPr>
          <w:rFonts w:ascii="Garamond" w:hAnsi="Garamond" w:cs="Times New Roman"/>
          <w:color w:val="000000" w:themeColor="text1"/>
          <w:sz w:val="28"/>
          <w:szCs w:val="28"/>
        </w:rPr>
        <w:t xml:space="preserve"> anche «</w:t>
      </w:r>
      <w:r w:rsidR="00ED67BD" w:rsidRPr="00803B51">
        <w:rPr>
          <w:rFonts w:ascii="Garamond" w:hAnsi="Garamond" w:cs="Times New Roman"/>
          <w:i/>
          <w:color w:val="000000" w:themeColor="text1"/>
          <w:sz w:val="28"/>
          <w:szCs w:val="28"/>
        </w:rPr>
        <w:t>le operazioni preparatorie necessarie alla redazione dei progett</w:t>
      </w:r>
      <w:r w:rsidR="00785147" w:rsidRPr="00803B51">
        <w:rPr>
          <w:rFonts w:ascii="Garamond" w:hAnsi="Garamond" w:cs="Times New Roman"/>
          <w:i/>
          <w:color w:val="000000" w:themeColor="text1"/>
          <w:sz w:val="28"/>
          <w:szCs w:val="28"/>
        </w:rPr>
        <w:t>i e le relative opere connesse</w:t>
      </w:r>
      <w:r w:rsidR="00785147">
        <w:rPr>
          <w:rFonts w:ascii="Garamond" w:hAnsi="Garamond" w:cs="Times New Roman"/>
          <w:color w:val="000000" w:themeColor="text1"/>
          <w:sz w:val="28"/>
          <w:szCs w:val="28"/>
        </w:rPr>
        <w:t>» [</w:t>
      </w:r>
      <w:r w:rsidR="00D1409C">
        <w:rPr>
          <w:rFonts w:ascii="Garamond" w:hAnsi="Garamond" w:cs="Times New Roman"/>
          <w:color w:val="000000" w:themeColor="text1"/>
          <w:sz w:val="28"/>
          <w:szCs w:val="28"/>
        </w:rPr>
        <w:t>Corte cost.</w:t>
      </w:r>
      <w:r w:rsidR="00785147" w:rsidRPr="00785147">
        <w:rPr>
          <w:rFonts w:ascii="Garamond" w:hAnsi="Garamond" w:cs="Times New Roman"/>
          <w:color w:val="000000" w:themeColor="text1"/>
          <w:sz w:val="28"/>
          <w:szCs w:val="28"/>
        </w:rPr>
        <w:t xml:space="preserve"> n. 110 del 2016</w:t>
      </w:r>
      <w:r w:rsidR="00785147">
        <w:rPr>
          <w:rFonts w:ascii="Garamond" w:hAnsi="Garamond" w:cs="Times New Roman"/>
          <w:color w:val="000000" w:themeColor="text1"/>
          <w:sz w:val="28"/>
          <w:szCs w:val="28"/>
        </w:rPr>
        <w:t xml:space="preserve"> che</w:t>
      </w:r>
      <w:r w:rsidR="00D30ED4">
        <w:rPr>
          <w:rFonts w:ascii="Garamond" w:hAnsi="Garamond" w:cs="Times New Roman"/>
          <w:color w:val="000000" w:themeColor="text1"/>
          <w:sz w:val="28"/>
          <w:szCs w:val="28"/>
        </w:rPr>
        <w:t xml:space="preserve"> </w:t>
      </w:r>
      <w:r w:rsidR="00785147">
        <w:rPr>
          <w:rFonts w:ascii="Garamond" w:hAnsi="Garamond" w:cs="Times New Roman"/>
          <w:color w:val="000000" w:themeColor="text1"/>
          <w:sz w:val="28"/>
          <w:szCs w:val="28"/>
        </w:rPr>
        <w:t xml:space="preserve">ha dichiarato non </w:t>
      </w:r>
      <w:r w:rsidR="00ED67BD" w:rsidRPr="00ED67BD">
        <w:rPr>
          <w:rFonts w:ascii="Garamond" w:hAnsi="Garamond" w:cs="Times New Roman"/>
          <w:color w:val="000000" w:themeColor="text1"/>
          <w:sz w:val="28"/>
          <w:szCs w:val="28"/>
        </w:rPr>
        <w:t xml:space="preserve"> fondate le questioni di legittimità costituzionale dell'art. 37, comma 2, lett. a) e c-</w:t>
      </w:r>
      <w:r w:rsidR="00ED67BD" w:rsidRPr="004A1FB7">
        <w:rPr>
          <w:rFonts w:ascii="Garamond" w:hAnsi="Garamond" w:cs="Times New Roman"/>
          <w:i/>
          <w:color w:val="000000" w:themeColor="text1"/>
          <w:sz w:val="28"/>
          <w:szCs w:val="28"/>
        </w:rPr>
        <w:t>bis</w:t>
      </w:r>
      <w:r w:rsidR="00ED67BD" w:rsidRPr="00ED67BD">
        <w:rPr>
          <w:rFonts w:ascii="Garamond" w:hAnsi="Garamond" w:cs="Times New Roman"/>
          <w:color w:val="000000" w:themeColor="text1"/>
          <w:sz w:val="28"/>
          <w:szCs w:val="28"/>
        </w:rPr>
        <w:t xml:space="preserve">), del </w:t>
      </w:r>
      <w:r w:rsidR="006C564E">
        <w:rPr>
          <w:rFonts w:ascii="Garamond" w:hAnsi="Garamond" w:cs="Times New Roman"/>
          <w:color w:val="000000" w:themeColor="text1"/>
          <w:sz w:val="28"/>
          <w:szCs w:val="28"/>
        </w:rPr>
        <w:t>decreto</w:t>
      </w:r>
      <w:r w:rsidR="00ED67BD" w:rsidRPr="00ED67BD">
        <w:rPr>
          <w:rFonts w:ascii="Garamond" w:hAnsi="Garamond" w:cs="Times New Roman"/>
          <w:color w:val="000000" w:themeColor="text1"/>
          <w:sz w:val="28"/>
          <w:szCs w:val="28"/>
        </w:rPr>
        <w:t xml:space="preserve"> </w:t>
      </w:r>
      <w:r w:rsidR="006C564E">
        <w:rPr>
          <w:rFonts w:ascii="Garamond" w:hAnsi="Garamond" w:cs="Times New Roman"/>
          <w:color w:val="000000" w:themeColor="text1"/>
          <w:sz w:val="28"/>
          <w:szCs w:val="28"/>
        </w:rPr>
        <w:t>legge</w:t>
      </w:r>
      <w:r w:rsidR="00ED67BD" w:rsidRPr="00ED67BD">
        <w:rPr>
          <w:rFonts w:ascii="Garamond" w:hAnsi="Garamond" w:cs="Times New Roman"/>
          <w:color w:val="000000" w:themeColor="text1"/>
          <w:sz w:val="28"/>
          <w:szCs w:val="28"/>
        </w:rPr>
        <w:t xml:space="preserve"> </w:t>
      </w:r>
      <w:r w:rsidR="0068356B">
        <w:rPr>
          <w:rFonts w:ascii="Garamond" w:hAnsi="Garamond" w:cs="Times New Roman"/>
          <w:color w:val="000000" w:themeColor="text1"/>
          <w:sz w:val="28"/>
          <w:szCs w:val="28"/>
        </w:rPr>
        <w:t>12 settembre 2014 n. 133</w:t>
      </w:r>
      <w:r w:rsidR="00ED67BD" w:rsidRPr="00ED67BD">
        <w:rPr>
          <w:rFonts w:ascii="Garamond" w:hAnsi="Garamond" w:cs="Times New Roman"/>
          <w:color w:val="000000" w:themeColor="text1"/>
          <w:sz w:val="28"/>
          <w:szCs w:val="28"/>
        </w:rPr>
        <w:t xml:space="preserve">, (convertito, con modificazioni, dall'art. 1, comma 1, della </w:t>
      </w:r>
      <w:r w:rsidR="006C564E">
        <w:rPr>
          <w:rFonts w:ascii="Garamond" w:hAnsi="Garamond" w:cs="Times New Roman"/>
          <w:color w:val="000000" w:themeColor="text1"/>
          <w:sz w:val="28"/>
          <w:szCs w:val="28"/>
        </w:rPr>
        <w:t>legge</w:t>
      </w:r>
      <w:r w:rsidR="00ED67BD" w:rsidRPr="00ED67BD">
        <w:rPr>
          <w:rFonts w:ascii="Garamond" w:hAnsi="Garamond" w:cs="Times New Roman"/>
          <w:color w:val="000000" w:themeColor="text1"/>
          <w:sz w:val="28"/>
          <w:szCs w:val="28"/>
        </w:rPr>
        <w:t xml:space="preserve"> </w:t>
      </w:r>
      <w:r w:rsidR="0068356B">
        <w:rPr>
          <w:rFonts w:ascii="Garamond" w:hAnsi="Garamond" w:cs="Times New Roman"/>
          <w:color w:val="000000" w:themeColor="text1"/>
          <w:sz w:val="28"/>
          <w:szCs w:val="28"/>
        </w:rPr>
        <w:t>11 novembre 2014 n. 164</w:t>
      </w:r>
      <w:r w:rsidR="007C254A">
        <w:rPr>
          <w:rFonts w:ascii="Garamond" w:hAnsi="Garamond" w:cs="Times New Roman"/>
          <w:color w:val="000000" w:themeColor="text1"/>
          <w:sz w:val="28"/>
          <w:szCs w:val="28"/>
        </w:rPr>
        <w:t>), impugnate dalle r</w:t>
      </w:r>
      <w:r w:rsidR="00ED67BD" w:rsidRPr="00ED67BD">
        <w:rPr>
          <w:rFonts w:ascii="Garamond" w:hAnsi="Garamond" w:cs="Times New Roman"/>
          <w:color w:val="000000" w:themeColor="text1"/>
          <w:sz w:val="28"/>
          <w:szCs w:val="28"/>
        </w:rPr>
        <w:t>egioni Marche e Puglia in rifer</w:t>
      </w:r>
      <w:r w:rsidR="009C3515">
        <w:rPr>
          <w:rFonts w:ascii="Garamond" w:hAnsi="Garamond" w:cs="Times New Roman"/>
          <w:color w:val="000000" w:themeColor="text1"/>
          <w:sz w:val="28"/>
          <w:szCs w:val="28"/>
        </w:rPr>
        <w:t xml:space="preserve">imento agli artt. 3, 117, </w:t>
      </w:r>
      <w:r w:rsidR="00ED67BD" w:rsidRPr="00ED67BD">
        <w:rPr>
          <w:rFonts w:ascii="Garamond" w:hAnsi="Garamond" w:cs="Times New Roman"/>
          <w:color w:val="000000" w:themeColor="text1"/>
          <w:sz w:val="28"/>
          <w:szCs w:val="28"/>
        </w:rPr>
        <w:t>comma</w:t>
      </w:r>
      <w:r w:rsidR="009C3515">
        <w:rPr>
          <w:rFonts w:ascii="Garamond" w:hAnsi="Garamond" w:cs="Times New Roman"/>
          <w:color w:val="000000" w:themeColor="text1"/>
          <w:sz w:val="28"/>
          <w:szCs w:val="28"/>
        </w:rPr>
        <w:t xml:space="preserve"> 3, e 118, </w:t>
      </w:r>
      <w:r w:rsidR="00ED67BD" w:rsidRPr="00ED67BD">
        <w:rPr>
          <w:rFonts w:ascii="Garamond" w:hAnsi="Garamond" w:cs="Times New Roman"/>
          <w:color w:val="000000" w:themeColor="text1"/>
          <w:sz w:val="28"/>
          <w:szCs w:val="28"/>
        </w:rPr>
        <w:t xml:space="preserve"> comma</w:t>
      </w:r>
      <w:r w:rsidR="009C3515">
        <w:rPr>
          <w:rFonts w:ascii="Garamond" w:hAnsi="Garamond" w:cs="Times New Roman"/>
          <w:color w:val="000000" w:themeColor="text1"/>
          <w:sz w:val="28"/>
          <w:szCs w:val="28"/>
        </w:rPr>
        <w:t xml:space="preserve"> 1</w:t>
      </w:r>
      <w:r w:rsidR="00ED67BD" w:rsidRPr="00ED67BD">
        <w:rPr>
          <w:rFonts w:ascii="Garamond" w:hAnsi="Garamond" w:cs="Times New Roman"/>
          <w:color w:val="000000" w:themeColor="text1"/>
          <w:sz w:val="28"/>
          <w:szCs w:val="28"/>
        </w:rPr>
        <w:t>, Cost., in quanto non richiederebbe la necessaria intesa con le Regioni interessate per la realizzazione e messa in esercizio dei gasdotti di approv</w:t>
      </w:r>
      <w:r w:rsidR="00803B51">
        <w:rPr>
          <w:rFonts w:ascii="Garamond" w:hAnsi="Garamond" w:cs="Times New Roman"/>
          <w:color w:val="000000" w:themeColor="text1"/>
          <w:sz w:val="28"/>
          <w:szCs w:val="28"/>
        </w:rPr>
        <w:t xml:space="preserve">vigionamento di gas dall'estero. </w:t>
      </w:r>
      <w:r w:rsidR="00785147">
        <w:rPr>
          <w:rFonts w:ascii="Garamond" w:hAnsi="Garamond" w:cs="Times New Roman"/>
          <w:color w:val="000000" w:themeColor="text1"/>
          <w:sz w:val="28"/>
          <w:szCs w:val="28"/>
        </w:rPr>
        <w:t>La tesi delle ricorrenti era</w:t>
      </w:r>
      <w:r w:rsidR="00ED67BD" w:rsidRPr="00ED67BD">
        <w:rPr>
          <w:rFonts w:ascii="Garamond" w:hAnsi="Garamond" w:cs="Times New Roman"/>
          <w:color w:val="000000" w:themeColor="text1"/>
          <w:sz w:val="28"/>
          <w:szCs w:val="28"/>
        </w:rPr>
        <w:t xml:space="preserve"> che - a seguito delle modifiche introdotte dalla disposizione impugnata nell'art.</w:t>
      </w:r>
      <w:r w:rsidR="0016263F">
        <w:rPr>
          <w:rFonts w:ascii="Garamond" w:hAnsi="Garamond" w:cs="Times New Roman"/>
          <w:color w:val="000000" w:themeColor="text1"/>
          <w:sz w:val="28"/>
          <w:szCs w:val="28"/>
        </w:rPr>
        <w:t xml:space="preserve"> 52-</w:t>
      </w:r>
      <w:r w:rsidR="00ED67BD" w:rsidRPr="0068356B">
        <w:rPr>
          <w:rFonts w:ascii="Garamond" w:hAnsi="Garamond" w:cs="Times New Roman"/>
          <w:i/>
          <w:color w:val="000000" w:themeColor="text1"/>
          <w:sz w:val="28"/>
          <w:szCs w:val="28"/>
        </w:rPr>
        <w:t>quinquies</w:t>
      </w:r>
      <w:r w:rsidR="00ED67BD" w:rsidRPr="00ED67BD">
        <w:rPr>
          <w:rFonts w:ascii="Garamond" w:hAnsi="Garamond" w:cs="Times New Roman"/>
          <w:color w:val="000000" w:themeColor="text1"/>
          <w:sz w:val="28"/>
          <w:szCs w:val="28"/>
        </w:rPr>
        <w:t xml:space="preserve"> del </w:t>
      </w:r>
      <w:r w:rsidR="00825153">
        <w:rPr>
          <w:rFonts w:ascii="Garamond" w:hAnsi="Garamond" w:cs="Times New Roman"/>
          <w:color w:val="000000" w:themeColor="text1"/>
          <w:sz w:val="28"/>
          <w:szCs w:val="28"/>
        </w:rPr>
        <w:t>d.p.r.</w:t>
      </w:r>
      <w:r w:rsidR="00ED67BD" w:rsidRPr="00ED67BD">
        <w:rPr>
          <w:rFonts w:ascii="Garamond" w:hAnsi="Garamond" w:cs="Times New Roman"/>
          <w:color w:val="000000" w:themeColor="text1"/>
          <w:sz w:val="28"/>
          <w:szCs w:val="28"/>
        </w:rPr>
        <w:t xml:space="preserve"> </w:t>
      </w:r>
      <w:r w:rsidR="0068356B">
        <w:rPr>
          <w:rFonts w:ascii="Garamond" w:hAnsi="Garamond" w:cs="Times New Roman"/>
          <w:color w:val="000000" w:themeColor="text1"/>
          <w:sz w:val="28"/>
          <w:szCs w:val="28"/>
        </w:rPr>
        <w:t>8 giugno 2001 n. 327</w:t>
      </w:r>
      <w:r w:rsidR="00ED67BD" w:rsidRPr="00ED67BD">
        <w:rPr>
          <w:rFonts w:ascii="Garamond" w:hAnsi="Garamond" w:cs="Times New Roman"/>
          <w:color w:val="000000" w:themeColor="text1"/>
          <w:sz w:val="28"/>
          <w:szCs w:val="28"/>
        </w:rPr>
        <w:t xml:space="preserve"> - il raggiungimento dell'intesa con la </w:t>
      </w:r>
      <w:r w:rsidR="007C254A">
        <w:rPr>
          <w:rFonts w:ascii="Garamond" w:hAnsi="Garamond" w:cs="Times New Roman"/>
          <w:color w:val="000000" w:themeColor="text1"/>
          <w:sz w:val="28"/>
          <w:szCs w:val="28"/>
        </w:rPr>
        <w:t>r</w:t>
      </w:r>
      <w:r w:rsidR="00ED67BD" w:rsidRPr="00ED67BD">
        <w:rPr>
          <w:rFonts w:ascii="Garamond" w:hAnsi="Garamond" w:cs="Times New Roman"/>
          <w:color w:val="000000" w:themeColor="text1"/>
          <w:sz w:val="28"/>
          <w:szCs w:val="28"/>
        </w:rPr>
        <w:t>egione interessata, previsto dal comma 5</w:t>
      </w:r>
      <w:r w:rsidR="00803B51">
        <w:rPr>
          <w:rFonts w:ascii="Garamond" w:hAnsi="Garamond" w:cs="Times New Roman"/>
          <w:color w:val="000000" w:themeColor="text1"/>
          <w:sz w:val="28"/>
          <w:szCs w:val="28"/>
        </w:rPr>
        <w:t>,</w:t>
      </w:r>
      <w:r w:rsidR="00ED67BD" w:rsidRPr="00ED67BD">
        <w:rPr>
          <w:rFonts w:ascii="Garamond" w:hAnsi="Garamond" w:cs="Times New Roman"/>
          <w:color w:val="000000" w:themeColor="text1"/>
          <w:sz w:val="28"/>
          <w:szCs w:val="28"/>
        </w:rPr>
        <w:t xml:space="preserve"> per adottare l'atto conclusivo del procedimento di autorizzazione, non sarebbe più richiesto per i gasdotti di approvvigionamento di gas dall'estero, ma solo per la costruzione e l'esercizio delle infrastrutture lineari energetic</w:t>
      </w:r>
      <w:r w:rsidR="00785147">
        <w:rPr>
          <w:rFonts w:ascii="Garamond" w:hAnsi="Garamond" w:cs="Times New Roman"/>
          <w:color w:val="000000" w:themeColor="text1"/>
          <w:sz w:val="28"/>
          <w:szCs w:val="28"/>
        </w:rPr>
        <w:t>he di cui al precedente comma.</w:t>
      </w:r>
      <w:r w:rsidR="0068356B">
        <w:rPr>
          <w:rFonts w:ascii="Garamond" w:hAnsi="Garamond" w:cs="Times New Roman"/>
          <w:color w:val="000000" w:themeColor="text1"/>
          <w:sz w:val="28"/>
          <w:szCs w:val="28"/>
        </w:rPr>
        <w:t xml:space="preserve"> T</w:t>
      </w:r>
      <w:r w:rsidR="00ED67BD" w:rsidRPr="00ED67BD">
        <w:rPr>
          <w:rFonts w:ascii="Garamond" w:hAnsi="Garamond" w:cs="Times New Roman"/>
          <w:color w:val="000000" w:themeColor="text1"/>
          <w:sz w:val="28"/>
          <w:szCs w:val="28"/>
        </w:rPr>
        <w:t xml:space="preserve">ale lettura </w:t>
      </w:r>
      <w:r>
        <w:rPr>
          <w:rFonts w:ascii="Garamond" w:hAnsi="Garamond" w:cs="Times New Roman"/>
          <w:color w:val="000000" w:themeColor="text1"/>
          <w:sz w:val="28"/>
          <w:szCs w:val="28"/>
        </w:rPr>
        <w:t xml:space="preserve">secondo </w:t>
      </w:r>
      <w:r w:rsidR="00D30ED4">
        <w:rPr>
          <w:rFonts w:ascii="Garamond" w:hAnsi="Garamond" w:cs="Times New Roman"/>
          <w:color w:val="000000" w:themeColor="text1"/>
          <w:sz w:val="28"/>
          <w:szCs w:val="28"/>
        </w:rPr>
        <w:t>l’interpretazione della</w:t>
      </w:r>
      <w:r w:rsidR="00785147">
        <w:rPr>
          <w:rFonts w:ascii="Garamond" w:hAnsi="Garamond" w:cs="Times New Roman"/>
          <w:color w:val="000000" w:themeColor="text1"/>
          <w:sz w:val="28"/>
          <w:szCs w:val="28"/>
        </w:rPr>
        <w:t xml:space="preserve"> Corte </w:t>
      </w:r>
      <w:r w:rsidR="0068356B">
        <w:rPr>
          <w:rFonts w:ascii="Garamond" w:hAnsi="Garamond" w:cs="Times New Roman"/>
          <w:color w:val="000000" w:themeColor="text1"/>
          <w:sz w:val="28"/>
          <w:szCs w:val="28"/>
        </w:rPr>
        <w:t>costituzionale poggia</w:t>
      </w:r>
      <w:r w:rsidR="00785147">
        <w:rPr>
          <w:rFonts w:ascii="Garamond" w:hAnsi="Garamond" w:cs="Times New Roman"/>
          <w:color w:val="000000" w:themeColor="text1"/>
          <w:sz w:val="28"/>
          <w:szCs w:val="28"/>
        </w:rPr>
        <w:t xml:space="preserve"> </w:t>
      </w:r>
      <w:r w:rsidR="00ED67BD" w:rsidRPr="00ED67BD">
        <w:rPr>
          <w:rFonts w:ascii="Garamond" w:hAnsi="Garamond" w:cs="Times New Roman"/>
          <w:color w:val="000000" w:themeColor="text1"/>
          <w:sz w:val="28"/>
          <w:szCs w:val="28"/>
        </w:rPr>
        <w:t>su un presupposto interpretativo non corretto</w:t>
      </w:r>
      <w:r w:rsidR="009C3515">
        <w:rPr>
          <w:rFonts w:ascii="Garamond" w:hAnsi="Garamond" w:cs="Times New Roman"/>
          <w:color w:val="000000" w:themeColor="text1"/>
          <w:sz w:val="28"/>
          <w:szCs w:val="28"/>
        </w:rPr>
        <w:t xml:space="preserve">]; </w:t>
      </w:r>
    </w:p>
    <w:p w:rsidR="00D30ED4" w:rsidRDefault="00CE3BEC" w:rsidP="0083467F">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 </w:t>
      </w:r>
      <w:r w:rsidR="0068356B">
        <w:rPr>
          <w:rFonts w:ascii="Garamond" w:hAnsi="Garamond" w:cs="Times New Roman"/>
          <w:color w:val="000000" w:themeColor="text1"/>
          <w:sz w:val="28"/>
          <w:szCs w:val="28"/>
        </w:rPr>
        <w:t>l</w:t>
      </w:r>
      <w:r w:rsidR="00D30ED4" w:rsidRPr="00D30ED4">
        <w:rPr>
          <w:rFonts w:ascii="Garamond" w:hAnsi="Garamond" w:cs="Times New Roman"/>
          <w:color w:val="000000" w:themeColor="text1"/>
          <w:sz w:val="28"/>
          <w:szCs w:val="28"/>
        </w:rPr>
        <w:t>a sentenza</w:t>
      </w:r>
      <w:r w:rsidR="00D30ED4">
        <w:rPr>
          <w:rFonts w:ascii="Garamond" w:hAnsi="Garamond" w:cs="Times New Roman"/>
          <w:color w:val="000000" w:themeColor="text1"/>
          <w:sz w:val="28"/>
          <w:szCs w:val="28"/>
        </w:rPr>
        <w:t xml:space="preserve"> Corte cos</w:t>
      </w:r>
      <w:r w:rsidR="00D1409C">
        <w:rPr>
          <w:rFonts w:ascii="Garamond" w:hAnsi="Garamond" w:cs="Times New Roman"/>
          <w:color w:val="000000" w:themeColor="text1"/>
          <w:sz w:val="28"/>
          <w:szCs w:val="28"/>
        </w:rPr>
        <w:t xml:space="preserve">t. n. 110 del 2016 </w:t>
      </w:r>
      <w:r w:rsidR="008B42F5">
        <w:rPr>
          <w:rFonts w:ascii="Garamond" w:hAnsi="Garamond" w:cs="Times New Roman"/>
          <w:color w:val="000000" w:themeColor="text1"/>
          <w:sz w:val="28"/>
          <w:szCs w:val="28"/>
        </w:rPr>
        <w:t>che ha dichiarato</w:t>
      </w:r>
      <w:r w:rsidR="0083467F">
        <w:rPr>
          <w:rFonts w:ascii="Garamond" w:hAnsi="Garamond" w:cs="Times New Roman"/>
          <w:color w:val="000000" w:themeColor="text1"/>
          <w:sz w:val="28"/>
          <w:szCs w:val="28"/>
        </w:rPr>
        <w:t xml:space="preserve"> </w:t>
      </w:r>
      <w:r w:rsidR="00685358" w:rsidRPr="0083467F">
        <w:rPr>
          <w:rFonts w:ascii="Garamond" w:hAnsi="Garamond" w:cs="Times New Roman"/>
          <w:color w:val="000000" w:themeColor="text1"/>
          <w:sz w:val="28"/>
          <w:szCs w:val="28"/>
        </w:rPr>
        <w:t xml:space="preserve">non fondata una </w:t>
      </w:r>
      <w:r w:rsidR="008B42F5" w:rsidRPr="0083467F">
        <w:rPr>
          <w:rFonts w:ascii="Garamond" w:hAnsi="Garamond" w:cs="Times New Roman"/>
          <w:color w:val="000000" w:themeColor="text1"/>
          <w:sz w:val="28"/>
          <w:szCs w:val="28"/>
        </w:rPr>
        <w:t>questione proposta in via principale da alcune Regioni</w:t>
      </w:r>
      <w:r w:rsidR="0083467F" w:rsidRPr="0083467F">
        <w:rPr>
          <w:rFonts w:ascii="Garamond" w:hAnsi="Garamond" w:cs="Times New Roman"/>
          <w:color w:val="000000" w:themeColor="text1"/>
          <w:sz w:val="28"/>
          <w:szCs w:val="28"/>
        </w:rPr>
        <w:t xml:space="preserve">, </w:t>
      </w:r>
      <w:r w:rsidR="008B42F5">
        <w:rPr>
          <w:rFonts w:ascii="Garamond" w:hAnsi="Garamond" w:cs="Times New Roman"/>
          <w:color w:val="000000" w:themeColor="text1"/>
          <w:sz w:val="28"/>
          <w:szCs w:val="28"/>
        </w:rPr>
        <w:t>chiarendo</w:t>
      </w:r>
      <w:r w:rsidR="008B42F5" w:rsidRPr="0083467F">
        <w:rPr>
          <w:rFonts w:ascii="Garamond" w:hAnsi="Garamond" w:cs="Times New Roman"/>
          <w:color w:val="000000" w:themeColor="text1"/>
          <w:sz w:val="28"/>
          <w:szCs w:val="28"/>
        </w:rPr>
        <w:t>, in via d’interpretazione, che anche ai</w:t>
      </w:r>
      <w:r w:rsidR="0083467F" w:rsidRPr="0083467F">
        <w:rPr>
          <w:rFonts w:ascii="Garamond" w:hAnsi="Garamond" w:cs="Times New Roman"/>
          <w:color w:val="000000" w:themeColor="text1"/>
          <w:sz w:val="28"/>
          <w:szCs w:val="28"/>
        </w:rPr>
        <w:t xml:space="preserve"> </w:t>
      </w:r>
      <w:r w:rsidR="009371DB" w:rsidRPr="0083467F">
        <w:rPr>
          <w:rFonts w:ascii="Garamond" w:hAnsi="Garamond" w:cs="Times New Roman"/>
          <w:color w:val="000000" w:themeColor="text1"/>
          <w:sz w:val="28"/>
          <w:szCs w:val="28"/>
        </w:rPr>
        <w:t>gasdotti di</w:t>
      </w:r>
      <w:r w:rsidR="0083467F" w:rsidRPr="0083467F">
        <w:rPr>
          <w:rFonts w:ascii="Garamond" w:hAnsi="Garamond" w:cs="Times New Roman"/>
          <w:color w:val="000000" w:themeColor="text1"/>
          <w:sz w:val="28"/>
          <w:szCs w:val="28"/>
        </w:rPr>
        <w:t xml:space="preserve"> approvvigionamento di gas dall’estero, in quanto infrastruttur</w:t>
      </w:r>
      <w:r w:rsidR="008B42F5">
        <w:rPr>
          <w:rFonts w:ascii="Garamond" w:hAnsi="Garamond" w:cs="Times New Roman"/>
          <w:color w:val="000000" w:themeColor="text1"/>
          <w:sz w:val="28"/>
          <w:szCs w:val="28"/>
        </w:rPr>
        <w:t xml:space="preserve">e </w:t>
      </w:r>
      <w:r w:rsidR="0083467F" w:rsidRPr="0083467F">
        <w:rPr>
          <w:rFonts w:ascii="Garamond" w:hAnsi="Garamond" w:cs="Times New Roman"/>
          <w:color w:val="000000" w:themeColor="text1"/>
          <w:sz w:val="28"/>
          <w:szCs w:val="28"/>
        </w:rPr>
        <w:t>lineari energetiche, si applica l’art. 52-</w:t>
      </w:r>
      <w:r w:rsidR="009371DB" w:rsidRPr="00C77040">
        <w:rPr>
          <w:rFonts w:ascii="Garamond" w:hAnsi="Garamond" w:cs="Times New Roman"/>
          <w:i/>
          <w:color w:val="000000" w:themeColor="text1"/>
          <w:sz w:val="28"/>
          <w:szCs w:val="28"/>
        </w:rPr>
        <w:t>quinquies</w:t>
      </w:r>
      <w:r w:rsidR="009371DB" w:rsidRPr="0083467F">
        <w:rPr>
          <w:rFonts w:ascii="Garamond" w:hAnsi="Garamond" w:cs="Times New Roman"/>
          <w:color w:val="000000" w:themeColor="text1"/>
          <w:sz w:val="28"/>
          <w:szCs w:val="28"/>
        </w:rPr>
        <w:t xml:space="preserve">, comma 5, del </w:t>
      </w:r>
      <w:r w:rsidR="006C564E">
        <w:rPr>
          <w:rFonts w:ascii="Garamond" w:hAnsi="Garamond" w:cs="Times New Roman"/>
          <w:color w:val="000000" w:themeColor="text1"/>
          <w:sz w:val="28"/>
          <w:szCs w:val="28"/>
        </w:rPr>
        <w:t>decreto</w:t>
      </w:r>
      <w:r w:rsidR="009371DB" w:rsidRPr="0083467F">
        <w:rPr>
          <w:rFonts w:ascii="Garamond" w:hAnsi="Garamond" w:cs="Times New Roman"/>
          <w:color w:val="000000" w:themeColor="text1"/>
          <w:sz w:val="28"/>
          <w:szCs w:val="28"/>
        </w:rPr>
        <w:t xml:space="preserve"> del Presidente della Repubblica n.</w:t>
      </w:r>
      <w:r w:rsidR="0083467F" w:rsidRPr="0083467F">
        <w:rPr>
          <w:rFonts w:ascii="Garamond" w:hAnsi="Garamond" w:cs="Times New Roman"/>
          <w:color w:val="000000" w:themeColor="text1"/>
          <w:sz w:val="28"/>
          <w:szCs w:val="28"/>
        </w:rPr>
        <w:t xml:space="preserve">  327</w:t>
      </w:r>
      <w:r w:rsidR="00C77040">
        <w:rPr>
          <w:rFonts w:ascii="Garamond" w:hAnsi="Garamond" w:cs="Times New Roman"/>
          <w:color w:val="000000" w:themeColor="text1"/>
          <w:sz w:val="28"/>
          <w:szCs w:val="28"/>
        </w:rPr>
        <w:t xml:space="preserve"> del 2001</w:t>
      </w:r>
      <w:r w:rsidR="0083467F">
        <w:rPr>
          <w:rFonts w:ascii="Garamond" w:hAnsi="Garamond" w:cs="Times New Roman"/>
          <w:color w:val="000000" w:themeColor="text1"/>
          <w:sz w:val="28"/>
          <w:szCs w:val="28"/>
        </w:rPr>
        <w:t xml:space="preserve">, </w:t>
      </w:r>
      <w:r w:rsidR="00D30ED4" w:rsidRPr="00D30ED4">
        <w:rPr>
          <w:rFonts w:ascii="Garamond" w:hAnsi="Garamond" w:cs="Times New Roman"/>
          <w:color w:val="000000" w:themeColor="text1"/>
          <w:sz w:val="28"/>
          <w:szCs w:val="28"/>
        </w:rPr>
        <w:t xml:space="preserve">non ha modificato in alcun modo il quadro normativo entro il </w:t>
      </w:r>
      <w:r w:rsidR="00C77040">
        <w:rPr>
          <w:rFonts w:ascii="Garamond" w:hAnsi="Garamond" w:cs="Times New Roman"/>
          <w:color w:val="000000" w:themeColor="text1"/>
          <w:sz w:val="28"/>
          <w:szCs w:val="28"/>
        </w:rPr>
        <w:t xml:space="preserve">quale è stato adottato </w:t>
      </w:r>
      <w:r w:rsidR="00D30ED4" w:rsidRPr="00D30ED4">
        <w:rPr>
          <w:rFonts w:ascii="Garamond" w:hAnsi="Garamond" w:cs="Times New Roman"/>
          <w:color w:val="000000" w:themeColor="text1"/>
          <w:sz w:val="28"/>
          <w:szCs w:val="28"/>
        </w:rPr>
        <w:t>il provvedimento di autorizzazione alla realizzazione del</w:t>
      </w:r>
      <w:r w:rsidR="00C77040">
        <w:rPr>
          <w:rFonts w:ascii="Garamond" w:hAnsi="Garamond" w:cs="Times New Roman"/>
          <w:color w:val="000000" w:themeColor="text1"/>
          <w:sz w:val="28"/>
          <w:szCs w:val="28"/>
        </w:rPr>
        <w:t xml:space="preserve"> gasdotto TAP e da</w:t>
      </w:r>
      <w:r w:rsidR="00D1409C">
        <w:rPr>
          <w:rFonts w:ascii="Garamond" w:hAnsi="Garamond" w:cs="Times New Roman"/>
          <w:color w:val="000000" w:themeColor="text1"/>
          <w:sz w:val="28"/>
          <w:szCs w:val="28"/>
        </w:rPr>
        <w:t xml:space="preserve"> essa non poteva conseguire </w:t>
      </w:r>
      <w:r w:rsidR="00D30ED4" w:rsidRPr="00D30ED4">
        <w:rPr>
          <w:rFonts w:ascii="Garamond" w:hAnsi="Garamond" w:cs="Times New Roman"/>
          <w:color w:val="000000" w:themeColor="text1"/>
          <w:sz w:val="28"/>
          <w:szCs w:val="28"/>
        </w:rPr>
        <w:t>alcun obbligo in capo al Ministero dello sviluppo economico di adottare «</w:t>
      </w:r>
      <w:r w:rsidR="00D30ED4" w:rsidRPr="008B42F5">
        <w:rPr>
          <w:rFonts w:ascii="Garamond" w:hAnsi="Garamond" w:cs="Times New Roman"/>
          <w:i/>
          <w:color w:val="000000" w:themeColor="text1"/>
          <w:sz w:val="28"/>
          <w:szCs w:val="28"/>
        </w:rPr>
        <w:t>atti necessari ad ottemperare a quanto statuito dalla sentenza</w:t>
      </w:r>
      <w:r w:rsidR="00D30ED4" w:rsidRPr="00D30ED4">
        <w:rPr>
          <w:rFonts w:ascii="Garamond" w:hAnsi="Garamond" w:cs="Times New Roman"/>
          <w:color w:val="000000" w:themeColor="text1"/>
          <w:sz w:val="28"/>
          <w:szCs w:val="28"/>
        </w:rPr>
        <w:t>».</w:t>
      </w:r>
      <w:r w:rsidR="0083467F">
        <w:rPr>
          <w:rFonts w:ascii="Garamond" w:hAnsi="Garamond" w:cs="Times New Roman"/>
          <w:color w:val="000000" w:themeColor="text1"/>
          <w:sz w:val="28"/>
          <w:szCs w:val="28"/>
        </w:rPr>
        <w:t xml:space="preserve"> </w:t>
      </w:r>
      <w:r w:rsidR="0083467F">
        <w:rPr>
          <w:rFonts w:ascii="Garamond" w:hAnsi="Garamond" w:cs="Times New Roman"/>
          <w:color w:val="000000" w:themeColor="text1"/>
          <w:sz w:val="28"/>
          <w:szCs w:val="28"/>
        </w:rPr>
        <w:lastRenderedPageBreak/>
        <w:t>L</w:t>
      </w:r>
      <w:r w:rsidR="00D30ED4" w:rsidRPr="00D30ED4">
        <w:rPr>
          <w:rFonts w:ascii="Garamond" w:hAnsi="Garamond" w:cs="Times New Roman"/>
          <w:color w:val="000000" w:themeColor="text1"/>
          <w:sz w:val="28"/>
          <w:szCs w:val="28"/>
        </w:rPr>
        <w:t>’interpretazione assunta in tale pronuncia</w:t>
      </w:r>
      <w:r w:rsidR="00C77040">
        <w:rPr>
          <w:rFonts w:ascii="Garamond" w:hAnsi="Garamond" w:cs="Times New Roman"/>
          <w:color w:val="000000" w:themeColor="text1"/>
          <w:sz w:val="28"/>
          <w:szCs w:val="28"/>
        </w:rPr>
        <w:t>,</w:t>
      </w:r>
      <w:r w:rsidR="00D30ED4" w:rsidRPr="00D30ED4">
        <w:rPr>
          <w:rFonts w:ascii="Garamond" w:hAnsi="Garamond" w:cs="Times New Roman"/>
          <w:color w:val="000000" w:themeColor="text1"/>
          <w:sz w:val="28"/>
          <w:szCs w:val="28"/>
        </w:rPr>
        <w:t xml:space="preserve"> con riferimen</w:t>
      </w:r>
      <w:r w:rsidR="00C77040">
        <w:rPr>
          <w:rFonts w:ascii="Garamond" w:hAnsi="Garamond" w:cs="Times New Roman"/>
          <w:color w:val="000000" w:themeColor="text1"/>
          <w:sz w:val="28"/>
          <w:szCs w:val="28"/>
        </w:rPr>
        <w:t xml:space="preserve">to  alla  necessità dell’intesa, </w:t>
      </w:r>
      <w:r w:rsidR="00D30ED4" w:rsidRPr="00D30ED4">
        <w:rPr>
          <w:rFonts w:ascii="Garamond" w:hAnsi="Garamond" w:cs="Times New Roman"/>
          <w:color w:val="000000" w:themeColor="text1"/>
          <w:sz w:val="28"/>
          <w:szCs w:val="28"/>
        </w:rPr>
        <w:t>non ha riguardato in alcun modo la scelta delle procedure necessarie in caso di  mancata  definizione  della  stessa,  a  seconda  che  sia  determinata  da  un  dissenso espresso  oppure  da  una  mera  inerzia  regionale;  mentre  il  ricorso  per  conflitto  della Regione  sembra  proprio  lamentare,  in  definitiva,  che  la  lesione  della  propria  sfera  di attribuzioni   costituzionali   sia   dipesa   dalla   violazione   della   corretta   procedura   da applicare in caso di mancato raggiungimento dell’intesa</w:t>
      </w:r>
      <w:r w:rsidR="0083467F">
        <w:rPr>
          <w:rFonts w:ascii="Garamond" w:hAnsi="Garamond" w:cs="Times New Roman"/>
          <w:color w:val="000000" w:themeColor="text1"/>
          <w:sz w:val="28"/>
          <w:szCs w:val="28"/>
        </w:rPr>
        <w:t xml:space="preserve">, profilo questo che ha formato oggetto di giudicato amministrativo </w:t>
      </w:r>
      <w:r w:rsidR="009B0078">
        <w:rPr>
          <w:rFonts w:ascii="Garamond" w:hAnsi="Garamond" w:cs="Times New Roman"/>
          <w:color w:val="000000" w:themeColor="text1"/>
          <w:sz w:val="28"/>
          <w:szCs w:val="28"/>
        </w:rPr>
        <w:t xml:space="preserve"> (Corte c</w:t>
      </w:r>
      <w:r w:rsidR="00D1409C">
        <w:rPr>
          <w:rFonts w:ascii="Garamond" w:hAnsi="Garamond" w:cs="Times New Roman"/>
          <w:color w:val="000000" w:themeColor="text1"/>
          <w:sz w:val="28"/>
          <w:szCs w:val="28"/>
        </w:rPr>
        <w:t>ost.</w:t>
      </w:r>
      <w:r w:rsidR="009C3515">
        <w:rPr>
          <w:rFonts w:ascii="Garamond" w:hAnsi="Garamond" w:cs="Times New Roman"/>
          <w:color w:val="000000" w:themeColor="text1"/>
          <w:sz w:val="28"/>
          <w:szCs w:val="28"/>
        </w:rPr>
        <w:t>,</w:t>
      </w:r>
      <w:r w:rsidR="00D1409C">
        <w:rPr>
          <w:rFonts w:ascii="Garamond" w:hAnsi="Garamond" w:cs="Times New Roman"/>
          <w:color w:val="000000" w:themeColor="text1"/>
          <w:sz w:val="28"/>
          <w:szCs w:val="28"/>
        </w:rPr>
        <w:t xml:space="preserve"> n. 230 del 2017 che ha dichiarato inammissibile il conflitto di attribuzione tra Stato e Regione sollevato dalla Regione Puglia</w:t>
      </w:r>
      <w:r w:rsidR="00C77040">
        <w:rPr>
          <w:rFonts w:ascii="Garamond" w:hAnsi="Garamond" w:cs="Times New Roman"/>
          <w:color w:val="000000" w:themeColor="text1"/>
          <w:sz w:val="28"/>
          <w:szCs w:val="28"/>
        </w:rPr>
        <w:t>,</w:t>
      </w:r>
      <w:r w:rsidR="00D1409C">
        <w:rPr>
          <w:rFonts w:ascii="Garamond" w:hAnsi="Garamond" w:cs="Times New Roman"/>
          <w:color w:val="000000" w:themeColor="text1"/>
          <w:sz w:val="28"/>
          <w:szCs w:val="28"/>
        </w:rPr>
        <w:t xml:space="preserve"> con cui si lamentava la mancata osservanza di quanto deciso da Corte cost.</w:t>
      </w:r>
      <w:r w:rsidR="009C3515">
        <w:rPr>
          <w:rFonts w:ascii="Garamond" w:hAnsi="Garamond" w:cs="Times New Roman"/>
          <w:color w:val="000000" w:themeColor="text1"/>
          <w:sz w:val="28"/>
          <w:szCs w:val="28"/>
        </w:rPr>
        <w:t>,</w:t>
      </w:r>
      <w:r w:rsidR="00D1409C">
        <w:rPr>
          <w:rFonts w:ascii="Garamond" w:hAnsi="Garamond" w:cs="Times New Roman"/>
          <w:color w:val="000000" w:themeColor="text1"/>
          <w:sz w:val="28"/>
          <w:szCs w:val="28"/>
        </w:rPr>
        <w:t xml:space="preserve"> n. 110 del 2016, impugnando il silenzio rifiuto nei confronti delle richieste di ottemperanza formulate dalla Regione</w:t>
      </w:r>
      <w:r w:rsidR="0083467F">
        <w:rPr>
          <w:rFonts w:ascii="Garamond" w:hAnsi="Garamond" w:cs="Times New Roman"/>
          <w:color w:val="000000" w:themeColor="text1"/>
          <w:sz w:val="28"/>
          <w:szCs w:val="28"/>
        </w:rPr>
        <w:t xml:space="preserve">, </w:t>
      </w:r>
      <w:r w:rsidR="0083467F" w:rsidRPr="0083467F">
        <w:rPr>
          <w:rFonts w:ascii="Garamond" w:hAnsi="Garamond" w:cs="Times New Roman"/>
          <w:color w:val="000000" w:themeColor="text1"/>
          <w:sz w:val="28"/>
          <w:szCs w:val="28"/>
        </w:rPr>
        <w:t xml:space="preserve"> </w:t>
      </w:r>
      <w:r w:rsidR="0083467F">
        <w:rPr>
          <w:rFonts w:ascii="Garamond" w:hAnsi="Garamond" w:cs="Times New Roman"/>
          <w:color w:val="000000" w:themeColor="text1"/>
          <w:sz w:val="28"/>
          <w:szCs w:val="28"/>
        </w:rPr>
        <w:t xml:space="preserve">in quanto </w:t>
      </w:r>
      <w:r w:rsidR="0083467F" w:rsidRPr="0083467F">
        <w:rPr>
          <w:rFonts w:ascii="Garamond" w:hAnsi="Garamond" w:cs="Times New Roman"/>
          <w:color w:val="000000" w:themeColor="text1"/>
          <w:sz w:val="28"/>
          <w:szCs w:val="28"/>
        </w:rPr>
        <w:t>il provvedimento  di  autorizzazione  alla  realizzazi</w:t>
      </w:r>
      <w:r w:rsidR="0083467F">
        <w:rPr>
          <w:rFonts w:ascii="Garamond" w:hAnsi="Garamond" w:cs="Times New Roman"/>
          <w:color w:val="000000" w:themeColor="text1"/>
          <w:sz w:val="28"/>
          <w:szCs w:val="28"/>
        </w:rPr>
        <w:t xml:space="preserve">one  del  gasdotto  TAP  era   stato rilasciato </w:t>
      </w:r>
      <w:r w:rsidR="007C254A">
        <w:rPr>
          <w:rFonts w:ascii="Garamond" w:hAnsi="Garamond" w:cs="Times New Roman"/>
          <w:color w:val="000000" w:themeColor="text1"/>
          <w:sz w:val="28"/>
          <w:szCs w:val="28"/>
        </w:rPr>
        <w:t>in assenza d’intesa con la r</w:t>
      </w:r>
      <w:r w:rsidR="0083467F" w:rsidRPr="0083467F">
        <w:rPr>
          <w:rFonts w:ascii="Garamond" w:hAnsi="Garamond" w:cs="Times New Roman"/>
          <w:color w:val="000000" w:themeColor="text1"/>
          <w:sz w:val="28"/>
          <w:szCs w:val="28"/>
        </w:rPr>
        <w:t>egione Puglia</w:t>
      </w:r>
      <w:r w:rsidR="00D1409C">
        <w:rPr>
          <w:rFonts w:ascii="Garamond" w:hAnsi="Garamond" w:cs="Times New Roman"/>
          <w:color w:val="000000" w:themeColor="text1"/>
          <w:sz w:val="28"/>
          <w:szCs w:val="28"/>
        </w:rPr>
        <w:t>; la Corte costituzionale</w:t>
      </w:r>
      <w:r w:rsidR="0083467F">
        <w:rPr>
          <w:rFonts w:ascii="Garamond" w:hAnsi="Garamond" w:cs="Times New Roman"/>
          <w:color w:val="000000" w:themeColor="text1"/>
          <w:sz w:val="28"/>
          <w:szCs w:val="28"/>
        </w:rPr>
        <w:t xml:space="preserve"> ha ritenuto che il ricorso </w:t>
      </w:r>
      <w:r w:rsidR="00D1409C">
        <w:rPr>
          <w:rFonts w:ascii="Garamond" w:hAnsi="Garamond" w:cs="Times New Roman"/>
          <w:color w:val="000000" w:themeColor="text1"/>
          <w:sz w:val="28"/>
          <w:szCs w:val="28"/>
        </w:rPr>
        <w:t xml:space="preserve"> </w:t>
      </w:r>
      <w:r w:rsidR="0083467F" w:rsidRPr="0083467F">
        <w:rPr>
          <w:rFonts w:ascii="Garamond" w:hAnsi="Garamond" w:cs="Times New Roman"/>
          <w:color w:val="000000" w:themeColor="text1"/>
          <w:sz w:val="28"/>
          <w:szCs w:val="28"/>
        </w:rPr>
        <w:t>difetta</w:t>
      </w:r>
      <w:r w:rsidR="0083467F">
        <w:rPr>
          <w:rFonts w:ascii="Garamond" w:hAnsi="Garamond" w:cs="Times New Roman"/>
          <w:color w:val="000000" w:themeColor="text1"/>
          <w:sz w:val="28"/>
          <w:szCs w:val="28"/>
        </w:rPr>
        <w:t>sse</w:t>
      </w:r>
      <w:r w:rsidR="0083467F" w:rsidRPr="0083467F">
        <w:rPr>
          <w:rFonts w:ascii="Garamond" w:hAnsi="Garamond" w:cs="Times New Roman"/>
          <w:color w:val="000000" w:themeColor="text1"/>
          <w:sz w:val="28"/>
          <w:szCs w:val="28"/>
        </w:rPr>
        <w:t xml:space="preserve"> dei necessari requisiti di attualità e origina</w:t>
      </w:r>
      <w:r w:rsidR="0083467F">
        <w:rPr>
          <w:rFonts w:ascii="Garamond" w:hAnsi="Garamond" w:cs="Times New Roman"/>
          <w:color w:val="000000" w:themeColor="text1"/>
          <w:sz w:val="28"/>
          <w:szCs w:val="28"/>
        </w:rPr>
        <w:t xml:space="preserve">rietà,  mirando  in  sostanza </w:t>
      </w:r>
      <w:r w:rsidR="0083467F" w:rsidRPr="0083467F">
        <w:rPr>
          <w:rFonts w:ascii="Garamond" w:hAnsi="Garamond" w:cs="Times New Roman"/>
          <w:color w:val="000000" w:themeColor="text1"/>
          <w:sz w:val="28"/>
          <w:szCs w:val="28"/>
        </w:rPr>
        <w:t>a  superare  la  mancata  impugnazione  del  provvedimento  di autorizzazione  alla  realizzazione  del  gasdotto  TAP, unico atto potenzialmente lesivo delle attribuzioni regionali</w:t>
      </w:r>
      <w:r w:rsidR="00C77040">
        <w:rPr>
          <w:rFonts w:ascii="Garamond" w:hAnsi="Garamond" w:cs="Times New Roman"/>
          <w:color w:val="000000" w:themeColor="text1"/>
          <w:sz w:val="28"/>
          <w:szCs w:val="28"/>
        </w:rPr>
        <w:t>)</w:t>
      </w:r>
      <w:r w:rsidR="0083467F">
        <w:rPr>
          <w:rFonts w:ascii="Garamond" w:hAnsi="Garamond" w:cs="Times New Roman"/>
          <w:color w:val="000000" w:themeColor="text1"/>
          <w:sz w:val="28"/>
          <w:szCs w:val="28"/>
        </w:rPr>
        <w:t>.</w:t>
      </w:r>
    </w:p>
    <w:p w:rsidR="009371DB" w:rsidRDefault="009371DB" w:rsidP="0083467F">
      <w:pPr>
        <w:spacing w:line="240" w:lineRule="auto"/>
        <w:ind w:firstLine="709"/>
        <w:contextualSpacing/>
        <w:jc w:val="both"/>
        <w:rPr>
          <w:rFonts w:ascii="Garamond" w:hAnsi="Garamond" w:cs="Times New Roman"/>
          <w:color w:val="000000" w:themeColor="text1"/>
          <w:sz w:val="28"/>
          <w:szCs w:val="28"/>
        </w:rPr>
      </w:pPr>
    </w:p>
    <w:p w:rsidR="009371DB" w:rsidRDefault="009371DB" w:rsidP="0083467F">
      <w:pPr>
        <w:spacing w:line="240" w:lineRule="auto"/>
        <w:ind w:firstLine="709"/>
        <w:contextualSpacing/>
        <w:jc w:val="both"/>
        <w:rPr>
          <w:rFonts w:ascii="Garamond" w:hAnsi="Garamond" w:cs="Times New Roman"/>
          <w:b/>
          <w:color w:val="000000" w:themeColor="text1"/>
          <w:sz w:val="28"/>
          <w:szCs w:val="28"/>
        </w:rPr>
      </w:pPr>
      <w:r w:rsidRPr="009371DB">
        <w:rPr>
          <w:rFonts w:ascii="Garamond" w:hAnsi="Garamond" w:cs="Times New Roman"/>
          <w:b/>
          <w:color w:val="000000" w:themeColor="text1"/>
          <w:sz w:val="28"/>
          <w:szCs w:val="28"/>
        </w:rPr>
        <w:t>2.10</w:t>
      </w:r>
      <w:r>
        <w:rPr>
          <w:rFonts w:ascii="Garamond" w:hAnsi="Garamond" w:cs="Times New Roman"/>
          <w:b/>
          <w:color w:val="000000" w:themeColor="text1"/>
          <w:sz w:val="28"/>
          <w:szCs w:val="28"/>
        </w:rPr>
        <w:t>. Impianti nucleari.</w:t>
      </w:r>
    </w:p>
    <w:p w:rsidR="009371DB" w:rsidRPr="009371DB" w:rsidRDefault="009371DB" w:rsidP="009371DB">
      <w:pPr>
        <w:spacing w:line="240" w:lineRule="auto"/>
        <w:ind w:firstLine="709"/>
        <w:contextualSpacing/>
        <w:jc w:val="both"/>
        <w:rPr>
          <w:rFonts w:ascii="Garamond" w:hAnsi="Garamond" w:cs="Times New Roman"/>
          <w:color w:val="000000" w:themeColor="text1"/>
          <w:sz w:val="28"/>
          <w:szCs w:val="28"/>
        </w:rPr>
      </w:pPr>
      <w:r w:rsidRPr="009371DB">
        <w:rPr>
          <w:rFonts w:ascii="Garamond" w:hAnsi="Garamond" w:cs="Times New Roman"/>
          <w:color w:val="000000" w:themeColor="text1"/>
          <w:sz w:val="28"/>
          <w:szCs w:val="28"/>
        </w:rPr>
        <w:t>Le potenzialità tipiche dell’energia nucleare, in quanto espressione di interessi unitari e infrazionabili, hanno chiamato in causa attribuzioni esclusive dello Stato che hanno assunto sicura prevalenza rispetto alla materia concorrente della «</w:t>
      </w:r>
      <w:r w:rsidRPr="009C3515">
        <w:rPr>
          <w:rFonts w:ascii="Garamond" w:hAnsi="Garamond" w:cs="Times New Roman"/>
          <w:i/>
          <w:color w:val="000000" w:themeColor="text1"/>
          <w:sz w:val="28"/>
          <w:szCs w:val="28"/>
        </w:rPr>
        <w:t>produzione, trasporto e distribuzione nazionale dell’energia</w:t>
      </w:r>
      <w:r w:rsidRPr="009371DB">
        <w:rPr>
          <w:rFonts w:ascii="Garamond" w:hAnsi="Garamond" w:cs="Times New Roman"/>
          <w:color w:val="000000" w:themeColor="text1"/>
          <w:sz w:val="28"/>
          <w:szCs w:val="28"/>
        </w:rPr>
        <w:t>» (Corte cost., n. 88 del 2009), così come le implicazioni connesse con la produzione dell’energia nucleare in termini di «</w:t>
      </w:r>
      <w:r w:rsidRPr="009C3515">
        <w:rPr>
          <w:rFonts w:ascii="Garamond" w:hAnsi="Garamond" w:cs="Times New Roman"/>
          <w:i/>
          <w:color w:val="000000" w:themeColor="text1"/>
          <w:sz w:val="28"/>
          <w:szCs w:val="28"/>
        </w:rPr>
        <w:t>ordine pubblico e di sicurezza», ai sensi dell’art. 117, secondo comma, lettera h), Cost</w:t>
      </w:r>
      <w:r w:rsidR="009C3515">
        <w:rPr>
          <w:rFonts w:ascii="Garamond" w:hAnsi="Garamond" w:cs="Times New Roman"/>
          <w:color w:val="000000" w:themeColor="text1"/>
          <w:sz w:val="28"/>
          <w:szCs w:val="28"/>
        </w:rPr>
        <w:t>.</w:t>
      </w:r>
      <w:r w:rsidR="009C3515" w:rsidRPr="009C3515">
        <w:rPr>
          <w:rFonts w:ascii="Garamond" w:hAnsi="Garamond" w:cs="Times New Roman"/>
          <w:i/>
          <w:color w:val="000000" w:themeColor="text1"/>
          <w:sz w:val="28"/>
          <w:szCs w:val="28"/>
        </w:rPr>
        <w:t>»</w:t>
      </w:r>
      <w:r w:rsidR="009C3515" w:rsidRPr="009C3515">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w:t>
      </w:r>
      <w:r w:rsidR="009B0078">
        <w:rPr>
          <w:rFonts w:ascii="Garamond" w:hAnsi="Garamond" w:cs="Times New Roman"/>
          <w:color w:val="000000" w:themeColor="text1"/>
          <w:sz w:val="28"/>
          <w:szCs w:val="28"/>
        </w:rPr>
        <w:t>Corte. c</w:t>
      </w:r>
      <w:r w:rsidRPr="009371DB">
        <w:rPr>
          <w:rFonts w:ascii="Garamond" w:hAnsi="Garamond" w:cs="Times New Roman"/>
          <w:color w:val="000000" w:themeColor="text1"/>
          <w:sz w:val="28"/>
          <w:szCs w:val="28"/>
        </w:rPr>
        <w:t>ost. n. 18 del 2009).</w:t>
      </w:r>
    </w:p>
    <w:p w:rsidR="009371DB" w:rsidRPr="009371DB" w:rsidRDefault="009371DB" w:rsidP="009371DB">
      <w:pPr>
        <w:spacing w:line="240" w:lineRule="auto"/>
        <w:ind w:firstLine="709"/>
        <w:contextualSpacing/>
        <w:jc w:val="both"/>
        <w:rPr>
          <w:rFonts w:ascii="Garamond" w:hAnsi="Garamond" w:cs="Times New Roman"/>
          <w:color w:val="000000" w:themeColor="text1"/>
          <w:sz w:val="28"/>
          <w:szCs w:val="28"/>
        </w:rPr>
      </w:pPr>
      <w:r w:rsidRPr="009371DB">
        <w:rPr>
          <w:rFonts w:ascii="Garamond" w:hAnsi="Garamond" w:cs="Times New Roman"/>
          <w:color w:val="000000" w:themeColor="text1"/>
          <w:sz w:val="28"/>
          <w:szCs w:val="28"/>
        </w:rPr>
        <w:t xml:space="preserve"> L’incidenza degli interessi nazionali e internazionali in gioco, le correlate esigenze di celerità nell’attuazione delle scelte strategiche legate al nucleare, le peculiarità di questa fonte energetica, hanno imposto di considerare sotto luce diversa i princìpi inerenti all’applicazione del principio di sussidiarietà di cui all’art. 118, comma 1, Cost., nonché lo stesso potere sostitutivo (Corte cost., n. 249 del 2009; Corte cost., n. 383 del 2005; Corte cost., n. 62 del 2005; Corte cost., n. 6 del 2004; Corte cost., n. 303 del 2003). </w:t>
      </w:r>
    </w:p>
    <w:p w:rsidR="009371DB" w:rsidRPr="009371DB" w:rsidRDefault="009371DB" w:rsidP="009371DB">
      <w:pPr>
        <w:spacing w:line="240" w:lineRule="auto"/>
        <w:ind w:firstLine="709"/>
        <w:contextualSpacing/>
        <w:jc w:val="both"/>
        <w:rPr>
          <w:rFonts w:ascii="Garamond" w:hAnsi="Garamond" w:cs="Times New Roman"/>
          <w:color w:val="000000" w:themeColor="text1"/>
          <w:sz w:val="28"/>
          <w:szCs w:val="28"/>
        </w:rPr>
      </w:pPr>
      <w:r w:rsidRPr="009371DB">
        <w:rPr>
          <w:rFonts w:ascii="Garamond" w:hAnsi="Garamond" w:cs="Times New Roman"/>
          <w:color w:val="000000" w:themeColor="text1"/>
          <w:sz w:val="28"/>
          <w:szCs w:val="28"/>
        </w:rPr>
        <w:t xml:space="preserve">La Corte costituzionale ha riconosciuto che una disciplina organica del processo di produzione dell’energia elettrica nucleare chiama in causa, di necessità, unitamente a quelli energetici, ulteriori interessi che, in parte, sono imputabili a materie di competenza legislativa concorrente e, in una parte significativa, afferiscono ad ambiti di competenza esclusiva dello Stato (Corte cost., n. 287 del 2010). </w:t>
      </w:r>
    </w:p>
    <w:p w:rsidR="009371DB" w:rsidRPr="009371DB" w:rsidRDefault="009371DB" w:rsidP="009371DB">
      <w:pPr>
        <w:spacing w:line="240" w:lineRule="auto"/>
        <w:ind w:firstLine="709"/>
        <w:contextualSpacing/>
        <w:jc w:val="both"/>
        <w:rPr>
          <w:rFonts w:ascii="Garamond" w:hAnsi="Garamond" w:cs="Times New Roman"/>
          <w:color w:val="000000" w:themeColor="text1"/>
          <w:sz w:val="28"/>
          <w:szCs w:val="28"/>
        </w:rPr>
      </w:pPr>
      <w:r w:rsidRPr="009371DB">
        <w:rPr>
          <w:rFonts w:ascii="Garamond" w:hAnsi="Garamond" w:cs="Times New Roman"/>
          <w:color w:val="000000" w:themeColor="text1"/>
          <w:sz w:val="28"/>
          <w:szCs w:val="28"/>
        </w:rPr>
        <w:t>In particolare la Corte ha chiarito che la normativa concernente lo smantellamento di impianti nucleari a fine vita, implicando prioritarie esigenze di tutela ambientale, ricade nella sfera di competenza esclusiva dello Stato: anche in tal caso, la prevalenza di tale materia su ogni altra esclude la necessità costituzionale di un coinvolgimento del sistema regionale (Corte cost., n. 278 del 2010).</w:t>
      </w:r>
    </w:p>
    <w:p w:rsidR="009371DB" w:rsidRPr="009371DB" w:rsidRDefault="009371DB" w:rsidP="009371DB">
      <w:pPr>
        <w:spacing w:line="240" w:lineRule="auto"/>
        <w:ind w:firstLine="709"/>
        <w:contextualSpacing/>
        <w:jc w:val="both"/>
        <w:rPr>
          <w:rFonts w:ascii="Garamond" w:hAnsi="Garamond" w:cs="Times New Roman"/>
          <w:color w:val="000000" w:themeColor="text1"/>
          <w:sz w:val="28"/>
          <w:szCs w:val="28"/>
        </w:rPr>
      </w:pPr>
      <w:r w:rsidRPr="009371DB">
        <w:rPr>
          <w:rFonts w:ascii="Garamond" w:hAnsi="Garamond" w:cs="Times New Roman"/>
          <w:color w:val="000000" w:themeColor="text1"/>
          <w:sz w:val="28"/>
          <w:szCs w:val="28"/>
        </w:rPr>
        <w:t>La Corte costituzionale ha dichiarato l’illegittimità co</w:t>
      </w:r>
      <w:r w:rsidR="007C254A">
        <w:rPr>
          <w:rFonts w:ascii="Garamond" w:hAnsi="Garamond" w:cs="Times New Roman"/>
          <w:color w:val="000000" w:themeColor="text1"/>
          <w:sz w:val="28"/>
          <w:szCs w:val="28"/>
        </w:rPr>
        <w:t>stituzionale delle leggi delle r</w:t>
      </w:r>
      <w:r w:rsidRPr="009371DB">
        <w:rPr>
          <w:rFonts w:ascii="Garamond" w:hAnsi="Garamond" w:cs="Times New Roman"/>
          <w:color w:val="000000" w:themeColor="text1"/>
          <w:sz w:val="28"/>
          <w:szCs w:val="28"/>
        </w:rPr>
        <w:t xml:space="preserve">egioni Basilicata, Campania e Puglia con le quali veniva manifestato il divieto alla realizzazione sui propri territori non solo di nuovi impianti di produzione, fabbricazione </w:t>
      </w:r>
      <w:r w:rsidRPr="009371DB">
        <w:rPr>
          <w:rFonts w:ascii="Garamond" w:hAnsi="Garamond" w:cs="Times New Roman"/>
          <w:color w:val="000000" w:themeColor="text1"/>
          <w:sz w:val="28"/>
          <w:szCs w:val="28"/>
        </w:rPr>
        <w:lastRenderedPageBreak/>
        <w:t>e stoccaggio di energia nucleare, ma anche di depositi di materiali e rifiuti radioattivi (Corte cost., n. 331/2010).</w:t>
      </w:r>
    </w:p>
    <w:p w:rsidR="009371DB" w:rsidRPr="009371DB" w:rsidRDefault="009C3515" w:rsidP="009371DB">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In altri giudizi le </w:t>
      </w:r>
      <w:r w:rsidR="007C254A">
        <w:rPr>
          <w:rFonts w:ascii="Garamond" w:hAnsi="Garamond" w:cs="Times New Roman"/>
          <w:color w:val="000000" w:themeColor="text1"/>
          <w:sz w:val="28"/>
          <w:szCs w:val="28"/>
        </w:rPr>
        <w:t>r</w:t>
      </w:r>
      <w:r w:rsidR="009371DB" w:rsidRPr="009371DB">
        <w:rPr>
          <w:rFonts w:ascii="Garamond" w:hAnsi="Garamond" w:cs="Times New Roman"/>
          <w:color w:val="000000" w:themeColor="text1"/>
          <w:sz w:val="28"/>
          <w:szCs w:val="28"/>
        </w:rPr>
        <w:t xml:space="preserve">egioni hanno lamentato il mancato coinvolgimento, per mezzo di intesa, della Conferenza unificata, ai fini della definitiva individuazione del sito ove realizzare il Parco tecnologico. La Corte ha, quindi, dichiarato l’illegittimità costituzionale dell’art. 4 del </w:t>
      </w:r>
      <w:r w:rsidR="006C564E">
        <w:rPr>
          <w:rFonts w:ascii="Garamond" w:hAnsi="Garamond" w:cs="Times New Roman"/>
          <w:color w:val="000000" w:themeColor="text1"/>
          <w:sz w:val="28"/>
          <w:szCs w:val="28"/>
        </w:rPr>
        <w:t>decreto</w:t>
      </w:r>
      <w:r w:rsidR="009371DB" w:rsidRPr="009371DB">
        <w:rPr>
          <w:rFonts w:ascii="Garamond" w:hAnsi="Garamond" w:cs="Times New Roman"/>
          <w:color w:val="000000" w:themeColor="text1"/>
          <w:sz w:val="28"/>
          <w:szCs w:val="28"/>
        </w:rPr>
        <w:t xml:space="preserve"> legislativo 15 febbraio 2010, n. 31 (</w:t>
      </w:r>
      <w:r w:rsidR="009371DB" w:rsidRPr="009C3515">
        <w:rPr>
          <w:rFonts w:ascii="Garamond" w:hAnsi="Garamond" w:cs="Times New Roman"/>
          <w:i/>
          <w:color w:val="000000" w:themeColor="text1"/>
          <w:sz w:val="28"/>
          <w:szCs w:val="28"/>
        </w:rPr>
        <w:t xml:space="preserve">Disciplina della localizzazione, della realizzazione e dell’esercizio nel territorio nazionale di impianti di produzione di energia elettrica nucleare, di impianti di fabbricazione del combustibile nucleare, dei sistemi di stoccaggio del combustibile irraggiato e dei rifiuti radioattivi, nonché misure compensative e campagne informative al pubblico, a norma dell’articolo 25 della </w:t>
      </w:r>
      <w:r w:rsidR="006C564E" w:rsidRPr="009C3515">
        <w:rPr>
          <w:rFonts w:ascii="Garamond" w:hAnsi="Garamond" w:cs="Times New Roman"/>
          <w:i/>
          <w:color w:val="000000" w:themeColor="text1"/>
          <w:sz w:val="28"/>
          <w:szCs w:val="28"/>
        </w:rPr>
        <w:t>legge</w:t>
      </w:r>
      <w:r w:rsidR="009371DB" w:rsidRPr="009C3515">
        <w:rPr>
          <w:rFonts w:ascii="Garamond" w:hAnsi="Garamond" w:cs="Times New Roman"/>
          <w:i/>
          <w:color w:val="000000" w:themeColor="text1"/>
          <w:sz w:val="28"/>
          <w:szCs w:val="28"/>
        </w:rPr>
        <w:t xml:space="preserve"> 23 luglio 2009, n. 99</w:t>
      </w:r>
      <w:r w:rsidR="009371DB" w:rsidRPr="009371DB">
        <w:rPr>
          <w:rFonts w:ascii="Garamond" w:hAnsi="Garamond" w:cs="Times New Roman"/>
          <w:color w:val="000000" w:themeColor="text1"/>
          <w:sz w:val="28"/>
          <w:szCs w:val="28"/>
        </w:rPr>
        <w:t xml:space="preserve">), nella parte in cui non prevedeva che la Regione interessata, anteriormente all’intesa con la Conferenza unificata, esprimesse il proprio parere in ordine al rilascio dell’autorizzazione unica per la costruzione e l’esercizio degli impianti nucleari (Corte cost., n. 33 del 2011).  </w:t>
      </w:r>
    </w:p>
    <w:p w:rsidR="009371DB" w:rsidRPr="009371DB" w:rsidRDefault="009371DB" w:rsidP="009371DB">
      <w:pPr>
        <w:spacing w:line="240" w:lineRule="auto"/>
        <w:ind w:firstLine="709"/>
        <w:contextualSpacing/>
        <w:jc w:val="both"/>
        <w:rPr>
          <w:rFonts w:ascii="Garamond" w:hAnsi="Garamond" w:cs="Times New Roman"/>
          <w:color w:val="000000" w:themeColor="text1"/>
          <w:sz w:val="28"/>
          <w:szCs w:val="28"/>
        </w:rPr>
      </w:pPr>
      <w:r w:rsidRPr="009371DB">
        <w:rPr>
          <w:rFonts w:ascii="Garamond" w:hAnsi="Garamond" w:cs="Times New Roman"/>
          <w:color w:val="000000" w:themeColor="text1"/>
          <w:sz w:val="28"/>
          <w:szCs w:val="28"/>
        </w:rPr>
        <w:t xml:space="preserve">In particolare la Corte ha ritenuto che l’intera attività preordinata alla localizzazione degli impianti di produzione dell’energia nucleare risulta scandita, nella sua conformazione normativa, da molteplici momenti di attuazione del principio di leale collaborazione, secondo un disegno che rispecchia i diversi livelli di compenetrazione e di condizionamento reciproco tra interessi unitari e interessi territoriali. La disciplina del procedimento unico di competenza statale, preordinato al rilascio dell’autorizzazione alla costruzione e all’esercizio degli impianti nucleari, soddisfa le esigenze di partecipazione e </w:t>
      </w:r>
      <w:r w:rsidR="007C254A">
        <w:rPr>
          <w:rFonts w:ascii="Garamond" w:hAnsi="Garamond" w:cs="Times New Roman"/>
          <w:color w:val="000000" w:themeColor="text1"/>
          <w:sz w:val="28"/>
          <w:szCs w:val="28"/>
        </w:rPr>
        <w:t>di codecisione paritaria delle r</w:t>
      </w:r>
      <w:r w:rsidRPr="009371DB">
        <w:rPr>
          <w:rFonts w:ascii="Garamond" w:hAnsi="Garamond" w:cs="Times New Roman"/>
          <w:color w:val="000000" w:themeColor="text1"/>
          <w:sz w:val="28"/>
          <w:szCs w:val="28"/>
        </w:rPr>
        <w:t xml:space="preserve">egioni interessate, già adeguatamente appagate dall’intesa con la Conferenza unificata (sull’elenco dei siti certificati) e comunque preceduta dall’intesa con la </w:t>
      </w:r>
      <w:r w:rsidR="007C254A">
        <w:rPr>
          <w:rFonts w:ascii="Garamond" w:hAnsi="Garamond" w:cs="Times New Roman"/>
          <w:color w:val="000000" w:themeColor="text1"/>
          <w:sz w:val="28"/>
          <w:szCs w:val="28"/>
        </w:rPr>
        <w:t>r</w:t>
      </w:r>
      <w:r w:rsidR="002D4208" w:rsidRPr="009371DB">
        <w:rPr>
          <w:rFonts w:ascii="Garamond" w:hAnsi="Garamond" w:cs="Times New Roman"/>
          <w:color w:val="000000" w:themeColor="text1"/>
          <w:sz w:val="28"/>
          <w:szCs w:val="28"/>
        </w:rPr>
        <w:t xml:space="preserve">egione </w:t>
      </w:r>
      <w:r w:rsidRPr="009371DB">
        <w:rPr>
          <w:rFonts w:ascii="Garamond" w:hAnsi="Garamond" w:cs="Times New Roman"/>
          <w:color w:val="000000" w:themeColor="text1"/>
          <w:sz w:val="28"/>
          <w:szCs w:val="28"/>
        </w:rPr>
        <w:t>interessata (sul sito da destinare all’insediamento di un impianto nucleare).</w:t>
      </w:r>
    </w:p>
    <w:p w:rsidR="009371DB" w:rsidRPr="009371DB" w:rsidRDefault="009371DB" w:rsidP="009371DB">
      <w:pPr>
        <w:spacing w:line="240" w:lineRule="auto"/>
        <w:ind w:firstLine="709"/>
        <w:contextualSpacing/>
        <w:jc w:val="both"/>
        <w:rPr>
          <w:rFonts w:ascii="Garamond" w:hAnsi="Garamond" w:cs="Times New Roman"/>
          <w:color w:val="000000" w:themeColor="text1"/>
          <w:sz w:val="28"/>
          <w:szCs w:val="28"/>
        </w:rPr>
      </w:pPr>
      <w:r w:rsidRPr="009371DB">
        <w:rPr>
          <w:rFonts w:ascii="Garamond" w:hAnsi="Garamond" w:cs="Times New Roman"/>
          <w:color w:val="000000" w:themeColor="text1"/>
          <w:sz w:val="28"/>
          <w:szCs w:val="28"/>
        </w:rPr>
        <w:t>Tuttavia, anche nella fase di rilascio dell’autorizzazione</w:t>
      </w:r>
      <w:r w:rsidR="009C3515">
        <w:rPr>
          <w:rFonts w:ascii="Garamond" w:hAnsi="Garamond" w:cs="Times New Roman"/>
          <w:color w:val="000000" w:themeColor="text1"/>
          <w:sz w:val="28"/>
          <w:szCs w:val="28"/>
        </w:rPr>
        <w:t>,</w:t>
      </w:r>
      <w:r w:rsidR="007C254A">
        <w:rPr>
          <w:rFonts w:ascii="Garamond" w:hAnsi="Garamond" w:cs="Times New Roman"/>
          <w:color w:val="000000" w:themeColor="text1"/>
          <w:sz w:val="28"/>
          <w:szCs w:val="28"/>
        </w:rPr>
        <w:t xml:space="preserve"> la r</w:t>
      </w:r>
      <w:r w:rsidRPr="009371DB">
        <w:rPr>
          <w:rFonts w:ascii="Garamond" w:hAnsi="Garamond" w:cs="Times New Roman"/>
          <w:color w:val="000000" w:themeColor="text1"/>
          <w:sz w:val="28"/>
          <w:szCs w:val="28"/>
        </w:rPr>
        <w:t xml:space="preserve">egione interessata deve essere adeguatamente coinvolta. Pertanto la Corte ha dichiarato l’illegittimità costituzionale dell’art. 4 </w:t>
      </w:r>
      <w:r w:rsidR="00AC07CE">
        <w:rPr>
          <w:rFonts w:ascii="Garamond" w:hAnsi="Garamond" w:cs="Times New Roman"/>
          <w:color w:val="000000" w:themeColor="text1"/>
          <w:sz w:val="28"/>
          <w:szCs w:val="28"/>
        </w:rPr>
        <w:t xml:space="preserve">del </w:t>
      </w:r>
      <w:r w:rsidR="004F0CCD">
        <w:rPr>
          <w:rFonts w:ascii="Garamond" w:hAnsi="Garamond" w:cs="Times New Roman"/>
          <w:color w:val="000000" w:themeColor="text1"/>
          <w:sz w:val="28"/>
          <w:szCs w:val="28"/>
        </w:rPr>
        <w:t>d.lgs.</w:t>
      </w:r>
      <w:r>
        <w:rPr>
          <w:rFonts w:ascii="Garamond" w:hAnsi="Garamond" w:cs="Times New Roman"/>
          <w:color w:val="000000" w:themeColor="text1"/>
          <w:sz w:val="28"/>
          <w:szCs w:val="28"/>
        </w:rPr>
        <w:t xml:space="preserve"> </w:t>
      </w:r>
      <w:r w:rsidR="003060AA">
        <w:rPr>
          <w:rFonts w:ascii="Garamond" w:hAnsi="Garamond" w:cs="Times New Roman"/>
          <w:color w:val="000000" w:themeColor="text1"/>
          <w:sz w:val="28"/>
          <w:szCs w:val="28"/>
        </w:rPr>
        <w:t xml:space="preserve">n. 31 del 2010 </w:t>
      </w:r>
      <w:r w:rsidRPr="009371DB">
        <w:rPr>
          <w:rFonts w:ascii="Garamond" w:hAnsi="Garamond" w:cs="Times New Roman"/>
          <w:color w:val="000000" w:themeColor="text1"/>
          <w:sz w:val="28"/>
          <w:szCs w:val="28"/>
        </w:rPr>
        <w:t xml:space="preserve">nella parte in cui non prevede che la </w:t>
      </w:r>
      <w:r w:rsidR="007C254A">
        <w:rPr>
          <w:rFonts w:ascii="Garamond" w:hAnsi="Garamond" w:cs="Times New Roman"/>
          <w:color w:val="000000" w:themeColor="text1"/>
          <w:sz w:val="28"/>
          <w:szCs w:val="28"/>
        </w:rPr>
        <w:t>r</w:t>
      </w:r>
      <w:r w:rsidR="002D4208" w:rsidRPr="009371DB">
        <w:rPr>
          <w:rFonts w:ascii="Garamond" w:hAnsi="Garamond" w:cs="Times New Roman"/>
          <w:color w:val="000000" w:themeColor="text1"/>
          <w:sz w:val="28"/>
          <w:szCs w:val="28"/>
        </w:rPr>
        <w:t xml:space="preserve">egione </w:t>
      </w:r>
      <w:r w:rsidRPr="009371DB">
        <w:rPr>
          <w:rFonts w:ascii="Garamond" w:hAnsi="Garamond" w:cs="Times New Roman"/>
          <w:color w:val="000000" w:themeColor="text1"/>
          <w:sz w:val="28"/>
          <w:szCs w:val="28"/>
        </w:rPr>
        <w:t>interessata, anteriormente all’intesa con la Conferenza unificata, esprima il proprio parere (seppure non vincolante) in ordine al rilascio dell’autorizzazione unica per la costruzione e l’esercizio degli impianti nucleari (Corte cost., n. 33 del 2011).</w:t>
      </w:r>
    </w:p>
    <w:p w:rsidR="0083467F" w:rsidRPr="009371DB" w:rsidRDefault="0083467F" w:rsidP="00BF2644">
      <w:pPr>
        <w:spacing w:line="240" w:lineRule="auto"/>
        <w:ind w:firstLine="709"/>
        <w:contextualSpacing/>
        <w:jc w:val="both"/>
        <w:rPr>
          <w:rFonts w:ascii="Garamond" w:hAnsi="Garamond" w:cs="Times New Roman"/>
          <w:color w:val="000000" w:themeColor="text1"/>
          <w:sz w:val="28"/>
          <w:szCs w:val="28"/>
        </w:rPr>
      </w:pPr>
    </w:p>
    <w:p w:rsidR="0012719B" w:rsidRDefault="009371DB" w:rsidP="00BF2644">
      <w:pPr>
        <w:spacing w:line="240" w:lineRule="auto"/>
        <w:ind w:firstLine="709"/>
        <w:contextualSpacing/>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2.11</w:t>
      </w:r>
      <w:r w:rsidR="0012719B" w:rsidRPr="00BF2644">
        <w:rPr>
          <w:rFonts w:ascii="Garamond" w:hAnsi="Garamond" w:cs="Times New Roman"/>
          <w:b/>
          <w:color w:val="000000" w:themeColor="text1"/>
          <w:sz w:val="28"/>
          <w:szCs w:val="28"/>
        </w:rPr>
        <w:t xml:space="preserve">. Responsabilità della pubblica amministrazione per ritardata conclusione del procedimento per il rilascio </w:t>
      </w:r>
      <w:r w:rsidR="00D26E18">
        <w:rPr>
          <w:rFonts w:ascii="Garamond" w:hAnsi="Garamond" w:cs="Times New Roman"/>
          <w:b/>
          <w:color w:val="000000" w:themeColor="text1"/>
          <w:sz w:val="28"/>
          <w:szCs w:val="28"/>
        </w:rPr>
        <w:t>dei titoli autorizzativi</w:t>
      </w:r>
    </w:p>
    <w:p w:rsidR="00AC07CE" w:rsidRDefault="002A7494" w:rsidP="00AC07CE">
      <w:pPr>
        <w:spacing w:line="240" w:lineRule="auto"/>
        <w:ind w:firstLine="709"/>
        <w:contextualSpacing/>
        <w:jc w:val="both"/>
        <w:rPr>
          <w:rFonts w:ascii="Garamond" w:hAnsi="Garamond" w:cs="Times New Roman"/>
          <w:color w:val="000000" w:themeColor="text1"/>
          <w:sz w:val="28"/>
          <w:szCs w:val="28"/>
        </w:rPr>
      </w:pPr>
      <w:r w:rsidRPr="002A7494">
        <w:rPr>
          <w:rFonts w:ascii="Garamond" w:hAnsi="Garamond" w:cs="Times New Roman"/>
          <w:color w:val="000000" w:themeColor="text1"/>
          <w:sz w:val="28"/>
          <w:szCs w:val="28"/>
        </w:rPr>
        <w:t xml:space="preserve">La </w:t>
      </w:r>
      <w:r>
        <w:rPr>
          <w:rFonts w:ascii="Garamond" w:hAnsi="Garamond" w:cs="Times New Roman"/>
          <w:color w:val="000000" w:themeColor="text1"/>
          <w:sz w:val="28"/>
          <w:szCs w:val="28"/>
        </w:rPr>
        <w:t>giurisprudenza amministrativa</w:t>
      </w:r>
      <w:r w:rsidR="00D179DF">
        <w:rPr>
          <w:rFonts w:ascii="Garamond" w:hAnsi="Garamond" w:cs="Times New Roman"/>
          <w:color w:val="000000" w:themeColor="text1"/>
          <w:sz w:val="28"/>
          <w:szCs w:val="28"/>
        </w:rPr>
        <w:t>,</w:t>
      </w:r>
      <w:r>
        <w:rPr>
          <w:rFonts w:ascii="Garamond" w:hAnsi="Garamond" w:cs="Times New Roman"/>
          <w:color w:val="000000" w:themeColor="text1"/>
          <w:sz w:val="28"/>
          <w:szCs w:val="28"/>
        </w:rPr>
        <w:t xml:space="preserve"> nell’affrontare la tematica della responsabilità da ritardo</w:t>
      </w:r>
      <w:r w:rsidR="00FD6820">
        <w:rPr>
          <w:rFonts w:ascii="Garamond" w:hAnsi="Garamond" w:cs="Times New Roman"/>
          <w:color w:val="000000" w:themeColor="text1"/>
          <w:sz w:val="28"/>
          <w:szCs w:val="28"/>
        </w:rPr>
        <w:t>,</w:t>
      </w:r>
      <w:r>
        <w:rPr>
          <w:rFonts w:ascii="Garamond" w:hAnsi="Garamond" w:cs="Times New Roman"/>
          <w:color w:val="000000" w:themeColor="text1"/>
          <w:sz w:val="28"/>
          <w:szCs w:val="28"/>
        </w:rPr>
        <w:t xml:space="preserve"> sia in termini specifici, con riferimento al ritardo nella conclusione del procedimento amministrativo per il rilascio</w:t>
      </w:r>
      <w:r w:rsidR="00997F3E">
        <w:rPr>
          <w:rFonts w:ascii="Garamond" w:hAnsi="Garamond" w:cs="Times New Roman"/>
          <w:color w:val="000000" w:themeColor="text1"/>
          <w:sz w:val="28"/>
          <w:szCs w:val="28"/>
        </w:rPr>
        <w:t xml:space="preserve"> dei titoli autorizzativi</w:t>
      </w:r>
      <w:r>
        <w:rPr>
          <w:rFonts w:ascii="Garamond" w:hAnsi="Garamond" w:cs="Times New Roman"/>
          <w:color w:val="000000" w:themeColor="text1"/>
          <w:sz w:val="28"/>
          <w:szCs w:val="28"/>
        </w:rPr>
        <w:t xml:space="preserve">, </w:t>
      </w:r>
      <w:r w:rsidR="0035263A">
        <w:rPr>
          <w:rFonts w:ascii="Garamond" w:hAnsi="Garamond" w:cs="Times New Roman"/>
          <w:color w:val="000000" w:themeColor="text1"/>
          <w:sz w:val="28"/>
          <w:szCs w:val="28"/>
        </w:rPr>
        <w:t>che in</w:t>
      </w:r>
      <w:r>
        <w:rPr>
          <w:rFonts w:ascii="Garamond" w:hAnsi="Garamond" w:cs="Times New Roman"/>
          <w:color w:val="000000" w:themeColor="text1"/>
          <w:sz w:val="28"/>
          <w:szCs w:val="28"/>
        </w:rPr>
        <w:t xml:space="preserve"> termini generali, ha affermato i seguenti pr</w:t>
      </w:r>
      <w:r w:rsidR="0035263A">
        <w:rPr>
          <w:rFonts w:ascii="Garamond" w:hAnsi="Garamond" w:cs="Times New Roman"/>
          <w:color w:val="000000" w:themeColor="text1"/>
          <w:sz w:val="28"/>
          <w:szCs w:val="28"/>
        </w:rPr>
        <w:t>incipi:</w:t>
      </w:r>
    </w:p>
    <w:p w:rsidR="00370BAC" w:rsidRDefault="006B1067" w:rsidP="00AC07CE">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w:t>
      </w:r>
      <w:r w:rsidR="00D179DF">
        <w:rPr>
          <w:rFonts w:ascii="Garamond" w:hAnsi="Garamond" w:cs="Times New Roman"/>
          <w:color w:val="000000" w:themeColor="text1"/>
          <w:sz w:val="28"/>
          <w:szCs w:val="28"/>
        </w:rPr>
        <w:t xml:space="preserve">  n</w:t>
      </w:r>
      <w:r w:rsidR="001752E7">
        <w:rPr>
          <w:rFonts w:ascii="Garamond" w:hAnsi="Garamond" w:cs="Times New Roman"/>
          <w:color w:val="000000" w:themeColor="text1"/>
          <w:sz w:val="28"/>
          <w:szCs w:val="28"/>
        </w:rPr>
        <w:t xml:space="preserve">on è risarcibile il danno lamentato per la negativa esitazione </w:t>
      </w:r>
      <w:r w:rsidR="00370BAC">
        <w:rPr>
          <w:rFonts w:ascii="Garamond" w:hAnsi="Garamond" w:cs="Times New Roman"/>
          <w:color w:val="000000" w:themeColor="text1"/>
          <w:sz w:val="28"/>
          <w:szCs w:val="28"/>
        </w:rPr>
        <w:t xml:space="preserve">di una </w:t>
      </w:r>
      <w:r w:rsidR="001752E7" w:rsidRPr="001752E7">
        <w:rPr>
          <w:rFonts w:ascii="Garamond" w:hAnsi="Garamond" w:cs="Times New Roman"/>
          <w:color w:val="000000" w:themeColor="text1"/>
          <w:sz w:val="28"/>
          <w:szCs w:val="28"/>
        </w:rPr>
        <w:t>istanza per la realizzazione di un impianto eolico</w:t>
      </w:r>
      <w:r w:rsidR="001752E7">
        <w:rPr>
          <w:rFonts w:ascii="Garamond" w:hAnsi="Garamond" w:cs="Times New Roman"/>
          <w:color w:val="000000" w:themeColor="text1"/>
          <w:sz w:val="28"/>
          <w:szCs w:val="28"/>
        </w:rPr>
        <w:t xml:space="preserve"> ove</w:t>
      </w:r>
      <w:r w:rsidR="00370BAC">
        <w:rPr>
          <w:rFonts w:ascii="Garamond" w:hAnsi="Garamond" w:cs="Times New Roman"/>
          <w:color w:val="000000" w:themeColor="text1"/>
          <w:sz w:val="28"/>
          <w:szCs w:val="28"/>
        </w:rPr>
        <w:t>,</w:t>
      </w:r>
      <w:r w:rsidR="001752E7">
        <w:rPr>
          <w:rFonts w:ascii="Garamond" w:hAnsi="Garamond" w:cs="Times New Roman"/>
          <w:color w:val="000000" w:themeColor="text1"/>
          <w:sz w:val="28"/>
          <w:szCs w:val="28"/>
        </w:rPr>
        <w:t xml:space="preserve"> successivamente alla conclusione della conferenza di servizi c</w:t>
      </w:r>
      <w:r w:rsidR="001752E7" w:rsidRPr="001752E7">
        <w:rPr>
          <w:rFonts w:ascii="Garamond" w:hAnsi="Garamond" w:cs="Times New Roman"/>
          <w:color w:val="000000" w:themeColor="text1"/>
          <w:sz w:val="28"/>
          <w:szCs w:val="28"/>
        </w:rPr>
        <w:t>on esito positivo a prevalenza</w:t>
      </w:r>
      <w:r w:rsidR="007C254A">
        <w:rPr>
          <w:rFonts w:ascii="Garamond" w:hAnsi="Garamond" w:cs="Times New Roman"/>
          <w:color w:val="000000" w:themeColor="text1"/>
          <w:sz w:val="28"/>
          <w:szCs w:val="28"/>
        </w:rPr>
        <w:t>,  la r</w:t>
      </w:r>
      <w:r w:rsidR="00370BAC">
        <w:rPr>
          <w:rFonts w:ascii="Garamond" w:hAnsi="Garamond" w:cs="Times New Roman"/>
          <w:color w:val="000000" w:themeColor="text1"/>
          <w:sz w:val="28"/>
          <w:szCs w:val="28"/>
        </w:rPr>
        <w:t>egione non adotti</w:t>
      </w:r>
      <w:r w:rsidR="001752E7">
        <w:rPr>
          <w:rFonts w:ascii="Garamond" w:hAnsi="Garamond" w:cs="Times New Roman"/>
          <w:color w:val="000000" w:themeColor="text1"/>
          <w:sz w:val="28"/>
          <w:szCs w:val="28"/>
        </w:rPr>
        <w:t xml:space="preserve"> tempestivamente l’autorizzazione unica e successivamente l’istanza venga archiviata a seguito dell’adoz</w:t>
      </w:r>
      <w:r w:rsidR="007C254A">
        <w:rPr>
          <w:rFonts w:ascii="Garamond" w:hAnsi="Garamond" w:cs="Times New Roman"/>
          <w:color w:val="000000" w:themeColor="text1"/>
          <w:sz w:val="28"/>
          <w:szCs w:val="28"/>
        </w:rPr>
        <w:t>ione della deliberazione della g</w:t>
      </w:r>
      <w:r w:rsidR="001752E7">
        <w:rPr>
          <w:rFonts w:ascii="Garamond" w:hAnsi="Garamond" w:cs="Times New Roman"/>
          <w:color w:val="000000" w:themeColor="text1"/>
          <w:sz w:val="28"/>
          <w:szCs w:val="28"/>
        </w:rPr>
        <w:t>iunta regionale d</w:t>
      </w:r>
      <w:r w:rsidR="001752E7" w:rsidRPr="001752E7">
        <w:rPr>
          <w:rFonts w:ascii="Garamond" w:hAnsi="Garamond" w:cs="Times New Roman"/>
          <w:color w:val="000000" w:themeColor="text1"/>
          <w:sz w:val="28"/>
          <w:szCs w:val="28"/>
        </w:rPr>
        <w:t>i fissazione dei criteri di individuazione delle aree non idonee all’installazione degli impianti eol</w:t>
      </w:r>
      <w:r w:rsidR="00D179DF">
        <w:rPr>
          <w:rFonts w:ascii="Garamond" w:hAnsi="Garamond" w:cs="Times New Roman"/>
          <w:color w:val="000000" w:themeColor="text1"/>
          <w:sz w:val="28"/>
          <w:szCs w:val="28"/>
        </w:rPr>
        <w:t>ici e</w:t>
      </w:r>
      <w:r w:rsidR="00370BAC">
        <w:rPr>
          <w:rFonts w:ascii="Garamond" w:hAnsi="Garamond" w:cs="Times New Roman"/>
          <w:color w:val="000000" w:themeColor="text1"/>
          <w:sz w:val="28"/>
          <w:szCs w:val="28"/>
        </w:rPr>
        <w:t xml:space="preserve"> del </w:t>
      </w:r>
      <w:r w:rsidR="006C564E">
        <w:rPr>
          <w:rFonts w:ascii="Garamond" w:hAnsi="Garamond" w:cs="Times New Roman"/>
          <w:color w:val="000000" w:themeColor="text1"/>
          <w:sz w:val="28"/>
          <w:szCs w:val="28"/>
        </w:rPr>
        <w:t>decreto</w:t>
      </w:r>
      <w:r w:rsidR="00370BAC">
        <w:rPr>
          <w:rFonts w:ascii="Garamond" w:hAnsi="Garamond" w:cs="Times New Roman"/>
          <w:color w:val="000000" w:themeColor="text1"/>
          <w:sz w:val="28"/>
          <w:szCs w:val="28"/>
        </w:rPr>
        <w:t xml:space="preserve"> dirigenziale </w:t>
      </w:r>
      <w:r w:rsidR="009C3515">
        <w:rPr>
          <w:rFonts w:ascii="Garamond" w:hAnsi="Garamond" w:cs="Times New Roman"/>
          <w:color w:val="000000" w:themeColor="text1"/>
          <w:sz w:val="28"/>
          <w:szCs w:val="28"/>
        </w:rPr>
        <w:t xml:space="preserve"> di concreta indicazione dei C</w:t>
      </w:r>
      <w:r w:rsidR="001752E7" w:rsidRPr="001752E7">
        <w:rPr>
          <w:rFonts w:ascii="Garamond" w:hAnsi="Garamond" w:cs="Times New Roman"/>
          <w:color w:val="000000" w:themeColor="text1"/>
          <w:sz w:val="28"/>
          <w:szCs w:val="28"/>
        </w:rPr>
        <w:t>omuni risultati “</w:t>
      </w:r>
      <w:r w:rsidR="001752E7" w:rsidRPr="00D179DF">
        <w:rPr>
          <w:rFonts w:ascii="Garamond" w:hAnsi="Garamond" w:cs="Times New Roman"/>
          <w:i/>
          <w:color w:val="000000" w:themeColor="text1"/>
          <w:sz w:val="28"/>
          <w:szCs w:val="28"/>
        </w:rPr>
        <w:t>saturi</w:t>
      </w:r>
      <w:r w:rsidR="001752E7" w:rsidRPr="001752E7">
        <w:rPr>
          <w:rFonts w:ascii="Garamond" w:hAnsi="Garamond" w:cs="Times New Roman"/>
          <w:color w:val="000000" w:themeColor="text1"/>
          <w:sz w:val="28"/>
          <w:szCs w:val="28"/>
        </w:rPr>
        <w:t>”</w:t>
      </w:r>
      <w:r w:rsidR="00370BAC">
        <w:rPr>
          <w:rFonts w:ascii="Garamond" w:hAnsi="Garamond" w:cs="Times New Roman"/>
          <w:color w:val="000000" w:themeColor="text1"/>
          <w:sz w:val="28"/>
          <w:szCs w:val="28"/>
        </w:rPr>
        <w:t xml:space="preserve">, rilevatisi ostativi alla realizzazione dell’impianto, ove l’impugnativa avverso tali ultimi provvedimenti sia stata </w:t>
      </w:r>
      <w:r w:rsidR="00370BAC">
        <w:rPr>
          <w:rFonts w:ascii="Garamond" w:hAnsi="Garamond" w:cs="Times New Roman"/>
          <w:color w:val="000000" w:themeColor="text1"/>
          <w:sz w:val="28"/>
          <w:szCs w:val="28"/>
        </w:rPr>
        <w:lastRenderedPageBreak/>
        <w:t>rigettata in ragione del rilievo che l</w:t>
      </w:r>
      <w:r w:rsidR="00370BAC" w:rsidRPr="00370BAC">
        <w:rPr>
          <w:rFonts w:ascii="Garamond" w:hAnsi="Garamond" w:cs="Times New Roman"/>
          <w:color w:val="000000" w:themeColor="text1"/>
          <w:sz w:val="28"/>
          <w:szCs w:val="28"/>
        </w:rPr>
        <w:t>a legittimità d</w:t>
      </w:r>
      <w:r w:rsidR="00370BAC">
        <w:rPr>
          <w:rFonts w:ascii="Garamond" w:hAnsi="Garamond" w:cs="Times New Roman"/>
          <w:color w:val="000000" w:themeColor="text1"/>
          <w:sz w:val="28"/>
          <w:szCs w:val="28"/>
        </w:rPr>
        <w:t>el provvedimento amministrativo deve essere  valutata</w:t>
      </w:r>
      <w:r w:rsidR="00370BAC" w:rsidRPr="00370BAC">
        <w:rPr>
          <w:rFonts w:ascii="Garamond" w:hAnsi="Garamond" w:cs="Times New Roman"/>
          <w:color w:val="000000" w:themeColor="text1"/>
          <w:sz w:val="28"/>
          <w:szCs w:val="28"/>
        </w:rPr>
        <w:t xml:space="preserve"> sulla base delle norme di </w:t>
      </w:r>
      <w:r w:rsidR="006C564E">
        <w:rPr>
          <w:rFonts w:ascii="Garamond" w:hAnsi="Garamond" w:cs="Times New Roman"/>
          <w:color w:val="000000" w:themeColor="text1"/>
          <w:sz w:val="28"/>
          <w:szCs w:val="28"/>
        </w:rPr>
        <w:t>legge</w:t>
      </w:r>
      <w:r w:rsidR="00370BAC" w:rsidRPr="00370BAC">
        <w:rPr>
          <w:rFonts w:ascii="Garamond" w:hAnsi="Garamond" w:cs="Times New Roman"/>
          <w:color w:val="000000" w:themeColor="text1"/>
          <w:sz w:val="28"/>
          <w:szCs w:val="28"/>
        </w:rPr>
        <w:t xml:space="preserve"> e di regolamento vigenti al momento della sua emanazione - secondo il noto brocardo </w:t>
      </w:r>
      <w:r w:rsidR="00370BAC" w:rsidRPr="00370BAC">
        <w:rPr>
          <w:rFonts w:ascii="Garamond" w:hAnsi="Garamond" w:cs="Times New Roman"/>
          <w:i/>
          <w:color w:val="000000" w:themeColor="text1"/>
          <w:sz w:val="28"/>
          <w:szCs w:val="28"/>
        </w:rPr>
        <w:t>tempus regit actum</w:t>
      </w:r>
      <w:r w:rsidR="00D179DF">
        <w:rPr>
          <w:rFonts w:ascii="Garamond" w:hAnsi="Garamond" w:cs="Times New Roman"/>
          <w:color w:val="000000" w:themeColor="text1"/>
          <w:sz w:val="28"/>
          <w:szCs w:val="28"/>
        </w:rPr>
        <w:t xml:space="preserve"> -</w:t>
      </w:r>
      <w:r w:rsidR="00370BAC">
        <w:rPr>
          <w:rFonts w:ascii="Garamond" w:hAnsi="Garamond" w:cs="Times New Roman"/>
          <w:color w:val="000000" w:themeColor="text1"/>
          <w:sz w:val="28"/>
          <w:szCs w:val="28"/>
        </w:rPr>
        <w:t xml:space="preserve"> non potendo </w:t>
      </w:r>
      <w:r w:rsidR="00370BAC" w:rsidRPr="00370BAC">
        <w:rPr>
          <w:rFonts w:ascii="Garamond" w:hAnsi="Garamond" w:cs="Times New Roman"/>
          <w:color w:val="000000" w:themeColor="text1"/>
          <w:sz w:val="28"/>
          <w:szCs w:val="28"/>
        </w:rPr>
        <w:t xml:space="preserve">essere ricavata da comportamenti </w:t>
      </w:r>
      <w:r w:rsidR="00370BAC">
        <w:rPr>
          <w:rFonts w:ascii="Garamond" w:hAnsi="Garamond" w:cs="Times New Roman"/>
          <w:color w:val="000000" w:themeColor="text1"/>
          <w:sz w:val="28"/>
          <w:szCs w:val="28"/>
        </w:rPr>
        <w:t>anteriori dell’amministrazione</w:t>
      </w:r>
      <w:r w:rsidR="00370BAC" w:rsidRPr="00370BAC">
        <w:rPr>
          <w:rFonts w:ascii="Garamond" w:hAnsi="Garamond" w:cs="Times New Roman"/>
          <w:color w:val="000000" w:themeColor="text1"/>
          <w:sz w:val="28"/>
          <w:szCs w:val="28"/>
        </w:rPr>
        <w:t>;</w:t>
      </w:r>
      <w:r w:rsidR="00370BAC">
        <w:rPr>
          <w:rFonts w:ascii="Garamond" w:hAnsi="Garamond" w:cs="Times New Roman"/>
          <w:color w:val="000000" w:themeColor="text1"/>
          <w:sz w:val="28"/>
          <w:szCs w:val="28"/>
        </w:rPr>
        <w:t xml:space="preserve"> l</w:t>
      </w:r>
      <w:r w:rsidR="00370BAC" w:rsidRPr="00370BAC">
        <w:rPr>
          <w:rFonts w:ascii="Garamond" w:hAnsi="Garamond" w:cs="Times New Roman"/>
          <w:color w:val="000000" w:themeColor="text1"/>
          <w:sz w:val="28"/>
          <w:szCs w:val="28"/>
        </w:rPr>
        <w:t>e norme coeve alla domanda, infatti, non possono ritenersi “</w:t>
      </w:r>
      <w:r w:rsidR="00370BAC" w:rsidRPr="00370BAC">
        <w:rPr>
          <w:rFonts w:ascii="Garamond" w:hAnsi="Garamond" w:cs="Times New Roman"/>
          <w:i/>
          <w:color w:val="000000" w:themeColor="text1"/>
          <w:sz w:val="28"/>
          <w:szCs w:val="28"/>
        </w:rPr>
        <w:t>cristallizzate”</w:t>
      </w:r>
      <w:r w:rsidR="00370BAC" w:rsidRPr="00370BAC">
        <w:rPr>
          <w:rFonts w:ascii="Garamond" w:hAnsi="Garamond" w:cs="Times New Roman"/>
          <w:color w:val="000000" w:themeColor="text1"/>
          <w:sz w:val="28"/>
          <w:szCs w:val="28"/>
        </w:rPr>
        <w:t xml:space="preserve"> fino alla determinazione finale sulla stessa</w:t>
      </w:r>
      <w:r w:rsidR="00370BAC">
        <w:rPr>
          <w:rFonts w:ascii="Garamond" w:hAnsi="Garamond" w:cs="Times New Roman"/>
          <w:color w:val="000000" w:themeColor="text1"/>
          <w:sz w:val="28"/>
          <w:szCs w:val="28"/>
        </w:rPr>
        <w:t xml:space="preserve"> (Cons. Stato, sez. IV, n. 5927 del 2023 che ha rigettato la domanda risarcitoria anche in ragione dell’assenza della prova della spettanza  del bene della vita, presupposto per la risarcibilità del danno ingiusto </w:t>
      </w:r>
      <w:r w:rsidR="004F7266">
        <w:rPr>
          <w:rFonts w:ascii="Garamond" w:hAnsi="Garamond" w:cs="Times New Roman"/>
          <w:color w:val="000000" w:themeColor="text1"/>
          <w:sz w:val="28"/>
          <w:szCs w:val="28"/>
        </w:rPr>
        <w:t>in ragione del</w:t>
      </w:r>
      <w:r w:rsidR="004F7266" w:rsidRPr="004F7266">
        <w:rPr>
          <w:rFonts w:ascii="Garamond" w:hAnsi="Garamond" w:cs="Times New Roman"/>
          <w:color w:val="000000" w:themeColor="text1"/>
          <w:sz w:val="28"/>
          <w:szCs w:val="28"/>
        </w:rPr>
        <w:t>l’esito tutt’altro che scontato d</w:t>
      </w:r>
      <w:r w:rsidR="00D179DF">
        <w:rPr>
          <w:rFonts w:ascii="Garamond" w:hAnsi="Garamond" w:cs="Times New Roman"/>
          <w:color w:val="000000" w:themeColor="text1"/>
          <w:sz w:val="28"/>
          <w:szCs w:val="28"/>
        </w:rPr>
        <w:t xml:space="preserve">el procedimento autorizzatorio - </w:t>
      </w:r>
      <w:r w:rsidR="004F7266" w:rsidRPr="004F7266">
        <w:rPr>
          <w:rFonts w:ascii="Garamond" w:hAnsi="Garamond" w:cs="Times New Roman"/>
          <w:color w:val="000000" w:themeColor="text1"/>
          <w:sz w:val="28"/>
          <w:szCs w:val="28"/>
        </w:rPr>
        <w:t>essendosi verificato all’interno della conferenza di servizi il dissenso proprio delle due amministrazioni locali sul cui territorio gli imp</w:t>
      </w:r>
      <w:r w:rsidR="009C3515">
        <w:rPr>
          <w:rFonts w:ascii="Garamond" w:hAnsi="Garamond" w:cs="Times New Roman"/>
          <w:color w:val="000000" w:themeColor="text1"/>
          <w:sz w:val="28"/>
          <w:szCs w:val="28"/>
        </w:rPr>
        <w:t xml:space="preserve">ianti avrebbero dovuto sorgere - </w:t>
      </w:r>
      <w:r w:rsidR="004F7266">
        <w:rPr>
          <w:rFonts w:ascii="Garamond" w:hAnsi="Garamond" w:cs="Times New Roman"/>
          <w:color w:val="000000" w:themeColor="text1"/>
          <w:sz w:val="28"/>
          <w:szCs w:val="28"/>
        </w:rPr>
        <w:t>del</w:t>
      </w:r>
      <w:r w:rsidR="004F7266" w:rsidRPr="004F7266">
        <w:rPr>
          <w:rFonts w:ascii="Garamond" w:hAnsi="Garamond" w:cs="Times New Roman"/>
          <w:color w:val="000000" w:themeColor="text1"/>
          <w:sz w:val="28"/>
          <w:szCs w:val="28"/>
        </w:rPr>
        <w:t>l’omesso utilizzo da parte dell’interessata degli strumenti messi dall’ordinamento a disposizione del privato per superare</w:t>
      </w:r>
      <w:r w:rsidR="004F7266">
        <w:rPr>
          <w:rFonts w:ascii="Garamond" w:hAnsi="Garamond" w:cs="Times New Roman"/>
          <w:color w:val="000000" w:themeColor="text1"/>
          <w:sz w:val="28"/>
          <w:szCs w:val="28"/>
        </w:rPr>
        <w:t xml:space="preserve"> l’inerzia dell’amministrazione, dell’i</w:t>
      </w:r>
      <w:r w:rsidR="004F7266" w:rsidRPr="004F7266">
        <w:rPr>
          <w:rFonts w:ascii="Garamond" w:hAnsi="Garamond" w:cs="Times New Roman"/>
          <w:color w:val="000000" w:themeColor="text1"/>
          <w:sz w:val="28"/>
          <w:szCs w:val="28"/>
        </w:rPr>
        <w:t>rrevocabilità della sentenza di rigetto del ricorso avverso l’archiviazione della domanda</w:t>
      </w:r>
      <w:r w:rsidR="00FD6820">
        <w:rPr>
          <w:rFonts w:ascii="Garamond" w:hAnsi="Garamond" w:cs="Times New Roman"/>
          <w:color w:val="000000" w:themeColor="text1"/>
          <w:sz w:val="28"/>
          <w:szCs w:val="28"/>
        </w:rPr>
        <w:t>);</w:t>
      </w:r>
    </w:p>
    <w:p w:rsidR="0012719B" w:rsidRDefault="0035263A" w:rsidP="00D9043C">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w:t>
      </w:r>
      <w:r w:rsidR="00D9043C">
        <w:rPr>
          <w:rFonts w:ascii="Garamond" w:hAnsi="Garamond" w:cs="Times New Roman"/>
          <w:color w:val="000000" w:themeColor="text1"/>
          <w:sz w:val="28"/>
          <w:szCs w:val="28"/>
        </w:rPr>
        <w:t xml:space="preserve"> </w:t>
      </w:r>
      <w:r w:rsidR="00D179DF">
        <w:rPr>
          <w:rFonts w:ascii="Garamond" w:hAnsi="Garamond" w:cs="Times New Roman"/>
          <w:color w:val="000000" w:themeColor="text1"/>
          <w:sz w:val="28"/>
          <w:szCs w:val="28"/>
        </w:rPr>
        <w:t>e’</w:t>
      </w:r>
      <w:r w:rsidR="0012719B" w:rsidRPr="00BF2644">
        <w:rPr>
          <w:rFonts w:ascii="Garamond" w:hAnsi="Garamond" w:cs="Times New Roman"/>
          <w:color w:val="000000" w:themeColor="text1"/>
          <w:sz w:val="28"/>
          <w:szCs w:val="28"/>
        </w:rPr>
        <w:t xml:space="preserve"> in astratto ravvisabile, con riferimento al periodo temporale nel quale hanno avuto vigenza le disposizioni sui relativi benefici, il nesso di consequenzialità immediata e diretta tra la ritardata conclusione del procedimen</w:t>
      </w:r>
      <w:r w:rsidR="009C3515">
        <w:rPr>
          <w:rFonts w:ascii="Garamond" w:hAnsi="Garamond" w:cs="Times New Roman"/>
          <w:color w:val="000000" w:themeColor="text1"/>
          <w:sz w:val="28"/>
          <w:szCs w:val="28"/>
        </w:rPr>
        <w:t>to autorizzativo ex art. 12 d</w:t>
      </w:r>
      <w:r w:rsidR="0012719B" w:rsidRPr="00BF2644">
        <w:rPr>
          <w:rFonts w:ascii="Garamond" w:hAnsi="Garamond" w:cs="Times New Roman"/>
          <w:color w:val="000000" w:themeColor="text1"/>
          <w:sz w:val="28"/>
          <w:szCs w:val="28"/>
        </w:rPr>
        <w:t>.</w:t>
      </w:r>
      <w:r w:rsidR="00D179DF">
        <w:rPr>
          <w:rFonts w:ascii="Garamond" w:hAnsi="Garamond" w:cs="Times New Roman"/>
          <w:color w:val="000000" w:themeColor="text1"/>
          <w:sz w:val="28"/>
          <w:szCs w:val="28"/>
        </w:rPr>
        <w:t>lg</w:t>
      </w:r>
      <w:r w:rsidR="009C3515">
        <w:rPr>
          <w:rFonts w:ascii="Garamond" w:hAnsi="Garamond" w:cs="Times New Roman"/>
          <w:color w:val="000000" w:themeColor="text1"/>
          <w:sz w:val="28"/>
          <w:szCs w:val="28"/>
        </w:rPr>
        <w:t xml:space="preserve">s. n. </w:t>
      </w:r>
      <w:r w:rsidR="00D179DF">
        <w:rPr>
          <w:rFonts w:ascii="Garamond" w:hAnsi="Garamond" w:cs="Times New Roman"/>
          <w:color w:val="000000" w:themeColor="text1"/>
          <w:sz w:val="28"/>
          <w:szCs w:val="28"/>
        </w:rPr>
        <w:t>387 del 20</w:t>
      </w:r>
      <w:r w:rsidR="0012719B" w:rsidRPr="00BF2644">
        <w:rPr>
          <w:rFonts w:ascii="Garamond" w:hAnsi="Garamond" w:cs="Times New Roman"/>
          <w:color w:val="000000" w:themeColor="text1"/>
          <w:sz w:val="28"/>
          <w:szCs w:val="28"/>
        </w:rPr>
        <w:t xml:space="preserve">03 e il mancato accesso agli incentivi tariffari connessi alla produzione di energia elettrica da fonti rinnovabili quando la mancata ammissione al regime incentivante sia stata determinata da un divieto normativo sopravvenuto, che non sarebbe stato applicabile se i termini del procedimento fossero stati rispettati. Con riferimento al periodo successivo alla sopravvenienza normativa, ai fini del risarcimento del danno, occorre stabilire se le erogazioni sarebbero comunque cessate, per la sopravvenuta abrogazione della normativa sugli incentivi, nel qual caso il pregiudizio è riconducibile alla sopravvenienza legislativa e non più imputabile all'amministrazione, oppure se l'interessato avrebbe comunque avuto  diritto a mantenere il regime agevolativo (ad esempio, in quanto la </w:t>
      </w:r>
      <w:r w:rsidR="006C564E">
        <w:rPr>
          <w:rFonts w:ascii="Garamond" w:hAnsi="Garamond" w:cs="Times New Roman"/>
          <w:color w:val="000000" w:themeColor="text1"/>
          <w:sz w:val="28"/>
          <w:szCs w:val="28"/>
        </w:rPr>
        <w:t>legge</w:t>
      </w:r>
      <w:r w:rsidR="0012719B" w:rsidRPr="00BF2644">
        <w:rPr>
          <w:rFonts w:ascii="Garamond" w:hAnsi="Garamond" w:cs="Times New Roman"/>
          <w:color w:val="000000" w:themeColor="text1"/>
          <w:sz w:val="28"/>
          <w:szCs w:val="28"/>
        </w:rPr>
        <w:t xml:space="preserve"> faccia chiaramente salvi, e quindi sottratti all'abrogazione, gli incentivi già in corso di erogazione e fino al termine finale originariamente stabilito per gli stessi). Il danno derivante dall'impossibilità di fruire degli incentivi tariffari connessi alla produzione di energia elettrica da fonti rinnovabili, attribuibile al mancato rispetto dei termini del relativo procedimento autorizzativo, va liquidato secondo i criteri di determinazione del danno da perdita di </w:t>
      </w:r>
      <w:r w:rsidR="0012719B" w:rsidRPr="00955BB0">
        <w:rPr>
          <w:rFonts w:ascii="Garamond" w:hAnsi="Garamond" w:cs="Times New Roman"/>
          <w:i/>
          <w:color w:val="000000" w:themeColor="text1"/>
          <w:sz w:val="28"/>
          <w:szCs w:val="28"/>
        </w:rPr>
        <w:t>chance</w:t>
      </w:r>
      <w:r w:rsidR="0012719B" w:rsidRPr="00BF2644">
        <w:rPr>
          <w:rFonts w:ascii="Garamond" w:hAnsi="Garamond" w:cs="Times New Roman"/>
          <w:color w:val="000000" w:themeColor="text1"/>
          <w:sz w:val="28"/>
          <w:szCs w:val="28"/>
        </w:rPr>
        <w:t>, ivi compreso il ricorso alla liquidazione equitativa, e non può equivalere a quanto l'impresa istante avrebbe lucrato se avesse svolto l'attività nei tempi pregiudicati da</w:t>
      </w:r>
      <w:r w:rsidR="006D6F28">
        <w:rPr>
          <w:rFonts w:ascii="Garamond" w:hAnsi="Garamond" w:cs="Times New Roman"/>
          <w:color w:val="000000" w:themeColor="text1"/>
          <w:sz w:val="28"/>
          <w:szCs w:val="28"/>
        </w:rPr>
        <w:t xml:space="preserve">l ritardo dell'amministrazione </w:t>
      </w:r>
      <w:r w:rsidR="00D9043C">
        <w:rPr>
          <w:rFonts w:ascii="Garamond" w:hAnsi="Garamond" w:cs="Times New Roman"/>
          <w:color w:val="000000" w:themeColor="text1"/>
          <w:sz w:val="28"/>
          <w:szCs w:val="28"/>
        </w:rPr>
        <w:t>[</w:t>
      </w:r>
      <w:r w:rsidR="003E00D0">
        <w:rPr>
          <w:rFonts w:ascii="Garamond" w:hAnsi="Garamond" w:cs="Times New Roman"/>
          <w:color w:val="000000" w:themeColor="text1"/>
          <w:sz w:val="28"/>
          <w:szCs w:val="28"/>
        </w:rPr>
        <w:t>Adunanza p</w:t>
      </w:r>
      <w:r w:rsidR="0012719B" w:rsidRPr="00BF2644">
        <w:rPr>
          <w:rFonts w:ascii="Garamond" w:hAnsi="Garamond" w:cs="Times New Roman"/>
          <w:color w:val="000000" w:themeColor="text1"/>
          <w:sz w:val="28"/>
          <w:szCs w:val="28"/>
        </w:rPr>
        <w:t xml:space="preserve">lenaria n. 7 del </w:t>
      </w:r>
      <w:r w:rsidR="00B803BF">
        <w:rPr>
          <w:rFonts w:ascii="Garamond" w:hAnsi="Garamond" w:cs="Times New Roman"/>
          <w:color w:val="000000" w:themeColor="text1"/>
          <w:sz w:val="28"/>
          <w:szCs w:val="28"/>
        </w:rPr>
        <w:t xml:space="preserve">23 aprile </w:t>
      </w:r>
      <w:r w:rsidR="0012719B" w:rsidRPr="00BF2644">
        <w:rPr>
          <w:rFonts w:ascii="Garamond" w:hAnsi="Garamond" w:cs="Times New Roman"/>
          <w:color w:val="000000" w:themeColor="text1"/>
          <w:sz w:val="28"/>
          <w:szCs w:val="28"/>
        </w:rPr>
        <w:t>2021</w:t>
      </w:r>
      <w:r w:rsidR="00955BB0">
        <w:rPr>
          <w:rFonts w:ascii="Garamond" w:hAnsi="Garamond" w:cs="Times New Roman"/>
          <w:color w:val="000000" w:themeColor="text1"/>
          <w:sz w:val="28"/>
          <w:szCs w:val="28"/>
        </w:rPr>
        <w:t>,</w:t>
      </w:r>
      <w:r w:rsidR="00D9043C">
        <w:rPr>
          <w:rFonts w:ascii="Garamond" w:hAnsi="Garamond" w:cs="Times New Roman"/>
          <w:color w:val="000000" w:themeColor="text1"/>
          <w:sz w:val="28"/>
          <w:szCs w:val="28"/>
        </w:rPr>
        <w:t xml:space="preserve"> resa su questione rimessa da </w:t>
      </w:r>
      <w:r w:rsidR="00D9043C" w:rsidRPr="00D9043C">
        <w:rPr>
          <w:rFonts w:ascii="Garamond" w:hAnsi="Garamond" w:cs="Times New Roman"/>
          <w:color w:val="000000" w:themeColor="text1"/>
          <w:sz w:val="28"/>
          <w:szCs w:val="28"/>
        </w:rPr>
        <w:t xml:space="preserve">Cons. giust. amm. reg. sic., sez. giurisdiz., </w:t>
      </w:r>
      <w:r w:rsidR="00D9043C">
        <w:rPr>
          <w:rFonts w:ascii="Garamond" w:hAnsi="Garamond" w:cs="Times New Roman"/>
          <w:color w:val="000000" w:themeColor="text1"/>
          <w:sz w:val="28"/>
          <w:szCs w:val="28"/>
        </w:rPr>
        <w:t>n. 1136 del 2020</w:t>
      </w:r>
      <w:r w:rsidR="0012719B" w:rsidRPr="00BF2644">
        <w:rPr>
          <w:rFonts w:ascii="Garamond" w:hAnsi="Garamond" w:cs="Times New Roman"/>
          <w:color w:val="000000" w:themeColor="text1"/>
          <w:sz w:val="28"/>
          <w:szCs w:val="28"/>
        </w:rPr>
        <w:t xml:space="preserve">; tali princìpi sono stati affermati sulla base del rilievo </w:t>
      </w:r>
      <w:r w:rsidR="00D9043C">
        <w:rPr>
          <w:rFonts w:ascii="Garamond" w:hAnsi="Garamond" w:cs="Times New Roman"/>
          <w:color w:val="000000" w:themeColor="text1"/>
          <w:sz w:val="28"/>
          <w:szCs w:val="28"/>
        </w:rPr>
        <w:t xml:space="preserve">che </w:t>
      </w:r>
      <w:r w:rsidR="0012719B" w:rsidRPr="00BF2644">
        <w:rPr>
          <w:rFonts w:ascii="Garamond" w:hAnsi="Garamond" w:cs="Times New Roman"/>
          <w:color w:val="000000" w:themeColor="text1"/>
          <w:sz w:val="28"/>
          <w:szCs w:val="28"/>
        </w:rPr>
        <w:t>la responsabilità della pubblica amministrazione per lesione di interessi legittimi, sia da illegittimità provvedimentale</w:t>
      </w:r>
      <w:r w:rsidR="003F02CA">
        <w:rPr>
          <w:rFonts w:ascii="Garamond" w:hAnsi="Garamond" w:cs="Times New Roman"/>
          <w:color w:val="000000" w:themeColor="text1"/>
          <w:sz w:val="28"/>
          <w:szCs w:val="28"/>
        </w:rPr>
        <w:t xml:space="preserve">, </w:t>
      </w:r>
      <w:r w:rsidR="0012719B" w:rsidRPr="00BF2644">
        <w:rPr>
          <w:rFonts w:ascii="Garamond" w:hAnsi="Garamond" w:cs="Times New Roman"/>
          <w:color w:val="000000" w:themeColor="text1"/>
          <w:sz w:val="28"/>
          <w:szCs w:val="28"/>
        </w:rPr>
        <w:t xml:space="preserve"> sia da inosservanza dolosa o colposa del termine di conclusione del procedimento, ha natura di responsabilità da fatto illecito aquiliano (e non già di responsabilità da inadempimento contrattuale); è pertanto necessario accertare che vi sia stata la lesione di un bene della vita, mentre per la quantificazione delle conseguenze risarcibili si applicano i criteri limitativi della consequenzialità immediata e diretta e dell'evitabilità con l'ordinaria diligenza del danneggiato e non anche il criterio della prevedibilità del danno</w:t>
      </w:r>
      <w:r w:rsidR="00D9043C">
        <w:rPr>
          <w:rFonts w:ascii="Garamond" w:hAnsi="Garamond" w:cs="Times New Roman"/>
          <w:color w:val="000000" w:themeColor="text1"/>
          <w:sz w:val="28"/>
          <w:szCs w:val="28"/>
        </w:rPr>
        <w:t>]</w:t>
      </w:r>
      <w:r>
        <w:rPr>
          <w:rFonts w:ascii="Garamond" w:hAnsi="Garamond" w:cs="Times New Roman"/>
          <w:color w:val="000000" w:themeColor="text1"/>
          <w:sz w:val="28"/>
          <w:szCs w:val="28"/>
        </w:rPr>
        <w:t>;</w:t>
      </w:r>
    </w:p>
    <w:p w:rsidR="002A7494" w:rsidRDefault="008C0C1B" w:rsidP="0035263A">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w:t>
      </w:r>
      <w:r w:rsidR="00220BAD">
        <w:rPr>
          <w:rFonts w:ascii="Garamond" w:hAnsi="Garamond" w:cs="Times New Roman"/>
          <w:color w:val="000000" w:themeColor="text1"/>
          <w:sz w:val="28"/>
          <w:szCs w:val="28"/>
        </w:rPr>
        <w:t xml:space="preserve"> </w:t>
      </w:r>
      <w:r w:rsidR="00955BB0">
        <w:rPr>
          <w:rFonts w:ascii="Garamond" w:hAnsi="Garamond" w:cs="Times New Roman"/>
          <w:color w:val="000000" w:themeColor="text1"/>
          <w:sz w:val="28"/>
          <w:szCs w:val="28"/>
        </w:rPr>
        <w:t>l</w:t>
      </w:r>
      <w:r w:rsidRPr="008C0C1B">
        <w:rPr>
          <w:rFonts w:ascii="Garamond" w:hAnsi="Garamond" w:cs="Times New Roman"/>
          <w:color w:val="000000" w:themeColor="text1"/>
          <w:sz w:val="28"/>
          <w:szCs w:val="28"/>
        </w:rPr>
        <w:t>’in</w:t>
      </w:r>
      <w:r w:rsidR="006C564E">
        <w:rPr>
          <w:rFonts w:ascii="Garamond" w:hAnsi="Garamond" w:cs="Times New Roman"/>
          <w:color w:val="000000" w:themeColor="text1"/>
          <w:sz w:val="28"/>
          <w:szCs w:val="28"/>
        </w:rPr>
        <w:t>giustizia</w:t>
      </w:r>
      <w:r w:rsidRPr="008C0C1B">
        <w:rPr>
          <w:rFonts w:ascii="Garamond" w:hAnsi="Garamond" w:cs="Times New Roman"/>
          <w:color w:val="000000" w:themeColor="text1"/>
          <w:sz w:val="28"/>
          <w:szCs w:val="28"/>
        </w:rPr>
        <w:t xml:space="preserve"> del danno e, quindi, la sua risarcibilità per il ritardo dell’azione amministrativa, è configurabile solo ove il provvedimento favorevole sia stata adottato, sia </w:t>
      </w:r>
      <w:r w:rsidRPr="008C0C1B">
        <w:rPr>
          <w:rFonts w:ascii="Garamond" w:hAnsi="Garamond" w:cs="Times New Roman"/>
          <w:color w:val="000000" w:themeColor="text1"/>
          <w:sz w:val="28"/>
          <w:szCs w:val="28"/>
        </w:rPr>
        <w:lastRenderedPageBreak/>
        <w:t>pure in ritardo, dall’autorità competente, ovvero avrebbe dovuto essere adottato, sulla base di un giudizio prognostico effettuabile sia in caso di adozione di un provvedimento negativo sia in caso di inerzia reiterata, in esito al procedimento. In altri termini, il riferimento, per la risarcibilità del danno, al concetto di “</w:t>
      </w:r>
      <w:r w:rsidRPr="00955BB0">
        <w:rPr>
          <w:rFonts w:ascii="Garamond" w:hAnsi="Garamond" w:cs="Times New Roman"/>
          <w:i/>
          <w:color w:val="000000" w:themeColor="text1"/>
          <w:sz w:val="28"/>
          <w:szCs w:val="28"/>
        </w:rPr>
        <w:t>danno ingiusto</w:t>
      </w:r>
      <w:r w:rsidRPr="008C0C1B">
        <w:rPr>
          <w:rFonts w:ascii="Garamond" w:hAnsi="Garamond" w:cs="Times New Roman"/>
          <w:color w:val="000000" w:themeColor="text1"/>
          <w:sz w:val="28"/>
          <w:szCs w:val="28"/>
        </w:rPr>
        <w:t xml:space="preserve">”, ove la posizione considerata e tutelata sia quella avente ad oggetto il bene della vita richiesto con l’istanza che ha dato origine al procedimento, non può che postulare la subordinazione dell’accoglimento della domanda risarcitoria all’accertamento della fondatezza della pretesa avanzata, altrimenti si perverrebbe alla conclusione paradossale e </w:t>
      </w:r>
      <w:r w:rsidRPr="00955BB0">
        <w:rPr>
          <w:rFonts w:ascii="Garamond" w:hAnsi="Garamond" w:cs="Times New Roman"/>
          <w:i/>
          <w:color w:val="000000" w:themeColor="text1"/>
          <w:sz w:val="28"/>
          <w:szCs w:val="28"/>
        </w:rPr>
        <w:t>contra legem</w:t>
      </w:r>
      <w:r w:rsidRPr="008C0C1B">
        <w:rPr>
          <w:rFonts w:ascii="Garamond" w:hAnsi="Garamond" w:cs="Times New Roman"/>
          <w:color w:val="000000" w:themeColor="text1"/>
          <w:sz w:val="28"/>
          <w:szCs w:val="28"/>
        </w:rPr>
        <w:t xml:space="preserve"> di risarcire un danno non ingiusto</w:t>
      </w:r>
      <w:r>
        <w:rPr>
          <w:rFonts w:ascii="Garamond" w:hAnsi="Garamond" w:cs="Times New Roman"/>
          <w:color w:val="000000" w:themeColor="text1"/>
          <w:sz w:val="28"/>
          <w:szCs w:val="28"/>
        </w:rPr>
        <w:t xml:space="preserve"> (</w:t>
      </w:r>
      <w:r w:rsidRPr="008C0C1B">
        <w:rPr>
          <w:rFonts w:ascii="Garamond" w:hAnsi="Garamond" w:cs="Times New Roman"/>
          <w:color w:val="000000" w:themeColor="text1"/>
          <w:sz w:val="28"/>
          <w:szCs w:val="28"/>
        </w:rPr>
        <w:t>Cons. Stato, se</w:t>
      </w:r>
      <w:r>
        <w:rPr>
          <w:rFonts w:ascii="Garamond" w:hAnsi="Garamond" w:cs="Times New Roman"/>
          <w:color w:val="000000" w:themeColor="text1"/>
          <w:sz w:val="28"/>
          <w:szCs w:val="28"/>
        </w:rPr>
        <w:t>z. IV, n. 7622 del 2020</w:t>
      </w:r>
      <w:r w:rsidR="0035263A">
        <w:rPr>
          <w:rFonts w:ascii="Garamond" w:hAnsi="Garamond" w:cs="Times New Roman"/>
          <w:color w:val="000000" w:themeColor="text1"/>
          <w:sz w:val="28"/>
          <w:szCs w:val="28"/>
        </w:rPr>
        <w:t xml:space="preserve">; </w:t>
      </w:r>
      <w:r w:rsidR="007C254A">
        <w:rPr>
          <w:rFonts w:ascii="Garamond" w:hAnsi="Garamond" w:cs="Times New Roman"/>
          <w:color w:val="000000" w:themeColor="text1"/>
          <w:sz w:val="28"/>
          <w:szCs w:val="28"/>
        </w:rPr>
        <w:t>s</w:t>
      </w:r>
      <w:r w:rsidR="0035263A">
        <w:rPr>
          <w:rFonts w:ascii="Garamond" w:hAnsi="Garamond" w:cs="Times New Roman"/>
          <w:color w:val="000000" w:themeColor="text1"/>
          <w:sz w:val="28"/>
          <w:szCs w:val="28"/>
        </w:rPr>
        <w:t>ez. III</w:t>
      </w:r>
      <w:r w:rsidR="0035263A" w:rsidRPr="0035263A">
        <w:rPr>
          <w:rFonts w:ascii="Garamond" w:hAnsi="Garamond" w:cs="Times New Roman"/>
          <w:color w:val="000000" w:themeColor="text1"/>
          <w:sz w:val="28"/>
          <w:szCs w:val="28"/>
        </w:rPr>
        <w:t>, n. 6755</w:t>
      </w:r>
      <w:r w:rsidR="0035263A">
        <w:rPr>
          <w:rFonts w:ascii="Garamond" w:hAnsi="Garamond" w:cs="Times New Roman"/>
          <w:color w:val="000000" w:themeColor="text1"/>
          <w:sz w:val="28"/>
          <w:szCs w:val="28"/>
        </w:rPr>
        <w:t xml:space="preserve"> del 2020 che ha altresì precisato che </w:t>
      </w:r>
      <w:r w:rsidR="0035263A" w:rsidRPr="0035263A">
        <w:rPr>
          <w:rFonts w:ascii="Garamond" w:hAnsi="Garamond" w:cs="Times New Roman"/>
          <w:color w:val="000000" w:themeColor="text1"/>
          <w:sz w:val="28"/>
          <w:szCs w:val="28"/>
        </w:rPr>
        <w:t>il giudizio prognostico sulla spettanza del bene della vita si presenta come un'app</w:t>
      </w:r>
      <w:r w:rsidR="00220BAD">
        <w:rPr>
          <w:rFonts w:ascii="Garamond" w:hAnsi="Garamond" w:cs="Times New Roman"/>
          <w:color w:val="000000" w:themeColor="text1"/>
          <w:sz w:val="28"/>
          <w:szCs w:val="28"/>
        </w:rPr>
        <w:t>licazione particolare dei princì</w:t>
      </w:r>
      <w:r w:rsidR="0035263A" w:rsidRPr="0035263A">
        <w:rPr>
          <w:rFonts w:ascii="Garamond" w:hAnsi="Garamond" w:cs="Times New Roman"/>
          <w:color w:val="000000" w:themeColor="text1"/>
          <w:sz w:val="28"/>
          <w:szCs w:val="28"/>
        </w:rPr>
        <w:t>pi generali in tema di nesso di causalità materiale e mira a stabilire quale sarebbe stato il corso delle cose se il fatto antigiuridico non si fosse prodotto e, cioè, se l'amministrazione avesse agito correttamente</w:t>
      </w:r>
      <w:r w:rsidR="001752E7">
        <w:rPr>
          <w:rFonts w:ascii="Garamond" w:hAnsi="Garamond" w:cs="Times New Roman"/>
          <w:color w:val="000000" w:themeColor="text1"/>
          <w:sz w:val="28"/>
          <w:szCs w:val="28"/>
        </w:rPr>
        <w:t xml:space="preserve">; </w:t>
      </w:r>
      <w:r w:rsidR="001752E7" w:rsidRPr="001752E7">
        <w:rPr>
          <w:rFonts w:ascii="Garamond" w:hAnsi="Garamond" w:cs="Times New Roman"/>
          <w:color w:val="000000" w:themeColor="text1"/>
          <w:sz w:val="28"/>
          <w:szCs w:val="28"/>
        </w:rPr>
        <w:t>Con</w:t>
      </w:r>
      <w:r w:rsidR="007C254A">
        <w:rPr>
          <w:rFonts w:ascii="Garamond" w:hAnsi="Garamond" w:cs="Times New Roman"/>
          <w:color w:val="000000" w:themeColor="text1"/>
          <w:sz w:val="28"/>
          <w:szCs w:val="28"/>
        </w:rPr>
        <w:t>s. Stato,</w:t>
      </w:r>
      <w:r w:rsidR="00220BAD">
        <w:rPr>
          <w:rFonts w:ascii="Garamond" w:hAnsi="Garamond" w:cs="Times New Roman"/>
          <w:color w:val="000000" w:themeColor="text1"/>
          <w:sz w:val="28"/>
          <w:szCs w:val="28"/>
        </w:rPr>
        <w:t xml:space="preserve"> sez. V, </w:t>
      </w:r>
      <w:r w:rsidR="001752E7" w:rsidRPr="001752E7">
        <w:rPr>
          <w:rFonts w:ascii="Garamond" w:hAnsi="Garamond" w:cs="Times New Roman"/>
          <w:color w:val="000000" w:themeColor="text1"/>
          <w:sz w:val="28"/>
          <w:szCs w:val="28"/>
        </w:rPr>
        <w:t>n. 5737</w:t>
      </w:r>
      <w:r w:rsidR="00220BAD">
        <w:rPr>
          <w:rFonts w:ascii="Garamond" w:hAnsi="Garamond" w:cs="Times New Roman"/>
          <w:color w:val="000000" w:themeColor="text1"/>
          <w:sz w:val="28"/>
          <w:szCs w:val="28"/>
        </w:rPr>
        <w:t xml:space="preserve"> del 2019</w:t>
      </w:r>
      <w:r w:rsidR="001752E7" w:rsidRPr="001752E7">
        <w:rPr>
          <w:rFonts w:ascii="Garamond" w:hAnsi="Garamond" w:cs="Times New Roman"/>
          <w:color w:val="000000" w:themeColor="text1"/>
          <w:sz w:val="28"/>
          <w:szCs w:val="28"/>
        </w:rPr>
        <w:t xml:space="preserve"> e sez. VI, n. 3887</w:t>
      </w:r>
      <w:r w:rsidR="00220BAD">
        <w:rPr>
          <w:rFonts w:ascii="Garamond" w:hAnsi="Garamond" w:cs="Times New Roman"/>
          <w:color w:val="000000" w:themeColor="text1"/>
          <w:sz w:val="28"/>
          <w:szCs w:val="28"/>
        </w:rPr>
        <w:t xml:space="preserve"> del 2011,</w:t>
      </w:r>
      <w:r w:rsidR="001752E7">
        <w:rPr>
          <w:rFonts w:ascii="Garamond" w:hAnsi="Garamond" w:cs="Times New Roman"/>
          <w:color w:val="000000" w:themeColor="text1"/>
          <w:sz w:val="28"/>
          <w:szCs w:val="28"/>
        </w:rPr>
        <w:t xml:space="preserve"> secondo cui occorre </w:t>
      </w:r>
      <w:r w:rsidR="001752E7" w:rsidRPr="001752E7">
        <w:rPr>
          <w:rFonts w:ascii="Garamond" w:hAnsi="Garamond" w:cs="Times New Roman"/>
          <w:color w:val="000000" w:themeColor="text1"/>
          <w:sz w:val="28"/>
          <w:szCs w:val="28"/>
        </w:rPr>
        <w:t>dimostrare che, ove vi fosse stato il corretto sviluppo dell'azione amministrativa, l’istanza dell’interessato sarebbe stata ragionevolmente accolta</w:t>
      </w:r>
      <w:r w:rsidR="001752E7">
        <w:rPr>
          <w:rFonts w:ascii="Garamond" w:hAnsi="Garamond" w:cs="Times New Roman"/>
          <w:color w:val="000000" w:themeColor="text1"/>
          <w:sz w:val="28"/>
          <w:szCs w:val="28"/>
        </w:rPr>
        <w:t>);</w:t>
      </w:r>
    </w:p>
    <w:p w:rsidR="0035263A" w:rsidRDefault="00955BB0" w:rsidP="0035263A">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i</w:t>
      </w:r>
      <w:r w:rsidR="0035263A">
        <w:rPr>
          <w:rFonts w:ascii="Garamond" w:hAnsi="Garamond" w:cs="Times New Roman"/>
          <w:color w:val="000000" w:themeColor="text1"/>
          <w:sz w:val="28"/>
          <w:szCs w:val="28"/>
        </w:rPr>
        <w:t xml:space="preserve">l </w:t>
      </w:r>
      <w:r w:rsidR="0035263A" w:rsidRPr="0035263A">
        <w:rPr>
          <w:rFonts w:ascii="Garamond" w:hAnsi="Garamond" w:cs="Times New Roman"/>
          <w:color w:val="000000" w:themeColor="text1"/>
          <w:sz w:val="28"/>
          <w:szCs w:val="28"/>
        </w:rPr>
        <w:t xml:space="preserve">risarcimento del danno da ritardo o inerzia dell'amministrazione nella conclusione del procedimento amministrativo </w:t>
      </w:r>
      <w:r>
        <w:rPr>
          <w:rFonts w:ascii="Garamond" w:hAnsi="Garamond" w:cs="Times New Roman"/>
          <w:color w:val="000000" w:themeColor="text1"/>
          <w:sz w:val="28"/>
          <w:szCs w:val="28"/>
        </w:rPr>
        <w:t xml:space="preserve"> va considerato </w:t>
      </w:r>
      <w:r w:rsidR="0035263A" w:rsidRPr="0035263A">
        <w:rPr>
          <w:rFonts w:ascii="Garamond" w:hAnsi="Garamond" w:cs="Times New Roman"/>
          <w:color w:val="000000" w:themeColor="text1"/>
          <w:sz w:val="28"/>
          <w:szCs w:val="28"/>
        </w:rPr>
        <w:t>non già come effetto del ritardo in sé per sé, bensì per il fatto che la condotta inerte o tardiva dell'amministrazione sia stata causa di un danno prodottosi nella sfera giuridica del privato che, con la propria istanza, ha dato avvio al procedimento amministrativo; il danno prodottosi nella sfera giuridica del privato, e del quale quest'ultimo deve fornire la prova sia sull'</w:t>
      </w:r>
      <w:r w:rsidR="0035263A" w:rsidRPr="00955BB0">
        <w:rPr>
          <w:rFonts w:ascii="Garamond" w:hAnsi="Garamond" w:cs="Times New Roman"/>
          <w:i/>
          <w:color w:val="000000" w:themeColor="text1"/>
          <w:sz w:val="28"/>
          <w:szCs w:val="28"/>
        </w:rPr>
        <w:t>an</w:t>
      </w:r>
      <w:r w:rsidR="0035263A" w:rsidRPr="0035263A">
        <w:rPr>
          <w:rFonts w:ascii="Garamond" w:hAnsi="Garamond" w:cs="Times New Roman"/>
          <w:color w:val="000000" w:themeColor="text1"/>
          <w:sz w:val="28"/>
          <w:szCs w:val="28"/>
        </w:rPr>
        <w:t xml:space="preserve"> che sul </w:t>
      </w:r>
      <w:r w:rsidR="0035263A" w:rsidRPr="00955BB0">
        <w:rPr>
          <w:rFonts w:ascii="Garamond" w:hAnsi="Garamond" w:cs="Times New Roman"/>
          <w:i/>
          <w:color w:val="000000" w:themeColor="text1"/>
          <w:sz w:val="28"/>
          <w:szCs w:val="28"/>
        </w:rPr>
        <w:t>quantum,</w:t>
      </w:r>
      <w:r w:rsidR="0035263A" w:rsidRPr="0035263A">
        <w:rPr>
          <w:rFonts w:ascii="Garamond" w:hAnsi="Garamond" w:cs="Times New Roman"/>
          <w:color w:val="000000" w:themeColor="text1"/>
          <w:sz w:val="28"/>
          <w:szCs w:val="28"/>
        </w:rPr>
        <w:t xml:space="preserve"> deve essere riconducibile, secondo la verifica del nesso di causalità, al comportamento inerte ovvero all'adozione tardiva del provvedimento conclusivo del procedimento,</w:t>
      </w:r>
      <w:r w:rsidR="0035263A">
        <w:rPr>
          <w:rFonts w:ascii="Garamond" w:hAnsi="Garamond" w:cs="Times New Roman"/>
          <w:color w:val="000000" w:themeColor="text1"/>
          <w:sz w:val="28"/>
          <w:szCs w:val="28"/>
        </w:rPr>
        <w:t xml:space="preserve"> da parte dell'amministrazione (</w:t>
      </w:r>
      <w:r w:rsidR="0035263A" w:rsidRPr="0035263A">
        <w:rPr>
          <w:rFonts w:ascii="Garamond" w:hAnsi="Garamond" w:cs="Times New Roman"/>
          <w:color w:val="000000" w:themeColor="text1"/>
          <w:sz w:val="28"/>
          <w:szCs w:val="28"/>
        </w:rPr>
        <w:t xml:space="preserve">Cons. Stato, sez. V, </w:t>
      </w:r>
      <w:r w:rsidR="007551B7">
        <w:rPr>
          <w:rFonts w:ascii="Garamond" w:hAnsi="Garamond" w:cs="Times New Roman"/>
          <w:color w:val="000000" w:themeColor="text1"/>
          <w:sz w:val="28"/>
          <w:szCs w:val="28"/>
        </w:rPr>
        <w:t>n. 2210 del 2020);</w:t>
      </w:r>
    </w:p>
    <w:p w:rsidR="00D9043C" w:rsidRDefault="00955BB0" w:rsidP="004F7266">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i</w:t>
      </w:r>
      <w:r w:rsidR="006D6F28">
        <w:rPr>
          <w:rFonts w:ascii="Garamond" w:hAnsi="Garamond" w:cs="Times New Roman"/>
          <w:color w:val="000000" w:themeColor="text1"/>
          <w:sz w:val="28"/>
          <w:szCs w:val="28"/>
        </w:rPr>
        <w:t xml:space="preserve">l </w:t>
      </w:r>
      <w:r w:rsidR="003F02CA" w:rsidRPr="003F02CA">
        <w:rPr>
          <w:rFonts w:ascii="Garamond" w:hAnsi="Garamond" w:cs="Times New Roman"/>
          <w:color w:val="000000" w:themeColor="text1"/>
          <w:sz w:val="28"/>
          <w:szCs w:val="28"/>
        </w:rPr>
        <w:t xml:space="preserve"> danno da ritardo nella conclusione del procedimento amministrativo, costituendo una speciale ipotesi di responsabilità aquiliana ex art. 2043 c.c., richiede, ai sensi dell'art. 2697 c.c., la prova da parte del danneggiato di tutti gli elementi costitutivi della relativa domanda, quali: la condotta della pubblica amministrazione, l'elemento psicologico, il danno e il nesso causale tra detta condotta e il danno</w:t>
      </w:r>
      <w:r w:rsidR="003F02CA">
        <w:rPr>
          <w:rFonts w:ascii="Garamond" w:hAnsi="Garamond" w:cs="Times New Roman"/>
          <w:color w:val="000000" w:themeColor="text1"/>
          <w:sz w:val="28"/>
          <w:szCs w:val="28"/>
        </w:rPr>
        <w:t>; a</w:t>
      </w:r>
      <w:r w:rsidR="003F02CA" w:rsidRPr="003F02CA">
        <w:rPr>
          <w:rFonts w:ascii="Garamond" w:hAnsi="Garamond" w:cs="Times New Roman"/>
          <w:color w:val="000000" w:themeColor="text1"/>
          <w:sz w:val="28"/>
          <w:szCs w:val="28"/>
        </w:rPr>
        <w:t xml:space="preserve">nche in caso di danno da ritardo è </w:t>
      </w:r>
      <w:r w:rsidR="003F02CA">
        <w:rPr>
          <w:rFonts w:ascii="Garamond" w:hAnsi="Garamond" w:cs="Times New Roman"/>
          <w:color w:val="000000" w:themeColor="text1"/>
          <w:sz w:val="28"/>
          <w:szCs w:val="28"/>
        </w:rPr>
        <w:t xml:space="preserve">pertanto </w:t>
      </w:r>
      <w:r>
        <w:rPr>
          <w:rFonts w:ascii="Garamond" w:hAnsi="Garamond" w:cs="Times New Roman"/>
          <w:color w:val="000000" w:themeColor="text1"/>
          <w:sz w:val="28"/>
          <w:szCs w:val="28"/>
        </w:rPr>
        <w:t xml:space="preserve">necessario che sia provato </w:t>
      </w:r>
      <w:r w:rsidR="003F02CA" w:rsidRPr="003F02CA">
        <w:rPr>
          <w:rFonts w:ascii="Garamond" w:hAnsi="Garamond" w:cs="Times New Roman"/>
          <w:color w:val="000000" w:themeColor="text1"/>
          <w:sz w:val="28"/>
          <w:szCs w:val="28"/>
        </w:rPr>
        <w:t xml:space="preserve">sia il </w:t>
      </w:r>
      <w:r>
        <w:rPr>
          <w:rFonts w:ascii="Garamond" w:hAnsi="Garamond" w:cs="Times New Roman"/>
          <w:color w:val="000000" w:themeColor="text1"/>
          <w:sz w:val="28"/>
          <w:szCs w:val="28"/>
        </w:rPr>
        <w:t>“</w:t>
      </w:r>
      <w:r w:rsidR="003F02CA" w:rsidRPr="00955BB0">
        <w:rPr>
          <w:rFonts w:ascii="Garamond" w:hAnsi="Garamond" w:cs="Times New Roman"/>
          <w:i/>
          <w:color w:val="000000" w:themeColor="text1"/>
          <w:sz w:val="28"/>
          <w:szCs w:val="28"/>
        </w:rPr>
        <w:t>danno-evento</w:t>
      </w:r>
      <w:r>
        <w:rPr>
          <w:rFonts w:ascii="Garamond" w:hAnsi="Garamond" w:cs="Times New Roman"/>
          <w:color w:val="000000" w:themeColor="text1"/>
          <w:sz w:val="28"/>
          <w:szCs w:val="28"/>
        </w:rPr>
        <w:t>”</w:t>
      </w:r>
      <w:r w:rsidR="003F02CA" w:rsidRPr="003F02CA">
        <w:rPr>
          <w:rFonts w:ascii="Garamond" w:hAnsi="Garamond" w:cs="Times New Roman"/>
          <w:color w:val="000000" w:themeColor="text1"/>
          <w:sz w:val="28"/>
          <w:szCs w:val="28"/>
        </w:rPr>
        <w:t xml:space="preserve"> (la lesione della libertà di autodeterminazione negoziale), sia il </w:t>
      </w:r>
      <w:r>
        <w:rPr>
          <w:rFonts w:ascii="Garamond" w:hAnsi="Garamond" w:cs="Times New Roman"/>
          <w:color w:val="000000" w:themeColor="text1"/>
          <w:sz w:val="28"/>
          <w:szCs w:val="28"/>
        </w:rPr>
        <w:t>“</w:t>
      </w:r>
      <w:r w:rsidR="003F02CA" w:rsidRPr="00955BB0">
        <w:rPr>
          <w:rFonts w:ascii="Garamond" w:hAnsi="Garamond" w:cs="Times New Roman"/>
          <w:i/>
          <w:color w:val="000000" w:themeColor="text1"/>
          <w:sz w:val="28"/>
          <w:szCs w:val="28"/>
        </w:rPr>
        <w:t>danno-conseguenza</w:t>
      </w:r>
      <w:r>
        <w:rPr>
          <w:rFonts w:ascii="Garamond" w:hAnsi="Garamond" w:cs="Times New Roman"/>
          <w:color w:val="000000" w:themeColor="text1"/>
          <w:sz w:val="28"/>
          <w:szCs w:val="28"/>
        </w:rPr>
        <w:t>”</w:t>
      </w:r>
      <w:r w:rsidR="003F02CA" w:rsidRPr="003F02CA">
        <w:rPr>
          <w:rFonts w:ascii="Garamond" w:hAnsi="Garamond" w:cs="Times New Roman"/>
          <w:color w:val="000000" w:themeColor="text1"/>
          <w:sz w:val="28"/>
          <w:szCs w:val="28"/>
        </w:rPr>
        <w:t xml:space="preserve"> (le perdite economiche subite a causa delle scelte negoziali illecitamente condizionate), sia i relativi rapporti di causalità rispetto alla condotta scorretta che </w:t>
      </w:r>
      <w:r w:rsidR="00D9043C">
        <w:rPr>
          <w:rFonts w:ascii="Garamond" w:hAnsi="Garamond" w:cs="Times New Roman"/>
          <w:color w:val="000000" w:themeColor="text1"/>
          <w:sz w:val="28"/>
          <w:szCs w:val="28"/>
        </w:rPr>
        <w:t>si imputa</w:t>
      </w:r>
      <w:r w:rsidR="003E00D0">
        <w:rPr>
          <w:rFonts w:ascii="Garamond" w:hAnsi="Garamond" w:cs="Times New Roman"/>
          <w:color w:val="000000" w:themeColor="text1"/>
          <w:sz w:val="28"/>
          <w:szCs w:val="28"/>
        </w:rPr>
        <w:t xml:space="preserve"> all’amministrazione (Adunanza p</w:t>
      </w:r>
      <w:r w:rsidR="00D9043C">
        <w:rPr>
          <w:rFonts w:ascii="Garamond" w:hAnsi="Garamond" w:cs="Times New Roman"/>
          <w:color w:val="000000" w:themeColor="text1"/>
          <w:sz w:val="28"/>
          <w:szCs w:val="28"/>
        </w:rPr>
        <w:t>lenaria n. 5 del 4 maggio 2018</w:t>
      </w:r>
      <w:r>
        <w:rPr>
          <w:rFonts w:ascii="Garamond" w:hAnsi="Garamond" w:cs="Times New Roman"/>
          <w:color w:val="000000" w:themeColor="text1"/>
          <w:sz w:val="28"/>
          <w:szCs w:val="28"/>
        </w:rPr>
        <w:t xml:space="preserve">, </w:t>
      </w:r>
      <w:r w:rsidR="00D9043C">
        <w:rPr>
          <w:rFonts w:ascii="Garamond" w:hAnsi="Garamond" w:cs="Times New Roman"/>
          <w:color w:val="000000" w:themeColor="text1"/>
          <w:sz w:val="28"/>
          <w:szCs w:val="28"/>
        </w:rPr>
        <w:t xml:space="preserve"> resa in tema di responsabilità precontrattuale in materia di appalti ma con affermazione di princìpi di carattere generale in tema di responsabilità della P.A.</w:t>
      </w:r>
      <w:r w:rsidR="008C0C1B">
        <w:rPr>
          <w:rFonts w:ascii="Garamond" w:hAnsi="Garamond" w:cs="Times New Roman"/>
          <w:color w:val="000000" w:themeColor="text1"/>
          <w:sz w:val="28"/>
          <w:szCs w:val="28"/>
        </w:rPr>
        <w:t xml:space="preserve"> come l’affermazione del principio della necessità della prova rigorosa del danno alla libertà di iniziativa economica</w:t>
      </w:r>
      <w:r w:rsidR="00D9043C">
        <w:rPr>
          <w:rFonts w:ascii="Garamond" w:hAnsi="Garamond" w:cs="Times New Roman"/>
          <w:color w:val="000000" w:themeColor="text1"/>
          <w:sz w:val="28"/>
          <w:szCs w:val="28"/>
        </w:rPr>
        <w:t>).</w:t>
      </w:r>
    </w:p>
    <w:p w:rsidR="00D9043C" w:rsidRPr="006D6F28" w:rsidRDefault="00D9043C" w:rsidP="006D6F28">
      <w:pPr>
        <w:spacing w:line="240" w:lineRule="auto"/>
        <w:ind w:firstLine="709"/>
        <w:contextualSpacing/>
        <w:jc w:val="both"/>
        <w:rPr>
          <w:rFonts w:ascii="Garamond" w:hAnsi="Garamond" w:cs="Times New Roman"/>
          <w:color w:val="000000" w:themeColor="text1"/>
          <w:sz w:val="28"/>
          <w:szCs w:val="28"/>
        </w:rPr>
      </w:pPr>
    </w:p>
    <w:p w:rsidR="0070627A" w:rsidRPr="00BF2644" w:rsidRDefault="009371DB" w:rsidP="00BF2644">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b/>
          <w:color w:val="000000" w:themeColor="text1"/>
          <w:sz w:val="28"/>
          <w:szCs w:val="28"/>
        </w:rPr>
        <w:t>2.12</w:t>
      </w:r>
      <w:r w:rsidR="0070627A" w:rsidRPr="00BF2644">
        <w:rPr>
          <w:rFonts w:ascii="Garamond" w:hAnsi="Garamond" w:cs="Times New Roman"/>
          <w:b/>
          <w:color w:val="000000" w:themeColor="text1"/>
          <w:sz w:val="28"/>
          <w:szCs w:val="28"/>
        </w:rPr>
        <w:t>. La competenza dell’Autorità per l’energia elettrica e il gas per l’emanazione di direttive relativamente alle condizioni tecniche ed economiche per l'erogazione del servizio di connessione di impianti alimentati da fonti rinnovabili alle reti elettriche.</w:t>
      </w:r>
    </w:p>
    <w:p w:rsidR="00A52C49" w:rsidRDefault="000D2AF2" w:rsidP="00BF2644">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L’art. 14 del </w:t>
      </w:r>
      <w:r w:rsidR="004F0CCD">
        <w:rPr>
          <w:rFonts w:ascii="Garamond" w:hAnsi="Garamond" w:cs="Times New Roman"/>
          <w:color w:val="000000" w:themeColor="text1"/>
          <w:sz w:val="28"/>
          <w:szCs w:val="28"/>
        </w:rPr>
        <w:t>d.lgs.</w:t>
      </w:r>
      <w:r w:rsidR="0070627A" w:rsidRPr="00BF2644">
        <w:rPr>
          <w:rFonts w:ascii="Garamond" w:hAnsi="Garamond" w:cs="Times New Roman"/>
          <w:color w:val="000000" w:themeColor="text1"/>
          <w:sz w:val="28"/>
          <w:szCs w:val="28"/>
        </w:rPr>
        <w:t xml:space="preserve"> </w:t>
      </w:r>
      <w:r w:rsidR="00D8422B">
        <w:rPr>
          <w:rFonts w:ascii="Garamond" w:hAnsi="Garamond" w:cs="Times New Roman"/>
          <w:color w:val="000000" w:themeColor="text1"/>
          <w:sz w:val="28"/>
          <w:szCs w:val="28"/>
        </w:rPr>
        <w:t xml:space="preserve">n. </w:t>
      </w:r>
      <w:r w:rsidR="0070627A" w:rsidRPr="00BF2644">
        <w:rPr>
          <w:rFonts w:ascii="Garamond" w:hAnsi="Garamond" w:cs="Times New Roman"/>
          <w:color w:val="000000" w:themeColor="text1"/>
          <w:sz w:val="28"/>
          <w:szCs w:val="28"/>
        </w:rPr>
        <w:t xml:space="preserve">387 del 2003 prevede </w:t>
      </w:r>
      <w:r w:rsidR="004F7266" w:rsidRPr="00BF2644">
        <w:rPr>
          <w:rFonts w:ascii="Garamond" w:hAnsi="Garamond" w:cs="Times New Roman"/>
          <w:color w:val="000000" w:themeColor="text1"/>
          <w:sz w:val="28"/>
          <w:szCs w:val="28"/>
        </w:rPr>
        <w:t>che l’Autorità</w:t>
      </w:r>
      <w:r w:rsidR="0070627A" w:rsidRPr="00BF2644">
        <w:rPr>
          <w:rFonts w:ascii="Garamond" w:hAnsi="Garamond" w:cs="Times New Roman"/>
          <w:color w:val="000000" w:themeColor="text1"/>
          <w:sz w:val="28"/>
          <w:szCs w:val="28"/>
        </w:rPr>
        <w:t xml:space="preserve"> per l'energia elettrica e il gas emana specifiche direttive relativamente alle condizioni tecniche ed economiche per </w:t>
      </w:r>
      <w:r w:rsidR="0070627A" w:rsidRPr="00BF2644">
        <w:rPr>
          <w:rFonts w:ascii="Garamond" w:hAnsi="Garamond" w:cs="Times New Roman"/>
          <w:color w:val="000000" w:themeColor="text1"/>
          <w:sz w:val="28"/>
          <w:szCs w:val="28"/>
        </w:rPr>
        <w:lastRenderedPageBreak/>
        <w:t xml:space="preserve">l'erogazione del servizio di connessione di impianti alimentati da fonti rinnovabili alle reti elettriche con tensione nominale superiore ad 1 </w:t>
      </w:r>
      <w:r w:rsidR="007C254A">
        <w:rPr>
          <w:rFonts w:ascii="Garamond" w:hAnsi="Garamond" w:cs="Times New Roman"/>
          <w:color w:val="000000" w:themeColor="text1"/>
          <w:sz w:val="28"/>
          <w:szCs w:val="28"/>
        </w:rPr>
        <w:t>K</w:t>
      </w:r>
      <w:r w:rsidR="0070627A" w:rsidRPr="00BF2644">
        <w:rPr>
          <w:rFonts w:ascii="Garamond" w:hAnsi="Garamond" w:cs="Times New Roman"/>
          <w:color w:val="000000" w:themeColor="text1"/>
          <w:sz w:val="28"/>
          <w:szCs w:val="28"/>
        </w:rPr>
        <w:t>V, i cui gestori hanno obbligo di connessione di terzi. Detto disposto normativo è stato poi integrato al comma secondo dall</w:t>
      </w:r>
      <w:r w:rsidR="00400EB3">
        <w:rPr>
          <w:rFonts w:ascii="Garamond" w:hAnsi="Garamond" w:cs="Times New Roman"/>
          <w:color w:val="000000" w:themeColor="text1"/>
          <w:sz w:val="28"/>
          <w:szCs w:val="28"/>
        </w:rPr>
        <w:t xml:space="preserve">’art.  2, comma 165, della </w:t>
      </w:r>
      <w:r w:rsidR="00981AFC">
        <w:rPr>
          <w:rFonts w:ascii="Garamond" w:hAnsi="Garamond" w:cs="Times New Roman"/>
          <w:color w:val="000000" w:themeColor="text1"/>
          <w:sz w:val="28"/>
          <w:szCs w:val="28"/>
        </w:rPr>
        <w:t>l</w:t>
      </w:r>
      <w:r w:rsidR="006C564E">
        <w:rPr>
          <w:rFonts w:ascii="Garamond" w:hAnsi="Garamond" w:cs="Times New Roman"/>
          <w:color w:val="000000" w:themeColor="text1"/>
          <w:sz w:val="28"/>
          <w:szCs w:val="28"/>
        </w:rPr>
        <w:t>.</w:t>
      </w:r>
      <w:r w:rsidR="0070627A" w:rsidRPr="00BF2644">
        <w:rPr>
          <w:rFonts w:ascii="Garamond" w:hAnsi="Garamond" w:cs="Times New Roman"/>
          <w:color w:val="000000" w:themeColor="text1"/>
          <w:sz w:val="28"/>
          <w:szCs w:val="28"/>
        </w:rPr>
        <w:t xml:space="preserve"> n. 244 del 2007, che h</w:t>
      </w:r>
      <w:r w:rsidR="00C24509" w:rsidRPr="00BF2644">
        <w:rPr>
          <w:rFonts w:ascii="Garamond" w:hAnsi="Garamond" w:cs="Times New Roman"/>
          <w:color w:val="000000" w:themeColor="text1"/>
          <w:sz w:val="28"/>
          <w:szCs w:val="28"/>
        </w:rPr>
        <w:t>a aggiunto le previsioni dalla</w:t>
      </w:r>
      <w:r w:rsidR="0070627A" w:rsidRPr="00BF2644">
        <w:rPr>
          <w:rFonts w:ascii="Garamond" w:hAnsi="Garamond" w:cs="Times New Roman"/>
          <w:color w:val="000000" w:themeColor="text1"/>
          <w:sz w:val="28"/>
          <w:szCs w:val="28"/>
        </w:rPr>
        <w:t xml:space="preserve"> lett. f </w:t>
      </w:r>
      <w:r w:rsidR="0070627A" w:rsidRPr="00807233">
        <w:rPr>
          <w:rFonts w:ascii="Garamond" w:hAnsi="Garamond" w:cs="Times New Roman"/>
          <w:i/>
          <w:color w:val="000000" w:themeColor="text1"/>
          <w:sz w:val="28"/>
          <w:szCs w:val="28"/>
        </w:rPr>
        <w:t>bis</w:t>
      </w:r>
      <w:r w:rsidR="0070627A" w:rsidRPr="00BF2644">
        <w:rPr>
          <w:rFonts w:ascii="Garamond" w:hAnsi="Garamond" w:cs="Times New Roman"/>
          <w:color w:val="000000" w:themeColor="text1"/>
          <w:sz w:val="28"/>
          <w:szCs w:val="28"/>
        </w:rPr>
        <w:t xml:space="preserve">) </w:t>
      </w:r>
      <w:r w:rsidR="00C24509" w:rsidRPr="00BF2644">
        <w:rPr>
          <w:rFonts w:ascii="Garamond" w:hAnsi="Garamond" w:cs="Times New Roman"/>
          <w:color w:val="000000" w:themeColor="text1"/>
          <w:sz w:val="28"/>
          <w:szCs w:val="28"/>
        </w:rPr>
        <w:t xml:space="preserve">alla lettera b) </w:t>
      </w:r>
      <w:r w:rsidR="00C24509" w:rsidRPr="00807233">
        <w:rPr>
          <w:rFonts w:ascii="Garamond" w:hAnsi="Garamond" w:cs="Times New Roman"/>
          <w:i/>
          <w:color w:val="000000" w:themeColor="text1"/>
          <w:sz w:val="28"/>
          <w:szCs w:val="28"/>
        </w:rPr>
        <w:t>septies</w:t>
      </w:r>
      <w:r w:rsidR="00C24509" w:rsidRPr="00BF2644">
        <w:rPr>
          <w:rFonts w:ascii="Garamond" w:hAnsi="Garamond" w:cs="Times New Roman"/>
          <w:color w:val="000000" w:themeColor="text1"/>
          <w:sz w:val="28"/>
          <w:szCs w:val="28"/>
        </w:rPr>
        <w:t>.</w:t>
      </w:r>
      <w:r w:rsidR="00A52C49">
        <w:rPr>
          <w:rFonts w:ascii="Garamond" w:hAnsi="Garamond" w:cs="Times New Roman"/>
          <w:color w:val="000000" w:themeColor="text1"/>
          <w:sz w:val="28"/>
          <w:szCs w:val="28"/>
        </w:rPr>
        <w:t xml:space="preserve"> </w:t>
      </w:r>
    </w:p>
    <w:p w:rsidR="0070627A" w:rsidRDefault="00A52C49" w:rsidP="00BF2644">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La Corte costituzionale ha analizzato la natura di questa </w:t>
      </w:r>
      <w:r w:rsidR="008862E0">
        <w:rPr>
          <w:rFonts w:ascii="Garamond" w:hAnsi="Garamond" w:cs="Times New Roman"/>
          <w:color w:val="000000" w:themeColor="text1"/>
          <w:sz w:val="28"/>
          <w:szCs w:val="28"/>
        </w:rPr>
        <w:t xml:space="preserve">Autorità, </w:t>
      </w:r>
      <w:r w:rsidR="00400EB3">
        <w:rPr>
          <w:rFonts w:ascii="Garamond" w:hAnsi="Garamond" w:cs="Times New Roman"/>
          <w:color w:val="000000" w:themeColor="text1"/>
          <w:sz w:val="28"/>
          <w:szCs w:val="28"/>
        </w:rPr>
        <w:t>riconducendola all’apparato</w:t>
      </w:r>
      <w:r>
        <w:rPr>
          <w:rFonts w:ascii="Garamond" w:hAnsi="Garamond" w:cs="Times New Roman"/>
          <w:color w:val="000000" w:themeColor="text1"/>
          <w:sz w:val="28"/>
          <w:szCs w:val="28"/>
        </w:rPr>
        <w:t xml:space="preserve"> dello </w:t>
      </w:r>
      <w:r w:rsidR="00FD6820">
        <w:rPr>
          <w:rFonts w:ascii="Garamond" w:hAnsi="Garamond" w:cs="Times New Roman"/>
          <w:color w:val="000000" w:themeColor="text1"/>
          <w:sz w:val="28"/>
          <w:szCs w:val="28"/>
        </w:rPr>
        <w:t>Stato con</w:t>
      </w:r>
      <w:r>
        <w:rPr>
          <w:rFonts w:ascii="Garamond" w:hAnsi="Garamond" w:cs="Times New Roman"/>
          <w:color w:val="000000" w:themeColor="text1"/>
          <w:sz w:val="28"/>
          <w:szCs w:val="28"/>
        </w:rPr>
        <w:t xml:space="preserve"> un importante pronuncia.</w:t>
      </w:r>
    </w:p>
    <w:p w:rsidR="00C24509" w:rsidRPr="00BF2644" w:rsidRDefault="004F7266" w:rsidP="00400EB3">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L</w:t>
      </w:r>
      <w:r w:rsidRPr="004F7266">
        <w:rPr>
          <w:rFonts w:ascii="Garamond" w:hAnsi="Garamond" w:cs="Times New Roman"/>
          <w:color w:val="000000" w:themeColor="text1"/>
          <w:sz w:val="28"/>
          <w:szCs w:val="28"/>
        </w:rPr>
        <w:t xml:space="preserve">'Autorità per l'energia elettrica e il gas, istituita dall'art. 2 della </w:t>
      </w:r>
      <w:r w:rsidR="006C564E">
        <w:rPr>
          <w:rFonts w:ascii="Garamond" w:hAnsi="Garamond" w:cs="Times New Roman"/>
          <w:color w:val="000000" w:themeColor="text1"/>
          <w:sz w:val="28"/>
          <w:szCs w:val="28"/>
        </w:rPr>
        <w:t>legge</w:t>
      </w:r>
      <w:r w:rsidRPr="004F7266">
        <w:rPr>
          <w:rFonts w:ascii="Garamond" w:hAnsi="Garamond" w:cs="Times New Roman"/>
          <w:color w:val="000000" w:themeColor="text1"/>
          <w:sz w:val="28"/>
          <w:szCs w:val="28"/>
        </w:rPr>
        <w:t xml:space="preserve"> 14 novembre 1995, n. 481, pur operando “</w:t>
      </w:r>
      <w:r w:rsidRPr="00A52C49">
        <w:rPr>
          <w:rFonts w:ascii="Garamond" w:hAnsi="Garamond" w:cs="Times New Roman"/>
          <w:i/>
          <w:color w:val="000000" w:themeColor="text1"/>
          <w:sz w:val="28"/>
          <w:szCs w:val="28"/>
        </w:rPr>
        <w:t>in piena autonomia e con indipendenza di giudizio e di valutazione</w:t>
      </w:r>
      <w:r w:rsidRPr="004F7266">
        <w:rPr>
          <w:rFonts w:ascii="Garamond" w:hAnsi="Garamond" w:cs="Times New Roman"/>
          <w:color w:val="000000" w:themeColor="text1"/>
          <w:sz w:val="28"/>
          <w:szCs w:val="28"/>
        </w:rPr>
        <w:t>” (art. 2, comma 5), costituisce una “</w:t>
      </w:r>
      <w:r w:rsidRPr="00A52C49">
        <w:rPr>
          <w:rFonts w:ascii="Garamond" w:hAnsi="Garamond" w:cs="Times New Roman"/>
          <w:i/>
          <w:color w:val="000000" w:themeColor="text1"/>
          <w:sz w:val="28"/>
          <w:szCs w:val="28"/>
        </w:rPr>
        <w:t>autorità nazionale</w:t>
      </w:r>
      <w:r w:rsidRPr="004F7266">
        <w:rPr>
          <w:rFonts w:ascii="Garamond" w:hAnsi="Garamond" w:cs="Times New Roman"/>
          <w:color w:val="000000" w:themeColor="text1"/>
          <w:sz w:val="28"/>
          <w:szCs w:val="28"/>
        </w:rPr>
        <w:t>” (art. 2, comma 6) riconducibile alla materia della organizzazione amministrativa dello Stato e degli enti pubblici nazionali e che non vi è ragione per ritenere che tale posizione di indipendenza, ovvero il carattere “</w:t>
      </w:r>
      <w:r w:rsidRPr="00A52C49">
        <w:rPr>
          <w:rFonts w:ascii="Garamond" w:hAnsi="Garamond" w:cs="Times New Roman"/>
          <w:i/>
          <w:color w:val="000000" w:themeColor="text1"/>
          <w:sz w:val="28"/>
          <w:szCs w:val="28"/>
        </w:rPr>
        <w:t>neutrale</w:t>
      </w:r>
      <w:r w:rsidR="00A52C49">
        <w:rPr>
          <w:rFonts w:ascii="Garamond" w:hAnsi="Garamond" w:cs="Times New Roman"/>
          <w:color w:val="000000" w:themeColor="text1"/>
          <w:sz w:val="28"/>
          <w:szCs w:val="28"/>
        </w:rPr>
        <w:t>” (Corte cost.,</w:t>
      </w:r>
      <w:r w:rsidRPr="004F7266">
        <w:rPr>
          <w:rFonts w:ascii="Garamond" w:hAnsi="Garamond" w:cs="Times New Roman"/>
          <w:color w:val="000000" w:themeColor="text1"/>
          <w:sz w:val="28"/>
          <w:szCs w:val="28"/>
        </w:rPr>
        <w:t xml:space="preserve"> n. 32 del 1991) che le Autorità di tale natura in linea di principio assumono rispetto agli interessi cui sono preposte, possano produrre alterazioni dei criteri costituzionali in base ai quali viene ripartito l'esercizio delle compet</w:t>
      </w:r>
      <w:r w:rsidR="007C254A">
        <w:rPr>
          <w:rFonts w:ascii="Garamond" w:hAnsi="Garamond" w:cs="Times New Roman"/>
          <w:color w:val="000000" w:themeColor="text1"/>
          <w:sz w:val="28"/>
          <w:szCs w:val="28"/>
        </w:rPr>
        <w:t>enze amministrative tra Stato, r</w:t>
      </w:r>
      <w:r w:rsidRPr="004F7266">
        <w:rPr>
          <w:rFonts w:ascii="Garamond" w:hAnsi="Garamond" w:cs="Times New Roman"/>
          <w:color w:val="000000" w:themeColor="text1"/>
          <w:sz w:val="28"/>
          <w:szCs w:val="28"/>
        </w:rPr>
        <w:t>egion</w:t>
      </w:r>
      <w:r>
        <w:rPr>
          <w:rFonts w:ascii="Garamond" w:hAnsi="Garamond" w:cs="Times New Roman"/>
          <w:color w:val="000000" w:themeColor="text1"/>
          <w:sz w:val="28"/>
          <w:szCs w:val="28"/>
        </w:rPr>
        <w:t xml:space="preserve">i ed enti locali; </w:t>
      </w:r>
      <w:r w:rsidRPr="004F7266">
        <w:rPr>
          <w:rFonts w:ascii="Garamond" w:hAnsi="Garamond" w:cs="Times New Roman"/>
          <w:color w:val="000000" w:themeColor="text1"/>
          <w:sz w:val="28"/>
          <w:szCs w:val="28"/>
        </w:rPr>
        <w:t xml:space="preserve"> la peculiare collocazione dell'Autorità nell'apparato amministrativo dello Stato, quand'anche indotta da vincoli comunitari (quanto alle autorità di regolamentazione del mercato interno dell'energia elettrica si veda l'art. 23 della </w:t>
      </w:r>
      <w:r w:rsidR="006C564E">
        <w:rPr>
          <w:rFonts w:ascii="Garamond" w:hAnsi="Garamond" w:cs="Times New Roman"/>
          <w:color w:val="000000" w:themeColor="text1"/>
          <w:sz w:val="28"/>
          <w:szCs w:val="28"/>
        </w:rPr>
        <w:t>direttiva</w:t>
      </w:r>
      <w:r w:rsidRPr="004F7266">
        <w:rPr>
          <w:rFonts w:ascii="Garamond" w:hAnsi="Garamond" w:cs="Times New Roman"/>
          <w:color w:val="000000" w:themeColor="text1"/>
          <w:sz w:val="28"/>
          <w:szCs w:val="28"/>
        </w:rPr>
        <w:t xml:space="preserve"> 2003/54/CE), non ne elida il carattere nazionale, così che resta necessario accertare se le attribuzioni di cui detta Autorità gode, al fine di regolare e controllare il settore di propria competenza, siano compatibili con la sfera di competenza costituzional</w:t>
      </w:r>
      <w:r w:rsidR="00400EB3">
        <w:rPr>
          <w:rFonts w:ascii="Garamond" w:hAnsi="Garamond" w:cs="Times New Roman"/>
          <w:color w:val="000000" w:themeColor="text1"/>
          <w:sz w:val="28"/>
          <w:szCs w:val="28"/>
        </w:rPr>
        <w:t xml:space="preserve">mente riconosciuta alle </w:t>
      </w:r>
      <w:r w:rsidR="007C254A">
        <w:rPr>
          <w:rFonts w:ascii="Garamond" w:hAnsi="Garamond" w:cs="Times New Roman"/>
          <w:color w:val="000000" w:themeColor="text1"/>
          <w:sz w:val="28"/>
          <w:szCs w:val="28"/>
        </w:rPr>
        <w:t>r</w:t>
      </w:r>
      <w:r w:rsidR="00400EB3">
        <w:rPr>
          <w:rFonts w:ascii="Garamond" w:hAnsi="Garamond" w:cs="Times New Roman"/>
          <w:color w:val="000000" w:themeColor="text1"/>
          <w:sz w:val="28"/>
          <w:szCs w:val="28"/>
        </w:rPr>
        <w:t xml:space="preserve">egioni. </w:t>
      </w:r>
      <w:r w:rsidRPr="004F7266">
        <w:rPr>
          <w:rFonts w:ascii="Garamond" w:hAnsi="Garamond" w:cs="Times New Roman"/>
          <w:color w:val="000000" w:themeColor="text1"/>
          <w:sz w:val="28"/>
          <w:szCs w:val="28"/>
        </w:rPr>
        <w:t xml:space="preserve">La </w:t>
      </w:r>
      <w:r w:rsidR="006C564E">
        <w:rPr>
          <w:rFonts w:ascii="Garamond" w:hAnsi="Garamond" w:cs="Times New Roman"/>
          <w:color w:val="000000" w:themeColor="text1"/>
          <w:sz w:val="28"/>
          <w:szCs w:val="28"/>
        </w:rPr>
        <w:t>legge</w:t>
      </w:r>
      <w:r w:rsidRPr="004F7266">
        <w:rPr>
          <w:rFonts w:ascii="Garamond" w:hAnsi="Garamond" w:cs="Times New Roman"/>
          <w:color w:val="000000" w:themeColor="text1"/>
          <w:sz w:val="28"/>
          <w:szCs w:val="28"/>
        </w:rPr>
        <w:t xml:space="preserve"> statale, pertanto, può assegnare all'Autorità, nel rispetto dei criteri indicati dall'art. 118 della Costituzione, le funzioni amministrative di cui lo Stato stesso è titolare, o di cui possa comunque rivendicare legittimamente l'esercizio, sia in quanto sussistano le condizioni per la chiamata in sussidiarietà al livello centrale del compito in questione (</w:t>
      </w:r>
      <w:r>
        <w:rPr>
          <w:rFonts w:ascii="Garamond" w:hAnsi="Garamond" w:cs="Times New Roman"/>
          <w:color w:val="000000" w:themeColor="text1"/>
          <w:sz w:val="28"/>
          <w:szCs w:val="28"/>
        </w:rPr>
        <w:t>Corte cost.</w:t>
      </w:r>
      <w:r w:rsidRPr="004F7266">
        <w:rPr>
          <w:rFonts w:ascii="Garamond" w:hAnsi="Garamond" w:cs="Times New Roman"/>
          <w:color w:val="000000" w:themeColor="text1"/>
          <w:sz w:val="28"/>
          <w:szCs w:val="28"/>
        </w:rPr>
        <w:t xml:space="preserve"> n. 303 del 2003), ovvero in quanto, in casi eccezionali, sia il diritto comunitario ad imporre “</w:t>
      </w:r>
      <w:r w:rsidRPr="00A52C49">
        <w:rPr>
          <w:rFonts w:ascii="Garamond" w:hAnsi="Garamond" w:cs="Times New Roman"/>
          <w:i/>
          <w:color w:val="000000" w:themeColor="text1"/>
          <w:sz w:val="28"/>
          <w:szCs w:val="28"/>
        </w:rPr>
        <w:t>normative statali derogatrici di tale quadro della normale distribuzione costituzionale delle competenze interne</w:t>
      </w:r>
      <w:r>
        <w:rPr>
          <w:rFonts w:ascii="Garamond" w:hAnsi="Garamond" w:cs="Times New Roman"/>
          <w:color w:val="000000" w:themeColor="text1"/>
          <w:sz w:val="28"/>
          <w:szCs w:val="28"/>
        </w:rPr>
        <w:t>” (Corte cost.</w:t>
      </w:r>
      <w:r w:rsidRPr="004F7266">
        <w:rPr>
          <w:rFonts w:ascii="Garamond" w:hAnsi="Garamond" w:cs="Times New Roman"/>
          <w:color w:val="000000" w:themeColor="text1"/>
          <w:sz w:val="28"/>
          <w:szCs w:val="28"/>
        </w:rPr>
        <w:t xml:space="preserve"> n. 126 del 1996). Certamente, la natura </w:t>
      </w:r>
      <w:r w:rsidRPr="00A52C49">
        <w:rPr>
          <w:rFonts w:ascii="Garamond" w:hAnsi="Garamond" w:cs="Times New Roman"/>
          <w:i/>
          <w:color w:val="000000" w:themeColor="text1"/>
          <w:sz w:val="28"/>
          <w:szCs w:val="28"/>
        </w:rPr>
        <w:t>“unitaria a livello nazionale</w:t>
      </w:r>
      <w:r w:rsidRPr="004F7266">
        <w:rPr>
          <w:rFonts w:ascii="Garamond" w:hAnsi="Garamond" w:cs="Times New Roman"/>
          <w:color w:val="000000" w:themeColor="text1"/>
          <w:sz w:val="28"/>
          <w:szCs w:val="28"/>
        </w:rPr>
        <w:t>” dei compiti delle</w:t>
      </w:r>
      <w:r w:rsidR="009B0078">
        <w:rPr>
          <w:rFonts w:ascii="Garamond" w:hAnsi="Garamond" w:cs="Times New Roman"/>
          <w:color w:val="000000" w:themeColor="text1"/>
          <w:sz w:val="28"/>
          <w:szCs w:val="28"/>
        </w:rPr>
        <w:t xml:space="preserve"> Autorità indipendenti (Corte c</w:t>
      </w:r>
      <w:r>
        <w:rPr>
          <w:rFonts w:ascii="Garamond" w:hAnsi="Garamond" w:cs="Times New Roman"/>
          <w:color w:val="000000" w:themeColor="text1"/>
          <w:sz w:val="28"/>
          <w:szCs w:val="28"/>
        </w:rPr>
        <w:t>ost.</w:t>
      </w:r>
      <w:r w:rsidRPr="004F7266">
        <w:rPr>
          <w:rFonts w:ascii="Garamond" w:hAnsi="Garamond" w:cs="Times New Roman"/>
          <w:color w:val="000000" w:themeColor="text1"/>
          <w:sz w:val="28"/>
          <w:szCs w:val="28"/>
        </w:rPr>
        <w:t xml:space="preserve"> n. 4</w:t>
      </w:r>
      <w:r w:rsidR="00A52C49">
        <w:rPr>
          <w:rFonts w:ascii="Garamond" w:hAnsi="Garamond" w:cs="Times New Roman"/>
          <w:color w:val="000000" w:themeColor="text1"/>
          <w:sz w:val="28"/>
          <w:szCs w:val="28"/>
        </w:rPr>
        <w:t xml:space="preserve">82 del 1995 e </w:t>
      </w:r>
      <w:r w:rsidRPr="004F7266">
        <w:rPr>
          <w:rFonts w:ascii="Garamond" w:hAnsi="Garamond" w:cs="Times New Roman"/>
          <w:color w:val="000000" w:themeColor="text1"/>
          <w:sz w:val="28"/>
          <w:szCs w:val="28"/>
        </w:rPr>
        <w:t>n. 256 del 2007, entrambe relative all'Autorità per la vigilanza sui lavori pubblici) è largamente connaturata alla finalità di assicurare una regolazione ed un controllo uniforme di settori della vita civile, soggetti all'azione amministrativa, ove parcellizzare la disciplina normativa e gli interventi regolatori implicherebbe non solo il difetto delle condizioni tecniche necessarie alla funzionalità del mercato in oggetto, ma talvolta la stessa compromissi</w:t>
      </w:r>
      <w:r w:rsidR="00220BAD">
        <w:rPr>
          <w:rFonts w:ascii="Garamond" w:hAnsi="Garamond" w:cs="Times New Roman"/>
          <w:color w:val="000000" w:themeColor="text1"/>
          <w:sz w:val="28"/>
          <w:szCs w:val="28"/>
        </w:rPr>
        <w:t xml:space="preserve">one dei principi costituzionali, </w:t>
      </w:r>
      <w:r w:rsidRPr="004F7266">
        <w:rPr>
          <w:rFonts w:ascii="Garamond" w:hAnsi="Garamond" w:cs="Times New Roman"/>
          <w:color w:val="000000" w:themeColor="text1"/>
          <w:sz w:val="28"/>
          <w:szCs w:val="28"/>
        </w:rPr>
        <w:t>alla cui osservanza le regole del mercato debbono conformarsi; pertanto, spetta alla Corte valutare, di volta in volta, se tali presuppos</w:t>
      </w:r>
      <w:r w:rsidR="00400EB3">
        <w:rPr>
          <w:rFonts w:ascii="Garamond" w:hAnsi="Garamond" w:cs="Times New Roman"/>
          <w:color w:val="000000" w:themeColor="text1"/>
          <w:sz w:val="28"/>
          <w:szCs w:val="28"/>
        </w:rPr>
        <w:t>ti ricorrano nel caso di specie [</w:t>
      </w:r>
      <w:r w:rsidR="009B0078">
        <w:rPr>
          <w:rFonts w:ascii="Garamond" w:hAnsi="Garamond" w:cs="Times New Roman"/>
          <w:color w:val="000000" w:themeColor="text1"/>
          <w:sz w:val="28"/>
          <w:szCs w:val="28"/>
        </w:rPr>
        <w:t>Corte c</w:t>
      </w:r>
      <w:r w:rsidR="00400EB3" w:rsidRPr="00400EB3">
        <w:rPr>
          <w:rFonts w:ascii="Garamond" w:hAnsi="Garamond" w:cs="Times New Roman"/>
          <w:color w:val="000000" w:themeColor="text1"/>
          <w:sz w:val="28"/>
          <w:szCs w:val="28"/>
        </w:rPr>
        <w:t>ost. n. 88 del 2009</w:t>
      </w:r>
      <w:r w:rsidR="00400EB3">
        <w:rPr>
          <w:rFonts w:ascii="Garamond" w:hAnsi="Garamond" w:cs="Times New Roman"/>
          <w:color w:val="000000" w:themeColor="text1"/>
          <w:sz w:val="28"/>
          <w:szCs w:val="28"/>
        </w:rPr>
        <w:t xml:space="preserve"> che ha dichiarato infondata </w:t>
      </w:r>
      <w:r w:rsidR="00A0506A">
        <w:rPr>
          <w:rFonts w:ascii="Garamond" w:hAnsi="Garamond" w:cs="Times New Roman"/>
          <w:color w:val="000000" w:themeColor="text1"/>
          <w:sz w:val="28"/>
          <w:szCs w:val="28"/>
        </w:rPr>
        <w:t xml:space="preserve">la questione di costituzionalità </w:t>
      </w:r>
      <w:r w:rsidR="007C254A">
        <w:rPr>
          <w:rFonts w:ascii="Garamond" w:hAnsi="Garamond" w:cs="Times New Roman"/>
          <w:color w:val="000000" w:themeColor="text1"/>
          <w:sz w:val="28"/>
          <w:szCs w:val="28"/>
        </w:rPr>
        <w:t>azionata dalla r</w:t>
      </w:r>
      <w:r w:rsidR="00A0506A" w:rsidRPr="00A0506A">
        <w:rPr>
          <w:rFonts w:ascii="Garamond" w:hAnsi="Garamond" w:cs="Times New Roman"/>
          <w:color w:val="000000" w:themeColor="text1"/>
          <w:sz w:val="28"/>
          <w:szCs w:val="28"/>
        </w:rPr>
        <w:t>egione Veneto in relazione alla novellata disciplina introdotta dal cita</w:t>
      </w:r>
      <w:r w:rsidR="00220BAD">
        <w:rPr>
          <w:rFonts w:ascii="Garamond" w:hAnsi="Garamond" w:cs="Times New Roman"/>
          <w:color w:val="000000" w:themeColor="text1"/>
          <w:sz w:val="28"/>
          <w:szCs w:val="28"/>
        </w:rPr>
        <w:t>to</w:t>
      </w:r>
      <w:r w:rsidR="00400EB3">
        <w:rPr>
          <w:rFonts w:ascii="Garamond" w:hAnsi="Garamond" w:cs="Times New Roman"/>
          <w:color w:val="000000" w:themeColor="text1"/>
          <w:sz w:val="28"/>
          <w:szCs w:val="28"/>
        </w:rPr>
        <w:t xml:space="preserve"> art. 2 comma 165, della </w:t>
      </w:r>
      <w:r w:rsidR="00981AFC">
        <w:rPr>
          <w:rFonts w:ascii="Garamond" w:hAnsi="Garamond" w:cs="Times New Roman"/>
          <w:color w:val="000000" w:themeColor="text1"/>
          <w:sz w:val="28"/>
          <w:szCs w:val="28"/>
        </w:rPr>
        <w:t>l</w:t>
      </w:r>
      <w:r w:rsidR="006C564E">
        <w:rPr>
          <w:rFonts w:ascii="Garamond" w:hAnsi="Garamond" w:cs="Times New Roman"/>
          <w:color w:val="000000" w:themeColor="text1"/>
          <w:sz w:val="28"/>
          <w:szCs w:val="28"/>
        </w:rPr>
        <w:t>.</w:t>
      </w:r>
      <w:r w:rsidR="00A0506A" w:rsidRPr="00A0506A">
        <w:rPr>
          <w:rFonts w:ascii="Garamond" w:hAnsi="Garamond" w:cs="Times New Roman"/>
          <w:color w:val="000000" w:themeColor="text1"/>
          <w:sz w:val="28"/>
          <w:szCs w:val="28"/>
        </w:rPr>
        <w:t xml:space="preserve"> n. 244 del 2007, fondata sul rilievo che in forza di tale previsione statale, adottata “</w:t>
      </w:r>
      <w:r w:rsidR="00A0506A" w:rsidRPr="00A52C49">
        <w:rPr>
          <w:rFonts w:ascii="Garamond" w:hAnsi="Garamond" w:cs="Times New Roman"/>
          <w:i/>
          <w:color w:val="000000" w:themeColor="text1"/>
          <w:sz w:val="28"/>
          <w:szCs w:val="28"/>
        </w:rPr>
        <w:t>unilateralmente e senza il benché minimo confronto con le Regioni</w:t>
      </w:r>
      <w:r w:rsidR="00A0506A" w:rsidRPr="00A0506A">
        <w:rPr>
          <w:rFonts w:ascii="Garamond" w:hAnsi="Garamond" w:cs="Times New Roman"/>
          <w:color w:val="000000" w:themeColor="text1"/>
          <w:sz w:val="28"/>
          <w:szCs w:val="28"/>
        </w:rPr>
        <w:t>”, l'Autorità “</w:t>
      </w:r>
      <w:r w:rsidR="00A0506A" w:rsidRPr="00A52C49">
        <w:rPr>
          <w:rFonts w:ascii="Garamond" w:hAnsi="Garamond" w:cs="Times New Roman"/>
          <w:i/>
          <w:color w:val="000000" w:themeColor="text1"/>
          <w:sz w:val="28"/>
          <w:szCs w:val="28"/>
        </w:rPr>
        <w:t>sarà legittimata ad emanare direttive che interferiranno (…) sull'autonomia regionale</w:t>
      </w:r>
      <w:r w:rsidR="00A0506A" w:rsidRPr="00A0506A">
        <w:rPr>
          <w:rFonts w:ascii="Garamond" w:hAnsi="Garamond" w:cs="Times New Roman"/>
          <w:color w:val="000000" w:themeColor="text1"/>
          <w:sz w:val="28"/>
          <w:szCs w:val="28"/>
        </w:rPr>
        <w:t>” in materia di produzione, trasporto e distribuzione nazionale dell'energia e che  ciò lederebbe gli artt. 117 e 118 della Costituzione, ed il principio di leale collaborazione, vertendosi in ma</w:t>
      </w:r>
      <w:r w:rsidR="00A0506A">
        <w:rPr>
          <w:rFonts w:ascii="Garamond" w:hAnsi="Garamond" w:cs="Times New Roman"/>
          <w:color w:val="000000" w:themeColor="text1"/>
          <w:sz w:val="28"/>
          <w:szCs w:val="28"/>
        </w:rPr>
        <w:t xml:space="preserve">teria di competenza concorrente, in quanto </w:t>
      </w:r>
      <w:r w:rsidR="00287484" w:rsidRPr="00BF2644">
        <w:rPr>
          <w:rFonts w:ascii="Garamond" w:hAnsi="Garamond" w:cs="Times New Roman"/>
          <w:color w:val="000000" w:themeColor="text1"/>
          <w:sz w:val="28"/>
          <w:szCs w:val="28"/>
        </w:rPr>
        <w:t xml:space="preserve">la norma impugnata, pur ripercuotendosi sulle materie della produzione, trasporto e distribuzione </w:t>
      </w:r>
      <w:r w:rsidR="00287484" w:rsidRPr="00BF2644">
        <w:rPr>
          <w:rFonts w:ascii="Garamond" w:hAnsi="Garamond" w:cs="Times New Roman"/>
          <w:color w:val="000000" w:themeColor="text1"/>
          <w:sz w:val="28"/>
          <w:szCs w:val="28"/>
        </w:rPr>
        <w:lastRenderedPageBreak/>
        <w:t>nazionale dell'energia, rientranti nella competenza concorrente, ex</w:t>
      </w:r>
      <w:r w:rsidR="00220BAD">
        <w:rPr>
          <w:rFonts w:ascii="Garamond" w:hAnsi="Garamond" w:cs="Times New Roman"/>
          <w:color w:val="000000" w:themeColor="text1"/>
          <w:sz w:val="28"/>
          <w:szCs w:val="28"/>
        </w:rPr>
        <w:t xml:space="preserve"> art. 117 comma 3</w:t>
      </w:r>
      <w:r w:rsidR="00A0506A">
        <w:rPr>
          <w:rFonts w:ascii="Garamond" w:hAnsi="Garamond" w:cs="Times New Roman"/>
          <w:color w:val="000000" w:themeColor="text1"/>
          <w:sz w:val="28"/>
          <w:szCs w:val="28"/>
        </w:rPr>
        <w:t xml:space="preserve"> Cost,  è</w:t>
      </w:r>
      <w:r w:rsidR="00287484" w:rsidRPr="00BF2644">
        <w:rPr>
          <w:rFonts w:ascii="Garamond" w:hAnsi="Garamond" w:cs="Times New Roman"/>
          <w:color w:val="000000" w:themeColor="text1"/>
          <w:sz w:val="28"/>
          <w:szCs w:val="28"/>
        </w:rPr>
        <w:t xml:space="preserve"> caratterizzata dalla finalità prevalente di assicurare e conformare gli interessi peculiarmente connessi alla protezione dell'ambiente nell'ambito di un mercato concorrenziale, aspetti questi rientranti nella competenza esclusiva dello Stato.</w:t>
      </w:r>
      <w:r w:rsidR="00287484" w:rsidRPr="00BF2644">
        <w:rPr>
          <w:rFonts w:ascii="Garamond" w:hAnsi="Garamond"/>
          <w:sz w:val="28"/>
          <w:szCs w:val="28"/>
        </w:rPr>
        <w:t xml:space="preserve"> </w:t>
      </w:r>
      <w:r w:rsidR="00287484" w:rsidRPr="00BF2644">
        <w:rPr>
          <w:rFonts w:ascii="Garamond" w:hAnsi="Garamond" w:cs="Times New Roman"/>
          <w:color w:val="000000" w:themeColor="text1"/>
          <w:sz w:val="28"/>
          <w:szCs w:val="28"/>
        </w:rPr>
        <w:t xml:space="preserve">Le direttive che l'Autorità è tenuta ad adottare ai sensi dell'art. 14 del </w:t>
      </w:r>
      <w:r w:rsidR="004F0CCD">
        <w:rPr>
          <w:rFonts w:ascii="Garamond" w:hAnsi="Garamond" w:cs="Times New Roman"/>
          <w:color w:val="000000" w:themeColor="text1"/>
          <w:sz w:val="28"/>
          <w:szCs w:val="28"/>
        </w:rPr>
        <w:t>d.lgs.</w:t>
      </w:r>
      <w:r w:rsidR="00287484" w:rsidRPr="00BF2644">
        <w:rPr>
          <w:rFonts w:ascii="Garamond" w:hAnsi="Garamond" w:cs="Times New Roman"/>
          <w:color w:val="000000" w:themeColor="text1"/>
          <w:sz w:val="28"/>
          <w:szCs w:val="28"/>
        </w:rPr>
        <w:t xml:space="preserve"> n. 387 del 2003</w:t>
      </w:r>
      <w:r w:rsidR="00220BAD">
        <w:rPr>
          <w:rFonts w:ascii="Garamond" w:hAnsi="Garamond" w:cs="Times New Roman"/>
          <w:color w:val="000000" w:themeColor="text1"/>
          <w:sz w:val="28"/>
          <w:szCs w:val="28"/>
        </w:rPr>
        <w:t>,</w:t>
      </w:r>
      <w:r w:rsidR="00287484" w:rsidRPr="00BF2644">
        <w:rPr>
          <w:rFonts w:ascii="Garamond" w:hAnsi="Garamond" w:cs="Times New Roman"/>
          <w:color w:val="000000" w:themeColor="text1"/>
          <w:sz w:val="28"/>
          <w:szCs w:val="28"/>
        </w:rPr>
        <w:t xml:space="preserve"> come modificato dalla norma impugnata, in punto di collegamento degli impianti alimentati da fonti rinnovabili alla rete elettrica, esprimono infatti il punto di sintesi tecnicamente necessario per assicurare, in questo particolare ambito, l'assetto concorrenziale del mercato con modalità e forme compatibili rispetto al prioritario obiettivo di incentivare l'impiego delle fonti energetiche rinnovabili, a fini di tutela ambientale: esse, in altri termini, si trovano all'incrocio delle competenze esclusive dello Stato in materia di “</w:t>
      </w:r>
      <w:r w:rsidR="00287484" w:rsidRPr="00A52C49">
        <w:rPr>
          <w:rFonts w:ascii="Garamond" w:hAnsi="Garamond" w:cs="Times New Roman"/>
          <w:i/>
          <w:color w:val="000000" w:themeColor="text1"/>
          <w:sz w:val="28"/>
          <w:szCs w:val="28"/>
        </w:rPr>
        <w:t>tutela della concorrenza</w:t>
      </w:r>
      <w:r w:rsidR="00220BAD">
        <w:rPr>
          <w:rFonts w:ascii="Garamond" w:hAnsi="Garamond" w:cs="Times New Roman"/>
          <w:color w:val="000000" w:themeColor="text1"/>
          <w:sz w:val="28"/>
          <w:szCs w:val="28"/>
        </w:rPr>
        <w:t xml:space="preserve">” (art. 117, </w:t>
      </w:r>
      <w:r w:rsidR="00287484" w:rsidRPr="00BF2644">
        <w:rPr>
          <w:rFonts w:ascii="Garamond" w:hAnsi="Garamond" w:cs="Times New Roman"/>
          <w:color w:val="000000" w:themeColor="text1"/>
          <w:sz w:val="28"/>
          <w:szCs w:val="28"/>
        </w:rPr>
        <w:t xml:space="preserve"> comma</w:t>
      </w:r>
      <w:r w:rsidR="00220BAD">
        <w:rPr>
          <w:rFonts w:ascii="Garamond" w:hAnsi="Garamond" w:cs="Times New Roman"/>
          <w:color w:val="000000" w:themeColor="text1"/>
          <w:sz w:val="28"/>
          <w:szCs w:val="28"/>
        </w:rPr>
        <w:t xml:space="preserve"> 2 </w:t>
      </w:r>
      <w:r w:rsidR="00287484" w:rsidRPr="00BF2644">
        <w:rPr>
          <w:rFonts w:ascii="Garamond" w:hAnsi="Garamond" w:cs="Times New Roman"/>
          <w:color w:val="000000" w:themeColor="text1"/>
          <w:sz w:val="28"/>
          <w:szCs w:val="28"/>
        </w:rPr>
        <w:t>, lettera e della Costituzione) e di “</w:t>
      </w:r>
      <w:r w:rsidR="00287484" w:rsidRPr="00A52C49">
        <w:rPr>
          <w:rFonts w:ascii="Garamond" w:hAnsi="Garamond" w:cs="Times New Roman"/>
          <w:i/>
          <w:color w:val="000000" w:themeColor="text1"/>
          <w:sz w:val="28"/>
          <w:szCs w:val="28"/>
        </w:rPr>
        <w:t>tutela dell'ambiente</w:t>
      </w:r>
      <w:r w:rsidR="00220BAD">
        <w:rPr>
          <w:rFonts w:ascii="Garamond" w:hAnsi="Garamond" w:cs="Times New Roman"/>
          <w:color w:val="000000" w:themeColor="text1"/>
          <w:sz w:val="28"/>
          <w:szCs w:val="28"/>
        </w:rPr>
        <w:t xml:space="preserve">” (art. 117, </w:t>
      </w:r>
      <w:r w:rsidR="00287484" w:rsidRPr="00BF2644">
        <w:rPr>
          <w:rFonts w:ascii="Garamond" w:hAnsi="Garamond" w:cs="Times New Roman"/>
          <w:color w:val="000000" w:themeColor="text1"/>
          <w:sz w:val="28"/>
          <w:szCs w:val="28"/>
        </w:rPr>
        <w:t>comma</w:t>
      </w:r>
      <w:r w:rsidR="00220BAD">
        <w:rPr>
          <w:rFonts w:ascii="Garamond" w:hAnsi="Garamond" w:cs="Times New Roman"/>
          <w:color w:val="000000" w:themeColor="text1"/>
          <w:sz w:val="28"/>
          <w:szCs w:val="28"/>
        </w:rPr>
        <w:t xml:space="preserve"> 2</w:t>
      </w:r>
      <w:r w:rsidR="00287484" w:rsidRPr="00BF2644">
        <w:rPr>
          <w:rFonts w:ascii="Garamond" w:hAnsi="Garamond" w:cs="Times New Roman"/>
          <w:color w:val="000000" w:themeColor="text1"/>
          <w:sz w:val="28"/>
          <w:szCs w:val="28"/>
        </w:rPr>
        <w:t>,</w:t>
      </w:r>
      <w:r w:rsidR="002A7BD1">
        <w:rPr>
          <w:rFonts w:ascii="Garamond" w:hAnsi="Garamond" w:cs="Times New Roman"/>
          <w:color w:val="000000" w:themeColor="text1"/>
          <w:sz w:val="28"/>
          <w:szCs w:val="28"/>
        </w:rPr>
        <w:t xml:space="preserve"> lettera s, della Costituzione). </w:t>
      </w:r>
      <w:r w:rsidR="00400EB3">
        <w:rPr>
          <w:rFonts w:ascii="Garamond" w:hAnsi="Garamond" w:cs="Times New Roman"/>
          <w:color w:val="000000" w:themeColor="text1"/>
          <w:sz w:val="28"/>
          <w:szCs w:val="28"/>
        </w:rPr>
        <w:t>Con tale pronuncia la Corte</w:t>
      </w:r>
      <w:r w:rsidR="002A7BD1">
        <w:rPr>
          <w:rFonts w:ascii="Garamond" w:hAnsi="Garamond"/>
          <w:sz w:val="28"/>
          <w:szCs w:val="28"/>
        </w:rPr>
        <w:t xml:space="preserve"> ha precisato </w:t>
      </w:r>
      <w:r w:rsidR="002A7BD1" w:rsidRPr="002A7BD1">
        <w:rPr>
          <w:rFonts w:ascii="Garamond" w:hAnsi="Garamond"/>
          <w:sz w:val="28"/>
          <w:szCs w:val="28"/>
        </w:rPr>
        <w:t>che</w:t>
      </w:r>
      <w:r w:rsidR="002A7BD1">
        <w:rPr>
          <w:rFonts w:ascii="Garamond" w:hAnsi="Garamond" w:cs="Times New Roman"/>
          <w:color w:val="000000" w:themeColor="text1"/>
          <w:sz w:val="28"/>
          <w:szCs w:val="28"/>
        </w:rPr>
        <w:t xml:space="preserve"> </w:t>
      </w:r>
      <w:r w:rsidR="00287484" w:rsidRPr="00BF2644">
        <w:rPr>
          <w:rFonts w:ascii="Garamond" w:hAnsi="Garamond" w:cs="Times New Roman"/>
          <w:color w:val="000000" w:themeColor="text1"/>
          <w:sz w:val="28"/>
          <w:szCs w:val="28"/>
        </w:rPr>
        <w:t>l'allocazione della funzione amministrativa</w:t>
      </w:r>
      <w:r w:rsidR="00220BAD">
        <w:rPr>
          <w:rFonts w:ascii="Garamond" w:hAnsi="Garamond" w:cs="Times New Roman"/>
          <w:color w:val="000000" w:themeColor="text1"/>
          <w:sz w:val="28"/>
          <w:szCs w:val="28"/>
        </w:rPr>
        <w:t>,</w:t>
      </w:r>
      <w:r w:rsidR="00287484" w:rsidRPr="00BF2644">
        <w:rPr>
          <w:rFonts w:ascii="Garamond" w:hAnsi="Garamond" w:cs="Times New Roman"/>
          <w:color w:val="000000" w:themeColor="text1"/>
          <w:sz w:val="28"/>
          <w:szCs w:val="28"/>
        </w:rPr>
        <w:t xml:space="preserve"> che abbia per oggetto materia riservata alla competenza esclusiva dello Stato</w:t>
      </w:r>
      <w:r w:rsidR="00220BAD">
        <w:rPr>
          <w:rFonts w:ascii="Garamond" w:hAnsi="Garamond" w:cs="Times New Roman"/>
          <w:color w:val="000000" w:themeColor="text1"/>
          <w:sz w:val="28"/>
          <w:szCs w:val="28"/>
        </w:rPr>
        <w:t>,</w:t>
      </w:r>
      <w:r w:rsidR="00287484" w:rsidRPr="00BF2644">
        <w:rPr>
          <w:rFonts w:ascii="Garamond" w:hAnsi="Garamond" w:cs="Times New Roman"/>
          <w:color w:val="000000" w:themeColor="text1"/>
          <w:sz w:val="28"/>
          <w:szCs w:val="28"/>
        </w:rPr>
        <w:t xml:space="preserve"> non può spettare che alla </w:t>
      </w:r>
      <w:r w:rsidR="006C564E">
        <w:rPr>
          <w:rFonts w:ascii="Garamond" w:hAnsi="Garamond" w:cs="Times New Roman"/>
          <w:color w:val="000000" w:themeColor="text1"/>
          <w:sz w:val="28"/>
          <w:szCs w:val="28"/>
        </w:rPr>
        <w:t>legge</w:t>
      </w:r>
      <w:r w:rsidR="00287484" w:rsidRPr="00BF2644">
        <w:rPr>
          <w:rFonts w:ascii="Garamond" w:hAnsi="Garamond" w:cs="Times New Roman"/>
          <w:color w:val="000000" w:themeColor="text1"/>
          <w:sz w:val="28"/>
          <w:szCs w:val="28"/>
        </w:rPr>
        <w:t xml:space="preserve"> statale, la quale vi provvederà in conformità all'art. 1</w:t>
      </w:r>
      <w:r w:rsidR="002A7BD1">
        <w:rPr>
          <w:rFonts w:ascii="Garamond" w:hAnsi="Garamond" w:cs="Times New Roman"/>
          <w:color w:val="000000" w:themeColor="text1"/>
          <w:sz w:val="28"/>
          <w:szCs w:val="28"/>
        </w:rPr>
        <w:t>18 della Costituzio</w:t>
      </w:r>
      <w:r w:rsidR="00A52C49">
        <w:rPr>
          <w:rFonts w:ascii="Garamond" w:hAnsi="Garamond" w:cs="Times New Roman"/>
          <w:color w:val="000000" w:themeColor="text1"/>
          <w:sz w:val="28"/>
          <w:szCs w:val="28"/>
        </w:rPr>
        <w:t xml:space="preserve">ne (Corte cost., n. 69 del 2004 e </w:t>
      </w:r>
      <w:r w:rsidR="002A7BD1">
        <w:rPr>
          <w:rFonts w:ascii="Garamond" w:hAnsi="Garamond" w:cs="Times New Roman"/>
          <w:color w:val="000000" w:themeColor="text1"/>
          <w:sz w:val="28"/>
          <w:szCs w:val="28"/>
        </w:rPr>
        <w:t xml:space="preserve"> </w:t>
      </w:r>
      <w:r w:rsidR="00287484" w:rsidRPr="00BF2644">
        <w:rPr>
          <w:rFonts w:ascii="Garamond" w:hAnsi="Garamond" w:cs="Times New Roman"/>
          <w:color w:val="000000" w:themeColor="text1"/>
          <w:sz w:val="28"/>
          <w:szCs w:val="28"/>
        </w:rPr>
        <w:t>n. 43 del 2004); in tal caso, la Costituzione non impone in linea di principio l'adozione dei meccanismi di leale collaborazione, che vanno necessariamente previsti, viceversa, solo quando vi sia una “</w:t>
      </w:r>
      <w:r w:rsidR="00287484" w:rsidRPr="00A52C49">
        <w:rPr>
          <w:rFonts w:ascii="Garamond" w:hAnsi="Garamond" w:cs="Times New Roman"/>
          <w:i/>
          <w:color w:val="000000" w:themeColor="text1"/>
          <w:sz w:val="28"/>
          <w:szCs w:val="28"/>
        </w:rPr>
        <w:t>concorrenza di competenze</w:t>
      </w:r>
      <w:r w:rsidR="00287484" w:rsidRPr="00BF2644">
        <w:rPr>
          <w:rFonts w:ascii="Garamond" w:hAnsi="Garamond" w:cs="Times New Roman"/>
          <w:color w:val="000000" w:themeColor="text1"/>
          <w:sz w:val="28"/>
          <w:szCs w:val="28"/>
        </w:rPr>
        <w:t>” nazionali e regionali ove “</w:t>
      </w:r>
      <w:r w:rsidR="00287484" w:rsidRPr="00A52C49">
        <w:rPr>
          <w:rFonts w:ascii="Garamond" w:hAnsi="Garamond" w:cs="Times New Roman"/>
          <w:i/>
          <w:color w:val="000000" w:themeColor="text1"/>
          <w:sz w:val="28"/>
          <w:szCs w:val="28"/>
        </w:rPr>
        <w:t>non possa ravvisarsi la sicura prevalenza di un complesso normat</w:t>
      </w:r>
      <w:r w:rsidR="002A7BD1" w:rsidRPr="00A52C49">
        <w:rPr>
          <w:rFonts w:ascii="Garamond" w:hAnsi="Garamond" w:cs="Times New Roman"/>
          <w:i/>
          <w:color w:val="000000" w:themeColor="text1"/>
          <w:sz w:val="28"/>
          <w:szCs w:val="28"/>
        </w:rPr>
        <w:t>ivo rispetto ad altri</w:t>
      </w:r>
      <w:r w:rsidR="002A7BD1">
        <w:rPr>
          <w:rFonts w:ascii="Garamond" w:hAnsi="Garamond" w:cs="Times New Roman"/>
          <w:color w:val="000000" w:themeColor="text1"/>
          <w:sz w:val="28"/>
          <w:szCs w:val="28"/>
        </w:rPr>
        <w:t>” (Corte cost.,</w:t>
      </w:r>
      <w:r w:rsidR="00287484" w:rsidRPr="00BF2644">
        <w:rPr>
          <w:rFonts w:ascii="Garamond" w:hAnsi="Garamond" w:cs="Times New Roman"/>
          <w:color w:val="000000" w:themeColor="text1"/>
          <w:sz w:val="28"/>
          <w:szCs w:val="28"/>
        </w:rPr>
        <w:t xml:space="preserve"> n. 219 del 2005). Inoltre per p</w:t>
      </w:r>
      <w:r w:rsidR="002A7BD1">
        <w:rPr>
          <w:rFonts w:ascii="Garamond" w:hAnsi="Garamond" w:cs="Times New Roman"/>
          <w:color w:val="000000" w:themeColor="text1"/>
          <w:sz w:val="28"/>
          <w:szCs w:val="28"/>
        </w:rPr>
        <w:t xml:space="preserve">acifica giurisprudenza della </w:t>
      </w:r>
      <w:r w:rsidR="002A7BD1" w:rsidRPr="00BF2644">
        <w:rPr>
          <w:rFonts w:ascii="Garamond" w:hAnsi="Garamond" w:cs="Times New Roman"/>
          <w:color w:val="000000" w:themeColor="text1"/>
          <w:sz w:val="28"/>
          <w:szCs w:val="28"/>
        </w:rPr>
        <w:t>Corte</w:t>
      </w:r>
      <w:r w:rsidR="00287484" w:rsidRPr="00BF2644">
        <w:rPr>
          <w:rFonts w:ascii="Garamond" w:hAnsi="Garamond" w:cs="Times New Roman"/>
          <w:color w:val="000000" w:themeColor="text1"/>
          <w:sz w:val="28"/>
          <w:szCs w:val="28"/>
        </w:rPr>
        <w:t xml:space="preserve"> “</w:t>
      </w:r>
      <w:r w:rsidR="00287484" w:rsidRPr="00220BAD">
        <w:rPr>
          <w:rFonts w:ascii="Garamond" w:hAnsi="Garamond" w:cs="Times New Roman"/>
          <w:i/>
          <w:color w:val="000000" w:themeColor="text1"/>
          <w:sz w:val="28"/>
          <w:szCs w:val="28"/>
        </w:rPr>
        <w:t>l'esercizio dell'attività legislativa sfugge alle procedure di</w:t>
      </w:r>
      <w:r w:rsidR="002A7BD1" w:rsidRPr="00220BAD">
        <w:rPr>
          <w:rFonts w:ascii="Garamond" w:hAnsi="Garamond" w:cs="Times New Roman"/>
          <w:i/>
          <w:color w:val="000000" w:themeColor="text1"/>
          <w:sz w:val="28"/>
          <w:szCs w:val="28"/>
        </w:rPr>
        <w:t xml:space="preserve"> leale collaborazione</w:t>
      </w:r>
      <w:r w:rsidR="002A7BD1">
        <w:rPr>
          <w:rFonts w:ascii="Garamond" w:hAnsi="Garamond" w:cs="Times New Roman"/>
          <w:color w:val="000000" w:themeColor="text1"/>
          <w:sz w:val="28"/>
          <w:szCs w:val="28"/>
        </w:rPr>
        <w:t>” (Corte cost,</w:t>
      </w:r>
      <w:r w:rsidR="00104A90">
        <w:rPr>
          <w:rFonts w:ascii="Garamond" w:hAnsi="Garamond" w:cs="Times New Roman"/>
          <w:color w:val="000000" w:themeColor="text1"/>
          <w:sz w:val="28"/>
          <w:szCs w:val="28"/>
        </w:rPr>
        <w:t xml:space="preserve"> n. 371 e n. 159 del 2008</w:t>
      </w:r>
      <w:r w:rsidR="00400EB3">
        <w:rPr>
          <w:rFonts w:ascii="Garamond" w:hAnsi="Garamond" w:cs="Times New Roman"/>
          <w:color w:val="000000" w:themeColor="text1"/>
          <w:sz w:val="28"/>
          <w:szCs w:val="28"/>
        </w:rPr>
        <w:t>)</w:t>
      </w:r>
      <w:r w:rsidR="00A52C49">
        <w:rPr>
          <w:rFonts w:ascii="Garamond" w:hAnsi="Garamond" w:cs="Times New Roman"/>
          <w:color w:val="000000" w:themeColor="text1"/>
          <w:sz w:val="28"/>
          <w:szCs w:val="28"/>
        </w:rPr>
        <w:t>].</w:t>
      </w:r>
    </w:p>
    <w:p w:rsidR="00FD6820" w:rsidRDefault="00FD6820" w:rsidP="00BF2644">
      <w:pPr>
        <w:spacing w:line="240" w:lineRule="auto"/>
        <w:ind w:firstLine="709"/>
        <w:contextualSpacing/>
        <w:jc w:val="both"/>
        <w:rPr>
          <w:rFonts w:ascii="Garamond" w:hAnsi="Garamond" w:cs="Times New Roman"/>
          <w:b/>
          <w:color w:val="000000" w:themeColor="text1"/>
          <w:sz w:val="28"/>
          <w:szCs w:val="28"/>
        </w:rPr>
      </w:pPr>
    </w:p>
    <w:p w:rsidR="00DC6821" w:rsidRDefault="00FD6820" w:rsidP="00BF2644">
      <w:pPr>
        <w:spacing w:line="240" w:lineRule="auto"/>
        <w:ind w:firstLine="709"/>
        <w:contextualSpacing/>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 xml:space="preserve">3. </w:t>
      </w:r>
      <w:r w:rsidRPr="00FD6820">
        <w:rPr>
          <w:rFonts w:ascii="Garamond" w:hAnsi="Garamond" w:cs="Times New Roman"/>
          <w:b/>
          <w:color w:val="000000" w:themeColor="text1"/>
          <w:sz w:val="28"/>
          <w:szCs w:val="28"/>
        </w:rPr>
        <w:t>Gli impianti di telefonia: questioni inerenti la localizzazione.</w:t>
      </w:r>
    </w:p>
    <w:p w:rsidR="00FD6820" w:rsidRPr="00FD6820" w:rsidRDefault="00FD6820" w:rsidP="00FD6820">
      <w:pPr>
        <w:spacing w:line="240" w:lineRule="auto"/>
        <w:ind w:firstLine="709"/>
        <w:contextualSpacing/>
        <w:jc w:val="both"/>
        <w:rPr>
          <w:rFonts w:ascii="Garamond" w:hAnsi="Garamond" w:cs="Times New Roman"/>
          <w:color w:val="000000" w:themeColor="text1"/>
          <w:sz w:val="28"/>
          <w:szCs w:val="28"/>
        </w:rPr>
      </w:pPr>
      <w:r w:rsidRPr="00FD6820">
        <w:rPr>
          <w:rFonts w:ascii="Garamond" w:hAnsi="Garamond" w:cs="Times New Roman"/>
          <w:color w:val="000000" w:themeColor="text1"/>
          <w:sz w:val="28"/>
          <w:szCs w:val="28"/>
        </w:rPr>
        <w:t>La giurisprudenza costituzionale ha avuto modo di pronunciarsi sull'assetto delle competenze normative in tema di installazione di impianti di telecomunicazioni.</w:t>
      </w:r>
    </w:p>
    <w:p w:rsidR="00FD6820" w:rsidRPr="00FD6820" w:rsidRDefault="00FD6820" w:rsidP="00FD6820">
      <w:pPr>
        <w:spacing w:line="240" w:lineRule="auto"/>
        <w:ind w:firstLine="709"/>
        <w:contextualSpacing/>
        <w:jc w:val="both"/>
        <w:rPr>
          <w:rFonts w:ascii="Garamond" w:hAnsi="Garamond" w:cs="Times New Roman"/>
          <w:color w:val="000000" w:themeColor="text1"/>
          <w:sz w:val="28"/>
          <w:szCs w:val="28"/>
        </w:rPr>
      </w:pPr>
      <w:r w:rsidRPr="00FD6820">
        <w:rPr>
          <w:rFonts w:ascii="Garamond" w:hAnsi="Garamond" w:cs="Times New Roman"/>
          <w:color w:val="000000" w:themeColor="text1"/>
          <w:sz w:val="28"/>
          <w:szCs w:val="28"/>
        </w:rPr>
        <w:t>In particolare la Corte costituzionale ha chiarito</w:t>
      </w:r>
      <w:r w:rsidR="00CE7130">
        <w:rPr>
          <w:rFonts w:ascii="Garamond" w:hAnsi="Garamond" w:cs="Times New Roman"/>
          <w:color w:val="000000" w:themeColor="text1"/>
          <w:sz w:val="28"/>
          <w:szCs w:val="28"/>
        </w:rPr>
        <w:t xml:space="preserve"> che</w:t>
      </w:r>
      <w:r w:rsidRPr="00FD6820">
        <w:rPr>
          <w:rFonts w:ascii="Garamond" w:hAnsi="Garamond" w:cs="Times New Roman"/>
          <w:color w:val="000000" w:themeColor="text1"/>
          <w:sz w:val="28"/>
          <w:szCs w:val="28"/>
        </w:rPr>
        <w:t>:</w:t>
      </w:r>
    </w:p>
    <w:p w:rsidR="00FD6820" w:rsidRPr="00FD6820" w:rsidRDefault="00CE7130" w:rsidP="00FD68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   </w:t>
      </w:r>
      <w:r w:rsidR="00FD6820" w:rsidRPr="00FD6820">
        <w:rPr>
          <w:rFonts w:ascii="Garamond" w:hAnsi="Garamond" w:cs="Times New Roman"/>
          <w:color w:val="000000" w:themeColor="text1"/>
          <w:sz w:val="28"/>
          <w:szCs w:val="28"/>
        </w:rPr>
        <w:t>"</w:t>
      </w:r>
      <w:r w:rsidR="00FD6820" w:rsidRPr="00220BAD">
        <w:rPr>
          <w:rFonts w:ascii="Garamond" w:hAnsi="Garamond" w:cs="Times New Roman"/>
          <w:i/>
          <w:color w:val="000000" w:themeColor="text1"/>
          <w:sz w:val="28"/>
          <w:szCs w:val="28"/>
        </w:rPr>
        <w:t xml:space="preserve">l'art. 87 del </w:t>
      </w:r>
      <w:r w:rsidR="004F0CCD" w:rsidRPr="00220BAD">
        <w:rPr>
          <w:rFonts w:ascii="Garamond" w:hAnsi="Garamond" w:cs="Times New Roman"/>
          <w:i/>
          <w:color w:val="000000" w:themeColor="text1"/>
          <w:sz w:val="28"/>
          <w:szCs w:val="28"/>
        </w:rPr>
        <w:t>d.lgs.</w:t>
      </w:r>
      <w:r w:rsidR="00FD6820" w:rsidRPr="00220BAD">
        <w:rPr>
          <w:rFonts w:ascii="Garamond" w:hAnsi="Garamond" w:cs="Times New Roman"/>
          <w:i/>
          <w:color w:val="000000" w:themeColor="text1"/>
          <w:sz w:val="28"/>
          <w:szCs w:val="28"/>
        </w:rPr>
        <w:t xml:space="preserve"> </w:t>
      </w:r>
      <w:r w:rsidRPr="00220BAD">
        <w:rPr>
          <w:rFonts w:ascii="Garamond" w:hAnsi="Garamond" w:cs="Times New Roman"/>
          <w:i/>
          <w:color w:val="000000" w:themeColor="text1"/>
          <w:sz w:val="28"/>
          <w:szCs w:val="28"/>
        </w:rPr>
        <w:t>1 agosto 2003, n. 259</w:t>
      </w:r>
      <w:r w:rsidR="00FD6820" w:rsidRPr="00220BAD">
        <w:rPr>
          <w:rFonts w:ascii="Garamond" w:hAnsi="Garamond" w:cs="Times New Roman"/>
          <w:i/>
          <w:color w:val="000000" w:themeColor="text1"/>
          <w:sz w:val="28"/>
          <w:szCs w:val="28"/>
        </w:rPr>
        <w:t xml:space="preserve">, nel dare attuazione alla delega legislativa contenuta nell'art. 41, comma 2, lettera a), della </w:t>
      </w:r>
      <w:r w:rsidR="006C564E" w:rsidRPr="00220BAD">
        <w:rPr>
          <w:rFonts w:ascii="Garamond" w:hAnsi="Garamond" w:cs="Times New Roman"/>
          <w:i/>
          <w:color w:val="000000" w:themeColor="text1"/>
          <w:sz w:val="28"/>
          <w:szCs w:val="28"/>
        </w:rPr>
        <w:t>legge</w:t>
      </w:r>
      <w:r w:rsidR="00FD6820" w:rsidRPr="00220BAD">
        <w:rPr>
          <w:rFonts w:ascii="Garamond" w:hAnsi="Garamond" w:cs="Times New Roman"/>
          <w:i/>
          <w:color w:val="000000" w:themeColor="text1"/>
          <w:sz w:val="28"/>
          <w:szCs w:val="28"/>
        </w:rPr>
        <w:t xml:space="preserve"> n. 166 del 2002, ha dettato, in linea con le prescrizioni comunitarie, una disciplina volta a promuovere la semplificazione dei procedimenti attraverso l'adozione di procedure che siano, tra l'altro, uniformi e tempestive, anche al fine di garantire l'attuazione delle regole della concorrenza</w:t>
      </w:r>
      <w:r w:rsidR="00104A90">
        <w:rPr>
          <w:rFonts w:ascii="Garamond" w:hAnsi="Garamond" w:cs="Times New Roman"/>
          <w:color w:val="000000" w:themeColor="text1"/>
          <w:sz w:val="28"/>
          <w:szCs w:val="28"/>
        </w:rPr>
        <w:t>”</w:t>
      </w:r>
      <w:r w:rsidR="00FD6820" w:rsidRPr="00FD6820">
        <w:rPr>
          <w:rFonts w:ascii="Garamond" w:hAnsi="Garamond" w:cs="Times New Roman"/>
          <w:color w:val="000000" w:themeColor="text1"/>
          <w:sz w:val="28"/>
          <w:szCs w:val="28"/>
        </w:rPr>
        <w:t xml:space="preserve"> (Corte cost., n. 336 del 2005; n. 265 del 2006);</w:t>
      </w:r>
    </w:p>
    <w:p w:rsidR="00FD6820" w:rsidRPr="00FD6820" w:rsidRDefault="00CE7130" w:rsidP="00FD68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 </w:t>
      </w:r>
      <w:r w:rsidR="00104A90">
        <w:rPr>
          <w:rFonts w:ascii="Garamond" w:hAnsi="Garamond" w:cs="Times New Roman"/>
          <w:color w:val="000000" w:themeColor="text1"/>
          <w:sz w:val="28"/>
          <w:szCs w:val="28"/>
        </w:rPr>
        <w:t>“</w:t>
      </w:r>
      <w:r w:rsidR="00FD6820" w:rsidRPr="00FD6820">
        <w:rPr>
          <w:rFonts w:ascii="Garamond" w:hAnsi="Garamond" w:cs="Times New Roman"/>
          <w:color w:val="000000" w:themeColor="text1"/>
          <w:sz w:val="28"/>
          <w:szCs w:val="28"/>
        </w:rPr>
        <w:t>le esigenze di celerità e la conseguente riduzione dei termini per l'autorizzazione all'installazione delle infrastrutture di comunicazione elettronica costituiscono, per finalità di tutela di istanze unitarie, "</w:t>
      </w:r>
      <w:r w:rsidR="00220BAD">
        <w:rPr>
          <w:rFonts w:ascii="Garamond" w:hAnsi="Garamond" w:cs="Times New Roman"/>
          <w:i/>
          <w:color w:val="000000" w:themeColor="text1"/>
          <w:sz w:val="28"/>
          <w:szCs w:val="28"/>
        </w:rPr>
        <w:t>princì</w:t>
      </w:r>
      <w:r w:rsidR="00FD6820" w:rsidRPr="00104A90">
        <w:rPr>
          <w:rFonts w:ascii="Garamond" w:hAnsi="Garamond" w:cs="Times New Roman"/>
          <w:i/>
          <w:color w:val="000000" w:themeColor="text1"/>
          <w:sz w:val="28"/>
          <w:szCs w:val="28"/>
        </w:rPr>
        <w:t>pi fondamentali</w:t>
      </w:r>
      <w:r w:rsidR="00FD6820" w:rsidRPr="00FD6820">
        <w:rPr>
          <w:rFonts w:ascii="Garamond" w:hAnsi="Garamond" w:cs="Times New Roman"/>
          <w:color w:val="000000" w:themeColor="text1"/>
          <w:sz w:val="28"/>
          <w:szCs w:val="28"/>
        </w:rPr>
        <w:t>" operanti nelle materie di competenza ripartita ("</w:t>
      </w:r>
      <w:r w:rsidR="00FD6820" w:rsidRPr="00104A90">
        <w:rPr>
          <w:rFonts w:ascii="Garamond" w:hAnsi="Garamond" w:cs="Times New Roman"/>
          <w:i/>
          <w:color w:val="000000" w:themeColor="text1"/>
          <w:sz w:val="28"/>
          <w:szCs w:val="28"/>
        </w:rPr>
        <w:t>ordinamento della comunicazione</w:t>
      </w:r>
      <w:r w:rsidR="00FD6820" w:rsidRPr="00FD6820">
        <w:rPr>
          <w:rFonts w:ascii="Garamond" w:hAnsi="Garamond" w:cs="Times New Roman"/>
          <w:color w:val="000000" w:themeColor="text1"/>
          <w:sz w:val="28"/>
          <w:szCs w:val="28"/>
        </w:rPr>
        <w:t>", "</w:t>
      </w:r>
      <w:r w:rsidR="00FD6820" w:rsidRPr="00104A90">
        <w:rPr>
          <w:rFonts w:ascii="Garamond" w:hAnsi="Garamond" w:cs="Times New Roman"/>
          <w:i/>
          <w:color w:val="000000" w:themeColor="text1"/>
          <w:sz w:val="28"/>
          <w:szCs w:val="28"/>
        </w:rPr>
        <w:t>governo del territorio</w:t>
      </w:r>
      <w:r w:rsidR="00FD6820" w:rsidRPr="00FD6820">
        <w:rPr>
          <w:rFonts w:ascii="Garamond" w:hAnsi="Garamond" w:cs="Times New Roman"/>
          <w:color w:val="000000" w:themeColor="text1"/>
          <w:sz w:val="28"/>
          <w:szCs w:val="28"/>
        </w:rPr>
        <w:t>", "</w:t>
      </w:r>
      <w:r w:rsidR="00FD6820" w:rsidRPr="00104A90">
        <w:rPr>
          <w:rFonts w:ascii="Garamond" w:hAnsi="Garamond" w:cs="Times New Roman"/>
          <w:i/>
          <w:color w:val="000000" w:themeColor="text1"/>
          <w:sz w:val="28"/>
          <w:szCs w:val="28"/>
        </w:rPr>
        <w:t>tutela della salute</w:t>
      </w:r>
      <w:r w:rsidR="00FD6820" w:rsidRPr="00FD6820">
        <w:rPr>
          <w:rFonts w:ascii="Garamond" w:hAnsi="Garamond" w:cs="Times New Roman"/>
          <w:color w:val="000000" w:themeColor="text1"/>
          <w:sz w:val="28"/>
          <w:szCs w:val="28"/>
        </w:rPr>
        <w:t>") che, unitamente ad altri ambiti materiali di esclusiva spettanza statale, rappresentano i titoli di legittimazione ad int</w:t>
      </w:r>
      <w:r w:rsidR="00104A90">
        <w:rPr>
          <w:rFonts w:ascii="Garamond" w:hAnsi="Garamond" w:cs="Times New Roman"/>
          <w:color w:val="000000" w:themeColor="text1"/>
          <w:sz w:val="28"/>
          <w:szCs w:val="28"/>
        </w:rPr>
        <w:t>ervenire nel settore in esame”</w:t>
      </w:r>
      <w:r w:rsidR="00FD6820" w:rsidRPr="00FD6820">
        <w:rPr>
          <w:rFonts w:ascii="Garamond" w:hAnsi="Garamond" w:cs="Times New Roman"/>
          <w:color w:val="000000" w:themeColor="text1"/>
          <w:sz w:val="28"/>
          <w:szCs w:val="28"/>
        </w:rPr>
        <w:t>(Corte cost., n. 336 del 2005);</w:t>
      </w:r>
    </w:p>
    <w:p w:rsidR="00FD6820" w:rsidRPr="00FD6820" w:rsidRDefault="00CE7130" w:rsidP="00FD68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 </w:t>
      </w:r>
      <w:r w:rsidR="00FD6820" w:rsidRPr="00FD6820">
        <w:rPr>
          <w:rFonts w:ascii="Garamond" w:hAnsi="Garamond" w:cs="Times New Roman"/>
          <w:color w:val="000000" w:themeColor="text1"/>
          <w:sz w:val="28"/>
          <w:szCs w:val="28"/>
        </w:rPr>
        <w:t>"</w:t>
      </w:r>
      <w:r w:rsidR="00FD6820" w:rsidRPr="0059377C">
        <w:rPr>
          <w:rFonts w:ascii="Garamond" w:hAnsi="Garamond" w:cs="Times New Roman"/>
          <w:i/>
          <w:color w:val="000000" w:themeColor="text1"/>
          <w:sz w:val="28"/>
          <w:szCs w:val="28"/>
        </w:rPr>
        <w:t>la previsione di un ulteriore procedimento finalizzato al rilascio del permesso di costruire, che si sovrappone ai controlli da effettuarsi a cura dello stesso ente locale nell'ambito del procedimento unificato, costituisce un inutile appesantimento dell'iter autorizzatorio per l'installazione di torri e tralicci per impianti radio-ricetrasmittenti e di ripetitori per i servizi di telecomunicazione, in contrasto con le esigenze di tempestività e di contenimento dei termini, da ritenersi, con riferimento a questo tipo di costruzioni, principi fondamentali di governo del territorio. Da ciò consegue l'illegittimità costituzionale delle norme regionali impugnate per violazione dell’art. 117, terzo comma, Cost</w:t>
      </w:r>
      <w:r w:rsidR="00FD6820" w:rsidRPr="00FD6820">
        <w:rPr>
          <w:rFonts w:ascii="Garamond" w:hAnsi="Garamond" w:cs="Times New Roman"/>
          <w:color w:val="000000" w:themeColor="text1"/>
          <w:sz w:val="28"/>
          <w:szCs w:val="28"/>
        </w:rPr>
        <w:t>.” (Corte cost., n.129 del 2006);</w:t>
      </w:r>
    </w:p>
    <w:p w:rsidR="00FD6820" w:rsidRPr="00FD6820" w:rsidRDefault="00CE7130" w:rsidP="00FD68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lastRenderedPageBreak/>
        <w:t xml:space="preserve">- </w:t>
      </w:r>
      <w:r w:rsidR="00FD6820" w:rsidRPr="00FD6820">
        <w:rPr>
          <w:rFonts w:ascii="Garamond" w:hAnsi="Garamond" w:cs="Times New Roman"/>
          <w:color w:val="000000" w:themeColor="text1"/>
          <w:sz w:val="28"/>
          <w:szCs w:val="28"/>
        </w:rPr>
        <w:t>è inibito al legislatore regionale introdurre ragioni di appesantimento del procedimento di SCIA</w:t>
      </w:r>
      <w:r w:rsidR="0059377C">
        <w:rPr>
          <w:rFonts w:ascii="Garamond" w:hAnsi="Garamond" w:cs="Times New Roman"/>
          <w:color w:val="000000" w:themeColor="text1"/>
          <w:sz w:val="28"/>
          <w:szCs w:val="28"/>
        </w:rPr>
        <w:t>,</w:t>
      </w:r>
      <w:r w:rsidR="00FD6820" w:rsidRPr="00FD6820">
        <w:rPr>
          <w:rFonts w:ascii="Garamond" w:hAnsi="Garamond" w:cs="Times New Roman"/>
          <w:color w:val="000000" w:themeColor="text1"/>
          <w:sz w:val="28"/>
          <w:szCs w:val="28"/>
        </w:rPr>
        <w:t xml:space="preserve"> discip</w:t>
      </w:r>
      <w:r w:rsidR="00104A90">
        <w:rPr>
          <w:rFonts w:ascii="Garamond" w:hAnsi="Garamond" w:cs="Times New Roman"/>
          <w:color w:val="000000" w:themeColor="text1"/>
          <w:sz w:val="28"/>
          <w:szCs w:val="28"/>
        </w:rPr>
        <w:t>linato dall'art. 87</w:t>
      </w:r>
      <w:r w:rsidR="004A1FB7">
        <w:rPr>
          <w:rFonts w:ascii="Garamond" w:hAnsi="Garamond" w:cs="Times New Roman"/>
          <w:color w:val="000000" w:themeColor="text1"/>
          <w:sz w:val="28"/>
          <w:szCs w:val="28"/>
        </w:rPr>
        <w:t>-</w:t>
      </w:r>
      <w:r w:rsidR="004A1FB7" w:rsidRPr="004A1FB7">
        <w:rPr>
          <w:rFonts w:ascii="Garamond" w:hAnsi="Garamond" w:cs="Times New Roman"/>
          <w:i/>
          <w:color w:val="000000" w:themeColor="text1"/>
          <w:sz w:val="28"/>
          <w:szCs w:val="28"/>
        </w:rPr>
        <w:t>bis</w:t>
      </w:r>
      <w:r w:rsidR="00104A90">
        <w:rPr>
          <w:rFonts w:ascii="Garamond" w:hAnsi="Garamond" w:cs="Times New Roman"/>
          <w:color w:val="000000" w:themeColor="text1"/>
          <w:sz w:val="28"/>
          <w:szCs w:val="28"/>
        </w:rPr>
        <w:t xml:space="preserve"> del </w:t>
      </w:r>
      <w:r w:rsidR="004F0CCD">
        <w:rPr>
          <w:rFonts w:ascii="Garamond" w:hAnsi="Garamond" w:cs="Times New Roman"/>
          <w:color w:val="000000" w:themeColor="text1"/>
          <w:sz w:val="28"/>
          <w:szCs w:val="28"/>
        </w:rPr>
        <w:t>d.lgs.</w:t>
      </w:r>
      <w:r w:rsidR="00FD6820" w:rsidRPr="00FD6820">
        <w:rPr>
          <w:rFonts w:ascii="Garamond" w:hAnsi="Garamond" w:cs="Times New Roman"/>
          <w:color w:val="000000" w:themeColor="text1"/>
          <w:sz w:val="28"/>
          <w:szCs w:val="28"/>
        </w:rPr>
        <w:t xml:space="preserve"> n. 259 del 2003</w:t>
      </w:r>
      <w:r w:rsidR="0059377C">
        <w:rPr>
          <w:rFonts w:ascii="Garamond" w:hAnsi="Garamond" w:cs="Times New Roman"/>
          <w:color w:val="000000" w:themeColor="text1"/>
          <w:sz w:val="28"/>
          <w:szCs w:val="28"/>
        </w:rPr>
        <w:t xml:space="preserve">, </w:t>
      </w:r>
      <w:r w:rsidR="00FD6820" w:rsidRPr="00FD6820">
        <w:rPr>
          <w:rFonts w:ascii="Garamond" w:hAnsi="Garamond" w:cs="Times New Roman"/>
          <w:color w:val="000000" w:themeColor="text1"/>
          <w:sz w:val="28"/>
          <w:szCs w:val="28"/>
        </w:rPr>
        <w:t xml:space="preserve"> quand’anche esse rispondano, in linea di principio, ad interessi intestabili all'autonomia territoriale, posto che la massima celerità del procedimento stesso costituisce principio fondamentale della materia oggetto di riparto concorrente della potestà legislativa (combinato disposto Corte cost., n. 336 del 2005; n. 265 del 2006; n. 129 del 2006).</w:t>
      </w:r>
    </w:p>
    <w:p w:rsidR="00FD6820" w:rsidRPr="00FD6820" w:rsidRDefault="00FD6820" w:rsidP="00FD6820">
      <w:pPr>
        <w:spacing w:line="240" w:lineRule="auto"/>
        <w:ind w:firstLine="709"/>
        <w:contextualSpacing/>
        <w:jc w:val="both"/>
        <w:rPr>
          <w:rFonts w:ascii="Garamond" w:hAnsi="Garamond" w:cs="Times New Roman"/>
          <w:color w:val="000000" w:themeColor="text1"/>
          <w:sz w:val="28"/>
          <w:szCs w:val="28"/>
        </w:rPr>
      </w:pPr>
      <w:r w:rsidRPr="00FD6820">
        <w:rPr>
          <w:rFonts w:ascii="Garamond" w:hAnsi="Garamond" w:cs="Times New Roman"/>
          <w:color w:val="000000" w:themeColor="text1"/>
          <w:sz w:val="28"/>
          <w:szCs w:val="28"/>
        </w:rPr>
        <w:t>La giurisprudenza del Consiglio di Stato è constante nell’affermare</w:t>
      </w:r>
      <w:r w:rsidR="00CE7130">
        <w:rPr>
          <w:rFonts w:ascii="Garamond" w:hAnsi="Garamond" w:cs="Times New Roman"/>
          <w:color w:val="000000" w:themeColor="text1"/>
          <w:sz w:val="28"/>
          <w:szCs w:val="28"/>
        </w:rPr>
        <w:t xml:space="preserve"> che</w:t>
      </w:r>
      <w:r w:rsidRPr="00FD6820">
        <w:rPr>
          <w:rFonts w:ascii="Garamond" w:hAnsi="Garamond" w:cs="Times New Roman"/>
          <w:color w:val="000000" w:themeColor="text1"/>
          <w:sz w:val="28"/>
          <w:szCs w:val="28"/>
        </w:rPr>
        <w:t>:</w:t>
      </w:r>
    </w:p>
    <w:p w:rsidR="00FD6820" w:rsidRPr="00FD6820" w:rsidRDefault="00CE7130" w:rsidP="00FD68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 </w:t>
      </w:r>
      <w:r w:rsidR="00FD6820" w:rsidRPr="00FD6820">
        <w:rPr>
          <w:rFonts w:ascii="Garamond" w:hAnsi="Garamond" w:cs="Times New Roman"/>
          <w:color w:val="000000" w:themeColor="text1"/>
          <w:sz w:val="28"/>
          <w:szCs w:val="28"/>
        </w:rPr>
        <w:t>l'assimilazione, per effetto della disciplina previst</w:t>
      </w:r>
      <w:r w:rsidR="00104A90">
        <w:rPr>
          <w:rFonts w:ascii="Garamond" w:hAnsi="Garamond" w:cs="Times New Roman"/>
          <w:color w:val="000000" w:themeColor="text1"/>
          <w:sz w:val="28"/>
          <w:szCs w:val="28"/>
        </w:rPr>
        <w:t xml:space="preserve">a dall'art. 86, comma 3, del </w:t>
      </w:r>
      <w:r w:rsidR="004F0CCD">
        <w:rPr>
          <w:rFonts w:ascii="Garamond" w:hAnsi="Garamond" w:cs="Times New Roman"/>
          <w:color w:val="000000" w:themeColor="text1"/>
          <w:sz w:val="28"/>
          <w:szCs w:val="28"/>
        </w:rPr>
        <w:t>d.lgs.</w:t>
      </w:r>
      <w:r w:rsidR="00D8422B">
        <w:rPr>
          <w:rFonts w:ascii="Garamond" w:hAnsi="Garamond" w:cs="Times New Roman"/>
          <w:color w:val="000000" w:themeColor="text1"/>
          <w:sz w:val="28"/>
          <w:szCs w:val="28"/>
        </w:rPr>
        <w:t xml:space="preserve"> n. 259 del 200</w:t>
      </w:r>
      <w:r w:rsidR="00FD6820" w:rsidRPr="00FD6820">
        <w:rPr>
          <w:rFonts w:ascii="Garamond" w:hAnsi="Garamond" w:cs="Times New Roman"/>
          <w:color w:val="000000" w:themeColor="text1"/>
          <w:sz w:val="28"/>
          <w:szCs w:val="28"/>
        </w:rPr>
        <w:t>3, delle infrastrutture di reti pubbliche di TLC alle opere di urbanizzazione primaria implica che le stesse siano in generale compatibili con ogni destinazione urbanistica e, dunque, con ogni zona del territorio comunale in ossequio al principio della necessaria capillarità della distribuzione di detti impianti (Cons. Stato, sez. VI, n. 3891 del 2017);</w:t>
      </w:r>
    </w:p>
    <w:p w:rsidR="00FD6820" w:rsidRPr="00FD6820" w:rsidRDefault="00CE7130" w:rsidP="00FD68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 </w:t>
      </w:r>
      <w:r w:rsidR="00FD6820" w:rsidRPr="00FD6820">
        <w:rPr>
          <w:rFonts w:ascii="Garamond" w:hAnsi="Garamond" w:cs="Times New Roman"/>
          <w:color w:val="000000" w:themeColor="text1"/>
          <w:sz w:val="28"/>
          <w:szCs w:val="28"/>
        </w:rPr>
        <w:t>il principio della necessaria capillarità della distribuzione degli impianti TLC è connessa all'esigenza di assicurare la diffusione del servizio sull'intero territorio nazionale (Corte cost. n. 331 del 2003);</w:t>
      </w:r>
    </w:p>
    <w:p w:rsidR="00FD6820" w:rsidRPr="00FD6820" w:rsidRDefault="00CE7130" w:rsidP="00FD68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 </w:t>
      </w:r>
      <w:r w:rsidR="00FD6820" w:rsidRPr="00FD6820">
        <w:rPr>
          <w:rFonts w:ascii="Garamond" w:hAnsi="Garamond" w:cs="Times New Roman"/>
          <w:color w:val="000000" w:themeColor="text1"/>
          <w:sz w:val="28"/>
          <w:szCs w:val="28"/>
        </w:rPr>
        <w:t xml:space="preserve">i criteri per la localizzazione non possono essere adoperati quale misura, più o meno surrettizia, di tutela della popolazione da immissioni elettromagnetiche, che l'art. 4 della </w:t>
      </w:r>
      <w:r w:rsidR="006C564E">
        <w:rPr>
          <w:rFonts w:ascii="Garamond" w:hAnsi="Garamond" w:cs="Times New Roman"/>
          <w:color w:val="000000" w:themeColor="text1"/>
          <w:sz w:val="28"/>
          <w:szCs w:val="28"/>
        </w:rPr>
        <w:t>legge</w:t>
      </w:r>
      <w:r w:rsidR="00FD6820" w:rsidRPr="00FD6820">
        <w:rPr>
          <w:rFonts w:ascii="Garamond" w:hAnsi="Garamond" w:cs="Times New Roman"/>
          <w:color w:val="000000" w:themeColor="text1"/>
          <w:sz w:val="28"/>
          <w:szCs w:val="28"/>
        </w:rPr>
        <w:t xml:space="preserve"> n. 36 del 2001 riserva allo Stato (cfr. Cons. Stato, sez. II, n. 8141 del 20</w:t>
      </w:r>
      <w:r w:rsidR="0059377C">
        <w:rPr>
          <w:rFonts w:ascii="Garamond" w:hAnsi="Garamond" w:cs="Times New Roman"/>
          <w:color w:val="000000" w:themeColor="text1"/>
          <w:sz w:val="28"/>
          <w:szCs w:val="28"/>
        </w:rPr>
        <w:t xml:space="preserve">21; </w:t>
      </w:r>
      <w:r w:rsidR="00181410">
        <w:rPr>
          <w:rFonts w:ascii="Garamond" w:hAnsi="Garamond" w:cs="Times New Roman"/>
          <w:color w:val="000000" w:themeColor="text1"/>
          <w:sz w:val="28"/>
          <w:szCs w:val="28"/>
        </w:rPr>
        <w:t>sez.</w:t>
      </w:r>
      <w:r w:rsidR="00FD6820" w:rsidRPr="00FD6820">
        <w:rPr>
          <w:rFonts w:ascii="Garamond" w:hAnsi="Garamond" w:cs="Times New Roman"/>
          <w:color w:val="000000" w:themeColor="text1"/>
          <w:sz w:val="28"/>
          <w:szCs w:val="28"/>
        </w:rPr>
        <w:t xml:space="preserve"> VI, n. 4794 del 2018);</w:t>
      </w:r>
    </w:p>
    <w:p w:rsidR="00FD6820" w:rsidRPr="00FD6820" w:rsidRDefault="00CE7130" w:rsidP="00FD68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 </w:t>
      </w:r>
      <w:r w:rsidR="00A97508">
        <w:rPr>
          <w:rFonts w:ascii="Garamond" w:hAnsi="Garamond" w:cs="Times New Roman"/>
          <w:color w:val="000000" w:themeColor="text1"/>
          <w:sz w:val="28"/>
          <w:szCs w:val="28"/>
        </w:rPr>
        <w:t>il c</w:t>
      </w:r>
      <w:r w:rsidR="00FD6820" w:rsidRPr="00FD6820">
        <w:rPr>
          <w:rFonts w:ascii="Garamond" w:hAnsi="Garamond" w:cs="Times New Roman"/>
          <w:color w:val="000000" w:themeColor="text1"/>
          <w:sz w:val="28"/>
          <w:szCs w:val="28"/>
        </w:rPr>
        <w:t xml:space="preserve">omune non può, mediante il formale utilizzo degli strumenti di natura edilizia-urbanistica, adottare misure le quali nella sostanza costituiscano una deroga ai limiti di esposizione ai campi elettromagnetici fissati dallo Stato, poiché l'art. 4 della </w:t>
      </w:r>
      <w:r w:rsidR="006C564E">
        <w:rPr>
          <w:rFonts w:ascii="Garamond" w:hAnsi="Garamond" w:cs="Times New Roman"/>
          <w:color w:val="000000" w:themeColor="text1"/>
          <w:sz w:val="28"/>
          <w:szCs w:val="28"/>
        </w:rPr>
        <w:t>legge</w:t>
      </w:r>
      <w:r w:rsidR="00FD6820" w:rsidRPr="00FD6820">
        <w:rPr>
          <w:rFonts w:ascii="Garamond" w:hAnsi="Garamond" w:cs="Times New Roman"/>
          <w:color w:val="000000" w:themeColor="text1"/>
          <w:sz w:val="28"/>
          <w:szCs w:val="28"/>
        </w:rPr>
        <w:t xml:space="preserve"> n. 36 del 2000 riserva allo stesso la tutela della salute dai rischi dell'elettromagnetismo attraverso l'individuazione di puntuali limiti di esposizione, valori di attenzione ed obiettivi di qualità, da introdursi con d.p.c.m.</w:t>
      </w:r>
      <w:r w:rsidR="0059377C">
        <w:rPr>
          <w:rFonts w:ascii="Garamond" w:hAnsi="Garamond" w:cs="Times New Roman"/>
          <w:color w:val="000000" w:themeColor="text1"/>
          <w:sz w:val="28"/>
          <w:szCs w:val="28"/>
        </w:rPr>
        <w:t xml:space="preserve"> su proposta del Ministro dell'a</w:t>
      </w:r>
      <w:r w:rsidR="00FD6820" w:rsidRPr="00FD6820">
        <w:rPr>
          <w:rFonts w:ascii="Garamond" w:hAnsi="Garamond" w:cs="Times New Roman"/>
          <w:color w:val="000000" w:themeColor="text1"/>
          <w:sz w:val="28"/>
          <w:szCs w:val="28"/>
        </w:rPr>
        <w:t xml:space="preserve">mbiente di </w:t>
      </w:r>
      <w:r w:rsidR="005929DA">
        <w:rPr>
          <w:rFonts w:ascii="Garamond" w:hAnsi="Garamond" w:cs="Times New Roman"/>
          <w:color w:val="000000" w:themeColor="text1"/>
          <w:sz w:val="28"/>
          <w:szCs w:val="28"/>
        </w:rPr>
        <w:t>concerto con il Ministro della s</w:t>
      </w:r>
      <w:r w:rsidR="00FD6820" w:rsidRPr="00FD6820">
        <w:rPr>
          <w:rFonts w:ascii="Garamond" w:hAnsi="Garamond" w:cs="Times New Roman"/>
          <w:color w:val="000000" w:themeColor="text1"/>
          <w:sz w:val="28"/>
          <w:szCs w:val="28"/>
        </w:rPr>
        <w:t>alute (Cons. Stato, sez. VI, n.</w:t>
      </w:r>
      <w:r w:rsidR="00BB0A10">
        <w:rPr>
          <w:rFonts w:ascii="Garamond" w:hAnsi="Garamond" w:cs="Times New Roman"/>
          <w:color w:val="000000" w:themeColor="text1"/>
          <w:sz w:val="28"/>
          <w:szCs w:val="28"/>
        </w:rPr>
        <w:t xml:space="preserve"> </w:t>
      </w:r>
      <w:r w:rsidR="00FD6820" w:rsidRPr="00FD6820">
        <w:rPr>
          <w:rFonts w:ascii="Garamond" w:hAnsi="Garamond" w:cs="Times New Roman"/>
          <w:color w:val="000000" w:themeColor="text1"/>
          <w:sz w:val="28"/>
          <w:szCs w:val="28"/>
        </w:rPr>
        <w:t>10621 del 2022);</w:t>
      </w:r>
    </w:p>
    <w:p w:rsidR="00FD6820" w:rsidRPr="00FD6820" w:rsidRDefault="00CE7130" w:rsidP="00FD68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 </w:t>
      </w:r>
      <w:r w:rsidR="00FD6820" w:rsidRPr="00FD6820">
        <w:rPr>
          <w:rFonts w:ascii="Garamond" w:hAnsi="Garamond" w:cs="Times New Roman"/>
          <w:color w:val="000000" w:themeColor="text1"/>
          <w:sz w:val="28"/>
          <w:szCs w:val="28"/>
        </w:rPr>
        <w:t xml:space="preserve">gli impianti di telefonia mobile sono assimilati alle opere di urbanizzazione primaria, ai sensi dell'art. 86, comma 3, del codice delle comunicazioni elettroniche, compatibili pertanto con ogni destinazione urbanistica delle zone del territorio comunale, senza che possano avere rilievo in contrario le concrete caratteristiche del manufatto (Cons. Stato, sez. VI, n. 2665 del 2023; sez. VI, n. 222 del 2023; </w:t>
      </w:r>
      <w:r w:rsidR="00C947F0">
        <w:rPr>
          <w:rFonts w:ascii="Garamond" w:hAnsi="Garamond" w:cs="Times New Roman"/>
          <w:color w:val="000000" w:themeColor="text1"/>
          <w:sz w:val="28"/>
          <w:szCs w:val="28"/>
        </w:rPr>
        <w:t xml:space="preserve">sez. VI, </w:t>
      </w:r>
      <w:r w:rsidR="00FD6820" w:rsidRPr="00FD6820">
        <w:rPr>
          <w:rFonts w:ascii="Garamond" w:hAnsi="Garamond" w:cs="Times New Roman"/>
          <w:color w:val="000000" w:themeColor="text1"/>
          <w:sz w:val="28"/>
          <w:szCs w:val="28"/>
        </w:rPr>
        <w:t>n. 11034 del 2022);</w:t>
      </w:r>
    </w:p>
    <w:p w:rsidR="00FD6820" w:rsidRPr="00FD6820" w:rsidRDefault="00CE7130" w:rsidP="00FD68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 </w:t>
      </w:r>
      <w:r w:rsidR="00FD6820" w:rsidRPr="00FD6820">
        <w:rPr>
          <w:rFonts w:ascii="Garamond" w:hAnsi="Garamond" w:cs="Times New Roman"/>
          <w:color w:val="000000" w:themeColor="text1"/>
          <w:sz w:val="28"/>
          <w:szCs w:val="28"/>
        </w:rPr>
        <w:t>la natura di servizio pubblico della telefonia mobile impone di includere anche le opere ad esso relative nell'ambito di applicazione dell’art. 28 Codice della strada, che detta i modi per attuare il bilanciamento fra interesse alla sicurezza della circolazione e quello alla corretta gestione dei ser</w:t>
      </w:r>
      <w:r>
        <w:rPr>
          <w:rFonts w:ascii="Garamond" w:hAnsi="Garamond" w:cs="Times New Roman"/>
          <w:color w:val="000000" w:themeColor="text1"/>
          <w:sz w:val="28"/>
          <w:szCs w:val="28"/>
        </w:rPr>
        <w:t>vizi pubblici fondamentali e</w:t>
      </w:r>
      <w:r w:rsidR="00FD6820" w:rsidRPr="00FD6820">
        <w:rPr>
          <w:rFonts w:ascii="Garamond" w:hAnsi="Garamond" w:cs="Times New Roman"/>
          <w:color w:val="000000" w:themeColor="text1"/>
          <w:sz w:val="28"/>
          <w:szCs w:val="28"/>
        </w:rPr>
        <w:t xml:space="preserve"> il gestore del servizio pubblico di telefonia può attivare l'art.28, il quale può legittimare la deroga alle distanze previste dalle altre disposizioni, ma sulla base dell'assenso e delle prescrizioni degli enti preposti (Cons. Stato, sez. VI, n. 478 del 2008);</w:t>
      </w:r>
    </w:p>
    <w:p w:rsidR="00FD6820" w:rsidRPr="00FD6820" w:rsidRDefault="00CE7130" w:rsidP="00FD68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 </w:t>
      </w:r>
      <w:r w:rsidR="00FD6820" w:rsidRPr="00FD6820">
        <w:rPr>
          <w:rFonts w:ascii="Garamond" w:hAnsi="Garamond" w:cs="Times New Roman"/>
          <w:color w:val="000000" w:themeColor="text1"/>
          <w:sz w:val="28"/>
          <w:szCs w:val="28"/>
        </w:rPr>
        <w:t>gli impianti di telefonia mobile non possono essere classificati come manufatti edilizi incompatibili con il vincolo cimiteriale, sia perché gli stessi non possono in alcun modo essere classificati come manufatti edilizi, sia perché non ledono gli interessi garantiti da tale tipologia di vincolo, non arrecando alcun danno al decoro e alla tranquillità dei defunti e non creando problemi di ordine sanitario (Cons. Stato, sez. II, n. 13014 del 2021;</w:t>
      </w:r>
      <w:r w:rsidR="00A97508">
        <w:rPr>
          <w:rFonts w:ascii="Garamond" w:hAnsi="Garamond" w:cs="Times New Roman"/>
          <w:color w:val="000000" w:themeColor="text1"/>
          <w:sz w:val="28"/>
          <w:szCs w:val="28"/>
        </w:rPr>
        <w:t xml:space="preserve"> </w:t>
      </w:r>
      <w:r w:rsidR="00FD6820" w:rsidRPr="00FD6820">
        <w:rPr>
          <w:rFonts w:ascii="Garamond" w:hAnsi="Garamond" w:cs="Times New Roman"/>
          <w:color w:val="000000" w:themeColor="text1"/>
          <w:sz w:val="28"/>
          <w:szCs w:val="28"/>
        </w:rPr>
        <w:t>sez. II, n. 2964 del 2017; sez. II, n. 5257 del 2015).</w:t>
      </w:r>
    </w:p>
    <w:p w:rsidR="00FD6820" w:rsidRPr="00FD6820" w:rsidRDefault="00FD6820" w:rsidP="00FD6820">
      <w:pPr>
        <w:spacing w:line="240" w:lineRule="auto"/>
        <w:ind w:firstLine="709"/>
        <w:contextualSpacing/>
        <w:jc w:val="both"/>
        <w:rPr>
          <w:rFonts w:ascii="Garamond" w:hAnsi="Garamond" w:cs="Times New Roman"/>
          <w:color w:val="000000" w:themeColor="text1"/>
          <w:sz w:val="28"/>
          <w:szCs w:val="28"/>
        </w:rPr>
      </w:pPr>
      <w:r w:rsidRPr="00FD6820">
        <w:rPr>
          <w:rFonts w:ascii="Garamond" w:hAnsi="Garamond" w:cs="Times New Roman"/>
          <w:color w:val="000000" w:themeColor="text1"/>
          <w:sz w:val="28"/>
          <w:szCs w:val="28"/>
        </w:rPr>
        <w:lastRenderedPageBreak/>
        <w:t>Con specifico riguardo agli ambiti di legittima operatività dei regolamenti comunali la giurisprudenza ha chiarito</w:t>
      </w:r>
      <w:r w:rsidR="00A57601">
        <w:rPr>
          <w:rFonts w:ascii="Garamond" w:hAnsi="Garamond" w:cs="Times New Roman"/>
          <w:color w:val="000000" w:themeColor="text1"/>
          <w:sz w:val="28"/>
          <w:szCs w:val="28"/>
        </w:rPr>
        <w:t xml:space="preserve"> che</w:t>
      </w:r>
      <w:r w:rsidRPr="00FD6820">
        <w:rPr>
          <w:rFonts w:ascii="Garamond" w:hAnsi="Garamond" w:cs="Times New Roman"/>
          <w:color w:val="000000" w:themeColor="text1"/>
          <w:sz w:val="28"/>
          <w:szCs w:val="28"/>
        </w:rPr>
        <w:t>:</w:t>
      </w:r>
    </w:p>
    <w:p w:rsidR="00FD6820" w:rsidRPr="00FD6820" w:rsidRDefault="00A57601" w:rsidP="00FD68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  </w:t>
      </w:r>
      <w:r w:rsidR="00FD6820" w:rsidRPr="00FD6820">
        <w:rPr>
          <w:rFonts w:ascii="Garamond" w:hAnsi="Garamond" w:cs="Times New Roman"/>
          <w:color w:val="000000" w:themeColor="text1"/>
          <w:sz w:val="28"/>
          <w:szCs w:val="28"/>
        </w:rPr>
        <w:t xml:space="preserve">il legislatore statale, nell'inserire le infrastrutture per le reti di comunicazione fra le opere di urbanizzazione primaria, ha espresso un principio fondamentale della normativa urbanistica, a fronte del quale la potestà regolamentare attribuita ai Comuni dall'articolo 8, comma 6, della </w:t>
      </w:r>
      <w:r w:rsidR="00981AFC">
        <w:rPr>
          <w:rFonts w:ascii="Garamond" w:hAnsi="Garamond" w:cs="Times New Roman"/>
          <w:color w:val="000000" w:themeColor="text1"/>
          <w:sz w:val="28"/>
          <w:szCs w:val="28"/>
        </w:rPr>
        <w:t>l</w:t>
      </w:r>
      <w:r w:rsidR="006C564E">
        <w:rPr>
          <w:rFonts w:ascii="Garamond" w:hAnsi="Garamond" w:cs="Times New Roman"/>
          <w:color w:val="000000" w:themeColor="text1"/>
          <w:sz w:val="28"/>
          <w:szCs w:val="28"/>
        </w:rPr>
        <w:t>.</w:t>
      </w:r>
      <w:r w:rsidR="00FD6820" w:rsidRPr="00FD6820">
        <w:rPr>
          <w:rFonts w:ascii="Garamond" w:hAnsi="Garamond" w:cs="Times New Roman"/>
          <w:color w:val="000000" w:themeColor="text1"/>
          <w:sz w:val="28"/>
          <w:szCs w:val="28"/>
        </w:rPr>
        <w:t xml:space="preserve"> 22 febbraio 1981, n. 36, non può svolgersi nel senso di un divieto generalizzato di installazione in aree urbanistiche predefinite, al di là della loro ubicazione o connotazione o di concrete (e, come tali, differenziate) esigenze di armonioso governo del territorio (cfr. Cons. Stato, sez. III, n. 687 del 2013);</w:t>
      </w:r>
    </w:p>
    <w:p w:rsidR="00FD6820" w:rsidRPr="00FD6820" w:rsidRDefault="00A57601" w:rsidP="00FD68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 </w:t>
      </w:r>
      <w:r w:rsidR="00FD6820" w:rsidRPr="00FD6820">
        <w:rPr>
          <w:rFonts w:ascii="Garamond" w:hAnsi="Garamond" w:cs="Times New Roman"/>
          <w:color w:val="000000" w:themeColor="text1"/>
          <w:sz w:val="28"/>
          <w:szCs w:val="28"/>
        </w:rPr>
        <w:t>è illegittimo il regolamento comunale che vieti l'istallazione degli impianti TLC in aree diverse da quelle individuate dal Comune, comportando una limitazione alla localizzazione in aree generalizzate del territorio. La specificazione dei siti è ammessa dalla norma ma in negativo, a fini di tutela, e non può quindi estendersi alla ulteriore limitazione della specificazione dei siti quali unici punti ammessi, pena una illogica inversione del criterio normativamente stabilito. Il regolamento previsto dall'art. 8,</w:t>
      </w:r>
      <w:r>
        <w:rPr>
          <w:rFonts w:ascii="Garamond" w:hAnsi="Garamond" w:cs="Times New Roman"/>
          <w:color w:val="000000" w:themeColor="text1"/>
          <w:sz w:val="28"/>
          <w:szCs w:val="28"/>
        </w:rPr>
        <w:t xml:space="preserve"> comma 6, </w:t>
      </w:r>
      <w:r w:rsidR="00981AFC">
        <w:rPr>
          <w:rFonts w:ascii="Garamond" w:hAnsi="Garamond" w:cs="Times New Roman"/>
          <w:color w:val="000000" w:themeColor="text1"/>
          <w:sz w:val="28"/>
          <w:szCs w:val="28"/>
        </w:rPr>
        <w:t>l</w:t>
      </w:r>
      <w:r w:rsidR="006C564E">
        <w:rPr>
          <w:rFonts w:ascii="Garamond" w:hAnsi="Garamond" w:cs="Times New Roman"/>
          <w:color w:val="000000" w:themeColor="text1"/>
          <w:sz w:val="28"/>
          <w:szCs w:val="28"/>
        </w:rPr>
        <w:t>.</w:t>
      </w:r>
      <w:r w:rsidR="00C947F0">
        <w:rPr>
          <w:rFonts w:ascii="Garamond" w:hAnsi="Garamond" w:cs="Times New Roman"/>
          <w:color w:val="000000" w:themeColor="text1"/>
          <w:sz w:val="28"/>
          <w:szCs w:val="28"/>
        </w:rPr>
        <w:t xml:space="preserve"> n. 36 del </w:t>
      </w:r>
      <w:r w:rsidR="00FD6820" w:rsidRPr="00FD6820">
        <w:rPr>
          <w:rFonts w:ascii="Garamond" w:hAnsi="Garamond" w:cs="Times New Roman"/>
          <w:color w:val="000000" w:themeColor="text1"/>
          <w:sz w:val="28"/>
          <w:szCs w:val="28"/>
        </w:rPr>
        <w:t>2001, nel disciplinare il corretto insediamento nel territorio degli impianti stazioni radio base, può contenere regole a tutela di particolari zone e beni di pregio paesaggistico o ambientale o storico artistico, o anche per la protezione dall'esposizione ai campi elettromagnetici di zone sensibili (scuole, ospedali, ecc.), ma non può imporre limiti generalizzati all'installazione degli impianti se tali limiti sono incompatibili con l'interesse pubblico alla copertura di rete nel territorio nazionale. Deve allora ritenersi consentito ai Comuni, nell'esercizio dei loro poteri di pianificazione territoriale, di raccordare le esigenze urbanistiche con quelle di minimizzazione dell'impatto elettromagnetico, ai sensi dell'ultimo inciso del comma 6 dell'art. 8, prevedendo con regolamento anche limiti di carattere generale all'installazione degli impianti, purché sia comunque garantita una localizzazione alternativa degli stessi, in modo da rendere possibile la copertura di rete del territorio nazionale (Cons. Stato, sez. VI, n. 5283 del 2022; sez. III, n. 1 del 2021; sez. III, n. 7214 del 2019; sez. VI, n. 3891 del 2017);</w:t>
      </w:r>
    </w:p>
    <w:p w:rsidR="00FD6820" w:rsidRPr="00FD6820" w:rsidRDefault="00C947F0" w:rsidP="00FD68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 </w:t>
      </w:r>
      <w:r w:rsidR="00FD6820" w:rsidRPr="00FD6820">
        <w:rPr>
          <w:rFonts w:ascii="Garamond" w:hAnsi="Garamond" w:cs="Times New Roman"/>
          <w:color w:val="000000" w:themeColor="text1"/>
          <w:sz w:val="28"/>
          <w:szCs w:val="28"/>
        </w:rPr>
        <w:t xml:space="preserve">anche dopo la modifica normativa dell'articolo 8 della </w:t>
      </w:r>
      <w:r w:rsidR="006C564E">
        <w:rPr>
          <w:rFonts w:ascii="Garamond" w:hAnsi="Garamond" w:cs="Times New Roman"/>
          <w:color w:val="000000" w:themeColor="text1"/>
          <w:sz w:val="28"/>
          <w:szCs w:val="28"/>
        </w:rPr>
        <w:t>legge</w:t>
      </w:r>
      <w:r w:rsidR="00FD6820" w:rsidRPr="00FD6820">
        <w:rPr>
          <w:rFonts w:ascii="Garamond" w:hAnsi="Garamond" w:cs="Times New Roman"/>
          <w:color w:val="000000" w:themeColor="text1"/>
          <w:sz w:val="28"/>
          <w:szCs w:val="28"/>
        </w:rPr>
        <w:t xml:space="preserve"> n. 36 del 2001 (adottata c</w:t>
      </w:r>
      <w:r w:rsidR="00956F8D">
        <w:rPr>
          <w:rFonts w:ascii="Garamond" w:hAnsi="Garamond" w:cs="Times New Roman"/>
          <w:color w:val="000000" w:themeColor="text1"/>
          <w:sz w:val="28"/>
          <w:szCs w:val="28"/>
        </w:rPr>
        <w:t>on l'articolo 38, comma 6, del d</w:t>
      </w:r>
      <w:r w:rsidR="00FD6820" w:rsidRPr="00FD6820">
        <w:rPr>
          <w:rFonts w:ascii="Garamond" w:hAnsi="Garamond" w:cs="Times New Roman"/>
          <w:color w:val="000000" w:themeColor="text1"/>
          <w:sz w:val="28"/>
          <w:szCs w:val="28"/>
        </w:rPr>
        <w:t>.</w:t>
      </w:r>
      <w:r w:rsidR="00956F8D">
        <w:rPr>
          <w:rFonts w:ascii="Garamond" w:hAnsi="Garamond" w:cs="Times New Roman"/>
          <w:color w:val="000000" w:themeColor="text1"/>
          <w:sz w:val="28"/>
          <w:szCs w:val="28"/>
        </w:rPr>
        <w:t>l</w:t>
      </w:r>
      <w:r w:rsidR="006C564E">
        <w:rPr>
          <w:rFonts w:ascii="Garamond" w:hAnsi="Garamond" w:cs="Times New Roman"/>
          <w:color w:val="000000" w:themeColor="text1"/>
          <w:sz w:val="28"/>
          <w:szCs w:val="28"/>
        </w:rPr>
        <w:t>.</w:t>
      </w:r>
      <w:r w:rsidR="00FD6820" w:rsidRPr="00FD6820">
        <w:rPr>
          <w:rFonts w:ascii="Garamond" w:hAnsi="Garamond" w:cs="Times New Roman"/>
          <w:color w:val="000000" w:themeColor="text1"/>
          <w:sz w:val="28"/>
          <w:szCs w:val="28"/>
        </w:rPr>
        <w:t xml:space="preserve"> n. 76 </w:t>
      </w:r>
      <w:r w:rsidR="00A57601">
        <w:rPr>
          <w:rFonts w:ascii="Garamond" w:hAnsi="Garamond" w:cs="Times New Roman"/>
          <w:color w:val="000000" w:themeColor="text1"/>
          <w:sz w:val="28"/>
          <w:szCs w:val="28"/>
        </w:rPr>
        <w:t xml:space="preserve">del 2020, convertito dalla </w:t>
      </w:r>
      <w:r w:rsidR="00981AFC">
        <w:rPr>
          <w:rFonts w:ascii="Garamond" w:hAnsi="Garamond" w:cs="Times New Roman"/>
          <w:color w:val="000000" w:themeColor="text1"/>
          <w:sz w:val="28"/>
          <w:szCs w:val="28"/>
        </w:rPr>
        <w:t>l</w:t>
      </w:r>
      <w:r w:rsidR="006C564E">
        <w:rPr>
          <w:rFonts w:ascii="Garamond" w:hAnsi="Garamond" w:cs="Times New Roman"/>
          <w:color w:val="000000" w:themeColor="text1"/>
          <w:sz w:val="28"/>
          <w:szCs w:val="28"/>
        </w:rPr>
        <w:t>.</w:t>
      </w:r>
      <w:r w:rsidR="00FD6820" w:rsidRPr="00FD6820">
        <w:rPr>
          <w:rFonts w:ascii="Garamond" w:hAnsi="Garamond" w:cs="Times New Roman"/>
          <w:color w:val="000000" w:themeColor="text1"/>
          <w:sz w:val="28"/>
          <w:szCs w:val="28"/>
        </w:rPr>
        <w:t xml:space="preserve"> n. 120 del 2020), in tema di autorizzazione alla realizzazione di stazioni radio base per la telefonia mobile, deve ritenersi illegittimo il regolamento comunale che vieti l'istallazione di impianti TLC in aree diverse da quelle individuate dal </w:t>
      </w:r>
      <w:r w:rsidR="00A97508">
        <w:rPr>
          <w:rFonts w:ascii="Garamond" w:hAnsi="Garamond" w:cs="Times New Roman"/>
          <w:color w:val="000000" w:themeColor="text1"/>
          <w:sz w:val="28"/>
          <w:szCs w:val="28"/>
        </w:rPr>
        <w:t>c</w:t>
      </w:r>
      <w:r w:rsidR="00FD6820" w:rsidRPr="00FD6820">
        <w:rPr>
          <w:rFonts w:ascii="Garamond" w:hAnsi="Garamond" w:cs="Times New Roman"/>
          <w:color w:val="000000" w:themeColor="text1"/>
          <w:sz w:val="28"/>
          <w:szCs w:val="28"/>
        </w:rPr>
        <w:t xml:space="preserve">omune, comportando una limitazione alla localizzazione in aree generalizzate del territorio. La specificazione dei siti è ammessa dalla norma ma in negativo, a fini di tutela, e non può quindi estendersi alla ulteriore limitazione della specificazione dei siti quali unici punti ammessi, pena una illogica inversione del criterio normativamente stabilito (Cons. Stato, sez. VI, n. 6829 del 2023); </w:t>
      </w:r>
    </w:p>
    <w:p w:rsidR="00FD6820" w:rsidRPr="00FD6820" w:rsidRDefault="00C947F0" w:rsidP="00FD68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 </w:t>
      </w:r>
      <w:r w:rsidR="00FD6820" w:rsidRPr="00FD6820">
        <w:rPr>
          <w:rFonts w:ascii="Garamond" w:hAnsi="Garamond" w:cs="Times New Roman"/>
          <w:color w:val="000000" w:themeColor="text1"/>
          <w:sz w:val="28"/>
          <w:szCs w:val="28"/>
        </w:rPr>
        <w:t>non sono legittimi limiti alla localizzazione degli impianti di telefonia mobile di carattere generale e riguardanti intere ed estese porzioni del territorio comunale, in assenza di una plausibile ragione giustificativa (Cons. Stato, sez. VI, n. 222 del 2023; sez. VI, n. 444 del 2018; sez. III, n. 2073 del 2017);</w:t>
      </w:r>
    </w:p>
    <w:p w:rsidR="00FD6820" w:rsidRDefault="00C947F0" w:rsidP="00FD68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 </w:t>
      </w:r>
      <w:r w:rsidR="00FD6820" w:rsidRPr="00FD6820">
        <w:rPr>
          <w:rFonts w:ascii="Garamond" w:hAnsi="Garamond" w:cs="Times New Roman"/>
          <w:color w:val="000000" w:themeColor="text1"/>
          <w:sz w:val="28"/>
          <w:szCs w:val="28"/>
        </w:rPr>
        <w:t>le disposizioni ostative si palesano come illegittime quando possono rendere impossibile la realizzazione di una rete completa di infrastrutture per le telecomunicazioni, con la conseguenza che i "</w:t>
      </w:r>
      <w:r w:rsidR="00FD6820" w:rsidRPr="00C947F0">
        <w:rPr>
          <w:rFonts w:ascii="Garamond" w:hAnsi="Garamond" w:cs="Times New Roman"/>
          <w:i/>
          <w:color w:val="000000" w:themeColor="text1"/>
          <w:sz w:val="28"/>
          <w:szCs w:val="28"/>
        </w:rPr>
        <w:t>criteri di localizzazione</w:t>
      </w:r>
      <w:r w:rsidR="00FD6820" w:rsidRPr="00FD6820">
        <w:rPr>
          <w:rFonts w:ascii="Garamond" w:hAnsi="Garamond" w:cs="Times New Roman"/>
          <w:color w:val="000000" w:themeColor="text1"/>
          <w:sz w:val="28"/>
          <w:szCs w:val="28"/>
        </w:rPr>
        <w:t>" si trasformerebbero in "</w:t>
      </w:r>
      <w:r w:rsidR="00FD6820" w:rsidRPr="00C947F0">
        <w:rPr>
          <w:rFonts w:ascii="Garamond" w:hAnsi="Garamond" w:cs="Times New Roman"/>
          <w:i/>
          <w:color w:val="000000" w:themeColor="text1"/>
          <w:sz w:val="28"/>
          <w:szCs w:val="28"/>
        </w:rPr>
        <w:t>limitazioni alla localizzazione</w:t>
      </w:r>
      <w:r w:rsidR="00FD6820" w:rsidRPr="00FD6820">
        <w:rPr>
          <w:rFonts w:ascii="Garamond" w:hAnsi="Garamond" w:cs="Times New Roman"/>
          <w:color w:val="000000" w:themeColor="text1"/>
          <w:sz w:val="28"/>
          <w:szCs w:val="28"/>
        </w:rPr>
        <w:t xml:space="preserve">", mentre le disposizioni poste a tutela di siti sensibili sono legittime se </w:t>
      </w:r>
      <w:r w:rsidR="00FD6820" w:rsidRPr="00FD6820">
        <w:rPr>
          <w:rFonts w:ascii="Garamond" w:hAnsi="Garamond" w:cs="Times New Roman"/>
          <w:color w:val="000000" w:themeColor="text1"/>
          <w:sz w:val="28"/>
          <w:szCs w:val="28"/>
        </w:rPr>
        <w:lastRenderedPageBreak/>
        <w:t>consentono "</w:t>
      </w:r>
      <w:r w:rsidR="00FD6820" w:rsidRPr="00C947F0">
        <w:rPr>
          <w:rFonts w:ascii="Garamond" w:hAnsi="Garamond" w:cs="Times New Roman"/>
          <w:i/>
          <w:color w:val="000000" w:themeColor="text1"/>
          <w:sz w:val="28"/>
          <w:szCs w:val="28"/>
        </w:rPr>
        <w:t>una sempre possibile localizzazione alternativa</w:t>
      </w:r>
      <w:r w:rsidR="00FD6820" w:rsidRPr="00FD6820">
        <w:rPr>
          <w:rFonts w:ascii="Garamond" w:hAnsi="Garamond" w:cs="Times New Roman"/>
          <w:color w:val="000000" w:themeColor="text1"/>
          <w:sz w:val="28"/>
          <w:szCs w:val="28"/>
        </w:rPr>
        <w:t>" e non determinano "</w:t>
      </w:r>
      <w:r w:rsidR="00FD6820" w:rsidRPr="00C947F0">
        <w:rPr>
          <w:rFonts w:ascii="Garamond" w:hAnsi="Garamond" w:cs="Times New Roman"/>
          <w:i/>
          <w:color w:val="000000" w:themeColor="text1"/>
          <w:sz w:val="28"/>
          <w:szCs w:val="28"/>
        </w:rPr>
        <w:t>l'impossibilità della localizzazione</w:t>
      </w:r>
      <w:r w:rsidR="00FD6820" w:rsidRPr="00FD6820">
        <w:rPr>
          <w:rFonts w:ascii="Garamond" w:hAnsi="Garamond" w:cs="Times New Roman"/>
          <w:color w:val="000000" w:themeColor="text1"/>
          <w:sz w:val="28"/>
          <w:szCs w:val="28"/>
        </w:rPr>
        <w:t>" (Cons. Stato, sez. VI, n. 9985 del 2022).</w:t>
      </w:r>
    </w:p>
    <w:p w:rsidR="00FD6820" w:rsidRDefault="00FD6820" w:rsidP="00FD6820">
      <w:pPr>
        <w:spacing w:line="240" w:lineRule="auto"/>
        <w:ind w:firstLine="709"/>
        <w:contextualSpacing/>
        <w:jc w:val="both"/>
        <w:rPr>
          <w:rFonts w:ascii="Garamond" w:hAnsi="Garamond" w:cs="Times New Roman"/>
          <w:color w:val="000000" w:themeColor="text1"/>
          <w:sz w:val="28"/>
          <w:szCs w:val="28"/>
        </w:rPr>
      </w:pPr>
    </w:p>
    <w:p w:rsidR="00FD6820" w:rsidRDefault="00FD6820" w:rsidP="00FD6820">
      <w:pPr>
        <w:spacing w:line="240" w:lineRule="auto"/>
        <w:ind w:firstLine="709"/>
        <w:contextualSpacing/>
        <w:jc w:val="both"/>
        <w:rPr>
          <w:rFonts w:ascii="Garamond" w:hAnsi="Garamond" w:cs="Times New Roman"/>
          <w:b/>
          <w:color w:val="000000" w:themeColor="text1"/>
          <w:sz w:val="28"/>
          <w:szCs w:val="28"/>
        </w:rPr>
      </w:pPr>
      <w:r w:rsidRPr="00FD6820">
        <w:rPr>
          <w:rFonts w:ascii="Garamond" w:hAnsi="Garamond" w:cs="Times New Roman"/>
          <w:b/>
          <w:color w:val="000000" w:themeColor="text1"/>
          <w:sz w:val="28"/>
          <w:szCs w:val="28"/>
        </w:rPr>
        <w:t xml:space="preserve">4. </w:t>
      </w:r>
      <w:r w:rsidR="00C36CE0">
        <w:rPr>
          <w:rFonts w:ascii="Garamond" w:hAnsi="Garamond" w:cs="Times New Roman"/>
          <w:b/>
          <w:color w:val="000000" w:themeColor="text1"/>
          <w:sz w:val="28"/>
          <w:szCs w:val="28"/>
        </w:rPr>
        <w:t>Cenni in merito all</w:t>
      </w:r>
      <w:r w:rsidRPr="00FD6820">
        <w:rPr>
          <w:rFonts w:ascii="Garamond" w:hAnsi="Garamond" w:cs="Times New Roman"/>
          <w:b/>
          <w:color w:val="000000" w:themeColor="text1"/>
          <w:sz w:val="28"/>
          <w:szCs w:val="28"/>
        </w:rPr>
        <w:t>a procedura autorizzativa unica reg</w:t>
      </w:r>
      <w:r w:rsidR="008862E0">
        <w:rPr>
          <w:rFonts w:ascii="Garamond" w:hAnsi="Garamond" w:cs="Times New Roman"/>
          <w:b/>
          <w:color w:val="000000" w:themeColor="text1"/>
          <w:sz w:val="28"/>
          <w:szCs w:val="28"/>
        </w:rPr>
        <w:t xml:space="preserve">olata dall’articolo 27 </w:t>
      </w:r>
      <w:r w:rsidR="008862E0" w:rsidRPr="004A1FB7">
        <w:rPr>
          <w:rFonts w:ascii="Garamond" w:hAnsi="Garamond" w:cs="Times New Roman"/>
          <w:b/>
          <w:i/>
          <w:color w:val="000000" w:themeColor="text1"/>
          <w:sz w:val="28"/>
          <w:szCs w:val="28"/>
        </w:rPr>
        <w:t>bis</w:t>
      </w:r>
      <w:r w:rsidR="008862E0">
        <w:rPr>
          <w:rFonts w:ascii="Garamond" w:hAnsi="Garamond" w:cs="Times New Roman"/>
          <w:b/>
          <w:color w:val="000000" w:themeColor="text1"/>
          <w:sz w:val="28"/>
          <w:szCs w:val="28"/>
        </w:rPr>
        <w:t xml:space="preserve"> del </w:t>
      </w:r>
      <w:r w:rsidR="004F0CCD">
        <w:rPr>
          <w:rFonts w:ascii="Garamond" w:hAnsi="Garamond" w:cs="Times New Roman"/>
          <w:b/>
          <w:color w:val="000000" w:themeColor="text1"/>
          <w:sz w:val="28"/>
          <w:szCs w:val="28"/>
        </w:rPr>
        <w:t>d.lgs.</w:t>
      </w:r>
      <w:r>
        <w:rPr>
          <w:rFonts w:ascii="Garamond" w:hAnsi="Garamond" w:cs="Times New Roman"/>
          <w:b/>
          <w:color w:val="000000" w:themeColor="text1"/>
          <w:sz w:val="28"/>
          <w:szCs w:val="28"/>
        </w:rPr>
        <w:t xml:space="preserve"> 3 aprile 2006, n. 152 (PAUR)</w:t>
      </w:r>
    </w:p>
    <w:p w:rsidR="008E5B39" w:rsidRDefault="00A57601" w:rsidP="00FD68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L’art. 27</w:t>
      </w:r>
      <w:r w:rsidR="004A1FB7">
        <w:rPr>
          <w:rFonts w:ascii="Garamond" w:hAnsi="Garamond" w:cs="Times New Roman"/>
          <w:color w:val="000000" w:themeColor="text1"/>
          <w:sz w:val="28"/>
          <w:szCs w:val="28"/>
        </w:rPr>
        <w:t>-</w:t>
      </w:r>
      <w:r w:rsidRPr="005929DA">
        <w:rPr>
          <w:rFonts w:ascii="Garamond" w:hAnsi="Garamond" w:cs="Times New Roman"/>
          <w:i/>
          <w:color w:val="000000" w:themeColor="text1"/>
          <w:sz w:val="28"/>
          <w:szCs w:val="28"/>
        </w:rPr>
        <w:t>bis</w:t>
      </w:r>
      <w:r>
        <w:rPr>
          <w:rFonts w:ascii="Garamond" w:hAnsi="Garamond" w:cs="Times New Roman"/>
          <w:color w:val="000000" w:themeColor="text1"/>
          <w:sz w:val="28"/>
          <w:szCs w:val="28"/>
        </w:rPr>
        <w:t xml:space="preserve"> del </w:t>
      </w:r>
      <w:r w:rsidR="004F0CCD">
        <w:rPr>
          <w:rFonts w:ascii="Garamond" w:hAnsi="Garamond" w:cs="Times New Roman"/>
          <w:color w:val="000000" w:themeColor="text1"/>
          <w:sz w:val="28"/>
          <w:szCs w:val="28"/>
        </w:rPr>
        <w:t>d.lgs.</w:t>
      </w:r>
      <w:r>
        <w:rPr>
          <w:rFonts w:ascii="Garamond" w:hAnsi="Garamond" w:cs="Times New Roman"/>
          <w:color w:val="000000" w:themeColor="text1"/>
          <w:sz w:val="28"/>
          <w:szCs w:val="28"/>
        </w:rPr>
        <w:t xml:space="preserve"> n. 152 del </w:t>
      </w:r>
      <w:r w:rsidR="00650034">
        <w:rPr>
          <w:rFonts w:ascii="Garamond" w:hAnsi="Garamond" w:cs="Times New Roman"/>
          <w:color w:val="000000" w:themeColor="text1"/>
          <w:sz w:val="28"/>
          <w:szCs w:val="28"/>
        </w:rPr>
        <w:t xml:space="preserve">2006, introdotto </w:t>
      </w:r>
      <w:r w:rsidR="00650034" w:rsidRPr="00650034">
        <w:rPr>
          <w:rFonts w:ascii="Garamond" w:hAnsi="Garamond" w:cs="Times New Roman"/>
          <w:color w:val="000000" w:themeColor="text1"/>
          <w:sz w:val="28"/>
          <w:szCs w:val="28"/>
        </w:rPr>
        <w:t>dall'art. 16, comma 2</w:t>
      </w:r>
      <w:r w:rsidR="00650034">
        <w:rPr>
          <w:rFonts w:ascii="Garamond" w:hAnsi="Garamond" w:cs="Times New Roman"/>
          <w:color w:val="000000" w:themeColor="text1"/>
          <w:sz w:val="28"/>
          <w:szCs w:val="28"/>
        </w:rPr>
        <w:t xml:space="preserve">, </w:t>
      </w:r>
      <w:r w:rsidR="004F0CCD">
        <w:rPr>
          <w:rFonts w:ascii="Garamond" w:hAnsi="Garamond" w:cs="Times New Roman"/>
          <w:color w:val="000000" w:themeColor="text1"/>
          <w:sz w:val="28"/>
          <w:szCs w:val="28"/>
        </w:rPr>
        <w:t>d.lgs.</w:t>
      </w:r>
      <w:r w:rsidR="00650034">
        <w:rPr>
          <w:rFonts w:ascii="Garamond" w:hAnsi="Garamond" w:cs="Times New Roman"/>
          <w:color w:val="000000" w:themeColor="text1"/>
          <w:sz w:val="28"/>
          <w:szCs w:val="28"/>
        </w:rPr>
        <w:t xml:space="preserve"> 16 giugno 2017, n. 104 con riferimento ai p</w:t>
      </w:r>
      <w:r w:rsidR="00650034" w:rsidRPr="00650034">
        <w:rPr>
          <w:rFonts w:ascii="Garamond" w:hAnsi="Garamond" w:cs="Times New Roman"/>
          <w:color w:val="000000" w:themeColor="text1"/>
          <w:sz w:val="28"/>
          <w:szCs w:val="28"/>
        </w:rPr>
        <w:t xml:space="preserve">rocedimenti </w:t>
      </w:r>
      <w:r w:rsidR="008E5B39">
        <w:rPr>
          <w:rFonts w:ascii="Garamond" w:hAnsi="Garamond" w:cs="Times New Roman"/>
          <w:color w:val="000000" w:themeColor="text1"/>
          <w:sz w:val="28"/>
          <w:szCs w:val="28"/>
        </w:rPr>
        <w:t>di VIA di competenza regionale prevede un procedimento autorizzatorio unico</w:t>
      </w:r>
      <w:r>
        <w:rPr>
          <w:rFonts w:ascii="Garamond" w:hAnsi="Garamond" w:cs="Times New Roman"/>
          <w:color w:val="000000" w:themeColor="text1"/>
          <w:sz w:val="28"/>
          <w:szCs w:val="28"/>
        </w:rPr>
        <w:t xml:space="preserve">, </w:t>
      </w:r>
      <w:r w:rsidR="008E5B39">
        <w:rPr>
          <w:rFonts w:ascii="Garamond" w:hAnsi="Garamond" w:cs="Times New Roman"/>
          <w:color w:val="000000" w:themeColor="text1"/>
          <w:sz w:val="28"/>
          <w:szCs w:val="28"/>
        </w:rPr>
        <w:t xml:space="preserve"> al quale è preposta l’autorità competente, inglobante anche la VIA ed in grado di comportare il ril</w:t>
      </w:r>
      <w:r w:rsidR="008E5B39" w:rsidRPr="008E5B39">
        <w:rPr>
          <w:rFonts w:ascii="Garamond" w:hAnsi="Garamond" w:cs="Times New Roman"/>
          <w:color w:val="000000" w:themeColor="text1"/>
          <w:sz w:val="28"/>
          <w:szCs w:val="28"/>
        </w:rPr>
        <w:t>ascio di tutte le autorizzazioni, intese, concessioni, licenze, pareri, concerti, nulla osta e assensi comunque denominati, necessari alla realizzazi</w:t>
      </w:r>
      <w:r w:rsidR="006625D2">
        <w:rPr>
          <w:rFonts w:ascii="Garamond" w:hAnsi="Garamond" w:cs="Times New Roman"/>
          <w:color w:val="000000" w:themeColor="text1"/>
          <w:sz w:val="28"/>
          <w:szCs w:val="28"/>
        </w:rPr>
        <w:t>one e all'esercizio degli impianti progettati</w:t>
      </w:r>
      <w:r w:rsidR="008E5B39">
        <w:rPr>
          <w:rFonts w:ascii="Garamond" w:hAnsi="Garamond" w:cs="Times New Roman"/>
          <w:color w:val="000000" w:themeColor="text1"/>
          <w:sz w:val="28"/>
          <w:szCs w:val="28"/>
        </w:rPr>
        <w:t>, secondo la scansione procedimentale prevista dal medesimo disposto normativo.</w:t>
      </w:r>
    </w:p>
    <w:p w:rsidR="00C36CE0" w:rsidRDefault="008E5B39" w:rsidP="008E5B39">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La Corte costituzionale al riguardo ha affermato che</w:t>
      </w:r>
      <w:r w:rsidR="007D0A5B" w:rsidRPr="007D0A5B">
        <w:rPr>
          <w:rFonts w:ascii="Garamond" w:hAnsi="Garamond" w:cs="Times New Roman"/>
          <w:color w:val="000000" w:themeColor="text1"/>
          <w:sz w:val="28"/>
          <w:szCs w:val="28"/>
        </w:rPr>
        <w:t xml:space="preserve"> è costituzionalmente illegittima la norma regionale che richiama</w:t>
      </w:r>
      <w:r>
        <w:rPr>
          <w:rFonts w:ascii="Garamond" w:hAnsi="Garamond" w:cs="Times New Roman"/>
          <w:color w:val="000000" w:themeColor="text1"/>
          <w:sz w:val="28"/>
          <w:szCs w:val="28"/>
        </w:rPr>
        <w:t xml:space="preserve"> </w:t>
      </w:r>
      <w:r w:rsidR="007D0A5B" w:rsidRPr="007D0A5B">
        <w:rPr>
          <w:rFonts w:ascii="Garamond" w:hAnsi="Garamond" w:cs="Times New Roman"/>
          <w:color w:val="000000" w:themeColor="text1"/>
          <w:sz w:val="28"/>
          <w:szCs w:val="28"/>
        </w:rPr>
        <w:t xml:space="preserve"> l'art. 27-</w:t>
      </w:r>
      <w:r w:rsidR="007D0A5B" w:rsidRPr="006625D2">
        <w:rPr>
          <w:rFonts w:ascii="Garamond" w:hAnsi="Garamond" w:cs="Times New Roman"/>
          <w:i/>
          <w:color w:val="000000" w:themeColor="text1"/>
          <w:sz w:val="28"/>
          <w:szCs w:val="28"/>
        </w:rPr>
        <w:t>bis</w:t>
      </w:r>
      <w:r w:rsidR="007D0A5B" w:rsidRPr="007D0A5B">
        <w:rPr>
          <w:rFonts w:ascii="Garamond" w:hAnsi="Garamond" w:cs="Times New Roman"/>
          <w:color w:val="000000" w:themeColor="text1"/>
          <w:sz w:val="28"/>
          <w:szCs w:val="28"/>
        </w:rPr>
        <w:t xml:space="preserve"> Codice ambiente</w:t>
      </w:r>
      <w:r>
        <w:rPr>
          <w:rFonts w:ascii="Garamond" w:hAnsi="Garamond" w:cs="Times New Roman"/>
          <w:color w:val="000000" w:themeColor="text1"/>
          <w:sz w:val="28"/>
          <w:szCs w:val="28"/>
        </w:rPr>
        <w:t xml:space="preserve">, </w:t>
      </w:r>
      <w:r w:rsidR="007D0A5B" w:rsidRPr="007D0A5B">
        <w:rPr>
          <w:rFonts w:ascii="Garamond" w:hAnsi="Garamond" w:cs="Times New Roman"/>
          <w:color w:val="000000" w:themeColor="text1"/>
          <w:sz w:val="28"/>
          <w:szCs w:val="28"/>
        </w:rPr>
        <w:t xml:space="preserve"> riferendosi solamente al rispetto dei termini di conclusione del procedimento, anziché al rispetto della procedura prevista, specie al comma 7, dal medesimo articolo, in quanto, in questo modo, disattende la disciplina statale evocata quale parametro interposto, che ha definito la "</w:t>
      </w:r>
      <w:r w:rsidR="007D0A5B" w:rsidRPr="008E5B39">
        <w:rPr>
          <w:rFonts w:ascii="Garamond" w:hAnsi="Garamond" w:cs="Times New Roman"/>
          <w:i/>
          <w:color w:val="000000" w:themeColor="text1"/>
          <w:sz w:val="28"/>
          <w:szCs w:val="28"/>
        </w:rPr>
        <w:t>struttura</w:t>
      </w:r>
      <w:r w:rsidR="007D0A5B" w:rsidRPr="007D0A5B">
        <w:rPr>
          <w:rFonts w:ascii="Garamond" w:hAnsi="Garamond" w:cs="Times New Roman"/>
          <w:color w:val="000000" w:themeColor="text1"/>
          <w:sz w:val="28"/>
          <w:szCs w:val="28"/>
        </w:rPr>
        <w:t>" del procedimento, imponendo l'esame contestuale dei diversi punti di vista e investendo così anche la "</w:t>
      </w:r>
      <w:r w:rsidR="007D0A5B" w:rsidRPr="008E5B39">
        <w:rPr>
          <w:rFonts w:ascii="Garamond" w:hAnsi="Garamond" w:cs="Times New Roman"/>
          <w:i/>
          <w:color w:val="000000" w:themeColor="text1"/>
          <w:sz w:val="28"/>
          <w:szCs w:val="28"/>
        </w:rPr>
        <w:t>qualità</w:t>
      </w:r>
      <w:r w:rsidR="007D0A5B" w:rsidRPr="007D0A5B">
        <w:rPr>
          <w:rFonts w:ascii="Garamond" w:hAnsi="Garamond" w:cs="Times New Roman"/>
          <w:color w:val="000000" w:themeColor="text1"/>
          <w:sz w:val="28"/>
          <w:szCs w:val="28"/>
        </w:rPr>
        <w:t xml:space="preserve">" delle valutazioni effettuate in conferenza di servizi. Il carattere obbligatorio della convocazione della conferenza di servizi, nella procedura prodromica all'adozione del provvedimento autorizzatorio unico regionale, comprensivo della VIA e degli altri titoli abilitativi, rende l'art. 3, lett. c), della </w:t>
      </w:r>
      <w:r w:rsidR="006C564E">
        <w:rPr>
          <w:rFonts w:ascii="Garamond" w:hAnsi="Garamond" w:cs="Times New Roman"/>
          <w:color w:val="000000" w:themeColor="text1"/>
          <w:sz w:val="28"/>
          <w:szCs w:val="28"/>
        </w:rPr>
        <w:t>legge</w:t>
      </w:r>
      <w:r w:rsidR="007D0A5B" w:rsidRPr="007D0A5B">
        <w:rPr>
          <w:rFonts w:ascii="Garamond" w:hAnsi="Garamond" w:cs="Times New Roman"/>
          <w:color w:val="000000" w:themeColor="text1"/>
          <w:sz w:val="28"/>
          <w:szCs w:val="28"/>
        </w:rPr>
        <w:t xml:space="preserve"> regionale impugnata incompatibile con l'art. 117, comma 2,</w:t>
      </w:r>
      <w:r w:rsidR="006625D2">
        <w:rPr>
          <w:rFonts w:ascii="Garamond" w:hAnsi="Garamond" w:cs="Times New Roman"/>
          <w:color w:val="000000" w:themeColor="text1"/>
          <w:sz w:val="28"/>
          <w:szCs w:val="28"/>
        </w:rPr>
        <w:t xml:space="preserve"> lett. s) [</w:t>
      </w:r>
      <w:r w:rsidR="007D0A5B" w:rsidRPr="007D0A5B">
        <w:rPr>
          <w:rFonts w:ascii="Garamond" w:hAnsi="Garamond" w:cs="Times New Roman"/>
          <w:color w:val="000000" w:themeColor="text1"/>
          <w:sz w:val="28"/>
          <w:szCs w:val="28"/>
        </w:rPr>
        <w:t>Cost.</w:t>
      </w:r>
      <w:r w:rsidR="007D0A5B" w:rsidRPr="007D0A5B">
        <w:t xml:space="preserve"> </w:t>
      </w:r>
      <w:r w:rsidR="0032317E">
        <w:t>c</w:t>
      </w:r>
      <w:r w:rsidR="007D0A5B" w:rsidRPr="007D0A5B">
        <w:rPr>
          <w:rFonts w:ascii="Garamond" w:hAnsi="Garamond" w:cs="Times New Roman"/>
          <w:color w:val="000000" w:themeColor="text1"/>
          <w:sz w:val="28"/>
          <w:szCs w:val="28"/>
        </w:rPr>
        <w:t>orte cost., n. 53</w:t>
      </w:r>
      <w:r w:rsidR="007D0A5B">
        <w:rPr>
          <w:rFonts w:ascii="Garamond" w:hAnsi="Garamond" w:cs="Times New Roman"/>
          <w:color w:val="000000" w:themeColor="text1"/>
          <w:sz w:val="28"/>
          <w:szCs w:val="28"/>
        </w:rPr>
        <w:t xml:space="preserve"> del 2021 che ha dichiarato costituzionalmente illegittimo </w:t>
      </w:r>
      <w:r w:rsidR="007D0A5B" w:rsidRPr="007D0A5B">
        <w:rPr>
          <w:rFonts w:ascii="Garamond" w:hAnsi="Garamond" w:cs="Times New Roman"/>
          <w:color w:val="000000" w:themeColor="text1"/>
          <w:sz w:val="28"/>
          <w:szCs w:val="28"/>
        </w:rPr>
        <w:t xml:space="preserve">l'art. 3 della </w:t>
      </w:r>
      <w:r w:rsidR="00981AFC">
        <w:rPr>
          <w:rFonts w:ascii="Garamond" w:hAnsi="Garamond" w:cs="Times New Roman"/>
          <w:color w:val="000000" w:themeColor="text1"/>
          <w:sz w:val="28"/>
          <w:szCs w:val="28"/>
        </w:rPr>
        <w:t>l</w:t>
      </w:r>
      <w:r w:rsidR="006C564E">
        <w:rPr>
          <w:rFonts w:ascii="Garamond" w:hAnsi="Garamond" w:cs="Times New Roman"/>
          <w:color w:val="000000" w:themeColor="text1"/>
          <w:sz w:val="28"/>
          <w:szCs w:val="28"/>
        </w:rPr>
        <w:t>.</w:t>
      </w:r>
      <w:r w:rsidR="00981AFC">
        <w:rPr>
          <w:rFonts w:ascii="Garamond" w:hAnsi="Garamond" w:cs="Times New Roman"/>
          <w:color w:val="000000" w:themeColor="text1"/>
          <w:sz w:val="28"/>
          <w:szCs w:val="28"/>
        </w:rPr>
        <w:t>r</w:t>
      </w:r>
      <w:r w:rsidR="007D0A5B" w:rsidRPr="007D0A5B">
        <w:rPr>
          <w:rFonts w:ascii="Garamond" w:hAnsi="Garamond" w:cs="Times New Roman"/>
          <w:color w:val="000000" w:themeColor="text1"/>
          <w:sz w:val="28"/>
          <w:szCs w:val="28"/>
        </w:rPr>
        <w:t>. Molise 9 dicembre 2019, n. 17, recante "</w:t>
      </w:r>
      <w:r w:rsidR="007D0A5B" w:rsidRPr="007D0A5B">
        <w:rPr>
          <w:rFonts w:ascii="Garamond" w:hAnsi="Garamond" w:cs="Times New Roman"/>
          <w:i/>
          <w:color w:val="000000" w:themeColor="text1"/>
          <w:sz w:val="28"/>
          <w:szCs w:val="28"/>
        </w:rPr>
        <w:t xml:space="preserve">Modifiche della </w:t>
      </w:r>
      <w:r w:rsidR="00981AFC">
        <w:rPr>
          <w:rFonts w:ascii="Garamond" w:hAnsi="Garamond" w:cs="Times New Roman"/>
          <w:i/>
          <w:color w:val="000000" w:themeColor="text1"/>
          <w:sz w:val="28"/>
          <w:szCs w:val="28"/>
        </w:rPr>
        <w:t>l</w:t>
      </w:r>
      <w:r w:rsidR="006C564E">
        <w:rPr>
          <w:rFonts w:ascii="Garamond" w:hAnsi="Garamond" w:cs="Times New Roman"/>
          <w:i/>
          <w:color w:val="000000" w:themeColor="text1"/>
          <w:sz w:val="28"/>
          <w:szCs w:val="28"/>
        </w:rPr>
        <w:t>.</w:t>
      </w:r>
      <w:r w:rsidR="00981AFC">
        <w:rPr>
          <w:rFonts w:ascii="Garamond" w:hAnsi="Garamond" w:cs="Times New Roman"/>
          <w:i/>
          <w:color w:val="000000" w:themeColor="text1"/>
          <w:sz w:val="28"/>
          <w:szCs w:val="28"/>
        </w:rPr>
        <w:t>r</w:t>
      </w:r>
      <w:r w:rsidR="007D0A5B" w:rsidRPr="007D0A5B">
        <w:rPr>
          <w:rFonts w:ascii="Garamond" w:hAnsi="Garamond" w:cs="Times New Roman"/>
          <w:i/>
          <w:color w:val="000000" w:themeColor="text1"/>
          <w:sz w:val="28"/>
          <w:szCs w:val="28"/>
        </w:rPr>
        <w:t>. 24 marzo 2000, n. 21 (Disciplina della procedura di impatto ambientale)</w:t>
      </w:r>
      <w:r w:rsidR="007D0A5B" w:rsidRPr="007D0A5B">
        <w:rPr>
          <w:rFonts w:ascii="Garamond" w:hAnsi="Garamond" w:cs="Times New Roman"/>
          <w:color w:val="000000" w:themeColor="text1"/>
          <w:sz w:val="28"/>
          <w:szCs w:val="28"/>
        </w:rPr>
        <w:t>", nella parte in cui, aggiungendo il comma 2-</w:t>
      </w:r>
      <w:r w:rsidR="007D0A5B" w:rsidRPr="004A1FB7">
        <w:rPr>
          <w:rFonts w:ascii="Garamond" w:hAnsi="Garamond" w:cs="Times New Roman"/>
          <w:i/>
          <w:color w:val="000000" w:themeColor="text1"/>
          <w:sz w:val="28"/>
          <w:szCs w:val="28"/>
        </w:rPr>
        <w:t>bis</w:t>
      </w:r>
      <w:r w:rsidR="007D0A5B" w:rsidRPr="007D0A5B">
        <w:rPr>
          <w:rFonts w:ascii="Garamond" w:hAnsi="Garamond" w:cs="Times New Roman"/>
          <w:color w:val="000000" w:themeColor="text1"/>
          <w:sz w:val="28"/>
          <w:szCs w:val="28"/>
        </w:rPr>
        <w:t xml:space="preserve"> all'art. 8 della </w:t>
      </w:r>
      <w:r w:rsidR="00981AFC">
        <w:rPr>
          <w:rFonts w:ascii="Garamond" w:hAnsi="Garamond" w:cs="Times New Roman"/>
          <w:color w:val="000000" w:themeColor="text1"/>
          <w:sz w:val="28"/>
          <w:szCs w:val="28"/>
        </w:rPr>
        <w:t>l</w:t>
      </w:r>
      <w:r w:rsidR="006C564E">
        <w:rPr>
          <w:rFonts w:ascii="Garamond" w:hAnsi="Garamond" w:cs="Times New Roman"/>
          <w:color w:val="000000" w:themeColor="text1"/>
          <w:sz w:val="28"/>
          <w:szCs w:val="28"/>
        </w:rPr>
        <w:t>.</w:t>
      </w:r>
      <w:r w:rsidR="00981AFC">
        <w:rPr>
          <w:rFonts w:ascii="Garamond" w:hAnsi="Garamond" w:cs="Times New Roman"/>
          <w:color w:val="000000" w:themeColor="text1"/>
          <w:sz w:val="28"/>
          <w:szCs w:val="28"/>
        </w:rPr>
        <w:t>r</w:t>
      </w:r>
      <w:r w:rsidR="007D0A5B" w:rsidRPr="007D0A5B">
        <w:rPr>
          <w:rFonts w:ascii="Garamond" w:hAnsi="Garamond" w:cs="Times New Roman"/>
          <w:color w:val="000000" w:themeColor="text1"/>
          <w:sz w:val="28"/>
          <w:szCs w:val="28"/>
        </w:rPr>
        <w:t>. Molise 24 marzo 2000, n. 21 (</w:t>
      </w:r>
      <w:r w:rsidR="007D0A5B" w:rsidRPr="00C947F0">
        <w:rPr>
          <w:rFonts w:ascii="Garamond" w:hAnsi="Garamond" w:cs="Times New Roman"/>
          <w:i/>
          <w:color w:val="000000" w:themeColor="text1"/>
          <w:sz w:val="28"/>
          <w:szCs w:val="28"/>
        </w:rPr>
        <w:t>Disciplina della procedura di impatto ambientale</w:t>
      </w:r>
      <w:r w:rsidR="007D0A5B" w:rsidRPr="007D0A5B">
        <w:rPr>
          <w:rFonts w:ascii="Garamond" w:hAnsi="Garamond" w:cs="Times New Roman"/>
          <w:color w:val="000000" w:themeColor="text1"/>
          <w:sz w:val="28"/>
          <w:szCs w:val="28"/>
        </w:rPr>
        <w:t>), prevede che "</w:t>
      </w:r>
      <w:r w:rsidR="007D0A5B" w:rsidRPr="007D0A5B">
        <w:rPr>
          <w:rFonts w:ascii="Garamond" w:hAnsi="Garamond" w:cs="Times New Roman"/>
          <w:i/>
          <w:color w:val="000000" w:themeColor="text1"/>
          <w:sz w:val="28"/>
          <w:szCs w:val="28"/>
        </w:rPr>
        <w:t xml:space="preserve">Resta in capo alla Giunta regionale la presa d'atto del provvedimento di VIA nel rispetto dei termini dell'articolo 27-bis del </w:t>
      </w:r>
      <w:r w:rsidR="004F0CCD">
        <w:rPr>
          <w:rFonts w:ascii="Garamond" w:hAnsi="Garamond" w:cs="Times New Roman"/>
          <w:i/>
          <w:color w:val="000000" w:themeColor="text1"/>
          <w:sz w:val="28"/>
          <w:szCs w:val="28"/>
        </w:rPr>
        <w:t>d.lgs.</w:t>
      </w:r>
      <w:r w:rsidR="007D0A5B" w:rsidRPr="007D0A5B">
        <w:rPr>
          <w:rFonts w:ascii="Garamond" w:hAnsi="Garamond" w:cs="Times New Roman"/>
          <w:i/>
          <w:color w:val="000000" w:themeColor="text1"/>
          <w:sz w:val="28"/>
          <w:szCs w:val="28"/>
        </w:rPr>
        <w:t xml:space="preserve"> n. 152 del 2006</w:t>
      </w:r>
      <w:r w:rsidR="007D0A5B" w:rsidRPr="007D0A5B">
        <w:rPr>
          <w:rFonts w:ascii="Garamond" w:hAnsi="Garamond" w:cs="Times New Roman"/>
          <w:color w:val="000000" w:themeColor="text1"/>
          <w:sz w:val="28"/>
          <w:szCs w:val="28"/>
        </w:rPr>
        <w:t xml:space="preserve">", anziché prevedere che </w:t>
      </w:r>
      <w:r w:rsidR="007D0A5B" w:rsidRPr="00C947F0">
        <w:rPr>
          <w:rFonts w:ascii="Garamond" w:hAnsi="Garamond" w:cs="Times New Roman"/>
          <w:i/>
          <w:color w:val="000000" w:themeColor="text1"/>
          <w:sz w:val="28"/>
          <w:szCs w:val="28"/>
        </w:rPr>
        <w:t>"Resta</w:t>
      </w:r>
      <w:r w:rsidR="007D0A5B" w:rsidRPr="007D0A5B">
        <w:rPr>
          <w:rFonts w:ascii="Garamond" w:hAnsi="Garamond" w:cs="Times New Roman"/>
          <w:i/>
          <w:color w:val="000000" w:themeColor="text1"/>
          <w:sz w:val="28"/>
          <w:szCs w:val="28"/>
        </w:rPr>
        <w:t xml:space="preserve"> fermo che il provvedimento di VIA è adottato all'esito dei lavori della conferenza di servizi e confluisce nel provvedimento autorizzatorio unico regionale, ai sensi dell'art. 27-bis del </w:t>
      </w:r>
      <w:r w:rsidR="004F0CCD">
        <w:rPr>
          <w:rFonts w:ascii="Garamond" w:hAnsi="Garamond" w:cs="Times New Roman"/>
          <w:i/>
          <w:color w:val="000000" w:themeColor="text1"/>
          <w:sz w:val="28"/>
          <w:szCs w:val="28"/>
        </w:rPr>
        <w:t>d.lgs.</w:t>
      </w:r>
      <w:r w:rsidR="007D0A5B" w:rsidRPr="007D0A5B">
        <w:rPr>
          <w:rFonts w:ascii="Garamond" w:hAnsi="Garamond" w:cs="Times New Roman"/>
          <w:i/>
          <w:color w:val="000000" w:themeColor="text1"/>
          <w:sz w:val="28"/>
          <w:szCs w:val="28"/>
        </w:rPr>
        <w:t xml:space="preserve"> n. 152 del 2006</w:t>
      </w:r>
      <w:r w:rsidR="007D0A5B" w:rsidRPr="007D0A5B">
        <w:rPr>
          <w:rFonts w:ascii="Garamond" w:hAnsi="Garamond" w:cs="Times New Roman"/>
          <w:color w:val="000000" w:themeColor="text1"/>
          <w:sz w:val="28"/>
          <w:szCs w:val="28"/>
        </w:rPr>
        <w:t>"</w:t>
      </w:r>
      <w:r w:rsidR="006625D2">
        <w:rPr>
          <w:rFonts w:ascii="Garamond" w:hAnsi="Garamond" w:cs="Times New Roman"/>
          <w:color w:val="000000" w:themeColor="text1"/>
          <w:sz w:val="28"/>
          <w:szCs w:val="28"/>
        </w:rPr>
        <w:t>]</w:t>
      </w:r>
      <w:r w:rsidR="007D0A5B" w:rsidRPr="007D0A5B">
        <w:rPr>
          <w:rFonts w:ascii="Garamond" w:hAnsi="Garamond" w:cs="Times New Roman"/>
          <w:color w:val="000000" w:themeColor="text1"/>
          <w:sz w:val="28"/>
          <w:szCs w:val="28"/>
        </w:rPr>
        <w:t>.</w:t>
      </w:r>
    </w:p>
    <w:p w:rsidR="00C36CE0" w:rsidRPr="00C36CE0" w:rsidRDefault="007D0A5B" w:rsidP="008E5B39">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Anche la </w:t>
      </w:r>
      <w:r w:rsidRPr="00C36CE0">
        <w:rPr>
          <w:rFonts w:ascii="Garamond" w:hAnsi="Garamond" w:cs="Times New Roman"/>
          <w:color w:val="000000" w:themeColor="text1"/>
          <w:sz w:val="28"/>
          <w:szCs w:val="28"/>
        </w:rPr>
        <w:t>giurisprudenza</w:t>
      </w:r>
      <w:r w:rsidR="00C36CE0" w:rsidRPr="00C36CE0">
        <w:rPr>
          <w:rFonts w:ascii="Garamond" w:hAnsi="Garamond" w:cs="Times New Roman"/>
          <w:color w:val="000000" w:themeColor="text1"/>
          <w:sz w:val="28"/>
          <w:szCs w:val="28"/>
        </w:rPr>
        <w:t xml:space="preserve"> amministrativa ha enucleato </w:t>
      </w:r>
      <w:r>
        <w:rPr>
          <w:rFonts w:ascii="Garamond" w:hAnsi="Garamond" w:cs="Times New Roman"/>
          <w:color w:val="000000" w:themeColor="text1"/>
          <w:sz w:val="28"/>
          <w:szCs w:val="28"/>
        </w:rPr>
        <w:t xml:space="preserve">i seguenti </w:t>
      </w:r>
      <w:r w:rsidR="00C36CE0" w:rsidRPr="00C36CE0">
        <w:rPr>
          <w:rFonts w:ascii="Garamond" w:hAnsi="Garamond" w:cs="Times New Roman"/>
          <w:color w:val="000000" w:themeColor="text1"/>
          <w:sz w:val="28"/>
          <w:szCs w:val="28"/>
        </w:rPr>
        <w:t>impor</w:t>
      </w:r>
      <w:r w:rsidR="00C947F0">
        <w:rPr>
          <w:rFonts w:ascii="Garamond" w:hAnsi="Garamond" w:cs="Times New Roman"/>
          <w:color w:val="000000" w:themeColor="text1"/>
          <w:sz w:val="28"/>
          <w:szCs w:val="28"/>
        </w:rPr>
        <w:t>tanti princì</w:t>
      </w:r>
      <w:r w:rsidR="006625D2">
        <w:rPr>
          <w:rFonts w:ascii="Garamond" w:hAnsi="Garamond" w:cs="Times New Roman"/>
          <w:color w:val="000000" w:themeColor="text1"/>
          <w:sz w:val="28"/>
          <w:szCs w:val="28"/>
        </w:rPr>
        <w:t>pi in relazione al</w:t>
      </w:r>
      <w:r w:rsidR="00C36CE0" w:rsidRPr="00C36CE0">
        <w:rPr>
          <w:rFonts w:ascii="Garamond" w:hAnsi="Garamond" w:cs="Times New Roman"/>
          <w:color w:val="000000" w:themeColor="text1"/>
          <w:sz w:val="28"/>
          <w:szCs w:val="28"/>
        </w:rPr>
        <w:t xml:space="preserve"> PAUR </w:t>
      </w:r>
      <w:r w:rsidR="008E5B39">
        <w:rPr>
          <w:rFonts w:ascii="Garamond" w:hAnsi="Garamond" w:cs="Times New Roman"/>
          <w:color w:val="000000" w:themeColor="text1"/>
          <w:sz w:val="28"/>
          <w:szCs w:val="28"/>
        </w:rPr>
        <w:t>ed al soggetto competente:</w:t>
      </w:r>
    </w:p>
    <w:p w:rsidR="00C36CE0" w:rsidRDefault="00C36CE0" w:rsidP="00C36CE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w:t>
      </w:r>
      <w:r w:rsidR="006625D2">
        <w:rPr>
          <w:rFonts w:ascii="Garamond" w:hAnsi="Garamond" w:cs="Times New Roman"/>
          <w:color w:val="000000" w:themeColor="text1"/>
          <w:sz w:val="28"/>
          <w:szCs w:val="28"/>
        </w:rPr>
        <w:t>a</w:t>
      </w:r>
      <w:r w:rsidR="008862E0" w:rsidRPr="008862E0">
        <w:rPr>
          <w:rFonts w:ascii="Garamond" w:hAnsi="Garamond" w:cs="Times New Roman"/>
          <w:color w:val="000000" w:themeColor="text1"/>
          <w:sz w:val="28"/>
          <w:szCs w:val="28"/>
        </w:rPr>
        <w:t>i sensi dell'art. 27</w:t>
      </w:r>
      <w:r w:rsidR="004A1FB7">
        <w:rPr>
          <w:rFonts w:ascii="Garamond" w:hAnsi="Garamond" w:cs="Times New Roman"/>
          <w:color w:val="000000" w:themeColor="text1"/>
          <w:sz w:val="28"/>
          <w:szCs w:val="28"/>
        </w:rPr>
        <w:t>-</w:t>
      </w:r>
      <w:r w:rsidR="008862E0" w:rsidRPr="005929DA">
        <w:rPr>
          <w:rFonts w:ascii="Garamond" w:hAnsi="Garamond" w:cs="Times New Roman"/>
          <w:i/>
          <w:color w:val="000000" w:themeColor="text1"/>
          <w:sz w:val="28"/>
          <w:szCs w:val="28"/>
        </w:rPr>
        <w:t>bis</w:t>
      </w:r>
      <w:r w:rsidR="008862E0" w:rsidRPr="008862E0">
        <w:rPr>
          <w:rFonts w:ascii="Garamond" w:hAnsi="Garamond" w:cs="Times New Roman"/>
          <w:color w:val="000000" w:themeColor="text1"/>
          <w:sz w:val="28"/>
          <w:szCs w:val="28"/>
        </w:rPr>
        <w:t xml:space="preserve"> comma 7 del </w:t>
      </w:r>
      <w:r w:rsidR="004F0CCD">
        <w:rPr>
          <w:rFonts w:ascii="Garamond" w:hAnsi="Garamond" w:cs="Times New Roman"/>
          <w:color w:val="000000" w:themeColor="text1"/>
          <w:sz w:val="28"/>
          <w:szCs w:val="28"/>
        </w:rPr>
        <w:t>d.lgs.</w:t>
      </w:r>
      <w:r w:rsidR="00D8422B">
        <w:rPr>
          <w:rFonts w:ascii="Garamond" w:hAnsi="Garamond" w:cs="Times New Roman"/>
          <w:color w:val="000000" w:themeColor="text1"/>
          <w:sz w:val="28"/>
          <w:szCs w:val="28"/>
        </w:rPr>
        <w:t xml:space="preserve"> 152 del </w:t>
      </w:r>
      <w:r w:rsidR="008862E0" w:rsidRPr="008862E0">
        <w:rPr>
          <w:rFonts w:ascii="Garamond" w:hAnsi="Garamond" w:cs="Times New Roman"/>
          <w:color w:val="000000" w:themeColor="text1"/>
          <w:sz w:val="28"/>
          <w:szCs w:val="28"/>
        </w:rPr>
        <w:t xml:space="preserve">2006, in materia di PAUR ambientale, la determinazione motivata di conclusione della conferenza di servizi costituisce il provvedimento autorizzatorio unico regionale e comprende, recandone l'indicazione esplicita, il provvedimento di VIA e i titoli abilitativi rilasciati per la realizzazione e l'esercizio del progetto, ivi compresi tutti i titoli urbanistici ovvero edilizi. </w:t>
      </w:r>
      <w:r w:rsidR="008862E0" w:rsidRPr="00102395">
        <w:rPr>
          <w:rFonts w:ascii="Garamond" w:hAnsi="Garamond" w:cs="Times New Roman"/>
          <w:color w:val="000000" w:themeColor="text1"/>
          <w:sz w:val="28"/>
          <w:szCs w:val="28"/>
        </w:rPr>
        <w:t xml:space="preserve">Per logica conseguenza, la decisione sul loro rilascio non può che situarsi all'interno della conferenza e seguire le regole di quest'ultima; pertanto non si può attribuire al </w:t>
      </w:r>
      <w:r w:rsidR="008E5B39" w:rsidRPr="00102395">
        <w:rPr>
          <w:rFonts w:ascii="Garamond" w:hAnsi="Garamond" w:cs="Times New Roman"/>
          <w:color w:val="000000" w:themeColor="text1"/>
          <w:sz w:val="28"/>
          <w:szCs w:val="28"/>
        </w:rPr>
        <w:t>Comune,</w:t>
      </w:r>
      <w:r w:rsidR="008862E0" w:rsidRPr="00102395">
        <w:rPr>
          <w:rFonts w:ascii="Garamond" w:hAnsi="Garamond" w:cs="Times New Roman"/>
          <w:color w:val="000000" w:themeColor="text1"/>
          <w:sz w:val="28"/>
          <w:szCs w:val="28"/>
        </w:rPr>
        <w:t xml:space="preserve"> in quanto titolare in via ordinaria delle competenze in materia, un diritto di veto in deroga alla regola maggioritaria vigente nell'ambito della c</w:t>
      </w:r>
      <w:r w:rsidR="006625D2" w:rsidRPr="00102395">
        <w:rPr>
          <w:rFonts w:ascii="Garamond" w:hAnsi="Garamond" w:cs="Times New Roman"/>
          <w:color w:val="000000" w:themeColor="text1"/>
          <w:sz w:val="28"/>
          <w:szCs w:val="28"/>
        </w:rPr>
        <w:t>onferenza (Cons. Stato</w:t>
      </w:r>
      <w:r w:rsidR="008808B2">
        <w:rPr>
          <w:rFonts w:ascii="Garamond" w:hAnsi="Garamond" w:cs="Times New Roman"/>
          <w:color w:val="000000" w:themeColor="text1"/>
          <w:sz w:val="28"/>
          <w:szCs w:val="28"/>
        </w:rPr>
        <w:t>,</w:t>
      </w:r>
      <w:r w:rsidR="006625D2" w:rsidRPr="00102395">
        <w:rPr>
          <w:rFonts w:ascii="Garamond" w:hAnsi="Garamond" w:cs="Times New Roman"/>
          <w:color w:val="000000" w:themeColor="text1"/>
          <w:sz w:val="28"/>
          <w:szCs w:val="28"/>
        </w:rPr>
        <w:t xml:space="preserve"> </w:t>
      </w:r>
      <w:r w:rsidR="00181410">
        <w:rPr>
          <w:rFonts w:ascii="Garamond" w:hAnsi="Garamond" w:cs="Times New Roman"/>
          <w:color w:val="000000" w:themeColor="text1"/>
          <w:sz w:val="28"/>
          <w:szCs w:val="28"/>
        </w:rPr>
        <w:t>sez.</w:t>
      </w:r>
      <w:r w:rsidR="006625D2" w:rsidRPr="00102395">
        <w:rPr>
          <w:rFonts w:ascii="Garamond" w:hAnsi="Garamond" w:cs="Times New Roman"/>
          <w:color w:val="000000" w:themeColor="text1"/>
          <w:sz w:val="28"/>
          <w:szCs w:val="28"/>
        </w:rPr>
        <w:t xml:space="preserve"> IV,</w:t>
      </w:r>
      <w:r w:rsidR="008862E0" w:rsidRPr="00102395">
        <w:rPr>
          <w:rFonts w:ascii="Garamond" w:hAnsi="Garamond" w:cs="Times New Roman"/>
          <w:color w:val="000000" w:themeColor="text1"/>
          <w:sz w:val="28"/>
          <w:szCs w:val="28"/>
        </w:rPr>
        <w:t xml:space="preserve"> n. 1072</w:t>
      </w:r>
      <w:r w:rsidR="008B0444" w:rsidRPr="00102395">
        <w:rPr>
          <w:rFonts w:ascii="Garamond" w:hAnsi="Garamond" w:cs="Times New Roman"/>
          <w:color w:val="000000" w:themeColor="text1"/>
          <w:sz w:val="28"/>
          <w:szCs w:val="28"/>
        </w:rPr>
        <w:t xml:space="preserve"> del 2023</w:t>
      </w:r>
      <w:r w:rsidRPr="00102395">
        <w:rPr>
          <w:rFonts w:ascii="Garamond" w:hAnsi="Garamond" w:cs="Times New Roman"/>
          <w:color w:val="000000" w:themeColor="text1"/>
          <w:sz w:val="28"/>
          <w:szCs w:val="28"/>
        </w:rPr>
        <w:t>);</w:t>
      </w:r>
    </w:p>
    <w:p w:rsidR="008B0444" w:rsidRDefault="008B0444" w:rsidP="00C36CE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 </w:t>
      </w:r>
      <w:r w:rsidR="006625D2">
        <w:rPr>
          <w:rFonts w:ascii="Garamond" w:hAnsi="Garamond" w:cs="Times New Roman"/>
          <w:color w:val="000000" w:themeColor="text1"/>
          <w:sz w:val="28"/>
          <w:szCs w:val="28"/>
        </w:rPr>
        <w:t>l</w:t>
      </w:r>
      <w:r w:rsidRPr="008B0444">
        <w:rPr>
          <w:rFonts w:ascii="Garamond" w:hAnsi="Garamond" w:cs="Times New Roman"/>
          <w:color w:val="000000" w:themeColor="text1"/>
          <w:sz w:val="28"/>
          <w:szCs w:val="28"/>
        </w:rPr>
        <w:t>a titolarità della procedura di PAUR spetta alla Regione, alla quale, pertanto, va rimessa la competenza</w:t>
      </w:r>
      <w:r>
        <w:rPr>
          <w:rFonts w:ascii="Garamond" w:hAnsi="Garamond" w:cs="Times New Roman"/>
          <w:color w:val="000000" w:themeColor="text1"/>
          <w:sz w:val="28"/>
          <w:szCs w:val="28"/>
        </w:rPr>
        <w:t xml:space="preserve"> (</w:t>
      </w:r>
      <w:r w:rsidRPr="008B0444">
        <w:rPr>
          <w:rFonts w:ascii="Garamond" w:hAnsi="Garamond" w:cs="Times New Roman"/>
          <w:color w:val="000000" w:themeColor="text1"/>
          <w:sz w:val="28"/>
          <w:szCs w:val="28"/>
        </w:rPr>
        <w:t>Cons. Stato</w:t>
      </w:r>
      <w:r w:rsidR="008808B2">
        <w:rPr>
          <w:rFonts w:ascii="Garamond" w:hAnsi="Garamond" w:cs="Times New Roman"/>
          <w:color w:val="000000" w:themeColor="text1"/>
          <w:sz w:val="28"/>
          <w:szCs w:val="28"/>
        </w:rPr>
        <w:t>,</w:t>
      </w:r>
      <w:r w:rsidRPr="008B0444">
        <w:rPr>
          <w:rFonts w:ascii="Garamond" w:hAnsi="Garamond" w:cs="Times New Roman"/>
          <w:color w:val="000000" w:themeColor="text1"/>
          <w:sz w:val="28"/>
          <w:szCs w:val="28"/>
        </w:rPr>
        <w:t xml:space="preserve"> </w:t>
      </w:r>
      <w:r w:rsidR="00181410">
        <w:rPr>
          <w:rFonts w:ascii="Garamond" w:hAnsi="Garamond" w:cs="Times New Roman"/>
          <w:color w:val="000000" w:themeColor="text1"/>
          <w:sz w:val="28"/>
          <w:szCs w:val="28"/>
        </w:rPr>
        <w:t>sez.</w:t>
      </w:r>
      <w:r w:rsidRPr="008B0444">
        <w:rPr>
          <w:rFonts w:ascii="Garamond" w:hAnsi="Garamond" w:cs="Times New Roman"/>
          <w:color w:val="000000" w:themeColor="text1"/>
          <w:sz w:val="28"/>
          <w:szCs w:val="28"/>
        </w:rPr>
        <w:t xml:space="preserve"> IV, n</w:t>
      </w:r>
      <w:r w:rsidR="0032317E">
        <w:rPr>
          <w:rFonts w:ascii="Garamond" w:hAnsi="Garamond" w:cs="Times New Roman"/>
          <w:color w:val="000000" w:themeColor="text1"/>
          <w:sz w:val="28"/>
          <w:szCs w:val="28"/>
        </w:rPr>
        <w:t>n</w:t>
      </w:r>
      <w:r w:rsidRPr="008B0444">
        <w:rPr>
          <w:rFonts w:ascii="Garamond" w:hAnsi="Garamond" w:cs="Times New Roman"/>
          <w:color w:val="000000" w:themeColor="text1"/>
          <w:sz w:val="28"/>
          <w:szCs w:val="28"/>
        </w:rPr>
        <w:t>.</w:t>
      </w:r>
      <w:r w:rsidR="00650034">
        <w:rPr>
          <w:rFonts w:ascii="Garamond" w:hAnsi="Garamond" w:cs="Times New Roman"/>
          <w:color w:val="000000" w:themeColor="text1"/>
          <w:sz w:val="28"/>
          <w:szCs w:val="28"/>
        </w:rPr>
        <w:t xml:space="preserve"> 7675</w:t>
      </w:r>
      <w:r w:rsidR="00650034" w:rsidRPr="00650034">
        <w:rPr>
          <w:rFonts w:ascii="Garamond" w:hAnsi="Garamond" w:cs="Times New Roman"/>
          <w:color w:val="000000" w:themeColor="text1"/>
          <w:sz w:val="28"/>
          <w:szCs w:val="28"/>
        </w:rPr>
        <w:t>, 76</w:t>
      </w:r>
      <w:r w:rsidR="006625D2">
        <w:rPr>
          <w:rFonts w:ascii="Garamond" w:hAnsi="Garamond" w:cs="Times New Roman"/>
          <w:color w:val="000000" w:themeColor="text1"/>
          <w:sz w:val="28"/>
          <w:szCs w:val="28"/>
        </w:rPr>
        <w:t>7</w:t>
      </w:r>
      <w:r w:rsidR="00650034" w:rsidRPr="00650034">
        <w:rPr>
          <w:rFonts w:ascii="Garamond" w:hAnsi="Garamond" w:cs="Times New Roman"/>
          <w:color w:val="000000" w:themeColor="text1"/>
          <w:sz w:val="28"/>
          <w:szCs w:val="28"/>
        </w:rPr>
        <w:t xml:space="preserve">4 e </w:t>
      </w:r>
      <w:r w:rsidR="00650034">
        <w:rPr>
          <w:rFonts w:ascii="Garamond" w:hAnsi="Garamond" w:cs="Times New Roman"/>
          <w:color w:val="000000" w:themeColor="text1"/>
          <w:sz w:val="28"/>
          <w:szCs w:val="28"/>
        </w:rPr>
        <w:t>7673</w:t>
      </w:r>
      <w:r>
        <w:rPr>
          <w:rFonts w:ascii="Garamond" w:hAnsi="Garamond" w:cs="Times New Roman"/>
          <w:color w:val="000000" w:themeColor="text1"/>
          <w:sz w:val="28"/>
          <w:szCs w:val="28"/>
        </w:rPr>
        <w:t xml:space="preserve"> del 2021);</w:t>
      </w:r>
    </w:p>
    <w:p w:rsidR="00650034" w:rsidRDefault="00650034" w:rsidP="00650034">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lastRenderedPageBreak/>
        <w:t xml:space="preserve">- </w:t>
      </w:r>
      <w:r w:rsidR="006625D2">
        <w:rPr>
          <w:rFonts w:ascii="Garamond" w:hAnsi="Garamond" w:cs="Times New Roman"/>
          <w:color w:val="000000" w:themeColor="text1"/>
          <w:sz w:val="28"/>
          <w:szCs w:val="28"/>
        </w:rPr>
        <w:t>n</w:t>
      </w:r>
      <w:r w:rsidR="008E5B39">
        <w:rPr>
          <w:rFonts w:ascii="Garamond" w:hAnsi="Garamond" w:cs="Times New Roman"/>
          <w:color w:val="000000" w:themeColor="text1"/>
          <w:sz w:val="28"/>
          <w:szCs w:val="28"/>
        </w:rPr>
        <w:t xml:space="preserve">on vi è dubbio che il </w:t>
      </w:r>
      <w:r w:rsidR="004F0CCD">
        <w:rPr>
          <w:rFonts w:ascii="Garamond" w:hAnsi="Garamond" w:cs="Times New Roman"/>
          <w:color w:val="000000" w:themeColor="text1"/>
          <w:sz w:val="28"/>
          <w:szCs w:val="28"/>
        </w:rPr>
        <w:t>d.lgs.</w:t>
      </w:r>
      <w:r w:rsidRPr="00650034">
        <w:rPr>
          <w:rFonts w:ascii="Garamond" w:hAnsi="Garamond" w:cs="Times New Roman"/>
          <w:color w:val="000000" w:themeColor="text1"/>
          <w:sz w:val="28"/>
          <w:szCs w:val="28"/>
        </w:rPr>
        <w:t xml:space="preserve"> n. 104 del 2017, nell'attribuire alle Regioni (e alle Province autonome) il potere di conferire le funzioni amministrative ad esse attribuite in materia di VIA "</w:t>
      </w:r>
      <w:r w:rsidRPr="00650034">
        <w:rPr>
          <w:rFonts w:ascii="Garamond" w:hAnsi="Garamond" w:cs="Times New Roman"/>
          <w:i/>
          <w:color w:val="000000" w:themeColor="text1"/>
          <w:sz w:val="28"/>
          <w:szCs w:val="28"/>
        </w:rPr>
        <w:t>agli altri enti territoriali sub-regionali</w:t>
      </w:r>
      <w:r w:rsidRPr="00650034">
        <w:rPr>
          <w:rFonts w:ascii="Garamond" w:hAnsi="Garamond" w:cs="Times New Roman"/>
          <w:color w:val="000000" w:themeColor="text1"/>
          <w:sz w:val="28"/>
          <w:szCs w:val="28"/>
        </w:rPr>
        <w:t>", le abbia autorizzate, in astratto, anche a decentrare le funzioni ammi</w:t>
      </w:r>
      <w:r w:rsidR="006625D2">
        <w:rPr>
          <w:rFonts w:ascii="Garamond" w:hAnsi="Garamond" w:cs="Times New Roman"/>
          <w:color w:val="000000" w:themeColor="text1"/>
          <w:sz w:val="28"/>
          <w:szCs w:val="28"/>
        </w:rPr>
        <w:t>nistrative in materia di PAUR</w:t>
      </w:r>
      <w:r w:rsidRPr="00650034">
        <w:rPr>
          <w:rFonts w:ascii="Garamond" w:hAnsi="Garamond" w:cs="Times New Roman"/>
          <w:color w:val="000000" w:themeColor="text1"/>
          <w:sz w:val="28"/>
          <w:szCs w:val="28"/>
        </w:rPr>
        <w:t>. L'art. 27-</w:t>
      </w:r>
      <w:r w:rsidRPr="004A1FB7">
        <w:rPr>
          <w:rFonts w:ascii="Garamond" w:hAnsi="Garamond" w:cs="Times New Roman"/>
          <w:i/>
          <w:color w:val="000000" w:themeColor="text1"/>
          <w:sz w:val="28"/>
          <w:szCs w:val="28"/>
        </w:rPr>
        <w:t>bis</w:t>
      </w:r>
      <w:r w:rsidRPr="00650034">
        <w:rPr>
          <w:rFonts w:ascii="Garamond" w:hAnsi="Garamond" w:cs="Times New Roman"/>
          <w:color w:val="000000" w:themeColor="text1"/>
          <w:sz w:val="28"/>
          <w:szCs w:val="28"/>
        </w:rPr>
        <w:t xml:space="preserve"> del Codice dell'Ambiente è infatti chiaro nell'attribuire all' "</w:t>
      </w:r>
      <w:r w:rsidRPr="00650034">
        <w:rPr>
          <w:rFonts w:ascii="Garamond" w:hAnsi="Garamond" w:cs="Times New Roman"/>
          <w:i/>
          <w:color w:val="000000" w:themeColor="text1"/>
          <w:sz w:val="28"/>
          <w:szCs w:val="28"/>
        </w:rPr>
        <w:t>autorità competente</w:t>
      </w:r>
      <w:r w:rsidRPr="00650034">
        <w:rPr>
          <w:rFonts w:ascii="Garamond" w:hAnsi="Garamond" w:cs="Times New Roman"/>
          <w:color w:val="000000" w:themeColor="text1"/>
          <w:sz w:val="28"/>
          <w:szCs w:val="28"/>
        </w:rPr>
        <w:t>" in materia di VIA anche la funzione di rilascio di tale provvedimento</w:t>
      </w:r>
      <w:r>
        <w:rPr>
          <w:rFonts w:ascii="Garamond" w:hAnsi="Garamond" w:cs="Times New Roman"/>
          <w:color w:val="000000" w:themeColor="text1"/>
          <w:sz w:val="28"/>
          <w:szCs w:val="28"/>
        </w:rPr>
        <w:t xml:space="preserve"> (</w:t>
      </w:r>
      <w:r w:rsidRPr="00650034">
        <w:rPr>
          <w:rFonts w:ascii="Garamond" w:hAnsi="Garamond" w:cs="Times New Roman"/>
          <w:color w:val="000000" w:themeColor="text1"/>
          <w:sz w:val="28"/>
          <w:szCs w:val="28"/>
        </w:rPr>
        <w:t>Cons. Stato</w:t>
      </w:r>
      <w:r w:rsidR="008808B2">
        <w:rPr>
          <w:rFonts w:ascii="Garamond" w:hAnsi="Garamond" w:cs="Times New Roman"/>
          <w:color w:val="000000" w:themeColor="text1"/>
          <w:sz w:val="28"/>
          <w:szCs w:val="28"/>
        </w:rPr>
        <w:t>,</w:t>
      </w:r>
      <w:r w:rsidRPr="00650034">
        <w:rPr>
          <w:rFonts w:ascii="Garamond" w:hAnsi="Garamond" w:cs="Times New Roman"/>
          <w:color w:val="000000" w:themeColor="text1"/>
          <w:sz w:val="28"/>
          <w:szCs w:val="28"/>
        </w:rPr>
        <w:t xml:space="preserve"> </w:t>
      </w:r>
      <w:r w:rsidR="00181410">
        <w:rPr>
          <w:rFonts w:ascii="Garamond" w:hAnsi="Garamond" w:cs="Times New Roman"/>
          <w:color w:val="000000" w:themeColor="text1"/>
          <w:sz w:val="28"/>
          <w:szCs w:val="28"/>
        </w:rPr>
        <w:t>sez.</w:t>
      </w:r>
      <w:r w:rsidRPr="00650034">
        <w:rPr>
          <w:rFonts w:ascii="Garamond" w:hAnsi="Garamond" w:cs="Times New Roman"/>
          <w:color w:val="000000" w:themeColor="text1"/>
          <w:sz w:val="28"/>
          <w:szCs w:val="28"/>
        </w:rPr>
        <w:t xml:space="preserve"> IV, </w:t>
      </w:r>
      <w:r w:rsidR="0032317E">
        <w:rPr>
          <w:rFonts w:ascii="Garamond" w:hAnsi="Garamond" w:cs="Times New Roman"/>
          <w:color w:val="000000" w:themeColor="text1"/>
          <w:sz w:val="28"/>
          <w:szCs w:val="28"/>
        </w:rPr>
        <w:t>n</w:t>
      </w:r>
      <w:r>
        <w:rPr>
          <w:rFonts w:ascii="Garamond" w:hAnsi="Garamond" w:cs="Times New Roman"/>
          <w:color w:val="000000" w:themeColor="text1"/>
          <w:sz w:val="28"/>
          <w:szCs w:val="28"/>
        </w:rPr>
        <w:t>n. 6248, 6247, 6246 e 6245 del 2021);</w:t>
      </w:r>
    </w:p>
    <w:p w:rsidR="00C36CE0" w:rsidRDefault="00C36CE0" w:rsidP="00650034">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w:t>
      </w:r>
      <w:r w:rsidR="008808B2">
        <w:rPr>
          <w:rFonts w:ascii="Garamond" w:hAnsi="Garamond" w:cs="Times New Roman"/>
          <w:color w:val="000000" w:themeColor="text1"/>
          <w:sz w:val="28"/>
          <w:szCs w:val="28"/>
        </w:rPr>
        <w:t xml:space="preserve"> </w:t>
      </w:r>
      <w:r w:rsidR="006625D2">
        <w:rPr>
          <w:rFonts w:ascii="Garamond" w:hAnsi="Garamond" w:cs="Times New Roman"/>
          <w:color w:val="000000" w:themeColor="text1"/>
          <w:sz w:val="28"/>
          <w:szCs w:val="28"/>
        </w:rPr>
        <w:t>i</w:t>
      </w:r>
      <w:r w:rsidRPr="00C36CE0">
        <w:rPr>
          <w:rFonts w:ascii="Garamond" w:hAnsi="Garamond" w:cs="Times New Roman"/>
          <w:color w:val="000000" w:themeColor="text1"/>
          <w:sz w:val="28"/>
          <w:szCs w:val="28"/>
        </w:rPr>
        <w:t>l procedimento di autorizzazione unica, previsto dalla normativ</w:t>
      </w:r>
      <w:r w:rsidR="008E5B39">
        <w:rPr>
          <w:rFonts w:ascii="Garamond" w:hAnsi="Garamond" w:cs="Times New Roman"/>
          <w:color w:val="000000" w:themeColor="text1"/>
          <w:sz w:val="28"/>
          <w:szCs w:val="28"/>
        </w:rPr>
        <w:t>a di cui all'art. 27-</w:t>
      </w:r>
      <w:r w:rsidR="008E5B39" w:rsidRPr="006625D2">
        <w:rPr>
          <w:rFonts w:ascii="Garamond" w:hAnsi="Garamond" w:cs="Times New Roman"/>
          <w:i/>
          <w:color w:val="000000" w:themeColor="text1"/>
          <w:sz w:val="28"/>
          <w:szCs w:val="28"/>
        </w:rPr>
        <w:t xml:space="preserve">bis </w:t>
      </w:r>
      <w:r w:rsidR="008E5B39">
        <w:rPr>
          <w:rFonts w:ascii="Garamond" w:hAnsi="Garamond" w:cs="Times New Roman"/>
          <w:color w:val="000000" w:themeColor="text1"/>
          <w:sz w:val="28"/>
          <w:szCs w:val="28"/>
        </w:rPr>
        <w:t xml:space="preserve">del </w:t>
      </w:r>
      <w:r w:rsidR="004F0CCD">
        <w:rPr>
          <w:rFonts w:ascii="Garamond" w:hAnsi="Garamond" w:cs="Times New Roman"/>
          <w:color w:val="000000" w:themeColor="text1"/>
          <w:sz w:val="28"/>
          <w:szCs w:val="28"/>
        </w:rPr>
        <w:t>d.lgs.</w:t>
      </w:r>
      <w:r w:rsidR="006625D2">
        <w:rPr>
          <w:rFonts w:ascii="Garamond" w:hAnsi="Garamond" w:cs="Times New Roman"/>
          <w:color w:val="000000" w:themeColor="text1"/>
          <w:sz w:val="28"/>
          <w:szCs w:val="28"/>
        </w:rPr>
        <w:t xml:space="preserve"> n. 152 del </w:t>
      </w:r>
      <w:r w:rsidRPr="00C36CE0">
        <w:rPr>
          <w:rFonts w:ascii="Garamond" w:hAnsi="Garamond" w:cs="Times New Roman"/>
          <w:color w:val="000000" w:themeColor="text1"/>
          <w:sz w:val="28"/>
          <w:szCs w:val="28"/>
        </w:rPr>
        <w:t>2006, non contempla al suo interno deliberazioni del Consiglio comunale, interpretative o innovative che siano, relative al regime urbanistico delle aree coinvolte dal progetto da autorizzare</w:t>
      </w:r>
      <w:r>
        <w:rPr>
          <w:rFonts w:ascii="Garamond" w:hAnsi="Garamond" w:cs="Times New Roman"/>
          <w:color w:val="000000" w:themeColor="text1"/>
          <w:sz w:val="28"/>
          <w:szCs w:val="28"/>
        </w:rPr>
        <w:t xml:space="preserve"> (</w:t>
      </w:r>
      <w:r w:rsidRPr="00C36CE0">
        <w:rPr>
          <w:rFonts w:ascii="Garamond" w:hAnsi="Garamond" w:cs="Times New Roman"/>
          <w:color w:val="000000" w:themeColor="text1"/>
          <w:sz w:val="28"/>
          <w:szCs w:val="28"/>
        </w:rPr>
        <w:t xml:space="preserve">Cons. </w:t>
      </w:r>
      <w:r w:rsidRPr="00181410">
        <w:rPr>
          <w:rFonts w:ascii="Garamond" w:hAnsi="Garamond" w:cs="Times New Roman"/>
          <w:sz w:val="28"/>
          <w:szCs w:val="28"/>
        </w:rPr>
        <w:t>Stato</w:t>
      </w:r>
      <w:r w:rsidR="008808B2">
        <w:rPr>
          <w:rFonts w:ascii="Garamond" w:hAnsi="Garamond" w:cs="Times New Roman"/>
          <w:sz w:val="28"/>
          <w:szCs w:val="28"/>
        </w:rPr>
        <w:t>,</w:t>
      </w:r>
      <w:r w:rsidRPr="00181410">
        <w:rPr>
          <w:rFonts w:ascii="Garamond" w:hAnsi="Garamond" w:cs="Times New Roman"/>
          <w:sz w:val="28"/>
          <w:szCs w:val="28"/>
        </w:rPr>
        <w:t xml:space="preserve"> </w:t>
      </w:r>
      <w:r w:rsidR="00181410">
        <w:rPr>
          <w:rFonts w:ascii="Garamond" w:hAnsi="Garamond" w:cs="Times New Roman"/>
          <w:color w:val="000000" w:themeColor="text1"/>
          <w:sz w:val="28"/>
          <w:szCs w:val="28"/>
        </w:rPr>
        <w:t>sez.</w:t>
      </w:r>
      <w:r w:rsidRPr="00C36CE0">
        <w:rPr>
          <w:rFonts w:ascii="Garamond" w:hAnsi="Garamond" w:cs="Times New Roman"/>
          <w:color w:val="000000" w:themeColor="text1"/>
          <w:sz w:val="28"/>
          <w:szCs w:val="28"/>
        </w:rPr>
        <w:t xml:space="preserve"> IV, n. 6202</w:t>
      </w:r>
      <w:r w:rsidR="008B0444">
        <w:rPr>
          <w:rFonts w:ascii="Garamond" w:hAnsi="Garamond" w:cs="Times New Roman"/>
          <w:color w:val="000000" w:themeColor="text1"/>
          <w:sz w:val="28"/>
          <w:szCs w:val="28"/>
        </w:rPr>
        <w:t xml:space="preserve"> del 2021</w:t>
      </w:r>
      <w:r>
        <w:rPr>
          <w:rFonts w:ascii="Garamond" w:hAnsi="Garamond" w:cs="Times New Roman"/>
          <w:color w:val="000000" w:themeColor="text1"/>
          <w:sz w:val="28"/>
          <w:szCs w:val="28"/>
        </w:rPr>
        <w:t>)</w:t>
      </w:r>
      <w:r w:rsidR="008B0444">
        <w:rPr>
          <w:rFonts w:ascii="Garamond" w:hAnsi="Garamond" w:cs="Times New Roman"/>
          <w:color w:val="000000" w:themeColor="text1"/>
          <w:sz w:val="28"/>
          <w:szCs w:val="28"/>
        </w:rPr>
        <w:t>;</w:t>
      </w:r>
    </w:p>
    <w:p w:rsidR="008862E0" w:rsidRPr="007D0A5B" w:rsidRDefault="00C36CE0" w:rsidP="007D0A5B">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b/>
          <w:color w:val="000000" w:themeColor="text1"/>
          <w:sz w:val="28"/>
          <w:szCs w:val="28"/>
        </w:rPr>
        <w:t xml:space="preserve">- </w:t>
      </w:r>
      <w:r w:rsidR="006625D2">
        <w:rPr>
          <w:rFonts w:ascii="Garamond" w:hAnsi="Garamond" w:cs="Times New Roman"/>
          <w:color w:val="000000" w:themeColor="text1"/>
          <w:sz w:val="28"/>
          <w:szCs w:val="28"/>
        </w:rPr>
        <w:t>l</w:t>
      </w:r>
      <w:r w:rsidR="008862E0" w:rsidRPr="007D0A5B">
        <w:rPr>
          <w:rFonts w:ascii="Garamond" w:hAnsi="Garamond" w:cs="Times New Roman"/>
          <w:color w:val="000000" w:themeColor="text1"/>
          <w:sz w:val="28"/>
          <w:szCs w:val="28"/>
        </w:rPr>
        <w:t>a circostanza che nel provvedimento</w:t>
      </w:r>
      <w:r w:rsidR="008B0444">
        <w:rPr>
          <w:rFonts w:ascii="Garamond" w:hAnsi="Garamond" w:cs="Times New Roman"/>
          <w:color w:val="000000" w:themeColor="text1"/>
          <w:sz w:val="28"/>
          <w:szCs w:val="28"/>
        </w:rPr>
        <w:t xml:space="preserve"> adottato all’</w:t>
      </w:r>
      <w:r w:rsidR="00650034">
        <w:rPr>
          <w:rFonts w:ascii="Garamond" w:hAnsi="Garamond" w:cs="Times New Roman"/>
          <w:color w:val="000000" w:themeColor="text1"/>
          <w:sz w:val="28"/>
          <w:szCs w:val="28"/>
        </w:rPr>
        <w:t>esito del</w:t>
      </w:r>
      <w:r w:rsidR="008B0444">
        <w:rPr>
          <w:rFonts w:ascii="Garamond" w:hAnsi="Garamond" w:cs="Times New Roman"/>
          <w:color w:val="000000" w:themeColor="text1"/>
          <w:sz w:val="28"/>
          <w:szCs w:val="28"/>
        </w:rPr>
        <w:t xml:space="preserve"> PAUR</w:t>
      </w:r>
      <w:r w:rsidR="008862E0" w:rsidRPr="007D0A5B">
        <w:rPr>
          <w:rFonts w:ascii="Garamond" w:hAnsi="Garamond" w:cs="Times New Roman"/>
          <w:color w:val="000000" w:themeColor="text1"/>
          <w:sz w:val="28"/>
          <w:szCs w:val="28"/>
        </w:rPr>
        <w:t xml:space="preserve"> confluiscano, oltre al provvedimento di VIA, anche gli altri titoli abilitativi necessari per la realizzazione e l'esercizio del progetto, non </w:t>
      </w:r>
      <w:r w:rsidR="008B0444" w:rsidRPr="007D0A5B">
        <w:rPr>
          <w:rFonts w:ascii="Garamond" w:hAnsi="Garamond" w:cs="Times New Roman"/>
          <w:color w:val="000000" w:themeColor="text1"/>
          <w:sz w:val="28"/>
          <w:szCs w:val="28"/>
        </w:rPr>
        <w:t>può elidere</w:t>
      </w:r>
      <w:r w:rsidR="008862E0" w:rsidRPr="007D0A5B">
        <w:rPr>
          <w:rFonts w:ascii="Garamond" w:hAnsi="Garamond" w:cs="Times New Roman"/>
          <w:color w:val="000000" w:themeColor="text1"/>
          <w:sz w:val="28"/>
          <w:szCs w:val="28"/>
        </w:rPr>
        <w:t xml:space="preserve"> il fatto che l'effetto autorizzativo deriva dalla stessa determinazione conclusiva della Conferenza stessa (ove positiva), la quale è potenzialmente in grado di superare anche eventu</w:t>
      </w:r>
      <w:r w:rsidR="0032317E">
        <w:rPr>
          <w:rFonts w:ascii="Garamond" w:hAnsi="Garamond" w:cs="Times New Roman"/>
          <w:color w:val="000000" w:themeColor="text1"/>
          <w:sz w:val="28"/>
          <w:szCs w:val="28"/>
        </w:rPr>
        <w:t>ali dissensi, o silenzi, delle a</w:t>
      </w:r>
      <w:r w:rsidR="008862E0" w:rsidRPr="007D0A5B">
        <w:rPr>
          <w:rFonts w:ascii="Garamond" w:hAnsi="Garamond" w:cs="Times New Roman"/>
          <w:color w:val="000000" w:themeColor="text1"/>
          <w:sz w:val="28"/>
          <w:szCs w:val="28"/>
        </w:rPr>
        <w:t>mministrazioni ordinariamente compe</w:t>
      </w:r>
      <w:r w:rsidRPr="007D0A5B">
        <w:rPr>
          <w:rFonts w:ascii="Garamond" w:hAnsi="Garamond" w:cs="Times New Roman"/>
          <w:color w:val="000000" w:themeColor="text1"/>
          <w:sz w:val="28"/>
          <w:szCs w:val="28"/>
        </w:rPr>
        <w:t>tenti. Tale modello procedimentale di carattere unitario è in grado di incidere sulla qualità stessa della decisione.</w:t>
      </w:r>
      <w:r w:rsidRPr="007D0A5B">
        <w:t xml:space="preserve"> </w:t>
      </w:r>
      <w:r w:rsidRPr="007D0A5B">
        <w:rPr>
          <w:rFonts w:ascii="Garamond" w:hAnsi="Garamond" w:cs="Times New Roman"/>
          <w:color w:val="000000" w:themeColor="text1"/>
          <w:sz w:val="28"/>
          <w:szCs w:val="28"/>
        </w:rPr>
        <w:t xml:space="preserve">La struttura del procedimento e gli effetti propri del </w:t>
      </w:r>
      <w:r w:rsidR="008B0444">
        <w:rPr>
          <w:rFonts w:ascii="Garamond" w:hAnsi="Garamond" w:cs="Times New Roman"/>
          <w:color w:val="000000" w:themeColor="text1"/>
          <w:sz w:val="28"/>
          <w:szCs w:val="28"/>
        </w:rPr>
        <w:t>PAUR</w:t>
      </w:r>
      <w:r w:rsidRPr="007D0A5B">
        <w:rPr>
          <w:rFonts w:ascii="Garamond" w:hAnsi="Garamond" w:cs="Times New Roman"/>
          <w:color w:val="000000" w:themeColor="text1"/>
          <w:sz w:val="28"/>
          <w:szCs w:val="28"/>
        </w:rPr>
        <w:t xml:space="preserve"> inducono quindi a ritenere che le relative funzioni amministrative - in quanto "</w:t>
      </w:r>
      <w:r w:rsidRPr="008B0444">
        <w:rPr>
          <w:rFonts w:ascii="Garamond" w:hAnsi="Garamond" w:cs="Times New Roman"/>
          <w:i/>
          <w:color w:val="000000" w:themeColor="text1"/>
          <w:sz w:val="28"/>
          <w:szCs w:val="28"/>
        </w:rPr>
        <w:t>integrano</w:t>
      </w:r>
      <w:r w:rsidRPr="007D0A5B">
        <w:rPr>
          <w:rFonts w:ascii="Garamond" w:hAnsi="Garamond" w:cs="Times New Roman"/>
          <w:color w:val="000000" w:themeColor="text1"/>
          <w:sz w:val="28"/>
          <w:szCs w:val="28"/>
        </w:rPr>
        <w:t>" la VIA "</w:t>
      </w:r>
      <w:r w:rsidRPr="008B0444">
        <w:rPr>
          <w:rFonts w:ascii="Garamond" w:hAnsi="Garamond" w:cs="Times New Roman"/>
          <w:i/>
          <w:color w:val="000000" w:themeColor="text1"/>
          <w:sz w:val="28"/>
          <w:szCs w:val="28"/>
        </w:rPr>
        <w:t>nelle procedure esistenti di autorizzazione dei progetti</w:t>
      </w:r>
      <w:r w:rsidRPr="007D0A5B">
        <w:rPr>
          <w:rFonts w:ascii="Garamond" w:hAnsi="Garamond" w:cs="Times New Roman"/>
          <w:color w:val="000000" w:themeColor="text1"/>
          <w:sz w:val="28"/>
          <w:szCs w:val="28"/>
        </w:rPr>
        <w:t xml:space="preserve">" (così l'art. 1, 2, della </w:t>
      </w:r>
      <w:r w:rsidR="006C564E">
        <w:rPr>
          <w:rFonts w:ascii="Garamond" w:hAnsi="Garamond" w:cs="Times New Roman"/>
          <w:color w:val="000000" w:themeColor="text1"/>
          <w:sz w:val="28"/>
          <w:szCs w:val="28"/>
        </w:rPr>
        <w:t>direttiva</w:t>
      </w:r>
      <w:r w:rsidRPr="007D0A5B">
        <w:rPr>
          <w:rFonts w:ascii="Garamond" w:hAnsi="Garamond" w:cs="Times New Roman"/>
          <w:color w:val="000000" w:themeColor="text1"/>
          <w:sz w:val="28"/>
          <w:szCs w:val="28"/>
        </w:rPr>
        <w:t xml:space="preserve"> 2014/52/UE) - siano espressione di una nuova competenza, implicante poteri e responsabilità ulteriori in capo all'Autorità procedente rispetto alla sola espressione del giudizio di compatibilità ambientale</w:t>
      </w:r>
      <w:r w:rsidR="007D0A5B">
        <w:rPr>
          <w:rFonts w:ascii="Garamond" w:hAnsi="Garamond" w:cs="Times New Roman"/>
          <w:color w:val="000000" w:themeColor="text1"/>
          <w:sz w:val="28"/>
          <w:szCs w:val="28"/>
        </w:rPr>
        <w:t>;</w:t>
      </w:r>
      <w:r w:rsidR="007D0A5B" w:rsidRPr="007D0A5B">
        <w:t xml:space="preserve"> </w:t>
      </w:r>
      <w:r w:rsidR="007D0A5B">
        <w:rPr>
          <w:rFonts w:ascii="Garamond" w:hAnsi="Garamond" w:cs="Times New Roman"/>
          <w:color w:val="000000" w:themeColor="text1"/>
          <w:sz w:val="28"/>
          <w:szCs w:val="28"/>
        </w:rPr>
        <w:t xml:space="preserve">la </w:t>
      </w:r>
      <w:r w:rsidR="0032317E">
        <w:rPr>
          <w:rFonts w:ascii="Garamond" w:hAnsi="Garamond" w:cs="Times New Roman"/>
          <w:color w:val="000000" w:themeColor="text1"/>
          <w:sz w:val="28"/>
          <w:szCs w:val="28"/>
        </w:rPr>
        <w:t>r</w:t>
      </w:r>
      <w:r w:rsidR="007D0A5B">
        <w:rPr>
          <w:rFonts w:ascii="Garamond" w:hAnsi="Garamond" w:cs="Times New Roman"/>
          <w:color w:val="000000" w:themeColor="text1"/>
          <w:sz w:val="28"/>
          <w:szCs w:val="28"/>
        </w:rPr>
        <w:t xml:space="preserve">egione Puglia pertanto, avuto riguardo all’assetto di competenze stabilito dalla </w:t>
      </w:r>
      <w:r w:rsidR="006C564E">
        <w:rPr>
          <w:rFonts w:ascii="Garamond" w:hAnsi="Garamond" w:cs="Times New Roman"/>
          <w:color w:val="000000" w:themeColor="text1"/>
          <w:sz w:val="28"/>
          <w:szCs w:val="28"/>
        </w:rPr>
        <w:t>legge</w:t>
      </w:r>
      <w:r w:rsidR="007D0A5B">
        <w:rPr>
          <w:rFonts w:ascii="Garamond" w:hAnsi="Garamond" w:cs="Times New Roman"/>
          <w:color w:val="000000" w:themeColor="text1"/>
          <w:sz w:val="28"/>
          <w:szCs w:val="28"/>
        </w:rPr>
        <w:t xml:space="preserve"> regionale</w:t>
      </w:r>
      <w:r w:rsidR="008B0444">
        <w:rPr>
          <w:rFonts w:ascii="Garamond" w:hAnsi="Garamond" w:cs="Times New Roman"/>
          <w:color w:val="000000" w:themeColor="text1"/>
          <w:sz w:val="28"/>
          <w:szCs w:val="28"/>
        </w:rPr>
        <w:t xml:space="preserve">, </w:t>
      </w:r>
      <w:r w:rsidR="008B0444" w:rsidRPr="008B0444">
        <w:t xml:space="preserve"> </w:t>
      </w:r>
      <w:r w:rsidR="008B0444" w:rsidRPr="008B0444">
        <w:rPr>
          <w:rFonts w:ascii="Garamond" w:hAnsi="Garamond" w:cs="Times New Roman"/>
          <w:color w:val="000000" w:themeColor="text1"/>
          <w:sz w:val="28"/>
          <w:szCs w:val="28"/>
        </w:rPr>
        <w:t>anter</w:t>
      </w:r>
      <w:r w:rsidR="006625D2">
        <w:rPr>
          <w:rFonts w:ascii="Garamond" w:hAnsi="Garamond" w:cs="Times New Roman"/>
          <w:color w:val="000000" w:themeColor="text1"/>
          <w:sz w:val="28"/>
          <w:szCs w:val="28"/>
        </w:rPr>
        <w:t>iore all’introduzione del</w:t>
      </w:r>
      <w:r w:rsidR="008B0444">
        <w:rPr>
          <w:rFonts w:ascii="Garamond" w:hAnsi="Garamond" w:cs="Times New Roman"/>
          <w:color w:val="000000" w:themeColor="text1"/>
          <w:sz w:val="28"/>
          <w:szCs w:val="28"/>
        </w:rPr>
        <w:t xml:space="preserve"> PAUR</w:t>
      </w:r>
      <w:r w:rsidR="008B0444" w:rsidRPr="008B0444">
        <w:rPr>
          <w:rFonts w:ascii="Garamond" w:hAnsi="Garamond" w:cs="Times New Roman"/>
          <w:color w:val="000000" w:themeColor="text1"/>
          <w:sz w:val="28"/>
          <w:szCs w:val="28"/>
        </w:rPr>
        <w:t xml:space="preserve">,  </w:t>
      </w:r>
      <w:r w:rsidR="007D0A5B">
        <w:rPr>
          <w:rFonts w:ascii="Garamond" w:hAnsi="Garamond" w:cs="Times New Roman"/>
          <w:color w:val="000000" w:themeColor="text1"/>
          <w:sz w:val="28"/>
          <w:szCs w:val="28"/>
        </w:rPr>
        <w:t xml:space="preserve"> vigente in materia</w:t>
      </w:r>
      <w:r w:rsidR="008808B2">
        <w:rPr>
          <w:rFonts w:ascii="Garamond" w:hAnsi="Garamond" w:cs="Times New Roman"/>
          <w:color w:val="000000" w:themeColor="text1"/>
          <w:sz w:val="28"/>
          <w:szCs w:val="28"/>
        </w:rPr>
        <w:t>,</w:t>
      </w:r>
      <w:r w:rsidR="007D0A5B">
        <w:rPr>
          <w:rFonts w:ascii="Garamond" w:hAnsi="Garamond" w:cs="Times New Roman"/>
          <w:color w:val="000000" w:themeColor="text1"/>
          <w:sz w:val="28"/>
          <w:szCs w:val="28"/>
        </w:rPr>
        <w:t xml:space="preserve"> che  devolve</w:t>
      </w:r>
      <w:r w:rsidR="007D0A5B" w:rsidRPr="007D0A5B">
        <w:rPr>
          <w:rFonts w:ascii="Garamond" w:hAnsi="Garamond" w:cs="Times New Roman"/>
          <w:color w:val="000000" w:themeColor="text1"/>
          <w:sz w:val="28"/>
          <w:szCs w:val="28"/>
        </w:rPr>
        <w:t xml:space="preserve"> alle </w:t>
      </w:r>
      <w:r w:rsidR="0032317E">
        <w:rPr>
          <w:rFonts w:ascii="Garamond" w:hAnsi="Garamond" w:cs="Times New Roman"/>
          <w:color w:val="000000" w:themeColor="text1"/>
          <w:sz w:val="28"/>
          <w:szCs w:val="28"/>
        </w:rPr>
        <w:t>p</w:t>
      </w:r>
      <w:r w:rsidR="007D0A5B" w:rsidRPr="007D0A5B">
        <w:rPr>
          <w:rFonts w:ascii="Garamond" w:hAnsi="Garamond" w:cs="Times New Roman"/>
          <w:color w:val="000000" w:themeColor="text1"/>
          <w:sz w:val="28"/>
          <w:szCs w:val="28"/>
        </w:rPr>
        <w:t xml:space="preserve">rovince tutte le competenze in materia di </w:t>
      </w:r>
      <w:r w:rsidR="007D0A5B" w:rsidRPr="00181410">
        <w:rPr>
          <w:rFonts w:ascii="Garamond" w:hAnsi="Garamond" w:cs="Times New Roman"/>
          <w:sz w:val="28"/>
          <w:szCs w:val="28"/>
        </w:rPr>
        <w:t>valutazione</w:t>
      </w:r>
      <w:r w:rsidR="007D0A5B" w:rsidRPr="007D0A5B">
        <w:rPr>
          <w:rFonts w:ascii="Garamond" w:hAnsi="Garamond" w:cs="Times New Roman"/>
          <w:color w:val="000000" w:themeColor="text1"/>
          <w:sz w:val="28"/>
          <w:szCs w:val="28"/>
        </w:rPr>
        <w:t xml:space="preserve"> di impatto ambientale</w:t>
      </w:r>
      <w:r w:rsidR="007D0A5B">
        <w:rPr>
          <w:rFonts w:ascii="Garamond" w:hAnsi="Garamond" w:cs="Times New Roman"/>
          <w:color w:val="000000" w:themeColor="text1"/>
          <w:sz w:val="28"/>
          <w:szCs w:val="28"/>
        </w:rPr>
        <w:t xml:space="preserve"> (</w:t>
      </w:r>
      <w:r w:rsidR="00981AFC">
        <w:rPr>
          <w:rFonts w:ascii="Garamond" w:hAnsi="Garamond" w:cs="Times New Roman"/>
          <w:color w:val="000000" w:themeColor="text1"/>
          <w:sz w:val="28"/>
          <w:szCs w:val="28"/>
        </w:rPr>
        <w:t>l.r</w:t>
      </w:r>
      <w:r w:rsidR="007D0A5B">
        <w:rPr>
          <w:rFonts w:ascii="Garamond" w:hAnsi="Garamond" w:cs="Times New Roman"/>
          <w:color w:val="000000" w:themeColor="text1"/>
          <w:sz w:val="28"/>
          <w:szCs w:val="28"/>
        </w:rPr>
        <w:t>. n.17/2007)</w:t>
      </w:r>
      <w:r w:rsidR="007D0A5B" w:rsidRPr="007D0A5B">
        <w:rPr>
          <w:rFonts w:ascii="Garamond" w:hAnsi="Garamond" w:cs="Times New Roman"/>
          <w:color w:val="000000" w:themeColor="text1"/>
          <w:sz w:val="28"/>
          <w:szCs w:val="28"/>
        </w:rPr>
        <w:t>,</w:t>
      </w:r>
      <w:r w:rsidR="007D0A5B">
        <w:rPr>
          <w:rFonts w:ascii="Garamond" w:hAnsi="Garamond" w:cs="Times New Roman"/>
          <w:color w:val="000000" w:themeColor="text1"/>
          <w:sz w:val="28"/>
          <w:szCs w:val="28"/>
        </w:rPr>
        <w:t xml:space="preserve"> </w:t>
      </w:r>
      <w:r w:rsidR="007D0A5B" w:rsidRPr="007D0A5B">
        <w:rPr>
          <w:rFonts w:ascii="Garamond" w:hAnsi="Garamond" w:cs="Times New Roman"/>
          <w:color w:val="000000" w:themeColor="text1"/>
          <w:sz w:val="28"/>
          <w:szCs w:val="28"/>
        </w:rPr>
        <w:t>avrebbe  dovu</w:t>
      </w:r>
      <w:r w:rsidR="0032317E">
        <w:rPr>
          <w:rFonts w:ascii="Garamond" w:hAnsi="Garamond" w:cs="Times New Roman"/>
          <w:color w:val="000000" w:themeColor="text1"/>
          <w:sz w:val="28"/>
          <w:szCs w:val="28"/>
        </w:rPr>
        <w:t>to espressamente delegare alle p</w:t>
      </w:r>
      <w:r w:rsidR="007D0A5B" w:rsidRPr="007D0A5B">
        <w:rPr>
          <w:rFonts w:ascii="Garamond" w:hAnsi="Garamond" w:cs="Times New Roman"/>
          <w:color w:val="000000" w:themeColor="text1"/>
          <w:sz w:val="28"/>
          <w:szCs w:val="28"/>
        </w:rPr>
        <w:t>rovince la nuova competenza, appro</w:t>
      </w:r>
      <w:r w:rsidR="007D0A5B">
        <w:rPr>
          <w:rFonts w:ascii="Garamond" w:hAnsi="Garamond" w:cs="Times New Roman"/>
          <w:color w:val="000000" w:themeColor="text1"/>
          <w:sz w:val="28"/>
          <w:szCs w:val="28"/>
        </w:rPr>
        <w:t xml:space="preserve">vando una nuova </w:t>
      </w:r>
      <w:r w:rsidR="006C564E">
        <w:rPr>
          <w:rFonts w:ascii="Garamond" w:hAnsi="Garamond" w:cs="Times New Roman"/>
          <w:color w:val="000000" w:themeColor="text1"/>
          <w:sz w:val="28"/>
          <w:szCs w:val="28"/>
        </w:rPr>
        <w:t>legge</w:t>
      </w:r>
      <w:r w:rsidR="007D0A5B">
        <w:rPr>
          <w:rFonts w:ascii="Garamond" w:hAnsi="Garamond" w:cs="Times New Roman"/>
          <w:color w:val="000000" w:themeColor="text1"/>
          <w:sz w:val="28"/>
          <w:szCs w:val="28"/>
        </w:rPr>
        <w:t xml:space="preserve"> regionale</w:t>
      </w:r>
      <w:r w:rsidRPr="007D0A5B">
        <w:rPr>
          <w:rFonts w:ascii="Garamond" w:hAnsi="Garamond" w:cs="Times New Roman"/>
          <w:color w:val="000000" w:themeColor="text1"/>
          <w:sz w:val="28"/>
          <w:szCs w:val="28"/>
        </w:rPr>
        <w:t xml:space="preserve"> (Cons</w:t>
      </w:r>
      <w:r w:rsidR="008B0444">
        <w:rPr>
          <w:rFonts w:ascii="Garamond" w:hAnsi="Garamond" w:cs="Times New Roman"/>
          <w:color w:val="000000" w:themeColor="text1"/>
          <w:sz w:val="28"/>
          <w:szCs w:val="28"/>
        </w:rPr>
        <w:t xml:space="preserve">. </w:t>
      </w:r>
      <w:r w:rsidR="008B0444" w:rsidRPr="00181410">
        <w:rPr>
          <w:rFonts w:ascii="Garamond" w:hAnsi="Garamond" w:cs="Times New Roman"/>
          <w:sz w:val="28"/>
          <w:szCs w:val="28"/>
        </w:rPr>
        <w:t>Stato</w:t>
      </w:r>
      <w:r w:rsidR="00266741" w:rsidRPr="00181410">
        <w:rPr>
          <w:rFonts w:ascii="Garamond" w:hAnsi="Garamond" w:cs="Times New Roman"/>
          <w:sz w:val="28"/>
          <w:szCs w:val="28"/>
        </w:rPr>
        <w:t>,</w:t>
      </w:r>
      <w:r w:rsidR="008B0444" w:rsidRPr="00181410">
        <w:rPr>
          <w:rFonts w:ascii="Garamond" w:hAnsi="Garamond" w:cs="Times New Roman"/>
          <w:sz w:val="28"/>
          <w:szCs w:val="28"/>
        </w:rPr>
        <w:t xml:space="preserve"> </w:t>
      </w:r>
      <w:r w:rsidR="00266741" w:rsidRPr="00181410">
        <w:rPr>
          <w:rFonts w:ascii="Garamond" w:hAnsi="Garamond" w:cs="Times New Roman"/>
          <w:sz w:val="28"/>
          <w:szCs w:val="28"/>
        </w:rPr>
        <w:t>s</w:t>
      </w:r>
      <w:r w:rsidR="008B0444" w:rsidRPr="00181410">
        <w:rPr>
          <w:rFonts w:ascii="Garamond" w:hAnsi="Garamond" w:cs="Times New Roman"/>
          <w:sz w:val="28"/>
          <w:szCs w:val="28"/>
        </w:rPr>
        <w:t>ez</w:t>
      </w:r>
      <w:r w:rsidR="008B0444">
        <w:rPr>
          <w:rFonts w:ascii="Garamond" w:hAnsi="Garamond" w:cs="Times New Roman"/>
          <w:color w:val="000000" w:themeColor="text1"/>
          <w:sz w:val="28"/>
          <w:szCs w:val="28"/>
        </w:rPr>
        <w:t xml:space="preserve">. IV, </w:t>
      </w:r>
      <w:r w:rsidRPr="007D0A5B">
        <w:rPr>
          <w:rFonts w:ascii="Garamond" w:hAnsi="Garamond" w:cs="Times New Roman"/>
          <w:color w:val="000000" w:themeColor="text1"/>
          <w:sz w:val="28"/>
          <w:szCs w:val="28"/>
        </w:rPr>
        <w:t>n. 6195</w:t>
      </w:r>
      <w:r w:rsidR="008B0444">
        <w:rPr>
          <w:rFonts w:ascii="Garamond" w:hAnsi="Garamond" w:cs="Times New Roman"/>
          <w:color w:val="000000" w:themeColor="text1"/>
          <w:sz w:val="28"/>
          <w:szCs w:val="28"/>
        </w:rPr>
        <w:t xml:space="preserve"> del 2021</w:t>
      </w:r>
      <w:r w:rsidR="006625D2">
        <w:rPr>
          <w:rFonts w:ascii="Garamond" w:hAnsi="Garamond" w:cs="Times New Roman"/>
          <w:color w:val="000000" w:themeColor="text1"/>
          <w:sz w:val="28"/>
          <w:szCs w:val="28"/>
        </w:rPr>
        <w:t>).</w:t>
      </w:r>
    </w:p>
    <w:p w:rsidR="008B0444" w:rsidRDefault="008B0444" w:rsidP="00BF2644">
      <w:pPr>
        <w:spacing w:line="240" w:lineRule="auto"/>
        <w:ind w:firstLine="709"/>
        <w:contextualSpacing/>
        <w:jc w:val="both"/>
        <w:rPr>
          <w:rFonts w:ascii="Garamond" w:hAnsi="Garamond" w:cs="Times New Roman"/>
          <w:b/>
          <w:color w:val="000000" w:themeColor="text1"/>
          <w:sz w:val="28"/>
          <w:szCs w:val="28"/>
        </w:rPr>
      </w:pPr>
    </w:p>
    <w:p w:rsidR="00B1430D" w:rsidRDefault="008E5B39" w:rsidP="00BF2644">
      <w:pPr>
        <w:spacing w:line="240" w:lineRule="auto"/>
        <w:ind w:firstLine="709"/>
        <w:contextualSpacing/>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5</w:t>
      </w:r>
      <w:r w:rsidR="0012719B" w:rsidRPr="00BF2644">
        <w:rPr>
          <w:rFonts w:ascii="Garamond" w:hAnsi="Garamond" w:cs="Times New Roman"/>
          <w:b/>
          <w:color w:val="000000" w:themeColor="text1"/>
          <w:sz w:val="28"/>
          <w:szCs w:val="28"/>
        </w:rPr>
        <w:t xml:space="preserve">. </w:t>
      </w:r>
      <w:r w:rsidR="008E6A9E" w:rsidRPr="00BF2644">
        <w:rPr>
          <w:rFonts w:ascii="Garamond" w:hAnsi="Garamond" w:cs="Times New Roman"/>
          <w:b/>
          <w:color w:val="000000" w:themeColor="text1"/>
          <w:sz w:val="28"/>
          <w:szCs w:val="28"/>
        </w:rPr>
        <w:t xml:space="preserve">Interferenze con la VAS. </w:t>
      </w:r>
      <w:r w:rsidR="0012719B" w:rsidRPr="00BF2644">
        <w:rPr>
          <w:rFonts w:ascii="Garamond" w:hAnsi="Garamond" w:cs="Times New Roman"/>
          <w:b/>
          <w:color w:val="000000" w:themeColor="text1"/>
          <w:sz w:val="28"/>
          <w:szCs w:val="28"/>
        </w:rPr>
        <w:t xml:space="preserve">I piani e programmi da sottoporre a </w:t>
      </w:r>
      <w:r w:rsidR="00384190" w:rsidRPr="00BF2644">
        <w:rPr>
          <w:rFonts w:ascii="Garamond" w:hAnsi="Garamond" w:cs="Times New Roman"/>
          <w:b/>
          <w:color w:val="000000" w:themeColor="text1"/>
          <w:sz w:val="28"/>
          <w:szCs w:val="28"/>
        </w:rPr>
        <w:t xml:space="preserve">VAS </w:t>
      </w:r>
      <w:r w:rsidR="0012719B" w:rsidRPr="00BF2644">
        <w:rPr>
          <w:rFonts w:ascii="Garamond" w:hAnsi="Garamond" w:cs="Times New Roman"/>
          <w:b/>
          <w:color w:val="000000" w:themeColor="text1"/>
          <w:sz w:val="28"/>
          <w:szCs w:val="28"/>
        </w:rPr>
        <w:t>nella</w:t>
      </w:r>
      <w:r w:rsidR="00B1430D">
        <w:rPr>
          <w:rFonts w:ascii="Garamond" w:hAnsi="Garamond" w:cs="Times New Roman"/>
          <w:b/>
          <w:color w:val="000000" w:themeColor="text1"/>
          <w:sz w:val="28"/>
          <w:szCs w:val="28"/>
        </w:rPr>
        <w:t xml:space="preserve"> giurisprudenza della Corte di </w:t>
      </w:r>
      <w:r w:rsidR="006C564E">
        <w:rPr>
          <w:rFonts w:ascii="Garamond" w:hAnsi="Garamond" w:cs="Times New Roman"/>
          <w:b/>
          <w:color w:val="000000" w:themeColor="text1"/>
          <w:sz w:val="28"/>
          <w:szCs w:val="28"/>
        </w:rPr>
        <w:t>giustizia</w:t>
      </w:r>
    </w:p>
    <w:p w:rsidR="008E5B39" w:rsidRPr="008E5B39" w:rsidRDefault="00B1430D" w:rsidP="00BF2644">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La Corte di </w:t>
      </w:r>
      <w:r w:rsidR="006C564E">
        <w:rPr>
          <w:rFonts w:ascii="Garamond" w:hAnsi="Garamond" w:cs="Times New Roman"/>
          <w:color w:val="000000" w:themeColor="text1"/>
          <w:sz w:val="28"/>
          <w:szCs w:val="28"/>
        </w:rPr>
        <w:t>giustizia</w:t>
      </w:r>
      <w:r>
        <w:rPr>
          <w:rFonts w:ascii="Garamond" w:hAnsi="Garamond" w:cs="Times New Roman"/>
          <w:color w:val="000000" w:themeColor="text1"/>
          <w:sz w:val="28"/>
          <w:szCs w:val="28"/>
        </w:rPr>
        <w:t xml:space="preserve"> </w:t>
      </w:r>
      <w:r w:rsidR="00EF3480">
        <w:rPr>
          <w:rFonts w:ascii="Garamond" w:hAnsi="Garamond" w:cs="Times New Roman"/>
          <w:color w:val="000000" w:themeColor="text1"/>
          <w:sz w:val="28"/>
          <w:szCs w:val="28"/>
        </w:rPr>
        <w:t>ha dettato importanti princì</w:t>
      </w:r>
      <w:r w:rsidR="008E5B39" w:rsidRPr="008E5B39">
        <w:rPr>
          <w:rFonts w:ascii="Garamond" w:hAnsi="Garamond" w:cs="Times New Roman"/>
          <w:color w:val="000000" w:themeColor="text1"/>
          <w:sz w:val="28"/>
          <w:szCs w:val="28"/>
        </w:rPr>
        <w:t>pi relativamente ai piani</w:t>
      </w:r>
      <w:r w:rsidR="008E5B39">
        <w:rPr>
          <w:rFonts w:ascii="Garamond" w:hAnsi="Garamond" w:cs="Times New Roman"/>
          <w:color w:val="000000" w:themeColor="text1"/>
          <w:sz w:val="28"/>
          <w:szCs w:val="28"/>
        </w:rPr>
        <w:t xml:space="preserve"> e programmi da sottoporre a VAS.</w:t>
      </w:r>
    </w:p>
    <w:p w:rsidR="00161CF8" w:rsidRDefault="00161CF8"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La finalità della </w:t>
      </w:r>
      <w:r w:rsidR="006C564E">
        <w:rPr>
          <w:rFonts w:ascii="Garamond" w:hAnsi="Garamond" w:cs="Times New Roman"/>
          <w:color w:val="000000" w:themeColor="text1"/>
          <w:sz w:val="28"/>
          <w:szCs w:val="28"/>
        </w:rPr>
        <w:t>direttiva</w:t>
      </w:r>
      <w:r w:rsidRPr="00BF2644">
        <w:rPr>
          <w:rFonts w:ascii="Garamond" w:hAnsi="Garamond" w:cs="Times New Roman"/>
          <w:color w:val="000000" w:themeColor="text1"/>
          <w:sz w:val="28"/>
          <w:szCs w:val="28"/>
        </w:rPr>
        <w:t xml:space="preserve"> 2001/42,  concernente la valutazione degli effetti di determinati piani e programmi sull'ambiente,  che a sua volta si inserisce nel quadro previsto dall'art. 37 della carta dei diritti fondamentali dell'Unione europea, secondo il quale un livello elevato di tutela dell'ambiente e il miglioramento della sua qualità devono essere integrati nelle politiche dell'Unione e garantiti conformemente al principio </w:t>
      </w:r>
      <w:r w:rsidR="007146AC" w:rsidRPr="00BF2644">
        <w:rPr>
          <w:rFonts w:ascii="Garamond" w:hAnsi="Garamond" w:cs="Times New Roman"/>
          <w:color w:val="000000" w:themeColor="text1"/>
          <w:sz w:val="28"/>
          <w:szCs w:val="28"/>
        </w:rPr>
        <w:t xml:space="preserve">dello sviluppo sostenibile, come rammentato nel suo </w:t>
      </w:r>
      <w:r w:rsidRPr="00BF2644">
        <w:rPr>
          <w:rFonts w:ascii="Garamond" w:hAnsi="Garamond" w:cs="Times New Roman"/>
          <w:color w:val="000000" w:themeColor="text1"/>
          <w:sz w:val="28"/>
          <w:szCs w:val="28"/>
        </w:rPr>
        <w:t>art. 1, è di garantire un elevato livello di protezione dell'ambien</w:t>
      </w:r>
      <w:r w:rsidR="007146AC" w:rsidRPr="00BF2644">
        <w:rPr>
          <w:rFonts w:ascii="Garamond" w:hAnsi="Garamond" w:cs="Times New Roman"/>
          <w:color w:val="000000" w:themeColor="text1"/>
          <w:sz w:val="28"/>
          <w:szCs w:val="28"/>
        </w:rPr>
        <w:t xml:space="preserve">te </w:t>
      </w:r>
      <w:r w:rsidRPr="00BF2644">
        <w:rPr>
          <w:rFonts w:ascii="Garamond" w:hAnsi="Garamond" w:cs="Times New Roman"/>
          <w:color w:val="000000" w:themeColor="text1"/>
          <w:sz w:val="28"/>
          <w:szCs w:val="28"/>
        </w:rPr>
        <w:t>e di contribuire all</w:t>
      </w:r>
      <w:r w:rsidR="007146AC" w:rsidRPr="00BF2644">
        <w:rPr>
          <w:rFonts w:ascii="Garamond" w:hAnsi="Garamond" w:cs="Times New Roman"/>
          <w:color w:val="000000" w:themeColor="text1"/>
          <w:sz w:val="28"/>
          <w:szCs w:val="28"/>
        </w:rPr>
        <w:t xml:space="preserve">'integrazione di considerazioni </w:t>
      </w:r>
      <w:r w:rsidRPr="00BF2644">
        <w:rPr>
          <w:rFonts w:ascii="Garamond" w:hAnsi="Garamond" w:cs="Times New Roman"/>
          <w:color w:val="000000" w:themeColor="text1"/>
          <w:sz w:val="28"/>
          <w:szCs w:val="28"/>
        </w:rPr>
        <w:t>ambientali all'atto de</w:t>
      </w:r>
      <w:r w:rsidR="007146AC" w:rsidRPr="00BF2644">
        <w:rPr>
          <w:rFonts w:ascii="Garamond" w:hAnsi="Garamond" w:cs="Times New Roman"/>
          <w:color w:val="000000" w:themeColor="text1"/>
          <w:sz w:val="28"/>
          <w:szCs w:val="28"/>
        </w:rPr>
        <w:t xml:space="preserve">ll'elaborazione e dell'adozione </w:t>
      </w:r>
      <w:r w:rsidRPr="00BF2644">
        <w:rPr>
          <w:rFonts w:ascii="Garamond" w:hAnsi="Garamond" w:cs="Times New Roman"/>
          <w:color w:val="000000" w:themeColor="text1"/>
          <w:sz w:val="28"/>
          <w:szCs w:val="28"/>
        </w:rPr>
        <w:t>di piani e programmi al fine di prom</w:t>
      </w:r>
      <w:r w:rsidR="007146AC" w:rsidRPr="00BF2644">
        <w:rPr>
          <w:rFonts w:ascii="Garamond" w:hAnsi="Garamond" w:cs="Times New Roman"/>
          <w:color w:val="000000" w:themeColor="text1"/>
          <w:sz w:val="28"/>
          <w:szCs w:val="28"/>
        </w:rPr>
        <w:t xml:space="preserve">uovere lo sviluppo sostenibile. </w:t>
      </w:r>
      <w:r w:rsidRPr="00BF2644">
        <w:rPr>
          <w:rFonts w:ascii="Garamond" w:hAnsi="Garamond" w:cs="Times New Roman"/>
          <w:color w:val="000000" w:themeColor="text1"/>
          <w:sz w:val="28"/>
          <w:szCs w:val="28"/>
        </w:rPr>
        <w:t>Pertanto, come emerge</w:t>
      </w:r>
      <w:r w:rsidR="007146AC" w:rsidRPr="00BF2644">
        <w:rPr>
          <w:rFonts w:ascii="Garamond" w:hAnsi="Garamond" w:cs="Times New Roman"/>
          <w:color w:val="000000" w:themeColor="text1"/>
          <w:sz w:val="28"/>
          <w:szCs w:val="28"/>
        </w:rPr>
        <w:t xml:space="preserve"> dal citato art. 1, l'obiettivo </w:t>
      </w:r>
      <w:r w:rsidRPr="00BF2644">
        <w:rPr>
          <w:rFonts w:ascii="Garamond" w:hAnsi="Garamond" w:cs="Times New Roman"/>
          <w:color w:val="000000" w:themeColor="text1"/>
          <w:sz w:val="28"/>
          <w:szCs w:val="28"/>
        </w:rPr>
        <w:t xml:space="preserve">essenziale della </w:t>
      </w:r>
      <w:r w:rsidR="006C564E">
        <w:rPr>
          <w:rFonts w:ascii="Garamond" w:hAnsi="Garamond" w:cs="Times New Roman"/>
          <w:color w:val="000000" w:themeColor="text1"/>
          <w:sz w:val="28"/>
          <w:szCs w:val="28"/>
        </w:rPr>
        <w:t>direttiva</w:t>
      </w:r>
      <w:r w:rsidRPr="00BF2644">
        <w:rPr>
          <w:rFonts w:ascii="Garamond" w:hAnsi="Garamond" w:cs="Times New Roman"/>
          <w:color w:val="000000" w:themeColor="text1"/>
          <w:sz w:val="28"/>
          <w:szCs w:val="28"/>
        </w:rPr>
        <w:t xml:space="preserve"> 20</w:t>
      </w:r>
      <w:r w:rsidR="007146AC" w:rsidRPr="00BF2644">
        <w:rPr>
          <w:rFonts w:ascii="Garamond" w:hAnsi="Garamond" w:cs="Times New Roman"/>
          <w:color w:val="000000" w:themeColor="text1"/>
          <w:sz w:val="28"/>
          <w:szCs w:val="28"/>
        </w:rPr>
        <w:t xml:space="preserve">01/42 consiste nel sottoporre i </w:t>
      </w:r>
      <w:r w:rsidRPr="00BF2644">
        <w:rPr>
          <w:rFonts w:ascii="Garamond" w:hAnsi="Garamond" w:cs="Times New Roman"/>
          <w:color w:val="000000" w:themeColor="text1"/>
          <w:sz w:val="28"/>
          <w:szCs w:val="28"/>
        </w:rPr>
        <w:t>piani e programmi che poss</w:t>
      </w:r>
      <w:r w:rsidR="007146AC" w:rsidRPr="00BF2644">
        <w:rPr>
          <w:rFonts w:ascii="Garamond" w:hAnsi="Garamond" w:cs="Times New Roman"/>
          <w:color w:val="000000" w:themeColor="text1"/>
          <w:sz w:val="28"/>
          <w:szCs w:val="28"/>
        </w:rPr>
        <w:t xml:space="preserve">ono avere effetti significativi </w:t>
      </w:r>
      <w:r w:rsidRPr="00BF2644">
        <w:rPr>
          <w:rFonts w:ascii="Garamond" w:hAnsi="Garamond" w:cs="Times New Roman"/>
          <w:color w:val="000000" w:themeColor="text1"/>
          <w:sz w:val="28"/>
          <w:szCs w:val="28"/>
        </w:rPr>
        <w:t>sull'ambiente ad una valutaz</w:t>
      </w:r>
      <w:r w:rsidR="007146AC" w:rsidRPr="00BF2644">
        <w:rPr>
          <w:rFonts w:ascii="Garamond" w:hAnsi="Garamond" w:cs="Times New Roman"/>
          <w:color w:val="000000" w:themeColor="text1"/>
          <w:sz w:val="28"/>
          <w:szCs w:val="28"/>
        </w:rPr>
        <w:t xml:space="preserve">ione ambientale nel corso della </w:t>
      </w:r>
      <w:r w:rsidRPr="00BF2644">
        <w:rPr>
          <w:rFonts w:ascii="Garamond" w:hAnsi="Garamond" w:cs="Times New Roman"/>
          <w:color w:val="000000" w:themeColor="text1"/>
          <w:sz w:val="28"/>
          <w:szCs w:val="28"/>
        </w:rPr>
        <w:t xml:space="preserve">loro elaborazione </w:t>
      </w:r>
      <w:r w:rsidRPr="00BF2644">
        <w:rPr>
          <w:rFonts w:ascii="Garamond" w:hAnsi="Garamond" w:cs="Times New Roman"/>
          <w:color w:val="000000" w:themeColor="text1"/>
          <w:sz w:val="28"/>
          <w:szCs w:val="28"/>
        </w:rPr>
        <w:lastRenderedPageBreak/>
        <w:t>ed anteriormen</w:t>
      </w:r>
      <w:r w:rsidR="008E5B39">
        <w:rPr>
          <w:rFonts w:ascii="Garamond" w:hAnsi="Garamond" w:cs="Times New Roman"/>
          <w:color w:val="000000" w:themeColor="text1"/>
          <w:sz w:val="28"/>
          <w:szCs w:val="28"/>
        </w:rPr>
        <w:t>t</w:t>
      </w:r>
      <w:r w:rsidR="00B1430D">
        <w:rPr>
          <w:rFonts w:ascii="Garamond" w:hAnsi="Garamond" w:cs="Times New Roman"/>
          <w:color w:val="000000" w:themeColor="text1"/>
          <w:sz w:val="28"/>
          <w:szCs w:val="28"/>
        </w:rPr>
        <w:t xml:space="preserve">e alla loro adozione (Corte di </w:t>
      </w:r>
      <w:r w:rsidR="006C564E">
        <w:rPr>
          <w:rFonts w:ascii="Garamond" w:hAnsi="Garamond" w:cs="Times New Roman"/>
          <w:color w:val="000000" w:themeColor="text1"/>
          <w:sz w:val="28"/>
          <w:szCs w:val="28"/>
        </w:rPr>
        <w:t>giustizia</w:t>
      </w:r>
      <w:r w:rsidR="009D0737">
        <w:rPr>
          <w:rFonts w:ascii="Garamond" w:hAnsi="Garamond" w:cs="Times New Roman"/>
          <w:color w:val="000000" w:themeColor="text1"/>
          <w:sz w:val="28"/>
          <w:szCs w:val="28"/>
        </w:rPr>
        <w:t>, 22</w:t>
      </w:r>
      <w:r w:rsidRPr="00BF2644">
        <w:rPr>
          <w:rFonts w:ascii="Garamond" w:hAnsi="Garamond" w:cs="Times New Roman"/>
          <w:color w:val="000000" w:themeColor="text1"/>
          <w:sz w:val="28"/>
          <w:szCs w:val="28"/>
        </w:rPr>
        <w:t xml:space="preserve"> settembre 2011, </w:t>
      </w:r>
      <w:r w:rsidR="007146AC" w:rsidRPr="00BF2644">
        <w:rPr>
          <w:rFonts w:ascii="Garamond" w:hAnsi="Garamond" w:cs="Times New Roman"/>
          <w:color w:val="000000" w:themeColor="text1"/>
          <w:sz w:val="28"/>
          <w:szCs w:val="28"/>
        </w:rPr>
        <w:t xml:space="preserve">C-295/10, </w:t>
      </w:r>
      <w:r w:rsidRPr="00BF2644">
        <w:rPr>
          <w:rFonts w:ascii="Garamond" w:hAnsi="Garamond" w:cs="Times New Roman"/>
          <w:color w:val="000000" w:themeColor="text1"/>
          <w:sz w:val="28"/>
          <w:szCs w:val="28"/>
        </w:rPr>
        <w:t xml:space="preserve">punto 37, </w:t>
      </w:r>
      <w:r w:rsidR="007146AC" w:rsidRPr="00BF2644">
        <w:rPr>
          <w:rFonts w:ascii="Garamond" w:hAnsi="Garamond" w:cs="Times New Roman"/>
          <w:color w:val="000000" w:themeColor="text1"/>
          <w:sz w:val="28"/>
          <w:szCs w:val="28"/>
        </w:rPr>
        <w:t>e 7 giugno 2018</w:t>
      </w:r>
      <w:r w:rsidRPr="00BF2644">
        <w:rPr>
          <w:rFonts w:ascii="Garamond" w:hAnsi="Garamond" w:cs="Times New Roman"/>
          <w:color w:val="000000" w:themeColor="text1"/>
          <w:sz w:val="28"/>
          <w:szCs w:val="28"/>
        </w:rPr>
        <w:t>, punto 61, e giurisprudenza ivi citata).</w:t>
      </w:r>
    </w:p>
    <w:p w:rsidR="00CE4BA0" w:rsidRDefault="00B1430D" w:rsidP="00B1430D">
      <w:pPr>
        <w:spacing w:line="240" w:lineRule="auto"/>
        <w:ind w:firstLine="709"/>
        <w:contextualSpacing/>
        <w:jc w:val="both"/>
        <w:rPr>
          <w:rFonts w:ascii="Garamond" w:hAnsi="Garamond" w:cs="Times New Roman"/>
          <w:color w:val="000000" w:themeColor="text1"/>
          <w:sz w:val="28"/>
          <w:szCs w:val="28"/>
        </w:rPr>
      </w:pPr>
      <w:r w:rsidRPr="00B1430D">
        <w:rPr>
          <w:rFonts w:ascii="Garamond" w:hAnsi="Garamond" w:cs="Times New Roman"/>
          <w:color w:val="000000" w:themeColor="text1"/>
          <w:sz w:val="28"/>
          <w:szCs w:val="28"/>
        </w:rPr>
        <w:t xml:space="preserve">La Corte </w:t>
      </w:r>
      <w:r w:rsidR="00CE4BA0">
        <w:rPr>
          <w:rFonts w:ascii="Garamond" w:hAnsi="Garamond" w:cs="Times New Roman"/>
          <w:color w:val="000000" w:themeColor="text1"/>
          <w:sz w:val="28"/>
          <w:szCs w:val="28"/>
        </w:rPr>
        <w:t xml:space="preserve">di </w:t>
      </w:r>
      <w:r w:rsidR="006C564E">
        <w:rPr>
          <w:rFonts w:ascii="Garamond" w:hAnsi="Garamond" w:cs="Times New Roman"/>
          <w:color w:val="000000" w:themeColor="text1"/>
          <w:sz w:val="28"/>
          <w:szCs w:val="28"/>
        </w:rPr>
        <w:t>giustizia</w:t>
      </w:r>
      <w:r w:rsidR="009D0737">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 xml:space="preserve"> </w:t>
      </w:r>
      <w:r w:rsidRPr="00B1430D">
        <w:rPr>
          <w:rFonts w:ascii="Garamond" w:hAnsi="Garamond" w:cs="Times New Roman"/>
          <w:color w:val="000000" w:themeColor="text1"/>
          <w:sz w:val="28"/>
          <w:szCs w:val="28"/>
        </w:rPr>
        <w:t>ha ritenuto che</w:t>
      </w:r>
      <w:r w:rsidR="00CE4BA0">
        <w:rPr>
          <w:rFonts w:ascii="Garamond" w:hAnsi="Garamond" w:cs="Times New Roman"/>
          <w:color w:val="000000" w:themeColor="text1"/>
          <w:sz w:val="28"/>
          <w:szCs w:val="28"/>
        </w:rPr>
        <w:t xml:space="preserve"> gli obiettivi </w:t>
      </w:r>
      <w:r w:rsidRPr="00B1430D">
        <w:rPr>
          <w:rFonts w:ascii="Garamond" w:hAnsi="Garamond" w:cs="Times New Roman"/>
          <w:color w:val="000000" w:themeColor="text1"/>
          <w:sz w:val="28"/>
          <w:szCs w:val="28"/>
        </w:rPr>
        <w:t xml:space="preserve"> </w:t>
      </w:r>
      <w:r w:rsidR="00CE4BA0" w:rsidRPr="00CE4BA0">
        <w:rPr>
          <w:rFonts w:ascii="Garamond" w:hAnsi="Garamond" w:cs="Times New Roman"/>
          <w:color w:val="000000" w:themeColor="text1"/>
          <w:sz w:val="28"/>
          <w:szCs w:val="28"/>
        </w:rPr>
        <w:t>di tutela e di miglioramento della qualità dell'ambiente</w:t>
      </w:r>
      <w:r w:rsidR="008808B2">
        <w:rPr>
          <w:rFonts w:ascii="Garamond" w:hAnsi="Garamond" w:cs="Times New Roman"/>
          <w:color w:val="000000" w:themeColor="text1"/>
          <w:sz w:val="28"/>
          <w:szCs w:val="28"/>
        </w:rPr>
        <w:t>,</w:t>
      </w:r>
      <w:r w:rsidR="00CE4BA0">
        <w:rPr>
          <w:rFonts w:ascii="Garamond" w:hAnsi="Garamond" w:cs="Times New Roman"/>
          <w:color w:val="000000" w:themeColor="text1"/>
          <w:sz w:val="28"/>
          <w:szCs w:val="28"/>
        </w:rPr>
        <w:t xml:space="preserve"> previsti dal</w:t>
      </w:r>
      <w:r w:rsidR="00CE4BA0" w:rsidRPr="00CE4BA0">
        <w:rPr>
          <w:rFonts w:ascii="Garamond" w:hAnsi="Garamond" w:cs="Times New Roman"/>
          <w:color w:val="000000" w:themeColor="text1"/>
          <w:sz w:val="28"/>
          <w:szCs w:val="28"/>
        </w:rPr>
        <w:t xml:space="preserve">l'art. 3, par. 3, </w:t>
      </w:r>
      <w:r w:rsidR="008808B2" w:rsidRPr="00CE4BA0">
        <w:rPr>
          <w:rFonts w:ascii="Garamond" w:hAnsi="Garamond" w:cs="Times New Roman"/>
          <w:color w:val="000000" w:themeColor="text1"/>
          <w:sz w:val="28"/>
          <w:szCs w:val="28"/>
        </w:rPr>
        <w:t>TUE</w:t>
      </w:r>
      <w:r w:rsidR="00CE4BA0">
        <w:rPr>
          <w:rFonts w:ascii="Garamond" w:hAnsi="Garamond" w:cs="Times New Roman"/>
          <w:color w:val="000000" w:themeColor="text1"/>
          <w:sz w:val="28"/>
          <w:szCs w:val="28"/>
        </w:rPr>
        <w:t xml:space="preserve"> </w:t>
      </w:r>
      <w:r w:rsidR="00CE4BA0" w:rsidRPr="00CE4BA0">
        <w:rPr>
          <w:rFonts w:ascii="Garamond" w:hAnsi="Garamond" w:cs="Times New Roman"/>
          <w:color w:val="000000" w:themeColor="text1"/>
          <w:sz w:val="28"/>
          <w:szCs w:val="28"/>
        </w:rPr>
        <w:t xml:space="preserve">rischierebbero di essere compromessi se l'art. 2, lett. a), della </w:t>
      </w:r>
      <w:r w:rsidR="006C564E">
        <w:rPr>
          <w:rFonts w:ascii="Garamond" w:hAnsi="Garamond" w:cs="Times New Roman"/>
          <w:color w:val="000000" w:themeColor="text1"/>
          <w:sz w:val="28"/>
          <w:szCs w:val="28"/>
        </w:rPr>
        <w:t>direttiva</w:t>
      </w:r>
      <w:r w:rsidR="00CE4BA0" w:rsidRPr="00CE4BA0">
        <w:rPr>
          <w:rFonts w:ascii="Garamond" w:hAnsi="Garamond" w:cs="Times New Roman"/>
          <w:color w:val="000000" w:themeColor="text1"/>
          <w:sz w:val="28"/>
          <w:szCs w:val="28"/>
        </w:rPr>
        <w:t xml:space="preserve"> 2001/42 fosse interpretato nel senso che solo i piani o programmi la cui adozione è obbligatoria sono soggetti all'obbligo di una valutazione ambie</w:t>
      </w:r>
      <w:r w:rsidR="00CE4BA0">
        <w:rPr>
          <w:rFonts w:ascii="Garamond" w:hAnsi="Garamond" w:cs="Times New Roman"/>
          <w:color w:val="000000" w:themeColor="text1"/>
          <w:sz w:val="28"/>
          <w:szCs w:val="28"/>
        </w:rPr>
        <w:t xml:space="preserve">ntale sancito da tale </w:t>
      </w:r>
      <w:r w:rsidR="006C564E">
        <w:rPr>
          <w:rFonts w:ascii="Garamond" w:hAnsi="Garamond" w:cs="Times New Roman"/>
          <w:color w:val="000000" w:themeColor="text1"/>
          <w:sz w:val="28"/>
          <w:szCs w:val="28"/>
        </w:rPr>
        <w:t>direttiva</w:t>
      </w:r>
      <w:r w:rsidR="00CE4BA0">
        <w:rPr>
          <w:rFonts w:ascii="Garamond" w:hAnsi="Garamond" w:cs="Times New Roman"/>
          <w:color w:val="000000" w:themeColor="text1"/>
          <w:sz w:val="28"/>
          <w:szCs w:val="28"/>
        </w:rPr>
        <w:t>, privilegiando</w:t>
      </w:r>
      <w:r w:rsidR="00CE4BA0" w:rsidRPr="00CE4BA0">
        <w:rPr>
          <w:rFonts w:ascii="Garamond" w:hAnsi="Garamond" w:cs="Times New Roman"/>
          <w:color w:val="000000" w:themeColor="text1"/>
          <w:sz w:val="28"/>
          <w:szCs w:val="28"/>
        </w:rPr>
        <w:t xml:space="preserve"> la necessità di garantire l'efficacia pratica di tale condizione adottando un'accezione più ampia del termine «previsti» </w:t>
      </w:r>
      <w:r w:rsidR="00CE4BA0">
        <w:rPr>
          <w:rFonts w:ascii="Garamond" w:hAnsi="Garamond" w:cs="Times New Roman"/>
          <w:color w:val="000000" w:themeColor="text1"/>
          <w:sz w:val="28"/>
          <w:szCs w:val="28"/>
        </w:rPr>
        <w:t xml:space="preserve">(Corte di </w:t>
      </w:r>
      <w:r w:rsidR="006C564E">
        <w:rPr>
          <w:rFonts w:ascii="Garamond" w:hAnsi="Garamond" w:cs="Times New Roman"/>
          <w:color w:val="000000" w:themeColor="text1"/>
          <w:sz w:val="28"/>
          <w:szCs w:val="28"/>
        </w:rPr>
        <w:t>giustizia</w:t>
      </w:r>
      <w:r w:rsidR="00CE4BA0">
        <w:rPr>
          <w:rFonts w:ascii="Garamond" w:hAnsi="Garamond" w:cs="Times New Roman"/>
          <w:color w:val="000000" w:themeColor="text1"/>
          <w:sz w:val="28"/>
          <w:szCs w:val="28"/>
        </w:rPr>
        <w:t xml:space="preserve">, </w:t>
      </w:r>
      <w:r w:rsidR="00CE4BA0" w:rsidRPr="00CE4BA0">
        <w:rPr>
          <w:rFonts w:ascii="Garamond" w:hAnsi="Garamond" w:cs="Times New Roman"/>
          <w:color w:val="000000" w:themeColor="text1"/>
          <w:sz w:val="28"/>
          <w:szCs w:val="28"/>
        </w:rPr>
        <w:t>sentenza 22 marzo 2012, C-567/10, punto 30).</w:t>
      </w:r>
    </w:p>
    <w:p w:rsidR="00B1430D" w:rsidRPr="00B1430D" w:rsidRDefault="00CE4BA0" w:rsidP="00CE4BA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Nella giurisprudenza della Corte rientra</w:t>
      </w:r>
      <w:r w:rsidR="00B1430D" w:rsidRPr="00B1430D">
        <w:rPr>
          <w:rFonts w:ascii="Garamond" w:hAnsi="Garamond" w:cs="Times New Roman"/>
          <w:color w:val="000000" w:themeColor="text1"/>
          <w:sz w:val="28"/>
          <w:szCs w:val="28"/>
        </w:rPr>
        <w:t>no</w:t>
      </w:r>
      <w:r>
        <w:rPr>
          <w:rFonts w:ascii="Garamond" w:hAnsi="Garamond" w:cs="Times New Roman"/>
          <w:color w:val="000000" w:themeColor="text1"/>
          <w:sz w:val="28"/>
          <w:szCs w:val="28"/>
        </w:rPr>
        <w:t xml:space="preserve"> pertanto</w:t>
      </w:r>
      <w:r w:rsidR="00B1430D" w:rsidRPr="00B1430D">
        <w:rPr>
          <w:rFonts w:ascii="Garamond" w:hAnsi="Garamond" w:cs="Times New Roman"/>
          <w:color w:val="000000" w:themeColor="text1"/>
          <w:sz w:val="28"/>
          <w:szCs w:val="28"/>
        </w:rPr>
        <w:t xml:space="preserve"> nella nozione di «</w:t>
      </w:r>
      <w:r w:rsidR="00B1430D" w:rsidRPr="007D32E4">
        <w:rPr>
          <w:rFonts w:ascii="Garamond" w:hAnsi="Garamond" w:cs="Times New Roman"/>
          <w:i/>
          <w:color w:val="000000" w:themeColor="text1"/>
          <w:sz w:val="28"/>
          <w:szCs w:val="28"/>
        </w:rPr>
        <w:t>piani e programmi</w:t>
      </w:r>
      <w:r w:rsidR="00B1430D" w:rsidRPr="00B1430D">
        <w:rPr>
          <w:rFonts w:ascii="Garamond" w:hAnsi="Garamond" w:cs="Times New Roman"/>
          <w:color w:val="000000" w:themeColor="text1"/>
          <w:sz w:val="28"/>
          <w:szCs w:val="28"/>
        </w:rPr>
        <w:t xml:space="preserve">», ai sensi della </w:t>
      </w:r>
      <w:r w:rsidR="006C564E">
        <w:rPr>
          <w:rFonts w:ascii="Garamond" w:hAnsi="Garamond" w:cs="Times New Roman"/>
          <w:color w:val="000000" w:themeColor="text1"/>
          <w:sz w:val="28"/>
          <w:szCs w:val="28"/>
        </w:rPr>
        <w:t>direttiva</w:t>
      </w:r>
      <w:r w:rsidR="00B1430D" w:rsidRPr="00B1430D">
        <w:rPr>
          <w:rFonts w:ascii="Garamond" w:hAnsi="Garamond" w:cs="Times New Roman"/>
          <w:color w:val="000000" w:themeColor="text1"/>
          <w:sz w:val="28"/>
          <w:szCs w:val="28"/>
        </w:rPr>
        <w:t xml:space="preserve"> 2001/42/Ce, qualora possano avere effetti significativi sull'ambiente, con la conseguenza che vanno sottoposti a una valutazione ambientale preventiva:</w:t>
      </w:r>
    </w:p>
    <w:p w:rsidR="00B1430D" w:rsidRPr="00266741" w:rsidRDefault="00B1430D" w:rsidP="00266741">
      <w:pPr>
        <w:pStyle w:val="Paragrafoelenco"/>
        <w:numPr>
          <w:ilvl w:val="0"/>
          <w:numId w:val="26"/>
        </w:numPr>
        <w:spacing w:line="240" w:lineRule="auto"/>
        <w:jc w:val="both"/>
        <w:rPr>
          <w:rFonts w:ascii="Garamond" w:hAnsi="Garamond" w:cs="Times New Roman"/>
          <w:color w:val="000000" w:themeColor="text1"/>
          <w:sz w:val="28"/>
          <w:szCs w:val="28"/>
        </w:rPr>
      </w:pPr>
      <w:r w:rsidRPr="00266741">
        <w:rPr>
          <w:rFonts w:ascii="Garamond" w:hAnsi="Garamond" w:cs="Times New Roman"/>
          <w:color w:val="000000" w:themeColor="text1"/>
          <w:sz w:val="28"/>
          <w:szCs w:val="28"/>
        </w:rPr>
        <w:t xml:space="preserve">la normativa nazionale costituita da una normativa di base e da una normativa di esecuzione, che determina in aumento la capacità degli impianti di incenerimento dei rifiuti esistenti e che prevede la realizzazione di nuovi impianti di tale natura, qualora possa avere effetti significativi sull’ambiente (Corte </w:t>
      </w:r>
      <w:r w:rsidR="00661E3C" w:rsidRPr="00266741">
        <w:rPr>
          <w:rFonts w:ascii="Garamond" w:hAnsi="Garamond" w:cs="Times New Roman"/>
          <w:color w:val="000000" w:themeColor="text1"/>
          <w:sz w:val="28"/>
          <w:szCs w:val="28"/>
        </w:rPr>
        <w:t xml:space="preserve">di </w:t>
      </w:r>
      <w:r w:rsidR="006C564E" w:rsidRPr="008808B2">
        <w:rPr>
          <w:rFonts w:ascii="Garamond" w:hAnsi="Garamond" w:cs="Times New Roman"/>
          <w:color w:val="000000" w:themeColor="text1"/>
          <w:sz w:val="28"/>
          <w:szCs w:val="28"/>
        </w:rPr>
        <w:t>giustizia</w:t>
      </w:r>
      <w:r w:rsidRPr="008808B2">
        <w:rPr>
          <w:rFonts w:ascii="Garamond" w:hAnsi="Garamond" w:cs="Times New Roman"/>
          <w:color w:val="000000" w:themeColor="text1"/>
          <w:sz w:val="28"/>
          <w:szCs w:val="28"/>
        </w:rPr>
        <w:t xml:space="preserve"> </w:t>
      </w:r>
      <w:r w:rsidR="00266741" w:rsidRPr="008808B2">
        <w:rPr>
          <w:rFonts w:ascii="Garamond" w:hAnsi="Garamond" w:cs="Times New Roman"/>
          <w:color w:val="000000" w:themeColor="text1"/>
          <w:sz w:val="28"/>
          <w:szCs w:val="28"/>
        </w:rPr>
        <w:t xml:space="preserve">UE, </w:t>
      </w:r>
      <w:r w:rsidRPr="008808B2">
        <w:rPr>
          <w:rFonts w:ascii="Garamond" w:hAnsi="Garamond" w:cs="Times New Roman"/>
          <w:color w:val="000000" w:themeColor="text1"/>
          <w:sz w:val="28"/>
          <w:szCs w:val="28"/>
        </w:rPr>
        <w:t>8</w:t>
      </w:r>
      <w:r w:rsidRPr="00266741">
        <w:rPr>
          <w:rFonts w:ascii="Garamond" w:hAnsi="Garamond" w:cs="Times New Roman"/>
          <w:color w:val="000000" w:themeColor="text1"/>
          <w:sz w:val="28"/>
          <w:szCs w:val="28"/>
        </w:rPr>
        <w:t xml:space="preserve"> maggio 2019, C-305/18);</w:t>
      </w:r>
    </w:p>
    <w:p w:rsidR="00266741" w:rsidRDefault="00B1430D" w:rsidP="00266741">
      <w:pPr>
        <w:pStyle w:val="Paragrafoelenco"/>
        <w:numPr>
          <w:ilvl w:val="0"/>
          <w:numId w:val="26"/>
        </w:numPr>
        <w:spacing w:line="240" w:lineRule="auto"/>
        <w:jc w:val="both"/>
        <w:rPr>
          <w:rFonts w:ascii="Garamond" w:hAnsi="Garamond" w:cs="Times New Roman"/>
          <w:color w:val="000000" w:themeColor="text1"/>
          <w:sz w:val="28"/>
          <w:szCs w:val="28"/>
        </w:rPr>
      </w:pPr>
      <w:r w:rsidRPr="00266741">
        <w:rPr>
          <w:rFonts w:ascii="Garamond" w:hAnsi="Garamond" w:cs="Times New Roman"/>
          <w:color w:val="000000" w:themeColor="text1"/>
          <w:sz w:val="28"/>
          <w:szCs w:val="28"/>
        </w:rPr>
        <w:t xml:space="preserve">un </w:t>
      </w:r>
      <w:r w:rsidR="006C564E">
        <w:rPr>
          <w:rFonts w:ascii="Garamond" w:hAnsi="Garamond" w:cs="Times New Roman"/>
          <w:color w:val="000000" w:themeColor="text1"/>
          <w:sz w:val="28"/>
          <w:szCs w:val="28"/>
        </w:rPr>
        <w:t>decreto</w:t>
      </w:r>
      <w:r w:rsidRPr="00266741">
        <w:rPr>
          <w:rFonts w:ascii="Garamond" w:hAnsi="Garamond" w:cs="Times New Roman"/>
          <w:color w:val="000000" w:themeColor="text1"/>
          <w:sz w:val="28"/>
          <w:szCs w:val="28"/>
        </w:rPr>
        <w:t xml:space="preserve"> che adotta un perimetro di consolidamento urbano, con l'unico obiettivo di definire un'area geografica all'interno della quale potrà essere realizzato un progetto urbanistico di riqualificazione e sviluppo delle funzioni urbane, che necessiti della creazione, modifica, soppressione o rifacimento della rete stradale e degli spazi pubblici, per la realizzazione del quale sarà consentito derogare a talune disposizioni urbanistiche (Corte</w:t>
      </w:r>
      <w:r w:rsidR="00661E3C" w:rsidRPr="00266741">
        <w:rPr>
          <w:rFonts w:ascii="Garamond" w:hAnsi="Garamond" w:cs="Times New Roman"/>
          <w:color w:val="000000" w:themeColor="text1"/>
          <w:sz w:val="28"/>
          <w:szCs w:val="28"/>
        </w:rPr>
        <w:t xml:space="preserve"> </w:t>
      </w:r>
      <w:proofErr w:type="gramStart"/>
      <w:r w:rsidR="00661E3C" w:rsidRPr="00266741">
        <w:rPr>
          <w:rFonts w:ascii="Garamond" w:hAnsi="Garamond" w:cs="Times New Roman"/>
          <w:color w:val="000000" w:themeColor="text1"/>
          <w:sz w:val="28"/>
          <w:szCs w:val="28"/>
        </w:rPr>
        <w:t xml:space="preserve">di  </w:t>
      </w:r>
      <w:r w:rsidR="006C564E">
        <w:rPr>
          <w:rFonts w:ascii="Garamond" w:hAnsi="Garamond" w:cs="Times New Roman"/>
          <w:color w:val="000000" w:themeColor="text1"/>
          <w:sz w:val="28"/>
          <w:szCs w:val="28"/>
        </w:rPr>
        <w:t>giustizia</w:t>
      </w:r>
      <w:proofErr w:type="gramEnd"/>
      <w:r w:rsidR="00266741">
        <w:rPr>
          <w:rFonts w:ascii="Garamond" w:hAnsi="Garamond" w:cs="Times New Roman"/>
          <w:color w:val="000000" w:themeColor="text1"/>
          <w:sz w:val="28"/>
          <w:szCs w:val="28"/>
        </w:rPr>
        <w:t xml:space="preserve"> UE,</w:t>
      </w:r>
      <w:r w:rsidR="00661E3C" w:rsidRPr="00266741">
        <w:rPr>
          <w:rFonts w:ascii="Garamond" w:hAnsi="Garamond" w:cs="Times New Roman"/>
          <w:color w:val="000000" w:themeColor="text1"/>
          <w:sz w:val="28"/>
          <w:szCs w:val="28"/>
        </w:rPr>
        <w:t xml:space="preserve">  7 giugno 2018, C-160/17);</w:t>
      </w:r>
    </w:p>
    <w:p w:rsidR="00661E3C" w:rsidRPr="00266741" w:rsidRDefault="00661E3C" w:rsidP="00266741">
      <w:pPr>
        <w:pStyle w:val="Paragrafoelenco"/>
        <w:numPr>
          <w:ilvl w:val="0"/>
          <w:numId w:val="26"/>
        </w:numPr>
        <w:spacing w:line="240" w:lineRule="auto"/>
        <w:jc w:val="both"/>
        <w:rPr>
          <w:rFonts w:ascii="Garamond" w:hAnsi="Garamond" w:cs="Times New Roman"/>
          <w:color w:val="000000" w:themeColor="text1"/>
          <w:sz w:val="28"/>
          <w:szCs w:val="28"/>
        </w:rPr>
      </w:pPr>
      <w:r w:rsidRPr="00266741">
        <w:rPr>
          <w:rFonts w:ascii="Garamond" w:hAnsi="Garamond" w:cs="Times New Roman"/>
          <w:color w:val="000000" w:themeColor="text1"/>
          <w:sz w:val="28"/>
          <w:szCs w:val="28"/>
        </w:rPr>
        <w:t>un'ordinanza e una circolare, adottate dal governo di un ente federato di uno Stato membro, contenenti entrambe diverse disposizioni riguardanti l'installazione e la</w:t>
      </w:r>
      <w:r w:rsidR="007D32E4" w:rsidRPr="00266741">
        <w:rPr>
          <w:rFonts w:ascii="Garamond" w:hAnsi="Garamond" w:cs="Times New Roman"/>
          <w:color w:val="000000" w:themeColor="text1"/>
          <w:sz w:val="28"/>
          <w:szCs w:val="28"/>
        </w:rPr>
        <w:t xml:space="preserve"> gestione di impianti eolici, </w:t>
      </w:r>
      <w:r w:rsidRPr="00266741">
        <w:rPr>
          <w:rFonts w:ascii="Garamond" w:hAnsi="Garamond" w:cs="Times New Roman"/>
          <w:color w:val="000000" w:themeColor="text1"/>
          <w:sz w:val="28"/>
          <w:szCs w:val="28"/>
        </w:rPr>
        <w:t xml:space="preserve">tra cui misure relative alla proiezione d'ombra, alla sicurezza e alle norme sul rumore. Pertanto qualora risulti che una valutazione ambientale, ai sensi della </w:t>
      </w:r>
      <w:r w:rsidR="006C564E">
        <w:rPr>
          <w:rFonts w:ascii="Garamond" w:hAnsi="Garamond" w:cs="Times New Roman"/>
          <w:color w:val="000000" w:themeColor="text1"/>
          <w:sz w:val="28"/>
          <w:szCs w:val="28"/>
        </w:rPr>
        <w:t>direttiva</w:t>
      </w:r>
      <w:r w:rsidRPr="00266741">
        <w:rPr>
          <w:rFonts w:ascii="Garamond" w:hAnsi="Garamond" w:cs="Times New Roman"/>
          <w:color w:val="000000" w:themeColor="text1"/>
          <w:sz w:val="28"/>
          <w:szCs w:val="28"/>
        </w:rPr>
        <w:t xml:space="preserve"> 2001/42/Ce, avrebbe dovuto essere realizzata prima dell'adozione dell'ordinanza e della circolare sulle quali si fonda un'autorizzazione relativa all'installazione e alla gestione di impianti eolici contestata dinanzi al giudice nazionale, cosicché tali atti e tale autorizzazione non sarebbero conformi al diritto dell'Unione, tale giudice può mantenere gli effetti dei citati atti e di tale autorizzazione solo qualora il diritto interno glielo consenta nell'ambito della controversia di cui è investito, e qualora l'annullamento di detta autorizzazione possa avere significative ripercussioni sull'approvvigionamento di energia elettrica dell'intero Stato membro interessato, e unicamente per il lasso di tempo strettamente necessario per rimediare a tale illegittimità; spetta al giudice del rinvio, se del caso, procedere a tale valutazione nella controversia principale (Corte di </w:t>
      </w:r>
      <w:r w:rsidR="006C564E">
        <w:rPr>
          <w:rFonts w:ascii="Garamond" w:hAnsi="Garamond" w:cs="Times New Roman"/>
          <w:color w:val="000000" w:themeColor="text1"/>
          <w:sz w:val="28"/>
          <w:szCs w:val="28"/>
        </w:rPr>
        <w:t>giustizia</w:t>
      </w:r>
      <w:r w:rsidR="008808B2">
        <w:rPr>
          <w:rFonts w:ascii="Garamond" w:hAnsi="Garamond" w:cs="Times New Roman"/>
          <w:color w:val="000000" w:themeColor="text1"/>
          <w:sz w:val="28"/>
          <w:szCs w:val="28"/>
        </w:rPr>
        <w:t xml:space="preserve"> UE</w:t>
      </w:r>
      <w:r w:rsidRPr="00266741">
        <w:rPr>
          <w:rFonts w:ascii="Garamond" w:hAnsi="Garamond" w:cs="Times New Roman"/>
          <w:color w:val="000000" w:themeColor="text1"/>
          <w:sz w:val="28"/>
          <w:szCs w:val="28"/>
        </w:rPr>
        <w:t>,  25 giugno 2020, C-24/19).</w:t>
      </w:r>
    </w:p>
    <w:p w:rsidR="00B1430D" w:rsidRPr="00B1430D" w:rsidRDefault="00B1430D" w:rsidP="00B1430D">
      <w:pPr>
        <w:spacing w:line="240" w:lineRule="auto"/>
        <w:ind w:firstLine="709"/>
        <w:contextualSpacing/>
        <w:jc w:val="both"/>
        <w:rPr>
          <w:rFonts w:ascii="Garamond" w:hAnsi="Garamond" w:cs="Times New Roman"/>
          <w:color w:val="000000" w:themeColor="text1"/>
          <w:sz w:val="28"/>
          <w:szCs w:val="28"/>
        </w:rPr>
      </w:pPr>
      <w:r w:rsidRPr="00B1430D">
        <w:rPr>
          <w:rFonts w:ascii="Garamond" w:hAnsi="Garamond" w:cs="Times New Roman"/>
          <w:color w:val="000000" w:themeColor="text1"/>
          <w:sz w:val="28"/>
          <w:szCs w:val="28"/>
        </w:rPr>
        <w:lastRenderedPageBreak/>
        <w:t>E’ inoltre irrilevante</w:t>
      </w:r>
      <w:r w:rsidR="00661E3C">
        <w:rPr>
          <w:rFonts w:ascii="Garamond" w:hAnsi="Garamond" w:cs="Times New Roman"/>
          <w:color w:val="000000" w:themeColor="text1"/>
          <w:sz w:val="28"/>
          <w:szCs w:val="28"/>
        </w:rPr>
        <w:t xml:space="preserve">, </w:t>
      </w:r>
      <w:r w:rsidRPr="00B1430D">
        <w:rPr>
          <w:rFonts w:ascii="Garamond" w:hAnsi="Garamond" w:cs="Times New Roman"/>
          <w:color w:val="000000" w:themeColor="text1"/>
          <w:sz w:val="28"/>
          <w:szCs w:val="28"/>
        </w:rPr>
        <w:t xml:space="preserve"> ai fini dell’applicabilità delle disposizioni relative a una tale valutazione</w:t>
      </w:r>
      <w:r w:rsidR="00C37AC2">
        <w:rPr>
          <w:rFonts w:ascii="Garamond" w:hAnsi="Garamond" w:cs="Times New Roman"/>
          <w:color w:val="000000" w:themeColor="text1"/>
          <w:sz w:val="28"/>
          <w:szCs w:val="28"/>
        </w:rPr>
        <w:t>,</w:t>
      </w:r>
      <w:r w:rsidRPr="00B1430D">
        <w:rPr>
          <w:rFonts w:ascii="Garamond" w:hAnsi="Garamond" w:cs="Times New Roman"/>
          <w:color w:val="000000" w:themeColor="text1"/>
          <w:sz w:val="28"/>
          <w:szCs w:val="28"/>
        </w:rPr>
        <w:t xml:space="preserve"> la circostanza che una valutazione ambientale verrà realizzata successivamente, al momento della pianificazione a livello regionale, in quanto una valutazione dell’impatto ambientale effettuata a norma della </w:t>
      </w:r>
      <w:r w:rsidR="006C564E">
        <w:rPr>
          <w:rFonts w:ascii="Garamond" w:hAnsi="Garamond" w:cs="Times New Roman"/>
          <w:color w:val="000000" w:themeColor="text1"/>
          <w:sz w:val="28"/>
          <w:szCs w:val="28"/>
        </w:rPr>
        <w:t>direttiva</w:t>
      </w:r>
      <w:r w:rsidRPr="00B1430D">
        <w:rPr>
          <w:rFonts w:ascii="Garamond" w:hAnsi="Garamond" w:cs="Times New Roman"/>
          <w:color w:val="000000" w:themeColor="text1"/>
          <w:sz w:val="28"/>
          <w:szCs w:val="28"/>
        </w:rPr>
        <w:t xml:space="preserve"> VIA non può dispensare dall’obbligo di effettuare la valutazione ambientale prescritta dalla </w:t>
      </w:r>
      <w:r w:rsidR="006C564E">
        <w:rPr>
          <w:rFonts w:ascii="Garamond" w:hAnsi="Garamond" w:cs="Times New Roman"/>
          <w:color w:val="000000" w:themeColor="text1"/>
          <w:sz w:val="28"/>
          <w:szCs w:val="28"/>
        </w:rPr>
        <w:t>direttiva</w:t>
      </w:r>
      <w:r w:rsidRPr="00B1430D">
        <w:rPr>
          <w:rFonts w:ascii="Garamond" w:hAnsi="Garamond" w:cs="Times New Roman"/>
          <w:color w:val="000000" w:themeColor="text1"/>
          <w:sz w:val="28"/>
          <w:szCs w:val="28"/>
        </w:rPr>
        <w:t xml:space="preserve"> VAS allo scopo di rispondere ad aspetti ambienta</w:t>
      </w:r>
      <w:r w:rsidR="00661E3C">
        <w:rPr>
          <w:rFonts w:ascii="Garamond" w:hAnsi="Garamond" w:cs="Times New Roman"/>
          <w:color w:val="000000" w:themeColor="text1"/>
          <w:sz w:val="28"/>
          <w:szCs w:val="28"/>
        </w:rPr>
        <w:t xml:space="preserve">li ad essa specifici (Corte di </w:t>
      </w:r>
      <w:r w:rsidR="006C564E">
        <w:rPr>
          <w:rFonts w:ascii="Garamond" w:hAnsi="Garamond" w:cs="Times New Roman"/>
          <w:color w:val="000000" w:themeColor="text1"/>
          <w:sz w:val="28"/>
          <w:szCs w:val="28"/>
        </w:rPr>
        <w:t>giustizia</w:t>
      </w:r>
      <w:r w:rsidR="008808B2">
        <w:rPr>
          <w:rFonts w:ascii="Garamond" w:hAnsi="Garamond" w:cs="Times New Roman"/>
          <w:color w:val="000000" w:themeColor="text1"/>
          <w:sz w:val="28"/>
          <w:szCs w:val="28"/>
        </w:rPr>
        <w:t xml:space="preserve"> UE</w:t>
      </w:r>
      <w:r w:rsidRPr="00B1430D">
        <w:rPr>
          <w:rFonts w:ascii="Garamond" w:hAnsi="Garamond" w:cs="Times New Roman"/>
          <w:color w:val="000000" w:themeColor="text1"/>
          <w:sz w:val="28"/>
          <w:szCs w:val="28"/>
        </w:rPr>
        <w:t xml:space="preserve">, 7 giugno 2018, </w:t>
      </w:r>
      <w:r w:rsidR="0032317E">
        <w:rPr>
          <w:rFonts w:ascii="Garamond" w:hAnsi="Garamond" w:cs="Times New Roman"/>
          <w:color w:val="000000" w:themeColor="text1"/>
          <w:sz w:val="28"/>
          <w:szCs w:val="28"/>
        </w:rPr>
        <w:t>C-</w:t>
      </w:r>
      <w:r w:rsidRPr="00B1430D">
        <w:rPr>
          <w:rFonts w:ascii="Garamond" w:hAnsi="Garamond" w:cs="Times New Roman"/>
          <w:color w:val="000000" w:themeColor="text1"/>
          <w:sz w:val="28"/>
          <w:szCs w:val="28"/>
        </w:rPr>
        <w:t>160/17).</w:t>
      </w:r>
    </w:p>
    <w:p w:rsidR="00B1430D" w:rsidRPr="00B1430D" w:rsidRDefault="00B1430D" w:rsidP="00B1430D">
      <w:pPr>
        <w:spacing w:line="240" w:lineRule="auto"/>
        <w:ind w:firstLine="709"/>
        <w:contextualSpacing/>
        <w:jc w:val="both"/>
        <w:rPr>
          <w:rFonts w:ascii="Garamond" w:hAnsi="Garamond" w:cs="Times New Roman"/>
          <w:color w:val="000000" w:themeColor="text1"/>
          <w:sz w:val="28"/>
          <w:szCs w:val="28"/>
        </w:rPr>
      </w:pPr>
      <w:r w:rsidRPr="00B1430D">
        <w:rPr>
          <w:rFonts w:ascii="Garamond" w:hAnsi="Garamond" w:cs="Times New Roman"/>
          <w:color w:val="000000" w:themeColor="text1"/>
          <w:sz w:val="28"/>
          <w:szCs w:val="28"/>
        </w:rPr>
        <w:t xml:space="preserve">Pertanto ai fini del mantenimento, in via eccezionale, degli effetti delle misure nazionali non conformi al diritto dell'Unione, la Corte ritiene necessario distinguere tra l'ipotesi in cui la realizzazione degli impianti non è ancora stata avviata </w:t>
      </w:r>
      <w:proofErr w:type="gramStart"/>
      <w:r w:rsidRPr="00B1430D">
        <w:rPr>
          <w:rFonts w:ascii="Garamond" w:hAnsi="Garamond" w:cs="Times New Roman"/>
          <w:color w:val="000000" w:themeColor="text1"/>
          <w:sz w:val="28"/>
          <w:szCs w:val="28"/>
        </w:rPr>
        <w:t>e</w:t>
      </w:r>
      <w:proofErr w:type="gramEnd"/>
      <w:r w:rsidRPr="00B1430D">
        <w:rPr>
          <w:rFonts w:ascii="Garamond" w:hAnsi="Garamond" w:cs="Times New Roman"/>
          <w:color w:val="000000" w:themeColor="text1"/>
          <w:sz w:val="28"/>
          <w:szCs w:val="28"/>
        </w:rPr>
        <w:t xml:space="preserve"> quella in cui essa è iniziata o addirittura conclusa. Nel primo caso, si profila quale conseguenza ineludibile l'annullamento dell'autorizzazione viziata. Nel secondo caso, si può evitare l'annullamento, sempre che il diritto interno lo permetta, in presenza di specifiche esigenze imperative: nella specie, potrebbe essere rilevante (ove il giudice nazionale ne accerti la ricorrenza) la necessità di far fronte alla minaccia grave ed effettiva di un'interruzione dell'approvvigionamento di energia elettrica; peraltro l'eventuale mantenimento nel tempo degli effetti degli atti viziati non può protrarsi oltre il tempo strettamente necessario per rimediare all'illegittimità constatata (</w:t>
      </w:r>
      <w:r w:rsidR="00661E3C" w:rsidRPr="00661E3C">
        <w:rPr>
          <w:rFonts w:ascii="Garamond" w:hAnsi="Garamond" w:cs="Times New Roman"/>
          <w:color w:val="000000" w:themeColor="text1"/>
          <w:sz w:val="28"/>
          <w:szCs w:val="28"/>
        </w:rPr>
        <w:t xml:space="preserve">Corte di </w:t>
      </w:r>
      <w:r w:rsidR="006C564E">
        <w:rPr>
          <w:rFonts w:ascii="Garamond" w:hAnsi="Garamond" w:cs="Times New Roman"/>
          <w:color w:val="000000" w:themeColor="text1"/>
          <w:sz w:val="28"/>
          <w:szCs w:val="28"/>
        </w:rPr>
        <w:t>giustizia</w:t>
      </w:r>
      <w:r w:rsidR="0074060E">
        <w:rPr>
          <w:rFonts w:ascii="Garamond" w:hAnsi="Garamond" w:cs="Times New Roman"/>
          <w:color w:val="000000" w:themeColor="text1"/>
          <w:sz w:val="28"/>
          <w:szCs w:val="28"/>
        </w:rPr>
        <w:t xml:space="preserve"> UE</w:t>
      </w:r>
      <w:r w:rsidR="00661E3C" w:rsidRPr="00661E3C">
        <w:rPr>
          <w:rFonts w:ascii="Garamond" w:hAnsi="Garamond" w:cs="Times New Roman"/>
          <w:color w:val="000000" w:themeColor="text1"/>
          <w:sz w:val="28"/>
          <w:szCs w:val="28"/>
        </w:rPr>
        <w:t>,  25 giugno 2020, causa C-24/19</w:t>
      </w:r>
      <w:r w:rsidR="00661E3C">
        <w:rPr>
          <w:rFonts w:ascii="Garamond" w:hAnsi="Garamond" w:cs="Times New Roman"/>
          <w:color w:val="000000" w:themeColor="text1"/>
          <w:sz w:val="28"/>
          <w:szCs w:val="28"/>
        </w:rPr>
        <w:t xml:space="preserve"> cit</w:t>
      </w:r>
      <w:r w:rsidR="0032317E">
        <w:rPr>
          <w:rFonts w:ascii="Garamond" w:hAnsi="Garamond" w:cs="Times New Roman"/>
          <w:color w:val="000000" w:themeColor="text1"/>
          <w:sz w:val="28"/>
          <w:szCs w:val="28"/>
        </w:rPr>
        <w:t>.</w:t>
      </w:r>
      <w:r w:rsidR="00661E3C">
        <w:rPr>
          <w:rFonts w:ascii="Garamond" w:hAnsi="Garamond" w:cs="Times New Roman"/>
          <w:color w:val="000000" w:themeColor="text1"/>
          <w:sz w:val="28"/>
          <w:szCs w:val="28"/>
        </w:rPr>
        <w:t xml:space="preserve">; </w:t>
      </w:r>
      <w:r w:rsidRPr="00B1430D">
        <w:rPr>
          <w:rFonts w:ascii="Garamond" w:hAnsi="Garamond" w:cs="Times New Roman"/>
          <w:color w:val="000000" w:themeColor="text1"/>
          <w:sz w:val="28"/>
          <w:szCs w:val="28"/>
        </w:rPr>
        <w:t>28 luglio 2016, C-379/15</w:t>
      </w:r>
      <w:r w:rsidR="00661E3C">
        <w:rPr>
          <w:rFonts w:ascii="Garamond" w:hAnsi="Garamond" w:cs="Times New Roman"/>
          <w:color w:val="000000" w:themeColor="text1"/>
          <w:sz w:val="28"/>
          <w:szCs w:val="28"/>
        </w:rPr>
        <w:t xml:space="preserve">, </w:t>
      </w:r>
      <w:r w:rsidRPr="00B1430D">
        <w:rPr>
          <w:rFonts w:ascii="Garamond" w:hAnsi="Garamond" w:cs="Times New Roman"/>
          <w:color w:val="000000" w:themeColor="text1"/>
          <w:sz w:val="28"/>
          <w:szCs w:val="28"/>
        </w:rPr>
        <w:t xml:space="preserve"> circa la possibilità di limitare nel tempo taluni effetti di una dichiarazione di illegittimità di una disposizione del diritto nazionale, adottata in violazione degli obblighi previsti dalla </w:t>
      </w:r>
      <w:r w:rsidR="006C564E">
        <w:rPr>
          <w:rFonts w:ascii="Garamond" w:hAnsi="Garamond" w:cs="Times New Roman"/>
          <w:color w:val="000000" w:themeColor="text1"/>
          <w:sz w:val="28"/>
          <w:szCs w:val="28"/>
        </w:rPr>
        <w:t>direttiva</w:t>
      </w:r>
      <w:r w:rsidRPr="00B1430D">
        <w:rPr>
          <w:rFonts w:ascii="Garamond" w:hAnsi="Garamond" w:cs="Times New Roman"/>
          <w:color w:val="000000" w:themeColor="text1"/>
          <w:sz w:val="28"/>
          <w:szCs w:val="28"/>
        </w:rPr>
        <w:t xml:space="preserve"> 2001/42/Ce). </w:t>
      </w:r>
    </w:p>
    <w:p w:rsidR="00B1430D" w:rsidRPr="00BF2644" w:rsidRDefault="00B1430D" w:rsidP="00BF2644">
      <w:pPr>
        <w:spacing w:line="240" w:lineRule="auto"/>
        <w:ind w:firstLine="709"/>
        <w:contextualSpacing/>
        <w:jc w:val="both"/>
        <w:rPr>
          <w:rFonts w:ascii="Garamond" w:hAnsi="Garamond" w:cs="Times New Roman"/>
          <w:color w:val="000000" w:themeColor="text1"/>
          <w:sz w:val="28"/>
          <w:szCs w:val="28"/>
        </w:rPr>
      </w:pPr>
    </w:p>
    <w:p w:rsidR="008E6A9E" w:rsidRPr="00BF2644" w:rsidRDefault="009905AB" w:rsidP="00BF2644">
      <w:pPr>
        <w:spacing w:line="240" w:lineRule="auto"/>
        <w:ind w:firstLine="709"/>
        <w:contextualSpacing/>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6</w:t>
      </w:r>
      <w:r w:rsidR="002319B3" w:rsidRPr="00BF2644">
        <w:rPr>
          <w:rFonts w:ascii="Garamond" w:hAnsi="Garamond" w:cs="Times New Roman"/>
          <w:b/>
          <w:color w:val="000000" w:themeColor="text1"/>
          <w:sz w:val="28"/>
          <w:szCs w:val="28"/>
        </w:rPr>
        <w:t xml:space="preserve">. </w:t>
      </w:r>
      <w:r w:rsidR="007A24B0">
        <w:rPr>
          <w:rFonts w:ascii="Garamond" w:hAnsi="Garamond" w:cs="Times New Roman"/>
          <w:b/>
          <w:color w:val="000000" w:themeColor="text1"/>
          <w:sz w:val="28"/>
          <w:szCs w:val="28"/>
        </w:rPr>
        <w:t>Interferenze con la VIA</w:t>
      </w:r>
      <w:r w:rsidR="008E6A9E" w:rsidRPr="00BF2644">
        <w:rPr>
          <w:rFonts w:ascii="Garamond" w:hAnsi="Garamond" w:cs="Times New Roman"/>
          <w:b/>
          <w:color w:val="000000" w:themeColor="text1"/>
          <w:sz w:val="28"/>
          <w:szCs w:val="28"/>
        </w:rPr>
        <w:t>: profili processuali</w:t>
      </w:r>
    </w:p>
    <w:p w:rsidR="00661E3C" w:rsidRDefault="008E6A9E"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La valutazione di impatto ambientale rappresenta un atto autonomamente impugnabile, sia nell'ipotesi in cui essa si concluda con esito negativo, sia che la medesima abbia un epilogo positivo; nel primo caso, invero, la natura immediatamente lesiva è più agevolmente percepibile, determinandosi un palese arresto procedimentale, sicché non potrebbe non riconoscersi al soggetto interessato alla positiva conclusione del procedimento un interesse autonomo e immediato all'impugnazione del giudizio negativo; nel secondo caso (esito positivo del procedimento) va, invece, valutata l'esistenza, in capo a terzi soggetti, di un interesse (contrario) al giudizio favorevolmente espresso dalla Pubblica amministrazione; in sostanza, gli atti conclusivi delle procedure di valutazione di impatto ambientale, pur inserendosi all'interno di un più ampio procedimento di realizzazione di un'opera o di un intervento, sono immediatamente impugnabili dai soggetti interessati alla protezione dei valori ambientali, siano essi associazioni di tutela ambientale ovvero cittadini residenti in loco</w:t>
      </w:r>
      <w:r w:rsidRPr="00BF2644">
        <w:rPr>
          <w:rFonts w:ascii="Garamond" w:hAnsi="Garamond"/>
          <w:sz w:val="28"/>
          <w:szCs w:val="28"/>
        </w:rPr>
        <w:t xml:space="preserve"> (</w:t>
      </w:r>
      <w:r w:rsidRPr="00BF2644">
        <w:rPr>
          <w:rFonts w:ascii="Garamond" w:hAnsi="Garamond" w:cs="Times New Roman"/>
          <w:color w:val="000000" w:themeColor="text1"/>
          <w:sz w:val="28"/>
          <w:szCs w:val="28"/>
        </w:rPr>
        <w:t xml:space="preserve">Cons. </w:t>
      </w:r>
      <w:r w:rsidRPr="00704EDC">
        <w:rPr>
          <w:rFonts w:ascii="Garamond" w:hAnsi="Garamond" w:cs="Times New Roman"/>
          <w:color w:val="000000" w:themeColor="text1"/>
          <w:sz w:val="28"/>
          <w:szCs w:val="28"/>
        </w:rPr>
        <w:t>Stato</w:t>
      </w:r>
      <w:r w:rsidR="007B76F1" w:rsidRPr="00704EDC">
        <w:rPr>
          <w:rFonts w:ascii="Garamond" w:hAnsi="Garamond" w:cs="Times New Roman"/>
          <w:color w:val="000000" w:themeColor="text1"/>
          <w:sz w:val="28"/>
          <w:szCs w:val="28"/>
        </w:rPr>
        <w:t>, s</w:t>
      </w:r>
      <w:r w:rsidRPr="00704EDC">
        <w:rPr>
          <w:rFonts w:ascii="Garamond" w:hAnsi="Garamond" w:cs="Times New Roman"/>
          <w:color w:val="000000" w:themeColor="text1"/>
          <w:sz w:val="28"/>
          <w:szCs w:val="28"/>
        </w:rPr>
        <w:t>ez</w:t>
      </w:r>
      <w:r w:rsidRPr="00BF2644">
        <w:rPr>
          <w:rFonts w:ascii="Garamond" w:hAnsi="Garamond" w:cs="Times New Roman"/>
          <w:color w:val="000000" w:themeColor="text1"/>
          <w:sz w:val="28"/>
          <w:szCs w:val="28"/>
        </w:rPr>
        <w:t>. IV,</w:t>
      </w:r>
      <w:r w:rsidRPr="00BF2644">
        <w:rPr>
          <w:rFonts w:ascii="Garamond" w:hAnsi="Garamond"/>
          <w:sz w:val="28"/>
          <w:szCs w:val="28"/>
        </w:rPr>
        <w:t xml:space="preserve"> </w:t>
      </w:r>
      <w:r w:rsidR="00A0133D">
        <w:rPr>
          <w:rFonts w:ascii="Garamond" w:hAnsi="Garamond"/>
          <w:sz w:val="28"/>
          <w:szCs w:val="28"/>
        </w:rPr>
        <w:t xml:space="preserve">n. </w:t>
      </w:r>
      <w:r w:rsidRPr="00BF2644">
        <w:rPr>
          <w:rFonts w:ascii="Garamond" w:hAnsi="Garamond" w:cs="Times New Roman"/>
          <w:color w:val="000000" w:themeColor="text1"/>
          <w:sz w:val="28"/>
          <w:szCs w:val="28"/>
        </w:rPr>
        <w:t xml:space="preserve">7978 </w:t>
      </w:r>
      <w:r w:rsidR="00A0133D">
        <w:rPr>
          <w:rFonts w:ascii="Garamond" w:hAnsi="Garamond" w:cs="Times New Roman"/>
          <w:color w:val="000000" w:themeColor="text1"/>
          <w:sz w:val="28"/>
          <w:szCs w:val="28"/>
        </w:rPr>
        <w:t>e n. 6013 del 2022</w:t>
      </w:r>
      <w:r w:rsidRPr="00BF2644">
        <w:rPr>
          <w:rFonts w:ascii="Garamond" w:hAnsi="Garamond" w:cs="Times New Roman"/>
          <w:color w:val="000000" w:themeColor="text1"/>
          <w:sz w:val="28"/>
          <w:szCs w:val="28"/>
        </w:rPr>
        <w:t>,  n. 7714 del 2021, Trib. sup. a</w:t>
      </w:r>
      <w:r w:rsidR="00661E3C">
        <w:rPr>
          <w:rFonts w:ascii="Garamond" w:hAnsi="Garamond" w:cs="Times New Roman"/>
          <w:color w:val="000000" w:themeColor="text1"/>
          <w:sz w:val="28"/>
          <w:szCs w:val="28"/>
        </w:rPr>
        <w:t>cque</w:t>
      </w:r>
      <w:r w:rsidR="00C37AC2">
        <w:rPr>
          <w:rFonts w:ascii="Garamond" w:hAnsi="Garamond" w:cs="Times New Roman"/>
          <w:color w:val="000000" w:themeColor="text1"/>
          <w:sz w:val="28"/>
          <w:szCs w:val="28"/>
        </w:rPr>
        <w:t xml:space="preserve">, n. 71 del </w:t>
      </w:r>
      <w:r w:rsidR="00661E3C">
        <w:rPr>
          <w:rFonts w:ascii="Garamond" w:hAnsi="Garamond" w:cs="Times New Roman"/>
          <w:color w:val="000000" w:themeColor="text1"/>
          <w:sz w:val="28"/>
          <w:szCs w:val="28"/>
        </w:rPr>
        <w:t>2018).</w:t>
      </w:r>
    </w:p>
    <w:p w:rsidR="008E6A9E" w:rsidRPr="00BF2644" w:rsidRDefault="00661E3C" w:rsidP="00BF2644">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 D</w:t>
      </w:r>
      <w:r w:rsidR="008E6A9E" w:rsidRPr="00BF2644">
        <w:rPr>
          <w:rFonts w:ascii="Garamond" w:hAnsi="Garamond" w:cs="Times New Roman"/>
          <w:color w:val="000000" w:themeColor="text1"/>
          <w:sz w:val="28"/>
          <w:szCs w:val="28"/>
        </w:rPr>
        <w:t xml:space="preserve">i tale esegesi vi è un chiaro riflesso nelle disposizioni recate dall'art. 29 del </w:t>
      </w:r>
      <w:r w:rsidR="004F0CCD">
        <w:rPr>
          <w:rFonts w:ascii="Garamond" w:hAnsi="Garamond" w:cs="Times New Roman"/>
          <w:color w:val="000000" w:themeColor="text1"/>
          <w:sz w:val="28"/>
          <w:szCs w:val="28"/>
        </w:rPr>
        <w:t>d.lgs.</w:t>
      </w:r>
      <w:r w:rsidR="00C37AC2">
        <w:rPr>
          <w:rFonts w:ascii="Garamond" w:hAnsi="Garamond" w:cs="Times New Roman"/>
          <w:color w:val="000000" w:themeColor="text1"/>
          <w:sz w:val="28"/>
          <w:szCs w:val="28"/>
        </w:rPr>
        <w:t xml:space="preserve"> n. 152 del 2006</w:t>
      </w:r>
      <w:r w:rsidR="008E6A9E" w:rsidRPr="00BF2644">
        <w:rPr>
          <w:rFonts w:ascii="Garamond" w:hAnsi="Garamond" w:cs="Times New Roman"/>
          <w:color w:val="000000" w:themeColor="text1"/>
          <w:sz w:val="28"/>
          <w:szCs w:val="28"/>
        </w:rPr>
        <w:t>, secondo cui:</w:t>
      </w:r>
    </w:p>
    <w:p w:rsidR="008E6A9E" w:rsidRPr="00BF2644" w:rsidRDefault="008E6A9E"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 i provvedimenti di autorizzazione di un progetto adottati senza la verifica di assoggettabilità a VIA o senza la VIA, ove prescritte, sono annullabili per violazione di </w:t>
      </w:r>
      <w:r w:rsidR="006C564E">
        <w:rPr>
          <w:rFonts w:ascii="Garamond" w:hAnsi="Garamond" w:cs="Times New Roman"/>
          <w:color w:val="000000" w:themeColor="text1"/>
          <w:sz w:val="28"/>
          <w:szCs w:val="28"/>
        </w:rPr>
        <w:t>legge</w:t>
      </w:r>
      <w:r w:rsidRPr="00BF2644">
        <w:rPr>
          <w:rFonts w:ascii="Garamond" w:hAnsi="Garamond" w:cs="Times New Roman"/>
          <w:color w:val="000000" w:themeColor="text1"/>
          <w:sz w:val="28"/>
          <w:szCs w:val="28"/>
        </w:rPr>
        <w:t xml:space="preserve"> (art.</w:t>
      </w:r>
      <w:r w:rsidR="00C37AC2">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29, comma 1);</w:t>
      </w:r>
    </w:p>
    <w:p w:rsidR="008E6A9E" w:rsidRPr="00BF2644" w:rsidRDefault="008E6A9E"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 l'eventuale annullamento in sede giurisdizionale dei provvedimenti di verifica di assoggettabilità a VIA o dei provvedimenti di VIA, è oggetto della specifica previsione del </w:t>
      </w:r>
      <w:r w:rsidRPr="00BF2644">
        <w:rPr>
          <w:rFonts w:ascii="Garamond" w:hAnsi="Garamond" w:cs="Times New Roman"/>
          <w:color w:val="000000" w:themeColor="text1"/>
          <w:sz w:val="28"/>
          <w:szCs w:val="28"/>
        </w:rPr>
        <w:lastRenderedPageBreak/>
        <w:t xml:space="preserve">comma 3 della medesima disposizione, relativo ai termini e alle modalità della rinnovazione del procedimento di AIA (Cons. Stato </w:t>
      </w:r>
      <w:r w:rsidR="00181410">
        <w:rPr>
          <w:rFonts w:ascii="Garamond" w:hAnsi="Garamond" w:cs="Times New Roman"/>
          <w:color w:val="000000" w:themeColor="text1"/>
          <w:sz w:val="28"/>
          <w:szCs w:val="28"/>
        </w:rPr>
        <w:t>sez.</w:t>
      </w:r>
      <w:r w:rsidR="006206D5">
        <w:rPr>
          <w:rFonts w:ascii="Garamond" w:hAnsi="Garamond" w:cs="Times New Roman"/>
          <w:color w:val="000000" w:themeColor="text1"/>
          <w:sz w:val="28"/>
          <w:szCs w:val="28"/>
        </w:rPr>
        <w:t xml:space="preserve"> IV, n. 6013</w:t>
      </w:r>
      <w:r w:rsidR="00A0133D">
        <w:rPr>
          <w:rFonts w:ascii="Garamond" w:hAnsi="Garamond" w:cs="Times New Roman"/>
          <w:color w:val="000000" w:themeColor="text1"/>
          <w:sz w:val="28"/>
          <w:szCs w:val="28"/>
        </w:rPr>
        <w:t xml:space="preserve"> del 2022 </w:t>
      </w:r>
      <w:r w:rsidRPr="00BF2644">
        <w:rPr>
          <w:rFonts w:ascii="Garamond" w:hAnsi="Garamond" w:cs="Times New Roman"/>
          <w:color w:val="000000" w:themeColor="text1"/>
          <w:sz w:val="28"/>
          <w:szCs w:val="28"/>
        </w:rPr>
        <w:t>cit.).</w:t>
      </w:r>
    </w:p>
    <w:p w:rsidR="008E6A9E" w:rsidRPr="00BF2644" w:rsidRDefault="008E6A9E"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Il termine per impugnare la decisione favorevole di una valutazione d'impatto ambientale decorre dalla pubblicazione per estratto del provvedime</w:t>
      </w:r>
      <w:r w:rsidR="00661E3C">
        <w:rPr>
          <w:rFonts w:ascii="Garamond" w:hAnsi="Garamond" w:cs="Times New Roman"/>
          <w:color w:val="000000" w:themeColor="text1"/>
          <w:sz w:val="28"/>
          <w:szCs w:val="28"/>
        </w:rPr>
        <w:t>nto</w:t>
      </w:r>
      <w:r w:rsidR="00704EDC">
        <w:rPr>
          <w:rFonts w:ascii="Garamond" w:hAnsi="Garamond" w:cs="Times New Roman"/>
          <w:color w:val="000000" w:themeColor="text1"/>
          <w:sz w:val="28"/>
          <w:szCs w:val="28"/>
        </w:rPr>
        <w:t>, ai sensi dell'art. 27 d.lgs.</w:t>
      </w:r>
      <w:r w:rsidRPr="00BF2644">
        <w:rPr>
          <w:rFonts w:ascii="Garamond" w:hAnsi="Garamond" w:cs="Times New Roman"/>
          <w:color w:val="000000" w:themeColor="text1"/>
          <w:sz w:val="28"/>
          <w:szCs w:val="28"/>
        </w:rPr>
        <w:t xml:space="preserve"> n. 152</w:t>
      </w:r>
      <w:r w:rsidR="00661E3C">
        <w:rPr>
          <w:rFonts w:ascii="Garamond" w:hAnsi="Garamond" w:cs="Times New Roman"/>
          <w:color w:val="000000" w:themeColor="text1"/>
          <w:sz w:val="28"/>
          <w:szCs w:val="28"/>
        </w:rPr>
        <w:t xml:space="preserve"> del 2006</w:t>
      </w:r>
      <w:r w:rsidRPr="00BF2644">
        <w:rPr>
          <w:rFonts w:ascii="Garamond" w:hAnsi="Garamond" w:cs="Times New Roman"/>
          <w:color w:val="000000" w:themeColor="text1"/>
          <w:sz w:val="28"/>
          <w:szCs w:val="28"/>
        </w:rPr>
        <w:t>, ovvero dalla piena conoscenza di tale decisione, che può essere provata anche mediant</w:t>
      </w:r>
      <w:r w:rsidR="004605D3">
        <w:rPr>
          <w:rFonts w:ascii="Garamond" w:hAnsi="Garamond" w:cs="Times New Roman"/>
          <w:color w:val="000000" w:themeColor="text1"/>
          <w:sz w:val="28"/>
          <w:szCs w:val="28"/>
        </w:rPr>
        <w:t>e presunzioni semplici (Cons.</w:t>
      </w:r>
      <w:r w:rsidRPr="00BF2644">
        <w:rPr>
          <w:rFonts w:ascii="Garamond" w:hAnsi="Garamond" w:cs="Times New Roman"/>
          <w:color w:val="000000" w:themeColor="text1"/>
          <w:sz w:val="28"/>
          <w:szCs w:val="28"/>
        </w:rPr>
        <w:t xml:space="preserve"> Stato, sez. IV, n. 7978 del 2022 cit.)</w:t>
      </w:r>
      <w:r w:rsidR="00BB0A10">
        <w:rPr>
          <w:rFonts w:ascii="Garamond" w:hAnsi="Garamond" w:cs="Times New Roman"/>
          <w:color w:val="000000" w:themeColor="text1"/>
          <w:sz w:val="28"/>
          <w:szCs w:val="28"/>
        </w:rPr>
        <w:t>.</w:t>
      </w:r>
    </w:p>
    <w:p w:rsidR="00A00281" w:rsidRDefault="00A00281" w:rsidP="00BF2644">
      <w:pPr>
        <w:spacing w:line="240" w:lineRule="auto"/>
        <w:ind w:firstLine="709"/>
        <w:contextualSpacing/>
        <w:jc w:val="both"/>
        <w:rPr>
          <w:rFonts w:ascii="Garamond" w:hAnsi="Garamond" w:cs="Times New Roman"/>
          <w:b/>
          <w:color w:val="000000" w:themeColor="text1"/>
          <w:sz w:val="28"/>
          <w:szCs w:val="28"/>
        </w:rPr>
      </w:pPr>
    </w:p>
    <w:p w:rsidR="00C82DAB" w:rsidRDefault="009905AB" w:rsidP="00BF2644">
      <w:pPr>
        <w:spacing w:line="240" w:lineRule="auto"/>
        <w:ind w:firstLine="709"/>
        <w:contextualSpacing/>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7</w:t>
      </w:r>
      <w:r w:rsidR="00C82DAB" w:rsidRPr="00BF2644">
        <w:rPr>
          <w:rFonts w:ascii="Garamond" w:hAnsi="Garamond" w:cs="Times New Roman"/>
          <w:b/>
          <w:color w:val="000000" w:themeColor="text1"/>
          <w:sz w:val="28"/>
          <w:szCs w:val="28"/>
        </w:rPr>
        <w:t xml:space="preserve">.  La legittimazione a ricorrere ed a resistere in giudizio e la legittimazione ad intervenire nel procedimento. Il criterio della </w:t>
      </w:r>
      <w:r w:rsidR="00C82DAB" w:rsidRPr="00694649">
        <w:rPr>
          <w:rFonts w:ascii="Garamond" w:hAnsi="Garamond" w:cs="Times New Roman"/>
          <w:b/>
          <w:i/>
          <w:color w:val="000000" w:themeColor="text1"/>
          <w:sz w:val="28"/>
          <w:szCs w:val="28"/>
        </w:rPr>
        <w:t>vicinitas</w:t>
      </w:r>
    </w:p>
    <w:p w:rsidR="008B0444" w:rsidRPr="00BF2644" w:rsidRDefault="00A00281" w:rsidP="00BF2644">
      <w:pPr>
        <w:spacing w:line="240" w:lineRule="auto"/>
        <w:ind w:firstLine="709"/>
        <w:contextualSpacing/>
        <w:jc w:val="both"/>
        <w:rPr>
          <w:rFonts w:ascii="Garamond" w:hAnsi="Garamond" w:cs="Times New Roman"/>
          <w:b/>
          <w:color w:val="000000" w:themeColor="text1"/>
          <w:sz w:val="28"/>
          <w:szCs w:val="28"/>
        </w:rPr>
      </w:pPr>
      <w:r w:rsidRPr="00A00281">
        <w:rPr>
          <w:rFonts w:ascii="Garamond" w:hAnsi="Garamond" w:cs="Times New Roman"/>
          <w:color w:val="000000" w:themeColor="text1"/>
          <w:sz w:val="28"/>
          <w:szCs w:val="28"/>
        </w:rPr>
        <w:t xml:space="preserve">La giurisprudenza amministrativa ha enucleato i </w:t>
      </w:r>
      <w:r>
        <w:rPr>
          <w:rFonts w:ascii="Garamond" w:hAnsi="Garamond" w:cs="Times New Roman"/>
          <w:color w:val="000000" w:themeColor="text1"/>
          <w:sz w:val="28"/>
          <w:szCs w:val="28"/>
        </w:rPr>
        <w:t>seguenti princìpi in merito al</w:t>
      </w:r>
      <w:r w:rsidRPr="00A00281">
        <w:rPr>
          <w:rFonts w:ascii="Garamond" w:hAnsi="Garamond" w:cs="Times New Roman"/>
          <w:color w:val="000000" w:themeColor="text1"/>
          <w:sz w:val="28"/>
          <w:szCs w:val="28"/>
        </w:rPr>
        <w:t>la legittimaz</w:t>
      </w:r>
      <w:r>
        <w:rPr>
          <w:rFonts w:ascii="Garamond" w:hAnsi="Garamond" w:cs="Times New Roman"/>
          <w:color w:val="000000" w:themeColor="text1"/>
          <w:sz w:val="28"/>
          <w:szCs w:val="28"/>
        </w:rPr>
        <w:t>ione attiva e passiva in relazione ai giudizi inerenti i titoli abilitativi per la realizzazione degli impianti:</w:t>
      </w:r>
    </w:p>
    <w:p w:rsidR="00C82DAB" w:rsidRPr="00BF2644" w:rsidRDefault="002478B0" w:rsidP="00BF2644">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w:t>
      </w:r>
      <w:r w:rsidR="00146E68">
        <w:rPr>
          <w:rFonts w:ascii="Garamond" w:hAnsi="Garamond" w:cs="Times New Roman"/>
          <w:color w:val="000000" w:themeColor="text1"/>
          <w:sz w:val="28"/>
          <w:szCs w:val="28"/>
        </w:rPr>
        <w:t>a</w:t>
      </w:r>
      <w:r w:rsidR="00C82DAB" w:rsidRPr="00BF2644">
        <w:rPr>
          <w:rFonts w:ascii="Garamond" w:hAnsi="Garamond" w:cs="Times New Roman"/>
          <w:color w:val="000000" w:themeColor="text1"/>
          <w:sz w:val="28"/>
          <w:szCs w:val="28"/>
        </w:rPr>
        <w:t>i fini della sussistenza delle condizioni dell'azione avverso provvedimenti lesivi dal punto di vista ambientale, il criterio della "</w:t>
      </w:r>
      <w:r w:rsidR="00C82DAB" w:rsidRPr="00A00281">
        <w:rPr>
          <w:rFonts w:ascii="Garamond" w:hAnsi="Garamond" w:cs="Times New Roman"/>
          <w:i/>
          <w:color w:val="000000" w:themeColor="text1"/>
          <w:sz w:val="28"/>
          <w:szCs w:val="28"/>
        </w:rPr>
        <w:t>vicinitas</w:t>
      </w:r>
      <w:r w:rsidR="00C82DAB" w:rsidRPr="00BF2644">
        <w:rPr>
          <w:rFonts w:ascii="Garamond" w:hAnsi="Garamond" w:cs="Times New Roman"/>
          <w:color w:val="000000" w:themeColor="text1"/>
          <w:sz w:val="28"/>
          <w:szCs w:val="28"/>
        </w:rPr>
        <w:t xml:space="preserve">" - ovvero il fatto che un soggetto viva abitualmente in prossimità del sito prescelto per la realizzazione dell'intervento o comunque abbia uno stabile e significativo collegamento con esso, tenuto conto della portata delle possibili esternalità negative dell'intervento autorizzato - rappresenta un elemento di per sé qualificante della legittimazione e dell'interesse a ricorrere. Ciò in quanto l'interesse appartiene a tanti soggetti facenti parte di una comunità identificata in base ad un prevalente criterio territoriale, che emerge come autentica situazione giuridica tutelabile in giudizio, laddove l'attività conformativa </w:t>
      </w:r>
      <w:r w:rsidR="0032317E" w:rsidRPr="00BF2644">
        <w:rPr>
          <w:rFonts w:ascii="Garamond" w:hAnsi="Garamond" w:cs="Times New Roman"/>
          <w:color w:val="000000" w:themeColor="text1"/>
          <w:sz w:val="28"/>
          <w:szCs w:val="28"/>
        </w:rPr>
        <w:t xml:space="preserve">della pubblica amministrazione </w:t>
      </w:r>
      <w:r w:rsidR="00C82DAB" w:rsidRPr="00BF2644">
        <w:rPr>
          <w:rFonts w:ascii="Garamond" w:hAnsi="Garamond" w:cs="Times New Roman"/>
          <w:color w:val="000000" w:themeColor="text1"/>
          <w:sz w:val="28"/>
          <w:szCs w:val="28"/>
        </w:rPr>
        <w:t xml:space="preserve">incida su un determinato spazio territoriale, modificandone l'assetto nelle sue caratteristiche non solo urbanistiche, ma anche paesaggistiche, ecologiche e di salubrità, e venga nel contempo denunziata </w:t>
      </w:r>
      <w:r w:rsidR="00C82DAB" w:rsidRPr="00EF3480">
        <w:rPr>
          <w:rFonts w:ascii="Garamond" w:hAnsi="Garamond" w:cs="Times New Roman"/>
          <w:color w:val="000000" w:themeColor="text1"/>
          <w:sz w:val="28"/>
          <w:szCs w:val="28"/>
        </w:rPr>
        <w:t>come foriera di rischi per la salute, diritto, questo, costituzi</w:t>
      </w:r>
      <w:r w:rsidR="007B76F1" w:rsidRPr="00EF3480">
        <w:rPr>
          <w:rFonts w:ascii="Garamond" w:hAnsi="Garamond" w:cs="Times New Roman"/>
          <w:color w:val="000000" w:themeColor="text1"/>
          <w:sz w:val="28"/>
          <w:szCs w:val="28"/>
        </w:rPr>
        <w:t>onalmente protetto (Cons. Stato, s</w:t>
      </w:r>
      <w:r w:rsidR="00C82DAB" w:rsidRPr="00EF3480">
        <w:rPr>
          <w:rFonts w:ascii="Garamond" w:hAnsi="Garamond" w:cs="Times New Roman"/>
          <w:color w:val="000000" w:themeColor="text1"/>
          <w:sz w:val="28"/>
          <w:szCs w:val="28"/>
        </w:rPr>
        <w:t>ez. IV</w:t>
      </w:r>
      <w:r w:rsidR="00C82DAB" w:rsidRPr="00BF2644">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n. 4639</w:t>
      </w:r>
      <w:r w:rsidR="00A00281">
        <w:rPr>
          <w:rFonts w:ascii="Garamond" w:hAnsi="Garamond" w:cs="Times New Roman"/>
          <w:color w:val="000000" w:themeColor="text1"/>
          <w:sz w:val="28"/>
          <w:szCs w:val="28"/>
        </w:rPr>
        <w:t xml:space="preserve"> del 2022</w:t>
      </w:r>
      <w:r w:rsidR="00146E68">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 xml:space="preserve"> in materia di PAUR</w:t>
      </w:r>
      <w:r w:rsidR="00146E68">
        <w:rPr>
          <w:rFonts w:ascii="Garamond" w:hAnsi="Garamond" w:cs="Times New Roman"/>
          <w:color w:val="000000" w:themeColor="text1"/>
          <w:sz w:val="28"/>
          <w:szCs w:val="28"/>
        </w:rPr>
        <w:t>;</w:t>
      </w:r>
      <w:r w:rsidR="00C82DAB" w:rsidRPr="00BF2644">
        <w:rPr>
          <w:rFonts w:ascii="Garamond" w:hAnsi="Garamond" w:cs="Times New Roman"/>
          <w:color w:val="000000" w:themeColor="text1"/>
          <w:sz w:val="28"/>
          <w:szCs w:val="28"/>
        </w:rPr>
        <w:t xml:space="preserve"> in termini anche Cons. </w:t>
      </w:r>
      <w:r w:rsidR="00A00281">
        <w:rPr>
          <w:rFonts w:ascii="Garamond" w:hAnsi="Garamond" w:cs="Times New Roman"/>
          <w:color w:val="000000" w:themeColor="text1"/>
          <w:sz w:val="28"/>
          <w:szCs w:val="28"/>
        </w:rPr>
        <w:t>Stato, sez. IV</w:t>
      </w:r>
      <w:r w:rsidR="00C82DAB" w:rsidRPr="00BF2644">
        <w:rPr>
          <w:rFonts w:ascii="Garamond" w:hAnsi="Garamond" w:cs="Times New Roman"/>
          <w:color w:val="000000" w:themeColor="text1"/>
          <w:sz w:val="28"/>
          <w:szCs w:val="28"/>
        </w:rPr>
        <w:t>, n. 6667</w:t>
      </w:r>
      <w:r w:rsidR="00A00281">
        <w:rPr>
          <w:rFonts w:ascii="Garamond" w:hAnsi="Garamond" w:cs="Times New Roman"/>
          <w:color w:val="000000" w:themeColor="text1"/>
          <w:sz w:val="28"/>
          <w:szCs w:val="28"/>
        </w:rPr>
        <w:t xml:space="preserve"> del 2017</w:t>
      </w:r>
      <w:r w:rsidR="00C82DAB" w:rsidRPr="00BF2644">
        <w:rPr>
          <w:rFonts w:ascii="Garamond" w:hAnsi="Garamond" w:cs="Times New Roman"/>
          <w:color w:val="000000" w:themeColor="text1"/>
          <w:sz w:val="28"/>
          <w:szCs w:val="28"/>
        </w:rPr>
        <w:t>; in senso analogo in relazione ad un impianto di recupero dei rifiuti</w:t>
      </w:r>
      <w:r w:rsidR="00146E68">
        <w:rPr>
          <w:rFonts w:ascii="Garamond" w:hAnsi="Garamond" w:cs="Times New Roman"/>
          <w:color w:val="000000" w:themeColor="text1"/>
          <w:sz w:val="28"/>
          <w:szCs w:val="28"/>
        </w:rPr>
        <w:t>,</w:t>
      </w:r>
      <w:r w:rsidR="00C82DAB" w:rsidRPr="00BF2644">
        <w:rPr>
          <w:rFonts w:ascii="Garamond" w:hAnsi="Garamond" w:cs="Times New Roman"/>
          <w:color w:val="000000" w:themeColor="text1"/>
          <w:sz w:val="28"/>
          <w:szCs w:val="28"/>
        </w:rPr>
        <w:t xml:space="preserve"> C</w:t>
      </w:r>
      <w:r w:rsidR="004605D3">
        <w:rPr>
          <w:rFonts w:ascii="Garamond" w:hAnsi="Garamond" w:cs="Times New Roman"/>
          <w:color w:val="000000" w:themeColor="text1"/>
          <w:sz w:val="28"/>
          <w:szCs w:val="28"/>
        </w:rPr>
        <w:t xml:space="preserve">ons. </w:t>
      </w:r>
      <w:r w:rsidR="00A00281">
        <w:rPr>
          <w:rFonts w:ascii="Garamond" w:hAnsi="Garamond" w:cs="Times New Roman"/>
          <w:color w:val="000000" w:themeColor="text1"/>
          <w:sz w:val="28"/>
          <w:szCs w:val="28"/>
        </w:rPr>
        <w:t>Stato</w:t>
      </w:r>
      <w:r w:rsidR="00EF3480">
        <w:rPr>
          <w:rFonts w:ascii="Garamond" w:hAnsi="Garamond" w:cs="Times New Roman"/>
          <w:color w:val="000000" w:themeColor="text1"/>
          <w:sz w:val="28"/>
          <w:szCs w:val="28"/>
        </w:rPr>
        <w:t>,</w:t>
      </w:r>
      <w:r w:rsidR="00A00281">
        <w:rPr>
          <w:rFonts w:ascii="Garamond" w:hAnsi="Garamond" w:cs="Times New Roman"/>
          <w:color w:val="000000" w:themeColor="text1"/>
          <w:sz w:val="28"/>
          <w:szCs w:val="28"/>
        </w:rPr>
        <w:t xml:space="preserve"> sez. V, n. 51937 del </w:t>
      </w:r>
      <w:r w:rsidR="00C82DAB" w:rsidRPr="00BF2644">
        <w:rPr>
          <w:rFonts w:ascii="Garamond" w:hAnsi="Garamond" w:cs="Times New Roman"/>
          <w:color w:val="000000" w:themeColor="text1"/>
          <w:sz w:val="28"/>
          <w:szCs w:val="28"/>
        </w:rPr>
        <w:t>2011</w:t>
      </w:r>
      <w:r w:rsidR="00146E68">
        <w:rPr>
          <w:rFonts w:ascii="Garamond" w:hAnsi="Garamond" w:cs="Times New Roman"/>
          <w:color w:val="000000" w:themeColor="text1"/>
          <w:sz w:val="28"/>
          <w:szCs w:val="28"/>
        </w:rPr>
        <w:t xml:space="preserve">, </w:t>
      </w:r>
      <w:r w:rsidR="00C82DAB" w:rsidRPr="00BF2644">
        <w:rPr>
          <w:rFonts w:ascii="Garamond" w:hAnsi="Garamond" w:cs="Times New Roman"/>
          <w:color w:val="000000" w:themeColor="text1"/>
          <w:sz w:val="28"/>
          <w:szCs w:val="28"/>
        </w:rPr>
        <w:t>secondo cui soggetti interessati alla localizzazione dell'impianto di recupero rifi</w:t>
      </w:r>
      <w:r w:rsidR="0011559E">
        <w:rPr>
          <w:rFonts w:ascii="Garamond" w:hAnsi="Garamond" w:cs="Times New Roman"/>
          <w:color w:val="000000" w:themeColor="text1"/>
          <w:sz w:val="28"/>
          <w:szCs w:val="28"/>
        </w:rPr>
        <w:t>uti sono anche i cittadini dei c</w:t>
      </w:r>
      <w:r w:rsidR="00C82DAB" w:rsidRPr="00BF2644">
        <w:rPr>
          <w:rFonts w:ascii="Garamond" w:hAnsi="Garamond" w:cs="Times New Roman"/>
          <w:color w:val="000000" w:themeColor="text1"/>
          <w:sz w:val="28"/>
          <w:szCs w:val="28"/>
        </w:rPr>
        <w:t xml:space="preserve">omuni limitrofi a quelli in cui questo sarà ubicato, ed anche ad essi spetta la legittimazione attiva in giudizio; al </w:t>
      </w:r>
      <w:r w:rsidR="0011559E">
        <w:rPr>
          <w:rFonts w:ascii="Garamond" w:hAnsi="Garamond" w:cs="Times New Roman"/>
          <w:color w:val="000000" w:themeColor="text1"/>
          <w:sz w:val="28"/>
          <w:szCs w:val="28"/>
        </w:rPr>
        <w:t>c</w:t>
      </w:r>
      <w:r w:rsidR="00C82DAB" w:rsidRPr="00BF2644">
        <w:rPr>
          <w:rFonts w:ascii="Garamond" w:hAnsi="Garamond" w:cs="Times New Roman"/>
          <w:color w:val="000000" w:themeColor="text1"/>
          <w:sz w:val="28"/>
          <w:szCs w:val="28"/>
        </w:rPr>
        <w:t>omune limitrofo, quale ente competente alla tutela degli interessi della collettività dei propri cittadini, va riconosciuta la qualità di soggetto interessato, ciò anche ai fini della partecipazione alla confere</w:t>
      </w:r>
      <w:r w:rsidR="00146E68">
        <w:rPr>
          <w:rFonts w:ascii="Garamond" w:hAnsi="Garamond" w:cs="Times New Roman"/>
          <w:color w:val="000000" w:themeColor="text1"/>
          <w:sz w:val="28"/>
          <w:szCs w:val="28"/>
        </w:rPr>
        <w:t xml:space="preserve">nza di servizi ex art. 208 </w:t>
      </w:r>
      <w:r w:rsidR="004F0CCD">
        <w:rPr>
          <w:rFonts w:ascii="Garamond" w:hAnsi="Garamond" w:cs="Times New Roman"/>
          <w:color w:val="000000" w:themeColor="text1"/>
          <w:sz w:val="28"/>
          <w:szCs w:val="28"/>
        </w:rPr>
        <w:t>d.lgs.</w:t>
      </w:r>
      <w:r w:rsidR="00146E68">
        <w:rPr>
          <w:rFonts w:ascii="Garamond" w:hAnsi="Garamond" w:cs="Times New Roman"/>
          <w:color w:val="000000" w:themeColor="text1"/>
          <w:sz w:val="28"/>
          <w:szCs w:val="28"/>
        </w:rPr>
        <w:t xml:space="preserve"> n. 152 del </w:t>
      </w:r>
      <w:r w:rsidR="0011559E">
        <w:rPr>
          <w:rFonts w:ascii="Garamond" w:hAnsi="Garamond" w:cs="Times New Roman"/>
          <w:color w:val="000000" w:themeColor="text1"/>
          <w:sz w:val="28"/>
          <w:szCs w:val="28"/>
        </w:rPr>
        <w:t>2006);</w:t>
      </w:r>
    </w:p>
    <w:p w:rsidR="00C82DAB" w:rsidRPr="00BF2644" w:rsidRDefault="00146E68" w:rsidP="00A41761">
      <w:pPr>
        <w:spacing w:line="240" w:lineRule="auto"/>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n</w:t>
      </w:r>
      <w:r w:rsidR="00C82DAB" w:rsidRPr="00BF2644">
        <w:rPr>
          <w:rFonts w:ascii="Garamond" w:hAnsi="Garamond" w:cs="Times New Roman"/>
          <w:color w:val="000000" w:themeColor="text1"/>
          <w:sz w:val="28"/>
          <w:szCs w:val="28"/>
        </w:rPr>
        <w:t xml:space="preserve">on sono configurabili controinteressati a fronte della impugnativa del  diniego di autorizzazione unica ambientale; il terzo che dovesse trarre un  vantaggio dalla conservazione del diniego impugnato, infatti, non sarebbe  titolare di un interesse qualificato al mantenimento del diniego stesso o alla  conservazione dello </w:t>
      </w:r>
      <w:r w:rsidR="00C82DAB" w:rsidRPr="00EF3480">
        <w:rPr>
          <w:rFonts w:ascii="Garamond" w:hAnsi="Garamond" w:cs="Times New Roman"/>
          <w:i/>
          <w:color w:val="000000" w:themeColor="text1"/>
          <w:sz w:val="28"/>
          <w:szCs w:val="28"/>
        </w:rPr>
        <w:t xml:space="preserve">status </w:t>
      </w:r>
      <w:r w:rsidR="00C82DAB" w:rsidRPr="00BF2644">
        <w:rPr>
          <w:rFonts w:ascii="Garamond" w:hAnsi="Garamond" w:cs="Times New Roman"/>
          <w:color w:val="000000" w:themeColor="text1"/>
          <w:sz w:val="28"/>
          <w:szCs w:val="28"/>
        </w:rPr>
        <w:t>determinato da quest’ultimo, non conseguendo da esso in modo diretto alcuna concreta utilità o bene della vita, ma solo  vantaggi indiretti</w:t>
      </w:r>
      <w:r w:rsidR="007B76F1">
        <w:rPr>
          <w:rFonts w:ascii="Garamond" w:hAnsi="Garamond" w:cs="Times New Roman"/>
          <w:color w:val="000000" w:themeColor="text1"/>
          <w:sz w:val="28"/>
          <w:szCs w:val="28"/>
        </w:rPr>
        <w:t xml:space="preserve"> (Cons. Stato, se</w:t>
      </w:r>
      <w:r w:rsidR="007B76F1" w:rsidRPr="00EF3480">
        <w:rPr>
          <w:rFonts w:ascii="Garamond" w:hAnsi="Garamond" w:cs="Times New Roman"/>
          <w:color w:val="000000" w:themeColor="text1"/>
          <w:sz w:val="28"/>
          <w:szCs w:val="28"/>
        </w:rPr>
        <w:t>z.</w:t>
      </w:r>
      <w:r w:rsidR="00A00281">
        <w:rPr>
          <w:rFonts w:ascii="Garamond" w:hAnsi="Garamond" w:cs="Times New Roman"/>
          <w:color w:val="000000" w:themeColor="text1"/>
          <w:sz w:val="28"/>
          <w:szCs w:val="28"/>
        </w:rPr>
        <w:t xml:space="preserve"> IV, n. 3533 del </w:t>
      </w:r>
      <w:r w:rsidR="00C82DAB" w:rsidRPr="00BF2644">
        <w:rPr>
          <w:rFonts w:ascii="Garamond" w:hAnsi="Garamond" w:cs="Times New Roman"/>
          <w:color w:val="000000" w:themeColor="text1"/>
          <w:sz w:val="28"/>
          <w:szCs w:val="28"/>
        </w:rPr>
        <w:t>2023</w:t>
      </w:r>
      <w:r w:rsidR="00EF3480">
        <w:rPr>
          <w:rFonts w:ascii="Garamond" w:hAnsi="Garamond" w:cs="Times New Roman"/>
          <w:color w:val="000000" w:themeColor="text1"/>
          <w:sz w:val="28"/>
          <w:szCs w:val="28"/>
        </w:rPr>
        <w:t>, riferita</w:t>
      </w:r>
      <w:r w:rsidR="00C82DAB" w:rsidRPr="00BF2644">
        <w:rPr>
          <w:rFonts w:ascii="Garamond" w:hAnsi="Garamond" w:cs="Times New Roman"/>
          <w:color w:val="000000" w:themeColor="text1"/>
          <w:sz w:val="28"/>
          <w:szCs w:val="28"/>
        </w:rPr>
        <w:t xml:space="preserve"> a fattispecie in cui una società aveva impugnato il diniego di AUA per il rinnovo dell’attività di recupero rifiuti non pericolosi in procedura semplificata; la società proprietaria del terreno aveva proposto ricorso incidentale, dolendosi dell’illegittimità degli atti impugnati dalla ricorrente in via principale nella parte in cui non negavano l’autorizzazione anche per altri motivi; il Consiglio di Stato ha dichiarato inamm</w:t>
      </w:r>
      <w:r w:rsidR="00A00281">
        <w:rPr>
          <w:rFonts w:ascii="Garamond" w:hAnsi="Garamond" w:cs="Times New Roman"/>
          <w:color w:val="000000" w:themeColor="text1"/>
          <w:sz w:val="28"/>
          <w:szCs w:val="28"/>
        </w:rPr>
        <w:t xml:space="preserve">issibile il ricorso incidentale, </w:t>
      </w:r>
      <w:r w:rsidR="00C82DAB" w:rsidRPr="00BF2644">
        <w:rPr>
          <w:rFonts w:ascii="Garamond" w:hAnsi="Garamond" w:cs="Times New Roman"/>
          <w:color w:val="000000" w:themeColor="text1"/>
          <w:sz w:val="28"/>
          <w:szCs w:val="28"/>
        </w:rPr>
        <w:t xml:space="preserve">osservando che nel giudizio amministrativo impugnatorio avente </w:t>
      </w:r>
      <w:r>
        <w:rPr>
          <w:rFonts w:ascii="Garamond" w:hAnsi="Garamond" w:cs="Times New Roman"/>
          <w:color w:val="000000" w:themeColor="text1"/>
          <w:sz w:val="28"/>
          <w:szCs w:val="28"/>
        </w:rPr>
        <w:t>ad oggetto dinieghi - di SCIA, DIA</w:t>
      </w:r>
      <w:r w:rsidR="00C82DAB" w:rsidRPr="00BF2644">
        <w:rPr>
          <w:rFonts w:ascii="Garamond" w:hAnsi="Garamond" w:cs="Times New Roman"/>
          <w:color w:val="000000" w:themeColor="text1"/>
          <w:sz w:val="28"/>
          <w:szCs w:val="28"/>
        </w:rPr>
        <w:t xml:space="preserve"> e autorizzazioni come quella in questione -  o atti </w:t>
      </w:r>
      <w:r w:rsidR="00C82DAB" w:rsidRPr="00BF2644">
        <w:rPr>
          <w:rFonts w:ascii="Garamond" w:hAnsi="Garamond" w:cs="Times New Roman"/>
          <w:color w:val="000000" w:themeColor="text1"/>
          <w:sz w:val="28"/>
          <w:szCs w:val="28"/>
        </w:rPr>
        <w:lastRenderedPageBreak/>
        <w:t>repressivi - inflizione di sanzioni edilizie, dinieghi di condono e così via -  non si configurano di regola posizioni di contro interesse, inteso come la situazione propria del soggetto “</w:t>
      </w:r>
      <w:r w:rsidR="00C82DAB" w:rsidRPr="00146E68">
        <w:rPr>
          <w:rFonts w:ascii="Garamond" w:hAnsi="Garamond" w:cs="Times New Roman"/>
          <w:i/>
          <w:color w:val="000000" w:themeColor="text1"/>
          <w:sz w:val="28"/>
          <w:szCs w:val="28"/>
        </w:rPr>
        <w:t>individuato o facilmente individuabile in base al provvedimento</w:t>
      </w:r>
      <w:r w:rsidR="00C82DAB" w:rsidRPr="00BF2644">
        <w:rPr>
          <w:rFonts w:ascii="Garamond" w:hAnsi="Garamond" w:cs="Times New Roman"/>
          <w:color w:val="000000" w:themeColor="text1"/>
          <w:sz w:val="28"/>
          <w:szCs w:val="28"/>
        </w:rPr>
        <w:t>” che trae un vantaggio diretto e concreto da quest’ultimo).</w:t>
      </w:r>
    </w:p>
    <w:p w:rsidR="00DC6821" w:rsidRDefault="00DC6821" w:rsidP="00BF2644">
      <w:pPr>
        <w:spacing w:line="240" w:lineRule="auto"/>
        <w:ind w:firstLine="709"/>
        <w:contextualSpacing/>
        <w:jc w:val="both"/>
        <w:rPr>
          <w:rFonts w:ascii="Garamond" w:hAnsi="Garamond" w:cs="Times New Roman"/>
          <w:b/>
          <w:color w:val="000000" w:themeColor="text1"/>
          <w:sz w:val="28"/>
          <w:szCs w:val="28"/>
        </w:rPr>
      </w:pPr>
    </w:p>
    <w:p w:rsidR="00A120ED" w:rsidRDefault="009905AB" w:rsidP="00BF2644">
      <w:pPr>
        <w:spacing w:line="240" w:lineRule="auto"/>
        <w:ind w:firstLine="709"/>
        <w:contextualSpacing/>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8</w:t>
      </w:r>
      <w:r w:rsidR="00A120ED" w:rsidRPr="00BF2644">
        <w:rPr>
          <w:rFonts w:ascii="Garamond" w:hAnsi="Garamond" w:cs="Times New Roman"/>
          <w:b/>
          <w:color w:val="000000" w:themeColor="text1"/>
          <w:sz w:val="28"/>
          <w:szCs w:val="28"/>
        </w:rPr>
        <w:t>. Questioni di giurisdizione</w:t>
      </w:r>
    </w:p>
    <w:p w:rsidR="00A00281" w:rsidRDefault="00146E68" w:rsidP="00BF2644">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Secondo la </w:t>
      </w:r>
      <w:r w:rsidR="00A00281" w:rsidRPr="00F3169C">
        <w:rPr>
          <w:rFonts w:ascii="Garamond" w:hAnsi="Garamond" w:cs="Times New Roman"/>
          <w:color w:val="000000" w:themeColor="text1"/>
          <w:sz w:val="28"/>
          <w:szCs w:val="28"/>
        </w:rPr>
        <w:t>Cort</w:t>
      </w:r>
      <w:r>
        <w:rPr>
          <w:rFonts w:ascii="Garamond" w:hAnsi="Garamond" w:cs="Times New Roman"/>
          <w:color w:val="000000" w:themeColor="text1"/>
          <w:sz w:val="28"/>
          <w:szCs w:val="28"/>
        </w:rPr>
        <w:t>e costituzionale è</w:t>
      </w:r>
      <w:r w:rsidR="00A00281" w:rsidRPr="00F3169C">
        <w:rPr>
          <w:rFonts w:ascii="Garamond" w:hAnsi="Garamond" w:cs="Times New Roman"/>
          <w:color w:val="000000" w:themeColor="text1"/>
          <w:sz w:val="28"/>
          <w:szCs w:val="28"/>
        </w:rPr>
        <w:t xml:space="preserve"> infondata la questione di legittimità </w:t>
      </w:r>
      <w:r w:rsidR="00EF3480">
        <w:rPr>
          <w:rFonts w:ascii="Garamond" w:hAnsi="Garamond" w:cs="Times New Roman"/>
          <w:color w:val="000000" w:themeColor="text1"/>
          <w:sz w:val="28"/>
          <w:szCs w:val="28"/>
        </w:rPr>
        <w:t xml:space="preserve">costituzionale dell’art. 133, </w:t>
      </w:r>
      <w:r w:rsidR="00A00281" w:rsidRPr="00F3169C">
        <w:rPr>
          <w:rFonts w:ascii="Garamond" w:hAnsi="Garamond" w:cs="Times New Roman"/>
          <w:color w:val="000000" w:themeColor="text1"/>
          <w:sz w:val="28"/>
          <w:szCs w:val="28"/>
        </w:rPr>
        <w:t xml:space="preserve"> comma</w:t>
      </w:r>
      <w:r w:rsidR="00EF3480">
        <w:rPr>
          <w:rFonts w:ascii="Garamond" w:hAnsi="Garamond" w:cs="Times New Roman"/>
          <w:color w:val="000000" w:themeColor="text1"/>
          <w:sz w:val="28"/>
          <w:szCs w:val="28"/>
        </w:rPr>
        <w:t xml:space="preserve"> 1</w:t>
      </w:r>
      <w:r w:rsidR="00A00281" w:rsidRPr="00F3169C">
        <w:rPr>
          <w:rFonts w:ascii="Garamond" w:hAnsi="Garamond" w:cs="Times New Roman"/>
          <w:color w:val="000000" w:themeColor="text1"/>
          <w:sz w:val="28"/>
          <w:szCs w:val="28"/>
        </w:rPr>
        <w:t xml:space="preserve">, lett. p), </w:t>
      </w:r>
      <w:r w:rsidR="00981AFC" w:rsidRPr="00981AFC">
        <w:rPr>
          <w:rFonts w:ascii="Garamond" w:hAnsi="Garamond" w:cs="Times New Roman"/>
          <w:color w:val="000000" w:themeColor="text1"/>
          <w:sz w:val="28"/>
          <w:szCs w:val="28"/>
        </w:rPr>
        <w:t>c.p.a.</w:t>
      </w:r>
      <w:r w:rsidR="00981AFC">
        <w:rPr>
          <w:rFonts w:ascii="Garamond" w:hAnsi="Garamond" w:cs="Times New Roman"/>
          <w:color w:val="000000" w:themeColor="text1"/>
          <w:sz w:val="28"/>
          <w:szCs w:val="28"/>
        </w:rPr>
        <w:t>,</w:t>
      </w:r>
      <w:r w:rsidR="00A00281" w:rsidRPr="007B76F1">
        <w:rPr>
          <w:rFonts w:ascii="Garamond" w:hAnsi="Garamond" w:cs="Times New Roman"/>
          <w:color w:val="FF0000"/>
          <w:sz w:val="28"/>
          <w:szCs w:val="28"/>
        </w:rPr>
        <w:t xml:space="preserve"> </w:t>
      </w:r>
      <w:r w:rsidR="00A00281" w:rsidRPr="00F3169C">
        <w:rPr>
          <w:rFonts w:ascii="Garamond" w:hAnsi="Garamond" w:cs="Times New Roman"/>
          <w:color w:val="000000" w:themeColor="text1"/>
          <w:sz w:val="28"/>
          <w:szCs w:val="28"/>
        </w:rPr>
        <w:t>nella parte in cui attribuisce alla giurisdizione amministrativa, in via esclusiva, tutte le controversie concernenti la complessiva azione di gestione del ciclo dei rifiuti, seppur posta in essere da comportamenti della pubblica amministrazione riconducibili, anche solo mediatamente, all’esercizio di un pubblico potere, in riferim</w:t>
      </w:r>
      <w:r w:rsidR="00EF3480">
        <w:rPr>
          <w:rFonts w:ascii="Garamond" w:hAnsi="Garamond" w:cs="Times New Roman"/>
          <w:color w:val="000000" w:themeColor="text1"/>
          <w:sz w:val="28"/>
          <w:szCs w:val="28"/>
        </w:rPr>
        <w:t>ento agli art. 3, 24, 25, 100,</w:t>
      </w:r>
      <w:r w:rsidR="00A00281" w:rsidRPr="00F3169C">
        <w:rPr>
          <w:rFonts w:ascii="Garamond" w:hAnsi="Garamond" w:cs="Times New Roman"/>
          <w:color w:val="000000" w:themeColor="text1"/>
          <w:sz w:val="28"/>
          <w:szCs w:val="28"/>
        </w:rPr>
        <w:t xml:space="preserve"> comma,</w:t>
      </w:r>
      <w:r w:rsidR="00EF3480">
        <w:rPr>
          <w:rFonts w:ascii="Garamond" w:hAnsi="Garamond" w:cs="Times New Roman"/>
          <w:color w:val="000000" w:themeColor="text1"/>
          <w:sz w:val="28"/>
          <w:szCs w:val="28"/>
        </w:rPr>
        <w:t xml:space="preserve"> 1 102, 103, </w:t>
      </w:r>
      <w:r w:rsidR="00A00281" w:rsidRPr="00F3169C">
        <w:rPr>
          <w:rFonts w:ascii="Garamond" w:hAnsi="Garamond" w:cs="Times New Roman"/>
          <w:color w:val="000000" w:themeColor="text1"/>
          <w:sz w:val="28"/>
          <w:szCs w:val="28"/>
        </w:rPr>
        <w:t xml:space="preserve"> comma</w:t>
      </w:r>
      <w:r w:rsidR="00EF3480">
        <w:rPr>
          <w:rFonts w:ascii="Garamond" w:hAnsi="Garamond" w:cs="Times New Roman"/>
          <w:color w:val="000000" w:themeColor="text1"/>
          <w:sz w:val="28"/>
          <w:szCs w:val="28"/>
        </w:rPr>
        <w:t xml:space="preserve"> 1, 111 e 113, </w:t>
      </w:r>
      <w:r w:rsidR="00A00281" w:rsidRPr="00F3169C">
        <w:rPr>
          <w:rFonts w:ascii="Garamond" w:hAnsi="Garamond" w:cs="Times New Roman"/>
          <w:color w:val="000000" w:themeColor="text1"/>
          <w:sz w:val="28"/>
          <w:szCs w:val="28"/>
        </w:rPr>
        <w:t>comma</w:t>
      </w:r>
      <w:r w:rsidR="00EF3480">
        <w:rPr>
          <w:rFonts w:ascii="Garamond" w:hAnsi="Garamond" w:cs="Times New Roman"/>
          <w:color w:val="000000" w:themeColor="text1"/>
          <w:sz w:val="28"/>
          <w:szCs w:val="28"/>
        </w:rPr>
        <w:t xml:space="preserve"> 1</w:t>
      </w:r>
      <w:r w:rsidR="00A00281" w:rsidRPr="00F3169C">
        <w:rPr>
          <w:rFonts w:ascii="Garamond" w:hAnsi="Garamond" w:cs="Times New Roman"/>
          <w:color w:val="000000" w:themeColor="text1"/>
          <w:sz w:val="28"/>
          <w:szCs w:val="28"/>
        </w:rPr>
        <w:t xml:space="preserve">, Cost. (Corte cost. n. 178 del 2022; il giudizio di merito, svoltosi davanti al Tribunale di Reggio Calabria, giudice </w:t>
      </w:r>
      <w:r w:rsidR="00A00281" w:rsidRPr="00146E68">
        <w:rPr>
          <w:rFonts w:ascii="Garamond" w:hAnsi="Garamond" w:cs="Times New Roman"/>
          <w:i/>
          <w:color w:val="000000" w:themeColor="text1"/>
          <w:sz w:val="28"/>
          <w:szCs w:val="28"/>
        </w:rPr>
        <w:t>a quo</w:t>
      </w:r>
      <w:r w:rsidR="00A00281" w:rsidRPr="00F3169C">
        <w:rPr>
          <w:rFonts w:ascii="Garamond" w:hAnsi="Garamond" w:cs="Times New Roman"/>
          <w:color w:val="000000" w:themeColor="text1"/>
          <w:sz w:val="28"/>
          <w:szCs w:val="28"/>
        </w:rPr>
        <w:t xml:space="preserve">, concerneva la domanda di risarcimento di danni </w:t>
      </w:r>
      <w:r w:rsidR="00F3169C" w:rsidRPr="00F3169C">
        <w:rPr>
          <w:rFonts w:ascii="Garamond" w:hAnsi="Garamond" w:cs="Times New Roman"/>
          <w:color w:val="000000" w:themeColor="text1"/>
          <w:sz w:val="28"/>
          <w:szCs w:val="28"/>
        </w:rPr>
        <w:t>cagionati dall’incendio</w:t>
      </w:r>
      <w:r w:rsidR="00A00281" w:rsidRPr="00F3169C">
        <w:rPr>
          <w:rFonts w:ascii="Garamond" w:hAnsi="Garamond" w:cs="Times New Roman"/>
          <w:color w:val="000000" w:themeColor="text1"/>
          <w:sz w:val="28"/>
          <w:szCs w:val="28"/>
        </w:rPr>
        <w:t xml:space="preserve"> di cassonetti destinati al servizio di raccolta dei rifiuti urbani; era stata dedotta la responsabilità prevista dall’art.  2051 c.c., nei confronti del </w:t>
      </w:r>
      <w:r w:rsidR="004640B1" w:rsidRPr="00F3169C">
        <w:rPr>
          <w:rFonts w:ascii="Garamond" w:hAnsi="Garamond" w:cs="Times New Roman"/>
          <w:color w:val="000000" w:themeColor="text1"/>
          <w:sz w:val="28"/>
          <w:szCs w:val="28"/>
        </w:rPr>
        <w:t xml:space="preserve">Comune </w:t>
      </w:r>
      <w:r w:rsidR="00A00281" w:rsidRPr="00F3169C">
        <w:rPr>
          <w:rFonts w:ascii="Garamond" w:hAnsi="Garamond" w:cs="Times New Roman"/>
          <w:color w:val="000000" w:themeColor="text1"/>
          <w:sz w:val="28"/>
          <w:szCs w:val="28"/>
        </w:rPr>
        <w:t xml:space="preserve">titolare del servizio e </w:t>
      </w:r>
      <w:r>
        <w:rPr>
          <w:rFonts w:ascii="Garamond" w:hAnsi="Garamond" w:cs="Times New Roman"/>
          <w:color w:val="000000" w:themeColor="text1"/>
          <w:sz w:val="28"/>
          <w:szCs w:val="28"/>
        </w:rPr>
        <w:t xml:space="preserve">della  </w:t>
      </w:r>
      <w:r w:rsidR="0032317E">
        <w:rPr>
          <w:rFonts w:ascii="Garamond" w:hAnsi="Garamond" w:cs="Times New Roman"/>
          <w:color w:val="000000" w:themeColor="text1"/>
          <w:sz w:val="28"/>
          <w:szCs w:val="28"/>
        </w:rPr>
        <w:t>r</w:t>
      </w:r>
      <w:r w:rsidR="002D4208">
        <w:rPr>
          <w:rFonts w:ascii="Garamond" w:hAnsi="Garamond" w:cs="Times New Roman"/>
          <w:color w:val="000000" w:themeColor="text1"/>
          <w:sz w:val="28"/>
          <w:szCs w:val="28"/>
        </w:rPr>
        <w:t>egione</w:t>
      </w:r>
      <w:r>
        <w:rPr>
          <w:rFonts w:ascii="Garamond" w:hAnsi="Garamond" w:cs="Times New Roman"/>
          <w:color w:val="000000" w:themeColor="text1"/>
          <w:sz w:val="28"/>
          <w:szCs w:val="28"/>
        </w:rPr>
        <w:t>; la Corte c</w:t>
      </w:r>
      <w:r w:rsidR="00A00281" w:rsidRPr="00F3169C">
        <w:rPr>
          <w:rFonts w:ascii="Garamond" w:hAnsi="Garamond" w:cs="Times New Roman"/>
          <w:color w:val="000000" w:themeColor="text1"/>
          <w:sz w:val="28"/>
          <w:szCs w:val="28"/>
        </w:rPr>
        <w:t>ostituzionale</w:t>
      </w:r>
      <w:r w:rsidR="00EF3480">
        <w:rPr>
          <w:rFonts w:ascii="Garamond" w:hAnsi="Garamond" w:cs="Times New Roman"/>
          <w:color w:val="000000" w:themeColor="text1"/>
          <w:sz w:val="28"/>
          <w:szCs w:val="28"/>
        </w:rPr>
        <w:t>,</w:t>
      </w:r>
      <w:r w:rsidR="00A00281" w:rsidRPr="00F3169C">
        <w:rPr>
          <w:rFonts w:ascii="Garamond" w:hAnsi="Garamond" w:cs="Times New Roman"/>
          <w:color w:val="000000" w:themeColor="text1"/>
          <w:sz w:val="28"/>
          <w:szCs w:val="28"/>
        </w:rPr>
        <w:t xml:space="preserve"> nel ritenere infondata la questione di legittimità costituzionale rileva che, ai fini del riparto di giurisdizione per danni cagionati da cose in custodia inerenti al ciclo dei rifiuti, la Cassazione in realtà accoglierebbe tuttora la distinzione fra controversie rispetto alle quali assumono rilievo le scelte dell’amministrazione per l’ubicazione e la sorveglianza di tali cose - devolute alla cognizione del giudice amministrativo -</w:t>
      </w:r>
      <w:r>
        <w:rPr>
          <w:rFonts w:ascii="Garamond" w:hAnsi="Garamond" w:cs="Times New Roman"/>
          <w:color w:val="000000" w:themeColor="text1"/>
          <w:sz w:val="28"/>
          <w:szCs w:val="28"/>
        </w:rPr>
        <w:t xml:space="preserve"> </w:t>
      </w:r>
      <w:r w:rsidR="00A00281" w:rsidRPr="00F3169C">
        <w:rPr>
          <w:rFonts w:ascii="Garamond" w:hAnsi="Garamond" w:cs="Times New Roman"/>
          <w:color w:val="000000" w:themeColor="text1"/>
          <w:sz w:val="28"/>
          <w:szCs w:val="28"/>
        </w:rPr>
        <w:t>e controversie per comportamenti meramente materiali dell’amministrazione - devolute invece alla cognizione del giudice ordinario</w:t>
      </w:r>
      <w:r w:rsidR="00F3169C" w:rsidRPr="00F3169C">
        <w:rPr>
          <w:rFonts w:ascii="Garamond" w:hAnsi="Garamond" w:cs="Times New Roman"/>
          <w:color w:val="000000" w:themeColor="text1"/>
          <w:sz w:val="28"/>
          <w:szCs w:val="28"/>
        </w:rPr>
        <w:t>)</w:t>
      </w:r>
      <w:r w:rsidR="00A00281" w:rsidRPr="00F3169C">
        <w:rPr>
          <w:rFonts w:ascii="Garamond" w:hAnsi="Garamond" w:cs="Times New Roman"/>
          <w:color w:val="000000" w:themeColor="text1"/>
          <w:sz w:val="28"/>
          <w:szCs w:val="28"/>
        </w:rPr>
        <w:t xml:space="preserve">. </w:t>
      </w:r>
    </w:p>
    <w:p w:rsidR="00F3169C" w:rsidRPr="00F3169C" w:rsidRDefault="00F3169C" w:rsidP="00BF2644">
      <w:pPr>
        <w:spacing w:line="240" w:lineRule="auto"/>
        <w:ind w:firstLine="709"/>
        <w:contextualSpacing/>
        <w:jc w:val="both"/>
        <w:rPr>
          <w:rFonts w:ascii="Garamond" w:hAnsi="Garamond" w:cs="Times New Roman"/>
          <w:color w:val="000000" w:themeColor="text1"/>
          <w:sz w:val="28"/>
          <w:szCs w:val="28"/>
        </w:rPr>
      </w:pPr>
      <w:r w:rsidRPr="00EF3480">
        <w:rPr>
          <w:rFonts w:ascii="Garamond" w:hAnsi="Garamond" w:cs="Times New Roman"/>
          <w:color w:val="000000" w:themeColor="text1"/>
          <w:sz w:val="28"/>
          <w:szCs w:val="28"/>
        </w:rPr>
        <w:t xml:space="preserve">Le </w:t>
      </w:r>
      <w:r w:rsidR="007B76F1" w:rsidRPr="00EF3480">
        <w:rPr>
          <w:rFonts w:ascii="Garamond" w:hAnsi="Garamond" w:cs="Times New Roman"/>
          <w:color w:val="000000" w:themeColor="text1"/>
          <w:sz w:val="28"/>
          <w:szCs w:val="28"/>
        </w:rPr>
        <w:t>sezioni unite</w:t>
      </w:r>
      <w:r w:rsidR="007B76F1">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 xml:space="preserve">della </w:t>
      </w:r>
      <w:r w:rsidRPr="00EF3480">
        <w:rPr>
          <w:rFonts w:ascii="Garamond" w:hAnsi="Garamond" w:cs="Times New Roman"/>
          <w:color w:val="000000" w:themeColor="text1"/>
          <w:sz w:val="28"/>
          <w:szCs w:val="28"/>
        </w:rPr>
        <w:t>Cort</w:t>
      </w:r>
      <w:r w:rsidR="007B76F1" w:rsidRPr="00EF3480">
        <w:rPr>
          <w:rFonts w:ascii="Garamond" w:hAnsi="Garamond" w:cs="Times New Roman"/>
          <w:color w:val="000000" w:themeColor="text1"/>
          <w:sz w:val="28"/>
          <w:szCs w:val="28"/>
        </w:rPr>
        <w:t>e di c</w:t>
      </w:r>
      <w:r w:rsidRPr="00EF3480">
        <w:rPr>
          <w:rFonts w:ascii="Garamond" w:hAnsi="Garamond" w:cs="Times New Roman"/>
          <w:color w:val="000000" w:themeColor="text1"/>
          <w:sz w:val="28"/>
          <w:szCs w:val="28"/>
        </w:rPr>
        <w:t>assazione</w:t>
      </w:r>
      <w:r>
        <w:rPr>
          <w:rFonts w:ascii="Garamond" w:hAnsi="Garamond" w:cs="Times New Roman"/>
          <w:color w:val="000000" w:themeColor="text1"/>
          <w:sz w:val="28"/>
          <w:szCs w:val="28"/>
        </w:rPr>
        <w:t xml:space="preserve">, hanno dettato i seguenti princìpi in punto di </w:t>
      </w:r>
      <w:r w:rsidRPr="00F3169C">
        <w:rPr>
          <w:rFonts w:ascii="Garamond" w:hAnsi="Garamond" w:cs="Times New Roman"/>
          <w:i/>
          <w:color w:val="000000" w:themeColor="text1"/>
          <w:sz w:val="28"/>
          <w:szCs w:val="28"/>
        </w:rPr>
        <w:t>discrimen</w:t>
      </w:r>
      <w:r w:rsidR="00146E68">
        <w:rPr>
          <w:rFonts w:ascii="Garamond" w:hAnsi="Garamond" w:cs="Times New Roman"/>
          <w:color w:val="000000" w:themeColor="text1"/>
          <w:sz w:val="28"/>
          <w:szCs w:val="28"/>
        </w:rPr>
        <w:t xml:space="preserve"> fra la giurisdizione del G.O. e quella del G.A.:</w:t>
      </w:r>
    </w:p>
    <w:p w:rsidR="00F3169C" w:rsidRDefault="00A120ED"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 </w:t>
      </w:r>
      <w:r w:rsidR="00F3169C">
        <w:rPr>
          <w:rFonts w:ascii="Garamond" w:hAnsi="Garamond" w:cs="Times New Roman"/>
          <w:color w:val="000000" w:themeColor="text1"/>
          <w:sz w:val="28"/>
          <w:szCs w:val="28"/>
        </w:rPr>
        <w:t xml:space="preserve">spetta al G.O. la </w:t>
      </w:r>
      <w:r w:rsidRPr="00BF2644">
        <w:rPr>
          <w:rFonts w:ascii="Garamond" w:hAnsi="Garamond" w:cs="Times New Roman"/>
          <w:color w:val="000000" w:themeColor="text1"/>
          <w:sz w:val="28"/>
          <w:szCs w:val="28"/>
        </w:rPr>
        <w:t>giurisdizione per la controversia promossa dal privato che lamenti le concrete modalità di esercizio del ciclo dei rifiuti, deducendo la pericolosità per la salute o altri diritti fondamentali della persona e chiedendo l’adozione delle misure necessarie per eliminare i danni attuali e potenziali e le immissioni intollerabili</w:t>
      </w:r>
      <w:r w:rsidR="00F3169C">
        <w:rPr>
          <w:rFonts w:ascii="Garamond" w:hAnsi="Garamond" w:cs="Times New Roman"/>
          <w:color w:val="000000" w:themeColor="text1"/>
          <w:sz w:val="28"/>
          <w:szCs w:val="28"/>
        </w:rPr>
        <w:t xml:space="preserve"> (</w:t>
      </w:r>
      <w:r w:rsidR="00F3169C" w:rsidRPr="00F3169C">
        <w:rPr>
          <w:rFonts w:ascii="Garamond" w:hAnsi="Garamond" w:cs="Times New Roman"/>
          <w:color w:val="000000" w:themeColor="text1"/>
          <w:sz w:val="28"/>
          <w:szCs w:val="28"/>
        </w:rPr>
        <w:t>Cass</w:t>
      </w:r>
      <w:r w:rsidR="00F3169C" w:rsidRPr="00EF3480">
        <w:rPr>
          <w:rFonts w:ascii="Garamond" w:hAnsi="Garamond" w:cs="Times New Roman"/>
          <w:color w:val="000000" w:themeColor="text1"/>
          <w:sz w:val="28"/>
          <w:szCs w:val="28"/>
        </w:rPr>
        <w:t>.</w:t>
      </w:r>
      <w:r w:rsidR="007B76F1" w:rsidRPr="00EF3480">
        <w:rPr>
          <w:rFonts w:ascii="Garamond" w:hAnsi="Garamond" w:cs="Times New Roman"/>
          <w:color w:val="000000" w:themeColor="text1"/>
          <w:sz w:val="28"/>
          <w:szCs w:val="28"/>
        </w:rPr>
        <w:t xml:space="preserve"> civ.</w:t>
      </w:r>
      <w:r w:rsidR="00F3169C" w:rsidRPr="00EF3480">
        <w:rPr>
          <w:rFonts w:ascii="Garamond" w:hAnsi="Garamond" w:cs="Times New Roman"/>
          <w:color w:val="000000" w:themeColor="text1"/>
          <w:sz w:val="28"/>
          <w:szCs w:val="28"/>
        </w:rPr>
        <w:t>,</w:t>
      </w:r>
      <w:r w:rsidR="00F3169C" w:rsidRPr="00F3169C">
        <w:rPr>
          <w:rFonts w:ascii="Garamond" w:hAnsi="Garamond" w:cs="Times New Roman"/>
          <w:color w:val="000000" w:themeColor="text1"/>
          <w:sz w:val="28"/>
          <w:szCs w:val="28"/>
        </w:rPr>
        <w:t xml:space="preserve"> sez. un.,</w:t>
      </w:r>
      <w:r w:rsidR="00F3169C">
        <w:rPr>
          <w:rFonts w:ascii="Garamond" w:hAnsi="Garamond" w:cs="Times New Roman"/>
          <w:color w:val="000000" w:themeColor="text1"/>
          <w:sz w:val="28"/>
          <w:szCs w:val="28"/>
        </w:rPr>
        <w:t xml:space="preserve"> ord. n. 20824 del 2021;</w:t>
      </w:r>
      <w:r w:rsidRPr="00BF2644">
        <w:rPr>
          <w:rFonts w:ascii="Garamond" w:hAnsi="Garamond" w:cs="Times New Roman"/>
          <w:color w:val="000000" w:themeColor="text1"/>
          <w:sz w:val="28"/>
          <w:szCs w:val="28"/>
        </w:rPr>
        <w:t xml:space="preserve"> le</w:t>
      </w:r>
      <w:r w:rsidR="00F3169C">
        <w:rPr>
          <w:rFonts w:ascii="Garamond" w:hAnsi="Garamond" w:cs="Times New Roman"/>
          <w:color w:val="000000" w:themeColor="text1"/>
          <w:sz w:val="28"/>
          <w:szCs w:val="28"/>
        </w:rPr>
        <w:t xml:space="preserve"> S.U.</w:t>
      </w:r>
      <w:r w:rsidRPr="00BF2644">
        <w:rPr>
          <w:rFonts w:ascii="Garamond" w:hAnsi="Garamond" w:cs="Times New Roman"/>
          <w:color w:val="000000" w:themeColor="text1"/>
          <w:sz w:val="28"/>
          <w:szCs w:val="28"/>
        </w:rPr>
        <w:t>, in questa occasione, hanno sottolineato che la condotta contestata sarebbe stata espressione di un’ordinaria attività di impresa, rispetto alla quale non sarebbero state dettate direttamente nei provvedimenti amministrativi particolari regole esecutive o applicative tecniche, con la conseguenza che non sarebbe risultato in alcun mo</w:t>
      </w:r>
      <w:r w:rsidR="00F3169C">
        <w:rPr>
          <w:rFonts w:ascii="Garamond" w:hAnsi="Garamond" w:cs="Times New Roman"/>
          <w:color w:val="000000" w:themeColor="text1"/>
          <w:sz w:val="28"/>
          <w:szCs w:val="28"/>
        </w:rPr>
        <w:t>do coinvolto un pubblico potere);</w:t>
      </w:r>
    </w:p>
    <w:p w:rsidR="00A120ED" w:rsidRPr="00BF2644" w:rsidRDefault="00A120ED"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 -</w:t>
      </w:r>
      <w:r w:rsidR="00F3169C" w:rsidRPr="00BF2644">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la controversia concernente l'accertamento e la quantificazione di crediti vantati dal gestore di una discarica per lo smaltimento dei rifiuti nei confronti dell'ente concedente, siccome attinente alla regolamentazione degli aspetti patrimoniali della gestione, è devoluta alla giurisdizione del giudice ordinario, rimanendo irrilevante la valutazione sul modo in cui la P.A. si avvalga della facoltà di adottare strumenti negoziali in sostituzione dell'esercizio diretto del proprio potere autoritativo</w:t>
      </w:r>
      <w:r w:rsidR="00F3169C" w:rsidRPr="00F3169C">
        <w:t xml:space="preserve"> </w:t>
      </w:r>
      <w:r w:rsidR="00F3169C">
        <w:t>[</w:t>
      </w:r>
      <w:r w:rsidR="00F3169C">
        <w:rPr>
          <w:rFonts w:ascii="Garamond" w:hAnsi="Garamond" w:cs="Times New Roman"/>
          <w:color w:val="000000" w:themeColor="text1"/>
          <w:sz w:val="28"/>
          <w:szCs w:val="28"/>
        </w:rPr>
        <w:t>Cass.</w:t>
      </w:r>
      <w:r w:rsidR="0032317E">
        <w:rPr>
          <w:rFonts w:ascii="Garamond" w:hAnsi="Garamond" w:cs="Times New Roman"/>
          <w:color w:val="000000" w:themeColor="text1"/>
          <w:sz w:val="28"/>
          <w:szCs w:val="28"/>
        </w:rPr>
        <w:t xml:space="preserve"> civ.</w:t>
      </w:r>
      <w:r w:rsidR="00F3169C">
        <w:rPr>
          <w:rFonts w:ascii="Garamond" w:hAnsi="Garamond" w:cs="Times New Roman"/>
          <w:color w:val="000000" w:themeColor="text1"/>
          <w:sz w:val="28"/>
          <w:szCs w:val="28"/>
        </w:rPr>
        <w:t>, sez. un.</w:t>
      </w:r>
      <w:r w:rsidR="00F3169C" w:rsidRPr="00F3169C">
        <w:rPr>
          <w:rFonts w:ascii="Garamond" w:hAnsi="Garamond" w:cs="Times New Roman"/>
          <w:color w:val="000000" w:themeColor="text1"/>
          <w:sz w:val="28"/>
          <w:szCs w:val="28"/>
        </w:rPr>
        <w:t>, n. 12483</w:t>
      </w:r>
      <w:r w:rsidR="00F3169C">
        <w:rPr>
          <w:rFonts w:ascii="Garamond" w:hAnsi="Garamond" w:cs="Times New Roman"/>
          <w:color w:val="000000" w:themeColor="text1"/>
          <w:sz w:val="28"/>
          <w:szCs w:val="28"/>
        </w:rPr>
        <w:t xml:space="preserve"> del 2020 che  ha precisato che </w:t>
      </w:r>
      <w:r w:rsidRPr="00BF2644">
        <w:rPr>
          <w:rFonts w:ascii="Garamond" w:hAnsi="Garamond" w:cs="Times New Roman"/>
          <w:color w:val="000000" w:themeColor="text1"/>
          <w:sz w:val="28"/>
          <w:szCs w:val="28"/>
        </w:rPr>
        <w:t xml:space="preserve">la devoluzione alla giurisdizione esclusiva del giudice amministrativo delle controversie attinenti all'attività di gestione dei rifiuti, seppure posta in essere con comportamenti della P.A. o dei soggetti alla stessa equiparati, presuppone che gli atti di gestione siano espressione dell'esercizio di un potere autoritativo della P.A. (o di soggetti ad essa equiparati), mentre quando in giudizio sia dedotto un rapporto </w:t>
      </w:r>
      <w:r w:rsidRPr="00BF2644">
        <w:rPr>
          <w:rFonts w:ascii="Garamond" w:hAnsi="Garamond" w:cs="Times New Roman"/>
          <w:color w:val="000000" w:themeColor="text1"/>
          <w:sz w:val="28"/>
          <w:szCs w:val="28"/>
        </w:rPr>
        <w:lastRenderedPageBreak/>
        <w:t>obbligatorio</w:t>
      </w:r>
      <w:r w:rsidR="00EF3480">
        <w:rPr>
          <w:rFonts w:ascii="Garamond" w:hAnsi="Garamond" w:cs="Times New Roman"/>
          <w:color w:val="000000" w:themeColor="text1"/>
          <w:sz w:val="28"/>
          <w:szCs w:val="28"/>
        </w:rPr>
        <w:t>,</w:t>
      </w:r>
      <w:r w:rsidRPr="00BF2644">
        <w:rPr>
          <w:rFonts w:ascii="Garamond" w:hAnsi="Garamond" w:cs="Times New Roman"/>
          <w:color w:val="000000" w:themeColor="text1"/>
          <w:sz w:val="28"/>
          <w:szCs w:val="28"/>
        </w:rPr>
        <w:t xml:space="preserve"> avente la propria fonte in una pattuizione di tipo negoziale intesa a regolamentare gli aspetti meramente patrimoniali della gestione, la controversia continua ad appartenere alla giuri</w:t>
      </w:r>
      <w:r w:rsidR="00F3169C">
        <w:rPr>
          <w:rFonts w:ascii="Garamond" w:hAnsi="Garamond" w:cs="Times New Roman"/>
          <w:color w:val="000000" w:themeColor="text1"/>
          <w:sz w:val="28"/>
          <w:szCs w:val="28"/>
        </w:rPr>
        <w:t>sdizione del giudice ordinario];</w:t>
      </w:r>
    </w:p>
    <w:p w:rsidR="00F3169C" w:rsidRDefault="00A120ED"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 xml:space="preserve"> </w:t>
      </w:r>
      <w:r w:rsidR="00146E68">
        <w:rPr>
          <w:rFonts w:ascii="Garamond" w:hAnsi="Garamond" w:cs="Times New Roman"/>
          <w:color w:val="000000" w:themeColor="text1"/>
          <w:sz w:val="28"/>
          <w:szCs w:val="28"/>
        </w:rPr>
        <w:t>-</w:t>
      </w:r>
      <w:r w:rsidR="00EF3480">
        <w:rPr>
          <w:rFonts w:ascii="Garamond" w:hAnsi="Garamond" w:cs="Times New Roman"/>
          <w:color w:val="000000" w:themeColor="text1"/>
          <w:sz w:val="28"/>
          <w:szCs w:val="28"/>
        </w:rPr>
        <w:t xml:space="preserve"> </w:t>
      </w:r>
      <w:r w:rsidR="00146E68">
        <w:rPr>
          <w:rFonts w:ascii="Garamond" w:hAnsi="Garamond" w:cs="Times New Roman"/>
          <w:color w:val="000000" w:themeColor="text1"/>
          <w:sz w:val="28"/>
          <w:szCs w:val="28"/>
        </w:rPr>
        <w:t>s</w:t>
      </w:r>
      <w:r w:rsidR="00C00E5C" w:rsidRPr="00BF2644">
        <w:rPr>
          <w:rFonts w:ascii="Garamond" w:hAnsi="Garamond" w:cs="Times New Roman"/>
          <w:color w:val="000000" w:themeColor="text1"/>
          <w:sz w:val="28"/>
          <w:szCs w:val="28"/>
        </w:rPr>
        <w:t xml:space="preserve">petta alla giurisdizione del </w:t>
      </w:r>
      <w:r w:rsidR="00F3169C">
        <w:rPr>
          <w:rFonts w:ascii="Garamond" w:hAnsi="Garamond" w:cs="Times New Roman"/>
          <w:color w:val="000000" w:themeColor="text1"/>
          <w:sz w:val="28"/>
          <w:szCs w:val="28"/>
        </w:rPr>
        <w:t xml:space="preserve">G.O. </w:t>
      </w:r>
      <w:r w:rsidR="00C00E5C" w:rsidRPr="00BF2644">
        <w:rPr>
          <w:rFonts w:ascii="Garamond" w:hAnsi="Garamond" w:cs="Times New Roman"/>
          <w:color w:val="000000" w:themeColor="text1"/>
          <w:sz w:val="28"/>
          <w:szCs w:val="28"/>
        </w:rPr>
        <w:t>la controversia nella quale il privato chieda di accertare che gli aerogeneratori di un vicino parco eolico generano immissioni rumorose, moleste e intollerabili, con effetti pregiudizievoli sia al bene primario della salute dell’attore e dei suoi familiari</w:t>
      </w:r>
      <w:r w:rsidR="00EF3480">
        <w:rPr>
          <w:rFonts w:ascii="Garamond" w:hAnsi="Garamond" w:cs="Times New Roman"/>
          <w:color w:val="000000" w:themeColor="text1"/>
          <w:sz w:val="28"/>
          <w:szCs w:val="28"/>
        </w:rPr>
        <w:t>,</w:t>
      </w:r>
      <w:r w:rsidR="00C00E5C" w:rsidRPr="00BF2644">
        <w:rPr>
          <w:rFonts w:ascii="Garamond" w:hAnsi="Garamond" w:cs="Times New Roman"/>
          <w:color w:val="000000" w:themeColor="text1"/>
          <w:sz w:val="28"/>
          <w:szCs w:val="28"/>
        </w:rPr>
        <w:t xml:space="preserve"> sia al valore economico della sua proprietà, e domandi l’emissione delle conseguenti pronunce in</w:t>
      </w:r>
      <w:r w:rsidR="00E00370" w:rsidRPr="00BF2644">
        <w:rPr>
          <w:rFonts w:ascii="Garamond" w:hAnsi="Garamond" w:cs="Times New Roman"/>
          <w:color w:val="000000" w:themeColor="text1"/>
          <w:sz w:val="28"/>
          <w:szCs w:val="28"/>
        </w:rPr>
        <w:t>ibitorie e risarcitorie (</w:t>
      </w:r>
      <w:r w:rsidR="00C53A02" w:rsidRPr="00BF2644">
        <w:rPr>
          <w:rFonts w:ascii="Garamond" w:hAnsi="Garamond" w:cs="Times New Roman"/>
          <w:color w:val="000000" w:themeColor="text1"/>
          <w:sz w:val="28"/>
          <w:szCs w:val="28"/>
        </w:rPr>
        <w:t xml:space="preserve">Cass. civ., sez. un., </w:t>
      </w:r>
      <w:r w:rsidR="00F3169C">
        <w:rPr>
          <w:rFonts w:ascii="Garamond" w:hAnsi="Garamond" w:cs="Times New Roman"/>
          <w:color w:val="000000" w:themeColor="text1"/>
          <w:sz w:val="28"/>
          <w:szCs w:val="28"/>
        </w:rPr>
        <w:t xml:space="preserve">n. 25578 del 2020); </w:t>
      </w:r>
      <w:r w:rsidR="00C53A02" w:rsidRPr="00BF2644">
        <w:rPr>
          <w:rFonts w:ascii="Garamond" w:hAnsi="Garamond" w:cs="Times New Roman"/>
          <w:color w:val="000000" w:themeColor="text1"/>
          <w:sz w:val="28"/>
          <w:szCs w:val="28"/>
        </w:rPr>
        <w:t xml:space="preserve"> </w:t>
      </w:r>
    </w:p>
    <w:p w:rsidR="00C00E5C" w:rsidRDefault="00146E68" w:rsidP="00BF2644">
      <w:pPr>
        <w:spacing w:line="240" w:lineRule="auto"/>
        <w:ind w:firstLine="709"/>
        <w:contextualSpacing/>
        <w:jc w:val="both"/>
        <w:rPr>
          <w:rFonts w:ascii="Garamond" w:hAnsi="Garamond" w:cs="Times New Roman"/>
          <w:b/>
          <w:color w:val="000000" w:themeColor="text1"/>
          <w:sz w:val="28"/>
          <w:szCs w:val="28"/>
        </w:rPr>
      </w:pPr>
      <w:r>
        <w:rPr>
          <w:rFonts w:ascii="Garamond" w:hAnsi="Garamond" w:cs="Times New Roman"/>
          <w:color w:val="000000" w:themeColor="text1"/>
          <w:sz w:val="28"/>
          <w:szCs w:val="28"/>
        </w:rPr>
        <w:t>-  l</w:t>
      </w:r>
      <w:r w:rsidR="00C00E5C" w:rsidRPr="00BF2644">
        <w:rPr>
          <w:rFonts w:ascii="Garamond" w:hAnsi="Garamond" w:cs="Times New Roman"/>
          <w:color w:val="000000" w:themeColor="text1"/>
          <w:sz w:val="28"/>
          <w:szCs w:val="28"/>
        </w:rPr>
        <w:t xml:space="preserve">e controversie aventi ad oggetto le indennità dovute dall’Amministrazione ex artt. 46 della </w:t>
      </w:r>
      <w:r w:rsidR="006C564E">
        <w:rPr>
          <w:rFonts w:ascii="Garamond" w:hAnsi="Garamond" w:cs="Times New Roman"/>
          <w:color w:val="000000" w:themeColor="text1"/>
          <w:sz w:val="28"/>
          <w:szCs w:val="28"/>
        </w:rPr>
        <w:t>legge</w:t>
      </w:r>
      <w:r>
        <w:rPr>
          <w:rFonts w:ascii="Garamond" w:hAnsi="Garamond" w:cs="Times New Roman"/>
          <w:color w:val="000000" w:themeColor="text1"/>
          <w:sz w:val="28"/>
          <w:szCs w:val="28"/>
        </w:rPr>
        <w:t xml:space="preserve"> n. 2359 del 1865 o 44 del </w:t>
      </w:r>
      <w:r w:rsidR="00825153">
        <w:rPr>
          <w:rFonts w:ascii="Garamond" w:hAnsi="Garamond" w:cs="Times New Roman"/>
          <w:color w:val="000000" w:themeColor="text1"/>
          <w:sz w:val="28"/>
          <w:szCs w:val="28"/>
        </w:rPr>
        <w:t>d.p.r.</w:t>
      </w:r>
      <w:r w:rsidR="00C00E5C" w:rsidRPr="00BF2644">
        <w:rPr>
          <w:rFonts w:ascii="Garamond" w:hAnsi="Garamond" w:cs="Times New Roman"/>
          <w:color w:val="000000" w:themeColor="text1"/>
          <w:sz w:val="28"/>
          <w:szCs w:val="28"/>
        </w:rPr>
        <w:t xml:space="preserve"> n. 327 del 2001 (indennità per l’imposizione di una servitù) non rientrano nella giurisdizione del giudice amministrativo: atteso, per un verso, che nei confronti del terzo proprietario, confinante con il fondo dove sono state collocate le pale eoliche, non è configurabile un rapporto diretto con l’amministrazione-autorità, nel cui ambito possa individuarsi una posizione d’interesse legittimo, soggetta alla giurisdizione generale di legittimità del giudice amministrativo; e considerato, per altro verso, che l’art. 133, comma 1, lettera g), </w:t>
      </w:r>
      <w:r w:rsidR="00C00E5C" w:rsidRPr="00981AFC">
        <w:rPr>
          <w:rFonts w:ascii="Garamond" w:hAnsi="Garamond" w:cs="Times New Roman"/>
          <w:color w:val="000000" w:themeColor="text1"/>
          <w:sz w:val="28"/>
          <w:szCs w:val="28"/>
        </w:rPr>
        <w:t>c</w:t>
      </w:r>
      <w:r w:rsidR="007B76F1" w:rsidRPr="00981AFC">
        <w:rPr>
          <w:rFonts w:ascii="Garamond" w:hAnsi="Garamond" w:cs="Times New Roman"/>
          <w:color w:val="000000" w:themeColor="text1"/>
          <w:sz w:val="28"/>
          <w:szCs w:val="28"/>
        </w:rPr>
        <w:t>.p.a.</w:t>
      </w:r>
      <w:r w:rsidR="00C00E5C" w:rsidRPr="00BF2644">
        <w:rPr>
          <w:rFonts w:ascii="Garamond" w:hAnsi="Garamond" w:cs="Times New Roman"/>
          <w:color w:val="000000" w:themeColor="text1"/>
          <w:sz w:val="28"/>
          <w:szCs w:val="28"/>
        </w:rPr>
        <w:t xml:space="preserve"> prevede una riserva di giurisdizione ordinaria per la determinazione delle indennità conseguenti all’adozione di atti di natura espropriativa o ablativa</w:t>
      </w:r>
      <w:r w:rsidR="00F3169C">
        <w:rPr>
          <w:rFonts w:ascii="Garamond" w:hAnsi="Garamond" w:cs="Times New Roman"/>
          <w:b/>
          <w:color w:val="000000" w:themeColor="text1"/>
          <w:sz w:val="28"/>
          <w:szCs w:val="28"/>
        </w:rPr>
        <w:t xml:space="preserve"> </w:t>
      </w:r>
      <w:r w:rsidR="00F3169C" w:rsidRPr="00146E68">
        <w:rPr>
          <w:rFonts w:ascii="Garamond" w:hAnsi="Garamond" w:cs="Times New Roman"/>
          <w:color w:val="000000" w:themeColor="text1"/>
          <w:sz w:val="28"/>
          <w:szCs w:val="28"/>
        </w:rPr>
        <w:t>(</w:t>
      </w:r>
      <w:r w:rsidR="00C53A02" w:rsidRPr="00F3169C">
        <w:rPr>
          <w:rFonts w:ascii="Garamond" w:hAnsi="Garamond" w:cs="Times New Roman"/>
          <w:color w:val="000000" w:themeColor="text1"/>
          <w:sz w:val="28"/>
          <w:szCs w:val="28"/>
        </w:rPr>
        <w:t>Cass. civ., sez. un., n. 25578</w:t>
      </w:r>
      <w:r w:rsidR="00EF3480">
        <w:rPr>
          <w:rFonts w:ascii="Garamond" w:hAnsi="Garamond" w:cs="Times New Roman"/>
          <w:color w:val="000000" w:themeColor="text1"/>
          <w:sz w:val="28"/>
          <w:szCs w:val="28"/>
        </w:rPr>
        <w:t xml:space="preserve"> del 2020</w:t>
      </w:r>
      <w:r w:rsidR="00F3169C">
        <w:rPr>
          <w:rFonts w:ascii="Garamond" w:hAnsi="Garamond" w:cs="Times New Roman"/>
          <w:b/>
          <w:color w:val="000000" w:themeColor="text1"/>
          <w:sz w:val="28"/>
          <w:szCs w:val="28"/>
        </w:rPr>
        <w:t xml:space="preserve"> </w:t>
      </w:r>
      <w:r w:rsidR="00F3169C" w:rsidRPr="00F3169C">
        <w:rPr>
          <w:rFonts w:ascii="Garamond" w:hAnsi="Garamond" w:cs="Times New Roman"/>
          <w:color w:val="000000" w:themeColor="text1"/>
          <w:sz w:val="28"/>
          <w:szCs w:val="28"/>
        </w:rPr>
        <w:t>ci</w:t>
      </w:r>
      <w:r w:rsidR="00F3169C" w:rsidRPr="00EF3480">
        <w:rPr>
          <w:rFonts w:ascii="Garamond" w:hAnsi="Garamond" w:cs="Times New Roman"/>
          <w:color w:val="000000" w:themeColor="text1"/>
          <w:sz w:val="28"/>
          <w:szCs w:val="28"/>
        </w:rPr>
        <w:t>t</w:t>
      </w:r>
      <w:r w:rsidR="007B76F1" w:rsidRPr="00EF3480">
        <w:rPr>
          <w:rFonts w:ascii="Garamond" w:hAnsi="Garamond" w:cs="Times New Roman"/>
          <w:color w:val="000000" w:themeColor="text1"/>
          <w:sz w:val="28"/>
          <w:szCs w:val="28"/>
        </w:rPr>
        <w:t>.</w:t>
      </w:r>
      <w:r w:rsidR="00F3169C" w:rsidRPr="00EF3480">
        <w:rPr>
          <w:rFonts w:ascii="Garamond" w:hAnsi="Garamond" w:cs="Times New Roman"/>
          <w:color w:val="000000" w:themeColor="text1"/>
          <w:sz w:val="28"/>
          <w:szCs w:val="28"/>
        </w:rPr>
        <w:t>);</w:t>
      </w:r>
      <w:r w:rsidR="00C53A02" w:rsidRPr="00BF2644">
        <w:rPr>
          <w:rFonts w:ascii="Garamond" w:hAnsi="Garamond" w:cs="Times New Roman"/>
          <w:b/>
          <w:color w:val="000000" w:themeColor="text1"/>
          <w:sz w:val="28"/>
          <w:szCs w:val="28"/>
        </w:rPr>
        <w:t xml:space="preserve"> </w:t>
      </w:r>
    </w:p>
    <w:p w:rsidR="008072CE" w:rsidRPr="008072CE" w:rsidRDefault="008072CE" w:rsidP="00BF2644">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b/>
          <w:color w:val="000000" w:themeColor="text1"/>
          <w:sz w:val="28"/>
          <w:szCs w:val="28"/>
        </w:rPr>
        <w:t xml:space="preserve">- </w:t>
      </w:r>
      <w:r w:rsidRPr="008072CE">
        <w:rPr>
          <w:rFonts w:ascii="Garamond" w:hAnsi="Garamond" w:cs="Times New Roman"/>
          <w:color w:val="000000" w:themeColor="text1"/>
          <w:sz w:val="28"/>
          <w:szCs w:val="28"/>
        </w:rPr>
        <w:t>in materia di incentivi per la produzione di energia da fonti  rinnovabili,  appartiene alla giurisdizione del giudice ordinario la controversia tra il gestore del servizio energetico e il fallimento della società di produzione energetica, qualora la materia del contendere non riguardi le tariffe, il criterio di loro quantificazione o la concessione degli incentivi, ma soltanto l’opponibilità o meno alla procedura fallimentare della cessione di crediti inerenti agli incentivi concessi, in correlazione alla produzione anzidetta, per il periodo successivo alla dichiarazione da parte della curatela del fallimento di voler subentrare nel rapporto; né è idonea ad incidere sull’individuazione dell’autorità avente il potere di giudicare l’eccezione riconvenzionale proposta dal gestore in punto di giurisdizione, determinandosi quest’ultima sulla sola base del “</w:t>
      </w:r>
      <w:r w:rsidRPr="00EF3480">
        <w:rPr>
          <w:rFonts w:ascii="Garamond" w:hAnsi="Garamond" w:cs="Times New Roman"/>
          <w:i/>
          <w:color w:val="000000" w:themeColor="text1"/>
          <w:sz w:val="28"/>
          <w:szCs w:val="28"/>
        </w:rPr>
        <w:t>petitum</w:t>
      </w:r>
      <w:r w:rsidRPr="008072CE">
        <w:rPr>
          <w:rFonts w:ascii="Garamond" w:hAnsi="Garamond" w:cs="Times New Roman"/>
          <w:color w:val="000000" w:themeColor="text1"/>
          <w:sz w:val="28"/>
          <w:szCs w:val="28"/>
        </w:rPr>
        <w:t>” sostanziale, che rimane inalterato pur a s</w:t>
      </w:r>
      <w:r>
        <w:rPr>
          <w:rFonts w:ascii="Garamond" w:hAnsi="Garamond" w:cs="Times New Roman"/>
          <w:color w:val="000000" w:themeColor="text1"/>
          <w:sz w:val="28"/>
          <w:szCs w:val="28"/>
        </w:rPr>
        <w:t>eguito d</w:t>
      </w:r>
      <w:r w:rsidR="00EF3480">
        <w:rPr>
          <w:rFonts w:ascii="Garamond" w:hAnsi="Garamond" w:cs="Times New Roman"/>
          <w:color w:val="000000" w:themeColor="text1"/>
          <w:sz w:val="28"/>
          <w:szCs w:val="28"/>
        </w:rPr>
        <w:t xml:space="preserve">ell’eccezione in parola (Cass. civ., sez. un., </w:t>
      </w:r>
      <w:r>
        <w:rPr>
          <w:rFonts w:ascii="Garamond" w:hAnsi="Garamond" w:cs="Times New Roman"/>
          <w:color w:val="000000" w:themeColor="text1"/>
          <w:sz w:val="28"/>
          <w:szCs w:val="28"/>
        </w:rPr>
        <w:t>ord. n. 23900 del 2020);</w:t>
      </w:r>
    </w:p>
    <w:p w:rsidR="00C53A02" w:rsidRPr="00F3169C" w:rsidRDefault="00C53A02" w:rsidP="00F3169C">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b/>
          <w:color w:val="000000" w:themeColor="text1"/>
          <w:sz w:val="28"/>
          <w:szCs w:val="28"/>
        </w:rPr>
        <w:t xml:space="preserve">- </w:t>
      </w:r>
      <w:r w:rsidR="00146E68">
        <w:rPr>
          <w:rFonts w:ascii="Garamond" w:hAnsi="Garamond" w:cs="Times New Roman"/>
          <w:color w:val="000000" w:themeColor="text1"/>
          <w:sz w:val="28"/>
          <w:szCs w:val="28"/>
        </w:rPr>
        <w:t>l</w:t>
      </w:r>
      <w:r w:rsidR="00F3169C">
        <w:rPr>
          <w:rFonts w:ascii="Garamond" w:hAnsi="Garamond" w:cs="Times New Roman"/>
          <w:color w:val="000000" w:themeColor="text1"/>
          <w:sz w:val="28"/>
          <w:szCs w:val="28"/>
        </w:rPr>
        <w:t>’</w:t>
      </w:r>
      <w:r w:rsidRPr="00BF2644">
        <w:rPr>
          <w:rFonts w:ascii="Garamond" w:hAnsi="Garamond" w:cs="Times New Roman"/>
          <w:color w:val="000000" w:themeColor="text1"/>
          <w:sz w:val="28"/>
          <w:szCs w:val="28"/>
        </w:rPr>
        <w:t>inosservanza da parte della P.A., nella gestione e manutenzione dei beni ad essa appartenenti, delle regole tecniche, ovvero dei comuni canoni di diligenza e prudenza, può essere denunziata dal privato innanzi al giudice ordinario, non solo ove la domanda sia volta a conseguire la condanna della P.A. al risarcimento del danno patrimoniale, ma anche ove sia volta a conseguire la condanna della P.A. ad un</w:t>
      </w:r>
      <w:r w:rsidRPr="008072CE">
        <w:rPr>
          <w:rFonts w:ascii="Garamond" w:hAnsi="Garamond" w:cs="Times New Roman"/>
          <w:i/>
          <w:color w:val="000000" w:themeColor="text1"/>
          <w:sz w:val="28"/>
          <w:szCs w:val="28"/>
        </w:rPr>
        <w:t xml:space="preserve"> facere</w:t>
      </w:r>
      <w:r w:rsidRPr="00BF2644">
        <w:rPr>
          <w:rFonts w:ascii="Garamond" w:hAnsi="Garamond" w:cs="Times New Roman"/>
          <w:color w:val="000000" w:themeColor="text1"/>
          <w:sz w:val="28"/>
          <w:szCs w:val="28"/>
        </w:rPr>
        <w:t xml:space="preserve">, giacché la domanda non investe scelte ed atti autoritativi dell'amministrazione, ma attività soggetta al rispetto del principio del </w:t>
      </w:r>
      <w:r w:rsidRPr="008072CE">
        <w:rPr>
          <w:rFonts w:ascii="Garamond" w:hAnsi="Garamond" w:cs="Times New Roman"/>
          <w:i/>
          <w:color w:val="000000" w:themeColor="text1"/>
          <w:sz w:val="28"/>
          <w:szCs w:val="28"/>
        </w:rPr>
        <w:t>neminem laedere</w:t>
      </w:r>
      <w:r w:rsidRPr="00BF2644">
        <w:rPr>
          <w:rFonts w:ascii="Garamond" w:hAnsi="Garamond" w:cs="Times New Roman"/>
          <w:color w:val="000000" w:themeColor="text1"/>
          <w:sz w:val="28"/>
          <w:szCs w:val="28"/>
        </w:rPr>
        <w:t xml:space="preserve"> (</w:t>
      </w:r>
      <w:r w:rsidR="00F3169C" w:rsidRPr="00F3169C">
        <w:rPr>
          <w:rFonts w:ascii="Garamond" w:hAnsi="Garamond" w:cs="Times New Roman"/>
          <w:color w:val="000000" w:themeColor="text1"/>
          <w:sz w:val="28"/>
          <w:szCs w:val="28"/>
        </w:rPr>
        <w:t>Cass. civ., sez. un</w:t>
      </w:r>
      <w:r w:rsidR="00EF3480">
        <w:rPr>
          <w:rFonts w:ascii="Garamond" w:hAnsi="Garamond" w:cs="Times New Roman"/>
          <w:color w:val="000000" w:themeColor="text1"/>
          <w:sz w:val="28"/>
          <w:szCs w:val="28"/>
        </w:rPr>
        <w:t>.</w:t>
      </w:r>
      <w:r w:rsidR="00F3169C">
        <w:rPr>
          <w:rFonts w:ascii="Garamond" w:hAnsi="Garamond" w:cs="Times New Roman"/>
          <w:color w:val="000000" w:themeColor="text1"/>
          <w:sz w:val="28"/>
          <w:szCs w:val="28"/>
        </w:rPr>
        <w:t xml:space="preserve">, n. </w:t>
      </w:r>
      <w:r w:rsidR="00633B55">
        <w:rPr>
          <w:rFonts w:ascii="Garamond" w:hAnsi="Garamond" w:cs="Times New Roman"/>
          <w:color w:val="000000" w:themeColor="text1"/>
          <w:sz w:val="28"/>
          <w:szCs w:val="28"/>
        </w:rPr>
        <w:t>7636 del 2020).</w:t>
      </w:r>
    </w:p>
    <w:p w:rsidR="00DC6821" w:rsidRDefault="00DC6821" w:rsidP="00BF2644">
      <w:pPr>
        <w:spacing w:line="240" w:lineRule="auto"/>
        <w:ind w:firstLine="709"/>
        <w:contextualSpacing/>
        <w:jc w:val="both"/>
        <w:rPr>
          <w:rFonts w:ascii="Garamond" w:hAnsi="Garamond" w:cs="Times New Roman"/>
          <w:b/>
          <w:color w:val="000000" w:themeColor="text1"/>
          <w:sz w:val="28"/>
          <w:szCs w:val="28"/>
        </w:rPr>
      </w:pPr>
    </w:p>
    <w:p w:rsidR="00804477" w:rsidRPr="00BF2644" w:rsidRDefault="009905AB" w:rsidP="00BF2644">
      <w:pPr>
        <w:spacing w:line="240" w:lineRule="auto"/>
        <w:ind w:firstLine="709"/>
        <w:contextualSpacing/>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8</w:t>
      </w:r>
      <w:r w:rsidR="00804477" w:rsidRPr="00BF2644">
        <w:rPr>
          <w:rFonts w:ascii="Garamond" w:hAnsi="Garamond" w:cs="Times New Roman"/>
          <w:b/>
          <w:color w:val="000000" w:themeColor="text1"/>
          <w:sz w:val="28"/>
          <w:szCs w:val="28"/>
        </w:rPr>
        <w:t>.</w:t>
      </w:r>
      <w:r w:rsidR="002319B3" w:rsidRPr="00BF2644">
        <w:rPr>
          <w:rFonts w:ascii="Garamond" w:hAnsi="Garamond" w:cs="Times New Roman"/>
          <w:b/>
          <w:color w:val="000000" w:themeColor="text1"/>
          <w:sz w:val="28"/>
          <w:szCs w:val="28"/>
        </w:rPr>
        <w:t>1</w:t>
      </w:r>
      <w:r w:rsidR="00804477" w:rsidRPr="00BF2644">
        <w:rPr>
          <w:rFonts w:ascii="Garamond" w:hAnsi="Garamond" w:cs="Times New Roman"/>
          <w:b/>
          <w:color w:val="000000" w:themeColor="text1"/>
          <w:sz w:val="28"/>
          <w:szCs w:val="28"/>
        </w:rPr>
        <w:t xml:space="preserve"> </w:t>
      </w:r>
      <w:r w:rsidRPr="009905AB">
        <w:rPr>
          <w:rFonts w:ascii="Garamond" w:hAnsi="Garamond" w:cs="Times New Roman"/>
          <w:b/>
          <w:color w:val="000000" w:themeColor="text1"/>
          <w:sz w:val="28"/>
          <w:szCs w:val="28"/>
        </w:rPr>
        <w:t xml:space="preserve">La giurisdizione esclusiva del G.A.  e la competenza inderogabile del </w:t>
      </w:r>
      <w:r w:rsidR="00747E93" w:rsidRPr="004F3FC2">
        <w:rPr>
          <w:rFonts w:ascii="Garamond" w:hAnsi="Garamond" w:cs="Times New Roman"/>
          <w:b/>
          <w:color w:val="000000" w:themeColor="text1"/>
          <w:sz w:val="28"/>
          <w:szCs w:val="28"/>
        </w:rPr>
        <w:t>T.a.r.</w:t>
      </w:r>
      <w:r w:rsidR="00747E93" w:rsidRPr="004A46FC">
        <w:rPr>
          <w:rFonts w:ascii="Garamond" w:hAnsi="Garamond" w:cs="Times New Roman"/>
          <w:color w:val="000000" w:themeColor="text1"/>
          <w:sz w:val="28"/>
          <w:szCs w:val="28"/>
        </w:rPr>
        <w:t xml:space="preserve"> </w:t>
      </w:r>
      <w:r w:rsidRPr="009905AB">
        <w:rPr>
          <w:rFonts w:ascii="Garamond" w:hAnsi="Garamond" w:cs="Times New Roman"/>
          <w:b/>
          <w:color w:val="000000" w:themeColor="text1"/>
          <w:sz w:val="28"/>
          <w:szCs w:val="28"/>
        </w:rPr>
        <w:t xml:space="preserve"> per il Lazio relativamente alle controversie di cui all’art. 134, primo comma, lett. o, </w:t>
      </w:r>
      <w:r w:rsidR="004F0CCD">
        <w:rPr>
          <w:rFonts w:ascii="Garamond" w:hAnsi="Garamond" w:cs="Times New Roman"/>
          <w:b/>
          <w:color w:val="000000" w:themeColor="text1"/>
          <w:sz w:val="28"/>
          <w:szCs w:val="28"/>
        </w:rPr>
        <w:t>d.lgs.</w:t>
      </w:r>
      <w:r w:rsidRPr="009905AB">
        <w:rPr>
          <w:rFonts w:ascii="Garamond" w:hAnsi="Garamond" w:cs="Times New Roman"/>
          <w:b/>
          <w:color w:val="000000" w:themeColor="text1"/>
          <w:sz w:val="28"/>
          <w:szCs w:val="28"/>
        </w:rPr>
        <w:t xml:space="preserve"> 2 luglio 2010, n. 104. La declaratoria di incostituzionalità del previgente art. 41, quinto comma, </w:t>
      </w:r>
      <w:r w:rsidR="00981AFC">
        <w:rPr>
          <w:rFonts w:ascii="Garamond" w:hAnsi="Garamond" w:cs="Times New Roman"/>
          <w:b/>
          <w:color w:val="000000" w:themeColor="text1"/>
          <w:sz w:val="28"/>
          <w:szCs w:val="28"/>
        </w:rPr>
        <w:t>l</w:t>
      </w:r>
      <w:r w:rsidR="006C564E">
        <w:rPr>
          <w:rFonts w:ascii="Garamond" w:hAnsi="Garamond" w:cs="Times New Roman"/>
          <w:b/>
          <w:color w:val="000000" w:themeColor="text1"/>
          <w:sz w:val="28"/>
          <w:szCs w:val="28"/>
        </w:rPr>
        <w:t>.</w:t>
      </w:r>
      <w:r w:rsidRPr="009905AB">
        <w:rPr>
          <w:rFonts w:ascii="Garamond" w:hAnsi="Garamond" w:cs="Times New Roman"/>
          <w:b/>
          <w:color w:val="000000" w:themeColor="text1"/>
          <w:sz w:val="28"/>
          <w:szCs w:val="28"/>
        </w:rPr>
        <w:t xml:space="preserve"> 23 luglio 2009 n. 99.</w:t>
      </w:r>
    </w:p>
    <w:p w:rsidR="00804477" w:rsidRPr="00BF2644" w:rsidRDefault="009905AB" w:rsidP="00BF2644">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La </w:t>
      </w:r>
      <w:r w:rsidR="00015B17">
        <w:rPr>
          <w:rFonts w:ascii="Garamond" w:hAnsi="Garamond" w:cs="Times New Roman"/>
          <w:color w:val="000000" w:themeColor="text1"/>
          <w:sz w:val="28"/>
          <w:szCs w:val="28"/>
        </w:rPr>
        <w:t>legge</w:t>
      </w:r>
      <w:r>
        <w:rPr>
          <w:rFonts w:ascii="Garamond" w:hAnsi="Garamond" w:cs="Times New Roman"/>
          <w:color w:val="000000" w:themeColor="text1"/>
          <w:sz w:val="28"/>
          <w:szCs w:val="28"/>
        </w:rPr>
        <w:t xml:space="preserve"> 23 luglio 2009 n. 99 </w:t>
      </w:r>
      <w:r w:rsidR="00804477" w:rsidRPr="00BF2644">
        <w:rPr>
          <w:rFonts w:ascii="Garamond" w:hAnsi="Garamond" w:cs="Times New Roman"/>
          <w:color w:val="000000" w:themeColor="text1"/>
          <w:sz w:val="28"/>
          <w:szCs w:val="28"/>
        </w:rPr>
        <w:t xml:space="preserve">ha stabilito che fossero devolute alla giurisdizione esclusiva del giudice amministrativo e alla competenza inderogabile del </w:t>
      </w:r>
      <w:r w:rsidR="00747E93" w:rsidRPr="004A46FC">
        <w:rPr>
          <w:rFonts w:ascii="Garamond" w:hAnsi="Garamond" w:cs="Times New Roman"/>
          <w:color w:val="000000" w:themeColor="text1"/>
          <w:sz w:val="28"/>
          <w:szCs w:val="28"/>
        </w:rPr>
        <w:t>T</w:t>
      </w:r>
      <w:r w:rsidR="00747E93">
        <w:rPr>
          <w:rFonts w:ascii="Garamond" w:hAnsi="Garamond" w:cs="Times New Roman"/>
          <w:color w:val="000000" w:themeColor="text1"/>
          <w:sz w:val="28"/>
          <w:szCs w:val="28"/>
        </w:rPr>
        <w:t>.a.</w:t>
      </w:r>
      <w:r w:rsidR="00747E93" w:rsidRPr="004A46FC">
        <w:rPr>
          <w:rFonts w:ascii="Garamond" w:hAnsi="Garamond" w:cs="Times New Roman"/>
          <w:color w:val="000000" w:themeColor="text1"/>
          <w:sz w:val="28"/>
          <w:szCs w:val="28"/>
        </w:rPr>
        <w:t>r</w:t>
      </w:r>
      <w:r w:rsidR="00747E93">
        <w:rPr>
          <w:rFonts w:ascii="Garamond" w:hAnsi="Garamond" w:cs="Times New Roman"/>
          <w:color w:val="000000" w:themeColor="text1"/>
          <w:sz w:val="28"/>
          <w:szCs w:val="28"/>
        </w:rPr>
        <w:t>.</w:t>
      </w:r>
      <w:r w:rsidR="00747E93" w:rsidRPr="004A46FC">
        <w:rPr>
          <w:rFonts w:ascii="Garamond" w:hAnsi="Garamond" w:cs="Times New Roman"/>
          <w:color w:val="000000" w:themeColor="text1"/>
          <w:sz w:val="28"/>
          <w:szCs w:val="28"/>
        </w:rPr>
        <w:t xml:space="preserve"> </w:t>
      </w:r>
      <w:r w:rsidR="00804477" w:rsidRPr="00BF2644">
        <w:rPr>
          <w:rFonts w:ascii="Garamond" w:hAnsi="Garamond" w:cs="Times New Roman"/>
          <w:color w:val="000000" w:themeColor="text1"/>
          <w:sz w:val="28"/>
          <w:szCs w:val="28"/>
        </w:rPr>
        <w:t xml:space="preserve"> Lazio «</w:t>
      </w:r>
      <w:r w:rsidR="00804477" w:rsidRPr="009905AB">
        <w:rPr>
          <w:rFonts w:ascii="Garamond" w:hAnsi="Garamond" w:cs="Times New Roman"/>
          <w:i/>
          <w:color w:val="000000" w:themeColor="text1"/>
          <w:sz w:val="28"/>
          <w:szCs w:val="28"/>
        </w:rPr>
        <w:t xml:space="preserve">tutte le controversie, anche in relazione alla fase cautelare e alle eventuali questioni risarcitorie, comunque attinenti alle procedure e ai provvedimenti dell'amministrazione pubblica o dei soggetti alla stessa </w:t>
      </w:r>
      <w:r w:rsidR="00804477" w:rsidRPr="009905AB">
        <w:rPr>
          <w:rFonts w:ascii="Garamond" w:hAnsi="Garamond" w:cs="Times New Roman"/>
          <w:i/>
          <w:color w:val="000000" w:themeColor="text1"/>
          <w:sz w:val="28"/>
          <w:szCs w:val="28"/>
        </w:rPr>
        <w:lastRenderedPageBreak/>
        <w:t>equiparati concernenti la produzione di energia elettrica da fonte nucleare, i rigassificatori, i gasdotti di importazione, le centrali termoelettriche di potenza termica superiore a 400 MW nonché quelle relative ad infrastrutture di trasporto ricomprese o da ricomprendere nella rete di trasmissione nazionale o rete nazionale di gasdotti</w:t>
      </w:r>
      <w:r w:rsidR="00804477" w:rsidRPr="00BF2644">
        <w:rPr>
          <w:rFonts w:ascii="Garamond" w:hAnsi="Garamond" w:cs="Times New Roman"/>
          <w:color w:val="000000" w:themeColor="text1"/>
          <w:sz w:val="28"/>
          <w:szCs w:val="28"/>
        </w:rPr>
        <w:t xml:space="preserve">» (art. 41, 1° comma). Obiettivo del legislatore era favorire indirizzi giurisprudenziali più omogenei e soprattutto ridurre la pressione locale sui </w:t>
      </w:r>
      <w:r w:rsidR="00747E93" w:rsidRPr="004A46FC">
        <w:rPr>
          <w:rFonts w:ascii="Garamond" w:hAnsi="Garamond" w:cs="Times New Roman"/>
          <w:color w:val="000000" w:themeColor="text1"/>
          <w:sz w:val="28"/>
          <w:szCs w:val="28"/>
        </w:rPr>
        <w:t>T</w:t>
      </w:r>
      <w:r w:rsidR="00747E93">
        <w:rPr>
          <w:rFonts w:ascii="Garamond" w:hAnsi="Garamond" w:cs="Times New Roman"/>
          <w:color w:val="000000" w:themeColor="text1"/>
          <w:sz w:val="28"/>
          <w:szCs w:val="28"/>
        </w:rPr>
        <w:t>.a.</w:t>
      </w:r>
      <w:r w:rsidR="00747E93" w:rsidRPr="004A46FC">
        <w:rPr>
          <w:rFonts w:ascii="Garamond" w:hAnsi="Garamond" w:cs="Times New Roman"/>
          <w:color w:val="000000" w:themeColor="text1"/>
          <w:sz w:val="28"/>
          <w:szCs w:val="28"/>
        </w:rPr>
        <w:t>r</w:t>
      </w:r>
      <w:r w:rsidR="00747E93">
        <w:rPr>
          <w:rFonts w:ascii="Garamond" w:hAnsi="Garamond" w:cs="Times New Roman"/>
          <w:color w:val="000000" w:themeColor="text1"/>
          <w:sz w:val="28"/>
          <w:szCs w:val="28"/>
        </w:rPr>
        <w:t>.</w:t>
      </w:r>
      <w:r w:rsidR="00747E93" w:rsidRPr="004A46FC">
        <w:rPr>
          <w:rFonts w:ascii="Garamond" w:hAnsi="Garamond" w:cs="Times New Roman"/>
          <w:color w:val="000000" w:themeColor="text1"/>
          <w:sz w:val="28"/>
          <w:szCs w:val="28"/>
        </w:rPr>
        <w:t xml:space="preserve"> </w:t>
      </w:r>
      <w:r w:rsidR="00804477" w:rsidRPr="00BF2644">
        <w:rPr>
          <w:rFonts w:ascii="Garamond" w:hAnsi="Garamond" w:cs="Times New Roman"/>
          <w:color w:val="000000" w:themeColor="text1"/>
          <w:sz w:val="28"/>
          <w:szCs w:val="28"/>
        </w:rPr>
        <w:t xml:space="preserve"> periferici avanti ai quali fossero stati instaurati i giudizi. Questa disposizione, analogamente alle altre disposizioni legislative che dettavano previsioni speciali sulla giurisdizione e sul processo amministrativo, </w:t>
      </w:r>
      <w:r w:rsidR="004F3FC2">
        <w:rPr>
          <w:rFonts w:ascii="Garamond" w:hAnsi="Garamond" w:cs="Times New Roman"/>
          <w:color w:val="000000" w:themeColor="text1"/>
          <w:sz w:val="28"/>
          <w:szCs w:val="28"/>
        </w:rPr>
        <w:t xml:space="preserve">è stata abrogata dall'art. 4, </w:t>
      </w:r>
      <w:r w:rsidR="004F3FC2" w:rsidRPr="00BF2644">
        <w:rPr>
          <w:rFonts w:ascii="Garamond" w:hAnsi="Garamond" w:cs="Times New Roman"/>
          <w:color w:val="000000" w:themeColor="text1"/>
          <w:sz w:val="28"/>
          <w:szCs w:val="28"/>
        </w:rPr>
        <w:t>comma</w:t>
      </w:r>
      <w:r w:rsidR="004F3FC2">
        <w:rPr>
          <w:rFonts w:ascii="Garamond" w:hAnsi="Garamond" w:cs="Times New Roman"/>
          <w:color w:val="000000" w:themeColor="text1"/>
          <w:sz w:val="28"/>
          <w:szCs w:val="28"/>
        </w:rPr>
        <w:t xml:space="preserve"> 1</w:t>
      </w:r>
      <w:r w:rsidR="00804477" w:rsidRPr="00BF2644">
        <w:rPr>
          <w:rFonts w:ascii="Garamond" w:hAnsi="Garamond" w:cs="Times New Roman"/>
          <w:color w:val="000000" w:themeColor="text1"/>
          <w:sz w:val="28"/>
          <w:szCs w:val="28"/>
        </w:rPr>
        <w:t>, n. 43, dell'al</w:t>
      </w:r>
      <w:r w:rsidR="006C564E">
        <w:rPr>
          <w:rFonts w:ascii="Garamond" w:hAnsi="Garamond" w:cs="Times New Roman"/>
          <w:color w:val="000000" w:themeColor="text1"/>
          <w:sz w:val="28"/>
          <w:szCs w:val="28"/>
        </w:rPr>
        <w:t>l.</w:t>
      </w:r>
      <w:r>
        <w:rPr>
          <w:rFonts w:ascii="Garamond" w:hAnsi="Garamond" w:cs="Times New Roman"/>
          <w:color w:val="000000" w:themeColor="text1"/>
          <w:sz w:val="28"/>
          <w:szCs w:val="28"/>
        </w:rPr>
        <w:t xml:space="preserve"> 4 al </w:t>
      </w:r>
      <w:r w:rsidR="004F0CCD">
        <w:rPr>
          <w:rFonts w:ascii="Garamond" w:hAnsi="Garamond" w:cs="Times New Roman"/>
          <w:color w:val="000000" w:themeColor="text1"/>
          <w:sz w:val="28"/>
          <w:szCs w:val="28"/>
        </w:rPr>
        <w:t>d.lgs.</w:t>
      </w:r>
      <w:r w:rsidR="00804477" w:rsidRPr="00BF2644">
        <w:rPr>
          <w:rFonts w:ascii="Garamond" w:hAnsi="Garamond" w:cs="Times New Roman"/>
          <w:color w:val="000000" w:themeColor="text1"/>
          <w:sz w:val="28"/>
          <w:szCs w:val="28"/>
        </w:rPr>
        <w:t xml:space="preserve"> 2 luglio 2010 n. 104</w:t>
      </w:r>
      <w:r w:rsidR="004F3FC2">
        <w:rPr>
          <w:rFonts w:ascii="Garamond" w:hAnsi="Garamond" w:cs="Times New Roman"/>
          <w:color w:val="000000" w:themeColor="text1"/>
          <w:sz w:val="28"/>
          <w:szCs w:val="28"/>
        </w:rPr>
        <w:t xml:space="preserve"> (codice del processo amministrativo</w:t>
      </w:r>
      <w:r w:rsidR="00C45B2F">
        <w:rPr>
          <w:rFonts w:ascii="Garamond" w:hAnsi="Garamond" w:cs="Times New Roman"/>
          <w:color w:val="000000" w:themeColor="text1"/>
          <w:sz w:val="28"/>
          <w:szCs w:val="28"/>
        </w:rPr>
        <w:t>)</w:t>
      </w:r>
      <w:r w:rsidR="00804477" w:rsidRPr="00BF2644">
        <w:rPr>
          <w:rFonts w:ascii="Garamond" w:hAnsi="Garamond" w:cs="Times New Roman"/>
          <w:color w:val="000000" w:themeColor="text1"/>
          <w:sz w:val="28"/>
          <w:szCs w:val="28"/>
        </w:rPr>
        <w:t>. Contestualmente all'abrogazione, nel codice del processo amministrativo è stata prevista un'ipotesi di giurisdizione esclusiva, formulata in termini più generali, ossia, considerando anche l'ipotesi di giurisdizione esclusiva intr</w:t>
      </w:r>
      <w:r>
        <w:rPr>
          <w:rFonts w:ascii="Garamond" w:hAnsi="Garamond" w:cs="Times New Roman"/>
          <w:color w:val="000000" w:themeColor="text1"/>
          <w:sz w:val="28"/>
          <w:szCs w:val="28"/>
        </w:rPr>
        <w:t xml:space="preserve">odotta dall'art. 1, comma 552, </w:t>
      </w:r>
      <w:r w:rsidR="00015B17">
        <w:rPr>
          <w:rFonts w:ascii="Garamond" w:hAnsi="Garamond" w:cs="Times New Roman"/>
          <w:color w:val="000000" w:themeColor="text1"/>
          <w:sz w:val="28"/>
          <w:szCs w:val="28"/>
        </w:rPr>
        <w:t>l</w:t>
      </w:r>
      <w:r w:rsidR="006C564E">
        <w:rPr>
          <w:rFonts w:ascii="Garamond" w:hAnsi="Garamond" w:cs="Times New Roman"/>
          <w:color w:val="000000" w:themeColor="text1"/>
          <w:sz w:val="28"/>
          <w:szCs w:val="28"/>
        </w:rPr>
        <w:t>.</w:t>
      </w:r>
      <w:r w:rsidR="00804477" w:rsidRPr="00BF2644">
        <w:rPr>
          <w:rFonts w:ascii="Garamond" w:hAnsi="Garamond" w:cs="Times New Roman"/>
          <w:color w:val="000000" w:themeColor="text1"/>
          <w:sz w:val="28"/>
          <w:szCs w:val="28"/>
        </w:rPr>
        <w:t xml:space="preserve"> 30 dicembre 2004 n. 311 (la cui questione di legittimità costituzionale era stata dichiarata infondata da Corte cost</w:t>
      </w:r>
      <w:r w:rsidR="00B376CF">
        <w:rPr>
          <w:rFonts w:ascii="Garamond" w:hAnsi="Garamond" w:cs="Times New Roman"/>
          <w:color w:val="000000" w:themeColor="text1"/>
          <w:sz w:val="28"/>
          <w:szCs w:val="28"/>
        </w:rPr>
        <w:t>.</w:t>
      </w:r>
      <w:r w:rsidR="00804477" w:rsidRPr="00BF2644">
        <w:rPr>
          <w:rFonts w:ascii="Garamond" w:hAnsi="Garamond" w:cs="Times New Roman"/>
          <w:color w:val="000000" w:themeColor="text1"/>
          <w:sz w:val="28"/>
          <w:szCs w:val="28"/>
        </w:rPr>
        <w:t>, n. 14</w:t>
      </w:r>
      <w:r w:rsidR="00B376CF">
        <w:rPr>
          <w:rFonts w:ascii="Garamond" w:hAnsi="Garamond" w:cs="Times New Roman"/>
          <w:color w:val="000000" w:themeColor="text1"/>
          <w:sz w:val="28"/>
          <w:szCs w:val="28"/>
        </w:rPr>
        <w:t xml:space="preserve"> del 2007</w:t>
      </w:r>
      <w:r w:rsidR="00804477" w:rsidRPr="00BF2644">
        <w:rPr>
          <w:rFonts w:ascii="Garamond" w:hAnsi="Garamond" w:cs="Times New Roman"/>
          <w:color w:val="000000" w:themeColor="text1"/>
          <w:sz w:val="28"/>
          <w:szCs w:val="28"/>
        </w:rPr>
        <w:t>).</w:t>
      </w:r>
    </w:p>
    <w:p w:rsidR="00804477" w:rsidRPr="00BF2644" w:rsidRDefault="00804477" w:rsidP="00BF2644">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La giurisdizione esclusiva si estende così a tutte «</w:t>
      </w:r>
      <w:r w:rsidRPr="009905AB">
        <w:rPr>
          <w:rFonts w:ascii="Garamond" w:hAnsi="Garamond" w:cs="Times New Roman"/>
          <w:i/>
          <w:color w:val="000000" w:themeColor="text1"/>
          <w:sz w:val="28"/>
          <w:szCs w:val="28"/>
        </w:rPr>
        <w:t>le controversie,</w:t>
      </w:r>
      <w:r w:rsidRPr="009905AB">
        <w:rPr>
          <w:rFonts w:ascii="Garamond" w:hAnsi="Garamond"/>
          <w:i/>
          <w:sz w:val="28"/>
          <w:szCs w:val="28"/>
        </w:rPr>
        <w:t xml:space="preserve"> </w:t>
      </w:r>
      <w:r w:rsidRPr="009905AB">
        <w:rPr>
          <w:rFonts w:ascii="Garamond" w:hAnsi="Garamond" w:cs="Times New Roman"/>
          <w:i/>
          <w:color w:val="000000" w:themeColor="text1"/>
          <w:sz w:val="28"/>
          <w:szCs w:val="28"/>
        </w:rPr>
        <w:t>incluse quelle risarcitorie, attinenti alle procedure e ai provvedimenti della pubblica amministrazione concernenti la produzione di energia, i rigassificatori, i gasdotti di importazione, le centrali termoelettriche e quelle relative ad infrastrutture di trasporto ricomprese o da ricomprendere nella rete di trasmissione nazionale o rete nazionale di gasdotti</w:t>
      </w:r>
      <w:r w:rsidR="004F3FC2">
        <w:rPr>
          <w:rFonts w:ascii="Garamond" w:hAnsi="Garamond" w:cs="Times New Roman"/>
          <w:color w:val="000000" w:themeColor="text1"/>
          <w:sz w:val="28"/>
          <w:szCs w:val="28"/>
        </w:rPr>
        <w:t xml:space="preserve">» (art. 134, </w:t>
      </w:r>
      <w:r w:rsidR="004F3FC2" w:rsidRPr="00BF2644">
        <w:rPr>
          <w:rFonts w:ascii="Garamond" w:hAnsi="Garamond" w:cs="Times New Roman"/>
          <w:color w:val="000000" w:themeColor="text1"/>
          <w:sz w:val="28"/>
          <w:szCs w:val="28"/>
        </w:rPr>
        <w:t>comma</w:t>
      </w:r>
      <w:r w:rsidR="004F3FC2">
        <w:rPr>
          <w:rFonts w:ascii="Garamond" w:hAnsi="Garamond" w:cs="Times New Roman"/>
          <w:color w:val="000000" w:themeColor="text1"/>
          <w:sz w:val="28"/>
          <w:szCs w:val="28"/>
        </w:rPr>
        <w:t xml:space="preserve"> 1</w:t>
      </w:r>
      <w:r w:rsidRPr="00BF2644">
        <w:rPr>
          <w:rFonts w:ascii="Garamond" w:hAnsi="Garamond" w:cs="Times New Roman"/>
          <w:color w:val="000000" w:themeColor="text1"/>
          <w:sz w:val="28"/>
          <w:szCs w:val="28"/>
        </w:rPr>
        <w:t>, lett. o,</w:t>
      </w:r>
      <w:r w:rsidR="004F3FC2">
        <w:rPr>
          <w:rFonts w:ascii="Garamond" w:hAnsi="Garamond" w:cs="Times New Roman"/>
          <w:color w:val="000000" w:themeColor="text1"/>
          <w:sz w:val="28"/>
          <w:szCs w:val="28"/>
        </w:rPr>
        <w:t xml:space="preserve"> c.p.a.</w:t>
      </w:r>
      <w:r w:rsidRPr="00BF2644">
        <w:rPr>
          <w:rFonts w:ascii="Garamond" w:hAnsi="Garamond" w:cs="Times New Roman"/>
          <w:color w:val="000000" w:themeColor="text1"/>
          <w:sz w:val="28"/>
          <w:szCs w:val="28"/>
        </w:rPr>
        <w:t xml:space="preserve">). Inoltre è stata inserita una previsione sulla competenza funzionale del </w:t>
      </w:r>
      <w:r w:rsidR="00747E93" w:rsidRPr="004A46FC">
        <w:rPr>
          <w:rFonts w:ascii="Garamond" w:hAnsi="Garamond" w:cs="Times New Roman"/>
          <w:color w:val="000000" w:themeColor="text1"/>
          <w:sz w:val="28"/>
          <w:szCs w:val="28"/>
        </w:rPr>
        <w:t>T</w:t>
      </w:r>
      <w:r w:rsidR="00747E93">
        <w:rPr>
          <w:rFonts w:ascii="Garamond" w:hAnsi="Garamond" w:cs="Times New Roman"/>
          <w:color w:val="000000" w:themeColor="text1"/>
          <w:sz w:val="28"/>
          <w:szCs w:val="28"/>
        </w:rPr>
        <w:t>.a.</w:t>
      </w:r>
      <w:r w:rsidR="00747E93" w:rsidRPr="004A46FC">
        <w:rPr>
          <w:rFonts w:ascii="Garamond" w:hAnsi="Garamond" w:cs="Times New Roman"/>
          <w:color w:val="000000" w:themeColor="text1"/>
          <w:sz w:val="28"/>
          <w:szCs w:val="28"/>
        </w:rPr>
        <w:t>r</w:t>
      </w:r>
      <w:r w:rsidR="00747E93">
        <w:rPr>
          <w:rFonts w:ascii="Garamond" w:hAnsi="Garamond" w:cs="Times New Roman"/>
          <w:color w:val="000000" w:themeColor="text1"/>
          <w:sz w:val="28"/>
          <w:szCs w:val="28"/>
        </w:rPr>
        <w:t>.</w:t>
      </w:r>
      <w:r w:rsidR="00747E93" w:rsidRPr="004A46FC">
        <w:rPr>
          <w:rFonts w:ascii="Garamond" w:hAnsi="Garamond" w:cs="Times New Roman"/>
          <w:color w:val="000000" w:themeColor="text1"/>
          <w:sz w:val="28"/>
          <w:szCs w:val="28"/>
        </w:rPr>
        <w:t xml:space="preserve"> </w:t>
      </w:r>
      <w:r w:rsidRPr="00BF2644">
        <w:rPr>
          <w:rFonts w:ascii="Garamond" w:hAnsi="Garamond" w:cs="Times New Roman"/>
          <w:color w:val="000000" w:themeColor="text1"/>
          <w:sz w:val="28"/>
          <w:szCs w:val="28"/>
        </w:rPr>
        <w:t xml:space="preserve"> </w:t>
      </w:r>
      <w:r w:rsidR="0032317E">
        <w:rPr>
          <w:rFonts w:ascii="Garamond" w:hAnsi="Garamond" w:cs="Times New Roman"/>
          <w:color w:val="000000" w:themeColor="text1"/>
          <w:sz w:val="28"/>
          <w:szCs w:val="28"/>
        </w:rPr>
        <w:t xml:space="preserve">per il </w:t>
      </w:r>
      <w:r w:rsidRPr="00BF2644">
        <w:rPr>
          <w:rFonts w:ascii="Garamond" w:hAnsi="Garamond" w:cs="Times New Roman"/>
          <w:color w:val="000000" w:themeColor="text1"/>
          <w:sz w:val="28"/>
          <w:szCs w:val="28"/>
        </w:rPr>
        <w:t xml:space="preserve">Lazio, con contenuto del tutto identico a </w:t>
      </w:r>
      <w:r w:rsidR="004F3FC2">
        <w:rPr>
          <w:rFonts w:ascii="Garamond" w:hAnsi="Garamond" w:cs="Times New Roman"/>
          <w:color w:val="000000" w:themeColor="text1"/>
          <w:sz w:val="28"/>
          <w:szCs w:val="28"/>
        </w:rPr>
        <w:t xml:space="preserve">quella dell'art. 41, </w:t>
      </w:r>
      <w:r w:rsidRPr="00BF2644">
        <w:rPr>
          <w:rFonts w:ascii="Garamond" w:hAnsi="Garamond" w:cs="Times New Roman"/>
          <w:color w:val="000000" w:themeColor="text1"/>
          <w:sz w:val="28"/>
          <w:szCs w:val="28"/>
        </w:rPr>
        <w:t>comma</w:t>
      </w:r>
      <w:r w:rsidR="004F3FC2">
        <w:rPr>
          <w:rFonts w:ascii="Garamond" w:hAnsi="Garamond" w:cs="Times New Roman"/>
          <w:color w:val="000000" w:themeColor="text1"/>
          <w:sz w:val="28"/>
          <w:szCs w:val="28"/>
        </w:rPr>
        <w:t xml:space="preserve"> 1</w:t>
      </w:r>
      <w:r w:rsidRPr="00BF2644">
        <w:rPr>
          <w:rFonts w:ascii="Garamond" w:hAnsi="Garamond" w:cs="Times New Roman"/>
          <w:color w:val="000000" w:themeColor="text1"/>
          <w:sz w:val="28"/>
          <w:szCs w:val="28"/>
        </w:rPr>
        <w:t xml:space="preserve">, </w:t>
      </w:r>
      <w:r w:rsidR="006C564E">
        <w:rPr>
          <w:rFonts w:ascii="Garamond" w:hAnsi="Garamond" w:cs="Times New Roman"/>
          <w:color w:val="000000" w:themeColor="text1"/>
          <w:sz w:val="28"/>
          <w:szCs w:val="28"/>
        </w:rPr>
        <w:t>l.</w:t>
      </w:r>
      <w:r w:rsidRPr="00BF2644">
        <w:rPr>
          <w:rFonts w:ascii="Garamond" w:hAnsi="Garamond" w:cs="Times New Roman"/>
          <w:color w:val="000000" w:themeColor="text1"/>
          <w:sz w:val="28"/>
          <w:szCs w:val="28"/>
        </w:rPr>
        <w:t xml:space="preserve"> 23 luglio 2009 n. 99, sulla competenza inderogabile del medesimo </w:t>
      </w:r>
      <w:r w:rsidR="00747E93" w:rsidRPr="004A46FC">
        <w:rPr>
          <w:rFonts w:ascii="Garamond" w:hAnsi="Garamond" w:cs="Times New Roman"/>
          <w:color w:val="000000" w:themeColor="text1"/>
          <w:sz w:val="28"/>
          <w:szCs w:val="28"/>
        </w:rPr>
        <w:t>T</w:t>
      </w:r>
      <w:r w:rsidR="00747E93">
        <w:rPr>
          <w:rFonts w:ascii="Garamond" w:hAnsi="Garamond" w:cs="Times New Roman"/>
          <w:color w:val="000000" w:themeColor="text1"/>
          <w:sz w:val="28"/>
          <w:szCs w:val="28"/>
        </w:rPr>
        <w:t>.a.</w:t>
      </w:r>
      <w:r w:rsidR="00747E93" w:rsidRPr="004A46FC">
        <w:rPr>
          <w:rFonts w:ascii="Garamond" w:hAnsi="Garamond" w:cs="Times New Roman"/>
          <w:color w:val="000000" w:themeColor="text1"/>
          <w:sz w:val="28"/>
          <w:szCs w:val="28"/>
        </w:rPr>
        <w:t>r</w:t>
      </w:r>
      <w:r w:rsidR="00747E93">
        <w:rPr>
          <w:rFonts w:ascii="Garamond" w:hAnsi="Garamond" w:cs="Times New Roman"/>
          <w:color w:val="000000" w:themeColor="text1"/>
          <w:sz w:val="28"/>
          <w:szCs w:val="28"/>
        </w:rPr>
        <w:t>.</w:t>
      </w:r>
      <w:r w:rsidR="00747E93" w:rsidRPr="004A46FC">
        <w:rPr>
          <w:rFonts w:ascii="Garamond" w:hAnsi="Garamond" w:cs="Times New Roman"/>
          <w:color w:val="000000" w:themeColor="text1"/>
          <w:sz w:val="28"/>
          <w:szCs w:val="28"/>
        </w:rPr>
        <w:t xml:space="preserve"> </w:t>
      </w:r>
      <w:r w:rsidR="004F3FC2">
        <w:rPr>
          <w:rFonts w:ascii="Garamond" w:hAnsi="Garamond" w:cs="Times New Roman"/>
          <w:color w:val="000000" w:themeColor="text1"/>
          <w:sz w:val="28"/>
          <w:szCs w:val="28"/>
        </w:rPr>
        <w:t xml:space="preserve"> (art. </w:t>
      </w:r>
      <w:r w:rsidR="00BE7093">
        <w:rPr>
          <w:rFonts w:ascii="Garamond" w:hAnsi="Garamond" w:cs="Times New Roman"/>
          <w:color w:val="000000" w:themeColor="text1"/>
          <w:sz w:val="28"/>
          <w:szCs w:val="28"/>
        </w:rPr>
        <w:t xml:space="preserve">135, </w:t>
      </w:r>
      <w:r w:rsidR="00BE7093" w:rsidRPr="00BF2644">
        <w:rPr>
          <w:rFonts w:ascii="Garamond" w:hAnsi="Garamond" w:cs="Times New Roman"/>
          <w:color w:val="000000" w:themeColor="text1"/>
          <w:sz w:val="28"/>
          <w:szCs w:val="28"/>
        </w:rPr>
        <w:t>comma</w:t>
      </w:r>
      <w:r w:rsidR="004F3FC2">
        <w:rPr>
          <w:rFonts w:ascii="Garamond" w:hAnsi="Garamond" w:cs="Times New Roman"/>
          <w:color w:val="000000" w:themeColor="text1"/>
          <w:sz w:val="28"/>
          <w:szCs w:val="28"/>
        </w:rPr>
        <w:t xml:space="preserve"> 1</w:t>
      </w:r>
      <w:r w:rsidRPr="00BF2644">
        <w:rPr>
          <w:rFonts w:ascii="Garamond" w:hAnsi="Garamond" w:cs="Times New Roman"/>
          <w:color w:val="000000" w:themeColor="text1"/>
          <w:sz w:val="28"/>
          <w:szCs w:val="28"/>
        </w:rPr>
        <w:t>, lett. f,</w:t>
      </w:r>
      <w:r w:rsidR="004F3FC2">
        <w:rPr>
          <w:rFonts w:ascii="Garamond" w:hAnsi="Garamond" w:cs="Times New Roman"/>
          <w:color w:val="000000" w:themeColor="text1"/>
          <w:sz w:val="28"/>
          <w:szCs w:val="28"/>
        </w:rPr>
        <w:t xml:space="preserve"> c.p.a.</w:t>
      </w:r>
      <w:r w:rsidRPr="00BF2644">
        <w:rPr>
          <w:rFonts w:ascii="Garamond" w:hAnsi="Garamond" w:cs="Times New Roman"/>
          <w:color w:val="000000" w:themeColor="text1"/>
          <w:sz w:val="28"/>
          <w:szCs w:val="28"/>
        </w:rPr>
        <w:t>).</w:t>
      </w:r>
    </w:p>
    <w:p w:rsidR="00804477" w:rsidRDefault="009905AB" w:rsidP="00BF2644">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V</w:t>
      </w:r>
      <w:r w:rsidR="00734B9F">
        <w:rPr>
          <w:rFonts w:ascii="Garamond" w:hAnsi="Garamond" w:cs="Times New Roman"/>
          <w:color w:val="000000" w:themeColor="text1"/>
          <w:sz w:val="28"/>
          <w:szCs w:val="28"/>
        </w:rPr>
        <w:t xml:space="preserve">igente la </w:t>
      </w:r>
      <w:r w:rsidR="00015B17">
        <w:rPr>
          <w:rFonts w:ascii="Garamond" w:hAnsi="Garamond" w:cs="Times New Roman"/>
          <w:color w:val="000000" w:themeColor="text1"/>
          <w:sz w:val="28"/>
          <w:szCs w:val="28"/>
        </w:rPr>
        <w:t>l</w:t>
      </w:r>
      <w:r w:rsidR="006C564E">
        <w:rPr>
          <w:rFonts w:ascii="Garamond" w:hAnsi="Garamond" w:cs="Times New Roman"/>
          <w:color w:val="000000" w:themeColor="text1"/>
          <w:sz w:val="28"/>
          <w:szCs w:val="28"/>
        </w:rPr>
        <w:t>.</w:t>
      </w:r>
      <w:r w:rsidR="00804477" w:rsidRPr="00BF2644">
        <w:rPr>
          <w:rFonts w:ascii="Garamond" w:hAnsi="Garamond" w:cs="Times New Roman"/>
          <w:color w:val="000000" w:themeColor="text1"/>
          <w:sz w:val="28"/>
          <w:szCs w:val="28"/>
        </w:rPr>
        <w:t xml:space="preserve"> 23 luglio 2009 n. 99, con ordinanza n.  197</w:t>
      </w:r>
      <w:r w:rsidR="00BE7093">
        <w:rPr>
          <w:rFonts w:ascii="Garamond" w:hAnsi="Garamond" w:cs="Times New Roman"/>
          <w:color w:val="000000" w:themeColor="text1"/>
          <w:sz w:val="28"/>
          <w:szCs w:val="28"/>
        </w:rPr>
        <w:t xml:space="preserve"> del 2019</w:t>
      </w:r>
      <w:r w:rsidR="00633B55">
        <w:rPr>
          <w:rFonts w:ascii="Garamond" w:hAnsi="Garamond" w:cs="Times New Roman"/>
          <w:color w:val="000000" w:themeColor="text1"/>
          <w:sz w:val="28"/>
          <w:szCs w:val="28"/>
        </w:rPr>
        <w:t>,</w:t>
      </w:r>
      <w:r w:rsidR="00804477" w:rsidRPr="00BF2644">
        <w:rPr>
          <w:rFonts w:ascii="Garamond" w:hAnsi="Garamond" w:cs="Times New Roman"/>
          <w:color w:val="000000" w:themeColor="text1"/>
          <w:sz w:val="28"/>
          <w:szCs w:val="28"/>
        </w:rPr>
        <w:t xml:space="preserve"> il Consiglio di Stato, sezione sesta, ha so</w:t>
      </w:r>
      <w:r>
        <w:rPr>
          <w:rFonts w:ascii="Garamond" w:hAnsi="Garamond" w:cs="Times New Roman"/>
          <w:color w:val="000000" w:themeColor="text1"/>
          <w:sz w:val="28"/>
          <w:szCs w:val="28"/>
        </w:rPr>
        <w:t>llevato questione</w:t>
      </w:r>
      <w:r w:rsidR="00804477" w:rsidRPr="00BF2644">
        <w:rPr>
          <w:rFonts w:ascii="Garamond" w:hAnsi="Garamond" w:cs="Times New Roman"/>
          <w:color w:val="000000" w:themeColor="text1"/>
          <w:sz w:val="28"/>
          <w:szCs w:val="28"/>
        </w:rPr>
        <w:t xml:space="preserve"> di legittimit</w:t>
      </w:r>
      <w:r w:rsidR="00BE7093">
        <w:rPr>
          <w:rFonts w:ascii="Garamond" w:hAnsi="Garamond" w:cs="Times New Roman"/>
          <w:color w:val="000000" w:themeColor="text1"/>
          <w:sz w:val="28"/>
          <w:szCs w:val="28"/>
        </w:rPr>
        <w:t xml:space="preserve">à costituzionale dell'art. 41, </w:t>
      </w:r>
      <w:r w:rsidR="00875874" w:rsidRPr="00BF2644">
        <w:rPr>
          <w:rFonts w:ascii="Garamond" w:hAnsi="Garamond" w:cs="Times New Roman"/>
          <w:color w:val="000000" w:themeColor="text1"/>
          <w:sz w:val="28"/>
          <w:szCs w:val="28"/>
        </w:rPr>
        <w:t>comma</w:t>
      </w:r>
      <w:r w:rsidR="00BE7093">
        <w:rPr>
          <w:rFonts w:ascii="Garamond" w:hAnsi="Garamond" w:cs="Times New Roman"/>
          <w:color w:val="000000" w:themeColor="text1"/>
          <w:sz w:val="28"/>
          <w:szCs w:val="28"/>
        </w:rPr>
        <w:t xml:space="preserve"> 5</w:t>
      </w:r>
      <w:r>
        <w:rPr>
          <w:rFonts w:ascii="Garamond" w:hAnsi="Garamond" w:cs="Times New Roman"/>
          <w:color w:val="000000" w:themeColor="text1"/>
          <w:sz w:val="28"/>
          <w:szCs w:val="28"/>
        </w:rPr>
        <w:t xml:space="preserve">, </w:t>
      </w:r>
      <w:r w:rsidR="006C564E">
        <w:rPr>
          <w:rFonts w:ascii="Garamond" w:hAnsi="Garamond" w:cs="Times New Roman"/>
          <w:color w:val="000000" w:themeColor="text1"/>
          <w:sz w:val="28"/>
          <w:szCs w:val="28"/>
        </w:rPr>
        <w:t>l.</w:t>
      </w:r>
      <w:r>
        <w:rPr>
          <w:rFonts w:ascii="Garamond" w:hAnsi="Garamond" w:cs="Times New Roman"/>
          <w:color w:val="000000" w:themeColor="text1"/>
          <w:sz w:val="28"/>
          <w:szCs w:val="28"/>
        </w:rPr>
        <w:t xml:space="preserve"> 23 luglio 2009 n. </w:t>
      </w:r>
      <w:r w:rsidR="002F0957">
        <w:rPr>
          <w:rFonts w:ascii="Garamond" w:hAnsi="Garamond" w:cs="Times New Roman"/>
          <w:color w:val="000000" w:themeColor="text1"/>
          <w:sz w:val="28"/>
          <w:szCs w:val="28"/>
        </w:rPr>
        <w:t>99, in</w:t>
      </w:r>
      <w:r w:rsidR="00804477" w:rsidRPr="00BF2644">
        <w:rPr>
          <w:rFonts w:ascii="Garamond" w:hAnsi="Garamond" w:cs="Times New Roman"/>
          <w:color w:val="000000" w:themeColor="text1"/>
          <w:sz w:val="28"/>
          <w:szCs w:val="28"/>
        </w:rPr>
        <w:t xml:space="preserve"> riferimento agli ar</w:t>
      </w:r>
      <w:r w:rsidR="00BE7093">
        <w:rPr>
          <w:rFonts w:ascii="Garamond" w:hAnsi="Garamond" w:cs="Times New Roman"/>
          <w:color w:val="000000" w:themeColor="text1"/>
          <w:sz w:val="28"/>
          <w:szCs w:val="28"/>
        </w:rPr>
        <w:t>t</w:t>
      </w:r>
      <w:r w:rsidR="00804477" w:rsidRPr="00BF2644">
        <w:rPr>
          <w:rFonts w:ascii="Garamond" w:hAnsi="Garamond" w:cs="Times New Roman"/>
          <w:color w:val="000000" w:themeColor="text1"/>
          <w:sz w:val="28"/>
          <w:szCs w:val="28"/>
        </w:rPr>
        <w:t>t. 3, 24 e 111 Cost. nella parte in cui</w:t>
      </w:r>
      <w:r w:rsidR="007B6509">
        <w:rPr>
          <w:rFonts w:ascii="Garamond" w:hAnsi="Garamond" w:cs="Times New Roman"/>
          <w:color w:val="000000" w:themeColor="text1"/>
          <w:sz w:val="28"/>
          <w:szCs w:val="28"/>
        </w:rPr>
        <w:t>,</w:t>
      </w:r>
      <w:r w:rsidR="00804477" w:rsidRPr="00BF2644">
        <w:rPr>
          <w:rFonts w:ascii="Garamond" w:hAnsi="Garamond" w:cs="Times New Roman"/>
          <w:color w:val="000000" w:themeColor="text1"/>
          <w:sz w:val="28"/>
          <w:szCs w:val="28"/>
        </w:rPr>
        <w:t xml:space="preserve"> dopo avere attribuito alla giurisdizione esclusiva del giudice amministrativo e alla competenza territoriale del </w:t>
      </w:r>
      <w:r w:rsidR="00747E93" w:rsidRPr="004A46FC">
        <w:rPr>
          <w:rFonts w:ascii="Garamond" w:hAnsi="Garamond" w:cs="Times New Roman"/>
          <w:color w:val="000000" w:themeColor="text1"/>
          <w:sz w:val="28"/>
          <w:szCs w:val="28"/>
        </w:rPr>
        <w:t>T</w:t>
      </w:r>
      <w:r w:rsidR="00747E93">
        <w:rPr>
          <w:rFonts w:ascii="Garamond" w:hAnsi="Garamond" w:cs="Times New Roman"/>
          <w:color w:val="000000" w:themeColor="text1"/>
          <w:sz w:val="28"/>
          <w:szCs w:val="28"/>
        </w:rPr>
        <w:t>.a.</w:t>
      </w:r>
      <w:r w:rsidR="00747E93" w:rsidRPr="004A46FC">
        <w:rPr>
          <w:rFonts w:ascii="Garamond" w:hAnsi="Garamond" w:cs="Times New Roman"/>
          <w:color w:val="000000" w:themeColor="text1"/>
          <w:sz w:val="28"/>
          <w:szCs w:val="28"/>
        </w:rPr>
        <w:t>r</w:t>
      </w:r>
      <w:r w:rsidR="00747E93">
        <w:rPr>
          <w:rFonts w:ascii="Garamond" w:hAnsi="Garamond" w:cs="Times New Roman"/>
          <w:color w:val="000000" w:themeColor="text1"/>
          <w:sz w:val="28"/>
          <w:szCs w:val="28"/>
        </w:rPr>
        <w:t>.</w:t>
      </w:r>
      <w:r w:rsidR="00747E93" w:rsidRPr="004A46FC">
        <w:rPr>
          <w:rFonts w:ascii="Garamond" w:hAnsi="Garamond" w:cs="Times New Roman"/>
          <w:color w:val="000000" w:themeColor="text1"/>
          <w:sz w:val="28"/>
          <w:szCs w:val="28"/>
        </w:rPr>
        <w:t xml:space="preserve"> </w:t>
      </w:r>
      <w:r w:rsidR="00804477" w:rsidRPr="00BF2644">
        <w:rPr>
          <w:rFonts w:ascii="Garamond" w:hAnsi="Garamond" w:cs="Times New Roman"/>
          <w:color w:val="000000" w:themeColor="text1"/>
          <w:sz w:val="28"/>
          <w:szCs w:val="28"/>
        </w:rPr>
        <w:t xml:space="preserve"> Lazio alcune controversie in materia di impianti energetici, prevede che, per i giudizi pendenti avanti ad altri giudici, le parti hanno l'onere di riassumerli avanti al </w:t>
      </w:r>
      <w:r w:rsidR="00747E93" w:rsidRPr="004A46FC">
        <w:rPr>
          <w:rFonts w:ascii="Garamond" w:hAnsi="Garamond" w:cs="Times New Roman"/>
          <w:color w:val="000000" w:themeColor="text1"/>
          <w:sz w:val="28"/>
          <w:szCs w:val="28"/>
        </w:rPr>
        <w:t>T</w:t>
      </w:r>
      <w:r w:rsidR="00747E93">
        <w:rPr>
          <w:rFonts w:ascii="Garamond" w:hAnsi="Garamond" w:cs="Times New Roman"/>
          <w:color w:val="000000" w:themeColor="text1"/>
          <w:sz w:val="28"/>
          <w:szCs w:val="28"/>
        </w:rPr>
        <w:t>.a.</w:t>
      </w:r>
      <w:r w:rsidR="00747E93" w:rsidRPr="004A46FC">
        <w:rPr>
          <w:rFonts w:ascii="Garamond" w:hAnsi="Garamond" w:cs="Times New Roman"/>
          <w:color w:val="000000" w:themeColor="text1"/>
          <w:sz w:val="28"/>
          <w:szCs w:val="28"/>
        </w:rPr>
        <w:t>r</w:t>
      </w:r>
      <w:r w:rsidR="00747E93">
        <w:rPr>
          <w:rFonts w:ascii="Garamond" w:hAnsi="Garamond" w:cs="Times New Roman"/>
          <w:color w:val="000000" w:themeColor="text1"/>
          <w:sz w:val="28"/>
          <w:szCs w:val="28"/>
        </w:rPr>
        <w:t>.</w:t>
      </w:r>
      <w:r w:rsidR="00747E93" w:rsidRPr="004A46FC">
        <w:rPr>
          <w:rFonts w:ascii="Garamond" w:hAnsi="Garamond" w:cs="Times New Roman"/>
          <w:color w:val="000000" w:themeColor="text1"/>
          <w:sz w:val="28"/>
          <w:szCs w:val="28"/>
        </w:rPr>
        <w:t xml:space="preserve"> </w:t>
      </w:r>
      <w:r w:rsidR="00804477" w:rsidRPr="00BF2644">
        <w:rPr>
          <w:rFonts w:ascii="Garamond" w:hAnsi="Garamond" w:cs="Times New Roman"/>
          <w:color w:val="000000" w:themeColor="text1"/>
          <w:sz w:val="28"/>
          <w:szCs w:val="28"/>
        </w:rPr>
        <w:t xml:space="preserve"> Lazio entro sessanta giorni dalla data di entrata in vigore della stessa </w:t>
      </w:r>
      <w:r w:rsidR="006C564E">
        <w:rPr>
          <w:rFonts w:ascii="Garamond" w:hAnsi="Garamond" w:cs="Times New Roman"/>
          <w:color w:val="000000" w:themeColor="text1"/>
          <w:sz w:val="28"/>
          <w:szCs w:val="28"/>
        </w:rPr>
        <w:t>legge</w:t>
      </w:r>
      <w:r w:rsidR="004D02DC">
        <w:rPr>
          <w:rFonts w:ascii="Garamond" w:hAnsi="Garamond" w:cs="Times New Roman"/>
          <w:color w:val="000000" w:themeColor="text1"/>
          <w:sz w:val="28"/>
          <w:szCs w:val="28"/>
        </w:rPr>
        <w:t>. La Corte c</w:t>
      </w:r>
      <w:r w:rsidR="00804477" w:rsidRPr="00BF2644">
        <w:rPr>
          <w:rFonts w:ascii="Garamond" w:hAnsi="Garamond" w:cs="Times New Roman"/>
          <w:color w:val="000000" w:themeColor="text1"/>
          <w:sz w:val="28"/>
          <w:szCs w:val="28"/>
        </w:rPr>
        <w:t>ost</w:t>
      </w:r>
      <w:r w:rsidR="004D02DC">
        <w:rPr>
          <w:rFonts w:ascii="Garamond" w:hAnsi="Garamond" w:cs="Times New Roman"/>
          <w:color w:val="000000" w:themeColor="text1"/>
          <w:sz w:val="28"/>
          <w:szCs w:val="28"/>
        </w:rPr>
        <w:t>.</w:t>
      </w:r>
      <w:r w:rsidR="00633B55">
        <w:rPr>
          <w:rFonts w:ascii="Garamond" w:hAnsi="Garamond" w:cs="Times New Roman"/>
          <w:color w:val="000000" w:themeColor="text1"/>
          <w:sz w:val="28"/>
          <w:szCs w:val="28"/>
        </w:rPr>
        <w:t>,</w:t>
      </w:r>
      <w:r w:rsidR="00804477" w:rsidRPr="00BF2644">
        <w:rPr>
          <w:rFonts w:ascii="Garamond" w:hAnsi="Garamond" w:cs="Times New Roman"/>
          <w:color w:val="000000" w:themeColor="text1"/>
          <w:sz w:val="28"/>
          <w:szCs w:val="28"/>
        </w:rPr>
        <w:t xml:space="preserve"> con sentenza</w:t>
      </w:r>
      <w:r w:rsidR="007B6509">
        <w:rPr>
          <w:rFonts w:ascii="Garamond" w:hAnsi="Garamond" w:cs="Times New Roman"/>
          <w:color w:val="000000" w:themeColor="text1"/>
          <w:sz w:val="28"/>
          <w:szCs w:val="28"/>
        </w:rPr>
        <w:t xml:space="preserve"> n. 119</w:t>
      </w:r>
      <w:r w:rsidR="00734B9F">
        <w:rPr>
          <w:rFonts w:ascii="Garamond" w:hAnsi="Garamond" w:cs="Times New Roman"/>
          <w:color w:val="000000" w:themeColor="text1"/>
          <w:sz w:val="28"/>
          <w:szCs w:val="28"/>
        </w:rPr>
        <w:t xml:space="preserve"> del</w:t>
      </w:r>
      <w:r w:rsidR="00804477" w:rsidRPr="00BF2644">
        <w:rPr>
          <w:rFonts w:ascii="Garamond" w:hAnsi="Garamond" w:cs="Times New Roman"/>
          <w:color w:val="000000" w:themeColor="text1"/>
          <w:sz w:val="28"/>
          <w:szCs w:val="28"/>
        </w:rPr>
        <w:t xml:space="preserve"> 2021</w:t>
      </w:r>
      <w:r w:rsidR="00633B55">
        <w:rPr>
          <w:rFonts w:ascii="Garamond" w:hAnsi="Garamond" w:cs="Times New Roman"/>
          <w:color w:val="000000" w:themeColor="text1"/>
          <w:sz w:val="28"/>
          <w:szCs w:val="28"/>
        </w:rPr>
        <w:t xml:space="preserve">, </w:t>
      </w:r>
      <w:r w:rsidR="00804477" w:rsidRPr="00BF2644">
        <w:rPr>
          <w:rFonts w:ascii="Garamond" w:hAnsi="Garamond" w:cs="Times New Roman"/>
          <w:color w:val="000000" w:themeColor="text1"/>
          <w:sz w:val="28"/>
          <w:szCs w:val="28"/>
        </w:rPr>
        <w:t>ha ritenuto fondata la questione per contrasto con l’art. 3 Cost.</w:t>
      </w:r>
      <w:r w:rsidR="00A622C5">
        <w:rPr>
          <w:rFonts w:ascii="Garamond" w:hAnsi="Garamond"/>
          <w:sz w:val="28"/>
          <w:szCs w:val="28"/>
        </w:rPr>
        <w:t xml:space="preserve">, </w:t>
      </w:r>
      <w:r>
        <w:rPr>
          <w:rFonts w:ascii="Garamond" w:hAnsi="Garamond"/>
          <w:sz w:val="28"/>
          <w:szCs w:val="28"/>
        </w:rPr>
        <w:t>ritenendo</w:t>
      </w:r>
      <w:r w:rsidR="00804477" w:rsidRPr="00BF2644">
        <w:rPr>
          <w:rFonts w:ascii="Garamond" w:hAnsi="Garamond"/>
          <w:sz w:val="28"/>
          <w:szCs w:val="28"/>
        </w:rPr>
        <w:t xml:space="preserve"> m</w:t>
      </w:r>
      <w:r w:rsidR="00804477" w:rsidRPr="00BF2644">
        <w:rPr>
          <w:rFonts w:ascii="Garamond" w:hAnsi="Garamond" w:cs="Times New Roman"/>
          <w:color w:val="000000" w:themeColor="text1"/>
          <w:sz w:val="28"/>
          <w:szCs w:val="28"/>
        </w:rPr>
        <w:t xml:space="preserve">anifestamente irragionevole la scelta </w:t>
      </w:r>
      <w:r w:rsidR="00875874" w:rsidRPr="00BF2644">
        <w:rPr>
          <w:rFonts w:ascii="Garamond" w:hAnsi="Garamond" w:cs="Times New Roman"/>
          <w:color w:val="000000" w:themeColor="text1"/>
          <w:sz w:val="28"/>
          <w:szCs w:val="28"/>
        </w:rPr>
        <w:t>di negare</w:t>
      </w:r>
      <w:r w:rsidR="00804477" w:rsidRPr="00BF2644">
        <w:rPr>
          <w:rFonts w:ascii="Garamond" w:hAnsi="Garamond" w:cs="Times New Roman"/>
          <w:color w:val="000000" w:themeColor="text1"/>
          <w:sz w:val="28"/>
          <w:szCs w:val="28"/>
        </w:rPr>
        <w:t xml:space="preserve"> alla parte il concorso degli uffici del giudice nel predisporre le attività processuali necessarie alla prosecuzione della causa,</w:t>
      </w:r>
      <w:r w:rsidR="007B6509">
        <w:rPr>
          <w:rFonts w:ascii="Garamond" w:hAnsi="Garamond" w:cs="Times New Roman"/>
          <w:color w:val="000000" w:themeColor="text1"/>
          <w:sz w:val="28"/>
          <w:szCs w:val="28"/>
        </w:rPr>
        <w:t xml:space="preserve"> pena la sua estinzione, </w:t>
      </w:r>
      <w:r w:rsidR="00804477" w:rsidRPr="00BF2644">
        <w:rPr>
          <w:rFonts w:ascii="Garamond" w:hAnsi="Garamond" w:cs="Times New Roman"/>
          <w:color w:val="000000" w:themeColor="text1"/>
          <w:sz w:val="28"/>
          <w:szCs w:val="28"/>
        </w:rPr>
        <w:t>in un'ipotesi peculiare e derogatoria, rispetto all</w:t>
      </w:r>
      <w:r w:rsidR="006604A8">
        <w:rPr>
          <w:rFonts w:ascii="Garamond" w:hAnsi="Garamond" w:cs="Times New Roman"/>
          <w:color w:val="000000" w:themeColor="text1"/>
          <w:sz w:val="28"/>
          <w:szCs w:val="28"/>
        </w:rPr>
        <w:t>a previsione dell’art. 5 c.p.c.</w:t>
      </w:r>
    </w:p>
    <w:p w:rsidR="00DF1717" w:rsidRDefault="00DF1717" w:rsidP="00BF2644">
      <w:pPr>
        <w:spacing w:line="240" w:lineRule="auto"/>
        <w:ind w:firstLine="709"/>
        <w:contextualSpacing/>
        <w:jc w:val="both"/>
        <w:rPr>
          <w:rFonts w:ascii="Garamond" w:hAnsi="Garamond" w:cs="Times New Roman"/>
          <w:color w:val="000000" w:themeColor="text1"/>
          <w:sz w:val="28"/>
          <w:szCs w:val="28"/>
        </w:rPr>
      </w:pPr>
    </w:p>
    <w:p w:rsidR="00DF1717" w:rsidRDefault="00DF1717" w:rsidP="00DF1717">
      <w:pPr>
        <w:spacing w:line="240" w:lineRule="auto"/>
        <w:ind w:firstLine="709"/>
        <w:contextualSpacing/>
        <w:jc w:val="both"/>
        <w:rPr>
          <w:rFonts w:ascii="Garamond" w:hAnsi="Garamond" w:cs="Times New Roman"/>
          <w:b/>
          <w:color w:val="000000" w:themeColor="text1"/>
          <w:sz w:val="28"/>
          <w:szCs w:val="28"/>
        </w:rPr>
      </w:pPr>
      <w:r w:rsidRPr="00DF1717">
        <w:rPr>
          <w:rFonts w:ascii="Garamond" w:hAnsi="Garamond" w:cs="Times New Roman"/>
          <w:b/>
          <w:color w:val="000000" w:themeColor="text1"/>
          <w:sz w:val="28"/>
          <w:szCs w:val="28"/>
        </w:rPr>
        <w:t>9.</w:t>
      </w:r>
      <w:r w:rsidR="0011559E">
        <w:rPr>
          <w:rFonts w:ascii="Garamond" w:hAnsi="Garamond" w:cs="Times New Roman"/>
          <w:b/>
          <w:color w:val="000000" w:themeColor="text1"/>
          <w:sz w:val="28"/>
          <w:szCs w:val="28"/>
        </w:rPr>
        <w:t xml:space="preserve"> </w:t>
      </w:r>
      <w:r w:rsidRPr="00DF1717">
        <w:rPr>
          <w:rFonts w:ascii="Garamond" w:hAnsi="Garamond" w:cs="Times New Roman"/>
          <w:b/>
          <w:color w:val="000000" w:themeColor="text1"/>
          <w:sz w:val="28"/>
          <w:szCs w:val="28"/>
        </w:rPr>
        <w:t>Conclusioni</w:t>
      </w:r>
    </w:p>
    <w:p w:rsidR="00DF1717" w:rsidRPr="00DF1717" w:rsidRDefault="006604A8" w:rsidP="00DF1717">
      <w:pPr>
        <w:spacing w:line="240" w:lineRule="auto"/>
        <w:ind w:firstLine="709"/>
        <w:contextualSpacing/>
        <w:jc w:val="both"/>
        <w:rPr>
          <w:rFonts w:ascii="Garamond" w:hAnsi="Garamond" w:cs="Times New Roman"/>
          <w:color w:val="000000" w:themeColor="text1"/>
          <w:sz w:val="28"/>
          <w:szCs w:val="28"/>
        </w:rPr>
      </w:pPr>
      <w:r w:rsidRPr="00BE7093">
        <w:rPr>
          <w:rFonts w:ascii="Garamond" w:hAnsi="Garamond" w:cs="Times New Roman"/>
          <w:sz w:val="28"/>
          <w:szCs w:val="28"/>
        </w:rPr>
        <w:t>Al termine</w:t>
      </w:r>
      <w:r w:rsidR="00DF1717" w:rsidRPr="00BE7093">
        <w:rPr>
          <w:rFonts w:ascii="Garamond" w:hAnsi="Garamond" w:cs="Times New Roman"/>
          <w:sz w:val="28"/>
          <w:szCs w:val="28"/>
        </w:rPr>
        <w:t xml:space="preserve"> </w:t>
      </w:r>
      <w:r w:rsidR="00DF1717" w:rsidRPr="00DF1717">
        <w:rPr>
          <w:rFonts w:ascii="Garamond" w:hAnsi="Garamond" w:cs="Times New Roman"/>
          <w:color w:val="000000" w:themeColor="text1"/>
          <w:sz w:val="28"/>
          <w:szCs w:val="28"/>
        </w:rPr>
        <w:t xml:space="preserve">della </w:t>
      </w:r>
      <w:r w:rsidR="00DF1717" w:rsidRPr="00BE7093">
        <w:rPr>
          <w:rFonts w:ascii="Garamond" w:hAnsi="Garamond" w:cs="Times New Roman"/>
          <w:color w:val="000000" w:themeColor="text1"/>
          <w:sz w:val="28"/>
          <w:szCs w:val="28"/>
        </w:rPr>
        <w:t>rassegna relativa agli</w:t>
      </w:r>
      <w:r w:rsidR="00DF1717" w:rsidRPr="00DF1717">
        <w:rPr>
          <w:rFonts w:ascii="Garamond" w:hAnsi="Garamond" w:cs="Times New Roman"/>
          <w:color w:val="000000" w:themeColor="text1"/>
          <w:sz w:val="28"/>
          <w:szCs w:val="28"/>
        </w:rPr>
        <w:t xml:space="preserve"> impianti industriali (impianti di rifiuti, energetici, di telefonia</w:t>
      </w:r>
      <w:r w:rsidR="0006308C">
        <w:rPr>
          <w:rFonts w:ascii="Garamond" w:hAnsi="Garamond" w:cs="Times New Roman"/>
          <w:color w:val="000000" w:themeColor="text1"/>
          <w:sz w:val="28"/>
          <w:szCs w:val="28"/>
        </w:rPr>
        <w:t>)</w:t>
      </w:r>
      <w:r w:rsidR="00DF1717" w:rsidRPr="00DF1717">
        <w:rPr>
          <w:rFonts w:ascii="Garamond" w:hAnsi="Garamond" w:cs="Times New Roman"/>
          <w:color w:val="000000" w:themeColor="text1"/>
          <w:sz w:val="28"/>
          <w:szCs w:val="28"/>
        </w:rPr>
        <w:t xml:space="preserve"> si possono enucleare</w:t>
      </w:r>
      <w:r>
        <w:rPr>
          <w:rFonts w:ascii="Garamond" w:hAnsi="Garamond" w:cs="Times New Roman"/>
          <w:color w:val="000000" w:themeColor="text1"/>
          <w:sz w:val="28"/>
          <w:szCs w:val="28"/>
        </w:rPr>
        <w:t xml:space="preserve"> -</w:t>
      </w:r>
      <w:r w:rsidR="00DF1717" w:rsidRPr="00DF1717">
        <w:rPr>
          <w:rFonts w:ascii="Garamond" w:hAnsi="Garamond" w:cs="Times New Roman"/>
          <w:color w:val="000000" w:themeColor="text1"/>
          <w:sz w:val="28"/>
          <w:szCs w:val="28"/>
        </w:rPr>
        <w:t xml:space="preserve"> senza pretese di esaustività, attesa la vastità e la complessità del contenzioso nella predetta mater</w:t>
      </w:r>
      <w:r>
        <w:rPr>
          <w:rFonts w:ascii="Garamond" w:hAnsi="Garamond" w:cs="Times New Roman"/>
          <w:color w:val="000000" w:themeColor="text1"/>
          <w:sz w:val="28"/>
          <w:szCs w:val="28"/>
        </w:rPr>
        <w:t>ia -</w:t>
      </w:r>
      <w:r w:rsidR="00C821BD">
        <w:rPr>
          <w:rFonts w:ascii="Garamond" w:hAnsi="Garamond" w:cs="Times New Roman"/>
          <w:color w:val="000000" w:themeColor="text1"/>
          <w:sz w:val="28"/>
          <w:szCs w:val="28"/>
        </w:rPr>
        <w:t xml:space="preserve"> alcuni indirizzi da intendersi consolidati, anche a seguito dell’intervento dell’</w:t>
      </w:r>
      <w:r>
        <w:rPr>
          <w:rFonts w:ascii="Garamond" w:hAnsi="Garamond" w:cs="Times New Roman"/>
          <w:color w:val="000000" w:themeColor="text1"/>
          <w:sz w:val="28"/>
          <w:szCs w:val="28"/>
        </w:rPr>
        <w:t xml:space="preserve">Adunanza </w:t>
      </w:r>
      <w:r w:rsidRPr="00BE7093">
        <w:rPr>
          <w:rFonts w:ascii="Garamond" w:hAnsi="Garamond" w:cs="Times New Roman"/>
          <w:color w:val="000000" w:themeColor="text1"/>
          <w:sz w:val="28"/>
          <w:szCs w:val="28"/>
        </w:rPr>
        <w:t>p</w:t>
      </w:r>
      <w:r w:rsidR="00C821BD" w:rsidRPr="00BE7093">
        <w:rPr>
          <w:rFonts w:ascii="Garamond" w:hAnsi="Garamond" w:cs="Times New Roman"/>
          <w:color w:val="000000" w:themeColor="text1"/>
          <w:sz w:val="28"/>
          <w:szCs w:val="28"/>
        </w:rPr>
        <w:t>lenaria</w:t>
      </w:r>
      <w:r w:rsidR="00C821BD">
        <w:rPr>
          <w:rFonts w:ascii="Garamond" w:hAnsi="Garamond" w:cs="Times New Roman"/>
          <w:color w:val="000000" w:themeColor="text1"/>
          <w:sz w:val="28"/>
          <w:szCs w:val="28"/>
        </w:rPr>
        <w:t xml:space="preserve"> del Consiglio di Stato, ovvero </w:t>
      </w:r>
      <w:r w:rsidR="00C821BD" w:rsidRPr="00BE7093">
        <w:rPr>
          <w:rFonts w:ascii="Garamond" w:hAnsi="Garamond" w:cs="Times New Roman"/>
          <w:color w:val="000000" w:themeColor="text1"/>
          <w:sz w:val="28"/>
          <w:szCs w:val="28"/>
        </w:rPr>
        <w:t xml:space="preserve">delle </w:t>
      </w:r>
      <w:r w:rsidRPr="00BE7093">
        <w:rPr>
          <w:rFonts w:ascii="Garamond" w:hAnsi="Garamond" w:cs="Times New Roman"/>
          <w:color w:val="000000" w:themeColor="text1"/>
          <w:sz w:val="28"/>
          <w:szCs w:val="28"/>
        </w:rPr>
        <w:t xml:space="preserve">sezioni unite </w:t>
      </w:r>
      <w:r w:rsidR="00C821BD" w:rsidRPr="00BE7093">
        <w:rPr>
          <w:rFonts w:ascii="Garamond" w:hAnsi="Garamond" w:cs="Times New Roman"/>
          <w:color w:val="000000" w:themeColor="text1"/>
          <w:sz w:val="28"/>
          <w:szCs w:val="28"/>
        </w:rPr>
        <w:t>della</w:t>
      </w:r>
      <w:r w:rsidR="00C821BD">
        <w:rPr>
          <w:rFonts w:ascii="Garamond" w:hAnsi="Garamond" w:cs="Times New Roman"/>
          <w:color w:val="000000" w:themeColor="text1"/>
          <w:sz w:val="28"/>
          <w:szCs w:val="28"/>
        </w:rPr>
        <w:t xml:space="preserve"> Cassazione, </w:t>
      </w:r>
      <w:r w:rsidR="00DF1717" w:rsidRPr="00DF1717">
        <w:rPr>
          <w:rFonts w:ascii="Garamond" w:hAnsi="Garamond" w:cs="Times New Roman"/>
          <w:color w:val="000000" w:themeColor="text1"/>
          <w:sz w:val="28"/>
          <w:szCs w:val="28"/>
        </w:rPr>
        <w:t xml:space="preserve">in relazione a questioni </w:t>
      </w:r>
      <w:r>
        <w:rPr>
          <w:rFonts w:ascii="Garamond" w:hAnsi="Garamond" w:cs="Times New Roman"/>
          <w:color w:val="000000" w:themeColor="text1"/>
          <w:sz w:val="28"/>
          <w:szCs w:val="28"/>
        </w:rPr>
        <w:t xml:space="preserve">sia </w:t>
      </w:r>
      <w:r w:rsidR="00DF1717" w:rsidRPr="00DF1717">
        <w:rPr>
          <w:rFonts w:ascii="Garamond" w:hAnsi="Garamond" w:cs="Times New Roman"/>
          <w:color w:val="000000" w:themeColor="text1"/>
          <w:sz w:val="28"/>
          <w:szCs w:val="28"/>
        </w:rPr>
        <w:t xml:space="preserve">di natura sostanziale </w:t>
      </w:r>
      <w:r w:rsidRPr="00BE7093">
        <w:rPr>
          <w:rFonts w:ascii="Garamond" w:hAnsi="Garamond" w:cs="Times New Roman"/>
          <w:color w:val="000000" w:themeColor="text1"/>
          <w:sz w:val="28"/>
          <w:szCs w:val="28"/>
        </w:rPr>
        <w:t>che</w:t>
      </w:r>
      <w:r>
        <w:rPr>
          <w:rFonts w:ascii="Garamond" w:hAnsi="Garamond" w:cs="Times New Roman"/>
          <w:color w:val="000000" w:themeColor="text1"/>
          <w:sz w:val="28"/>
          <w:szCs w:val="28"/>
        </w:rPr>
        <w:t xml:space="preserve"> </w:t>
      </w:r>
      <w:r w:rsidR="00DF1717" w:rsidRPr="00DF1717">
        <w:rPr>
          <w:rFonts w:ascii="Garamond" w:hAnsi="Garamond" w:cs="Times New Roman"/>
          <w:color w:val="000000" w:themeColor="text1"/>
          <w:sz w:val="28"/>
          <w:szCs w:val="28"/>
        </w:rPr>
        <w:t>di natura più squisitamente processuale.</w:t>
      </w:r>
    </w:p>
    <w:p w:rsidR="00DF1717" w:rsidRDefault="00DF1717" w:rsidP="00DF1717">
      <w:pPr>
        <w:spacing w:line="240" w:lineRule="auto"/>
        <w:ind w:firstLine="709"/>
        <w:contextualSpacing/>
        <w:jc w:val="both"/>
        <w:rPr>
          <w:rFonts w:ascii="Garamond" w:hAnsi="Garamond" w:cs="Times New Roman"/>
          <w:color w:val="000000" w:themeColor="text1"/>
          <w:sz w:val="28"/>
          <w:szCs w:val="28"/>
        </w:rPr>
      </w:pPr>
      <w:r w:rsidRPr="00DF1717">
        <w:rPr>
          <w:rFonts w:ascii="Garamond" w:hAnsi="Garamond" w:cs="Times New Roman"/>
          <w:color w:val="000000" w:themeColor="text1"/>
          <w:sz w:val="28"/>
          <w:szCs w:val="28"/>
        </w:rPr>
        <w:t>Con riguardo ai profili sostanziali la giurisp</w:t>
      </w:r>
      <w:r>
        <w:rPr>
          <w:rFonts w:ascii="Garamond" w:hAnsi="Garamond" w:cs="Times New Roman"/>
          <w:color w:val="000000" w:themeColor="text1"/>
          <w:sz w:val="28"/>
          <w:szCs w:val="28"/>
        </w:rPr>
        <w:t>rudenza ha affermato i seguenti princìpi:</w:t>
      </w:r>
    </w:p>
    <w:p w:rsidR="006604A8" w:rsidRDefault="00DF1717" w:rsidP="006604A8">
      <w:pPr>
        <w:pStyle w:val="Paragrafoelenco"/>
        <w:numPr>
          <w:ilvl w:val="0"/>
          <w:numId w:val="23"/>
        </w:numPr>
        <w:spacing w:line="240" w:lineRule="auto"/>
        <w:jc w:val="both"/>
        <w:rPr>
          <w:rFonts w:ascii="Garamond" w:hAnsi="Garamond" w:cs="Times New Roman"/>
          <w:color w:val="000000" w:themeColor="text1"/>
          <w:sz w:val="28"/>
          <w:szCs w:val="28"/>
        </w:rPr>
      </w:pPr>
      <w:r w:rsidRPr="006604A8">
        <w:rPr>
          <w:rFonts w:ascii="Garamond" w:hAnsi="Garamond" w:cs="Times New Roman"/>
          <w:color w:val="000000" w:themeColor="text1"/>
          <w:sz w:val="28"/>
          <w:szCs w:val="28"/>
        </w:rPr>
        <w:t xml:space="preserve">l'autorizzazione unica viene rilasciata dalla </w:t>
      </w:r>
      <w:r w:rsidR="002D4208" w:rsidRPr="006604A8">
        <w:rPr>
          <w:rFonts w:ascii="Garamond" w:hAnsi="Garamond" w:cs="Times New Roman"/>
          <w:color w:val="000000" w:themeColor="text1"/>
          <w:sz w:val="28"/>
          <w:szCs w:val="28"/>
        </w:rPr>
        <w:t xml:space="preserve">Regione </w:t>
      </w:r>
      <w:r w:rsidRPr="006604A8">
        <w:rPr>
          <w:rFonts w:ascii="Garamond" w:hAnsi="Garamond" w:cs="Times New Roman"/>
          <w:color w:val="000000" w:themeColor="text1"/>
          <w:sz w:val="28"/>
          <w:szCs w:val="28"/>
        </w:rPr>
        <w:t xml:space="preserve">qualora la conferenza di servizi, con decisione "assunta a maggioranza", abbia espresso parere </w:t>
      </w:r>
      <w:r w:rsidRPr="006604A8">
        <w:rPr>
          <w:rFonts w:ascii="Garamond" w:hAnsi="Garamond" w:cs="Times New Roman"/>
          <w:color w:val="000000" w:themeColor="text1"/>
          <w:sz w:val="28"/>
          <w:szCs w:val="28"/>
        </w:rPr>
        <w:lastRenderedPageBreak/>
        <w:t xml:space="preserve">favorevole; pertanto non può riconoscersi  al </w:t>
      </w:r>
      <w:r w:rsidR="004640B1" w:rsidRPr="006604A8">
        <w:rPr>
          <w:rFonts w:ascii="Garamond" w:hAnsi="Garamond" w:cs="Times New Roman"/>
          <w:color w:val="000000" w:themeColor="text1"/>
          <w:sz w:val="28"/>
          <w:szCs w:val="28"/>
        </w:rPr>
        <w:t xml:space="preserve">Comune </w:t>
      </w:r>
      <w:r w:rsidRPr="006604A8">
        <w:rPr>
          <w:rFonts w:ascii="Garamond" w:hAnsi="Garamond" w:cs="Times New Roman"/>
          <w:color w:val="000000" w:themeColor="text1"/>
          <w:sz w:val="28"/>
          <w:szCs w:val="28"/>
        </w:rPr>
        <w:t>alcun "potere di veto", essendo lo schema procedimentale espressivo  della volontà del legislatore di coordinare in modo armonico l'esercizio dei concorrenti poteri di pianificazione spettanti ai diversi livelli di governo del territorio e, secondo il consolidato indirizzo ermeneutico seguito dalla giurisprudenza costituzionale, apparendo anzi doverosa la leale collaborazione degli enti territoriali nel rispetto delle reciproche prerogative, anche costituzionalmente tutelate;</w:t>
      </w:r>
      <w:r w:rsidR="00C6479C" w:rsidRPr="00C6479C">
        <w:t xml:space="preserve"> </w:t>
      </w:r>
      <w:r w:rsidR="00C6479C" w:rsidRPr="006604A8">
        <w:rPr>
          <w:rFonts w:ascii="Garamond" w:hAnsi="Garamond" w:cs="Times New Roman"/>
          <w:color w:val="000000" w:themeColor="text1"/>
          <w:sz w:val="28"/>
          <w:szCs w:val="28"/>
        </w:rPr>
        <w:t xml:space="preserve">i partecipanti alla conferenza dei servizi non sono chiamati ad esprimersi in qualità di titolari di autonome competenze, ma di interlocutori di un confronto che si conclude con un provvedimento della </w:t>
      </w:r>
      <w:r w:rsidR="002D4208" w:rsidRPr="006604A8">
        <w:rPr>
          <w:rFonts w:ascii="Garamond" w:hAnsi="Garamond" w:cs="Times New Roman"/>
          <w:color w:val="000000" w:themeColor="text1"/>
          <w:sz w:val="28"/>
          <w:szCs w:val="28"/>
        </w:rPr>
        <w:t>Regione</w:t>
      </w:r>
      <w:r w:rsidR="00C6479C" w:rsidRPr="006604A8">
        <w:rPr>
          <w:rFonts w:ascii="Garamond" w:hAnsi="Garamond" w:cs="Times New Roman"/>
          <w:color w:val="000000" w:themeColor="text1"/>
          <w:sz w:val="28"/>
          <w:szCs w:val="28"/>
        </w:rPr>
        <w:t>;</w:t>
      </w:r>
      <w:r w:rsidR="00EE14EF" w:rsidRPr="00EE14EF">
        <w:t xml:space="preserve"> </w:t>
      </w:r>
      <w:r w:rsidR="00EE14EF" w:rsidRPr="006604A8">
        <w:rPr>
          <w:rFonts w:ascii="Garamond" w:hAnsi="Garamond" w:cs="Times New Roman"/>
          <w:color w:val="000000" w:themeColor="text1"/>
          <w:sz w:val="28"/>
          <w:szCs w:val="28"/>
        </w:rPr>
        <w:t xml:space="preserve">la determinazione conclusiva della conferenza di servizi ha pertanto valore di atto istruttorio endoprocedimentale a contenuto consultivo, ben distinto dal provvedimento di autorizzazione unica che deve essere poi rilasciato dalla </w:t>
      </w:r>
      <w:r w:rsidR="002D4208" w:rsidRPr="006604A8">
        <w:rPr>
          <w:rFonts w:ascii="Garamond" w:hAnsi="Garamond" w:cs="Times New Roman"/>
          <w:color w:val="000000" w:themeColor="text1"/>
          <w:sz w:val="28"/>
          <w:szCs w:val="28"/>
        </w:rPr>
        <w:t>Regione</w:t>
      </w:r>
    </w:p>
    <w:p w:rsidR="006604A8" w:rsidRDefault="004B420A" w:rsidP="006604A8">
      <w:pPr>
        <w:pStyle w:val="Paragrafoelenco"/>
        <w:numPr>
          <w:ilvl w:val="0"/>
          <w:numId w:val="23"/>
        </w:numPr>
        <w:spacing w:line="240" w:lineRule="auto"/>
        <w:jc w:val="both"/>
        <w:rPr>
          <w:rFonts w:ascii="Garamond" w:hAnsi="Garamond" w:cs="Times New Roman"/>
          <w:color w:val="000000" w:themeColor="text1"/>
          <w:sz w:val="28"/>
          <w:szCs w:val="28"/>
        </w:rPr>
      </w:pPr>
      <w:r w:rsidRPr="006604A8">
        <w:rPr>
          <w:rFonts w:ascii="Garamond" w:hAnsi="Garamond" w:cs="Times New Roman"/>
          <w:color w:val="000000" w:themeColor="text1"/>
          <w:sz w:val="28"/>
          <w:szCs w:val="28"/>
        </w:rPr>
        <w:t>il potere di pianificazione del territorio non può precludere insediamenti industriali in zone a destinazione agricola se non in via eccezionale, vale a dire nei casi in cui si discuta di assetto agricolo di particolare pregio, servendo tal destinazione ad impedire gli insediamenti abitativi residenziali e non anche a precludere in via radicale qualsiasi intervento urbanisticamente rilevante, specie quelli di tipo industriale per ovvi motivi incompatibili con zone abitate e quindi necessariamente da realizzare in aperta campagna</w:t>
      </w:r>
      <w:r w:rsidR="00EE14EF" w:rsidRPr="006604A8">
        <w:rPr>
          <w:rFonts w:ascii="Garamond" w:hAnsi="Garamond" w:cs="Times New Roman"/>
          <w:color w:val="000000" w:themeColor="text1"/>
          <w:sz w:val="28"/>
          <w:szCs w:val="28"/>
        </w:rPr>
        <w:t>;</w:t>
      </w:r>
    </w:p>
    <w:p w:rsidR="006604A8" w:rsidRDefault="00EE14EF" w:rsidP="006604A8">
      <w:pPr>
        <w:pStyle w:val="Paragrafoelenco"/>
        <w:numPr>
          <w:ilvl w:val="0"/>
          <w:numId w:val="23"/>
        </w:numPr>
        <w:spacing w:line="240" w:lineRule="auto"/>
        <w:jc w:val="both"/>
        <w:rPr>
          <w:rFonts w:ascii="Garamond" w:hAnsi="Garamond" w:cs="Times New Roman"/>
          <w:color w:val="000000" w:themeColor="text1"/>
          <w:sz w:val="28"/>
          <w:szCs w:val="28"/>
        </w:rPr>
      </w:pPr>
      <w:r w:rsidRPr="006604A8">
        <w:rPr>
          <w:rFonts w:ascii="Garamond" w:hAnsi="Garamond" w:cs="Times New Roman"/>
          <w:color w:val="000000" w:themeColor="text1"/>
          <w:sz w:val="28"/>
          <w:szCs w:val="28"/>
        </w:rPr>
        <w:t>i provvedimenti che concernono la realizzazione di impianti sono attratti alla discipli</w:t>
      </w:r>
      <w:r w:rsidR="00015B17">
        <w:rPr>
          <w:rFonts w:ascii="Garamond" w:hAnsi="Garamond" w:cs="Times New Roman"/>
          <w:color w:val="000000" w:themeColor="text1"/>
          <w:sz w:val="28"/>
          <w:szCs w:val="28"/>
        </w:rPr>
        <w:t>na di cui all’art. 20, comma 4, l</w:t>
      </w:r>
      <w:r w:rsidR="006C564E">
        <w:rPr>
          <w:rFonts w:ascii="Garamond" w:hAnsi="Garamond" w:cs="Times New Roman"/>
          <w:color w:val="000000" w:themeColor="text1"/>
          <w:sz w:val="28"/>
          <w:szCs w:val="28"/>
        </w:rPr>
        <w:t>.</w:t>
      </w:r>
      <w:r w:rsidRPr="006604A8">
        <w:rPr>
          <w:rFonts w:ascii="Garamond" w:hAnsi="Garamond" w:cs="Times New Roman"/>
          <w:color w:val="000000" w:themeColor="text1"/>
          <w:sz w:val="28"/>
          <w:szCs w:val="28"/>
        </w:rPr>
        <w:t xml:space="preserve"> n. 241 del 1990, con la conseguenza che, ai fini dell’autorizzazione, è sempre richiesta l’adozione di un provvedimento espresso, non potendo trovare applicazione l’istituto del silenzio assenso;</w:t>
      </w:r>
    </w:p>
    <w:p w:rsidR="006604A8" w:rsidRDefault="00EE14EF" w:rsidP="006604A8">
      <w:pPr>
        <w:pStyle w:val="Paragrafoelenco"/>
        <w:numPr>
          <w:ilvl w:val="0"/>
          <w:numId w:val="23"/>
        </w:numPr>
        <w:spacing w:line="240" w:lineRule="auto"/>
        <w:jc w:val="both"/>
        <w:rPr>
          <w:rFonts w:ascii="Garamond" w:hAnsi="Garamond" w:cs="Times New Roman"/>
          <w:color w:val="000000" w:themeColor="text1"/>
          <w:sz w:val="28"/>
          <w:szCs w:val="28"/>
        </w:rPr>
      </w:pPr>
      <w:r w:rsidRPr="006604A8">
        <w:rPr>
          <w:rFonts w:ascii="Garamond" w:hAnsi="Garamond" w:cs="Times New Roman"/>
          <w:color w:val="000000" w:themeColor="text1"/>
          <w:sz w:val="28"/>
          <w:szCs w:val="28"/>
        </w:rPr>
        <w:t>lo strumento urbanistico rispetto al quale l’autorizzazione unica opera quale variante automatica, è identificabile nel solo strumento urbanistico comunale; detta approvazione pertanto non può costituire variante automatica agli altri piani e programmi sovra ordinati (in particolare piani territoriali paesistici, piani territoriali regionali, piani paesistici e così via);</w:t>
      </w:r>
    </w:p>
    <w:p w:rsidR="006604A8" w:rsidRDefault="009E16C6" w:rsidP="006604A8">
      <w:pPr>
        <w:pStyle w:val="Paragrafoelenco"/>
        <w:numPr>
          <w:ilvl w:val="0"/>
          <w:numId w:val="23"/>
        </w:numPr>
        <w:spacing w:line="240" w:lineRule="auto"/>
        <w:jc w:val="both"/>
        <w:rPr>
          <w:rFonts w:ascii="Garamond" w:hAnsi="Garamond" w:cs="Times New Roman"/>
          <w:color w:val="000000" w:themeColor="text1"/>
          <w:sz w:val="28"/>
          <w:szCs w:val="28"/>
        </w:rPr>
      </w:pPr>
      <w:r w:rsidRPr="006604A8">
        <w:rPr>
          <w:rFonts w:ascii="Garamond" w:hAnsi="Garamond" w:cs="Times New Roman"/>
          <w:color w:val="000000" w:themeColor="text1"/>
          <w:sz w:val="28"/>
          <w:szCs w:val="28"/>
        </w:rPr>
        <w:t>il vincolo d'inedificabilità gravante sulla fascia di rispetto autostradale ha carattere assoluto e prescinde dalle caratteristiche dell'opera realizzata;</w:t>
      </w:r>
    </w:p>
    <w:p w:rsidR="006604A8" w:rsidRDefault="009E16C6" w:rsidP="006604A8">
      <w:pPr>
        <w:pStyle w:val="Paragrafoelenco"/>
        <w:numPr>
          <w:ilvl w:val="0"/>
          <w:numId w:val="23"/>
        </w:numPr>
        <w:spacing w:line="240" w:lineRule="auto"/>
        <w:jc w:val="both"/>
        <w:rPr>
          <w:rFonts w:ascii="Garamond" w:hAnsi="Garamond" w:cs="Times New Roman"/>
          <w:color w:val="000000" w:themeColor="text1"/>
          <w:sz w:val="28"/>
          <w:szCs w:val="28"/>
        </w:rPr>
      </w:pPr>
      <w:r w:rsidRPr="006604A8">
        <w:rPr>
          <w:rFonts w:ascii="Garamond" w:hAnsi="Garamond" w:cs="Times New Roman"/>
          <w:color w:val="000000" w:themeColor="text1"/>
          <w:sz w:val="28"/>
          <w:szCs w:val="28"/>
        </w:rPr>
        <w:t>una delle più importanti misure che devono essere adottate dagli Stati membri, in particolare tramite gli enti locali dotati di competenza a tale riguardo, consiste nel cercare di trattare i rifiuti nell’impianto più vicino possibile al luogo in cui vengono prodotti, segnatamente per i rifiuti urbani non differenziati, per limitarne al massimo il trasporto;</w:t>
      </w:r>
    </w:p>
    <w:p w:rsidR="006604A8" w:rsidRDefault="009E16C6" w:rsidP="006604A8">
      <w:pPr>
        <w:pStyle w:val="Paragrafoelenco"/>
        <w:numPr>
          <w:ilvl w:val="0"/>
          <w:numId w:val="23"/>
        </w:numPr>
        <w:spacing w:line="240" w:lineRule="auto"/>
        <w:jc w:val="both"/>
        <w:rPr>
          <w:rFonts w:ascii="Garamond" w:hAnsi="Garamond" w:cs="Times New Roman"/>
          <w:color w:val="000000" w:themeColor="text1"/>
          <w:sz w:val="28"/>
          <w:szCs w:val="28"/>
        </w:rPr>
      </w:pPr>
      <w:r w:rsidRPr="006604A8">
        <w:rPr>
          <w:rFonts w:ascii="Garamond" w:hAnsi="Garamond" w:cs="Times New Roman"/>
          <w:color w:val="000000" w:themeColor="text1"/>
          <w:sz w:val="28"/>
          <w:szCs w:val="28"/>
        </w:rPr>
        <w:t>le nor</w:t>
      </w:r>
      <w:r w:rsidR="00BE7093">
        <w:rPr>
          <w:rFonts w:ascii="Garamond" w:hAnsi="Garamond" w:cs="Times New Roman"/>
          <w:color w:val="000000" w:themeColor="text1"/>
          <w:sz w:val="28"/>
          <w:szCs w:val="28"/>
        </w:rPr>
        <w:t>me statali contenenti i princìpi</w:t>
      </w:r>
      <w:r w:rsidRPr="006604A8">
        <w:rPr>
          <w:rFonts w:ascii="Garamond" w:hAnsi="Garamond" w:cs="Times New Roman"/>
          <w:color w:val="000000" w:themeColor="text1"/>
          <w:sz w:val="28"/>
          <w:szCs w:val="28"/>
        </w:rPr>
        <w:t xml:space="preserve"> fondamentali della ma</w:t>
      </w:r>
      <w:r w:rsidR="005929DA">
        <w:rPr>
          <w:rFonts w:ascii="Garamond" w:hAnsi="Garamond" w:cs="Times New Roman"/>
          <w:color w:val="000000" w:themeColor="text1"/>
          <w:sz w:val="28"/>
          <w:szCs w:val="28"/>
        </w:rPr>
        <w:t>teria, recate dall'art. 12 d.lgs.</w:t>
      </w:r>
      <w:r w:rsidRPr="006604A8">
        <w:rPr>
          <w:rFonts w:ascii="Garamond" w:hAnsi="Garamond" w:cs="Times New Roman"/>
          <w:color w:val="000000" w:themeColor="text1"/>
          <w:sz w:val="28"/>
          <w:szCs w:val="28"/>
        </w:rPr>
        <w:t xml:space="preserve"> n. 387 del 2003 e dagli art. 4</w:t>
      </w:r>
      <w:r w:rsidR="00BE7093">
        <w:rPr>
          <w:rFonts w:ascii="Garamond" w:hAnsi="Garamond" w:cs="Times New Roman"/>
          <w:color w:val="000000" w:themeColor="text1"/>
          <w:sz w:val="28"/>
          <w:szCs w:val="28"/>
        </w:rPr>
        <w:t xml:space="preserve"> e</w:t>
      </w:r>
      <w:r w:rsidRPr="006604A8">
        <w:rPr>
          <w:rFonts w:ascii="Garamond" w:hAnsi="Garamond" w:cs="Times New Roman"/>
          <w:color w:val="000000" w:themeColor="text1"/>
          <w:sz w:val="28"/>
          <w:szCs w:val="28"/>
        </w:rPr>
        <w:t xml:space="preserve"> ss.  </w:t>
      </w:r>
      <w:r w:rsidR="004F0CCD">
        <w:rPr>
          <w:rFonts w:ascii="Garamond" w:hAnsi="Garamond" w:cs="Times New Roman"/>
          <w:color w:val="000000" w:themeColor="text1"/>
          <w:sz w:val="28"/>
          <w:szCs w:val="28"/>
        </w:rPr>
        <w:t>d.lgs.</w:t>
      </w:r>
      <w:r w:rsidRPr="006604A8">
        <w:rPr>
          <w:rFonts w:ascii="Garamond" w:hAnsi="Garamond" w:cs="Times New Roman"/>
          <w:color w:val="000000" w:themeColor="text1"/>
          <w:sz w:val="28"/>
          <w:szCs w:val="28"/>
        </w:rPr>
        <w:t xml:space="preserve"> n. 28</w:t>
      </w:r>
      <w:r w:rsidR="00BE7093">
        <w:rPr>
          <w:rFonts w:ascii="Garamond" w:hAnsi="Garamond" w:cs="Times New Roman"/>
          <w:color w:val="000000" w:themeColor="text1"/>
          <w:sz w:val="28"/>
          <w:szCs w:val="28"/>
        </w:rPr>
        <w:t xml:space="preserve"> del 2011</w:t>
      </w:r>
      <w:r w:rsidRPr="006604A8">
        <w:rPr>
          <w:rFonts w:ascii="Garamond" w:hAnsi="Garamond" w:cs="Times New Roman"/>
          <w:color w:val="000000" w:themeColor="text1"/>
          <w:sz w:val="28"/>
          <w:szCs w:val="28"/>
        </w:rPr>
        <w:t>, nonché dalle previsioni del d.m. 10 settembre 2010, esprimono i princìpi fondamentali in materia di «</w:t>
      </w:r>
      <w:r w:rsidRPr="006604A8">
        <w:rPr>
          <w:rFonts w:ascii="Garamond" w:hAnsi="Garamond" w:cs="Times New Roman"/>
          <w:i/>
          <w:color w:val="000000" w:themeColor="text1"/>
          <w:sz w:val="28"/>
          <w:szCs w:val="28"/>
        </w:rPr>
        <w:t>produzione, trasporto e distribuzione nazionale dell’energia</w:t>
      </w:r>
      <w:r w:rsidR="0006308C" w:rsidRPr="006604A8">
        <w:rPr>
          <w:rFonts w:ascii="Garamond" w:hAnsi="Garamond" w:cs="Times New Roman"/>
          <w:color w:val="000000" w:themeColor="text1"/>
          <w:sz w:val="28"/>
          <w:szCs w:val="28"/>
        </w:rPr>
        <w:t xml:space="preserve">» e </w:t>
      </w:r>
      <w:r w:rsidRPr="006604A8">
        <w:rPr>
          <w:rFonts w:ascii="Garamond" w:hAnsi="Garamond" w:cs="Times New Roman"/>
          <w:color w:val="000000" w:themeColor="text1"/>
          <w:sz w:val="28"/>
          <w:szCs w:val="28"/>
        </w:rPr>
        <w:t>non tollerano eccezioni s</w:t>
      </w:r>
      <w:r w:rsidR="00BE7093">
        <w:rPr>
          <w:rFonts w:ascii="Garamond" w:hAnsi="Garamond" w:cs="Times New Roman"/>
          <w:color w:val="000000" w:themeColor="text1"/>
          <w:sz w:val="28"/>
          <w:szCs w:val="28"/>
        </w:rPr>
        <w:t>ull'intero territorio nazionale</w:t>
      </w:r>
      <w:r w:rsidRPr="006604A8">
        <w:rPr>
          <w:rFonts w:ascii="Garamond" w:hAnsi="Garamond" w:cs="Times New Roman"/>
          <w:color w:val="000000" w:themeColor="text1"/>
          <w:sz w:val="28"/>
          <w:szCs w:val="28"/>
        </w:rPr>
        <w:t xml:space="preserve"> in quanto funzionali «</w:t>
      </w:r>
      <w:r w:rsidRPr="00BE7093">
        <w:rPr>
          <w:rFonts w:ascii="Garamond" w:hAnsi="Garamond" w:cs="Times New Roman"/>
          <w:i/>
          <w:color w:val="000000" w:themeColor="text1"/>
          <w:sz w:val="28"/>
          <w:szCs w:val="28"/>
        </w:rPr>
        <w:t>al raggiungimento degli obiettivi di massima diffusione delle fonti energetiche rinnovabili sancito dalla normativa europea</w:t>
      </w:r>
      <w:r w:rsidRPr="006604A8">
        <w:rPr>
          <w:rFonts w:ascii="Garamond" w:hAnsi="Garamond" w:cs="Times New Roman"/>
          <w:color w:val="000000" w:themeColor="text1"/>
          <w:sz w:val="28"/>
          <w:szCs w:val="28"/>
        </w:rPr>
        <w:t xml:space="preserve">»  e volti a bilanciare interessi di </w:t>
      </w:r>
      <w:r w:rsidRPr="006604A8">
        <w:rPr>
          <w:rFonts w:ascii="Garamond" w:hAnsi="Garamond" w:cs="Times New Roman"/>
          <w:color w:val="000000" w:themeColor="text1"/>
          <w:sz w:val="28"/>
          <w:szCs w:val="28"/>
        </w:rPr>
        <w:lastRenderedPageBreak/>
        <w:t>fondamentale rilevanza assiologica ovvero l’esigenza di potenziare le fonti rinnovabili con quella di tutelare il territorio nella dimensione paesaggistica, storico-culturale e della biodiversità;</w:t>
      </w:r>
    </w:p>
    <w:p w:rsidR="006604A8" w:rsidRDefault="0006308C" w:rsidP="006604A8">
      <w:pPr>
        <w:pStyle w:val="Paragrafoelenco"/>
        <w:numPr>
          <w:ilvl w:val="0"/>
          <w:numId w:val="23"/>
        </w:numPr>
        <w:spacing w:line="240" w:lineRule="auto"/>
        <w:jc w:val="both"/>
        <w:rPr>
          <w:rFonts w:ascii="Garamond" w:hAnsi="Garamond" w:cs="Times New Roman"/>
          <w:color w:val="000000" w:themeColor="text1"/>
          <w:sz w:val="28"/>
          <w:szCs w:val="28"/>
        </w:rPr>
      </w:pPr>
      <w:r w:rsidRPr="006604A8">
        <w:rPr>
          <w:rFonts w:ascii="Garamond" w:hAnsi="Garamond" w:cs="Times New Roman"/>
          <w:color w:val="000000" w:themeColor="text1"/>
          <w:sz w:val="28"/>
          <w:szCs w:val="28"/>
        </w:rPr>
        <w:t xml:space="preserve">la </w:t>
      </w:r>
      <w:r w:rsidR="0032317E">
        <w:rPr>
          <w:rFonts w:ascii="Garamond" w:hAnsi="Garamond" w:cs="Times New Roman"/>
          <w:color w:val="000000" w:themeColor="text1"/>
          <w:sz w:val="28"/>
          <w:szCs w:val="28"/>
        </w:rPr>
        <w:t>r</w:t>
      </w:r>
      <w:r w:rsidR="002D4208" w:rsidRPr="006604A8">
        <w:rPr>
          <w:rFonts w:ascii="Garamond" w:hAnsi="Garamond" w:cs="Times New Roman"/>
          <w:color w:val="000000" w:themeColor="text1"/>
          <w:sz w:val="28"/>
          <w:szCs w:val="28"/>
        </w:rPr>
        <w:t xml:space="preserve">egione </w:t>
      </w:r>
      <w:r w:rsidR="00102395" w:rsidRPr="006604A8">
        <w:rPr>
          <w:rFonts w:ascii="Garamond" w:hAnsi="Garamond" w:cs="Times New Roman"/>
          <w:color w:val="000000" w:themeColor="text1"/>
          <w:sz w:val="28"/>
          <w:szCs w:val="28"/>
        </w:rPr>
        <w:t>non può introdurre “</w:t>
      </w:r>
      <w:r w:rsidR="00102395" w:rsidRPr="006604A8">
        <w:rPr>
          <w:rFonts w:ascii="Garamond" w:hAnsi="Garamond" w:cs="Times New Roman"/>
          <w:i/>
          <w:color w:val="000000" w:themeColor="text1"/>
          <w:sz w:val="28"/>
          <w:szCs w:val="28"/>
        </w:rPr>
        <w:t>limitazioni alla localizzazione</w:t>
      </w:r>
      <w:r w:rsidR="00102395" w:rsidRPr="006604A8">
        <w:rPr>
          <w:rFonts w:ascii="Garamond" w:hAnsi="Garamond" w:cs="Times New Roman"/>
          <w:color w:val="000000" w:themeColor="text1"/>
          <w:sz w:val="28"/>
          <w:szCs w:val="28"/>
        </w:rPr>
        <w:t>”, ma può somministrare “</w:t>
      </w:r>
      <w:r w:rsidR="00102395" w:rsidRPr="006604A8">
        <w:rPr>
          <w:rFonts w:ascii="Garamond" w:hAnsi="Garamond" w:cs="Times New Roman"/>
          <w:i/>
          <w:color w:val="000000" w:themeColor="text1"/>
          <w:sz w:val="28"/>
          <w:szCs w:val="28"/>
        </w:rPr>
        <w:t>criteri di localizzazione</w:t>
      </w:r>
      <w:r w:rsidR="00102395" w:rsidRPr="006604A8">
        <w:rPr>
          <w:rFonts w:ascii="Garamond" w:hAnsi="Garamond" w:cs="Times New Roman"/>
          <w:color w:val="000000" w:themeColor="text1"/>
          <w:sz w:val="28"/>
          <w:szCs w:val="28"/>
        </w:rPr>
        <w:t>”, quand’anche formulati “</w:t>
      </w:r>
      <w:r w:rsidR="00102395" w:rsidRPr="006604A8">
        <w:rPr>
          <w:rFonts w:ascii="Garamond" w:hAnsi="Garamond" w:cs="Times New Roman"/>
          <w:i/>
          <w:color w:val="000000" w:themeColor="text1"/>
          <w:sz w:val="28"/>
          <w:szCs w:val="28"/>
        </w:rPr>
        <w:t>in negativo</w:t>
      </w:r>
      <w:r w:rsidR="00102395" w:rsidRPr="006604A8">
        <w:rPr>
          <w:rFonts w:ascii="Garamond" w:hAnsi="Garamond" w:cs="Times New Roman"/>
          <w:color w:val="000000" w:themeColor="text1"/>
          <w:sz w:val="28"/>
          <w:szCs w:val="28"/>
        </w:rPr>
        <w:t>”, ovvero per mezzo della delimitazione di aree ben identificate, ove emergano interessi particolarmente pregnanti affidati alle cure del legislatore regionale, e purché ciò non determini l’impossibilità di una localizzazio</w:t>
      </w:r>
      <w:r w:rsidRPr="006604A8">
        <w:rPr>
          <w:rFonts w:ascii="Garamond" w:hAnsi="Garamond" w:cs="Times New Roman"/>
          <w:color w:val="000000" w:themeColor="text1"/>
          <w:sz w:val="28"/>
          <w:szCs w:val="28"/>
        </w:rPr>
        <w:t>ne alternativa</w:t>
      </w:r>
      <w:r w:rsidR="00102395" w:rsidRPr="006604A8">
        <w:rPr>
          <w:rFonts w:ascii="Garamond" w:hAnsi="Garamond" w:cs="Times New Roman"/>
          <w:color w:val="000000" w:themeColor="text1"/>
          <w:sz w:val="28"/>
          <w:szCs w:val="28"/>
        </w:rPr>
        <w:t xml:space="preserve"> ; </w:t>
      </w:r>
      <w:r w:rsidRPr="006604A8">
        <w:rPr>
          <w:rFonts w:ascii="Garamond" w:hAnsi="Garamond" w:cs="Times New Roman"/>
          <w:color w:val="000000" w:themeColor="text1"/>
          <w:sz w:val="28"/>
          <w:szCs w:val="28"/>
        </w:rPr>
        <w:t xml:space="preserve">pertanto, alla </w:t>
      </w:r>
      <w:r w:rsidR="0032317E">
        <w:rPr>
          <w:rFonts w:ascii="Garamond" w:hAnsi="Garamond" w:cs="Times New Roman"/>
          <w:color w:val="000000" w:themeColor="text1"/>
          <w:sz w:val="28"/>
          <w:szCs w:val="28"/>
        </w:rPr>
        <w:t>r</w:t>
      </w:r>
      <w:r w:rsidR="002D4208" w:rsidRPr="006604A8">
        <w:rPr>
          <w:rFonts w:ascii="Garamond" w:hAnsi="Garamond" w:cs="Times New Roman"/>
          <w:color w:val="000000" w:themeColor="text1"/>
          <w:sz w:val="28"/>
          <w:szCs w:val="28"/>
        </w:rPr>
        <w:t xml:space="preserve">egione </w:t>
      </w:r>
      <w:r w:rsidR="00102395" w:rsidRPr="006604A8">
        <w:rPr>
          <w:rFonts w:ascii="Garamond" w:hAnsi="Garamond" w:cs="Times New Roman"/>
          <w:color w:val="000000" w:themeColor="text1"/>
          <w:sz w:val="28"/>
          <w:szCs w:val="28"/>
        </w:rPr>
        <w:t>non può essere consentito, anche nelle more della definizione dei criteri statali, di porre limiti assoluti di edificabilità degli impianti;</w:t>
      </w:r>
    </w:p>
    <w:p w:rsidR="006604A8" w:rsidRDefault="00D769E2" w:rsidP="006604A8">
      <w:pPr>
        <w:pStyle w:val="Paragrafoelenco"/>
        <w:numPr>
          <w:ilvl w:val="0"/>
          <w:numId w:val="23"/>
        </w:numPr>
        <w:spacing w:line="240" w:lineRule="auto"/>
        <w:jc w:val="both"/>
        <w:rPr>
          <w:rFonts w:ascii="Garamond" w:hAnsi="Garamond" w:cs="Times New Roman"/>
          <w:color w:val="000000" w:themeColor="text1"/>
          <w:sz w:val="28"/>
          <w:szCs w:val="28"/>
        </w:rPr>
      </w:pPr>
      <w:r w:rsidRPr="006604A8">
        <w:rPr>
          <w:rFonts w:ascii="Garamond" w:hAnsi="Garamond" w:cs="Times New Roman"/>
          <w:color w:val="000000" w:themeColor="text1"/>
          <w:sz w:val="28"/>
          <w:szCs w:val="28"/>
        </w:rPr>
        <w:t>ai fini del rilascio dei necessari titoli abilitativi</w:t>
      </w:r>
      <w:r w:rsidR="00C821BD" w:rsidRPr="006604A8">
        <w:rPr>
          <w:rFonts w:ascii="Garamond" w:hAnsi="Garamond" w:cs="Times New Roman"/>
          <w:color w:val="000000" w:themeColor="text1"/>
          <w:sz w:val="28"/>
          <w:szCs w:val="28"/>
        </w:rPr>
        <w:t>,</w:t>
      </w:r>
      <w:r w:rsidRPr="006604A8">
        <w:rPr>
          <w:rFonts w:ascii="Garamond" w:hAnsi="Garamond" w:cs="Times New Roman"/>
          <w:color w:val="000000" w:themeColor="text1"/>
          <w:sz w:val="28"/>
          <w:szCs w:val="28"/>
        </w:rPr>
        <w:t xml:space="preserve"> l’impianto eolico va visto nella sua unitarietà, avuto riguardo all’intero progetto, anche in riferimento alle preesistenze, con conseguente divieto di frazionamento;</w:t>
      </w:r>
    </w:p>
    <w:p w:rsidR="006604A8" w:rsidRDefault="0006308C" w:rsidP="006604A8">
      <w:pPr>
        <w:pStyle w:val="Paragrafoelenco"/>
        <w:numPr>
          <w:ilvl w:val="0"/>
          <w:numId w:val="23"/>
        </w:numPr>
        <w:spacing w:line="240" w:lineRule="auto"/>
        <w:jc w:val="both"/>
        <w:rPr>
          <w:rFonts w:ascii="Garamond" w:hAnsi="Garamond" w:cs="Times New Roman"/>
          <w:color w:val="000000" w:themeColor="text1"/>
          <w:sz w:val="28"/>
          <w:szCs w:val="28"/>
        </w:rPr>
      </w:pPr>
      <w:r w:rsidRPr="006604A8">
        <w:rPr>
          <w:rFonts w:ascii="Garamond" w:hAnsi="Garamond" w:cs="Times New Roman"/>
          <w:color w:val="000000" w:themeColor="text1"/>
          <w:sz w:val="28"/>
          <w:szCs w:val="28"/>
        </w:rPr>
        <w:t xml:space="preserve">il </w:t>
      </w:r>
      <w:r w:rsidR="004640B1" w:rsidRPr="006604A8">
        <w:rPr>
          <w:rFonts w:ascii="Garamond" w:hAnsi="Garamond" w:cs="Times New Roman"/>
          <w:color w:val="000000" w:themeColor="text1"/>
          <w:sz w:val="28"/>
          <w:szCs w:val="28"/>
        </w:rPr>
        <w:t xml:space="preserve">Comune </w:t>
      </w:r>
      <w:r w:rsidR="00102395" w:rsidRPr="006604A8">
        <w:rPr>
          <w:rFonts w:ascii="Garamond" w:hAnsi="Garamond" w:cs="Times New Roman"/>
          <w:color w:val="000000" w:themeColor="text1"/>
          <w:sz w:val="28"/>
          <w:szCs w:val="28"/>
        </w:rPr>
        <w:t xml:space="preserve">non può, mediante il formale utilizzo degli strumenti di natura edilizia-urbanistica, adottare misure le quali nella sostanza costituiscano una deroga ai limiti di esposizione ai campi elettromagnetici fissati dallo Stato, poiché l'art. 4 della </w:t>
      </w:r>
      <w:r w:rsidR="006C564E">
        <w:rPr>
          <w:rFonts w:ascii="Garamond" w:hAnsi="Garamond" w:cs="Times New Roman"/>
          <w:color w:val="000000" w:themeColor="text1"/>
          <w:sz w:val="28"/>
          <w:szCs w:val="28"/>
        </w:rPr>
        <w:t>legge</w:t>
      </w:r>
      <w:r w:rsidR="00102395" w:rsidRPr="006604A8">
        <w:rPr>
          <w:rFonts w:ascii="Garamond" w:hAnsi="Garamond" w:cs="Times New Roman"/>
          <w:color w:val="000000" w:themeColor="text1"/>
          <w:sz w:val="28"/>
          <w:szCs w:val="28"/>
        </w:rPr>
        <w:t xml:space="preserve"> n. 36 del 2000 riserva allo stesso la tutela della salute dai rischi dell'elettromagnetismo attraverso l'individuazione di puntuali limiti di esposizione, valori di attenzione ed obiettivi di qualità, da introdursi con d.p.c.m.</w:t>
      </w:r>
      <w:r w:rsidR="00BE7093">
        <w:rPr>
          <w:rFonts w:ascii="Garamond" w:hAnsi="Garamond" w:cs="Times New Roman"/>
          <w:color w:val="000000" w:themeColor="text1"/>
          <w:sz w:val="28"/>
          <w:szCs w:val="28"/>
        </w:rPr>
        <w:t xml:space="preserve"> su proposta del Ministro dell'a</w:t>
      </w:r>
      <w:r w:rsidR="00102395" w:rsidRPr="006604A8">
        <w:rPr>
          <w:rFonts w:ascii="Garamond" w:hAnsi="Garamond" w:cs="Times New Roman"/>
          <w:color w:val="000000" w:themeColor="text1"/>
          <w:sz w:val="28"/>
          <w:szCs w:val="28"/>
        </w:rPr>
        <w:t>mbiente di concer</w:t>
      </w:r>
      <w:r w:rsidR="006604A8">
        <w:rPr>
          <w:rFonts w:ascii="Garamond" w:hAnsi="Garamond" w:cs="Times New Roman"/>
          <w:color w:val="000000" w:themeColor="text1"/>
          <w:sz w:val="28"/>
          <w:szCs w:val="28"/>
        </w:rPr>
        <w:t xml:space="preserve">to con il Ministro </w:t>
      </w:r>
      <w:r w:rsidR="006604A8" w:rsidRPr="00BE7093">
        <w:rPr>
          <w:rFonts w:ascii="Garamond" w:hAnsi="Garamond" w:cs="Times New Roman"/>
          <w:color w:val="000000" w:themeColor="text1"/>
          <w:sz w:val="28"/>
          <w:szCs w:val="28"/>
        </w:rPr>
        <w:t>della s</w:t>
      </w:r>
      <w:r w:rsidR="00102395" w:rsidRPr="00BE7093">
        <w:rPr>
          <w:rFonts w:ascii="Garamond" w:hAnsi="Garamond" w:cs="Times New Roman"/>
          <w:color w:val="000000" w:themeColor="text1"/>
          <w:sz w:val="28"/>
          <w:szCs w:val="28"/>
        </w:rPr>
        <w:t>alute</w:t>
      </w:r>
      <w:r w:rsidR="00102395" w:rsidRPr="006604A8">
        <w:rPr>
          <w:rFonts w:ascii="Garamond" w:hAnsi="Garamond" w:cs="Times New Roman"/>
          <w:color w:val="000000" w:themeColor="text1"/>
          <w:sz w:val="28"/>
          <w:szCs w:val="28"/>
        </w:rPr>
        <w:t>;</w:t>
      </w:r>
    </w:p>
    <w:p w:rsidR="00102395" w:rsidRPr="006604A8" w:rsidRDefault="00102395" w:rsidP="006604A8">
      <w:pPr>
        <w:pStyle w:val="Paragrafoelenco"/>
        <w:numPr>
          <w:ilvl w:val="0"/>
          <w:numId w:val="23"/>
        </w:numPr>
        <w:spacing w:line="240" w:lineRule="auto"/>
        <w:jc w:val="both"/>
        <w:rPr>
          <w:rFonts w:ascii="Garamond" w:hAnsi="Garamond" w:cs="Times New Roman"/>
          <w:color w:val="000000" w:themeColor="text1"/>
          <w:sz w:val="28"/>
          <w:szCs w:val="28"/>
        </w:rPr>
      </w:pPr>
      <w:r w:rsidRPr="006604A8">
        <w:rPr>
          <w:rFonts w:ascii="Garamond" w:hAnsi="Garamond" w:cs="Times New Roman"/>
          <w:color w:val="000000" w:themeColor="text1"/>
          <w:sz w:val="28"/>
          <w:szCs w:val="28"/>
        </w:rPr>
        <w:t>gli impianti di telefonia mobile sono assimilati alle opere di urbanizzazione primaria, ai sensi dell'art. 86, comma 3, del codice delle comunicazioni elettroniche, compatibili pertanto con ogni destinazione urbanistica delle zone del territorio comunale, senza che possano avere rilievo in contrario le concrete caratteristiche del manufatto.</w:t>
      </w:r>
    </w:p>
    <w:p w:rsidR="006604A8" w:rsidRDefault="00102395" w:rsidP="006604A8">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Con riguardo ai profili processuali la giurisprudenza ha affermato i seguenti princìpi:</w:t>
      </w:r>
    </w:p>
    <w:p w:rsidR="006604A8" w:rsidRDefault="00C821BD" w:rsidP="006604A8">
      <w:pPr>
        <w:pStyle w:val="Paragrafoelenco"/>
        <w:numPr>
          <w:ilvl w:val="0"/>
          <w:numId w:val="23"/>
        </w:numPr>
        <w:spacing w:line="240" w:lineRule="auto"/>
        <w:jc w:val="both"/>
        <w:rPr>
          <w:rFonts w:ascii="Garamond" w:hAnsi="Garamond" w:cs="Times New Roman"/>
          <w:color w:val="000000" w:themeColor="text1"/>
          <w:sz w:val="28"/>
          <w:szCs w:val="28"/>
        </w:rPr>
      </w:pPr>
      <w:r w:rsidRPr="006604A8">
        <w:rPr>
          <w:rFonts w:ascii="Garamond" w:hAnsi="Garamond" w:cs="Times New Roman"/>
          <w:color w:val="000000" w:themeColor="text1"/>
          <w:sz w:val="28"/>
          <w:szCs w:val="28"/>
        </w:rPr>
        <w:t>ai fini del riparto di giurisdizione per danni cagionati da cose in custodia inerenti al ciclo dei rifiuti, rileva la distinzione fra controversie rispetto alle quali assumono rilievo le scelte dell’amministrazione per l’ubicazione e la sorveglianza di tali cose - devolute alla cognizione del giudice amministrativo - e controversie per comportamenti meramente materiali dell’amministrazione - devolute invece alla cognizione del giudice ordinario;</w:t>
      </w:r>
    </w:p>
    <w:p w:rsidR="006604A8" w:rsidRDefault="00FD41A6" w:rsidP="006604A8">
      <w:pPr>
        <w:pStyle w:val="Paragrafoelenco"/>
        <w:numPr>
          <w:ilvl w:val="0"/>
          <w:numId w:val="23"/>
        </w:numPr>
        <w:spacing w:line="240" w:lineRule="auto"/>
        <w:jc w:val="both"/>
        <w:rPr>
          <w:rFonts w:ascii="Garamond" w:hAnsi="Garamond" w:cs="Times New Roman"/>
          <w:color w:val="000000" w:themeColor="text1"/>
          <w:sz w:val="28"/>
          <w:szCs w:val="28"/>
        </w:rPr>
      </w:pPr>
      <w:r w:rsidRPr="006604A8">
        <w:rPr>
          <w:rFonts w:ascii="Garamond" w:hAnsi="Garamond" w:cs="Times New Roman"/>
          <w:color w:val="000000" w:themeColor="text1"/>
          <w:sz w:val="28"/>
          <w:szCs w:val="28"/>
        </w:rPr>
        <w:t>l</w:t>
      </w:r>
      <w:r w:rsidR="005E30FA" w:rsidRPr="006604A8">
        <w:rPr>
          <w:rFonts w:ascii="Garamond" w:hAnsi="Garamond" w:cs="Times New Roman"/>
          <w:color w:val="000000" w:themeColor="text1"/>
          <w:sz w:val="28"/>
          <w:szCs w:val="28"/>
        </w:rPr>
        <w:t>e ragioni tecniche per le quali vengono dettate le prescrizioni non sono sindacabili in sede giurisdizionale amministrativa, allorquando non trasmodino nella abnor</w:t>
      </w:r>
      <w:r w:rsidRPr="006604A8">
        <w:rPr>
          <w:rFonts w:ascii="Garamond" w:hAnsi="Garamond" w:cs="Times New Roman"/>
          <w:color w:val="000000" w:themeColor="text1"/>
          <w:sz w:val="28"/>
          <w:szCs w:val="28"/>
        </w:rPr>
        <w:t>mità e nella palese illogicità. Il</w:t>
      </w:r>
      <w:r w:rsidR="005E30FA" w:rsidRPr="006604A8">
        <w:rPr>
          <w:rFonts w:ascii="Garamond" w:hAnsi="Garamond" w:cs="Times New Roman"/>
          <w:color w:val="000000" w:themeColor="text1"/>
          <w:sz w:val="28"/>
          <w:szCs w:val="28"/>
        </w:rPr>
        <w:t xml:space="preserve"> giudice amministrativo, infatti, non può sostituirsi alle valutazioni, anche di tipo tecnico, riservate alle Ammin</w:t>
      </w:r>
      <w:r w:rsidRPr="006604A8">
        <w:rPr>
          <w:rFonts w:ascii="Garamond" w:hAnsi="Garamond" w:cs="Times New Roman"/>
          <w:color w:val="000000" w:themeColor="text1"/>
          <w:sz w:val="28"/>
          <w:szCs w:val="28"/>
        </w:rPr>
        <w:t>istrazioni pubbliche di settore;</w:t>
      </w:r>
    </w:p>
    <w:p w:rsidR="006604A8" w:rsidRDefault="005A79D8" w:rsidP="006604A8">
      <w:pPr>
        <w:pStyle w:val="Paragrafoelenco"/>
        <w:numPr>
          <w:ilvl w:val="0"/>
          <w:numId w:val="23"/>
        </w:numPr>
        <w:spacing w:line="240" w:lineRule="auto"/>
        <w:jc w:val="both"/>
        <w:rPr>
          <w:rFonts w:ascii="Garamond" w:hAnsi="Garamond" w:cs="Times New Roman"/>
          <w:color w:val="000000" w:themeColor="text1"/>
          <w:sz w:val="28"/>
          <w:szCs w:val="28"/>
        </w:rPr>
      </w:pPr>
      <w:r w:rsidRPr="006604A8">
        <w:rPr>
          <w:rFonts w:ascii="Garamond" w:hAnsi="Garamond" w:cs="Times New Roman"/>
          <w:color w:val="000000" w:themeColor="text1"/>
          <w:sz w:val="28"/>
          <w:szCs w:val="28"/>
        </w:rPr>
        <w:t xml:space="preserve">e’ in astratto ravvisabile, con riferimento al periodo temporale nel quale hanno avuto vigenza le disposizioni sui relativi benefici, il nesso di consequenzialità immediata e diretta tra la ritardata conclusione del procedimento autorizzativo ex art. 12 </w:t>
      </w:r>
      <w:r w:rsidR="00D72D15" w:rsidRPr="00D72D15">
        <w:rPr>
          <w:rFonts w:ascii="Garamond" w:hAnsi="Garamond" w:cs="Times New Roman"/>
          <w:sz w:val="28"/>
          <w:szCs w:val="28"/>
        </w:rPr>
        <w:t>d</w:t>
      </w:r>
      <w:r w:rsidRPr="00D72D15">
        <w:rPr>
          <w:rFonts w:ascii="Garamond" w:hAnsi="Garamond" w:cs="Times New Roman"/>
          <w:sz w:val="28"/>
          <w:szCs w:val="28"/>
        </w:rPr>
        <w:t>.lgs</w:t>
      </w:r>
      <w:r w:rsidR="00D72D15">
        <w:rPr>
          <w:rFonts w:ascii="Garamond" w:hAnsi="Garamond" w:cs="Times New Roman"/>
          <w:sz w:val="28"/>
          <w:szCs w:val="28"/>
        </w:rPr>
        <w:t xml:space="preserve">. n. </w:t>
      </w:r>
      <w:r w:rsidRPr="006604A8">
        <w:rPr>
          <w:rFonts w:ascii="Garamond" w:hAnsi="Garamond" w:cs="Times New Roman"/>
          <w:color w:val="000000" w:themeColor="text1"/>
          <w:sz w:val="28"/>
          <w:szCs w:val="28"/>
        </w:rPr>
        <w:t xml:space="preserve">387 del 2003 e il mancato </w:t>
      </w:r>
      <w:r w:rsidRPr="006604A8">
        <w:rPr>
          <w:rFonts w:ascii="Garamond" w:hAnsi="Garamond" w:cs="Times New Roman"/>
          <w:color w:val="000000" w:themeColor="text1"/>
          <w:sz w:val="28"/>
          <w:szCs w:val="28"/>
        </w:rPr>
        <w:lastRenderedPageBreak/>
        <w:t>accesso agli incentivi tariffari connessi alla produzione di energia elettrica da fonti rinnovabili</w:t>
      </w:r>
      <w:r w:rsidR="00CA48EF">
        <w:rPr>
          <w:rFonts w:ascii="Garamond" w:hAnsi="Garamond" w:cs="Times New Roman"/>
          <w:color w:val="000000" w:themeColor="text1"/>
          <w:sz w:val="28"/>
          <w:szCs w:val="28"/>
        </w:rPr>
        <w:t>,</w:t>
      </w:r>
      <w:r w:rsidRPr="006604A8">
        <w:rPr>
          <w:rFonts w:ascii="Garamond" w:hAnsi="Garamond" w:cs="Times New Roman"/>
          <w:color w:val="000000" w:themeColor="text1"/>
          <w:sz w:val="28"/>
          <w:szCs w:val="28"/>
        </w:rPr>
        <w:t xml:space="preserve"> quando la mancata ammissione al regime incentivante sia stata determinata da un divieto normativo sopravvenuto, che non sarebbe stato applicabile se i termini del procedimento fossero stati rispettati;</w:t>
      </w:r>
      <w:r w:rsidR="00D769E2" w:rsidRPr="00D769E2">
        <w:t xml:space="preserve"> </w:t>
      </w:r>
      <w:r w:rsidR="00D769E2" w:rsidRPr="006604A8">
        <w:rPr>
          <w:rFonts w:ascii="Garamond" w:hAnsi="Garamond" w:cs="Times New Roman"/>
          <w:color w:val="000000" w:themeColor="text1"/>
          <w:sz w:val="28"/>
          <w:szCs w:val="28"/>
        </w:rPr>
        <w:t xml:space="preserve">il danno derivante dall'impossibilità di fruire degli incentivi tariffari connessi alla produzione di energia elettrica da fonti rinnovabili, attribuibile al mancato rispetto dei termini del relativo procedimento autorizzativo, va liquidato secondo i criteri di determinazione del danno da perdita di </w:t>
      </w:r>
      <w:r w:rsidR="00D769E2" w:rsidRPr="00CA48EF">
        <w:rPr>
          <w:rFonts w:ascii="Garamond" w:hAnsi="Garamond" w:cs="Times New Roman"/>
          <w:i/>
          <w:color w:val="000000" w:themeColor="text1"/>
          <w:sz w:val="28"/>
          <w:szCs w:val="28"/>
        </w:rPr>
        <w:t>chance</w:t>
      </w:r>
      <w:r w:rsidR="00D769E2" w:rsidRPr="006604A8">
        <w:rPr>
          <w:rFonts w:ascii="Garamond" w:hAnsi="Garamond" w:cs="Times New Roman"/>
          <w:color w:val="000000" w:themeColor="text1"/>
          <w:sz w:val="28"/>
          <w:szCs w:val="28"/>
        </w:rPr>
        <w:t>, ivi compreso il ricorso alla liquidazione equitativa, e non può equivalere a quanto l'impresa istante avrebbe lucrato se avesse svolto l'attività nei tempi pregiudicati dal ritardo dell'amministrazione</w:t>
      </w:r>
    </w:p>
    <w:p w:rsidR="006604A8" w:rsidRDefault="005A79D8" w:rsidP="006604A8">
      <w:pPr>
        <w:pStyle w:val="Paragrafoelenco"/>
        <w:numPr>
          <w:ilvl w:val="0"/>
          <w:numId w:val="23"/>
        </w:numPr>
        <w:spacing w:line="240" w:lineRule="auto"/>
        <w:jc w:val="both"/>
        <w:rPr>
          <w:rFonts w:ascii="Garamond" w:hAnsi="Garamond" w:cs="Times New Roman"/>
          <w:color w:val="000000" w:themeColor="text1"/>
          <w:sz w:val="28"/>
          <w:szCs w:val="28"/>
        </w:rPr>
      </w:pPr>
      <w:r w:rsidRPr="006604A8">
        <w:rPr>
          <w:rFonts w:ascii="Garamond" w:hAnsi="Garamond" w:cs="Times New Roman"/>
          <w:color w:val="000000" w:themeColor="text1"/>
          <w:sz w:val="28"/>
          <w:szCs w:val="28"/>
        </w:rPr>
        <w:t>la valutazione di impatto ambientale rappresenta un atto autonomamente impugnabile, sia nell'ipotesi in cui essa si concluda con esito negativo, sia che la medesima abbia un epilogo positivo;</w:t>
      </w:r>
    </w:p>
    <w:p w:rsidR="005A79D8" w:rsidRPr="006604A8" w:rsidRDefault="005A79D8" w:rsidP="006604A8">
      <w:pPr>
        <w:pStyle w:val="Paragrafoelenco"/>
        <w:numPr>
          <w:ilvl w:val="0"/>
          <w:numId w:val="23"/>
        </w:numPr>
        <w:spacing w:line="240" w:lineRule="auto"/>
        <w:jc w:val="both"/>
        <w:rPr>
          <w:rFonts w:ascii="Garamond" w:hAnsi="Garamond" w:cs="Times New Roman"/>
          <w:color w:val="000000" w:themeColor="text1"/>
          <w:sz w:val="28"/>
          <w:szCs w:val="28"/>
        </w:rPr>
      </w:pPr>
      <w:r w:rsidRPr="006604A8">
        <w:rPr>
          <w:rFonts w:ascii="Garamond" w:hAnsi="Garamond" w:cs="Times New Roman"/>
          <w:color w:val="000000" w:themeColor="text1"/>
          <w:sz w:val="28"/>
          <w:szCs w:val="28"/>
        </w:rPr>
        <w:t>ai fini della sussistenza delle condizioni dell'azione avverso provvedimenti lesivi dal punto di vista ambientale, il criterio della "</w:t>
      </w:r>
      <w:r w:rsidRPr="006604A8">
        <w:rPr>
          <w:rFonts w:ascii="Garamond" w:hAnsi="Garamond" w:cs="Times New Roman"/>
          <w:i/>
          <w:color w:val="000000" w:themeColor="text1"/>
          <w:sz w:val="28"/>
          <w:szCs w:val="28"/>
        </w:rPr>
        <w:t>vicinitas</w:t>
      </w:r>
      <w:r w:rsidRPr="006604A8">
        <w:rPr>
          <w:rFonts w:ascii="Garamond" w:hAnsi="Garamond" w:cs="Times New Roman"/>
          <w:color w:val="000000" w:themeColor="text1"/>
          <w:sz w:val="28"/>
          <w:szCs w:val="28"/>
        </w:rPr>
        <w:t>" - ovvero il fatto che un soggetto viva abitualmente in prossimità del sito prescelto per la realizzazione dell'intervento o comunque abbia uno stabile e significativo collegamento con esso, tenuto conto della portata delle possibili esternalità negative dell'intervento autorizzato - rappresenta un elemento di per sé qualificante della legittimazion</w:t>
      </w:r>
      <w:r w:rsidR="00C821BD" w:rsidRPr="006604A8">
        <w:rPr>
          <w:rFonts w:ascii="Garamond" w:hAnsi="Garamond" w:cs="Times New Roman"/>
          <w:color w:val="000000" w:themeColor="text1"/>
          <w:sz w:val="28"/>
          <w:szCs w:val="28"/>
        </w:rPr>
        <w:t>e e dell'interesse a ricorrere.</w:t>
      </w:r>
    </w:p>
    <w:sectPr w:rsidR="005A79D8" w:rsidRPr="006604A8">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0D1" w:rsidRDefault="00C730D1" w:rsidP="00D8472C">
      <w:pPr>
        <w:spacing w:after="0" w:line="240" w:lineRule="auto"/>
      </w:pPr>
      <w:r>
        <w:separator/>
      </w:r>
    </w:p>
  </w:endnote>
  <w:endnote w:type="continuationSeparator" w:id="0">
    <w:p w:rsidR="00C730D1" w:rsidRDefault="00C730D1" w:rsidP="00D84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11632"/>
      <w:docPartObj>
        <w:docPartGallery w:val="Page Numbers (Bottom of Page)"/>
        <w:docPartUnique/>
      </w:docPartObj>
    </w:sdtPr>
    <w:sdtEndPr/>
    <w:sdtContent>
      <w:p w:rsidR="003E3C55" w:rsidRDefault="003E3C55">
        <w:pPr>
          <w:pStyle w:val="Pidipagina"/>
          <w:jc w:val="right"/>
        </w:pPr>
        <w:r>
          <w:fldChar w:fldCharType="begin"/>
        </w:r>
        <w:r>
          <w:instrText>PAGE   \* MERGEFORMAT</w:instrText>
        </w:r>
        <w:r>
          <w:fldChar w:fldCharType="separate"/>
        </w:r>
        <w:r w:rsidR="0073229A">
          <w:rPr>
            <w:noProof/>
          </w:rPr>
          <w:t>39</w:t>
        </w:r>
        <w:r>
          <w:fldChar w:fldCharType="end"/>
        </w:r>
      </w:p>
    </w:sdtContent>
  </w:sdt>
  <w:p w:rsidR="003E3C55" w:rsidRDefault="003E3C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0D1" w:rsidRDefault="00C730D1" w:rsidP="00D8472C">
      <w:pPr>
        <w:spacing w:after="0" w:line="240" w:lineRule="auto"/>
      </w:pPr>
      <w:r>
        <w:separator/>
      </w:r>
    </w:p>
  </w:footnote>
  <w:footnote w:type="continuationSeparator" w:id="0">
    <w:p w:rsidR="00C730D1" w:rsidRDefault="00C730D1" w:rsidP="00D84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21D34"/>
    <w:multiLevelType w:val="hybridMultilevel"/>
    <w:tmpl w:val="0D68B79E"/>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 w15:restartNumberingAfterBreak="0">
    <w:nsid w:val="18442DE2"/>
    <w:multiLevelType w:val="hybridMultilevel"/>
    <w:tmpl w:val="3BC69C3E"/>
    <w:lvl w:ilvl="0" w:tplc="04100017">
      <w:start w:val="1"/>
      <w:numFmt w:val="lowerLetter"/>
      <w:lvlText w:val="%1)"/>
      <w:lvlJc w:val="left"/>
      <w:pPr>
        <w:ind w:left="1429" w:hanging="360"/>
      </w:pPr>
    </w:lvl>
    <w:lvl w:ilvl="1" w:tplc="8B12D75A">
      <w:start w:val="1"/>
      <w:numFmt w:val="bullet"/>
      <w:lvlText w:val="-"/>
      <w:lvlJc w:val="left"/>
      <w:pPr>
        <w:ind w:left="2149" w:hanging="360"/>
      </w:pPr>
      <w:rPr>
        <w:rFonts w:ascii="Garamond" w:eastAsiaTheme="minorHAnsi" w:hAnsi="Garamond" w:cs="Times New Roman"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 w15:restartNumberingAfterBreak="0">
    <w:nsid w:val="1AA02860"/>
    <w:multiLevelType w:val="hybridMultilevel"/>
    <w:tmpl w:val="3E6C4A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7933AF"/>
    <w:multiLevelType w:val="hybridMultilevel"/>
    <w:tmpl w:val="F4BA13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CA329D1"/>
    <w:multiLevelType w:val="hybridMultilevel"/>
    <w:tmpl w:val="32E27C32"/>
    <w:lvl w:ilvl="0" w:tplc="E6A84652">
      <w:start w:val="28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2A46DB8"/>
    <w:multiLevelType w:val="hybridMultilevel"/>
    <w:tmpl w:val="D9B2FB64"/>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35F82C14"/>
    <w:multiLevelType w:val="hybridMultilevel"/>
    <w:tmpl w:val="53F6977E"/>
    <w:lvl w:ilvl="0" w:tplc="EED0212A">
      <w:numFmt w:val="bullet"/>
      <w:lvlText w:val="-"/>
      <w:lvlJc w:val="left"/>
      <w:pPr>
        <w:ind w:left="720" w:hanging="360"/>
      </w:pPr>
      <w:rPr>
        <w:rFonts w:ascii="Palatino Linotype" w:eastAsiaTheme="minorHAnsi"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3C5180"/>
    <w:multiLevelType w:val="hybridMultilevel"/>
    <w:tmpl w:val="C3D077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7B31097"/>
    <w:multiLevelType w:val="multilevel"/>
    <w:tmpl w:val="323803D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39A94D43"/>
    <w:multiLevelType w:val="hybridMultilevel"/>
    <w:tmpl w:val="F7FE50E2"/>
    <w:lvl w:ilvl="0" w:tplc="BDB6917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E952403"/>
    <w:multiLevelType w:val="hybridMultilevel"/>
    <w:tmpl w:val="615ED18A"/>
    <w:lvl w:ilvl="0" w:tplc="D092FF30">
      <w:start w:val="28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3B740C"/>
    <w:multiLevelType w:val="hybridMultilevel"/>
    <w:tmpl w:val="ADFE7F02"/>
    <w:lvl w:ilvl="0" w:tplc="4B8490F6">
      <w:start w:val="1"/>
      <w:numFmt w:val="bullet"/>
      <w:lvlText w:val="-"/>
      <w:lvlJc w:val="left"/>
      <w:pPr>
        <w:ind w:left="1069" w:hanging="360"/>
      </w:pPr>
      <w:rPr>
        <w:rFonts w:ascii="Garamond" w:eastAsiaTheme="minorHAnsi" w:hAnsi="Garamond"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2" w15:restartNumberingAfterBreak="0">
    <w:nsid w:val="411340D7"/>
    <w:multiLevelType w:val="multilevel"/>
    <w:tmpl w:val="6FF2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10143D"/>
    <w:multiLevelType w:val="hybridMultilevel"/>
    <w:tmpl w:val="51602B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7710ECC"/>
    <w:multiLevelType w:val="hybridMultilevel"/>
    <w:tmpl w:val="B67E9BC6"/>
    <w:lvl w:ilvl="0" w:tplc="EED0212A">
      <w:numFmt w:val="bullet"/>
      <w:lvlText w:val="-"/>
      <w:lvlJc w:val="left"/>
      <w:pPr>
        <w:ind w:left="360" w:hanging="360"/>
      </w:pPr>
      <w:rPr>
        <w:rFonts w:ascii="Palatino Linotype" w:eastAsiaTheme="minorHAnsi" w:hAnsi="Palatino Linotype"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9B56E15"/>
    <w:multiLevelType w:val="hybridMultilevel"/>
    <w:tmpl w:val="C23E745A"/>
    <w:lvl w:ilvl="0" w:tplc="EED0212A">
      <w:numFmt w:val="bullet"/>
      <w:lvlText w:val="-"/>
      <w:lvlJc w:val="left"/>
      <w:pPr>
        <w:ind w:left="360" w:hanging="360"/>
      </w:pPr>
      <w:rPr>
        <w:rFonts w:ascii="Palatino Linotype" w:eastAsiaTheme="minorHAnsi"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D6F5D05"/>
    <w:multiLevelType w:val="hybridMultilevel"/>
    <w:tmpl w:val="57EC4EDC"/>
    <w:lvl w:ilvl="0" w:tplc="93E42C36">
      <w:start w:val="5"/>
      <w:numFmt w:val="bullet"/>
      <w:lvlText w:val="-"/>
      <w:lvlJc w:val="left"/>
      <w:pPr>
        <w:ind w:left="1069" w:hanging="360"/>
      </w:pPr>
      <w:rPr>
        <w:rFonts w:ascii="Garamond" w:eastAsiaTheme="minorHAnsi" w:hAnsi="Garamond"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7" w15:restartNumberingAfterBreak="0">
    <w:nsid w:val="4E2C37F6"/>
    <w:multiLevelType w:val="hybridMultilevel"/>
    <w:tmpl w:val="98D4A25C"/>
    <w:lvl w:ilvl="0" w:tplc="EED0212A">
      <w:start w:val="1"/>
      <w:numFmt w:val="bullet"/>
      <w:lvlText w:val="-"/>
      <w:lvlJc w:val="left"/>
      <w:pPr>
        <w:ind w:left="720" w:hanging="360"/>
      </w:pPr>
      <w:rPr>
        <w:rFonts w:ascii="Palatino Linotype" w:eastAsiaTheme="minorHAnsi"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F595E6B"/>
    <w:multiLevelType w:val="hybridMultilevel"/>
    <w:tmpl w:val="50E843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38C6DDA"/>
    <w:multiLevelType w:val="multilevel"/>
    <w:tmpl w:val="4204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3F59A8"/>
    <w:multiLevelType w:val="hybridMultilevel"/>
    <w:tmpl w:val="FB1878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24A7F70"/>
    <w:multiLevelType w:val="hybridMultilevel"/>
    <w:tmpl w:val="2D3CAF32"/>
    <w:lvl w:ilvl="0" w:tplc="91C8431E">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64D50D3E"/>
    <w:multiLevelType w:val="hybridMultilevel"/>
    <w:tmpl w:val="BBAC52D4"/>
    <w:lvl w:ilvl="0" w:tplc="CCFEA44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D454CAA"/>
    <w:multiLevelType w:val="hybridMultilevel"/>
    <w:tmpl w:val="4372DBD6"/>
    <w:lvl w:ilvl="0" w:tplc="FFCCD050">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4" w15:restartNumberingAfterBreak="0">
    <w:nsid w:val="7ABF408B"/>
    <w:multiLevelType w:val="hybridMultilevel"/>
    <w:tmpl w:val="6DBE8ED4"/>
    <w:lvl w:ilvl="0" w:tplc="259C378C">
      <w:start w:val="28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BA65658"/>
    <w:multiLevelType w:val="hybridMultilevel"/>
    <w:tmpl w:val="C55284DE"/>
    <w:lvl w:ilvl="0" w:tplc="EED0212A">
      <w:numFmt w:val="bullet"/>
      <w:lvlText w:val="-"/>
      <w:lvlJc w:val="left"/>
      <w:pPr>
        <w:ind w:left="360" w:hanging="360"/>
      </w:pPr>
      <w:rPr>
        <w:rFonts w:ascii="Palatino Linotype" w:eastAsiaTheme="minorHAnsi" w:hAnsi="Palatino Linotype"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F0F28B8"/>
    <w:multiLevelType w:val="hybridMultilevel"/>
    <w:tmpl w:val="DAA69892"/>
    <w:lvl w:ilvl="0" w:tplc="EED0212A">
      <w:numFmt w:val="bullet"/>
      <w:lvlText w:val="-"/>
      <w:lvlJc w:val="left"/>
      <w:pPr>
        <w:ind w:left="720" w:hanging="360"/>
      </w:pPr>
      <w:rPr>
        <w:rFonts w:ascii="Palatino Linotype" w:eastAsiaTheme="minorHAnsi"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10"/>
  </w:num>
  <w:num w:numId="4">
    <w:abstractNumId w:val="13"/>
  </w:num>
  <w:num w:numId="5">
    <w:abstractNumId w:val="18"/>
  </w:num>
  <w:num w:numId="6">
    <w:abstractNumId w:val="2"/>
  </w:num>
  <w:num w:numId="7">
    <w:abstractNumId w:val="26"/>
  </w:num>
  <w:num w:numId="8">
    <w:abstractNumId w:val="17"/>
  </w:num>
  <w:num w:numId="9">
    <w:abstractNumId w:val="14"/>
  </w:num>
  <w:num w:numId="10">
    <w:abstractNumId w:val="25"/>
  </w:num>
  <w:num w:numId="11">
    <w:abstractNumId w:val="7"/>
  </w:num>
  <w:num w:numId="12">
    <w:abstractNumId w:val="6"/>
  </w:num>
  <w:num w:numId="13">
    <w:abstractNumId w:val="3"/>
  </w:num>
  <w:num w:numId="14">
    <w:abstractNumId w:val="15"/>
  </w:num>
  <w:num w:numId="15">
    <w:abstractNumId w:val="20"/>
  </w:num>
  <w:num w:numId="16">
    <w:abstractNumId w:val="22"/>
  </w:num>
  <w:num w:numId="17">
    <w:abstractNumId w:val="9"/>
  </w:num>
  <w:num w:numId="18">
    <w:abstractNumId w:val="12"/>
  </w:num>
  <w:num w:numId="19">
    <w:abstractNumId w:val="19"/>
  </w:num>
  <w:num w:numId="20">
    <w:abstractNumId w:val="8"/>
  </w:num>
  <w:num w:numId="21">
    <w:abstractNumId w:val="11"/>
  </w:num>
  <w:num w:numId="22">
    <w:abstractNumId w:val="16"/>
  </w:num>
  <w:num w:numId="23">
    <w:abstractNumId w:val="1"/>
  </w:num>
  <w:num w:numId="24">
    <w:abstractNumId w:val="21"/>
  </w:num>
  <w:num w:numId="25">
    <w:abstractNumId w:val="5"/>
  </w:num>
  <w:num w:numId="26">
    <w:abstractNumId w:val="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653"/>
    <w:rsid w:val="00002F29"/>
    <w:rsid w:val="000035E7"/>
    <w:rsid w:val="0000794B"/>
    <w:rsid w:val="00010C41"/>
    <w:rsid w:val="00013F04"/>
    <w:rsid w:val="0001477D"/>
    <w:rsid w:val="00015B17"/>
    <w:rsid w:val="0001670E"/>
    <w:rsid w:val="00016F37"/>
    <w:rsid w:val="00030F5B"/>
    <w:rsid w:val="00043652"/>
    <w:rsid w:val="00043788"/>
    <w:rsid w:val="00044E61"/>
    <w:rsid w:val="0004576B"/>
    <w:rsid w:val="0004722E"/>
    <w:rsid w:val="000512D1"/>
    <w:rsid w:val="00052D46"/>
    <w:rsid w:val="00061F16"/>
    <w:rsid w:val="0006308C"/>
    <w:rsid w:val="000642E4"/>
    <w:rsid w:val="000722BF"/>
    <w:rsid w:val="0007514F"/>
    <w:rsid w:val="00076463"/>
    <w:rsid w:val="00076F5E"/>
    <w:rsid w:val="00080FBC"/>
    <w:rsid w:val="00084F88"/>
    <w:rsid w:val="0009411F"/>
    <w:rsid w:val="00096B64"/>
    <w:rsid w:val="000A1C45"/>
    <w:rsid w:val="000A45DE"/>
    <w:rsid w:val="000A4774"/>
    <w:rsid w:val="000B163C"/>
    <w:rsid w:val="000B31F1"/>
    <w:rsid w:val="000B35CF"/>
    <w:rsid w:val="000B369C"/>
    <w:rsid w:val="000B398D"/>
    <w:rsid w:val="000B39DF"/>
    <w:rsid w:val="000C3779"/>
    <w:rsid w:val="000C3859"/>
    <w:rsid w:val="000C3CDD"/>
    <w:rsid w:val="000C3CE2"/>
    <w:rsid w:val="000D2AF2"/>
    <w:rsid w:val="000D548C"/>
    <w:rsid w:val="000E2339"/>
    <w:rsid w:val="000E27E4"/>
    <w:rsid w:val="000F3D6D"/>
    <w:rsid w:val="000F4871"/>
    <w:rsid w:val="000F5851"/>
    <w:rsid w:val="000F67D3"/>
    <w:rsid w:val="00100E3B"/>
    <w:rsid w:val="00102395"/>
    <w:rsid w:val="001044FB"/>
    <w:rsid w:val="00104A90"/>
    <w:rsid w:val="0010704C"/>
    <w:rsid w:val="00112476"/>
    <w:rsid w:val="00113CCA"/>
    <w:rsid w:val="0011559E"/>
    <w:rsid w:val="001178BE"/>
    <w:rsid w:val="00120713"/>
    <w:rsid w:val="00121DC4"/>
    <w:rsid w:val="00122DE4"/>
    <w:rsid w:val="0012448D"/>
    <w:rsid w:val="0012585C"/>
    <w:rsid w:val="00125E8F"/>
    <w:rsid w:val="0012719B"/>
    <w:rsid w:val="00127D50"/>
    <w:rsid w:val="00127DA1"/>
    <w:rsid w:val="00141443"/>
    <w:rsid w:val="001463DA"/>
    <w:rsid w:val="001469A4"/>
    <w:rsid w:val="00146E68"/>
    <w:rsid w:val="001529B1"/>
    <w:rsid w:val="001572E2"/>
    <w:rsid w:val="00161CF8"/>
    <w:rsid w:val="00161F00"/>
    <w:rsid w:val="0016263F"/>
    <w:rsid w:val="001667EE"/>
    <w:rsid w:val="001717B2"/>
    <w:rsid w:val="001752E7"/>
    <w:rsid w:val="00181410"/>
    <w:rsid w:val="0018341F"/>
    <w:rsid w:val="001844F7"/>
    <w:rsid w:val="001878BA"/>
    <w:rsid w:val="00191838"/>
    <w:rsid w:val="001A29A9"/>
    <w:rsid w:val="001B2AF2"/>
    <w:rsid w:val="001B3231"/>
    <w:rsid w:val="001D36B5"/>
    <w:rsid w:val="001D624D"/>
    <w:rsid w:val="001E08B9"/>
    <w:rsid w:val="001E5668"/>
    <w:rsid w:val="001E5B45"/>
    <w:rsid w:val="00202C9C"/>
    <w:rsid w:val="002071D0"/>
    <w:rsid w:val="0020792A"/>
    <w:rsid w:val="00210E13"/>
    <w:rsid w:val="00212ED4"/>
    <w:rsid w:val="00220BAD"/>
    <w:rsid w:val="00223667"/>
    <w:rsid w:val="00224AE6"/>
    <w:rsid w:val="00231490"/>
    <w:rsid w:val="002319B3"/>
    <w:rsid w:val="0024268C"/>
    <w:rsid w:val="0024775D"/>
    <w:rsid w:val="002478B0"/>
    <w:rsid w:val="00247ADE"/>
    <w:rsid w:val="00254713"/>
    <w:rsid w:val="00254F79"/>
    <w:rsid w:val="00256DFE"/>
    <w:rsid w:val="00261E14"/>
    <w:rsid w:val="00266741"/>
    <w:rsid w:val="00270627"/>
    <w:rsid w:val="00272114"/>
    <w:rsid w:val="00274086"/>
    <w:rsid w:val="002759A8"/>
    <w:rsid w:val="0028521D"/>
    <w:rsid w:val="00287484"/>
    <w:rsid w:val="002A291B"/>
    <w:rsid w:val="002A668B"/>
    <w:rsid w:val="002A7494"/>
    <w:rsid w:val="002A7B02"/>
    <w:rsid w:val="002A7BD1"/>
    <w:rsid w:val="002B213A"/>
    <w:rsid w:val="002B4AEA"/>
    <w:rsid w:val="002C3A5B"/>
    <w:rsid w:val="002D31F2"/>
    <w:rsid w:val="002D35DC"/>
    <w:rsid w:val="002D4208"/>
    <w:rsid w:val="002D79E2"/>
    <w:rsid w:val="002E2BAB"/>
    <w:rsid w:val="002F0957"/>
    <w:rsid w:val="002F2E19"/>
    <w:rsid w:val="002F4A0D"/>
    <w:rsid w:val="002F5487"/>
    <w:rsid w:val="002F5ED8"/>
    <w:rsid w:val="002F6D7A"/>
    <w:rsid w:val="002F70EC"/>
    <w:rsid w:val="00303E78"/>
    <w:rsid w:val="003060AA"/>
    <w:rsid w:val="0030616F"/>
    <w:rsid w:val="00310059"/>
    <w:rsid w:val="0031299B"/>
    <w:rsid w:val="00313D49"/>
    <w:rsid w:val="00314EDF"/>
    <w:rsid w:val="0032317E"/>
    <w:rsid w:val="00325371"/>
    <w:rsid w:val="003301FE"/>
    <w:rsid w:val="003439E3"/>
    <w:rsid w:val="003523C1"/>
    <w:rsid w:val="0035263A"/>
    <w:rsid w:val="00353F28"/>
    <w:rsid w:val="0035400B"/>
    <w:rsid w:val="003540F0"/>
    <w:rsid w:val="00363C11"/>
    <w:rsid w:val="00363D75"/>
    <w:rsid w:val="00366ED2"/>
    <w:rsid w:val="00370BAC"/>
    <w:rsid w:val="00373759"/>
    <w:rsid w:val="00375092"/>
    <w:rsid w:val="0037726A"/>
    <w:rsid w:val="00384190"/>
    <w:rsid w:val="00386CDE"/>
    <w:rsid w:val="00387844"/>
    <w:rsid w:val="003932E5"/>
    <w:rsid w:val="0039377B"/>
    <w:rsid w:val="003A2EFA"/>
    <w:rsid w:val="003A4B8D"/>
    <w:rsid w:val="003A59B7"/>
    <w:rsid w:val="003A6A3E"/>
    <w:rsid w:val="003A7B3E"/>
    <w:rsid w:val="003B706A"/>
    <w:rsid w:val="003C2E11"/>
    <w:rsid w:val="003C3D30"/>
    <w:rsid w:val="003C3E2B"/>
    <w:rsid w:val="003C72B9"/>
    <w:rsid w:val="003D0703"/>
    <w:rsid w:val="003D3EA2"/>
    <w:rsid w:val="003E00D0"/>
    <w:rsid w:val="003E37AA"/>
    <w:rsid w:val="003E399F"/>
    <w:rsid w:val="003E3C55"/>
    <w:rsid w:val="003F02CA"/>
    <w:rsid w:val="003F24E9"/>
    <w:rsid w:val="003F48D6"/>
    <w:rsid w:val="003F6055"/>
    <w:rsid w:val="00400EB3"/>
    <w:rsid w:val="004100E1"/>
    <w:rsid w:val="00413653"/>
    <w:rsid w:val="00416AA0"/>
    <w:rsid w:val="00417101"/>
    <w:rsid w:val="00420327"/>
    <w:rsid w:val="00422D58"/>
    <w:rsid w:val="00425E94"/>
    <w:rsid w:val="00431220"/>
    <w:rsid w:val="00433041"/>
    <w:rsid w:val="0043624E"/>
    <w:rsid w:val="004371FA"/>
    <w:rsid w:val="00437232"/>
    <w:rsid w:val="00440CF8"/>
    <w:rsid w:val="00443AE6"/>
    <w:rsid w:val="0044526B"/>
    <w:rsid w:val="00452C75"/>
    <w:rsid w:val="004565ED"/>
    <w:rsid w:val="004605D3"/>
    <w:rsid w:val="004640B1"/>
    <w:rsid w:val="00467233"/>
    <w:rsid w:val="0047115B"/>
    <w:rsid w:val="004741DC"/>
    <w:rsid w:val="00477405"/>
    <w:rsid w:val="00485E60"/>
    <w:rsid w:val="00491E5B"/>
    <w:rsid w:val="004A13DF"/>
    <w:rsid w:val="004A1FB7"/>
    <w:rsid w:val="004A46FC"/>
    <w:rsid w:val="004A488C"/>
    <w:rsid w:val="004A69F0"/>
    <w:rsid w:val="004B17A3"/>
    <w:rsid w:val="004B34C5"/>
    <w:rsid w:val="004B420A"/>
    <w:rsid w:val="004B778B"/>
    <w:rsid w:val="004C70D0"/>
    <w:rsid w:val="004D02DC"/>
    <w:rsid w:val="004D4B73"/>
    <w:rsid w:val="004E16E9"/>
    <w:rsid w:val="004E1FFA"/>
    <w:rsid w:val="004E5372"/>
    <w:rsid w:val="004E625E"/>
    <w:rsid w:val="004F0CCD"/>
    <w:rsid w:val="004F3FC2"/>
    <w:rsid w:val="004F7266"/>
    <w:rsid w:val="00500A44"/>
    <w:rsid w:val="005112E1"/>
    <w:rsid w:val="00520546"/>
    <w:rsid w:val="00521EA9"/>
    <w:rsid w:val="005309F8"/>
    <w:rsid w:val="005329C1"/>
    <w:rsid w:val="00533956"/>
    <w:rsid w:val="00535BAE"/>
    <w:rsid w:val="00540A75"/>
    <w:rsid w:val="00552F94"/>
    <w:rsid w:val="00553EEE"/>
    <w:rsid w:val="00565B9D"/>
    <w:rsid w:val="00572A15"/>
    <w:rsid w:val="005730E8"/>
    <w:rsid w:val="00591F65"/>
    <w:rsid w:val="005929DA"/>
    <w:rsid w:val="0059377C"/>
    <w:rsid w:val="0059478A"/>
    <w:rsid w:val="005974DC"/>
    <w:rsid w:val="005A03F9"/>
    <w:rsid w:val="005A65BC"/>
    <w:rsid w:val="005A79D8"/>
    <w:rsid w:val="005B2E40"/>
    <w:rsid w:val="005B439F"/>
    <w:rsid w:val="005B65AA"/>
    <w:rsid w:val="005C2E9D"/>
    <w:rsid w:val="005C6FD1"/>
    <w:rsid w:val="005D61A9"/>
    <w:rsid w:val="005E1857"/>
    <w:rsid w:val="005E30FA"/>
    <w:rsid w:val="005E5E55"/>
    <w:rsid w:val="005E784E"/>
    <w:rsid w:val="005E7AC6"/>
    <w:rsid w:val="005F6AD4"/>
    <w:rsid w:val="005F6EB6"/>
    <w:rsid w:val="005F72AD"/>
    <w:rsid w:val="00603298"/>
    <w:rsid w:val="00603C0D"/>
    <w:rsid w:val="0061250F"/>
    <w:rsid w:val="006206D5"/>
    <w:rsid w:val="0062197E"/>
    <w:rsid w:val="006233AF"/>
    <w:rsid w:val="00633B55"/>
    <w:rsid w:val="00634537"/>
    <w:rsid w:val="00635C04"/>
    <w:rsid w:val="00635FAC"/>
    <w:rsid w:val="00640FFB"/>
    <w:rsid w:val="006442B9"/>
    <w:rsid w:val="00647079"/>
    <w:rsid w:val="00647DC7"/>
    <w:rsid w:val="00650034"/>
    <w:rsid w:val="006604A8"/>
    <w:rsid w:val="00660A11"/>
    <w:rsid w:val="00661E3C"/>
    <w:rsid w:val="006625D2"/>
    <w:rsid w:val="00664FEE"/>
    <w:rsid w:val="00676900"/>
    <w:rsid w:val="006810F5"/>
    <w:rsid w:val="0068356B"/>
    <w:rsid w:val="00684E45"/>
    <w:rsid w:val="00685358"/>
    <w:rsid w:val="00685935"/>
    <w:rsid w:val="00694649"/>
    <w:rsid w:val="00697866"/>
    <w:rsid w:val="006A0337"/>
    <w:rsid w:val="006A4FE7"/>
    <w:rsid w:val="006B1067"/>
    <w:rsid w:val="006B6D32"/>
    <w:rsid w:val="006C107B"/>
    <w:rsid w:val="006C26E7"/>
    <w:rsid w:val="006C37BC"/>
    <w:rsid w:val="006C421B"/>
    <w:rsid w:val="006C4E89"/>
    <w:rsid w:val="006C564E"/>
    <w:rsid w:val="006C5A6A"/>
    <w:rsid w:val="006D6C8E"/>
    <w:rsid w:val="006D6CE4"/>
    <w:rsid w:val="006D6F28"/>
    <w:rsid w:val="006E682D"/>
    <w:rsid w:val="006F307D"/>
    <w:rsid w:val="006F6959"/>
    <w:rsid w:val="00700152"/>
    <w:rsid w:val="0070472D"/>
    <w:rsid w:val="00704EDC"/>
    <w:rsid w:val="0070627A"/>
    <w:rsid w:val="00706C95"/>
    <w:rsid w:val="00711F80"/>
    <w:rsid w:val="00714569"/>
    <w:rsid w:val="007146AC"/>
    <w:rsid w:val="007158DA"/>
    <w:rsid w:val="007172E2"/>
    <w:rsid w:val="00720E05"/>
    <w:rsid w:val="0072270B"/>
    <w:rsid w:val="007267E4"/>
    <w:rsid w:val="0073229A"/>
    <w:rsid w:val="007324A8"/>
    <w:rsid w:val="00734B9F"/>
    <w:rsid w:val="0074060E"/>
    <w:rsid w:val="00740DAA"/>
    <w:rsid w:val="007416F0"/>
    <w:rsid w:val="00745F44"/>
    <w:rsid w:val="00747992"/>
    <w:rsid w:val="00747E93"/>
    <w:rsid w:val="00750F71"/>
    <w:rsid w:val="007512CF"/>
    <w:rsid w:val="00753849"/>
    <w:rsid w:val="007551B7"/>
    <w:rsid w:val="00762941"/>
    <w:rsid w:val="00765076"/>
    <w:rsid w:val="00765523"/>
    <w:rsid w:val="00765539"/>
    <w:rsid w:val="00765E6B"/>
    <w:rsid w:val="00767B9F"/>
    <w:rsid w:val="00770CFE"/>
    <w:rsid w:val="00771349"/>
    <w:rsid w:val="00771B3C"/>
    <w:rsid w:val="007817F8"/>
    <w:rsid w:val="00785147"/>
    <w:rsid w:val="007864FE"/>
    <w:rsid w:val="007872A7"/>
    <w:rsid w:val="00787761"/>
    <w:rsid w:val="007905DC"/>
    <w:rsid w:val="00797297"/>
    <w:rsid w:val="007A24B0"/>
    <w:rsid w:val="007A6258"/>
    <w:rsid w:val="007A6D25"/>
    <w:rsid w:val="007B0E07"/>
    <w:rsid w:val="007B348B"/>
    <w:rsid w:val="007B4ECA"/>
    <w:rsid w:val="007B6509"/>
    <w:rsid w:val="007B658C"/>
    <w:rsid w:val="007B76F1"/>
    <w:rsid w:val="007C254A"/>
    <w:rsid w:val="007C2E08"/>
    <w:rsid w:val="007C3B5E"/>
    <w:rsid w:val="007C540C"/>
    <w:rsid w:val="007D0A5B"/>
    <w:rsid w:val="007D32E4"/>
    <w:rsid w:val="007D4D6E"/>
    <w:rsid w:val="007E1FA1"/>
    <w:rsid w:val="007F10B1"/>
    <w:rsid w:val="00803B51"/>
    <w:rsid w:val="00804472"/>
    <w:rsid w:val="00804477"/>
    <w:rsid w:val="008067CE"/>
    <w:rsid w:val="00807233"/>
    <w:rsid w:val="008072CE"/>
    <w:rsid w:val="00814538"/>
    <w:rsid w:val="00817C58"/>
    <w:rsid w:val="00822CD6"/>
    <w:rsid w:val="00825153"/>
    <w:rsid w:val="0083467F"/>
    <w:rsid w:val="00843522"/>
    <w:rsid w:val="00853502"/>
    <w:rsid w:val="008734F1"/>
    <w:rsid w:val="0087492C"/>
    <w:rsid w:val="00875874"/>
    <w:rsid w:val="008808B2"/>
    <w:rsid w:val="008862E0"/>
    <w:rsid w:val="00893758"/>
    <w:rsid w:val="008953D2"/>
    <w:rsid w:val="008A2A67"/>
    <w:rsid w:val="008B0444"/>
    <w:rsid w:val="008B42F5"/>
    <w:rsid w:val="008B5381"/>
    <w:rsid w:val="008C0C1B"/>
    <w:rsid w:val="008C77C8"/>
    <w:rsid w:val="008D2838"/>
    <w:rsid w:val="008D39A2"/>
    <w:rsid w:val="008E5B39"/>
    <w:rsid w:val="008E681C"/>
    <w:rsid w:val="008E6A9E"/>
    <w:rsid w:val="008E7576"/>
    <w:rsid w:val="008F187F"/>
    <w:rsid w:val="008F48A0"/>
    <w:rsid w:val="00904A20"/>
    <w:rsid w:val="009113CA"/>
    <w:rsid w:val="00912770"/>
    <w:rsid w:val="0091504D"/>
    <w:rsid w:val="00923B8C"/>
    <w:rsid w:val="009371DB"/>
    <w:rsid w:val="009448EA"/>
    <w:rsid w:val="00955BB0"/>
    <w:rsid w:val="00956385"/>
    <w:rsid w:val="00956F8D"/>
    <w:rsid w:val="009637F1"/>
    <w:rsid w:val="00964083"/>
    <w:rsid w:val="00966E4B"/>
    <w:rsid w:val="0098085E"/>
    <w:rsid w:val="00981AFC"/>
    <w:rsid w:val="00982BCE"/>
    <w:rsid w:val="00982E42"/>
    <w:rsid w:val="009835B4"/>
    <w:rsid w:val="009861A9"/>
    <w:rsid w:val="009905AB"/>
    <w:rsid w:val="00995F17"/>
    <w:rsid w:val="00997F3E"/>
    <w:rsid w:val="009A16BC"/>
    <w:rsid w:val="009A74B1"/>
    <w:rsid w:val="009B0078"/>
    <w:rsid w:val="009B57B9"/>
    <w:rsid w:val="009B7B7E"/>
    <w:rsid w:val="009C33EF"/>
    <w:rsid w:val="009C3515"/>
    <w:rsid w:val="009C79CB"/>
    <w:rsid w:val="009D0737"/>
    <w:rsid w:val="009D0E7A"/>
    <w:rsid w:val="009D4DE6"/>
    <w:rsid w:val="009E16C6"/>
    <w:rsid w:val="009E343B"/>
    <w:rsid w:val="009E611A"/>
    <w:rsid w:val="009E6CCE"/>
    <w:rsid w:val="009F7C6F"/>
    <w:rsid w:val="00A00281"/>
    <w:rsid w:val="00A0133D"/>
    <w:rsid w:val="00A02B33"/>
    <w:rsid w:val="00A02CCA"/>
    <w:rsid w:val="00A03185"/>
    <w:rsid w:val="00A04540"/>
    <w:rsid w:val="00A0506A"/>
    <w:rsid w:val="00A07ACF"/>
    <w:rsid w:val="00A120B5"/>
    <w:rsid w:val="00A120ED"/>
    <w:rsid w:val="00A12F1A"/>
    <w:rsid w:val="00A13693"/>
    <w:rsid w:val="00A155F2"/>
    <w:rsid w:val="00A20B54"/>
    <w:rsid w:val="00A239DF"/>
    <w:rsid w:val="00A23ADB"/>
    <w:rsid w:val="00A24130"/>
    <w:rsid w:val="00A245FA"/>
    <w:rsid w:val="00A33FA1"/>
    <w:rsid w:val="00A34289"/>
    <w:rsid w:val="00A35F37"/>
    <w:rsid w:val="00A360E3"/>
    <w:rsid w:val="00A36C1E"/>
    <w:rsid w:val="00A41761"/>
    <w:rsid w:val="00A47E8B"/>
    <w:rsid w:val="00A50270"/>
    <w:rsid w:val="00A51A21"/>
    <w:rsid w:val="00A52076"/>
    <w:rsid w:val="00A52C49"/>
    <w:rsid w:val="00A5688D"/>
    <w:rsid w:val="00A568BA"/>
    <w:rsid w:val="00A57601"/>
    <w:rsid w:val="00A60660"/>
    <w:rsid w:val="00A622C5"/>
    <w:rsid w:val="00A62CF5"/>
    <w:rsid w:val="00A67820"/>
    <w:rsid w:val="00A74425"/>
    <w:rsid w:val="00A76004"/>
    <w:rsid w:val="00A82D78"/>
    <w:rsid w:val="00A860E3"/>
    <w:rsid w:val="00A87AA1"/>
    <w:rsid w:val="00A90AB0"/>
    <w:rsid w:val="00A97389"/>
    <w:rsid w:val="00A97508"/>
    <w:rsid w:val="00A9782F"/>
    <w:rsid w:val="00AA07CC"/>
    <w:rsid w:val="00AA13CA"/>
    <w:rsid w:val="00AA6ADB"/>
    <w:rsid w:val="00AB0A0B"/>
    <w:rsid w:val="00AB45D8"/>
    <w:rsid w:val="00AB4A2A"/>
    <w:rsid w:val="00AC0224"/>
    <w:rsid w:val="00AC07CE"/>
    <w:rsid w:val="00AC0F2C"/>
    <w:rsid w:val="00AC1467"/>
    <w:rsid w:val="00AC4046"/>
    <w:rsid w:val="00AD0860"/>
    <w:rsid w:val="00AD327E"/>
    <w:rsid w:val="00AE28C1"/>
    <w:rsid w:val="00AE2B0B"/>
    <w:rsid w:val="00AE6765"/>
    <w:rsid w:val="00AF3377"/>
    <w:rsid w:val="00AF33AE"/>
    <w:rsid w:val="00B00EB4"/>
    <w:rsid w:val="00B02A47"/>
    <w:rsid w:val="00B11174"/>
    <w:rsid w:val="00B1430D"/>
    <w:rsid w:val="00B234E2"/>
    <w:rsid w:val="00B26B45"/>
    <w:rsid w:val="00B32607"/>
    <w:rsid w:val="00B355A3"/>
    <w:rsid w:val="00B376CF"/>
    <w:rsid w:val="00B41CF0"/>
    <w:rsid w:val="00B52B7A"/>
    <w:rsid w:val="00B52E15"/>
    <w:rsid w:val="00B57493"/>
    <w:rsid w:val="00B6110B"/>
    <w:rsid w:val="00B617ED"/>
    <w:rsid w:val="00B64523"/>
    <w:rsid w:val="00B64CC9"/>
    <w:rsid w:val="00B71832"/>
    <w:rsid w:val="00B734E4"/>
    <w:rsid w:val="00B803BF"/>
    <w:rsid w:val="00B878A6"/>
    <w:rsid w:val="00BA0093"/>
    <w:rsid w:val="00BA7B5D"/>
    <w:rsid w:val="00BB02D4"/>
    <w:rsid w:val="00BB041C"/>
    <w:rsid w:val="00BB0A10"/>
    <w:rsid w:val="00BB3E3D"/>
    <w:rsid w:val="00BB59B5"/>
    <w:rsid w:val="00BB6670"/>
    <w:rsid w:val="00BB704A"/>
    <w:rsid w:val="00BC352D"/>
    <w:rsid w:val="00BC56B0"/>
    <w:rsid w:val="00BC7881"/>
    <w:rsid w:val="00BD2F84"/>
    <w:rsid w:val="00BE37A7"/>
    <w:rsid w:val="00BE3B10"/>
    <w:rsid w:val="00BE4762"/>
    <w:rsid w:val="00BE7093"/>
    <w:rsid w:val="00BF2644"/>
    <w:rsid w:val="00BF3709"/>
    <w:rsid w:val="00BF4636"/>
    <w:rsid w:val="00BF7904"/>
    <w:rsid w:val="00C00E5C"/>
    <w:rsid w:val="00C078D5"/>
    <w:rsid w:val="00C14FC4"/>
    <w:rsid w:val="00C23081"/>
    <w:rsid w:val="00C24509"/>
    <w:rsid w:val="00C265EB"/>
    <w:rsid w:val="00C306EC"/>
    <w:rsid w:val="00C3480C"/>
    <w:rsid w:val="00C34B67"/>
    <w:rsid w:val="00C35649"/>
    <w:rsid w:val="00C367B0"/>
    <w:rsid w:val="00C36CE0"/>
    <w:rsid w:val="00C37AC2"/>
    <w:rsid w:val="00C408F2"/>
    <w:rsid w:val="00C40D68"/>
    <w:rsid w:val="00C41850"/>
    <w:rsid w:val="00C42663"/>
    <w:rsid w:val="00C45B2F"/>
    <w:rsid w:val="00C5025A"/>
    <w:rsid w:val="00C52C90"/>
    <w:rsid w:val="00C53A02"/>
    <w:rsid w:val="00C53F10"/>
    <w:rsid w:val="00C55437"/>
    <w:rsid w:val="00C60622"/>
    <w:rsid w:val="00C6479C"/>
    <w:rsid w:val="00C72FC4"/>
    <w:rsid w:val="00C730D1"/>
    <w:rsid w:val="00C75139"/>
    <w:rsid w:val="00C77040"/>
    <w:rsid w:val="00C821BD"/>
    <w:rsid w:val="00C82DAB"/>
    <w:rsid w:val="00C947F0"/>
    <w:rsid w:val="00C953B7"/>
    <w:rsid w:val="00C95C06"/>
    <w:rsid w:val="00CA4623"/>
    <w:rsid w:val="00CA4684"/>
    <w:rsid w:val="00CA48EF"/>
    <w:rsid w:val="00CB0EFB"/>
    <w:rsid w:val="00CB11BA"/>
    <w:rsid w:val="00CB40B0"/>
    <w:rsid w:val="00CB6FA7"/>
    <w:rsid w:val="00CC07F7"/>
    <w:rsid w:val="00CC0E76"/>
    <w:rsid w:val="00CD5857"/>
    <w:rsid w:val="00CD5D93"/>
    <w:rsid w:val="00CE3BEC"/>
    <w:rsid w:val="00CE4A20"/>
    <w:rsid w:val="00CE4BA0"/>
    <w:rsid w:val="00CE56A1"/>
    <w:rsid w:val="00CE7130"/>
    <w:rsid w:val="00CF6DEE"/>
    <w:rsid w:val="00D01F18"/>
    <w:rsid w:val="00D10062"/>
    <w:rsid w:val="00D1211B"/>
    <w:rsid w:val="00D1409C"/>
    <w:rsid w:val="00D179DF"/>
    <w:rsid w:val="00D208E2"/>
    <w:rsid w:val="00D2695A"/>
    <w:rsid w:val="00D26E18"/>
    <w:rsid w:val="00D30ED4"/>
    <w:rsid w:val="00D31D83"/>
    <w:rsid w:val="00D33C24"/>
    <w:rsid w:val="00D343D0"/>
    <w:rsid w:val="00D34EB4"/>
    <w:rsid w:val="00D4063F"/>
    <w:rsid w:val="00D43641"/>
    <w:rsid w:val="00D46741"/>
    <w:rsid w:val="00D47CE2"/>
    <w:rsid w:val="00D62996"/>
    <w:rsid w:val="00D62E64"/>
    <w:rsid w:val="00D72D15"/>
    <w:rsid w:val="00D72F76"/>
    <w:rsid w:val="00D747A5"/>
    <w:rsid w:val="00D75C9B"/>
    <w:rsid w:val="00D76488"/>
    <w:rsid w:val="00D769E2"/>
    <w:rsid w:val="00D8422B"/>
    <w:rsid w:val="00D8472C"/>
    <w:rsid w:val="00D85DFF"/>
    <w:rsid w:val="00D9043C"/>
    <w:rsid w:val="00D96F0A"/>
    <w:rsid w:val="00DB58D2"/>
    <w:rsid w:val="00DC5555"/>
    <w:rsid w:val="00DC6821"/>
    <w:rsid w:val="00DC70BA"/>
    <w:rsid w:val="00DD082F"/>
    <w:rsid w:val="00DD611D"/>
    <w:rsid w:val="00DD6E16"/>
    <w:rsid w:val="00DD77EA"/>
    <w:rsid w:val="00DE5E5F"/>
    <w:rsid w:val="00DF1717"/>
    <w:rsid w:val="00DF3A82"/>
    <w:rsid w:val="00DF6110"/>
    <w:rsid w:val="00DF7F21"/>
    <w:rsid w:val="00E00370"/>
    <w:rsid w:val="00E008C6"/>
    <w:rsid w:val="00E0745F"/>
    <w:rsid w:val="00E214F6"/>
    <w:rsid w:val="00E258BF"/>
    <w:rsid w:val="00E3248C"/>
    <w:rsid w:val="00E33DEF"/>
    <w:rsid w:val="00E35150"/>
    <w:rsid w:val="00E36017"/>
    <w:rsid w:val="00E4061B"/>
    <w:rsid w:val="00E478C7"/>
    <w:rsid w:val="00E5153C"/>
    <w:rsid w:val="00E5679E"/>
    <w:rsid w:val="00E56CDF"/>
    <w:rsid w:val="00E6250A"/>
    <w:rsid w:val="00E6702F"/>
    <w:rsid w:val="00E71860"/>
    <w:rsid w:val="00E721C6"/>
    <w:rsid w:val="00E725DC"/>
    <w:rsid w:val="00E7384B"/>
    <w:rsid w:val="00E7443E"/>
    <w:rsid w:val="00E75D8F"/>
    <w:rsid w:val="00E81B67"/>
    <w:rsid w:val="00E854C9"/>
    <w:rsid w:val="00E95455"/>
    <w:rsid w:val="00E95F25"/>
    <w:rsid w:val="00E979C8"/>
    <w:rsid w:val="00EB0FDD"/>
    <w:rsid w:val="00EB702A"/>
    <w:rsid w:val="00EB78C7"/>
    <w:rsid w:val="00EC19FB"/>
    <w:rsid w:val="00EC3B78"/>
    <w:rsid w:val="00EC5932"/>
    <w:rsid w:val="00EC7074"/>
    <w:rsid w:val="00ED5C7E"/>
    <w:rsid w:val="00ED67BD"/>
    <w:rsid w:val="00ED7EB4"/>
    <w:rsid w:val="00EE09F2"/>
    <w:rsid w:val="00EE127A"/>
    <w:rsid w:val="00EE14EF"/>
    <w:rsid w:val="00EE68B3"/>
    <w:rsid w:val="00EE7B55"/>
    <w:rsid w:val="00EF07AD"/>
    <w:rsid w:val="00EF27D5"/>
    <w:rsid w:val="00EF3480"/>
    <w:rsid w:val="00F00668"/>
    <w:rsid w:val="00F02E79"/>
    <w:rsid w:val="00F0403F"/>
    <w:rsid w:val="00F12E32"/>
    <w:rsid w:val="00F15E80"/>
    <w:rsid w:val="00F163D9"/>
    <w:rsid w:val="00F21943"/>
    <w:rsid w:val="00F22AEC"/>
    <w:rsid w:val="00F24E24"/>
    <w:rsid w:val="00F250B6"/>
    <w:rsid w:val="00F257A6"/>
    <w:rsid w:val="00F2693E"/>
    <w:rsid w:val="00F27963"/>
    <w:rsid w:val="00F3169C"/>
    <w:rsid w:val="00F351B8"/>
    <w:rsid w:val="00F353CF"/>
    <w:rsid w:val="00F41363"/>
    <w:rsid w:val="00F453C9"/>
    <w:rsid w:val="00F456F1"/>
    <w:rsid w:val="00F46F51"/>
    <w:rsid w:val="00F502AC"/>
    <w:rsid w:val="00F524FE"/>
    <w:rsid w:val="00F55862"/>
    <w:rsid w:val="00F7672A"/>
    <w:rsid w:val="00F8437B"/>
    <w:rsid w:val="00F87099"/>
    <w:rsid w:val="00F90B91"/>
    <w:rsid w:val="00FA05D6"/>
    <w:rsid w:val="00FA7077"/>
    <w:rsid w:val="00FA73DD"/>
    <w:rsid w:val="00FA75E2"/>
    <w:rsid w:val="00FB0A76"/>
    <w:rsid w:val="00FC2F6C"/>
    <w:rsid w:val="00FC44DF"/>
    <w:rsid w:val="00FC620B"/>
    <w:rsid w:val="00FC6F8B"/>
    <w:rsid w:val="00FD3E3E"/>
    <w:rsid w:val="00FD41A6"/>
    <w:rsid w:val="00FD58B6"/>
    <w:rsid w:val="00FD6820"/>
    <w:rsid w:val="00FD6A42"/>
    <w:rsid w:val="00FE0B7A"/>
    <w:rsid w:val="00FE158B"/>
    <w:rsid w:val="00FE1599"/>
    <w:rsid w:val="00FE4215"/>
    <w:rsid w:val="00FF6D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1019F"/>
  <w15:chartTrackingRefBased/>
  <w15:docId w15:val="{2177DD00-C7F6-4BD3-B2B3-DDFDCDD8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D073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A7077"/>
    <w:pPr>
      <w:ind w:left="720"/>
      <w:contextualSpacing/>
    </w:pPr>
  </w:style>
  <w:style w:type="character" w:styleId="Collegamentoipertestuale">
    <w:name w:val="Hyperlink"/>
    <w:basedOn w:val="Carpredefinitoparagrafo"/>
    <w:uiPriority w:val="99"/>
    <w:unhideWhenUsed/>
    <w:rsid w:val="00697866"/>
    <w:rPr>
      <w:color w:val="0563C1" w:themeColor="hyperlink"/>
      <w:u w:val="single"/>
    </w:rPr>
  </w:style>
  <w:style w:type="paragraph" w:styleId="Intestazione">
    <w:name w:val="header"/>
    <w:basedOn w:val="Normale"/>
    <w:link w:val="IntestazioneCarattere"/>
    <w:uiPriority w:val="99"/>
    <w:unhideWhenUsed/>
    <w:rsid w:val="00D8472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8472C"/>
  </w:style>
  <w:style w:type="paragraph" w:styleId="Pidipagina">
    <w:name w:val="footer"/>
    <w:basedOn w:val="Normale"/>
    <w:link w:val="PidipaginaCarattere"/>
    <w:uiPriority w:val="99"/>
    <w:unhideWhenUsed/>
    <w:rsid w:val="00D8472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472C"/>
  </w:style>
  <w:style w:type="character" w:styleId="Collegamentovisitato">
    <w:name w:val="FollowedHyperlink"/>
    <w:basedOn w:val="Carpredefinitoparagrafo"/>
    <w:uiPriority w:val="99"/>
    <w:semiHidden/>
    <w:unhideWhenUsed/>
    <w:rsid w:val="003B706A"/>
    <w:rPr>
      <w:color w:val="954F72" w:themeColor="followedHyperlink"/>
      <w:u w:val="single"/>
    </w:rPr>
  </w:style>
  <w:style w:type="paragraph" w:styleId="Testofumetto">
    <w:name w:val="Balloon Text"/>
    <w:basedOn w:val="Normale"/>
    <w:link w:val="TestofumettoCarattere"/>
    <w:uiPriority w:val="99"/>
    <w:semiHidden/>
    <w:unhideWhenUsed/>
    <w:rsid w:val="00261E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61E14"/>
    <w:rPr>
      <w:rFonts w:ascii="Segoe UI" w:hAnsi="Segoe UI" w:cs="Segoe UI"/>
      <w:sz w:val="18"/>
      <w:szCs w:val="18"/>
    </w:rPr>
  </w:style>
  <w:style w:type="paragraph" w:customStyle="1" w:styleId="xmsonormal">
    <w:name w:val="x_msonormal"/>
    <w:basedOn w:val="Normale"/>
    <w:rsid w:val="00B1117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73229A"/>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289959">
      <w:bodyDiv w:val="1"/>
      <w:marLeft w:val="0"/>
      <w:marRight w:val="0"/>
      <w:marTop w:val="0"/>
      <w:marBottom w:val="0"/>
      <w:divBdr>
        <w:top w:val="none" w:sz="0" w:space="0" w:color="auto"/>
        <w:left w:val="none" w:sz="0" w:space="0" w:color="auto"/>
        <w:bottom w:val="none" w:sz="0" w:space="0" w:color="auto"/>
        <w:right w:val="none" w:sz="0" w:space="0" w:color="auto"/>
      </w:divBdr>
    </w:div>
    <w:div w:id="786120741">
      <w:bodyDiv w:val="1"/>
      <w:marLeft w:val="0"/>
      <w:marRight w:val="0"/>
      <w:marTop w:val="0"/>
      <w:marBottom w:val="0"/>
      <w:divBdr>
        <w:top w:val="none" w:sz="0" w:space="0" w:color="auto"/>
        <w:left w:val="none" w:sz="0" w:space="0" w:color="auto"/>
        <w:bottom w:val="none" w:sz="0" w:space="0" w:color="auto"/>
        <w:right w:val="none" w:sz="0" w:space="0" w:color="auto"/>
      </w:divBdr>
    </w:div>
    <w:div w:id="846208690">
      <w:bodyDiv w:val="1"/>
      <w:marLeft w:val="0"/>
      <w:marRight w:val="0"/>
      <w:marTop w:val="0"/>
      <w:marBottom w:val="0"/>
      <w:divBdr>
        <w:top w:val="none" w:sz="0" w:space="0" w:color="auto"/>
        <w:left w:val="none" w:sz="0" w:space="0" w:color="auto"/>
        <w:bottom w:val="none" w:sz="0" w:space="0" w:color="auto"/>
        <w:right w:val="none" w:sz="0" w:space="0" w:color="auto"/>
      </w:divBdr>
    </w:div>
    <w:div w:id="853110744">
      <w:bodyDiv w:val="1"/>
      <w:marLeft w:val="0"/>
      <w:marRight w:val="0"/>
      <w:marTop w:val="0"/>
      <w:marBottom w:val="0"/>
      <w:divBdr>
        <w:top w:val="none" w:sz="0" w:space="0" w:color="auto"/>
        <w:left w:val="none" w:sz="0" w:space="0" w:color="auto"/>
        <w:bottom w:val="none" w:sz="0" w:space="0" w:color="auto"/>
        <w:right w:val="none" w:sz="0" w:space="0" w:color="auto"/>
      </w:divBdr>
    </w:div>
    <w:div w:id="1340936290">
      <w:bodyDiv w:val="1"/>
      <w:marLeft w:val="0"/>
      <w:marRight w:val="0"/>
      <w:marTop w:val="0"/>
      <w:marBottom w:val="0"/>
      <w:divBdr>
        <w:top w:val="none" w:sz="0" w:space="0" w:color="auto"/>
        <w:left w:val="none" w:sz="0" w:space="0" w:color="auto"/>
        <w:bottom w:val="none" w:sz="0" w:space="0" w:color="auto"/>
        <w:right w:val="none" w:sz="0" w:space="0" w:color="auto"/>
      </w:divBdr>
    </w:div>
    <w:div w:id="1386293997">
      <w:bodyDiv w:val="1"/>
      <w:marLeft w:val="0"/>
      <w:marRight w:val="0"/>
      <w:marTop w:val="0"/>
      <w:marBottom w:val="0"/>
      <w:divBdr>
        <w:top w:val="none" w:sz="0" w:space="0" w:color="auto"/>
        <w:left w:val="none" w:sz="0" w:space="0" w:color="auto"/>
        <w:bottom w:val="none" w:sz="0" w:space="0" w:color="auto"/>
        <w:right w:val="none" w:sz="0" w:space="0" w:color="auto"/>
      </w:divBdr>
    </w:div>
    <w:div w:id="2043629825">
      <w:bodyDiv w:val="1"/>
      <w:marLeft w:val="0"/>
      <w:marRight w:val="0"/>
      <w:marTop w:val="0"/>
      <w:marBottom w:val="0"/>
      <w:divBdr>
        <w:top w:val="none" w:sz="0" w:space="0" w:color="auto"/>
        <w:left w:val="none" w:sz="0" w:space="0" w:color="auto"/>
        <w:bottom w:val="none" w:sz="0" w:space="0" w:color="auto"/>
        <w:right w:val="none" w:sz="0" w:space="0" w:color="auto"/>
      </w:divBdr>
    </w:div>
    <w:div w:id="209971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se.gov.it/images/stories/documenti/PNIEC_finale_17012020.pdf" TargetMode="External"/><Relationship Id="rId5" Type="http://schemas.openxmlformats.org/officeDocument/2006/relationships/webSettings" Target="webSettings.xml"/><Relationship Id="rId10" Type="http://schemas.openxmlformats.org/officeDocument/2006/relationships/hyperlink" Target="http://entilocali.leggiditalia.it/" TargetMode="External"/><Relationship Id="rId4" Type="http://schemas.openxmlformats.org/officeDocument/2006/relationships/settings" Target="settings.xml"/><Relationship Id="rId9" Type="http://schemas.openxmlformats.org/officeDocument/2006/relationships/hyperlink" Target="https://eur-lex.europa.eu/legal-content/IT/TXT/?uri=uriserv%3AOJ.L_.2018.328.01.0082.01.ITA"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B3FAB-54FE-44A4-AA8B-455B7604A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29516</Words>
  <Characters>168243</Characters>
  <Application>Microsoft Office Word</Application>
  <DocSecurity>0</DocSecurity>
  <Lines>1402</Lines>
  <Paragraphs>394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CAMINITI Diana</dc:creator>
  <cp:keywords/>
  <dc:description/>
  <cp:lastModifiedBy>POLI Vito</cp:lastModifiedBy>
  <cp:revision>2</cp:revision>
  <cp:lastPrinted>2023-07-21T11:32:00Z</cp:lastPrinted>
  <dcterms:created xsi:type="dcterms:W3CDTF">2023-07-31T17:16:00Z</dcterms:created>
  <dcterms:modified xsi:type="dcterms:W3CDTF">2023-07-31T17:16:00Z</dcterms:modified>
</cp:coreProperties>
</file>