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920" w:rsidRDefault="007B4920" w:rsidP="007B4920">
      <w:pPr>
        <w:jc w:val="both"/>
        <w:rPr>
          <w:rFonts w:ascii="Palatino Linotype" w:hAnsi="Palatino Linotype" w:cs="Times New Roman"/>
          <w:b/>
          <w:color w:val="000000" w:themeColor="text1"/>
          <w:sz w:val="24"/>
          <w:szCs w:val="24"/>
        </w:rPr>
      </w:pPr>
    </w:p>
    <w:p w:rsidR="007B4920" w:rsidRDefault="007B4920" w:rsidP="007B4920">
      <w:pPr>
        <w:jc w:val="both"/>
        <w:rPr>
          <w:rFonts w:ascii="Palatino Linotype" w:hAnsi="Palatino Linotype" w:cs="Times New Roman"/>
          <w:b/>
          <w:color w:val="000000" w:themeColor="text1"/>
          <w:sz w:val="24"/>
          <w:szCs w:val="24"/>
        </w:rPr>
      </w:pPr>
    </w:p>
    <w:p w:rsidR="007B4920" w:rsidRDefault="007B4920" w:rsidP="007B4920">
      <w:pPr>
        <w:ind w:left="4111"/>
        <w:jc w:val="both"/>
        <w:rPr>
          <w:b/>
          <w:bCs/>
          <w:color w:val="000000"/>
        </w:rPr>
      </w:pPr>
      <w:r>
        <w:rPr>
          <w:noProof/>
          <w:lang w:eastAsia="it-IT"/>
        </w:rPr>
        <w:drawing>
          <wp:inline distT="0" distB="0" distL="0" distR="0" wp14:anchorId="65AF1739" wp14:editId="091AC612">
            <wp:extent cx="914400" cy="1022350"/>
            <wp:effectExtent l="0" t="0" r="0" b="6350"/>
            <wp:docPr id="2" name="Immagine 2" descr="Senza 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nza nom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14400" cy="1022350"/>
                    </a:xfrm>
                    <a:prstGeom prst="rect">
                      <a:avLst/>
                    </a:prstGeom>
                    <a:noFill/>
                    <a:ln>
                      <a:noFill/>
                    </a:ln>
                  </pic:spPr>
                </pic:pic>
              </a:graphicData>
            </a:graphic>
          </wp:inline>
        </w:drawing>
      </w:r>
    </w:p>
    <w:p w:rsidR="007B4920" w:rsidRDefault="007B4920" w:rsidP="007B4920">
      <w:pPr>
        <w:jc w:val="center"/>
        <w:rPr>
          <w:rFonts w:ascii="Kunstler Script" w:hAnsi="Kunstler Script"/>
          <w:sz w:val="80"/>
          <w:szCs w:val="80"/>
        </w:rPr>
      </w:pPr>
      <w:r>
        <w:rPr>
          <w:rFonts w:ascii="Kunstler Script" w:hAnsi="Kunstler Script"/>
          <w:sz w:val="80"/>
          <w:szCs w:val="80"/>
        </w:rPr>
        <w:t xml:space="preserve">Ufficio del massimario </w:t>
      </w:r>
    </w:p>
    <w:p w:rsidR="007B4920" w:rsidRDefault="007B4920" w:rsidP="007B4920">
      <w:pPr>
        <w:jc w:val="center"/>
        <w:rPr>
          <w:rFonts w:ascii="Kunstler Script" w:hAnsi="Kunstler Script"/>
          <w:i/>
          <w:iCs/>
          <w:sz w:val="80"/>
          <w:szCs w:val="80"/>
        </w:rPr>
      </w:pPr>
      <w:r>
        <w:rPr>
          <w:rFonts w:ascii="Kunstler Script" w:hAnsi="Kunstler Script"/>
          <w:i/>
          <w:iCs/>
          <w:sz w:val="80"/>
          <w:szCs w:val="80"/>
        </w:rPr>
        <w:t>della Giustizia amministrativa</w:t>
      </w:r>
    </w:p>
    <w:p w:rsidR="007B4920" w:rsidRDefault="007B4920" w:rsidP="007B4920">
      <w:pPr>
        <w:pStyle w:val="xmsonormal"/>
        <w:shd w:val="clear" w:color="auto" w:fill="FFFFFF"/>
        <w:spacing w:before="0" w:beforeAutospacing="0" w:after="0" w:afterAutospacing="0"/>
        <w:ind w:left="3661" w:right="2783" w:hanging="533"/>
        <w:jc w:val="center"/>
        <w:rPr>
          <w:b/>
          <w:bCs/>
          <w:color w:val="002060"/>
          <w:bdr w:val="none" w:sz="0" w:space="0" w:color="auto" w:frame="1"/>
        </w:rPr>
      </w:pPr>
    </w:p>
    <w:p w:rsidR="007B4920" w:rsidRDefault="007B4920" w:rsidP="007B4920">
      <w:pPr>
        <w:pStyle w:val="xmsonormal"/>
        <w:shd w:val="clear" w:color="auto" w:fill="FFFFFF"/>
        <w:spacing w:before="0" w:beforeAutospacing="0" w:after="0" w:afterAutospacing="0"/>
        <w:ind w:left="3661" w:right="2783" w:hanging="533"/>
        <w:jc w:val="center"/>
        <w:rPr>
          <w:b/>
          <w:bCs/>
          <w:color w:val="002060"/>
          <w:bdr w:val="none" w:sz="0" w:space="0" w:color="auto" w:frame="1"/>
        </w:rPr>
      </w:pPr>
    </w:p>
    <w:p w:rsidR="007B4920" w:rsidRDefault="007B4920" w:rsidP="007B4920">
      <w:pPr>
        <w:pStyle w:val="xmsonormal"/>
        <w:shd w:val="clear" w:color="auto" w:fill="FFFFFF"/>
        <w:spacing w:before="0" w:beforeAutospacing="0" w:after="0" w:afterAutospacing="0"/>
        <w:ind w:left="3661" w:right="2783" w:hanging="533"/>
        <w:jc w:val="center"/>
        <w:rPr>
          <w:rFonts w:ascii="Palatino Linotype" w:hAnsi="Palatino Linotype"/>
          <w:b/>
          <w:bCs/>
          <w:color w:val="002060"/>
          <w:sz w:val="28"/>
          <w:szCs w:val="28"/>
          <w:bdr w:val="none" w:sz="0" w:space="0" w:color="auto" w:frame="1"/>
        </w:rPr>
      </w:pPr>
      <w:r>
        <w:rPr>
          <w:rFonts w:ascii="Calibri" w:hAnsi="Calibri" w:cs="Calibri"/>
          <w:noProof/>
          <w:sz w:val="40"/>
          <w:szCs w:val="40"/>
        </w:rPr>
        <w:drawing>
          <wp:inline distT="0" distB="0" distL="0" distR="0" wp14:anchorId="632D4447" wp14:editId="5AA14A48">
            <wp:extent cx="1212215" cy="693420"/>
            <wp:effectExtent l="0" t="0" r="6985" b="0"/>
            <wp:docPr id="1" name="Immagine 1" descr="F44B1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44B10CB"/>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12215" cy="693420"/>
                    </a:xfrm>
                    <a:prstGeom prst="rect">
                      <a:avLst/>
                    </a:prstGeom>
                    <a:noFill/>
                    <a:ln>
                      <a:noFill/>
                    </a:ln>
                  </pic:spPr>
                </pic:pic>
              </a:graphicData>
            </a:graphic>
          </wp:inline>
        </w:drawing>
      </w:r>
    </w:p>
    <w:p w:rsidR="007B4920" w:rsidRDefault="007B4920" w:rsidP="007B4920">
      <w:pPr>
        <w:pStyle w:val="xmsonormal"/>
        <w:shd w:val="clear" w:color="auto" w:fill="FFFFFF"/>
        <w:spacing w:before="0" w:beforeAutospacing="0" w:after="0" w:afterAutospacing="0"/>
        <w:rPr>
          <w:rFonts w:ascii="Palatino Linotype" w:hAnsi="Palatino Linotype"/>
          <w:color w:val="000000"/>
          <w:sz w:val="28"/>
          <w:szCs w:val="28"/>
        </w:rPr>
      </w:pPr>
    </w:p>
    <w:p w:rsidR="007B4920" w:rsidRDefault="007B4920" w:rsidP="007B4920">
      <w:pPr>
        <w:pStyle w:val="Default"/>
      </w:pPr>
    </w:p>
    <w:p w:rsidR="007B4920" w:rsidRDefault="007B4920" w:rsidP="007B4920">
      <w:pPr>
        <w:pStyle w:val="Default"/>
        <w:jc w:val="center"/>
        <w:rPr>
          <w:sz w:val="28"/>
          <w:szCs w:val="28"/>
        </w:rPr>
      </w:pPr>
      <w:r>
        <w:rPr>
          <w:b/>
          <w:bCs/>
          <w:sz w:val="28"/>
          <w:szCs w:val="28"/>
        </w:rPr>
        <w:t>RASSEGNA MONOTEMATICA DI GIURISPRUDENZA</w:t>
      </w:r>
    </w:p>
    <w:p w:rsidR="007B4920" w:rsidRDefault="007B4920" w:rsidP="007B4920">
      <w:pPr>
        <w:pStyle w:val="Default"/>
        <w:jc w:val="center"/>
        <w:rPr>
          <w:sz w:val="28"/>
          <w:szCs w:val="28"/>
        </w:rPr>
      </w:pPr>
    </w:p>
    <w:p w:rsidR="007B4920" w:rsidRDefault="007B4920" w:rsidP="007B4920">
      <w:pPr>
        <w:pStyle w:val="Default"/>
        <w:jc w:val="center"/>
        <w:rPr>
          <w:sz w:val="28"/>
          <w:szCs w:val="28"/>
        </w:rPr>
      </w:pPr>
      <w:r>
        <w:rPr>
          <w:sz w:val="28"/>
          <w:szCs w:val="28"/>
        </w:rPr>
        <w:t>a cura di Diana Caminiti – 15 novembre 2023</w:t>
      </w:r>
    </w:p>
    <w:p w:rsidR="007B4920" w:rsidRDefault="007B4920" w:rsidP="007B4920">
      <w:pPr>
        <w:jc w:val="both"/>
        <w:rPr>
          <w:rFonts w:ascii="Garamond" w:eastAsia="Times New Roman" w:hAnsi="Garamond"/>
          <w:b/>
          <w:spacing w:val="-4"/>
          <w:w w:val="105"/>
          <w:sz w:val="28"/>
          <w:szCs w:val="28"/>
        </w:rPr>
      </w:pPr>
    </w:p>
    <w:p w:rsidR="007B4920" w:rsidRDefault="007B4920" w:rsidP="007B4920">
      <w:pPr>
        <w:jc w:val="center"/>
        <w:textAlignment w:val="baseline"/>
        <w:rPr>
          <w:rFonts w:ascii="Garamond" w:hAnsi="Garamond"/>
          <w:b/>
          <w:bCs/>
          <w:sz w:val="32"/>
          <w:szCs w:val="32"/>
        </w:rPr>
      </w:pPr>
    </w:p>
    <w:p w:rsidR="007B4920" w:rsidRDefault="007B4920" w:rsidP="007B4920">
      <w:pPr>
        <w:pBdr>
          <w:top w:val="single" w:sz="4" w:space="1" w:color="auto"/>
          <w:left w:val="single" w:sz="4" w:space="4" w:color="auto"/>
          <w:bottom w:val="single" w:sz="4" w:space="1" w:color="auto"/>
          <w:right w:val="single" w:sz="4" w:space="4" w:color="auto"/>
        </w:pBdr>
        <w:jc w:val="center"/>
        <w:textAlignment w:val="baseline"/>
        <w:rPr>
          <w:rFonts w:ascii="Garamond" w:hAnsi="Garamond"/>
          <w:b/>
          <w:bCs/>
          <w:sz w:val="32"/>
          <w:szCs w:val="32"/>
        </w:rPr>
      </w:pPr>
      <w:r>
        <w:rPr>
          <w:rFonts w:ascii="Garamond" w:hAnsi="Garamond"/>
          <w:b/>
          <w:bCs/>
          <w:sz w:val="32"/>
          <w:szCs w:val="32"/>
        </w:rPr>
        <w:t>Le controversie</w:t>
      </w:r>
      <w:r w:rsidRPr="0095655A">
        <w:rPr>
          <w:rFonts w:ascii="Garamond" w:hAnsi="Garamond"/>
          <w:b/>
          <w:bCs/>
          <w:sz w:val="32"/>
          <w:szCs w:val="32"/>
        </w:rPr>
        <w:t xml:space="preserve"> </w:t>
      </w:r>
      <w:r>
        <w:rPr>
          <w:rFonts w:ascii="Garamond" w:hAnsi="Garamond"/>
          <w:b/>
          <w:bCs/>
          <w:sz w:val="32"/>
          <w:szCs w:val="32"/>
        </w:rPr>
        <w:t>in materia di incentivi energetici. Il G.s.e.</w:t>
      </w:r>
    </w:p>
    <w:p w:rsidR="007B4920" w:rsidRDefault="007B4920" w:rsidP="007B4920">
      <w:pPr>
        <w:jc w:val="both"/>
        <w:rPr>
          <w:rFonts w:ascii="Palatino Linotype" w:hAnsi="Palatino Linotype" w:cs="Times New Roman"/>
          <w:b/>
          <w:color w:val="000000" w:themeColor="text1"/>
          <w:sz w:val="24"/>
          <w:szCs w:val="24"/>
        </w:rPr>
      </w:pPr>
    </w:p>
    <w:p w:rsidR="007B4920" w:rsidRPr="00A75C8B" w:rsidRDefault="007B4920" w:rsidP="007B4920">
      <w:pPr>
        <w:spacing w:line="240" w:lineRule="auto"/>
        <w:contextualSpacing/>
        <w:jc w:val="both"/>
        <w:rPr>
          <w:rFonts w:ascii="Garamond" w:hAnsi="Garamond" w:cs="Times New Roman"/>
          <w:color w:val="000000" w:themeColor="text1"/>
          <w:sz w:val="24"/>
          <w:szCs w:val="24"/>
        </w:rPr>
      </w:pPr>
      <w:r w:rsidRPr="00A75C8B">
        <w:rPr>
          <w:rFonts w:ascii="Garamond" w:hAnsi="Garamond" w:cs="Times New Roman"/>
          <w:color w:val="000000" w:themeColor="text1"/>
          <w:sz w:val="24"/>
          <w:szCs w:val="24"/>
        </w:rPr>
        <w:t xml:space="preserve">Premessa. </w:t>
      </w:r>
      <w:r w:rsidRPr="00A75C8B">
        <w:rPr>
          <w:rFonts w:ascii="Garamond" w:hAnsi="Garamond" w:cs="Times New Roman"/>
          <w:b/>
          <w:color w:val="000000" w:themeColor="text1"/>
          <w:sz w:val="24"/>
          <w:szCs w:val="24"/>
        </w:rPr>
        <w:t>§ 1. Il Gestore dei servizi energetici (G.s.e.). §</w:t>
      </w:r>
      <w:r w:rsidRPr="00A75C8B">
        <w:rPr>
          <w:rFonts w:ascii="Garamond" w:hAnsi="Garamond"/>
          <w:b/>
        </w:rPr>
        <w:t xml:space="preserve"> </w:t>
      </w:r>
      <w:r w:rsidRPr="00A75C8B">
        <w:rPr>
          <w:rFonts w:ascii="Garamond" w:hAnsi="Garamond" w:cs="Times New Roman"/>
          <w:b/>
          <w:color w:val="000000" w:themeColor="text1"/>
          <w:sz w:val="24"/>
          <w:szCs w:val="24"/>
        </w:rPr>
        <w:t xml:space="preserve">2. Le procedure di vendita dell’energia § 3. Il </w:t>
      </w:r>
      <w:r w:rsidRPr="00A75C8B">
        <w:rPr>
          <w:rFonts w:ascii="Garamond" w:hAnsi="Garamond" w:cs="Times New Roman"/>
          <w:b/>
          <w:i/>
          <w:color w:val="000000" w:themeColor="text1"/>
          <w:sz w:val="24"/>
          <w:szCs w:val="24"/>
        </w:rPr>
        <w:t xml:space="preserve">favor </w:t>
      </w:r>
      <w:r w:rsidRPr="00A75C8B">
        <w:rPr>
          <w:rFonts w:ascii="Garamond" w:hAnsi="Garamond" w:cs="Times New Roman"/>
          <w:b/>
          <w:color w:val="000000" w:themeColor="text1"/>
          <w:sz w:val="24"/>
          <w:szCs w:val="24"/>
        </w:rPr>
        <w:t>della normativa internazionale ed eurounitaria per l’energia prodotta da fonti rinnovabili</w:t>
      </w:r>
      <w:r w:rsidRPr="00A75C8B">
        <w:rPr>
          <w:rFonts w:ascii="Garamond" w:hAnsi="Garamond" w:cs="Times New Roman"/>
          <w:color w:val="000000" w:themeColor="text1"/>
          <w:sz w:val="24"/>
          <w:szCs w:val="24"/>
        </w:rPr>
        <w:t xml:space="preserve">. § 3.1. I gas ad effetto serra. I certificati CO2. § </w:t>
      </w:r>
      <w:r>
        <w:rPr>
          <w:rFonts w:ascii="Garamond" w:hAnsi="Garamond" w:cs="Times New Roman"/>
          <w:color w:val="000000" w:themeColor="text1"/>
          <w:sz w:val="24"/>
          <w:szCs w:val="24"/>
        </w:rPr>
        <w:t>3.2</w:t>
      </w:r>
      <w:r w:rsidRPr="00A75C8B">
        <w:rPr>
          <w:rFonts w:ascii="Garamond" w:hAnsi="Garamond" w:cs="Times New Roman"/>
          <w:color w:val="000000" w:themeColor="text1"/>
          <w:sz w:val="24"/>
          <w:szCs w:val="24"/>
        </w:rPr>
        <w:t xml:space="preserve">. Le principali questioni esaminate dalla giurisprudenza. </w:t>
      </w:r>
      <w:r>
        <w:rPr>
          <w:rFonts w:ascii="Garamond" w:hAnsi="Garamond" w:cs="Times New Roman"/>
          <w:color w:val="000000" w:themeColor="text1"/>
          <w:sz w:val="24"/>
          <w:szCs w:val="24"/>
        </w:rPr>
        <w:t>3.3</w:t>
      </w:r>
      <w:r w:rsidRPr="00A75C8B">
        <w:rPr>
          <w:rFonts w:ascii="Garamond" w:hAnsi="Garamond" w:cs="Times New Roman"/>
          <w:color w:val="000000" w:themeColor="text1"/>
          <w:sz w:val="24"/>
          <w:szCs w:val="24"/>
        </w:rPr>
        <w:t>. Cenni sulla nuova disciplina del 2023.</w:t>
      </w:r>
      <w:r>
        <w:rPr>
          <w:rFonts w:ascii="Garamond" w:hAnsi="Garamond" w:cs="Times New Roman"/>
          <w:b/>
          <w:color w:val="000000" w:themeColor="text1"/>
          <w:sz w:val="24"/>
          <w:szCs w:val="24"/>
        </w:rPr>
        <w:t xml:space="preserve"> </w:t>
      </w:r>
      <w:r w:rsidRPr="00A75C8B">
        <w:rPr>
          <w:rFonts w:ascii="Garamond" w:hAnsi="Garamond" w:cs="Times New Roman"/>
          <w:b/>
          <w:color w:val="000000" w:themeColor="text1"/>
          <w:sz w:val="24"/>
          <w:szCs w:val="24"/>
        </w:rPr>
        <w:t xml:space="preserve">§ 4. La natura degli atti del G.s.e.: il potere di verifica sulla quota d’obbligo e i certificati verdi. </w:t>
      </w:r>
      <w:r>
        <w:rPr>
          <w:rFonts w:ascii="Garamond" w:hAnsi="Garamond" w:cs="Times New Roman"/>
          <w:b/>
          <w:color w:val="000000" w:themeColor="text1"/>
          <w:sz w:val="24"/>
          <w:szCs w:val="24"/>
        </w:rPr>
        <w:t xml:space="preserve">§ </w:t>
      </w:r>
      <w:r w:rsidRPr="003D586D">
        <w:rPr>
          <w:rFonts w:ascii="Garamond" w:hAnsi="Garamond" w:cs="Times New Roman"/>
          <w:color w:val="000000" w:themeColor="text1"/>
          <w:sz w:val="24"/>
          <w:szCs w:val="24"/>
        </w:rPr>
        <w:t xml:space="preserve">4.1. Il potere di verifica. § 4.2. I certificati verdi. </w:t>
      </w:r>
      <w:r w:rsidRPr="00A75C8B">
        <w:rPr>
          <w:rFonts w:ascii="Garamond" w:hAnsi="Garamond" w:cs="Times New Roman"/>
          <w:b/>
          <w:color w:val="000000" w:themeColor="text1"/>
          <w:sz w:val="24"/>
          <w:szCs w:val="24"/>
        </w:rPr>
        <w:t>§ 5. Il superamento dei certificati verdi: le tariffe omnicomprensive. § 6.</w:t>
      </w:r>
      <w:r w:rsidRPr="00A75C8B">
        <w:rPr>
          <w:rFonts w:ascii="Garamond" w:hAnsi="Garamond"/>
          <w:b/>
        </w:rPr>
        <w:t xml:space="preserve"> </w:t>
      </w:r>
      <w:r w:rsidRPr="00A75C8B">
        <w:rPr>
          <w:rFonts w:ascii="Garamond" w:hAnsi="Garamond" w:cs="Times New Roman"/>
          <w:b/>
          <w:color w:val="000000" w:themeColor="text1"/>
          <w:sz w:val="24"/>
          <w:szCs w:val="24"/>
        </w:rPr>
        <w:t>Gli incentivi per gli impianti fotovoltaici.</w:t>
      </w:r>
      <w:r w:rsidRPr="00A75C8B">
        <w:rPr>
          <w:rFonts w:ascii="Garamond" w:hAnsi="Garamond" w:cs="Times New Roman"/>
          <w:color w:val="000000" w:themeColor="text1"/>
          <w:sz w:val="24"/>
          <w:szCs w:val="24"/>
        </w:rPr>
        <w:t xml:space="preserve"> § 6.1 I conti energia. § 6.2. L’aggiornamento delle tariffe. § 6.3. Il quarto conto energia. La disciplina transitoria. § 6.4. Il quinto conto energia. </w:t>
      </w:r>
      <w:r w:rsidRPr="00A75C8B">
        <w:rPr>
          <w:rFonts w:ascii="Garamond" w:hAnsi="Garamond" w:cs="Times New Roman"/>
          <w:b/>
          <w:color w:val="000000" w:themeColor="text1"/>
          <w:sz w:val="24"/>
          <w:szCs w:val="24"/>
        </w:rPr>
        <w:t>§ 7 L’Incentivazione dell'energia elettrica prodotta da fonti rinnovabili diverse dal fotovoltaico. Gli impianti idroelettrici. § 8. Regimi di sostegno per la produzione di energia termica da fonti rinnovabili e per l'efficienza energetica.</w:t>
      </w:r>
      <w:r w:rsidRPr="00A75C8B">
        <w:rPr>
          <w:rFonts w:ascii="Garamond" w:hAnsi="Garamond" w:cs="Times New Roman"/>
          <w:color w:val="000000" w:themeColor="text1"/>
          <w:sz w:val="24"/>
          <w:szCs w:val="24"/>
        </w:rPr>
        <w:t xml:space="preserve"> § 8.1.  Il conto termico. § 8.2. I certificati bianchi. </w:t>
      </w:r>
      <w:r w:rsidRPr="00237040">
        <w:rPr>
          <w:rFonts w:ascii="Garamond" w:hAnsi="Garamond" w:cs="Times New Roman"/>
          <w:color w:val="000000" w:themeColor="text1"/>
          <w:sz w:val="24"/>
          <w:szCs w:val="24"/>
        </w:rPr>
        <w:t>§ 8.2.1. La posizione della giurisprudenza.</w:t>
      </w:r>
      <w:r>
        <w:rPr>
          <w:rFonts w:ascii="Garamond" w:hAnsi="Garamond" w:cs="Times New Roman"/>
          <w:b/>
          <w:color w:val="000000" w:themeColor="text1"/>
          <w:sz w:val="24"/>
          <w:szCs w:val="24"/>
        </w:rPr>
        <w:t xml:space="preserve"> § </w:t>
      </w:r>
      <w:r w:rsidRPr="00A75C8B">
        <w:rPr>
          <w:rFonts w:ascii="Garamond" w:hAnsi="Garamond" w:cs="Times New Roman"/>
          <w:b/>
          <w:color w:val="000000" w:themeColor="text1"/>
          <w:sz w:val="24"/>
          <w:szCs w:val="24"/>
        </w:rPr>
        <w:t>9. Impianti a biomasse, bioliquidi, biogas. § 10.  Gli impianti di cogenerazione.</w:t>
      </w:r>
      <w:r w:rsidRPr="00A75C8B">
        <w:rPr>
          <w:rFonts w:ascii="Garamond" w:hAnsi="Garamond" w:cs="Times New Roman"/>
          <w:color w:val="000000" w:themeColor="text1"/>
          <w:sz w:val="24"/>
          <w:szCs w:val="24"/>
        </w:rPr>
        <w:t xml:space="preserve"> </w:t>
      </w:r>
      <w:r w:rsidRPr="004E7680">
        <w:rPr>
          <w:rFonts w:ascii="Garamond" w:hAnsi="Garamond" w:cs="Times New Roman"/>
          <w:color w:val="000000" w:themeColor="text1"/>
          <w:sz w:val="24"/>
          <w:szCs w:val="24"/>
        </w:rPr>
        <w:t>§10.1. La posizione della giurisprudenza. § 10.2. I Gas ad effetto serra prodotti da impianto di cogenerazione</w:t>
      </w:r>
      <w:r>
        <w:rPr>
          <w:rFonts w:ascii="Garamond" w:hAnsi="Garamond" w:cs="Times New Roman"/>
          <w:color w:val="000000" w:themeColor="text1"/>
          <w:sz w:val="24"/>
          <w:szCs w:val="24"/>
        </w:rPr>
        <w:t>.</w:t>
      </w:r>
      <w:r w:rsidRPr="00A75C8B">
        <w:rPr>
          <w:rFonts w:ascii="Garamond" w:hAnsi="Garamond" w:cs="Times New Roman"/>
          <w:color w:val="000000" w:themeColor="text1"/>
          <w:sz w:val="24"/>
          <w:szCs w:val="24"/>
        </w:rPr>
        <w:t xml:space="preserve"> </w:t>
      </w:r>
      <w:r w:rsidRPr="00A75C8B">
        <w:rPr>
          <w:rFonts w:ascii="Garamond" w:hAnsi="Garamond" w:cs="Times New Roman"/>
          <w:b/>
          <w:color w:val="000000" w:themeColor="text1"/>
          <w:sz w:val="24"/>
          <w:szCs w:val="24"/>
        </w:rPr>
        <w:t xml:space="preserve">§ 11. </w:t>
      </w:r>
      <w:r w:rsidRPr="00A75C8B">
        <w:rPr>
          <w:rFonts w:ascii="Garamond" w:hAnsi="Garamond" w:cs="Times New Roman"/>
          <w:b/>
          <w:color w:val="000000" w:themeColor="text1"/>
          <w:sz w:val="24"/>
          <w:szCs w:val="24"/>
        </w:rPr>
        <w:lastRenderedPageBreak/>
        <w:t>Il potere di disporre l’erogazione dei benefici e la decadenza.</w:t>
      </w:r>
      <w:r w:rsidRPr="00A75C8B">
        <w:rPr>
          <w:rFonts w:ascii="Garamond" w:hAnsi="Garamond" w:cs="Times New Roman"/>
          <w:color w:val="000000" w:themeColor="text1"/>
          <w:sz w:val="24"/>
          <w:szCs w:val="24"/>
        </w:rPr>
        <w:t xml:space="preserve"> §</w:t>
      </w:r>
      <w:r w:rsidRPr="004E7680">
        <w:rPr>
          <w:rFonts w:ascii="Garamond" w:hAnsi="Garamond" w:cs="Times New Roman"/>
          <w:sz w:val="24"/>
          <w:szCs w:val="24"/>
        </w:rPr>
        <w:t>11.1. L’attribuzione del beneficio.</w:t>
      </w:r>
      <w:r>
        <w:rPr>
          <w:rFonts w:ascii="Garamond" w:hAnsi="Garamond" w:cs="Times New Roman"/>
          <w:sz w:val="24"/>
          <w:szCs w:val="24"/>
        </w:rPr>
        <w:t xml:space="preserve"> § </w:t>
      </w:r>
      <w:r w:rsidRPr="004E7680">
        <w:rPr>
          <w:rFonts w:ascii="Garamond" w:hAnsi="Garamond" w:cs="Times New Roman"/>
          <w:color w:val="000000" w:themeColor="text1"/>
          <w:sz w:val="24"/>
          <w:szCs w:val="24"/>
        </w:rPr>
        <w:t>11.2. La decadenza.</w:t>
      </w:r>
      <w:r>
        <w:rPr>
          <w:rFonts w:ascii="Garamond" w:hAnsi="Garamond" w:cs="Times New Roman"/>
          <w:b/>
          <w:color w:val="000000" w:themeColor="text1"/>
          <w:sz w:val="24"/>
          <w:szCs w:val="24"/>
        </w:rPr>
        <w:t xml:space="preserve"> </w:t>
      </w:r>
      <w:r>
        <w:rPr>
          <w:rFonts w:ascii="Garamond" w:hAnsi="Garamond" w:cs="Times New Roman"/>
          <w:color w:val="000000" w:themeColor="text1"/>
          <w:sz w:val="24"/>
          <w:szCs w:val="24"/>
        </w:rPr>
        <w:t xml:space="preserve">§ </w:t>
      </w:r>
      <w:r w:rsidRPr="00A75C8B">
        <w:rPr>
          <w:rFonts w:ascii="Garamond" w:hAnsi="Garamond" w:cs="Times New Roman"/>
          <w:color w:val="000000" w:themeColor="text1"/>
          <w:sz w:val="24"/>
          <w:szCs w:val="24"/>
        </w:rPr>
        <w:t xml:space="preserve">11.3. Il rilascio dell’autorizzazione e la titolarità dell’impianto come presupposto per la concessione degli incentivi. § 11.4. Decadenza, rimodulazione delle tariffe, autoresponsabilità e tutela dell’affidamento. § 11.5. Applicabilità </w:t>
      </w:r>
      <w:r w:rsidRPr="00A75C8B">
        <w:rPr>
          <w:rFonts w:ascii="Garamond" w:hAnsi="Garamond" w:cs="Times New Roman"/>
          <w:i/>
          <w:color w:val="000000" w:themeColor="text1"/>
          <w:sz w:val="24"/>
          <w:szCs w:val="24"/>
        </w:rPr>
        <w:t>ratione temporis</w:t>
      </w:r>
      <w:r w:rsidRPr="00A75C8B">
        <w:rPr>
          <w:rFonts w:ascii="Garamond" w:hAnsi="Garamond" w:cs="Times New Roman"/>
          <w:color w:val="000000" w:themeColor="text1"/>
          <w:sz w:val="24"/>
          <w:szCs w:val="24"/>
        </w:rPr>
        <w:t xml:space="preserve"> del nuovo testo dell’art. 42, comma 3, d.lgs. n. 28 del 2011, come modificato dall’art. 56, comma 7, del d.l. n. 76 del 2020 e ricadute processuali. § 11.6. Decadenza e violazione del divieto di artato frazionamento degli impianti. § 11.7. Inammissibilità dell’azione sul silenzio a seguito dell’adozione di un provvedimento di decadenza. § </w:t>
      </w:r>
      <w:r w:rsidRPr="00A75C8B">
        <w:rPr>
          <w:rFonts w:ascii="Garamond" w:hAnsi="Garamond" w:cs="Times New Roman"/>
          <w:b/>
          <w:color w:val="000000" w:themeColor="text1"/>
          <w:sz w:val="24"/>
          <w:szCs w:val="24"/>
        </w:rPr>
        <w:t>12. Divieto di cumulo delle tariffe incentivanti e della detassazione. § 13. La forza vincolante delle regole tecniche dettate dal G.s.e. § 14. Casistiche particolari.</w:t>
      </w:r>
      <w:r w:rsidRPr="00A75C8B">
        <w:rPr>
          <w:rFonts w:ascii="Garamond" w:hAnsi="Garamond" w:cs="Times New Roman"/>
          <w:color w:val="000000" w:themeColor="text1"/>
          <w:sz w:val="24"/>
          <w:szCs w:val="24"/>
        </w:rPr>
        <w:t xml:space="preserve"> § 14.1. Impianto fotovoltaico su stalla. § 14.2.  Impianto fotovoltaico istallato su manufatto parzialmente aperto. §14.3. Impianto fotovoltaico su cava. </w:t>
      </w:r>
      <w:r w:rsidRPr="00A75C8B">
        <w:rPr>
          <w:rFonts w:ascii="Garamond" w:hAnsi="Garamond" w:cs="Times New Roman"/>
          <w:b/>
          <w:color w:val="000000" w:themeColor="text1"/>
          <w:sz w:val="24"/>
          <w:szCs w:val="24"/>
        </w:rPr>
        <w:t>§ 15 Obbligo di cooperazione tra giudici nazionali e Corte di giustizia § 16. Questioni di giurisdizione. § 17 La competenza territoriale del T.a.r. per il Lazio. § 18. Conclusioni.</w:t>
      </w:r>
    </w:p>
    <w:p w:rsidR="007B4920" w:rsidRDefault="007B4920" w:rsidP="007B4920">
      <w:pPr>
        <w:spacing w:line="240" w:lineRule="auto"/>
        <w:contextualSpacing/>
        <w:jc w:val="both"/>
        <w:rPr>
          <w:rFonts w:ascii="Garamond" w:hAnsi="Garamond"/>
          <w:b/>
          <w:bCs/>
          <w:sz w:val="28"/>
          <w:szCs w:val="28"/>
        </w:rPr>
      </w:pPr>
    </w:p>
    <w:p w:rsidR="007B4920" w:rsidRPr="00BF2644" w:rsidRDefault="007B4920" w:rsidP="007B4920">
      <w:pPr>
        <w:spacing w:line="240" w:lineRule="auto"/>
        <w:contextualSpacing/>
        <w:jc w:val="both"/>
        <w:rPr>
          <w:rFonts w:ascii="Garamond" w:hAnsi="Garamond" w:cs="Times New Roman"/>
          <w:color w:val="000000" w:themeColor="text1"/>
          <w:sz w:val="28"/>
          <w:szCs w:val="28"/>
        </w:rPr>
      </w:pPr>
      <w:r w:rsidRPr="00BF2644">
        <w:rPr>
          <w:rFonts w:ascii="Garamond" w:hAnsi="Garamond"/>
          <w:b/>
          <w:bCs/>
          <w:sz w:val="28"/>
          <w:szCs w:val="28"/>
        </w:rPr>
        <w:t>Premessa</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BF2644">
        <w:rPr>
          <w:rFonts w:ascii="Garamond" w:hAnsi="Garamond" w:cs="Times New Roman"/>
          <w:color w:val="000000" w:themeColor="text1"/>
          <w:sz w:val="28"/>
          <w:szCs w:val="28"/>
        </w:rPr>
        <w:t>Il presente studio esamina, senza alcuna pretesa di esaustività,</w:t>
      </w:r>
      <w:r>
        <w:rPr>
          <w:rFonts w:ascii="Garamond" w:hAnsi="Garamond" w:cs="Times New Roman"/>
          <w:color w:val="000000" w:themeColor="text1"/>
          <w:sz w:val="28"/>
          <w:szCs w:val="28"/>
        </w:rPr>
        <w:t xml:space="preserve"> la</w:t>
      </w:r>
      <w:r w:rsidRPr="00BF2644">
        <w:rPr>
          <w:rFonts w:ascii="Garamond" w:hAnsi="Garamond" w:cs="Times New Roman"/>
          <w:color w:val="000000" w:themeColor="text1"/>
          <w:sz w:val="28"/>
          <w:szCs w:val="28"/>
        </w:rPr>
        <w:t xml:space="preserve"> giurisprudenz</w:t>
      </w:r>
      <w:r>
        <w:rPr>
          <w:rFonts w:ascii="Garamond" w:hAnsi="Garamond" w:cs="Times New Roman"/>
          <w:color w:val="000000" w:themeColor="text1"/>
          <w:sz w:val="28"/>
          <w:szCs w:val="28"/>
        </w:rPr>
        <w:t xml:space="preserve">a delle giurisdizioni superiori, della Corte costituzionale e della Corte di giustizia U.E. relativamente alle controversie </w:t>
      </w:r>
      <w:r w:rsidRPr="00A75C8B">
        <w:rPr>
          <w:rFonts w:ascii="Garamond" w:hAnsi="Garamond" w:cs="Times New Roman"/>
          <w:color w:val="000000" w:themeColor="text1"/>
          <w:sz w:val="28"/>
          <w:szCs w:val="28"/>
        </w:rPr>
        <w:t>in cui è parte</w:t>
      </w:r>
      <w:r>
        <w:rPr>
          <w:rFonts w:ascii="Garamond" w:hAnsi="Garamond" w:cs="Times New Roman"/>
          <w:color w:val="000000" w:themeColor="text1"/>
          <w:sz w:val="28"/>
          <w:szCs w:val="28"/>
        </w:rPr>
        <w:t xml:space="preserve"> il Gestore dei servizi energetici </w:t>
      </w:r>
      <w:r w:rsidRPr="00C16C72">
        <w:rPr>
          <w:rFonts w:ascii="Garamond" w:hAnsi="Garamond" w:cs="Times New Roman"/>
          <w:color w:val="000000" w:themeColor="text1"/>
          <w:sz w:val="28"/>
          <w:szCs w:val="28"/>
        </w:rPr>
        <w:t>(d’ora in poi per brevità G</w:t>
      </w:r>
      <w:r>
        <w:rPr>
          <w:rFonts w:ascii="Garamond" w:hAnsi="Garamond" w:cs="Times New Roman"/>
          <w:color w:val="000000" w:themeColor="text1"/>
          <w:sz w:val="28"/>
          <w:szCs w:val="28"/>
        </w:rPr>
        <w:t>.</w:t>
      </w:r>
      <w:r w:rsidRPr="00C16C72">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C16C72">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C16C72">
        <w:rPr>
          <w:rFonts w:ascii="Garamond" w:hAnsi="Garamond" w:cs="Times New Roman"/>
          <w:color w:val="000000" w:themeColor="text1"/>
          <w:sz w:val="28"/>
          <w:szCs w:val="28"/>
        </w:rPr>
        <w:t>, già Gestore della rete di trasmissione nazionale, secondo la denominazione contenuta</w:t>
      </w:r>
      <w:r>
        <w:rPr>
          <w:rFonts w:ascii="Garamond" w:hAnsi="Garamond" w:cs="Times New Roman"/>
          <w:color w:val="000000" w:themeColor="text1"/>
          <w:sz w:val="28"/>
          <w:szCs w:val="28"/>
        </w:rPr>
        <w:t xml:space="preserve"> nel d.lgs. 16 marzo 1999 n. 79</w:t>
      </w:r>
      <w:r w:rsidRPr="00C16C72">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nonché a quelle connesse </w:t>
      </w:r>
      <w:r w:rsidRPr="00A75C8B">
        <w:rPr>
          <w:rFonts w:ascii="Garamond" w:hAnsi="Garamond" w:cs="Times New Roman"/>
          <w:color w:val="000000" w:themeColor="text1"/>
          <w:sz w:val="28"/>
          <w:szCs w:val="28"/>
        </w:rPr>
        <w:t>(s</w:t>
      </w:r>
      <w:r>
        <w:rPr>
          <w:rFonts w:ascii="Garamond" w:hAnsi="Garamond" w:cs="Times New Roman"/>
          <w:color w:val="000000" w:themeColor="text1"/>
          <w:sz w:val="28"/>
          <w:szCs w:val="28"/>
        </w:rPr>
        <w:t>eppure non riferite alle controversie con il G.s.e.</w:t>
      </w:r>
      <w:r w:rsidRPr="00A75C8B">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concernenti le problematiche dei gas ad effetto  serra e i certificati C0</w:t>
      </w:r>
      <w:r w:rsidRPr="00A75C8B">
        <w:rPr>
          <w:rFonts w:ascii="Garamond" w:hAnsi="Garamond" w:cs="Times New Roman"/>
          <w:color w:val="000000" w:themeColor="text1"/>
          <w:sz w:val="28"/>
          <w:szCs w:val="28"/>
        </w:rPr>
        <w:t>2.</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Data la complessità della materia si è ritenuto di fare altresì riferimento </w:t>
      </w:r>
      <w:r w:rsidRPr="00A75C8B">
        <w:rPr>
          <w:rFonts w:ascii="Garamond" w:hAnsi="Garamond" w:cs="Times New Roman"/>
          <w:color w:val="000000" w:themeColor="text1"/>
          <w:sz w:val="28"/>
          <w:szCs w:val="28"/>
        </w:rPr>
        <w:t>espresso</w:t>
      </w:r>
      <w:r>
        <w:rPr>
          <w:rFonts w:ascii="Garamond" w:hAnsi="Garamond" w:cs="Times New Roman"/>
          <w:color w:val="000000" w:themeColor="text1"/>
          <w:sz w:val="28"/>
          <w:szCs w:val="28"/>
        </w:rPr>
        <w:t xml:space="preserve"> alla normativa di settore.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Relativamente alle questioni più generali, concernenti gli impianti di energia da fonti rinnovabili e gli impianti industriali</w:t>
      </w:r>
      <w:r w:rsidRPr="00A75C8B">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si rinvia alla precedente </w:t>
      </w:r>
      <w:r w:rsidRPr="00A75C8B">
        <w:rPr>
          <w:rFonts w:ascii="Garamond" w:hAnsi="Garamond" w:cs="Times New Roman"/>
          <w:color w:val="000000" w:themeColor="text1"/>
          <w:sz w:val="28"/>
          <w:szCs w:val="28"/>
        </w:rPr>
        <w:t>rassegna</w:t>
      </w:r>
      <w:r>
        <w:rPr>
          <w:rFonts w:ascii="Garamond" w:hAnsi="Garamond" w:cs="Times New Roman"/>
          <w:color w:val="000000" w:themeColor="text1"/>
          <w:sz w:val="28"/>
          <w:szCs w:val="28"/>
        </w:rPr>
        <w:t xml:space="preserve"> monotematica pubblicata in data 1 agosto 2023. </w:t>
      </w:r>
    </w:p>
    <w:p w:rsidR="007B4920" w:rsidRDefault="007B4920" w:rsidP="007B4920">
      <w:pPr>
        <w:spacing w:line="240" w:lineRule="auto"/>
        <w:jc w:val="both"/>
        <w:rPr>
          <w:rFonts w:ascii="Garamond" w:hAnsi="Garamond" w:cs="Times New Roman"/>
          <w:b/>
          <w:color w:val="000000" w:themeColor="text1"/>
          <w:sz w:val="28"/>
          <w:szCs w:val="28"/>
        </w:rPr>
      </w:pPr>
    </w:p>
    <w:p w:rsidR="007B4920" w:rsidRDefault="007B4920" w:rsidP="007B4920">
      <w:pPr>
        <w:spacing w:line="240" w:lineRule="auto"/>
        <w:jc w:val="both"/>
        <w:rPr>
          <w:rFonts w:ascii="Garamond" w:hAnsi="Garamond" w:cs="Times New Roman"/>
          <w:b/>
          <w:color w:val="000000" w:themeColor="text1"/>
          <w:sz w:val="28"/>
          <w:szCs w:val="28"/>
        </w:rPr>
      </w:pPr>
    </w:p>
    <w:p w:rsidR="007B4920" w:rsidRPr="009105E3" w:rsidRDefault="007B4920" w:rsidP="007B4920">
      <w:pPr>
        <w:spacing w:line="240" w:lineRule="auto"/>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1. </w:t>
      </w:r>
      <w:r w:rsidRPr="009105E3">
        <w:rPr>
          <w:rFonts w:ascii="Garamond" w:hAnsi="Garamond" w:cs="Times New Roman"/>
          <w:b/>
          <w:color w:val="000000" w:themeColor="text1"/>
          <w:sz w:val="28"/>
          <w:szCs w:val="28"/>
        </w:rPr>
        <w:t>Il Gestore dei servizi energetici (G.s.e.)</w:t>
      </w:r>
      <w:r>
        <w:rPr>
          <w:rFonts w:ascii="Garamond" w:hAnsi="Garamond" w:cs="Times New Roman"/>
          <w:b/>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1D2DA4">
        <w:rPr>
          <w:rFonts w:ascii="Garamond" w:hAnsi="Garamond" w:cs="Times New Roman"/>
          <w:color w:val="000000" w:themeColor="text1"/>
          <w:sz w:val="28"/>
          <w:szCs w:val="28"/>
        </w:rPr>
        <w:t>Il</w:t>
      </w:r>
      <w:r>
        <w:rPr>
          <w:rFonts w:ascii="Garamond" w:hAnsi="Garamond" w:cs="Times New Roman"/>
          <w:color w:val="000000" w:themeColor="text1"/>
          <w:sz w:val="28"/>
          <w:szCs w:val="28"/>
        </w:rPr>
        <w:t xml:space="preserve"> G.s.e.</w:t>
      </w:r>
      <w:r w:rsidRPr="001D2DA4">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è persona giuridica di diritto privato</w:t>
      </w:r>
      <w:r w:rsidRPr="001D2DA4">
        <w:rPr>
          <w:rFonts w:ascii="Garamond" w:hAnsi="Garamond" w:cs="Times New Roman"/>
          <w:color w:val="000000" w:themeColor="text1"/>
          <w:sz w:val="28"/>
          <w:szCs w:val="28"/>
        </w:rPr>
        <w:t>, costituit</w:t>
      </w:r>
      <w:r>
        <w:rPr>
          <w:rFonts w:ascii="Garamond" w:hAnsi="Garamond" w:cs="Times New Roman"/>
          <w:color w:val="000000" w:themeColor="text1"/>
          <w:sz w:val="28"/>
          <w:szCs w:val="28"/>
        </w:rPr>
        <w:t xml:space="preserve">a nelle forme della società per azioni, le cui azioni sono integralmente riservate </w:t>
      </w:r>
      <w:r w:rsidRPr="001D2DA4">
        <w:rPr>
          <w:rFonts w:ascii="Garamond" w:hAnsi="Garamond" w:cs="Times New Roman"/>
          <w:color w:val="000000" w:themeColor="text1"/>
          <w:sz w:val="28"/>
          <w:szCs w:val="28"/>
        </w:rPr>
        <w:t>alla mano pubblica, stant</w:t>
      </w:r>
      <w:r>
        <w:rPr>
          <w:rFonts w:ascii="Garamond" w:hAnsi="Garamond" w:cs="Times New Roman"/>
          <w:color w:val="000000" w:themeColor="text1"/>
          <w:sz w:val="28"/>
          <w:szCs w:val="28"/>
        </w:rPr>
        <w:t xml:space="preserve">e la partecipazione totalitaria </w:t>
      </w:r>
      <w:r w:rsidRPr="001D2DA4">
        <w:rPr>
          <w:rFonts w:ascii="Garamond" w:hAnsi="Garamond" w:cs="Times New Roman"/>
          <w:color w:val="000000" w:themeColor="text1"/>
          <w:sz w:val="28"/>
          <w:szCs w:val="28"/>
        </w:rPr>
        <w:t xml:space="preserve">del ministero dell'economia e </w:t>
      </w:r>
      <w:r>
        <w:rPr>
          <w:rFonts w:ascii="Garamond" w:hAnsi="Garamond" w:cs="Times New Roman"/>
          <w:color w:val="000000" w:themeColor="text1"/>
          <w:sz w:val="28"/>
          <w:szCs w:val="28"/>
        </w:rPr>
        <w:t xml:space="preserve">delle finanze al capitale della </w:t>
      </w:r>
      <w:r w:rsidRPr="001D2DA4">
        <w:rPr>
          <w:rFonts w:ascii="Garamond" w:hAnsi="Garamond" w:cs="Times New Roman"/>
          <w:color w:val="000000" w:themeColor="text1"/>
          <w:sz w:val="28"/>
          <w:szCs w:val="28"/>
        </w:rPr>
        <w:t>società; inoltre, la società è so</w:t>
      </w:r>
      <w:r>
        <w:rPr>
          <w:rFonts w:ascii="Garamond" w:hAnsi="Garamond" w:cs="Times New Roman"/>
          <w:color w:val="000000" w:themeColor="text1"/>
          <w:sz w:val="28"/>
          <w:szCs w:val="28"/>
        </w:rPr>
        <w:t xml:space="preserve">ttoposta al potere di controllo </w:t>
      </w:r>
      <w:r w:rsidRPr="001D2DA4">
        <w:rPr>
          <w:rFonts w:ascii="Garamond" w:hAnsi="Garamond" w:cs="Times New Roman"/>
          <w:color w:val="000000" w:themeColor="text1"/>
          <w:sz w:val="28"/>
          <w:szCs w:val="28"/>
        </w:rPr>
        <w:t>sulla gestione finanziaria da p</w:t>
      </w:r>
      <w:r>
        <w:rPr>
          <w:rFonts w:ascii="Garamond" w:hAnsi="Garamond" w:cs="Times New Roman"/>
          <w:color w:val="000000" w:themeColor="text1"/>
          <w:sz w:val="28"/>
          <w:szCs w:val="28"/>
        </w:rPr>
        <w:t xml:space="preserve">arte della Corte dei conti, che </w:t>
      </w:r>
      <w:r w:rsidRPr="001D2DA4">
        <w:rPr>
          <w:rFonts w:ascii="Garamond" w:hAnsi="Garamond" w:cs="Times New Roman"/>
          <w:color w:val="000000" w:themeColor="text1"/>
          <w:sz w:val="28"/>
          <w:szCs w:val="28"/>
        </w:rPr>
        <w:t>si esercita a</w:t>
      </w:r>
      <w:r>
        <w:rPr>
          <w:rFonts w:ascii="Garamond" w:hAnsi="Garamond" w:cs="Times New Roman"/>
          <w:color w:val="000000" w:themeColor="text1"/>
          <w:sz w:val="28"/>
          <w:szCs w:val="28"/>
        </w:rPr>
        <w:t>i sensi dell'art. 12 l. 21 marzo 1958 n.  259.</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1D2DA4">
        <w:rPr>
          <w:rFonts w:ascii="Garamond" w:hAnsi="Garamond" w:cs="Times New Roman"/>
          <w:color w:val="000000" w:themeColor="text1"/>
          <w:sz w:val="28"/>
          <w:szCs w:val="28"/>
        </w:rPr>
        <w:t>Ai sensi dell'art. 4 dello sta</w:t>
      </w:r>
      <w:r>
        <w:rPr>
          <w:rFonts w:ascii="Garamond" w:hAnsi="Garamond" w:cs="Times New Roman"/>
          <w:color w:val="000000" w:themeColor="text1"/>
          <w:sz w:val="28"/>
          <w:szCs w:val="28"/>
        </w:rPr>
        <w:t xml:space="preserve">tuto sociale, allegato all'atto </w:t>
      </w:r>
      <w:r w:rsidRPr="001D2DA4">
        <w:rPr>
          <w:rFonts w:ascii="Garamond" w:hAnsi="Garamond" w:cs="Times New Roman"/>
          <w:color w:val="000000" w:themeColor="text1"/>
          <w:sz w:val="28"/>
          <w:szCs w:val="28"/>
        </w:rPr>
        <w:t>costitutivo</w:t>
      </w:r>
      <w:r>
        <w:rPr>
          <w:rFonts w:ascii="Garamond" w:hAnsi="Garamond" w:cs="Times New Roman"/>
          <w:color w:val="000000" w:themeColor="text1"/>
          <w:sz w:val="28"/>
          <w:szCs w:val="28"/>
        </w:rPr>
        <w:t xml:space="preserve">, la </w:t>
      </w:r>
      <w:r w:rsidRPr="001D2DA4">
        <w:rPr>
          <w:rFonts w:ascii="Garamond" w:hAnsi="Garamond" w:cs="Times New Roman"/>
          <w:color w:val="000000" w:themeColor="text1"/>
          <w:sz w:val="28"/>
          <w:szCs w:val="28"/>
        </w:rPr>
        <w:t>società ha per oggetto l'ese</w:t>
      </w:r>
      <w:r>
        <w:rPr>
          <w:rFonts w:ascii="Garamond" w:hAnsi="Garamond" w:cs="Times New Roman"/>
          <w:color w:val="000000" w:themeColor="text1"/>
          <w:sz w:val="28"/>
          <w:szCs w:val="28"/>
        </w:rPr>
        <w:t xml:space="preserve">rcizio delle funzioni di natura </w:t>
      </w:r>
      <w:r w:rsidRPr="001D2DA4">
        <w:rPr>
          <w:rFonts w:ascii="Garamond" w:hAnsi="Garamond" w:cs="Times New Roman"/>
          <w:color w:val="000000" w:themeColor="text1"/>
          <w:sz w:val="28"/>
          <w:szCs w:val="28"/>
        </w:rPr>
        <w:t>pubblicistica nel settore elettri</w:t>
      </w:r>
      <w:r>
        <w:rPr>
          <w:rFonts w:ascii="Garamond" w:hAnsi="Garamond" w:cs="Times New Roman"/>
          <w:color w:val="000000" w:themeColor="text1"/>
          <w:sz w:val="28"/>
          <w:szCs w:val="28"/>
        </w:rPr>
        <w:t xml:space="preserve">co e in particolare le attività </w:t>
      </w:r>
      <w:r w:rsidRPr="001D2DA4">
        <w:rPr>
          <w:rFonts w:ascii="Garamond" w:hAnsi="Garamond" w:cs="Times New Roman"/>
          <w:color w:val="000000" w:themeColor="text1"/>
          <w:sz w:val="28"/>
          <w:szCs w:val="28"/>
        </w:rPr>
        <w:t>di carattere regolamentare, di ver</w:t>
      </w:r>
      <w:r>
        <w:rPr>
          <w:rFonts w:ascii="Garamond" w:hAnsi="Garamond" w:cs="Times New Roman"/>
          <w:color w:val="000000" w:themeColor="text1"/>
          <w:sz w:val="28"/>
          <w:szCs w:val="28"/>
        </w:rPr>
        <w:t xml:space="preserve">ifica e certificazione relativa </w:t>
      </w:r>
      <w:r w:rsidRPr="001D2DA4">
        <w:rPr>
          <w:rFonts w:ascii="Garamond" w:hAnsi="Garamond" w:cs="Times New Roman"/>
          <w:color w:val="000000" w:themeColor="text1"/>
          <w:sz w:val="28"/>
          <w:szCs w:val="28"/>
        </w:rPr>
        <w:t>al settore dell'</w:t>
      </w:r>
      <w:r>
        <w:rPr>
          <w:rFonts w:ascii="Garamond" w:hAnsi="Garamond" w:cs="Times New Roman"/>
          <w:color w:val="000000" w:themeColor="text1"/>
          <w:sz w:val="28"/>
          <w:szCs w:val="28"/>
        </w:rPr>
        <w:t>energia</w:t>
      </w:r>
      <w:r w:rsidRPr="001D2DA4">
        <w:rPr>
          <w:rFonts w:ascii="Garamond" w:hAnsi="Garamond" w:cs="Times New Roman"/>
          <w:color w:val="000000" w:themeColor="text1"/>
          <w:sz w:val="28"/>
          <w:szCs w:val="28"/>
        </w:rPr>
        <w:t xml:space="preserve"> elettri</w:t>
      </w:r>
      <w:r>
        <w:rPr>
          <w:rFonts w:ascii="Garamond" w:hAnsi="Garamond" w:cs="Times New Roman"/>
          <w:color w:val="000000" w:themeColor="text1"/>
          <w:sz w:val="28"/>
          <w:szCs w:val="28"/>
        </w:rPr>
        <w:t>ca di cui all'art. 3, commi 12 e 13</w:t>
      </w:r>
      <w:r w:rsidRPr="001D2DA4">
        <w:rPr>
          <w:rFonts w:ascii="Garamond" w:hAnsi="Garamond" w:cs="Times New Roman"/>
          <w:color w:val="000000" w:themeColor="text1"/>
          <w:sz w:val="28"/>
          <w:szCs w:val="28"/>
        </w:rPr>
        <w:t>, e di cui all'art. 11,</w:t>
      </w:r>
      <w:r>
        <w:rPr>
          <w:rFonts w:ascii="Garamond" w:hAnsi="Garamond" w:cs="Times New Roman"/>
          <w:color w:val="000000" w:themeColor="text1"/>
          <w:sz w:val="28"/>
          <w:szCs w:val="28"/>
        </w:rPr>
        <w:t xml:space="preserve">  comma 3, d.lgs. 16 marzo 1999 </w:t>
      </w:r>
      <w:r w:rsidRPr="001D2DA4">
        <w:rPr>
          <w:rFonts w:ascii="Garamond" w:hAnsi="Garamond" w:cs="Times New Roman"/>
          <w:color w:val="000000" w:themeColor="text1"/>
          <w:sz w:val="28"/>
          <w:szCs w:val="28"/>
        </w:rPr>
        <w:t>n. 79</w:t>
      </w:r>
      <w:r>
        <w:rPr>
          <w:rFonts w:ascii="Garamond" w:hAnsi="Garamond" w:cs="Times New Roman"/>
          <w:color w:val="000000" w:themeColor="text1"/>
          <w:sz w:val="28"/>
          <w:szCs w:val="28"/>
        </w:rPr>
        <w:t xml:space="preserve"> </w:t>
      </w:r>
      <w:r w:rsidRPr="001D2DA4">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w:t>
      </w:r>
      <w:r w:rsidRPr="006874DD">
        <w:rPr>
          <w:rFonts w:ascii="Garamond" w:hAnsi="Garamond" w:cs="Times New Roman"/>
          <w:i/>
          <w:color w:val="000000" w:themeColor="text1"/>
          <w:sz w:val="28"/>
          <w:szCs w:val="28"/>
        </w:rPr>
        <w:t xml:space="preserve">Attuazione della </w:t>
      </w:r>
      <w:r>
        <w:rPr>
          <w:rFonts w:ascii="Garamond" w:hAnsi="Garamond" w:cs="Times New Roman"/>
          <w:i/>
          <w:color w:val="000000" w:themeColor="text1"/>
          <w:sz w:val="28"/>
          <w:szCs w:val="28"/>
        </w:rPr>
        <w:t>direttiva</w:t>
      </w:r>
      <w:r w:rsidRPr="006874DD">
        <w:rPr>
          <w:rFonts w:ascii="Garamond" w:hAnsi="Garamond" w:cs="Times New Roman"/>
          <w:i/>
          <w:color w:val="000000" w:themeColor="text1"/>
          <w:sz w:val="28"/>
          <w:szCs w:val="28"/>
        </w:rPr>
        <w:t xml:space="preserve"> 96/92/CE recante norme comuni per il mercato interno dell'</w:t>
      </w:r>
      <w:r>
        <w:rPr>
          <w:rFonts w:ascii="Garamond" w:hAnsi="Garamond" w:cs="Times New Roman"/>
          <w:i/>
          <w:color w:val="000000" w:themeColor="text1"/>
          <w:sz w:val="28"/>
          <w:szCs w:val="28"/>
        </w:rPr>
        <w:t>energia</w:t>
      </w:r>
      <w:r w:rsidRPr="006874DD">
        <w:rPr>
          <w:rFonts w:ascii="Garamond" w:hAnsi="Garamond" w:cs="Times New Roman"/>
          <w:i/>
          <w:color w:val="000000" w:themeColor="text1"/>
          <w:sz w:val="28"/>
          <w:szCs w:val="28"/>
        </w:rPr>
        <w:t xml:space="preserve"> elettrica</w:t>
      </w:r>
      <w:r>
        <w:rPr>
          <w:rFonts w:ascii="Garamond" w:hAnsi="Garamond" w:cs="Times New Roman"/>
          <w:color w:val="000000" w:themeColor="text1"/>
          <w:sz w:val="28"/>
          <w:szCs w:val="28"/>
        </w:rPr>
        <w:t xml:space="preserve">) </w:t>
      </w:r>
      <w:r w:rsidRPr="001D2DA4">
        <w:rPr>
          <w:rFonts w:ascii="Garamond" w:hAnsi="Garamond" w:cs="Times New Roman"/>
          <w:color w:val="000000" w:themeColor="text1"/>
          <w:sz w:val="28"/>
          <w:szCs w:val="28"/>
        </w:rPr>
        <w:t>e successive modifiche e i</w:t>
      </w:r>
      <w:r>
        <w:rPr>
          <w:rFonts w:ascii="Garamond" w:hAnsi="Garamond" w:cs="Times New Roman"/>
          <w:color w:val="000000" w:themeColor="text1"/>
          <w:sz w:val="28"/>
          <w:szCs w:val="28"/>
        </w:rPr>
        <w:t xml:space="preserve">ntegrazioni, nonché le attività correlate di cui al d.lgs. </w:t>
      </w:r>
      <w:r w:rsidRPr="001D2DA4">
        <w:rPr>
          <w:rFonts w:ascii="Garamond" w:hAnsi="Garamond" w:cs="Times New Roman"/>
          <w:color w:val="000000" w:themeColor="text1"/>
          <w:sz w:val="28"/>
          <w:szCs w:val="28"/>
        </w:rPr>
        <w:t xml:space="preserve"> 29 di</w:t>
      </w:r>
      <w:r>
        <w:rPr>
          <w:rFonts w:ascii="Garamond" w:hAnsi="Garamond" w:cs="Times New Roman"/>
          <w:color w:val="000000" w:themeColor="text1"/>
          <w:sz w:val="28"/>
          <w:szCs w:val="28"/>
        </w:rPr>
        <w:t xml:space="preserve">cembre 2003 n. 387 e successive </w:t>
      </w:r>
      <w:r w:rsidRPr="001D2DA4">
        <w:rPr>
          <w:rFonts w:ascii="Garamond" w:hAnsi="Garamond" w:cs="Times New Roman"/>
          <w:color w:val="000000" w:themeColor="text1"/>
          <w:sz w:val="28"/>
          <w:szCs w:val="28"/>
        </w:rPr>
        <w:t xml:space="preserve">modifiche e integrazioni, in </w:t>
      </w:r>
      <w:r>
        <w:rPr>
          <w:rFonts w:ascii="Garamond" w:hAnsi="Garamond" w:cs="Times New Roman"/>
          <w:color w:val="000000" w:themeColor="text1"/>
          <w:sz w:val="28"/>
          <w:szCs w:val="28"/>
        </w:rPr>
        <w:t xml:space="preserve">materia di promozione </w:t>
      </w:r>
      <w:r w:rsidRPr="001D2DA4">
        <w:rPr>
          <w:rFonts w:ascii="Garamond" w:hAnsi="Garamond" w:cs="Times New Roman"/>
          <w:color w:val="000000" w:themeColor="text1"/>
          <w:sz w:val="28"/>
          <w:szCs w:val="28"/>
        </w:rPr>
        <w:t>dell'</w:t>
      </w:r>
      <w:r>
        <w:rPr>
          <w:rFonts w:ascii="Garamond" w:hAnsi="Garamond" w:cs="Times New Roman"/>
          <w:color w:val="000000" w:themeColor="text1"/>
          <w:sz w:val="28"/>
          <w:szCs w:val="28"/>
        </w:rPr>
        <w:t>energia</w:t>
      </w:r>
      <w:r w:rsidRPr="001D2DA4">
        <w:rPr>
          <w:rFonts w:ascii="Garamond" w:hAnsi="Garamond" w:cs="Times New Roman"/>
          <w:color w:val="000000" w:themeColor="text1"/>
          <w:sz w:val="28"/>
          <w:szCs w:val="28"/>
        </w:rPr>
        <w:t xml:space="preserve"> elettrica prodotta d</w:t>
      </w:r>
      <w:r>
        <w:rPr>
          <w:rFonts w:ascii="Garamond" w:hAnsi="Garamond" w:cs="Times New Roman"/>
          <w:color w:val="000000" w:themeColor="text1"/>
          <w:sz w:val="28"/>
          <w:szCs w:val="28"/>
        </w:rPr>
        <w:t xml:space="preserve">a fonti energetiche rinnovabili </w:t>
      </w:r>
      <w:r w:rsidRPr="001D2DA4">
        <w:rPr>
          <w:rFonts w:ascii="Garamond" w:hAnsi="Garamond" w:cs="Times New Roman"/>
          <w:color w:val="000000" w:themeColor="text1"/>
          <w:sz w:val="28"/>
          <w:szCs w:val="28"/>
        </w:rPr>
        <w:t>nel mercato interno dell'el</w:t>
      </w:r>
      <w:r>
        <w:rPr>
          <w:rFonts w:ascii="Garamond" w:hAnsi="Garamond" w:cs="Times New Roman"/>
          <w:color w:val="000000" w:themeColor="text1"/>
          <w:sz w:val="28"/>
          <w:szCs w:val="28"/>
        </w:rPr>
        <w:t xml:space="preserve">ettricità, comprese le attività </w:t>
      </w:r>
      <w:r w:rsidRPr="001D2DA4">
        <w:rPr>
          <w:rFonts w:ascii="Garamond" w:hAnsi="Garamond" w:cs="Times New Roman"/>
          <w:color w:val="000000" w:themeColor="text1"/>
          <w:sz w:val="28"/>
          <w:szCs w:val="28"/>
        </w:rPr>
        <w:t>di carattere regolamentare e le alt</w:t>
      </w:r>
      <w:r>
        <w:rPr>
          <w:rFonts w:ascii="Garamond" w:hAnsi="Garamond" w:cs="Times New Roman"/>
          <w:color w:val="000000" w:themeColor="text1"/>
          <w:sz w:val="28"/>
          <w:szCs w:val="28"/>
        </w:rPr>
        <w:t xml:space="preserve">re competenze, diritti e poteri </w:t>
      </w:r>
      <w:r w:rsidRPr="001D2DA4">
        <w:rPr>
          <w:rFonts w:ascii="Garamond" w:hAnsi="Garamond" w:cs="Times New Roman"/>
          <w:color w:val="000000" w:themeColor="text1"/>
          <w:sz w:val="28"/>
          <w:szCs w:val="28"/>
        </w:rPr>
        <w:t>ad esse ineren</w:t>
      </w:r>
      <w:r>
        <w:rPr>
          <w:rFonts w:ascii="Garamond" w:hAnsi="Garamond" w:cs="Times New Roman"/>
          <w:color w:val="000000" w:themeColor="text1"/>
          <w:sz w:val="28"/>
          <w:szCs w:val="28"/>
        </w:rPr>
        <w:t xml:space="preserve">ti. Secondo </w:t>
      </w:r>
      <w:r w:rsidRPr="001D2DA4">
        <w:rPr>
          <w:rFonts w:ascii="Garamond" w:hAnsi="Garamond" w:cs="Times New Roman"/>
          <w:color w:val="000000" w:themeColor="text1"/>
          <w:sz w:val="28"/>
          <w:szCs w:val="28"/>
        </w:rPr>
        <w:t>l'art. 8 dell</w:t>
      </w:r>
      <w:r>
        <w:rPr>
          <w:rFonts w:ascii="Garamond" w:hAnsi="Garamond" w:cs="Times New Roman"/>
          <w:color w:val="000000" w:themeColor="text1"/>
          <w:sz w:val="28"/>
          <w:szCs w:val="28"/>
        </w:rPr>
        <w:t xml:space="preserve">o statuto della </w:t>
      </w:r>
      <w:r w:rsidRPr="001D2DA4">
        <w:rPr>
          <w:rFonts w:ascii="Garamond" w:hAnsi="Garamond" w:cs="Times New Roman"/>
          <w:color w:val="000000" w:themeColor="text1"/>
          <w:sz w:val="28"/>
          <w:szCs w:val="28"/>
        </w:rPr>
        <w:t xml:space="preserve">società, i diritti </w:t>
      </w:r>
      <w:r w:rsidRPr="001D2DA4">
        <w:rPr>
          <w:rFonts w:ascii="Garamond" w:hAnsi="Garamond" w:cs="Times New Roman"/>
          <w:color w:val="000000" w:themeColor="text1"/>
          <w:sz w:val="28"/>
          <w:szCs w:val="28"/>
        </w:rPr>
        <w:lastRenderedPageBreak/>
        <w:t xml:space="preserve">dell'azionista </w:t>
      </w:r>
      <w:r>
        <w:rPr>
          <w:rFonts w:ascii="Garamond" w:hAnsi="Garamond" w:cs="Times New Roman"/>
          <w:color w:val="000000" w:themeColor="text1"/>
          <w:sz w:val="28"/>
          <w:szCs w:val="28"/>
        </w:rPr>
        <w:t xml:space="preserve">sono esercitati d'intesa tra il </w:t>
      </w:r>
      <w:r w:rsidRPr="001D2DA4">
        <w:rPr>
          <w:rFonts w:ascii="Garamond" w:hAnsi="Garamond" w:cs="Times New Roman"/>
          <w:color w:val="000000" w:themeColor="text1"/>
          <w:sz w:val="28"/>
          <w:szCs w:val="28"/>
        </w:rPr>
        <w:t>ministro dell'economia e del</w:t>
      </w:r>
      <w:r>
        <w:rPr>
          <w:rFonts w:ascii="Garamond" w:hAnsi="Garamond" w:cs="Times New Roman"/>
          <w:color w:val="000000" w:themeColor="text1"/>
          <w:sz w:val="28"/>
          <w:szCs w:val="28"/>
        </w:rPr>
        <w:t xml:space="preserve">le finanze ed il ministro dello </w:t>
      </w:r>
      <w:r w:rsidRPr="001D2DA4">
        <w:rPr>
          <w:rFonts w:ascii="Garamond" w:hAnsi="Garamond" w:cs="Times New Roman"/>
          <w:color w:val="000000" w:themeColor="text1"/>
          <w:sz w:val="28"/>
          <w:szCs w:val="28"/>
        </w:rPr>
        <w:t>sviluppo economico, ai sensi d</w:t>
      </w:r>
      <w:r>
        <w:rPr>
          <w:rFonts w:ascii="Garamond" w:hAnsi="Garamond" w:cs="Times New Roman"/>
          <w:color w:val="000000" w:themeColor="text1"/>
          <w:sz w:val="28"/>
          <w:szCs w:val="28"/>
        </w:rPr>
        <w:t>ell'art. 3, comma 4, d.lgs. n. 79 del 1999.</w:t>
      </w:r>
    </w:p>
    <w:p w:rsidR="007B4920" w:rsidRPr="0003284A"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Il G.s.e. rientra pertanto</w:t>
      </w:r>
      <w:r w:rsidRPr="006D1802">
        <w:rPr>
          <w:rFonts w:ascii="Garamond" w:hAnsi="Garamond" w:cs="Times New Roman"/>
          <w:color w:val="000000" w:themeColor="text1"/>
          <w:sz w:val="28"/>
          <w:szCs w:val="28"/>
        </w:rPr>
        <w:t xml:space="preserve"> nel novero dei soggetti pr</w:t>
      </w:r>
      <w:r>
        <w:rPr>
          <w:rFonts w:ascii="Garamond" w:hAnsi="Garamond" w:cs="Times New Roman"/>
          <w:color w:val="000000" w:themeColor="text1"/>
          <w:sz w:val="28"/>
          <w:szCs w:val="28"/>
        </w:rPr>
        <w:t>iva</w:t>
      </w:r>
      <w:r w:rsidRPr="006D1802">
        <w:rPr>
          <w:rFonts w:ascii="Garamond" w:hAnsi="Garamond" w:cs="Times New Roman"/>
          <w:color w:val="000000" w:themeColor="text1"/>
          <w:sz w:val="28"/>
          <w:szCs w:val="28"/>
        </w:rPr>
        <w:t xml:space="preserve">ti svolgenti pubbliche funzioni, posto che, pur rivestendo formalmente la veste di società di capitali di diritto </w:t>
      </w:r>
      <w:r>
        <w:rPr>
          <w:rFonts w:ascii="Garamond" w:hAnsi="Garamond" w:cs="Times New Roman"/>
          <w:color w:val="000000" w:themeColor="text1"/>
          <w:sz w:val="28"/>
          <w:szCs w:val="28"/>
        </w:rPr>
        <w:t>privato</w:t>
      </w:r>
      <w:r w:rsidRPr="006D1802">
        <w:rPr>
          <w:rFonts w:ascii="Garamond" w:hAnsi="Garamond" w:cs="Times New Roman"/>
          <w:color w:val="000000" w:themeColor="text1"/>
          <w:sz w:val="28"/>
          <w:szCs w:val="28"/>
        </w:rPr>
        <w:t>, è nondimeno soggetto munito dalla legge di funzioni pubblich</w:t>
      </w:r>
      <w:r>
        <w:rPr>
          <w:rFonts w:ascii="Garamond" w:hAnsi="Garamond" w:cs="Times New Roman"/>
          <w:color w:val="000000" w:themeColor="text1"/>
          <w:sz w:val="28"/>
          <w:szCs w:val="28"/>
        </w:rPr>
        <w:t xml:space="preserve">e correlate - tra l'altro - </w:t>
      </w:r>
      <w:r w:rsidRPr="006D1802">
        <w:rPr>
          <w:rFonts w:ascii="Garamond" w:hAnsi="Garamond" w:cs="Times New Roman"/>
          <w:color w:val="000000" w:themeColor="text1"/>
          <w:sz w:val="28"/>
          <w:szCs w:val="28"/>
        </w:rPr>
        <w:t>alla diffusione delle energie da fonte rinnovabile, al controllo ed alla gestione dei flussi energetici di tale provenienza ed all'assolvimento degli obblighi imposti dalla legge agli op</w:t>
      </w:r>
      <w:r>
        <w:rPr>
          <w:rFonts w:ascii="Garamond" w:hAnsi="Garamond" w:cs="Times New Roman"/>
          <w:color w:val="000000" w:themeColor="text1"/>
          <w:sz w:val="28"/>
          <w:szCs w:val="28"/>
        </w:rPr>
        <w:t>eratori del settore energetico [</w:t>
      </w:r>
      <w:r w:rsidRPr="006D1802">
        <w:rPr>
          <w:rFonts w:ascii="Garamond" w:hAnsi="Garamond" w:cs="Times New Roman"/>
          <w:color w:val="000000" w:themeColor="text1"/>
          <w:sz w:val="28"/>
          <w:szCs w:val="28"/>
        </w:rPr>
        <w:t>Cons. Stat</w:t>
      </w:r>
      <w:r>
        <w:rPr>
          <w:rFonts w:ascii="Garamond" w:hAnsi="Garamond" w:cs="Times New Roman"/>
          <w:color w:val="000000" w:themeColor="text1"/>
          <w:sz w:val="28"/>
          <w:szCs w:val="28"/>
        </w:rPr>
        <w:t>o Ad. plen. n. 9 del 2019; in precedenza Cons. Stato</w:t>
      </w:r>
      <w:r w:rsidRPr="001536BB">
        <w:rPr>
          <w:rFonts w:ascii="Garamond" w:hAnsi="Garamond" w:cs="Times New Roman"/>
          <w:color w:val="000000" w:themeColor="text1"/>
          <w:sz w:val="28"/>
          <w:szCs w:val="28"/>
        </w:rPr>
        <w:t>, sez. VI, n. 5241 del 2003</w:t>
      </w:r>
      <w:r>
        <w:rPr>
          <w:rFonts w:ascii="Garamond" w:hAnsi="Garamond" w:cs="Times New Roman"/>
          <w:color w:val="000000" w:themeColor="text1"/>
          <w:sz w:val="28"/>
          <w:szCs w:val="28"/>
        </w:rPr>
        <w:t xml:space="preserve"> secondo cui </w:t>
      </w:r>
      <w:r w:rsidRPr="001536BB">
        <w:rPr>
          <w:rFonts w:ascii="Garamond" w:hAnsi="Garamond" w:cs="Times New Roman"/>
          <w:color w:val="000000" w:themeColor="text1"/>
          <w:sz w:val="28"/>
          <w:szCs w:val="28"/>
        </w:rPr>
        <w:t>in uno alla prescritta imputazione dell’intero pacchetto azionario al Ministero d</w:t>
      </w:r>
      <w:r>
        <w:rPr>
          <w:rFonts w:ascii="Garamond" w:hAnsi="Garamond" w:cs="Times New Roman"/>
          <w:color w:val="000000" w:themeColor="text1"/>
          <w:sz w:val="28"/>
          <w:szCs w:val="28"/>
        </w:rPr>
        <w:t>el tesoro (art. 3, comma, 4, d.</w:t>
      </w:r>
      <w:r w:rsidRPr="001536BB">
        <w:rPr>
          <w:rFonts w:ascii="Garamond" w:hAnsi="Garamond" w:cs="Times New Roman"/>
          <w:color w:val="000000" w:themeColor="text1"/>
          <w:sz w:val="28"/>
          <w:szCs w:val="28"/>
        </w:rPr>
        <w:t>lgs. n. 79/99)</w:t>
      </w:r>
      <w:r>
        <w:rPr>
          <w:rFonts w:ascii="Garamond" w:hAnsi="Garamond" w:cs="Times New Roman"/>
          <w:color w:val="000000" w:themeColor="text1"/>
          <w:sz w:val="28"/>
          <w:szCs w:val="28"/>
        </w:rPr>
        <w:t xml:space="preserve"> </w:t>
      </w:r>
      <w:r w:rsidRPr="001536BB">
        <w:rPr>
          <w:rFonts w:ascii="Garamond" w:hAnsi="Garamond" w:cs="Times New Roman"/>
          <w:color w:val="000000" w:themeColor="text1"/>
          <w:sz w:val="28"/>
          <w:szCs w:val="28"/>
        </w:rPr>
        <w:t>assume rilievo l’ascrizione in capo a soggetti pubblici non soci di peculiari poteri il cui esercizio consente di influire sulla gestione, anche strategica, dell’ente e della sua attività</w:t>
      </w:r>
      <w:r>
        <w:rPr>
          <w:rFonts w:ascii="Garamond" w:hAnsi="Garamond" w:cs="Times New Roman"/>
          <w:color w:val="000000" w:themeColor="text1"/>
          <w:sz w:val="28"/>
          <w:szCs w:val="28"/>
        </w:rPr>
        <w:t xml:space="preserve">; da ciò la </w:t>
      </w:r>
      <w:r w:rsidRPr="001536BB">
        <w:rPr>
          <w:rFonts w:ascii="Garamond" w:hAnsi="Garamond" w:cs="Times New Roman"/>
          <w:color w:val="000000" w:themeColor="text1"/>
          <w:sz w:val="28"/>
          <w:szCs w:val="28"/>
        </w:rPr>
        <w:t>natura anche soggett</w:t>
      </w:r>
      <w:r>
        <w:rPr>
          <w:rFonts w:ascii="Garamond" w:hAnsi="Garamond" w:cs="Times New Roman"/>
          <w:color w:val="000000" w:themeColor="text1"/>
          <w:sz w:val="28"/>
          <w:szCs w:val="28"/>
        </w:rPr>
        <w:t>iva</w:t>
      </w:r>
      <w:r w:rsidRPr="001536BB">
        <w:rPr>
          <w:rFonts w:ascii="Garamond" w:hAnsi="Garamond" w:cs="Times New Roman"/>
          <w:color w:val="000000" w:themeColor="text1"/>
          <w:sz w:val="28"/>
          <w:szCs w:val="28"/>
        </w:rPr>
        <w:t xml:space="preserve">mente </w:t>
      </w:r>
      <w:r>
        <w:rPr>
          <w:rFonts w:ascii="Garamond" w:hAnsi="Garamond" w:cs="Times New Roman"/>
          <w:color w:val="000000" w:themeColor="text1"/>
          <w:sz w:val="28"/>
          <w:szCs w:val="28"/>
        </w:rPr>
        <w:t>amministrativa</w:t>
      </w:r>
      <w:r w:rsidRPr="001536BB">
        <w:rPr>
          <w:rFonts w:ascii="Garamond" w:hAnsi="Garamond" w:cs="Times New Roman"/>
          <w:color w:val="000000" w:themeColor="text1"/>
          <w:sz w:val="28"/>
          <w:szCs w:val="28"/>
        </w:rPr>
        <w:t xml:space="preserve"> degli atti dallo stesso adottati nell’esercizio di attività fortemente procedimentalizzata e funzionalizzata</w:t>
      </w:r>
      <w:r>
        <w:rPr>
          <w:rFonts w:ascii="Garamond" w:hAnsi="Garamond" w:cs="Times New Roman"/>
          <w:color w:val="000000" w:themeColor="text1"/>
          <w:sz w:val="28"/>
          <w:szCs w:val="28"/>
        </w:rPr>
        <w:t xml:space="preserve"> quale quella espletata nella gestione delle procedure di vendita dell’energia di cui al successivo </w:t>
      </w:r>
      <w:r w:rsidRPr="0003284A">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2].</w:t>
      </w:r>
    </w:p>
    <w:p w:rsidR="007B4920" w:rsidRDefault="007B4920" w:rsidP="007B4920">
      <w:pPr>
        <w:spacing w:line="240" w:lineRule="auto"/>
        <w:jc w:val="both"/>
        <w:rPr>
          <w:rFonts w:ascii="Garamond" w:hAnsi="Garamond" w:cs="Times New Roman"/>
          <w:b/>
          <w:color w:val="000000" w:themeColor="text1"/>
          <w:sz w:val="28"/>
          <w:szCs w:val="28"/>
        </w:rPr>
      </w:pPr>
    </w:p>
    <w:p w:rsidR="007B4920" w:rsidRPr="009105E3" w:rsidRDefault="007B4920" w:rsidP="007B4920">
      <w:pPr>
        <w:spacing w:line="240" w:lineRule="auto"/>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2. </w:t>
      </w:r>
      <w:r w:rsidRPr="009105E3">
        <w:rPr>
          <w:rFonts w:ascii="Garamond" w:hAnsi="Garamond" w:cs="Times New Roman"/>
          <w:b/>
          <w:color w:val="000000" w:themeColor="text1"/>
          <w:sz w:val="28"/>
          <w:szCs w:val="28"/>
        </w:rPr>
        <w:t>Le procedure di vendita dell’</w:t>
      </w:r>
      <w:r>
        <w:rPr>
          <w:rFonts w:ascii="Garamond" w:hAnsi="Garamond" w:cs="Times New Roman"/>
          <w:b/>
          <w:color w:val="000000" w:themeColor="text1"/>
          <w:sz w:val="28"/>
          <w:szCs w:val="28"/>
        </w:rPr>
        <w:t>energia.</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C434AB">
        <w:rPr>
          <w:rFonts w:ascii="Garamond" w:hAnsi="Garamond" w:cs="Times New Roman"/>
          <w:color w:val="000000" w:themeColor="text1"/>
          <w:sz w:val="28"/>
          <w:szCs w:val="28"/>
        </w:rPr>
        <w:t>L’ar</w:t>
      </w:r>
      <w:r>
        <w:rPr>
          <w:rFonts w:ascii="Garamond" w:hAnsi="Garamond" w:cs="Times New Roman"/>
          <w:color w:val="000000" w:themeColor="text1"/>
          <w:sz w:val="28"/>
          <w:szCs w:val="28"/>
        </w:rPr>
        <w:t>t. 3, comma 12, d.lgs. n. 79 del 19</w:t>
      </w:r>
      <w:r w:rsidRPr="00C434AB">
        <w:rPr>
          <w:rFonts w:ascii="Garamond" w:hAnsi="Garamond" w:cs="Times New Roman"/>
          <w:color w:val="000000" w:themeColor="text1"/>
          <w:sz w:val="28"/>
          <w:szCs w:val="28"/>
        </w:rPr>
        <w:t>99, individua</w:t>
      </w:r>
      <w:r>
        <w:rPr>
          <w:rFonts w:ascii="Garamond" w:hAnsi="Garamond" w:cs="Times New Roman"/>
          <w:color w:val="000000" w:themeColor="text1"/>
          <w:sz w:val="28"/>
          <w:szCs w:val="28"/>
        </w:rPr>
        <w:t xml:space="preserve"> il Gestore</w:t>
      </w:r>
      <w:r w:rsidRPr="00C434AB">
        <w:rPr>
          <w:rFonts w:ascii="Garamond" w:hAnsi="Garamond" w:cs="Times New Roman"/>
          <w:color w:val="000000" w:themeColor="text1"/>
          <w:sz w:val="28"/>
          <w:szCs w:val="28"/>
        </w:rPr>
        <w:t xml:space="preserve"> della rete di trasmissione nazionale</w:t>
      </w:r>
      <w:r>
        <w:rPr>
          <w:rFonts w:ascii="Garamond" w:hAnsi="Garamond" w:cs="Times New Roman"/>
          <w:color w:val="000000" w:themeColor="text1"/>
          <w:sz w:val="28"/>
          <w:szCs w:val="28"/>
        </w:rPr>
        <w:t xml:space="preserve"> (G.r.t.n. s.p.a.), poi G.s.e., quale</w:t>
      </w:r>
      <w:r w:rsidRPr="00C434AB">
        <w:rPr>
          <w:rFonts w:ascii="Garamond" w:hAnsi="Garamond" w:cs="Times New Roman"/>
          <w:color w:val="000000" w:themeColor="text1"/>
          <w:sz w:val="28"/>
          <w:szCs w:val="28"/>
        </w:rPr>
        <w:t xml:space="preserve"> soggetto cessionario, previo decreto del Ministro dell’industria, del commercio e dell’artigianato, dei diritti e delle obbligazioni </w:t>
      </w:r>
      <w:r>
        <w:rPr>
          <w:rFonts w:ascii="Garamond" w:hAnsi="Garamond" w:cs="Times New Roman"/>
          <w:color w:val="000000" w:themeColor="text1"/>
          <w:sz w:val="28"/>
          <w:szCs w:val="28"/>
        </w:rPr>
        <w:t>dell’E</w:t>
      </w:r>
      <w:r w:rsidRPr="00C434AB">
        <w:rPr>
          <w:rFonts w:ascii="Garamond" w:hAnsi="Garamond" w:cs="Times New Roman"/>
          <w:color w:val="000000" w:themeColor="text1"/>
          <w:sz w:val="28"/>
          <w:szCs w:val="28"/>
        </w:rPr>
        <w:t xml:space="preserve">nel relativi, tra altro, all’acquisto di </w:t>
      </w:r>
      <w:r>
        <w:rPr>
          <w:rFonts w:ascii="Garamond" w:hAnsi="Garamond" w:cs="Times New Roman"/>
          <w:color w:val="000000" w:themeColor="text1"/>
          <w:sz w:val="28"/>
          <w:szCs w:val="28"/>
        </w:rPr>
        <w:t>energia</w:t>
      </w:r>
      <w:r w:rsidRPr="00C434AB">
        <w:rPr>
          <w:rFonts w:ascii="Garamond" w:hAnsi="Garamond" w:cs="Times New Roman"/>
          <w:color w:val="000000" w:themeColor="text1"/>
          <w:sz w:val="28"/>
          <w:szCs w:val="28"/>
        </w:rPr>
        <w:t xml:space="preserve"> elettrica nominata CIP6</w:t>
      </w:r>
      <w:r>
        <w:rPr>
          <w:rFonts w:ascii="Garamond" w:hAnsi="Garamond" w:cs="Times New Roman"/>
          <w:color w:val="000000" w:themeColor="text1"/>
          <w:sz w:val="28"/>
          <w:szCs w:val="28"/>
        </w:rPr>
        <w:t>.</w:t>
      </w:r>
    </w:p>
    <w:p w:rsidR="007B4920" w:rsidRPr="00C434AB" w:rsidRDefault="007B4920" w:rsidP="007B4920">
      <w:pPr>
        <w:spacing w:line="240" w:lineRule="auto"/>
        <w:ind w:firstLine="709"/>
        <w:contextualSpacing/>
        <w:jc w:val="both"/>
        <w:rPr>
          <w:rFonts w:ascii="Garamond" w:hAnsi="Garamond" w:cs="Times New Roman"/>
          <w:color w:val="000000" w:themeColor="text1"/>
          <w:sz w:val="28"/>
          <w:szCs w:val="28"/>
        </w:rPr>
      </w:pPr>
      <w:r w:rsidRPr="00C434AB">
        <w:rPr>
          <w:rFonts w:ascii="Garamond" w:hAnsi="Garamond" w:cs="Times New Roman"/>
          <w:color w:val="000000" w:themeColor="text1"/>
          <w:sz w:val="28"/>
          <w:szCs w:val="28"/>
        </w:rPr>
        <w:t>Il decreto legislativo, in particolare, prescrive la successione legale del G</w:t>
      </w:r>
      <w:r>
        <w:rPr>
          <w:rFonts w:ascii="Garamond" w:hAnsi="Garamond" w:cs="Times New Roman"/>
          <w:color w:val="000000" w:themeColor="text1"/>
          <w:sz w:val="28"/>
          <w:szCs w:val="28"/>
        </w:rPr>
        <w:t>.</w:t>
      </w:r>
      <w:r w:rsidRPr="00C434AB">
        <w:rPr>
          <w:rFonts w:ascii="Garamond" w:hAnsi="Garamond" w:cs="Times New Roman"/>
          <w:color w:val="000000" w:themeColor="text1"/>
          <w:sz w:val="28"/>
          <w:szCs w:val="28"/>
        </w:rPr>
        <w:t>r</w:t>
      </w:r>
      <w:r>
        <w:rPr>
          <w:rFonts w:ascii="Garamond" w:hAnsi="Garamond" w:cs="Times New Roman"/>
          <w:color w:val="000000" w:themeColor="text1"/>
          <w:sz w:val="28"/>
          <w:szCs w:val="28"/>
        </w:rPr>
        <w:t>.</w:t>
      </w:r>
      <w:r w:rsidRPr="00C434AB">
        <w:rPr>
          <w:rFonts w:ascii="Garamond" w:hAnsi="Garamond" w:cs="Times New Roman"/>
          <w:color w:val="000000" w:themeColor="text1"/>
          <w:sz w:val="28"/>
          <w:szCs w:val="28"/>
        </w:rPr>
        <w:t>t</w:t>
      </w:r>
      <w:r>
        <w:rPr>
          <w:rFonts w:ascii="Garamond" w:hAnsi="Garamond" w:cs="Times New Roman"/>
          <w:color w:val="000000" w:themeColor="text1"/>
          <w:sz w:val="28"/>
          <w:szCs w:val="28"/>
        </w:rPr>
        <w:t>.</w:t>
      </w:r>
      <w:r w:rsidRPr="00C434AB">
        <w:rPr>
          <w:rFonts w:ascii="Garamond" w:hAnsi="Garamond" w:cs="Times New Roman"/>
          <w:color w:val="000000" w:themeColor="text1"/>
          <w:sz w:val="28"/>
          <w:szCs w:val="28"/>
        </w:rPr>
        <w:t>n</w:t>
      </w:r>
      <w:r>
        <w:rPr>
          <w:rFonts w:ascii="Garamond" w:hAnsi="Garamond" w:cs="Times New Roman"/>
          <w:color w:val="000000" w:themeColor="text1"/>
          <w:sz w:val="28"/>
          <w:szCs w:val="28"/>
        </w:rPr>
        <w:t>.</w:t>
      </w:r>
      <w:r w:rsidRPr="00C434AB">
        <w:rPr>
          <w:rFonts w:ascii="Garamond" w:hAnsi="Garamond" w:cs="Times New Roman"/>
          <w:color w:val="000000" w:themeColor="text1"/>
          <w:sz w:val="28"/>
          <w:szCs w:val="28"/>
        </w:rPr>
        <w:t xml:space="preserve"> nei contratti preesistenti di acquisto dell’</w:t>
      </w:r>
      <w:r>
        <w:rPr>
          <w:rFonts w:ascii="Garamond" w:hAnsi="Garamond" w:cs="Times New Roman"/>
          <w:color w:val="000000" w:themeColor="text1"/>
          <w:sz w:val="28"/>
          <w:szCs w:val="28"/>
        </w:rPr>
        <w:t>energia</w:t>
      </w:r>
      <w:r w:rsidRPr="00C434AB">
        <w:rPr>
          <w:rFonts w:ascii="Garamond" w:hAnsi="Garamond" w:cs="Times New Roman"/>
          <w:color w:val="000000" w:themeColor="text1"/>
          <w:sz w:val="28"/>
          <w:szCs w:val="28"/>
        </w:rPr>
        <w:t xml:space="preserve"> elettrica già facenti capo </w:t>
      </w:r>
      <w:r>
        <w:rPr>
          <w:rFonts w:ascii="Garamond" w:hAnsi="Garamond" w:cs="Times New Roman"/>
          <w:color w:val="000000" w:themeColor="text1"/>
          <w:sz w:val="28"/>
          <w:szCs w:val="28"/>
        </w:rPr>
        <w:t>all’E</w:t>
      </w:r>
      <w:r w:rsidRPr="00C434AB">
        <w:rPr>
          <w:rFonts w:ascii="Garamond" w:hAnsi="Garamond" w:cs="Times New Roman"/>
          <w:color w:val="000000" w:themeColor="text1"/>
          <w:sz w:val="28"/>
          <w:szCs w:val="28"/>
        </w:rPr>
        <w:t xml:space="preserve">nel e la </w:t>
      </w:r>
      <w:r>
        <w:rPr>
          <w:rFonts w:ascii="Garamond" w:hAnsi="Garamond" w:cs="Times New Roman"/>
          <w:color w:val="000000" w:themeColor="text1"/>
          <w:sz w:val="28"/>
          <w:szCs w:val="28"/>
        </w:rPr>
        <w:t>successiva</w:t>
      </w:r>
      <w:r w:rsidRPr="00C434AB">
        <w:rPr>
          <w:rFonts w:ascii="Garamond" w:hAnsi="Garamond" w:cs="Times New Roman"/>
          <w:color w:val="000000" w:themeColor="text1"/>
          <w:sz w:val="28"/>
          <w:szCs w:val="28"/>
        </w:rPr>
        <w:t xml:space="preserve"> cessione al mercato della risorsa.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C434AB">
        <w:rPr>
          <w:rFonts w:ascii="Garamond" w:hAnsi="Garamond" w:cs="Times New Roman"/>
          <w:color w:val="000000" w:themeColor="text1"/>
          <w:sz w:val="28"/>
          <w:szCs w:val="28"/>
        </w:rPr>
        <w:t>In attuazione della disposizione di cui al citato</w:t>
      </w:r>
      <w:r>
        <w:rPr>
          <w:rFonts w:ascii="Garamond" w:hAnsi="Garamond" w:cs="Times New Roman"/>
          <w:color w:val="000000" w:themeColor="text1"/>
          <w:sz w:val="28"/>
          <w:szCs w:val="28"/>
        </w:rPr>
        <w:t xml:space="preserve"> comma 12, l’art. 4, comma 1, </w:t>
      </w:r>
      <w:r w:rsidRPr="00C434AB">
        <w:rPr>
          <w:rFonts w:ascii="Garamond" w:hAnsi="Garamond" w:cs="Times New Roman"/>
          <w:color w:val="000000" w:themeColor="text1"/>
          <w:sz w:val="28"/>
          <w:szCs w:val="28"/>
        </w:rPr>
        <w:t>d.m.</w:t>
      </w:r>
      <w:r>
        <w:rPr>
          <w:rFonts w:ascii="Garamond" w:hAnsi="Garamond" w:cs="Times New Roman"/>
          <w:color w:val="000000" w:themeColor="text1"/>
          <w:sz w:val="28"/>
          <w:szCs w:val="28"/>
        </w:rPr>
        <w:t xml:space="preserve"> </w:t>
      </w:r>
      <w:r w:rsidRPr="00C434AB">
        <w:rPr>
          <w:rFonts w:ascii="Garamond" w:hAnsi="Garamond" w:cs="Times New Roman"/>
          <w:color w:val="000000" w:themeColor="text1"/>
          <w:sz w:val="28"/>
          <w:szCs w:val="28"/>
        </w:rPr>
        <w:t>21 novembre 2000, come m</w:t>
      </w:r>
      <w:r>
        <w:rPr>
          <w:rFonts w:ascii="Garamond" w:hAnsi="Garamond" w:cs="Times New Roman"/>
          <w:color w:val="000000" w:themeColor="text1"/>
          <w:sz w:val="28"/>
          <w:szCs w:val="28"/>
        </w:rPr>
        <w:t xml:space="preserve">odificato dal successivo d.m. </w:t>
      </w:r>
      <w:r w:rsidRPr="00C434AB">
        <w:rPr>
          <w:rFonts w:ascii="Garamond" w:hAnsi="Garamond" w:cs="Times New Roman"/>
          <w:color w:val="000000" w:themeColor="text1"/>
          <w:sz w:val="28"/>
          <w:szCs w:val="28"/>
        </w:rPr>
        <w:t>10 dicembre 2001, prevede</w:t>
      </w:r>
      <w:r>
        <w:rPr>
          <w:rFonts w:ascii="Garamond" w:hAnsi="Garamond" w:cs="Times New Roman"/>
          <w:color w:val="000000" w:themeColor="text1"/>
          <w:sz w:val="28"/>
          <w:szCs w:val="28"/>
        </w:rPr>
        <w:t>va</w:t>
      </w:r>
      <w:r w:rsidRPr="00C434AB">
        <w:rPr>
          <w:rFonts w:ascii="Garamond" w:hAnsi="Garamond" w:cs="Times New Roman"/>
          <w:color w:val="000000" w:themeColor="text1"/>
          <w:sz w:val="28"/>
          <w:szCs w:val="28"/>
        </w:rPr>
        <w:t xml:space="preserve"> in via transitori</w:t>
      </w:r>
      <w:r>
        <w:rPr>
          <w:rFonts w:ascii="Garamond" w:hAnsi="Garamond" w:cs="Times New Roman"/>
          <w:color w:val="000000" w:themeColor="text1"/>
          <w:sz w:val="28"/>
          <w:szCs w:val="28"/>
        </w:rPr>
        <w:t>a che l’energia in argomento fosse</w:t>
      </w:r>
      <w:r w:rsidRPr="00C434AB">
        <w:rPr>
          <w:rFonts w:ascii="Garamond" w:hAnsi="Garamond" w:cs="Times New Roman"/>
          <w:color w:val="000000" w:themeColor="text1"/>
          <w:sz w:val="28"/>
          <w:szCs w:val="28"/>
        </w:rPr>
        <w:t xml:space="preserve"> allocata sul mercato mediante procedure concorsuali disciplinate dall’Autorità</w:t>
      </w:r>
      <w:r w:rsidRPr="00C434AB">
        <w:t xml:space="preserve"> </w:t>
      </w:r>
      <w:r w:rsidRPr="00C434AB">
        <w:rPr>
          <w:rFonts w:ascii="Garamond" w:hAnsi="Garamond" w:cs="Times New Roman"/>
          <w:color w:val="000000" w:themeColor="text1"/>
          <w:sz w:val="28"/>
          <w:szCs w:val="28"/>
        </w:rPr>
        <w:t>per l’</w:t>
      </w:r>
      <w:r>
        <w:rPr>
          <w:rFonts w:ascii="Garamond" w:hAnsi="Garamond" w:cs="Times New Roman"/>
          <w:color w:val="000000" w:themeColor="text1"/>
          <w:sz w:val="28"/>
          <w:szCs w:val="28"/>
        </w:rPr>
        <w:t>energia</w:t>
      </w:r>
      <w:r w:rsidRPr="00C434AB">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elettrica e il gas, </w:t>
      </w:r>
      <w:r w:rsidRPr="00C434AB">
        <w:rPr>
          <w:rFonts w:ascii="Garamond" w:hAnsi="Garamond" w:cs="Times New Roman"/>
          <w:color w:val="000000" w:themeColor="text1"/>
          <w:sz w:val="28"/>
          <w:szCs w:val="28"/>
        </w:rPr>
        <w:t>nel rispetto dei parametri di pubblicità</w:t>
      </w:r>
      <w:r>
        <w:rPr>
          <w:rFonts w:ascii="Garamond" w:hAnsi="Garamond" w:cs="Times New Roman"/>
          <w:color w:val="000000" w:themeColor="text1"/>
          <w:sz w:val="28"/>
          <w:szCs w:val="28"/>
        </w:rPr>
        <w:t xml:space="preserve"> </w:t>
      </w:r>
      <w:r w:rsidRPr="00A75C8B">
        <w:rPr>
          <w:rFonts w:ascii="Garamond" w:hAnsi="Garamond" w:cs="Times New Roman"/>
          <w:color w:val="000000" w:themeColor="text1"/>
          <w:sz w:val="28"/>
          <w:szCs w:val="28"/>
        </w:rPr>
        <w:t>(ARERA),</w:t>
      </w:r>
      <w:r w:rsidRPr="00C434AB">
        <w:rPr>
          <w:rFonts w:ascii="Garamond" w:hAnsi="Garamond" w:cs="Times New Roman"/>
          <w:color w:val="000000" w:themeColor="text1"/>
          <w:sz w:val="28"/>
          <w:szCs w:val="28"/>
        </w:rPr>
        <w:t xml:space="preserve"> trasparenza e non discriminazione</w:t>
      </w:r>
      <w:r>
        <w:rPr>
          <w:rFonts w:ascii="Garamond" w:hAnsi="Garamond" w:cs="Times New Roman"/>
          <w:color w:val="000000" w:themeColor="text1"/>
          <w:sz w:val="28"/>
          <w:szCs w:val="28"/>
        </w:rPr>
        <w:t xml:space="preserve"> gestite dal G.r.t.n.</w:t>
      </w:r>
      <w:r w:rsidRPr="00C434AB">
        <w:t xml:space="preserve"> </w:t>
      </w:r>
      <w:r w:rsidRPr="00C434AB">
        <w:rPr>
          <w:rFonts w:ascii="Garamond" w:hAnsi="Garamond" w:cs="Times New Roman"/>
          <w:color w:val="000000" w:themeColor="text1"/>
          <w:sz w:val="28"/>
          <w:szCs w:val="28"/>
        </w:rPr>
        <w:t xml:space="preserve">Con delibera n. 308/01 l’Autorità </w:t>
      </w:r>
      <w:r>
        <w:rPr>
          <w:rFonts w:ascii="Garamond" w:hAnsi="Garamond" w:cs="Times New Roman"/>
          <w:color w:val="000000" w:themeColor="text1"/>
          <w:sz w:val="28"/>
          <w:szCs w:val="28"/>
        </w:rPr>
        <w:t>per l’energia elettrica e il gas</w:t>
      </w:r>
      <w:r w:rsidRPr="00C434AB">
        <w:rPr>
          <w:rFonts w:ascii="Garamond" w:hAnsi="Garamond" w:cs="Times New Roman"/>
          <w:color w:val="000000" w:themeColor="text1"/>
          <w:sz w:val="28"/>
          <w:szCs w:val="28"/>
        </w:rPr>
        <w:t xml:space="preserve"> ha quindi disciplinato la procedura concorsuale per l’assegnazione per l’anno 2002 della </w:t>
      </w:r>
      <w:r>
        <w:rPr>
          <w:rFonts w:ascii="Garamond" w:hAnsi="Garamond" w:cs="Times New Roman"/>
          <w:color w:val="000000" w:themeColor="text1"/>
          <w:sz w:val="28"/>
          <w:szCs w:val="28"/>
        </w:rPr>
        <w:t>energia</w:t>
      </w:r>
      <w:r w:rsidRPr="00C434AB">
        <w:rPr>
          <w:rFonts w:ascii="Garamond" w:hAnsi="Garamond" w:cs="Times New Roman"/>
          <w:color w:val="000000" w:themeColor="text1"/>
          <w:sz w:val="28"/>
          <w:szCs w:val="28"/>
        </w:rPr>
        <w:t xml:space="preserve"> cd. CIP6, prevedendone la even</w:t>
      </w:r>
      <w:r>
        <w:rPr>
          <w:rFonts w:ascii="Garamond" w:hAnsi="Garamond" w:cs="Times New Roman"/>
          <w:color w:val="000000" w:themeColor="text1"/>
          <w:sz w:val="28"/>
          <w:szCs w:val="28"/>
        </w:rPr>
        <w:t xml:space="preserve">tuale articolazione in due fasi, la seconda subordinata alla presenza di un numero di offerte superiore alle bande disponibili e caratterizzata da possibili offerte al rialzo. </w:t>
      </w:r>
    </w:p>
    <w:p w:rsidR="007B4920" w:rsidRPr="00C434AB"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Ciò posto,  secondo il Consiglio di Stato  è legittima  la scelta del Gestore </w:t>
      </w:r>
      <w:r w:rsidRPr="00553C4E">
        <w:rPr>
          <w:rFonts w:ascii="Garamond" w:hAnsi="Garamond" w:cs="Times New Roman"/>
          <w:color w:val="000000" w:themeColor="text1"/>
          <w:sz w:val="28"/>
          <w:szCs w:val="28"/>
        </w:rPr>
        <w:t>del passaggio alla seconda fase della procedura</w:t>
      </w:r>
      <w:r>
        <w:rPr>
          <w:rFonts w:ascii="Garamond" w:hAnsi="Garamond" w:cs="Times New Roman"/>
          <w:color w:val="000000" w:themeColor="text1"/>
          <w:sz w:val="28"/>
          <w:szCs w:val="28"/>
        </w:rPr>
        <w:t xml:space="preserve"> concorsuale</w:t>
      </w:r>
      <w:r w:rsidRPr="00553C4E">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anche qualora all’esito  di tale fase le richieste risultino inferiori al numero delle  bandi disponibili,</w:t>
      </w:r>
      <w:r w:rsidRPr="00553C4E">
        <w:rPr>
          <w:rFonts w:ascii="Garamond" w:hAnsi="Garamond" w:cs="Times New Roman"/>
          <w:color w:val="000000" w:themeColor="text1"/>
          <w:sz w:val="28"/>
          <w:szCs w:val="28"/>
        </w:rPr>
        <w:t xml:space="preserve">  in quanto, a prescindere dalla verifica degli interessi ultimi cui funzionalizzare la gestione della procedura, lo stesso meccanismo di gara, così come regolamentato dalla delibera n. 308/01</w:t>
      </w:r>
      <w:r w:rsidRPr="00553C4E">
        <w:t xml:space="preserve"> </w:t>
      </w:r>
      <w:r w:rsidRPr="00553C4E">
        <w:rPr>
          <w:rFonts w:ascii="Garamond" w:hAnsi="Garamond" w:cs="Times New Roman"/>
          <w:color w:val="000000" w:themeColor="text1"/>
          <w:sz w:val="28"/>
          <w:szCs w:val="28"/>
        </w:rPr>
        <w:t>da</w:t>
      </w:r>
      <w:r>
        <w:rPr>
          <w:rFonts w:ascii="Garamond" w:hAnsi="Garamond" w:cs="Times New Roman"/>
          <w:color w:val="000000" w:themeColor="text1"/>
          <w:sz w:val="28"/>
          <w:szCs w:val="28"/>
        </w:rPr>
        <w:t xml:space="preserve"> ARERA</w:t>
      </w:r>
      <w:r w:rsidRPr="00553C4E">
        <w:rPr>
          <w:rFonts w:ascii="Garamond" w:hAnsi="Garamond" w:cs="Times New Roman"/>
          <w:color w:val="000000" w:themeColor="text1"/>
          <w:sz w:val="28"/>
          <w:szCs w:val="28"/>
        </w:rPr>
        <w:t>, non consente di imputare a difetto di serietà o trasparenza la scelta delle imprese partecipanti alla prima fase di non prendere parte alla seconda, potendo detta scelta  essere dettata dalla maturata determinazione imprenditoriale di partecipare al procedimento alla sola condizione di ottenere l’</w:t>
      </w:r>
      <w:r>
        <w:rPr>
          <w:rFonts w:ascii="Garamond" w:hAnsi="Garamond" w:cs="Times New Roman"/>
          <w:color w:val="000000" w:themeColor="text1"/>
          <w:sz w:val="28"/>
          <w:szCs w:val="28"/>
        </w:rPr>
        <w:t>energia</w:t>
      </w:r>
      <w:r w:rsidRPr="00553C4E">
        <w:rPr>
          <w:rFonts w:ascii="Garamond" w:hAnsi="Garamond" w:cs="Times New Roman"/>
          <w:color w:val="000000" w:themeColor="text1"/>
          <w:sz w:val="28"/>
          <w:szCs w:val="28"/>
        </w:rPr>
        <w:t xml:space="preserve"> al prezzo indicato con l’offerta presentata nella prima fase, </w:t>
      </w:r>
      <w:r w:rsidRPr="00553C4E">
        <w:rPr>
          <w:rFonts w:ascii="Garamond" w:hAnsi="Garamond" w:cs="Times New Roman"/>
          <w:color w:val="000000" w:themeColor="text1"/>
          <w:sz w:val="28"/>
          <w:szCs w:val="28"/>
        </w:rPr>
        <w:lastRenderedPageBreak/>
        <w:t xml:space="preserve">senza sottoporsi al gioco competitivo tendenzialmente al rialzo tipico della fase </w:t>
      </w:r>
      <w:r>
        <w:rPr>
          <w:rFonts w:ascii="Garamond" w:hAnsi="Garamond" w:cs="Times New Roman"/>
          <w:color w:val="000000" w:themeColor="text1"/>
          <w:sz w:val="28"/>
          <w:szCs w:val="28"/>
        </w:rPr>
        <w:t>successiva</w:t>
      </w:r>
      <w:r w:rsidRPr="00553C4E">
        <w:rPr>
          <w:rFonts w:ascii="Garamond" w:hAnsi="Garamond" w:cs="Times New Roman"/>
          <w:color w:val="000000" w:themeColor="text1"/>
          <w:sz w:val="28"/>
          <w:szCs w:val="28"/>
        </w:rPr>
        <w:t>. Pertanto, qualora all’esito di tale seconda fase</w:t>
      </w:r>
      <w:r>
        <w:rPr>
          <w:rFonts w:ascii="Garamond" w:hAnsi="Garamond" w:cs="Times New Roman"/>
          <w:color w:val="000000" w:themeColor="text1"/>
          <w:sz w:val="28"/>
          <w:szCs w:val="28"/>
        </w:rPr>
        <w:t xml:space="preserve">, </w:t>
      </w:r>
      <w:r w:rsidRPr="00553C4E">
        <w:rPr>
          <w:rFonts w:ascii="Garamond" w:hAnsi="Garamond" w:cs="Times New Roman"/>
          <w:color w:val="000000" w:themeColor="text1"/>
          <w:sz w:val="28"/>
          <w:szCs w:val="28"/>
        </w:rPr>
        <w:t xml:space="preserve"> le richieste risultino inferiori rispetto al numero di bande disponibili, non è imposto al Gestore, in assenza peraltro di esplicite previsioni, l’att</w:t>
      </w:r>
      <w:r>
        <w:rPr>
          <w:rFonts w:ascii="Garamond" w:hAnsi="Garamond" w:cs="Times New Roman"/>
          <w:color w:val="000000" w:themeColor="text1"/>
          <w:sz w:val="28"/>
          <w:szCs w:val="28"/>
        </w:rPr>
        <w:t>iva</w:t>
      </w:r>
      <w:r w:rsidRPr="00553C4E">
        <w:rPr>
          <w:rFonts w:ascii="Garamond" w:hAnsi="Garamond" w:cs="Times New Roman"/>
          <w:color w:val="000000" w:themeColor="text1"/>
          <w:sz w:val="28"/>
          <w:szCs w:val="28"/>
        </w:rPr>
        <w:t>zione di poteri di intervento o di autotutela volti a verificare la serietà delle offerte formulate nella prima fase o l’eventuale imputabilità del ritiro ad una preordinata ed illecita volontà di alterare il risultato di gara piuttosto che ad una consentita scelta imprenditoriale</w:t>
      </w:r>
      <w:r>
        <w:rPr>
          <w:rFonts w:ascii="Garamond" w:hAnsi="Garamond" w:cs="Times New Roman"/>
          <w:color w:val="000000" w:themeColor="text1"/>
          <w:sz w:val="28"/>
          <w:szCs w:val="28"/>
        </w:rPr>
        <w:t xml:space="preserve"> (Cons. Stato, sez. VI, n. 5241 del 2003, in riforma della sentenza del T.a.r. per il Lazio, che aveva ritenuto illegittime le </w:t>
      </w:r>
      <w:r w:rsidRPr="00221FC6">
        <w:rPr>
          <w:rFonts w:ascii="Garamond" w:hAnsi="Garamond" w:cs="Times New Roman"/>
          <w:color w:val="000000" w:themeColor="text1"/>
          <w:sz w:val="28"/>
          <w:szCs w:val="28"/>
        </w:rPr>
        <w:t>modalità con cui i</w:t>
      </w:r>
      <w:r>
        <w:rPr>
          <w:rFonts w:ascii="Garamond" w:hAnsi="Garamond" w:cs="Times New Roman"/>
          <w:color w:val="000000" w:themeColor="text1"/>
          <w:sz w:val="28"/>
          <w:szCs w:val="28"/>
        </w:rPr>
        <w:t>l Gestore aveva</w:t>
      </w:r>
      <w:r w:rsidRPr="00221FC6">
        <w:rPr>
          <w:rFonts w:ascii="Garamond" w:hAnsi="Garamond" w:cs="Times New Roman"/>
          <w:color w:val="000000" w:themeColor="text1"/>
          <w:sz w:val="28"/>
          <w:szCs w:val="28"/>
        </w:rPr>
        <w:t xml:space="preserve"> in concreto espletato la procedura</w:t>
      </w:r>
      <w:r>
        <w:rPr>
          <w:rFonts w:ascii="Garamond" w:hAnsi="Garamond" w:cs="Times New Roman"/>
          <w:color w:val="000000" w:themeColor="text1"/>
          <w:sz w:val="28"/>
          <w:szCs w:val="28"/>
        </w:rPr>
        <w:t xml:space="preserve"> di vendita, ritenendo ingiustificato il passaggio alla seconda fase e pertanto l’aumento del prezzo, mancando </w:t>
      </w:r>
      <w:r w:rsidRPr="0003284A">
        <w:rPr>
          <w:rFonts w:ascii="Garamond" w:hAnsi="Garamond" w:cs="Times New Roman"/>
          <w:color w:val="000000" w:themeColor="text1"/>
          <w:sz w:val="28"/>
          <w:szCs w:val="28"/>
        </w:rPr>
        <w:t>la condizione giuridica e fattuale cui la citata disciplina subordina</w:t>
      </w:r>
      <w:r>
        <w:rPr>
          <w:rFonts w:ascii="Garamond" w:hAnsi="Garamond" w:cs="Times New Roman"/>
          <w:color w:val="000000" w:themeColor="text1"/>
          <w:sz w:val="28"/>
          <w:szCs w:val="28"/>
        </w:rPr>
        <w:t>va</w:t>
      </w:r>
      <w:r w:rsidRPr="0003284A">
        <w:rPr>
          <w:rFonts w:ascii="Garamond" w:hAnsi="Garamond" w:cs="Times New Roman"/>
          <w:color w:val="000000" w:themeColor="text1"/>
          <w:sz w:val="28"/>
          <w:szCs w:val="28"/>
        </w:rPr>
        <w:t xml:space="preserve"> il ricorso alla procedura concorsuale, ovvero la scarsità del bene rispetto alla d</w:t>
      </w:r>
      <w:r>
        <w:rPr>
          <w:rFonts w:ascii="Garamond" w:hAnsi="Garamond" w:cs="Times New Roman"/>
          <w:color w:val="000000" w:themeColor="text1"/>
          <w:sz w:val="28"/>
          <w:szCs w:val="28"/>
        </w:rPr>
        <w:t>omanda del mercato).</w:t>
      </w:r>
    </w:p>
    <w:p w:rsidR="007B4920" w:rsidRDefault="007B4920" w:rsidP="007B4920">
      <w:pPr>
        <w:spacing w:line="240" w:lineRule="auto"/>
        <w:jc w:val="both"/>
        <w:rPr>
          <w:rFonts w:ascii="Garamond" w:hAnsi="Garamond" w:cs="Times New Roman"/>
          <w:b/>
          <w:color w:val="000000" w:themeColor="text1"/>
          <w:sz w:val="28"/>
          <w:szCs w:val="28"/>
        </w:rPr>
      </w:pPr>
    </w:p>
    <w:p w:rsidR="007B4920" w:rsidRPr="009105E3" w:rsidRDefault="007B4920" w:rsidP="007B4920">
      <w:pPr>
        <w:spacing w:line="240" w:lineRule="auto"/>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3. </w:t>
      </w:r>
      <w:r w:rsidRPr="009105E3">
        <w:rPr>
          <w:rFonts w:ascii="Garamond" w:hAnsi="Garamond" w:cs="Times New Roman"/>
          <w:b/>
          <w:color w:val="000000" w:themeColor="text1"/>
          <w:sz w:val="28"/>
          <w:szCs w:val="28"/>
        </w:rPr>
        <w:t xml:space="preserve">Il </w:t>
      </w:r>
      <w:r w:rsidRPr="009105E3">
        <w:rPr>
          <w:rFonts w:ascii="Garamond" w:hAnsi="Garamond" w:cs="Times New Roman"/>
          <w:b/>
          <w:i/>
          <w:color w:val="000000" w:themeColor="text1"/>
          <w:sz w:val="28"/>
          <w:szCs w:val="28"/>
        </w:rPr>
        <w:t xml:space="preserve">favor </w:t>
      </w:r>
      <w:r w:rsidRPr="009105E3">
        <w:rPr>
          <w:rFonts w:ascii="Garamond" w:hAnsi="Garamond" w:cs="Times New Roman"/>
          <w:b/>
          <w:color w:val="000000" w:themeColor="text1"/>
          <w:sz w:val="28"/>
          <w:szCs w:val="28"/>
        </w:rPr>
        <w:t xml:space="preserve">della </w:t>
      </w:r>
      <w:r>
        <w:rPr>
          <w:rFonts w:ascii="Garamond" w:hAnsi="Garamond" w:cs="Times New Roman"/>
          <w:b/>
          <w:color w:val="000000" w:themeColor="text1"/>
          <w:sz w:val="28"/>
          <w:szCs w:val="28"/>
        </w:rPr>
        <w:t>normativa</w:t>
      </w:r>
      <w:r w:rsidRPr="009105E3">
        <w:rPr>
          <w:rFonts w:ascii="Garamond" w:hAnsi="Garamond" w:cs="Times New Roman"/>
          <w:b/>
          <w:color w:val="000000" w:themeColor="text1"/>
          <w:sz w:val="28"/>
          <w:szCs w:val="28"/>
        </w:rPr>
        <w:t xml:space="preserve"> internazionale ed eurounitaria per l’</w:t>
      </w:r>
      <w:r>
        <w:rPr>
          <w:rFonts w:ascii="Garamond" w:hAnsi="Garamond" w:cs="Times New Roman"/>
          <w:b/>
          <w:color w:val="000000" w:themeColor="text1"/>
          <w:sz w:val="28"/>
          <w:szCs w:val="28"/>
        </w:rPr>
        <w:t>energia</w:t>
      </w:r>
      <w:r w:rsidRPr="009105E3">
        <w:rPr>
          <w:rFonts w:ascii="Garamond" w:hAnsi="Garamond" w:cs="Times New Roman"/>
          <w:b/>
          <w:color w:val="000000" w:themeColor="text1"/>
          <w:sz w:val="28"/>
          <w:szCs w:val="28"/>
        </w:rPr>
        <w:t xml:space="preserve"> prodotta da fonti rinnovabili</w:t>
      </w:r>
      <w:r>
        <w:rPr>
          <w:rFonts w:ascii="Garamond" w:hAnsi="Garamond" w:cs="Times New Roman"/>
          <w:b/>
          <w:color w:val="000000" w:themeColor="text1"/>
          <w:sz w:val="28"/>
          <w:szCs w:val="28"/>
        </w:rPr>
        <w:t>.</w:t>
      </w:r>
    </w:p>
    <w:p w:rsidR="007B4920" w:rsidRPr="00090B29" w:rsidRDefault="007B4920" w:rsidP="007B4920">
      <w:pPr>
        <w:spacing w:line="240" w:lineRule="auto"/>
        <w:ind w:firstLine="709"/>
        <w:contextualSpacing/>
        <w:jc w:val="both"/>
        <w:rPr>
          <w:rFonts w:ascii="Garamond" w:hAnsi="Garamond" w:cs="Times New Roman"/>
          <w:color w:val="000000" w:themeColor="text1"/>
          <w:sz w:val="28"/>
          <w:szCs w:val="28"/>
        </w:rPr>
      </w:pPr>
      <w:r w:rsidRPr="00090B29">
        <w:rPr>
          <w:rFonts w:ascii="Garamond" w:hAnsi="Garamond" w:cs="Times New Roman"/>
          <w:color w:val="000000" w:themeColor="text1"/>
          <w:sz w:val="28"/>
          <w:szCs w:val="28"/>
        </w:rPr>
        <w:t xml:space="preserve">La </w:t>
      </w:r>
      <w:r>
        <w:rPr>
          <w:rFonts w:ascii="Garamond" w:hAnsi="Garamond" w:cs="Times New Roman"/>
          <w:color w:val="000000" w:themeColor="text1"/>
          <w:sz w:val="28"/>
          <w:szCs w:val="28"/>
        </w:rPr>
        <w:t>normativa</w:t>
      </w:r>
      <w:r w:rsidRPr="00090B29">
        <w:rPr>
          <w:rFonts w:ascii="Garamond" w:hAnsi="Garamond" w:cs="Times New Roman"/>
          <w:color w:val="000000" w:themeColor="text1"/>
          <w:sz w:val="28"/>
          <w:szCs w:val="28"/>
        </w:rPr>
        <w:t xml:space="preserve"> internazionale (Protocollo di Kyoto addizionale alla Convenzione-quadro delle Nazioni Unite sui cambiamenti climatici, adottato l’11 dicembre 1997, r</w:t>
      </w:r>
      <w:r>
        <w:rPr>
          <w:rFonts w:ascii="Garamond" w:hAnsi="Garamond" w:cs="Times New Roman"/>
          <w:color w:val="000000" w:themeColor="text1"/>
          <w:sz w:val="28"/>
          <w:szCs w:val="28"/>
        </w:rPr>
        <w:t>atificato e reso esecutivo con l</w:t>
      </w:r>
      <w:r w:rsidRPr="00090B29">
        <w:rPr>
          <w:rFonts w:ascii="Garamond" w:hAnsi="Garamond" w:cs="Times New Roman"/>
          <w:color w:val="000000" w:themeColor="text1"/>
          <w:sz w:val="28"/>
          <w:szCs w:val="28"/>
        </w:rPr>
        <w:t>. 1 giugno 2002, n. 120) e quella comunitaria (</w:t>
      </w:r>
      <w:r>
        <w:rPr>
          <w:rFonts w:ascii="Garamond" w:hAnsi="Garamond" w:cs="Times New Roman"/>
          <w:color w:val="000000" w:themeColor="text1"/>
          <w:sz w:val="28"/>
          <w:szCs w:val="28"/>
        </w:rPr>
        <w:t>direttiva</w:t>
      </w:r>
      <w:r w:rsidRPr="00090B29">
        <w:rPr>
          <w:rFonts w:ascii="Garamond" w:hAnsi="Garamond" w:cs="Times New Roman"/>
          <w:color w:val="000000" w:themeColor="text1"/>
          <w:sz w:val="28"/>
          <w:szCs w:val="28"/>
        </w:rPr>
        <w:t xml:space="preserve"> 27 settembre 2001, n. 2001/77/CE e </w:t>
      </w:r>
      <w:r>
        <w:rPr>
          <w:rFonts w:ascii="Garamond" w:hAnsi="Garamond" w:cs="Times New Roman"/>
          <w:color w:val="000000" w:themeColor="text1"/>
          <w:sz w:val="28"/>
          <w:szCs w:val="28"/>
        </w:rPr>
        <w:t>direttiva</w:t>
      </w:r>
      <w:r w:rsidRPr="00090B29">
        <w:rPr>
          <w:rFonts w:ascii="Garamond" w:hAnsi="Garamond" w:cs="Times New Roman"/>
          <w:color w:val="000000" w:themeColor="text1"/>
          <w:sz w:val="28"/>
          <w:szCs w:val="28"/>
        </w:rPr>
        <w:t xml:space="preserve"> 23 aprile 2009, n. 2009/28/CE) manifestano un </w:t>
      </w:r>
      <w:r w:rsidRPr="00E71EC6">
        <w:rPr>
          <w:rFonts w:ascii="Garamond" w:hAnsi="Garamond" w:cs="Times New Roman"/>
          <w:i/>
          <w:color w:val="000000" w:themeColor="text1"/>
          <w:sz w:val="28"/>
          <w:szCs w:val="28"/>
        </w:rPr>
        <w:t xml:space="preserve">favor </w:t>
      </w:r>
      <w:r w:rsidRPr="00090B29">
        <w:rPr>
          <w:rFonts w:ascii="Garamond" w:hAnsi="Garamond" w:cs="Times New Roman"/>
          <w:color w:val="000000" w:themeColor="text1"/>
          <w:sz w:val="28"/>
          <w:szCs w:val="28"/>
        </w:rPr>
        <w:t>per le fonti energetiche rinnovabili al fine di eliminare la dipendenza dai carburanti fossili.</w:t>
      </w:r>
    </w:p>
    <w:p w:rsidR="007B4920" w:rsidRPr="0018058A" w:rsidRDefault="007B4920" w:rsidP="007B4920">
      <w:pPr>
        <w:spacing w:line="240" w:lineRule="auto"/>
        <w:ind w:firstLine="709"/>
        <w:contextualSpacing/>
        <w:jc w:val="both"/>
        <w:rPr>
          <w:rFonts w:ascii="Garamond" w:hAnsi="Garamond" w:cs="Times New Roman"/>
          <w:color w:val="000000" w:themeColor="text1"/>
          <w:sz w:val="28"/>
          <w:szCs w:val="28"/>
        </w:rPr>
      </w:pPr>
      <w:r w:rsidRPr="0018058A">
        <w:rPr>
          <w:rFonts w:ascii="Garamond" w:hAnsi="Garamond" w:cs="Times New Roman"/>
          <w:color w:val="000000" w:themeColor="text1"/>
          <w:sz w:val="28"/>
          <w:szCs w:val="28"/>
        </w:rPr>
        <w:t xml:space="preserve">Il legislatore nazionale ha </w:t>
      </w:r>
      <w:r>
        <w:rPr>
          <w:rFonts w:ascii="Garamond" w:hAnsi="Garamond" w:cs="Times New Roman"/>
          <w:color w:val="000000" w:themeColor="text1"/>
          <w:sz w:val="28"/>
          <w:szCs w:val="28"/>
        </w:rPr>
        <w:t>recepito tali indirizzi con il d</w:t>
      </w:r>
      <w:r w:rsidRPr="0018058A">
        <w:rPr>
          <w:rFonts w:ascii="Garamond" w:hAnsi="Garamond" w:cs="Times New Roman"/>
          <w:color w:val="000000" w:themeColor="text1"/>
          <w:sz w:val="28"/>
          <w:szCs w:val="28"/>
        </w:rPr>
        <w:t>.lgs. n. 387</w:t>
      </w:r>
      <w:r>
        <w:rPr>
          <w:rFonts w:ascii="Garamond" w:hAnsi="Garamond" w:cs="Times New Roman"/>
          <w:color w:val="000000" w:themeColor="text1"/>
          <w:sz w:val="28"/>
          <w:szCs w:val="28"/>
        </w:rPr>
        <w:t xml:space="preserve"> del 2003, </w:t>
      </w:r>
      <w:r w:rsidRPr="0018058A">
        <w:rPr>
          <w:rFonts w:ascii="Garamond" w:hAnsi="Garamond" w:cs="Times New Roman"/>
          <w:color w:val="000000" w:themeColor="text1"/>
          <w:sz w:val="28"/>
          <w:szCs w:val="28"/>
        </w:rPr>
        <w:t xml:space="preserve">dal quale è possibile ricavare i principi fondamentali della sopra indicata materia (ex </w:t>
      </w:r>
      <w:r w:rsidRPr="00D02860">
        <w:rPr>
          <w:rFonts w:ascii="Garamond" w:hAnsi="Garamond" w:cs="Times New Roman"/>
          <w:i/>
          <w:color w:val="000000" w:themeColor="text1"/>
          <w:sz w:val="28"/>
          <w:szCs w:val="28"/>
        </w:rPr>
        <w:t>plurimis</w:t>
      </w:r>
      <w:r w:rsidRPr="0018058A">
        <w:rPr>
          <w:rFonts w:ascii="Garamond" w:hAnsi="Garamond" w:cs="Times New Roman"/>
          <w:color w:val="000000" w:themeColor="text1"/>
          <w:sz w:val="28"/>
          <w:szCs w:val="28"/>
        </w:rPr>
        <w:t xml:space="preserve"> sentenze Corte cost. n. 124 del 2010</w:t>
      </w:r>
      <w:r>
        <w:rPr>
          <w:rFonts w:ascii="Garamond" w:hAnsi="Garamond" w:cs="Times New Roman"/>
          <w:color w:val="000000" w:themeColor="text1"/>
          <w:sz w:val="28"/>
          <w:szCs w:val="28"/>
        </w:rPr>
        <w:t xml:space="preserve"> e n. 364 del 2006</w:t>
      </w:r>
      <w:r w:rsidRPr="0018058A">
        <w:rPr>
          <w:rFonts w:ascii="Garamond" w:hAnsi="Garamond" w:cs="Times New Roman"/>
          <w:color w:val="000000" w:themeColor="text1"/>
          <w:sz w:val="28"/>
          <w:szCs w:val="28"/>
        </w:rPr>
        <w:t>).</w:t>
      </w:r>
    </w:p>
    <w:p w:rsidR="007B4920" w:rsidRPr="0018058A" w:rsidRDefault="007B4920" w:rsidP="007B4920">
      <w:pPr>
        <w:spacing w:line="240" w:lineRule="auto"/>
        <w:ind w:firstLine="709"/>
        <w:contextualSpacing/>
        <w:jc w:val="both"/>
        <w:rPr>
          <w:rFonts w:ascii="Garamond" w:hAnsi="Garamond" w:cs="Times New Roman"/>
          <w:color w:val="000000" w:themeColor="text1"/>
          <w:sz w:val="28"/>
          <w:szCs w:val="28"/>
        </w:rPr>
      </w:pPr>
      <w:r w:rsidRPr="0018058A">
        <w:rPr>
          <w:rFonts w:ascii="Garamond" w:hAnsi="Garamond" w:cs="Times New Roman"/>
          <w:color w:val="000000" w:themeColor="text1"/>
          <w:sz w:val="28"/>
          <w:szCs w:val="28"/>
        </w:rPr>
        <w:t xml:space="preserve">Le norme internazionali (Protocollo di Kyoto) e comunitarie (art. 3 </w:t>
      </w:r>
      <w:r>
        <w:rPr>
          <w:rFonts w:ascii="Garamond" w:hAnsi="Garamond" w:cs="Times New Roman"/>
          <w:color w:val="000000" w:themeColor="text1"/>
          <w:sz w:val="28"/>
          <w:szCs w:val="28"/>
        </w:rPr>
        <w:t>direttiva</w:t>
      </w:r>
      <w:r w:rsidRPr="0018058A">
        <w:rPr>
          <w:rFonts w:ascii="Garamond" w:hAnsi="Garamond" w:cs="Times New Roman"/>
          <w:color w:val="000000" w:themeColor="text1"/>
          <w:sz w:val="28"/>
          <w:szCs w:val="28"/>
        </w:rPr>
        <w:t xml:space="preserve"> n. 2001/77/CE), nell’</w:t>
      </w:r>
      <w:r>
        <w:rPr>
          <w:rFonts w:ascii="Garamond" w:hAnsi="Garamond" w:cs="Times New Roman"/>
          <w:color w:val="000000" w:themeColor="text1"/>
          <w:sz w:val="28"/>
          <w:szCs w:val="28"/>
        </w:rPr>
        <w:t>incentivare</w:t>
      </w:r>
      <w:r w:rsidRPr="0018058A">
        <w:rPr>
          <w:rFonts w:ascii="Garamond" w:hAnsi="Garamond" w:cs="Times New Roman"/>
          <w:color w:val="000000" w:themeColor="text1"/>
          <w:sz w:val="28"/>
          <w:szCs w:val="28"/>
        </w:rPr>
        <w:t xml:space="preserve"> lo sviluppo delle suddette fonti di </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individuano soglie minime di produzione che ogni Stato si impegna a raggiungere entro un determinato periodo di tempo.</w:t>
      </w:r>
    </w:p>
    <w:p w:rsidR="007B4920" w:rsidRPr="0018058A" w:rsidRDefault="007B4920" w:rsidP="007B4920">
      <w:pPr>
        <w:spacing w:line="240" w:lineRule="auto"/>
        <w:ind w:firstLine="709"/>
        <w:contextualSpacing/>
        <w:jc w:val="both"/>
        <w:rPr>
          <w:rFonts w:ascii="Garamond" w:hAnsi="Garamond" w:cs="Times New Roman"/>
          <w:color w:val="000000" w:themeColor="text1"/>
          <w:sz w:val="28"/>
          <w:szCs w:val="28"/>
        </w:rPr>
      </w:pPr>
      <w:r w:rsidRPr="0018058A">
        <w:rPr>
          <w:rFonts w:ascii="Garamond" w:hAnsi="Garamond" w:cs="Times New Roman"/>
          <w:color w:val="000000" w:themeColor="text1"/>
          <w:sz w:val="28"/>
          <w:szCs w:val="28"/>
        </w:rPr>
        <w:t>In ottemperanza agli indirizzi sopra riportati l’art. 2, comma 167, della L. n. 244 del 2007, ha previsto  che «</w:t>
      </w:r>
      <w:r w:rsidRPr="00D02860">
        <w:rPr>
          <w:rFonts w:ascii="Garamond" w:hAnsi="Garamond" w:cs="Times New Roman"/>
          <w:i/>
          <w:color w:val="000000" w:themeColor="text1"/>
          <w:sz w:val="28"/>
          <w:szCs w:val="28"/>
        </w:rPr>
        <w:t>Il Ministro dello sviluppo economico, di concerto con il Ministro dell’ambiente e della tutela del territorio e del mare, d’intesa con la Conferenza permanente per i rapporti tra lo Stato, le regioni e le province autonome di Trento e di Bolzano, emana, entro novanta giorni dalla data di entrata in vigore della presente disposizione, uno o più decreti per definire la ripartizione fra regioni e province autonome di Trento e di Bolzano della quota minima di incremento dell’</w:t>
      </w:r>
      <w:r>
        <w:rPr>
          <w:rFonts w:ascii="Garamond" w:hAnsi="Garamond" w:cs="Times New Roman"/>
          <w:i/>
          <w:color w:val="000000" w:themeColor="text1"/>
          <w:sz w:val="28"/>
          <w:szCs w:val="28"/>
        </w:rPr>
        <w:t>energia</w:t>
      </w:r>
      <w:r w:rsidRPr="00D02860">
        <w:rPr>
          <w:rFonts w:ascii="Garamond" w:hAnsi="Garamond" w:cs="Times New Roman"/>
          <w:i/>
          <w:color w:val="000000" w:themeColor="text1"/>
          <w:sz w:val="28"/>
          <w:szCs w:val="28"/>
        </w:rPr>
        <w:t xml:space="preserve"> prodotta con fonti rinnovabili per raggiungere l’obiettivo del 17 per cento del consumo interno lordo entro 2020 ed i successivi aggiornamenti proposti dall’Unione europea</w:t>
      </w:r>
      <w:r w:rsidRPr="0018058A">
        <w:rPr>
          <w:rFonts w:ascii="Garamond" w:hAnsi="Garamond" w:cs="Times New Roman"/>
          <w:color w:val="000000" w:themeColor="text1"/>
          <w:sz w:val="28"/>
          <w:szCs w:val="28"/>
        </w:rPr>
        <w:t>» (Corte cost. n. 124 del 2010 cit</w:t>
      </w:r>
      <w:r>
        <w:rPr>
          <w:rFonts w:ascii="Garamond" w:hAnsi="Garamond" w:cs="Times New Roman"/>
          <w:color w:val="000000" w:themeColor="text1"/>
          <w:sz w:val="28"/>
          <w:szCs w:val="28"/>
        </w:rPr>
        <w:t>.</w:t>
      </w:r>
      <w:r w:rsidRPr="0018058A">
        <w:rPr>
          <w:rFonts w:ascii="Garamond" w:hAnsi="Garamond" w:cs="Times New Roman"/>
          <w:color w:val="000000" w:themeColor="text1"/>
          <w:sz w:val="28"/>
          <w:szCs w:val="28"/>
        </w:rPr>
        <w:t>).</w:t>
      </w:r>
    </w:p>
    <w:p w:rsidR="007B4920" w:rsidRPr="0018058A" w:rsidRDefault="007B4920" w:rsidP="007B4920">
      <w:pPr>
        <w:spacing w:line="240" w:lineRule="auto"/>
        <w:ind w:firstLine="709"/>
        <w:contextualSpacing/>
        <w:jc w:val="both"/>
        <w:rPr>
          <w:rFonts w:ascii="Garamond" w:hAnsi="Garamond" w:cs="Times New Roman"/>
          <w:color w:val="000000" w:themeColor="text1"/>
          <w:sz w:val="28"/>
          <w:szCs w:val="28"/>
        </w:rPr>
      </w:pPr>
      <w:r w:rsidRPr="0018058A">
        <w:rPr>
          <w:rFonts w:ascii="Garamond" w:hAnsi="Garamond" w:cs="Times New Roman"/>
          <w:color w:val="000000" w:themeColor="text1"/>
          <w:sz w:val="28"/>
          <w:szCs w:val="28"/>
        </w:rPr>
        <w:t xml:space="preserve">La disciplina a livello eurounitario delle  fonti energetiche rinnovabili è attualmente prevista dalla </w:t>
      </w:r>
      <w:r>
        <w:rPr>
          <w:rFonts w:ascii="Garamond" w:hAnsi="Garamond" w:cs="Times New Roman"/>
          <w:color w:val="000000" w:themeColor="text1"/>
          <w:sz w:val="28"/>
          <w:szCs w:val="28"/>
        </w:rPr>
        <w:t>direttiva</w:t>
      </w:r>
      <w:r w:rsidRPr="0018058A">
        <w:rPr>
          <w:rFonts w:ascii="Garamond" w:hAnsi="Garamond" w:cs="Times New Roman"/>
          <w:color w:val="000000" w:themeColor="text1"/>
          <w:sz w:val="28"/>
          <w:szCs w:val="28"/>
        </w:rPr>
        <w:t xml:space="preserve"> (UE) 2018/2001 la quale dispone che gli Stati membri provvedono collett</w:t>
      </w:r>
      <w:r>
        <w:rPr>
          <w:rFonts w:ascii="Garamond" w:hAnsi="Garamond" w:cs="Times New Roman"/>
          <w:color w:val="000000" w:themeColor="text1"/>
          <w:sz w:val="28"/>
          <w:szCs w:val="28"/>
        </w:rPr>
        <w:t>iva</w:t>
      </w:r>
      <w:r w:rsidRPr="0018058A">
        <w:rPr>
          <w:rFonts w:ascii="Garamond" w:hAnsi="Garamond" w:cs="Times New Roman"/>
          <w:color w:val="000000" w:themeColor="text1"/>
          <w:sz w:val="28"/>
          <w:szCs w:val="28"/>
        </w:rPr>
        <w:t xml:space="preserve">mente a far sì che, nel 2030, la quota di </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da fonti rinnovabili nel consumo finale lordo di </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dell'Unione sia almeno pari al 32% (articolo 1 e articolo 3, par. 1) e la quota di </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da fonti rinnovabili nei trasporti sia almeno pari al 14% del consumo finale in tale settore (articolo 25, par. 1).</w:t>
      </w:r>
    </w:p>
    <w:p w:rsidR="007B4920" w:rsidRPr="0018058A" w:rsidRDefault="007B4920" w:rsidP="007B4920">
      <w:pPr>
        <w:spacing w:line="240" w:lineRule="auto"/>
        <w:ind w:firstLine="709"/>
        <w:contextualSpacing/>
        <w:jc w:val="both"/>
        <w:rPr>
          <w:rFonts w:ascii="Garamond" w:hAnsi="Garamond" w:cs="Times New Roman"/>
          <w:color w:val="000000" w:themeColor="text1"/>
          <w:sz w:val="28"/>
          <w:szCs w:val="28"/>
        </w:rPr>
      </w:pPr>
      <w:r w:rsidRPr="0018058A">
        <w:rPr>
          <w:rFonts w:ascii="Garamond" w:hAnsi="Garamond" w:cs="Times New Roman"/>
          <w:color w:val="000000" w:themeColor="text1"/>
          <w:sz w:val="28"/>
          <w:szCs w:val="28"/>
        </w:rPr>
        <w:lastRenderedPageBreak/>
        <w:t>Gli Stati membri devono, ciascuno, fissare i contributi nazionali per conseguire collett</w:t>
      </w:r>
      <w:r>
        <w:rPr>
          <w:rFonts w:ascii="Garamond" w:hAnsi="Garamond" w:cs="Times New Roman"/>
          <w:color w:val="000000" w:themeColor="text1"/>
          <w:sz w:val="28"/>
          <w:szCs w:val="28"/>
        </w:rPr>
        <w:t>iva</w:t>
      </w:r>
      <w:r w:rsidRPr="0018058A">
        <w:rPr>
          <w:rFonts w:ascii="Garamond" w:hAnsi="Garamond" w:cs="Times New Roman"/>
          <w:color w:val="000000" w:themeColor="text1"/>
          <w:sz w:val="28"/>
          <w:szCs w:val="28"/>
        </w:rPr>
        <w:t>mente l'obiettivo vincolante UE 2030 nell'ambito dei loro Piani nazionali integrati per l'</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e il clima-PNIEC (articolo 3, par. 1).</w:t>
      </w:r>
    </w:p>
    <w:p w:rsidR="007B4920" w:rsidRPr="0018058A" w:rsidRDefault="007B4920" w:rsidP="007B4920">
      <w:pPr>
        <w:spacing w:line="240" w:lineRule="auto"/>
        <w:ind w:firstLine="709"/>
        <w:contextualSpacing/>
        <w:jc w:val="both"/>
        <w:rPr>
          <w:rFonts w:ascii="Garamond" w:hAnsi="Garamond" w:cs="Times New Roman"/>
          <w:color w:val="000000" w:themeColor="text1"/>
          <w:sz w:val="28"/>
          <w:szCs w:val="28"/>
        </w:rPr>
      </w:pPr>
      <w:r w:rsidRPr="0018058A">
        <w:rPr>
          <w:rFonts w:ascii="Garamond" w:hAnsi="Garamond" w:cs="Times New Roman"/>
          <w:color w:val="000000" w:themeColor="text1"/>
          <w:sz w:val="28"/>
          <w:szCs w:val="28"/>
        </w:rPr>
        <w:t xml:space="preserve">Tale previsione ha contenuto auto-applicativo (articolo 37) ed è stata già adempiuta, posto che - in applicazione del processo di </w:t>
      </w:r>
      <w:r w:rsidRPr="00D02860">
        <w:rPr>
          <w:rFonts w:ascii="Garamond" w:hAnsi="Garamond" w:cs="Times New Roman"/>
          <w:i/>
          <w:color w:val="000000" w:themeColor="text1"/>
          <w:sz w:val="28"/>
          <w:szCs w:val="28"/>
        </w:rPr>
        <w:t>governance</w:t>
      </w:r>
      <w:r w:rsidRPr="0018058A">
        <w:rPr>
          <w:rFonts w:ascii="Garamond" w:hAnsi="Garamond" w:cs="Times New Roman"/>
          <w:color w:val="000000" w:themeColor="text1"/>
          <w:sz w:val="28"/>
          <w:szCs w:val="28"/>
        </w:rPr>
        <w:t xml:space="preserve"> dell'</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definito nel </w:t>
      </w:r>
      <w:r>
        <w:rPr>
          <w:rFonts w:ascii="Garamond" w:hAnsi="Garamond" w:cs="Times New Roman"/>
          <w:color w:val="000000" w:themeColor="text1"/>
          <w:sz w:val="28"/>
          <w:szCs w:val="28"/>
        </w:rPr>
        <w:t>r</w:t>
      </w:r>
      <w:r w:rsidRPr="0018058A">
        <w:rPr>
          <w:rFonts w:ascii="Garamond" w:hAnsi="Garamond" w:cs="Times New Roman"/>
          <w:color w:val="000000" w:themeColor="text1"/>
          <w:sz w:val="28"/>
          <w:szCs w:val="28"/>
        </w:rPr>
        <w:t>egolamento (UE) 2018/1999 - il PNIEC nazionale per il periodo programmatorio 2021-2030 è stato già predisposto, a seguito di interlocuzione con la Commissione UE, e notificato nella sua versione definit</w:t>
      </w:r>
      <w:r>
        <w:rPr>
          <w:rFonts w:ascii="Garamond" w:hAnsi="Garamond" w:cs="Times New Roman"/>
          <w:color w:val="000000" w:themeColor="text1"/>
          <w:sz w:val="28"/>
          <w:szCs w:val="28"/>
        </w:rPr>
        <w:t>iva</w:t>
      </w:r>
      <w:r w:rsidRPr="0018058A">
        <w:rPr>
          <w:rFonts w:ascii="Garamond" w:hAnsi="Garamond" w:cs="Times New Roman"/>
          <w:color w:val="000000" w:themeColor="text1"/>
          <w:sz w:val="28"/>
          <w:szCs w:val="28"/>
        </w:rPr>
        <w:t xml:space="preserve"> alla Commissione stessa.</w:t>
      </w:r>
    </w:p>
    <w:p w:rsidR="007B4920" w:rsidRPr="0018058A" w:rsidRDefault="007B4920" w:rsidP="007B4920">
      <w:pPr>
        <w:spacing w:line="240" w:lineRule="auto"/>
        <w:ind w:firstLine="709"/>
        <w:contextualSpacing/>
        <w:jc w:val="both"/>
        <w:rPr>
          <w:rFonts w:ascii="Garamond" w:hAnsi="Garamond" w:cs="Times New Roman"/>
          <w:color w:val="000000" w:themeColor="text1"/>
          <w:sz w:val="28"/>
          <w:szCs w:val="28"/>
        </w:rPr>
      </w:pPr>
      <w:r w:rsidRPr="0018058A">
        <w:rPr>
          <w:rFonts w:ascii="Garamond" w:hAnsi="Garamond" w:cs="Times New Roman"/>
          <w:color w:val="000000" w:themeColor="text1"/>
          <w:sz w:val="28"/>
          <w:szCs w:val="28"/>
        </w:rPr>
        <w:t>Funzionali al raggiungimento degli obiettivi 2030, s</w:t>
      </w:r>
      <w:r>
        <w:rPr>
          <w:rFonts w:ascii="Garamond" w:hAnsi="Garamond" w:cs="Times New Roman"/>
          <w:color w:val="000000" w:themeColor="text1"/>
          <w:sz w:val="28"/>
          <w:szCs w:val="28"/>
        </w:rPr>
        <w:t>ono le norme - contenute nella direttiva</w:t>
      </w:r>
      <w:r w:rsidRPr="0018058A">
        <w:rPr>
          <w:rFonts w:ascii="Garamond" w:hAnsi="Garamond" w:cs="Times New Roman"/>
          <w:color w:val="000000" w:themeColor="text1"/>
          <w:sz w:val="28"/>
          <w:szCs w:val="28"/>
        </w:rPr>
        <w:t xml:space="preserve"> stessa - che forniscono agli Stati membri i principi e i criteri per disciplinare (articolo 1):</w:t>
      </w:r>
    </w:p>
    <w:p w:rsidR="007B4920" w:rsidRPr="007D5EA9" w:rsidRDefault="007B4920" w:rsidP="007B4920">
      <w:pPr>
        <w:pStyle w:val="Paragrafoelenco"/>
        <w:numPr>
          <w:ilvl w:val="0"/>
          <w:numId w:val="13"/>
        </w:numPr>
        <w:spacing w:line="240" w:lineRule="auto"/>
        <w:jc w:val="both"/>
        <w:rPr>
          <w:rFonts w:ascii="Garamond" w:hAnsi="Garamond" w:cs="Times New Roman"/>
          <w:color w:val="000000" w:themeColor="text1"/>
          <w:sz w:val="28"/>
          <w:szCs w:val="28"/>
        </w:rPr>
      </w:pPr>
      <w:r w:rsidRPr="007D5EA9">
        <w:rPr>
          <w:rFonts w:ascii="Garamond" w:hAnsi="Garamond" w:cs="Times New Roman"/>
          <w:color w:val="000000" w:themeColor="text1"/>
          <w:sz w:val="28"/>
          <w:szCs w:val="28"/>
        </w:rPr>
        <w:t>il sostegno finanziario all'</w:t>
      </w:r>
      <w:r>
        <w:rPr>
          <w:rFonts w:ascii="Garamond" w:hAnsi="Garamond" w:cs="Times New Roman"/>
          <w:color w:val="000000" w:themeColor="text1"/>
          <w:sz w:val="28"/>
          <w:szCs w:val="28"/>
        </w:rPr>
        <w:t>energia</w:t>
      </w:r>
      <w:r w:rsidRPr="007D5EA9">
        <w:rPr>
          <w:rFonts w:ascii="Garamond" w:hAnsi="Garamond" w:cs="Times New Roman"/>
          <w:color w:val="000000" w:themeColor="text1"/>
          <w:sz w:val="28"/>
          <w:szCs w:val="28"/>
        </w:rPr>
        <w:t xml:space="preserve"> elettrica da fonti rinnovabili (articoli 4-6 e 13);</w:t>
      </w:r>
    </w:p>
    <w:p w:rsidR="007B4920" w:rsidRDefault="007B4920" w:rsidP="007B4920">
      <w:pPr>
        <w:pStyle w:val="Paragrafoelenco"/>
        <w:numPr>
          <w:ilvl w:val="0"/>
          <w:numId w:val="13"/>
        </w:numPr>
        <w:spacing w:line="240" w:lineRule="auto"/>
        <w:jc w:val="both"/>
        <w:rPr>
          <w:rFonts w:ascii="Garamond" w:hAnsi="Garamond" w:cs="Times New Roman"/>
          <w:color w:val="000000" w:themeColor="text1"/>
          <w:sz w:val="28"/>
          <w:szCs w:val="28"/>
        </w:rPr>
      </w:pPr>
      <w:r w:rsidRPr="007D5EA9">
        <w:rPr>
          <w:rFonts w:ascii="Garamond" w:hAnsi="Garamond" w:cs="Times New Roman"/>
          <w:color w:val="000000" w:themeColor="text1"/>
          <w:sz w:val="28"/>
          <w:szCs w:val="28"/>
        </w:rPr>
        <w:t>l'autoconsumo dell'</w:t>
      </w:r>
      <w:r>
        <w:rPr>
          <w:rFonts w:ascii="Garamond" w:hAnsi="Garamond" w:cs="Times New Roman"/>
          <w:color w:val="000000" w:themeColor="text1"/>
          <w:sz w:val="28"/>
          <w:szCs w:val="28"/>
        </w:rPr>
        <w:t>energia</w:t>
      </w:r>
      <w:r w:rsidRPr="007D5EA9">
        <w:rPr>
          <w:rFonts w:ascii="Garamond" w:hAnsi="Garamond" w:cs="Times New Roman"/>
          <w:color w:val="000000" w:themeColor="text1"/>
          <w:sz w:val="28"/>
          <w:szCs w:val="28"/>
        </w:rPr>
        <w:t xml:space="preserve"> elettrica prodotta d</w:t>
      </w:r>
      <w:r>
        <w:rPr>
          <w:rFonts w:ascii="Garamond" w:hAnsi="Garamond" w:cs="Times New Roman"/>
          <w:color w:val="000000" w:themeColor="text1"/>
          <w:sz w:val="28"/>
          <w:szCs w:val="28"/>
        </w:rPr>
        <w:t>a tali fonti (articoli 21 e 22);</w:t>
      </w:r>
    </w:p>
    <w:p w:rsidR="007B4920" w:rsidRDefault="007B4920" w:rsidP="007B4920">
      <w:pPr>
        <w:pStyle w:val="Paragrafoelenco"/>
        <w:numPr>
          <w:ilvl w:val="0"/>
          <w:numId w:val="13"/>
        </w:numPr>
        <w:spacing w:line="240" w:lineRule="auto"/>
        <w:jc w:val="both"/>
        <w:rPr>
          <w:rFonts w:ascii="Garamond" w:hAnsi="Garamond" w:cs="Times New Roman"/>
          <w:color w:val="000000" w:themeColor="text1"/>
          <w:sz w:val="28"/>
          <w:szCs w:val="28"/>
        </w:rPr>
      </w:pPr>
      <w:r w:rsidRPr="007D5EA9">
        <w:rPr>
          <w:rFonts w:ascii="Garamond" w:hAnsi="Garamond" w:cs="Times New Roman"/>
          <w:color w:val="000000" w:themeColor="text1"/>
          <w:sz w:val="28"/>
          <w:szCs w:val="28"/>
        </w:rPr>
        <w:t xml:space="preserve">l'uso di </w:t>
      </w:r>
      <w:r>
        <w:rPr>
          <w:rFonts w:ascii="Garamond" w:hAnsi="Garamond" w:cs="Times New Roman"/>
          <w:color w:val="000000" w:themeColor="text1"/>
          <w:sz w:val="28"/>
          <w:szCs w:val="28"/>
        </w:rPr>
        <w:t>energia</w:t>
      </w:r>
      <w:r w:rsidRPr="007D5EA9">
        <w:rPr>
          <w:rFonts w:ascii="Garamond" w:hAnsi="Garamond" w:cs="Times New Roman"/>
          <w:color w:val="000000" w:themeColor="text1"/>
          <w:sz w:val="28"/>
          <w:szCs w:val="28"/>
        </w:rPr>
        <w:t xml:space="preserve"> da FER (fonti energetiche rinnovabili) nel settore del riscaldamento e raffrescamento e nel settore dei tra</w:t>
      </w:r>
      <w:r>
        <w:rPr>
          <w:rFonts w:ascii="Garamond" w:hAnsi="Garamond" w:cs="Times New Roman"/>
          <w:color w:val="000000" w:themeColor="text1"/>
          <w:sz w:val="28"/>
          <w:szCs w:val="28"/>
        </w:rPr>
        <w:t>sporti (articoli 23-24 e 25-28);</w:t>
      </w:r>
    </w:p>
    <w:p w:rsidR="007B4920" w:rsidRDefault="007B4920" w:rsidP="007B4920">
      <w:pPr>
        <w:pStyle w:val="Paragrafoelenco"/>
        <w:numPr>
          <w:ilvl w:val="0"/>
          <w:numId w:val="13"/>
        </w:numPr>
        <w:spacing w:line="240" w:lineRule="auto"/>
        <w:jc w:val="both"/>
        <w:rPr>
          <w:rFonts w:ascii="Garamond" w:hAnsi="Garamond" w:cs="Times New Roman"/>
          <w:color w:val="000000" w:themeColor="text1"/>
          <w:sz w:val="28"/>
          <w:szCs w:val="28"/>
        </w:rPr>
      </w:pPr>
      <w:r w:rsidRPr="007D5EA9">
        <w:rPr>
          <w:rFonts w:ascii="Garamond" w:hAnsi="Garamond" w:cs="Times New Roman"/>
          <w:color w:val="000000" w:themeColor="text1"/>
          <w:sz w:val="28"/>
          <w:szCs w:val="28"/>
        </w:rPr>
        <w:t xml:space="preserve">la cooperazione tra gli Stati membri e tra gli Stati membri e i paesi terzi su progetti per la produzione di </w:t>
      </w:r>
      <w:r>
        <w:rPr>
          <w:rFonts w:ascii="Garamond" w:hAnsi="Garamond" w:cs="Times New Roman"/>
          <w:color w:val="000000" w:themeColor="text1"/>
          <w:sz w:val="28"/>
          <w:szCs w:val="28"/>
        </w:rPr>
        <w:t>energia</w:t>
      </w:r>
      <w:r w:rsidRPr="007D5EA9">
        <w:rPr>
          <w:rFonts w:ascii="Garamond" w:hAnsi="Garamond" w:cs="Times New Roman"/>
          <w:color w:val="000000" w:themeColor="text1"/>
          <w:sz w:val="28"/>
          <w:szCs w:val="28"/>
        </w:rPr>
        <w:t xml:space="preserve"> elettrica da fonti rinnovabili (9-12 e 14);</w:t>
      </w:r>
    </w:p>
    <w:p w:rsidR="007B4920" w:rsidRPr="007D5EA9" w:rsidRDefault="007B4920" w:rsidP="007B4920">
      <w:pPr>
        <w:pStyle w:val="Paragrafoelenco"/>
        <w:numPr>
          <w:ilvl w:val="0"/>
          <w:numId w:val="13"/>
        </w:numPr>
        <w:spacing w:line="240" w:lineRule="auto"/>
        <w:jc w:val="both"/>
        <w:rPr>
          <w:rFonts w:ascii="Garamond" w:hAnsi="Garamond" w:cs="Times New Roman"/>
          <w:color w:val="000000" w:themeColor="text1"/>
          <w:sz w:val="28"/>
          <w:szCs w:val="28"/>
        </w:rPr>
      </w:pPr>
      <w:r w:rsidRPr="007D5EA9">
        <w:rPr>
          <w:rFonts w:ascii="Garamond" w:hAnsi="Garamond" w:cs="Times New Roman"/>
          <w:color w:val="000000" w:themeColor="text1"/>
          <w:sz w:val="28"/>
          <w:szCs w:val="28"/>
        </w:rPr>
        <w:t>le garanzie di origine dell'</w:t>
      </w:r>
      <w:r>
        <w:rPr>
          <w:rFonts w:ascii="Garamond" w:hAnsi="Garamond" w:cs="Times New Roman"/>
          <w:color w:val="000000" w:themeColor="text1"/>
          <w:sz w:val="28"/>
          <w:szCs w:val="28"/>
        </w:rPr>
        <w:t>energia</w:t>
      </w:r>
      <w:r w:rsidRPr="007D5EA9">
        <w:rPr>
          <w:rFonts w:ascii="Garamond" w:hAnsi="Garamond" w:cs="Times New Roman"/>
          <w:color w:val="000000" w:themeColor="text1"/>
          <w:sz w:val="28"/>
          <w:szCs w:val="28"/>
        </w:rPr>
        <w:t xml:space="preserve"> da FER (articolo 19), le procedure amministrative improntate a garantire un </w:t>
      </w:r>
      <w:r w:rsidRPr="007D5EA9">
        <w:rPr>
          <w:rFonts w:ascii="Garamond" w:hAnsi="Garamond" w:cs="Times New Roman"/>
          <w:i/>
          <w:color w:val="000000" w:themeColor="text1"/>
          <w:sz w:val="28"/>
          <w:szCs w:val="28"/>
        </w:rPr>
        <w:t>favor</w:t>
      </w:r>
      <w:r w:rsidRPr="007D5EA9">
        <w:rPr>
          <w:rFonts w:ascii="Garamond" w:hAnsi="Garamond" w:cs="Times New Roman"/>
          <w:color w:val="000000" w:themeColor="text1"/>
          <w:sz w:val="28"/>
          <w:szCs w:val="28"/>
        </w:rPr>
        <w:t xml:space="preserve"> per la produzione da FER e l'informazione e la formazione sulle FER (articoli 15-18).</w:t>
      </w:r>
    </w:p>
    <w:p w:rsidR="007B4920" w:rsidRPr="0018058A"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La direttiva</w:t>
      </w:r>
      <w:r w:rsidRPr="0018058A">
        <w:rPr>
          <w:rFonts w:ascii="Garamond" w:hAnsi="Garamond" w:cs="Times New Roman"/>
          <w:color w:val="000000" w:themeColor="text1"/>
          <w:sz w:val="28"/>
          <w:szCs w:val="28"/>
        </w:rPr>
        <w:t xml:space="preserve"> fissa altresì criteri di sostenibilità e di riduzione delle emissioni di gas a effetto serra per i biocarburanti, i bioliquidi e i combustibili da biomassa (articoli 29-31).</w:t>
      </w:r>
    </w:p>
    <w:p w:rsidR="007B4920" w:rsidRPr="0018058A" w:rsidRDefault="007B4920" w:rsidP="007B4920">
      <w:pPr>
        <w:spacing w:line="240" w:lineRule="auto"/>
        <w:ind w:firstLine="709"/>
        <w:contextualSpacing/>
        <w:jc w:val="both"/>
        <w:rPr>
          <w:rFonts w:ascii="Garamond" w:hAnsi="Garamond" w:cs="Times New Roman"/>
          <w:color w:val="000000" w:themeColor="text1"/>
          <w:sz w:val="28"/>
          <w:szCs w:val="28"/>
        </w:rPr>
      </w:pPr>
      <w:r w:rsidRPr="0018058A">
        <w:rPr>
          <w:rFonts w:ascii="Garamond" w:hAnsi="Garamond" w:cs="Times New Roman"/>
          <w:color w:val="000000" w:themeColor="text1"/>
          <w:sz w:val="28"/>
          <w:szCs w:val="28"/>
        </w:rPr>
        <w:t>Strumentale alla nuova disciplina è il quadro definitorio (contenuto nell'articolo</w:t>
      </w:r>
      <w:r>
        <w:rPr>
          <w:rFonts w:ascii="Garamond" w:hAnsi="Garamond" w:cs="Times New Roman"/>
          <w:color w:val="000000" w:themeColor="text1"/>
          <w:sz w:val="28"/>
          <w:szCs w:val="28"/>
        </w:rPr>
        <w:t xml:space="preserve"> 2), integrato - rispetto alla direttiva</w:t>
      </w:r>
      <w:r w:rsidRPr="0018058A">
        <w:rPr>
          <w:rFonts w:ascii="Garamond" w:hAnsi="Garamond" w:cs="Times New Roman"/>
          <w:color w:val="000000" w:themeColor="text1"/>
          <w:sz w:val="28"/>
          <w:szCs w:val="28"/>
        </w:rPr>
        <w:t xml:space="preserve"> 2009/28/UE - in base alle novità introdotte. La stessa reca anche la più dettagliata definizione di </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rinnovabile quale l'</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proveniente da fonti rinnovabili non fossili, vale a dire </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eolica, solare (solare termico e fotovoltaico) e geotermica, </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dell'ambiente, </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mareomotrice, del moto ondoso e altre forme di </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marina, </w:t>
      </w:r>
      <w:r>
        <w:rPr>
          <w:rFonts w:ascii="Garamond" w:hAnsi="Garamond" w:cs="Times New Roman"/>
          <w:color w:val="000000" w:themeColor="text1"/>
          <w:sz w:val="28"/>
          <w:szCs w:val="28"/>
        </w:rPr>
        <w:t>energia</w:t>
      </w:r>
      <w:r w:rsidRPr="0018058A">
        <w:rPr>
          <w:rFonts w:ascii="Garamond" w:hAnsi="Garamond" w:cs="Times New Roman"/>
          <w:color w:val="000000" w:themeColor="text1"/>
          <w:sz w:val="28"/>
          <w:szCs w:val="28"/>
        </w:rPr>
        <w:t xml:space="preserve"> idraulica, biomassa, gas di discarica, gas residuati dai processi di depurazione e biogas.</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18058A">
        <w:rPr>
          <w:rFonts w:ascii="Garamond" w:hAnsi="Garamond" w:cs="Times New Roman"/>
          <w:color w:val="000000" w:themeColor="text1"/>
          <w:sz w:val="28"/>
          <w:szCs w:val="28"/>
        </w:rPr>
        <w:t xml:space="preserve">Gli Stati membri sono stati obbligati a recepire nel diritto nazionale la </w:t>
      </w:r>
      <w:r>
        <w:rPr>
          <w:rFonts w:ascii="Garamond" w:hAnsi="Garamond" w:cs="Times New Roman"/>
          <w:color w:val="000000" w:themeColor="text1"/>
          <w:sz w:val="28"/>
          <w:szCs w:val="28"/>
        </w:rPr>
        <w:t>direttiva entro il 30 giugno 2021. L</w:t>
      </w:r>
      <w:r w:rsidRPr="0018058A">
        <w:rPr>
          <w:rFonts w:ascii="Garamond" w:hAnsi="Garamond" w:cs="Times New Roman"/>
          <w:color w:val="000000" w:themeColor="text1"/>
          <w:sz w:val="28"/>
          <w:szCs w:val="28"/>
        </w:rPr>
        <w:t xml:space="preserve">a </w:t>
      </w:r>
      <w:r>
        <w:rPr>
          <w:rFonts w:ascii="Garamond" w:hAnsi="Garamond" w:cs="Times New Roman"/>
          <w:color w:val="000000" w:themeColor="text1"/>
          <w:sz w:val="28"/>
          <w:szCs w:val="28"/>
        </w:rPr>
        <w:t>direttiva</w:t>
      </w:r>
      <w:r w:rsidRPr="0018058A">
        <w:rPr>
          <w:rFonts w:ascii="Garamond" w:hAnsi="Garamond" w:cs="Times New Roman"/>
          <w:color w:val="000000" w:themeColor="text1"/>
          <w:sz w:val="28"/>
          <w:szCs w:val="28"/>
        </w:rPr>
        <w:t xml:space="preserve"> è entrata in vigore a partire dal 1 luglio 2021 (articolo 36). A decorrere da tale data è stata abrogata la precedente </w:t>
      </w:r>
      <w:r>
        <w:rPr>
          <w:rFonts w:ascii="Garamond" w:hAnsi="Garamond" w:cs="Times New Roman"/>
          <w:color w:val="000000" w:themeColor="text1"/>
          <w:sz w:val="28"/>
          <w:szCs w:val="28"/>
        </w:rPr>
        <w:t>direttiva</w:t>
      </w:r>
      <w:r w:rsidRPr="0018058A">
        <w:rPr>
          <w:rFonts w:ascii="Garamond" w:hAnsi="Garamond" w:cs="Times New Roman"/>
          <w:color w:val="000000" w:themeColor="text1"/>
          <w:sz w:val="28"/>
          <w:szCs w:val="28"/>
        </w:rPr>
        <w:t xml:space="preserve"> in materia di promozione </w:t>
      </w:r>
      <w:r>
        <w:rPr>
          <w:rFonts w:ascii="Garamond" w:hAnsi="Garamond" w:cs="Times New Roman"/>
          <w:color w:val="000000" w:themeColor="text1"/>
          <w:sz w:val="28"/>
          <w:szCs w:val="28"/>
        </w:rPr>
        <w:t>dell'uso di fonti rinnovabili (direttiva</w:t>
      </w:r>
      <w:r w:rsidRPr="0018058A">
        <w:rPr>
          <w:rFonts w:ascii="Garamond" w:hAnsi="Garamond" w:cs="Times New Roman"/>
          <w:color w:val="000000" w:themeColor="text1"/>
          <w:sz w:val="28"/>
          <w:szCs w:val="28"/>
        </w:rPr>
        <w:t xml:space="preserve"> 2009/28/UE, come modificata dalla </w:t>
      </w:r>
      <w:r>
        <w:rPr>
          <w:rFonts w:ascii="Garamond" w:hAnsi="Garamond" w:cs="Times New Roman"/>
          <w:color w:val="000000" w:themeColor="text1"/>
          <w:sz w:val="28"/>
          <w:szCs w:val="28"/>
        </w:rPr>
        <w:t>direttiva</w:t>
      </w:r>
      <w:r w:rsidRPr="0018058A">
        <w:rPr>
          <w:rFonts w:ascii="Garamond" w:hAnsi="Garamond" w:cs="Times New Roman"/>
          <w:color w:val="000000" w:themeColor="text1"/>
          <w:sz w:val="28"/>
          <w:szCs w:val="28"/>
        </w:rPr>
        <w:t xml:space="preserve"> 2013/18/UE e dalla </w:t>
      </w:r>
      <w:r>
        <w:rPr>
          <w:rFonts w:ascii="Garamond" w:hAnsi="Garamond" w:cs="Times New Roman"/>
          <w:color w:val="000000" w:themeColor="text1"/>
          <w:sz w:val="28"/>
          <w:szCs w:val="28"/>
        </w:rPr>
        <w:t>direttiva</w:t>
      </w:r>
      <w:r w:rsidRPr="0018058A">
        <w:rPr>
          <w:rFonts w:ascii="Garamond" w:hAnsi="Garamond" w:cs="Times New Roman"/>
          <w:color w:val="000000" w:themeColor="text1"/>
          <w:sz w:val="28"/>
          <w:szCs w:val="28"/>
        </w:rPr>
        <w:t xml:space="preserve"> (UE) 2015/1513) (articolo 37 e Allegato X).</w:t>
      </w:r>
    </w:p>
    <w:p w:rsidR="007B4920" w:rsidRDefault="007B4920" w:rsidP="007B4920">
      <w:pPr>
        <w:spacing w:line="240" w:lineRule="auto"/>
        <w:jc w:val="both"/>
        <w:rPr>
          <w:rFonts w:ascii="Garamond" w:hAnsi="Garamond" w:cs="Times New Roman"/>
          <w:b/>
          <w:color w:val="000000" w:themeColor="text1"/>
          <w:sz w:val="28"/>
          <w:szCs w:val="28"/>
        </w:rPr>
      </w:pPr>
    </w:p>
    <w:p w:rsidR="007B4920" w:rsidRPr="0052748C" w:rsidRDefault="007B4920" w:rsidP="007B4920">
      <w:pPr>
        <w:spacing w:line="240" w:lineRule="auto"/>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3.1. </w:t>
      </w:r>
      <w:r w:rsidRPr="0052748C">
        <w:rPr>
          <w:rFonts w:ascii="Garamond" w:hAnsi="Garamond" w:cs="Times New Roman"/>
          <w:b/>
          <w:color w:val="000000" w:themeColor="text1"/>
          <w:sz w:val="28"/>
          <w:szCs w:val="28"/>
        </w:rPr>
        <w:t>I gas ad effetto serra. I certificati CO2</w:t>
      </w:r>
      <w:r>
        <w:rPr>
          <w:rFonts w:ascii="Garamond" w:hAnsi="Garamond" w:cs="Times New Roman"/>
          <w:b/>
          <w:color w:val="000000" w:themeColor="text1"/>
          <w:sz w:val="28"/>
          <w:szCs w:val="28"/>
        </w:rPr>
        <w:t>.</w:t>
      </w:r>
      <w:r w:rsidRPr="0052748C">
        <w:rPr>
          <w:rFonts w:ascii="Garamond" w:hAnsi="Garamond" w:cs="Times New Roman"/>
          <w:b/>
          <w:color w:val="000000" w:themeColor="text1"/>
          <w:sz w:val="28"/>
          <w:szCs w:val="28"/>
        </w:rPr>
        <w:t xml:space="preserve">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Strettamente connessa con il </w:t>
      </w:r>
      <w:r w:rsidRPr="00090B29">
        <w:rPr>
          <w:rFonts w:ascii="Garamond" w:hAnsi="Garamond" w:cs="Times New Roman"/>
          <w:i/>
          <w:color w:val="000000" w:themeColor="text1"/>
          <w:sz w:val="28"/>
          <w:szCs w:val="28"/>
        </w:rPr>
        <w:t>favor</w:t>
      </w:r>
      <w:r>
        <w:rPr>
          <w:rFonts w:ascii="Garamond" w:hAnsi="Garamond" w:cs="Times New Roman"/>
          <w:color w:val="000000" w:themeColor="text1"/>
          <w:sz w:val="28"/>
          <w:szCs w:val="28"/>
        </w:rPr>
        <w:t xml:space="preserve"> per l’utilizzo dell’energia prodotta da fonti rinnovabili è la problematica dei gas a effetto serra, responsabili del cambiamento climatico.</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La direttiva 2003/87/CE</w:t>
      </w:r>
      <w:r w:rsidRPr="00D02860">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ha al riguardo istituito </w:t>
      </w:r>
      <w:r w:rsidRPr="00D02860">
        <w:rPr>
          <w:rFonts w:ascii="Garamond" w:hAnsi="Garamond" w:cs="Times New Roman"/>
          <w:color w:val="000000" w:themeColor="text1"/>
          <w:sz w:val="28"/>
          <w:szCs w:val="28"/>
        </w:rPr>
        <w:t xml:space="preserve">un sistema per lo scambio di quote di emissioni dei </w:t>
      </w:r>
      <w:r>
        <w:rPr>
          <w:rFonts w:ascii="Garamond" w:hAnsi="Garamond" w:cs="Times New Roman"/>
          <w:color w:val="000000" w:themeColor="text1"/>
          <w:sz w:val="28"/>
          <w:szCs w:val="28"/>
        </w:rPr>
        <w:t xml:space="preserve">gas a effetto serra nell'Unione al fine di </w:t>
      </w:r>
      <w:r w:rsidRPr="00D02860">
        <w:rPr>
          <w:rFonts w:ascii="Garamond" w:hAnsi="Garamond" w:cs="Times New Roman"/>
          <w:color w:val="000000" w:themeColor="text1"/>
          <w:sz w:val="28"/>
          <w:szCs w:val="28"/>
        </w:rPr>
        <w:t>promuovere la riduzione di det</w:t>
      </w:r>
      <w:r>
        <w:rPr>
          <w:rFonts w:ascii="Garamond" w:hAnsi="Garamond" w:cs="Times New Roman"/>
          <w:color w:val="000000" w:themeColor="text1"/>
          <w:sz w:val="28"/>
          <w:szCs w:val="28"/>
        </w:rPr>
        <w:t xml:space="preserve">te </w:t>
      </w:r>
      <w:r>
        <w:rPr>
          <w:rFonts w:ascii="Garamond" w:hAnsi="Garamond" w:cs="Times New Roman"/>
          <w:color w:val="000000" w:themeColor="text1"/>
          <w:sz w:val="28"/>
          <w:szCs w:val="28"/>
        </w:rPr>
        <w:lastRenderedPageBreak/>
        <w:t xml:space="preserve">emissioni secondo criteri di </w:t>
      </w:r>
      <w:r w:rsidRPr="00D02860">
        <w:rPr>
          <w:rFonts w:ascii="Garamond" w:hAnsi="Garamond" w:cs="Times New Roman"/>
          <w:color w:val="000000" w:themeColor="text1"/>
          <w:sz w:val="28"/>
          <w:szCs w:val="28"/>
        </w:rPr>
        <w:t xml:space="preserve">validità in termini di </w:t>
      </w:r>
      <w:r>
        <w:rPr>
          <w:rFonts w:ascii="Garamond" w:hAnsi="Garamond" w:cs="Times New Roman"/>
          <w:color w:val="000000" w:themeColor="text1"/>
          <w:sz w:val="28"/>
          <w:szCs w:val="28"/>
        </w:rPr>
        <w:t xml:space="preserve">costi e di efficienza economica, prevedendo che i gestori </w:t>
      </w:r>
      <w:r w:rsidRPr="00C73938">
        <w:rPr>
          <w:rFonts w:ascii="Garamond" w:hAnsi="Garamond" w:cs="Times New Roman"/>
          <w:color w:val="000000" w:themeColor="text1"/>
          <w:sz w:val="28"/>
          <w:szCs w:val="28"/>
        </w:rPr>
        <w:t>che esercitano determinat</w:t>
      </w:r>
      <w:r>
        <w:rPr>
          <w:rFonts w:ascii="Garamond" w:hAnsi="Garamond" w:cs="Times New Roman"/>
          <w:color w:val="000000" w:themeColor="text1"/>
          <w:sz w:val="28"/>
          <w:szCs w:val="28"/>
        </w:rPr>
        <w:t xml:space="preserve">e attività siano in possesso di apposita </w:t>
      </w:r>
      <w:r w:rsidRPr="00C73938">
        <w:rPr>
          <w:rFonts w:ascii="Garamond" w:hAnsi="Garamond" w:cs="Times New Roman"/>
          <w:color w:val="000000" w:themeColor="text1"/>
          <w:sz w:val="28"/>
          <w:szCs w:val="28"/>
        </w:rPr>
        <w:t xml:space="preserve">autorizzazione </w:t>
      </w:r>
      <w:r>
        <w:rPr>
          <w:rFonts w:ascii="Garamond" w:hAnsi="Garamond" w:cs="Times New Roman"/>
          <w:color w:val="000000" w:themeColor="text1"/>
          <w:sz w:val="28"/>
          <w:szCs w:val="28"/>
        </w:rPr>
        <w:t xml:space="preserve">e </w:t>
      </w:r>
      <w:r w:rsidRPr="00C73938">
        <w:rPr>
          <w:rFonts w:ascii="Garamond" w:hAnsi="Garamond" w:cs="Times New Roman"/>
          <w:color w:val="000000" w:themeColor="text1"/>
          <w:sz w:val="28"/>
          <w:szCs w:val="28"/>
        </w:rPr>
        <w:t>controllino e notifichin</w:t>
      </w:r>
      <w:r>
        <w:rPr>
          <w:rFonts w:ascii="Garamond" w:hAnsi="Garamond" w:cs="Times New Roman"/>
          <w:color w:val="000000" w:themeColor="text1"/>
          <w:sz w:val="28"/>
          <w:szCs w:val="28"/>
        </w:rPr>
        <w:t xml:space="preserve">o le proprie emissioni di gas a </w:t>
      </w:r>
      <w:r w:rsidRPr="00C73938">
        <w:rPr>
          <w:rFonts w:ascii="Garamond" w:hAnsi="Garamond" w:cs="Times New Roman"/>
          <w:color w:val="000000" w:themeColor="text1"/>
          <w:sz w:val="28"/>
          <w:szCs w:val="28"/>
        </w:rPr>
        <w:t>effetto serra specificate in relazione a tali attività.</w:t>
      </w:r>
      <w:r>
        <w:rPr>
          <w:rFonts w:ascii="Garamond" w:hAnsi="Garamond" w:cs="Times New Roman"/>
          <w:color w:val="000000" w:themeColor="text1"/>
          <w:sz w:val="28"/>
          <w:szCs w:val="28"/>
        </w:rPr>
        <w:t xml:space="preserve">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In tale contesto si inseriscono i </w:t>
      </w:r>
      <w:r w:rsidRPr="00C73938">
        <w:rPr>
          <w:rFonts w:ascii="Garamond" w:hAnsi="Garamond" w:cs="Times New Roman"/>
          <w:color w:val="000000" w:themeColor="text1"/>
          <w:sz w:val="28"/>
          <w:szCs w:val="28"/>
        </w:rPr>
        <w:t>certificati CO2, propriamente detti quote di emissione,</w:t>
      </w:r>
      <w:r>
        <w:rPr>
          <w:rFonts w:ascii="Garamond" w:hAnsi="Garamond" w:cs="Times New Roman"/>
          <w:color w:val="000000" w:themeColor="text1"/>
          <w:sz w:val="28"/>
          <w:szCs w:val="28"/>
        </w:rPr>
        <w:t xml:space="preserve"> che </w:t>
      </w:r>
      <w:r w:rsidRPr="00C73938">
        <w:rPr>
          <w:rFonts w:ascii="Garamond" w:hAnsi="Garamond" w:cs="Times New Roman"/>
          <w:color w:val="000000" w:themeColor="text1"/>
          <w:sz w:val="28"/>
          <w:szCs w:val="28"/>
        </w:rPr>
        <w:t xml:space="preserve">fanno parte dell’EU ETS, ovverosia del sistema europeo per lo scambio di quote di emissione, </w:t>
      </w:r>
      <w:r>
        <w:rPr>
          <w:rFonts w:ascii="Garamond" w:hAnsi="Garamond" w:cs="Times New Roman"/>
          <w:color w:val="000000" w:themeColor="text1"/>
          <w:sz w:val="28"/>
          <w:szCs w:val="28"/>
        </w:rPr>
        <w:t xml:space="preserve">che </w:t>
      </w:r>
      <w:r w:rsidRPr="00C73938">
        <w:rPr>
          <w:rFonts w:ascii="Garamond" w:hAnsi="Garamond" w:cs="Times New Roman"/>
          <w:color w:val="000000" w:themeColor="text1"/>
          <w:sz w:val="28"/>
          <w:szCs w:val="28"/>
        </w:rPr>
        <w:t xml:space="preserve">si rivolgono alle attività produttrici di gas a effetto serra e costituiscono il diritto di emettere una tonnellata di biossido di carbonio </w:t>
      </w:r>
      <w:r>
        <w:rPr>
          <w:rFonts w:ascii="Garamond" w:hAnsi="Garamond" w:cs="Times New Roman"/>
          <w:color w:val="000000" w:themeColor="text1"/>
          <w:sz w:val="28"/>
          <w:szCs w:val="28"/>
        </w:rPr>
        <w:t>equivalente in un periodo determinato.</w:t>
      </w:r>
      <w:r w:rsidRPr="00B933B6">
        <w:rPr>
          <w:rFonts w:ascii="Garamond" w:hAnsi="Garamond" w:cs="Times New Roman"/>
          <w:color w:val="000000" w:themeColor="text1"/>
          <w:sz w:val="28"/>
          <w:szCs w:val="28"/>
        </w:rPr>
        <w:t xml:space="preserve"> </w:t>
      </w:r>
      <w:r w:rsidRPr="00C73938">
        <w:rPr>
          <w:rFonts w:ascii="Garamond" w:hAnsi="Garamond" w:cs="Times New Roman"/>
          <w:color w:val="000000" w:themeColor="text1"/>
          <w:sz w:val="28"/>
          <w:szCs w:val="28"/>
        </w:rPr>
        <w:t xml:space="preserve">L’EU ETS è stato </w:t>
      </w:r>
      <w:r>
        <w:rPr>
          <w:rFonts w:ascii="Garamond" w:hAnsi="Garamond" w:cs="Times New Roman"/>
          <w:color w:val="000000" w:themeColor="text1"/>
          <w:sz w:val="28"/>
          <w:szCs w:val="28"/>
        </w:rPr>
        <w:t xml:space="preserve">pertanto </w:t>
      </w:r>
      <w:r w:rsidRPr="00C73938">
        <w:rPr>
          <w:rFonts w:ascii="Garamond" w:hAnsi="Garamond" w:cs="Times New Roman"/>
          <w:color w:val="000000" w:themeColor="text1"/>
          <w:sz w:val="28"/>
          <w:szCs w:val="28"/>
        </w:rPr>
        <w:t>istituito a livello europeo</w:t>
      </w:r>
      <w:r>
        <w:rPr>
          <w:rFonts w:ascii="Garamond" w:hAnsi="Garamond" w:cs="Times New Roman"/>
          <w:color w:val="000000" w:themeColor="text1"/>
          <w:sz w:val="28"/>
          <w:szCs w:val="28"/>
        </w:rPr>
        <w:t xml:space="preserve"> attraverso l’indicata direttiva</w:t>
      </w:r>
      <w:r w:rsidRPr="00C73938">
        <w:rPr>
          <w:rFonts w:ascii="Garamond" w:hAnsi="Garamond" w:cs="Times New Roman"/>
          <w:color w:val="000000" w:themeColor="text1"/>
          <w:sz w:val="28"/>
          <w:szCs w:val="28"/>
        </w:rPr>
        <w:t xml:space="preserve"> 2003/87/CE, in attuazione del Protocollo di Kyoto, per ridurre le emissioni di gas a effetto serra nei settori energivori: viene fissato un tetto massimo di emissioni al di sotto del quale i partecipanti possono emettere CO2 in ragione delle quote acquistate e vendute sul mercato; il quantitativo complessivo delle quote, fissato a livello europeo, è programmato per conseguire una graduale riduzione delle emissioni di gas serra e per ottenere il target climatico del 2030 al 55% di riduzione rispetto ai livelli del 1990</w:t>
      </w:r>
      <w:r>
        <w:rPr>
          <w:rFonts w:ascii="Garamond" w:hAnsi="Garamond" w:cs="Times New Roman"/>
          <w:color w:val="000000" w:themeColor="text1"/>
          <w:sz w:val="28"/>
          <w:szCs w:val="28"/>
        </w:rPr>
        <w:t>.</w:t>
      </w:r>
      <w:r w:rsidRPr="00B933B6">
        <w:t xml:space="preserve"> </w:t>
      </w:r>
      <w:r w:rsidRPr="00B933B6">
        <w:rPr>
          <w:rFonts w:ascii="Garamond" w:hAnsi="Garamond" w:cs="Times New Roman"/>
          <w:color w:val="000000" w:themeColor="text1"/>
          <w:sz w:val="28"/>
          <w:szCs w:val="28"/>
        </w:rPr>
        <w:t>Pertanto</w:t>
      </w:r>
      <w:r>
        <w:rPr>
          <w:rFonts w:ascii="Garamond" w:hAnsi="Garamond" w:cs="Times New Roman"/>
          <w:color w:val="000000" w:themeColor="text1"/>
          <w:sz w:val="28"/>
          <w:szCs w:val="28"/>
        </w:rPr>
        <w:t>,</w:t>
      </w:r>
      <w:r w:rsidRPr="00B933B6">
        <w:rPr>
          <w:rFonts w:ascii="Garamond" w:hAnsi="Garamond" w:cs="Times New Roman"/>
          <w:color w:val="000000" w:themeColor="text1"/>
          <w:sz w:val="28"/>
          <w:szCs w:val="28"/>
        </w:rPr>
        <w:t xml:space="preserve"> se un'azienda emette meno CO2 di quanto le sue quote le consentirebbero, può vendere le quote in eccesso ad altre aziende</w:t>
      </w:r>
      <w:r>
        <w:rPr>
          <w:rFonts w:ascii="Garamond" w:hAnsi="Garamond" w:cs="Times New Roman"/>
          <w:color w:val="000000" w:themeColor="text1"/>
          <w:sz w:val="28"/>
          <w:szCs w:val="28"/>
        </w:rPr>
        <w:t>.</w:t>
      </w:r>
    </w:p>
    <w:p w:rsidR="007B4920" w:rsidRPr="001837B8"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1837B8">
        <w:rPr>
          <w:rFonts w:ascii="Garamond" w:hAnsi="Garamond" w:cs="Times New Roman"/>
          <w:color w:val="000000" w:themeColor="text1"/>
          <w:sz w:val="28"/>
          <w:szCs w:val="28"/>
        </w:rPr>
        <w:t xml:space="preserve">’articolo 3 della </w:t>
      </w:r>
      <w:r>
        <w:rPr>
          <w:rFonts w:ascii="Garamond" w:hAnsi="Garamond" w:cs="Times New Roman"/>
          <w:color w:val="000000" w:themeColor="text1"/>
          <w:sz w:val="28"/>
          <w:szCs w:val="28"/>
        </w:rPr>
        <w:t>direttiva</w:t>
      </w:r>
      <w:r w:rsidRPr="001837B8">
        <w:rPr>
          <w:rFonts w:ascii="Garamond" w:hAnsi="Garamond" w:cs="Times New Roman"/>
          <w:color w:val="000000" w:themeColor="text1"/>
          <w:sz w:val="28"/>
          <w:szCs w:val="28"/>
        </w:rPr>
        <w:t xml:space="preserve"> 2003/87, in</w:t>
      </w:r>
      <w:r>
        <w:rPr>
          <w:rFonts w:ascii="Garamond" w:hAnsi="Garamond" w:cs="Times New Roman"/>
          <w:color w:val="000000" w:themeColor="text1"/>
          <w:sz w:val="28"/>
          <w:szCs w:val="28"/>
        </w:rPr>
        <w:t>titolato «</w:t>
      </w:r>
      <w:r w:rsidRPr="001837B8">
        <w:rPr>
          <w:rFonts w:ascii="Garamond" w:hAnsi="Garamond" w:cs="Times New Roman"/>
          <w:i/>
          <w:color w:val="000000" w:themeColor="text1"/>
          <w:sz w:val="28"/>
          <w:szCs w:val="28"/>
        </w:rPr>
        <w:t>Definizioni</w:t>
      </w:r>
      <w:r>
        <w:rPr>
          <w:rFonts w:ascii="Garamond" w:hAnsi="Garamond" w:cs="Times New Roman"/>
          <w:color w:val="000000" w:themeColor="text1"/>
          <w:sz w:val="28"/>
          <w:szCs w:val="28"/>
        </w:rPr>
        <w:t xml:space="preserve">», recita: </w:t>
      </w:r>
      <w:r w:rsidRPr="001837B8">
        <w:rPr>
          <w:rFonts w:ascii="Garamond" w:hAnsi="Garamond" w:cs="Times New Roman"/>
          <w:color w:val="000000" w:themeColor="text1"/>
          <w:sz w:val="28"/>
          <w:szCs w:val="28"/>
        </w:rPr>
        <w:t>«</w:t>
      </w:r>
      <w:r w:rsidRPr="001837B8">
        <w:rPr>
          <w:rFonts w:ascii="Garamond" w:hAnsi="Garamond" w:cs="Times New Roman"/>
          <w:i/>
          <w:color w:val="000000" w:themeColor="text1"/>
          <w:sz w:val="28"/>
          <w:szCs w:val="28"/>
        </w:rPr>
        <w:t xml:space="preserve">Ai fini della presente </w:t>
      </w:r>
      <w:r>
        <w:rPr>
          <w:rFonts w:ascii="Garamond" w:hAnsi="Garamond" w:cs="Times New Roman"/>
          <w:i/>
          <w:color w:val="000000" w:themeColor="text1"/>
          <w:sz w:val="28"/>
          <w:szCs w:val="28"/>
        </w:rPr>
        <w:t>direttiva</w:t>
      </w:r>
      <w:r w:rsidRPr="001837B8">
        <w:rPr>
          <w:rFonts w:ascii="Garamond" w:hAnsi="Garamond" w:cs="Times New Roman"/>
          <w:i/>
          <w:color w:val="000000" w:themeColor="text1"/>
          <w:sz w:val="28"/>
          <w:szCs w:val="28"/>
        </w:rPr>
        <w:t xml:space="preserve"> valgono le seguenti definizioni</w:t>
      </w:r>
      <w:r w:rsidRPr="001837B8">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i/>
          <w:color w:val="000000" w:themeColor="text1"/>
          <w:sz w:val="28"/>
          <w:szCs w:val="28"/>
        </w:rPr>
        <w:t xml:space="preserve">u) </w:t>
      </w:r>
      <w:r w:rsidRPr="001837B8">
        <w:rPr>
          <w:rFonts w:ascii="Garamond" w:hAnsi="Garamond" w:cs="Times New Roman"/>
          <w:i/>
          <w:color w:val="000000" w:themeColor="text1"/>
          <w:sz w:val="28"/>
          <w:szCs w:val="28"/>
        </w:rPr>
        <w:t xml:space="preserve">“impianto di produzione di elettricità”, un impianto che, al 1° gennaio 2005 o </w:t>
      </w:r>
      <w:r>
        <w:rPr>
          <w:rFonts w:ascii="Garamond" w:hAnsi="Garamond" w:cs="Times New Roman"/>
          <w:i/>
          <w:color w:val="000000" w:themeColor="text1"/>
          <w:sz w:val="28"/>
          <w:szCs w:val="28"/>
        </w:rPr>
        <w:t>successivamente</w:t>
      </w:r>
      <w:r w:rsidRPr="001837B8">
        <w:rPr>
          <w:rFonts w:ascii="Garamond" w:hAnsi="Garamond" w:cs="Times New Roman"/>
          <w:i/>
          <w:color w:val="000000" w:themeColor="text1"/>
          <w:sz w:val="28"/>
          <w:szCs w:val="28"/>
        </w:rPr>
        <w:t>, ha prodotto elettricità ai fini della vendita a terzi e nel quale non si effettua alcuna attività elencata all’allegato I diversa dalla “combustione di carburanti</w:t>
      </w:r>
      <w:r>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  L</w:t>
      </w:r>
      <w:r w:rsidRPr="001837B8">
        <w:rPr>
          <w:rFonts w:ascii="Garamond" w:hAnsi="Garamond" w:cs="Times New Roman"/>
          <w:color w:val="000000" w:themeColor="text1"/>
          <w:sz w:val="28"/>
          <w:szCs w:val="28"/>
        </w:rPr>
        <w:t xml:space="preserve">’articolo 10 </w:t>
      </w:r>
      <w:r w:rsidRPr="001837B8">
        <w:rPr>
          <w:rFonts w:ascii="Garamond" w:hAnsi="Garamond" w:cs="Times New Roman"/>
          <w:i/>
          <w:color w:val="000000" w:themeColor="text1"/>
          <w:sz w:val="28"/>
          <w:szCs w:val="28"/>
        </w:rPr>
        <w:t xml:space="preserve">bis </w:t>
      </w:r>
      <w:r w:rsidRPr="001837B8">
        <w:rPr>
          <w:rFonts w:ascii="Garamond" w:hAnsi="Garamond" w:cs="Times New Roman"/>
          <w:color w:val="000000" w:themeColor="text1"/>
          <w:sz w:val="28"/>
          <w:szCs w:val="28"/>
        </w:rPr>
        <w:t xml:space="preserve">di detta </w:t>
      </w:r>
      <w:r>
        <w:rPr>
          <w:rFonts w:ascii="Garamond" w:hAnsi="Garamond" w:cs="Times New Roman"/>
          <w:color w:val="000000" w:themeColor="text1"/>
          <w:sz w:val="28"/>
          <w:szCs w:val="28"/>
        </w:rPr>
        <w:t>direttiva</w:t>
      </w:r>
      <w:r w:rsidRPr="001837B8">
        <w:rPr>
          <w:rFonts w:ascii="Garamond" w:hAnsi="Garamond" w:cs="Times New Roman"/>
          <w:color w:val="000000" w:themeColor="text1"/>
          <w:sz w:val="28"/>
          <w:szCs w:val="28"/>
        </w:rPr>
        <w:t>, intitolato «</w:t>
      </w:r>
      <w:r w:rsidRPr="001837B8">
        <w:rPr>
          <w:rFonts w:ascii="Garamond" w:hAnsi="Garamond" w:cs="Times New Roman"/>
          <w:i/>
          <w:color w:val="000000" w:themeColor="text1"/>
          <w:sz w:val="28"/>
          <w:szCs w:val="28"/>
        </w:rPr>
        <w:t>Norme comunitarie transitorie per l’armonizzazione delle procedure di assegnazione gratuita delle quote</w:t>
      </w:r>
      <w:r w:rsidRPr="001837B8">
        <w:rPr>
          <w:rFonts w:ascii="Garamond" w:hAnsi="Garamond" w:cs="Times New Roman"/>
          <w:color w:val="000000" w:themeColor="text1"/>
          <w:sz w:val="28"/>
          <w:szCs w:val="28"/>
        </w:rPr>
        <w:t>», dispone, al paragrafo 3: «</w:t>
      </w:r>
      <w:r w:rsidRPr="001837B8">
        <w:rPr>
          <w:rFonts w:ascii="Garamond" w:hAnsi="Garamond" w:cs="Times New Roman"/>
          <w:i/>
          <w:color w:val="000000" w:themeColor="text1"/>
          <w:sz w:val="28"/>
          <w:szCs w:val="28"/>
        </w:rPr>
        <w:t>Fatti salvi i paragrafi 4 e 8 e a prescindere dall’articolo 10 quater, gli impianti di produzione di elettricità, gli impianti deputati alla cattura di CO2, le condutture per il trasporto di CO2 o i siti di stoccaggio di CO2 non beneficiano dell’assegnazione gratuita di quote</w:t>
      </w:r>
      <w:r>
        <w:rPr>
          <w:rFonts w:ascii="Garamond" w:hAnsi="Garamond" w:cs="Times New Roman"/>
          <w:color w:val="000000" w:themeColor="text1"/>
          <w:sz w:val="28"/>
          <w:szCs w:val="28"/>
        </w:rPr>
        <w:t>».</w:t>
      </w:r>
    </w:p>
    <w:p w:rsidR="007B4920" w:rsidRPr="001837B8"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1837B8">
        <w:rPr>
          <w:rFonts w:ascii="Garamond" w:hAnsi="Garamond" w:cs="Times New Roman"/>
          <w:color w:val="000000" w:themeColor="text1"/>
          <w:sz w:val="28"/>
          <w:szCs w:val="28"/>
        </w:rPr>
        <w:t xml:space="preserve">’articolo 11 della medesima </w:t>
      </w:r>
      <w:r>
        <w:rPr>
          <w:rFonts w:ascii="Garamond" w:hAnsi="Garamond" w:cs="Times New Roman"/>
          <w:color w:val="000000" w:themeColor="text1"/>
          <w:sz w:val="28"/>
          <w:szCs w:val="28"/>
        </w:rPr>
        <w:t>direttiva</w:t>
      </w:r>
      <w:r w:rsidRPr="001837B8">
        <w:rPr>
          <w:rFonts w:ascii="Garamond" w:hAnsi="Garamond" w:cs="Times New Roman"/>
          <w:color w:val="000000" w:themeColor="text1"/>
          <w:sz w:val="28"/>
          <w:szCs w:val="28"/>
        </w:rPr>
        <w:t>, intitolato «</w:t>
      </w:r>
      <w:r w:rsidRPr="001837B8">
        <w:rPr>
          <w:rFonts w:ascii="Garamond" w:hAnsi="Garamond" w:cs="Times New Roman"/>
          <w:i/>
          <w:color w:val="000000" w:themeColor="text1"/>
          <w:sz w:val="28"/>
          <w:szCs w:val="28"/>
        </w:rPr>
        <w:t>Misure nazionali di attuazione</w:t>
      </w:r>
      <w:r w:rsidRPr="001837B8">
        <w:rPr>
          <w:rFonts w:ascii="Garamond" w:hAnsi="Garamond" w:cs="Times New Roman"/>
          <w:color w:val="000000" w:themeColor="text1"/>
          <w:sz w:val="28"/>
          <w:szCs w:val="28"/>
        </w:rPr>
        <w:t>», prevede</w:t>
      </w:r>
      <w:r>
        <w:rPr>
          <w:rFonts w:ascii="Garamond" w:hAnsi="Garamond" w:cs="Times New Roman"/>
          <w:color w:val="000000" w:themeColor="text1"/>
          <w:sz w:val="28"/>
          <w:szCs w:val="28"/>
        </w:rPr>
        <w:t xml:space="preserve">, al paragrafo 1, quanto segue: </w:t>
      </w:r>
      <w:r w:rsidRPr="001837B8">
        <w:rPr>
          <w:rFonts w:ascii="Garamond" w:hAnsi="Garamond" w:cs="Times New Roman"/>
          <w:color w:val="000000" w:themeColor="text1"/>
          <w:sz w:val="28"/>
          <w:szCs w:val="28"/>
        </w:rPr>
        <w:t>«</w:t>
      </w:r>
      <w:r w:rsidRPr="001837B8">
        <w:rPr>
          <w:rFonts w:ascii="Garamond" w:hAnsi="Garamond" w:cs="Times New Roman"/>
          <w:i/>
          <w:color w:val="000000" w:themeColor="text1"/>
          <w:sz w:val="28"/>
          <w:szCs w:val="28"/>
        </w:rPr>
        <w:t xml:space="preserve">Gli Stati membri pubblicano e trasmettono alla Commissione [europea], entro il 30 settembre 2011, l’elenco degli impianti situati nel loro territorio che ricadono nell’ambito di applicazione della presente </w:t>
      </w:r>
      <w:r>
        <w:rPr>
          <w:rFonts w:ascii="Garamond" w:hAnsi="Garamond" w:cs="Times New Roman"/>
          <w:i/>
          <w:color w:val="000000" w:themeColor="text1"/>
          <w:sz w:val="28"/>
          <w:szCs w:val="28"/>
        </w:rPr>
        <w:t>direttiva</w:t>
      </w:r>
      <w:r w:rsidRPr="001837B8">
        <w:rPr>
          <w:rFonts w:ascii="Garamond" w:hAnsi="Garamond" w:cs="Times New Roman"/>
          <w:i/>
          <w:color w:val="000000" w:themeColor="text1"/>
          <w:sz w:val="28"/>
          <w:szCs w:val="28"/>
        </w:rPr>
        <w:t xml:space="preserve"> e le quote eventualmente assegnate a titolo gratuito a ciascuno dei suddetti impianti e calcolate a norma dell’articolo 10 bis, paragrafo 1 e dell’articolo 10 quater</w:t>
      </w:r>
      <w:r w:rsidRPr="001837B8">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1837B8">
        <w:rPr>
          <w:rFonts w:ascii="Garamond" w:hAnsi="Garamond" w:cs="Times New Roman"/>
          <w:i/>
          <w:color w:val="000000" w:themeColor="text1"/>
          <w:sz w:val="28"/>
          <w:szCs w:val="28"/>
        </w:rPr>
        <w:t xml:space="preserve">Entro il 30 settembre 2019 viene presentato un elenco degli impianti disciplinati dalla presente </w:t>
      </w:r>
      <w:r>
        <w:rPr>
          <w:rFonts w:ascii="Garamond" w:hAnsi="Garamond" w:cs="Times New Roman"/>
          <w:i/>
          <w:color w:val="000000" w:themeColor="text1"/>
          <w:sz w:val="28"/>
          <w:szCs w:val="28"/>
        </w:rPr>
        <w:t>direttiva</w:t>
      </w:r>
      <w:r w:rsidRPr="001837B8">
        <w:rPr>
          <w:rFonts w:ascii="Garamond" w:hAnsi="Garamond" w:cs="Times New Roman"/>
          <w:i/>
          <w:color w:val="000000" w:themeColor="text1"/>
          <w:sz w:val="28"/>
          <w:szCs w:val="28"/>
        </w:rPr>
        <w:t xml:space="preserve"> per [il periodo di] cinque anni [che decorre] dal 1° gennaio 2021. In seguito, gli elenchi per ciascun periodo successivo di cinque anni sono trasmessi a cadenza quinquennale. Ogni elenco include informazioni sulle attività di produzione, i trasferimenti di calore e gas, la produzione di </w:t>
      </w:r>
      <w:r>
        <w:rPr>
          <w:rFonts w:ascii="Garamond" w:hAnsi="Garamond" w:cs="Times New Roman"/>
          <w:i/>
          <w:color w:val="000000" w:themeColor="text1"/>
          <w:sz w:val="28"/>
          <w:szCs w:val="28"/>
        </w:rPr>
        <w:t>energia</w:t>
      </w:r>
      <w:r w:rsidRPr="001837B8">
        <w:rPr>
          <w:rFonts w:ascii="Garamond" w:hAnsi="Garamond" w:cs="Times New Roman"/>
          <w:i/>
          <w:color w:val="000000" w:themeColor="text1"/>
          <w:sz w:val="28"/>
          <w:szCs w:val="28"/>
        </w:rPr>
        <w:t xml:space="preserve"> elettrica e le emissioni a livello di sottoimpianto relative ai cinque anni civili che precedono la presentazione. Le quote a titolo gratuito sono assegnate unicamente agli impianti per cui sono state trasmesse tali informazioni</w:t>
      </w:r>
      <w:r w:rsidRPr="001837B8">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w:t>
      </w:r>
      <w:r w:rsidRPr="001837B8">
        <w:rPr>
          <w:rFonts w:ascii="Garamond" w:hAnsi="Garamond" w:cs="Times New Roman"/>
          <w:color w:val="000000" w:themeColor="text1"/>
          <w:sz w:val="28"/>
          <w:szCs w:val="28"/>
        </w:rPr>
        <w:t xml:space="preserve">ordinanza </w:t>
      </w:r>
      <w:r>
        <w:rPr>
          <w:rFonts w:ascii="Garamond" w:hAnsi="Garamond" w:cs="Times New Roman"/>
          <w:color w:val="000000" w:themeColor="text1"/>
          <w:sz w:val="28"/>
          <w:szCs w:val="28"/>
        </w:rPr>
        <w:t xml:space="preserve">Corte di giustizia UE, sez. X, </w:t>
      </w:r>
      <w:r w:rsidRPr="001837B8">
        <w:rPr>
          <w:rFonts w:ascii="Garamond" w:hAnsi="Garamond" w:cs="Times New Roman"/>
          <w:color w:val="000000" w:themeColor="text1"/>
          <w:sz w:val="28"/>
          <w:szCs w:val="28"/>
        </w:rPr>
        <w:t>1° marzo 2023</w:t>
      </w:r>
      <w:r>
        <w:rPr>
          <w:rFonts w:ascii="Garamond" w:hAnsi="Garamond" w:cs="Times New Roman"/>
          <w:color w:val="000000" w:themeColor="text1"/>
          <w:sz w:val="28"/>
          <w:szCs w:val="28"/>
        </w:rPr>
        <w:t xml:space="preserve">, </w:t>
      </w:r>
      <w:r w:rsidRPr="001837B8">
        <w:t>C</w:t>
      </w:r>
      <w:r w:rsidRPr="001837B8">
        <w:rPr>
          <w:rFonts w:ascii="Times New Roman" w:hAnsi="Times New Roman" w:cs="Times New Roman"/>
          <w:color w:val="000000" w:themeColor="text1"/>
          <w:sz w:val="28"/>
          <w:szCs w:val="28"/>
        </w:rPr>
        <w:t>‑</w:t>
      </w:r>
      <w:r>
        <w:rPr>
          <w:rFonts w:ascii="Garamond" w:hAnsi="Garamond" w:cs="Times New Roman"/>
          <w:color w:val="000000" w:themeColor="text1"/>
          <w:sz w:val="28"/>
          <w:szCs w:val="28"/>
        </w:rPr>
        <w:t>94/22).</w:t>
      </w:r>
    </w:p>
    <w:p w:rsidR="007B4920" w:rsidRDefault="007B4920" w:rsidP="007B4920">
      <w:pPr>
        <w:spacing w:line="240" w:lineRule="auto"/>
        <w:ind w:firstLine="709"/>
        <w:contextualSpacing/>
        <w:jc w:val="both"/>
        <w:rPr>
          <w:rFonts w:ascii="Garamond" w:hAnsi="Garamond" w:cs="Times New Roman"/>
          <w:i/>
          <w:color w:val="000000" w:themeColor="text1"/>
          <w:sz w:val="28"/>
          <w:szCs w:val="28"/>
        </w:rPr>
      </w:pPr>
      <w:r>
        <w:rPr>
          <w:rFonts w:ascii="Garamond" w:hAnsi="Garamond" w:cs="Times New Roman"/>
          <w:color w:val="000000" w:themeColor="text1"/>
          <w:sz w:val="28"/>
          <w:szCs w:val="28"/>
        </w:rPr>
        <w:t>Ai fini dell’applicazione di tale direttiva nell’ordinamento interno il comitato ETS è l’</w:t>
      </w:r>
      <w:r w:rsidRPr="00041780">
        <w:rPr>
          <w:rFonts w:ascii="Garamond" w:hAnsi="Garamond" w:cs="Times New Roman"/>
          <w:color w:val="000000" w:themeColor="text1"/>
          <w:sz w:val="28"/>
          <w:szCs w:val="28"/>
        </w:rPr>
        <w:t>organo interministeriale, che, tra le altre</w:t>
      </w:r>
      <w:r>
        <w:rPr>
          <w:rFonts w:ascii="Garamond" w:hAnsi="Garamond" w:cs="Times New Roman"/>
          <w:color w:val="000000" w:themeColor="text1"/>
          <w:sz w:val="28"/>
          <w:szCs w:val="28"/>
        </w:rPr>
        <w:t xml:space="preserve"> funzioni: </w:t>
      </w:r>
    </w:p>
    <w:p w:rsidR="007B4920" w:rsidRDefault="007B4920" w:rsidP="007B4920">
      <w:pPr>
        <w:pStyle w:val="Paragrafoelenco"/>
        <w:numPr>
          <w:ilvl w:val="0"/>
          <w:numId w:val="14"/>
        </w:numPr>
        <w:spacing w:line="240" w:lineRule="auto"/>
        <w:jc w:val="both"/>
        <w:rPr>
          <w:rFonts w:ascii="Garamond" w:hAnsi="Garamond" w:cs="Times New Roman"/>
          <w:color w:val="000000" w:themeColor="text1"/>
          <w:sz w:val="28"/>
          <w:szCs w:val="28"/>
        </w:rPr>
      </w:pPr>
      <w:r w:rsidRPr="007D5EA9">
        <w:rPr>
          <w:rFonts w:ascii="Garamond" w:hAnsi="Garamond" w:cs="Times New Roman"/>
          <w:color w:val="000000" w:themeColor="text1"/>
          <w:sz w:val="28"/>
          <w:szCs w:val="28"/>
        </w:rPr>
        <w:lastRenderedPageBreak/>
        <w:t xml:space="preserve">determina il quantitativo annuo di quote da assegnare a titolo gratuito ai gestori eleggibili conformemente alle norme unionali, con particolare riferimento alle regole per l’assegnazione </w:t>
      </w:r>
      <w:r>
        <w:rPr>
          <w:rFonts w:ascii="Garamond" w:hAnsi="Garamond" w:cs="Times New Roman"/>
          <w:color w:val="000000" w:themeColor="text1"/>
          <w:sz w:val="28"/>
          <w:szCs w:val="28"/>
        </w:rPr>
        <w:t>gratuita delle quote;</w:t>
      </w:r>
    </w:p>
    <w:p w:rsidR="007B4920" w:rsidRPr="007D5EA9" w:rsidRDefault="007B4920" w:rsidP="007B4920">
      <w:pPr>
        <w:pStyle w:val="Paragrafoelenco"/>
        <w:numPr>
          <w:ilvl w:val="0"/>
          <w:numId w:val="14"/>
        </w:numPr>
        <w:spacing w:line="240" w:lineRule="auto"/>
        <w:jc w:val="both"/>
        <w:rPr>
          <w:rFonts w:ascii="Garamond" w:hAnsi="Garamond" w:cs="Times New Roman"/>
          <w:color w:val="000000" w:themeColor="text1"/>
          <w:sz w:val="28"/>
          <w:szCs w:val="28"/>
        </w:rPr>
      </w:pPr>
      <w:r w:rsidRPr="007D5EA9">
        <w:rPr>
          <w:rFonts w:ascii="Garamond" w:hAnsi="Garamond" w:cs="Times New Roman"/>
          <w:color w:val="000000" w:themeColor="text1"/>
          <w:sz w:val="28"/>
          <w:szCs w:val="28"/>
        </w:rPr>
        <w:t xml:space="preserve">cura l’inoltro alla Commissione UE dell’apposito elenco di cui all’art. 11, par. 1, della </w:t>
      </w:r>
      <w:r>
        <w:rPr>
          <w:rFonts w:ascii="Garamond" w:hAnsi="Garamond" w:cs="Times New Roman"/>
          <w:color w:val="000000" w:themeColor="text1"/>
          <w:sz w:val="28"/>
          <w:szCs w:val="28"/>
        </w:rPr>
        <w:t>direttiva</w:t>
      </w:r>
      <w:r w:rsidRPr="007D5EA9">
        <w:rPr>
          <w:rFonts w:ascii="Garamond" w:hAnsi="Garamond" w:cs="Times New Roman"/>
          <w:color w:val="000000" w:themeColor="text1"/>
          <w:sz w:val="28"/>
          <w:szCs w:val="28"/>
        </w:rPr>
        <w:t xml:space="preserve"> 2003/87/CE.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N</w:t>
      </w:r>
      <w:r w:rsidRPr="00041780">
        <w:rPr>
          <w:rFonts w:ascii="Garamond" w:hAnsi="Garamond" w:cs="Times New Roman"/>
          <w:color w:val="000000" w:themeColor="text1"/>
          <w:sz w:val="28"/>
          <w:szCs w:val="28"/>
        </w:rPr>
        <w:t>on appena ricevuto il citato elenco, la Commissione UE</w:t>
      </w:r>
      <w:r>
        <w:rPr>
          <w:rFonts w:ascii="Garamond" w:hAnsi="Garamond" w:cs="Times New Roman"/>
          <w:color w:val="000000" w:themeColor="text1"/>
          <w:sz w:val="28"/>
          <w:szCs w:val="28"/>
        </w:rPr>
        <w:t xml:space="preserve"> </w:t>
      </w:r>
      <w:r w:rsidRPr="00041780">
        <w:rPr>
          <w:rFonts w:ascii="Garamond" w:hAnsi="Garamond" w:cs="Times New Roman"/>
          <w:color w:val="000000" w:themeColor="text1"/>
          <w:sz w:val="28"/>
          <w:szCs w:val="28"/>
        </w:rPr>
        <w:t>esamina l’inclusione di ogni impianto nell’elenco e i relativi dati</w:t>
      </w:r>
      <w:r>
        <w:rPr>
          <w:rFonts w:ascii="Garamond" w:hAnsi="Garamond" w:cs="Times New Roman"/>
          <w:color w:val="000000" w:themeColor="text1"/>
          <w:sz w:val="28"/>
          <w:szCs w:val="28"/>
        </w:rPr>
        <w:t xml:space="preserve"> </w:t>
      </w:r>
      <w:r w:rsidRPr="00041780">
        <w:rPr>
          <w:rFonts w:ascii="Garamond" w:hAnsi="Garamond" w:cs="Times New Roman"/>
          <w:color w:val="000000" w:themeColor="text1"/>
          <w:sz w:val="28"/>
          <w:szCs w:val="28"/>
        </w:rPr>
        <w:t>comunicati in conformità del paragrafo e, qualora la Commissione</w:t>
      </w:r>
      <w:r>
        <w:rPr>
          <w:rFonts w:ascii="Garamond" w:hAnsi="Garamond" w:cs="Times New Roman"/>
          <w:color w:val="000000" w:themeColor="text1"/>
          <w:sz w:val="28"/>
          <w:szCs w:val="28"/>
        </w:rPr>
        <w:t xml:space="preserve"> </w:t>
      </w:r>
      <w:r w:rsidRPr="00041780">
        <w:rPr>
          <w:rFonts w:ascii="Garamond" w:hAnsi="Garamond" w:cs="Times New Roman"/>
          <w:color w:val="000000" w:themeColor="text1"/>
          <w:sz w:val="28"/>
          <w:szCs w:val="28"/>
        </w:rPr>
        <w:t>non rifiuti l’inclusione dell’impianto nell’elenco, i dati sono usati</w:t>
      </w:r>
      <w:r>
        <w:rPr>
          <w:rFonts w:ascii="Garamond" w:hAnsi="Garamond" w:cs="Times New Roman"/>
          <w:color w:val="000000" w:themeColor="text1"/>
          <w:sz w:val="28"/>
          <w:szCs w:val="28"/>
        </w:rPr>
        <w:t xml:space="preserve"> </w:t>
      </w:r>
      <w:r w:rsidRPr="00041780">
        <w:rPr>
          <w:rFonts w:ascii="Garamond" w:hAnsi="Garamond" w:cs="Times New Roman"/>
          <w:color w:val="000000" w:themeColor="text1"/>
          <w:sz w:val="28"/>
          <w:szCs w:val="28"/>
        </w:rPr>
        <w:t>per il calcolo dei valori riveduti dei parametri di riferimento di cui</w:t>
      </w:r>
      <w:r>
        <w:rPr>
          <w:rFonts w:ascii="Garamond" w:hAnsi="Garamond" w:cs="Times New Roman"/>
          <w:color w:val="000000" w:themeColor="text1"/>
          <w:sz w:val="28"/>
          <w:szCs w:val="28"/>
        </w:rPr>
        <w:t xml:space="preserve"> </w:t>
      </w:r>
      <w:r w:rsidRPr="00041780">
        <w:rPr>
          <w:rFonts w:ascii="Garamond" w:hAnsi="Garamond" w:cs="Times New Roman"/>
          <w:color w:val="000000" w:themeColor="text1"/>
          <w:sz w:val="28"/>
          <w:szCs w:val="28"/>
        </w:rPr>
        <w:t xml:space="preserve">all’articolo 10 </w:t>
      </w:r>
      <w:r w:rsidRPr="00041780">
        <w:rPr>
          <w:rFonts w:ascii="Garamond" w:hAnsi="Garamond" w:cs="Times New Roman"/>
          <w:i/>
          <w:iCs/>
          <w:color w:val="000000" w:themeColor="text1"/>
          <w:sz w:val="28"/>
          <w:szCs w:val="28"/>
        </w:rPr>
        <w:t>bis</w:t>
      </w:r>
      <w:r w:rsidRPr="00041780">
        <w:rPr>
          <w:rFonts w:ascii="Garamond" w:hAnsi="Garamond" w:cs="Times New Roman"/>
          <w:color w:val="000000" w:themeColor="text1"/>
          <w:sz w:val="28"/>
          <w:szCs w:val="28"/>
        </w:rPr>
        <w:t xml:space="preserve">, par. 2, della </w:t>
      </w:r>
      <w:r>
        <w:rPr>
          <w:rFonts w:ascii="Garamond" w:hAnsi="Garamond" w:cs="Times New Roman"/>
          <w:color w:val="000000" w:themeColor="text1"/>
          <w:sz w:val="28"/>
          <w:szCs w:val="28"/>
        </w:rPr>
        <w:t>direttiva</w:t>
      </w:r>
      <w:r w:rsidRPr="00041780">
        <w:rPr>
          <w:rFonts w:ascii="Garamond" w:hAnsi="Garamond" w:cs="Times New Roman"/>
          <w:color w:val="000000" w:themeColor="text1"/>
          <w:sz w:val="28"/>
          <w:szCs w:val="28"/>
        </w:rPr>
        <w:t xml:space="preserve"> 2003/87/CE;</w:t>
      </w:r>
      <w:r>
        <w:rPr>
          <w:rFonts w:ascii="Garamond" w:hAnsi="Garamond" w:cs="Times New Roman"/>
          <w:color w:val="000000" w:themeColor="text1"/>
          <w:sz w:val="28"/>
          <w:szCs w:val="28"/>
        </w:rPr>
        <w:t xml:space="preserve"> </w:t>
      </w:r>
      <w:r w:rsidRPr="00041780">
        <w:rPr>
          <w:rFonts w:ascii="Garamond" w:hAnsi="Garamond" w:cs="Times New Roman"/>
          <w:color w:val="000000" w:themeColor="text1"/>
          <w:sz w:val="28"/>
          <w:szCs w:val="28"/>
        </w:rPr>
        <w:t>le informazioni richieste agli impianti ricadenti nel campo di</w:t>
      </w:r>
      <w:r>
        <w:rPr>
          <w:rFonts w:ascii="Garamond" w:hAnsi="Garamond" w:cs="Times New Roman"/>
          <w:color w:val="000000" w:themeColor="text1"/>
          <w:sz w:val="28"/>
          <w:szCs w:val="28"/>
        </w:rPr>
        <w:t xml:space="preserve"> </w:t>
      </w:r>
      <w:r w:rsidRPr="00041780">
        <w:rPr>
          <w:rFonts w:ascii="Garamond" w:hAnsi="Garamond" w:cs="Times New Roman"/>
          <w:color w:val="000000" w:themeColor="text1"/>
          <w:sz w:val="28"/>
          <w:szCs w:val="28"/>
        </w:rPr>
        <w:t xml:space="preserve">applicazione della </w:t>
      </w:r>
      <w:r>
        <w:rPr>
          <w:rFonts w:ascii="Garamond" w:hAnsi="Garamond" w:cs="Times New Roman"/>
          <w:color w:val="000000" w:themeColor="text1"/>
          <w:sz w:val="28"/>
          <w:szCs w:val="28"/>
        </w:rPr>
        <w:t>direttiva</w:t>
      </w:r>
      <w:r w:rsidRPr="00041780">
        <w:rPr>
          <w:rFonts w:ascii="Garamond" w:hAnsi="Garamond" w:cs="Times New Roman"/>
          <w:color w:val="000000" w:themeColor="text1"/>
          <w:sz w:val="28"/>
          <w:szCs w:val="28"/>
        </w:rPr>
        <w:t>, nonché le modalità e le procedure di</w:t>
      </w:r>
      <w:r>
        <w:rPr>
          <w:rFonts w:ascii="Garamond" w:hAnsi="Garamond" w:cs="Times New Roman"/>
          <w:color w:val="000000" w:themeColor="text1"/>
          <w:sz w:val="28"/>
          <w:szCs w:val="28"/>
        </w:rPr>
        <w:t xml:space="preserve"> </w:t>
      </w:r>
      <w:r w:rsidRPr="00041780">
        <w:rPr>
          <w:rFonts w:ascii="Garamond" w:hAnsi="Garamond" w:cs="Times New Roman"/>
          <w:color w:val="000000" w:themeColor="text1"/>
          <w:sz w:val="28"/>
          <w:szCs w:val="28"/>
        </w:rPr>
        <w:t>invio dei dati alla Commissione da parte degli Stati membri sono</w:t>
      </w:r>
      <w:r>
        <w:rPr>
          <w:rFonts w:ascii="Garamond" w:hAnsi="Garamond" w:cs="Times New Roman"/>
          <w:color w:val="000000" w:themeColor="text1"/>
          <w:sz w:val="28"/>
          <w:szCs w:val="28"/>
        </w:rPr>
        <w:t xml:space="preserve"> </w:t>
      </w:r>
      <w:r w:rsidRPr="00041780">
        <w:rPr>
          <w:rFonts w:ascii="Garamond" w:hAnsi="Garamond" w:cs="Times New Roman"/>
          <w:color w:val="000000" w:themeColor="text1"/>
          <w:sz w:val="28"/>
          <w:szCs w:val="28"/>
        </w:rPr>
        <w:t>previste dal regolamento 2019/331/UE della Commissione del 19</w:t>
      </w:r>
      <w:r>
        <w:rPr>
          <w:rFonts w:ascii="Garamond" w:hAnsi="Garamond" w:cs="Times New Roman"/>
          <w:color w:val="000000" w:themeColor="text1"/>
          <w:sz w:val="28"/>
          <w:szCs w:val="28"/>
        </w:rPr>
        <w:t xml:space="preserve"> </w:t>
      </w:r>
      <w:r w:rsidRPr="00041780">
        <w:rPr>
          <w:rFonts w:ascii="Garamond" w:hAnsi="Garamond" w:cs="Times New Roman"/>
          <w:color w:val="000000" w:themeColor="text1"/>
          <w:sz w:val="28"/>
          <w:szCs w:val="28"/>
        </w:rPr>
        <w:t>dicembre 2018, il cui art. 14 individua i seguenti passaggi:</w:t>
      </w:r>
      <w:r>
        <w:rPr>
          <w:rFonts w:ascii="Garamond" w:hAnsi="Garamond" w:cs="Times New Roman"/>
          <w:color w:val="000000" w:themeColor="text1"/>
          <w:sz w:val="28"/>
          <w:szCs w:val="28"/>
        </w:rPr>
        <w:t xml:space="preserve"> </w:t>
      </w:r>
    </w:p>
    <w:p w:rsidR="007B4920" w:rsidRDefault="007B4920" w:rsidP="007B4920">
      <w:pPr>
        <w:pStyle w:val="Paragrafoelenco"/>
        <w:numPr>
          <w:ilvl w:val="0"/>
          <w:numId w:val="14"/>
        </w:numPr>
        <w:spacing w:line="240" w:lineRule="auto"/>
        <w:jc w:val="both"/>
        <w:rPr>
          <w:rFonts w:ascii="Garamond" w:hAnsi="Garamond" w:cs="Times New Roman"/>
          <w:color w:val="000000" w:themeColor="text1"/>
          <w:sz w:val="28"/>
          <w:szCs w:val="28"/>
        </w:rPr>
      </w:pPr>
      <w:r w:rsidRPr="007D5EA9">
        <w:rPr>
          <w:rFonts w:ascii="Garamond" w:hAnsi="Garamond" w:cs="Times New Roman"/>
          <w:color w:val="000000" w:themeColor="text1"/>
          <w:sz w:val="28"/>
          <w:szCs w:val="28"/>
        </w:rPr>
        <w:t xml:space="preserve">l’autorità nazionale competente presenta alla Commissione un elenco mediante modello elettronico predefinito, contenente tutte le principali informazioni relative agli impianti sottoposti; </w:t>
      </w:r>
    </w:p>
    <w:p w:rsidR="007B4920" w:rsidRPr="007D5EA9" w:rsidRDefault="007B4920" w:rsidP="007B4920">
      <w:pPr>
        <w:pStyle w:val="Paragrafoelenco"/>
        <w:numPr>
          <w:ilvl w:val="0"/>
          <w:numId w:val="14"/>
        </w:numPr>
        <w:spacing w:line="240" w:lineRule="auto"/>
        <w:jc w:val="both"/>
        <w:rPr>
          <w:rFonts w:ascii="Garamond" w:hAnsi="Garamond" w:cs="Times New Roman"/>
          <w:color w:val="000000" w:themeColor="text1"/>
          <w:sz w:val="28"/>
          <w:szCs w:val="28"/>
        </w:rPr>
      </w:pPr>
      <w:r w:rsidRPr="007D5EA9">
        <w:rPr>
          <w:rFonts w:ascii="Garamond" w:hAnsi="Garamond" w:cs="Times New Roman"/>
          <w:color w:val="000000" w:themeColor="text1"/>
          <w:sz w:val="28"/>
          <w:szCs w:val="28"/>
        </w:rPr>
        <w:t>l’elenco viene sottoposto a controlli di completezza e coerenza da parte della Commissione e, dopo eventuali revisioni ed esclusioni, viene usato per definire i quantitativi annuali preliminari di quote gratuite per ciascun impianto.</w:t>
      </w:r>
    </w:p>
    <w:p w:rsidR="007B4920" w:rsidRDefault="007B4920" w:rsidP="007B4920">
      <w:pPr>
        <w:spacing w:line="240" w:lineRule="auto"/>
        <w:contextualSpacing/>
        <w:jc w:val="both"/>
        <w:rPr>
          <w:rFonts w:ascii="Garamond" w:hAnsi="Garamond" w:cs="Times New Roman"/>
          <w:color w:val="000000" w:themeColor="text1"/>
          <w:sz w:val="28"/>
          <w:szCs w:val="28"/>
        </w:rPr>
      </w:pPr>
    </w:p>
    <w:p w:rsidR="007B4920" w:rsidRDefault="007B4920" w:rsidP="007B4920">
      <w:pPr>
        <w:spacing w:line="240" w:lineRule="auto"/>
        <w:contextualSpacing/>
        <w:jc w:val="both"/>
        <w:rPr>
          <w:rFonts w:ascii="Garamond" w:hAnsi="Garamond" w:cs="Times New Roman"/>
          <w:color w:val="000000" w:themeColor="text1"/>
          <w:sz w:val="28"/>
          <w:szCs w:val="28"/>
        </w:rPr>
      </w:pPr>
      <w:r>
        <w:rPr>
          <w:rFonts w:ascii="Garamond" w:hAnsi="Garamond" w:cs="Times New Roman"/>
          <w:b/>
          <w:color w:val="000000" w:themeColor="text1"/>
          <w:sz w:val="28"/>
          <w:szCs w:val="28"/>
        </w:rPr>
        <w:t>3.2</w:t>
      </w:r>
      <w:r w:rsidRPr="00A75C8B">
        <w:rPr>
          <w:rFonts w:ascii="Garamond" w:hAnsi="Garamond" w:cs="Times New Roman"/>
          <w:b/>
          <w:color w:val="000000" w:themeColor="text1"/>
          <w:sz w:val="28"/>
          <w:szCs w:val="28"/>
        </w:rPr>
        <w:t>. Le principali questioni esaminate dalla giurisprudenza</w:t>
      </w:r>
      <w:r>
        <w:rPr>
          <w:rFonts w:ascii="Garamond" w:hAnsi="Garamond" w:cs="Times New Roman"/>
          <w:color w:val="000000" w:themeColor="text1"/>
          <w:sz w:val="28"/>
          <w:szCs w:val="28"/>
        </w:rPr>
        <w:t>.</w:t>
      </w:r>
    </w:p>
    <w:p w:rsidR="007B4920" w:rsidRPr="00F235F7" w:rsidRDefault="007B4920" w:rsidP="007B4920">
      <w:pPr>
        <w:spacing w:line="240" w:lineRule="auto"/>
        <w:contextualSpacing/>
        <w:jc w:val="both"/>
        <w:rPr>
          <w:rFonts w:ascii="Garamond" w:hAnsi="Garamond" w:cs="Times New Roman"/>
          <w:color w:val="000000" w:themeColor="text1"/>
          <w:sz w:val="28"/>
          <w:szCs w:val="28"/>
        </w:rPr>
      </w:pPr>
      <w:r w:rsidRPr="00F235F7">
        <w:rPr>
          <w:rFonts w:ascii="Garamond" w:hAnsi="Garamond" w:cs="Times New Roman"/>
          <w:color w:val="000000" w:themeColor="text1"/>
          <w:sz w:val="28"/>
          <w:szCs w:val="28"/>
        </w:rPr>
        <w:t>Secondo la giurisprudenza della Corte di giustizia:</w:t>
      </w:r>
    </w:p>
    <w:p w:rsidR="007B4920" w:rsidRPr="00F235F7" w:rsidRDefault="007B4920" w:rsidP="007B4920">
      <w:pPr>
        <w:spacing w:line="240" w:lineRule="auto"/>
        <w:ind w:left="1416" w:hanging="707"/>
        <w:contextualSpacing/>
        <w:jc w:val="both"/>
        <w:rPr>
          <w:rFonts w:ascii="Garamond" w:hAnsi="Garamond" w:cs="Times New Roman"/>
          <w:i/>
          <w:color w:val="000000" w:themeColor="text1"/>
          <w:sz w:val="28"/>
          <w:szCs w:val="28"/>
        </w:rPr>
      </w:pPr>
      <w:r>
        <w:rPr>
          <w:rFonts w:ascii="Garamond" w:hAnsi="Garamond" w:cs="Times New Roman"/>
          <w:color w:val="000000" w:themeColor="text1"/>
          <w:sz w:val="28"/>
          <w:szCs w:val="28"/>
        </w:rPr>
        <w:t>a)</w:t>
      </w:r>
      <w:r>
        <w:rPr>
          <w:rFonts w:ascii="Garamond" w:hAnsi="Garamond" w:cs="Times New Roman"/>
          <w:color w:val="000000" w:themeColor="text1"/>
          <w:sz w:val="28"/>
          <w:szCs w:val="28"/>
        </w:rPr>
        <w:tab/>
        <w:t>“</w:t>
      </w:r>
      <w:r w:rsidRPr="00F235F7">
        <w:rPr>
          <w:rFonts w:ascii="Garamond" w:hAnsi="Garamond" w:cs="Times New Roman"/>
          <w:i/>
          <w:color w:val="000000" w:themeColor="text1"/>
          <w:sz w:val="28"/>
          <w:szCs w:val="28"/>
        </w:rPr>
        <w:t>1)   L’esame delle questioni dalla prima alla quarta nelle cause C</w:t>
      </w:r>
      <w:r w:rsidRPr="00F235F7">
        <w:rPr>
          <w:rFonts w:ascii="Times New Roman" w:hAnsi="Times New Roman" w:cs="Times New Roman"/>
          <w:i/>
          <w:color w:val="000000" w:themeColor="text1"/>
          <w:sz w:val="28"/>
          <w:szCs w:val="28"/>
        </w:rPr>
        <w:t>‑</w:t>
      </w:r>
      <w:r w:rsidRPr="00F235F7">
        <w:rPr>
          <w:rFonts w:ascii="Garamond" w:hAnsi="Garamond" w:cs="Times New Roman"/>
          <w:i/>
          <w:color w:val="000000" w:themeColor="text1"/>
          <w:sz w:val="28"/>
          <w:szCs w:val="28"/>
        </w:rPr>
        <w:t>191/14 e C</w:t>
      </w:r>
      <w:r w:rsidRPr="00F235F7">
        <w:rPr>
          <w:rFonts w:ascii="Times New Roman" w:hAnsi="Times New Roman" w:cs="Times New Roman"/>
          <w:i/>
          <w:color w:val="000000" w:themeColor="text1"/>
          <w:sz w:val="28"/>
          <w:szCs w:val="28"/>
        </w:rPr>
        <w:t>‑</w:t>
      </w:r>
      <w:r w:rsidRPr="00F235F7">
        <w:rPr>
          <w:rFonts w:ascii="Garamond" w:hAnsi="Garamond" w:cs="Times New Roman"/>
          <w:i/>
          <w:color w:val="000000" w:themeColor="text1"/>
          <w:sz w:val="28"/>
          <w:szCs w:val="28"/>
        </w:rPr>
        <w:t>192/14, della terza questione nella causa C</w:t>
      </w:r>
      <w:r w:rsidRPr="00F235F7">
        <w:rPr>
          <w:rFonts w:ascii="Times New Roman" w:hAnsi="Times New Roman" w:cs="Times New Roman"/>
          <w:i/>
          <w:color w:val="000000" w:themeColor="text1"/>
          <w:sz w:val="28"/>
          <w:szCs w:val="28"/>
        </w:rPr>
        <w:t>‑</w:t>
      </w:r>
      <w:r w:rsidRPr="00F235F7">
        <w:rPr>
          <w:rFonts w:ascii="Garamond" w:hAnsi="Garamond" w:cs="Times New Roman"/>
          <w:i/>
          <w:color w:val="000000" w:themeColor="text1"/>
          <w:sz w:val="28"/>
          <w:szCs w:val="28"/>
        </w:rPr>
        <w:t>295/14 e della prima questione nelle cause C</w:t>
      </w:r>
      <w:r w:rsidRPr="00F235F7">
        <w:rPr>
          <w:rFonts w:ascii="Times New Roman" w:hAnsi="Times New Roman" w:cs="Times New Roman"/>
          <w:i/>
          <w:color w:val="000000" w:themeColor="text1"/>
          <w:sz w:val="28"/>
          <w:szCs w:val="28"/>
        </w:rPr>
        <w:t>‑</w:t>
      </w:r>
      <w:r w:rsidRPr="00F235F7">
        <w:rPr>
          <w:rFonts w:ascii="Garamond" w:hAnsi="Garamond" w:cs="Times New Roman"/>
          <w:i/>
          <w:color w:val="000000" w:themeColor="text1"/>
          <w:sz w:val="28"/>
          <w:szCs w:val="28"/>
        </w:rPr>
        <w:t>389/14 e da C</w:t>
      </w:r>
      <w:r w:rsidRPr="00F235F7">
        <w:rPr>
          <w:rFonts w:ascii="Times New Roman" w:hAnsi="Times New Roman" w:cs="Times New Roman"/>
          <w:i/>
          <w:color w:val="000000" w:themeColor="text1"/>
          <w:sz w:val="28"/>
          <w:szCs w:val="28"/>
        </w:rPr>
        <w:t>‑</w:t>
      </w:r>
      <w:r w:rsidRPr="00F235F7">
        <w:rPr>
          <w:rFonts w:ascii="Garamond" w:hAnsi="Garamond" w:cs="Times New Roman"/>
          <w:i/>
          <w:color w:val="000000" w:themeColor="text1"/>
          <w:sz w:val="28"/>
          <w:szCs w:val="28"/>
        </w:rPr>
        <w:t>391/14 a C</w:t>
      </w:r>
      <w:r w:rsidRPr="00F235F7">
        <w:rPr>
          <w:rFonts w:ascii="Times New Roman" w:hAnsi="Times New Roman" w:cs="Times New Roman"/>
          <w:i/>
          <w:color w:val="000000" w:themeColor="text1"/>
          <w:sz w:val="28"/>
          <w:szCs w:val="28"/>
        </w:rPr>
        <w:t>‑</w:t>
      </w:r>
      <w:r w:rsidRPr="00F235F7">
        <w:rPr>
          <w:rFonts w:ascii="Garamond" w:hAnsi="Garamond" w:cs="Times New Roman"/>
          <w:i/>
          <w:color w:val="000000" w:themeColor="text1"/>
          <w:sz w:val="28"/>
          <w:szCs w:val="28"/>
        </w:rPr>
        <w:t xml:space="preserve">393/14 non ha rivelato alcun elemento tale da inficiare la validità dell’articolo 15, paragrafo 3, della decisione 2011/278/UE della Commissione, del 27 aprile 2011, che stabilisce norme transitorie per l’insieme dell’Unione ai fini dell’armonizzazione delle procedure di assegnazione gratuita delle quote di emissioni ai sensi dell’articolo 10 bis della </w:t>
      </w:r>
      <w:r>
        <w:rPr>
          <w:rFonts w:ascii="Garamond" w:hAnsi="Garamond" w:cs="Times New Roman"/>
          <w:i/>
          <w:color w:val="000000" w:themeColor="text1"/>
          <w:sz w:val="28"/>
          <w:szCs w:val="28"/>
        </w:rPr>
        <w:t>direttiva</w:t>
      </w:r>
      <w:r w:rsidRPr="00F235F7">
        <w:rPr>
          <w:rFonts w:ascii="Garamond" w:hAnsi="Garamond" w:cs="Times New Roman"/>
          <w:i/>
          <w:color w:val="000000" w:themeColor="text1"/>
          <w:sz w:val="28"/>
          <w:szCs w:val="28"/>
        </w:rPr>
        <w:t xml:space="preserve"> 2003/87/CE del Parlamento europeo e del Consiglio, nella parte in cui tale articolo 15, paragrafo 3, esclude la considerazione delle emissioni degli impianti di produzione di elettricità ai fini della determinazione del quantitativo massimo annuo di quote.</w:t>
      </w:r>
    </w:p>
    <w:p w:rsidR="007B4920" w:rsidRPr="00F235F7" w:rsidRDefault="007B4920" w:rsidP="007B4920">
      <w:pPr>
        <w:spacing w:line="240" w:lineRule="auto"/>
        <w:ind w:left="1416" w:firstLine="1"/>
        <w:contextualSpacing/>
        <w:jc w:val="both"/>
        <w:rPr>
          <w:rFonts w:ascii="Garamond" w:hAnsi="Garamond" w:cs="Times New Roman"/>
          <w:i/>
          <w:color w:val="000000" w:themeColor="text1"/>
          <w:sz w:val="28"/>
          <w:szCs w:val="28"/>
        </w:rPr>
      </w:pPr>
      <w:r w:rsidRPr="00F235F7">
        <w:rPr>
          <w:rFonts w:ascii="Garamond" w:hAnsi="Garamond" w:cs="Times New Roman"/>
          <w:i/>
          <w:color w:val="000000" w:themeColor="text1"/>
          <w:sz w:val="28"/>
          <w:szCs w:val="28"/>
        </w:rPr>
        <w:t xml:space="preserve">2)   L’articolo 4 e l’allegato II della decisione 2013/448/UE della Commissione, del 5 settembre 2013, </w:t>
      </w:r>
      <w:r>
        <w:rPr>
          <w:rFonts w:ascii="Garamond" w:hAnsi="Garamond" w:cs="Times New Roman"/>
          <w:i/>
          <w:color w:val="000000" w:themeColor="text1"/>
          <w:sz w:val="28"/>
          <w:szCs w:val="28"/>
        </w:rPr>
        <w:t>relativa</w:t>
      </w:r>
      <w:r w:rsidRPr="00F235F7">
        <w:rPr>
          <w:rFonts w:ascii="Garamond" w:hAnsi="Garamond" w:cs="Times New Roman"/>
          <w:i/>
          <w:color w:val="000000" w:themeColor="text1"/>
          <w:sz w:val="28"/>
          <w:szCs w:val="28"/>
        </w:rPr>
        <w:t xml:space="preserve"> alle misure nazionali di attuazione per l’assegnazione transitoria a titolo gratuito di quote di emissioni di gas a effetto serra ai sensi dell’articolo 11, paragrafo 3, della </w:t>
      </w:r>
      <w:r>
        <w:rPr>
          <w:rFonts w:ascii="Garamond" w:hAnsi="Garamond" w:cs="Times New Roman"/>
          <w:i/>
          <w:color w:val="000000" w:themeColor="text1"/>
          <w:sz w:val="28"/>
          <w:szCs w:val="28"/>
        </w:rPr>
        <w:t>direttiva</w:t>
      </w:r>
      <w:r w:rsidRPr="00F235F7">
        <w:rPr>
          <w:rFonts w:ascii="Garamond" w:hAnsi="Garamond" w:cs="Times New Roman"/>
          <w:i/>
          <w:color w:val="000000" w:themeColor="text1"/>
          <w:sz w:val="28"/>
          <w:szCs w:val="28"/>
        </w:rPr>
        <w:t xml:space="preserve"> 2003/87/CE del Parlamento europeo e del Consiglio, sono invalidi.</w:t>
      </w:r>
    </w:p>
    <w:p w:rsidR="007B4920" w:rsidRPr="00F235F7" w:rsidRDefault="007B4920" w:rsidP="007B4920">
      <w:pPr>
        <w:spacing w:line="240" w:lineRule="auto"/>
        <w:ind w:left="1416" w:firstLine="1"/>
        <w:contextualSpacing/>
        <w:jc w:val="both"/>
        <w:rPr>
          <w:rFonts w:ascii="Garamond" w:hAnsi="Garamond" w:cs="Times New Roman"/>
          <w:color w:val="000000" w:themeColor="text1"/>
          <w:sz w:val="28"/>
          <w:szCs w:val="28"/>
        </w:rPr>
      </w:pPr>
      <w:r w:rsidRPr="00F235F7">
        <w:rPr>
          <w:rFonts w:ascii="Garamond" w:hAnsi="Garamond" w:cs="Times New Roman"/>
          <w:i/>
          <w:color w:val="000000" w:themeColor="text1"/>
          <w:sz w:val="28"/>
          <w:szCs w:val="28"/>
        </w:rPr>
        <w:t>3)  Gli effetti della dichiarazione di invalidità dell’articolo 4 e dell’allegato II della decisione 2013/448 sono limitati nel tempo nel senso che, da un lato, tale dichiarazione produrrà effetti solo al termine di un periodo di dieci mesi a decorrere dalla data di pronuncia della presente sentenza, al fine di consentire alla Commissione europea di adottare le misure necessarie, e, dall’altro, le misure adottate entro tale termine sulla base delle disposizioni invalidate non potranno essere rimesse in discussione) (Corte giust. 28 aprile 2016, cause riunite C-191, 192, 295, 389, 391-393/14)</w:t>
      </w:r>
      <w:r w:rsidRPr="00F235F7">
        <w:rPr>
          <w:rFonts w:ascii="Garamond" w:hAnsi="Garamond" w:cs="Times New Roman"/>
          <w:color w:val="000000" w:themeColor="text1"/>
          <w:sz w:val="28"/>
          <w:szCs w:val="28"/>
        </w:rPr>
        <w:t>”.</w:t>
      </w:r>
    </w:p>
    <w:p w:rsidR="007B4920" w:rsidRPr="00F235F7" w:rsidRDefault="007B4920" w:rsidP="007B4920">
      <w:pPr>
        <w:spacing w:line="240" w:lineRule="auto"/>
        <w:ind w:left="1416" w:hanging="707"/>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b)</w:t>
      </w:r>
      <w:r>
        <w:rPr>
          <w:rFonts w:ascii="Garamond" w:hAnsi="Garamond" w:cs="Times New Roman"/>
          <w:color w:val="000000" w:themeColor="text1"/>
          <w:sz w:val="28"/>
          <w:szCs w:val="28"/>
        </w:rPr>
        <w:tab/>
        <w:t>è</w:t>
      </w:r>
      <w:r w:rsidRPr="00F235F7">
        <w:rPr>
          <w:rFonts w:ascii="Garamond" w:hAnsi="Garamond" w:cs="Times New Roman"/>
          <w:color w:val="000000" w:themeColor="text1"/>
          <w:sz w:val="28"/>
          <w:szCs w:val="28"/>
        </w:rPr>
        <w:t xml:space="preserve"> irricevibile ai sensi dell’art. 53, paragrafo 2, del regolamento di procedura la domanda di invio pregiudiziale avente ad oggetto i seguenti quesiti:</w:t>
      </w:r>
    </w:p>
    <w:p w:rsidR="007B4920" w:rsidRPr="00A456CE" w:rsidRDefault="007B4920" w:rsidP="007B4920">
      <w:pPr>
        <w:spacing w:line="240" w:lineRule="auto"/>
        <w:ind w:left="1416" w:firstLine="1"/>
        <w:contextualSpacing/>
        <w:jc w:val="both"/>
        <w:rPr>
          <w:rFonts w:ascii="Garamond" w:hAnsi="Garamond" w:cs="Times New Roman"/>
          <w:i/>
          <w:color w:val="000000" w:themeColor="text1"/>
          <w:sz w:val="28"/>
          <w:szCs w:val="28"/>
        </w:rPr>
      </w:pPr>
      <w:r w:rsidRPr="00F235F7">
        <w:rPr>
          <w:rFonts w:ascii="Garamond" w:hAnsi="Garamond" w:cs="Times New Roman"/>
          <w:color w:val="000000" w:themeColor="text1"/>
          <w:sz w:val="28"/>
          <w:szCs w:val="28"/>
        </w:rPr>
        <w:t>“</w:t>
      </w:r>
      <w:r w:rsidRPr="00A456CE">
        <w:rPr>
          <w:rFonts w:ascii="Garamond" w:hAnsi="Garamond" w:cs="Times New Roman"/>
          <w:i/>
          <w:color w:val="000000" w:themeColor="text1"/>
          <w:sz w:val="28"/>
          <w:szCs w:val="28"/>
        </w:rPr>
        <w:t xml:space="preserve">1) se la deliberazione assunta dal Comitato Nazionale per la Gestione della </w:t>
      </w:r>
      <w:r>
        <w:rPr>
          <w:rFonts w:ascii="Garamond" w:hAnsi="Garamond" w:cs="Times New Roman"/>
          <w:i/>
          <w:color w:val="000000" w:themeColor="text1"/>
          <w:sz w:val="28"/>
          <w:szCs w:val="28"/>
        </w:rPr>
        <w:t>Direttiva</w:t>
      </w:r>
      <w:r w:rsidRPr="00A456CE">
        <w:rPr>
          <w:rFonts w:ascii="Garamond" w:hAnsi="Garamond" w:cs="Times New Roman"/>
          <w:i/>
          <w:color w:val="000000" w:themeColor="text1"/>
          <w:sz w:val="28"/>
          <w:szCs w:val="28"/>
        </w:rPr>
        <w:t xml:space="preserve"> 2003/87/CE e per il Supporto nella Gestione delle Attività di Progetto del Protocollo di Kyoto, in considerazione della procedura di adozione e, in particolare, del meccanismo di interlocuzione con la Commissione europea previsto dal Regolamento delegato (UE) 2019/331 in merito all’inclusione degli impianti all’interno dell’elenco per l’assegnazione di quote CO2 possa formare oggetto di autonoma impugnazione innanzi al Tribunale dell’Unione europea ai sensi dell’art. 263, comma 4, TFUE laddove l’atto impugnato sia produttivo di effetti giuridici vincolanti e riguardi direttamente l’operatore economico ricorrente;</w:t>
      </w:r>
    </w:p>
    <w:p w:rsidR="007B4920" w:rsidRPr="00A456CE" w:rsidRDefault="007B4920" w:rsidP="007B4920">
      <w:pPr>
        <w:spacing w:line="240" w:lineRule="auto"/>
        <w:ind w:left="1416" w:firstLine="1"/>
        <w:contextualSpacing/>
        <w:jc w:val="both"/>
        <w:rPr>
          <w:rFonts w:ascii="Garamond" w:hAnsi="Garamond" w:cs="Times New Roman"/>
          <w:i/>
          <w:color w:val="000000" w:themeColor="text1"/>
          <w:sz w:val="28"/>
          <w:szCs w:val="28"/>
        </w:rPr>
      </w:pPr>
      <w:r w:rsidRPr="00A456CE">
        <w:rPr>
          <w:rFonts w:ascii="Garamond" w:hAnsi="Garamond" w:cs="Times New Roman"/>
          <w:i/>
          <w:color w:val="000000" w:themeColor="text1"/>
          <w:sz w:val="28"/>
          <w:szCs w:val="28"/>
        </w:rPr>
        <w:t xml:space="preserve">2) se, in caso contrario, possa il </w:t>
      </w:r>
      <w:r>
        <w:rPr>
          <w:rFonts w:ascii="Garamond" w:hAnsi="Garamond" w:cs="Times New Roman"/>
          <w:i/>
          <w:color w:val="000000" w:themeColor="text1"/>
          <w:sz w:val="28"/>
          <w:szCs w:val="28"/>
        </w:rPr>
        <w:t>privato</w:t>
      </w:r>
      <w:r w:rsidRPr="00A456CE">
        <w:rPr>
          <w:rFonts w:ascii="Garamond" w:hAnsi="Garamond" w:cs="Times New Roman"/>
          <w:i/>
          <w:color w:val="000000" w:themeColor="text1"/>
          <w:sz w:val="28"/>
          <w:szCs w:val="28"/>
        </w:rPr>
        <w:t xml:space="preserve"> operatore economico direttamente leso dall’esclusione dalle assegnazioni di quote CO2 sulla scorta dell’istruttoria condotta di concerto dalla Commissione europea e dal Comitato Nazionale per la Gestione della </w:t>
      </w:r>
      <w:r>
        <w:rPr>
          <w:rFonts w:ascii="Garamond" w:hAnsi="Garamond" w:cs="Times New Roman"/>
          <w:i/>
          <w:color w:val="000000" w:themeColor="text1"/>
          <w:sz w:val="28"/>
          <w:szCs w:val="28"/>
        </w:rPr>
        <w:t>Direttiva</w:t>
      </w:r>
      <w:r w:rsidRPr="00A456CE">
        <w:rPr>
          <w:rFonts w:ascii="Garamond" w:hAnsi="Garamond" w:cs="Times New Roman"/>
          <w:i/>
          <w:color w:val="000000" w:themeColor="text1"/>
          <w:sz w:val="28"/>
          <w:szCs w:val="28"/>
        </w:rPr>
        <w:t xml:space="preserve"> 2003/87/CE e per il Supporto nella Gestione delle Attività di Progetto del Protocollo di Kyoto impugnare la decisione assunta dalla Commissione europea di rifiutare l’inclusione dell’impianto nell’elenco ai sensi dell’art. 14 comma 4 del dal Regolamento delegato (UE) 2019/331 innanzi al Tribunale dell’Unione europea ai sensi dell’art. 263, comma 4, TFUE (2);</w:t>
      </w:r>
    </w:p>
    <w:p w:rsidR="007B4920" w:rsidRPr="00A456CE" w:rsidRDefault="007B4920" w:rsidP="007B4920">
      <w:pPr>
        <w:spacing w:line="240" w:lineRule="auto"/>
        <w:ind w:left="1416" w:firstLine="1"/>
        <w:contextualSpacing/>
        <w:jc w:val="both"/>
        <w:rPr>
          <w:rFonts w:ascii="Garamond" w:hAnsi="Garamond" w:cs="Times New Roman"/>
          <w:i/>
          <w:color w:val="000000" w:themeColor="text1"/>
          <w:sz w:val="28"/>
          <w:szCs w:val="28"/>
        </w:rPr>
      </w:pPr>
      <w:r w:rsidRPr="00A456CE">
        <w:rPr>
          <w:rFonts w:ascii="Garamond" w:hAnsi="Garamond" w:cs="Times New Roman"/>
          <w:i/>
          <w:color w:val="000000" w:themeColor="text1"/>
          <w:sz w:val="28"/>
          <w:szCs w:val="28"/>
        </w:rPr>
        <w:t xml:space="preserve">3) se la nozione di «impianto di produzione di elettricità» ai sensi dell’Articolo 3(u) della </w:t>
      </w:r>
      <w:r>
        <w:rPr>
          <w:rFonts w:ascii="Garamond" w:hAnsi="Garamond" w:cs="Times New Roman"/>
          <w:i/>
          <w:color w:val="000000" w:themeColor="text1"/>
          <w:sz w:val="28"/>
          <w:szCs w:val="28"/>
        </w:rPr>
        <w:t>Direttiva</w:t>
      </w:r>
      <w:r w:rsidRPr="00A456CE">
        <w:rPr>
          <w:rFonts w:ascii="Garamond" w:hAnsi="Garamond" w:cs="Times New Roman"/>
          <w:i/>
          <w:color w:val="000000" w:themeColor="text1"/>
          <w:sz w:val="28"/>
          <w:szCs w:val="28"/>
        </w:rPr>
        <w:t xml:space="preserve"> 2003/87/CE, come risultante dalla sentenza della Corte (Quinta Sezione) 20 giugno 2019, Nella causa C-682/17, ExxonMobil Production Deutschland GmbH contro Bundesrepublik Deutschland, avente ad oggetto la domanda di pronuncia pregiudiziale proposta alla Corte, ai sensi dell’articolo 267 TFUE, dal Verwaltungsgericht Berlin (Tribunale amministrativo di Berlino, Germania), con decisione del 28 novembre 2017, ricomprenda anche situazioni in cui l’impianto produca </w:t>
      </w:r>
      <w:r>
        <w:rPr>
          <w:rFonts w:ascii="Garamond" w:hAnsi="Garamond" w:cs="Times New Roman"/>
          <w:i/>
          <w:color w:val="000000" w:themeColor="text1"/>
          <w:sz w:val="28"/>
          <w:szCs w:val="28"/>
        </w:rPr>
        <w:t>energia</w:t>
      </w:r>
      <w:r w:rsidRPr="00A456CE">
        <w:rPr>
          <w:rFonts w:ascii="Garamond" w:hAnsi="Garamond" w:cs="Times New Roman"/>
          <w:i/>
          <w:color w:val="000000" w:themeColor="text1"/>
          <w:sz w:val="28"/>
          <w:szCs w:val="28"/>
        </w:rPr>
        <w:t xml:space="preserve"> che è interamente destinata all’autoconsumo, laddove se ne riversi nella rete pubblica in modo intermittente solo quando gli impianti destinati a ricevere l’</w:t>
      </w:r>
      <w:r>
        <w:rPr>
          <w:rFonts w:ascii="Garamond" w:hAnsi="Garamond" w:cs="Times New Roman"/>
          <w:i/>
          <w:color w:val="000000" w:themeColor="text1"/>
          <w:sz w:val="28"/>
          <w:szCs w:val="28"/>
        </w:rPr>
        <w:t>energia</w:t>
      </w:r>
      <w:r w:rsidRPr="00A456CE">
        <w:rPr>
          <w:rFonts w:ascii="Garamond" w:hAnsi="Garamond" w:cs="Times New Roman"/>
          <w:i/>
          <w:color w:val="000000" w:themeColor="text1"/>
          <w:sz w:val="28"/>
          <w:szCs w:val="28"/>
        </w:rPr>
        <w:t xml:space="preserve"> sono interrotti a garanzia del funzionamento dell’impianto ;</w:t>
      </w:r>
    </w:p>
    <w:p w:rsidR="007B4920" w:rsidRDefault="007B4920" w:rsidP="007B4920">
      <w:pPr>
        <w:spacing w:line="240" w:lineRule="auto"/>
        <w:ind w:left="1416" w:firstLine="1"/>
        <w:contextualSpacing/>
        <w:jc w:val="both"/>
        <w:rPr>
          <w:rFonts w:ascii="Garamond" w:hAnsi="Garamond" w:cs="Times New Roman"/>
          <w:color w:val="000000" w:themeColor="text1"/>
          <w:sz w:val="28"/>
          <w:szCs w:val="28"/>
        </w:rPr>
      </w:pPr>
      <w:r w:rsidRPr="00A456CE">
        <w:rPr>
          <w:rFonts w:ascii="Garamond" w:hAnsi="Garamond" w:cs="Times New Roman"/>
          <w:i/>
          <w:color w:val="000000" w:themeColor="text1"/>
          <w:sz w:val="28"/>
          <w:szCs w:val="28"/>
        </w:rPr>
        <w:t>4) se una tale interpretazione della definizione di «impianto di produzione di elettricità» sia compatibile con i principi generali di diritto dell’Unione del rispetto delle condizioni concorrenziali tra operatori in caso di concessione di incentivi e di proporzionalità della misura laddove non incent</w:t>
      </w:r>
      <w:r>
        <w:rPr>
          <w:rFonts w:ascii="Garamond" w:hAnsi="Garamond" w:cs="Times New Roman"/>
          <w:i/>
          <w:color w:val="000000" w:themeColor="text1"/>
          <w:sz w:val="28"/>
          <w:szCs w:val="28"/>
        </w:rPr>
        <w:t>iva</w:t>
      </w:r>
      <w:r w:rsidRPr="00A456CE">
        <w:rPr>
          <w:rFonts w:ascii="Garamond" w:hAnsi="Garamond" w:cs="Times New Roman"/>
          <w:i/>
          <w:color w:val="000000" w:themeColor="text1"/>
          <w:sz w:val="28"/>
          <w:szCs w:val="28"/>
        </w:rPr>
        <w:t xml:space="preserve"> l’autoconsumo di </w:t>
      </w:r>
      <w:r>
        <w:rPr>
          <w:rFonts w:ascii="Garamond" w:hAnsi="Garamond" w:cs="Times New Roman"/>
          <w:i/>
          <w:color w:val="000000" w:themeColor="text1"/>
          <w:sz w:val="28"/>
          <w:szCs w:val="28"/>
        </w:rPr>
        <w:t>energia</w:t>
      </w:r>
      <w:r w:rsidRPr="00A456CE">
        <w:rPr>
          <w:rFonts w:ascii="Garamond" w:hAnsi="Garamond" w:cs="Times New Roman"/>
          <w:i/>
          <w:color w:val="000000" w:themeColor="text1"/>
          <w:sz w:val="28"/>
          <w:szCs w:val="28"/>
        </w:rPr>
        <w:t xml:space="preserve"> elettrica attraverso il riconoscimento di quote di emissione CO2 gratuite per quegli impianti che ne facciano utilizzo</w:t>
      </w:r>
      <w:r>
        <w:rPr>
          <w:rFonts w:ascii="Garamond" w:hAnsi="Garamond" w:cs="Times New Roman"/>
          <w:color w:val="000000" w:themeColor="text1"/>
          <w:sz w:val="28"/>
          <w:szCs w:val="28"/>
        </w:rPr>
        <w:t>” [</w:t>
      </w:r>
      <w:r w:rsidRPr="00905980">
        <w:rPr>
          <w:rFonts w:ascii="Garamond" w:hAnsi="Garamond" w:cs="Times New Roman"/>
          <w:color w:val="000000" w:themeColor="text1"/>
          <w:sz w:val="28"/>
          <w:szCs w:val="28"/>
        </w:rPr>
        <w:t>Corte di giustizia UE, X sez., 1 marzo 2023</w:t>
      </w:r>
      <w:r>
        <w:rPr>
          <w:rFonts w:ascii="Garamond" w:hAnsi="Garamond" w:cs="Times New Roman"/>
          <w:color w:val="000000" w:themeColor="text1"/>
          <w:sz w:val="28"/>
          <w:szCs w:val="28"/>
        </w:rPr>
        <w:t>, relativa</w:t>
      </w:r>
      <w:r w:rsidRPr="00F235F7">
        <w:rPr>
          <w:rFonts w:ascii="Garamond" w:hAnsi="Garamond" w:cs="Times New Roman"/>
          <w:color w:val="000000" w:themeColor="text1"/>
          <w:sz w:val="28"/>
          <w:szCs w:val="28"/>
        </w:rPr>
        <w:t xml:space="preserve"> a </w:t>
      </w:r>
      <w:r>
        <w:rPr>
          <w:rFonts w:ascii="Garamond" w:hAnsi="Garamond" w:cs="Times New Roman"/>
          <w:color w:val="000000" w:themeColor="text1"/>
          <w:sz w:val="28"/>
          <w:szCs w:val="28"/>
        </w:rPr>
        <w:t xml:space="preserve">rinvio disposto dal </w:t>
      </w:r>
      <w:r w:rsidRPr="00F235F7">
        <w:rPr>
          <w:rFonts w:ascii="Garamond" w:hAnsi="Garamond" w:cs="Times New Roman"/>
          <w:color w:val="000000" w:themeColor="text1"/>
          <w:sz w:val="28"/>
          <w:szCs w:val="28"/>
        </w:rPr>
        <w:t>T</w:t>
      </w:r>
      <w:r>
        <w:rPr>
          <w:rFonts w:ascii="Garamond" w:hAnsi="Garamond" w:cs="Times New Roman"/>
          <w:color w:val="000000" w:themeColor="text1"/>
          <w:sz w:val="28"/>
          <w:szCs w:val="28"/>
        </w:rPr>
        <w:t>.</w:t>
      </w:r>
      <w:r w:rsidRPr="00F235F7">
        <w:rPr>
          <w:rFonts w:ascii="Garamond" w:hAnsi="Garamond" w:cs="Times New Roman"/>
          <w:color w:val="000000" w:themeColor="text1"/>
          <w:sz w:val="28"/>
          <w:szCs w:val="28"/>
        </w:rPr>
        <w:t>a</w:t>
      </w:r>
      <w:r>
        <w:rPr>
          <w:rFonts w:ascii="Garamond" w:hAnsi="Garamond" w:cs="Times New Roman"/>
          <w:color w:val="000000" w:themeColor="text1"/>
          <w:sz w:val="28"/>
          <w:szCs w:val="28"/>
        </w:rPr>
        <w:t>.</w:t>
      </w:r>
      <w:r w:rsidRPr="00F235F7">
        <w:rPr>
          <w:rFonts w:ascii="Garamond" w:hAnsi="Garamond" w:cs="Times New Roman"/>
          <w:color w:val="000000" w:themeColor="text1"/>
          <w:sz w:val="28"/>
          <w:szCs w:val="28"/>
        </w:rPr>
        <w:t>r</w:t>
      </w:r>
      <w:r>
        <w:rPr>
          <w:rFonts w:ascii="Garamond" w:hAnsi="Garamond" w:cs="Times New Roman"/>
          <w:color w:val="000000" w:themeColor="text1"/>
          <w:sz w:val="28"/>
          <w:szCs w:val="28"/>
        </w:rPr>
        <w:t>.</w:t>
      </w:r>
      <w:r w:rsidRPr="00F235F7">
        <w:rPr>
          <w:rFonts w:ascii="Garamond" w:hAnsi="Garamond" w:cs="Times New Roman"/>
          <w:color w:val="000000" w:themeColor="text1"/>
          <w:sz w:val="28"/>
          <w:szCs w:val="28"/>
        </w:rPr>
        <w:t xml:space="preserve"> per il Lazio, sez. II </w:t>
      </w:r>
      <w:r w:rsidRPr="007D5EA9">
        <w:rPr>
          <w:rFonts w:ascii="Garamond" w:hAnsi="Garamond" w:cs="Times New Roman"/>
          <w:i/>
          <w:color w:val="000000" w:themeColor="text1"/>
          <w:sz w:val="28"/>
          <w:szCs w:val="28"/>
        </w:rPr>
        <w:t>bis</w:t>
      </w:r>
      <w:r w:rsidRPr="00F235F7">
        <w:rPr>
          <w:rFonts w:ascii="Garamond" w:hAnsi="Garamond" w:cs="Times New Roman"/>
          <w:color w:val="000000" w:themeColor="text1"/>
          <w:sz w:val="28"/>
          <w:szCs w:val="28"/>
        </w:rPr>
        <w:t xml:space="preserve"> n.</w:t>
      </w:r>
      <w:r>
        <w:rPr>
          <w:rFonts w:ascii="Garamond" w:hAnsi="Garamond" w:cs="Times New Roman"/>
          <w:color w:val="000000" w:themeColor="text1"/>
          <w:sz w:val="28"/>
          <w:szCs w:val="28"/>
        </w:rPr>
        <w:t xml:space="preserve"> </w:t>
      </w:r>
      <w:r w:rsidRPr="00F235F7">
        <w:rPr>
          <w:rFonts w:ascii="Garamond" w:hAnsi="Garamond" w:cs="Times New Roman"/>
          <w:color w:val="000000" w:themeColor="text1"/>
          <w:sz w:val="28"/>
          <w:szCs w:val="28"/>
        </w:rPr>
        <w:t xml:space="preserve">836 del 2022; la Corte dopo avere richiamato la </w:t>
      </w:r>
      <w:r>
        <w:rPr>
          <w:rFonts w:ascii="Garamond" w:hAnsi="Garamond" w:cs="Times New Roman"/>
          <w:color w:val="000000" w:themeColor="text1"/>
          <w:sz w:val="28"/>
          <w:szCs w:val="28"/>
        </w:rPr>
        <w:t>normativa</w:t>
      </w:r>
      <w:r w:rsidRPr="00F235F7">
        <w:rPr>
          <w:rFonts w:ascii="Garamond" w:hAnsi="Garamond" w:cs="Times New Roman"/>
          <w:color w:val="000000" w:themeColor="text1"/>
          <w:sz w:val="28"/>
          <w:szCs w:val="28"/>
        </w:rPr>
        <w:t xml:space="preserve"> rilevante della </w:t>
      </w:r>
      <w:r>
        <w:rPr>
          <w:rFonts w:ascii="Garamond" w:hAnsi="Garamond" w:cs="Times New Roman"/>
          <w:color w:val="000000" w:themeColor="text1"/>
          <w:sz w:val="28"/>
          <w:szCs w:val="28"/>
        </w:rPr>
        <w:t>direttiva</w:t>
      </w:r>
      <w:r w:rsidRPr="00F235F7">
        <w:rPr>
          <w:rFonts w:ascii="Garamond" w:hAnsi="Garamond" w:cs="Times New Roman"/>
          <w:color w:val="000000" w:themeColor="text1"/>
          <w:sz w:val="28"/>
          <w:szCs w:val="28"/>
        </w:rPr>
        <w:t xml:space="preserve"> 2003/87 ed avere premesso che la  ricorrente di cui al procedimento principale è una società operante nel campo della produzione ecosostenibile, la quale realizza pannelli truciolari con il 100% di legno riciclato, gestendo un impianto situato a Sustinente (Italia),  rientrante nell’ambito di applicazione del sistema di scambio di quote di emissioni di gas e  qualificato dal comitato ETS quale «impianto di produzione di elettricità», ai sensi dell’articolo 3, lettera u), della </w:t>
      </w:r>
      <w:r>
        <w:rPr>
          <w:rFonts w:ascii="Garamond" w:hAnsi="Garamond" w:cs="Times New Roman"/>
          <w:color w:val="000000" w:themeColor="text1"/>
          <w:sz w:val="28"/>
          <w:szCs w:val="28"/>
        </w:rPr>
        <w:t>direttiva</w:t>
      </w:r>
      <w:r w:rsidRPr="00F235F7">
        <w:rPr>
          <w:rFonts w:ascii="Garamond" w:hAnsi="Garamond" w:cs="Times New Roman"/>
          <w:color w:val="000000" w:themeColor="text1"/>
          <w:sz w:val="28"/>
          <w:szCs w:val="28"/>
        </w:rPr>
        <w:t xml:space="preserve"> 2003/87, e pertanto non  idoneo a beneficiare delle quote di emissioni a titolo gratuito nell’ambito del sistema di scambio di quote di emissioni di gas a </w:t>
      </w:r>
      <w:r w:rsidRPr="00F235F7">
        <w:rPr>
          <w:rFonts w:ascii="Garamond" w:hAnsi="Garamond" w:cs="Times New Roman"/>
          <w:color w:val="000000" w:themeColor="text1"/>
          <w:sz w:val="28"/>
          <w:szCs w:val="28"/>
        </w:rPr>
        <w:lastRenderedPageBreak/>
        <w:t xml:space="preserve">effetto serra stabilito da tale </w:t>
      </w:r>
      <w:r>
        <w:rPr>
          <w:rFonts w:ascii="Garamond" w:hAnsi="Garamond" w:cs="Times New Roman"/>
          <w:color w:val="000000" w:themeColor="text1"/>
          <w:sz w:val="28"/>
          <w:szCs w:val="28"/>
        </w:rPr>
        <w:t>direttiva</w:t>
      </w:r>
      <w:r w:rsidRPr="00F235F7">
        <w:rPr>
          <w:rFonts w:ascii="Garamond" w:hAnsi="Garamond" w:cs="Times New Roman"/>
          <w:color w:val="000000" w:themeColor="text1"/>
          <w:sz w:val="28"/>
          <w:szCs w:val="28"/>
        </w:rPr>
        <w:t xml:space="preserve">,  ha ritenuto irricevibile la domanda di rinvio pregiudiziale ai sensi dell’art. 53, paragrafo 2, del regolamento di procedura,  non rispettando la decisione di rinvio i requisiti fissati, </w:t>
      </w:r>
      <w:r>
        <w:rPr>
          <w:rFonts w:ascii="Garamond" w:hAnsi="Garamond" w:cs="Times New Roman"/>
          <w:color w:val="000000" w:themeColor="text1"/>
          <w:sz w:val="28"/>
          <w:szCs w:val="28"/>
        </w:rPr>
        <w:t>rispettivamente</w:t>
      </w:r>
      <w:r w:rsidRPr="00F235F7">
        <w:rPr>
          <w:rFonts w:ascii="Garamond" w:hAnsi="Garamond" w:cs="Times New Roman"/>
          <w:color w:val="000000" w:themeColor="text1"/>
          <w:sz w:val="28"/>
          <w:szCs w:val="28"/>
        </w:rPr>
        <w:t>, alla lettera a) e alla lettera c) dell’articolo 94 del regolamento di procedura</w:t>
      </w:r>
      <w:r>
        <w:rPr>
          <w:rFonts w:ascii="Garamond" w:hAnsi="Garamond" w:cs="Times New Roman"/>
          <w:color w:val="000000" w:themeColor="text1"/>
          <w:sz w:val="28"/>
          <w:szCs w:val="28"/>
        </w:rPr>
        <w:t>]</w:t>
      </w:r>
      <w:r w:rsidRPr="00F235F7">
        <w:rPr>
          <w:rFonts w:ascii="Garamond" w:hAnsi="Garamond" w:cs="Times New Roman"/>
          <w:color w:val="000000" w:themeColor="text1"/>
          <w:sz w:val="28"/>
          <w:szCs w:val="28"/>
        </w:rPr>
        <w:t>.</w:t>
      </w:r>
    </w:p>
    <w:p w:rsidR="007B4920" w:rsidRPr="00096E4F" w:rsidRDefault="007B4920" w:rsidP="007B4920">
      <w:pPr>
        <w:spacing w:line="240" w:lineRule="auto"/>
        <w:ind w:firstLine="709"/>
        <w:contextualSpacing/>
        <w:jc w:val="both"/>
        <w:rPr>
          <w:rFonts w:ascii="Garamond" w:hAnsi="Garamond" w:cs="Times New Roman"/>
          <w:color w:val="000000" w:themeColor="text1"/>
          <w:sz w:val="28"/>
          <w:szCs w:val="28"/>
        </w:rPr>
      </w:pPr>
      <w:r w:rsidRPr="00096E4F">
        <w:rPr>
          <w:rFonts w:ascii="Garamond" w:hAnsi="Garamond" w:cs="Times New Roman"/>
          <w:color w:val="000000" w:themeColor="text1"/>
          <w:sz w:val="28"/>
          <w:szCs w:val="28"/>
        </w:rPr>
        <w:t xml:space="preserve">Secondo la Corte di </w:t>
      </w:r>
      <w:r>
        <w:rPr>
          <w:rFonts w:ascii="Garamond" w:hAnsi="Garamond" w:cs="Times New Roman"/>
          <w:color w:val="000000" w:themeColor="text1"/>
          <w:sz w:val="28"/>
          <w:szCs w:val="28"/>
        </w:rPr>
        <w:t>c</w:t>
      </w:r>
      <w:r w:rsidRPr="00096E4F">
        <w:rPr>
          <w:rFonts w:ascii="Garamond" w:hAnsi="Garamond" w:cs="Times New Roman"/>
          <w:color w:val="000000" w:themeColor="text1"/>
          <w:sz w:val="28"/>
          <w:szCs w:val="28"/>
        </w:rPr>
        <w:t>assazione:</w:t>
      </w:r>
    </w:p>
    <w:p w:rsidR="007B4920" w:rsidRDefault="007B4920" w:rsidP="007B4920">
      <w:pPr>
        <w:pStyle w:val="Paragrafoelenco"/>
        <w:numPr>
          <w:ilvl w:val="0"/>
          <w:numId w:val="12"/>
        </w:numPr>
        <w:spacing w:line="240" w:lineRule="auto"/>
        <w:jc w:val="both"/>
        <w:rPr>
          <w:rFonts w:ascii="Garamond" w:hAnsi="Garamond" w:cs="Times New Roman"/>
          <w:color w:val="000000" w:themeColor="text1"/>
          <w:sz w:val="28"/>
          <w:szCs w:val="28"/>
        </w:rPr>
      </w:pPr>
      <w:r w:rsidRPr="007D5EA9">
        <w:rPr>
          <w:rFonts w:ascii="Garamond" w:hAnsi="Garamond" w:cs="Times New Roman"/>
          <w:color w:val="000000" w:themeColor="text1"/>
          <w:sz w:val="28"/>
          <w:szCs w:val="28"/>
        </w:rPr>
        <w:t xml:space="preserve">il certificato CO2 rappresenta quote di emissioni e si traduce in un'autorizzazione dello Stato o delle autorità pubbliche ad emettere gas ad effetto serra per un periodo determinato;  </w:t>
      </w:r>
    </w:p>
    <w:p w:rsidR="007B4920" w:rsidRPr="007D5EA9" w:rsidRDefault="007B4920" w:rsidP="007B4920">
      <w:pPr>
        <w:pStyle w:val="Paragrafoelenco"/>
        <w:numPr>
          <w:ilvl w:val="0"/>
          <w:numId w:val="12"/>
        </w:numPr>
        <w:spacing w:line="240" w:lineRule="auto"/>
        <w:jc w:val="both"/>
        <w:rPr>
          <w:rFonts w:ascii="Garamond" w:hAnsi="Garamond" w:cs="Times New Roman"/>
          <w:color w:val="000000" w:themeColor="text1"/>
          <w:sz w:val="28"/>
          <w:szCs w:val="28"/>
        </w:rPr>
      </w:pPr>
      <w:r w:rsidRPr="007D5EA9">
        <w:rPr>
          <w:rFonts w:ascii="Garamond" w:hAnsi="Garamond" w:cs="Times New Roman"/>
          <w:color w:val="000000" w:themeColor="text1"/>
          <w:sz w:val="28"/>
          <w:szCs w:val="28"/>
        </w:rPr>
        <w:t xml:space="preserve">tale certificato non ha natura di titolo di credito, poiché non conferisce il diritto ad una specifica prestazione collegabile a un rapporto obbligatorio, né ne è determinabile il valore economico, destinato ad emergere solo nel corso della negoziazione, ma va qualificato come bene immateriale, sicché la </w:t>
      </w:r>
      <w:r>
        <w:rPr>
          <w:rFonts w:ascii="Garamond" w:hAnsi="Garamond" w:cs="Times New Roman"/>
          <w:color w:val="000000" w:themeColor="text1"/>
          <w:sz w:val="28"/>
          <w:szCs w:val="28"/>
        </w:rPr>
        <w:t>relativa</w:t>
      </w:r>
      <w:r w:rsidRPr="007D5EA9">
        <w:rPr>
          <w:rFonts w:ascii="Garamond" w:hAnsi="Garamond" w:cs="Times New Roman"/>
          <w:color w:val="000000" w:themeColor="text1"/>
          <w:sz w:val="28"/>
          <w:szCs w:val="28"/>
        </w:rPr>
        <w:t xml:space="preserve"> cessione è assimilata ad una prestazione di servizi che, di conseguenza, sconta l'aliquota ordinaria dell'</w:t>
      </w:r>
      <w:r>
        <w:rPr>
          <w:rFonts w:ascii="Garamond" w:hAnsi="Garamond" w:cs="Times New Roman"/>
          <w:color w:val="000000" w:themeColor="text1"/>
          <w:sz w:val="28"/>
          <w:szCs w:val="28"/>
        </w:rPr>
        <w:t>IVA</w:t>
      </w:r>
      <w:r w:rsidRPr="007D5EA9">
        <w:rPr>
          <w:rFonts w:ascii="Garamond" w:hAnsi="Garamond" w:cs="Times New Roman"/>
          <w:color w:val="000000" w:themeColor="text1"/>
          <w:sz w:val="28"/>
          <w:szCs w:val="28"/>
        </w:rPr>
        <w:t xml:space="preserve"> [Cass. </w:t>
      </w:r>
      <w:r w:rsidRPr="00A75C8B">
        <w:rPr>
          <w:rFonts w:ascii="Garamond" w:hAnsi="Garamond" w:cs="Times New Roman"/>
          <w:color w:val="000000" w:themeColor="text1"/>
          <w:sz w:val="28"/>
          <w:szCs w:val="28"/>
        </w:rPr>
        <w:t>civ.</w:t>
      </w:r>
      <w:r w:rsidRPr="007D5EA9">
        <w:rPr>
          <w:rFonts w:ascii="Garamond" w:hAnsi="Garamond" w:cs="Times New Roman"/>
          <w:color w:val="000000" w:themeColor="text1"/>
          <w:sz w:val="28"/>
          <w:szCs w:val="28"/>
        </w:rPr>
        <w:t>, sez. trib., n. 25492 del 2022 che passa in rassegna le possibili opzioni d'inquadramento dei certificati CO2, per poi qualificarli come beni immateriali (</w:t>
      </w:r>
      <w:r w:rsidRPr="007D5EA9">
        <w:rPr>
          <w:rFonts w:ascii="Garamond" w:hAnsi="Garamond" w:cs="Times New Roman"/>
          <w:i/>
          <w:color w:val="000000" w:themeColor="text1"/>
          <w:sz w:val="28"/>
          <w:szCs w:val="28"/>
        </w:rPr>
        <w:t>rect</w:t>
      </w:r>
      <w:r w:rsidRPr="007D5EA9">
        <w:rPr>
          <w:rFonts w:ascii="Garamond" w:hAnsi="Garamond" w:cs="Times New Roman"/>
          <w:color w:val="000000" w:themeColor="text1"/>
          <w:sz w:val="28"/>
          <w:szCs w:val="28"/>
        </w:rPr>
        <w:t xml:space="preserve">e, come bene similare), oggetto, ai fini </w:t>
      </w:r>
      <w:r>
        <w:rPr>
          <w:rFonts w:ascii="Garamond" w:hAnsi="Garamond" w:cs="Times New Roman"/>
          <w:color w:val="000000" w:themeColor="text1"/>
          <w:sz w:val="28"/>
          <w:szCs w:val="28"/>
        </w:rPr>
        <w:t>IVA</w:t>
      </w:r>
      <w:r w:rsidRPr="007D5EA9">
        <w:rPr>
          <w:rFonts w:ascii="Garamond" w:hAnsi="Garamond" w:cs="Times New Roman"/>
          <w:color w:val="000000" w:themeColor="text1"/>
          <w:sz w:val="28"/>
          <w:szCs w:val="28"/>
        </w:rPr>
        <w:t xml:space="preserve">, di prestazioni di servizi, le quali per conseguenza scontano l'aliquota ordinaria dell'imposta: in termini, nella giurisprudenza unionale, Corte giust. 8 dicembre 2016, causa C-453/15,  citata in </w:t>
      </w:r>
      <w:r>
        <w:rPr>
          <w:rFonts w:ascii="Garamond" w:hAnsi="Garamond" w:cs="Times New Roman"/>
          <w:color w:val="000000" w:themeColor="text1"/>
          <w:sz w:val="28"/>
          <w:szCs w:val="28"/>
        </w:rPr>
        <w:t>motivazione</w:t>
      </w:r>
      <w:r w:rsidRPr="007D5EA9">
        <w:rPr>
          <w:rFonts w:ascii="Garamond" w:hAnsi="Garamond" w:cs="Times New Roman"/>
          <w:color w:val="000000" w:themeColor="text1"/>
          <w:sz w:val="28"/>
          <w:szCs w:val="28"/>
        </w:rPr>
        <w:t xml:space="preserve">, secondo cui l'art. 56, par. 1, lett. a), della </w:t>
      </w:r>
      <w:r>
        <w:rPr>
          <w:rFonts w:ascii="Garamond" w:hAnsi="Garamond" w:cs="Times New Roman"/>
          <w:color w:val="000000" w:themeColor="text1"/>
          <w:sz w:val="28"/>
          <w:szCs w:val="28"/>
        </w:rPr>
        <w:t>direttiva</w:t>
      </w:r>
      <w:r w:rsidRPr="007D5EA9">
        <w:rPr>
          <w:rFonts w:ascii="Garamond" w:hAnsi="Garamond" w:cs="Times New Roman"/>
          <w:color w:val="000000" w:themeColor="text1"/>
          <w:sz w:val="28"/>
          <w:szCs w:val="28"/>
        </w:rPr>
        <w:t xml:space="preserve"> 2006/112/Ce del consiglio, del 28 novembre 2006, </w:t>
      </w:r>
      <w:r>
        <w:rPr>
          <w:rFonts w:ascii="Garamond" w:hAnsi="Garamond" w:cs="Times New Roman"/>
          <w:color w:val="000000" w:themeColor="text1"/>
          <w:sz w:val="28"/>
          <w:szCs w:val="28"/>
        </w:rPr>
        <w:t>relativa</w:t>
      </w:r>
      <w:r w:rsidRPr="007D5EA9">
        <w:rPr>
          <w:rFonts w:ascii="Garamond" w:hAnsi="Garamond" w:cs="Times New Roman"/>
          <w:color w:val="000000" w:themeColor="text1"/>
          <w:sz w:val="28"/>
          <w:szCs w:val="28"/>
        </w:rPr>
        <w:t xml:space="preserve"> al sistema comune d'</w:t>
      </w:r>
      <w:r>
        <w:rPr>
          <w:rFonts w:ascii="Garamond" w:hAnsi="Garamond" w:cs="Times New Roman"/>
          <w:color w:val="000000" w:themeColor="text1"/>
          <w:sz w:val="28"/>
          <w:szCs w:val="28"/>
        </w:rPr>
        <w:t>IVA</w:t>
      </w:r>
      <w:r w:rsidRPr="007D5EA9">
        <w:rPr>
          <w:rFonts w:ascii="Garamond" w:hAnsi="Garamond" w:cs="Times New Roman"/>
          <w:color w:val="000000" w:themeColor="text1"/>
          <w:sz w:val="28"/>
          <w:szCs w:val="28"/>
        </w:rPr>
        <w:t xml:space="preserve">, dev’essere interpretato nel senso che gli «altri diritti analoghi» di cui a tale disposizione includono le quote di emissione di gas a effetto serra definite all'art. 3, lett. a), della </w:t>
      </w:r>
      <w:r>
        <w:rPr>
          <w:rFonts w:ascii="Garamond" w:hAnsi="Garamond" w:cs="Times New Roman"/>
          <w:color w:val="000000" w:themeColor="text1"/>
          <w:sz w:val="28"/>
          <w:szCs w:val="28"/>
        </w:rPr>
        <w:t>direttiva</w:t>
      </w:r>
      <w:r w:rsidRPr="007D5EA9">
        <w:rPr>
          <w:rFonts w:ascii="Garamond" w:hAnsi="Garamond" w:cs="Times New Roman"/>
          <w:color w:val="000000" w:themeColor="text1"/>
          <w:sz w:val="28"/>
          <w:szCs w:val="28"/>
        </w:rPr>
        <w:t xml:space="preserve"> 2003/87/Ce del parlamento europeo e del consiglio, del 13 ottobre 2003, che istituisce un sistema per lo scambio di quote di emissioni dei gas a effetto serra nella comunità e che modifica la </w:t>
      </w:r>
      <w:r>
        <w:rPr>
          <w:rFonts w:ascii="Garamond" w:hAnsi="Garamond" w:cs="Times New Roman"/>
          <w:color w:val="000000" w:themeColor="text1"/>
          <w:sz w:val="28"/>
          <w:szCs w:val="28"/>
        </w:rPr>
        <w:t>direttiva</w:t>
      </w:r>
      <w:r w:rsidRPr="007D5EA9">
        <w:rPr>
          <w:rFonts w:ascii="Garamond" w:hAnsi="Garamond" w:cs="Times New Roman"/>
          <w:color w:val="000000" w:themeColor="text1"/>
          <w:sz w:val="28"/>
          <w:szCs w:val="28"/>
        </w:rPr>
        <w:t xml:space="preserve"> 96/61/Ce del consiglio. Al fine, poi, di escludere la rilevanza sul tema trattato della </w:t>
      </w:r>
      <w:r>
        <w:rPr>
          <w:rFonts w:ascii="Garamond" w:hAnsi="Garamond" w:cs="Times New Roman"/>
          <w:color w:val="000000" w:themeColor="text1"/>
          <w:sz w:val="28"/>
          <w:szCs w:val="28"/>
        </w:rPr>
        <w:t>direttiva</w:t>
      </w:r>
      <w:r w:rsidRPr="007D5EA9">
        <w:rPr>
          <w:rFonts w:ascii="Garamond" w:hAnsi="Garamond" w:cs="Times New Roman"/>
          <w:color w:val="000000" w:themeColor="text1"/>
          <w:sz w:val="28"/>
          <w:szCs w:val="28"/>
        </w:rPr>
        <w:t xml:space="preserve"> 2014/65/Ue (</w:t>
      </w:r>
      <w:r>
        <w:rPr>
          <w:rFonts w:ascii="Garamond" w:hAnsi="Garamond" w:cs="Times New Roman"/>
          <w:color w:val="000000" w:themeColor="text1"/>
          <w:sz w:val="28"/>
          <w:szCs w:val="28"/>
        </w:rPr>
        <w:t>direttiva</w:t>
      </w:r>
      <w:r w:rsidRPr="007D5EA9">
        <w:rPr>
          <w:rFonts w:ascii="Garamond" w:hAnsi="Garamond" w:cs="Times New Roman"/>
          <w:color w:val="000000" w:themeColor="text1"/>
          <w:sz w:val="28"/>
          <w:szCs w:val="28"/>
        </w:rPr>
        <w:t xml:space="preserve"> MiFID II), la corte fa leva sulle linee guida espresse dal comitato consultivo </w:t>
      </w:r>
      <w:r>
        <w:rPr>
          <w:rFonts w:ascii="Garamond" w:hAnsi="Garamond" w:cs="Times New Roman"/>
          <w:color w:val="000000" w:themeColor="text1"/>
          <w:sz w:val="28"/>
          <w:szCs w:val="28"/>
        </w:rPr>
        <w:t>IVA</w:t>
      </w:r>
      <w:r w:rsidRPr="007D5EA9">
        <w:rPr>
          <w:rFonts w:ascii="Garamond" w:hAnsi="Garamond" w:cs="Times New Roman"/>
          <w:color w:val="000000" w:themeColor="text1"/>
          <w:sz w:val="28"/>
          <w:szCs w:val="28"/>
        </w:rPr>
        <w:t xml:space="preserve"> nel corso della riunione dell'8 luglio 2016 (</w:t>
      </w:r>
      <w:r w:rsidRPr="00A605C2">
        <w:rPr>
          <w:rFonts w:ascii="Garamond" w:hAnsi="Garamond" w:cs="Times New Roman"/>
          <w:i/>
          <w:color w:val="000000" w:themeColor="text1"/>
          <w:sz w:val="28"/>
          <w:szCs w:val="28"/>
        </w:rPr>
        <w:t>taxud</w:t>
      </w:r>
      <w:r w:rsidRPr="007D5EA9">
        <w:rPr>
          <w:rFonts w:ascii="Garamond" w:hAnsi="Garamond" w:cs="Times New Roman"/>
          <w:color w:val="000000" w:themeColor="text1"/>
          <w:sz w:val="28"/>
          <w:szCs w:val="28"/>
        </w:rPr>
        <w:t xml:space="preserve"> c.1 20166526943-910), secondo cui la definizione delle quote di emissione introdotte dalla </w:t>
      </w:r>
      <w:r>
        <w:rPr>
          <w:rFonts w:ascii="Garamond" w:hAnsi="Garamond" w:cs="Times New Roman"/>
          <w:color w:val="000000" w:themeColor="text1"/>
          <w:sz w:val="28"/>
          <w:szCs w:val="28"/>
        </w:rPr>
        <w:t>direttiva</w:t>
      </w:r>
      <w:r w:rsidRPr="007D5EA9">
        <w:rPr>
          <w:rFonts w:ascii="Garamond" w:hAnsi="Garamond" w:cs="Times New Roman"/>
          <w:color w:val="000000" w:themeColor="text1"/>
          <w:sz w:val="28"/>
          <w:szCs w:val="28"/>
        </w:rPr>
        <w:t xml:space="preserve"> 2003/87/Ce come strumenti finanziari alla luce della </w:t>
      </w:r>
      <w:r>
        <w:rPr>
          <w:rFonts w:ascii="Garamond" w:hAnsi="Garamond" w:cs="Times New Roman"/>
          <w:color w:val="000000" w:themeColor="text1"/>
          <w:sz w:val="28"/>
          <w:szCs w:val="28"/>
        </w:rPr>
        <w:t>direttiva</w:t>
      </w:r>
      <w:r w:rsidRPr="007D5EA9">
        <w:rPr>
          <w:rFonts w:ascii="Garamond" w:hAnsi="Garamond" w:cs="Times New Roman"/>
          <w:color w:val="000000" w:themeColor="text1"/>
          <w:sz w:val="28"/>
          <w:szCs w:val="28"/>
        </w:rPr>
        <w:t xml:space="preserve"> MiFID II non influenza la disciplina </w:t>
      </w:r>
      <w:r>
        <w:rPr>
          <w:rFonts w:ascii="Garamond" w:hAnsi="Garamond" w:cs="Times New Roman"/>
          <w:color w:val="000000" w:themeColor="text1"/>
          <w:sz w:val="28"/>
          <w:szCs w:val="28"/>
        </w:rPr>
        <w:t>IVA</w:t>
      </w:r>
      <w:r w:rsidRPr="007D5EA9">
        <w:rPr>
          <w:rFonts w:ascii="Garamond" w:hAnsi="Garamond" w:cs="Times New Roman"/>
          <w:color w:val="000000" w:themeColor="text1"/>
          <w:sz w:val="28"/>
          <w:szCs w:val="28"/>
        </w:rPr>
        <w:t xml:space="preserve"> a essi applicabile e, pertanto, non comporta l'applicazione delle disposizioni </w:t>
      </w:r>
      <w:r>
        <w:rPr>
          <w:rFonts w:ascii="Garamond" w:hAnsi="Garamond" w:cs="Times New Roman"/>
          <w:color w:val="000000" w:themeColor="text1"/>
          <w:sz w:val="28"/>
          <w:szCs w:val="28"/>
        </w:rPr>
        <w:t>IVA</w:t>
      </w:r>
      <w:r w:rsidRPr="007D5EA9">
        <w:rPr>
          <w:rFonts w:ascii="Garamond" w:hAnsi="Garamond" w:cs="Times New Roman"/>
          <w:color w:val="000000" w:themeColor="text1"/>
          <w:sz w:val="28"/>
          <w:szCs w:val="28"/>
        </w:rPr>
        <w:t xml:space="preserve"> previste per gli strumenti finanziari].</w:t>
      </w:r>
    </w:p>
    <w:p w:rsidR="007B4920" w:rsidRPr="003F1B70" w:rsidRDefault="007B4920" w:rsidP="007B4920">
      <w:pPr>
        <w:spacing w:line="240" w:lineRule="auto"/>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3.3</w:t>
      </w:r>
      <w:r w:rsidRPr="00A75C8B">
        <w:rPr>
          <w:rFonts w:ascii="Garamond" w:hAnsi="Garamond" w:cs="Times New Roman"/>
          <w:b/>
          <w:color w:val="000000" w:themeColor="text1"/>
          <w:sz w:val="28"/>
          <w:szCs w:val="28"/>
        </w:rPr>
        <w:t>. Cenni sulla nuova disciplina del 2023.</w:t>
      </w:r>
      <w:r w:rsidRPr="003F1B70">
        <w:rPr>
          <w:rFonts w:ascii="Garamond" w:hAnsi="Garamond" w:cs="Times New Roman"/>
          <w:b/>
          <w:color w:val="000000" w:themeColor="text1"/>
          <w:sz w:val="28"/>
          <w:szCs w:val="28"/>
        </w:rPr>
        <w:t xml:space="preserve">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C014B7">
        <w:rPr>
          <w:rFonts w:ascii="Garamond" w:hAnsi="Garamond" w:cs="Times New Roman"/>
          <w:color w:val="000000" w:themeColor="text1"/>
          <w:sz w:val="28"/>
          <w:szCs w:val="28"/>
        </w:rPr>
        <w:t xml:space="preserve">La </w:t>
      </w:r>
      <w:r>
        <w:rPr>
          <w:rFonts w:ascii="Garamond" w:hAnsi="Garamond" w:cs="Times New Roman"/>
          <w:color w:val="000000" w:themeColor="text1"/>
          <w:sz w:val="28"/>
          <w:szCs w:val="28"/>
        </w:rPr>
        <w:t>direttiva</w:t>
      </w:r>
      <w:r w:rsidRPr="00C014B7">
        <w:rPr>
          <w:rFonts w:ascii="Garamond" w:hAnsi="Garamond" w:cs="Times New Roman"/>
          <w:color w:val="000000" w:themeColor="text1"/>
          <w:sz w:val="28"/>
          <w:szCs w:val="28"/>
        </w:rPr>
        <w:t xml:space="preserve"> 2003/87/CE è stata di recente modificata dalla </w:t>
      </w:r>
      <w:r>
        <w:rPr>
          <w:rFonts w:ascii="Garamond" w:hAnsi="Garamond" w:cs="Times New Roman"/>
          <w:color w:val="000000" w:themeColor="text1"/>
          <w:sz w:val="28"/>
          <w:szCs w:val="28"/>
        </w:rPr>
        <w:t>direttiva</w:t>
      </w:r>
      <w:r w:rsidRPr="00C014B7">
        <w:rPr>
          <w:rFonts w:ascii="Garamond" w:hAnsi="Garamond" w:cs="Times New Roman"/>
          <w:color w:val="000000" w:themeColor="text1"/>
          <w:sz w:val="28"/>
          <w:szCs w:val="28"/>
        </w:rPr>
        <w:t xml:space="preserve"> (UE) </w:t>
      </w:r>
      <w:r w:rsidRPr="00096E4F">
        <w:rPr>
          <w:rFonts w:ascii="Garamond" w:hAnsi="Garamond" w:cs="Times New Roman"/>
          <w:color w:val="000000" w:themeColor="text1"/>
          <w:sz w:val="28"/>
          <w:szCs w:val="28"/>
        </w:rPr>
        <w:t xml:space="preserve">2023/958 </w:t>
      </w:r>
      <w:r w:rsidRPr="00C014B7">
        <w:rPr>
          <w:rFonts w:ascii="Garamond" w:hAnsi="Garamond" w:cs="Times New Roman"/>
          <w:color w:val="000000" w:themeColor="text1"/>
          <w:sz w:val="28"/>
          <w:szCs w:val="28"/>
        </w:rPr>
        <w:t>del 10 maggio 2023 al fine di adeguarla agli impegni presi con l’Accordo di Parigi  adottato il 12 dicembre 2015 nell'ambito della convenzione quadro delle Nazioni Unite sui cambiamenti climatici (</w:t>
      </w:r>
      <w:r w:rsidRPr="00F235F7">
        <w:rPr>
          <w:rFonts w:ascii="Garamond" w:hAnsi="Garamond" w:cs="Times New Roman"/>
          <w:i/>
          <w:color w:val="000000" w:themeColor="text1"/>
          <w:sz w:val="28"/>
          <w:szCs w:val="28"/>
        </w:rPr>
        <w:t>United Nations Framework Convention on Clamate Change</w:t>
      </w:r>
      <w:r w:rsidRPr="00C014B7">
        <w:rPr>
          <w:rFonts w:ascii="Garamond" w:hAnsi="Garamond" w:cs="Times New Roman"/>
          <w:color w:val="000000" w:themeColor="text1"/>
          <w:sz w:val="28"/>
          <w:szCs w:val="28"/>
        </w:rPr>
        <w:t xml:space="preserve"> -  UNFCCC) -  con cui si è  convenuto di mantenere l'aumento della temperatura media mondiale ben al di sotto di 2° C rispetto ai livelli preindustriali e di proseguire l’azione volta a limitare tale aumento a 1,5° C rispetto ai livelli preindustriali, impegno rafforzato con l'adozione, nell'ambito dell'UNFCCC, del patto di Glasgow per il clima il 13 novembre 2021, in cui </w:t>
      </w:r>
      <w:r w:rsidRPr="00C014B7">
        <w:rPr>
          <w:rFonts w:ascii="Garamond" w:hAnsi="Garamond" w:cs="Times New Roman"/>
          <w:color w:val="000000" w:themeColor="text1"/>
          <w:sz w:val="28"/>
          <w:szCs w:val="28"/>
        </w:rPr>
        <w:lastRenderedPageBreak/>
        <w:t xml:space="preserve">la conferenza delle parti dell'UNFCCC, che funge da riunione delle parti dell'accordo di Parigi, riconosce che con un aumento della temperatura di 1,5 °C - invece che di 2 °C - gli effetti dei cambiamenti climatici saranno molto inferiori e decide di proseguire l'azione volta a limitare l'aumento della temperatura a 1,5 °C – nonché al regolamento (UE) 2021/1119 del Parlamento europeo e del Consiglio con cui l'Unione ha sancito nella legislazione l'obiettivo della neutralità climatica in tutti i settori dell'economia al più tardi entro il 2050 e l'obiettivo di conseguire </w:t>
      </w:r>
      <w:r>
        <w:rPr>
          <w:rFonts w:ascii="Garamond" w:hAnsi="Garamond" w:cs="Times New Roman"/>
          <w:color w:val="000000" w:themeColor="text1"/>
          <w:sz w:val="28"/>
          <w:szCs w:val="28"/>
        </w:rPr>
        <w:t>successivamente</w:t>
      </w:r>
      <w:r w:rsidRPr="00C014B7">
        <w:rPr>
          <w:rFonts w:ascii="Garamond" w:hAnsi="Garamond" w:cs="Times New Roman"/>
          <w:color w:val="000000" w:themeColor="text1"/>
          <w:sz w:val="28"/>
          <w:szCs w:val="28"/>
        </w:rPr>
        <w:t xml:space="preserve"> emissioni negative.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C014B7">
        <w:rPr>
          <w:rFonts w:ascii="Garamond" w:hAnsi="Garamond" w:cs="Times New Roman"/>
          <w:color w:val="000000" w:themeColor="text1"/>
          <w:sz w:val="28"/>
          <w:szCs w:val="28"/>
        </w:rPr>
        <w:t xml:space="preserve">Tale regolamento stabilisce inoltre un traguardo vincolante dell'Unione di riduzione interna delle emissioni nette di gas a effetto serra (emissioni al netto degli assorbimenti) di almeno il 55 % entro il 2030 rispetto ai livelli del 1990 e prevede che la Commissione si adoperi per allineare tutte le future proposte di misure o proposte legislative, comprese le proposte di bilancio, agli obiettivi di tale regolamento e, in ogni caso di mancato allineamento, ne fornisca i motivi nell'ambito della valutazione d'impatto che accompagna le proposte.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C014B7">
        <w:rPr>
          <w:rFonts w:ascii="Garamond" w:hAnsi="Garamond" w:cs="Times New Roman"/>
          <w:color w:val="000000" w:themeColor="text1"/>
          <w:sz w:val="28"/>
          <w:szCs w:val="28"/>
        </w:rPr>
        <w:t xml:space="preserve">Secondo quanto specificato nel considerando 15 di tale </w:t>
      </w:r>
      <w:r>
        <w:rPr>
          <w:rFonts w:ascii="Garamond" w:hAnsi="Garamond" w:cs="Times New Roman"/>
          <w:color w:val="000000" w:themeColor="text1"/>
          <w:sz w:val="28"/>
          <w:szCs w:val="28"/>
        </w:rPr>
        <w:t>direttiva</w:t>
      </w:r>
      <w:r w:rsidRPr="00C014B7">
        <w:rPr>
          <w:rFonts w:ascii="Garamond" w:hAnsi="Garamond" w:cs="Times New Roman"/>
          <w:color w:val="000000" w:themeColor="text1"/>
          <w:sz w:val="28"/>
          <w:szCs w:val="28"/>
        </w:rPr>
        <w:t xml:space="preserve"> “</w:t>
      </w:r>
      <w:r w:rsidRPr="00C014B7">
        <w:rPr>
          <w:rFonts w:ascii="Garamond" w:hAnsi="Garamond" w:cs="Times New Roman"/>
          <w:i/>
          <w:color w:val="000000" w:themeColor="text1"/>
          <w:sz w:val="28"/>
          <w:szCs w:val="28"/>
        </w:rPr>
        <w:t xml:space="preserve">La definizione degli impianti di produzione di </w:t>
      </w:r>
      <w:r>
        <w:rPr>
          <w:rFonts w:ascii="Garamond" w:hAnsi="Garamond" w:cs="Times New Roman"/>
          <w:i/>
          <w:color w:val="000000" w:themeColor="text1"/>
          <w:sz w:val="28"/>
          <w:szCs w:val="28"/>
        </w:rPr>
        <w:t>energia</w:t>
      </w:r>
      <w:r w:rsidRPr="00C014B7">
        <w:rPr>
          <w:rFonts w:ascii="Garamond" w:hAnsi="Garamond" w:cs="Times New Roman"/>
          <w:i/>
          <w:color w:val="000000" w:themeColor="text1"/>
          <w:sz w:val="28"/>
          <w:szCs w:val="28"/>
        </w:rPr>
        <w:t xml:space="preserve"> elettrica è stata utilizzata per determinare il quantitativo massimo di quote assegnate a titolo gratuito all'industria nel periodo 2013-2020, ma ha comportato una differenza di trattamento tra gli impianti di cogenerazione e gli impianti industriali. Al fine di </w:t>
      </w:r>
      <w:r>
        <w:rPr>
          <w:rFonts w:ascii="Garamond" w:hAnsi="Garamond" w:cs="Times New Roman"/>
          <w:i/>
          <w:color w:val="000000" w:themeColor="text1"/>
          <w:sz w:val="28"/>
          <w:szCs w:val="28"/>
        </w:rPr>
        <w:t>incentivare</w:t>
      </w:r>
      <w:r w:rsidRPr="00C014B7">
        <w:rPr>
          <w:rFonts w:ascii="Garamond" w:hAnsi="Garamond" w:cs="Times New Roman"/>
          <w:i/>
          <w:color w:val="000000" w:themeColor="text1"/>
          <w:sz w:val="28"/>
          <w:szCs w:val="28"/>
        </w:rPr>
        <w:t xml:space="preserve"> l'uso della cogenerazione ad alto rendimento e condizioni di parità per tutti gli impianti che beneficiano di quote gratuite per la produzione di calore e il teleriscaldamento, è opportuno sopprimere tutti i riferimenti agli impianti di produzione di elettricità contenuti nella </w:t>
      </w:r>
      <w:r>
        <w:rPr>
          <w:rFonts w:ascii="Garamond" w:hAnsi="Garamond" w:cs="Times New Roman"/>
          <w:i/>
          <w:color w:val="000000" w:themeColor="text1"/>
          <w:sz w:val="28"/>
          <w:szCs w:val="28"/>
        </w:rPr>
        <w:t>direttiva</w:t>
      </w:r>
      <w:r w:rsidRPr="00C014B7">
        <w:rPr>
          <w:rFonts w:ascii="Garamond" w:hAnsi="Garamond" w:cs="Times New Roman"/>
          <w:i/>
          <w:color w:val="000000" w:themeColor="text1"/>
          <w:sz w:val="28"/>
          <w:szCs w:val="28"/>
        </w:rPr>
        <w:t xml:space="preserve"> 2003/87/CE. Inoltre, il regolamento delegato (UE) 2019/331 della Commissione specifica i dettagli relativi alle condizioni di ammissibilità alle assegnazioni gratuite di tutti i processi industriali. Pertanto, le disposizioni in materia di cattura e stoccaggio del carbonio di cui all'articolo 10 bis, paragrafo 3, della </w:t>
      </w:r>
      <w:r>
        <w:rPr>
          <w:rFonts w:ascii="Garamond" w:hAnsi="Garamond" w:cs="Times New Roman"/>
          <w:i/>
          <w:color w:val="000000" w:themeColor="text1"/>
          <w:sz w:val="28"/>
          <w:szCs w:val="28"/>
        </w:rPr>
        <w:t>direttiva</w:t>
      </w:r>
      <w:r w:rsidRPr="00C014B7">
        <w:rPr>
          <w:rFonts w:ascii="Garamond" w:hAnsi="Garamond" w:cs="Times New Roman"/>
          <w:i/>
          <w:color w:val="000000" w:themeColor="text1"/>
          <w:sz w:val="28"/>
          <w:szCs w:val="28"/>
        </w:rPr>
        <w:t xml:space="preserve"> 2003/87/CE sono diventate obsolete e dovrebbero essere soppresse</w:t>
      </w:r>
      <w:r w:rsidRPr="00C014B7">
        <w:rPr>
          <w:rFonts w:ascii="Garamond" w:hAnsi="Garamond" w:cs="Times New Roman"/>
          <w:color w:val="000000" w:themeColor="text1"/>
          <w:sz w:val="28"/>
          <w:szCs w:val="28"/>
        </w:rPr>
        <w:t>”.</w:t>
      </w:r>
    </w:p>
    <w:p w:rsidR="007B4920" w:rsidRDefault="007B4920" w:rsidP="007B4920">
      <w:pPr>
        <w:spacing w:line="240" w:lineRule="auto"/>
        <w:jc w:val="both"/>
        <w:rPr>
          <w:rFonts w:ascii="Garamond" w:hAnsi="Garamond" w:cs="Times New Roman"/>
          <w:b/>
          <w:color w:val="000000" w:themeColor="text1"/>
          <w:sz w:val="28"/>
          <w:szCs w:val="28"/>
        </w:rPr>
      </w:pPr>
    </w:p>
    <w:p w:rsidR="007B4920" w:rsidRDefault="007B4920" w:rsidP="007B4920">
      <w:pPr>
        <w:spacing w:line="240" w:lineRule="auto"/>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4. </w:t>
      </w:r>
      <w:r w:rsidRPr="00824CC3">
        <w:rPr>
          <w:rFonts w:ascii="Garamond" w:hAnsi="Garamond" w:cs="Times New Roman"/>
          <w:b/>
          <w:color w:val="000000" w:themeColor="text1"/>
          <w:sz w:val="28"/>
          <w:szCs w:val="28"/>
        </w:rPr>
        <w:t>La natura degli atti del G</w:t>
      </w:r>
      <w:r>
        <w:rPr>
          <w:rFonts w:ascii="Garamond" w:hAnsi="Garamond" w:cs="Times New Roman"/>
          <w:b/>
          <w:color w:val="000000" w:themeColor="text1"/>
          <w:sz w:val="28"/>
          <w:szCs w:val="28"/>
        </w:rPr>
        <w:t>.</w:t>
      </w:r>
      <w:r w:rsidRPr="00824CC3">
        <w:rPr>
          <w:rFonts w:ascii="Garamond" w:hAnsi="Garamond" w:cs="Times New Roman"/>
          <w:b/>
          <w:color w:val="000000" w:themeColor="text1"/>
          <w:sz w:val="28"/>
          <w:szCs w:val="28"/>
        </w:rPr>
        <w:t>s</w:t>
      </w:r>
      <w:r>
        <w:rPr>
          <w:rFonts w:ascii="Garamond" w:hAnsi="Garamond" w:cs="Times New Roman"/>
          <w:b/>
          <w:color w:val="000000" w:themeColor="text1"/>
          <w:sz w:val="28"/>
          <w:szCs w:val="28"/>
        </w:rPr>
        <w:t>.</w:t>
      </w:r>
      <w:r w:rsidRPr="00824CC3">
        <w:rPr>
          <w:rFonts w:ascii="Garamond" w:hAnsi="Garamond" w:cs="Times New Roman"/>
          <w:b/>
          <w:color w:val="000000" w:themeColor="text1"/>
          <w:sz w:val="28"/>
          <w:szCs w:val="28"/>
        </w:rPr>
        <w:t>e</w:t>
      </w:r>
      <w:r>
        <w:rPr>
          <w:rFonts w:ascii="Garamond" w:hAnsi="Garamond" w:cs="Times New Roman"/>
          <w:b/>
          <w:color w:val="000000" w:themeColor="text1"/>
          <w:sz w:val="28"/>
          <w:szCs w:val="28"/>
        </w:rPr>
        <w:t>.</w:t>
      </w:r>
      <w:r w:rsidRPr="00824CC3">
        <w:rPr>
          <w:rFonts w:ascii="Garamond" w:hAnsi="Garamond" w:cs="Times New Roman"/>
          <w:b/>
          <w:color w:val="000000" w:themeColor="text1"/>
          <w:sz w:val="28"/>
          <w:szCs w:val="28"/>
        </w:rPr>
        <w:t>: il potere di verifica sulla quota</w:t>
      </w:r>
      <w:r>
        <w:rPr>
          <w:rFonts w:ascii="Garamond" w:hAnsi="Garamond" w:cs="Times New Roman"/>
          <w:b/>
          <w:color w:val="000000" w:themeColor="text1"/>
          <w:sz w:val="28"/>
          <w:szCs w:val="28"/>
        </w:rPr>
        <w:t xml:space="preserve"> d’obbligo</w:t>
      </w:r>
      <w:r w:rsidRPr="00824CC3">
        <w:rPr>
          <w:rFonts w:ascii="Garamond" w:hAnsi="Garamond" w:cs="Times New Roman"/>
          <w:b/>
          <w:color w:val="000000" w:themeColor="text1"/>
          <w:sz w:val="28"/>
          <w:szCs w:val="28"/>
        </w:rPr>
        <w:t xml:space="preserve"> e i certificati verdi.</w:t>
      </w:r>
    </w:p>
    <w:p w:rsidR="007B4920" w:rsidRPr="00A0023A" w:rsidRDefault="007B4920" w:rsidP="007B4920">
      <w:pPr>
        <w:spacing w:line="240" w:lineRule="auto"/>
        <w:contextualSpacing/>
        <w:jc w:val="both"/>
        <w:rPr>
          <w:rFonts w:ascii="Garamond" w:hAnsi="Garamond" w:cs="Times New Roman"/>
          <w:b/>
          <w:color w:val="000000" w:themeColor="text1"/>
          <w:sz w:val="28"/>
          <w:szCs w:val="28"/>
        </w:rPr>
      </w:pPr>
      <w:r w:rsidRPr="003D586D">
        <w:rPr>
          <w:rFonts w:ascii="Garamond" w:hAnsi="Garamond" w:cs="Times New Roman"/>
          <w:b/>
          <w:color w:val="000000" w:themeColor="text1"/>
          <w:sz w:val="28"/>
          <w:szCs w:val="28"/>
        </w:rPr>
        <w:t>4.1. Il potere di verifica.</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303A10">
        <w:rPr>
          <w:rFonts w:ascii="Garamond" w:hAnsi="Garamond" w:cs="Times New Roman"/>
          <w:color w:val="000000" w:themeColor="text1"/>
          <w:sz w:val="28"/>
          <w:szCs w:val="28"/>
        </w:rPr>
        <w:t xml:space="preserve">L’obbligo del rispetto di una quota d’obbligo di energie rinnovabili è stato introdotto in Italia </w:t>
      </w:r>
      <w:r>
        <w:rPr>
          <w:rFonts w:ascii="Garamond" w:hAnsi="Garamond" w:cs="Times New Roman"/>
          <w:color w:val="000000" w:themeColor="text1"/>
          <w:sz w:val="28"/>
          <w:szCs w:val="28"/>
        </w:rPr>
        <w:t>con il d.l.gs. n. 79 del 1999.</w:t>
      </w:r>
      <w:r w:rsidRPr="00FC760B">
        <w:rPr>
          <w:rFonts w:ascii="Garamond" w:hAnsi="Garamond" w:cs="Times New Roman"/>
          <w:color w:val="000000" w:themeColor="text1"/>
          <w:sz w:val="28"/>
          <w:szCs w:val="28"/>
        </w:rPr>
        <w:t xml:space="preserve">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303A10">
        <w:rPr>
          <w:rFonts w:ascii="Garamond" w:hAnsi="Garamond" w:cs="Times New Roman"/>
          <w:color w:val="000000" w:themeColor="text1"/>
          <w:sz w:val="28"/>
          <w:szCs w:val="28"/>
        </w:rPr>
        <w:t>In particolare l’articolo</w:t>
      </w:r>
      <w:r>
        <w:rPr>
          <w:rFonts w:ascii="Garamond" w:hAnsi="Garamond" w:cs="Times New Roman"/>
          <w:color w:val="000000" w:themeColor="text1"/>
          <w:sz w:val="28"/>
          <w:szCs w:val="28"/>
        </w:rPr>
        <w:t xml:space="preserve"> 11 prevede che: </w:t>
      </w:r>
      <w:r w:rsidRPr="003772B8">
        <w:rPr>
          <w:rFonts w:ascii="Garamond" w:hAnsi="Garamond" w:cs="Times New Roman"/>
          <w:color w:val="000000" w:themeColor="text1"/>
          <w:sz w:val="28"/>
          <w:szCs w:val="28"/>
        </w:rPr>
        <w:t>«</w:t>
      </w:r>
      <w:r w:rsidRPr="003772B8">
        <w:rPr>
          <w:rFonts w:ascii="Garamond" w:hAnsi="Garamond" w:cs="Times New Roman"/>
          <w:i/>
          <w:color w:val="000000" w:themeColor="text1"/>
          <w:sz w:val="28"/>
          <w:szCs w:val="28"/>
        </w:rPr>
        <w:t xml:space="preserve">Al fine di </w:t>
      </w:r>
      <w:r>
        <w:rPr>
          <w:rFonts w:ascii="Garamond" w:hAnsi="Garamond" w:cs="Times New Roman"/>
          <w:i/>
          <w:color w:val="000000" w:themeColor="text1"/>
          <w:sz w:val="28"/>
          <w:szCs w:val="28"/>
        </w:rPr>
        <w:t>incentivare</w:t>
      </w:r>
      <w:r w:rsidRPr="003772B8">
        <w:rPr>
          <w:rFonts w:ascii="Garamond" w:hAnsi="Garamond" w:cs="Times New Roman"/>
          <w:i/>
          <w:color w:val="000000" w:themeColor="text1"/>
          <w:sz w:val="28"/>
          <w:szCs w:val="28"/>
        </w:rPr>
        <w:t xml:space="preserve"> l’uso delle energie rinnovabili, il risparmio energetico, la riduzione delle emissioni di anidride carbonica e l’utilizzo delle risorse energetiche nazionali, a decorrere dall’anno 2001 gli importatori e i soggetti responsabili degli impianti che, in ciascun anno, importano o producono </w:t>
      </w:r>
      <w:r>
        <w:rPr>
          <w:rFonts w:ascii="Garamond" w:hAnsi="Garamond" w:cs="Times New Roman"/>
          <w:i/>
          <w:color w:val="000000" w:themeColor="text1"/>
          <w:sz w:val="28"/>
          <w:szCs w:val="28"/>
        </w:rPr>
        <w:t>energia</w:t>
      </w:r>
      <w:r w:rsidRPr="003772B8">
        <w:rPr>
          <w:rFonts w:ascii="Garamond" w:hAnsi="Garamond" w:cs="Times New Roman"/>
          <w:i/>
          <w:color w:val="000000" w:themeColor="text1"/>
          <w:sz w:val="28"/>
          <w:szCs w:val="28"/>
        </w:rPr>
        <w:t xml:space="preserve"> elettrica da fonti non rinnovabili hanno l’obbligo di immettere nel sistema elettrico nazionale, nell’anno successivo, una quota prodotta da impianti da fonti rinnovabili entrati in esercizio o ripotenziati, limitatamente alla producibilità aggiunt</w:t>
      </w:r>
      <w:r>
        <w:rPr>
          <w:rFonts w:ascii="Garamond" w:hAnsi="Garamond" w:cs="Times New Roman"/>
          <w:i/>
          <w:color w:val="000000" w:themeColor="text1"/>
          <w:sz w:val="28"/>
          <w:szCs w:val="28"/>
        </w:rPr>
        <w:t>iva</w:t>
      </w:r>
      <w:r w:rsidRPr="003772B8">
        <w:rPr>
          <w:rFonts w:ascii="Garamond" w:hAnsi="Garamond" w:cs="Times New Roman"/>
          <w:i/>
          <w:color w:val="000000" w:themeColor="text1"/>
          <w:sz w:val="28"/>
          <w:szCs w:val="28"/>
        </w:rPr>
        <w:t xml:space="preserve">, in data </w:t>
      </w:r>
      <w:r>
        <w:rPr>
          <w:rFonts w:ascii="Garamond" w:hAnsi="Garamond" w:cs="Times New Roman"/>
          <w:i/>
          <w:color w:val="000000" w:themeColor="text1"/>
          <w:sz w:val="28"/>
          <w:szCs w:val="28"/>
        </w:rPr>
        <w:t>successiva</w:t>
      </w:r>
      <w:r w:rsidRPr="003772B8">
        <w:rPr>
          <w:rFonts w:ascii="Garamond" w:hAnsi="Garamond" w:cs="Times New Roman"/>
          <w:i/>
          <w:color w:val="000000" w:themeColor="text1"/>
          <w:sz w:val="28"/>
          <w:szCs w:val="28"/>
        </w:rPr>
        <w:t xml:space="preserve"> a quella di entrata in vigore del decreto stesso</w:t>
      </w:r>
      <w:r w:rsidRPr="003772B8">
        <w:t xml:space="preserve"> </w:t>
      </w:r>
      <w:r w:rsidRPr="003772B8">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Il successivo comma 3 aggiunge che </w:t>
      </w:r>
      <w:r w:rsidRPr="00F63594">
        <w:rPr>
          <w:rFonts w:ascii="Garamond" w:hAnsi="Garamond" w:cs="Times New Roman"/>
          <w:color w:val="000000" w:themeColor="text1"/>
          <w:sz w:val="28"/>
          <w:szCs w:val="28"/>
        </w:rPr>
        <w:t>«gli stessi soggetti possono adempiere al suddetto obbligo anche</w:t>
      </w:r>
      <w:r>
        <w:rPr>
          <w:rFonts w:ascii="Garamond" w:hAnsi="Garamond" w:cs="Times New Roman"/>
          <w:color w:val="000000" w:themeColor="text1"/>
          <w:sz w:val="28"/>
          <w:szCs w:val="28"/>
        </w:rPr>
        <w:t xml:space="preserve"> </w:t>
      </w:r>
      <w:r w:rsidRPr="00F63594">
        <w:rPr>
          <w:rFonts w:ascii="Garamond" w:hAnsi="Garamond" w:cs="Times New Roman"/>
          <w:color w:val="000000" w:themeColor="text1"/>
          <w:sz w:val="28"/>
          <w:szCs w:val="28"/>
        </w:rPr>
        <w:t>acquistando, in tutto o in parte, l’</w:t>
      </w:r>
      <w:r>
        <w:rPr>
          <w:rFonts w:ascii="Garamond" w:hAnsi="Garamond" w:cs="Times New Roman"/>
          <w:color w:val="000000" w:themeColor="text1"/>
          <w:sz w:val="28"/>
          <w:szCs w:val="28"/>
        </w:rPr>
        <w:t>equivalente</w:t>
      </w:r>
      <w:r w:rsidRPr="00F63594">
        <w:rPr>
          <w:rFonts w:ascii="Garamond" w:hAnsi="Garamond" w:cs="Times New Roman"/>
          <w:color w:val="000000" w:themeColor="text1"/>
          <w:sz w:val="28"/>
          <w:szCs w:val="28"/>
        </w:rPr>
        <w:t xml:space="preserve"> quota o i relativi diritti da altri produtt</w:t>
      </w:r>
      <w:r>
        <w:rPr>
          <w:rFonts w:ascii="Garamond" w:hAnsi="Garamond" w:cs="Times New Roman"/>
          <w:color w:val="000000" w:themeColor="text1"/>
          <w:sz w:val="28"/>
          <w:szCs w:val="28"/>
        </w:rPr>
        <w:t>ori</w:t>
      </w:r>
      <w:r w:rsidRPr="008240A5">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w:t>
      </w:r>
      <w:r w:rsidRPr="00303A10">
        <w:rPr>
          <w:rFonts w:ascii="Garamond" w:hAnsi="Garamond" w:cs="Times New Roman"/>
          <w:color w:val="000000" w:themeColor="text1"/>
          <w:sz w:val="28"/>
          <w:szCs w:val="28"/>
        </w:rPr>
        <w:t xml:space="preserve">Il rispetto della quota d’obbligo può </w:t>
      </w:r>
      <w:r>
        <w:rPr>
          <w:rFonts w:ascii="Garamond" w:hAnsi="Garamond" w:cs="Times New Roman"/>
          <w:color w:val="000000" w:themeColor="text1"/>
          <w:sz w:val="28"/>
          <w:szCs w:val="28"/>
        </w:rPr>
        <w:t xml:space="preserve">pertanto </w:t>
      </w:r>
      <w:r w:rsidRPr="00303A10">
        <w:rPr>
          <w:rFonts w:ascii="Garamond" w:hAnsi="Garamond" w:cs="Times New Roman"/>
          <w:color w:val="000000" w:themeColor="text1"/>
          <w:sz w:val="28"/>
          <w:szCs w:val="28"/>
        </w:rPr>
        <w:t xml:space="preserve">essere adempiuto anche attraverso il sistema dei certificati verdi, ossia titoli negoziabili che attestano la produzione di 1 MWh di </w:t>
      </w:r>
      <w:r>
        <w:rPr>
          <w:rFonts w:ascii="Garamond" w:hAnsi="Garamond" w:cs="Times New Roman"/>
          <w:color w:val="000000" w:themeColor="text1"/>
          <w:sz w:val="28"/>
          <w:szCs w:val="28"/>
        </w:rPr>
        <w:t>energia</w:t>
      </w:r>
      <w:r w:rsidRPr="00303A10">
        <w:rPr>
          <w:rFonts w:ascii="Garamond" w:hAnsi="Garamond" w:cs="Times New Roman"/>
          <w:color w:val="000000" w:themeColor="text1"/>
          <w:sz w:val="28"/>
          <w:szCs w:val="28"/>
        </w:rPr>
        <w:t xml:space="preserve"> rinnovabile e sono emessi dal </w:t>
      </w:r>
      <w:r>
        <w:rPr>
          <w:rFonts w:ascii="Garamond" w:hAnsi="Garamond" w:cs="Times New Roman"/>
          <w:color w:val="000000" w:themeColor="text1"/>
          <w:sz w:val="28"/>
          <w:szCs w:val="28"/>
        </w:rPr>
        <w:t xml:space="preserve">  G.s.e. </w:t>
      </w:r>
      <w:r w:rsidRPr="00303A10">
        <w:rPr>
          <w:rFonts w:ascii="Garamond" w:hAnsi="Garamond" w:cs="Times New Roman"/>
          <w:color w:val="000000" w:themeColor="text1"/>
          <w:sz w:val="28"/>
          <w:szCs w:val="28"/>
        </w:rPr>
        <w:t>su richiesta dei produttori di energie rinnovabili.</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303A10">
        <w:rPr>
          <w:rFonts w:ascii="Garamond" w:hAnsi="Garamond" w:cs="Times New Roman"/>
          <w:color w:val="000000" w:themeColor="text1"/>
          <w:sz w:val="28"/>
          <w:szCs w:val="28"/>
        </w:rPr>
        <w:lastRenderedPageBreak/>
        <w:t xml:space="preserve">Il meccanismo </w:t>
      </w:r>
      <w:r>
        <w:rPr>
          <w:rFonts w:ascii="Garamond" w:hAnsi="Garamond" w:cs="Times New Roman"/>
          <w:color w:val="000000" w:themeColor="text1"/>
          <w:sz w:val="28"/>
          <w:szCs w:val="28"/>
        </w:rPr>
        <w:t xml:space="preserve">è </w:t>
      </w:r>
      <w:r w:rsidRPr="00303A10">
        <w:rPr>
          <w:rFonts w:ascii="Garamond" w:hAnsi="Garamond" w:cs="Times New Roman"/>
          <w:color w:val="000000" w:themeColor="text1"/>
          <w:sz w:val="28"/>
          <w:szCs w:val="28"/>
        </w:rPr>
        <w:t xml:space="preserve">in sostanza è il seguente: un impianto qualificato IAFR (ossia alimentato da fonti rinnovabili) produce </w:t>
      </w:r>
      <w:r>
        <w:rPr>
          <w:rFonts w:ascii="Garamond" w:hAnsi="Garamond" w:cs="Times New Roman"/>
          <w:color w:val="000000" w:themeColor="text1"/>
          <w:sz w:val="28"/>
          <w:szCs w:val="28"/>
        </w:rPr>
        <w:t>energia emettendo</w:t>
      </w:r>
      <w:r w:rsidRPr="00303A10">
        <w:rPr>
          <w:rFonts w:ascii="Garamond" w:hAnsi="Garamond" w:cs="Times New Roman"/>
          <w:color w:val="000000" w:themeColor="text1"/>
          <w:sz w:val="28"/>
          <w:szCs w:val="28"/>
        </w:rPr>
        <w:t xml:space="preserve"> meno CO2 di un impianto alimentato da fonti fossili, per cui può richiedere ed ottenere certificati da rivendere ai soggetti che sono obbligati a rispettare la quota d’obbligo ma che non possono o non riescono a farlo in modo autonomo</w:t>
      </w:r>
      <w:r>
        <w:rPr>
          <w:rFonts w:ascii="Garamond" w:hAnsi="Garamond" w:cs="Times New Roman"/>
          <w:color w:val="000000" w:themeColor="text1"/>
          <w:sz w:val="28"/>
          <w:szCs w:val="28"/>
        </w:rPr>
        <w:t xml:space="preserve">. Pertanto i </w:t>
      </w:r>
      <w:r w:rsidRPr="00237260">
        <w:rPr>
          <w:rFonts w:ascii="Garamond" w:hAnsi="Garamond" w:cs="Times New Roman"/>
          <w:color w:val="000000" w:themeColor="text1"/>
          <w:sz w:val="28"/>
          <w:szCs w:val="28"/>
        </w:rPr>
        <w:t xml:space="preserve">produttori e gli importatori di </w:t>
      </w:r>
      <w:r>
        <w:rPr>
          <w:rFonts w:ascii="Garamond" w:hAnsi="Garamond" w:cs="Times New Roman"/>
          <w:color w:val="000000" w:themeColor="text1"/>
          <w:sz w:val="28"/>
          <w:szCs w:val="28"/>
        </w:rPr>
        <w:t>energia</w:t>
      </w:r>
      <w:r w:rsidRPr="00237260">
        <w:rPr>
          <w:rFonts w:ascii="Garamond" w:hAnsi="Garamond" w:cs="Times New Roman"/>
          <w:color w:val="000000" w:themeColor="text1"/>
          <w:sz w:val="28"/>
          <w:szCs w:val="28"/>
        </w:rPr>
        <w:t xml:space="preserve"> proveniente da forme convenzionali (es. petrolio, gas, carbone) hanno l’obbligo di immettere nella rete una quota minima e predeterminata di </w:t>
      </w:r>
      <w:r>
        <w:rPr>
          <w:rFonts w:ascii="Garamond" w:hAnsi="Garamond" w:cs="Times New Roman"/>
          <w:color w:val="000000" w:themeColor="text1"/>
          <w:sz w:val="28"/>
          <w:szCs w:val="28"/>
        </w:rPr>
        <w:t>energia</w:t>
      </w:r>
      <w:r w:rsidRPr="00237260">
        <w:rPr>
          <w:rFonts w:ascii="Garamond" w:hAnsi="Garamond" w:cs="Times New Roman"/>
          <w:color w:val="000000" w:themeColor="text1"/>
          <w:sz w:val="28"/>
          <w:szCs w:val="28"/>
        </w:rPr>
        <w:t xml:space="preserve"> verde, ossia da fonti rinnovabili (circa 2% della propria produzione, quota poi sottoposta a successivi incrementi su base annuale). In </w:t>
      </w:r>
      <w:r>
        <w:rPr>
          <w:rFonts w:ascii="Garamond" w:hAnsi="Garamond" w:cs="Times New Roman"/>
          <w:color w:val="000000" w:themeColor="text1"/>
          <w:sz w:val="28"/>
          <w:szCs w:val="28"/>
        </w:rPr>
        <w:t>alternativa</w:t>
      </w:r>
      <w:r w:rsidRPr="00237260">
        <w:rPr>
          <w:rFonts w:ascii="Garamond" w:hAnsi="Garamond" w:cs="Times New Roman"/>
          <w:color w:val="000000" w:themeColor="text1"/>
          <w:sz w:val="28"/>
          <w:szCs w:val="28"/>
        </w:rPr>
        <w:t xml:space="preserve"> hanno l’obbligo di acquistare un valore corrispondente di “</w:t>
      </w:r>
      <w:r w:rsidRPr="00FC760B">
        <w:rPr>
          <w:rFonts w:ascii="Garamond" w:hAnsi="Garamond" w:cs="Times New Roman"/>
          <w:color w:val="000000" w:themeColor="text1"/>
          <w:sz w:val="28"/>
          <w:szCs w:val="28"/>
        </w:rPr>
        <w:t>certificati verdi</w:t>
      </w:r>
      <w:r w:rsidRPr="00237260">
        <w:rPr>
          <w:rFonts w:ascii="Garamond" w:hAnsi="Garamond" w:cs="Times New Roman"/>
          <w:color w:val="000000" w:themeColor="text1"/>
          <w:sz w:val="28"/>
          <w:szCs w:val="28"/>
        </w:rPr>
        <w:t xml:space="preserve">”, ossia di titoli negoziabili che sono emessi dai produttori di </w:t>
      </w:r>
      <w:r>
        <w:rPr>
          <w:rFonts w:ascii="Garamond" w:hAnsi="Garamond" w:cs="Times New Roman"/>
          <w:color w:val="000000" w:themeColor="text1"/>
          <w:sz w:val="28"/>
          <w:szCs w:val="28"/>
        </w:rPr>
        <w:t>energia</w:t>
      </w:r>
      <w:r w:rsidRPr="00237260">
        <w:rPr>
          <w:rFonts w:ascii="Garamond" w:hAnsi="Garamond" w:cs="Times New Roman"/>
          <w:color w:val="000000" w:themeColor="text1"/>
          <w:sz w:val="28"/>
          <w:szCs w:val="28"/>
        </w:rPr>
        <w:t xml:space="preserve"> rinnovabile che vengono acquistati dai produttori (od importatori) di </w:t>
      </w:r>
      <w:r>
        <w:rPr>
          <w:rFonts w:ascii="Garamond" w:hAnsi="Garamond" w:cs="Times New Roman"/>
          <w:color w:val="000000" w:themeColor="text1"/>
          <w:sz w:val="28"/>
          <w:szCs w:val="28"/>
        </w:rPr>
        <w:t>energia</w:t>
      </w:r>
      <w:r w:rsidRPr="00237260">
        <w:rPr>
          <w:rFonts w:ascii="Garamond" w:hAnsi="Garamond" w:cs="Times New Roman"/>
          <w:color w:val="000000" w:themeColor="text1"/>
          <w:sz w:val="28"/>
          <w:szCs w:val="28"/>
        </w:rPr>
        <w:t xml:space="preserve"> proveniente soltanto da fonti convenzionali. E tanto proprio al fine di garantire il rispetto della predetta “</w:t>
      </w:r>
      <w:r w:rsidRPr="00FC760B">
        <w:rPr>
          <w:rFonts w:ascii="Garamond" w:hAnsi="Garamond" w:cs="Times New Roman"/>
          <w:color w:val="000000" w:themeColor="text1"/>
          <w:sz w:val="28"/>
          <w:szCs w:val="28"/>
        </w:rPr>
        <w:t>quota d’obbligo</w:t>
      </w:r>
      <w:r>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303A10">
        <w:rPr>
          <w:rFonts w:ascii="Garamond" w:hAnsi="Garamond" w:cs="Times New Roman"/>
          <w:color w:val="000000" w:themeColor="text1"/>
          <w:sz w:val="28"/>
          <w:szCs w:val="28"/>
        </w:rPr>
        <w:t>La verifica del rispetto della quot</w:t>
      </w:r>
      <w:r>
        <w:rPr>
          <w:rFonts w:ascii="Garamond" w:hAnsi="Garamond" w:cs="Times New Roman"/>
          <w:color w:val="000000" w:themeColor="text1"/>
          <w:sz w:val="28"/>
          <w:szCs w:val="28"/>
        </w:rPr>
        <w:t>a d’obbligo è effettuata dal G.s.e.</w:t>
      </w:r>
      <w:r w:rsidRPr="00303A10">
        <w:rPr>
          <w:rFonts w:ascii="Garamond" w:hAnsi="Garamond" w:cs="Times New Roman"/>
          <w:color w:val="000000" w:themeColor="text1"/>
          <w:sz w:val="28"/>
          <w:szCs w:val="28"/>
        </w:rPr>
        <w:t xml:space="preserve"> con cadenza annuale al fine di definire entro termini ristretti l’assetto dei rapporti der</w:t>
      </w:r>
      <w:r>
        <w:rPr>
          <w:rFonts w:ascii="Garamond" w:hAnsi="Garamond" w:cs="Times New Roman"/>
          <w:color w:val="000000" w:themeColor="text1"/>
          <w:sz w:val="28"/>
          <w:szCs w:val="28"/>
        </w:rPr>
        <w:t>iva</w:t>
      </w:r>
      <w:r w:rsidRPr="00303A10">
        <w:rPr>
          <w:rFonts w:ascii="Garamond" w:hAnsi="Garamond" w:cs="Times New Roman"/>
          <w:color w:val="000000" w:themeColor="text1"/>
          <w:sz w:val="28"/>
          <w:szCs w:val="28"/>
        </w:rPr>
        <w:t>nti dall’</w:t>
      </w:r>
      <w:r>
        <w:rPr>
          <w:rFonts w:ascii="Garamond" w:hAnsi="Garamond" w:cs="Times New Roman"/>
          <w:color w:val="000000" w:themeColor="text1"/>
          <w:sz w:val="28"/>
          <w:szCs w:val="28"/>
        </w:rPr>
        <w:t>art. 11 d.lgs. n. 79 del 1999;  il G.s.e.</w:t>
      </w:r>
      <w:r w:rsidRPr="00303A10">
        <w:rPr>
          <w:rFonts w:ascii="Garamond" w:hAnsi="Garamond" w:cs="Times New Roman"/>
          <w:color w:val="000000" w:themeColor="text1"/>
          <w:sz w:val="28"/>
          <w:szCs w:val="28"/>
        </w:rPr>
        <w:t xml:space="preserve"> valuta il rispetto della quota d’obbligo in relazione alla tipologia di impianto esercito e di </w:t>
      </w:r>
      <w:r>
        <w:rPr>
          <w:rFonts w:ascii="Garamond" w:hAnsi="Garamond" w:cs="Times New Roman"/>
          <w:color w:val="000000" w:themeColor="text1"/>
          <w:sz w:val="28"/>
          <w:szCs w:val="28"/>
        </w:rPr>
        <w:t>energia</w:t>
      </w:r>
      <w:r w:rsidRPr="00303A10">
        <w:rPr>
          <w:rFonts w:ascii="Garamond" w:hAnsi="Garamond" w:cs="Times New Roman"/>
          <w:color w:val="000000" w:themeColor="text1"/>
          <w:sz w:val="28"/>
          <w:szCs w:val="28"/>
        </w:rPr>
        <w:t xml:space="preserve"> prodotta e, in caso di esito negativo, il procedimento sanz</w:t>
      </w:r>
      <w:r>
        <w:rPr>
          <w:rFonts w:ascii="Garamond" w:hAnsi="Garamond" w:cs="Times New Roman"/>
          <w:color w:val="000000" w:themeColor="text1"/>
          <w:sz w:val="28"/>
          <w:szCs w:val="28"/>
        </w:rPr>
        <w:t xml:space="preserve">ionatorio (solo attivato dal G.s.e.) è di competenza della ARERA </w:t>
      </w:r>
      <w:r w:rsidRPr="00303A10">
        <w:rPr>
          <w:rFonts w:ascii="Garamond" w:hAnsi="Garamond" w:cs="Times New Roman"/>
          <w:color w:val="000000" w:themeColor="text1"/>
          <w:sz w:val="28"/>
          <w:szCs w:val="28"/>
        </w:rPr>
        <w:t>ed ha ad oggetto l’inadempimento rispetto all’obbligo di provvedere entro 30 giorni all’integrazione di cer</w:t>
      </w:r>
      <w:r>
        <w:rPr>
          <w:rFonts w:ascii="Garamond" w:hAnsi="Garamond" w:cs="Times New Roman"/>
          <w:color w:val="000000" w:themeColor="text1"/>
          <w:sz w:val="28"/>
          <w:szCs w:val="28"/>
        </w:rPr>
        <w:t>tificati verdi richiesti dal G.s.e.</w:t>
      </w:r>
      <w:r w:rsidRPr="00303A10">
        <w:rPr>
          <w:rFonts w:ascii="Garamond" w:hAnsi="Garamond" w:cs="Times New Roman"/>
          <w:color w:val="000000" w:themeColor="text1"/>
          <w:sz w:val="28"/>
          <w:szCs w:val="28"/>
        </w:rPr>
        <w:t>, e non il riesame dell’</w:t>
      </w:r>
      <w:r>
        <w:rPr>
          <w:rFonts w:ascii="Garamond" w:hAnsi="Garamond" w:cs="Times New Roman"/>
          <w:color w:val="000000" w:themeColor="text1"/>
          <w:sz w:val="28"/>
          <w:szCs w:val="28"/>
        </w:rPr>
        <w:t xml:space="preserve"> </w:t>
      </w:r>
      <w:r w:rsidRPr="00303A10">
        <w:rPr>
          <w:rFonts w:ascii="Garamond" w:hAnsi="Garamond" w:cs="Times New Roman"/>
          <w:i/>
          <w:color w:val="000000" w:themeColor="text1"/>
          <w:sz w:val="28"/>
          <w:szCs w:val="28"/>
        </w:rPr>
        <w:t>an</w:t>
      </w:r>
      <w:r w:rsidRPr="00303A10">
        <w:rPr>
          <w:rFonts w:ascii="Garamond" w:hAnsi="Garamond" w:cs="Times New Roman"/>
          <w:color w:val="000000" w:themeColor="text1"/>
          <w:sz w:val="28"/>
          <w:szCs w:val="28"/>
        </w:rPr>
        <w:t xml:space="preserve"> che è oggetto dell’attivit</w:t>
      </w:r>
      <w:r>
        <w:rPr>
          <w:rFonts w:ascii="Garamond" w:hAnsi="Garamond" w:cs="Times New Roman"/>
          <w:color w:val="000000" w:themeColor="text1"/>
          <w:sz w:val="28"/>
          <w:szCs w:val="28"/>
        </w:rPr>
        <w:t>à di verifica già svolta dal G.s.e.</w:t>
      </w:r>
      <w:r w:rsidRPr="00303A10">
        <w:rPr>
          <w:rFonts w:ascii="Garamond" w:hAnsi="Garamond" w:cs="Times New Roman"/>
          <w:color w:val="000000" w:themeColor="text1"/>
          <w:sz w:val="28"/>
          <w:szCs w:val="28"/>
        </w:rPr>
        <w:t xml:space="preserve"> autonomamente.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4B7ACC">
        <w:rPr>
          <w:rFonts w:ascii="Garamond" w:hAnsi="Garamond" w:cs="Times New Roman"/>
          <w:color w:val="000000" w:themeColor="text1"/>
          <w:sz w:val="28"/>
          <w:szCs w:val="28"/>
        </w:rPr>
        <w:t>La stessa</w:t>
      </w:r>
      <w:r>
        <w:rPr>
          <w:rFonts w:ascii="Garamond" w:hAnsi="Garamond" w:cs="Times New Roman"/>
          <w:color w:val="000000" w:themeColor="text1"/>
          <w:sz w:val="28"/>
          <w:szCs w:val="28"/>
        </w:rPr>
        <w:t xml:space="preserve"> normativa primaria (art. 11, </w:t>
      </w:r>
      <w:r w:rsidRPr="004B7ACC">
        <w:rPr>
          <w:rFonts w:ascii="Garamond" w:hAnsi="Garamond" w:cs="Times New Roman"/>
          <w:color w:val="000000" w:themeColor="text1"/>
          <w:sz w:val="28"/>
          <w:szCs w:val="28"/>
        </w:rPr>
        <w:t>comma</w:t>
      </w:r>
      <w:r>
        <w:rPr>
          <w:rFonts w:ascii="Garamond" w:hAnsi="Garamond" w:cs="Times New Roman"/>
          <w:color w:val="000000" w:themeColor="text1"/>
          <w:sz w:val="28"/>
          <w:szCs w:val="28"/>
        </w:rPr>
        <w:t xml:space="preserve"> 5, </w:t>
      </w:r>
      <w:r w:rsidRPr="004B7ACC">
        <w:rPr>
          <w:rFonts w:ascii="Garamond" w:hAnsi="Garamond" w:cs="Times New Roman"/>
          <w:color w:val="000000" w:themeColor="text1"/>
          <w:sz w:val="28"/>
          <w:szCs w:val="28"/>
        </w:rPr>
        <w:t xml:space="preserve">d.lgs. n. 79 del 1999) ha affidato al ministro dell'industria, del commercio e dell'artigianato (corrispondente all'odierno ministro dello sviluppo economico), di concerto con il ministro dell'ambiente, il compito di dettare direttive per la concreta attuazione della previsione </w:t>
      </w:r>
      <w:r>
        <w:rPr>
          <w:rFonts w:ascii="Garamond" w:hAnsi="Garamond" w:cs="Times New Roman"/>
          <w:color w:val="000000" w:themeColor="text1"/>
          <w:sz w:val="28"/>
          <w:szCs w:val="28"/>
        </w:rPr>
        <w:t>legislativa</w:t>
      </w:r>
      <w:r w:rsidRPr="004B7ACC">
        <w:rPr>
          <w:rFonts w:ascii="Garamond" w:hAnsi="Garamond" w:cs="Times New Roman"/>
          <w:color w:val="000000" w:themeColor="text1"/>
          <w:sz w:val="28"/>
          <w:szCs w:val="28"/>
        </w:rPr>
        <w:t xml:space="preserve"> inerente alla quota d'obbligo. È stata quindi introdotta, in via di normazione secondaria, una dettagliata disciplina delle modalità di esercizio di tale controllo, attraverso un vero e proprio procedimento amministrativo, affidato </w:t>
      </w:r>
      <w:r>
        <w:rPr>
          <w:rFonts w:ascii="Garamond" w:hAnsi="Garamond" w:cs="Times New Roman"/>
          <w:color w:val="000000" w:themeColor="text1"/>
          <w:sz w:val="28"/>
          <w:szCs w:val="28"/>
        </w:rPr>
        <w:t xml:space="preserve">al </w:t>
      </w:r>
      <w:r w:rsidRPr="004B7ACC">
        <w:rPr>
          <w:rFonts w:ascii="Garamond" w:hAnsi="Garamond" w:cs="Times New Roman"/>
          <w:color w:val="000000" w:themeColor="text1"/>
          <w:sz w:val="28"/>
          <w:szCs w:val="28"/>
        </w:rPr>
        <w:t>G.s.e.  Tali direttive sono state emanate dapprima con il d.m. 11 novembre 1999: ai sensi dell'art. 3 di tale d.m., che disciplina le modalità di quantificazione dell'</w:t>
      </w:r>
      <w:r>
        <w:rPr>
          <w:rFonts w:ascii="Garamond" w:hAnsi="Garamond" w:cs="Times New Roman"/>
          <w:color w:val="000000" w:themeColor="text1"/>
          <w:sz w:val="28"/>
          <w:szCs w:val="28"/>
        </w:rPr>
        <w:t>energia</w:t>
      </w:r>
      <w:r w:rsidRPr="004B7ACC">
        <w:rPr>
          <w:rFonts w:ascii="Garamond" w:hAnsi="Garamond" w:cs="Times New Roman"/>
          <w:color w:val="000000" w:themeColor="text1"/>
          <w:sz w:val="28"/>
          <w:szCs w:val="28"/>
        </w:rPr>
        <w:t xml:space="preserve"> soggetta all'obbligo, i produttori trasmettono un'autocertificazione, riferita all'anno precedente, attestante le importazioni e produzioni di </w:t>
      </w:r>
      <w:r>
        <w:rPr>
          <w:rFonts w:ascii="Garamond" w:hAnsi="Garamond" w:cs="Times New Roman"/>
          <w:color w:val="000000" w:themeColor="text1"/>
          <w:sz w:val="28"/>
          <w:szCs w:val="28"/>
        </w:rPr>
        <w:t>energia</w:t>
      </w:r>
      <w:r w:rsidRPr="004B7ACC">
        <w:rPr>
          <w:rFonts w:ascii="Garamond" w:hAnsi="Garamond" w:cs="Times New Roman"/>
          <w:color w:val="000000" w:themeColor="text1"/>
          <w:sz w:val="28"/>
          <w:szCs w:val="28"/>
        </w:rPr>
        <w:t xml:space="preserve"> non rinnovabile.  </w:t>
      </w:r>
      <w:r>
        <w:rPr>
          <w:rFonts w:ascii="Garamond" w:hAnsi="Garamond" w:cs="Times New Roman"/>
          <w:color w:val="000000" w:themeColor="text1"/>
          <w:sz w:val="28"/>
          <w:szCs w:val="28"/>
        </w:rPr>
        <w:t>Successivamente</w:t>
      </w:r>
      <w:r w:rsidRPr="004B7ACC">
        <w:rPr>
          <w:rFonts w:ascii="Garamond" w:hAnsi="Garamond" w:cs="Times New Roman"/>
          <w:color w:val="000000" w:themeColor="text1"/>
          <w:sz w:val="28"/>
          <w:szCs w:val="28"/>
        </w:rPr>
        <w:t>, le direttive attuative sono state aggiornate dal d.m. 24 ottobre 2005 (adottato in attuazione dell'art. 20, comma</w:t>
      </w:r>
      <w:r>
        <w:rPr>
          <w:rFonts w:ascii="Garamond" w:hAnsi="Garamond" w:cs="Times New Roman"/>
          <w:color w:val="000000" w:themeColor="text1"/>
          <w:sz w:val="28"/>
          <w:szCs w:val="28"/>
        </w:rPr>
        <w:t xml:space="preserve"> 8</w:t>
      </w:r>
      <w:r w:rsidRPr="004B7ACC">
        <w:rPr>
          <w:rFonts w:ascii="Garamond" w:hAnsi="Garamond" w:cs="Times New Roman"/>
          <w:color w:val="000000" w:themeColor="text1"/>
          <w:sz w:val="28"/>
          <w:szCs w:val="28"/>
        </w:rPr>
        <w:t>, d.lgs. n. 387</w:t>
      </w:r>
      <w:r>
        <w:rPr>
          <w:rFonts w:ascii="Garamond" w:hAnsi="Garamond" w:cs="Times New Roman"/>
          <w:color w:val="000000" w:themeColor="text1"/>
          <w:sz w:val="28"/>
          <w:szCs w:val="28"/>
        </w:rPr>
        <w:t xml:space="preserve"> del 2003</w:t>
      </w:r>
      <w:r w:rsidRPr="004B7ACC">
        <w:rPr>
          <w:rFonts w:ascii="Garamond" w:hAnsi="Garamond" w:cs="Times New Roman"/>
          <w:color w:val="000000" w:themeColor="text1"/>
          <w:sz w:val="28"/>
          <w:szCs w:val="28"/>
        </w:rPr>
        <w:t>, e a far tempo dal novembre 2006) ed il d.m. del 1999 è stato abrogato con salvezza degli «effetti dispiegati» e dei «diritti acquisiti</w:t>
      </w:r>
      <w:r w:rsidRPr="00FE344B">
        <w:rPr>
          <w:rFonts w:ascii="Garamond" w:hAnsi="Garamond" w:cs="Times New Roman"/>
          <w:color w:val="000000" w:themeColor="text1"/>
          <w:sz w:val="28"/>
          <w:szCs w:val="28"/>
        </w:rPr>
        <w:t>»</w:t>
      </w:r>
      <w:r w:rsidRPr="004B7ACC">
        <w:rPr>
          <w:rFonts w:ascii="Garamond" w:hAnsi="Garamond" w:cs="Times New Roman"/>
          <w:color w:val="000000" w:themeColor="text1"/>
          <w:sz w:val="28"/>
          <w:szCs w:val="28"/>
        </w:rPr>
        <w:t>. Tale ultimo d.m. conferma il meccanismo dell'autocertificazione (art. 3) e della verifica annuale (art. 7)</w:t>
      </w:r>
      <w:r>
        <w:rPr>
          <w:rFonts w:ascii="Garamond" w:hAnsi="Garamond" w:cs="Times New Roman"/>
          <w:color w:val="000000" w:themeColor="text1"/>
          <w:sz w:val="28"/>
          <w:szCs w:val="28"/>
        </w:rPr>
        <w:t xml:space="preserve">, prevedendo altresì (art. 7, </w:t>
      </w:r>
      <w:r w:rsidRPr="004B7ACC">
        <w:rPr>
          <w:rFonts w:ascii="Garamond" w:hAnsi="Garamond" w:cs="Times New Roman"/>
          <w:color w:val="000000" w:themeColor="text1"/>
          <w:sz w:val="28"/>
          <w:szCs w:val="28"/>
        </w:rPr>
        <w:t>comma</w:t>
      </w:r>
      <w:r>
        <w:rPr>
          <w:rFonts w:ascii="Garamond" w:hAnsi="Garamond" w:cs="Times New Roman"/>
          <w:color w:val="000000" w:themeColor="text1"/>
          <w:sz w:val="28"/>
          <w:szCs w:val="28"/>
        </w:rPr>
        <w:t xml:space="preserve"> 4</w:t>
      </w:r>
      <w:r w:rsidRPr="004B7ACC">
        <w:rPr>
          <w:rFonts w:ascii="Garamond" w:hAnsi="Garamond" w:cs="Times New Roman"/>
          <w:color w:val="000000" w:themeColor="text1"/>
          <w:sz w:val="28"/>
          <w:szCs w:val="28"/>
        </w:rPr>
        <w:t>) la segnalazione dell'eventuale inottemperanza all'Autorità «ai fini dell'applicazione delle sanzi</w:t>
      </w:r>
      <w:r>
        <w:rPr>
          <w:rFonts w:ascii="Garamond" w:hAnsi="Garamond" w:cs="Times New Roman"/>
          <w:color w:val="000000" w:themeColor="text1"/>
          <w:sz w:val="28"/>
          <w:szCs w:val="28"/>
        </w:rPr>
        <w:t xml:space="preserve">oni» contemplate dall'art. 4, </w:t>
      </w:r>
      <w:r w:rsidRPr="004B7ACC">
        <w:rPr>
          <w:rFonts w:ascii="Garamond" w:hAnsi="Garamond" w:cs="Times New Roman"/>
          <w:color w:val="000000" w:themeColor="text1"/>
          <w:sz w:val="28"/>
          <w:szCs w:val="28"/>
        </w:rPr>
        <w:t>comma</w:t>
      </w:r>
      <w:r>
        <w:rPr>
          <w:rFonts w:ascii="Garamond" w:hAnsi="Garamond" w:cs="Times New Roman"/>
          <w:color w:val="000000" w:themeColor="text1"/>
          <w:sz w:val="28"/>
          <w:szCs w:val="28"/>
        </w:rPr>
        <w:t xml:space="preserve"> 2</w:t>
      </w:r>
      <w:r w:rsidRPr="004B7ACC">
        <w:rPr>
          <w:rFonts w:ascii="Garamond" w:hAnsi="Garamond" w:cs="Times New Roman"/>
          <w:color w:val="000000" w:themeColor="text1"/>
          <w:sz w:val="28"/>
          <w:szCs w:val="28"/>
        </w:rPr>
        <w:t>, d.lgs. 38 del 2003 cit. a partire dal 2</w:t>
      </w:r>
      <w:r>
        <w:rPr>
          <w:rFonts w:ascii="Garamond" w:hAnsi="Garamond" w:cs="Times New Roman"/>
          <w:color w:val="000000" w:themeColor="text1"/>
          <w:sz w:val="28"/>
          <w:szCs w:val="28"/>
        </w:rPr>
        <w:t xml:space="preserve">004». Il suddetto art. 4, al </w:t>
      </w:r>
      <w:r w:rsidRPr="004B7ACC">
        <w:rPr>
          <w:rFonts w:ascii="Garamond" w:hAnsi="Garamond" w:cs="Times New Roman"/>
          <w:color w:val="000000" w:themeColor="text1"/>
          <w:sz w:val="28"/>
          <w:szCs w:val="28"/>
        </w:rPr>
        <w:t>comma</w:t>
      </w:r>
      <w:r>
        <w:rPr>
          <w:rFonts w:ascii="Garamond" w:hAnsi="Garamond" w:cs="Times New Roman"/>
          <w:color w:val="000000" w:themeColor="text1"/>
          <w:sz w:val="28"/>
          <w:szCs w:val="28"/>
        </w:rPr>
        <w:t xml:space="preserve"> 3</w:t>
      </w:r>
      <w:r w:rsidRPr="004B7ACC">
        <w:rPr>
          <w:rFonts w:ascii="Garamond" w:hAnsi="Garamond" w:cs="Times New Roman"/>
          <w:color w:val="000000" w:themeColor="text1"/>
          <w:sz w:val="28"/>
          <w:szCs w:val="28"/>
        </w:rPr>
        <w:t>, prevede in particolare che «i soggetti che omettono di presentare l'autocertificazione [...] sono considerati inadempienti per la quantità di certificati correlata al totale di elettricità importata e prodotta nell'anno pre</w:t>
      </w:r>
      <w:r>
        <w:rPr>
          <w:rFonts w:ascii="Garamond" w:hAnsi="Garamond" w:cs="Times New Roman"/>
          <w:color w:val="000000" w:themeColor="text1"/>
          <w:sz w:val="28"/>
          <w:szCs w:val="28"/>
        </w:rPr>
        <w:t xml:space="preserve">cedente»; inoltre, l'art. 7, </w:t>
      </w:r>
      <w:r w:rsidRPr="004B7ACC">
        <w:rPr>
          <w:rFonts w:ascii="Garamond" w:hAnsi="Garamond" w:cs="Times New Roman"/>
          <w:color w:val="000000" w:themeColor="text1"/>
          <w:sz w:val="28"/>
          <w:szCs w:val="28"/>
        </w:rPr>
        <w:t>comma</w:t>
      </w:r>
      <w:r>
        <w:rPr>
          <w:rFonts w:ascii="Garamond" w:hAnsi="Garamond" w:cs="Times New Roman"/>
          <w:color w:val="000000" w:themeColor="text1"/>
          <w:sz w:val="28"/>
          <w:szCs w:val="28"/>
        </w:rPr>
        <w:t xml:space="preserve"> 5</w:t>
      </w:r>
      <w:r w:rsidRPr="004B7ACC">
        <w:rPr>
          <w:rFonts w:ascii="Garamond" w:hAnsi="Garamond" w:cs="Times New Roman"/>
          <w:color w:val="000000" w:themeColor="text1"/>
          <w:sz w:val="28"/>
          <w:szCs w:val="28"/>
        </w:rPr>
        <w:t xml:space="preserve">, del nuovo decreto introduce a carico del gestore l'obbligo di comunicare ai ministeri competenti i soggetti inadempienti e l'entità degli inadempimenti ai fini dell'eventuale adozione di «idonee iniziative che tengano conto dell'entità </w:t>
      </w:r>
      <w:r>
        <w:rPr>
          <w:rFonts w:ascii="Garamond" w:hAnsi="Garamond" w:cs="Times New Roman"/>
          <w:color w:val="000000" w:themeColor="text1"/>
          <w:sz w:val="28"/>
          <w:szCs w:val="28"/>
        </w:rPr>
        <w:t>complessiva</w:t>
      </w:r>
      <w:r w:rsidRPr="004B7ACC">
        <w:rPr>
          <w:rFonts w:ascii="Garamond" w:hAnsi="Garamond" w:cs="Times New Roman"/>
          <w:color w:val="000000" w:themeColor="text1"/>
          <w:sz w:val="28"/>
          <w:szCs w:val="28"/>
        </w:rPr>
        <w:t xml:space="preserve"> delle inadempienze, della congruità delle sanzioni comminate e del </w:t>
      </w:r>
      <w:r w:rsidRPr="004B7ACC">
        <w:rPr>
          <w:rFonts w:ascii="Garamond" w:hAnsi="Garamond" w:cs="Times New Roman"/>
          <w:color w:val="000000" w:themeColor="text1"/>
          <w:sz w:val="28"/>
          <w:szCs w:val="28"/>
        </w:rPr>
        <w:lastRenderedPageBreak/>
        <w:t xml:space="preserve">grado di raggiungimento degli obiettivi connessi agli impegni di riduzione delle emissioni inquinanti assunti in sede comunitaria ed internazionale in applicazione del protocollo di Kyoto». Il d.m. 24 ottobre 2005 è stato </w:t>
      </w:r>
      <w:r>
        <w:rPr>
          <w:rFonts w:ascii="Garamond" w:hAnsi="Garamond" w:cs="Times New Roman"/>
          <w:color w:val="000000" w:themeColor="text1"/>
          <w:sz w:val="28"/>
          <w:szCs w:val="28"/>
        </w:rPr>
        <w:t>successivamente</w:t>
      </w:r>
      <w:r w:rsidRPr="004B7ACC">
        <w:rPr>
          <w:rFonts w:ascii="Garamond" w:hAnsi="Garamond" w:cs="Times New Roman"/>
          <w:color w:val="000000" w:themeColor="text1"/>
          <w:sz w:val="28"/>
          <w:szCs w:val="28"/>
        </w:rPr>
        <w:t xml:space="preserve"> abrogato e sostituito dal d.m. 18 dicembre 2008, il cui art. 13 conferma, peraltro, nei suoi tratti distintivi, la disciplina in materia di verifica annuale di adempimento dell'obbligo già dettata dall'art. 7 del citato d.m. del 2005.</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Ciò posto, secondo la giurisprudenza amministrativa:</w:t>
      </w:r>
    </w:p>
    <w:p w:rsidR="007B4920" w:rsidRDefault="007B4920" w:rsidP="007B4920">
      <w:pPr>
        <w:pStyle w:val="Paragrafoelenco"/>
        <w:numPr>
          <w:ilvl w:val="0"/>
          <w:numId w:val="16"/>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g</w:t>
      </w:r>
      <w:r w:rsidRPr="001B3256">
        <w:rPr>
          <w:rFonts w:ascii="Garamond" w:hAnsi="Garamond" w:cs="Times New Roman"/>
          <w:color w:val="000000" w:themeColor="text1"/>
          <w:sz w:val="28"/>
          <w:szCs w:val="28"/>
        </w:rPr>
        <w:t xml:space="preserve">li atti con cui il G.s.e. accerta il mancato assolvimento, da parte degli importatori o   produttori di </w:t>
      </w:r>
      <w:r>
        <w:rPr>
          <w:rFonts w:ascii="Garamond" w:hAnsi="Garamond" w:cs="Times New Roman"/>
          <w:color w:val="000000" w:themeColor="text1"/>
          <w:sz w:val="28"/>
          <w:szCs w:val="28"/>
        </w:rPr>
        <w:t>energia</w:t>
      </w:r>
      <w:r w:rsidRPr="001B3256">
        <w:rPr>
          <w:rFonts w:ascii="Garamond" w:hAnsi="Garamond" w:cs="Times New Roman"/>
          <w:color w:val="000000" w:themeColor="text1"/>
          <w:sz w:val="28"/>
          <w:szCs w:val="28"/>
        </w:rPr>
        <w:t xml:space="preserve"> da fonte rinnovabile, dell’obbligo stabilito dall'art. 11 d.lgs. n.  79 del 1999 hanno natura provvedimentale; pertanto, fatto salvo il legittimo esercizio, ricorrendone i presupposti, dell'autotutela </w:t>
      </w:r>
      <w:r>
        <w:rPr>
          <w:rFonts w:ascii="Garamond" w:hAnsi="Garamond" w:cs="Times New Roman"/>
          <w:color w:val="000000" w:themeColor="text1"/>
          <w:sz w:val="28"/>
          <w:szCs w:val="28"/>
        </w:rPr>
        <w:t>amministrativa</w:t>
      </w:r>
      <w:r w:rsidRPr="001B3256">
        <w:rPr>
          <w:rFonts w:ascii="Garamond" w:hAnsi="Garamond" w:cs="Times New Roman"/>
          <w:color w:val="000000" w:themeColor="text1"/>
          <w:sz w:val="28"/>
          <w:szCs w:val="28"/>
        </w:rPr>
        <w:t xml:space="preserve">, tali atti diventano definitivi ove non impugnati nei termini decadenziali di legge, avuto riguardo alla stretta correlazione tra atto di accertamento dell'inadempimento (con consequenziale attribuzione all'operatore economico dello stigma di soggetto inadempiente) ed il sistema delle sanzioni correlate a quell'accertamento e  alla necessaria esigenza di certezza giuridica e di stabilità del provvedimento del G.s.e. che accerta l'inadempienza dell'operatore economico rispetto all'obbligo di legge, in funzione propedeutica al sistema sanzionatorio affidato alle cure di altre autorità amministrative; </w:t>
      </w:r>
    </w:p>
    <w:p w:rsidR="007B4920" w:rsidRDefault="007B4920" w:rsidP="007B4920">
      <w:pPr>
        <w:pStyle w:val="Paragrafoelenco"/>
        <w:numPr>
          <w:ilvl w:val="0"/>
          <w:numId w:val="16"/>
        </w:numPr>
        <w:spacing w:line="240" w:lineRule="auto"/>
        <w:jc w:val="both"/>
        <w:rPr>
          <w:rFonts w:ascii="Garamond" w:hAnsi="Garamond" w:cs="Times New Roman"/>
          <w:color w:val="000000" w:themeColor="text1"/>
          <w:sz w:val="28"/>
          <w:szCs w:val="28"/>
        </w:rPr>
      </w:pPr>
      <w:r w:rsidRPr="001B3256">
        <w:rPr>
          <w:rFonts w:ascii="Garamond" w:hAnsi="Garamond" w:cs="Times New Roman"/>
          <w:color w:val="000000" w:themeColor="text1"/>
          <w:sz w:val="28"/>
          <w:szCs w:val="28"/>
        </w:rPr>
        <w:t>hanno invece natura non provvedimentale gli atti con cui il G.s.e. accerta in positivo l'avvenuto puntuale adempimento del suddetto obbligo da parte degli operatori, rivolvendosi in una mera presa d'atto dell'assolvimento degli obblighi discendenti direttamente dalla legge in cui ciò che rileva, sul piano del controllo amministrativo, è che quel soggetto per quell'anno non può essere ritenuto inadempiente</w:t>
      </w:r>
      <w:r>
        <w:rPr>
          <w:rFonts w:ascii="Garamond" w:hAnsi="Garamond" w:cs="Times New Roman"/>
          <w:color w:val="000000" w:themeColor="text1"/>
          <w:sz w:val="28"/>
          <w:szCs w:val="28"/>
        </w:rPr>
        <w:t xml:space="preserve"> [Ad. p</w:t>
      </w:r>
      <w:r w:rsidRPr="001B3256">
        <w:rPr>
          <w:rFonts w:ascii="Garamond" w:hAnsi="Garamond" w:cs="Times New Roman"/>
          <w:color w:val="000000" w:themeColor="text1"/>
          <w:sz w:val="28"/>
          <w:szCs w:val="28"/>
        </w:rPr>
        <w:t>len</w:t>
      </w:r>
      <w:r>
        <w:rPr>
          <w:rFonts w:ascii="Garamond" w:hAnsi="Garamond" w:cs="Times New Roman"/>
          <w:color w:val="000000" w:themeColor="text1"/>
          <w:sz w:val="28"/>
          <w:szCs w:val="28"/>
        </w:rPr>
        <w:t xml:space="preserve">. </w:t>
      </w:r>
      <w:r w:rsidRPr="001B3256">
        <w:rPr>
          <w:rFonts w:ascii="Garamond" w:hAnsi="Garamond" w:cs="Times New Roman"/>
          <w:color w:val="000000" w:themeColor="text1"/>
          <w:sz w:val="28"/>
          <w:szCs w:val="28"/>
        </w:rPr>
        <w:t xml:space="preserve">n. 9 del 2019 in relazione a fattispecie regolata </w:t>
      </w:r>
      <w:r w:rsidRPr="001B3256">
        <w:rPr>
          <w:rFonts w:ascii="Garamond" w:hAnsi="Garamond" w:cs="Times New Roman"/>
          <w:i/>
          <w:color w:val="000000" w:themeColor="text1"/>
          <w:sz w:val="28"/>
          <w:szCs w:val="28"/>
        </w:rPr>
        <w:t>ratione temporis</w:t>
      </w:r>
      <w:r w:rsidRPr="001B3256">
        <w:rPr>
          <w:rFonts w:ascii="Garamond" w:hAnsi="Garamond" w:cs="Times New Roman"/>
          <w:color w:val="000000" w:themeColor="text1"/>
          <w:sz w:val="28"/>
          <w:szCs w:val="28"/>
        </w:rPr>
        <w:t xml:space="preserve"> dall’art. 11 d.l.gs. n. 79 del 1999 abrogato, ad eccezione del comma 4, dal d.lgs. 3 marzo 2011 n. 28 di attuazione della </w:t>
      </w:r>
      <w:r>
        <w:rPr>
          <w:rFonts w:ascii="Garamond" w:hAnsi="Garamond" w:cs="Times New Roman"/>
          <w:color w:val="000000" w:themeColor="text1"/>
          <w:sz w:val="28"/>
          <w:szCs w:val="28"/>
        </w:rPr>
        <w:t>direttiva</w:t>
      </w:r>
      <w:r w:rsidRPr="001B3256">
        <w:rPr>
          <w:rFonts w:ascii="Garamond" w:hAnsi="Garamond" w:cs="Times New Roman"/>
          <w:color w:val="000000" w:themeColor="text1"/>
          <w:sz w:val="28"/>
          <w:szCs w:val="28"/>
        </w:rPr>
        <w:t xml:space="preserve"> 2009/28/CE</w:t>
      </w:r>
      <w:r>
        <w:rPr>
          <w:rFonts w:ascii="Garamond" w:hAnsi="Garamond" w:cs="Times New Roman"/>
          <w:color w:val="000000" w:themeColor="text1"/>
          <w:sz w:val="28"/>
          <w:szCs w:val="28"/>
        </w:rPr>
        <w:t>]</w:t>
      </w:r>
      <w:r w:rsidRPr="001B3256">
        <w:rPr>
          <w:rFonts w:ascii="Garamond" w:hAnsi="Garamond" w:cs="Times New Roman"/>
          <w:color w:val="000000" w:themeColor="text1"/>
          <w:sz w:val="28"/>
          <w:szCs w:val="28"/>
        </w:rPr>
        <w:t xml:space="preserve">; </w:t>
      </w:r>
    </w:p>
    <w:p w:rsidR="007B4920" w:rsidRDefault="007B4920" w:rsidP="007B4920">
      <w:pPr>
        <w:pStyle w:val="Paragrafoelenco"/>
        <w:numPr>
          <w:ilvl w:val="0"/>
          <w:numId w:val="16"/>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ad avviso della plenaria</w:t>
      </w:r>
      <w:r w:rsidRPr="001B3256">
        <w:rPr>
          <w:rFonts w:ascii="Garamond" w:hAnsi="Garamond" w:cs="Times New Roman"/>
          <w:color w:val="000000" w:themeColor="text1"/>
          <w:sz w:val="28"/>
          <w:szCs w:val="28"/>
        </w:rPr>
        <w:t xml:space="preserve"> tale soluzione duale riguardo alla natura degli atti del G.s.e. (provvedimentale/non provvedimentale, a seconda degli esiti del procedimento di verifica) è pienamente coerente con la scelta </w:t>
      </w:r>
      <w:r>
        <w:rPr>
          <w:rFonts w:ascii="Garamond" w:hAnsi="Garamond" w:cs="Times New Roman"/>
          <w:color w:val="000000" w:themeColor="text1"/>
          <w:sz w:val="28"/>
          <w:szCs w:val="28"/>
        </w:rPr>
        <w:t>legislativa</w:t>
      </w:r>
      <w:r w:rsidRPr="001B3256">
        <w:rPr>
          <w:rFonts w:ascii="Garamond" w:hAnsi="Garamond" w:cs="Times New Roman"/>
          <w:color w:val="000000" w:themeColor="text1"/>
          <w:sz w:val="28"/>
          <w:szCs w:val="28"/>
        </w:rPr>
        <w:t>, non altrimenti giustificabile ove non connessa all'esercizio di poteri amministrativi - cfr. Corte cost. n. 292 del 2000, n. 204 del 2004 e n. 140 del 2007 -  di affidare alla cognizione esclus</w:t>
      </w:r>
      <w:r>
        <w:rPr>
          <w:rFonts w:ascii="Garamond" w:hAnsi="Garamond" w:cs="Times New Roman"/>
          <w:color w:val="000000" w:themeColor="text1"/>
          <w:sz w:val="28"/>
          <w:szCs w:val="28"/>
        </w:rPr>
        <w:t>iva</w:t>
      </w:r>
      <w:r w:rsidRPr="001B3256">
        <w:rPr>
          <w:rFonts w:ascii="Garamond" w:hAnsi="Garamond" w:cs="Times New Roman"/>
          <w:color w:val="000000" w:themeColor="text1"/>
          <w:sz w:val="28"/>
          <w:szCs w:val="28"/>
        </w:rPr>
        <w:t xml:space="preserve"> del giudice amministrativo la giurisdizione anche di questa materia, sia che vengano in gioco poteri autoritativi in senso tecnico e quindi interessi legittimi, sia che si controverta di meri diritti soggettivi di natura patrimoniale, solo indirettamente collegati all'esercizio di un potere autoritativo nel cui ambito pur si inseriscono, come appunto quelli dedotti in termini di </w:t>
      </w:r>
      <w:r w:rsidRPr="001B3256">
        <w:rPr>
          <w:rFonts w:ascii="Garamond" w:hAnsi="Garamond" w:cs="Times New Roman"/>
          <w:i/>
          <w:color w:val="000000" w:themeColor="text1"/>
          <w:sz w:val="28"/>
          <w:szCs w:val="28"/>
        </w:rPr>
        <w:t>condictio indebiti</w:t>
      </w:r>
      <w:r w:rsidRPr="001B3256">
        <w:rPr>
          <w:rFonts w:ascii="Garamond" w:hAnsi="Garamond" w:cs="Times New Roman"/>
          <w:color w:val="000000" w:themeColor="text1"/>
          <w:sz w:val="28"/>
          <w:szCs w:val="28"/>
        </w:rPr>
        <w:t xml:space="preserve"> con l'</w:t>
      </w:r>
      <w:r>
        <w:rPr>
          <w:rFonts w:ascii="Garamond" w:hAnsi="Garamond" w:cs="Times New Roman"/>
          <w:color w:val="000000" w:themeColor="text1"/>
          <w:sz w:val="28"/>
          <w:szCs w:val="28"/>
        </w:rPr>
        <w:t>atto introduttivo del giudizio;</w:t>
      </w:r>
    </w:p>
    <w:p w:rsidR="007B4920" w:rsidRDefault="007B4920" w:rsidP="007B4920">
      <w:pPr>
        <w:pStyle w:val="Paragrafoelenco"/>
        <w:numPr>
          <w:ilvl w:val="0"/>
          <w:numId w:val="16"/>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la plenaria</w:t>
      </w:r>
      <w:r w:rsidRPr="001B3256">
        <w:rPr>
          <w:rFonts w:ascii="Garamond" w:hAnsi="Garamond" w:cs="Times New Roman"/>
          <w:color w:val="000000" w:themeColor="text1"/>
          <w:sz w:val="28"/>
          <w:szCs w:val="28"/>
        </w:rPr>
        <w:t xml:space="preserve"> ha affrontato la tematica delle funzioni svolte dal G.s.e. in sede di verifica del rispetto della  c.d. quota d'obbligo evidenziando in primo luogo che si tratta di obbligo posto nel preminente interesse della collettività alla graduale riduzione della componente di anidride carbonica presente nell'atmosfera,  corrispondente al superiore interesse a verificarne la concreta osservanza da parte dello Stato (da intendersi sia come Stato-persona, in rapporto ai vincoli internazionali nascenti </w:t>
      </w:r>
      <w:r w:rsidRPr="001B3256">
        <w:rPr>
          <w:rFonts w:ascii="Garamond" w:hAnsi="Garamond" w:cs="Times New Roman"/>
          <w:color w:val="000000" w:themeColor="text1"/>
          <w:sz w:val="28"/>
          <w:szCs w:val="28"/>
        </w:rPr>
        <w:lastRenderedPageBreak/>
        <w:t xml:space="preserve">dalla firma del c.d. protocollo di Kyoto, sia come Stato comunità in rappresentanza dell'interesse collettivo al miglioramento della qualità ambientale). Il compito di verifica affidato al G.s.e.  si risolve pertanto in una eminente funzione </w:t>
      </w:r>
      <w:r>
        <w:rPr>
          <w:rFonts w:ascii="Garamond" w:hAnsi="Garamond" w:cs="Times New Roman"/>
          <w:color w:val="000000" w:themeColor="text1"/>
          <w:sz w:val="28"/>
          <w:szCs w:val="28"/>
        </w:rPr>
        <w:t>amministrativa</w:t>
      </w:r>
      <w:r w:rsidRPr="001B3256">
        <w:rPr>
          <w:rFonts w:ascii="Garamond" w:hAnsi="Garamond" w:cs="Times New Roman"/>
          <w:color w:val="000000" w:themeColor="text1"/>
          <w:sz w:val="28"/>
          <w:szCs w:val="28"/>
        </w:rPr>
        <w:t xml:space="preserve"> di controllo sull'attività economica </w:t>
      </w:r>
      <w:r>
        <w:rPr>
          <w:rFonts w:ascii="Garamond" w:hAnsi="Garamond" w:cs="Times New Roman"/>
          <w:color w:val="000000" w:themeColor="text1"/>
          <w:sz w:val="28"/>
          <w:szCs w:val="28"/>
        </w:rPr>
        <w:t>privata</w:t>
      </w:r>
      <w:r w:rsidRPr="001B3256">
        <w:rPr>
          <w:rFonts w:ascii="Garamond" w:hAnsi="Garamond" w:cs="Times New Roman"/>
          <w:color w:val="000000" w:themeColor="text1"/>
          <w:sz w:val="28"/>
          <w:szCs w:val="28"/>
        </w:rPr>
        <w:t xml:space="preserve">, inquadrandosi nell'alveo dei controlli, espressamente previsti dalla Carta costituzionale (art. 41, comma 3, Cost.), che i pubblici poteri esercitano sull'attività economica </w:t>
      </w:r>
      <w:r>
        <w:rPr>
          <w:rFonts w:ascii="Garamond" w:hAnsi="Garamond" w:cs="Times New Roman"/>
          <w:color w:val="000000" w:themeColor="text1"/>
          <w:sz w:val="28"/>
          <w:szCs w:val="28"/>
        </w:rPr>
        <w:t>privata</w:t>
      </w:r>
      <w:r w:rsidRPr="001B3256">
        <w:rPr>
          <w:rFonts w:ascii="Garamond" w:hAnsi="Garamond" w:cs="Times New Roman"/>
          <w:color w:val="000000" w:themeColor="text1"/>
          <w:sz w:val="28"/>
          <w:szCs w:val="28"/>
        </w:rPr>
        <w:t xml:space="preserve"> per assicurare che la stessa persegua gli specifici fini social</w:t>
      </w:r>
      <w:r>
        <w:rPr>
          <w:rFonts w:ascii="Garamond" w:hAnsi="Garamond" w:cs="Times New Roman"/>
          <w:color w:val="000000" w:themeColor="text1"/>
          <w:sz w:val="28"/>
          <w:szCs w:val="28"/>
        </w:rPr>
        <w:t>i previsti dalla legge [</w:t>
      </w:r>
      <w:r w:rsidRPr="001B3256">
        <w:rPr>
          <w:rFonts w:ascii="Garamond" w:hAnsi="Garamond" w:cs="Times New Roman"/>
          <w:color w:val="000000" w:themeColor="text1"/>
          <w:sz w:val="28"/>
          <w:szCs w:val="28"/>
        </w:rPr>
        <w:t xml:space="preserve">In tale contesto, l'adempimento della quota d'obbligo, riguardata dal versante dei soggetti obbligati, si atteggia alla stregua di una prestazione patrimoniale imposta (art. 23 Cost.) la cui previsione a livello di normazione primaria (art. 11 d.lgs. n. 79 del 1999) soddisfa il requisito costituzionale della riserva </w:t>
      </w:r>
      <w:r>
        <w:rPr>
          <w:rFonts w:ascii="Garamond" w:hAnsi="Garamond" w:cs="Times New Roman"/>
          <w:color w:val="000000" w:themeColor="text1"/>
          <w:sz w:val="28"/>
          <w:szCs w:val="28"/>
        </w:rPr>
        <w:t>relativa</w:t>
      </w:r>
      <w:r w:rsidRPr="001B3256">
        <w:rPr>
          <w:rFonts w:ascii="Garamond" w:hAnsi="Garamond" w:cs="Times New Roman"/>
          <w:color w:val="000000" w:themeColor="text1"/>
          <w:sz w:val="28"/>
          <w:szCs w:val="28"/>
        </w:rPr>
        <w:t xml:space="preserve"> di legge in materia di prestazioni patrimoniali imposte, nonché di funzioni amministrative e</w:t>
      </w:r>
      <w:r>
        <w:rPr>
          <w:rFonts w:ascii="Garamond" w:hAnsi="Garamond" w:cs="Times New Roman"/>
          <w:color w:val="000000" w:themeColor="text1"/>
          <w:sz w:val="28"/>
          <w:szCs w:val="28"/>
        </w:rPr>
        <w:t>sercitate da soggetti privati].</w:t>
      </w:r>
    </w:p>
    <w:p w:rsidR="007B4920" w:rsidRPr="00A0023A" w:rsidRDefault="007B4920" w:rsidP="007B4920">
      <w:pPr>
        <w:spacing w:line="240" w:lineRule="auto"/>
        <w:jc w:val="both"/>
        <w:rPr>
          <w:rFonts w:ascii="Garamond" w:hAnsi="Garamond" w:cs="Times New Roman"/>
          <w:b/>
          <w:color w:val="000000" w:themeColor="text1"/>
          <w:sz w:val="28"/>
          <w:szCs w:val="28"/>
        </w:rPr>
      </w:pPr>
      <w:r w:rsidRPr="003D586D">
        <w:rPr>
          <w:rFonts w:ascii="Garamond" w:hAnsi="Garamond" w:cs="Times New Roman"/>
          <w:b/>
          <w:color w:val="000000" w:themeColor="text1"/>
          <w:sz w:val="28"/>
          <w:szCs w:val="28"/>
        </w:rPr>
        <w:t>4.2. I certificati verdi.</w:t>
      </w:r>
    </w:p>
    <w:p w:rsidR="007B4920" w:rsidRDefault="007B4920" w:rsidP="007B4920">
      <w:pPr>
        <w:spacing w:line="240" w:lineRule="auto"/>
        <w:ind w:firstLine="360"/>
        <w:jc w:val="both"/>
        <w:rPr>
          <w:rFonts w:ascii="Garamond" w:hAnsi="Garamond" w:cs="Times New Roman"/>
          <w:color w:val="000000" w:themeColor="text1"/>
          <w:sz w:val="28"/>
          <w:szCs w:val="28"/>
        </w:rPr>
      </w:pPr>
      <w:r>
        <w:rPr>
          <w:rFonts w:ascii="Garamond" w:hAnsi="Garamond" w:cs="Times New Roman"/>
          <w:color w:val="000000" w:themeColor="text1"/>
          <w:sz w:val="28"/>
          <w:szCs w:val="28"/>
        </w:rPr>
        <w:t>A</w:t>
      </w:r>
      <w:r w:rsidRPr="00A0023A">
        <w:rPr>
          <w:rFonts w:ascii="Garamond" w:hAnsi="Garamond" w:cs="Times New Roman"/>
          <w:color w:val="000000" w:themeColor="text1"/>
          <w:sz w:val="28"/>
          <w:szCs w:val="28"/>
        </w:rPr>
        <w:t xml:space="preserve"> differenza del sistema di incentivi Cip 6/92, il meccanismo dei certificati verdi non prevede la cessione dell’</w:t>
      </w:r>
      <w:r>
        <w:rPr>
          <w:rFonts w:ascii="Garamond" w:hAnsi="Garamond" w:cs="Times New Roman"/>
          <w:color w:val="000000" w:themeColor="text1"/>
          <w:sz w:val="28"/>
          <w:szCs w:val="28"/>
        </w:rPr>
        <w:t>energia</w:t>
      </w:r>
      <w:r w:rsidRPr="00A0023A">
        <w:rPr>
          <w:rFonts w:ascii="Garamond" w:hAnsi="Garamond" w:cs="Times New Roman"/>
          <w:color w:val="000000" w:themeColor="text1"/>
          <w:sz w:val="28"/>
          <w:szCs w:val="28"/>
        </w:rPr>
        <w:t xml:space="preserve"> elettrica </w:t>
      </w:r>
      <w:r>
        <w:rPr>
          <w:rFonts w:ascii="Garamond" w:hAnsi="Garamond" w:cs="Times New Roman"/>
          <w:color w:val="000000" w:themeColor="text1"/>
          <w:sz w:val="28"/>
          <w:szCs w:val="28"/>
        </w:rPr>
        <w:t>incentivata</w:t>
      </w:r>
      <w:r w:rsidRPr="00A0023A">
        <w:rPr>
          <w:rFonts w:ascii="Garamond" w:hAnsi="Garamond" w:cs="Times New Roman"/>
          <w:color w:val="000000" w:themeColor="text1"/>
          <w:sz w:val="28"/>
          <w:szCs w:val="28"/>
        </w:rPr>
        <w:t>. Il certificato verde è un incentivo corrisposto sulla produzione netta dell'impianto, ma l’</w:t>
      </w:r>
      <w:r>
        <w:rPr>
          <w:rFonts w:ascii="Garamond" w:hAnsi="Garamond" w:cs="Times New Roman"/>
          <w:color w:val="000000" w:themeColor="text1"/>
          <w:sz w:val="28"/>
          <w:szCs w:val="28"/>
        </w:rPr>
        <w:t>energia</w:t>
      </w:r>
      <w:r w:rsidRPr="00A0023A">
        <w:rPr>
          <w:rFonts w:ascii="Garamond" w:hAnsi="Garamond" w:cs="Times New Roman"/>
          <w:color w:val="000000" w:themeColor="text1"/>
          <w:sz w:val="28"/>
          <w:szCs w:val="28"/>
        </w:rPr>
        <w:t xml:space="preserve"> prodotta resta nella disponibilità del produttore, che può venderla o utilizzarla per i propri fabbisogni. Pertanto, nel sistema di </w:t>
      </w:r>
      <w:r>
        <w:rPr>
          <w:rFonts w:ascii="Garamond" w:hAnsi="Garamond" w:cs="Times New Roman"/>
          <w:color w:val="000000" w:themeColor="text1"/>
          <w:sz w:val="28"/>
          <w:szCs w:val="28"/>
        </w:rPr>
        <w:t>incentivazione</w:t>
      </w:r>
      <w:r w:rsidRPr="00A0023A">
        <w:rPr>
          <w:rFonts w:ascii="Garamond" w:hAnsi="Garamond" w:cs="Times New Roman"/>
          <w:color w:val="000000" w:themeColor="text1"/>
          <w:sz w:val="28"/>
          <w:szCs w:val="28"/>
        </w:rPr>
        <w:t xml:space="preserve"> Cip 6/92 si evidenzia un vincolo ulteriore rispetto al sistema dei certificati verdi: l’</w:t>
      </w:r>
      <w:r>
        <w:rPr>
          <w:rFonts w:ascii="Garamond" w:hAnsi="Garamond" w:cs="Times New Roman"/>
          <w:color w:val="000000" w:themeColor="text1"/>
          <w:sz w:val="28"/>
          <w:szCs w:val="28"/>
        </w:rPr>
        <w:t>energia</w:t>
      </w:r>
      <w:r w:rsidRPr="00A0023A">
        <w:rPr>
          <w:rFonts w:ascii="Garamond" w:hAnsi="Garamond" w:cs="Times New Roman"/>
          <w:color w:val="000000" w:themeColor="text1"/>
          <w:sz w:val="28"/>
          <w:szCs w:val="28"/>
        </w:rPr>
        <w:t xml:space="preserve"> elettrica </w:t>
      </w:r>
      <w:r>
        <w:rPr>
          <w:rFonts w:ascii="Garamond" w:hAnsi="Garamond" w:cs="Times New Roman"/>
          <w:color w:val="000000" w:themeColor="text1"/>
          <w:sz w:val="28"/>
          <w:szCs w:val="28"/>
        </w:rPr>
        <w:t>incentivata</w:t>
      </w:r>
      <w:r w:rsidRPr="00A0023A">
        <w:rPr>
          <w:rFonts w:ascii="Garamond" w:hAnsi="Garamond" w:cs="Times New Roman"/>
          <w:color w:val="000000" w:themeColor="text1"/>
          <w:sz w:val="28"/>
          <w:szCs w:val="28"/>
        </w:rPr>
        <w:t xml:space="preserve"> deve essere anche consegnata al G.s.e., il quale, a sua volta, la cede al mercato. Con i certificati verdi tale vincolo non è presente. I d.m. attuativi del sistema di </w:t>
      </w:r>
      <w:r>
        <w:rPr>
          <w:rFonts w:ascii="Garamond" w:hAnsi="Garamond" w:cs="Times New Roman"/>
          <w:color w:val="000000" w:themeColor="text1"/>
          <w:sz w:val="28"/>
          <w:szCs w:val="28"/>
        </w:rPr>
        <w:t>incentivazione</w:t>
      </w:r>
      <w:r w:rsidRPr="00A0023A">
        <w:rPr>
          <w:rFonts w:ascii="Garamond" w:hAnsi="Garamond" w:cs="Times New Roman"/>
          <w:color w:val="000000" w:themeColor="text1"/>
          <w:sz w:val="28"/>
          <w:szCs w:val="28"/>
        </w:rPr>
        <w:t xml:space="preserve"> dei certificati verdi definiscono “produzione netta di un impianto” la produzione lorda diminuita dell’</w:t>
      </w:r>
      <w:r>
        <w:rPr>
          <w:rFonts w:ascii="Garamond" w:hAnsi="Garamond" w:cs="Times New Roman"/>
          <w:color w:val="000000" w:themeColor="text1"/>
          <w:sz w:val="28"/>
          <w:szCs w:val="28"/>
        </w:rPr>
        <w:t>energia</w:t>
      </w:r>
      <w:r w:rsidRPr="00A0023A">
        <w:rPr>
          <w:rFonts w:ascii="Garamond" w:hAnsi="Garamond" w:cs="Times New Roman"/>
          <w:color w:val="000000" w:themeColor="text1"/>
          <w:sz w:val="28"/>
          <w:szCs w:val="28"/>
        </w:rPr>
        <w:t xml:space="preserve"> elettrica assorbita dai servizi ausiliari e delle perdite nei trasformatori principali. I decreti stabiliscono altresì che l’</w:t>
      </w:r>
      <w:r>
        <w:rPr>
          <w:rFonts w:ascii="Garamond" w:hAnsi="Garamond" w:cs="Times New Roman"/>
          <w:color w:val="000000" w:themeColor="text1"/>
          <w:sz w:val="28"/>
          <w:szCs w:val="28"/>
        </w:rPr>
        <w:t>energia</w:t>
      </w:r>
      <w:r w:rsidRPr="00A0023A">
        <w:rPr>
          <w:rFonts w:ascii="Garamond" w:hAnsi="Garamond" w:cs="Times New Roman"/>
          <w:color w:val="000000" w:themeColor="text1"/>
          <w:sz w:val="28"/>
          <w:szCs w:val="28"/>
        </w:rPr>
        <w:t xml:space="preserve"> elettrica assorbita dai servizi ausiliari e le perdite nei trasformatori principali siano definite dal G.s.e. nell’ambito della qualifica Iafr, come quota risultante dalle misure elettriche oppure come quota forfetaria della produzione lorda. In entrambi i regimi di </w:t>
      </w:r>
      <w:r>
        <w:rPr>
          <w:rFonts w:ascii="Garamond" w:hAnsi="Garamond" w:cs="Times New Roman"/>
          <w:color w:val="000000" w:themeColor="text1"/>
          <w:sz w:val="28"/>
          <w:szCs w:val="28"/>
        </w:rPr>
        <w:t>incentivazione</w:t>
      </w:r>
      <w:r w:rsidRPr="00A0023A">
        <w:rPr>
          <w:rFonts w:ascii="Garamond" w:hAnsi="Garamond" w:cs="Times New Roman"/>
          <w:color w:val="000000" w:themeColor="text1"/>
          <w:sz w:val="28"/>
          <w:szCs w:val="28"/>
        </w:rPr>
        <w:t xml:space="preserve"> la quantificazione dei servizi ausiliari è frutto di una valutazione caso per caso, approvata dal G.s.e. in sede di sottoscrizione della convenzione Cip 6/92 o del rilascio della qualifica Iafr (Cons. Stato, sez. II, n. 10530 del 2022</w:t>
      </w:r>
      <w:r>
        <w:rPr>
          <w:rFonts w:ascii="Garamond" w:hAnsi="Garamond" w:cs="Times New Roman"/>
          <w:color w:val="000000" w:themeColor="text1"/>
          <w:sz w:val="28"/>
          <w:szCs w:val="28"/>
        </w:rPr>
        <w:t>).</w:t>
      </w:r>
    </w:p>
    <w:p w:rsidR="007B4920" w:rsidRPr="00A0023A" w:rsidRDefault="007B4920" w:rsidP="007B4920">
      <w:pPr>
        <w:spacing w:line="240" w:lineRule="auto"/>
        <w:ind w:firstLine="360"/>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E’ </w:t>
      </w:r>
      <w:r w:rsidRPr="00A0023A">
        <w:rPr>
          <w:rFonts w:ascii="Garamond" w:hAnsi="Garamond" w:cs="Times New Roman"/>
          <w:color w:val="000000" w:themeColor="text1"/>
          <w:sz w:val="28"/>
          <w:szCs w:val="28"/>
        </w:rPr>
        <w:t>stata rimessa alla Corte di giustizia UE la seguente questione pregiudiziale:</w:t>
      </w:r>
    </w:p>
    <w:p w:rsidR="007B4920" w:rsidRPr="00DE6C96" w:rsidRDefault="007B4920" w:rsidP="007B4920">
      <w:pPr>
        <w:spacing w:line="240" w:lineRule="auto"/>
        <w:ind w:left="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“se </w:t>
      </w:r>
      <w:r w:rsidRPr="00DE6C96">
        <w:rPr>
          <w:rFonts w:ascii="Garamond" w:hAnsi="Garamond" w:cs="Times New Roman"/>
          <w:color w:val="000000" w:themeColor="text1"/>
          <w:sz w:val="28"/>
          <w:szCs w:val="28"/>
        </w:rPr>
        <w:t>l’articolo 18 TFUE, nella parte in cui vieta ogni discriminazione effettuata in base alla nazionalità nel campo di applicazione dei Trattati;</w:t>
      </w:r>
    </w:p>
    <w:p w:rsidR="007B4920" w:rsidRPr="00DE6C96" w:rsidRDefault="007B4920" w:rsidP="007B4920">
      <w:pPr>
        <w:spacing w:line="240" w:lineRule="auto"/>
        <w:ind w:left="708" w:firstLine="1"/>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se </w:t>
      </w:r>
      <w:r w:rsidRPr="00DE6C96">
        <w:rPr>
          <w:rFonts w:ascii="Garamond" w:hAnsi="Garamond" w:cs="Times New Roman"/>
          <w:color w:val="000000" w:themeColor="text1"/>
          <w:sz w:val="28"/>
          <w:szCs w:val="28"/>
        </w:rPr>
        <w:t xml:space="preserve">gli articoli 28 e 30 TFUE, nonché l’art. 6 dell’accordo di libero scambio CEE – Svizzera, nella parte in cui dispongono l’abolizione dei dazi doganali sulle importazioni e misure aventi effetto </w:t>
      </w:r>
      <w:r>
        <w:rPr>
          <w:rFonts w:ascii="Garamond" w:hAnsi="Garamond" w:cs="Times New Roman"/>
          <w:color w:val="000000" w:themeColor="text1"/>
          <w:sz w:val="28"/>
          <w:szCs w:val="28"/>
        </w:rPr>
        <w:t>equivalente</w:t>
      </w:r>
      <w:r w:rsidRPr="00DE6C96">
        <w:rPr>
          <w:rFonts w:ascii="Garamond" w:hAnsi="Garamond" w:cs="Times New Roman"/>
          <w:color w:val="000000" w:themeColor="text1"/>
          <w:sz w:val="28"/>
          <w:szCs w:val="28"/>
        </w:rPr>
        <w:t>;</w:t>
      </w:r>
    </w:p>
    <w:p w:rsidR="007B4920" w:rsidRPr="00DE6C96" w:rsidRDefault="007B4920" w:rsidP="007B4920">
      <w:pPr>
        <w:spacing w:line="240" w:lineRule="auto"/>
        <w:ind w:left="708" w:firstLine="1"/>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se </w:t>
      </w:r>
      <w:r w:rsidRPr="00DE6C96">
        <w:rPr>
          <w:rFonts w:ascii="Garamond" w:hAnsi="Garamond" w:cs="Times New Roman"/>
          <w:color w:val="000000" w:themeColor="text1"/>
          <w:sz w:val="28"/>
          <w:szCs w:val="28"/>
        </w:rPr>
        <w:t>l’articolo 110 TFUE, nella parte in cui vieta imposizioni fiscali sulle importazioni superiori a quelle applicate direttamente o indirettamente ai prodotti nazionali similari;</w:t>
      </w:r>
    </w:p>
    <w:p w:rsidR="007B4920" w:rsidRPr="00DE6C96" w:rsidRDefault="007B4920" w:rsidP="007B4920">
      <w:pPr>
        <w:spacing w:line="240" w:lineRule="auto"/>
        <w:ind w:left="708" w:firstLine="1"/>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se </w:t>
      </w:r>
      <w:r w:rsidRPr="00DE6C96">
        <w:rPr>
          <w:rFonts w:ascii="Garamond" w:hAnsi="Garamond" w:cs="Times New Roman"/>
          <w:color w:val="000000" w:themeColor="text1"/>
          <w:sz w:val="28"/>
          <w:szCs w:val="28"/>
        </w:rPr>
        <w:t xml:space="preserve">l’articolo 34 TFUE, nonché l’art. 13 dell’accordo di libero scambio CEE – Svizzera, nella parte in cui vietano l’adozione di misure aventi effetto </w:t>
      </w:r>
      <w:r>
        <w:rPr>
          <w:rFonts w:ascii="Garamond" w:hAnsi="Garamond" w:cs="Times New Roman"/>
          <w:color w:val="000000" w:themeColor="text1"/>
          <w:sz w:val="28"/>
          <w:szCs w:val="28"/>
        </w:rPr>
        <w:t>equivalente</w:t>
      </w:r>
      <w:r w:rsidRPr="00DE6C96">
        <w:rPr>
          <w:rFonts w:ascii="Garamond" w:hAnsi="Garamond" w:cs="Times New Roman"/>
          <w:color w:val="000000" w:themeColor="text1"/>
          <w:sz w:val="28"/>
          <w:szCs w:val="28"/>
        </w:rPr>
        <w:t xml:space="preserve"> a restrizioni quantitative sulle importazioni;</w:t>
      </w:r>
    </w:p>
    <w:p w:rsidR="007B4920" w:rsidRPr="00DE6C96" w:rsidRDefault="007B4920" w:rsidP="007B4920">
      <w:pPr>
        <w:spacing w:line="240" w:lineRule="auto"/>
        <w:ind w:left="708" w:firstLine="1"/>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 xml:space="preserve">se </w:t>
      </w:r>
      <w:r w:rsidRPr="00DE6C96">
        <w:rPr>
          <w:rFonts w:ascii="Garamond" w:hAnsi="Garamond" w:cs="Times New Roman"/>
          <w:color w:val="000000" w:themeColor="text1"/>
          <w:sz w:val="28"/>
          <w:szCs w:val="28"/>
        </w:rPr>
        <w:t>gli articoli 107 e 108 TFUE, nella parte in cui vietano di dare esecuzione ad una misura di aiuto di Stato non notificata alla Commissione ed incompatibile con il mercato interno;</w:t>
      </w:r>
    </w:p>
    <w:p w:rsidR="007B4920" w:rsidRDefault="007B4920" w:rsidP="007B4920">
      <w:pPr>
        <w:spacing w:line="240" w:lineRule="auto"/>
        <w:ind w:left="708" w:firstLine="1"/>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se</w:t>
      </w:r>
      <w:r w:rsidRPr="00DE6C96">
        <w:rPr>
          <w:rFonts w:ascii="Garamond" w:hAnsi="Garamond" w:cs="Times New Roman"/>
          <w:color w:val="000000" w:themeColor="text1"/>
          <w:sz w:val="28"/>
          <w:szCs w:val="28"/>
        </w:rPr>
        <w:t xml:space="preserve"> la </w:t>
      </w:r>
      <w:r>
        <w:rPr>
          <w:rFonts w:ascii="Garamond" w:hAnsi="Garamond" w:cs="Times New Roman"/>
          <w:color w:val="000000" w:themeColor="text1"/>
          <w:sz w:val="28"/>
          <w:szCs w:val="28"/>
        </w:rPr>
        <w:t>direttiva</w:t>
      </w:r>
      <w:r w:rsidRPr="00DE6C96">
        <w:rPr>
          <w:rFonts w:ascii="Garamond" w:hAnsi="Garamond" w:cs="Times New Roman"/>
          <w:color w:val="000000" w:themeColor="text1"/>
          <w:sz w:val="28"/>
          <w:szCs w:val="28"/>
        </w:rPr>
        <w:t xml:space="preserve"> 2009/28/CE, nella parte in cui si prefigge di favorire il commercio intra-comunitario di elettricità verde favorendo, altresì, la promozione delle capacità produ</w:t>
      </w:r>
      <w:r>
        <w:rPr>
          <w:rFonts w:ascii="Garamond" w:hAnsi="Garamond" w:cs="Times New Roman"/>
          <w:color w:val="000000" w:themeColor="text1"/>
          <w:sz w:val="28"/>
          <w:szCs w:val="28"/>
        </w:rPr>
        <w:t>ttive dei singoli Stati membri;</w:t>
      </w:r>
    </w:p>
    <w:p w:rsidR="007B4920" w:rsidRPr="00777A23" w:rsidRDefault="007B4920" w:rsidP="007B4920">
      <w:pPr>
        <w:spacing w:line="240" w:lineRule="auto"/>
        <w:ind w:left="708" w:firstLine="1"/>
        <w:contextualSpacing/>
        <w:jc w:val="both"/>
        <w:rPr>
          <w:rFonts w:ascii="Garamond" w:hAnsi="Garamond" w:cs="Times New Roman"/>
          <w:color w:val="000000" w:themeColor="text1"/>
          <w:sz w:val="28"/>
          <w:szCs w:val="28"/>
        </w:rPr>
      </w:pPr>
      <w:r w:rsidRPr="00DE6C96">
        <w:rPr>
          <w:rFonts w:ascii="Garamond" w:hAnsi="Garamond" w:cs="Times New Roman"/>
          <w:color w:val="000000" w:themeColor="text1"/>
          <w:sz w:val="28"/>
          <w:szCs w:val="28"/>
        </w:rPr>
        <w:t>ostino ad una legge nazionale che imponga agli importatori di elettricità verde un onere pecuniario non applicabile ai produttori nazionali del medesimo prodotto</w:t>
      </w:r>
      <w:r w:rsidRPr="00D20740">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w:t>
      </w:r>
      <w:r w:rsidRPr="00777A23">
        <w:rPr>
          <w:rFonts w:ascii="Garamond" w:hAnsi="Garamond" w:cs="Times New Roman"/>
          <w:color w:val="000000" w:themeColor="text1"/>
          <w:sz w:val="28"/>
          <w:szCs w:val="28"/>
        </w:rPr>
        <w:t xml:space="preserve">[Cons. Stato, sez. IV, ord. n. 6078 del 2019 riferita a fattispecie </w:t>
      </w:r>
      <w:r>
        <w:rPr>
          <w:rFonts w:ascii="Garamond" w:hAnsi="Garamond" w:cs="Times New Roman"/>
          <w:color w:val="000000" w:themeColor="text1"/>
          <w:sz w:val="28"/>
          <w:szCs w:val="28"/>
        </w:rPr>
        <w:t>relativa</w:t>
      </w:r>
      <w:r w:rsidRPr="00777A23">
        <w:rPr>
          <w:rFonts w:ascii="Garamond" w:hAnsi="Garamond" w:cs="Times New Roman"/>
          <w:color w:val="000000" w:themeColor="text1"/>
          <w:sz w:val="28"/>
          <w:szCs w:val="28"/>
        </w:rPr>
        <w:t xml:space="preserve"> a provvedimento del G.s.e. con cui si imponeva alla società appellante (importatrice in Italia di “</w:t>
      </w:r>
      <w:r>
        <w:rPr>
          <w:rFonts w:ascii="Garamond" w:hAnsi="Garamond" w:cs="Times New Roman"/>
          <w:color w:val="000000" w:themeColor="text1"/>
          <w:sz w:val="28"/>
          <w:szCs w:val="28"/>
        </w:rPr>
        <w:t>energia</w:t>
      </w:r>
      <w:r w:rsidRPr="00777A23">
        <w:rPr>
          <w:rFonts w:ascii="Garamond" w:hAnsi="Garamond" w:cs="Times New Roman"/>
          <w:color w:val="000000" w:themeColor="text1"/>
          <w:sz w:val="28"/>
          <w:szCs w:val="28"/>
        </w:rPr>
        <w:t xml:space="preserve"> verde” o “pulita”) l’obbligo di acquisto dei certificati verdi (la Corte UE non si è pronunciata perché l’appellante ha rinunciato all’appello e all’istanza di rinvio pregiudiziale). L’ordinanza di remissione evidenzia che in base al d.l.gs. n. 387 del 2003 gli importatori di </w:t>
      </w:r>
      <w:r>
        <w:rPr>
          <w:rFonts w:ascii="Garamond" w:hAnsi="Garamond" w:cs="Times New Roman"/>
          <w:color w:val="000000" w:themeColor="text1"/>
          <w:sz w:val="28"/>
          <w:szCs w:val="28"/>
        </w:rPr>
        <w:t>energia</w:t>
      </w:r>
      <w:r w:rsidRPr="00777A23">
        <w:rPr>
          <w:rFonts w:ascii="Garamond" w:hAnsi="Garamond" w:cs="Times New Roman"/>
          <w:color w:val="000000" w:themeColor="text1"/>
          <w:sz w:val="28"/>
          <w:szCs w:val="28"/>
        </w:rPr>
        <w:t xml:space="preserve"> erano tenuti ad immettere una determinata quota proveniente da fonti rinnovabili o, in </w:t>
      </w:r>
      <w:r>
        <w:rPr>
          <w:rFonts w:ascii="Garamond" w:hAnsi="Garamond" w:cs="Times New Roman"/>
          <w:color w:val="000000" w:themeColor="text1"/>
          <w:sz w:val="28"/>
          <w:szCs w:val="28"/>
        </w:rPr>
        <w:t>alternativa</w:t>
      </w:r>
      <w:r w:rsidRPr="00777A23">
        <w:rPr>
          <w:rFonts w:ascii="Garamond" w:hAnsi="Garamond" w:cs="Times New Roman"/>
          <w:color w:val="000000" w:themeColor="text1"/>
          <w:sz w:val="28"/>
          <w:szCs w:val="28"/>
        </w:rPr>
        <w:t xml:space="preserve">, ad acquistare certificati verdi per il corrispondente valore (art. 20, comma 3). In caso di immissione di </w:t>
      </w:r>
      <w:r>
        <w:rPr>
          <w:rFonts w:ascii="Garamond" w:hAnsi="Garamond" w:cs="Times New Roman"/>
          <w:color w:val="000000" w:themeColor="text1"/>
          <w:sz w:val="28"/>
          <w:szCs w:val="28"/>
        </w:rPr>
        <w:t>energia</w:t>
      </w:r>
      <w:r w:rsidRPr="00777A23">
        <w:rPr>
          <w:rFonts w:ascii="Garamond" w:hAnsi="Garamond" w:cs="Times New Roman"/>
          <w:color w:val="000000" w:themeColor="text1"/>
          <w:sz w:val="28"/>
          <w:szCs w:val="28"/>
        </w:rPr>
        <w:t xml:space="preserve"> verde prodotta in altri Stati membri, sarebbe stata sufficiente una specifica attestazione di provenienza. La società ricorrente, in base a tale disciplina, </w:t>
      </w:r>
      <w:r>
        <w:rPr>
          <w:rFonts w:ascii="Garamond" w:hAnsi="Garamond" w:cs="Times New Roman"/>
          <w:color w:val="000000" w:themeColor="text1"/>
          <w:sz w:val="28"/>
          <w:szCs w:val="28"/>
        </w:rPr>
        <w:t>veniva</w:t>
      </w:r>
      <w:r w:rsidRPr="00777A23">
        <w:rPr>
          <w:rFonts w:ascii="Garamond" w:hAnsi="Garamond" w:cs="Times New Roman"/>
          <w:color w:val="000000" w:themeColor="text1"/>
          <w:sz w:val="28"/>
          <w:szCs w:val="28"/>
        </w:rPr>
        <w:t xml:space="preserve"> dunque esonerata dall’obbligo di acquisto di certificati verdi dal momento che la stessa importava </w:t>
      </w:r>
      <w:r>
        <w:rPr>
          <w:rFonts w:ascii="Garamond" w:hAnsi="Garamond" w:cs="Times New Roman"/>
          <w:color w:val="000000" w:themeColor="text1"/>
          <w:sz w:val="28"/>
          <w:szCs w:val="28"/>
        </w:rPr>
        <w:t>energia</w:t>
      </w:r>
      <w:r w:rsidRPr="00777A23">
        <w:rPr>
          <w:rFonts w:ascii="Garamond" w:hAnsi="Garamond" w:cs="Times New Roman"/>
          <w:color w:val="000000" w:themeColor="text1"/>
          <w:sz w:val="28"/>
          <w:szCs w:val="28"/>
        </w:rPr>
        <w:t xml:space="preserve"> verde certificata proveniente da Francia e Svizzera (con la quale l’UE aveva raggiunto uno specifico accordo bilaterale); il d.lgs. n. 28 del 2011 (art. 25, comma 11) ha invece abrogato la citata disposizione di cui al d.lgs. n. 387 del 2003. Pertanto l’</w:t>
      </w:r>
      <w:r>
        <w:rPr>
          <w:rFonts w:ascii="Garamond" w:hAnsi="Garamond" w:cs="Times New Roman"/>
          <w:color w:val="000000" w:themeColor="text1"/>
          <w:sz w:val="28"/>
          <w:szCs w:val="28"/>
        </w:rPr>
        <w:t>energia</w:t>
      </w:r>
      <w:r w:rsidRPr="00777A23">
        <w:rPr>
          <w:rFonts w:ascii="Garamond" w:hAnsi="Garamond" w:cs="Times New Roman"/>
          <w:color w:val="000000" w:themeColor="text1"/>
          <w:sz w:val="28"/>
          <w:szCs w:val="28"/>
        </w:rPr>
        <w:t xml:space="preserve"> importata sarebbe in ogni caso considerata, </w:t>
      </w:r>
      <w:r w:rsidRPr="00777A23">
        <w:rPr>
          <w:rFonts w:ascii="Garamond" w:hAnsi="Garamond" w:cs="Times New Roman"/>
          <w:i/>
          <w:color w:val="000000" w:themeColor="text1"/>
          <w:sz w:val="28"/>
          <w:szCs w:val="28"/>
        </w:rPr>
        <w:t>iuris et de iure</w:t>
      </w:r>
      <w:r w:rsidRPr="00777A23">
        <w:rPr>
          <w:rFonts w:ascii="Garamond" w:hAnsi="Garamond" w:cs="Times New Roman"/>
          <w:color w:val="000000" w:themeColor="text1"/>
          <w:sz w:val="28"/>
          <w:szCs w:val="28"/>
        </w:rPr>
        <w:t xml:space="preserve">, come proveniente da fonti non rinnovabili. Essa non </w:t>
      </w:r>
      <w:r>
        <w:rPr>
          <w:rFonts w:ascii="Garamond" w:hAnsi="Garamond" w:cs="Times New Roman"/>
          <w:color w:val="000000" w:themeColor="text1"/>
          <w:sz w:val="28"/>
          <w:szCs w:val="28"/>
        </w:rPr>
        <w:t>equivale</w:t>
      </w:r>
      <w:r w:rsidRPr="00777A23">
        <w:rPr>
          <w:rFonts w:ascii="Garamond" w:hAnsi="Garamond" w:cs="Times New Roman"/>
          <w:color w:val="000000" w:themeColor="text1"/>
          <w:sz w:val="28"/>
          <w:szCs w:val="28"/>
        </w:rPr>
        <w:t xml:space="preserve"> - pur se ricavata da fonti rinnovabili -  alla </w:t>
      </w:r>
      <w:r>
        <w:rPr>
          <w:rFonts w:ascii="Garamond" w:hAnsi="Garamond" w:cs="Times New Roman"/>
          <w:color w:val="000000" w:themeColor="text1"/>
          <w:sz w:val="28"/>
          <w:szCs w:val="28"/>
        </w:rPr>
        <w:t>energia</w:t>
      </w:r>
      <w:r w:rsidRPr="00777A23">
        <w:rPr>
          <w:rFonts w:ascii="Garamond" w:hAnsi="Garamond" w:cs="Times New Roman"/>
          <w:color w:val="000000" w:themeColor="text1"/>
          <w:sz w:val="28"/>
          <w:szCs w:val="28"/>
        </w:rPr>
        <w:t xml:space="preserve"> pulita prodotta nel territorio italiano e dunque non concorre al raggiungimento del predetto obiettivo di livello nazionale: di qui l’obbligo di acquistare certificati verdi imposto all’impresa dal G.s.e. e la consequenziale </w:t>
      </w:r>
      <w:r>
        <w:rPr>
          <w:rFonts w:ascii="Garamond" w:hAnsi="Garamond" w:cs="Times New Roman"/>
          <w:color w:val="000000" w:themeColor="text1"/>
          <w:sz w:val="28"/>
          <w:szCs w:val="28"/>
        </w:rPr>
        <w:t>impugnativa</w:t>
      </w:r>
      <w:r w:rsidRPr="00777A23">
        <w:rPr>
          <w:rFonts w:ascii="Garamond" w:hAnsi="Garamond" w:cs="Times New Roman"/>
          <w:color w:val="000000" w:themeColor="text1"/>
          <w:sz w:val="28"/>
          <w:szCs w:val="28"/>
        </w:rPr>
        <w:t xml:space="preserve"> innanzi al T</w:t>
      </w:r>
      <w:r>
        <w:rPr>
          <w:rFonts w:ascii="Garamond" w:hAnsi="Garamond" w:cs="Times New Roman"/>
          <w:color w:val="000000" w:themeColor="text1"/>
          <w:sz w:val="28"/>
          <w:szCs w:val="28"/>
        </w:rPr>
        <w:t>.</w:t>
      </w:r>
      <w:r w:rsidRPr="00777A23">
        <w:rPr>
          <w:rFonts w:ascii="Garamond" w:hAnsi="Garamond" w:cs="Times New Roman"/>
          <w:color w:val="000000" w:themeColor="text1"/>
          <w:sz w:val="28"/>
          <w:szCs w:val="28"/>
        </w:rPr>
        <w:t>a</w:t>
      </w:r>
      <w:r>
        <w:rPr>
          <w:rFonts w:ascii="Garamond" w:hAnsi="Garamond" w:cs="Times New Roman"/>
          <w:color w:val="000000" w:themeColor="text1"/>
          <w:sz w:val="28"/>
          <w:szCs w:val="28"/>
        </w:rPr>
        <w:t>.</w:t>
      </w:r>
      <w:r w:rsidRPr="00777A23">
        <w:rPr>
          <w:rFonts w:ascii="Garamond" w:hAnsi="Garamond" w:cs="Times New Roman"/>
          <w:color w:val="000000" w:themeColor="text1"/>
          <w:sz w:val="28"/>
          <w:szCs w:val="28"/>
        </w:rPr>
        <w:t>r</w:t>
      </w:r>
      <w:r>
        <w:rPr>
          <w:rFonts w:ascii="Garamond" w:hAnsi="Garamond" w:cs="Times New Roman"/>
          <w:color w:val="000000" w:themeColor="text1"/>
          <w:sz w:val="28"/>
          <w:szCs w:val="28"/>
        </w:rPr>
        <w:t>.</w:t>
      </w:r>
      <w:r w:rsidRPr="00777A23">
        <w:rPr>
          <w:rFonts w:ascii="Garamond" w:hAnsi="Garamond" w:cs="Times New Roman"/>
          <w:color w:val="000000" w:themeColor="text1"/>
          <w:sz w:val="28"/>
          <w:szCs w:val="28"/>
        </w:rPr>
        <w:t xml:space="preserve"> per il Lazio, che respingeva il ricorso sulla base di quanto affermato nella pronunzia della Corte di giustizia del 1° luglio 2014, C-573/12. Il Consiglio di Stato ha adottato l’indicata ordinanza di rinvio pregiudiziale alla Corte di giustizia al fine di stabilire se un simile onere pecuniario (non applicabile ai produttori nazionali della medesima forma di </w:t>
      </w:r>
      <w:r>
        <w:rPr>
          <w:rFonts w:ascii="Garamond" w:hAnsi="Garamond" w:cs="Times New Roman"/>
          <w:color w:val="000000" w:themeColor="text1"/>
          <w:sz w:val="28"/>
          <w:szCs w:val="28"/>
        </w:rPr>
        <w:t>energia</w:t>
      </w:r>
      <w:r w:rsidRPr="00777A23">
        <w:rPr>
          <w:rFonts w:ascii="Garamond" w:hAnsi="Garamond" w:cs="Times New Roman"/>
          <w:color w:val="000000" w:themeColor="text1"/>
          <w:sz w:val="28"/>
          <w:szCs w:val="28"/>
        </w:rPr>
        <w:t xml:space="preserve">) sia in ogni caso compatibile con i principi e con le norme comunitarie vigenti </w:t>
      </w:r>
      <w:r w:rsidRPr="00C37D5E">
        <w:rPr>
          <w:rFonts w:ascii="Garamond" w:hAnsi="Garamond" w:cs="Times New Roman"/>
          <w:i/>
          <w:color w:val="000000" w:themeColor="text1"/>
          <w:sz w:val="28"/>
          <w:szCs w:val="28"/>
        </w:rPr>
        <w:t>in subiecta materia</w:t>
      </w:r>
      <w:r w:rsidRPr="00777A23">
        <w:rPr>
          <w:rFonts w:ascii="Garamond" w:hAnsi="Garamond" w:cs="Times New Roman"/>
          <w:color w:val="000000" w:themeColor="text1"/>
          <w:sz w:val="28"/>
          <w:szCs w:val="28"/>
        </w:rPr>
        <w:t xml:space="preserve">; ciò in quanto nella </w:t>
      </w:r>
      <w:r>
        <w:rPr>
          <w:rFonts w:ascii="Garamond" w:hAnsi="Garamond" w:cs="Times New Roman"/>
          <w:color w:val="000000" w:themeColor="text1"/>
          <w:sz w:val="28"/>
          <w:szCs w:val="28"/>
        </w:rPr>
        <w:t>prospettiva</w:t>
      </w:r>
      <w:r w:rsidRPr="00777A23">
        <w:rPr>
          <w:rFonts w:ascii="Garamond" w:hAnsi="Garamond" w:cs="Times New Roman"/>
          <w:color w:val="000000" w:themeColor="text1"/>
          <w:sz w:val="28"/>
          <w:szCs w:val="28"/>
        </w:rPr>
        <w:t xml:space="preserve"> della società appellante una simile scelta si rivelerebbe alla stregua di inammissibile aiuto di stato o comunque di restrizione </w:t>
      </w:r>
      <w:r>
        <w:rPr>
          <w:rFonts w:ascii="Garamond" w:hAnsi="Garamond" w:cs="Times New Roman"/>
          <w:color w:val="000000" w:themeColor="text1"/>
          <w:sz w:val="28"/>
          <w:szCs w:val="28"/>
        </w:rPr>
        <w:t>quantitativa</w:t>
      </w:r>
      <w:r w:rsidRPr="00777A23">
        <w:rPr>
          <w:rFonts w:ascii="Garamond" w:hAnsi="Garamond" w:cs="Times New Roman"/>
          <w:color w:val="000000" w:themeColor="text1"/>
          <w:sz w:val="28"/>
          <w:szCs w:val="28"/>
        </w:rPr>
        <w:t xml:space="preserve"> all’importazione o di tassa di effetto </w:t>
      </w:r>
      <w:r>
        <w:rPr>
          <w:rFonts w:ascii="Garamond" w:hAnsi="Garamond" w:cs="Times New Roman"/>
          <w:color w:val="000000" w:themeColor="text1"/>
          <w:sz w:val="28"/>
          <w:szCs w:val="28"/>
        </w:rPr>
        <w:t>equivalente</w:t>
      </w:r>
      <w:r w:rsidRPr="00777A23">
        <w:rPr>
          <w:rFonts w:ascii="Garamond" w:hAnsi="Garamond" w:cs="Times New Roman"/>
          <w:color w:val="000000" w:themeColor="text1"/>
          <w:sz w:val="28"/>
          <w:szCs w:val="28"/>
        </w:rPr>
        <w:t xml:space="preserve">, disvelando tale misura quale unico obiettivo quello di agevolare </w:t>
      </w:r>
      <w:r>
        <w:rPr>
          <w:rFonts w:ascii="Garamond" w:hAnsi="Garamond" w:cs="Times New Roman"/>
          <w:color w:val="000000" w:themeColor="text1"/>
          <w:sz w:val="28"/>
          <w:szCs w:val="28"/>
        </w:rPr>
        <w:t>esclusivamente</w:t>
      </w:r>
      <w:r w:rsidRPr="00777A23">
        <w:rPr>
          <w:rFonts w:ascii="Garamond" w:hAnsi="Garamond" w:cs="Times New Roman"/>
          <w:color w:val="000000" w:themeColor="text1"/>
          <w:sz w:val="28"/>
          <w:szCs w:val="28"/>
        </w:rPr>
        <w:t xml:space="preserve"> i produttori di </w:t>
      </w:r>
      <w:r>
        <w:rPr>
          <w:rFonts w:ascii="Garamond" w:hAnsi="Garamond" w:cs="Times New Roman"/>
          <w:color w:val="000000" w:themeColor="text1"/>
          <w:sz w:val="28"/>
          <w:szCs w:val="28"/>
        </w:rPr>
        <w:t>energia</w:t>
      </w:r>
      <w:r w:rsidRPr="00777A23">
        <w:rPr>
          <w:rFonts w:ascii="Garamond" w:hAnsi="Garamond" w:cs="Times New Roman"/>
          <w:color w:val="000000" w:themeColor="text1"/>
          <w:sz w:val="28"/>
          <w:szCs w:val="28"/>
        </w:rPr>
        <w:t xml:space="preserve"> pulita stanziati nel territorio italiano. Peraltro ad avviso del Consiglio di Stato una simile scelta del legislatore del 2011 potrebbe comunque risultare orientata al maggior sviluppo possibile della produzione interna di </w:t>
      </w:r>
      <w:r>
        <w:rPr>
          <w:rFonts w:ascii="Garamond" w:hAnsi="Garamond" w:cs="Times New Roman"/>
          <w:color w:val="000000" w:themeColor="text1"/>
          <w:sz w:val="28"/>
          <w:szCs w:val="28"/>
        </w:rPr>
        <w:t>energia</w:t>
      </w:r>
      <w:r w:rsidRPr="00777A23">
        <w:rPr>
          <w:rFonts w:ascii="Garamond" w:hAnsi="Garamond" w:cs="Times New Roman"/>
          <w:color w:val="000000" w:themeColor="text1"/>
          <w:sz w:val="28"/>
          <w:szCs w:val="28"/>
        </w:rPr>
        <w:t xml:space="preserve"> da fonte rinnovabile, così determinando un più elevato livello di realizzazione degli obiettivi nazionali e, soprattutto, un più incisivo standard di tutela dell’ambiente e della salute. Entro questi termini la misura si rivelerebbe giustificata nonché proporzionata rispetto alla restrizione </w:t>
      </w:r>
      <w:r>
        <w:rPr>
          <w:rFonts w:ascii="Garamond" w:hAnsi="Garamond" w:cs="Times New Roman"/>
          <w:color w:val="000000" w:themeColor="text1"/>
          <w:sz w:val="28"/>
          <w:szCs w:val="28"/>
        </w:rPr>
        <w:t>quantitativa</w:t>
      </w:r>
      <w:r w:rsidRPr="00777A23">
        <w:rPr>
          <w:rFonts w:ascii="Garamond" w:hAnsi="Garamond" w:cs="Times New Roman"/>
          <w:color w:val="000000" w:themeColor="text1"/>
          <w:sz w:val="28"/>
          <w:szCs w:val="28"/>
        </w:rPr>
        <w:t xml:space="preserve"> comunque determinatasi in merito ai livelli di </w:t>
      </w:r>
      <w:r>
        <w:rPr>
          <w:rFonts w:ascii="Garamond" w:hAnsi="Garamond" w:cs="Times New Roman"/>
          <w:color w:val="000000" w:themeColor="text1"/>
          <w:sz w:val="28"/>
          <w:szCs w:val="28"/>
        </w:rPr>
        <w:t>energia</w:t>
      </w:r>
      <w:r w:rsidRPr="00777A23">
        <w:rPr>
          <w:rFonts w:ascii="Garamond" w:hAnsi="Garamond" w:cs="Times New Roman"/>
          <w:color w:val="000000" w:themeColor="text1"/>
          <w:sz w:val="28"/>
          <w:szCs w:val="28"/>
        </w:rPr>
        <w:t xml:space="preserve"> importata da altri Stati membri]. </w:t>
      </w:r>
      <w:r w:rsidRPr="003D586D">
        <w:rPr>
          <w:rFonts w:ascii="Garamond" w:hAnsi="Garamond" w:cs="Times New Roman"/>
          <w:color w:val="000000" w:themeColor="text1"/>
          <w:sz w:val="28"/>
          <w:szCs w:val="28"/>
        </w:rPr>
        <w:t xml:space="preserve">Le illustrate questioni </w:t>
      </w:r>
      <w:r w:rsidRPr="003D586D">
        <w:rPr>
          <w:rFonts w:ascii="Garamond" w:hAnsi="Garamond" w:cs="Times New Roman"/>
          <w:color w:val="000000" w:themeColor="text1"/>
          <w:sz w:val="28"/>
          <w:szCs w:val="28"/>
        </w:rPr>
        <w:lastRenderedPageBreak/>
        <w:t>non sono state decise dopo che l’appello al Consiglio di Stato è stato rinunciato e il rinvio pregiudiziale conseguentemente ritirato.</w:t>
      </w:r>
    </w:p>
    <w:p w:rsidR="007B4920" w:rsidRDefault="007B4920" w:rsidP="007B4920">
      <w:pPr>
        <w:spacing w:line="240" w:lineRule="auto"/>
        <w:ind w:firstLine="708"/>
        <w:contextualSpacing/>
        <w:jc w:val="both"/>
        <w:rPr>
          <w:rFonts w:ascii="Garamond" w:hAnsi="Garamond" w:cs="Times New Roman"/>
          <w:color w:val="000000" w:themeColor="text1"/>
          <w:sz w:val="28"/>
          <w:szCs w:val="28"/>
        </w:rPr>
      </w:pPr>
      <w:r w:rsidRPr="00A0023A">
        <w:rPr>
          <w:rFonts w:ascii="Garamond" w:hAnsi="Garamond" w:cs="Times New Roman"/>
          <w:color w:val="000000" w:themeColor="text1"/>
          <w:sz w:val="28"/>
          <w:szCs w:val="28"/>
        </w:rPr>
        <w:t xml:space="preserve">Non può applicarsi ai certificati verdi la novella introdotta </w:t>
      </w:r>
      <w:r>
        <w:rPr>
          <w:rFonts w:ascii="Garamond" w:hAnsi="Garamond" w:cs="Times New Roman"/>
          <w:color w:val="000000" w:themeColor="text1"/>
          <w:sz w:val="28"/>
          <w:szCs w:val="28"/>
        </w:rPr>
        <w:t xml:space="preserve">in materia di certificati </w:t>
      </w:r>
      <w:r w:rsidRPr="00A0023A">
        <w:rPr>
          <w:rFonts w:ascii="Garamond" w:hAnsi="Garamond" w:cs="Times New Roman"/>
          <w:color w:val="000000" w:themeColor="text1"/>
          <w:sz w:val="28"/>
          <w:szCs w:val="28"/>
        </w:rPr>
        <w:t xml:space="preserve">bianchi dalla l. n. 124 del 2017, secondo la quale il G.s.e. non può pretendere la restituzione dei titoli corrisposti sulla base delle richieste di rilascio già approvate quando le difformità tra l’intervento di efficienza energetica proposto e la </w:t>
      </w:r>
      <w:r>
        <w:rPr>
          <w:rFonts w:ascii="Garamond" w:hAnsi="Garamond" w:cs="Times New Roman"/>
          <w:color w:val="000000" w:themeColor="text1"/>
          <w:sz w:val="28"/>
          <w:szCs w:val="28"/>
        </w:rPr>
        <w:t>normativa</w:t>
      </w:r>
      <w:r w:rsidRPr="00A0023A">
        <w:rPr>
          <w:rFonts w:ascii="Garamond" w:hAnsi="Garamond" w:cs="Times New Roman"/>
          <w:color w:val="000000" w:themeColor="text1"/>
          <w:sz w:val="28"/>
          <w:szCs w:val="28"/>
        </w:rPr>
        <w:t xml:space="preserve"> vigente all’epoca di presentazione dell’</w:t>
      </w:r>
      <w:r>
        <w:rPr>
          <w:rFonts w:ascii="Garamond" w:hAnsi="Garamond" w:cs="Times New Roman"/>
          <w:color w:val="000000" w:themeColor="text1"/>
          <w:sz w:val="28"/>
          <w:szCs w:val="28"/>
        </w:rPr>
        <w:t>iniziativa</w:t>
      </w:r>
      <w:r w:rsidRPr="00A0023A">
        <w:rPr>
          <w:rFonts w:ascii="Garamond" w:hAnsi="Garamond" w:cs="Times New Roman"/>
          <w:color w:val="000000" w:themeColor="text1"/>
          <w:sz w:val="28"/>
          <w:szCs w:val="28"/>
        </w:rPr>
        <w:t xml:space="preserve"> non dipendano da discordanze tra quanto dichiarato e quanto realizzato, ovvero da documenti non veritieri o dichiarazioni mendaci rese dal proponente; ciò alla luce delle differenze sostanziali tra i due incentivi (certificati verdi e certificati bianchi) e, soprattutto, della generale preclusione di qualsiasi integrazione analogica o interpretazione </w:t>
      </w:r>
      <w:r>
        <w:rPr>
          <w:rFonts w:ascii="Garamond" w:hAnsi="Garamond" w:cs="Times New Roman"/>
          <w:color w:val="000000" w:themeColor="text1"/>
          <w:sz w:val="28"/>
          <w:szCs w:val="28"/>
        </w:rPr>
        <w:t>estensiva</w:t>
      </w:r>
      <w:r w:rsidRPr="00A0023A">
        <w:rPr>
          <w:rFonts w:ascii="Garamond" w:hAnsi="Garamond" w:cs="Times New Roman"/>
          <w:color w:val="000000" w:themeColor="text1"/>
          <w:sz w:val="28"/>
          <w:szCs w:val="28"/>
        </w:rPr>
        <w:t xml:space="preserve"> delle disposizioni normative, necessariamente speciali, che introducono finanziamenti e benefici economici, sempre soggette ad un’esegesi rigorosa</w:t>
      </w:r>
      <w:r>
        <w:rPr>
          <w:rFonts w:ascii="Garamond" w:hAnsi="Garamond" w:cs="Times New Roman"/>
          <w:color w:val="000000" w:themeColor="text1"/>
          <w:sz w:val="28"/>
          <w:szCs w:val="28"/>
        </w:rPr>
        <w:t>.</w:t>
      </w:r>
    </w:p>
    <w:p w:rsidR="007B4920" w:rsidRPr="00A0023A" w:rsidRDefault="007B4920" w:rsidP="007B4920">
      <w:pPr>
        <w:spacing w:line="240" w:lineRule="auto"/>
        <w:ind w:firstLine="708"/>
        <w:contextualSpacing/>
        <w:jc w:val="both"/>
        <w:rPr>
          <w:rFonts w:ascii="Garamond" w:hAnsi="Garamond" w:cs="Times New Roman"/>
          <w:color w:val="000000" w:themeColor="text1"/>
          <w:sz w:val="28"/>
          <w:szCs w:val="28"/>
          <w:highlight w:val="yellow"/>
        </w:rPr>
      </w:pPr>
      <w:r w:rsidRPr="00A0023A">
        <w:rPr>
          <w:rFonts w:ascii="Garamond" w:hAnsi="Garamond" w:cs="Times New Roman"/>
          <w:color w:val="000000" w:themeColor="text1"/>
          <w:sz w:val="28"/>
          <w:szCs w:val="28"/>
        </w:rPr>
        <w:t xml:space="preserve">E’ pertanto legittimo il provvedimento del G.s.e. adottato in sede di verifica ex art. 42 del d.lgs. n. 28 del 2011 </w:t>
      </w:r>
      <w:r>
        <w:rPr>
          <w:rFonts w:ascii="Garamond" w:hAnsi="Garamond" w:cs="Times New Roman"/>
          <w:color w:val="000000" w:themeColor="text1"/>
          <w:sz w:val="28"/>
          <w:szCs w:val="28"/>
        </w:rPr>
        <w:t>relativa</w:t>
      </w:r>
      <w:r w:rsidRPr="00A0023A">
        <w:rPr>
          <w:rFonts w:ascii="Garamond" w:hAnsi="Garamond" w:cs="Times New Roman"/>
          <w:color w:val="000000" w:themeColor="text1"/>
          <w:sz w:val="28"/>
          <w:szCs w:val="28"/>
        </w:rPr>
        <w:t xml:space="preserve">mente ad un impianto di cogenerazione abbinato alla rete di teleriscaldamento che ridetermini l’incentivo spettante al suddetto impianto, ingiungendo la restituzione di certificati verdi erroneamente conteggiati, perché relativi ad utenze termiche connesse non alla rete di teleriscaldamento,  così come originariamente costruita, ma ad estensioni della rete stessa, realizzate in data </w:t>
      </w:r>
      <w:r>
        <w:rPr>
          <w:rFonts w:ascii="Garamond" w:hAnsi="Garamond" w:cs="Times New Roman"/>
          <w:color w:val="000000" w:themeColor="text1"/>
          <w:sz w:val="28"/>
          <w:szCs w:val="28"/>
        </w:rPr>
        <w:t>successiva</w:t>
      </w:r>
      <w:r w:rsidRPr="00A0023A">
        <w:rPr>
          <w:rFonts w:ascii="Garamond" w:hAnsi="Garamond" w:cs="Times New Roman"/>
          <w:color w:val="000000" w:themeColor="text1"/>
          <w:sz w:val="28"/>
          <w:szCs w:val="28"/>
        </w:rPr>
        <w:t xml:space="preserve"> al 31 dicembre 2009 [che, quindi, non avrebbero potuto concorrere alla determinazione della quota di </w:t>
      </w:r>
      <w:r>
        <w:rPr>
          <w:rFonts w:ascii="Garamond" w:hAnsi="Garamond" w:cs="Times New Roman"/>
          <w:color w:val="000000" w:themeColor="text1"/>
          <w:sz w:val="28"/>
          <w:szCs w:val="28"/>
        </w:rPr>
        <w:t>energia</w:t>
      </w:r>
      <w:r w:rsidRPr="00A0023A">
        <w:rPr>
          <w:rFonts w:ascii="Garamond" w:hAnsi="Garamond" w:cs="Times New Roman"/>
          <w:color w:val="000000" w:themeColor="text1"/>
          <w:sz w:val="28"/>
          <w:szCs w:val="28"/>
        </w:rPr>
        <w:t xml:space="preserve"> termica per la quale il produttore ha diritto a richiedere tale tipologia di certificati (Cons. Stato, sez. IV. n. 5802 del 2023 con richiamo a Cons. Stato, sez. IV, n. 8422 del 2020 e a Corte di giustizia UE, 29 aprile 2021, C-617/19)]. </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5</w:t>
      </w:r>
      <w:r w:rsidRPr="001649A5">
        <w:rPr>
          <w:rFonts w:ascii="Garamond" w:hAnsi="Garamond" w:cs="Times New Roman"/>
          <w:b/>
          <w:color w:val="000000" w:themeColor="text1"/>
          <w:sz w:val="28"/>
          <w:szCs w:val="28"/>
        </w:rPr>
        <w:t>.</w:t>
      </w:r>
      <w:r>
        <w:rPr>
          <w:rFonts w:ascii="Garamond" w:hAnsi="Garamond" w:cs="Times New Roman"/>
          <w:b/>
          <w:color w:val="000000" w:themeColor="text1"/>
          <w:sz w:val="28"/>
          <w:szCs w:val="28"/>
        </w:rPr>
        <w:t xml:space="preserve"> Il superamento dei certificati verdi</w:t>
      </w:r>
      <w:r w:rsidRPr="003D586D">
        <w:rPr>
          <w:rFonts w:ascii="Garamond" w:hAnsi="Garamond" w:cs="Times New Roman"/>
          <w:b/>
          <w:color w:val="000000" w:themeColor="text1"/>
          <w:sz w:val="28"/>
          <w:szCs w:val="28"/>
        </w:rPr>
        <w:t>: l</w:t>
      </w:r>
      <w:r w:rsidRPr="00B72ABE">
        <w:rPr>
          <w:rFonts w:ascii="Garamond" w:hAnsi="Garamond" w:cs="Times New Roman"/>
          <w:b/>
          <w:color w:val="000000" w:themeColor="text1"/>
          <w:sz w:val="28"/>
          <w:szCs w:val="28"/>
        </w:rPr>
        <w:t>e tariffe omnicomprensive</w:t>
      </w:r>
      <w:r>
        <w:rPr>
          <w:rFonts w:ascii="Garamond" w:hAnsi="Garamond" w:cs="Times New Roman"/>
          <w:b/>
          <w:color w:val="000000" w:themeColor="text1"/>
          <w:sz w:val="28"/>
          <w:szCs w:val="28"/>
        </w:rPr>
        <w:t>.</w:t>
      </w:r>
    </w:p>
    <w:p w:rsidR="007B4920" w:rsidRPr="0093360D" w:rsidRDefault="007B4920" w:rsidP="007B4920">
      <w:pPr>
        <w:spacing w:line="240" w:lineRule="auto"/>
        <w:ind w:firstLine="709"/>
        <w:contextualSpacing/>
        <w:jc w:val="both"/>
        <w:rPr>
          <w:rFonts w:ascii="Garamond" w:hAnsi="Garamond" w:cs="Times New Roman"/>
          <w:color w:val="000000" w:themeColor="text1"/>
          <w:sz w:val="28"/>
          <w:szCs w:val="28"/>
        </w:rPr>
      </w:pPr>
      <w:r w:rsidRPr="0093360D">
        <w:rPr>
          <w:rFonts w:ascii="Garamond" w:hAnsi="Garamond" w:cs="Times New Roman"/>
          <w:color w:val="000000" w:themeColor="text1"/>
          <w:sz w:val="28"/>
          <w:szCs w:val="28"/>
        </w:rPr>
        <w:t>Il d.lgs. n. 28 del 2011 ha segnato il passaggio dai certificati verdi alle tariffe o</w:t>
      </w:r>
      <w:r>
        <w:rPr>
          <w:rFonts w:ascii="Garamond" w:hAnsi="Garamond" w:cs="Times New Roman"/>
          <w:color w:val="000000" w:themeColor="text1"/>
          <w:sz w:val="28"/>
          <w:szCs w:val="28"/>
        </w:rPr>
        <w:t>m</w:t>
      </w:r>
      <w:r w:rsidRPr="0093360D">
        <w:rPr>
          <w:rFonts w:ascii="Garamond" w:hAnsi="Garamond" w:cs="Times New Roman"/>
          <w:color w:val="000000" w:themeColor="text1"/>
          <w:sz w:val="28"/>
          <w:szCs w:val="28"/>
        </w:rPr>
        <w:t>nicomprensive.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93360D">
        <w:rPr>
          <w:rFonts w:ascii="Garamond" w:hAnsi="Garamond" w:cs="Times New Roman"/>
          <w:color w:val="000000" w:themeColor="text1"/>
          <w:sz w:val="28"/>
          <w:szCs w:val="28"/>
        </w:rPr>
        <w:t xml:space="preserve">In particolare l’art. 24 di tale d.lgs. disciplina </w:t>
      </w:r>
      <w:r>
        <w:rPr>
          <w:rFonts w:ascii="Garamond" w:hAnsi="Garamond" w:cs="Times New Roman"/>
          <w:color w:val="000000" w:themeColor="text1"/>
          <w:sz w:val="28"/>
          <w:szCs w:val="28"/>
        </w:rPr>
        <w:t>i meccanismi di incentivazione relativi all</w:t>
      </w:r>
      <w:r w:rsidRPr="007945FC">
        <w:rPr>
          <w:rFonts w:ascii="Garamond" w:hAnsi="Garamond" w:cs="Times New Roman"/>
          <w:color w:val="000000" w:themeColor="text1"/>
          <w:sz w:val="28"/>
          <w:szCs w:val="28"/>
        </w:rPr>
        <w:t xml:space="preserve">a produzione di </w:t>
      </w:r>
      <w:r>
        <w:rPr>
          <w:rFonts w:ascii="Garamond" w:hAnsi="Garamond" w:cs="Times New Roman"/>
          <w:color w:val="000000" w:themeColor="text1"/>
          <w:sz w:val="28"/>
          <w:szCs w:val="28"/>
        </w:rPr>
        <w:t>energia</w:t>
      </w:r>
      <w:r w:rsidRPr="007945FC">
        <w:rPr>
          <w:rFonts w:ascii="Garamond" w:hAnsi="Garamond" w:cs="Times New Roman"/>
          <w:color w:val="000000" w:themeColor="text1"/>
          <w:sz w:val="28"/>
          <w:szCs w:val="28"/>
        </w:rPr>
        <w:t xml:space="preserve"> elettrica da impianti alimentati da fonti rinnovabili entrati in esercizio dopo il 31 dicembre 2012</w:t>
      </w:r>
      <w:r>
        <w:rPr>
          <w:rFonts w:ascii="Garamond" w:hAnsi="Garamond" w:cs="Times New Roman"/>
          <w:color w:val="000000" w:themeColor="text1"/>
          <w:sz w:val="28"/>
          <w:szCs w:val="28"/>
        </w:rPr>
        <w:t>, mentre il successivo art. 25 prevede la disciplina transitoria per gli incentivi relativi agli impianti entrati in esercizio in data antecedente al 31 dicembre 2012.</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Il nuovo sistema, basato sulle tariffe omnicomprensive </w:t>
      </w:r>
      <w:r w:rsidRPr="007945FC">
        <w:rPr>
          <w:rFonts w:ascii="Garamond" w:hAnsi="Garamond" w:cs="Times New Roman"/>
          <w:color w:val="000000" w:themeColor="text1"/>
          <w:sz w:val="28"/>
          <w:szCs w:val="28"/>
        </w:rPr>
        <w:t>consiste nell'erogazione di una tariffa includente sia l'</w:t>
      </w:r>
      <w:r>
        <w:rPr>
          <w:rFonts w:ascii="Garamond" w:hAnsi="Garamond" w:cs="Times New Roman"/>
          <w:color w:val="000000" w:themeColor="text1"/>
          <w:sz w:val="28"/>
          <w:szCs w:val="28"/>
        </w:rPr>
        <w:t>incentivazione</w:t>
      </w:r>
      <w:r w:rsidRPr="007945FC">
        <w:rPr>
          <w:rFonts w:ascii="Garamond" w:hAnsi="Garamond" w:cs="Times New Roman"/>
          <w:color w:val="000000" w:themeColor="text1"/>
          <w:sz w:val="28"/>
          <w:szCs w:val="28"/>
        </w:rPr>
        <w:t xml:space="preserve"> sia il ricavo da vendita dell'</w:t>
      </w:r>
      <w:r>
        <w:rPr>
          <w:rFonts w:ascii="Garamond" w:hAnsi="Garamond" w:cs="Times New Roman"/>
          <w:color w:val="000000" w:themeColor="text1"/>
          <w:sz w:val="28"/>
          <w:szCs w:val="28"/>
        </w:rPr>
        <w:t>energia.</w:t>
      </w:r>
    </w:p>
    <w:p w:rsidR="007B4920" w:rsidRPr="000B666F" w:rsidRDefault="007B4920" w:rsidP="007B4920">
      <w:pPr>
        <w:spacing w:line="240" w:lineRule="auto"/>
        <w:ind w:firstLine="709"/>
        <w:contextualSpacing/>
        <w:jc w:val="both"/>
        <w:rPr>
          <w:rFonts w:ascii="Garamond" w:hAnsi="Garamond" w:cs="Times New Roman"/>
          <w:i/>
          <w:color w:val="000000" w:themeColor="text1"/>
          <w:sz w:val="28"/>
          <w:szCs w:val="28"/>
        </w:rPr>
      </w:pPr>
      <w:r>
        <w:rPr>
          <w:rFonts w:ascii="Garamond" w:hAnsi="Garamond" w:cs="Times New Roman"/>
          <w:color w:val="000000" w:themeColor="text1"/>
          <w:sz w:val="28"/>
          <w:szCs w:val="28"/>
        </w:rPr>
        <w:t>Segnatamente, l’art. 25 comma 1, relativo agli impianti entrati in esercizio in data antecedente al 31 dicembre 2012 detta la disciplina transitoria in relazione a tali impianti prevedendo che “</w:t>
      </w:r>
      <w:r w:rsidRPr="007945FC">
        <w:rPr>
          <w:rFonts w:ascii="Garamond" w:hAnsi="Garamond" w:cs="Times New Roman"/>
          <w:i/>
          <w:color w:val="000000" w:themeColor="text1"/>
          <w:sz w:val="28"/>
          <w:szCs w:val="28"/>
        </w:rPr>
        <w:t xml:space="preserve">La produzione di </w:t>
      </w:r>
      <w:r>
        <w:rPr>
          <w:rFonts w:ascii="Garamond" w:hAnsi="Garamond" w:cs="Times New Roman"/>
          <w:i/>
          <w:color w:val="000000" w:themeColor="text1"/>
          <w:sz w:val="28"/>
          <w:szCs w:val="28"/>
        </w:rPr>
        <w:t>energia</w:t>
      </w:r>
      <w:r w:rsidRPr="007945FC">
        <w:rPr>
          <w:rFonts w:ascii="Garamond" w:hAnsi="Garamond" w:cs="Times New Roman"/>
          <w:i/>
          <w:color w:val="000000" w:themeColor="text1"/>
          <w:sz w:val="28"/>
          <w:szCs w:val="28"/>
        </w:rPr>
        <w:t xml:space="preserve"> elettrica da impianti alimentati da fonti rinnovabili, entrati in esercizio entro il 31 dicembre 2012, e' </w:t>
      </w:r>
      <w:r>
        <w:rPr>
          <w:rFonts w:ascii="Garamond" w:hAnsi="Garamond" w:cs="Times New Roman"/>
          <w:i/>
          <w:color w:val="000000" w:themeColor="text1"/>
          <w:sz w:val="28"/>
          <w:szCs w:val="28"/>
        </w:rPr>
        <w:t>incentivata</w:t>
      </w:r>
      <w:r w:rsidRPr="007945FC">
        <w:rPr>
          <w:rFonts w:ascii="Garamond" w:hAnsi="Garamond" w:cs="Times New Roman"/>
          <w:i/>
          <w:color w:val="000000" w:themeColor="text1"/>
          <w:sz w:val="28"/>
          <w:szCs w:val="28"/>
        </w:rPr>
        <w:t xml:space="preserve"> con i meccanismi vigenti alla data di entrata in vigore del presente decreto, con i correttivi di cui ai commi successivi</w:t>
      </w:r>
      <w:r>
        <w:rPr>
          <w:rFonts w:ascii="Garamond" w:hAnsi="Garamond" w:cs="Times New Roman"/>
          <w:color w:val="000000" w:themeColor="text1"/>
          <w:sz w:val="28"/>
          <w:szCs w:val="28"/>
        </w:rPr>
        <w:t>”, i quali prevedono che “</w:t>
      </w:r>
      <w:r w:rsidRPr="006B0254">
        <w:rPr>
          <w:rFonts w:ascii="Garamond" w:hAnsi="Garamond" w:cs="Times New Roman"/>
          <w:i/>
          <w:color w:val="000000" w:themeColor="text1"/>
          <w:sz w:val="28"/>
          <w:szCs w:val="28"/>
        </w:rPr>
        <w:t>2. L'</w:t>
      </w:r>
      <w:r>
        <w:rPr>
          <w:rFonts w:ascii="Garamond" w:hAnsi="Garamond" w:cs="Times New Roman"/>
          <w:i/>
          <w:color w:val="000000" w:themeColor="text1"/>
          <w:sz w:val="28"/>
          <w:szCs w:val="28"/>
        </w:rPr>
        <w:t>energia</w:t>
      </w:r>
      <w:r w:rsidRPr="006B0254">
        <w:rPr>
          <w:rFonts w:ascii="Garamond" w:hAnsi="Garamond" w:cs="Times New Roman"/>
          <w:i/>
          <w:color w:val="000000" w:themeColor="text1"/>
          <w:sz w:val="28"/>
          <w:szCs w:val="28"/>
        </w:rPr>
        <w:t xml:space="preserve"> elettrica importata a partire dal 1° gennaio 2012 non e' soggetta all'obbligo di cui all'articolo 11, commi 1 e 2, del decreto legislativo 16 marzo 1999, n. 79, </w:t>
      </w:r>
      <w:r>
        <w:rPr>
          <w:rFonts w:ascii="Garamond" w:hAnsi="Garamond" w:cs="Times New Roman"/>
          <w:i/>
          <w:color w:val="000000" w:themeColor="text1"/>
          <w:sz w:val="28"/>
          <w:szCs w:val="28"/>
        </w:rPr>
        <w:t>esclusivamente</w:t>
      </w:r>
      <w:r w:rsidRPr="006B0254">
        <w:rPr>
          <w:rFonts w:ascii="Garamond" w:hAnsi="Garamond" w:cs="Times New Roman"/>
          <w:i/>
          <w:color w:val="000000" w:themeColor="text1"/>
          <w:sz w:val="28"/>
          <w:szCs w:val="28"/>
        </w:rPr>
        <w:t xml:space="preserve"> nel caso in cui concorra al raggiungimento degli obiettivi nazionali di cui all'articolo 3.</w:t>
      </w:r>
      <w:r>
        <w:rPr>
          <w:rFonts w:ascii="Garamond" w:hAnsi="Garamond" w:cs="Times New Roman"/>
          <w:i/>
          <w:color w:val="000000" w:themeColor="text1"/>
          <w:sz w:val="28"/>
          <w:szCs w:val="28"/>
        </w:rPr>
        <w:t xml:space="preserve"> </w:t>
      </w:r>
      <w:r w:rsidRPr="006B0254">
        <w:rPr>
          <w:rFonts w:ascii="Garamond" w:hAnsi="Garamond" w:cs="Times New Roman"/>
          <w:i/>
          <w:color w:val="000000" w:themeColor="text1"/>
          <w:sz w:val="28"/>
          <w:szCs w:val="28"/>
        </w:rPr>
        <w:t xml:space="preserve">3. A partire dal 2013, la quota d'obbligo di cui all'articolo 11, comma 1, del decreto legislativo 16 marzo 1999, n. 79, si riduce linearmente in ciascuno degli anni successivi, a partire dal valore assunto per l'anno 2012 in base alla </w:t>
      </w:r>
      <w:r>
        <w:rPr>
          <w:rFonts w:ascii="Garamond" w:hAnsi="Garamond" w:cs="Times New Roman"/>
          <w:i/>
          <w:color w:val="000000" w:themeColor="text1"/>
          <w:sz w:val="28"/>
          <w:szCs w:val="28"/>
        </w:rPr>
        <w:t>normativa</w:t>
      </w:r>
      <w:r w:rsidRPr="006B0254">
        <w:rPr>
          <w:rFonts w:ascii="Garamond" w:hAnsi="Garamond" w:cs="Times New Roman"/>
          <w:i/>
          <w:color w:val="000000" w:themeColor="text1"/>
          <w:sz w:val="28"/>
          <w:szCs w:val="28"/>
        </w:rPr>
        <w:t xml:space="preserve"> vigente, fino ad annullarsi per l'anno 2015.</w:t>
      </w:r>
      <w:r>
        <w:rPr>
          <w:rFonts w:ascii="Garamond" w:hAnsi="Garamond" w:cs="Times New Roman"/>
          <w:i/>
          <w:color w:val="000000" w:themeColor="text1"/>
          <w:sz w:val="28"/>
          <w:szCs w:val="28"/>
        </w:rPr>
        <w:t xml:space="preserve"> </w:t>
      </w:r>
      <w:r w:rsidRPr="006B0254">
        <w:rPr>
          <w:rFonts w:ascii="Garamond" w:hAnsi="Garamond" w:cs="Times New Roman"/>
          <w:i/>
          <w:color w:val="000000" w:themeColor="text1"/>
          <w:sz w:val="28"/>
          <w:szCs w:val="28"/>
        </w:rPr>
        <w:t xml:space="preserve">4. Fermo restando quanto previsto dall'articolo 2, comma 148, della legge 24 dicembre 2007 n. 244, il GSE ritira annualmente i certificati verdi rilasciati per le produzioni </w:t>
      </w:r>
      <w:r w:rsidRPr="006B0254">
        <w:rPr>
          <w:rFonts w:ascii="Garamond" w:hAnsi="Garamond" w:cs="Times New Roman"/>
          <w:i/>
          <w:color w:val="000000" w:themeColor="text1"/>
          <w:sz w:val="28"/>
          <w:szCs w:val="28"/>
        </w:rPr>
        <w:lastRenderedPageBreak/>
        <w:t>da fonti rinnovabili degli anni dal 2011 al 2015, eventualmente eccedenti quelli necessari per il rispetto della quota d'obbligo. Il prezzo di ritiro dei predetti certificati è pari al 78 per cento del prezzo di cui al citato comma 148. Il GSE ritira altresì i certificati verdi, rilasciati per le produzioni di cui ai medesimi anni, relativi agli impianti di cogenerazione abbinati a teleriscaldamento di cui all'articolo 2, comma 3, lettera a), del decreto del Ministro delle attività produttive del 24 ottobre 2005, pubblicato nel Supplemento ordinario della Gazzetta Ufficiale 14 novembre 2005, n. 265. Il prezzo di ritiro dei certificati di cui al precedente periodo e' pari al prezzo medio di mercato registrato nel 2010. Conseguentemente, a decorrere dalla data di entrata in vigore del presente decreto, sono abrogati i commi 149 e 149-bis dell'articolo 2 della legge 24 dicembre 2007, n. 244.</w:t>
      </w:r>
      <w:r w:rsidRPr="006B0254">
        <w:t xml:space="preserve"> </w:t>
      </w:r>
      <w:r w:rsidRPr="006B0254">
        <w:rPr>
          <w:rFonts w:ascii="Garamond" w:hAnsi="Garamond" w:cs="Times New Roman"/>
          <w:i/>
          <w:color w:val="000000" w:themeColor="text1"/>
          <w:sz w:val="28"/>
          <w:szCs w:val="28"/>
        </w:rPr>
        <w:t xml:space="preserve">5. Ai soli fini del riconoscimento della tariffa di cui alla riga 6 della tabella 3 allegata alla legge 24 dicembre 2007, n. 244 i residui di macellazione, nonché' i sottoprodotti delle attività agricole, agroalimentari e forestali, non sono considerati liquidi anche qualora subiscano, nel sito di produzione dei medesimi residui e sottoprodotti o dell'impianto di conversione in </w:t>
      </w:r>
      <w:r>
        <w:rPr>
          <w:rFonts w:ascii="Garamond" w:hAnsi="Garamond" w:cs="Times New Roman"/>
          <w:i/>
          <w:color w:val="000000" w:themeColor="text1"/>
          <w:sz w:val="28"/>
          <w:szCs w:val="28"/>
        </w:rPr>
        <w:t>energia</w:t>
      </w:r>
      <w:r w:rsidRPr="006B0254">
        <w:rPr>
          <w:rFonts w:ascii="Garamond" w:hAnsi="Garamond" w:cs="Times New Roman"/>
          <w:i/>
          <w:color w:val="000000" w:themeColor="text1"/>
          <w:sz w:val="28"/>
          <w:szCs w:val="28"/>
        </w:rPr>
        <w:t xml:space="preserve"> elettrica, un trattamento di lique</w:t>
      </w:r>
      <w:r>
        <w:rPr>
          <w:rFonts w:ascii="Garamond" w:hAnsi="Garamond" w:cs="Times New Roman"/>
          <w:i/>
          <w:color w:val="000000" w:themeColor="text1"/>
          <w:sz w:val="28"/>
          <w:szCs w:val="28"/>
        </w:rPr>
        <w:t>fazione o estrazione meccanica.</w:t>
      </w:r>
      <w:r w:rsidRPr="006B0254">
        <w:rPr>
          <w:rFonts w:ascii="Garamond" w:hAnsi="Garamond" w:cs="Times New Roman"/>
          <w:i/>
          <w:color w:val="000000" w:themeColor="text1"/>
          <w:sz w:val="28"/>
          <w:szCs w:val="28"/>
        </w:rPr>
        <w:t>6. Le tariffe fisse omnicomprensive previste dall'articolo 2, comma 145, della legge 24 dicembre 2007, n. 244 restano costanti per l'intero periodo di diritto e restano ferme ai valori stabiliti dalla tabella 3 allegata alla medesima legge per tutti gli impianti che entrano in esercizio entro il 31 dicembre 2012.</w:t>
      </w:r>
      <w:r>
        <w:rPr>
          <w:rFonts w:ascii="Garamond" w:hAnsi="Garamond" w:cs="Times New Roman"/>
          <w:i/>
          <w:color w:val="000000" w:themeColor="text1"/>
          <w:sz w:val="28"/>
          <w:szCs w:val="28"/>
        </w:rPr>
        <w:t xml:space="preserve"> </w:t>
      </w:r>
      <w:r w:rsidRPr="006B0254">
        <w:rPr>
          <w:rFonts w:ascii="Garamond" w:hAnsi="Garamond" w:cs="Times New Roman"/>
          <w:i/>
          <w:color w:val="000000" w:themeColor="text1"/>
          <w:sz w:val="28"/>
          <w:szCs w:val="28"/>
        </w:rPr>
        <w:t>7. I fattori moltiplicativi di cui all'articolo 2, comma 147, della legge24 dicembre 2007, n. 244 e all'articolo 1, comma 382-quater, della legge 27 dicembre 2006, n. 296, restano costanti per l'intero periodo di diritto e restano fermi ai valori stabiliti dalle predette norme per tutti gli impianti che entrano in esercizio entro il 31 dicembre 2012.</w:t>
      </w:r>
      <w:r w:rsidRPr="006B0254">
        <w:t xml:space="preserve"> </w:t>
      </w:r>
      <w:r w:rsidRPr="006B0254">
        <w:rPr>
          <w:rFonts w:ascii="Garamond" w:hAnsi="Garamond" w:cs="Times New Roman"/>
          <w:i/>
          <w:color w:val="000000" w:themeColor="text1"/>
          <w:sz w:val="28"/>
          <w:szCs w:val="28"/>
        </w:rPr>
        <w:t>8. Il valore di riferimento di cui all'articolo 2, comma 148, della legge 24 dicembre 2007, n. 244 resta fermo al valore fissato dalla predetta norma per tutti gli impianti che entrano in esercizio entro il 31 dicembre 2012.</w:t>
      </w:r>
      <w:r>
        <w:rPr>
          <w:rFonts w:ascii="Garamond" w:hAnsi="Garamond" w:cs="Times New Roman"/>
          <w:i/>
          <w:color w:val="000000" w:themeColor="text1"/>
          <w:sz w:val="28"/>
          <w:szCs w:val="28"/>
        </w:rPr>
        <w:t xml:space="preserve"> </w:t>
      </w:r>
    </w:p>
    <w:p w:rsidR="007B4920" w:rsidRPr="006B0254" w:rsidRDefault="007B4920" w:rsidP="007B4920">
      <w:pPr>
        <w:spacing w:line="240" w:lineRule="auto"/>
        <w:ind w:firstLine="708"/>
        <w:contextualSpacing/>
        <w:jc w:val="both"/>
        <w:rPr>
          <w:rFonts w:ascii="Garamond" w:hAnsi="Garamond" w:cs="Times New Roman"/>
          <w:i/>
          <w:color w:val="000000" w:themeColor="text1"/>
          <w:sz w:val="28"/>
          <w:szCs w:val="28"/>
        </w:rPr>
      </w:pPr>
      <w:r>
        <w:rPr>
          <w:rFonts w:ascii="Garamond" w:hAnsi="Garamond" w:cs="Times New Roman"/>
          <w:color w:val="000000" w:themeColor="text1"/>
          <w:sz w:val="28"/>
          <w:szCs w:val="28"/>
        </w:rPr>
        <w:t>I successivi due commi dell’art. 25 d.lgs. n. 28 del 2011 sono invece relativi alle tariffe per gli impianti fotovoltaici e prevedono che “</w:t>
      </w:r>
      <w:r w:rsidRPr="006B0254">
        <w:rPr>
          <w:rFonts w:ascii="Garamond" w:hAnsi="Garamond" w:cs="Times New Roman"/>
          <w:color w:val="000000" w:themeColor="text1"/>
          <w:sz w:val="28"/>
          <w:szCs w:val="28"/>
        </w:rPr>
        <w:t>9</w:t>
      </w:r>
      <w:r w:rsidRPr="006B0254">
        <w:rPr>
          <w:rFonts w:ascii="Garamond" w:hAnsi="Garamond" w:cs="Times New Roman"/>
          <w:i/>
          <w:color w:val="000000" w:themeColor="text1"/>
          <w:sz w:val="28"/>
          <w:szCs w:val="28"/>
        </w:rPr>
        <w:t xml:space="preserve">. Le disposizioni del decreto del Ministro dello sviluppo economico 6 agosto 2010, pubblicato nella Gazzetta Ufficiale n. 197 del 24 agosto 2010, si applicano alla produzione di </w:t>
      </w:r>
      <w:r>
        <w:rPr>
          <w:rFonts w:ascii="Garamond" w:hAnsi="Garamond" w:cs="Times New Roman"/>
          <w:i/>
          <w:color w:val="000000" w:themeColor="text1"/>
          <w:sz w:val="28"/>
          <w:szCs w:val="28"/>
        </w:rPr>
        <w:t>energia</w:t>
      </w:r>
      <w:r w:rsidRPr="006B0254">
        <w:rPr>
          <w:rFonts w:ascii="Garamond" w:hAnsi="Garamond" w:cs="Times New Roman"/>
          <w:i/>
          <w:color w:val="000000" w:themeColor="text1"/>
          <w:sz w:val="28"/>
          <w:szCs w:val="28"/>
        </w:rPr>
        <w:t xml:space="preserve"> elettrica da impianti solari fotovoltaici che entrino in ese</w:t>
      </w:r>
      <w:r>
        <w:rPr>
          <w:rFonts w:ascii="Garamond" w:hAnsi="Garamond" w:cs="Times New Roman"/>
          <w:i/>
          <w:color w:val="000000" w:themeColor="text1"/>
          <w:sz w:val="28"/>
          <w:szCs w:val="28"/>
        </w:rPr>
        <w:t>rcizio entro il 31 maggio 2011.</w:t>
      </w:r>
      <w:r w:rsidRPr="000B666F">
        <w:rPr>
          <w:rFonts w:ascii="Garamond" w:hAnsi="Garamond" w:cs="Times New Roman"/>
          <w:i/>
          <w:color w:val="000000" w:themeColor="text1"/>
          <w:sz w:val="28"/>
          <w:szCs w:val="28"/>
        </w:rPr>
        <w:t>10.</w:t>
      </w:r>
      <w:r w:rsidRPr="006B0254">
        <w:rPr>
          <w:rFonts w:ascii="Garamond" w:hAnsi="Garamond" w:cs="Times New Roman"/>
          <w:i/>
          <w:color w:val="000000" w:themeColor="text1"/>
          <w:sz w:val="28"/>
          <w:szCs w:val="28"/>
        </w:rPr>
        <w:t xml:space="preserve"> Fatto salvo quanto previsto dall'articolo 2-sexies del decreto-legge 25 gennaio 2010, n. 3, convertito, con modificazioni, dalla legge 22 marzo 2010, n. 41, l'</w:t>
      </w:r>
      <w:r>
        <w:rPr>
          <w:rFonts w:ascii="Garamond" w:hAnsi="Garamond" w:cs="Times New Roman"/>
          <w:i/>
          <w:color w:val="000000" w:themeColor="text1"/>
          <w:sz w:val="28"/>
          <w:szCs w:val="28"/>
        </w:rPr>
        <w:t>incentivazione</w:t>
      </w:r>
      <w:r w:rsidRPr="006B0254">
        <w:rPr>
          <w:rFonts w:ascii="Garamond" w:hAnsi="Garamond" w:cs="Times New Roman"/>
          <w:i/>
          <w:color w:val="000000" w:themeColor="text1"/>
          <w:sz w:val="28"/>
          <w:szCs w:val="28"/>
        </w:rPr>
        <w:t xml:space="preserve"> della produzione di </w:t>
      </w:r>
      <w:r>
        <w:rPr>
          <w:rFonts w:ascii="Garamond" w:hAnsi="Garamond" w:cs="Times New Roman"/>
          <w:i/>
          <w:color w:val="000000" w:themeColor="text1"/>
          <w:sz w:val="28"/>
          <w:szCs w:val="28"/>
        </w:rPr>
        <w:t>energia</w:t>
      </w:r>
      <w:r w:rsidRPr="006B0254">
        <w:rPr>
          <w:rFonts w:ascii="Garamond" w:hAnsi="Garamond" w:cs="Times New Roman"/>
          <w:i/>
          <w:color w:val="000000" w:themeColor="text1"/>
          <w:sz w:val="28"/>
          <w:szCs w:val="28"/>
        </w:rPr>
        <w:t xml:space="preserve"> elettrica da impianti solari fotovoltaici che entrino in esercizio </w:t>
      </w:r>
      <w:r>
        <w:rPr>
          <w:rFonts w:ascii="Garamond" w:hAnsi="Garamond" w:cs="Times New Roman"/>
          <w:i/>
          <w:color w:val="000000" w:themeColor="text1"/>
          <w:sz w:val="28"/>
          <w:szCs w:val="28"/>
        </w:rPr>
        <w:t>successivamente</w:t>
      </w:r>
      <w:r w:rsidRPr="006B0254">
        <w:rPr>
          <w:rFonts w:ascii="Garamond" w:hAnsi="Garamond" w:cs="Times New Roman"/>
          <w:i/>
          <w:color w:val="000000" w:themeColor="text1"/>
          <w:sz w:val="28"/>
          <w:szCs w:val="28"/>
        </w:rPr>
        <w:t xml:space="preserve"> al termine di cui al comma 9 è disciplinata con decreto del Ministro dello sviluppo economico, da adottare, di concerto con il Ministro dell'ambiente e della tutela del mare, sentita la Conferenza unificata di cui all'articolo 8 del decreto legislativo 28 agosto 1997, n. 281, entro il 30 aprile 2011, sulla base dei seguenti principi</w:t>
      </w:r>
      <w:r w:rsidRPr="006B0254">
        <w:rPr>
          <w:rFonts w:ascii="Garamond" w:hAnsi="Garamond" w:cs="Times New Roman"/>
          <w:color w:val="000000" w:themeColor="text1"/>
          <w:sz w:val="28"/>
          <w:szCs w:val="28"/>
        </w:rPr>
        <w:t>:</w:t>
      </w:r>
    </w:p>
    <w:p w:rsidR="007B4920" w:rsidRPr="006B0254" w:rsidRDefault="007B4920" w:rsidP="007B4920">
      <w:pPr>
        <w:spacing w:line="240" w:lineRule="auto"/>
        <w:contextualSpacing/>
        <w:jc w:val="both"/>
        <w:rPr>
          <w:rFonts w:ascii="Garamond" w:hAnsi="Garamond" w:cs="Times New Roman"/>
          <w:i/>
          <w:color w:val="000000" w:themeColor="text1"/>
          <w:sz w:val="28"/>
          <w:szCs w:val="28"/>
        </w:rPr>
      </w:pPr>
      <w:r w:rsidRPr="006B0254">
        <w:rPr>
          <w:rFonts w:ascii="Garamond" w:hAnsi="Garamond" w:cs="Times New Roman"/>
          <w:i/>
          <w:color w:val="000000" w:themeColor="text1"/>
          <w:sz w:val="28"/>
          <w:szCs w:val="28"/>
        </w:rPr>
        <w:t xml:space="preserve">a) determinazione di un limite annuale di potenza elettrica </w:t>
      </w:r>
      <w:r>
        <w:rPr>
          <w:rFonts w:ascii="Garamond" w:hAnsi="Garamond" w:cs="Times New Roman"/>
          <w:i/>
          <w:color w:val="000000" w:themeColor="text1"/>
          <w:sz w:val="28"/>
          <w:szCs w:val="28"/>
        </w:rPr>
        <w:t>cumulativa</w:t>
      </w:r>
      <w:r w:rsidRPr="006B0254">
        <w:rPr>
          <w:rFonts w:ascii="Garamond" w:hAnsi="Garamond" w:cs="Times New Roman"/>
          <w:i/>
          <w:color w:val="000000" w:themeColor="text1"/>
          <w:sz w:val="28"/>
          <w:szCs w:val="28"/>
        </w:rPr>
        <w:t xml:space="preserve"> degli impianti fotovoltaici che possono ot</w:t>
      </w:r>
      <w:r>
        <w:rPr>
          <w:rFonts w:ascii="Garamond" w:hAnsi="Garamond" w:cs="Times New Roman"/>
          <w:i/>
          <w:color w:val="000000" w:themeColor="text1"/>
          <w:sz w:val="28"/>
          <w:szCs w:val="28"/>
        </w:rPr>
        <w:t>tenere le tariffe incentivanti;</w:t>
      </w:r>
    </w:p>
    <w:p w:rsidR="007B4920" w:rsidRPr="006B0254" w:rsidRDefault="007B4920" w:rsidP="007B4920">
      <w:pPr>
        <w:spacing w:line="240" w:lineRule="auto"/>
        <w:contextualSpacing/>
        <w:jc w:val="both"/>
        <w:rPr>
          <w:rFonts w:ascii="Garamond" w:hAnsi="Garamond" w:cs="Times New Roman"/>
          <w:i/>
          <w:color w:val="000000" w:themeColor="text1"/>
          <w:sz w:val="28"/>
          <w:szCs w:val="28"/>
        </w:rPr>
      </w:pPr>
      <w:r w:rsidRPr="006B0254">
        <w:rPr>
          <w:rFonts w:ascii="Garamond" w:hAnsi="Garamond" w:cs="Times New Roman"/>
          <w:i/>
          <w:color w:val="000000" w:themeColor="text1"/>
          <w:sz w:val="28"/>
          <w:szCs w:val="28"/>
        </w:rPr>
        <w:t xml:space="preserve">b) determinazione delle tariffe </w:t>
      </w:r>
      <w:r>
        <w:rPr>
          <w:rFonts w:ascii="Garamond" w:hAnsi="Garamond" w:cs="Times New Roman"/>
          <w:i/>
          <w:color w:val="000000" w:themeColor="text1"/>
          <w:sz w:val="28"/>
          <w:szCs w:val="28"/>
        </w:rPr>
        <w:t>incentivanti</w:t>
      </w:r>
      <w:r w:rsidRPr="006B0254">
        <w:rPr>
          <w:rFonts w:ascii="Garamond" w:hAnsi="Garamond" w:cs="Times New Roman"/>
          <w:i/>
          <w:color w:val="000000" w:themeColor="text1"/>
          <w:sz w:val="28"/>
          <w:szCs w:val="28"/>
        </w:rPr>
        <w:t xml:space="preserve"> tenuto conto della riduzione dei costi delle tecnologie e dei costi di impianto e degli incentivi applicati negli St</w:t>
      </w:r>
      <w:r>
        <w:rPr>
          <w:rFonts w:ascii="Garamond" w:hAnsi="Garamond" w:cs="Times New Roman"/>
          <w:i/>
          <w:color w:val="000000" w:themeColor="text1"/>
          <w:sz w:val="28"/>
          <w:szCs w:val="28"/>
        </w:rPr>
        <w:t>ati membri dell'Unione europea;</w:t>
      </w:r>
    </w:p>
    <w:p w:rsidR="007B4920" w:rsidRPr="006B0254" w:rsidRDefault="007B4920" w:rsidP="007B4920">
      <w:pPr>
        <w:spacing w:line="240" w:lineRule="auto"/>
        <w:contextualSpacing/>
        <w:jc w:val="both"/>
        <w:rPr>
          <w:rFonts w:ascii="Garamond" w:hAnsi="Garamond" w:cs="Times New Roman"/>
          <w:i/>
          <w:color w:val="000000" w:themeColor="text1"/>
          <w:sz w:val="28"/>
          <w:szCs w:val="28"/>
        </w:rPr>
      </w:pPr>
      <w:r w:rsidRPr="006B0254">
        <w:rPr>
          <w:rFonts w:ascii="Garamond" w:hAnsi="Garamond" w:cs="Times New Roman"/>
          <w:i/>
          <w:color w:val="000000" w:themeColor="text1"/>
          <w:sz w:val="28"/>
          <w:szCs w:val="28"/>
        </w:rPr>
        <w:t xml:space="preserve">c) previsione di tariffe </w:t>
      </w:r>
      <w:r>
        <w:rPr>
          <w:rFonts w:ascii="Garamond" w:hAnsi="Garamond" w:cs="Times New Roman"/>
          <w:i/>
          <w:color w:val="000000" w:themeColor="text1"/>
          <w:sz w:val="28"/>
          <w:szCs w:val="28"/>
        </w:rPr>
        <w:t>incentivanti</w:t>
      </w:r>
      <w:r w:rsidRPr="006B0254">
        <w:rPr>
          <w:rFonts w:ascii="Garamond" w:hAnsi="Garamond" w:cs="Times New Roman"/>
          <w:i/>
          <w:color w:val="000000" w:themeColor="text1"/>
          <w:sz w:val="28"/>
          <w:szCs w:val="28"/>
        </w:rPr>
        <w:t xml:space="preserve"> e di quote differenziate sulla base de</w:t>
      </w:r>
      <w:r>
        <w:rPr>
          <w:rFonts w:ascii="Garamond" w:hAnsi="Garamond" w:cs="Times New Roman"/>
          <w:i/>
          <w:color w:val="000000" w:themeColor="text1"/>
          <w:sz w:val="28"/>
          <w:szCs w:val="28"/>
        </w:rPr>
        <w:t>lla natura dell'area di sedime;</w:t>
      </w:r>
    </w:p>
    <w:p w:rsidR="007B4920" w:rsidRDefault="007B4920" w:rsidP="007B4920">
      <w:pPr>
        <w:spacing w:line="240" w:lineRule="auto"/>
        <w:contextualSpacing/>
        <w:jc w:val="both"/>
        <w:rPr>
          <w:rFonts w:ascii="Garamond" w:hAnsi="Garamond" w:cs="Times New Roman"/>
          <w:color w:val="000000" w:themeColor="text1"/>
          <w:sz w:val="28"/>
          <w:szCs w:val="28"/>
        </w:rPr>
      </w:pPr>
      <w:r w:rsidRPr="0027699D">
        <w:rPr>
          <w:rFonts w:ascii="Garamond" w:hAnsi="Garamond" w:cs="Times New Roman"/>
          <w:i/>
          <w:color w:val="000000" w:themeColor="text1"/>
          <w:sz w:val="28"/>
          <w:szCs w:val="28"/>
        </w:rPr>
        <w:t>d) applicazione delle disposizioni dell'articolo 7 del decreto legislativo 29 dicembre 2003, n. 387, in quanto compatibili con il presente comma</w:t>
      </w:r>
      <w:r w:rsidRPr="00136DA4">
        <w:rPr>
          <w:rFonts w:ascii="Garamond" w:hAnsi="Garamond" w:cs="Times New Roman"/>
          <w:color w:val="000000" w:themeColor="text1"/>
          <w:sz w:val="28"/>
          <w:szCs w:val="28"/>
        </w:rPr>
        <w:t xml:space="preserve">. </w:t>
      </w:r>
    </w:p>
    <w:p w:rsidR="007B4920" w:rsidRPr="00136DA4" w:rsidRDefault="007B4920" w:rsidP="007B4920">
      <w:pPr>
        <w:spacing w:line="240" w:lineRule="auto"/>
        <w:contextualSpacing/>
        <w:jc w:val="both"/>
        <w:rPr>
          <w:rFonts w:ascii="Garamond" w:hAnsi="Garamond" w:cs="Times New Roman"/>
          <w:color w:val="000000" w:themeColor="text1"/>
          <w:sz w:val="28"/>
          <w:szCs w:val="28"/>
        </w:rPr>
      </w:pPr>
      <w:r w:rsidRPr="00136DA4">
        <w:rPr>
          <w:rFonts w:ascii="Garamond" w:hAnsi="Garamond" w:cs="Times New Roman"/>
          <w:color w:val="000000" w:themeColor="text1"/>
          <w:sz w:val="28"/>
          <w:szCs w:val="28"/>
        </w:rPr>
        <w:t>T</w:t>
      </w:r>
      <w:r>
        <w:rPr>
          <w:rFonts w:ascii="Garamond" w:hAnsi="Garamond" w:cs="Times New Roman"/>
          <w:color w:val="000000" w:themeColor="text1"/>
          <w:sz w:val="28"/>
          <w:szCs w:val="28"/>
        </w:rPr>
        <w:t>ali ultimi due commi</w:t>
      </w:r>
      <w:r w:rsidRPr="00136DA4">
        <w:rPr>
          <w:rFonts w:ascii="Garamond" w:hAnsi="Garamond" w:cs="Times New Roman"/>
          <w:color w:val="000000" w:themeColor="text1"/>
          <w:sz w:val="28"/>
          <w:szCs w:val="28"/>
        </w:rPr>
        <w:t xml:space="preserve"> segnano il passaggio dal terzo al quarto conto </w:t>
      </w:r>
      <w:r>
        <w:rPr>
          <w:rFonts w:ascii="Garamond" w:hAnsi="Garamond" w:cs="Times New Roman"/>
          <w:color w:val="000000" w:themeColor="text1"/>
          <w:sz w:val="28"/>
          <w:szCs w:val="28"/>
        </w:rPr>
        <w:t>energia</w:t>
      </w:r>
      <w:r w:rsidRPr="00136DA4">
        <w:rPr>
          <w:rFonts w:ascii="Garamond" w:hAnsi="Garamond" w:cs="Times New Roman"/>
          <w:color w:val="000000" w:themeColor="text1"/>
          <w:sz w:val="28"/>
          <w:szCs w:val="28"/>
        </w:rPr>
        <w:t>, quale speciale meccanismo incent</w:t>
      </w:r>
      <w:r>
        <w:rPr>
          <w:rFonts w:ascii="Garamond" w:hAnsi="Garamond" w:cs="Times New Roman"/>
          <w:color w:val="000000" w:themeColor="text1"/>
          <w:sz w:val="28"/>
          <w:szCs w:val="28"/>
        </w:rPr>
        <w:t>iva</w:t>
      </w:r>
      <w:r w:rsidRPr="00136DA4">
        <w:rPr>
          <w:rFonts w:ascii="Garamond" w:hAnsi="Garamond" w:cs="Times New Roman"/>
          <w:color w:val="000000" w:themeColor="text1"/>
          <w:sz w:val="28"/>
          <w:szCs w:val="28"/>
        </w:rPr>
        <w:t>nte previsto per gli impianti fotovoltaici (cfr</w:t>
      </w:r>
      <w:r>
        <w:rPr>
          <w:rFonts w:ascii="Garamond" w:hAnsi="Garamond" w:cs="Times New Roman"/>
          <w:color w:val="000000" w:themeColor="text1"/>
          <w:sz w:val="28"/>
          <w:szCs w:val="28"/>
        </w:rPr>
        <w:t>.</w:t>
      </w:r>
      <w:r w:rsidRPr="00136DA4">
        <w:rPr>
          <w:rFonts w:ascii="Garamond" w:hAnsi="Garamond" w:cs="Times New Roman"/>
          <w:color w:val="000000" w:themeColor="text1"/>
          <w:sz w:val="28"/>
          <w:szCs w:val="28"/>
        </w:rPr>
        <w:t xml:space="preserve"> § 6).</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Pr>
          <w:rFonts w:ascii="Garamond" w:hAnsi="Garamond" w:cs="Times New Roman"/>
          <w:color w:val="000000" w:themeColor="text1"/>
          <w:sz w:val="28"/>
          <w:szCs w:val="28"/>
        </w:rPr>
        <w:t xml:space="preserve">L’art. 24 disciplina i meccanismi incentivanti gli </w:t>
      </w:r>
      <w:r w:rsidRPr="00136DA4">
        <w:rPr>
          <w:rFonts w:ascii="Garamond" w:hAnsi="Garamond" w:cs="Times New Roman"/>
          <w:color w:val="000000" w:themeColor="text1"/>
          <w:sz w:val="28"/>
          <w:szCs w:val="28"/>
        </w:rPr>
        <w:t>impianti alimentati da fonti rinnovabili entrati in esercizio dopo il 31 dicembre 2012</w:t>
      </w:r>
      <w:r>
        <w:rPr>
          <w:rFonts w:ascii="Garamond" w:hAnsi="Garamond" w:cs="Times New Roman"/>
          <w:color w:val="000000" w:themeColor="text1"/>
          <w:sz w:val="28"/>
          <w:szCs w:val="28"/>
        </w:rPr>
        <w:t>, prevedendo che “</w:t>
      </w:r>
      <w:r w:rsidRPr="003622A3">
        <w:rPr>
          <w:rFonts w:ascii="Garamond" w:hAnsi="Garamond" w:cs="Times New Roman"/>
          <w:i/>
          <w:color w:val="000000" w:themeColor="text1"/>
          <w:sz w:val="28"/>
          <w:szCs w:val="28"/>
        </w:rPr>
        <w:t xml:space="preserve">1. La produzione di </w:t>
      </w:r>
      <w:r>
        <w:rPr>
          <w:rFonts w:ascii="Garamond" w:hAnsi="Garamond" w:cs="Times New Roman"/>
          <w:i/>
          <w:color w:val="000000" w:themeColor="text1"/>
          <w:sz w:val="28"/>
          <w:szCs w:val="28"/>
        </w:rPr>
        <w:t>energia</w:t>
      </w:r>
      <w:r w:rsidRPr="003622A3">
        <w:rPr>
          <w:rFonts w:ascii="Garamond" w:hAnsi="Garamond" w:cs="Times New Roman"/>
          <w:i/>
          <w:color w:val="000000" w:themeColor="text1"/>
          <w:sz w:val="28"/>
          <w:szCs w:val="28"/>
        </w:rPr>
        <w:t xml:space="preserve"> elettrica da impianti alimentati da fonti rinnovabili entrati in esercizio dopo il 31 dicembre 2012 e' </w:t>
      </w:r>
      <w:r>
        <w:rPr>
          <w:rFonts w:ascii="Garamond" w:hAnsi="Garamond" w:cs="Times New Roman"/>
          <w:i/>
          <w:color w:val="000000" w:themeColor="text1"/>
          <w:sz w:val="28"/>
          <w:szCs w:val="28"/>
        </w:rPr>
        <w:t>incentivata</w:t>
      </w:r>
      <w:r w:rsidRPr="003622A3">
        <w:rPr>
          <w:rFonts w:ascii="Garamond" w:hAnsi="Garamond" w:cs="Times New Roman"/>
          <w:i/>
          <w:color w:val="000000" w:themeColor="text1"/>
          <w:sz w:val="28"/>
          <w:szCs w:val="28"/>
        </w:rPr>
        <w:t xml:space="preserve"> tramite gli strumenti e sulla base dei criteri generali di cui al comma 2 e dei criteri </w:t>
      </w:r>
      <w:r w:rsidRPr="003622A3">
        <w:rPr>
          <w:rFonts w:ascii="Garamond" w:hAnsi="Garamond" w:cs="Times New Roman"/>
          <w:i/>
          <w:color w:val="000000" w:themeColor="text1"/>
          <w:sz w:val="28"/>
          <w:szCs w:val="28"/>
        </w:rPr>
        <w:lastRenderedPageBreak/>
        <w:t>specifici di cui ai commi 3 e 4. La salvaguardia delle produzioni non incent</w:t>
      </w:r>
      <w:r>
        <w:rPr>
          <w:rFonts w:ascii="Garamond" w:hAnsi="Garamond" w:cs="Times New Roman"/>
          <w:i/>
          <w:color w:val="000000" w:themeColor="text1"/>
          <w:sz w:val="28"/>
          <w:szCs w:val="28"/>
        </w:rPr>
        <w:t>iva</w:t>
      </w:r>
      <w:r w:rsidRPr="003622A3">
        <w:rPr>
          <w:rFonts w:ascii="Garamond" w:hAnsi="Garamond" w:cs="Times New Roman"/>
          <w:i/>
          <w:color w:val="000000" w:themeColor="text1"/>
          <w:sz w:val="28"/>
          <w:szCs w:val="28"/>
        </w:rPr>
        <w:t>te e' effettuata con g</w:t>
      </w:r>
      <w:r>
        <w:rPr>
          <w:rFonts w:ascii="Garamond" w:hAnsi="Garamond" w:cs="Times New Roman"/>
          <w:i/>
          <w:color w:val="000000" w:themeColor="text1"/>
          <w:sz w:val="28"/>
          <w:szCs w:val="28"/>
        </w:rPr>
        <w:t>li strumenti di cui al comma 8.</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 xml:space="preserve">2. La produzione di </w:t>
      </w:r>
      <w:r>
        <w:rPr>
          <w:rFonts w:ascii="Garamond" w:hAnsi="Garamond" w:cs="Times New Roman"/>
          <w:i/>
          <w:color w:val="000000" w:themeColor="text1"/>
          <w:sz w:val="28"/>
          <w:szCs w:val="28"/>
        </w:rPr>
        <w:t>energia</w:t>
      </w:r>
      <w:r w:rsidRPr="003622A3">
        <w:rPr>
          <w:rFonts w:ascii="Garamond" w:hAnsi="Garamond" w:cs="Times New Roman"/>
          <w:i/>
          <w:color w:val="000000" w:themeColor="text1"/>
          <w:sz w:val="28"/>
          <w:szCs w:val="28"/>
        </w:rPr>
        <w:t xml:space="preserve"> elettrica dagli impianti di cui al comma 1 e' </w:t>
      </w:r>
      <w:r>
        <w:rPr>
          <w:rFonts w:ascii="Garamond" w:hAnsi="Garamond" w:cs="Times New Roman"/>
          <w:i/>
          <w:color w:val="000000" w:themeColor="text1"/>
          <w:sz w:val="28"/>
          <w:szCs w:val="28"/>
        </w:rPr>
        <w:t>incentivata</w:t>
      </w:r>
      <w:r w:rsidRPr="003622A3">
        <w:rPr>
          <w:rFonts w:ascii="Garamond" w:hAnsi="Garamond" w:cs="Times New Roman"/>
          <w:i/>
          <w:color w:val="000000" w:themeColor="text1"/>
          <w:sz w:val="28"/>
          <w:szCs w:val="28"/>
        </w:rPr>
        <w:t xml:space="preserve"> sulla base</w:t>
      </w:r>
      <w:r>
        <w:rPr>
          <w:rFonts w:ascii="Garamond" w:hAnsi="Garamond" w:cs="Times New Roman"/>
          <w:i/>
          <w:color w:val="000000" w:themeColor="text1"/>
          <w:sz w:val="28"/>
          <w:szCs w:val="28"/>
        </w:rPr>
        <w:t xml:space="preserve"> dei seguenti criteri generali:</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a) l'incentivo ha lo scopo di assicurare una equa remunerazione dei costi di investimento ed e</w:t>
      </w:r>
      <w:r>
        <w:rPr>
          <w:rFonts w:ascii="Garamond" w:hAnsi="Garamond" w:cs="Times New Roman"/>
          <w:i/>
          <w:color w:val="000000" w:themeColor="text1"/>
          <w:sz w:val="28"/>
          <w:szCs w:val="28"/>
        </w:rPr>
        <w:t>sercizio;</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b) il periodo di diritto all'incentivo e' pari alla vita media utile convenzionale delle specifiche tipologie di impianto e decorre dalla data di ent</w:t>
      </w:r>
      <w:r>
        <w:rPr>
          <w:rFonts w:ascii="Garamond" w:hAnsi="Garamond" w:cs="Times New Roman"/>
          <w:i/>
          <w:color w:val="000000" w:themeColor="text1"/>
          <w:sz w:val="28"/>
          <w:szCs w:val="28"/>
        </w:rPr>
        <w:t>rata in esercizio dello stesso;</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c) l'incentivo resta costante per tutto il periodo di diritto e puo' tener conto del valore e</w:t>
      </w:r>
      <w:r>
        <w:rPr>
          <w:rFonts w:ascii="Garamond" w:hAnsi="Garamond" w:cs="Times New Roman"/>
          <w:i/>
          <w:color w:val="000000" w:themeColor="text1"/>
          <w:sz w:val="28"/>
          <w:szCs w:val="28"/>
        </w:rPr>
        <w:t>conomico dell'energia prodotta;</w:t>
      </w:r>
    </w:p>
    <w:p w:rsidR="007B4920" w:rsidRPr="00027FA8"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 xml:space="preserve">d) gli incentivi sono assegnati tramite contratti di diritto </w:t>
      </w:r>
      <w:r>
        <w:rPr>
          <w:rFonts w:ascii="Garamond" w:hAnsi="Garamond" w:cs="Times New Roman"/>
          <w:i/>
          <w:color w:val="000000" w:themeColor="text1"/>
          <w:sz w:val="28"/>
          <w:szCs w:val="28"/>
        </w:rPr>
        <w:t>privato</w:t>
      </w:r>
      <w:r w:rsidRPr="003622A3">
        <w:rPr>
          <w:rFonts w:ascii="Garamond" w:hAnsi="Garamond" w:cs="Times New Roman"/>
          <w:i/>
          <w:color w:val="000000" w:themeColor="text1"/>
          <w:sz w:val="28"/>
          <w:szCs w:val="28"/>
        </w:rPr>
        <w:t xml:space="preserve"> fra il GSE e il soggetto responsabile dell'impianto, sulla base di un contratto-tipo definito dall'Autorita' per l'</w:t>
      </w:r>
      <w:r>
        <w:rPr>
          <w:rFonts w:ascii="Garamond" w:hAnsi="Garamond" w:cs="Times New Roman"/>
          <w:i/>
          <w:color w:val="000000" w:themeColor="text1"/>
          <w:sz w:val="28"/>
          <w:szCs w:val="28"/>
        </w:rPr>
        <w:t>energia</w:t>
      </w:r>
      <w:r w:rsidRPr="003622A3">
        <w:rPr>
          <w:rFonts w:ascii="Garamond" w:hAnsi="Garamond" w:cs="Times New Roman"/>
          <w:i/>
          <w:color w:val="000000" w:themeColor="text1"/>
          <w:sz w:val="28"/>
          <w:szCs w:val="28"/>
        </w:rPr>
        <w:t xml:space="preserve"> elettrica e il gas, entro tre mesi dalla data di entrata in vigore del primo</w:t>
      </w:r>
      <w:r>
        <w:rPr>
          <w:rFonts w:ascii="Garamond" w:hAnsi="Garamond" w:cs="Times New Roman"/>
          <w:i/>
          <w:color w:val="000000" w:themeColor="text1"/>
          <w:sz w:val="28"/>
          <w:szCs w:val="28"/>
        </w:rPr>
        <w:t xml:space="preserve"> dei decreti di cui al comma 5;</w:t>
      </w:r>
    </w:p>
    <w:p w:rsidR="007B4920" w:rsidRPr="00136DA4" w:rsidRDefault="007B4920" w:rsidP="007B4920">
      <w:pPr>
        <w:spacing w:line="240" w:lineRule="auto"/>
        <w:ind w:firstLine="709"/>
        <w:contextualSpacing/>
        <w:jc w:val="both"/>
        <w:rPr>
          <w:rFonts w:ascii="Garamond" w:hAnsi="Garamond" w:cs="Times New Roman"/>
          <w:color w:val="000000" w:themeColor="text1"/>
          <w:sz w:val="28"/>
          <w:szCs w:val="28"/>
        </w:rPr>
      </w:pPr>
      <w:r w:rsidRPr="003622A3">
        <w:rPr>
          <w:rFonts w:ascii="Garamond" w:hAnsi="Garamond" w:cs="Times New Roman"/>
          <w:i/>
          <w:color w:val="000000" w:themeColor="text1"/>
          <w:sz w:val="28"/>
          <w:szCs w:val="28"/>
        </w:rPr>
        <w:t xml:space="preserve">e) fatto salvo quanto previsto dalla lettera i) del presente comma e dalla lettera c) del comma 5, l'incentivo e' attribuito </w:t>
      </w:r>
      <w:r>
        <w:rPr>
          <w:rFonts w:ascii="Garamond" w:hAnsi="Garamond" w:cs="Times New Roman"/>
          <w:i/>
          <w:color w:val="000000" w:themeColor="text1"/>
          <w:sz w:val="28"/>
          <w:szCs w:val="28"/>
        </w:rPr>
        <w:t>esclusivamente</w:t>
      </w:r>
      <w:r w:rsidRPr="003622A3">
        <w:rPr>
          <w:rFonts w:ascii="Garamond" w:hAnsi="Garamond" w:cs="Times New Roman"/>
          <w:i/>
          <w:color w:val="000000" w:themeColor="text1"/>
          <w:sz w:val="28"/>
          <w:szCs w:val="28"/>
        </w:rPr>
        <w:t xml:space="preserve"> alla produzione da nuovi impianti, ivi inclusi quelli realizzati a seguito di integrale ricostruzione, da impianti ripotenziati, limitatamente alla producibilita' aggiunt</w:t>
      </w:r>
      <w:r>
        <w:rPr>
          <w:rFonts w:ascii="Garamond" w:hAnsi="Garamond" w:cs="Times New Roman"/>
          <w:i/>
          <w:color w:val="000000" w:themeColor="text1"/>
          <w:sz w:val="28"/>
          <w:szCs w:val="28"/>
        </w:rPr>
        <w:t>iva</w:t>
      </w:r>
      <w:r w:rsidRPr="003622A3">
        <w:rPr>
          <w:rFonts w:ascii="Garamond" w:hAnsi="Garamond" w:cs="Times New Roman"/>
          <w:i/>
          <w:color w:val="000000" w:themeColor="text1"/>
          <w:sz w:val="28"/>
          <w:szCs w:val="28"/>
        </w:rPr>
        <w:t xml:space="preserve">, e da centrali ibride, limitatamente alla quota di </w:t>
      </w:r>
      <w:r>
        <w:rPr>
          <w:rFonts w:ascii="Garamond" w:hAnsi="Garamond" w:cs="Times New Roman"/>
          <w:i/>
          <w:color w:val="000000" w:themeColor="text1"/>
          <w:sz w:val="28"/>
          <w:szCs w:val="28"/>
        </w:rPr>
        <w:t>energia</w:t>
      </w:r>
      <w:r w:rsidRPr="003622A3">
        <w:rPr>
          <w:rFonts w:ascii="Garamond" w:hAnsi="Garamond" w:cs="Times New Roman"/>
          <w:i/>
          <w:color w:val="000000" w:themeColor="text1"/>
          <w:sz w:val="28"/>
          <w:szCs w:val="28"/>
        </w:rPr>
        <w:t xml:space="preserve"> prodotta da fonti rinnovabili</w:t>
      </w:r>
      <w:r w:rsidRPr="003622A3">
        <w:rPr>
          <w:rFonts w:ascii="Garamond" w:hAnsi="Garamond" w:cs="Times New Roman"/>
          <w:color w:val="000000" w:themeColor="text1"/>
          <w:sz w:val="28"/>
          <w:szCs w:val="28"/>
        </w:rPr>
        <w:t>;</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g) per biogas, biomasse e bioliquidi sostenibili l'incentivo tiene conto della tracciabilita' e della provenienza della materia prima, nonche' dell'esigenza di destinare prioritariamente:</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f) l'incentivo assegnato all'</w:t>
      </w:r>
      <w:r>
        <w:rPr>
          <w:rFonts w:ascii="Garamond" w:hAnsi="Garamond" w:cs="Times New Roman"/>
          <w:i/>
          <w:color w:val="000000" w:themeColor="text1"/>
          <w:sz w:val="28"/>
          <w:szCs w:val="28"/>
        </w:rPr>
        <w:t>energia</w:t>
      </w:r>
      <w:r w:rsidRPr="003622A3">
        <w:rPr>
          <w:rFonts w:ascii="Garamond" w:hAnsi="Garamond" w:cs="Times New Roman"/>
          <w:i/>
          <w:color w:val="000000" w:themeColor="text1"/>
          <w:sz w:val="28"/>
          <w:szCs w:val="28"/>
        </w:rPr>
        <w:t xml:space="preserve"> prodotta da impianti solari fotovoltaici e' superiore per gli impianti ad alta concentrazione (400 soli) e tiene conto del maggior rapporto tra </w:t>
      </w:r>
      <w:r>
        <w:rPr>
          <w:rFonts w:ascii="Garamond" w:hAnsi="Garamond" w:cs="Times New Roman"/>
          <w:i/>
          <w:color w:val="000000" w:themeColor="text1"/>
          <w:sz w:val="28"/>
          <w:szCs w:val="28"/>
        </w:rPr>
        <w:t>energia</w:t>
      </w:r>
      <w:r w:rsidRPr="003622A3">
        <w:rPr>
          <w:rFonts w:ascii="Garamond" w:hAnsi="Garamond" w:cs="Times New Roman"/>
          <w:i/>
          <w:color w:val="000000" w:themeColor="text1"/>
          <w:sz w:val="28"/>
          <w:szCs w:val="28"/>
        </w:rPr>
        <w:t xml:space="preserve"> prodotta e superficie utilizzata;</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 xml:space="preserve">i. le biomasse legnose trattate per via </w:t>
      </w:r>
      <w:r>
        <w:rPr>
          <w:rFonts w:ascii="Garamond" w:hAnsi="Garamond" w:cs="Times New Roman"/>
          <w:i/>
          <w:color w:val="000000" w:themeColor="text1"/>
          <w:sz w:val="28"/>
          <w:szCs w:val="28"/>
        </w:rPr>
        <w:t>esclusivamente</w:t>
      </w:r>
      <w:r w:rsidRPr="003622A3">
        <w:rPr>
          <w:rFonts w:ascii="Garamond" w:hAnsi="Garamond" w:cs="Times New Roman"/>
          <w:i/>
          <w:color w:val="000000" w:themeColor="text1"/>
          <w:sz w:val="28"/>
          <w:szCs w:val="28"/>
        </w:rPr>
        <w:t xml:space="preserve"> </w:t>
      </w:r>
      <w:r>
        <w:rPr>
          <w:rFonts w:ascii="Garamond" w:hAnsi="Garamond" w:cs="Times New Roman"/>
          <w:i/>
          <w:color w:val="000000" w:themeColor="text1"/>
          <w:sz w:val="28"/>
          <w:szCs w:val="28"/>
        </w:rPr>
        <w:t>meccanica all'utilizzo termico;</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ii. i bioliquidi sostenibili all'utilizzo per i trasporti;</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iii. il biometano all'immissione nella rete del gas naturale e all'utilizzo nei trasporti.</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h) per biogas, biomasse e bioliquidi sostenibili, in aggiunta ai criteri di cui alla lettera g), l'incentivo è finalizzato a promuovere:</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i. l'uso efficiente di rifiuti e sottoprodotti, di biogas da reflui zootecnici o da sottoprodotti delle attività agricole, agro-alimentari, agroindustriali, di allevamento e forestali, di prodotti ottenuti da colt</w:t>
      </w:r>
      <w:r>
        <w:rPr>
          <w:rFonts w:ascii="Garamond" w:hAnsi="Garamond" w:cs="Times New Roman"/>
          <w:i/>
          <w:color w:val="000000" w:themeColor="text1"/>
          <w:sz w:val="28"/>
          <w:szCs w:val="28"/>
        </w:rPr>
        <w:t>iva</w:t>
      </w:r>
      <w:r w:rsidRPr="003622A3">
        <w:rPr>
          <w:rFonts w:ascii="Garamond" w:hAnsi="Garamond" w:cs="Times New Roman"/>
          <w:i/>
          <w:color w:val="000000" w:themeColor="text1"/>
          <w:sz w:val="28"/>
          <w:szCs w:val="28"/>
        </w:rPr>
        <w:t>zioni dedicate non alimentari, nonché' di biomasse e bioliquidi sostenibili e biogas da filiere corte, contratti quadri e da intese di filiera;</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ii. la realizzazione di impianti operanti in cogenerazione;</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iii. la realizzazione e l'esercizio, da parte di imprenditori agricoli, di impianti alimentati da biomasse e biogas asserviti alle attività agricole, in particolare di micro e minicogenerazione, nel rispetto della disciplina comunitaria in materia di aiuti di Stato, tenuto conto di quanto previsto all'articolo 23, comma 1;</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i) l'incentivo è altresì attribuito, per contingenti di potenza, alla produzione da impianti oggetto di interventi di rifacimento totale o parziale, nel rispetto dei seguenti criteri:</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i. l'intervento è eseguito su impianti che siano in esercizio da un periodo pari almeno ai due terzi della vita utile convenzionale dell'impianto;</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t>ii. l'incentivo massimo riconoscibile non può essere superiore, per gli interventi di rifacimento parziale, al 25% e, per gli interventi di rifacimento totale, al 50% dell'incentivo spettante per le produzioni da impianti nuovi; nel caso degli impianti alimentati a biomassa, ivi compresi quelli alimentati con la frazione biodegradabile dei rifiuti, l'incentivo massimo riconoscibile non può essere superiore, per gli interventi di rifacimento parziale, all'80% e, per gli interventi di rifacimento totale, al 90% dell'incentivo spettante per le produzioni da impianti nuovi;</w:t>
      </w:r>
    </w:p>
    <w:p w:rsidR="007B4920" w:rsidRPr="003622A3" w:rsidRDefault="007B4920" w:rsidP="007B4920">
      <w:pPr>
        <w:spacing w:line="240" w:lineRule="auto"/>
        <w:ind w:firstLine="709"/>
        <w:contextualSpacing/>
        <w:jc w:val="both"/>
        <w:rPr>
          <w:rFonts w:ascii="Garamond" w:hAnsi="Garamond" w:cs="Times New Roman"/>
          <w:i/>
          <w:color w:val="000000" w:themeColor="text1"/>
          <w:sz w:val="28"/>
          <w:szCs w:val="28"/>
        </w:rPr>
      </w:pPr>
      <w:r w:rsidRPr="003622A3">
        <w:rPr>
          <w:rFonts w:ascii="Garamond" w:hAnsi="Garamond" w:cs="Times New Roman"/>
          <w:i/>
          <w:color w:val="000000" w:themeColor="text1"/>
          <w:sz w:val="28"/>
          <w:szCs w:val="28"/>
        </w:rPr>
        <w:lastRenderedPageBreak/>
        <w:t>iii. l'incentivo in ogni caso non si applica alle opere di manutenzione ordinaria e alle opere effettuate per adeguare l'impianto a prescrizioni di legge;</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r w:rsidRPr="003622A3">
        <w:rPr>
          <w:rFonts w:ascii="Garamond" w:hAnsi="Garamond" w:cs="Times New Roman"/>
          <w:i/>
          <w:color w:val="000000" w:themeColor="text1"/>
          <w:sz w:val="28"/>
          <w:szCs w:val="28"/>
        </w:rPr>
        <w:t>iv. l'incentivo non si applica alle produzioni da impianti che beneficiano di incentivi gia' attribuiti alla data di entrata in vigore del presente decreto o attribuiti ai sensi del presente articolo, per tutto il periodo per il quale è erogato l'incentivo in godimento</w:t>
      </w:r>
      <w:r w:rsidRPr="003622A3">
        <w:rPr>
          <w:rFonts w:ascii="Garamond" w:hAnsi="Garamond" w:cs="Times New Roman"/>
          <w:b/>
          <w:color w:val="000000" w:themeColor="text1"/>
          <w:sz w:val="28"/>
          <w:szCs w:val="28"/>
        </w:rPr>
        <w:t>.</w:t>
      </w:r>
    </w:p>
    <w:p w:rsidR="007B4920" w:rsidRPr="0027699D" w:rsidRDefault="007B4920" w:rsidP="007B4920">
      <w:pPr>
        <w:spacing w:line="240" w:lineRule="auto"/>
        <w:ind w:firstLine="709"/>
        <w:contextualSpacing/>
        <w:jc w:val="both"/>
        <w:rPr>
          <w:rFonts w:ascii="Garamond" w:hAnsi="Garamond" w:cs="Times New Roman"/>
          <w:i/>
          <w:color w:val="000000" w:themeColor="text1"/>
          <w:sz w:val="28"/>
          <w:szCs w:val="28"/>
        </w:rPr>
      </w:pPr>
      <w:r>
        <w:rPr>
          <w:rFonts w:ascii="Garamond" w:hAnsi="Garamond" w:cs="Times New Roman"/>
          <w:color w:val="000000" w:themeColor="text1"/>
          <w:sz w:val="28"/>
          <w:szCs w:val="28"/>
        </w:rPr>
        <w:t>L</w:t>
      </w:r>
      <w:r w:rsidRPr="003622A3">
        <w:rPr>
          <w:rFonts w:ascii="Garamond" w:hAnsi="Garamond" w:cs="Times New Roman"/>
          <w:color w:val="000000" w:themeColor="text1"/>
          <w:sz w:val="28"/>
          <w:szCs w:val="28"/>
        </w:rPr>
        <w:t>'articolo 56, comma 6-</w:t>
      </w:r>
      <w:r w:rsidRPr="006C530D">
        <w:rPr>
          <w:rFonts w:ascii="Garamond" w:hAnsi="Garamond" w:cs="Times New Roman"/>
          <w:i/>
          <w:color w:val="000000" w:themeColor="text1"/>
          <w:sz w:val="28"/>
          <w:szCs w:val="28"/>
        </w:rPr>
        <w:t>bis</w:t>
      </w:r>
      <w:r>
        <w:rPr>
          <w:rFonts w:ascii="Garamond" w:hAnsi="Garamond" w:cs="Times New Roman"/>
          <w:color w:val="000000" w:themeColor="text1"/>
          <w:sz w:val="28"/>
          <w:szCs w:val="28"/>
        </w:rPr>
        <w:t>, del d</w:t>
      </w:r>
      <w:r w:rsidRPr="003622A3">
        <w:rPr>
          <w:rFonts w:ascii="Garamond" w:hAnsi="Garamond" w:cs="Times New Roman"/>
          <w:color w:val="000000" w:themeColor="text1"/>
          <w:sz w:val="28"/>
          <w:szCs w:val="28"/>
        </w:rPr>
        <w:t>.</w:t>
      </w:r>
      <w:r>
        <w:rPr>
          <w:rFonts w:ascii="Garamond" w:hAnsi="Garamond" w:cs="Times New Roman"/>
          <w:color w:val="000000" w:themeColor="text1"/>
          <w:sz w:val="28"/>
          <w:szCs w:val="28"/>
        </w:rPr>
        <w:t>l.</w:t>
      </w:r>
      <w:r w:rsidRPr="003622A3">
        <w:rPr>
          <w:rFonts w:ascii="Garamond" w:hAnsi="Garamond" w:cs="Times New Roman"/>
          <w:color w:val="000000" w:themeColor="text1"/>
          <w:sz w:val="28"/>
          <w:szCs w:val="28"/>
        </w:rPr>
        <w:t xml:space="preserve"> 16 luglio 2020, n. 76, convertito, con modificazioni, dalla </w:t>
      </w:r>
      <w:r>
        <w:rPr>
          <w:rFonts w:ascii="Garamond" w:hAnsi="Garamond" w:cs="Times New Roman"/>
          <w:color w:val="000000" w:themeColor="text1"/>
          <w:sz w:val="28"/>
          <w:szCs w:val="28"/>
        </w:rPr>
        <w:t>l. 11 settembre 2020, n. 120 ha aggiunto al comma 2 le seguenti previsioni, “</w:t>
      </w:r>
      <w:r w:rsidRPr="0031266C">
        <w:rPr>
          <w:rFonts w:ascii="Garamond" w:hAnsi="Garamond" w:cs="Times New Roman"/>
          <w:color w:val="000000" w:themeColor="text1"/>
          <w:sz w:val="28"/>
          <w:szCs w:val="28"/>
        </w:rPr>
        <w:t>i</w:t>
      </w:r>
      <w:r w:rsidRPr="0031266C">
        <w:rPr>
          <w:rFonts w:ascii="Garamond" w:hAnsi="Garamond" w:cs="Times New Roman"/>
          <w:i/>
          <w:color w:val="000000" w:themeColor="text1"/>
          <w:sz w:val="28"/>
          <w:szCs w:val="28"/>
        </w:rPr>
        <w:t>-bis) deve essere assicurata prioritaria possibilità di partecipazione agli incentivi a chi installi impianti fotovoltaici a seguito di rimozione dell'amianto, con agevolazioni premiali e modalità di partecipazione quanto più</w:t>
      </w:r>
      <w:r>
        <w:rPr>
          <w:rFonts w:ascii="Garamond" w:hAnsi="Garamond" w:cs="Times New Roman"/>
          <w:i/>
          <w:color w:val="000000" w:themeColor="text1"/>
          <w:sz w:val="28"/>
          <w:szCs w:val="28"/>
        </w:rPr>
        <w:t xml:space="preserve"> possibile ampie. A tali fini:</w:t>
      </w:r>
    </w:p>
    <w:p w:rsidR="007B4920" w:rsidRPr="0031266C" w:rsidRDefault="007B4920" w:rsidP="007B4920">
      <w:pPr>
        <w:spacing w:line="240" w:lineRule="auto"/>
        <w:ind w:firstLine="709"/>
        <w:contextualSpacing/>
        <w:jc w:val="both"/>
        <w:rPr>
          <w:rFonts w:ascii="Garamond" w:hAnsi="Garamond" w:cs="Times New Roman"/>
          <w:i/>
          <w:color w:val="000000" w:themeColor="text1"/>
          <w:sz w:val="28"/>
          <w:szCs w:val="28"/>
        </w:rPr>
      </w:pPr>
      <w:r w:rsidRPr="0031266C">
        <w:rPr>
          <w:rFonts w:ascii="Garamond" w:hAnsi="Garamond" w:cs="Times New Roman"/>
          <w:i/>
          <w:color w:val="000000" w:themeColor="text1"/>
          <w:sz w:val="28"/>
          <w:szCs w:val="28"/>
        </w:rPr>
        <w:t>1) non è necessario che l'area dove è avvenuta la sostituzione dell'amianto coincida con quella dove viene installato l'impianto, purché' l'impianto sia installato sullo stesso edificio o in altri edifici catastalmente confinanti nella disponibilità dello stesso soggetto;</w:t>
      </w:r>
    </w:p>
    <w:p w:rsidR="007B4920" w:rsidRDefault="007B4920" w:rsidP="007B4920">
      <w:pPr>
        <w:spacing w:line="240" w:lineRule="auto"/>
        <w:ind w:firstLine="709"/>
        <w:contextualSpacing/>
        <w:jc w:val="both"/>
        <w:rPr>
          <w:rFonts w:ascii="Garamond" w:hAnsi="Garamond" w:cs="Times New Roman"/>
          <w:i/>
          <w:color w:val="000000" w:themeColor="text1"/>
          <w:sz w:val="28"/>
          <w:szCs w:val="28"/>
        </w:rPr>
      </w:pPr>
      <w:r w:rsidRPr="0031266C">
        <w:rPr>
          <w:rFonts w:ascii="Garamond" w:hAnsi="Garamond" w:cs="Times New Roman"/>
          <w:i/>
          <w:color w:val="000000" w:themeColor="text1"/>
          <w:sz w:val="28"/>
          <w:szCs w:val="28"/>
        </w:rPr>
        <w:t>2) gli impianti fotovoltaici potranno occupare una superficie maggiore di quella dell'amianto sostituito, fermo restando che in tale caso saranno decurtati proporzionalmente in modo forfettario i benefici aggiuntivi per la sostituzione dell'amianto</w:t>
      </w:r>
      <w:r>
        <w:rPr>
          <w:rFonts w:ascii="Garamond" w:hAnsi="Garamond" w:cs="Times New Roman"/>
          <w:i/>
          <w:color w:val="000000" w:themeColor="text1"/>
          <w:sz w:val="28"/>
          <w:szCs w:val="28"/>
        </w:rPr>
        <w:t>;</w:t>
      </w:r>
    </w:p>
    <w:p w:rsidR="007B4920" w:rsidRPr="0031266C" w:rsidRDefault="007B4920" w:rsidP="007B4920">
      <w:pPr>
        <w:spacing w:line="240" w:lineRule="auto"/>
        <w:ind w:firstLine="709"/>
        <w:contextualSpacing/>
        <w:jc w:val="both"/>
        <w:rPr>
          <w:rFonts w:ascii="Garamond" w:hAnsi="Garamond" w:cs="Times New Roman"/>
          <w:i/>
          <w:color w:val="000000" w:themeColor="text1"/>
          <w:sz w:val="28"/>
          <w:szCs w:val="28"/>
        </w:rPr>
      </w:pPr>
      <w:r w:rsidRPr="0031266C">
        <w:rPr>
          <w:rFonts w:ascii="Garamond" w:hAnsi="Garamond" w:cs="Times New Roman"/>
          <w:i/>
          <w:color w:val="000000" w:themeColor="text1"/>
          <w:sz w:val="28"/>
          <w:szCs w:val="28"/>
        </w:rPr>
        <w:t>i-ter) qualora nel corso delle procedure di assegnazione degli incentivi si verifichi un eccesso di offerta per gli impianti sopra o sotto una determinata soglia di potenza, con il decreto di cui al comma 5, la parte degli incentivi non assegnati può essere destinata ad altre procedure per impianti di potenza diversa dove vi sia eccesso di domanda”.</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31266C">
        <w:rPr>
          <w:rFonts w:ascii="Garamond" w:hAnsi="Garamond" w:cs="Times New Roman"/>
          <w:color w:val="000000" w:themeColor="text1"/>
          <w:sz w:val="28"/>
          <w:szCs w:val="28"/>
        </w:rPr>
        <w:t xml:space="preserve">I commi 3 e 4 </w:t>
      </w:r>
      <w:r>
        <w:rPr>
          <w:rFonts w:ascii="Garamond" w:hAnsi="Garamond" w:cs="Times New Roman"/>
          <w:color w:val="000000" w:themeColor="text1"/>
          <w:sz w:val="28"/>
          <w:szCs w:val="28"/>
        </w:rPr>
        <w:t>disciplinano i meccanismi di incentivazione a seconda della potenza degli impianti mentre il comma 5 rinvia a d</w:t>
      </w:r>
      <w:r w:rsidRPr="0031266C">
        <w:rPr>
          <w:rFonts w:ascii="Garamond" w:hAnsi="Garamond" w:cs="Times New Roman"/>
          <w:color w:val="000000" w:themeColor="text1"/>
          <w:sz w:val="28"/>
          <w:szCs w:val="28"/>
        </w:rPr>
        <w:t xml:space="preserve">ecreti del Ministro dello sviluppo economico </w:t>
      </w:r>
      <w:r>
        <w:rPr>
          <w:rFonts w:ascii="Garamond" w:hAnsi="Garamond" w:cs="Times New Roman"/>
          <w:color w:val="000000" w:themeColor="text1"/>
          <w:sz w:val="28"/>
          <w:szCs w:val="28"/>
        </w:rPr>
        <w:t xml:space="preserve">- </w:t>
      </w:r>
      <w:r w:rsidRPr="0031266C">
        <w:rPr>
          <w:rFonts w:ascii="Garamond" w:hAnsi="Garamond" w:cs="Times New Roman"/>
          <w:color w:val="000000" w:themeColor="text1"/>
          <w:sz w:val="28"/>
          <w:szCs w:val="28"/>
        </w:rPr>
        <w:t>di concerto con il Ministro dell'ambiente e della tutela del territorio e del mare e, per i profili di competenza, con il Ministro delle politiche agricole e forestali, sentite l’Autorità per l'</w:t>
      </w:r>
      <w:r>
        <w:rPr>
          <w:rFonts w:ascii="Garamond" w:hAnsi="Garamond" w:cs="Times New Roman"/>
          <w:color w:val="000000" w:themeColor="text1"/>
          <w:sz w:val="28"/>
          <w:szCs w:val="28"/>
        </w:rPr>
        <w:t>energia</w:t>
      </w:r>
      <w:r w:rsidRPr="0031266C">
        <w:rPr>
          <w:rFonts w:ascii="Garamond" w:hAnsi="Garamond" w:cs="Times New Roman"/>
          <w:color w:val="000000" w:themeColor="text1"/>
          <w:sz w:val="28"/>
          <w:szCs w:val="28"/>
        </w:rPr>
        <w:t xml:space="preserve"> elettrica e il </w:t>
      </w:r>
      <w:r>
        <w:rPr>
          <w:rFonts w:ascii="Garamond" w:hAnsi="Garamond" w:cs="Times New Roman"/>
          <w:color w:val="000000" w:themeColor="text1"/>
          <w:sz w:val="28"/>
          <w:szCs w:val="28"/>
        </w:rPr>
        <w:t>gas e la Conferenza unificata - per la definizione del</w:t>
      </w:r>
      <w:r w:rsidRPr="0031266C">
        <w:rPr>
          <w:rFonts w:ascii="Garamond" w:hAnsi="Garamond" w:cs="Times New Roman"/>
          <w:color w:val="000000" w:themeColor="text1"/>
          <w:sz w:val="28"/>
          <w:szCs w:val="28"/>
        </w:rPr>
        <w:t xml:space="preserve">le modalità per l'attuazione dei sistemi di </w:t>
      </w:r>
      <w:r>
        <w:rPr>
          <w:rFonts w:ascii="Garamond" w:hAnsi="Garamond" w:cs="Times New Roman"/>
          <w:color w:val="000000" w:themeColor="text1"/>
          <w:sz w:val="28"/>
          <w:szCs w:val="28"/>
        </w:rPr>
        <w:t>incentivazione</w:t>
      </w:r>
      <w:r w:rsidRPr="0031266C">
        <w:rPr>
          <w:rFonts w:ascii="Garamond" w:hAnsi="Garamond" w:cs="Times New Roman"/>
          <w:color w:val="000000" w:themeColor="text1"/>
          <w:sz w:val="28"/>
          <w:szCs w:val="28"/>
        </w:rPr>
        <w:t>, nel rispetto dei criteri di cui ai precedenti commi 2, 3 e 4.</w:t>
      </w:r>
    </w:p>
    <w:p w:rsidR="007B4920" w:rsidRPr="0027699D"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Secondo quanto evidenziato dalla giurisprudenza amministrativa </w:t>
      </w:r>
      <w:r w:rsidRPr="00D01B1F">
        <w:rPr>
          <w:rFonts w:ascii="Garamond" w:hAnsi="Garamond" w:cs="Times New Roman"/>
          <w:color w:val="000000" w:themeColor="text1"/>
          <w:sz w:val="28"/>
          <w:szCs w:val="28"/>
        </w:rPr>
        <w:t>(Cons. Sta</w:t>
      </w:r>
      <w:r>
        <w:rPr>
          <w:rFonts w:ascii="Garamond" w:hAnsi="Garamond" w:cs="Times New Roman"/>
          <w:color w:val="000000" w:themeColor="text1"/>
          <w:sz w:val="28"/>
          <w:szCs w:val="28"/>
        </w:rPr>
        <w:t>to, sez. II, n. 10343 del 2022) i</w:t>
      </w:r>
      <w:r w:rsidRPr="0027699D">
        <w:rPr>
          <w:rFonts w:ascii="Garamond" w:hAnsi="Garamond" w:cs="Times New Roman"/>
          <w:color w:val="000000" w:themeColor="text1"/>
          <w:sz w:val="28"/>
          <w:szCs w:val="28"/>
        </w:rPr>
        <w:t xml:space="preserve">l d.lgs. </w:t>
      </w:r>
      <w:r>
        <w:rPr>
          <w:rFonts w:ascii="Garamond" w:hAnsi="Garamond" w:cs="Times New Roman"/>
          <w:color w:val="000000" w:themeColor="text1"/>
          <w:sz w:val="28"/>
          <w:szCs w:val="28"/>
        </w:rPr>
        <w:t xml:space="preserve">n. 28 del 2011 </w:t>
      </w:r>
      <w:r w:rsidRPr="0027699D">
        <w:rPr>
          <w:rFonts w:ascii="Garamond" w:hAnsi="Garamond" w:cs="Times New Roman"/>
          <w:color w:val="000000" w:themeColor="text1"/>
          <w:sz w:val="28"/>
          <w:szCs w:val="28"/>
        </w:rPr>
        <w:t>ha</w:t>
      </w:r>
      <w:r>
        <w:rPr>
          <w:rFonts w:ascii="Garamond" w:hAnsi="Garamond" w:cs="Times New Roman"/>
          <w:color w:val="000000" w:themeColor="text1"/>
          <w:sz w:val="28"/>
          <w:szCs w:val="28"/>
        </w:rPr>
        <w:t xml:space="preserve"> pertanto</w:t>
      </w:r>
      <w:r w:rsidRPr="0027699D">
        <w:rPr>
          <w:rFonts w:ascii="Garamond" w:hAnsi="Garamond" w:cs="Times New Roman"/>
          <w:color w:val="000000" w:themeColor="text1"/>
          <w:sz w:val="28"/>
          <w:szCs w:val="28"/>
        </w:rPr>
        <w:t xml:space="preserve"> previsto il passaggio ad un nuovo sistema di </w:t>
      </w:r>
      <w:r>
        <w:rPr>
          <w:rFonts w:ascii="Garamond" w:hAnsi="Garamond" w:cs="Times New Roman"/>
          <w:color w:val="000000" w:themeColor="text1"/>
          <w:sz w:val="28"/>
          <w:szCs w:val="28"/>
        </w:rPr>
        <w:t>incentivazione</w:t>
      </w:r>
      <w:r w:rsidRPr="0027699D">
        <w:rPr>
          <w:rFonts w:ascii="Garamond" w:hAnsi="Garamond" w:cs="Times New Roman"/>
          <w:color w:val="000000" w:themeColor="text1"/>
          <w:sz w:val="28"/>
          <w:szCs w:val="28"/>
        </w:rPr>
        <w:t xml:space="preserve"> per gli impianti entrati in esercizio dopo il 31 dicembre 2012, rinviando ad un </w:t>
      </w:r>
      <w:r>
        <w:rPr>
          <w:rFonts w:ascii="Garamond" w:hAnsi="Garamond" w:cs="Times New Roman"/>
          <w:color w:val="000000" w:themeColor="text1"/>
          <w:sz w:val="28"/>
          <w:szCs w:val="28"/>
        </w:rPr>
        <w:t xml:space="preserve">d.m. </w:t>
      </w:r>
      <w:r w:rsidRPr="0027699D">
        <w:rPr>
          <w:rFonts w:ascii="Garamond" w:hAnsi="Garamond" w:cs="Times New Roman"/>
          <w:color w:val="000000" w:themeColor="text1"/>
          <w:sz w:val="28"/>
          <w:szCs w:val="28"/>
        </w:rPr>
        <w:t xml:space="preserve">per la disciplina delle modalità, tra le altre, relative alla transizione dal vecchio al nuovo meccanismo di </w:t>
      </w:r>
      <w:r>
        <w:rPr>
          <w:rFonts w:ascii="Garamond" w:hAnsi="Garamond" w:cs="Times New Roman"/>
          <w:color w:val="000000" w:themeColor="text1"/>
          <w:sz w:val="28"/>
          <w:szCs w:val="28"/>
        </w:rPr>
        <w:t>incentivazione</w:t>
      </w:r>
      <w:r w:rsidRPr="0027699D">
        <w:rPr>
          <w:rFonts w:ascii="Garamond" w:hAnsi="Garamond" w:cs="Times New Roman"/>
          <w:color w:val="000000" w:themeColor="text1"/>
          <w:sz w:val="28"/>
          <w:szCs w:val="28"/>
        </w:rPr>
        <w:t xml:space="preserve"> e, in particolare, delle modalità per la commutazione del diritto a fruire dei certificati verdi, per gli anni successivi al 2015, nel diritto ad accedere, per il residuo periodo di diritto ai certificati verdi, a un incentivo in base al nuovo sistema, in modo da garantire la redditività degli investimenti effettuati (art. 24 comma 5 lettera c)</w:t>
      </w:r>
      <w:r>
        <w:rPr>
          <w:rFonts w:ascii="Garamond" w:hAnsi="Garamond" w:cs="Times New Roman"/>
          <w:color w:val="000000" w:themeColor="text1"/>
          <w:sz w:val="28"/>
          <w:szCs w:val="28"/>
        </w:rPr>
        <w:t xml:space="preserve"> </w:t>
      </w:r>
    </w:p>
    <w:p w:rsidR="007B4920" w:rsidRPr="0027699D" w:rsidRDefault="007B4920" w:rsidP="007B4920">
      <w:pPr>
        <w:spacing w:line="240" w:lineRule="auto"/>
        <w:ind w:firstLine="709"/>
        <w:contextualSpacing/>
        <w:jc w:val="both"/>
        <w:rPr>
          <w:rFonts w:ascii="Garamond" w:hAnsi="Garamond" w:cs="Times New Roman"/>
          <w:color w:val="000000" w:themeColor="text1"/>
          <w:sz w:val="28"/>
          <w:szCs w:val="28"/>
        </w:rPr>
      </w:pPr>
      <w:r w:rsidRPr="0027699D">
        <w:rPr>
          <w:rFonts w:ascii="Garamond" w:hAnsi="Garamond" w:cs="Times New Roman"/>
          <w:color w:val="000000" w:themeColor="text1"/>
          <w:sz w:val="28"/>
          <w:szCs w:val="28"/>
        </w:rPr>
        <w:t>In attuazione dell'articolo 24, comma 5, lettera c), primo periodo, del decreto legislativo n. 28 del 2011,</w:t>
      </w:r>
      <w:r>
        <w:rPr>
          <w:rFonts w:ascii="Garamond" w:hAnsi="Garamond" w:cs="Times New Roman"/>
          <w:color w:val="000000" w:themeColor="text1"/>
          <w:sz w:val="28"/>
          <w:szCs w:val="28"/>
        </w:rPr>
        <w:t xml:space="preserve"> è stato, pertanto, emanato il d.m</w:t>
      </w:r>
      <w:r w:rsidRPr="0027699D">
        <w:rPr>
          <w:rFonts w:ascii="Garamond" w:hAnsi="Garamond" w:cs="Times New Roman"/>
          <w:color w:val="000000" w:themeColor="text1"/>
          <w:sz w:val="28"/>
          <w:szCs w:val="28"/>
        </w:rPr>
        <w:t>. 6 luglio 2012, che, all’art. 19 ha indicato un criterio matematico di commutazione dei certificati verdi in incentivi; all’art. 20 il rilascio e il ritiro dei certificati verdi relativi alle produzioni degli anni dal 2012 al 2015 con frequenza trimestrale, secondo i valori indicati n</w:t>
      </w:r>
      <w:r>
        <w:rPr>
          <w:rFonts w:ascii="Garamond" w:hAnsi="Garamond" w:cs="Times New Roman"/>
          <w:color w:val="000000" w:themeColor="text1"/>
          <w:sz w:val="28"/>
          <w:szCs w:val="28"/>
        </w:rPr>
        <w:t>ella stessa norma dell’art. 19.</w:t>
      </w:r>
    </w:p>
    <w:p w:rsidR="007B4920" w:rsidRPr="0027699D" w:rsidRDefault="007B4920" w:rsidP="007B4920">
      <w:pPr>
        <w:spacing w:line="240" w:lineRule="auto"/>
        <w:ind w:firstLine="709"/>
        <w:contextualSpacing/>
        <w:jc w:val="both"/>
        <w:rPr>
          <w:rFonts w:ascii="Garamond" w:hAnsi="Garamond" w:cs="Times New Roman"/>
          <w:color w:val="000000" w:themeColor="text1"/>
          <w:sz w:val="28"/>
          <w:szCs w:val="28"/>
        </w:rPr>
      </w:pPr>
      <w:r w:rsidRPr="0027699D">
        <w:rPr>
          <w:rFonts w:ascii="Garamond" w:hAnsi="Garamond" w:cs="Times New Roman"/>
          <w:color w:val="000000" w:themeColor="text1"/>
          <w:sz w:val="28"/>
          <w:szCs w:val="28"/>
        </w:rPr>
        <w:t>L’art. 24, al comma 2 lettera d)</w:t>
      </w:r>
      <w:r>
        <w:rPr>
          <w:rFonts w:ascii="Garamond" w:hAnsi="Garamond" w:cs="Times New Roman"/>
          <w:color w:val="000000" w:themeColor="text1"/>
          <w:sz w:val="28"/>
          <w:szCs w:val="28"/>
        </w:rPr>
        <w:t>, d.lgs. n. 28 del 2011</w:t>
      </w:r>
      <w:r w:rsidRPr="0027699D">
        <w:rPr>
          <w:rFonts w:ascii="Garamond" w:hAnsi="Garamond" w:cs="Times New Roman"/>
          <w:color w:val="000000" w:themeColor="text1"/>
          <w:sz w:val="28"/>
          <w:szCs w:val="28"/>
        </w:rPr>
        <w:t>, ha disposto l’assegnazione degli incentivi “tramite contratti</w:t>
      </w:r>
      <w:r>
        <w:rPr>
          <w:rFonts w:ascii="Garamond" w:hAnsi="Garamond" w:cs="Times New Roman"/>
          <w:color w:val="000000" w:themeColor="text1"/>
          <w:sz w:val="28"/>
          <w:szCs w:val="28"/>
        </w:rPr>
        <w:t xml:space="preserve"> di diritto privato fra il G.s.e.</w:t>
      </w:r>
      <w:r w:rsidRPr="0027699D">
        <w:rPr>
          <w:rFonts w:ascii="Garamond" w:hAnsi="Garamond" w:cs="Times New Roman"/>
          <w:color w:val="000000" w:themeColor="text1"/>
          <w:sz w:val="28"/>
          <w:szCs w:val="28"/>
        </w:rPr>
        <w:t xml:space="preserve"> e il soggetto responsabile dell'impianto, sulla base di un contratto-tipo definito dall'Autorità per</w:t>
      </w:r>
      <w:r>
        <w:rPr>
          <w:rFonts w:ascii="Garamond" w:hAnsi="Garamond" w:cs="Times New Roman"/>
          <w:color w:val="000000" w:themeColor="text1"/>
          <w:sz w:val="28"/>
          <w:szCs w:val="28"/>
        </w:rPr>
        <w:t xml:space="preserve"> l'energia elettrica e il gas”.</w:t>
      </w:r>
    </w:p>
    <w:p w:rsidR="007B4920" w:rsidRPr="0027699D"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L’art. 21, comma 8, d.m.</w:t>
      </w:r>
      <w:r w:rsidRPr="0027699D">
        <w:rPr>
          <w:rFonts w:ascii="Garamond" w:hAnsi="Garamond" w:cs="Times New Roman"/>
          <w:color w:val="000000" w:themeColor="text1"/>
          <w:sz w:val="28"/>
          <w:szCs w:val="28"/>
        </w:rPr>
        <w:t xml:space="preserve"> 6 luglio 2012 ha</w:t>
      </w:r>
      <w:r>
        <w:rPr>
          <w:rFonts w:ascii="Garamond" w:hAnsi="Garamond" w:cs="Times New Roman"/>
          <w:color w:val="000000" w:themeColor="text1"/>
          <w:sz w:val="28"/>
          <w:szCs w:val="28"/>
        </w:rPr>
        <w:t xml:space="preserve"> dunque</w:t>
      </w:r>
      <w:r w:rsidRPr="0027699D">
        <w:rPr>
          <w:rFonts w:ascii="Garamond" w:hAnsi="Garamond" w:cs="Times New Roman"/>
          <w:color w:val="000000" w:themeColor="text1"/>
          <w:sz w:val="28"/>
          <w:szCs w:val="28"/>
        </w:rPr>
        <w:t xml:space="preserve"> previsto, per l’accesso ai meccanismi di </w:t>
      </w:r>
      <w:r>
        <w:rPr>
          <w:rFonts w:ascii="Garamond" w:hAnsi="Garamond" w:cs="Times New Roman"/>
          <w:color w:val="000000" w:themeColor="text1"/>
          <w:sz w:val="28"/>
          <w:szCs w:val="28"/>
        </w:rPr>
        <w:t>incentivazione</w:t>
      </w:r>
      <w:r w:rsidRPr="0027699D">
        <w:rPr>
          <w:rFonts w:ascii="Garamond" w:hAnsi="Garamond" w:cs="Times New Roman"/>
          <w:color w:val="000000" w:themeColor="text1"/>
          <w:sz w:val="28"/>
          <w:szCs w:val="28"/>
        </w:rPr>
        <w:t>, la stipula di un “contratt</w:t>
      </w:r>
      <w:r>
        <w:rPr>
          <w:rFonts w:ascii="Garamond" w:hAnsi="Garamond" w:cs="Times New Roman"/>
          <w:color w:val="000000" w:themeColor="text1"/>
          <w:sz w:val="28"/>
          <w:szCs w:val="28"/>
        </w:rPr>
        <w:t>o di diritto privato” con il G.s.e.</w:t>
      </w:r>
      <w:r w:rsidRPr="0027699D">
        <w:rPr>
          <w:rFonts w:ascii="Garamond" w:hAnsi="Garamond" w:cs="Times New Roman"/>
          <w:color w:val="000000" w:themeColor="text1"/>
          <w:sz w:val="28"/>
          <w:szCs w:val="28"/>
        </w:rPr>
        <w:t>, rinviando all’Autorità per l'</w:t>
      </w:r>
      <w:r>
        <w:rPr>
          <w:rFonts w:ascii="Garamond" w:hAnsi="Garamond" w:cs="Times New Roman"/>
          <w:color w:val="000000" w:themeColor="text1"/>
          <w:sz w:val="28"/>
          <w:szCs w:val="28"/>
        </w:rPr>
        <w:t>energia</w:t>
      </w:r>
      <w:r w:rsidRPr="0027699D">
        <w:rPr>
          <w:rFonts w:ascii="Garamond" w:hAnsi="Garamond" w:cs="Times New Roman"/>
          <w:color w:val="000000" w:themeColor="text1"/>
          <w:sz w:val="28"/>
          <w:szCs w:val="28"/>
        </w:rPr>
        <w:t xml:space="preserve"> elettrica e il gas per la definizione (“entro tre mesi dall'entrata in vigore del presente decreto”), del contratto-tipo di cui all'articolo 24, comma 2, lettera d), del decr</w:t>
      </w:r>
      <w:r>
        <w:rPr>
          <w:rFonts w:ascii="Garamond" w:hAnsi="Garamond" w:cs="Times New Roman"/>
          <w:color w:val="000000" w:themeColor="text1"/>
          <w:sz w:val="28"/>
          <w:szCs w:val="28"/>
        </w:rPr>
        <w:t>eto legislativo n. 28 del 2011.</w:t>
      </w:r>
    </w:p>
    <w:p w:rsidR="007B4920" w:rsidRPr="0027699D"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Con d</w:t>
      </w:r>
      <w:r w:rsidRPr="0027699D">
        <w:rPr>
          <w:rFonts w:ascii="Garamond" w:hAnsi="Garamond" w:cs="Times New Roman"/>
          <w:color w:val="000000" w:themeColor="text1"/>
          <w:sz w:val="28"/>
          <w:szCs w:val="28"/>
        </w:rPr>
        <w:t>eliberazione 16 maggio 2013, n. 207/2013/R/EFR, A</w:t>
      </w:r>
      <w:r>
        <w:rPr>
          <w:rFonts w:ascii="Garamond" w:hAnsi="Garamond" w:cs="Times New Roman"/>
          <w:color w:val="000000" w:themeColor="text1"/>
          <w:sz w:val="28"/>
          <w:szCs w:val="28"/>
        </w:rPr>
        <w:t>RERA</w:t>
      </w:r>
      <w:r w:rsidRPr="0027699D">
        <w:rPr>
          <w:rFonts w:ascii="Garamond" w:hAnsi="Garamond" w:cs="Times New Roman"/>
          <w:color w:val="000000" w:themeColor="text1"/>
          <w:sz w:val="28"/>
          <w:szCs w:val="28"/>
        </w:rPr>
        <w:t xml:space="preserve"> ha, quindi, provveduto alla approvazione del co</w:t>
      </w:r>
      <w:r>
        <w:rPr>
          <w:rFonts w:ascii="Garamond" w:hAnsi="Garamond" w:cs="Times New Roman"/>
          <w:color w:val="000000" w:themeColor="text1"/>
          <w:sz w:val="28"/>
          <w:szCs w:val="28"/>
        </w:rPr>
        <w:t>ntratto-tipo predisposto dal G.s.e.</w:t>
      </w:r>
      <w:r w:rsidRPr="0027699D">
        <w:rPr>
          <w:rFonts w:ascii="Garamond" w:hAnsi="Garamond" w:cs="Times New Roman"/>
          <w:color w:val="000000" w:themeColor="text1"/>
          <w:sz w:val="28"/>
          <w:szCs w:val="28"/>
        </w:rPr>
        <w:t xml:space="preserve"> “ai fini dell'erogazione degli incentivi previsti per gli impianti alimentati da fonti rinnovabi</w:t>
      </w:r>
      <w:r>
        <w:rPr>
          <w:rFonts w:ascii="Garamond" w:hAnsi="Garamond" w:cs="Times New Roman"/>
          <w:color w:val="000000" w:themeColor="text1"/>
          <w:sz w:val="28"/>
          <w:szCs w:val="28"/>
        </w:rPr>
        <w:t>li diverse dalla fonte solare”.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27699D">
        <w:rPr>
          <w:rFonts w:ascii="Garamond" w:hAnsi="Garamond" w:cs="Times New Roman"/>
          <w:color w:val="000000" w:themeColor="text1"/>
          <w:sz w:val="28"/>
          <w:szCs w:val="28"/>
        </w:rPr>
        <w:t>Sulla ba</w:t>
      </w:r>
      <w:r>
        <w:rPr>
          <w:rFonts w:ascii="Garamond" w:hAnsi="Garamond" w:cs="Times New Roman"/>
          <w:color w:val="000000" w:themeColor="text1"/>
          <w:sz w:val="28"/>
          <w:szCs w:val="28"/>
        </w:rPr>
        <w:t>se di tale contratto-tipo il G.s.e.</w:t>
      </w:r>
      <w:r w:rsidRPr="0027699D">
        <w:rPr>
          <w:rFonts w:ascii="Garamond" w:hAnsi="Garamond" w:cs="Times New Roman"/>
          <w:color w:val="000000" w:themeColor="text1"/>
          <w:sz w:val="28"/>
          <w:szCs w:val="28"/>
        </w:rPr>
        <w:t xml:space="preserve"> ha predisposto uno schema di convenzione anche per la commutazione dei certificati verdi in tariffa incent</w:t>
      </w:r>
      <w:r>
        <w:rPr>
          <w:rFonts w:ascii="Garamond" w:hAnsi="Garamond" w:cs="Times New Roman"/>
          <w:color w:val="000000" w:themeColor="text1"/>
          <w:sz w:val="28"/>
          <w:szCs w:val="28"/>
        </w:rPr>
        <w:t>iva</w:t>
      </w:r>
      <w:r w:rsidRPr="0027699D">
        <w:rPr>
          <w:rFonts w:ascii="Garamond" w:hAnsi="Garamond" w:cs="Times New Roman"/>
          <w:color w:val="000000" w:themeColor="text1"/>
          <w:sz w:val="28"/>
          <w:szCs w:val="28"/>
        </w:rPr>
        <w:t>nte. Tale schema è stato pubblicato sul</w:t>
      </w:r>
      <w:r>
        <w:rPr>
          <w:rFonts w:ascii="Garamond" w:hAnsi="Garamond" w:cs="Times New Roman"/>
          <w:color w:val="000000" w:themeColor="text1"/>
          <w:sz w:val="28"/>
          <w:szCs w:val="28"/>
        </w:rPr>
        <w:t xml:space="preserve"> sito del G.s.e. il 20 aprile 2016.</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Inoltre secondo la costante  giurisprudenza del Consiglio di Stato i</w:t>
      </w:r>
      <w:r w:rsidRPr="00EE3CE5">
        <w:rPr>
          <w:rFonts w:ascii="Garamond" w:hAnsi="Garamond" w:cs="Times New Roman"/>
          <w:color w:val="000000" w:themeColor="text1"/>
          <w:sz w:val="28"/>
          <w:szCs w:val="28"/>
        </w:rPr>
        <w:t xml:space="preserve">n materia di </w:t>
      </w:r>
      <w:r>
        <w:rPr>
          <w:rFonts w:ascii="Garamond" w:hAnsi="Garamond" w:cs="Times New Roman"/>
          <w:color w:val="000000" w:themeColor="text1"/>
          <w:sz w:val="28"/>
          <w:szCs w:val="28"/>
        </w:rPr>
        <w:t>energia</w:t>
      </w:r>
      <w:r w:rsidRPr="00EE3CE5">
        <w:rPr>
          <w:rFonts w:ascii="Garamond" w:hAnsi="Garamond" w:cs="Times New Roman"/>
          <w:color w:val="000000" w:themeColor="text1"/>
          <w:sz w:val="28"/>
          <w:szCs w:val="28"/>
        </w:rPr>
        <w:t>, in relazione alla controversia concernente</w:t>
      </w:r>
      <w:r>
        <w:rPr>
          <w:rFonts w:ascii="Garamond" w:hAnsi="Garamond" w:cs="Times New Roman"/>
          <w:color w:val="000000" w:themeColor="text1"/>
          <w:sz w:val="28"/>
          <w:szCs w:val="28"/>
        </w:rPr>
        <w:t xml:space="preserve"> la transizione da parte delle s</w:t>
      </w:r>
      <w:r w:rsidRPr="00EE3CE5">
        <w:rPr>
          <w:rFonts w:ascii="Garamond" w:hAnsi="Garamond" w:cs="Times New Roman"/>
          <w:color w:val="000000" w:themeColor="text1"/>
          <w:sz w:val="28"/>
          <w:szCs w:val="28"/>
        </w:rPr>
        <w:t xml:space="preserve">ocietà - titolari di impianti di produzione di </w:t>
      </w:r>
      <w:r>
        <w:rPr>
          <w:rFonts w:ascii="Garamond" w:hAnsi="Garamond" w:cs="Times New Roman"/>
          <w:color w:val="000000" w:themeColor="text1"/>
          <w:sz w:val="28"/>
          <w:szCs w:val="28"/>
        </w:rPr>
        <w:t>energia</w:t>
      </w:r>
      <w:r w:rsidRPr="00EE3CE5">
        <w:rPr>
          <w:rFonts w:ascii="Garamond" w:hAnsi="Garamond" w:cs="Times New Roman"/>
          <w:color w:val="000000" w:themeColor="text1"/>
          <w:sz w:val="28"/>
          <w:szCs w:val="28"/>
        </w:rPr>
        <w:t xml:space="preserve"> da fonte diversa da quella fotovoltaica (idraulica, eolica, a biogas di discarica, a biomasse solide, a biomasse liquide) già ammesse agli incentivi con il sistema dei c.d. certificati verdi - al nuovo regime incent</w:t>
      </w:r>
      <w:r>
        <w:rPr>
          <w:rFonts w:ascii="Garamond" w:hAnsi="Garamond" w:cs="Times New Roman"/>
          <w:color w:val="000000" w:themeColor="text1"/>
          <w:sz w:val="28"/>
          <w:szCs w:val="28"/>
        </w:rPr>
        <w:t>iva</w:t>
      </w:r>
      <w:r w:rsidRPr="00EE3CE5">
        <w:rPr>
          <w:rFonts w:ascii="Garamond" w:hAnsi="Garamond" w:cs="Times New Roman"/>
          <w:color w:val="000000" w:themeColor="text1"/>
          <w:sz w:val="28"/>
          <w:szCs w:val="28"/>
        </w:rPr>
        <w:t>nte mediante tariffa onnicomprens</w:t>
      </w:r>
      <w:r>
        <w:rPr>
          <w:rFonts w:ascii="Garamond" w:hAnsi="Garamond" w:cs="Times New Roman"/>
          <w:color w:val="000000" w:themeColor="text1"/>
          <w:sz w:val="28"/>
          <w:szCs w:val="28"/>
        </w:rPr>
        <w:t>iva</w:t>
      </w:r>
      <w:r w:rsidRPr="00EE3CE5">
        <w:rPr>
          <w:rFonts w:ascii="Garamond" w:hAnsi="Garamond" w:cs="Times New Roman"/>
          <w:color w:val="000000" w:themeColor="text1"/>
          <w:sz w:val="28"/>
          <w:szCs w:val="28"/>
        </w:rPr>
        <w:t>, previsto per quelli entrati in esercizio dopo il 31 dicembre 2012 dal</w:t>
      </w:r>
      <w:r>
        <w:rPr>
          <w:rFonts w:ascii="Garamond" w:hAnsi="Garamond" w:cs="Times New Roman"/>
          <w:color w:val="000000" w:themeColor="text1"/>
          <w:sz w:val="28"/>
          <w:szCs w:val="28"/>
        </w:rPr>
        <w:t>l’art. 24  d.lgs. n. 28 del 2011, e dal d.m.</w:t>
      </w:r>
      <w:r w:rsidRPr="00EE3CE5">
        <w:rPr>
          <w:rFonts w:ascii="Garamond" w:hAnsi="Garamond" w:cs="Times New Roman"/>
          <w:color w:val="000000" w:themeColor="text1"/>
          <w:sz w:val="28"/>
          <w:szCs w:val="28"/>
        </w:rPr>
        <w:t xml:space="preserve"> 6 luglio 2012, adottato in </w:t>
      </w:r>
      <w:r>
        <w:rPr>
          <w:rFonts w:ascii="Garamond" w:hAnsi="Garamond" w:cs="Times New Roman"/>
          <w:color w:val="000000" w:themeColor="text1"/>
          <w:sz w:val="28"/>
          <w:szCs w:val="28"/>
        </w:rPr>
        <w:t xml:space="preserve">sua esecuzione, l'art. 24 d.l.gs. </w:t>
      </w:r>
      <w:r w:rsidRPr="00EE3CE5">
        <w:rPr>
          <w:rFonts w:ascii="Garamond" w:hAnsi="Garamond" w:cs="Times New Roman"/>
          <w:color w:val="000000" w:themeColor="text1"/>
          <w:sz w:val="28"/>
          <w:szCs w:val="28"/>
        </w:rPr>
        <w:t xml:space="preserve"> n. 28 del 2011 non ha esaurito la disciplina del sistema di </w:t>
      </w:r>
      <w:r>
        <w:rPr>
          <w:rFonts w:ascii="Garamond" w:hAnsi="Garamond" w:cs="Times New Roman"/>
          <w:color w:val="000000" w:themeColor="text1"/>
          <w:sz w:val="28"/>
          <w:szCs w:val="28"/>
        </w:rPr>
        <w:t>incentivazione</w:t>
      </w:r>
      <w:r w:rsidRPr="00EE3CE5">
        <w:rPr>
          <w:rFonts w:ascii="Garamond" w:hAnsi="Garamond" w:cs="Times New Roman"/>
          <w:color w:val="000000" w:themeColor="text1"/>
          <w:sz w:val="28"/>
          <w:szCs w:val="28"/>
        </w:rPr>
        <w:t xml:space="preserve"> anche nella fase di transizione dal vecchio al nuovo regime, rimettendone la regolamentazione alla</w:t>
      </w:r>
      <w:r>
        <w:rPr>
          <w:rFonts w:ascii="Garamond" w:hAnsi="Garamond" w:cs="Times New Roman"/>
          <w:color w:val="000000" w:themeColor="text1"/>
          <w:sz w:val="28"/>
          <w:szCs w:val="28"/>
        </w:rPr>
        <w:t xml:space="preserve"> decretazione ministeriale (d.m.</w:t>
      </w:r>
      <w:r w:rsidRPr="00EE3CE5">
        <w:rPr>
          <w:rFonts w:ascii="Garamond" w:hAnsi="Garamond" w:cs="Times New Roman"/>
          <w:color w:val="000000" w:themeColor="text1"/>
          <w:sz w:val="28"/>
          <w:szCs w:val="28"/>
        </w:rPr>
        <w:t xml:space="preserve"> 6 luglio 2012, art. 19) sulla base di criteri indicati dalla stessa anzidetta norma primaria, i quali fanno riferimento anche all'intervento del Gestore sulla base di negozi pr</w:t>
      </w:r>
      <w:r>
        <w:rPr>
          <w:rFonts w:ascii="Garamond" w:hAnsi="Garamond" w:cs="Times New Roman"/>
          <w:color w:val="000000" w:themeColor="text1"/>
          <w:sz w:val="28"/>
          <w:szCs w:val="28"/>
        </w:rPr>
        <w:t>iva</w:t>
      </w:r>
      <w:r w:rsidRPr="00EE3CE5">
        <w:rPr>
          <w:rFonts w:ascii="Garamond" w:hAnsi="Garamond" w:cs="Times New Roman"/>
          <w:color w:val="000000" w:themeColor="text1"/>
          <w:sz w:val="28"/>
          <w:szCs w:val="28"/>
        </w:rPr>
        <w:t>tistici con funzione pubblicistica regolat</w:t>
      </w:r>
      <w:r>
        <w:rPr>
          <w:rFonts w:ascii="Garamond" w:hAnsi="Garamond" w:cs="Times New Roman"/>
          <w:color w:val="000000" w:themeColor="text1"/>
          <w:sz w:val="28"/>
          <w:szCs w:val="28"/>
        </w:rPr>
        <w:t>iva</w:t>
      </w:r>
      <w:r w:rsidRPr="00EE3CE5">
        <w:rPr>
          <w:rFonts w:ascii="Garamond" w:hAnsi="Garamond" w:cs="Times New Roman"/>
          <w:color w:val="000000" w:themeColor="text1"/>
          <w:sz w:val="28"/>
          <w:szCs w:val="28"/>
        </w:rPr>
        <w:t xml:space="preserve"> dell'obiettivo incent</w:t>
      </w:r>
      <w:r>
        <w:rPr>
          <w:rFonts w:ascii="Garamond" w:hAnsi="Garamond" w:cs="Times New Roman"/>
          <w:color w:val="000000" w:themeColor="text1"/>
          <w:sz w:val="28"/>
          <w:szCs w:val="28"/>
        </w:rPr>
        <w:t>iva</w:t>
      </w:r>
      <w:r w:rsidRPr="00EE3CE5">
        <w:rPr>
          <w:rFonts w:ascii="Garamond" w:hAnsi="Garamond" w:cs="Times New Roman"/>
          <w:color w:val="000000" w:themeColor="text1"/>
          <w:sz w:val="28"/>
          <w:szCs w:val="28"/>
        </w:rPr>
        <w:t>nte.</w:t>
      </w:r>
      <w:r>
        <w:rPr>
          <w:rFonts w:ascii="Garamond" w:hAnsi="Garamond" w:cs="Times New Roman"/>
          <w:color w:val="000000" w:themeColor="text1"/>
          <w:sz w:val="28"/>
          <w:szCs w:val="28"/>
        </w:rPr>
        <w:t xml:space="preserve"> (</w:t>
      </w:r>
      <w:r w:rsidRPr="00EE3CE5">
        <w:rPr>
          <w:rFonts w:ascii="Garamond" w:hAnsi="Garamond" w:cs="Times New Roman"/>
          <w:color w:val="000000" w:themeColor="text1"/>
          <w:sz w:val="28"/>
          <w:szCs w:val="28"/>
        </w:rPr>
        <w:t>Cons. Stato</w:t>
      </w:r>
      <w:r>
        <w:rPr>
          <w:rFonts w:ascii="Garamond" w:hAnsi="Garamond" w:cs="Times New Roman"/>
          <w:color w:val="000000" w:themeColor="text1"/>
          <w:sz w:val="28"/>
          <w:szCs w:val="28"/>
        </w:rPr>
        <w:t>,</w:t>
      </w:r>
      <w:r w:rsidRPr="00EE3CE5">
        <w:rPr>
          <w:rFonts w:ascii="Garamond" w:hAnsi="Garamond" w:cs="Times New Roman"/>
          <w:color w:val="000000" w:themeColor="text1"/>
          <w:sz w:val="28"/>
          <w:szCs w:val="28"/>
        </w:rPr>
        <w:t xml:space="preserve"> Sez. II, </w:t>
      </w:r>
      <w:r>
        <w:rPr>
          <w:rFonts w:ascii="Garamond" w:hAnsi="Garamond" w:cs="Times New Roman"/>
          <w:color w:val="000000" w:themeColor="text1"/>
          <w:sz w:val="28"/>
          <w:szCs w:val="28"/>
        </w:rPr>
        <w:t xml:space="preserve">nr. 10252, 10246, </w:t>
      </w:r>
      <w:r w:rsidRPr="00EE3CE5">
        <w:rPr>
          <w:rFonts w:ascii="Garamond" w:hAnsi="Garamond" w:cs="Times New Roman"/>
          <w:color w:val="000000" w:themeColor="text1"/>
          <w:sz w:val="28"/>
          <w:szCs w:val="28"/>
        </w:rPr>
        <w:t>10255</w:t>
      </w:r>
      <w:r>
        <w:rPr>
          <w:rFonts w:ascii="Garamond" w:hAnsi="Garamond" w:cs="Times New Roman"/>
          <w:color w:val="000000" w:themeColor="text1"/>
          <w:sz w:val="28"/>
          <w:szCs w:val="28"/>
        </w:rPr>
        <w:t>,</w:t>
      </w:r>
      <w:r w:rsidRPr="00EE3CE5">
        <w:rPr>
          <w:rFonts w:ascii="Garamond" w:hAnsi="Garamond" w:cs="Times New Roman"/>
          <w:color w:val="000000" w:themeColor="text1"/>
          <w:sz w:val="28"/>
          <w:szCs w:val="28"/>
        </w:rPr>
        <w:t xml:space="preserve"> 10249</w:t>
      </w:r>
      <w:r>
        <w:rPr>
          <w:rFonts w:ascii="Garamond" w:hAnsi="Garamond" w:cs="Times New Roman"/>
          <w:color w:val="000000" w:themeColor="text1"/>
          <w:sz w:val="28"/>
          <w:szCs w:val="28"/>
        </w:rPr>
        <w:t xml:space="preserve">, </w:t>
      </w:r>
      <w:r w:rsidRPr="00EE3CE5">
        <w:rPr>
          <w:rFonts w:ascii="Garamond" w:hAnsi="Garamond" w:cs="Times New Roman"/>
          <w:color w:val="000000" w:themeColor="text1"/>
          <w:sz w:val="28"/>
          <w:szCs w:val="28"/>
        </w:rPr>
        <w:t>10236</w:t>
      </w:r>
      <w:r>
        <w:rPr>
          <w:rFonts w:ascii="Garamond" w:hAnsi="Garamond" w:cs="Times New Roman"/>
          <w:color w:val="000000" w:themeColor="text1"/>
          <w:sz w:val="28"/>
          <w:szCs w:val="28"/>
        </w:rPr>
        <w:t>,</w:t>
      </w:r>
      <w:r w:rsidRPr="00EE3CE5">
        <w:rPr>
          <w:rFonts w:ascii="Garamond" w:hAnsi="Garamond" w:cs="Times New Roman"/>
          <w:color w:val="000000" w:themeColor="text1"/>
          <w:sz w:val="28"/>
          <w:szCs w:val="28"/>
        </w:rPr>
        <w:t xml:space="preserve"> 10150, 10135, 10132, 10129, </w:t>
      </w:r>
      <w:r>
        <w:rPr>
          <w:rFonts w:ascii="Garamond" w:hAnsi="Garamond" w:cs="Times New Roman"/>
          <w:color w:val="000000" w:themeColor="text1"/>
          <w:sz w:val="28"/>
          <w:szCs w:val="28"/>
        </w:rPr>
        <w:t xml:space="preserve">10120, 10114, 10117, </w:t>
      </w:r>
      <w:r w:rsidRPr="00EE3CE5">
        <w:rPr>
          <w:rFonts w:ascii="Garamond" w:hAnsi="Garamond" w:cs="Times New Roman"/>
          <w:color w:val="000000" w:themeColor="text1"/>
          <w:sz w:val="28"/>
          <w:szCs w:val="28"/>
        </w:rPr>
        <w:t>10007</w:t>
      </w:r>
      <w:r>
        <w:rPr>
          <w:rFonts w:ascii="Garamond" w:hAnsi="Garamond" w:cs="Times New Roman"/>
          <w:color w:val="000000" w:themeColor="text1"/>
          <w:sz w:val="28"/>
          <w:szCs w:val="28"/>
        </w:rPr>
        <w:t xml:space="preserve">, </w:t>
      </w:r>
      <w:r w:rsidRPr="00EE3CE5">
        <w:rPr>
          <w:rFonts w:ascii="Garamond" w:hAnsi="Garamond" w:cs="Times New Roman"/>
          <w:color w:val="000000" w:themeColor="text1"/>
          <w:sz w:val="28"/>
          <w:szCs w:val="28"/>
        </w:rPr>
        <w:t>9969</w:t>
      </w:r>
      <w:r>
        <w:rPr>
          <w:rFonts w:ascii="Garamond" w:hAnsi="Garamond" w:cs="Times New Roman"/>
          <w:color w:val="000000" w:themeColor="text1"/>
          <w:sz w:val="28"/>
          <w:szCs w:val="28"/>
        </w:rPr>
        <w:t xml:space="preserve"> del 2022).</w:t>
      </w:r>
    </w:p>
    <w:p w:rsidR="007B4920" w:rsidRPr="008541AC"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Il Consiglio di Stato ha infatti chiarito, </w:t>
      </w:r>
      <w:r w:rsidRPr="00FD5E00">
        <w:rPr>
          <w:rFonts w:ascii="Garamond" w:hAnsi="Garamond" w:cs="Times New Roman"/>
          <w:color w:val="000000" w:themeColor="text1"/>
          <w:sz w:val="28"/>
          <w:szCs w:val="28"/>
        </w:rPr>
        <w:t xml:space="preserve">con riguardo al passaggio </w:t>
      </w:r>
      <w:r>
        <w:rPr>
          <w:rFonts w:ascii="Garamond" w:hAnsi="Garamond" w:cs="Times New Roman"/>
          <w:color w:val="000000" w:themeColor="text1"/>
          <w:sz w:val="28"/>
          <w:szCs w:val="28"/>
        </w:rPr>
        <w:t xml:space="preserve">dal vecchio al nuovo regime come non si possa   </w:t>
      </w:r>
      <w:r w:rsidRPr="008541AC">
        <w:rPr>
          <w:rFonts w:ascii="Garamond" w:hAnsi="Garamond" w:cs="Times New Roman"/>
          <w:color w:val="000000" w:themeColor="text1"/>
          <w:sz w:val="28"/>
          <w:szCs w:val="28"/>
        </w:rPr>
        <w:t>ritenere che la disciplina dei certificati verdi sia regolata in modo tassativo</w:t>
      </w:r>
      <w:r>
        <w:rPr>
          <w:rFonts w:ascii="Garamond" w:hAnsi="Garamond" w:cs="Times New Roman"/>
          <w:color w:val="000000" w:themeColor="text1"/>
          <w:sz w:val="28"/>
          <w:szCs w:val="28"/>
        </w:rPr>
        <w:t xml:space="preserve"> </w:t>
      </w:r>
      <w:r w:rsidRPr="008541AC">
        <w:rPr>
          <w:rFonts w:ascii="Garamond" w:hAnsi="Garamond" w:cs="Times New Roman"/>
          <w:color w:val="000000" w:themeColor="text1"/>
          <w:sz w:val="28"/>
          <w:szCs w:val="28"/>
        </w:rPr>
        <w:t>dall’art. 24 comma 5 letter</w:t>
      </w:r>
      <w:r>
        <w:rPr>
          <w:rFonts w:ascii="Garamond" w:hAnsi="Garamond" w:cs="Times New Roman"/>
          <w:color w:val="000000" w:themeColor="text1"/>
          <w:sz w:val="28"/>
          <w:szCs w:val="28"/>
        </w:rPr>
        <w:t>a c) e dagli artt. 19 e 20 del d.m</w:t>
      </w:r>
      <w:r w:rsidRPr="008541AC">
        <w:rPr>
          <w:rFonts w:ascii="Garamond" w:hAnsi="Garamond" w:cs="Times New Roman"/>
          <w:color w:val="000000" w:themeColor="text1"/>
          <w:sz w:val="28"/>
          <w:szCs w:val="28"/>
        </w:rPr>
        <w:t>. 6 luglio 2012, con la conseguenza della illegittimità dell’applicazione delle altre previsio</w:t>
      </w:r>
      <w:r>
        <w:rPr>
          <w:rFonts w:ascii="Garamond" w:hAnsi="Garamond" w:cs="Times New Roman"/>
          <w:color w:val="000000" w:themeColor="text1"/>
          <w:sz w:val="28"/>
          <w:szCs w:val="28"/>
        </w:rPr>
        <w:t>ni introdotte dal d.lgs. 28 del 2011</w:t>
      </w:r>
      <w:r w:rsidRPr="008541AC">
        <w:rPr>
          <w:rFonts w:ascii="Garamond" w:hAnsi="Garamond" w:cs="Times New Roman"/>
          <w:color w:val="000000" w:themeColor="text1"/>
          <w:sz w:val="28"/>
          <w:szCs w:val="28"/>
        </w:rPr>
        <w:t xml:space="preserve"> e dal decreto di attuazione, tra cui quelle relative all’utilizzo</w:t>
      </w:r>
      <w:r>
        <w:rPr>
          <w:rFonts w:ascii="Garamond" w:hAnsi="Garamond" w:cs="Times New Roman"/>
          <w:color w:val="000000" w:themeColor="text1"/>
          <w:sz w:val="28"/>
          <w:szCs w:val="28"/>
        </w:rPr>
        <w:t xml:space="preserve"> degli strumenti convenzionali.</w:t>
      </w:r>
    </w:p>
    <w:p w:rsidR="007B4920" w:rsidRPr="008541AC" w:rsidRDefault="007B4920" w:rsidP="007B4920">
      <w:pPr>
        <w:spacing w:line="240" w:lineRule="auto"/>
        <w:ind w:firstLine="709"/>
        <w:contextualSpacing/>
        <w:jc w:val="both"/>
        <w:rPr>
          <w:rFonts w:ascii="Garamond" w:hAnsi="Garamond" w:cs="Times New Roman"/>
          <w:color w:val="000000" w:themeColor="text1"/>
          <w:sz w:val="28"/>
          <w:szCs w:val="28"/>
        </w:rPr>
      </w:pPr>
      <w:r w:rsidRPr="008541AC">
        <w:rPr>
          <w:rFonts w:ascii="Garamond" w:hAnsi="Garamond" w:cs="Times New Roman"/>
          <w:color w:val="000000" w:themeColor="text1"/>
          <w:sz w:val="28"/>
          <w:szCs w:val="28"/>
        </w:rPr>
        <w:t>In primo luogo</w:t>
      </w:r>
      <w:r>
        <w:rPr>
          <w:rFonts w:ascii="Garamond" w:hAnsi="Garamond" w:cs="Times New Roman"/>
          <w:color w:val="000000" w:themeColor="text1"/>
          <w:sz w:val="28"/>
          <w:szCs w:val="28"/>
        </w:rPr>
        <w:t xml:space="preserve"> in quanto</w:t>
      </w:r>
      <w:r w:rsidRPr="008541AC">
        <w:rPr>
          <w:rFonts w:ascii="Garamond" w:hAnsi="Garamond" w:cs="Times New Roman"/>
          <w:color w:val="000000" w:themeColor="text1"/>
          <w:sz w:val="28"/>
          <w:szCs w:val="28"/>
        </w:rPr>
        <w:t xml:space="preserve">, pur essendo prevista una specifica disciplina “transitoria” di validità dei “certificati verdi”, anche tale disciplina transitoria rientra nel complesso dell’assetto normativo dei nuovi meccanismi di </w:t>
      </w:r>
      <w:r>
        <w:rPr>
          <w:rFonts w:ascii="Garamond" w:hAnsi="Garamond" w:cs="Times New Roman"/>
          <w:color w:val="000000" w:themeColor="text1"/>
          <w:sz w:val="28"/>
          <w:szCs w:val="28"/>
        </w:rPr>
        <w:t>incentivazione</w:t>
      </w:r>
      <w:r w:rsidRPr="008541AC">
        <w:rPr>
          <w:rFonts w:ascii="Garamond" w:hAnsi="Garamond" w:cs="Times New Roman"/>
          <w:color w:val="000000" w:themeColor="text1"/>
          <w:sz w:val="28"/>
          <w:szCs w:val="28"/>
        </w:rPr>
        <w:t xml:space="preserve"> di </w:t>
      </w:r>
      <w:r>
        <w:rPr>
          <w:rFonts w:ascii="Garamond" w:hAnsi="Garamond" w:cs="Times New Roman"/>
          <w:color w:val="000000" w:themeColor="text1"/>
          <w:sz w:val="28"/>
          <w:szCs w:val="28"/>
        </w:rPr>
        <w:t>cui al d.lgs. 28 del 2011 e al d.m. 6 luglio 2012.</w:t>
      </w:r>
    </w:p>
    <w:p w:rsidR="007B4920" w:rsidRPr="008541AC" w:rsidRDefault="007B4920" w:rsidP="007B4920">
      <w:pPr>
        <w:spacing w:line="240" w:lineRule="auto"/>
        <w:ind w:firstLine="709"/>
        <w:contextualSpacing/>
        <w:jc w:val="both"/>
        <w:rPr>
          <w:rFonts w:ascii="Garamond" w:hAnsi="Garamond" w:cs="Times New Roman"/>
          <w:color w:val="000000" w:themeColor="text1"/>
          <w:sz w:val="28"/>
          <w:szCs w:val="28"/>
        </w:rPr>
      </w:pPr>
      <w:r w:rsidRPr="008541AC">
        <w:rPr>
          <w:rFonts w:ascii="Garamond" w:hAnsi="Garamond" w:cs="Times New Roman"/>
          <w:color w:val="000000" w:themeColor="text1"/>
          <w:sz w:val="28"/>
          <w:szCs w:val="28"/>
        </w:rPr>
        <w:t>Ciò in base alla stessa lettera c) del comma 5 dell’art. 24 che ha fatto riferimento alla commutazione del diritto a fruire dei certificati verdi per gli anni successivi al 2015, nel diritto ad accedere, “a un incentivo ricadente nella tipologia di cui al comma 3”, quindi, integralmente disciplinato dal nuovo sistema, considerando che il comma 3 prevede i criteri specific</w:t>
      </w:r>
      <w:r>
        <w:rPr>
          <w:rFonts w:ascii="Garamond" w:hAnsi="Garamond" w:cs="Times New Roman"/>
          <w:color w:val="000000" w:themeColor="text1"/>
          <w:sz w:val="28"/>
          <w:szCs w:val="28"/>
        </w:rPr>
        <w:t>i di ammissione agli incentivi.</w:t>
      </w:r>
    </w:p>
    <w:p w:rsidR="007B4920" w:rsidRPr="008541AC"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Inoltre in quanto, </w:t>
      </w:r>
      <w:r w:rsidRPr="008541AC">
        <w:rPr>
          <w:rFonts w:ascii="Garamond" w:hAnsi="Garamond" w:cs="Times New Roman"/>
          <w:color w:val="000000" w:themeColor="text1"/>
          <w:sz w:val="28"/>
          <w:szCs w:val="28"/>
        </w:rPr>
        <w:t xml:space="preserve">anche sotto il profilo sistematico, la previsione del comma 5, </w:t>
      </w:r>
      <w:r>
        <w:rPr>
          <w:rFonts w:ascii="Garamond" w:hAnsi="Garamond" w:cs="Times New Roman"/>
          <w:color w:val="000000" w:themeColor="text1"/>
          <w:sz w:val="28"/>
          <w:szCs w:val="28"/>
        </w:rPr>
        <w:t>relativa</w:t>
      </w:r>
      <w:r w:rsidRPr="008541AC">
        <w:rPr>
          <w:rFonts w:ascii="Garamond" w:hAnsi="Garamond" w:cs="Times New Roman"/>
          <w:color w:val="000000" w:themeColor="text1"/>
          <w:sz w:val="28"/>
          <w:szCs w:val="28"/>
        </w:rPr>
        <w:t xml:space="preserve"> alla transizione del regime dei certificati verdi, è collocata all’interno dell’art. 24, peraltro </w:t>
      </w:r>
      <w:r>
        <w:rPr>
          <w:rFonts w:ascii="Garamond" w:hAnsi="Garamond" w:cs="Times New Roman"/>
          <w:color w:val="000000" w:themeColor="text1"/>
          <w:sz w:val="28"/>
          <w:szCs w:val="28"/>
        </w:rPr>
        <w:t>successivamente</w:t>
      </w:r>
      <w:r w:rsidRPr="008541AC">
        <w:rPr>
          <w:rFonts w:ascii="Garamond" w:hAnsi="Garamond" w:cs="Times New Roman"/>
          <w:color w:val="000000" w:themeColor="text1"/>
          <w:sz w:val="28"/>
          <w:szCs w:val="28"/>
        </w:rPr>
        <w:t xml:space="preserve"> ai commi 2 e 3, che riguardano i criteri generali e specifici p</w:t>
      </w:r>
      <w:r>
        <w:rPr>
          <w:rFonts w:ascii="Garamond" w:hAnsi="Garamond" w:cs="Times New Roman"/>
          <w:color w:val="000000" w:themeColor="text1"/>
          <w:sz w:val="28"/>
          <w:szCs w:val="28"/>
        </w:rPr>
        <w:t xml:space="preserve">er </w:t>
      </w:r>
      <w:r>
        <w:rPr>
          <w:rFonts w:ascii="Garamond" w:hAnsi="Garamond" w:cs="Times New Roman"/>
          <w:color w:val="000000" w:themeColor="text1"/>
          <w:sz w:val="28"/>
          <w:szCs w:val="28"/>
        </w:rPr>
        <w:lastRenderedPageBreak/>
        <w:t xml:space="preserve">l’erogazione degli incentivi; in particolare al comma 2 </w:t>
      </w:r>
      <w:r w:rsidRPr="008541AC">
        <w:rPr>
          <w:rFonts w:ascii="Garamond" w:hAnsi="Garamond" w:cs="Times New Roman"/>
          <w:color w:val="000000" w:themeColor="text1"/>
          <w:sz w:val="28"/>
          <w:szCs w:val="28"/>
        </w:rPr>
        <w:t>è posto espressamente l’obbligo della stipula de</w:t>
      </w:r>
      <w:r>
        <w:rPr>
          <w:rFonts w:ascii="Garamond" w:hAnsi="Garamond" w:cs="Times New Roman"/>
          <w:color w:val="000000" w:themeColor="text1"/>
          <w:sz w:val="28"/>
          <w:szCs w:val="28"/>
        </w:rPr>
        <w:t>l contratto di diritto privato.</w:t>
      </w:r>
    </w:p>
    <w:p w:rsidR="007B4920" w:rsidRPr="008541AC"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L’art. 24, pertanto</w:t>
      </w:r>
      <w:r w:rsidRPr="008541AC">
        <w:rPr>
          <w:rFonts w:ascii="Garamond" w:hAnsi="Garamond" w:cs="Times New Roman"/>
          <w:color w:val="000000" w:themeColor="text1"/>
          <w:sz w:val="28"/>
          <w:szCs w:val="28"/>
        </w:rPr>
        <w:t xml:space="preserve"> disciplina in via generale il nuovo meccanismo incent</w:t>
      </w:r>
      <w:r>
        <w:rPr>
          <w:rFonts w:ascii="Garamond" w:hAnsi="Garamond" w:cs="Times New Roman"/>
          <w:color w:val="000000" w:themeColor="text1"/>
          <w:sz w:val="28"/>
          <w:szCs w:val="28"/>
        </w:rPr>
        <w:t>iva</w:t>
      </w:r>
      <w:r w:rsidRPr="008541AC">
        <w:rPr>
          <w:rFonts w:ascii="Garamond" w:hAnsi="Garamond" w:cs="Times New Roman"/>
          <w:color w:val="000000" w:themeColor="text1"/>
          <w:sz w:val="28"/>
          <w:szCs w:val="28"/>
        </w:rPr>
        <w:t>nte, tra cui deve ritenersi compreso il sistema transitorio indicato alla lettera c), per gli impianti già ammessi al regime dei certificati verdi, per i quali, dunque, - tranne le specifiche previsioni relative alle modalità di conversione dei certificati in incentivi - si devono ritenere appli</w:t>
      </w:r>
      <w:r>
        <w:rPr>
          <w:rFonts w:ascii="Garamond" w:hAnsi="Garamond" w:cs="Times New Roman"/>
          <w:color w:val="000000" w:themeColor="text1"/>
          <w:sz w:val="28"/>
          <w:szCs w:val="28"/>
        </w:rPr>
        <w:t>cabili anche le norme generali.</w:t>
      </w:r>
    </w:p>
    <w:p w:rsidR="007B4920" w:rsidRPr="0031266C" w:rsidRDefault="007B4920" w:rsidP="007B4920">
      <w:pPr>
        <w:spacing w:line="240" w:lineRule="auto"/>
        <w:ind w:firstLine="709"/>
        <w:contextualSpacing/>
        <w:jc w:val="both"/>
        <w:rPr>
          <w:rFonts w:ascii="Garamond" w:hAnsi="Garamond" w:cs="Times New Roman"/>
          <w:color w:val="000000" w:themeColor="text1"/>
          <w:sz w:val="28"/>
          <w:szCs w:val="28"/>
        </w:rPr>
      </w:pPr>
      <w:r w:rsidRPr="008541AC">
        <w:rPr>
          <w:rFonts w:ascii="Garamond" w:hAnsi="Garamond" w:cs="Times New Roman"/>
          <w:color w:val="000000" w:themeColor="text1"/>
          <w:sz w:val="28"/>
          <w:szCs w:val="28"/>
        </w:rPr>
        <w:t>Infatti, la conversione dei certificati verdi, in concreto realizzata tramite la formula specificata dall’ar</w:t>
      </w:r>
      <w:r>
        <w:rPr>
          <w:rFonts w:ascii="Garamond" w:hAnsi="Garamond" w:cs="Times New Roman"/>
          <w:color w:val="000000" w:themeColor="text1"/>
          <w:sz w:val="28"/>
          <w:szCs w:val="28"/>
        </w:rPr>
        <w:t>t. 19 del d.m</w:t>
      </w:r>
      <w:r w:rsidRPr="008541AC">
        <w:rPr>
          <w:rFonts w:ascii="Garamond" w:hAnsi="Garamond" w:cs="Times New Roman"/>
          <w:color w:val="000000" w:themeColor="text1"/>
          <w:sz w:val="28"/>
          <w:szCs w:val="28"/>
        </w:rPr>
        <w:t>. 6 luglio 2012, costituisce, comunque, un incentivo, che, anche se disciplinato diversamente - in particolare rispetto alle modalità di calcolo - è soggetta alle medesime procedure applicate dal G</w:t>
      </w:r>
      <w:r>
        <w:rPr>
          <w:rFonts w:ascii="Garamond" w:hAnsi="Garamond" w:cs="Times New Roman"/>
          <w:color w:val="000000" w:themeColor="text1"/>
          <w:sz w:val="28"/>
          <w:szCs w:val="28"/>
        </w:rPr>
        <w:t>.s.e.</w:t>
      </w:r>
      <w:r w:rsidRPr="008541AC">
        <w:rPr>
          <w:rFonts w:ascii="Garamond" w:hAnsi="Garamond" w:cs="Times New Roman"/>
          <w:color w:val="000000" w:themeColor="text1"/>
          <w:sz w:val="28"/>
          <w:szCs w:val="28"/>
        </w:rPr>
        <w:t xml:space="preserve"> agli impianti entrati in esercizio </w:t>
      </w:r>
      <w:r>
        <w:rPr>
          <w:rFonts w:ascii="Garamond" w:hAnsi="Garamond" w:cs="Times New Roman"/>
          <w:color w:val="000000" w:themeColor="text1"/>
          <w:sz w:val="28"/>
          <w:szCs w:val="28"/>
        </w:rPr>
        <w:t>successivamente al 31 dicembre 2012 [</w:t>
      </w:r>
      <w:r w:rsidRPr="00FD5E00">
        <w:rPr>
          <w:rFonts w:ascii="Garamond" w:hAnsi="Garamond" w:cs="Times New Roman"/>
          <w:color w:val="000000" w:themeColor="text1"/>
          <w:sz w:val="28"/>
          <w:szCs w:val="28"/>
        </w:rPr>
        <w:t>Cons. Stato</w:t>
      </w:r>
      <w:r>
        <w:rPr>
          <w:rFonts w:ascii="Garamond" w:hAnsi="Garamond" w:cs="Times New Roman"/>
          <w:color w:val="000000" w:themeColor="text1"/>
          <w:sz w:val="28"/>
          <w:szCs w:val="28"/>
        </w:rPr>
        <w:t>, s</w:t>
      </w:r>
      <w:r w:rsidRPr="00FD5E00">
        <w:rPr>
          <w:rFonts w:ascii="Garamond" w:hAnsi="Garamond" w:cs="Times New Roman"/>
          <w:color w:val="000000" w:themeColor="text1"/>
          <w:sz w:val="28"/>
          <w:szCs w:val="28"/>
        </w:rPr>
        <w:t>ez. II, n. 10343</w:t>
      </w:r>
      <w:r>
        <w:rPr>
          <w:rFonts w:ascii="Garamond" w:hAnsi="Garamond" w:cs="Times New Roman"/>
          <w:color w:val="000000" w:themeColor="text1"/>
          <w:sz w:val="28"/>
          <w:szCs w:val="28"/>
        </w:rPr>
        <w:t xml:space="preserve"> del 2022 che ha riformato la sentenza del T.a.r. per il Lazio che aveva accolto il ricorso proposto dal t</w:t>
      </w:r>
      <w:r w:rsidRPr="00751F2B">
        <w:rPr>
          <w:rFonts w:ascii="Garamond" w:hAnsi="Garamond" w:cs="Times New Roman"/>
          <w:color w:val="000000" w:themeColor="text1"/>
          <w:sz w:val="28"/>
          <w:szCs w:val="28"/>
        </w:rPr>
        <w:t xml:space="preserve">itolare di un impianto di produzione di </w:t>
      </w:r>
      <w:r>
        <w:rPr>
          <w:rFonts w:ascii="Garamond" w:hAnsi="Garamond" w:cs="Times New Roman"/>
          <w:color w:val="000000" w:themeColor="text1"/>
          <w:sz w:val="28"/>
          <w:szCs w:val="28"/>
        </w:rPr>
        <w:t>energia</w:t>
      </w:r>
      <w:r w:rsidRPr="00751F2B">
        <w:rPr>
          <w:rFonts w:ascii="Garamond" w:hAnsi="Garamond" w:cs="Times New Roman"/>
          <w:color w:val="000000" w:themeColor="text1"/>
          <w:sz w:val="28"/>
          <w:szCs w:val="28"/>
        </w:rPr>
        <w:t xml:space="preserve"> da fonte eolica (con qualificazione IAFR conseguita in data 26 ottobre 2012), entrato in esercizio dal 16 novembre 2012, ammesso a beneficiare del sistema di </w:t>
      </w:r>
      <w:r>
        <w:rPr>
          <w:rFonts w:ascii="Garamond" w:hAnsi="Garamond" w:cs="Times New Roman"/>
          <w:color w:val="000000" w:themeColor="text1"/>
          <w:sz w:val="28"/>
          <w:szCs w:val="28"/>
        </w:rPr>
        <w:t>incentivazione</w:t>
      </w:r>
      <w:r w:rsidRPr="00751F2B">
        <w:rPr>
          <w:rFonts w:ascii="Garamond" w:hAnsi="Garamond" w:cs="Times New Roman"/>
          <w:color w:val="000000" w:themeColor="text1"/>
          <w:sz w:val="28"/>
          <w:szCs w:val="28"/>
        </w:rPr>
        <w:t xml:space="preserve"> mediante rilascio dei c.d. certificati verdi, secondo il meccanismo, disciplinato dal</w:t>
      </w:r>
      <w:r>
        <w:rPr>
          <w:rFonts w:ascii="Garamond" w:hAnsi="Garamond" w:cs="Times New Roman"/>
          <w:color w:val="000000" w:themeColor="text1"/>
          <w:sz w:val="28"/>
          <w:szCs w:val="28"/>
        </w:rPr>
        <w:t>l’art. 2, comma 144, della l.</w:t>
      </w:r>
      <w:r w:rsidRPr="00751F2B">
        <w:rPr>
          <w:rFonts w:ascii="Garamond" w:hAnsi="Garamond" w:cs="Times New Roman"/>
          <w:color w:val="000000" w:themeColor="text1"/>
          <w:sz w:val="28"/>
          <w:szCs w:val="28"/>
        </w:rPr>
        <w:t xml:space="preserve"> 24 dicembre 2007, n. </w:t>
      </w:r>
      <w:r>
        <w:rPr>
          <w:rFonts w:ascii="Garamond" w:hAnsi="Garamond" w:cs="Times New Roman"/>
          <w:color w:val="000000" w:themeColor="text1"/>
          <w:sz w:val="28"/>
          <w:szCs w:val="28"/>
        </w:rPr>
        <w:t xml:space="preserve">244 e dal d.m. 18 dicembre 2008,  che aveva impugnato lo </w:t>
      </w:r>
      <w:r w:rsidRPr="00751F2B">
        <w:rPr>
          <w:rFonts w:ascii="Garamond" w:hAnsi="Garamond" w:cs="Times New Roman"/>
          <w:color w:val="000000" w:themeColor="text1"/>
          <w:sz w:val="28"/>
          <w:szCs w:val="28"/>
        </w:rPr>
        <w:t xml:space="preserve"> schema di convenzione</w:t>
      </w:r>
      <w:r>
        <w:rPr>
          <w:rFonts w:ascii="Garamond" w:hAnsi="Garamond" w:cs="Times New Roman"/>
          <w:color w:val="000000" w:themeColor="text1"/>
          <w:sz w:val="28"/>
          <w:szCs w:val="28"/>
        </w:rPr>
        <w:t xml:space="preserve"> adottato dal G.s.e</w:t>
      </w:r>
      <w:r w:rsidRPr="00751F2B">
        <w:rPr>
          <w:rFonts w:ascii="Garamond" w:hAnsi="Garamond" w:cs="Times New Roman"/>
          <w:color w:val="000000" w:themeColor="text1"/>
          <w:sz w:val="28"/>
          <w:szCs w:val="28"/>
        </w:rPr>
        <w:t>, nella parte in cui subordina il riconoscimento degli incentivi, di cui all’art. 19 del d.m. 6 luglio 2012, per gli impianti entrati in esercizio prima del 31 dicembre 2012, alla sottoscrizione ed alla validità ed effi</w:t>
      </w:r>
      <w:r>
        <w:rPr>
          <w:rFonts w:ascii="Garamond" w:hAnsi="Garamond" w:cs="Times New Roman"/>
          <w:color w:val="000000" w:themeColor="text1"/>
          <w:sz w:val="28"/>
          <w:szCs w:val="28"/>
        </w:rPr>
        <w:t>cacia della convenzione stessa nonché l’art. 21, comma 8, del d.m</w:t>
      </w:r>
      <w:r w:rsidRPr="00740EEF">
        <w:rPr>
          <w:rFonts w:ascii="Garamond" w:hAnsi="Garamond" w:cs="Times New Roman"/>
          <w:color w:val="000000" w:themeColor="text1"/>
          <w:sz w:val="28"/>
          <w:szCs w:val="28"/>
        </w:rPr>
        <w:t xml:space="preserve">. 6 luglio 2012, ove interpretato nel senso che l’obbligo di sottoscrizione di contratti </w:t>
      </w:r>
      <w:r>
        <w:rPr>
          <w:rFonts w:ascii="Garamond" w:hAnsi="Garamond" w:cs="Times New Roman"/>
          <w:color w:val="000000" w:themeColor="text1"/>
          <w:sz w:val="28"/>
          <w:szCs w:val="28"/>
        </w:rPr>
        <w:t>di diritto privato con il G.s.e.</w:t>
      </w:r>
      <w:r w:rsidRPr="00740EEF">
        <w:rPr>
          <w:rFonts w:ascii="Garamond" w:hAnsi="Garamond" w:cs="Times New Roman"/>
          <w:color w:val="000000" w:themeColor="text1"/>
          <w:sz w:val="28"/>
          <w:szCs w:val="28"/>
        </w:rPr>
        <w:t xml:space="preserve"> trovi applicazione anche per gli impianti entrati in esercizio prima del 31 dicembre 2012 e incent</w:t>
      </w:r>
      <w:r>
        <w:rPr>
          <w:rFonts w:ascii="Garamond" w:hAnsi="Garamond" w:cs="Times New Roman"/>
          <w:color w:val="000000" w:themeColor="text1"/>
          <w:sz w:val="28"/>
          <w:szCs w:val="28"/>
        </w:rPr>
        <w:t>ivati, ai sensi dell’art. 19 del d.m</w:t>
      </w:r>
      <w:r w:rsidRPr="00740EEF">
        <w:rPr>
          <w:rFonts w:ascii="Garamond" w:hAnsi="Garamond" w:cs="Times New Roman"/>
          <w:color w:val="000000" w:themeColor="text1"/>
          <w:sz w:val="28"/>
          <w:szCs w:val="28"/>
        </w:rPr>
        <w:t>. 6 luglio 2012, nonché</w:t>
      </w:r>
      <w:r>
        <w:rPr>
          <w:rFonts w:ascii="Garamond" w:hAnsi="Garamond" w:cs="Times New Roman"/>
          <w:color w:val="000000" w:themeColor="text1"/>
          <w:sz w:val="28"/>
          <w:szCs w:val="28"/>
        </w:rPr>
        <w:t xml:space="preserve"> alle procedure adottate dal G.s.e.</w:t>
      </w:r>
      <w:r w:rsidRPr="00740EEF">
        <w:rPr>
          <w:rFonts w:ascii="Garamond" w:hAnsi="Garamond" w:cs="Times New Roman"/>
          <w:color w:val="000000" w:themeColor="text1"/>
          <w:sz w:val="28"/>
          <w:szCs w:val="28"/>
        </w:rPr>
        <w:t xml:space="preserve"> per la conversione dei certificati verdi in incentivo, deducendo che la norma di legge regolante tale conversione sarebbe stato solo l’art. 24 comma 5 lettera c), che non prevedeva la sottoscrizione della convenzione.</w:t>
      </w:r>
      <w:r>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Pr="00673DB4"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6</w:t>
      </w:r>
      <w:r w:rsidRPr="00673DB4">
        <w:rPr>
          <w:rFonts w:ascii="Garamond" w:hAnsi="Garamond" w:cs="Times New Roman"/>
          <w:b/>
          <w:color w:val="000000" w:themeColor="text1"/>
          <w:sz w:val="28"/>
          <w:szCs w:val="28"/>
        </w:rPr>
        <w:t>.</w:t>
      </w:r>
      <w:r>
        <w:rPr>
          <w:rFonts w:ascii="Garamond" w:hAnsi="Garamond" w:cs="Times New Roman"/>
          <w:b/>
          <w:color w:val="000000" w:themeColor="text1"/>
          <w:sz w:val="28"/>
          <w:szCs w:val="28"/>
        </w:rPr>
        <w:t xml:space="preserve"> </w:t>
      </w:r>
      <w:r w:rsidRPr="00673DB4">
        <w:rPr>
          <w:rFonts w:ascii="Garamond" w:hAnsi="Garamond" w:cs="Times New Roman"/>
          <w:b/>
          <w:color w:val="000000" w:themeColor="text1"/>
          <w:sz w:val="28"/>
          <w:szCs w:val="28"/>
        </w:rPr>
        <w:t>Gli</w:t>
      </w:r>
      <w:r>
        <w:rPr>
          <w:rFonts w:ascii="Garamond" w:hAnsi="Garamond" w:cs="Times New Roman"/>
          <w:b/>
          <w:color w:val="000000" w:themeColor="text1"/>
          <w:sz w:val="28"/>
          <w:szCs w:val="28"/>
        </w:rPr>
        <w:t xml:space="preserve"> incentivi per gli </w:t>
      </w:r>
      <w:r w:rsidRPr="00673DB4">
        <w:rPr>
          <w:rFonts w:ascii="Garamond" w:hAnsi="Garamond" w:cs="Times New Roman"/>
          <w:b/>
          <w:color w:val="000000" w:themeColor="text1"/>
          <w:sz w:val="28"/>
          <w:szCs w:val="28"/>
        </w:rPr>
        <w:t>impianti fotovoltaici</w:t>
      </w:r>
      <w:r>
        <w:rPr>
          <w:rFonts w:ascii="Garamond" w:hAnsi="Garamond" w:cs="Times New Roman"/>
          <w:b/>
          <w:color w:val="000000" w:themeColor="text1"/>
          <w:sz w:val="28"/>
          <w:szCs w:val="28"/>
        </w:rPr>
        <w:t>.</w:t>
      </w:r>
    </w:p>
    <w:p w:rsidR="007B4920" w:rsidRPr="00824CC3" w:rsidRDefault="007B4920" w:rsidP="007B4920">
      <w:pPr>
        <w:spacing w:line="240" w:lineRule="auto"/>
        <w:ind w:firstLine="709"/>
        <w:contextualSpacing/>
        <w:jc w:val="both"/>
        <w:rPr>
          <w:rFonts w:ascii="Garamond" w:hAnsi="Garamond" w:cs="Times New Roman"/>
          <w:color w:val="000000" w:themeColor="text1"/>
          <w:sz w:val="28"/>
          <w:szCs w:val="28"/>
        </w:rPr>
      </w:pPr>
      <w:r w:rsidRPr="00824CC3">
        <w:rPr>
          <w:rFonts w:ascii="Garamond" w:hAnsi="Garamond" w:cs="Times New Roman"/>
          <w:color w:val="000000" w:themeColor="text1"/>
          <w:sz w:val="28"/>
          <w:szCs w:val="28"/>
        </w:rPr>
        <w:t xml:space="preserve">La </w:t>
      </w:r>
      <w:r>
        <w:rPr>
          <w:rFonts w:ascii="Garamond" w:hAnsi="Garamond" w:cs="Times New Roman"/>
          <w:color w:val="000000" w:themeColor="text1"/>
          <w:sz w:val="28"/>
          <w:szCs w:val="28"/>
        </w:rPr>
        <w:t>complessiva</w:t>
      </w:r>
      <w:r w:rsidRPr="00824CC3">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normativa</w:t>
      </w:r>
      <w:r w:rsidRPr="00824CC3">
        <w:rPr>
          <w:rFonts w:ascii="Garamond" w:hAnsi="Garamond" w:cs="Times New Roman"/>
          <w:color w:val="000000" w:themeColor="text1"/>
          <w:sz w:val="28"/>
          <w:szCs w:val="28"/>
        </w:rPr>
        <w:t xml:space="preserve"> di settore </w:t>
      </w:r>
      <w:r>
        <w:rPr>
          <w:rFonts w:ascii="Garamond" w:hAnsi="Garamond" w:cs="Times New Roman"/>
          <w:color w:val="000000" w:themeColor="text1"/>
          <w:sz w:val="28"/>
          <w:szCs w:val="28"/>
        </w:rPr>
        <w:t xml:space="preserve">sugli impianti da fonti rinnovabili </w:t>
      </w:r>
      <w:r w:rsidRPr="00824CC3">
        <w:rPr>
          <w:rFonts w:ascii="Garamond" w:hAnsi="Garamond" w:cs="Times New Roman"/>
          <w:color w:val="000000" w:themeColor="text1"/>
          <w:sz w:val="28"/>
          <w:szCs w:val="28"/>
        </w:rPr>
        <w:t>comprende fonti internazionali (il c.d. Pr</w:t>
      </w:r>
      <w:r>
        <w:rPr>
          <w:rFonts w:ascii="Garamond" w:hAnsi="Garamond" w:cs="Times New Roman"/>
          <w:color w:val="000000" w:themeColor="text1"/>
          <w:sz w:val="28"/>
          <w:szCs w:val="28"/>
        </w:rPr>
        <w:t>otocollo di Tokio),</w:t>
      </w:r>
      <w:r w:rsidRPr="00824CC3">
        <w:rPr>
          <w:rFonts w:ascii="Garamond" w:hAnsi="Garamond" w:cs="Times New Roman"/>
          <w:color w:val="000000" w:themeColor="text1"/>
          <w:sz w:val="28"/>
          <w:szCs w:val="28"/>
        </w:rPr>
        <w:t xml:space="preserve"> fonti europee (la </w:t>
      </w:r>
      <w:r>
        <w:rPr>
          <w:rFonts w:ascii="Garamond" w:hAnsi="Garamond" w:cs="Times New Roman"/>
          <w:color w:val="000000" w:themeColor="text1"/>
          <w:sz w:val="28"/>
          <w:szCs w:val="28"/>
        </w:rPr>
        <w:t>direttiva</w:t>
      </w:r>
      <w:r w:rsidRPr="00824CC3">
        <w:rPr>
          <w:rFonts w:ascii="Garamond" w:hAnsi="Garamond" w:cs="Times New Roman"/>
          <w:color w:val="000000" w:themeColor="text1"/>
          <w:sz w:val="28"/>
          <w:szCs w:val="28"/>
        </w:rPr>
        <w:t xml:space="preserve"> 2001/77/CE, la </w:t>
      </w:r>
      <w:r>
        <w:rPr>
          <w:rFonts w:ascii="Garamond" w:hAnsi="Garamond" w:cs="Times New Roman"/>
          <w:color w:val="000000" w:themeColor="text1"/>
          <w:sz w:val="28"/>
          <w:szCs w:val="28"/>
        </w:rPr>
        <w:t>direttiva</w:t>
      </w:r>
      <w:r w:rsidRPr="00824CC3">
        <w:rPr>
          <w:rFonts w:ascii="Garamond" w:hAnsi="Garamond" w:cs="Times New Roman"/>
          <w:color w:val="000000" w:themeColor="text1"/>
          <w:sz w:val="28"/>
          <w:szCs w:val="28"/>
        </w:rPr>
        <w:t xml:space="preserve"> 2009/28/CE</w:t>
      </w:r>
      <w:r w:rsidRPr="00673DB4">
        <w:rPr>
          <w:rFonts w:ascii="Garamond" w:hAnsi="Garamond" w:cs="Times New Roman"/>
          <w:color w:val="000000" w:themeColor="text1"/>
          <w:sz w:val="28"/>
          <w:szCs w:val="28"/>
        </w:rPr>
        <w:t xml:space="preserve"> e la </w:t>
      </w:r>
      <w:r>
        <w:rPr>
          <w:rFonts w:ascii="Garamond" w:hAnsi="Garamond" w:cs="Times New Roman"/>
          <w:color w:val="000000" w:themeColor="text1"/>
          <w:sz w:val="28"/>
          <w:szCs w:val="28"/>
        </w:rPr>
        <w:t>direttiva</w:t>
      </w:r>
      <w:r w:rsidRPr="00824CC3">
        <w:rPr>
          <w:rFonts w:ascii="Garamond" w:hAnsi="Garamond" w:cs="Times New Roman"/>
          <w:color w:val="000000" w:themeColor="text1"/>
          <w:sz w:val="28"/>
          <w:szCs w:val="28"/>
        </w:rPr>
        <w:t xml:space="preserve"> (UE) 2018/2001), fonti statali primarie (i decreti legislativi 16 marzo 1999, n. 79,</w:t>
      </w:r>
      <w:r>
        <w:rPr>
          <w:rFonts w:ascii="Garamond" w:hAnsi="Garamond" w:cs="Times New Roman"/>
          <w:color w:val="000000" w:themeColor="text1"/>
          <w:sz w:val="28"/>
          <w:szCs w:val="28"/>
        </w:rPr>
        <w:t xml:space="preserve"> </w:t>
      </w:r>
      <w:r w:rsidRPr="00824CC3">
        <w:rPr>
          <w:rFonts w:ascii="Garamond" w:hAnsi="Garamond" w:cs="Times New Roman"/>
          <w:color w:val="000000" w:themeColor="text1"/>
          <w:sz w:val="28"/>
          <w:szCs w:val="28"/>
        </w:rPr>
        <w:t>29 novembre 2003, n. 387 e 3 marzo 2011, n. 28, l’art. 65 del decreto-legge 24 gennaio 2012, n. 1, convertito con modificazioni nella legge 24 marzo 2012, n.27) e secondarie (i successivi decreti ministeriali di attuazione).</w:t>
      </w:r>
    </w:p>
    <w:p w:rsidR="007B4920" w:rsidRPr="00E679E8" w:rsidRDefault="007B4920" w:rsidP="007B4920">
      <w:pPr>
        <w:spacing w:line="240" w:lineRule="auto"/>
        <w:ind w:firstLine="709"/>
        <w:contextualSpacing/>
        <w:jc w:val="both"/>
        <w:rPr>
          <w:rFonts w:ascii="Garamond" w:hAnsi="Garamond" w:cs="Times New Roman"/>
          <w:color w:val="000000" w:themeColor="text1"/>
          <w:sz w:val="28"/>
          <w:szCs w:val="28"/>
        </w:rPr>
      </w:pPr>
      <w:r w:rsidRPr="00E679E8">
        <w:rPr>
          <w:rFonts w:ascii="Garamond" w:hAnsi="Garamond" w:cs="Times New Roman"/>
          <w:color w:val="000000" w:themeColor="text1"/>
          <w:sz w:val="28"/>
          <w:szCs w:val="28"/>
        </w:rPr>
        <w:t xml:space="preserve">Il </w:t>
      </w:r>
      <w:r>
        <w:rPr>
          <w:rFonts w:ascii="Garamond" w:hAnsi="Garamond" w:cs="Times New Roman"/>
          <w:color w:val="000000" w:themeColor="text1"/>
          <w:sz w:val="28"/>
          <w:szCs w:val="28"/>
        </w:rPr>
        <w:t xml:space="preserve">d.lgs. </w:t>
      </w:r>
      <w:r w:rsidRPr="00E679E8">
        <w:rPr>
          <w:rFonts w:ascii="Garamond" w:hAnsi="Garamond" w:cs="Times New Roman"/>
          <w:color w:val="000000" w:themeColor="text1"/>
          <w:sz w:val="28"/>
          <w:szCs w:val="28"/>
        </w:rPr>
        <w:t>n. 387</w:t>
      </w:r>
      <w:r>
        <w:rPr>
          <w:rFonts w:ascii="Garamond" w:hAnsi="Garamond" w:cs="Times New Roman"/>
          <w:color w:val="000000" w:themeColor="text1"/>
          <w:sz w:val="28"/>
          <w:szCs w:val="28"/>
        </w:rPr>
        <w:t xml:space="preserve"> del 2003</w:t>
      </w:r>
      <w:r w:rsidRPr="00E679E8">
        <w:rPr>
          <w:rFonts w:ascii="Garamond" w:hAnsi="Garamond" w:cs="Times New Roman"/>
          <w:color w:val="000000" w:themeColor="text1"/>
          <w:sz w:val="28"/>
          <w:szCs w:val="28"/>
        </w:rPr>
        <w:t xml:space="preserve"> (“</w:t>
      </w:r>
      <w:r w:rsidRPr="00F81C93">
        <w:rPr>
          <w:rFonts w:ascii="Garamond" w:hAnsi="Garamond" w:cs="Times New Roman"/>
          <w:i/>
          <w:color w:val="000000" w:themeColor="text1"/>
          <w:sz w:val="28"/>
          <w:szCs w:val="28"/>
        </w:rPr>
        <w:t xml:space="preserve">Attuazione della </w:t>
      </w:r>
      <w:r>
        <w:rPr>
          <w:rFonts w:ascii="Garamond" w:hAnsi="Garamond" w:cs="Times New Roman"/>
          <w:i/>
          <w:color w:val="000000" w:themeColor="text1"/>
          <w:sz w:val="28"/>
          <w:szCs w:val="28"/>
        </w:rPr>
        <w:t>direttiva</w:t>
      </w:r>
      <w:r w:rsidRPr="00F81C93">
        <w:rPr>
          <w:rFonts w:ascii="Garamond" w:hAnsi="Garamond" w:cs="Times New Roman"/>
          <w:i/>
          <w:color w:val="000000" w:themeColor="text1"/>
          <w:sz w:val="28"/>
          <w:szCs w:val="28"/>
        </w:rPr>
        <w:t xml:space="preserve"> 2001/77/CE </w:t>
      </w:r>
      <w:r>
        <w:rPr>
          <w:rFonts w:ascii="Garamond" w:hAnsi="Garamond" w:cs="Times New Roman"/>
          <w:i/>
          <w:color w:val="000000" w:themeColor="text1"/>
          <w:sz w:val="28"/>
          <w:szCs w:val="28"/>
        </w:rPr>
        <w:t>relativa</w:t>
      </w:r>
      <w:r w:rsidRPr="00F81C93">
        <w:rPr>
          <w:rFonts w:ascii="Garamond" w:hAnsi="Garamond" w:cs="Times New Roman"/>
          <w:i/>
          <w:color w:val="000000" w:themeColor="text1"/>
          <w:sz w:val="28"/>
          <w:szCs w:val="28"/>
        </w:rPr>
        <w:t xml:space="preserve"> alla promozione dell’</w:t>
      </w:r>
      <w:r>
        <w:rPr>
          <w:rFonts w:ascii="Garamond" w:hAnsi="Garamond" w:cs="Times New Roman"/>
          <w:i/>
          <w:color w:val="000000" w:themeColor="text1"/>
          <w:sz w:val="28"/>
          <w:szCs w:val="28"/>
        </w:rPr>
        <w:t>energia</w:t>
      </w:r>
      <w:r w:rsidRPr="00F81C93">
        <w:rPr>
          <w:rFonts w:ascii="Garamond" w:hAnsi="Garamond" w:cs="Times New Roman"/>
          <w:i/>
          <w:color w:val="000000" w:themeColor="text1"/>
          <w:sz w:val="28"/>
          <w:szCs w:val="28"/>
        </w:rPr>
        <w:t xml:space="preserve"> elettrica prodotta da fonti energetiche rinnovabili nel mercato interno dell’elettricità</w:t>
      </w:r>
      <w:r w:rsidRPr="00E679E8">
        <w:rPr>
          <w:rFonts w:ascii="Garamond" w:hAnsi="Garamond" w:cs="Times New Roman"/>
          <w:color w:val="000000" w:themeColor="text1"/>
          <w:sz w:val="28"/>
          <w:szCs w:val="28"/>
        </w:rPr>
        <w:t>”) dispone che “</w:t>
      </w:r>
      <w:r w:rsidRPr="005F56DB">
        <w:rPr>
          <w:rFonts w:ascii="Garamond" w:hAnsi="Garamond" w:cs="Times New Roman"/>
          <w:i/>
          <w:color w:val="000000" w:themeColor="text1"/>
          <w:sz w:val="28"/>
          <w:szCs w:val="28"/>
        </w:rPr>
        <w:t>Entro sei mesi dalla data di entrata in vigore del presente decreto, il Ministro delle attività produttive, di concerto con il Ministro dell'ambiente e della tutela del territorio, d'intesa con la Conferenza unificata, adotta uno o più decreti con i quali sono definiti i criteri per l'</w:t>
      </w:r>
      <w:r>
        <w:rPr>
          <w:rFonts w:ascii="Garamond" w:hAnsi="Garamond" w:cs="Times New Roman"/>
          <w:i/>
          <w:color w:val="000000" w:themeColor="text1"/>
          <w:sz w:val="28"/>
          <w:szCs w:val="28"/>
        </w:rPr>
        <w:t>incentivazione</w:t>
      </w:r>
      <w:r w:rsidRPr="005F56DB">
        <w:rPr>
          <w:rFonts w:ascii="Garamond" w:hAnsi="Garamond" w:cs="Times New Roman"/>
          <w:i/>
          <w:color w:val="000000" w:themeColor="text1"/>
          <w:sz w:val="28"/>
          <w:szCs w:val="28"/>
        </w:rPr>
        <w:t xml:space="preserve"> della produzione di </w:t>
      </w:r>
      <w:r>
        <w:rPr>
          <w:rFonts w:ascii="Garamond" w:hAnsi="Garamond" w:cs="Times New Roman"/>
          <w:i/>
          <w:color w:val="000000" w:themeColor="text1"/>
          <w:sz w:val="28"/>
          <w:szCs w:val="28"/>
        </w:rPr>
        <w:t>energia</w:t>
      </w:r>
      <w:r w:rsidRPr="005F56DB">
        <w:rPr>
          <w:rFonts w:ascii="Garamond" w:hAnsi="Garamond" w:cs="Times New Roman"/>
          <w:i/>
          <w:color w:val="000000" w:themeColor="text1"/>
          <w:sz w:val="28"/>
          <w:szCs w:val="28"/>
        </w:rPr>
        <w:t xml:space="preserve"> elettrica dalla fonte solare</w:t>
      </w:r>
      <w:r>
        <w:rPr>
          <w:rFonts w:ascii="Garamond" w:hAnsi="Garamond" w:cs="Times New Roman"/>
          <w:color w:val="000000" w:themeColor="text1"/>
          <w:sz w:val="28"/>
          <w:szCs w:val="28"/>
        </w:rPr>
        <w:t xml:space="preserve">” (art. 7, comma 1) e </w:t>
      </w:r>
      <w:r w:rsidRPr="00E62D46">
        <w:rPr>
          <w:rFonts w:ascii="Garamond" w:hAnsi="Garamond" w:cs="Times New Roman"/>
          <w:color w:val="000000" w:themeColor="text1"/>
          <w:sz w:val="28"/>
          <w:szCs w:val="28"/>
        </w:rPr>
        <w:t xml:space="preserve"> al comma 2, lett. d) ha previsto una specifica tariffa incent</w:t>
      </w:r>
      <w:r>
        <w:rPr>
          <w:rFonts w:ascii="Garamond" w:hAnsi="Garamond" w:cs="Times New Roman"/>
          <w:color w:val="000000" w:themeColor="text1"/>
          <w:sz w:val="28"/>
          <w:szCs w:val="28"/>
        </w:rPr>
        <w:t>iva</w:t>
      </w:r>
      <w:r w:rsidRPr="00E62D46">
        <w:rPr>
          <w:rFonts w:ascii="Garamond" w:hAnsi="Garamond" w:cs="Times New Roman"/>
          <w:color w:val="000000" w:themeColor="text1"/>
          <w:sz w:val="28"/>
          <w:szCs w:val="28"/>
        </w:rPr>
        <w:t>nte per l’</w:t>
      </w:r>
      <w:r>
        <w:rPr>
          <w:rFonts w:ascii="Garamond" w:hAnsi="Garamond" w:cs="Times New Roman"/>
          <w:color w:val="000000" w:themeColor="text1"/>
          <w:sz w:val="28"/>
          <w:szCs w:val="28"/>
        </w:rPr>
        <w:t>energia</w:t>
      </w:r>
      <w:r w:rsidRPr="00E62D46">
        <w:rPr>
          <w:rFonts w:ascii="Garamond" w:hAnsi="Garamond" w:cs="Times New Roman"/>
          <w:color w:val="000000" w:themeColor="text1"/>
          <w:sz w:val="28"/>
          <w:szCs w:val="28"/>
        </w:rPr>
        <w:t xml:space="preserve"> prodotta mediante conversione fotovoltaica della fonte solare di importo decrescente e di durata tali da garantire una equa remunerazione dei costi di investimento e di esercizio</w:t>
      </w:r>
      <w:r>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E679E8">
        <w:rPr>
          <w:rFonts w:ascii="Garamond" w:hAnsi="Garamond" w:cs="Times New Roman"/>
          <w:color w:val="000000" w:themeColor="text1"/>
          <w:sz w:val="28"/>
          <w:szCs w:val="28"/>
        </w:rPr>
        <w:lastRenderedPageBreak/>
        <w:t xml:space="preserve">Tale disposizione è fonte di un potere certamente destinato a non esaurirsi con l’emanazione del primo decreto attuativo. Da un lato, infatti, la stessa disposizione </w:t>
      </w:r>
      <w:r>
        <w:rPr>
          <w:rFonts w:ascii="Garamond" w:hAnsi="Garamond" w:cs="Times New Roman"/>
          <w:color w:val="000000" w:themeColor="text1"/>
          <w:sz w:val="28"/>
          <w:szCs w:val="28"/>
        </w:rPr>
        <w:t>legislativa</w:t>
      </w:r>
      <w:r w:rsidRPr="00E679E8">
        <w:rPr>
          <w:rFonts w:ascii="Garamond" w:hAnsi="Garamond" w:cs="Times New Roman"/>
          <w:color w:val="000000" w:themeColor="text1"/>
          <w:sz w:val="28"/>
          <w:szCs w:val="28"/>
        </w:rPr>
        <w:t xml:space="preserve"> prevede espressamente la possibilità di una pluralità di decreti ministeriali (</w:t>
      </w:r>
      <w:r>
        <w:rPr>
          <w:rFonts w:ascii="Garamond" w:hAnsi="Garamond" w:cs="Times New Roman"/>
          <w:color w:val="000000" w:themeColor="text1"/>
          <w:sz w:val="28"/>
          <w:szCs w:val="28"/>
        </w:rPr>
        <w:t>“</w:t>
      </w:r>
      <w:r w:rsidRPr="00E679E8">
        <w:rPr>
          <w:rFonts w:ascii="Garamond" w:hAnsi="Garamond" w:cs="Times New Roman"/>
          <w:color w:val="000000" w:themeColor="text1"/>
          <w:sz w:val="28"/>
          <w:szCs w:val="28"/>
        </w:rPr>
        <w:t xml:space="preserve">adotta uno o più decreti”); dall’altro lato, la possibilità che il potere attribuito venga esercitato con più atti discende dal principio di inesauribilità del potere amministrativo, a sua volta corollario della necessità che la tutela dell’interesse pubblico sia continuamente assicurata. </w:t>
      </w:r>
      <w:r>
        <w:rPr>
          <w:rFonts w:ascii="Garamond" w:hAnsi="Garamond" w:cs="Times New Roman"/>
          <w:color w:val="000000" w:themeColor="text1"/>
          <w:sz w:val="28"/>
          <w:szCs w:val="28"/>
        </w:rPr>
        <w:t xml:space="preserve">Tali decreti ministeriali </w:t>
      </w:r>
      <w:r w:rsidRPr="00E679E8">
        <w:rPr>
          <w:rFonts w:ascii="Garamond" w:hAnsi="Garamond" w:cs="Times New Roman"/>
          <w:color w:val="000000" w:themeColor="text1"/>
          <w:sz w:val="28"/>
          <w:szCs w:val="28"/>
        </w:rPr>
        <w:t>hanno natura regolamentare e non di atto amministrativo generale, avuto riguardo alla indeterminabilità dei suoi destinataria non solo a prior</w:t>
      </w:r>
      <w:r>
        <w:rPr>
          <w:rFonts w:ascii="Garamond" w:hAnsi="Garamond" w:cs="Times New Roman"/>
          <w:color w:val="000000" w:themeColor="text1"/>
          <w:sz w:val="28"/>
          <w:szCs w:val="28"/>
        </w:rPr>
        <w:t>i a ma anche a posteriori (Ad. p</w:t>
      </w:r>
      <w:r w:rsidRPr="00E679E8">
        <w:rPr>
          <w:rFonts w:ascii="Garamond" w:hAnsi="Garamond" w:cs="Times New Roman"/>
          <w:color w:val="000000" w:themeColor="text1"/>
          <w:sz w:val="28"/>
          <w:szCs w:val="28"/>
        </w:rPr>
        <w:t>len. n. 9 del 2012).</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673DB4">
        <w:rPr>
          <w:rFonts w:ascii="Garamond" w:hAnsi="Garamond" w:cs="Times New Roman"/>
          <w:color w:val="000000" w:themeColor="text1"/>
          <w:sz w:val="28"/>
          <w:szCs w:val="28"/>
        </w:rPr>
        <w:t xml:space="preserve">I decreti adottati in base al suddetto articolo 7 d.lgs. 387 del 2003 sono noti </w:t>
      </w:r>
      <w:r>
        <w:rPr>
          <w:rFonts w:ascii="Garamond" w:hAnsi="Garamond" w:cs="Times New Roman"/>
          <w:color w:val="000000" w:themeColor="text1"/>
          <w:sz w:val="28"/>
          <w:szCs w:val="28"/>
        </w:rPr>
        <w:t>con la denominazione di "Conti energia</w:t>
      </w:r>
      <w:r w:rsidRPr="00673DB4">
        <w:rPr>
          <w:rFonts w:ascii="Garamond" w:hAnsi="Garamond" w:cs="Times New Roman"/>
          <w:color w:val="000000" w:themeColor="text1"/>
          <w:sz w:val="28"/>
          <w:szCs w:val="28"/>
        </w:rPr>
        <w:t>" e sono identificati con numero ordinale progressivo in relazione alle versioni via via succedutesi, con le quali sono state avviate cinque diverse procedure di accesso alle incent</w:t>
      </w:r>
      <w:r>
        <w:rPr>
          <w:rFonts w:ascii="Garamond" w:hAnsi="Garamond" w:cs="Times New Roman"/>
          <w:color w:val="000000" w:themeColor="text1"/>
          <w:sz w:val="28"/>
          <w:szCs w:val="28"/>
        </w:rPr>
        <w:t>iva</w:t>
      </w:r>
      <w:r w:rsidRPr="00673DB4">
        <w:rPr>
          <w:rFonts w:ascii="Garamond" w:hAnsi="Garamond" w:cs="Times New Roman"/>
          <w:color w:val="000000" w:themeColor="text1"/>
          <w:sz w:val="28"/>
          <w:szCs w:val="28"/>
        </w:rPr>
        <w:t>zioni.</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In materia di impianti fotovoltaici si segnala inoltre la recente previsione recata dall’art. 9 </w:t>
      </w:r>
      <w:r w:rsidRPr="003F1B70">
        <w:rPr>
          <w:rFonts w:ascii="Garamond" w:hAnsi="Garamond" w:cs="Times New Roman"/>
          <w:i/>
          <w:color w:val="000000" w:themeColor="text1"/>
          <w:sz w:val="28"/>
          <w:szCs w:val="28"/>
        </w:rPr>
        <w:t>bis</w:t>
      </w:r>
      <w:r>
        <w:rPr>
          <w:rFonts w:ascii="Garamond" w:hAnsi="Garamond" w:cs="Times New Roman"/>
          <w:color w:val="000000" w:themeColor="text1"/>
          <w:sz w:val="28"/>
          <w:szCs w:val="28"/>
        </w:rPr>
        <w:t xml:space="preserve"> d.l. 18 novembre </w:t>
      </w:r>
      <w:r w:rsidRPr="001A4B25">
        <w:rPr>
          <w:rFonts w:ascii="Garamond" w:hAnsi="Garamond" w:cs="Times New Roman"/>
          <w:color w:val="000000" w:themeColor="text1"/>
          <w:sz w:val="28"/>
          <w:szCs w:val="28"/>
        </w:rPr>
        <w:t>2022, n. 176</w:t>
      </w:r>
      <w:r>
        <w:rPr>
          <w:rFonts w:ascii="Garamond" w:hAnsi="Garamond" w:cs="Times New Roman"/>
          <w:color w:val="000000" w:themeColor="text1"/>
          <w:sz w:val="28"/>
          <w:szCs w:val="28"/>
        </w:rPr>
        <w:t xml:space="preserve"> secondo cui ai fini dell’applicazione della normativa in materia - </w:t>
      </w:r>
      <w:r w:rsidRPr="001A4B25">
        <w:rPr>
          <w:rFonts w:ascii="Garamond" w:hAnsi="Garamond" w:cs="Times New Roman"/>
          <w:color w:val="000000" w:themeColor="text1"/>
          <w:sz w:val="28"/>
          <w:szCs w:val="28"/>
        </w:rPr>
        <w:t>di cui all'articolo 2, comma 173, della legge 24 dicembre 2007, n. 244, di cui all'articolo 6, comma 4, lettera d), del decreto del Ministro dello svilu</w:t>
      </w:r>
      <w:r>
        <w:rPr>
          <w:rFonts w:ascii="Garamond" w:hAnsi="Garamond" w:cs="Times New Roman"/>
          <w:color w:val="000000" w:themeColor="text1"/>
          <w:sz w:val="28"/>
          <w:szCs w:val="28"/>
        </w:rPr>
        <w:t>ppo economico 19 febbraio 2007</w:t>
      </w:r>
      <w:r w:rsidRPr="001A4B25">
        <w:rPr>
          <w:rFonts w:ascii="Garamond" w:hAnsi="Garamond" w:cs="Times New Roman"/>
          <w:color w:val="000000" w:themeColor="text1"/>
          <w:sz w:val="28"/>
          <w:szCs w:val="28"/>
        </w:rPr>
        <w:t>, di cui agli articoli 19 e 20 del decreto del Ministro dello sv</w:t>
      </w:r>
      <w:r>
        <w:rPr>
          <w:rFonts w:ascii="Garamond" w:hAnsi="Garamond" w:cs="Times New Roman"/>
          <w:color w:val="000000" w:themeColor="text1"/>
          <w:sz w:val="28"/>
          <w:szCs w:val="28"/>
        </w:rPr>
        <w:t>iluppo economico 6 agosto 2010</w:t>
      </w:r>
      <w:r w:rsidRPr="001A4B25">
        <w:rPr>
          <w:rFonts w:ascii="Garamond" w:hAnsi="Garamond" w:cs="Times New Roman"/>
          <w:color w:val="000000" w:themeColor="text1"/>
          <w:sz w:val="28"/>
          <w:szCs w:val="28"/>
        </w:rPr>
        <w:t>, di cui all'articolo 25 del decreto del Ministro dello sviluppo economico 5 maggio</w:t>
      </w:r>
      <w:r>
        <w:rPr>
          <w:rFonts w:ascii="Garamond" w:hAnsi="Garamond" w:cs="Times New Roman"/>
          <w:color w:val="000000" w:themeColor="text1"/>
          <w:sz w:val="28"/>
          <w:szCs w:val="28"/>
        </w:rPr>
        <w:t xml:space="preserve"> 2011</w:t>
      </w:r>
      <w:r w:rsidRPr="001A4B25">
        <w:rPr>
          <w:rFonts w:ascii="Garamond" w:hAnsi="Garamond" w:cs="Times New Roman"/>
          <w:color w:val="000000" w:themeColor="text1"/>
          <w:sz w:val="28"/>
          <w:szCs w:val="28"/>
        </w:rPr>
        <w:t>, e di cui all'articolo 17 del decreto del Ministro dello s</w:t>
      </w:r>
      <w:r>
        <w:rPr>
          <w:rFonts w:ascii="Garamond" w:hAnsi="Garamond" w:cs="Times New Roman"/>
          <w:color w:val="000000" w:themeColor="text1"/>
          <w:sz w:val="28"/>
          <w:szCs w:val="28"/>
        </w:rPr>
        <w:t xml:space="preserve">viluppo economico 5 luglio 2012 – </w:t>
      </w:r>
      <w:r w:rsidRPr="001A4B25">
        <w:rPr>
          <w:rFonts w:ascii="Garamond" w:hAnsi="Garamond" w:cs="Times New Roman"/>
          <w:color w:val="000000" w:themeColor="text1"/>
          <w:sz w:val="28"/>
          <w:szCs w:val="28"/>
        </w:rPr>
        <w:t xml:space="preserve">le definizioni di "soggetto responsabile" contenute in ciascuna delle citate disposizioni si interpretano nel senso che gli enti locali, come definiti dall'articolo 2, commi 1 e 2, del testo unico di cui al decreto legislativo 18 agosto 2000, n. 267, ovvero le regioni, in ragione della loro natura, sono soggetti responsabili degli impianti fotovoltaici anche laddove ne abbiano esternalizzato la realizzazione, la gestione, la sicurezza sul lavoro, la manutenzione, compresa quella </w:t>
      </w:r>
      <w:r>
        <w:rPr>
          <w:rFonts w:ascii="Garamond" w:hAnsi="Garamond" w:cs="Times New Roman"/>
          <w:color w:val="000000" w:themeColor="text1"/>
          <w:sz w:val="28"/>
          <w:szCs w:val="28"/>
        </w:rPr>
        <w:t>relativa</w:t>
      </w:r>
      <w:r w:rsidRPr="001A4B25">
        <w:rPr>
          <w:rFonts w:ascii="Garamond" w:hAnsi="Garamond" w:cs="Times New Roman"/>
          <w:color w:val="000000" w:themeColor="text1"/>
          <w:sz w:val="28"/>
          <w:szCs w:val="28"/>
        </w:rPr>
        <w:t xml:space="preserve"> al funzionamento, e i relativi costi.</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p>
    <w:p w:rsidR="007B4920"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6</w:t>
      </w:r>
      <w:r w:rsidRPr="00673DB4">
        <w:rPr>
          <w:rFonts w:ascii="Garamond" w:hAnsi="Garamond" w:cs="Times New Roman"/>
          <w:b/>
          <w:color w:val="000000" w:themeColor="text1"/>
          <w:sz w:val="28"/>
          <w:szCs w:val="28"/>
        </w:rPr>
        <w:t xml:space="preserve">.1. I Conti </w:t>
      </w:r>
      <w:r>
        <w:rPr>
          <w:rFonts w:ascii="Garamond" w:hAnsi="Garamond" w:cs="Times New Roman"/>
          <w:b/>
          <w:color w:val="000000" w:themeColor="text1"/>
          <w:sz w:val="28"/>
          <w:szCs w:val="28"/>
        </w:rPr>
        <w:t>energia.</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Il “Conto energia</w:t>
      </w:r>
      <w:r w:rsidRPr="00E62D46">
        <w:rPr>
          <w:rFonts w:ascii="Garamond" w:hAnsi="Garamond" w:cs="Times New Roman"/>
          <w:color w:val="000000" w:themeColor="text1"/>
          <w:sz w:val="28"/>
          <w:szCs w:val="28"/>
        </w:rPr>
        <w:t>” costituisce</w:t>
      </w:r>
      <w:r>
        <w:rPr>
          <w:rFonts w:ascii="Garamond" w:hAnsi="Garamond" w:cs="Times New Roman"/>
          <w:color w:val="000000" w:themeColor="text1"/>
          <w:sz w:val="28"/>
          <w:szCs w:val="28"/>
        </w:rPr>
        <w:t xml:space="preserve"> pertanto</w:t>
      </w:r>
      <w:r w:rsidRPr="00E62D46">
        <w:rPr>
          <w:rFonts w:ascii="Garamond" w:hAnsi="Garamond" w:cs="Times New Roman"/>
          <w:color w:val="000000" w:themeColor="text1"/>
          <w:sz w:val="28"/>
          <w:szCs w:val="28"/>
        </w:rPr>
        <w:t xml:space="preserve"> lo strumento di disciplina generale delle modalità di </w:t>
      </w:r>
      <w:r>
        <w:rPr>
          <w:rFonts w:ascii="Garamond" w:hAnsi="Garamond" w:cs="Times New Roman"/>
          <w:color w:val="000000" w:themeColor="text1"/>
          <w:sz w:val="28"/>
          <w:szCs w:val="28"/>
        </w:rPr>
        <w:t>incentivazione</w:t>
      </w:r>
      <w:r w:rsidRPr="00E62D46">
        <w:rPr>
          <w:rFonts w:ascii="Garamond" w:hAnsi="Garamond" w:cs="Times New Roman"/>
          <w:color w:val="000000" w:themeColor="text1"/>
          <w:sz w:val="28"/>
          <w:szCs w:val="28"/>
        </w:rPr>
        <w:t xml:space="preserve"> della produzione di </w:t>
      </w:r>
      <w:r>
        <w:rPr>
          <w:rFonts w:ascii="Garamond" w:hAnsi="Garamond" w:cs="Times New Roman"/>
          <w:color w:val="000000" w:themeColor="text1"/>
          <w:sz w:val="28"/>
          <w:szCs w:val="28"/>
        </w:rPr>
        <w:t>energia</w:t>
      </w:r>
      <w:r w:rsidRPr="00E62D46">
        <w:rPr>
          <w:rFonts w:ascii="Garamond" w:hAnsi="Garamond" w:cs="Times New Roman"/>
          <w:color w:val="000000" w:themeColor="text1"/>
          <w:sz w:val="28"/>
          <w:szCs w:val="28"/>
        </w:rPr>
        <w:t xml:space="preserve"> elettrica mediante conversione fotovoltaica da fonte solare. Questo strumento di disciplina della </w:t>
      </w:r>
      <w:r>
        <w:rPr>
          <w:rFonts w:ascii="Garamond" w:hAnsi="Garamond" w:cs="Times New Roman"/>
          <w:color w:val="000000" w:themeColor="text1"/>
          <w:sz w:val="28"/>
          <w:szCs w:val="28"/>
        </w:rPr>
        <w:t>incentivazione</w:t>
      </w:r>
      <w:r w:rsidRPr="00E62D46">
        <w:rPr>
          <w:rFonts w:ascii="Garamond" w:hAnsi="Garamond" w:cs="Times New Roman"/>
          <w:color w:val="000000" w:themeColor="text1"/>
          <w:sz w:val="28"/>
          <w:szCs w:val="28"/>
        </w:rPr>
        <w:t xml:space="preserve"> è stato introdotto per la prima volta nell’ordinamento con il </w:t>
      </w:r>
      <w:r>
        <w:rPr>
          <w:rFonts w:ascii="Garamond" w:hAnsi="Garamond" w:cs="Times New Roman"/>
          <w:color w:val="000000" w:themeColor="text1"/>
          <w:sz w:val="28"/>
          <w:szCs w:val="28"/>
        </w:rPr>
        <w:t xml:space="preserve">d.m. 28 luglio 2005 </w:t>
      </w:r>
      <w:r w:rsidRPr="00E62D46">
        <w:rPr>
          <w:rFonts w:ascii="Garamond" w:hAnsi="Garamond" w:cs="Times New Roman"/>
          <w:color w:val="000000" w:themeColor="text1"/>
          <w:sz w:val="28"/>
          <w:szCs w:val="28"/>
        </w:rPr>
        <w:t xml:space="preserve">in coerenza con le disposizioni della </w:t>
      </w:r>
      <w:r>
        <w:rPr>
          <w:rFonts w:ascii="Garamond" w:hAnsi="Garamond" w:cs="Times New Roman"/>
          <w:color w:val="000000" w:themeColor="text1"/>
          <w:sz w:val="28"/>
          <w:szCs w:val="28"/>
        </w:rPr>
        <w:t>direttiva</w:t>
      </w:r>
      <w:r w:rsidRPr="00E62D46">
        <w:rPr>
          <w:rFonts w:ascii="Garamond" w:hAnsi="Garamond" w:cs="Times New Roman"/>
          <w:color w:val="000000" w:themeColor="text1"/>
          <w:sz w:val="28"/>
          <w:szCs w:val="28"/>
        </w:rPr>
        <w:t xml:space="preserve"> 2003/54/CE </w:t>
      </w:r>
      <w:r>
        <w:rPr>
          <w:rFonts w:ascii="Garamond" w:hAnsi="Garamond" w:cs="Times New Roman"/>
          <w:color w:val="000000" w:themeColor="text1"/>
          <w:sz w:val="28"/>
          <w:szCs w:val="28"/>
        </w:rPr>
        <w:t>relativa</w:t>
      </w:r>
      <w:r w:rsidRPr="00E62D46">
        <w:rPr>
          <w:rFonts w:ascii="Garamond" w:hAnsi="Garamond" w:cs="Times New Roman"/>
          <w:color w:val="000000" w:themeColor="text1"/>
          <w:sz w:val="28"/>
          <w:szCs w:val="28"/>
        </w:rPr>
        <w:t xml:space="preserve"> a norme comuni per il mercato interno dell'</w:t>
      </w:r>
      <w:r>
        <w:rPr>
          <w:rFonts w:ascii="Garamond" w:hAnsi="Garamond" w:cs="Times New Roman"/>
          <w:color w:val="000000" w:themeColor="text1"/>
          <w:sz w:val="28"/>
          <w:szCs w:val="28"/>
        </w:rPr>
        <w:t>energia</w:t>
      </w:r>
      <w:r w:rsidRPr="00E62D46">
        <w:rPr>
          <w:rFonts w:ascii="Garamond" w:hAnsi="Garamond" w:cs="Times New Roman"/>
          <w:color w:val="000000" w:themeColor="text1"/>
          <w:sz w:val="28"/>
          <w:szCs w:val="28"/>
        </w:rPr>
        <w:t xml:space="preserve"> elettrica</w:t>
      </w:r>
      <w:r>
        <w:rPr>
          <w:rFonts w:ascii="Garamond" w:hAnsi="Garamond" w:cs="Times New Roman"/>
          <w:color w:val="000000" w:themeColor="text1"/>
          <w:sz w:val="28"/>
          <w:szCs w:val="28"/>
        </w:rPr>
        <w:t xml:space="preserve"> e in attuazione dell’art. 7 d.lgs. n. 387 del </w:t>
      </w:r>
      <w:r w:rsidRPr="00E62D46">
        <w:rPr>
          <w:rFonts w:ascii="Garamond" w:hAnsi="Garamond" w:cs="Times New Roman"/>
          <w:color w:val="000000" w:themeColor="text1"/>
          <w:sz w:val="28"/>
          <w:szCs w:val="28"/>
        </w:rPr>
        <w:t>2003.</w:t>
      </w:r>
    </w:p>
    <w:p w:rsidR="007B4920" w:rsidRPr="00E62D46" w:rsidRDefault="007B4920" w:rsidP="007B4920">
      <w:pPr>
        <w:spacing w:line="240" w:lineRule="auto"/>
        <w:ind w:firstLine="709"/>
        <w:contextualSpacing/>
        <w:jc w:val="both"/>
        <w:rPr>
          <w:rFonts w:ascii="Garamond" w:hAnsi="Garamond" w:cs="Times New Roman"/>
          <w:color w:val="000000" w:themeColor="text1"/>
          <w:sz w:val="28"/>
          <w:szCs w:val="28"/>
        </w:rPr>
      </w:pPr>
      <w:r w:rsidRPr="00E62D46">
        <w:rPr>
          <w:rFonts w:ascii="Garamond" w:hAnsi="Garamond" w:cs="Times New Roman"/>
          <w:color w:val="000000" w:themeColor="text1"/>
          <w:sz w:val="28"/>
          <w:szCs w:val="28"/>
        </w:rPr>
        <w:t>Al P</w:t>
      </w:r>
      <w:r>
        <w:rPr>
          <w:rFonts w:ascii="Garamond" w:hAnsi="Garamond" w:cs="Times New Roman"/>
          <w:color w:val="000000" w:themeColor="text1"/>
          <w:sz w:val="28"/>
          <w:szCs w:val="28"/>
        </w:rPr>
        <w:t>rimo Conto energia (d.m.</w:t>
      </w:r>
      <w:r w:rsidRPr="00E62D46">
        <w:rPr>
          <w:rFonts w:ascii="Garamond" w:hAnsi="Garamond" w:cs="Times New Roman"/>
          <w:color w:val="000000" w:themeColor="text1"/>
          <w:sz w:val="28"/>
          <w:szCs w:val="28"/>
        </w:rPr>
        <w:t xml:space="preserve"> 2</w:t>
      </w:r>
      <w:r>
        <w:rPr>
          <w:rFonts w:ascii="Garamond" w:hAnsi="Garamond" w:cs="Times New Roman"/>
          <w:color w:val="000000" w:themeColor="text1"/>
          <w:sz w:val="28"/>
          <w:szCs w:val="28"/>
        </w:rPr>
        <w:t>8 luglio 2005, modificato dal d.m.</w:t>
      </w:r>
      <w:r w:rsidRPr="00E62D46">
        <w:rPr>
          <w:rFonts w:ascii="Garamond" w:hAnsi="Garamond" w:cs="Times New Roman"/>
          <w:color w:val="000000" w:themeColor="text1"/>
          <w:sz w:val="28"/>
          <w:szCs w:val="28"/>
        </w:rPr>
        <w:t xml:space="preserve"> 6 febbraio 20</w:t>
      </w:r>
      <w:r>
        <w:rPr>
          <w:rFonts w:ascii="Garamond" w:hAnsi="Garamond" w:cs="Times New Roman"/>
          <w:color w:val="000000" w:themeColor="text1"/>
          <w:sz w:val="28"/>
          <w:szCs w:val="28"/>
        </w:rPr>
        <w:t>06) hanno poi fatto seguito i d.m.</w:t>
      </w:r>
      <w:r w:rsidRPr="00E62D46">
        <w:rPr>
          <w:rFonts w:ascii="Garamond" w:hAnsi="Garamond" w:cs="Times New Roman"/>
          <w:color w:val="000000" w:themeColor="text1"/>
          <w:sz w:val="28"/>
          <w:szCs w:val="28"/>
        </w:rPr>
        <w:t xml:space="preserve"> 19 febbraio 2007 e 6 agosto 2010 relativi, </w:t>
      </w:r>
      <w:r>
        <w:rPr>
          <w:rFonts w:ascii="Garamond" w:hAnsi="Garamond" w:cs="Times New Roman"/>
          <w:color w:val="000000" w:themeColor="text1"/>
          <w:sz w:val="28"/>
          <w:szCs w:val="28"/>
        </w:rPr>
        <w:t>rispettivamente</w:t>
      </w:r>
      <w:r w:rsidRPr="00E62D46">
        <w:rPr>
          <w:rFonts w:ascii="Garamond" w:hAnsi="Garamond" w:cs="Times New Roman"/>
          <w:color w:val="000000" w:themeColor="text1"/>
          <w:sz w:val="28"/>
          <w:szCs w:val="28"/>
        </w:rPr>
        <w:t xml:space="preserve">, al Secondo e al Terzo Conto </w:t>
      </w:r>
      <w:r>
        <w:rPr>
          <w:rFonts w:ascii="Garamond" w:hAnsi="Garamond" w:cs="Times New Roman"/>
          <w:color w:val="000000" w:themeColor="text1"/>
          <w:sz w:val="28"/>
          <w:szCs w:val="28"/>
        </w:rPr>
        <w:t>energia</w:t>
      </w:r>
      <w:r w:rsidRPr="00E62D46">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Successivamente è stato emanato il d.m.</w:t>
      </w:r>
      <w:r w:rsidRPr="00E62D46">
        <w:rPr>
          <w:rFonts w:ascii="Garamond" w:hAnsi="Garamond" w:cs="Times New Roman"/>
          <w:color w:val="000000" w:themeColor="text1"/>
          <w:sz w:val="28"/>
          <w:szCs w:val="28"/>
        </w:rPr>
        <w:t xml:space="preserve"> 5 maggio 2011 (Quarto Conto </w:t>
      </w:r>
      <w:r>
        <w:rPr>
          <w:rFonts w:ascii="Garamond" w:hAnsi="Garamond" w:cs="Times New Roman"/>
          <w:color w:val="000000" w:themeColor="text1"/>
          <w:sz w:val="28"/>
          <w:szCs w:val="28"/>
        </w:rPr>
        <w:t>energia</w:t>
      </w:r>
      <w:r w:rsidRPr="00E62D46">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Infine   </w:t>
      </w:r>
      <w:r w:rsidRPr="00E62D46">
        <w:rPr>
          <w:rFonts w:ascii="Garamond" w:hAnsi="Garamond" w:cs="Times New Roman"/>
          <w:color w:val="000000" w:themeColor="text1"/>
          <w:sz w:val="28"/>
          <w:szCs w:val="28"/>
        </w:rPr>
        <w:t>è</w:t>
      </w:r>
      <w:r>
        <w:rPr>
          <w:rFonts w:ascii="Garamond" w:hAnsi="Garamond" w:cs="Times New Roman"/>
          <w:color w:val="000000" w:themeColor="text1"/>
          <w:sz w:val="28"/>
          <w:szCs w:val="28"/>
        </w:rPr>
        <w:t xml:space="preserve"> stato adottato il d</w:t>
      </w:r>
      <w:r w:rsidRPr="004857C8">
        <w:rPr>
          <w:rFonts w:ascii="Garamond" w:hAnsi="Garamond" w:cs="Times New Roman"/>
          <w:color w:val="000000" w:themeColor="text1"/>
          <w:sz w:val="28"/>
          <w:szCs w:val="28"/>
        </w:rPr>
        <w:t>.m. 5 luglio 2012</w:t>
      </w:r>
      <w:r>
        <w:rPr>
          <w:rFonts w:ascii="Garamond" w:hAnsi="Garamond" w:cs="Times New Roman"/>
          <w:color w:val="000000" w:themeColor="text1"/>
          <w:sz w:val="28"/>
          <w:szCs w:val="28"/>
        </w:rPr>
        <w:t xml:space="preserve"> (</w:t>
      </w:r>
      <w:r w:rsidRPr="00E62D46">
        <w:rPr>
          <w:rFonts w:ascii="Garamond" w:hAnsi="Garamond" w:cs="Times New Roman"/>
          <w:color w:val="000000" w:themeColor="text1"/>
          <w:sz w:val="28"/>
          <w:szCs w:val="28"/>
        </w:rPr>
        <w:t>Quinto Co</w:t>
      </w:r>
      <w:r>
        <w:rPr>
          <w:rFonts w:ascii="Garamond" w:hAnsi="Garamond" w:cs="Times New Roman"/>
          <w:color w:val="000000" w:themeColor="text1"/>
          <w:sz w:val="28"/>
          <w:szCs w:val="28"/>
        </w:rPr>
        <w:t>nto energia).</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E62D46">
        <w:rPr>
          <w:rFonts w:ascii="Garamond" w:hAnsi="Garamond" w:cs="Times New Roman"/>
          <w:color w:val="000000" w:themeColor="text1"/>
          <w:sz w:val="28"/>
          <w:szCs w:val="28"/>
        </w:rPr>
        <w:t>Con le espressioni «</w:t>
      </w:r>
      <w:r>
        <w:rPr>
          <w:rFonts w:ascii="Garamond" w:hAnsi="Garamond" w:cs="Times New Roman"/>
          <w:i/>
          <w:color w:val="000000" w:themeColor="text1"/>
          <w:sz w:val="28"/>
          <w:szCs w:val="28"/>
        </w:rPr>
        <w:t>Incentivazione</w:t>
      </w:r>
      <w:r w:rsidRPr="004947CA">
        <w:rPr>
          <w:rFonts w:ascii="Garamond" w:hAnsi="Garamond" w:cs="Times New Roman"/>
          <w:i/>
          <w:color w:val="000000" w:themeColor="text1"/>
          <w:sz w:val="28"/>
          <w:szCs w:val="28"/>
        </w:rPr>
        <w:t xml:space="preserve"> in conto </w:t>
      </w:r>
      <w:r>
        <w:rPr>
          <w:rFonts w:ascii="Garamond" w:hAnsi="Garamond" w:cs="Times New Roman"/>
          <w:i/>
          <w:color w:val="000000" w:themeColor="text1"/>
          <w:sz w:val="28"/>
          <w:szCs w:val="28"/>
        </w:rPr>
        <w:t>energia</w:t>
      </w:r>
      <w:r w:rsidRPr="00E62D46">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alla luce dell’indicata normativa di settore e </w:t>
      </w:r>
      <w:r w:rsidRPr="00E62D46">
        <w:rPr>
          <w:rFonts w:ascii="Garamond" w:hAnsi="Garamond" w:cs="Times New Roman"/>
          <w:color w:val="000000" w:themeColor="text1"/>
          <w:sz w:val="28"/>
          <w:szCs w:val="28"/>
        </w:rPr>
        <w:t>«</w:t>
      </w:r>
      <w:r w:rsidRPr="004947CA">
        <w:rPr>
          <w:rFonts w:ascii="Garamond" w:hAnsi="Garamond" w:cs="Times New Roman"/>
          <w:i/>
          <w:color w:val="000000" w:themeColor="text1"/>
          <w:sz w:val="28"/>
          <w:szCs w:val="28"/>
        </w:rPr>
        <w:t>Tariffa incent</w:t>
      </w:r>
      <w:r>
        <w:rPr>
          <w:rFonts w:ascii="Garamond" w:hAnsi="Garamond" w:cs="Times New Roman"/>
          <w:i/>
          <w:color w:val="000000" w:themeColor="text1"/>
          <w:sz w:val="28"/>
          <w:szCs w:val="28"/>
        </w:rPr>
        <w:t>iva</w:t>
      </w:r>
      <w:r w:rsidRPr="004947CA">
        <w:rPr>
          <w:rFonts w:ascii="Garamond" w:hAnsi="Garamond" w:cs="Times New Roman"/>
          <w:i/>
          <w:color w:val="000000" w:themeColor="text1"/>
          <w:sz w:val="28"/>
          <w:szCs w:val="28"/>
        </w:rPr>
        <w:t>nte</w:t>
      </w:r>
      <w:r w:rsidRPr="00E62D46">
        <w:rPr>
          <w:rFonts w:ascii="Garamond" w:hAnsi="Garamond" w:cs="Times New Roman"/>
          <w:color w:val="000000" w:themeColor="text1"/>
          <w:sz w:val="28"/>
          <w:szCs w:val="28"/>
        </w:rPr>
        <w:t xml:space="preserve">» viene indicato un meccanismo di </w:t>
      </w:r>
      <w:r>
        <w:rPr>
          <w:rFonts w:ascii="Garamond" w:hAnsi="Garamond" w:cs="Times New Roman"/>
          <w:color w:val="000000" w:themeColor="text1"/>
          <w:sz w:val="28"/>
          <w:szCs w:val="28"/>
        </w:rPr>
        <w:t>incentivazione</w:t>
      </w:r>
      <w:r w:rsidRPr="00E62D46">
        <w:rPr>
          <w:rFonts w:ascii="Garamond" w:hAnsi="Garamond" w:cs="Times New Roman"/>
          <w:color w:val="000000" w:themeColor="text1"/>
          <w:sz w:val="28"/>
          <w:szCs w:val="28"/>
        </w:rPr>
        <w:t xml:space="preserve"> introdotto, a partire dal Primo Conto </w:t>
      </w:r>
      <w:r>
        <w:rPr>
          <w:rFonts w:ascii="Garamond" w:hAnsi="Garamond" w:cs="Times New Roman"/>
          <w:color w:val="000000" w:themeColor="text1"/>
          <w:sz w:val="28"/>
          <w:szCs w:val="28"/>
        </w:rPr>
        <w:t>energia</w:t>
      </w:r>
      <w:r w:rsidRPr="00E62D46">
        <w:rPr>
          <w:rFonts w:ascii="Garamond" w:hAnsi="Garamond" w:cs="Times New Roman"/>
          <w:color w:val="000000" w:themeColor="text1"/>
          <w:sz w:val="28"/>
          <w:szCs w:val="28"/>
        </w:rPr>
        <w:t xml:space="preserve">, che remunera non la realizzazione dell’impianto, ma, per un certo numero di anni, la produzione di </w:t>
      </w:r>
      <w:r>
        <w:rPr>
          <w:rFonts w:ascii="Garamond" w:hAnsi="Garamond" w:cs="Times New Roman"/>
          <w:color w:val="000000" w:themeColor="text1"/>
          <w:sz w:val="28"/>
          <w:szCs w:val="28"/>
        </w:rPr>
        <w:t>energia</w:t>
      </w:r>
      <w:r w:rsidRPr="00E62D46">
        <w:rPr>
          <w:rFonts w:ascii="Garamond" w:hAnsi="Garamond" w:cs="Times New Roman"/>
          <w:color w:val="000000" w:themeColor="text1"/>
          <w:sz w:val="28"/>
          <w:szCs w:val="28"/>
        </w:rPr>
        <w:t xml:space="preserve"> elettrica attraverso un impianto fotovoltaico, sulla base di tariffe </w:t>
      </w:r>
      <w:r>
        <w:rPr>
          <w:rFonts w:ascii="Garamond" w:hAnsi="Garamond" w:cs="Times New Roman"/>
          <w:color w:val="000000" w:themeColor="text1"/>
          <w:sz w:val="28"/>
          <w:szCs w:val="28"/>
        </w:rPr>
        <w:t>incentivanti</w:t>
      </w:r>
      <w:r w:rsidRPr="00E62D46">
        <w:rPr>
          <w:rFonts w:ascii="Garamond" w:hAnsi="Garamond" w:cs="Times New Roman"/>
          <w:color w:val="000000" w:themeColor="text1"/>
          <w:sz w:val="28"/>
          <w:szCs w:val="28"/>
        </w:rPr>
        <w:t xml:space="preserve"> def</w:t>
      </w:r>
      <w:r>
        <w:rPr>
          <w:rFonts w:ascii="Garamond" w:hAnsi="Garamond" w:cs="Times New Roman"/>
          <w:color w:val="000000" w:themeColor="text1"/>
          <w:sz w:val="28"/>
          <w:szCs w:val="28"/>
        </w:rPr>
        <w:t>inite con decreto ministeriale.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 xml:space="preserve">Con il d.m. 19 </w:t>
      </w:r>
      <w:r w:rsidRPr="00423C55">
        <w:rPr>
          <w:rFonts w:ascii="Garamond" w:hAnsi="Garamond" w:cs="Times New Roman"/>
          <w:color w:val="000000" w:themeColor="text1"/>
          <w:sz w:val="28"/>
          <w:szCs w:val="28"/>
        </w:rPr>
        <w:t>febbraio 2007</w:t>
      </w:r>
      <w:r>
        <w:rPr>
          <w:rFonts w:ascii="Garamond" w:hAnsi="Garamond" w:cs="Times New Roman"/>
          <w:color w:val="000000" w:themeColor="text1"/>
          <w:sz w:val="28"/>
          <w:szCs w:val="28"/>
        </w:rPr>
        <w:t xml:space="preserve"> (Secondo Conto energia) sono state introdotte alcune novità come l’applicazione della tariffa incentivante su tutta l’energia prodotta dall’impianto, la semplificazione delle regole di accesso alle tariffe anche in funzione del tipo di integrazione architettonica e della taglia dell’impianto nonché un premio per gli impianti abbinati all’uso efficiente dell’energia.</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Con il d.m. </w:t>
      </w:r>
      <w:r w:rsidRPr="00423C55">
        <w:rPr>
          <w:rFonts w:ascii="Garamond" w:hAnsi="Garamond" w:cs="Times New Roman"/>
          <w:color w:val="000000" w:themeColor="text1"/>
          <w:sz w:val="28"/>
          <w:szCs w:val="28"/>
        </w:rPr>
        <w:t>6 agosto 2010</w:t>
      </w:r>
      <w:r>
        <w:rPr>
          <w:rFonts w:ascii="Garamond" w:hAnsi="Garamond" w:cs="Times New Roman"/>
          <w:color w:val="000000" w:themeColor="text1"/>
          <w:sz w:val="28"/>
          <w:szCs w:val="28"/>
        </w:rPr>
        <w:t xml:space="preserve"> è entrato in vigore il Terzo Conto energia, applicabile agli impianti entrati in esercizio a partire dal 1 gennaio 2011 e sino al 31 maggio 2011 che ha introdotto specifiche tariffe per impianti fotovoltaici con caratteristiche innovative e impianti fotovoltaici a concentrazione.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1C19CA">
        <w:rPr>
          <w:rFonts w:ascii="Garamond" w:hAnsi="Garamond" w:cs="Times New Roman"/>
          <w:color w:val="000000" w:themeColor="text1"/>
          <w:sz w:val="28"/>
          <w:szCs w:val="28"/>
        </w:rPr>
        <w:t xml:space="preserve">Con la l. 129 del 2010 sono state confermate le tariffe dell’anno 2010 del Secondo Conto </w:t>
      </w:r>
      <w:r>
        <w:rPr>
          <w:rFonts w:ascii="Garamond" w:hAnsi="Garamond" w:cs="Times New Roman"/>
          <w:color w:val="000000" w:themeColor="text1"/>
          <w:sz w:val="28"/>
          <w:szCs w:val="28"/>
        </w:rPr>
        <w:t>energia</w:t>
      </w:r>
      <w:r w:rsidRPr="001C19CA">
        <w:rPr>
          <w:rFonts w:ascii="Garamond" w:hAnsi="Garamond" w:cs="Times New Roman"/>
          <w:color w:val="000000" w:themeColor="text1"/>
          <w:sz w:val="28"/>
          <w:szCs w:val="28"/>
        </w:rPr>
        <w:t xml:space="preserve"> agli impianti in grado di certificare la conclusione dei lavori entro il 31 dicembre 2010 e di entrare in esercizio entro il 30 giugno 2011.</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Con l’entrata in vigore del d.l.gs. n. 28 del 2011 è stato adottato il d.m. 5 maggio 2011 (Quarto Conto energia) che ha definito il meccanismo di incentivazione riguardante gli impianti entrati in esercizio dopo il 31 maggio 2011 al fine di allineare il livello delle tariffe all’evoluzione dei costi della tecnologia fotovoltaica e di introdurre un limite di costo cumulato annuo degli incentivi, fissato in 6 miliardi di euro.</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Pertanto, stante l’avvicinarsi del limite di costo previsto dal d.m. 5 maggio 2011, è stato adottato il successivo d.m. 5 luglio 2012 (Quinto conto energia) che ha fissato il costo cumulato degli incentivi. </w:t>
      </w:r>
    </w:p>
    <w:p w:rsidR="007B4920" w:rsidRPr="00A424A9" w:rsidRDefault="007B4920" w:rsidP="007B4920">
      <w:pPr>
        <w:spacing w:line="240" w:lineRule="auto"/>
        <w:ind w:firstLine="709"/>
        <w:contextualSpacing/>
        <w:jc w:val="both"/>
        <w:rPr>
          <w:rFonts w:ascii="Garamond" w:hAnsi="Garamond" w:cs="Times New Roman"/>
          <w:color w:val="000000" w:themeColor="text1"/>
          <w:sz w:val="28"/>
          <w:szCs w:val="28"/>
        </w:rPr>
      </w:pPr>
      <w:r w:rsidRPr="00B72ABE">
        <w:rPr>
          <w:rFonts w:ascii="Garamond" w:hAnsi="Garamond" w:cs="Times New Roman"/>
          <w:color w:val="000000" w:themeColor="text1"/>
          <w:sz w:val="28"/>
          <w:szCs w:val="28"/>
        </w:rPr>
        <w:t>Il regime incent</w:t>
      </w:r>
      <w:r>
        <w:rPr>
          <w:rFonts w:ascii="Garamond" w:hAnsi="Garamond" w:cs="Times New Roman"/>
          <w:color w:val="000000" w:themeColor="text1"/>
          <w:sz w:val="28"/>
          <w:szCs w:val="28"/>
        </w:rPr>
        <w:t>iva</w:t>
      </w:r>
      <w:r w:rsidRPr="00B72ABE">
        <w:rPr>
          <w:rFonts w:ascii="Garamond" w:hAnsi="Garamond" w:cs="Times New Roman"/>
          <w:color w:val="000000" w:themeColor="text1"/>
          <w:sz w:val="28"/>
          <w:szCs w:val="28"/>
        </w:rPr>
        <w:t>nte in questione ha</w:t>
      </w:r>
      <w:r>
        <w:rPr>
          <w:rFonts w:ascii="Garamond" w:hAnsi="Garamond" w:cs="Times New Roman"/>
          <w:color w:val="000000" w:themeColor="text1"/>
          <w:sz w:val="28"/>
          <w:szCs w:val="28"/>
        </w:rPr>
        <w:t xml:space="preserve"> quindi </w:t>
      </w:r>
      <w:r w:rsidRPr="00B72ABE">
        <w:rPr>
          <w:rFonts w:ascii="Garamond" w:hAnsi="Garamond" w:cs="Times New Roman"/>
          <w:color w:val="000000" w:themeColor="text1"/>
          <w:sz w:val="28"/>
          <w:szCs w:val="28"/>
        </w:rPr>
        <w:t>cessato di applicarsi, ai s</w:t>
      </w:r>
      <w:r>
        <w:rPr>
          <w:rFonts w:ascii="Garamond" w:hAnsi="Garamond" w:cs="Times New Roman"/>
          <w:color w:val="000000" w:themeColor="text1"/>
          <w:sz w:val="28"/>
          <w:szCs w:val="28"/>
        </w:rPr>
        <w:t xml:space="preserve">ensi dell'art. 1, comma 5, del d.m. 5 luglio 2012, </w:t>
      </w:r>
      <w:r w:rsidRPr="00B72ABE">
        <w:rPr>
          <w:rFonts w:ascii="Garamond" w:hAnsi="Garamond" w:cs="Times New Roman"/>
          <w:color w:val="000000" w:themeColor="text1"/>
          <w:sz w:val="28"/>
          <w:szCs w:val="28"/>
        </w:rPr>
        <w:t>"</w:t>
      </w:r>
      <w:r w:rsidRPr="00B72ABE">
        <w:rPr>
          <w:rFonts w:ascii="Garamond" w:hAnsi="Garamond" w:cs="Times New Roman"/>
          <w:i/>
          <w:color w:val="000000" w:themeColor="text1"/>
          <w:sz w:val="28"/>
          <w:szCs w:val="28"/>
        </w:rPr>
        <w:t>decorsi trenta giorni solari dalla data di raggiungimento di un costo indicativo cumulato di 6,7 miliardi di euro l'anno. La data di raggiungimento del predetto valore di 6,7 miliardi di euro l'anno viene comunicata, sulla base degli elementi forniti dal G., dall'Autorità per l'</w:t>
      </w:r>
      <w:r>
        <w:rPr>
          <w:rFonts w:ascii="Garamond" w:hAnsi="Garamond" w:cs="Times New Roman"/>
          <w:i/>
          <w:color w:val="000000" w:themeColor="text1"/>
          <w:sz w:val="28"/>
          <w:szCs w:val="28"/>
        </w:rPr>
        <w:t>energia</w:t>
      </w:r>
      <w:r w:rsidRPr="00B72ABE">
        <w:rPr>
          <w:rFonts w:ascii="Garamond" w:hAnsi="Garamond" w:cs="Times New Roman"/>
          <w:i/>
          <w:color w:val="000000" w:themeColor="text1"/>
          <w:sz w:val="28"/>
          <w:szCs w:val="28"/>
        </w:rPr>
        <w:t xml:space="preserve"> elettrica e il gas</w:t>
      </w:r>
      <w:r>
        <w:rPr>
          <w:rFonts w:ascii="Garamond" w:hAnsi="Garamond" w:cs="Times New Roman"/>
          <w:color w:val="000000" w:themeColor="text1"/>
          <w:sz w:val="28"/>
          <w:szCs w:val="28"/>
        </w:rPr>
        <w:t xml:space="preserve"> …". </w:t>
      </w:r>
      <w:r w:rsidRPr="00B72ABE">
        <w:rPr>
          <w:rFonts w:ascii="Garamond" w:hAnsi="Garamond" w:cs="Times New Roman"/>
          <w:color w:val="000000" w:themeColor="text1"/>
          <w:sz w:val="28"/>
          <w:szCs w:val="28"/>
        </w:rPr>
        <w:t>L'Autorità per l'</w:t>
      </w:r>
      <w:r>
        <w:rPr>
          <w:rFonts w:ascii="Garamond" w:hAnsi="Garamond" w:cs="Times New Roman"/>
          <w:color w:val="000000" w:themeColor="text1"/>
          <w:sz w:val="28"/>
          <w:szCs w:val="28"/>
        </w:rPr>
        <w:t>energia</w:t>
      </w:r>
      <w:r w:rsidRPr="00B72ABE">
        <w:rPr>
          <w:rFonts w:ascii="Garamond" w:hAnsi="Garamond" w:cs="Times New Roman"/>
          <w:color w:val="000000" w:themeColor="text1"/>
          <w:sz w:val="28"/>
          <w:szCs w:val="28"/>
        </w:rPr>
        <w:t xml:space="preserve"> elettrica e il gas, con deliberazione del 6 giugno 2013, in ossequio al menzi</w:t>
      </w:r>
      <w:r>
        <w:rPr>
          <w:rFonts w:ascii="Garamond" w:hAnsi="Garamond" w:cs="Times New Roman"/>
          <w:color w:val="000000" w:themeColor="text1"/>
          <w:sz w:val="28"/>
          <w:szCs w:val="28"/>
        </w:rPr>
        <w:t>onato articolo 1, comma 5, d.m</w:t>
      </w:r>
      <w:r w:rsidRPr="00B72ABE">
        <w:rPr>
          <w:rFonts w:ascii="Garamond" w:hAnsi="Garamond" w:cs="Times New Roman"/>
          <w:color w:val="000000" w:themeColor="text1"/>
          <w:sz w:val="28"/>
          <w:szCs w:val="28"/>
        </w:rPr>
        <w:t>. 5 luglio 2012, ha determinato il raggiungimento del valore di 6,7 miliardi di euro l'anno in data 6 giugno 2013, con conseguente cessazione del regime incent</w:t>
      </w:r>
      <w:r>
        <w:rPr>
          <w:rFonts w:ascii="Garamond" w:hAnsi="Garamond" w:cs="Times New Roman"/>
          <w:color w:val="000000" w:themeColor="text1"/>
          <w:sz w:val="28"/>
          <w:szCs w:val="28"/>
        </w:rPr>
        <w:t>iva</w:t>
      </w:r>
      <w:r w:rsidRPr="00B72ABE">
        <w:rPr>
          <w:rFonts w:ascii="Garamond" w:hAnsi="Garamond" w:cs="Times New Roman"/>
          <w:color w:val="000000" w:themeColor="text1"/>
          <w:sz w:val="28"/>
          <w:szCs w:val="28"/>
        </w:rPr>
        <w:t xml:space="preserve">nte </w:t>
      </w:r>
      <w:r w:rsidRPr="00B72ABE">
        <w:rPr>
          <w:rFonts w:ascii="Garamond" w:hAnsi="Garamond" w:cs="Times New Roman"/>
          <w:i/>
          <w:color w:val="000000" w:themeColor="text1"/>
          <w:sz w:val="28"/>
          <w:szCs w:val="28"/>
        </w:rPr>
        <w:t>de quo</w:t>
      </w:r>
      <w:r w:rsidRPr="00B72ABE">
        <w:rPr>
          <w:rFonts w:ascii="Garamond" w:hAnsi="Garamond" w:cs="Times New Roman"/>
          <w:color w:val="000000" w:themeColor="text1"/>
          <w:sz w:val="28"/>
          <w:szCs w:val="28"/>
        </w:rPr>
        <w:t xml:space="preserve"> in data 6 luglio 2013.</w:t>
      </w:r>
      <w:r>
        <w:rPr>
          <w:rFonts w:ascii="Garamond" w:hAnsi="Garamond" w:cs="Times New Roman"/>
          <w:color w:val="000000" w:themeColor="text1"/>
          <w:sz w:val="28"/>
          <w:szCs w:val="28"/>
        </w:rPr>
        <w:t xml:space="preserve"> (Cons. Stato, sez. IV, n. 1687 del 2022).</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Pr="00A74090" w:rsidRDefault="007B4920" w:rsidP="007B4920">
      <w:pPr>
        <w:spacing w:line="240" w:lineRule="auto"/>
        <w:contextualSpacing/>
        <w:jc w:val="both"/>
        <w:rPr>
          <w:rFonts w:ascii="Garamond" w:hAnsi="Garamond" w:cs="Times New Roman"/>
          <w:color w:val="000000" w:themeColor="text1"/>
          <w:sz w:val="28"/>
          <w:szCs w:val="28"/>
        </w:rPr>
      </w:pPr>
      <w:r>
        <w:rPr>
          <w:rFonts w:ascii="Garamond" w:hAnsi="Garamond" w:cs="Times New Roman"/>
          <w:b/>
          <w:color w:val="000000" w:themeColor="text1"/>
          <w:sz w:val="28"/>
          <w:szCs w:val="28"/>
        </w:rPr>
        <w:t>6.2</w:t>
      </w:r>
      <w:r w:rsidRPr="00F81C93">
        <w:rPr>
          <w:rFonts w:ascii="Garamond" w:hAnsi="Garamond" w:cs="Times New Roman"/>
          <w:b/>
          <w:color w:val="000000" w:themeColor="text1"/>
          <w:sz w:val="28"/>
          <w:szCs w:val="28"/>
        </w:rPr>
        <w:t>. L’aggiornamento delle tariffe</w:t>
      </w:r>
      <w:r>
        <w:rPr>
          <w:rFonts w:ascii="Garamond" w:hAnsi="Garamond" w:cs="Times New Roman"/>
          <w:b/>
          <w:color w:val="000000" w:themeColor="text1"/>
          <w:sz w:val="28"/>
          <w:szCs w:val="28"/>
        </w:rPr>
        <w:t>.</w:t>
      </w:r>
    </w:p>
    <w:p w:rsidR="007B4920" w:rsidRPr="00E679E8"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Nel testo originario del d.m. 28 luglio 2005 (Primo Conto energia) si </w:t>
      </w:r>
      <w:r w:rsidRPr="00E679E8">
        <w:rPr>
          <w:rFonts w:ascii="Garamond" w:hAnsi="Garamond" w:cs="Times New Roman"/>
          <w:color w:val="000000" w:themeColor="text1"/>
          <w:sz w:val="28"/>
          <w:szCs w:val="28"/>
        </w:rPr>
        <w:t xml:space="preserve">è disposto che l’aggiornamento delle tariffe </w:t>
      </w:r>
      <w:r>
        <w:rPr>
          <w:rFonts w:ascii="Garamond" w:hAnsi="Garamond" w:cs="Times New Roman"/>
          <w:color w:val="000000" w:themeColor="text1"/>
          <w:sz w:val="28"/>
          <w:szCs w:val="28"/>
        </w:rPr>
        <w:t>incentivanti</w:t>
      </w:r>
      <w:r w:rsidRPr="00E679E8">
        <w:rPr>
          <w:rFonts w:ascii="Garamond" w:hAnsi="Garamond" w:cs="Times New Roman"/>
          <w:color w:val="000000" w:themeColor="text1"/>
          <w:sz w:val="28"/>
          <w:szCs w:val="28"/>
        </w:rPr>
        <w:t xml:space="preserve"> “</w:t>
      </w:r>
      <w:r w:rsidRPr="00F81C93">
        <w:rPr>
          <w:rFonts w:ascii="Garamond" w:hAnsi="Garamond" w:cs="Times New Roman"/>
          <w:i/>
          <w:color w:val="000000" w:themeColor="text1"/>
          <w:sz w:val="28"/>
          <w:szCs w:val="28"/>
        </w:rPr>
        <w:t>di cui all’art. 5, comma 2, e all’art. 6, commi 2 e 3, viene effettuato a decorrere dal primo gennaio di ogni anno sulla base del tasso di variazione annuo, riferito ai dodici mesi precedenti, dei prezzi al consumo delle famiglie di operai e impiegati rilevati dall’ISTAT</w:t>
      </w:r>
      <w:r w:rsidRPr="00E679E8">
        <w:rPr>
          <w:rFonts w:ascii="Garamond" w:hAnsi="Garamond" w:cs="Times New Roman"/>
          <w:color w:val="000000" w:themeColor="text1"/>
          <w:sz w:val="28"/>
          <w:szCs w:val="28"/>
        </w:rPr>
        <w:t>” (art. 6, comma 6).</w:t>
      </w:r>
    </w:p>
    <w:p w:rsidR="007B4920" w:rsidRPr="00E679E8" w:rsidRDefault="007B4920" w:rsidP="007B4920">
      <w:pPr>
        <w:spacing w:line="240" w:lineRule="auto"/>
        <w:ind w:firstLine="709"/>
        <w:contextualSpacing/>
        <w:jc w:val="both"/>
        <w:rPr>
          <w:rFonts w:ascii="Garamond" w:hAnsi="Garamond" w:cs="Times New Roman"/>
          <w:color w:val="000000" w:themeColor="text1"/>
          <w:sz w:val="28"/>
          <w:szCs w:val="28"/>
        </w:rPr>
      </w:pPr>
      <w:r w:rsidRPr="00E679E8">
        <w:rPr>
          <w:rFonts w:ascii="Garamond" w:hAnsi="Garamond" w:cs="Times New Roman"/>
          <w:color w:val="000000" w:themeColor="text1"/>
          <w:sz w:val="28"/>
          <w:szCs w:val="28"/>
        </w:rPr>
        <w:t xml:space="preserve">L’art. 6, comma 6, è stato sostituito con l’art. 4, comma 1, del successivo </w:t>
      </w:r>
      <w:r>
        <w:rPr>
          <w:rFonts w:ascii="Garamond" w:hAnsi="Garamond" w:cs="Times New Roman"/>
          <w:color w:val="000000" w:themeColor="text1"/>
          <w:sz w:val="28"/>
          <w:szCs w:val="28"/>
        </w:rPr>
        <w:t xml:space="preserve">d.m. </w:t>
      </w:r>
      <w:r w:rsidRPr="00E679E8">
        <w:rPr>
          <w:rFonts w:ascii="Garamond" w:hAnsi="Garamond" w:cs="Times New Roman"/>
          <w:color w:val="000000" w:themeColor="text1"/>
          <w:sz w:val="28"/>
          <w:szCs w:val="28"/>
        </w:rPr>
        <w:t xml:space="preserve"> 6 febbraio 2006, per il quale “</w:t>
      </w:r>
      <w:r w:rsidRPr="00F81C93">
        <w:rPr>
          <w:rFonts w:ascii="Garamond" w:hAnsi="Garamond" w:cs="Times New Roman"/>
          <w:i/>
          <w:color w:val="000000" w:themeColor="text1"/>
          <w:sz w:val="28"/>
          <w:szCs w:val="28"/>
        </w:rPr>
        <w:t xml:space="preserve">L'aggiornamento delle tariffe </w:t>
      </w:r>
      <w:r>
        <w:rPr>
          <w:rFonts w:ascii="Garamond" w:hAnsi="Garamond" w:cs="Times New Roman"/>
          <w:i/>
          <w:color w:val="000000" w:themeColor="text1"/>
          <w:sz w:val="28"/>
          <w:szCs w:val="28"/>
        </w:rPr>
        <w:t>incentivanti</w:t>
      </w:r>
      <w:r w:rsidRPr="00F81C93">
        <w:rPr>
          <w:rFonts w:ascii="Garamond" w:hAnsi="Garamond" w:cs="Times New Roman"/>
          <w:i/>
          <w:color w:val="000000" w:themeColor="text1"/>
          <w:sz w:val="28"/>
          <w:szCs w:val="28"/>
        </w:rPr>
        <w:t xml:space="preserve"> di cui all’art. 5, comma 2, lettera b), all’art. 6, comma 2, lettera b), e all’art. 6, comma 3, lett. b), viene effettuato per ciascuno degli anni successivi al 2006 sulla base del tasso di variazione annuo, riferito ai dodici mesi precedenti, dei prezzi al consumo per le famiglie di operai e impiegati rilevati dall'Istat</w:t>
      </w:r>
      <w:r w:rsidRPr="00E679E8">
        <w:rPr>
          <w:rFonts w:ascii="Garamond" w:hAnsi="Garamond" w:cs="Times New Roman"/>
          <w:color w:val="000000" w:themeColor="text1"/>
          <w:sz w:val="28"/>
          <w:szCs w:val="28"/>
        </w:rPr>
        <w:t>”.</w:t>
      </w:r>
    </w:p>
    <w:p w:rsidR="007B4920" w:rsidRPr="00E679E8" w:rsidRDefault="007B4920" w:rsidP="007B4920">
      <w:pPr>
        <w:spacing w:line="240" w:lineRule="auto"/>
        <w:ind w:firstLine="709"/>
        <w:contextualSpacing/>
        <w:jc w:val="both"/>
        <w:rPr>
          <w:rFonts w:ascii="Garamond" w:hAnsi="Garamond" w:cs="Times New Roman"/>
          <w:color w:val="000000" w:themeColor="text1"/>
          <w:sz w:val="28"/>
          <w:szCs w:val="28"/>
        </w:rPr>
      </w:pPr>
      <w:r w:rsidRPr="00E679E8">
        <w:rPr>
          <w:rFonts w:ascii="Garamond" w:hAnsi="Garamond" w:cs="Times New Roman"/>
          <w:color w:val="000000" w:themeColor="text1"/>
          <w:sz w:val="28"/>
          <w:szCs w:val="28"/>
        </w:rPr>
        <w:t xml:space="preserve">Il medesimo </w:t>
      </w:r>
      <w:r>
        <w:rPr>
          <w:rFonts w:ascii="Garamond" w:hAnsi="Garamond" w:cs="Times New Roman"/>
          <w:color w:val="000000" w:themeColor="text1"/>
          <w:sz w:val="28"/>
          <w:szCs w:val="28"/>
        </w:rPr>
        <w:t xml:space="preserve">d.m. </w:t>
      </w:r>
      <w:r w:rsidRPr="00E679E8">
        <w:rPr>
          <w:rFonts w:ascii="Garamond" w:hAnsi="Garamond" w:cs="Times New Roman"/>
          <w:color w:val="000000" w:themeColor="text1"/>
          <w:sz w:val="28"/>
          <w:szCs w:val="28"/>
        </w:rPr>
        <w:t xml:space="preserve"> 6 febbraio 2006 ha stabilito, con l’art. 8, comma 1, che le modifiche o integrazioni apportate con l’art. 4 e altri articoli al </w:t>
      </w:r>
      <w:r>
        <w:rPr>
          <w:rFonts w:ascii="Garamond" w:hAnsi="Garamond" w:cs="Times New Roman"/>
          <w:color w:val="000000" w:themeColor="text1"/>
          <w:sz w:val="28"/>
          <w:szCs w:val="28"/>
        </w:rPr>
        <w:t xml:space="preserve">d.m. </w:t>
      </w:r>
      <w:r w:rsidRPr="00E679E8">
        <w:rPr>
          <w:rFonts w:ascii="Garamond" w:hAnsi="Garamond" w:cs="Times New Roman"/>
          <w:color w:val="000000" w:themeColor="text1"/>
          <w:sz w:val="28"/>
          <w:szCs w:val="28"/>
        </w:rPr>
        <w:t>del 2005 “</w:t>
      </w:r>
      <w:r w:rsidRPr="00F81C93">
        <w:rPr>
          <w:rFonts w:ascii="Garamond" w:hAnsi="Garamond" w:cs="Times New Roman"/>
          <w:i/>
          <w:color w:val="000000" w:themeColor="text1"/>
          <w:sz w:val="28"/>
          <w:szCs w:val="28"/>
        </w:rPr>
        <w:t xml:space="preserve">si applicano alle domande inoltrate </w:t>
      </w:r>
      <w:r>
        <w:rPr>
          <w:rFonts w:ascii="Garamond" w:hAnsi="Garamond" w:cs="Times New Roman"/>
          <w:i/>
          <w:color w:val="000000" w:themeColor="text1"/>
          <w:sz w:val="28"/>
          <w:szCs w:val="28"/>
        </w:rPr>
        <w:t>successivamente</w:t>
      </w:r>
      <w:r w:rsidRPr="00F81C93">
        <w:rPr>
          <w:rFonts w:ascii="Garamond" w:hAnsi="Garamond" w:cs="Times New Roman"/>
          <w:i/>
          <w:color w:val="000000" w:themeColor="text1"/>
          <w:sz w:val="28"/>
          <w:szCs w:val="28"/>
        </w:rPr>
        <w:t xml:space="preserve"> alla</w:t>
      </w:r>
      <w:r>
        <w:rPr>
          <w:rFonts w:ascii="Garamond" w:hAnsi="Garamond" w:cs="Times New Roman"/>
          <w:i/>
          <w:color w:val="000000" w:themeColor="text1"/>
          <w:sz w:val="28"/>
          <w:szCs w:val="28"/>
        </w:rPr>
        <w:t xml:space="preserve"> data di entrata in vigore del d.m</w:t>
      </w:r>
      <w:r w:rsidRPr="00F81C93">
        <w:rPr>
          <w:rFonts w:ascii="Garamond" w:hAnsi="Garamond" w:cs="Times New Roman"/>
          <w:i/>
          <w:color w:val="000000" w:themeColor="text1"/>
          <w:sz w:val="28"/>
          <w:szCs w:val="28"/>
        </w:rPr>
        <w:t>. del 28 luglio 2005</w:t>
      </w:r>
      <w:r w:rsidRPr="00E679E8">
        <w:rPr>
          <w:rFonts w:ascii="Garamond" w:hAnsi="Garamond" w:cs="Times New Roman"/>
          <w:color w:val="000000" w:themeColor="text1"/>
          <w:sz w:val="28"/>
          <w:szCs w:val="28"/>
        </w:rPr>
        <w:t>”.</w:t>
      </w:r>
    </w:p>
    <w:p w:rsidR="007B4920" w:rsidRPr="00E679E8" w:rsidRDefault="007B4920" w:rsidP="007B4920">
      <w:pPr>
        <w:spacing w:line="240" w:lineRule="auto"/>
        <w:ind w:firstLine="709"/>
        <w:contextualSpacing/>
        <w:jc w:val="both"/>
        <w:rPr>
          <w:rFonts w:ascii="Garamond" w:hAnsi="Garamond" w:cs="Times New Roman"/>
          <w:color w:val="000000" w:themeColor="text1"/>
          <w:sz w:val="28"/>
          <w:szCs w:val="28"/>
        </w:rPr>
      </w:pPr>
      <w:r w:rsidRPr="00E679E8">
        <w:rPr>
          <w:rFonts w:ascii="Garamond" w:hAnsi="Garamond" w:cs="Times New Roman"/>
          <w:color w:val="000000" w:themeColor="text1"/>
          <w:sz w:val="28"/>
          <w:szCs w:val="28"/>
        </w:rPr>
        <w:lastRenderedPageBreak/>
        <w:t>L’Autorità per l’</w:t>
      </w:r>
      <w:r>
        <w:rPr>
          <w:rFonts w:ascii="Garamond" w:hAnsi="Garamond" w:cs="Times New Roman"/>
          <w:color w:val="000000" w:themeColor="text1"/>
          <w:sz w:val="28"/>
          <w:szCs w:val="28"/>
        </w:rPr>
        <w:t>energia</w:t>
      </w:r>
      <w:r w:rsidRPr="00E679E8">
        <w:rPr>
          <w:rFonts w:ascii="Garamond" w:hAnsi="Garamond" w:cs="Times New Roman"/>
          <w:color w:val="000000" w:themeColor="text1"/>
          <w:sz w:val="28"/>
          <w:szCs w:val="28"/>
        </w:rPr>
        <w:t xml:space="preserve"> elettrica e il gas ha ritenuto opportuno apportare alla propria precedente deliberazione n. 188 del 2005, recante le modalità per l’erogazione delle tariffe </w:t>
      </w:r>
      <w:r>
        <w:rPr>
          <w:rFonts w:ascii="Garamond" w:hAnsi="Garamond" w:cs="Times New Roman"/>
          <w:color w:val="000000" w:themeColor="text1"/>
          <w:sz w:val="28"/>
          <w:szCs w:val="28"/>
        </w:rPr>
        <w:t>incentivanti</w:t>
      </w:r>
      <w:r w:rsidRPr="00E679E8">
        <w:rPr>
          <w:rFonts w:ascii="Garamond" w:hAnsi="Garamond" w:cs="Times New Roman"/>
          <w:color w:val="000000" w:themeColor="text1"/>
          <w:sz w:val="28"/>
          <w:szCs w:val="28"/>
        </w:rPr>
        <w:t xml:space="preserve"> degli impianti fotovoltaici, “</w:t>
      </w:r>
      <w:r w:rsidRPr="00156F4A">
        <w:rPr>
          <w:rFonts w:ascii="Garamond" w:hAnsi="Garamond" w:cs="Times New Roman"/>
          <w:i/>
          <w:color w:val="000000" w:themeColor="text1"/>
          <w:sz w:val="28"/>
          <w:szCs w:val="28"/>
        </w:rPr>
        <w:t>le medesime modifiche ed integrazioni di cui al decreto ministeriale 6 febbraio 2006</w:t>
      </w:r>
      <w:r w:rsidRPr="00E679E8">
        <w:rPr>
          <w:rFonts w:ascii="Garamond" w:hAnsi="Garamond" w:cs="Times New Roman"/>
          <w:color w:val="000000" w:themeColor="text1"/>
          <w:sz w:val="28"/>
          <w:szCs w:val="28"/>
        </w:rPr>
        <w:t>”, provvedendovi con la deliberazione n. 40 del 20 febbraio 2006.</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E679E8">
        <w:rPr>
          <w:rFonts w:ascii="Garamond" w:hAnsi="Garamond" w:cs="Times New Roman"/>
          <w:color w:val="000000" w:themeColor="text1"/>
          <w:sz w:val="28"/>
          <w:szCs w:val="28"/>
        </w:rPr>
        <w:t>L’A</w:t>
      </w:r>
      <w:r>
        <w:rPr>
          <w:rFonts w:ascii="Garamond" w:hAnsi="Garamond" w:cs="Times New Roman"/>
          <w:color w:val="000000" w:themeColor="text1"/>
          <w:sz w:val="28"/>
          <w:szCs w:val="28"/>
        </w:rPr>
        <w:t xml:space="preserve">dunanza plenaria </w:t>
      </w:r>
      <w:r w:rsidRPr="00E679E8">
        <w:rPr>
          <w:rFonts w:ascii="Garamond" w:hAnsi="Garamond" w:cs="Times New Roman"/>
          <w:color w:val="000000" w:themeColor="text1"/>
          <w:sz w:val="28"/>
          <w:szCs w:val="28"/>
        </w:rPr>
        <w:t>del Consiglio di Stato, chiamata a pronunciarsi sulla portata di norma di interpretazione autentica ovvero di norma inn</w:t>
      </w:r>
      <w:r>
        <w:rPr>
          <w:rFonts w:ascii="Garamond" w:hAnsi="Garamond" w:cs="Times New Roman"/>
          <w:color w:val="000000" w:themeColor="text1"/>
          <w:sz w:val="28"/>
          <w:szCs w:val="28"/>
        </w:rPr>
        <w:t xml:space="preserve">ovativa dell’art. 4, comma 1, </w:t>
      </w:r>
      <w:r w:rsidRPr="00E679E8">
        <w:rPr>
          <w:rFonts w:ascii="Garamond" w:hAnsi="Garamond" w:cs="Times New Roman"/>
          <w:color w:val="000000" w:themeColor="text1"/>
          <w:sz w:val="28"/>
          <w:szCs w:val="28"/>
        </w:rPr>
        <w:t xml:space="preserve"> d.m. 6 febbraio 2006</w:t>
      </w:r>
      <w:r>
        <w:rPr>
          <w:rFonts w:ascii="Garamond" w:hAnsi="Garamond" w:cs="Times New Roman"/>
          <w:color w:val="000000" w:themeColor="text1"/>
          <w:sz w:val="28"/>
          <w:szCs w:val="28"/>
        </w:rPr>
        <w:t xml:space="preserve">, </w:t>
      </w:r>
      <w:r w:rsidRPr="00E679E8">
        <w:rPr>
          <w:rFonts w:ascii="Garamond" w:hAnsi="Garamond" w:cs="Times New Roman"/>
          <w:color w:val="000000" w:themeColor="text1"/>
          <w:sz w:val="28"/>
          <w:szCs w:val="28"/>
        </w:rPr>
        <w:t xml:space="preserve"> rispetto all’art. 6, comma 6, d.m. 28 luglio 2005, avuto riguardo all’incerta formulazione di tale</w:t>
      </w:r>
      <w:r>
        <w:rPr>
          <w:rFonts w:ascii="Garamond" w:hAnsi="Garamond" w:cs="Times New Roman"/>
          <w:color w:val="000000" w:themeColor="text1"/>
          <w:sz w:val="28"/>
          <w:szCs w:val="28"/>
        </w:rPr>
        <w:t xml:space="preserve"> originaria</w:t>
      </w:r>
      <w:r w:rsidRPr="00E679E8">
        <w:rPr>
          <w:rFonts w:ascii="Garamond" w:hAnsi="Garamond" w:cs="Times New Roman"/>
          <w:color w:val="000000" w:themeColor="text1"/>
          <w:sz w:val="28"/>
          <w:szCs w:val="28"/>
        </w:rPr>
        <w:t xml:space="preserve"> previsione, passi</w:t>
      </w:r>
      <w:r>
        <w:rPr>
          <w:rFonts w:ascii="Garamond" w:hAnsi="Garamond" w:cs="Times New Roman"/>
          <w:color w:val="000000" w:themeColor="text1"/>
          <w:sz w:val="28"/>
          <w:szCs w:val="28"/>
        </w:rPr>
        <w:t>bile di essere riferita sia alle</w:t>
      </w:r>
      <w:r w:rsidRPr="00E679E8">
        <w:rPr>
          <w:rFonts w:ascii="Garamond" w:hAnsi="Garamond" w:cs="Times New Roman"/>
          <w:color w:val="000000" w:themeColor="text1"/>
          <w:sz w:val="28"/>
          <w:szCs w:val="28"/>
        </w:rPr>
        <w:t xml:space="preserve"> tariffe fissate negli anni precedenti, sia,  come ritenuto dall’Autorità, alla determinazione iniziale della tariffa</w:t>
      </w:r>
      <w:r>
        <w:rPr>
          <w:rFonts w:ascii="Garamond" w:hAnsi="Garamond" w:cs="Times New Roman"/>
          <w:color w:val="000000" w:themeColor="text1"/>
          <w:sz w:val="28"/>
          <w:szCs w:val="28"/>
        </w:rPr>
        <w:t xml:space="preserve">, </w:t>
      </w:r>
      <w:r w:rsidRPr="00E679E8">
        <w:rPr>
          <w:rFonts w:ascii="Garamond" w:hAnsi="Garamond" w:cs="Times New Roman"/>
          <w:color w:val="000000" w:themeColor="text1"/>
          <w:sz w:val="28"/>
          <w:szCs w:val="28"/>
        </w:rPr>
        <w:t xml:space="preserve"> ha aderito a questa seconda opzione ermeneutica, ritenendo la norma come di interpretazione autentica; </w:t>
      </w:r>
      <w:r>
        <w:rPr>
          <w:rFonts w:ascii="Garamond" w:hAnsi="Garamond" w:cs="Times New Roman"/>
          <w:color w:val="000000" w:themeColor="text1"/>
          <w:sz w:val="28"/>
          <w:szCs w:val="28"/>
        </w:rPr>
        <w:t xml:space="preserve">ha pertanto ritenuto che </w:t>
      </w:r>
      <w:r w:rsidRPr="00E679E8">
        <w:rPr>
          <w:rFonts w:ascii="Garamond" w:hAnsi="Garamond" w:cs="Times New Roman"/>
          <w:color w:val="000000" w:themeColor="text1"/>
          <w:sz w:val="28"/>
          <w:szCs w:val="28"/>
        </w:rPr>
        <w:t>con il d.m. del 2006 è stata data l’interpretazione autentica del testo del d.m. del 2005, nel momento in cui si è precisato che l’aggiornamento delle tariffe per gli impianti di cui alla lettera b) “viene effettuato per ciascuno degli anni successivi al 2006”, essendo convergente con ciò l’ulteriore previsione, di cui all’art. 8, comma 1, dello stesso d.m.</w:t>
      </w:r>
      <w:r>
        <w:rPr>
          <w:rFonts w:ascii="Garamond" w:hAnsi="Garamond" w:cs="Times New Roman"/>
          <w:color w:val="000000" w:themeColor="text1"/>
          <w:sz w:val="28"/>
          <w:szCs w:val="28"/>
        </w:rPr>
        <w:t xml:space="preserve"> del 2006</w:t>
      </w:r>
      <w:r w:rsidRPr="00E679E8">
        <w:rPr>
          <w:rFonts w:ascii="Garamond" w:hAnsi="Garamond" w:cs="Times New Roman"/>
          <w:color w:val="000000" w:themeColor="text1"/>
          <w:sz w:val="28"/>
          <w:szCs w:val="28"/>
        </w:rPr>
        <w:t xml:space="preserve">, per il quale la suddetta modifica si applica “alle domande inoltrate </w:t>
      </w:r>
      <w:r>
        <w:rPr>
          <w:rFonts w:ascii="Garamond" w:hAnsi="Garamond" w:cs="Times New Roman"/>
          <w:color w:val="000000" w:themeColor="text1"/>
          <w:sz w:val="28"/>
          <w:szCs w:val="28"/>
        </w:rPr>
        <w:t>successivamente</w:t>
      </w:r>
      <w:r w:rsidRPr="00E679E8">
        <w:rPr>
          <w:rFonts w:ascii="Garamond" w:hAnsi="Garamond" w:cs="Times New Roman"/>
          <w:color w:val="000000" w:themeColor="text1"/>
          <w:sz w:val="28"/>
          <w:szCs w:val="28"/>
        </w:rPr>
        <w:t xml:space="preserve"> alla d</w:t>
      </w:r>
      <w:r>
        <w:rPr>
          <w:rFonts w:ascii="Garamond" w:hAnsi="Garamond" w:cs="Times New Roman"/>
          <w:color w:val="000000" w:themeColor="text1"/>
          <w:sz w:val="28"/>
          <w:szCs w:val="28"/>
        </w:rPr>
        <w:t>ata di entrata in vigore del d</w:t>
      </w:r>
      <w:r w:rsidRPr="00E679E8">
        <w:rPr>
          <w:rFonts w:ascii="Garamond" w:hAnsi="Garamond" w:cs="Times New Roman"/>
          <w:color w:val="000000" w:themeColor="text1"/>
          <w:sz w:val="28"/>
          <w:szCs w:val="28"/>
        </w:rPr>
        <w:t>.</w:t>
      </w:r>
      <w:r>
        <w:rPr>
          <w:rFonts w:ascii="Garamond" w:hAnsi="Garamond" w:cs="Times New Roman"/>
          <w:color w:val="000000" w:themeColor="text1"/>
          <w:sz w:val="28"/>
          <w:szCs w:val="28"/>
        </w:rPr>
        <w:t>m.</w:t>
      </w:r>
      <w:r w:rsidRPr="00E679E8">
        <w:rPr>
          <w:rFonts w:ascii="Garamond" w:hAnsi="Garamond" w:cs="Times New Roman"/>
          <w:color w:val="000000" w:themeColor="text1"/>
          <w:sz w:val="28"/>
          <w:szCs w:val="28"/>
        </w:rPr>
        <w:t xml:space="preserve"> 28 luglio 2005”. Tale soluzione </w:t>
      </w:r>
      <w:r>
        <w:rPr>
          <w:rFonts w:ascii="Garamond" w:hAnsi="Garamond" w:cs="Times New Roman"/>
          <w:color w:val="000000" w:themeColor="text1"/>
          <w:sz w:val="28"/>
          <w:szCs w:val="28"/>
        </w:rPr>
        <w:t xml:space="preserve">peraltro </w:t>
      </w:r>
      <w:r w:rsidRPr="00E679E8">
        <w:rPr>
          <w:rFonts w:ascii="Garamond" w:hAnsi="Garamond" w:cs="Times New Roman"/>
          <w:color w:val="000000" w:themeColor="text1"/>
          <w:sz w:val="28"/>
          <w:szCs w:val="28"/>
        </w:rPr>
        <w:t xml:space="preserve">è la più favorevole per gli operatori tra quelle consentite dall’art. 7 del </w:t>
      </w:r>
      <w:r>
        <w:rPr>
          <w:rFonts w:ascii="Garamond" w:hAnsi="Garamond" w:cs="Times New Roman"/>
          <w:color w:val="000000" w:themeColor="text1"/>
          <w:sz w:val="28"/>
          <w:szCs w:val="28"/>
        </w:rPr>
        <w:t>d.l.gs</w:t>
      </w:r>
      <w:r w:rsidRPr="00E679E8">
        <w:rPr>
          <w:rFonts w:ascii="Garamond" w:hAnsi="Garamond" w:cs="Times New Roman"/>
          <w:color w:val="000000" w:themeColor="text1"/>
          <w:sz w:val="28"/>
          <w:szCs w:val="28"/>
        </w:rPr>
        <w:t xml:space="preserve"> n. 387</w:t>
      </w:r>
      <w:r>
        <w:rPr>
          <w:rFonts w:ascii="Garamond" w:hAnsi="Garamond" w:cs="Times New Roman"/>
          <w:color w:val="000000" w:themeColor="text1"/>
          <w:sz w:val="28"/>
          <w:szCs w:val="28"/>
        </w:rPr>
        <w:t xml:space="preserve"> del 2003</w:t>
      </w:r>
      <w:r w:rsidRPr="00E679E8">
        <w:rPr>
          <w:rFonts w:ascii="Garamond" w:hAnsi="Garamond" w:cs="Times New Roman"/>
          <w:color w:val="000000" w:themeColor="text1"/>
          <w:sz w:val="28"/>
          <w:szCs w:val="28"/>
        </w:rPr>
        <w:t>: il vincolo del carattere decrescente della tariffa viene infatti assicurato mantenendola fissa a livello nominale e lasciandola decrescente solo in termini reali</w:t>
      </w:r>
      <w:r>
        <w:rPr>
          <w:rFonts w:ascii="Garamond" w:hAnsi="Garamond" w:cs="Times New Roman"/>
          <w:color w:val="000000" w:themeColor="text1"/>
          <w:sz w:val="28"/>
          <w:szCs w:val="28"/>
        </w:rPr>
        <w:t xml:space="preserve">. </w:t>
      </w:r>
      <w:r w:rsidRPr="009535A0">
        <w:t xml:space="preserve"> </w:t>
      </w:r>
      <w:r w:rsidRPr="009535A0">
        <w:rPr>
          <w:rFonts w:ascii="Garamond" w:hAnsi="Garamond" w:cs="Times New Roman"/>
          <w:color w:val="000000" w:themeColor="text1"/>
          <w:sz w:val="28"/>
          <w:szCs w:val="28"/>
        </w:rPr>
        <w:t>La natura meramente interpretat</w:t>
      </w:r>
      <w:r>
        <w:rPr>
          <w:rFonts w:ascii="Garamond" w:hAnsi="Garamond" w:cs="Times New Roman"/>
          <w:color w:val="000000" w:themeColor="text1"/>
          <w:sz w:val="28"/>
          <w:szCs w:val="28"/>
        </w:rPr>
        <w:t>iva</w:t>
      </w:r>
      <w:r w:rsidRPr="009535A0">
        <w:rPr>
          <w:rFonts w:ascii="Garamond" w:hAnsi="Garamond" w:cs="Times New Roman"/>
          <w:color w:val="000000" w:themeColor="text1"/>
          <w:sz w:val="28"/>
          <w:szCs w:val="28"/>
        </w:rPr>
        <w:t xml:space="preserve"> e non innovat</w:t>
      </w:r>
      <w:r>
        <w:rPr>
          <w:rFonts w:ascii="Garamond" w:hAnsi="Garamond" w:cs="Times New Roman"/>
          <w:color w:val="000000" w:themeColor="text1"/>
          <w:sz w:val="28"/>
          <w:szCs w:val="28"/>
        </w:rPr>
        <w:t>iva</w:t>
      </w:r>
      <w:r w:rsidRPr="009535A0">
        <w:rPr>
          <w:rFonts w:ascii="Garamond" w:hAnsi="Garamond" w:cs="Times New Roman"/>
          <w:color w:val="000000" w:themeColor="text1"/>
          <w:sz w:val="28"/>
          <w:szCs w:val="28"/>
        </w:rPr>
        <w:t xml:space="preserve"> del d.m. del 2006 porta pertanto ad escludere la violazione del principio di retroattività</w:t>
      </w:r>
      <w:r>
        <w:rPr>
          <w:rFonts w:ascii="Garamond" w:hAnsi="Garamond" w:cs="Times New Roman"/>
          <w:color w:val="000000" w:themeColor="text1"/>
          <w:sz w:val="28"/>
          <w:szCs w:val="28"/>
        </w:rPr>
        <w:t xml:space="preserve"> (Ad. p</w:t>
      </w:r>
      <w:r w:rsidRPr="00E679E8">
        <w:rPr>
          <w:rFonts w:ascii="Garamond" w:hAnsi="Garamond" w:cs="Times New Roman"/>
          <w:color w:val="000000" w:themeColor="text1"/>
          <w:sz w:val="28"/>
          <w:szCs w:val="28"/>
        </w:rPr>
        <w:t>len. n. 9</w:t>
      </w:r>
      <w:r>
        <w:rPr>
          <w:rFonts w:ascii="Garamond" w:hAnsi="Garamond" w:cs="Times New Roman"/>
          <w:color w:val="000000" w:themeColor="text1"/>
          <w:sz w:val="28"/>
          <w:szCs w:val="28"/>
        </w:rPr>
        <w:t xml:space="preserve"> del 2012; con l’indicata sentenza </w:t>
      </w:r>
      <w:r w:rsidRPr="00E679E8">
        <w:rPr>
          <w:rFonts w:ascii="Garamond" w:hAnsi="Garamond" w:cs="Times New Roman"/>
          <w:color w:val="000000" w:themeColor="text1"/>
          <w:sz w:val="28"/>
          <w:szCs w:val="28"/>
        </w:rPr>
        <w:t xml:space="preserve">si è altresì pronunciata </w:t>
      </w:r>
      <w:r>
        <w:rPr>
          <w:rFonts w:ascii="Garamond" w:hAnsi="Garamond" w:cs="Times New Roman"/>
          <w:color w:val="000000" w:themeColor="text1"/>
          <w:sz w:val="28"/>
          <w:szCs w:val="28"/>
        </w:rPr>
        <w:t xml:space="preserve">sull’irrilevanza </w:t>
      </w:r>
      <w:r w:rsidRPr="00E679E8">
        <w:rPr>
          <w:rFonts w:ascii="Garamond" w:hAnsi="Garamond" w:cs="Times New Roman"/>
          <w:color w:val="000000" w:themeColor="text1"/>
          <w:sz w:val="28"/>
          <w:szCs w:val="28"/>
        </w:rPr>
        <w:t xml:space="preserve">del mancato rispetto della procedura prescritta per i regolamenti </w:t>
      </w:r>
      <w:r>
        <w:rPr>
          <w:rFonts w:ascii="Garamond" w:hAnsi="Garamond" w:cs="Times New Roman"/>
          <w:color w:val="000000" w:themeColor="text1"/>
          <w:sz w:val="28"/>
          <w:szCs w:val="28"/>
        </w:rPr>
        <w:t xml:space="preserve">ministeriali dall’art. 17 l. </w:t>
      </w:r>
      <w:r w:rsidRPr="00E679E8">
        <w:rPr>
          <w:rFonts w:ascii="Garamond" w:hAnsi="Garamond" w:cs="Times New Roman"/>
          <w:color w:val="000000" w:themeColor="text1"/>
          <w:sz w:val="28"/>
          <w:szCs w:val="28"/>
        </w:rPr>
        <w:t>n. 400 del 1988 in sede di adozione del d.m. 6 febbraio 2006 per non essere stata suddetta procedura seguita nemmeno in sede di adozione del precedente d.m. 28 luglio 2005, ovvero della fonte stessa del diritto alla tariffa incent</w:t>
      </w:r>
      <w:r>
        <w:rPr>
          <w:rFonts w:ascii="Garamond" w:hAnsi="Garamond" w:cs="Times New Roman"/>
          <w:color w:val="000000" w:themeColor="text1"/>
          <w:sz w:val="28"/>
          <w:szCs w:val="28"/>
        </w:rPr>
        <w:t>iva</w:t>
      </w:r>
      <w:r w:rsidRPr="00E679E8">
        <w:rPr>
          <w:rFonts w:ascii="Garamond" w:hAnsi="Garamond" w:cs="Times New Roman"/>
          <w:color w:val="000000" w:themeColor="text1"/>
          <w:sz w:val="28"/>
          <w:szCs w:val="28"/>
        </w:rPr>
        <w:t>nte di cui si lamentava il mancato aggiornamento</w:t>
      </w:r>
      <w:r>
        <w:rPr>
          <w:rFonts w:ascii="Garamond" w:hAnsi="Garamond" w:cs="Times New Roman"/>
          <w:color w:val="000000" w:themeColor="text1"/>
          <w:sz w:val="28"/>
          <w:szCs w:val="28"/>
        </w:rPr>
        <w:t>)</w:t>
      </w:r>
      <w:r w:rsidRPr="00E679E8">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Pr="00FA3F1C"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6.3. Il Quarto C</w:t>
      </w:r>
      <w:r w:rsidRPr="00A811B3">
        <w:rPr>
          <w:rFonts w:ascii="Garamond" w:hAnsi="Garamond" w:cs="Times New Roman"/>
          <w:b/>
          <w:color w:val="000000" w:themeColor="text1"/>
          <w:sz w:val="28"/>
          <w:szCs w:val="28"/>
        </w:rPr>
        <w:t xml:space="preserve">onto </w:t>
      </w:r>
      <w:r>
        <w:rPr>
          <w:rFonts w:ascii="Garamond" w:hAnsi="Garamond" w:cs="Times New Roman"/>
          <w:b/>
          <w:color w:val="000000" w:themeColor="text1"/>
          <w:sz w:val="28"/>
          <w:szCs w:val="28"/>
        </w:rPr>
        <w:t>energia</w:t>
      </w:r>
      <w:r w:rsidRPr="00A811B3">
        <w:rPr>
          <w:rFonts w:ascii="Garamond" w:hAnsi="Garamond" w:cs="Times New Roman"/>
          <w:b/>
          <w:color w:val="000000" w:themeColor="text1"/>
          <w:sz w:val="28"/>
          <w:szCs w:val="28"/>
        </w:rPr>
        <w:t>. La disciplina transitoria</w:t>
      </w:r>
      <w:r>
        <w:rPr>
          <w:rFonts w:ascii="Garamond" w:hAnsi="Garamond" w:cs="Times New Roman"/>
          <w:b/>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A811B3">
        <w:rPr>
          <w:rFonts w:ascii="Garamond" w:hAnsi="Garamond" w:cs="Times New Roman"/>
          <w:color w:val="000000" w:themeColor="text1"/>
          <w:sz w:val="28"/>
          <w:szCs w:val="28"/>
        </w:rPr>
        <w:t xml:space="preserve">Il </w:t>
      </w:r>
      <w:r>
        <w:rPr>
          <w:rFonts w:ascii="Garamond" w:hAnsi="Garamond" w:cs="Times New Roman"/>
          <w:bCs/>
          <w:color w:val="000000" w:themeColor="text1"/>
          <w:sz w:val="28"/>
          <w:szCs w:val="28"/>
        </w:rPr>
        <w:t>Quarto Conto energia (d.m.</w:t>
      </w:r>
      <w:r w:rsidRPr="00A811B3">
        <w:rPr>
          <w:rFonts w:ascii="Garamond" w:hAnsi="Garamond" w:cs="Times New Roman"/>
          <w:bCs/>
          <w:color w:val="000000" w:themeColor="text1"/>
          <w:sz w:val="28"/>
          <w:szCs w:val="28"/>
        </w:rPr>
        <w:t xml:space="preserve"> 5 maggio 2011) </w:t>
      </w:r>
      <w:r w:rsidRPr="00A811B3">
        <w:rPr>
          <w:rFonts w:ascii="Garamond" w:hAnsi="Garamond" w:cs="Times New Roman"/>
          <w:color w:val="000000" w:themeColor="text1"/>
          <w:sz w:val="28"/>
          <w:szCs w:val="28"/>
        </w:rPr>
        <w:t>è stato adottato in attuazione</w:t>
      </w:r>
      <w:r>
        <w:rPr>
          <w:rFonts w:ascii="Garamond" w:hAnsi="Garamond" w:cs="Times New Roman"/>
          <w:color w:val="000000" w:themeColor="text1"/>
          <w:sz w:val="28"/>
          <w:szCs w:val="28"/>
        </w:rPr>
        <w:t xml:space="preserve"> dell’art. 25</w:t>
      </w:r>
      <w:r>
        <w:rPr>
          <w:rFonts w:ascii="Garamond" w:hAnsi="Garamond" w:cs="Times New Roman"/>
          <w:bCs/>
          <w:color w:val="000000" w:themeColor="text1"/>
          <w:sz w:val="28"/>
          <w:szCs w:val="28"/>
        </w:rPr>
        <w:t xml:space="preserve"> d.lgs. 28 del 2011</w:t>
      </w:r>
      <w:r w:rsidRPr="00A811B3">
        <w:rPr>
          <w:rFonts w:ascii="Garamond" w:hAnsi="Garamond" w:cs="Times New Roman"/>
          <w:color w:val="000000" w:themeColor="text1"/>
          <w:sz w:val="28"/>
          <w:szCs w:val="28"/>
        </w:rPr>
        <w:t>, recante attuazione della</w:t>
      </w:r>
      <w:r>
        <w:rPr>
          <w:rFonts w:ascii="Garamond" w:hAnsi="Garamond" w:cs="Times New Roman"/>
          <w:color w:val="000000" w:themeColor="text1"/>
          <w:sz w:val="28"/>
          <w:szCs w:val="28"/>
        </w:rPr>
        <w:t xml:space="preserve"> direttiva</w:t>
      </w:r>
      <w:r w:rsidRPr="00A811B3">
        <w:rPr>
          <w:rFonts w:ascii="Garamond" w:hAnsi="Garamond" w:cs="Times New Roman"/>
          <w:color w:val="000000" w:themeColor="text1"/>
          <w:sz w:val="28"/>
          <w:szCs w:val="28"/>
        </w:rPr>
        <w:t xml:space="preserve"> 2009/28/CE sulla promozione dell'uso de</w:t>
      </w:r>
      <w:r>
        <w:rPr>
          <w:rFonts w:ascii="Garamond" w:hAnsi="Garamond" w:cs="Times New Roman"/>
          <w:color w:val="000000" w:themeColor="text1"/>
          <w:sz w:val="28"/>
          <w:szCs w:val="28"/>
        </w:rPr>
        <w:t xml:space="preserve">ll'energia da fonti rinnovabili, il quale </w:t>
      </w:r>
      <w:r w:rsidRPr="00A811B3">
        <w:rPr>
          <w:rFonts w:ascii="Garamond" w:hAnsi="Garamond" w:cs="Times New Roman"/>
          <w:color w:val="000000" w:themeColor="text1"/>
          <w:sz w:val="28"/>
          <w:szCs w:val="28"/>
        </w:rPr>
        <w:t>h</w:t>
      </w:r>
      <w:r>
        <w:rPr>
          <w:rFonts w:ascii="Garamond" w:hAnsi="Garamond" w:cs="Times New Roman"/>
          <w:color w:val="000000" w:themeColor="text1"/>
          <w:sz w:val="28"/>
          <w:szCs w:val="28"/>
        </w:rPr>
        <w:t>a inciso sull’applicazione del Terzo C</w:t>
      </w:r>
      <w:r w:rsidRPr="00A811B3">
        <w:rPr>
          <w:rFonts w:ascii="Garamond" w:hAnsi="Garamond" w:cs="Times New Roman"/>
          <w:color w:val="000000" w:themeColor="text1"/>
          <w:sz w:val="28"/>
          <w:szCs w:val="28"/>
        </w:rPr>
        <w:t xml:space="preserve">onto </w:t>
      </w:r>
      <w:r>
        <w:rPr>
          <w:rFonts w:ascii="Garamond" w:hAnsi="Garamond" w:cs="Times New Roman"/>
          <w:color w:val="000000" w:themeColor="text1"/>
          <w:sz w:val="28"/>
          <w:szCs w:val="28"/>
        </w:rPr>
        <w:t xml:space="preserve">energia </w:t>
      </w:r>
      <w:r w:rsidRPr="00A811B3">
        <w:rPr>
          <w:rFonts w:ascii="Garamond" w:hAnsi="Garamond" w:cs="Times New Roman"/>
          <w:color w:val="000000" w:themeColor="text1"/>
          <w:sz w:val="28"/>
          <w:szCs w:val="28"/>
        </w:rPr>
        <w:t xml:space="preserve">ed ha </w:t>
      </w:r>
      <w:r>
        <w:rPr>
          <w:rFonts w:ascii="Garamond" w:hAnsi="Garamond" w:cs="Times New Roman"/>
          <w:color w:val="000000" w:themeColor="text1"/>
          <w:sz w:val="28"/>
          <w:szCs w:val="28"/>
        </w:rPr>
        <w:t>posto le basi normative per il Q</w:t>
      </w:r>
      <w:r w:rsidRPr="00A811B3">
        <w:rPr>
          <w:rFonts w:ascii="Garamond" w:hAnsi="Garamond" w:cs="Times New Roman"/>
          <w:color w:val="000000" w:themeColor="text1"/>
          <w:sz w:val="28"/>
          <w:szCs w:val="28"/>
        </w:rPr>
        <w:t>u</w:t>
      </w:r>
      <w:r>
        <w:rPr>
          <w:rFonts w:ascii="Garamond" w:hAnsi="Garamond" w:cs="Times New Roman"/>
          <w:color w:val="000000" w:themeColor="text1"/>
          <w:sz w:val="28"/>
          <w:szCs w:val="28"/>
        </w:rPr>
        <w:t xml:space="preserve">arto Conto energia. </w:t>
      </w:r>
    </w:p>
    <w:p w:rsidR="007B4920" w:rsidRPr="00A811B3"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In</w:t>
      </w:r>
      <w:r w:rsidRPr="00A811B3">
        <w:rPr>
          <w:rFonts w:ascii="Garamond" w:hAnsi="Garamond" w:cs="Times New Roman"/>
          <w:color w:val="000000" w:themeColor="text1"/>
          <w:sz w:val="28"/>
          <w:szCs w:val="28"/>
        </w:rPr>
        <w:t>fatti tale norma:</w:t>
      </w:r>
    </w:p>
    <w:p w:rsidR="007B4920" w:rsidRPr="00A811B3" w:rsidRDefault="007B4920" w:rsidP="007B4920">
      <w:pPr>
        <w:spacing w:line="240" w:lineRule="auto"/>
        <w:ind w:firstLine="709"/>
        <w:contextualSpacing/>
        <w:jc w:val="both"/>
        <w:rPr>
          <w:rFonts w:ascii="Garamond" w:hAnsi="Garamond" w:cs="Times New Roman"/>
          <w:color w:val="000000" w:themeColor="text1"/>
          <w:sz w:val="28"/>
          <w:szCs w:val="28"/>
        </w:rPr>
      </w:pPr>
      <w:r w:rsidRPr="00A811B3">
        <w:rPr>
          <w:rFonts w:ascii="Garamond" w:hAnsi="Garamond" w:cs="Times New Roman"/>
          <w:color w:val="000000" w:themeColor="text1"/>
          <w:sz w:val="28"/>
          <w:szCs w:val="28"/>
        </w:rPr>
        <w:t>a) da un lato, ha anticipato al</w:t>
      </w:r>
      <w:r>
        <w:rPr>
          <w:rFonts w:ascii="Garamond" w:hAnsi="Garamond" w:cs="Times New Roman"/>
          <w:color w:val="000000" w:themeColor="text1"/>
          <w:sz w:val="28"/>
          <w:szCs w:val="28"/>
        </w:rPr>
        <w:t xml:space="preserve"> 31 maggio 2011 il termine del t</w:t>
      </w:r>
      <w:r w:rsidRPr="00A811B3">
        <w:rPr>
          <w:rFonts w:ascii="Garamond" w:hAnsi="Garamond" w:cs="Times New Roman"/>
          <w:color w:val="000000" w:themeColor="text1"/>
          <w:sz w:val="28"/>
          <w:szCs w:val="28"/>
        </w:rPr>
        <w:t xml:space="preserve">erzo conto </w:t>
      </w:r>
      <w:r>
        <w:rPr>
          <w:rFonts w:ascii="Garamond" w:hAnsi="Garamond" w:cs="Times New Roman"/>
          <w:color w:val="000000" w:themeColor="text1"/>
          <w:sz w:val="28"/>
          <w:szCs w:val="28"/>
        </w:rPr>
        <w:t>energia</w:t>
      </w:r>
      <w:r w:rsidRPr="00A811B3">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w:t>
      </w:r>
      <w:r w:rsidRPr="00A811B3">
        <w:rPr>
          <w:rFonts w:ascii="Garamond" w:hAnsi="Garamond" w:cs="Times New Roman"/>
          <w:color w:val="000000" w:themeColor="text1"/>
          <w:sz w:val="28"/>
          <w:szCs w:val="28"/>
        </w:rPr>
        <w:t>inizialmente previsto nel 31 dicembre 2013;</w:t>
      </w:r>
    </w:p>
    <w:p w:rsidR="007B4920" w:rsidRPr="00A811B3" w:rsidRDefault="007B4920" w:rsidP="007B4920">
      <w:pPr>
        <w:spacing w:line="240" w:lineRule="auto"/>
        <w:ind w:firstLine="709"/>
        <w:contextualSpacing/>
        <w:jc w:val="both"/>
        <w:rPr>
          <w:rFonts w:ascii="Garamond" w:hAnsi="Garamond" w:cs="Times New Roman"/>
          <w:color w:val="000000" w:themeColor="text1"/>
          <w:sz w:val="28"/>
          <w:szCs w:val="28"/>
        </w:rPr>
      </w:pPr>
      <w:r w:rsidRPr="00A811B3">
        <w:rPr>
          <w:rFonts w:ascii="Garamond" w:hAnsi="Garamond" w:cs="Times New Roman"/>
          <w:color w:val="000000" w:themeColor="text1"/>
          <w:sz w:val="28"/>
          <w:szCs w:val="28"/>
        </w:rPr>
        <w:t>b) dall’altro lato, ha rimesso ad un decreto del Ministro dello sviluppo economico</w:t>
      </w:r>
      <w:r>
        <w:rPr>
          <w:rFonts w:ascii="Garamond" w:hAnsi="Garamond" w:cs="Times New Roman"/>
          <w:color w:val="000000" w:themeColor="text1"/>
          <w:sz w:val="28"/>
          <w:szCs w:val="28"/>
        </w:rPr>
        <w:t xml:space="preserve"> </w:t>
      </w:r>
      <w:r w:rsidRPr="00A811B3">
        <w:rPr>
          <w:rFonts w:ascii="Garamond" w:hAnsi="Garamond" w:cs="Times New Roman"/>
          <w:color w:val="000000" w:themeColor="text1"/>
          <w:sz w:val="28"/>
          <w:szCs w:val="28"/>
        </w:rPr>
        <w:t xml:space="preserve">la definizione della nuova disciplina </w:t>
      </w:r>
      <w:r>
        <w:rPr>
          <w:rFonts w:ascii="Garamond" w:hAnsi="Garamond" w:cs="Times New Roman"/>
          <w:color w:val="000000" w:themeColor="text1"/>
          <w:sz w:val="28"/>
          <w:szCs w:val="28"/>
        </w:rPr>
        <w:t>relativa</w:t>
      </w:r>
      <w:r w:rsidRPr="00A811B3">
        <w:rPr>
          <w:rFonts w:ascii="Garamond" w:hAnsi="Garamond" w:cs="Times New Roman"/>
          <w:color w:val="000000" w:themeColor="text1"/>
          <w:sz w:val="28"/>
          <w:szCs w:val="28"/>
        </w:rPr>
        <w:t xml:space="preserve"> all’</w:t>
      </w:r>
      <w:r>
        <w:rPr>
          <w:rFonts w:ascii="Garamond" w:hAnsi="Garamond" w:cs="Times New Roman"/>
          <w:color w:val="000000" w:themeColor="text1"/>
          <w:sz w:val="28"/>
          <w:szCs w:val="28"/>
        </w:rPr>
        <w:t>incentivazione</w:t>
      </w:r>
      <w:r w:rsidRPr="00A811B3">
        <w:rPr>
          <w:rFonts w:ascii="Garamond" w:hAnsi="Garamond" w:cs="Times New Roman"/>
          <w:color w:val="000000" w:themeColor="text1"/>
          <w:sz w:val="28"/>
          <w:szCs w:val="28"/>
        </w:rPr>
        <w:t xml:space="preserve"> degli impianti che</w:t>
      </w:r>
      <w:r>
        <w:rPr>
          <w:rFonts w:ascii="Garamond" w:hAnsi="Garamond" w:cs="Times New Roman"/>
          <w:color w:val="000000" w:themeColor="text1"/>
          <w:sz w:val="28"/>
          <w:szCs w:val="28"/>
        </w:rPr>
        <w:t xml:space="preserve"> </w:t>
      </w:r>
      <w:r w:rsidRPr="00A811B3">
        <w:rPr>
          <w:rFonts w:ascii="Garamond" w:hAnsi="Garamond" w:cs="Times New Roman"/>
          <w:color w:val="000000" w:themeColor="text1"/>
          <w:sz w:val="28"/>
          <w:szCs w:val="28"/>
        </w:rPr>
        <w:t>entreranno in esercizio oltre il 31 maggio 2011.</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Il d.m.</w:t>
      </w:r>
      <w:r w:rsidRPr="00A811B3">
        <w:rPr>
          <w:rFonts w:ascii="Garamond" w:hAnsi="Garamond" w:cs="Times New Roman"/>
          <w:color w:val="000000" w:themeColor="text1"/>
          <w:sz w:val="28"/>
          <w:szCs w:val="28"/>
        </w:rPr>
        <w:t xml:space="preserve"> 5 maggio 2011 prevede una nuova disciplina delle modalità di</w:t>
      </w:r>
      <w:r>
        <w:rPr>
          <w:rFonts w:ascii="Garamond" w:hAnsi="Garamond" w:cs="Times New Roman"/>
          <w:color w:val="000000" w:themeColor="text1"/>
          <w:sz w:val="28"/>
          <w:szCs w:val="28"/>
        </w:rPr>
        <w:t xml:space="preserve"> incentivazione</w:t>
      </w:r>
      <w:r w:rsidRPr="00A811B3">
        <w:rPr>
          <w:rFonts w:ascii="Garamond" w:hAnsi="Garamond" w:cs="Times New Roman"/>
          <w:color w:val="000000" w:themeColor="text1"/>
          <w:sz w:val="28"/>
          <w:szCs w:val="28"/>
        </w:rPr>
        <w:t xml:space="preserve"> della produzione di </w:t>
      </w:r>
      <w:r>
        <w:rPr>
          <w:rFonts w:ascii="Garamond" w:hAnsi="Garamond" w:cs="Times New Roman"/>
          <w:color w:val="000000" w:themeColor="text1"/>
          <w:sz w:val="28"/>
          <w:szCs w:val="28"/>
        </w:rPr>
        <w:t>energia</w:t>
      </w:r>
      <w:r w:rsidRPr="00A811B3">
        <w:rPr>
          <w:rFonts w:ascii="Garamond" w:hAnsi="Garamond" w:cs="Times New Roman"/>
          <w:color w:val="000000" w:themeColor="text1"/>
          <w:sz w:val="28"/>
          <w:szCs w:val="28"/>
        </w:rPr>
        <w:t xml:space="preserve"> elettrica da impianti fotovoltaici e pone</w:t>
      </w:r>
      <w:r>
        <w:rPr>
          <w:rFonts w:ascii="Garamond" w:hAnsi="Garamond" w:cs="Times New Roman"/>
          <w:color w:val="000000" w:themeColor="text1"/>
          <w:sz w:val="28"/>
          <w:szCs w:val="28"/>
        </w:rPr>
        <w:t xml:space="preserve"> </w:t>
      </w:r>
      <w:r w:rsidRPr="00A811B3">
        <w:rPr>
          <w:rFonts w:ascii="Garamond" w:hAnsi="Garamond" w:cs="Times New Roman"/>
          <w:color w:val="000000" w:themeColor="text1"/>
          <w:sz w:val="28"/>
          <w:szCs w:val="28"/>
        </w:rPr>
        <w:t xml:space="preserve">le basi per lo sviluppo di tecnologie innovative per la conversione fotovoltaica.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A811B3">
        <w:rPr>
          <w:rFonts w:ascii="Garamond" w:hAnsi="Garamond" w:cs="Times New Roman"/>
          <w:color w:val="000000" w:themeColor="text1"/>
          <w:sz w:val="28"/>
          <w:szCs w:val="28"/>
        </w:rPr>
        <w:t>Il</w:t>
      </w:r>
      <w:r>
        <w:rPr>
          <w:rFonts w:ascii="Garamond" w:hAnsi="Garamond" w:cs="Times New Roman"/>
          <w:color w:val="000000" w:themeColor="text1"/>
          <w:sz w:val="28"/>
          <w:szCs w:val="28"/>
        </w:rPr>
        <w:t xml:space="preserve"> </w:t>
      </w:r>
      <w:r w:rsidRPr="00A811B3">
        <w:rPr>
          <w:rFonts w:ascii="Garamond" w:hAnsi="Garamond" w:cs="Times New Roman"/>
          <w:color w:val="000000" w:themeColor="text1"/>
          <w:sz w:val="28"/>
          <w:szCs w:val="28"/>
        </w:rPr>
        <w:t>nuovo regime</w:t>
      </w:r>
      <w:r>
        <w:rPr>
          <w:rFonts w:ascii="Garamond" w:hAnsi="Garamond" w:cs="Times New Roman"/>
          <w:color w:val="000000" w:themeColor="text1"/>
          <w:sz w:val="28"/>
          <w:szCs w:val="28"/>
        </w:rPr>
        <w:t xml:space="preserve"> di incentivazione si applica(va) agli impianti fotovoltaici entrati</w:t>
      </w:r>
      <w:r w:rsidRPr="00A811B3">
        <w:rPr>
          <w:rFonts w:ascii="Garamond" w:hAnsi="Garamond" w:cs="Times New Roman"/>
          <w:color w:val="000000" w:themeColor="text1"/>
          <w:sz w:val="28"/>
          <w:szCs w:val="28"/>
        </w:rPr>
        <w:t xml:space="preserve"> in esercizio tra il 31 maggio 2011 e il 31 dicembre 2016.</w:t>
      </w:r>
    </w:p>
    <w:p w:rsidR="007B4920" w:rsidRDefault="007B4920" w:rsidP="007B4920">
      <w:pPr>
        <w:spacing w:line="240" w:lineRule="auto"/>
        <w:ind w:firstLine="709"/>
        <w:contextualSpacing/>
        <w:jc w:val="both"/>
      </w:pPr>
      <w:r w:rsidRPr="00A84949">
        <w:rPr>
          <w:rFonts w:ascii="Garamond" w:hAnsi="Garamond" w:cs="Times New Roman"/>
          <w:color w:val="000000" w:themeColor="text1"/>
          <w:sz w:val="28"/>
          <w:szCs w:val="28"/>
        </w:rPr>
        <w:lastRenderedPageBreak/>
        <w:t>L’obiettivo indicativo di potenza installata a livello nazionale è di circa 23.000MW con un costo indicativo cumulato annuo degli incentivi stimabile tra 6 e 7 miliardi di euro (articolo 1).</w:t>
      </w:r>
      <w:r w:rsidRPr="00A84949">
        <w:t xml:space="preserve"> </w:t>
      </w:r>
    </w:p>
    <w:p w:rsidR="007B4920" w:rsidRPr="00A84949" w:rsidRDefault="007B4920" w:rsidP="007B4920">
      <w:pPr>
        <w:spacing w:line="240" w:lineRule="auto"/>
        <w:ind w:firstLine="709"/>
        <w:contextualSpacing/>
        <w:jc w:val="both"/>
        <w:rPr>
          <w:rFonts w:ascii="Garamond" w:hAnsi="Garamond" w:cs="Times New Roman"/>
          <w:color w:val="000000" w:themeColor="text1"/>
          <w:sz w:val="28"/>
          <w:szCs w:val="28"/>
        </w:rPr>
      </w:pPr>
      <w:r w:rsidRPr="00A84949">
        <w:rPr>
          <w:rFonts w:ascii="Garamond" w:hAnsi="Garamond" w:cs="Times New Roman"/>
          <w:color w:val="000000" w:themeColor="text1"/>
          <w:sz w:val="28"/>
          <w:szCs w:val="28"/>
        </w:rPr>
        <w:t>L’articolo 4 prevede tre tipologie di impianti: impianti solari fotovoltaici, distinti in piccoli impianti e grandi impianti, gli impianti fotovoltaici integrati con caratteristiche innovative e gli impianti a concentrazione.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A84949">
        <w:rPr>
          <w:rFonts w:ascii="Garamond" w:hAnsi="Garamond" w:cs="Times New Roman"/>
          <w:color w:val="000000" w:themeColor="text1"/>
          <w:sz w:val="28"/>
          <w:szCs w:val="28"/>
        </w:rPr>
        <w:t>Le diverse classi, assieme alla potenza, alla tipologia e al momento di entrata in esercizio determinano l’ammontare della tariffa incent</w:t>
      </w:r>
      <w:r>
        <w:rPr>
          <w:rFonts w:ascii="Garamond" w:hAnsi="Garamond" w:cs="Times New Roman"/>
          <w:color w:val="000000" w:themeColor="text1"/>
          <w:sz w:val="28"/>
          <w:szCs w:val="28"/>
        </w:rPr>
        <w:t>iva</w:t>
      </w:r>
      <w:r w:rsidRPr="00A84949">
        <w:rPr>
          <w:rFonts w:ascii="Garamond" w:hAnsi="Garamond" w:cs="Times New Roman"/>
          <w:color w:val="000000" w:themeColor="text1"/>
          <w:sz w:val="28"/>
          <w:szCs w:val="28"/>
        </w:rPr>
        <w:t>nte, secondo le regole definite dall’allegato 5. la tariffa incent</w:t>
      </w:r>
      <w:r>
        <w:rPr>
          <w:rFonts w:ascii="Garamond" w:hAnsi="Garamond" w:cs="Times New Roman"/>
          <w:color w:val="000000" w:themeColor="text1"/>
          <w:sz w:val="28"/>
          <w:szCs w:val="28"/>
        </w:rPr>
        <w:t>iva</w:t>
      </w:r>
      <w:r w:rsidRPr="00A84949">
        <w:rPr>
          <w:rFonts w:ascii="Garamond" w:hAnsi="Garamond" w:cs="Times New Roman"/>
          <w:color w:val="000000" w:themeColor="text1"/>
          <w:sz w:val="28"/>
          <w:szCs w:val="28"/>
        </w:rPr>
        <w:t xml:space="preserve">nte è riconosciuta per un periodo di venti anni a decorrere dalla data di entrata in esercizio dell'impianto. Ai fini dell'attribuzione delle tariffe </w:t>
      </w:r>
      <w:r>
        <w:rPr>
          <w:rFonts w:ascii="Garamond" w:hAnsi="Garamond" w:cs="Times New Roman"/>
          <w:color w:val="000000" w:themeColor="text1"/>
          <w:sz w:val="28"/>
          <w:szCs w:val="28"/>
        </w:rPr>
        <w:t>incentivanti</w:t>
      </w:r>
      <w:r w:rsidRPr="00A84949">
        <w:rPr>
          <w:rFonts w:ascii="Garamond" w:hAnsi="Garamond" w:cs="Times New Roman"/>
          <w:color w:val="000000" w:themeColor="text1"/>
          <w:sz w:val="28"/>
          <w:szCs w:val="28"/>
        </w:rPr>
        <w:t xml:space="preserve">, più impianti fotovoltaici realizzati dal medesimo soggetto responsabile o riconducibili a un unico soggetto responsabile e localizzati nella medesima particella catastale o su particelle catastali contigue si intendono come unico impianto di potenza </w:t>
      </w:r>
      <w:r>
        <w:rPr>
          <w:rFonts w:ascii="Garamond" w:hAnsi="Garamond" w:cs="Times New Roman"/>
          <w:color w:val="000000" w:themeColor="text1"/>
          <w:sz w:val="28"/>
          <w:szCs w:val="28"/>
        </w:rPr>
        <w:t>cumulativa</w:t>
      </w:r>
      <w:r w:rsidRPr="00A84949">
        <w:rPr>
          <w:rFonts w:ascii="Garamond" w:hAnsi="Garamond" w:cs="Times New Roman"/>
          <w:color w:val="000000" w:themeColor="text1"/>
          <w:sz w:val="28"/>
          <w:szCs w:val="28"/>
        </w:rPr>
        <w:t xml:space="preserve"> pari alla somma dei singoli impianti.</w:t>
      </w:r>
    </w:p>
    <w:p w:rsidR="007B4920" w:rsidRPr="00D257F9"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L’art. </w:t>
      </w:r>
      <w:r w:rsidRPr="00D257F9">
        <w:rPr>
          <w:rFonts w:ascii="Garamond" w:hAnsi="Garamond" w:cs="Times New Roman"/>
          <w:color w:val="000000" w:themeColor="text1"/>
          <w:sz w:val="28"/>
          <w:szCs w:val="28"/>
        </w:rPr>
        <w:t>6 del d.m. del 2011,</w:t>
      </w:r>
      <w:r>
        <w:rPr>
          <w:rFonts w:ascii="Garamond" w:hAnsi="Garamond" w:cs="Times New Roman"/>
          <w:color w:val="000000" w:themeColor="text1"/>
          <w:sz w:val="28"/>
          <w:szCs w:val="28"/>
        </w:rPr>
        <w:t xml:space="preserve"> ai primi quattro commi prevede:</w:t>
      </w:r>
    </w:p>
    <w:p w:rsidR="007B4920" w:rsidRPr="00D257F9" w:rsidRDefault="007B4920" w:rsidP="007B4920">
      <w:pPr>
        <w:spacing w:line="240" w:lineRule="auto"/>
        <w:ind w:firstLine="709"/>
        <w:contextualSpacing/>
        <w:jc w:val="both"/>
        <w:rPr>
          <w:rFonts w:ascii="Garamond" w:hAnsi="Garamond" w:cs="Times New Roman"/>
          <w:i/>
          <w:color w:val="000000" w:themeColor="text1"/>
          <w:sz w:val="28"/>
          <w:szCs w:val="28"/>
        </w:rPr>
      </w:pPr>
      <w:r w:rsidRPr="00D257F9">
        <w:rPr>
          <w:rFonts w:ascii="Garamond" w:hAnsi="Garamond" w:cs="Times New Roman"/>
          <w:color w:val="000000" w:themeColor="text1"/>
          <w:sz w:val="28"/>
          <w:szCs w:val="28"/>
        </w:rPr>
        <w:t>“</w:t>
      </w:r>
      <w:r w:rsidRPr="00D257F9">
        <w:rPr>
          <w:rFonts w:ascii="Garamond" w:hAnsi="Garamond" w:cs="Times New Roman"/>
          <w:i/>
          <w:color w:val="000000" w:themeColor="text1"/>
          <w:sz w:val="28"/>
          <w:szCs w:val="28"/>
        </w:rPr>
        <w:t xml:space="preserve">1. Gli impianti accedono alle tariffe </w:t>
      </w:r>
      <w:r>
        <w:rPr>
          <w:rFonts w:ascii="Garamond" w:hAnsi="Garamond" w:cs="Times New Roman"/>
          <w:i/>
          <w:color w:val="000000" w:themeColor="text1"/>
          <w:sz w:val="28"/>
          <w:szCs w:val="28"/>
        </w:rPr>
        <w:t>incentivanti</w:t>
      </w:r>
      <w:r w:rsidRPr="00D257F9">
        <w:rPr>
          <w:rFonts w:ascii="Garamond" w:hAnsi="Garamond" w:cs="Times New Roman"/>
          <w:i/>
          <w:color w:val="000000" w:themeColor="text1"/>
          <w:sz w:val="28"/>
          <w:szCs w:val="28"/>
        </w:rPr>
        <w:t xml:space="preserve"> con le modalità e nel rispetto delle condizioni fissate dal presente decreto.</w:t>
      </w:r>
    </w:p>
    <w:p w:rsidR="007B4920" w:rsidRPr="00D257F9" w:rsidRDefault="007B4920" w:rsidP="007B4920">
      <w:pPr>
        <w:spacing w:line="240" w:lineRule="auto"/>
        <w:ind w:firstLine="709"/>
        <w:contextualSpacing/>
        <w:jc w:val="both"/>
        <w:rPr>
          <w:rFonts w:ascii="Garamond" w:hAnsi="Garamond" w:cs="Times New Roman"/>
          <w:i/>
          <w:color w:val="000000" w:themeColor="text1"/>
          <w:sz w:val="28"/>
          <w:szCs w:val="28"/>
        </w:rPr>
      </w:pPr>
      <w:r w:rsidRPr="00D257F9">
        <w:rPr>
          <w:rFonts w:ascii="Garamond" w:hAnsi="Garamond" w:cs="Times New Roman"/>
          <w:i/>
          <w:color w:val="000000" w:themeColor="text1"/>
          <w:sz w:val="28"/>
          <w:szCs w:val="28"/>
        </w:rPr>
        <w:t xml:space="preserve">2. I grandi impianti che entrano in esercizio entro il 31 agosto 2011 accedono direttamente alle tariffe </w:t>
      </w:r>
      <w:r>
        <w:rPr>
          <w:rFonts w:ascii="Garamond" w:hAnsi="Garamond" w:cs="Times New Roman"/>
          <w:i/>
          <w:color w:val="000000" w:themeColor="text1"/>
          <w:sz w:val="28"/>
          <w:szCs w:val="28"/>
        </w:rPr>
        <w:t>incentivanti</w:t>
      </w:r>
      <w:r w:rsidRPr="00D257F9">
        <w:rPr>
          <w:rFonts w:ascii="Garamond" w:hAnsi="Garamond" w:cs="Times New Roman"/>
          <w:i/>
          <w:color w:val="000000" w:themeColor="text1"/>
          <w:sz w:val="28"/>
          <w:szCs w:val="28"/>
        </w:rPr>
        <w:t>, fatto salvo l'onere di comunicazione al Gse dell'avvenuta entrata in esercizio entro 15 giorni solari dalla stessa.</w:t>
      </w:r>
    </w:p>
    <w:p w:rsidR="007B4920" w:rsidRPr="00D257F9" w:rsidRDefault="007B4920" w:rsidP="007B4920">
      <w:pPr>
        <w:spacing w:line="240" w:lineRule="auto"/>
        <w:ind w:firstLine="709"/>
        <w:contextualSpacing/>
        <w:jc w:val="both"/>
        <w:rPr>
          <w:rFonts w:ascii="Garamond" w:hAnsi="Garamond" w:cs="Times New Roman"/>
          <w:i/>
          <w:color w:val="000000" w:themeColor="text1"/>
          <w:sz w:val="28"/>
          <w:szCs w:val="28"/>
        </w:rPr>
      </w:pPr>
      <w:r w:rsidRPr="00D257F9">
        <w:rPr>
          <w:rFonts w:ascii="Garamond" w:hAnsi="Garamond" w:cs="Times New Roman"/>
          <w:i/>
          <w:color w:val="000000" w:themeColor="text1"/>
          <w:sz w:val="28"/>
          <w:szCs w:val="28"/>
        </w:rPr>
        <w:t>3. Per gli anni 2011 e 2012 i grandi impianti che non ricadono tra quelli di cu</w:t>
      </w:r>
      <w:r>
        <w:rPr>
          <w:rFonts w:ascii="Garamond" w:hAnsi="Garamond" w:cs="Times New Roman"/>
          <w:i/>
          <w:color w:val="000000" w:themeColor="text1"/>
          <w:sz w:val="28"/>
          <w:szCs w:val="28"/>
        </w:rPr>
        <w:t xml:space="preserve">i </w:t>
      </w:r>
      <w:r w:rsidRPr="00D257F9">
        <w:rPr>
          <w:rFonts w:ascii="Garamond" w:hAnsi="Garamond" w:cs="Times New Roman"/>
          <w:i/>
          <w:color w:val="000000" w:themeColor="text1"/>
          <w:sz w:val="28"/>
          <w:szCs w:val="28"/>
        </w:rPr>
        <w:t xml:space="preserve">al comma 2 accedono alle tariffe </w:t>
      </w:r>
      <w:r>
        <w:rPr>
          <w:rFonts w:ascii="Garamond" w:hAnsi="Garamond" w:cs="Times New Roman"/>
          <w:i/>
          <w:color w:val="000000" w:themeColor="text1"/>
          <w:sz w:val="28"/>
          <w:szCs w:val="28"/>
        </w:rPr>
        <w:t>incentivanti</w:t>
      </w:r>
      <w:r w:rsidRPr="00D257F9">
        <w:rPr>
          <w:rFonts w:ascii="Garamond" w:hAnsi="Garamond" w:cs="Times New Roman"/>
          <w:i/>
          <w:color w:val="000000" w:themeColor="text1"/>
          <w:sz w:val="28"/>
          <w:szCs w:val="28"/>
        </w:rPr>
        <w:t xml:space="preserve"> qualora ricorrano entrambe le</w:t>
      </w:r>
      <w:r>
        <w:rPr>
          <w:rFonts w:ascii="Garamond" w:hAnsi="Garamond" w:cs="Times New Roman"/>
          <w:i/>
          <w:color w:val="000000" w:themeColor="text1"/>
          <w:sz w:val="28"/>
          <w:szCs w:val="28"/>
        </w:rPr>
        <w:t xml:space="preserve"> </w:t>
      </w:r>
      <w:r w:rsidRPr="00D257F9">
        <w:rPr>
          <w:rFonts w:ascii="Garamond" w:hAnsi="Garamond" w:cs="Times New Roman"/>
          <w:i/>
          <w:color w:val="000000" w:themeColor="text1"/>
          <w:sz w:val="28"/>
          <w:szCs w:val="28"/>
        </w:rPr>
        <w:t>seguenti ulteriori condizioni:</w:t>
      </w:r>
    </w:p>
    <w:p w:rsidR="007B4920" w:rsidRPr="00D257F9" w:rsidRDefault="007B4920" w:rsidP="007B4920">
      <w:pPr>
        <w:spacing w:line="240" w:lineRule="auto"/>
        <w:ind w:firstLine="709"/>
        <w:contextualSpacing/>
        <w:jc w:val="both"/>
        <w:rPr>
          <w:rFonts w:ascii="Garamond" w:hAnsi="Garamond" w:cs="Times New Roman"/>
          <w:i/>
          <w:color w:val="000000" w:themeColor="text1"/>
          <w:sz w:val="28"/>
          <w:szCs w:val="28"/>
        </w:rPr>
      </w:pPr>
      <w:r w:rsidRPr="00D257F9">
        <w:rPr>
          <w:rFonts w:ascii="Garamond" w:hAnsi="Garamond" w:cs="Times New Roman"/>
          <w:i/>
          <w:color w:val="000000" w:themeColor="text1"/>
          <w:sz w:val="28"/>
          <w:szCs w:val="28"/>
        </w:rPr>
        <w:t xml:space="preserve">a) l'impianto è stato iscritto nel registro di cui all'art. 8, in posizione tale </w:t>
      </w:r>
      <w:r w:rsidRPr="00E10109">
        <w:rPr>
          <w:rFonts w:ascii="Garamond" w:hAnsi="Garamond" w:cs="Times New Roman"/>
          <w:i/>
          <w:color w:val="000000" w:themeColor="text1"/>
          <w:sz w:val="28"/>
          <w:szCs w:val="28"/>
        </w:rPr>
        <w:t>da</w:t>
      </w:r>
      <w:r>
        <w:rPr>
          <w:rFonts w:ascii="Garamond" w:hAnsi="Garamond" w:cs="Times New Roman"/>
          <w:color w:val="000000" w:themeColor="text1"/>
          <w:sz w:val="28"/>
          <w:szCs w:val="28"/>
        </w:rPr>
        <w:t xml:space="preserve"> </w:t>
      </w:r>
      <w:r w:rsidRPr="00D257F9">
        <w:rPr>
          <w:rFonts w:ascii="Garamond" w:hAnsi="Garamond" w:cs="Times New Roman"/>
          <w:i/>
          <w:color w:val="000000" w:themeColor="text1"/>
          <w:sz w:val="28"/>
          <w:szCs w:val="28"/>
        </w:rPr>
        <w:t>rientrare nei limiti specifici di costo definiti per ciascuno dei periodi di riferimento di cui all'art. 4, comma 2. A tal fine, il limite di costo per il 2011 è inclusivo dei costi connessi all'</w:t>
      </w:r>
      <w:r>
        <w:rPr>
          <w:rFonts w:ascii="Garamond" w:hAnsi="Garamond" w:cs="Times New Roman"/>
          <w:i/>
          <w:color w:val="000000" w:themeColor="text1"/>
          <w:sz w:val="28"/>
          <w:szCs w:val="28"/>
        </w:rPr>
        <w:t>incentivazione</w:t>
      </w:r>
      <w:r w:rsidRPr="00D257F9">
        <w:rPr>
          <w:rFonts w:ascii="Garamond" w:hAnsi="Garamond" w:cs="Times New Roman"/>
          <w:i/>
          <w:color w:val="000000" w:themeColor="text1"/>
          <w:sz w:val="28"/>
          <w:szCs w:val="28"/>
        </w:rPr>
        <w:t xml:space="preserve"> dei grandi impianti entrati</w:t>
      </w:r>
      <w:r w:rsidRPr="00D257F9">
        <w:rPr>
          <w:rFonts w:ascii="Garamond" w:hAnsi="Garamond" w:cs="Times New Roman"/>
          <w:color w:val="000000" w:themeColor="text1"/>
          <w:sz w:val="28"/>
          <w:szCs w:val="28"/>
        </w:rPr>
        <w:t xml:space="preserve"> in</w:t>
      </w:r>
      <w:r>
        <w:rPr>
          <w:rFonts w:ascii="Garamond" w:hAnsi="Garamond" w:cs="Times New Roman"/>
          <w:color w:val="000000" w:themeColor="text1"/>
          <w:sz w:val="28"/>
          <w:szCs w:val="28"/>
        </w:rPr>
        <w:t xml:space="preserve"> </w:t>
      </w:r>
      <w:r w:rsidRPr="00D257F9">
        <w:rPr>
          <w:rFonts w:ascii="Garamond" w:hAnsi="Garamond" w:cs="Times New Roman"/>
          <w:i/>
          <w:color w:val="000000" w:themeColor="text1"/>
          <w:sz w:val="28"/>
          <w:szCs w:val="28"/>
        </w:rPr>
        <w:t>esercizio entro il 31 agosto 2011</w:t>
      </w:r>
      <w:r w:rsidRPr="00D257F9">
        <w:rPr>
          <w:rFonts w:ascii="Garamond" w:hAnsi="Garamond" w:cs="Times New Roman"/>
          <w:color w:val="000000" w:themeColor="text1"/>
          <w:sz w:val="28"/>
          <w:szCs w:val="28"/>
        </w:rPr>
        <w:t xml:space="preserve">. </w:t>
      </w:r>
      <w:r w:rsidRPr="00D257F9">
        <w:rPr>
          <w:rFonts w:ascii="Garamond" w:hAnsi="Garamond" w:cs="Times New Roman"/>
          <w:i/>
          <w:color w:val="000000" w:themeColor="text1"/>
          <w:sz w:val="28"/>
          <w:szCs w:val="28"/>
        </w:rPr>
        <w:t xml:space="preserve">Qualora l'insieme dei costi di </w:t>
      </w:r>
      <w:r>
        <w:rPr>
          <w:rFonts w:ascii="Garamond" w:hAnsi="Garamond" w:cs="Times New Roman"/>
          <w:i/>
          <w:color w:val="000000" w:themeColor="text1"/>
          <w:sz w:val="28"/>
          <w:szCs w:val="28"/>
        </w:rPr>
        <w:t>incentivazione</w:t>
      </w:r>
      <w:r w:rsidRPr="00D257F9">
        <w:rPr>
          <w:rFonts w:ascii="Garamond" w:hAnsi="Garamond" w:cs="Times New Roman"/>
          <w:i/>
          <w:color w:val="000000" w:themeColor="text1"/>
          <w:sz w:val="28"/>
          <w:szCs w:val="28"/>
        </w:rPr>
        <w:t xml:space="preserve"> per i grandi impianti entrati in esercizio entro il 31 agosto 2011 e degli iscritti nel registro di cui all'art. 8 per l'anno 2011</w:t>
      </w:r>
      <w:r w:rsidRPr="00D257F9">
        <w:rPr>
          <w:rFonts w:ascii="Garamond" w:hAnsi="Garamond" w:cs="Times New Roman"/>
          <w:color w:val="000000" w:themeColor="text1"/>
          <w:sz w:val="28"/>
          <w:szCs w:val="28"/>
        </w:rPr>
        <w:t xml:space="preserve"> </w:t>
      </w:r>
      <w:r w:rsidRPr="00D257F9">
        <w:rPr>
          <w:rFonts w:ascii="Garamond" w:hAnsi="Garamond" w:cs="Times New Roman"/>
          <w:i/>
          <w:color w:val="000000" w:themeColor="text1"/>
          <w:sz w:val="28"/>
          <w:szCs w:val="28"/>
        </w:rPr>
        <w:t>determini il superamento del limite di costo previsto per lo stesso periodo, l'eccedenza comporta una riduzione di</w:t>
      </w:r>
      <w:r>
        <w:rPr>
          <w:rFonts w:ascii="Garamond" w:hAnsi="Garamond" w:cs="Times New Roman"/>
          <w:i/>
          <w:color w:val="000000" w:themeColor="text1"/>
          <w:sz w:val="28"/>
          <w:szCs w:val="28"/>
        </w:rPr>
        <w:t xml:space="preserve"> </w:t>
      </w:r>
      <w:r w:rsidRPr="00D257F9">
        <w:rPr>
          <w:rFonts w:ascii="Garamond" w:hAnsi="Garamond" w:cs="Times New Roman"/>
          <w:i/>
          <w:color w:val="000000" w:themeColor="text1"/>
          <w:sz w:val="28"/>
          <w:szCs w:val="28"/>
        </w:rPr>
        <w:t>pari importo del limite di costo relativo al secondo semestre 2012;</w:t>
      </w:r>
    </w:p>
    <w:p w:rsidR="007B4920" w:rsidRPr="00D257F9" w:rsidRDefault="007B4920" w:rsidP="007B4920">
      <w:pPr>
        <w:spacing w:line="240" w:lineRule="auto"/>
        <w:ind w:firstLine="709"/>
        <w:contextualSpacing/>
        <w:jc w:val="both"/>
        <w:rPr>
          <w:rFonts w:ascii="Garamond" w:hAnsi="Garamond" w:cs="Times New Roman"/>
          <w:color w:val="000000" w:themeColor="text1"/>
          <w:sz w:val="28"/>
          <w:szCs w:val="28"/>
        </w:rPr>
      </w:pPr>
      <w:r w:rsidRPr="00D257F9">
        <w:rPr>
          <w:rFonts w:ascii="Garamond" w:hAnsi="Garamond" w:cs="Times New Roman"/>
          <w:color w:val="000000" w:themeColor="text1"/>
          <w:sz w:val="28"/>
          <w:szCs w:val="28"/>
        </w:rPr>
        <w:t>b</w:t>
      </w:r>
      <w:r w:rsidRPr="00D257F9">
        <w:rPr>
          <w:rFonts w:ascii="Garamond" w:hAnsi="Garamond" w:cs="Times New Roman"/>
          <w:i/>
          <w:color w:val="000000" w:themeColor="text1"/>
          <w:sz w:val="28"/>
          <w:szCs w:val="28"/>
        </w:rPr>
        <w:t>) la certificazione di fine lavo</w:t>
      </w:r>
      <w:r>
        <w:rPr>
          <w:rFonts w:ascii="Garamond" w:hAnsi="Garamond" w:cs="Times New Roman"/>
          <w:i/>
          <w:color w:val="000000" w:themeColor="text1"/>
          <w:sz w:val="28"/>
          <w:szCs w:val="28"/>
        </w:rPr>
        <w:t>ri dell'impianto perviene al GSE</w:t>
      </w:r>
      <w:r w:rsidRPr="00D257F9">
        <w:rPr>
          <w:rFonts w:ascii="Garamond" w:hAnsi="Garamond" w:cs="Times New Roman"/>
          <w:i/>
          <w:color w:val="000000" w:themeColor="text1"/>
          <w:sz w:val="28"/>
          <w:szCs w:val="28"/>
        </w:rPr>
        <w:t xml:space="preserve"> entro sette mesi dalla data di pubblicazione della graduatoria di cui all'art. 8, comma 3; il predetto termine è incrementato a nove mesi per gli impianti</w:t>
      </w:r>
      <w:r w:rsidRPr="00D257F9">
        <w:rPr>
          <w:rFonts w:ascii="Garamond" w:hAnsi="Garamond" w:cs="Times New Roman"/>
          <w:color w:val="000000" w:themeColor="text1"/>
          <w:sz w:val="28"/>
          <w:szCs w:val="28"/>
        </w:rPr>
        <w:t xml:space="preserve"> </w:t>
      </w:r>
      <w:r w:rsidRPr="00D257F9">
        <w:rPr>
          <w:rFonts w:ascii="Garamond" w:hAnsi="Garamond" w:cs="Times New Roman"/>
          <w:i/>
          <w:color w:val="000000" w:themeColor="text1"/>
          <w:sz w:val="28"/>
          <w:szCs w:val="28"/>
        </w:rPr>
        <w:t>di potenza superiore a 1 MW</w:t>
      </w:r>
      <w:r w:rsidRPr="00D257F9">
        <w:rPr>
          <w:rFonts w:ascii="Garamond" w:hAnsi="Garamond" w:cs="Times New Roman"/>
          <w:color w:val="000000" w:themeColor="text1"/>
          <w:sz w:val="28"/>
          <w:szCs w:val="28"/>
        </w:rPr>
        <w:t>.</w:t>
      </w:r>
    </w:p>
    <w:p w:rsidR="007B4920" w:rsidRPr="00D257F9" w:rsidRDefault="007B4920" w:rsidP="007B4920">
      <w:pPr>
        <w:spacing w:line="240" w:lineRule="auto"/>
        <w:ind w:firstLine="709"/>
        <w:contextualSpacing/>
        <w:jc w:val="both"/>
        <w:rPr>
          <w:rFonts w:ascii="Garamond" w:hAnsi="Garamond" w:cs="Times New Roman"/>
          <w:color w:val="000000" w:themeColor="text1"/>
          <w:sz w:val="28"/>
          <w:szCs w:val="28"/>
        </w:rPr>
      </w:pPr>
      <w:r w:rsidRPr="00D257F9">
        <w:rPr>
          <w:rFonts w:ascii="Garamond" w:hAnsi="Garamond" w:cs="Times New Roman"/>
          <w:i/>
          <w:color w:val="000000" w:themeColor="text1"/>
          <w:sz w:val="28"/>
          <w:szCs w:val="28"/>
        </w:rPr>
        <w:t>4. In tutti i casi la tariffa incent</w:t>
      </w:r>
      <w:r>
        <w:rPr>
          <w:rFonts w:ascii="Garamond" w:hAnsi="Garamond" w:cs="Times New Roman"/>
          <w:i/>
          <w:color w:val="000000" w:themeColor="text1"/>
          <w:sz w:val="28"/>
          <w:szCs w:val="28"/>
        </w:rPr>
        <w:t>iva</w:t>
      </w:r>
      <w:r w:rsidRPr="00D257F9">
        <w:rPr>
          <w:rFonts w:ascii="Garamond" w:hAnsi="Garamond" w:cs="Times New Roman"/>
          <w:i/>
          <w:color w:val="000000" w:themeColor="text1"/>
          <w:sz w:val="28"/>
          <w:szCs w:val="28"/>
        </w:rPr>
        <w:t>nte spettante è quella vigente alla data</w:t>
      </w:r>
      <w:r w:rsidRPr="00D257F9">
        <w:rPr>
          <w:rFonts w:ascii="Garamond" w:hAnsi="Garamond" w:cs="Times New Roman"/>
          <w:color w:val="000000" w:themeColor="text1"/>
          <w:sz w:val="28"/>
          <w:szCs w:val="28"/>
        </w:rPr>
        <w:t xml:space="preserve"> </w:t>
      </w:r>
      <w:r w:rsidRPr="003D725E">
        <w:rPr>
          <w:rFonts w:ascii="Garamond" w:hAnsi="Garamond" w:cs="Times New Roman"/>
          <w:i/>
          <w:color w:val="000000" w:themeColor="text1"/>
          <w:sz w:val="28"/>
          <w:szCs w:val="28"/>
        </w:rPr>
        <w:t>di entrata in esercizio dell'impianto</w:t>
      </w:r>
      <w:r>
        <w:rPr>
          <w:rFonts w:ascii="Garamond" w:hAnsi="Garamond" w:cs="Times New Roman"/>
          <w:color w:val="000000" w:themeColor="text1"/>
          <w:sz w:val="28"/>
          <w:szCs w:val="28"/>
        </w:rPr>
        <w:t>.”.</w:t>
      </w:r>
    </w:p>
    <w:p w:rsidR="007B4920" w:rsidRPr="00D257F9"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D257F9">
        <w:rPr>
          <w:rFonts w:ascii="Garamond" w:hAnsi="Garamond" w:cs="Times New Roman"/>
          <w:color w:val="000000" w:themeColor="text1"/>
          <w:sz w:val="28"/>
          <w:szCs w:val="28"/>
        </w:rPr>
        <w:t>’art. 10, comma 1, dello stesso d.m.</w:t>
      </w:r>
      <w:r>
        <w:rPr>
          <w:rFonts w:ascii="Garamond" w:hAnsi="Garamond" w:cs="Times New Roman"/>
          <w:color w:val="000000" w:themeColor="text1"/>
          <w:sz w:val="28"/>
          <w:szCs w:val="28"/>
        </w:rPr>
        <w:t xml:space="preserve"> prevede</w:t>
      </w:r>
      <w:r w:rsidRPr="00D257F9">
        <w:rPr>
          <w:rFonts w:ascii="Garamond" w:hAnsi="Garamond" w:cs="Times New Roman"/>
          <w:color w:val="000000" w:themeColor="text1"/>
          <w:sz w:val="28"/>
          <w:szCs w:val="28"/>
        </w:rPr>
        <w:t>:</w:t>
      </w:r>
    </w:p>
    <w:p w:rsidR="007B4920" w:rsidRPr="00A811B3" w:rsidRDefault="007B4920" w:rsidP="007B4920">
      <w:pPr>
        <w:spacing w:line="240" w:lineRule="auto"/>
        <w:ind w:firstLine="709"/>
        <w:contextualSpacing/>
        <w:jc w:val="both"/>
        <w:rPr>
          <w:rFonts w:ascii="Garamond" w:hAnsi="Garamond" w:cs="Times New Roman"/>
          <w:color w:val="000000" w:themeColor="text1"/>
          <w:sz w:val="28"/>
          <w:szCs w:val="28"/>
        </w:rPr>
      </w:pPr>
      <w:r w:rsidRPr="00D257F9">
        <w:rPr>
          <w:rFonts w:ascii="Garamond" w:hAnsi="Garamond" w:cs="Times New Roman"/>
          <w:color w:val="000000" w:themeColor="text1"/>
          <w:sz w:val="28"/>
          <w:szCs w:val="28"/>
        </w:rPr>
        <w:t>“</w:t>
      </w:r>
      <w:r w:rsidRPr="00D257F9">
        <w:rPr>
          <w:rFonts w:ascii="Garamond" w:hAnsi="Garamond" w:cs="Times New Roman"/>
          <w:i/>
          <w:color w:val="000000" w:themeColor="text1"/>
          <w:sz w:val="28"/>
          <w:szCs w:val="28"/>
        </w:rPr>
        <w:t>1. Entro quindici giorni solari dalla data di entrata in esercizio dell'impianto,</w:t>
      </w:r>
      <w:r>
        <w:rPr>
          <w:rFonts w:ascii="Garamond" w:hAnsi="Garamond" w:cs="Times New Roman"/>
          <w:i/>
          <w:color w:val="000000" w:themeColor="text1"/>
          <w:sz w:val="28"/>
          <w:szCs w:val="28"/>
        </w:rPr>
        <w:t xml:space="preserve"> </w:t>
      </w:r>
      <w:r w:rsidRPr="00D257F9">
        <w:rPr>
          <w:rFonts w:ascii="Garamond" w:hAnsi="Garamond" w:cs="Times New Roman"/>
          <w:i/>
          <w:color w:val="000000" w:themeColor="text1"/>
          <w:sz w:val="28"/>
          <w:szCs w:val="28"/>
        </w:rPr>
        <w:t>il soggetto responsabile è tenuto a far pervenire al GSE la richiesta</w:t>
      </w:r>
      <w:r w:rsidRPr="00D257F9">
        <w:rPr>
          <w:rFonts w:ascii="Garamond" w:hAnsi="Garamond" w:cs="Times New Roman"/>
          <w:color w:val="000000" w:themeColor="text1"/>
          <w:sz w:val="28"/>
          <w:szCs w:val="28"/>
        </w:rPr>
        <w:t xml:space="preserve"> </w:t>
      </w:r>
      <w:r w:rsidRPr="00D97B64">
        <w:rPr>
          <w:rFonts w:ascii="Garamond" w:hAnsi="Garamond" w:cs="Times New Roman"/>
          <w:i/>
          <w:color w:val="000000" w:themeColor="text1"/>
          <w:sz w:val="28"/>
          <w:szCs w:val="28"/>
        </w:rPr>
        <w:t>d</w:t>
      </w:r>
      <w:r w:rsidRPr="00D257F9">
        <w:rPr>
          <w:rFonts w:ascii="Garamond" w:hAnsi="Garamond" w:cs="Times New Roman"/>
          <w:i/>
          <w:color w:val="000000" w:themeColor="text1"/>
          <w:sz w:val="28"/>
          <w:szCs w:val="28"/>
        </w:rPr>
        <w:t>i concessione della pertinente tariffa incent</w:t>
      </w:r>
      <w:r>
        <w:rPr>
          <w:rFonts w:ascii="Garamond" w:hAnsi="Garamond" w:cs="Times New Roman"/>
          <w:i/>
          <w:color w:val="000000" w:themeColor="text1"/>
          <w:sz w:val="28"/>
          <w:szCs w:val="28"/>
        </w:rPr>
        <w:t>iva</w:t>
      </w:r>
      <w:r w:rsidRPr="00D257F9">
        <w:rPr>
          <w:rFonts w:ascii="Garamond" w:hAnsi="Garamond" w:cs="Times New Roman"/>
          <w:i/>
          <w:color w:val="000000" w:themeColor="text1"/>
          <w:sz w:val="28"/>
          <w:szCs w:val="28"/>
        </w:rPr>
        <w:t>nte, completa di tutta la documentazione prevista dall'allegato 3-C. Il mancato rispetto dei termini</w:t>
      </w:r>
      <w:r w:rsidRPr="00D257F9">
        <w:rPr>
          <w:rFonts w:ascii="Garamond" w:hAnsi="Garamond" w:cs="Times New Roman"/>
          <w:color w:val="000000" w:themeColor="text1"/>
          <w:sz w:val="28"/>
          <w:szCs w:val="28"/>
        </w:rPr>
        <w:t xml:space="preserve"> </w:t>
      </w:r>
      <w:r w:rsidRPr="00D257F9">
        <w:rPr>
          <w:rFonts w:ascii="Garamond" w:hAnsi="Garamond" w:cs="Times New Roman"/>
          <w:i/>
          <w:color w:val="000000" w:themeColor="text1"/>
          <w:sz w:val="28"/>
          <w:szCs w:val="28"/>
        </w:rPr>
        <w:t>di cui al presente comma comporta il mancato riconoscimento delle</w:t>
      </w:r>
      <w:r w:rsidRPr="00D257F9">
        <w:rPr>
          <w:rFonts w:ascii="Garamond" w:hAnsi="Garamond" w:cs="Times New Roman"/>
          <w:color w:val="000000" w:themeColor="text1"/>
          <w:sz w:val="28"/>
          <w:szCs w:val="28"/>
        </w:rPr>
        <w:t xml:space="preserve"> </w:t>
      </w:r>
      <w:r w:rsidRPr="00D257F9">
        <w:rPr>
          <w:rFonts w:ascii="Garamond" w:hAnsi="Garamond" w:cs="Times New Roman"/>
          <w:i/>
          <w:color w:val="000000" w:themeColor="text1"/>
          <w:sz w:val="28"/>
          <w:szCs w:val="28"/>
        </w:rPr>
        <w:t xml:space="preserve">tariffe </w:t>
      </w:r>
      <w:r>
        <w:rPr>
          <w:rFonts w:ascii="Garamond" w:hAnsi="Garamond" w:cs="Times New Roman"/>
          <w:i/>
          <w:color w:val="000000" w:themeColor="text1"/>
          <w:sz w:val="28"/>
          <w:szCs w:val="28"/>
        </w:rPr>
        <w:t>incentivanti</w:t>
      </w:r>
      <w:r w:rsidRPr="00D257F9">
        <w:rPr>
          <w:rFonts w:ascii="Garamond" w:hAnsi="Garamond" w:cs="Times New Roman"/>
          <w:i/>
          <w:color w:val="000000" w:themeColor="text1"/>
          <w:sz w:val="28"/>
          <w:szCs w:val="28"/>
        </w:rPr>
        <w:t xml:space="preserve"> per il periodo intercorrente fra la data di entrata in esercizio e</w:t>
      </w:r>
      <w:r w:rsidRPr="00D257F9">
        <w:rPr>
          <w:rFonts w:ascii="Garamond" w:hAnsi="Garamond" w:cs="Times New Roman"/>
          <w:color w:val="000000" w:themeColor="text1"/>
          <w:sz w:val="28"/>
          <w:szCs w:val="28"/>
        </w:rPr>
        <w:t xml:space="preserve"> </w:t>
      </w:r>
      <w:r w:rsidRPr="00D257F9">
        <w:rPr>
          <w:rFonts w:ascii="Garamond" w:hAnsi="Garamond" w:cs="Times New Roman"/>
          <w:i/>
          <w:color w:val="000000" w:themeColor="text1"/>
          <w:sz w:val="28"/>
          <w:szCs w:val="28"/>
        </w:rPr>
        <w:t>la data della comunicazione al GSE, fermo restando il diritto alla tariffa vigente</w:t>
      </w:r>
      <w:r>
        <w:rPr>
          <w:rFonts w:ascii="Garamond" w:hAnsi="Garamond" w:cs="Times New Roman"/>
          <w:i/>
          <w:color w:val="000000" w:themeColor="text1"/>
          <w:sz w:val="28"/>
          <w:szCs w:val="28"/>
        </w:rPr>
        <w:t xml:space="preserve"> </w:t>
      </w:r>
      <w:r w:rsidRPr="00D257F9">
        <w:rPr>
          <w:rFonts w:ascii="Garamond" w:hAnsi="Garamond" w:cs="Times New Roman"/>
          <w:i/>
          <w:color w:val="000000" w:themeColor="text1"/>
          <w:sz w:val="28"/>
          <w:szCs w:val="28"/>
        </w:rPr>
        <w:t>alla data di entrata in esercizio</w:t>
      </w:r>
      <w:r w:rsidRPr="00D257F9">
        <w:rPr>
          <w:rFonts w:ascii="Garamond" w:hAnsi="Garamond" w:cs="Times New Roman"/>
          <w:color w:val="000000" w:themeColor="text1"/>
          <w:sz w:val="28"/>
          <w:szCs w:val="28"/>
        </w:rPr>
        <w:t>”</w:t>
      </w:r>
    </w:p>
    <w:p w:rsidR="007B4920" w:rsidRPr="00E10109" w:rsidRDefault="007B4920" w:rsidP="007B4920">
      <w:pPr>
        <w:spacing w:line="240" w:lineRule="auto"/>
        <w:ind w:firstLine="709"/>
        <w:contextualSpacing/>
        <w:jc w:val="both"/>
        <w:rPr>
          <w:rFonts w:ascii="Garamond" w:hAnsi="Garamond" w:cs="Times New Roman"/>
          <w:i/>
          <w:color w:val="000000" w:themeColor="text1"/>
          <w:sz w:val="28"/>
          <w:szCs w:val="28"/>
        </w:rPr>
      </w:pPr>
      <w:r>
        <w:rPr>
          <w:rFonts w:ascii="Garamond" w:hAnsi="Garamond" w:cs="Times New Roman"/>
          <w:color w:val="000000" w:themeColor="text1"/>
          <w:sz w:val="28"/>
          <w:szCs w:val="28"/>
        </w:rPr>
        <w:t>La disciplina transitoria tra il quarto ed il quinto conto energia è dettata dall’art. 1 comma 4 del d.m. 5 luglio 2012 (Quinto conto energia) secondo cui "</w:t>
      </w:r>
      <w:r w:rsidRPr="006C65E2">
        <w:t xml:space="preserve"> </w:t>
      </w:r>
      <w:r w:rsidRPr="00E10109">
        <w:rPr>
          <w:rFonts w:ascii="Garamond" w:hAnsi="Garamond" w:cs="Times New Roman"/>
          <w:i/>
          <w:color w:val="000000" w:themeColor="text1"/>
          <w:sz w:val="28"/>
          <w:szCs w:val="28"/>
        </w:rPr>
        <w:t xml:space="preserve">Fatto salvo l'articolo 4, comma 7, il d.m. 5 maggio 2011 continua ad applicarsi: </w:t>
      </w:r>
    </w:p>
    <w:p w:rsidR="007B4920" w:rsidRPr="00E10109" w:rsidRDefault="007B4920" w:rsidP="007B4920">
      <w:pPr>
        <w:spacing w:line="240" w:lineRule="auto"/>
        <w:ind w:firstLine="709"/>
        <w:contextualSpacing/>
        <w:jc w:val="both"/>
        <w:rPr>
          <w:rFonts w:ascii="Garamond" w:hAnsi="Garamond" w:cs="Times New Roman"/>
          <w:i/>
          <w:color w:val="000000" w:themeColor="text1"/>
          <w:sz w:val="28"/>
          <w:szCs w:val="28"/>
        </w:rPr>
      </w:pPr>
      <w:r w:rsidRPr="00E10109">
        <w:rPr>
          <w:rFonts w:ascii="Garamond" w:hAnsi="Garamond" w:cs="Times New Roman"/>
          <w:i/>
          <w:color w:val="000000" w:themeColor="text1"/>
          <w:sz w:val="28"/>
          <w:szCs w:val="28"/>
        </w:rPr>
        <w:lastRenderedPageBreak/>
        <w:t xml:space="preserve">   a) ai piccoli impianti e agl</w:t>
      </w:r>
      <w:r>
        <w:rPr>
          <w:rFonts w:ascii="Garamond" w:hAnsi="Garamond" w:cs="Times New Roman"/>
          <w:i/>
          <w:color w:val="000000" w:themeColor="text1"/>
          <w:sz w:val="28"/>
          <w:szCs w:val="28"/>
        </w:rPr>
        <w:t>i impianti di cui ai Titoli III</w:t>
      </w:r>
      <w:r w:rsidRPr="00E10109">
        <w:rPr>
          <w:rFonts w:ascii="Garamond" w:hAnsi="Garamond" w:cs="Times New Roman"/>
          <w:i/>
          <w:color w:val="000000" w:themeColor="text1"/>
          <w:sz w:val="28"/>
          <w:szCs w:val="28"/>
        </w:rPr>
        <w:t xml:space="preserve"> e IV del medesimo decreto che entrano in esercizio prima della data di decorrenza individuata al comma 3; </w:t>
      </w:r>
    </w:p>
    <w:p w:rsidR="007B4920" w:rsidRPr="00E10109" w:rsidRDefault="007B4920" w:rsidP="007B4920">
      <w:pPr>
        <w:spacing w:line="240" w:lineRule="auto"/>
        <w:ind w:firstLine="709"/>
        <w:contextualSpacing/>
        <w:jc w:val="both"/>
        <w:rPr>
          <w:rFonts w:ascii="Garamond" w:hAnsi="Garamond" w:cs="Times New Roman"/>
          <w:i/>
          <w:color w:val="000000" w:themeColor="text1"/>
          <w:sz w:val="28"/>
          <w:szCs w:val="28"/>
        </w:rPr>
      </w:pPr>
      <w:r w:rsidRPr="00E10109">
        <w:rPr>
          <w:rFonts w:ascii="Garamond" w:hAnsi="Garamond" w:cs="Times New Roman"/>
          <w:i/>
          <w:color w:val="000000" w:themeColor="text1"/>
          <w:sz w:val="28"/>
          <w:szCs w:val="28"/>
        </w:rPr>
        <w:t xml:space="preserve">   b) ai sensi dell'articolo 6, comma 3, dello stesso d.m.  5 maggio 2011, ai grandi impianti iscritti in posizione utile nei registri e che producono la certificazione di fine lavori nei termini previsti;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E10109">
        <w:rPr>
          <w:rFonts w:ascii="Garamond" w:hAnsi="Garamond" w:cs="Times New Roman"/>
          <w:i/>
          <w:color w:val="000000" w:themeColor="text1"/>
          <w:sz w:val="28"/>
          <w:szCs w:val="28"/>
        </w:rPr>
        <w:t>c) agli impianti realizzati su edifici pubblici e su aree delle amministrazioni pubbliche di cui all'articolo 1, comma 2, del d.lgs. n. 165 del 2001, che entrano in esercizio entro il 31 dicembre 2012</w:t>
      </w:r>
      <w:r>
        <w:rPr>
          <w:rFonts w:ascii="Garamond" w:hAnsi="Garamond" w:cs="Times New Roman"/>
          <w:color w:val="000000" w:themeColor="text1"/>
          <w:sz w:val="28"/>
          <w:szCs w:val="28"/>
        </w:rPr>
        <w:t>”</w:t>
      </w:r>
      <w:r w:rsidRPr="006C65E2">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Ciò posto, secondo la giurisprudenza del Consiglio di Stato:</w:t>
      </w:r>
    </w:p>
    <w:p w:rsidR="007B4920" w:rsidRDefault="007B4920" w:rsidP="007B4920">
      <w:pPr>
        <w:pStyle w:val="Paragrafoelenco"/>
        <w:numPr>
          <w:ilvl w:val="0"/>
          <w:numId w:val="45"/>
        </w:numPr>
        <w:spacing w:line="240" w:lineRule="auto"/>
        <w:jc w:val="both"/>
        <w:rPr>
          <w:rFonts w:ascii="Garamond" w:hAnsi="Garamond" w:cs="Times New Roman"/>
          <w:color w:val="000000" w:themeColor="text1"/>
          <w:sz w:val="28"/>
          <w:szCs w:val="28"/>
        </w:rPr>
      </w:pPr>
      <w:r w:rsidRPr="003D586D">
        <w:rPr>
          <w:rFonts w:ascii="Garamond" w:hAnsi="Garamond" w:cs="Times New Roman"/>
          <w:color w:val="000000" w:themeColor="text1"/>
          <w:sz w:val="28"/>
          <w:szCs w:val="28"/>
        </w:rPr>
        <w:t>è legittimo, alla stregua della normativa in materia sul Quarto e Quinto Conto energia, il provvedimento del G.s.e. che non abbia ammesso un’impresa alle tariffe incentivanti più favorevoli del Quarto Conto energia, ma a quelle del Quinto conto energia poiché il proprio impianto non era stato iscritto in posizione utile nei registri previsti dal d.m. 5 maggio 2011. La disciplina transitoria di cui all’art. 1, comma 4, d.m. 5 luglio 2012 si applica infatti agli impianti iscritti in posizione utile nei registri relativi al Quarto Conto Energia, non a quelli che, ove tali registri fossero stati aperti, sarebbero stati nelle condizioni di esservi inseriti. Legittimamente infatti il G.s.e. non ha aperto il registro per il secondo semestre 2012, essendone già azzerata la prevista dotazione finanziaria in applicazione del disposto dell’art.  6 d.m. 5 maggio 2011, da ritenersi applicativo del disposto dell’art. 25, comma 10, d.lgs. n. 28 del 2011 che indica, fra i principi cui i decreti ministeriali attuativi debbono attenersi, “la determinazione di un limite annuale di potenza elettrica cumulativa degli impianti fotovoltaici che possono ottenere le tariffe incentivanti”. [Cons. Stato, sez. IV, n. 1306 del 2018; in senso analogo, Cons. Stato, sez. IV, n. 1433 del 2015 secondo cui  il contenuto normativo dell’art. 6, comma 4, del d.m. del 2011(“In tutti i casi la tariffa incentivante spettante è quella vigente alla data di entrata in esercizio dell'impianto”) deve essere ricostruito in connessione sistematica con quello dell’art. 1: le tariffe agevolate del Quarto Conto valevano in relazione al costo massimo, una volta raggiunto il quale erano suscettibili di essere sostituite da un diverso sistema di incentivi, come in effetti è avvenuto con il Quinto Conto. Riconoscere il diritto agli incentivi del Quarto Conto a tutte le imprese che fossero rientrate nelle graduatorie previste dall’art. 8, comma 3, del relativo d.m. significherebbe lasciare aperte a tempo illimitato le graduatorie stesse e, in tal modo, portare i costi dell’incentivazione a livelli non definibili, in contrasto con l’espresso intento di limitare gli esborsi al valore stimato dal comma 2 dell’art. 1. Proprio a seguito del raggiungimento del costo indicativo cumulato annuo, d’altronde, non si è aperta alcuna graduatoria per il secondo semestre del 2012];</w:t>
      </w:r>
    </w:p>
    <w:p w:rsidR="007B4920" w:rsidRDefault="007B4920" w:rsidP="007B4920">
      <w:pPr>
        <w:pStyle w:val="Paragrafoelenco"/>
        <w:numPr>
          <w:ilvl w:val="0"/>
          <w:numId w:val="45"/>
        </w:numPr>
        <w:spacing w:line="240" w:lineRule="auto"/>
        <w:jc w:val="both"/>
        <w:rPr>
          <w:rFonts w:ascii="Garamond" w:hAnsi="Garamond" w:cs="Times New Roman"/>
          <w:color w:val="000000" w:themeColor="text1"/>
          <w:sz w:val="28"/>
          <w:szCs w:val="28"/>
        </w:rPr>
      </w:pPr>
      <w:r w:rsidRPr="003D586D">
        <w:rPr>
          <w:rFonts w:ascii="Garamond" w:hAnsi="Garamond" w:cs="Times New Roman"/>
          <w:color w:val="000000" w:themeColor="text1"/>
          <w:sz w:val="28"/>
          <w:szCs w:val="28"/>
        </w:rPr>
        <w:t xml:space="preserve">l'acquisto del diritto all'incentivo per i grandi impianti fotovoltaici di cui all'art. 25, comma 1,  d.lgs. n. 28/2011 e all'art. 6 del d.m. 5 maggio 2011 non è collegato alla entrata in servizio dell'impianto (tesi per cui il provvedimento di ammissione alle tariffe incentivanti, da parte del Gestore, non avrebbe valenza costitutiva del diritto): al contrario il d.m. del 2011 prevede che al raggiungimento di un costo indicativo cumulato annuo degli incentivi, con d.m. possono essere riviste le modalità di incentivazione di cui al decreto, favorendo in ogni caso lo sviluppo del settore: non vi è dunque alcun diritto quesito, aspettativa tutelabile o affidamento legittimo per gli operatori del settore che avessero iniziato la propria attività nella </w:t>
      </w:r>
      <w:r w:rsidRPr="003D586D">
        <w:rPr>
          <w:rFonts w:ascii="Garamond" w:hAnsi="Garamond" w:cs="Times New Roman"/>
          <w:color w:val="000000" w:themeColor="text1"/>
          <w:sz w:val="28"/>
          <w:szCs w:val="28"/>
        </w:rPr>
        <w:lastRenderedPageBreak/>
        <w:t>vigenza del d.m. del 2011 ("Quarto Conto energia") senza avere maturato tutti i requisiti per l'acquisto del diritto (Cons. Stato,  sez. IV,  nn. 1436, 1435 e 1430 del 2015);</w:t>
      </w:r>
    </w:p>
    <w:p w:rsidR="007B4920" w:rsidRPr="003D586D" w:rsidRDefault="007B4920" w:rsidP="007B4920">
      <w:pPr>
        <w:pStyle w:val="Paragrafoelenco"/>
        <w:numPr>
          <w:ilvl w:val="0"/>
          <w:numId w:val="45"/>
        </w:numPr>
        <w:spacing w:line="240" w:lineRule="auto"/>
        <w:jc w:val="both"/>
        <w:rPr>
          <w:rFonts w:ascii="Garamond" w:hAnsi="Garamond" w:cs="Times New Roman"/>
          <w:color w:val="000000" w:themeColor="text1"/>
          <w:sz w:val="28"/>
          <w:szCs w:val="28"/>
        </w:rPr>
      </w:pPr>
      <w:r w:rsidRPr="003D586D">
        <w:rPr>
          <w:rFonts w:ascii="Garamond" w:hAnsi="Garamond" w:cs="Times New Roman"/>
          <w:color w:val="000000" w:themeColor="text1"/>
          <w:sz w:val="28"/>
          <w:szCs w:val="28"/>
        </w:rPr>
        <w:t>la data ultima del 26 agosto 2012, entro cui l’impianto deve essere entrato in esercizio per beneficiare delle tariffe incentivanti di cui al Quarto Conto energia è da intendersi riferita al collegamento in parallelo alla rete elettrica e non all’effettivo funzionamento dell’impianto (Cons. Stato, sez. IV, n. 3984 del 2015 che, nel confermare la sentenza del Tar per il Lazio,  ha ritenuto illegittimo il provvedimento di autotutela adottato dal G.s.e. al riguardo ed  ha chiarito che  per gli impianti fotovoltaici sino al Quarto Conto energia il concetto di entrata in esercizio prescinde da quello di effettiva produzione ed immissione di energia elettrica in rete, condizione quest’ultima necessaria solo per gli impianti ammessi al Quinto Conto energia).</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Pr="00A424A9"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6.4</w:t>
      </w:r>
      <w:r w:rsidRPr="0085372F">
        <w:rPr>
          <w:rFonts w:ascii="Garamond" w:hAnsi="Garamond" w:cs="Times New Roman"/>
          <w:b/>
          <w:color w:val="000000" w:themeColor="text1"/>
          <w:sz w:val="28"/>
          <w:szCs w:val="28"/>
        </w:rPr>
        <w:t xml:space="preserve">. </w:t>
      </w:r>
      <w:r>
        <w:rPr>
          <w:rFonts w:ascii="Garamond" w:hAnsi="Garamond" w:cs="Times New Roman"/>
          <w:b/>
          <w:color w:val="000000" w:themeColor="text1"/>
          <w:sz w:val="28"/>
          <w:szCs w:val="28"/>
        </w:rPr>
        <w:t xml:space="preserve">Il Quinto </w:t>
      </w:r>
      <w:r w:rsidRPr="0085372F">
        <w:rPr>
          <w:rFonts w:ascii="Garamond" w:hAnsi="Garamond" w:cs="Times New Roman"/>
          <w:b/>
          <w:color w:val="000000" w:themeColor="text1"/>
          <w:sz w:val="28"/>
          <w:szCs w:val="28"/>
        </w:rPr>
        <w:t xml:space="preserve">Conto </w:t>
      </w:r>
      <w:r>
        <w:rPr>
          <w:rFonts w:ascii="Garamond" w:hAnsi="Garamond" w:cs="Times New Roman"/>
          <w:b/>
          <w:color w:val="000000" w:themeColor="text1"/>
          <w:sz w:val="28"/>
          <w:szCs w:val="28"/>
        </w:rPr>
        <w:t>energia</w:t>
      </w:r>
      <w:r w:rsidRPr="0085372F">
        <w:rPr>
          <w:rFonts w:ascii="Garamond" w:hAnsi="Garamond" w:cs="Times New Roman"/>
          <w:b/>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EB30FE">
        <w:rPr>
          <w:rFonts w:ascii="Garamond" w:hAnsi="Garamond" w:cs="Times New Roman"/>
          <w:color w:val="000000" w:themeColor="text1"/>
          <w:sz w:val="28"/>
          <w:szCs w:val="28"/>
        </w:rPr>
        <w:t>I</w:t>
      </w:r>
      <w:r>
        <w:rPr>
          <w:rFonts w:ascii="Garamond" w:hAnsi="Garamond" w:cs="Times New Roman"/>
          <w:color w:val="000000" w:themeColor="text1"/>
          <w:sz w:val="28"/>
          <w:szCs w:val="28"/>
        </w:rPr>
        <w:t>l d.m. 5 luglio 2012 (Quinto Conto energia)</w:t>
      </w:r>
      <w:r w:rsidRPr="00EB30FE">
        <w:rPr>
          <w:rFonts w:ascii="Garamond" w:hAnsi="Garamond" w:cs="Times New Roman"/>
          <w:color w:val="000000" w:themeColor="text1"/>
          <w:sz w:val="28"/>
          <w:szCs w:val="28"/>
        </w:rPr>
        <w:t xml:space="preserve">, ridefinisce le modalità di </w:t>
      </w:r>
      <w:r>
        <w:rPr>
          <w:rFonts w:ascii="Garamond" w:hAnsi="Garamond" w:cs="Times New Roman"/>
          <w:color w:val="000000" w:themeColor="text1"/>
          <w:sz w:val="28"/>
          <w:szCs w:val="28"/>
        </w:rPr>
        <w:t>incentivazione</w:t>
      </w:r>
      <w:r w:rsidRPr="00EB30FE">
        <w:rPr>
          <w:rFonts w:ascii="Garamond" w:hAnsi="Garamond" w:cs="Times New Roman"/>
          <w:color w:val="000000" w:themeColor="text1"/>
          <w:sz w:val="28"/>
          <w:szCs w:val="28"/>
        </w:rPr>
        <w:t xml:space="preserve"> per la produzione di </w:t>
      </w:r>
      <w:r>
        <w:rPr>
          <w:rFonts w:ascii="Garamond" w:hAnsi="Garamond" w:cs="Times New Roman"/>
          <w:color w:val="000000" w:themeColor="text1"/>
          <w:sz w:val="28"/>
          <w:szCs w:val="28"/>
        </w:rPr>
        <w:t>energia</w:t>
      </w:r>
      <w:r w:rsidRPr="00EB30FE">
        <w:rPr>
          <w:rFonts w:ascii="Garamond" w:hAnsi="Garamond" w:cs="Times New Roman"/>
          <w:color w:val="000000" w:themeColor="text1"/>
          <w:sz w:val="28"/>
          <w:szCs w:val="28"/>
        </w:rPr>
        <w:t xml:space="preserve"> elettrica da fonte fotovoltaica. Le modalità di </w:t>
      </w:r>
      <w:r>
        <w:rPr>
          <w:rFonts w:ascii="Garamond" w:hAnsi="Garamond" w:cs="Times New Roman"/>
          <w:color w:val="000000" w:themeColor="text1"/>
          <w:sz w:val="28"/>
          <w:szCs w:val="28"/>
        </w:rPr>
        <w:t>incentivazione</w:t>
      </w:r>
      <w:r w:rsidRPr="00EB30FE">
        <w:rPr>
          <w:rFonts w:ascii="Garamond" w:hAnsi="Garamond" w:cs="Times New Roman"/>
          <w:color w:val="000000" w:themeColor="text1"/>
          <w:sz w:val="28"/>
          <w:szCs w:val="28"/>
        </w:rPr>
        <w:t xml:space="preserve"> previste dal Quinto Conto </w:t>
      </w:r>
      <w:r>
        <w:rPr>
          <w:rFonts w:ascii="Garamond" w:hAnsi="Garamond" w:cs="Times New Roman"/>
          <w:color w:val="000000" w:themeColor="text1"/>
          <w:sz w:val="28"/>
          <w:szCs w:val="28"/>
        </w:rPr>
        <w:t>energia</w:t>
      </w:r>
      <w:r w:rsidRPr="00EB30FE">
        <w:rPr>
          <w:rFonts w:ascii="Garamond" w:hAnsi="Garamond" w:cs="Times New Roman"/>
          <w:color w:val="000000" w:themeColor="text1"/>
          <w:sz w:val="28"/>
          <w:szCs w:val="28"/>
        </w:rPr>
        <w:t xml:space="preserve"> si applicano a partire dal 27</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agosto 2012, ovvero decorsi 45 giorni solari dalla data di pubblicazione della deliberazione con cui l’Autorità ha determin</w:t>
      </w:r>
      <w:r>
        <w:rPr>
          <w:rFonts w:ascii="Garamond" w:hAnsi="Garamond" w:cs="Times New Roman"/>
          <w:color w:val="000000" w:themeColor="text1"/>
          <w:sz w:val="28"/>
          <w:szCs w:val="28"/>
        </w:rPr>
        <w:t>ato, su indicazione del G.s.e.</w:t>
      </w:r>
      <w:r w:rsidRPr="00EB30FE">
        <w:rPr>
          <w:rFonts w:ascii="Garamond" w:hAnsi="Garamond" w:cs="Times New Roman"/>
          <w:color w:val="000000" w:themeColor="text1"/>
          <w:sz w:val="28"/>
          <w:szCs w:val="28"/>
        </w:rPr>
        <w:t>, il raggiungimento di un costo indicativo cumulato annuo degli incentivi pari a 6 miliardi di euro (</w:t>
      </w:r>
      <w:r>
        <w:rPr>
          <w:rFonts w:ascii="Garamond" w:hAnsi="Garamond" w:cs="Times New Roman"/>
          <w:color w:val="000000" w:themeColor="text1"/>
          <w:sz w:val="28"/>
          <w:szCs w:val="28"/>
        </w:rPr>
        <w:t>d</w:t>
      </w:r>
      <w:r w:rsidRPr="00EB30FE">
        <w:rPr>
          <w:rFonts w:ascii="Garamond" w:hAnsi="Garamond" w:cs="Times New Roman"/>
          <w:color w:val="000000" w:themeColor="text1"/>
          <w:sz w:val="28"/>
          <w:szCs w:val="28"/>
        </w:rPr>
        <w:t>eliberazione AEEG12 luglio 2012, 292/2012/r/efr).</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EB30FE">
        <w:rPr>
          <w:rFonts w:ascii="Garamond" w:hAnsi="Garamond" w:cs="Times New Roman"/>
          <w:color w:val="000000" w:themeColor="text1"/>
          <w:sz w:val="28"/>
          <w:szCs w:val="28"/>
        </w:rPr>
        <w:t xml:space="preserve">Le nuove previsioni del Quinto Conto </w:t>
      </w:r>
      <w:r>
        <w:rPr>
          <w:rFonts w:ascii="Garamond" w:hAnsi="Garamond" w:cs="Times New Roman"/>
          <w:color w:val="000000" w:themeColor="text1"/>
          <w:sz w:val="28"/>
          <w:szCs w:val="28"/>
        </w:rPr>
        <w:t>energia</w:t>
      </w:r>
      <w:r w:rsidRPr="00EB30FE">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dispongono che: </w:t>
      </w:r>
      <w:r w:rsidRPr="00EB30FE">
        <w:rPr>
          <w:rFonts w:ascii="Garamond" w:hAnsi="Garamond" w:cs="Times New Roman"/>
          <w:color w:val="000000" w:themeColor="text1"/>
          <w:sz w:val="28"/>
          <w:szCs w:val="28"/>
        </w:rPr>
        <w:t>gli incentivi si basino sul meccanismo della tariffa omnicomprens</w:t>
      </w:r>
      <w:r>
        <w:rPr>
          <w:rFonts w:ascii="Garamond" w:hAnsi="Garamond" w:cs="Times New Roman"/>
          <w:color w:val="000000" w:themeColor="text1"/>
          <w:sz w:val="28"/>
          <w:szCs w:val="28"/>
        </w:rPr>
        <w:t>iva</w:t>
      </w:r>
      <w:r w:rsidRPr="00EB30FE">
        <w:rPr>
          <w:rFonts w:ascii="Garamond" w:hAnsi="Garamond" w:cs="Times New Roman"/>
          <w:color w:val="000000" w:themeColor="text1"/>
          <w:sz w:val="28"/>
          <w:szCs w:val="28"/>
        </w:rPr>
        <w:t>, nel senso</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che le agevolazioni riguardano solo l’</w:t>
      </w:r>
      <w:r>
        <w:rPr>
          <w:rFonts w:ascii="Garamond" w:hAnsi="Garamond" w:cs="Times New Roman"/>
          <w:color w:val="000000" w:themeColor="text1"/>
          <w:sz w:val="28"/>
          <w:szCs w:val="28"/>
        </w:rPr>
        <w:t>energia</w:t>
      </w:r>
      <w:r w:rsidRPr="00EB30FE">
        <w:rPr>
          <w:rFonts w:ascii="Garamond" w:hAnsi="Garamond" w:cs="Times New Roman"/>
          <w:color w:val="000000" w:themeColor="text1"/>
          <w:sz w:val="28"/>
          <w:szCs w:val="28"/>
        </w:rPr>
        <w:t xml:space="preserve"> immessa in rete mentre quella</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prodotta per l’autoconsumo beneficia di una tariffa premio;</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il valore della tariffa varia a seconda dell’entità produttrice dell’impianto e del</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luogo in cu</w:t>
      </w:r>
      <w:r>
        <w:rPr>
          <w:rFonts w:ascii="Garamond" w:hAnsi="Garamond" w:cs="Times New Roman"/>
          <w:color w:val="000000" w:themeColor="text1"/>
          <w:sz w:val="28"/>
          <w:szCs w:val="28"/>
        </w:rPr>
        <w:t xml:space="preserve">i lo stesso impianto è ubicato; </w:t>
      </w:r>
      <w:r w:rsidRPr="00EB30FE">
        <w:rPr>
          <w:rFonts w:ascii="Garamond" w:hAnsi="Garamond" w:cs="Times New Roman"/>
          <w:color w:val="000000" w:themeColor="text1"/>
          <w:sz w:val="28"/>
          <w:szCs w:val="28"/>
        </w:rPr>
        <w:t>l’accesso all’</w:t>
      </w:r>
      <w:r>
        <w:rPr>
          <w:rFonts w:ascii="Garamond" w:hAnsi="Garamond" w:cs="Times New Roman"/>
          <w:color w:val="000000" w:themeColor="text1"/>
          <w:sz w:val="28"/>
          <w:szCs w:val="28"/>
        </w:rPr>
        <w:t>incentivazione</w:t>
      </w:r>
      <w:r w:rsidRPr="00EB30FE">
        <w:rPr>
          <w:rFonts w:ascii="Garamond" w:hAnsi="Garamond" w:cs="Times New Roman"/>
          <w:color w:val="000000" w:themeColor="text1"/>
          <w:sz w:val="28"/>
          <w:szCs w:val="28"/>
        </w:rPr>
        <w:t xml:space="preserve"> è automatico solo per taluni impianti (prevalentemente quelli con potenza non superiore a 12 KW e quelli con potenza</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fino a 50 KW purché realizzati su edifici in sostituzione di coperture sulle quali</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viene operata la completa riduzione dell’eternit o dell’amianto); per i restanti</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impianti è prevista l’iscrizione in appositi registri in posizione tale da rientrare nei</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limiti massimo di costo stabili</w:t>
      </w:r>
      <w:r>
        <w:rPr>
          <w:rFonts w:ascii="Garamond" w:hAnsi="Garamond" w:cs="Times New Roman"/>
          <w:color w:val="000000" w:themeColor="text1"/>
          <w:sz w:val="28"/>
          <w:szCs w:val="28"/>
        </w:rPr>
        <w:t>ti.</w:t>
      </w:r>
    </w:p>
    <w:p w:rsidR="007B4920" w:rsidRPr="00EB30FE" w:rsidRDefault="007B4920" w:rsidP="007B4920">
      <w:pPr>
        <w:spacing w:line="240" w:lineRule="auto"/>
        <w:ind w:firstLine="709"/>
        <w:contextualSpacing/>
        <w:jc w:val="both"/>
        <w:rPr>
          <w:rFonts w:ascii="Garamond" w:hAnsi="Garamond" w:cs="Times New Roman"/>
          <w:color w:val="000000" w:themeColor="text1"/>
          <w:sz w:val="28"/>
          <w:szCs w:val="28"/>
        </w:rPr>
      </w:pPr>
      <w:r w:rsidRPr="00EB30FE">
        <w:rPr>
          <w:rFonts w:ascii="Garamond" w:hAnsi="Garamond" w:cs="Times New Roman"/>
          <w:color w:val="000000" w:themeColor="text1"/>
          <w:sz w:val="28"/>
          <w:szCs w:val="28"/>
        </w:rPr>
        <w:t xml:space="preserve">Le tariffe </w:t>
      </w:r>
      <w:r>
        <w:rPr>
          <w:rFonts w:ascii="Garamond" w:hAnsi="Garamond" w:cs="Times New Roman"/>
          <w:color w:val="000000" w:themeColor="text1"/>
          <w:sz w:val="28"/>
          <w:szCs w:val="28"/>
        </w:rPr>
        <w:t>incentivanti</w:t>
      </w:r>
      <w:r w:rsidRPr="00EB30FE">
        <w:rPr>
          <w:rFonts w:ascii="Garamond" w:hAnsi="Garamond" w:cs="Times New Roman"/>
          <w:color w:val="000000" w:themeColor="text1"/>
          <w:sz w:val="28"/>
          <w:szCs w:val="28"/>
        </w:rPr>
        <w:t xml:space="preserve"> del Quinto Conto </w:t>
      </w:r>
      <w:r>
        <w:rPr>
          <w:rFonts w:ascii="Garamond" w:hAnsi="Garamond" w:cs="Times New Roman"/>
          <w:color w:val="000000" w:themeColor="text1"/>
          <w:sz w:val="28"/>
          <w:szCs w:val="28"/>
        </w:rPr>
        <w:t>energia</w:t>
      </w:r>
      <w:r w:rsidRPr="00EB30FE">
        <w:rPr>
          <w:rFonts w:ascii="Garamond" w:hAnsi="Garamond" w:cs="Times New Roman"/>
          <w:color w:val="000000" w:themeColor="text1"/>
          <w:sz w:val="28"/>
          <w:szCs w:val="28"/>
        </w:rPr>
        <w:t xml:space="preserve"> sono riconosciute alle seguenti tipologie tecnologiche:</w:t>
      </w:r>
    </w:p>
    <w:p w:rsidR="007B4920" w:rsidRPr="00EB30FE" w:rsidRDefault="007B4920" w:rsidP="007B4920">
      <w:pPr>
        <w:spacing w:line="240" w:lineRule="auto"/>
        <w:ind w:firstLine="709"/>
        <w:contextualSpacing/>
        <w:jc w:val="both"/>
        <w:rPr>
          <w:rFonts w:ascii="Garamond" w:hAnsi="Garamond" w:cs="Times New Roman"/>
          <w:color w:val="000000" w:themeColor="text1"/>
          <w:sz w:val="28"/>
          <w:szCs w:val="28"/>
        </w:rPr>
      </w:pPr>
      <w:r w:rsidRPr="00EB30FE">
        <w:rPr>
          <w:rFonts w:ascii="Garamond" w:hAnsi="Garamond" w:cs="Times New Roman"/>
          <w:color w:val="000000" w:themeColor="text1"/>
          <w:sz w:val="28"/>
          <w:szCs w:val="28"/>
        </w:rPr>
        <w:t>impianti fotovoltaici, suddivisi per tipologie installative (art.7);</w:t>
      </w:r>
    </w:p>
    <w:p w:rsidR="007B4920" w:rsidRPr="00EB30FE" w:rsidRDefault="007B4920" w:rsidP="007B4920">
      <w:pPr>
        <w:spacing w:line="240" w:lineRule="auto"/>
        <w:ind w:firstLine="709"/>
        <w:contextualSpacing/>
        <w:jc w:val="both"/>
        <w:rPr>
          <w:rFonts w:ascii="Garamond" w:hAnsi="Garamond" w:cs="Times New Roman"/>
          <w:color w:val="000000" w:themeColor="text1"/>
          <w:sz w:val="28"/>
          <w:szCs w:val="28"/>
        </w:rPr>
      </w:pPr>
      <w:r w:rsidRPr="00EB30FE">
        <w:rPr>
          <w:rFonts w:ascii="Garamond" w:hAnsi="Garamond" w:cs="Times New Roman"/>
          <w:color w:val="000000" w:themeColor="text1"/>
          <w:sz w:val="28"/>
          <w:szCs w:val="28"/>
        </w:rPr>
        <w:t>impianti fotovoltaici integrati con caratteristiche innovative (art.8);</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EB30FE">
        <w:rPr>
          <w:rFonts w:ascii="Garamond" w:hAnsi="Garamond" w:cs="Times New Roman"/>
          <w:color w:val="000000" w:themeColor="text1"/>
          <w:sz w:val="28"/>
          <w:szCs w:val="28"/>
        </w:rPr>
        <w:t>impianti fotovo</w:t>
      </w:r>
      <w:r>
        <w:rPr>
          <w:rFonts w:ascii="Garamond" w:hAnsi="Garamond" w:cs="Times New Roman"/>
          <w:color w:val="000000" w:themeColor="text1"/>
          <w:sz w:val="28"/>
          <w:szCs w:val="28"/>
        </w:rPr>
        <w:t>ltaici a concentrazione (art.9).</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EB30FE">
        <w:rPr>
          <w:rFonts w:ascii="Garamond" w:hAnsi="Garamond" w:cs="Times New Roman"/>
          <w:color w:val="000000" w:themeColor="text1"/>
          <w:sz w:val="28"/>
          <w:szCs w:val="28"/>
        </w:rPr>
        <w:t xml:space="preserve">Gli interventi ammessi per richiedere le tariffe </w:t>
      </w:r>
      <w:r>
        <w:rPr>
          <w:rFonts w:ascii="Garamond" w:hAnsi="Garamond" w:cs="Times New Roman"/>
          <w:color w:val="000000" w:themeColor="text1"/>
          <w:sz w:val="28"/>
          <w:szCs w:val="28"/>
        </w:rPr>
        <w:t>incentivanti</w:t>
      </w:r>
      <w:r w:rsidRPr="00EB30FE">
        <w:rPr>
          <w:rFonts w:ascii="Garamond" w:hAnsi="Garamond" w:cs="Times New Roman"/>
          <w:color w:val="000000" w:themeColor="text1"/>
          <w:sz w:val="28"/>
          <w:szCs w:val="28"/>
        </w:rPr>
        <w:t xml:space="preserve"> sono quelli di nuova</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costruzione, rifacimento totale o potenzi</w:t>
      </w:r>
      <w:r>
        <w:rPr>
          <w:rFonts w:ascii="Garamond" w:hAnsi="Garamond" w:cs="Times New Roman"/>
          <w:color w:val="000000" w:themeColor="text1"/>
          <w:sz w:val="28"/>
          <w:szCs w:val="28"/>
        </w:rPr>
        <w:t>amento, così come definiti dal d</w:t>
      </w:r>
      <w:r w:rsidRPr="00EB30FE">
        <w:rPr>
          <w:rFonts w:ascii="Garamond" w:hAnsi="Garamond" w:cs="Times New Roman"/>
          <w:color w:val="000000" w:themeColor="text1"/>
          <w:sz w:val="28"/>
          <w:szCs w:val="28"/>
        </w:rPr>
        <w:t>ecreto.</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 xml:space="preserve">Per beneficiare delle tariffe </w:t>
      </w:r>
      <w:r>
        <w:rPr>
          <w:rFonts w:ascii="Garamond" w:hAnsi="Garamond" w:cs="Times New Roman"/>
          <w:color w:val="000000" w:themeColor="text1"/>
          <w:sz w:val="28"/>
          <w:szCs w:val="28"/>
        </w:rPr>
        <w:t>incentivanti</w:t>
      </w:r>
      <w:r w:rsidRPr="00EB30FE">
        <w:rPr>
          <w:rFonts w:ascii="Garamond" w:hAnsi="Garamond" w:cs="Times New Roman"/>
          <w:color w:val="000000" w:themeColor="text1"/>
          <w:sz w:val="28"/>
          <w:szCs w:val="28"/>
        </w:rPr>
        <w:t xml:space="preserve"> è necessario che gli impianti fotovoltaici</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 xml:space="preserve">rispettino i requisiti descritti negli articoli 7, 8 e 9 del </w:t>
      </w:r>
      <w:r>
        <w:rPr>
          <w:rFonts w:ascii="Garamond" w:hAnsi="Garamond" w:cs="Times New Roman"/>
          <w:color w:val="000000" w:themeColor="text1"/>
          <w:sz w:val="28"/>
          <w:szCs w:val="28"/>
        </w:rPr>
        <w:t xml:space="preserve">decreto </w:t>
      </w:r>
      <w:r w:rsidRPr="00EB30FE">
        <w:rPr>
          <w:rFonts w:ascii="Garamond" w:hAnsi="Garamond" w:cs="Times New Roman"/>
          <w:color w:val="000000" w:themeColor="text1"/>
          <w:sz w:val="28"/>
          <w:szCs w:val="28"/>
        </w:rPr>
        <w:t>e specificati</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 xml:space="preserve">nelle regole applicative </w:t>
      </w:r>
      <w:r>
        <w:rPr>
          <w:rFonts w:ascii="Garamond" w:hAnsi="Garamond" w:cs="Times New Roman"/>
          <w:color w:val="000000" w:themeColor="text1"/>
          <w:sz w:val="28"/>
          <w:szCs w:val="28"/>
        </w:rPr>
        <w:t>per l’iscrizione al r</w:t>
      </w:r>
      <w:r w:rsidRPr="00EB30FE">
        <w:rPr>
          <w:rFonts w:ascii="Garamond" w:hAnsi="Garamond" w:cs="Times New Roman"/>
          <w:color w:val="000000" w:themeColor="text1"/>
          <w:sz w:val="28"/>
          <w:szCs w:val="28"/>
        </w:rPr>
        <w:t>egistro e per il riconoscimento delle</w:t>
      </w:r>
      <w:r>
        <w:rPr>
          <w:rFonts w:ascii="Garamond" w:hAnsi="Garamond" w:cs="Times New Roman"/>
          <w:color w:val="000000" w:themeColor="text1"/>
          <w:sz w:val="28"/>
          <w:szCs w:val="28"/>
        </w:rPr>
        <w:t xml:space="preserve"> </w:t>
      </w:r>
      <w:r w:rsidRPr="00EB30FE">
        <w:rPr>
          <w:rFonts w:ascii="Garamond" w:hAnsi="Garamond" w:cs="Times New Roman"/>
          <w:color w:val="000000" w:themeColor="text1"/>
          <w:sz w:val="28"/>
          <w:szCs w:val="28"/>
        </w:rPr>
        <w:t xml:space="preserve">tariffe </w:t>
      </w:r>
      <w:r>
        <w:rPr>
          <w:rFonts w:ascii="Garamond" w:hAnsi="Garamond" w:cs="Times New Roman"/>
          <w:color w:val="000000" w:themeColor="text1"/>
          <w:sz w:val="28"/>
          <w:szCs w:val="28"/>
        </w:rPr>
        <w:t>incentivanti</w:t>
      </w:r>
      <w:r w:rsidRPr="00EB30FE">
        <w:rPr>
          <w:rFonts w:ascii="Garamond" w:hAnsi="Garamond" w:cs="Times New Roman"/>
          <w:color w:val="000000" w:themeColor="text1"/>
          <w:sz w:val="28"/>
          <w:szCs w:val="28"/>
        </w:rPr>
        <w:t>.</w:t>
      </w:r>
    </w:p>
    <w:p w:rsidR="007B4920" w:rsidRPr="004C2A6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Pertanto è previsto </w:t>
      </w:r>
      <w:r w:rsidRPr="006F4EBE">
        <w:rPr>
          <w:rFonts w:ascii="Garamond" w:hAnsi="Garamond" w:cs="Times New Roman"/>
          <w:color w:val="000000" w:themeColor="text1"/>
          <w:sz w:val="28"/>
          <w:szCs w:val="28"/>
        </w:rPr>
        <w:t xml:space="preserve">un doppio sistema di </w:t>
      </w:r>
      <w:r>
        <w:rPr>
          <w:rFonts w:ascii="Garamond" w:hAnsi="Garamond" w:cs="Times New Roman"/>
          <w:color w:val="000000" w:themeColor="text1"/>
          <w:sz w:val="28"/>
          <w:szCs w:val="28"/>
        </w:rPr>
        <w:t>incentivazione</w:t>
      </w:r>
      <w:r w:rsidRPr="006F4EBE">
        <w:rPr>
          <w:rFonts w:ascii="Garamond" w:hAnsi="Garamond" w:cs="Times New Roman"/>
          <w:color w:val="000000" w:themeColor="text1"/>
          <w:sz w:val="28"/>
          <w:szCs w:val="28"/>
        </w:rPr>
        <w:t xml:space="preserve"> tariffaria per cui, ai sensi dell'art. 3, comma 1</w:t>
      </w:r>
      <w:r>
        <w:rPr>
          <w:rFonts w:ascii="Garamond" w:hAnsi="Garamond" w:cs="Times New Roman"/>
          <w:color w:val="000000" w:themeColor="text1"/>
          <w:sz w:val="28"/>
          <w:szCs w:val="28"/>
        </w:rPr>
        <w:t xml:space="preserve"> d.m. 5 luglio 2012</w:t>
      </w:r>
      <w:r w:rsidRPr="006F4EBE">
        <w:rPr>
          <w:rFonts w:ascii="Garamond" w:hAnsi="Garamond" w:cs="Times New Roman"/>
          <w:color w:val="000000" w:themeColor="text1"/>
          <w:sz w:val="28"/>
          <w:szCs w:val="28"/>
        </w:rPr>
        <w:t xml:space="preserve">, taluni tipi di impianti - tra cui gli impianti </w:t>
      </w:r>
      <w:r w:rsidRPr="006F4EBE">
        <w:rPr>
          <w:rFonts w:ascii="Garamond" w:hAnsi="Garamond" w:cs="Times New Roman"/>
          <w:color w:val="000000" w:themeColor="text1"/>
          <w:sz w:val="28"/>
          <w:szCs w:val="28"/>
        </w:rPr>
        <w:lastRenderedPageBreak/>
        <w:t xml:space="preserve">fotovoltaici integrati con caratteristiche innovative - hanno la possibilità di accedere direttamente alle tariffe </w:t>
      </w:r>
      <w:r>
        <w:rPr>
          <w:rFonts w:ascii="Garamond" w:hAnsi="Garamond" w:cs="Times New Roman"/>
          <w:color w:val="000000" w:themeColor="text1"/>
          <w:sz w:val="28"/>
          <w:szCs w:val="28"/>
        </w:rPr>
        <w:t>incentivanti</w:t>
      </w:r>
      <w:r w:rsidRPr="006F4EBE">
        <w:rPr>
          <w:rFonts w:ascii="Garamond" w:hAnsi="Garamond" w:cs="Times New Roman"/>
          <w:color w:val="000000" w:themeColor="text1"/>
          <w:sz w:val="28"/>
          <w:szCs w:val="28"/>
        </w:rPr>
        <w:t>; gli altri possono invece accedere ad altre e meno vantaggiose tariffe soltanto se, oltre a possedere determinati requisiti tecnici, siano iscritti in posizione utile negli appo</w:t>
      </w:r>
      <w:r>
        <w:rPr>
          <w:rFonts w:ascii="Garamond" w:hAnsi="Garamond" w:cs="Times New Roman"/>
          <w:color w:val="000000" w:themeColor="text1"/>
          <w:sz w:val="28"/>
          <w:szCs w:val="28"/>
        </w:rPr>
        <w:t xml:space="preserve">siti registri </w:t>
      </w:r>
      <w:r w:rsidRPr="00AC5ACE">
        <w:rPr>
          <w:rFonts w:ascii="Garamond" w:hAnsi="Garamond" w:cs="Times New Roman"/>
          <w:color w:val="000000" w:themeColor="text1"/>
          <w:sz w:val="28"/>
          <w:szCs w:val="28"/>
        </w:rPr>
        <w:t>(art. 3, comma 2).</w:t>
      </w:r>
      <w:r>
        <w:rPr>
          <w:rFonts w:ascii="Garamond" w:hAnsi="Garamond" w:cs="Times New Roman"/>
          <w:color w:val="000000" w:themeColor="text1"/>
          <w:sz w:val="28"/>
          <w:szCs w:val="28"/>
        </w:rPr>
        <w:t xml:space="preserve"> </w:t>
      </w:r>
      <w:r w:rsidRPr="00AC5ACE">
        <w:rPr>
          <w:rFonts w:ascii="Garamond" w:hAnsi="Garamond" w:cs="Times New Roman"/>
          <w:color w:val="000000" w:themeColor="text1"/>
          <w:sz w:val="28"/>
          <w:szCs w:val="28"/>
        </w:rPr>
        <w:t xml:space="preserve">Ai fini dell’accesso alle tariffe </w:t>
      </w:r>
      <w:r>
        <w:rPr>
          <w:rFonts w:ascii="Garamond" w:hAnsi="Garamond" w:cs="Times New Roman"/>
          <w:color w:val="000000" w:themeColor="text1"/>
          <w:sz w:val="28"/>
          <w:szCs w:val="28"/>
        </w:rPr>
        <w:t>incentivanti per impianti fotovoltaici integrati con caratteristiche innovative presupposto necessario</w:t>
      </w:r>
      <w:r w:rsidRPr="00AC5ACE">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è la certificabilità energetica dell’edificio ai sensi dell’Allegato 4 d.m. 5. Luglio 2012. (Cons. Stato, sez. II, n. 11554 del 2022 relativo ad impianto fotovoltaico con caratteristiche innovative realizzato su edificio adibito ad uso stalla e ad uso magazzino sprovvisto del detto requisito: </w:t>
      </w:r>
      <w:r w:rsidRPr="004C2A60">
        <w:rPr>
          <w:rFonts w:ascii="Garamond" w:hAnsi="Garamond" w:cs="Times New Roman"/>
          <w:color w:val="000000" w:themeColor="text1"/>
          <w:sz w:val="28"/>
          <w:szCs w:val="28"/>
        </w:rPr>
        <w:t>cfr. §</w:t>
      </w:r>
      <w:r>
        <w:rPr>
          <w:rFonts w:ascii="Garamond" w:hAnsi="Garamond" w:cs="Times New Roman"/>
          <w:color w:val="000000" w:themeColor="text1"/>
          <w:sz w:val="28"/>
          <w:szCs w:val="28"/>
        </w:rPr>
        <w:t xml:space="preserve"> 14.1</w:t>
      </w:r>
      <w:r w:rsidRPr="004C2A60">
        <w:rPr>
          <w:rFonts w:ascii="Garamond" w:hAnsi="Garamond" w:cs="Times New Roman"/>
          <w:color w:val="000000" w:themeColor="text1"/>
          <w:sz w:val="28"/>
          <w:szCs w:val="28"/>
        </w:rPr>
        <w:t>).</w:t>
      </w:r>
    </w:p>
    <w:p w:rsidR="007B4920" w:rsidRPr="00294F65"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Ai  fini dell’accesso alle tariffe incentivanti di cui al Quinto Conto energia, non è sufficiente l’allacciamento alla rete dell’impianto entro la data prescritta, essendo necessario anche l’avvio dell’impianto; ciò in quanto </w:t>
      </w:r>
      <w:r w:rsidRPr="00183A57">
        <w:rPr>
          <w:rFonts w:ascii="Garamond" w:hAnsi="Garamond" w:cs="Times New Roman"/>
          <w:color w:val="000000" w:themeColor="text1"/>
          <w:sz w:val="28"/>
          <w:szCs w:val="28"/>
        </w:rPr>
        <w:t>l</w:t>
      </w:r>
      <w:r>
        <w:rPr>
          <w:rFonts w:ascii="Garamond" w:hAnsi="Garamond" w:cs="Times New Roman"/>
          <w:color w:val="000000" w:themeColor="text1"/>
          <w:sz w:val="28"/>
          <w:szCs w:val="28"/>
        </w:rPr>
        <w:t>'art. 2,  comma 1 lettera b), d.m</w:t>
      </w:r>
      <w:r w:rsidRPr="00183A57">
        <w:rPr>
          <w:rFonts w:ascii="Garamond" w:hAnsi="Garamond" w:cs="Times New Roman"/>
          <w:color w:val="000000" w:themeColor="text1"/>
          <w:sz w:val="28"/>
          <w:szCs w:val="28"/>
        </w:rPr>
        <w:t>. 5 luglio 2012 qualifica l'entrata in esercizio dell'impianto non già in funzione del solo allacciamento alla rete, bensì al suo "</w:t>
      </w:r>
      <w:r w:rsidRPr="00EE5F6F">
        <w:rPr>
          <w:rFonts w:ascii="Garamond" w:hAnsi="Garamond" w:cs="Times New Roman"/>
          <w:i/>
          <w:color w:val="000000" w:themeColor="text1"/>
          <w:sz w:val="28"/>
          <w:szCs w:val="28"/>
        </w:rPr>
        <w:t>funzionamento... in parallelo con il sistema elettrico</w:t>
      </w:r>
      <w:r w:rsidRPr="00183A57">
        <w:rPr>
          <w:rFonts w:ascii="Garamond" w:hAnsi="Garamond" w:cs="Times New Roman"/>
          <w:color w:val="000000" w:themeColor="text1"/>
          <w:sz w:val="28"/>
          <w:szCs w:val="28"/>
        </w:rPr>
        <w:t>"; ne consegue che l'entrata in esercizio non si esaurisce con la connessione in parallelo al sistema elettrico</w:t>
      </w:r>
      <w:r>
        <w:rPr>
          <w:rFonts w:ascii="Garamond" w:hAnsi="Garamond" w:cs="Times New Roman"/>
          <w:color w:val="000000" w:themeColor="text1"/>
          <w:sz w:val="28"/>
          <w:szCs w:val="28"/>
        </w:rPr>
        <w:t xml:space="preserve">, </w:t>
      </w:r>
      <w:r w:rsidRPr="00183A57">
        <w:rPr>
          <w:rFonts w:ascii="Garamond" w:hAnsi="Garamond" w:cs="Times New Roman"/>
          <w:color w:val="000000" w:themeColor="text1"/>
          <w:sz w:val="28"/>
          <w:szCs w:val="28"/>
        </w:rPr>
        <w:t xml:space="preserve"> richiedendo </w:t>
      </w:r>
      <w:r w:rsidRPr="00183A57">
        <w:rPr>
          <w:rFonts w:ascii="Garamond" w:hAnsi="Garamond" w:cs="Times New Roman"/>
          <w:i/>
          <w:color w:val="000000" w:themeColor="text1"/>
          <w:sz w:val="28"/>
          <w:szCs w:val="28"/>
        </w:rPr>
        <w:t>un quid pluris</w:t>
      </w:r>
      <w:r w:rsidRPr="00183A57">
        <w:rPr>
          <w:rFonts w:ascii="Garamond" w:hAnsi="Garamond" w:cs="Times New Roman"/>
          <w:color w:val="000000" w:themeColor="text1"/>
          <w:sz w:val="28"/>
          <w:szCs w:val="28"/>
        </w:rPr>
        <w:t xml:space="preserve"> che non può individuarsi in altro se non nella produzione e immissione in rete dell'</w:t>
      </w:r>
      <w:r>
        <w:rPr>
          <w:rFonts w:ascii="Garamond" w:hAnsi="Garamond" w:cs="Times New Roman"/>
          <w:color w:val="000000" w:themeColor="text1"/>
          <w:sz w:val="28"/>
          <w:szCs w:val="28"/>
        </w:rPr>
        <w:t xml:space="preserve">energia. Infatti, </w:t>
      </w:r>
      <w:r w:rsidRPr="00294F65">
        <w:rPr>
          <w:rFonts w:ascii="Garamond" w:hAnsi="Garamond" w:cs="Times New Roman"/>
          <w:color w:val="000000" w:themeColor="text1"/>
          <w:sz w:val="28"/>
          <w:szCs w:val="28"/>
        </w:rPr>
        <w:t>l'impianto non solo deve essere collegato in parallelo ma deve altresì funzionare materialmente ed immettere in c</w:t>
      </w:r>
      <w:r>
        <w:rPr>
          <w:rFonts w:ascii="Garamond" w:hAnsi="Garamond" w:cs="Times New Roman"/>
          <w:color w:val="000000" w:themeColor="text1"/>
          <w:sz w:val="28"/>
          <w:szCs w:val="28"/>
        </w:rPr>
        <w:t xml:space="preserve">ontestualità energia in rete. </w:t>
      </w:r>
      <w:r>
        <w:t>[</w:t>
      </w:r>
      <w:r w:rsidRPr="00EE5F6F">
        <w:rPr>
          <w:rFonts w:ascii="Garamond" w:hAnsi="Garamond" w:cs="Times New Roman"/>
          <w:color w:val="000000" w:themeColor="text1"/>
          <w:sz w:val="28"/>
          <w:szCs w:val="28"/>
        </w:rPr>
        <w:t>Cons. Stato sez. IV, n. 1862 del 2021</w:t>
      </w:r>
      <w:r>
        <w:rPr>
          <w:rFonts w:ascii="Garamond" w:hAnsi="Garamond" w:cs="Times New Roman"/>
          <w:color w:val="000000" w:themeColor="text1"/>
          <w:sz w:val="28"/>
          <w:szCs w:val="28"/>
        </w:rPr>
        <w:t xml:space="preserve"> secondo cui sarebbe pertanto </w:t>
      </w:r>
      <w:r w:rsidRPr="00771669">
        <w:rPr>
          <w:rFonts w:ascii="Garamond" w:hAnsi="Garamond" w:cs="Times New Roman"/>
          <w:color w:val="000000" w:themeColor="text1"/>
          <w:sz w:val="28"/>
          <w:szCs w:val="28"/>
        </w:rPr>
        <w:t>evidente</w:t>
      </w:r>
      <w:r>
        <w:rPr>
          <w:rFonts w:ascii="Garamond" w:hAnsi="Garamond" w:cs="Times New Roman"/>
          <w:color w:val="000000" w:themeColor="text1"/>
          <w:sz w:val="28"/>
          <w:szCs w:val="28"/>
        </w:rPr>
        <w:t xml:space="preserve"> </w:t>
      </w:r>
      <w:r w:rsidRPr="00294F65">
        <w:rPr>
          <w:rFonts w:ascii="Garamond" w:hAnsi="Garamond" w:cs="Times New Roman"/>
          <w:color w:val="000000" w:themeColor="text1"/>
          <w:sz w:val="28"/>
          <w:szCs w:val="28"/>
        </w:rPr>
        <w:t>la nuova nozione di "entrat</w:t>
      </w:r>
      <w:r>
        <w:rPr>
          <w:rFonts w:ascii="Garamond" w:hAnsi="Garamond" w:cs="Times New Roman"/>
          <w:color w:val="000000" w:themeColor="text1"/>
          <w:sz w:val="28"/>
          <w:szCs w:val="28"/>
        </w:rPr>
        <w:t>a in esercizio" introdotta dal d.m</w:t>
      </w:r>
      <w:r w:rsidRPr="00294F65">
        <w:rPr>
          <w:rFonts w:ascii="Garamond" w:hAnsi="Garamond" w:cs="Times New Roman"/>
          <w:color w:val="000000" w:themeColor="text1"/>
          <w:sz w:val="28"/>
          <w:szCs w:val="28"/>
        </w:rPr>
        <w:t xml:space="preserve">. 5 luglio 2012 ai fini dell'ammissione alle agevolazioni del </w:t>
      </w:r>
      <w:r>
        <w:rPr>
          <w:rFonts w:ascii="Garamond" w:hAnsi="Garamond" w:cs="Times New Roman"/>
          <w:color w:val="000000" w:themeColor="text1"/>
          <w:sz w:val="28"/>
          <w:szCs w:val="28"/>
        </w:rPr>
        <w:t xml:space="preserve">Quinto </w:t>
      </w:r>
      <w:r w:rsidRPr="00294F65">
        <w:rPr>
          <w:rFonts w:ascii="Garamond" w:hAnsi="Garamond" w:cs="Times New Roman"/>
          <w:color w:val="000000" w:themeColor="text1"/>
          <w:sz w:val="28"/>
          <w:szCs w:val="28"/>
        </w:rPr>
        <w:t xml:space="preserve">Conto </w:t>
      </w:r>
      <w:r>
        <w:rPr>
          <w:rFonts w:ascii="Garamond" w:hAnsi="Garamond" w:cs="Times New Roman"/>
          <w:color w:val="000000" w:themeColor="text1"/>
          <w:sz w:val="28"/>
          <w:szCs w:val="28"/>
        </w:rPr>
        <w:t>energia</w:t>
      </w:r>
      <w:r w:rsidRPr="00294F65">
        <w:rPr>
          <w:rFonts w:ascii="Garamond" w:hAnsi="Garamond" w:cs="Times New Roman"/>
          <w:color w:val="000000" w:themeColor="text1"/>
          <w:sz w:val="28"/>
          <w:szCs w:val="28"/>
        </w:rPr>
        <w:t>, rispetto a quella recata dai precedenti decreti ministeriali, laddove:</w:t>
      </w:r>
    </w:p>
    <w:p w:rsidR="007B4920" w:rsidRDefault="007B4920" w:rsidP="007B4920">
      <w:pPr>
        <w:pStyle w:val="Paragrafoelenco"/>
        <w:numPr>
          <w:ilvl w:val="0"/>
          <w:numId w:val="47"/>
        </w:numPr>
        <w:spacing w:line="240" w:lineRule="auto"/>
        <w:jc w:val="both"/>
        <w:rPr>
          <w:rFonts w:ascii="Garamond" w:hAnsi="Garamond" w:cs="Times New Roman"/>
          <w:color w:val="000000" w:themeColor="text1"/>
          <w:sz w:val="28"/>
          <w:szCs w:val="28"/>
        </w:rPr>
      </w:pPr>
      <w:r w:rsidRPr="003D586D">
        <w:rPr>
          <w:rFonts w:ascii="Garamond" w:hAnsi="Garamond" w:cs="Times New Roman"/>
          <w:color w:val="000000" w:themeColor="text1"/>
          <w:sz w:val="28"/>
          <w:szCs w:val="28"/>
        </w:rPr>
        <w:t>il d.m. 28 luglio 2005 (Primo Conto energia) all'art. 2 comma 1 lettera i) si riferivano alla "...data, comunicata, dal soggetto responsabile...al gestore di rete e al soggetto attuatore";</w:t>
      </w:r>
    </w:p>
    <w:p w:rsidR="007B4920" w:rsidRDefault="007B4920" w:rsidP="007B4920">
      <w:pPr>
        <w:pStyle w:val="Paragrafoelenco"/>
        <w:numPr>
          <w:ilvl w:val="0"/>
          <w:numId w:val="47"/>
        </w:numPr>
        <w:spacing w:line="240" w:lineRule="auto"/>
        <w:jc w:val="both"/>
        <w:rPr>
          <w:rFonts w:ascii="Garamond" w:hAnsi="Garamond" w:cs="Times New Roman"/>
          <w:color w:val="000000" w:themeColor="text1"/>
          <w:sz w:val="28"/>
          <w:szCs w:val="28"/>
        </w:rPr>
      </w:pPr>
      <w:r w:rsidRPr="003D586D">
        <w:rPr>
          <w:rFonts w:ascii="Garamond" w:hAnsi="Garamond" w:cs="Times New Roman"/>
          <w:color w:val="000000" w:themeColor="text1"/>
          <w:sz w:val="28"/>
          <w:szCs w:val="28"/>
        </w:rPr>
        <w:t xml:space="preserve">il d.m. 19 febbraio 2007 (Secondo Conto energia) all'art. 2 comma 1 lettera g) lo individuava ne "...la prima data utile a decorrere dalla quale sono verificate tutte le seguenti condizioni: </w:t>
      </w:r>
      <w:r>
        <w:rPr>
          <w:rFonts w:ascii="Garamond" w:hAnsi="Garamond" w:cs="Times New Roman"/>
          <w:color w:val="000000" w:themeColor="text1"/>
          <w:sz w:val="28"/>
          <w:szCs w:val="28"/>
        </w:rPr>
        <w:t>g</w:t>
      </w:r>
      <w:r w:rsidRPr="003D586D">
        <w:rPr>
          <w:rFonts w:ascii="Garamond" w:hAnsi="Garamond" w:cs="Times New Roman"/>
          <w:color w:val="000000" w:themeColor="text1"/>
          <w:sz w:val="28"/>
          <w:szCs w:val="28"/>
        </w:rPr>
        <w:t>1) l'impianto è collegato in paral</w:t>
      </w:r>
      <w:r>
        <w:rPr>
          <w:rFonts w:ascii="Garamond" w:hAnsi="Garamond" w:cs="Times New Roman"/>
          <w:color w:val="000000" w:themeColor="text1"/>
          <w:sz w:val="28"/>
          <w:szCs w:val="28"/>
        </w:rPr>
        <w:t>lelo con il sistema elettrico; g</w:t>
      </w:r>
      <w:r w:rsidRPr="003D586D">
        <w:rPr>
          <w:rFonts w:ascii="Garamond" w:hAnsi="Garamond" w:cs="Times New Roman"/>
          <w:color w:val="000000" w:themeColor="text1"/>
          <w:sz w:val="28"/>
          <w:szCs w:val="28"/>
        </w:rPr>
        <w:t>2) risultano installati tutti i contatori necessari per la contabilizzazione dell'energia prodotta e scambiata o ceduta con la rete; g3)risultano attivi i relativi contratti di scambio o cessione dell'energia elettrica; g4) risultano assolti tutti gli eventuali obblighi relativi alla regolazione dell'accesso alle reti";</w:t>
      </w:r>
    </w:p>
    <w:p w:rsidR="007B4920" w:rsidRDefault="007B4920" w:rsidP="007B4920">
      <w:pPr>
        <w:pStyle w:val="Paragrafoelenco"/>
        <w:numPr>
          <w:ilvl w:val="0"/>
          <w:numId w:val="47"/>
        </w:numPr>
        <w:spacing w:line="240" w:lineRule="auto"/>
        <w:jc w:val="both"/>
        <w:rPr>
          <w:rFonts w:ascii="Garamond" w:hAnsi="Garamond" w:cs="Times New Roman"/>
          <w:color w:val="000000" w:themeColor="text1"/>
          <w:sz w:val="28"/>
          <w:szCs w:val="28"/>
        </w:rPr>
      </w:pPr>
      <w:r w:rsidRPr="003D586D">
        <w:rPr>
          <w:rFonts w:ascii="Garamond" w:hAnsi="Garamond" w:cs="Times New Roman"/>
          <w:color w:val="000000" w:themeColor="text1"/>
          <w:sz w:val="28"/>
          <w:szCs w:val="28"/>
        </w:rPr>
        <w:t>il d.m. 6 agosto 2010 (Terzo Conto energia) all'art. 2 comma 1 lettera d) conteneva indicazione affatto identica a quella del D.M. 19 febbraio 2007;</w:t>
      </w:r>
    </w:p>
    <w:p w:rsidR="007B4920" w:rsidRPr="003D586D" w:rsidRDefault="007B4920" w:rsidP="007B4920">
      <w:pPr>
        <w:pStyle w:val="Paragrafoelenco"/>
        <w:numPr>
          <w:ilvl w:val="0"/>
          <w:numId w:val="47"/>
        </w:numPr>
        <w:spacing w:line="240" w:lineRule="auto"/>
        <w:jc w:val="both"/>
        <w:rPr>
          <w:rFonts w:ascii="Garamond" w:hAnsi="Garamond" w:cs="Times New Roman"/>
          <w:color w:val="000000" w:themeColor="text1"/>
          <w:sz w:val="28"/>
          <w:szCs w:val="28"/>
        </w:rPr>
      </w:pPr>
      <w:r w:rsidRPr="003D586D">
        <w:rPr>
          <w:rFonts w:ascii="Garamond" w:hAnsi="Garamond" w:cs="Times New Roman"/>
          <w:color w:val="000000" w:themeColor="text1"/>
          <w:sz w:val="28"/>
          <w:szCs w:val="28"/>
        </w:rPr>
        <w:t>il d.m. 5 luglio 2011 (</w:t>
      </w:r>
      <w:r>
        <w:rPr>
          <w:rFonts w:ascii="Garamond" w:hAnsi="Garamond" w:cs="Times New Roman"/>
          <w:color w:val="000000" w:themeColor="text1"/>
          <w:sz w:val="28"/>
          <w:szCs w:val="28"/>
        </w:rPr>
        <w:t xml:space="preserve">Quarto </w:t>
      </w:r>
      <w:r w:rsidRPr="003D586D">
        <w:rPr>
          <w:rFonts w:ascii="Garamond" w:hAnsi="Garamond" w:cs="Times New Roman"/>
          <w:color w:val="000000" w:themeColor="text1"/>
          <w:sz w:val="28"/>
          <w:szCs w:val="28"/>
        </w:rPr>
        <w:t xml:space="preserve">Conto energia) all'art. 3 comma 1 lettera c) riproduceva la nozione di cui ai dd.mm. 19 febbraio 20097 e 6 agosto 2010; in senso analogo, Cons. Stato, sez. IV,  n. 3984 del 2015, riferita alle tariffe incentivanti del Quarto conto energia,   secondo cui la condizione, prescritta per la prima volta dal d.m. 5 luglio 2012, secondo cui l’impianto non solo deve essere collegato in parallelo ma deve altresì funzionare materialmente ed immettere in contestualità energia in rete, non può che essere considerata come una nuova ed autonoma prescrizione relativa al Quinto Conto </w:t>
      </w:r>
      <w:r>
        <w:rPr>
          <w:rFonts w:ascii="Garamond" w:hAnsi="Garamond" w:cs="Times New Roman"/>
          <w:color w:val="000000" w:themeColor="text1"/>
          <w:sz w:val="28"/>
          <w:szCs w:val="28"/>
        </w:rPr>
        <w:t>e</w:t>
      </w:r>
      <w:r w:rsidRPr="003D586D">
        <w:rPr>
          <w:rFonts w:ascii="Garamond" w:hAnsi="Garamond" w:cs="Times New Roman"/>
          <w:color w:val="000000" w:themeColor="text1"/>
          <w:sz w:val="28"/>
          <w:szCs w:val="28"/>
        </w:rPr>
        <w:t>nergia, ed applicabile quindi, come tale, ai soli impianti che beneficiano delle relative tariffe incentivanti).</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Pr="006957A4" w:rsidRDefault="007B4920" w:rsidP="007B4920">
      <w:pPr>
        <w:spacing w:line="240" w:lineRule="auto"/>
        <w:contextualSpacing/>
        <w:jc w:val="both"/>
        <w:rPr>
          <w:rFonts w:ascii="Garamond" w:hAnsi="Garamond" w:cs="Times New Roman"/>
          <w:b/>
          <w:color w:val="000000" w:themeColor="text1"/>
          <w:sz w:val="28"/>
          <w:szCs w:val="28"/>
        </w:rPr>
      </w:pPr>
      <w:r w:rsidRPr="006957A4">
        <w:rPr>
          <w:rFonts w:ascii="Garamond" w:hAnsi="Garamond" w:cs="Times New Roman"/>
          <w:b/>
          <w:color w:val="000000" w:themeColor="text1"/>
          <w:sz w:val="28"/>
          <w:szCs w:val="28"/>
        </w:rPr>
        <w:t xml:space="preserve">7. </w:t>
      </w:r>
      <w:r>
        <w:rPr>
          <w:rFonts w:ascii="Garamond" w:hAnsi="Garamond" w:cs="Times New Roman"/>
          <w:b/>
          <w:color w:val="000000" w:themeColor="text1"/>
          <w:sz w:val="28"/>
          <w:szCs w:val="28"/>
        </w:rPr>
        <w:t>L’incentivazione</w:t>
      </w:r>
      <w:r w:rsidRPr="006957A4">
        <w:rPr>
          <w:rFonts w:ascii="Garamond" w:hAnsi="Garamond" w:cs="Times New Roman"/>
          <w:b/>
          <w:color w:val="000000" w:themeColor="text1"/>
          <w:sz w:val="28"/>
          <w:szCs w:val="28"/>
        </w:rPr>
        <w:t xml:space="preserve"> dell'</w:t>
      </w:r>
      <w:r>
        <w:rPr>
          <w:rFonts w:ascii="Garamond" w:hAnsi="Garamond" w:cs="Times New Roman"/>
          <w:b/>
          <w:color w:val="000000" w:themeColor="text1"/>
          <w:sz w:val="28"/>
          <w:szCs w:val="28"/>
        </w:rPr>
        <w:t>energia</w:t>
      </w:r>
      <w:r w:rsidRPr="006957A4">
        <w:rPr>
          <w:rFonts w:ascii="Garamond" w:hAnsi="Garamond" w:cs="Times New Roman"/>
          <w:b/>
          <w:color w:val="000000" w:themeColor="text1"/>
          <w:sz w:val="28"/>
          <w:szCs w:val="28"/>
        </w:rPr>
        <w:t xml:space="preserve"> elettrica prodotta da</w:t>
      </w:r>
      <w:r>
        <w:rPr>
          <w:rFonts w:ascii="Garamond" w:hAnsi="Garamond" w:cs="Times New Roman"/>
          <w:b/>
          <w:color w:val="000000" w:themeColor="text1"/>
          <w:sz w:val="28"/>
          <w:szCs w:val="28"/>
        </w:rPr>
        <w:t xml:space="preserve"> </w:t>
      </w:r>
      <w:r w:rsidRPr="006957A4">
        <w:rPr>
          <w:rFonts w:ascii="Garamond" w:hAnsi="Garamond" w:cs="Times New Roman"/>
          <w:b/>
          <w:color w:val="000000" w:themeColor="text1"/>
          <w:sz w:val="28"/>
          <w:szCs w:val="28"/>
        </w:rPr>
        <w:t>fonti rinnovabili diverse dal fotovoltaico</w:t>
      </w:r>
      <w:r>
        <w:rPr>
          <w:rFonts w:ascii="Garamond" w:hAnsi="Garamond" w:cs="Times New Roman"/>
          <w:b/>
          <w:color w:val="000000" w:themeColor="text1"/>
          <w:sz w:val="28"/>
          <w:szCs w:val="28"/>
        </w:rPr>
        <w:t>. Gli impianti idroelettrici.</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r w:rsidRPr="003056D2">
        <w:rPr>
          <w:rFonts w:ascii="Garamond" w:hAnsi="Garamond" w:cs="Times New Roman"/>
          <w:color w:val="000000" w:themeColor="text1"/>
          <w:sz w:val="28"/>
          <w:szCs w:val="28"/>
        </w:rPr>
        <w:t>C</w:t>
      </w:r>
      <w:r>
        <w:rPr>
          <w:rFonts w:ascii="Garamond" w:hAnsi="Garamond" w:cs="Times New Roman"/>
          <w:color w:val="000000" w:themeColor="text1"/>
          <w:sz w:val="28"/>
          <w:szCs w:val="28"/>
        </w:rPr>
        <w:t>on d.m. 23 giugno 2016, recante “</w:t>
      </w:r>
      <w:r>
        <w:rPr>
          <w:rFonts w:ascii="Garamond" w:hAnsi="Garamond" w:cs="Times New Roman"/>
          <w:i/>
          <w:color w:val="000000" w:themeColor="text1"/>
          <w:sz w:val="28"/>
          <w:szCs w:val="28"/>
        </w:rPr>
        <w:t>Incentivazione</w:t>
      </w:r>
      <w:r w:rsidRPr="00E17E34">
        <w:rPr>
          <w:rFonts w:ascii="Garamond" w:hAnsi="Garamond" w:cs="Times New Roman"/>
          <w:i/>
          <w:color w:val="000000" w:themeColor="text1"/>
          <w:sz w:val="28"/>
          <w:szCs w:val="28"/>
        </w:rPr>
        <w:t xml:space="preserve"> dell'</w:t>
      </w:r>
      <w:r>
        <w:rPr>
          <w:rFonts w:ascii="Garamond" w:hAnsi="Garamond" w:cs="Times New Roman"/>
          <w:i/>
          <w:color w:val="000000" w:themeColor="text1"/>
          <w:sz w:val="28"/>
          <w:szCs w:val="28"/>
        </w:rPr>
        <w:t>energia</w:t>
      </w:r>
      <w:r w:rsidRPr="00E17E34">
        <w:rPr>
          <w:rFonts w:ascii="Garamond" w:hAnsi="Garamond" w:cs="Times New Roman"/>
          <w:i/>
          <w:color w:val="000000" w:themeColor="text1"/>
          <w:sz w:val="28"/>
          <w:szCs w:val="28"/>
        </w:rPr>
        <w:t xml:space="preserve"> elettrica prodotta da fonti rinnovabili diverse dal fotovoltaico</w:t>
      </w:r>
      <w:r w:rsidRPr="003056D2">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sono state disciplinate</w:t>
      </w:r>
      <w:r w:rsidRPr="003056D2">
        <w:rPr>
          <w:rFonts w:ascii="Garamond" w:hAnsi="Garamond" w:cs="Times New Roman"/>
          <w:color w:val="000000" w:themeColor="text1"/>
          <w:sz w:val="28"/>
          <w:szCs w:val="28"/>
        </w:rPr>
        <w:t xml:space="preserve"> le modalità di ammissione ai meccanismi pubblici di</w:t>
      </w:r>
      <w:r>
        <w:rPr>
          <w:rFonts w:ascii="Garamond" w:hAnsi="Garamond" w:cs="Times New Roman"/>
          <w:color w:val="000000" w:themeColor="text1"/>
          <w:sz w:val="28"/>
          <w:szCs w:val="28"/>
        </w:rPr>
        <w:t xml:space="preserve"> incentivazione</w:t>
      </w:r>
      <w:r w:rsidRPr="003056D2">
        <w:rPr>
          <w:rFonts w:ascii="Garamond" w:hAnsi="Garamond" w:cs="Times New Roman"/>
          <w:color w:val="000000" w:themeColor="text1"/>
          <w:sz w:val="28"/>
          <w:szCs w:val="28"/>
        </w:rPr>
        <w:t xml:space="preserve"> per la produzione di </w:t>
      </w:r>
      <w:r>
        <w:rPr>
          <w:rFonts w:ascii="Garamond" w:hAnsi="Garamond" w:cs="Times New Roman"/>
          <w:color w:val="000000" w:themeColor="text1"/>
          <w:sz w:val="28"/>
          <w:szCs w:val="28"/>
        </w:rPr>
        <w:t>energia</w:t>
      </w:r>
      <w:r w:rsidRPr="003056D2">
        <w:rPr>
          <w:rFonts w:ascii="Garamond" w:hAnsi="Garamond" w:cs="Times New Roman"/>
          <w:color w:val="000000" w:themeColor="text1"/>
          <w:sz w:val="28"/>
          <w:szCs w:val="28"/>
        </w:rPr>
        <w:t xml:space="preserve"> elettrica da fonti rinnovabili</w:t>
      </w:r>
      <w:r>
        <w:rPr>
          <w:rFonts w:ascii="Garamond" w:hAnsi="Garamond" w:cs="Times New Roman"/>
          <w:color w:val="000000" w:themeColor="text1"/>
          <w:sz w:val="28"/>
          <w:szCs w:val="28"/>
        </w:rPr>
        <w:t xml:space="preserve"> </w:t>
      </w:r>
      <w:r w:rsidRPr="003056D2">
        <w:rPr>
          <w:rFonts w:ascii="Garamond" w:hAnsi="Garamond" w:cs="Times New Roman"/>
          <w:color w:val="000000" w:themeColor="text1"/>
          <w:sz w:val="28"/>
          <w:szCs w:val="28"/>
        </w:rPr>
        <w:t>diverse dal fotovoltaico, in attuazione dell’</w:t>
      </w:r>
      <w:r>
        <w:rPr>
          <w:rFonts w:ascii="Garamond" w:hAnsi="Garamond" w:cs="Times New Roman"/>
          <w:color w:val="000000" w:themeColor="text1"/>
          <w:sz w:val="28"/>
          <w:szCs w:val="28"/>
        </w:rPr>
        <w:t>indicata previsione dell’</w:t>
      </w:r>
      <w:r w:rsidRPr="003056D2">
        <w:rPr>
          <w:rFonts w:ascii="Garamond" w:hAnsi="Garamond" w:cs="Times New Roman"/>
          <w:color w:val="000000" w:themeColor="text1"/>
          <w:sz w:val="28"/>
          <w:szCs w:val="28"/>
        </w:rPr>
        <w:t>art. 24 d.lgs. n. 28 del 2011</w:t>
      </w:r>
      <w:r>
        <w:rPr>
          <w:rFonts w:ascii="Garamond" w:hAnsi="Garamond" w:cs="Times New Roman"/>
          <w:b/>
          <w:color w:val="000000" w:themeColor="text1"/>
          <w:sz w:val="28"/>
          <w:szCs w:val="28"/>
        </w:rPr>
        <w:t>.</w:t>
      </w:r>
    </w:p>
    <w:p w:rsidR="007B4920" w:rsidRPr="00850F05" w:rsidRDefault="007B4920" w:rsidP="007B4920">
      <w:pPr>
        <w:spacing w:line="240" w:lineRule="auto"/>
        <w:ind w:firstLine="709"/>
        <w:contextualSpacing/>
        <w:jc w:val="both"/>
        <w:rPr>
          <w:rFonts w:ascii="Garamond" w:hAnsi="Garamond" w:cs="Times New Roman"/>
          <w:color w:val="000000" w:themeColor="text1"/>
          <w:sz w:val="28"/>
          <w:szCs w:val="28"/>
        </w:rPr>
      </w:pPr>
      <w:r w:rsidRPr="00850F05">
        <w:rPr>
          <w:rFonts w:ascii="Garamond" w:hAnsi="Garamond" w:cs="Times New Roman"/>
          <w:color w:val="000000" w:themeColor="text1"/>
          <w:sz w:val="28"/>
          <w:szCs w:val="28"/>
        </w:rPr>
        <w:t xml:space="preserve">Una delle principali finalità del decreto è stata quella di fornire un primo adeguamento, della </w:t>
      </w:r>
      <w:r>
        <w:rPr>
          <w:rFonts w:ascii="Garamond" w:hAnsi="Garamond" w:cs="Times New Roman"/>
          <w:color w:val="000000" w:themeColor="text1"/>
          <w:sz w:val="28"/>
          <w:szCs w:val="28"/>
        </w:rPr>
        <w:t>normativa</w:t>
      </w:r>
      <w:r w:rsidRPr="00850F05">
        <w:rPr>
          <w:rFonts w:ascii="Garamond" w:hAnsi="Garamond" w:cs="Times New Roman"/>
          <w:color w:val="000000" w:themeColor="text1"/>
          <w:sz w:val="28"/>
          <w:szCs w:val="28"/>
        </w:rPr>
        <w:t xml:space="preserve"> esistente in materia di </w:t>
      </w:r>
      <w:r>
        <w:rPr>
          <w:rFonts w:ascii="Garamond" w:hAnsi="Garamond" w:cs="Times New Roman"/>
          <w:color w:val="000000" w:themeColor="text1"/>
          <w:sz w:val="28"/>
          <w:szCs w:val="28"/>
        </w:rPr>
        <w:t>incentivazione</w:t>
      </w:r>
      <w:r w:rsidRPr="00850F05">
        <w:rPr>
          <w:rFonts w:ascii="Garamond" w:hAnsi="Garamond" w:cs="Times New Roman"/>
          <w:color w:val="000000" w:themeColor="text1"/>
          <w:sz w:val="28"/>
          <w:szCs w:val="28"/>
        </w:rPr>
        <w:t xml:space="preserve"> alle fonti rinnovabili di </w:t>
      </w:r>
      <w:r>
        <w:rPr>
          <w:rFonts w:ascii="Garamond" w:hAnsi="Garamond" w:cs="Times New Roman"/>
          <w:color w:val="000000" w:themeColor="text1"/>
          <w:sz w:val="28"/>
          <w:szCs w:val="28"/>
        </w:rPr>
        <w:t>energia</w:t>
      </w:r>
      <w:r w:rsidRPr="00850F05">
        <w:rPr>
          <w:rFonts w:ascii="Garamond" w:hAnsi="Garamond" w:cs="Times New Roman"/>
          <w:color w:val="000000" w:themeColor="text1"/>
          <w:sz w:val="28"/>
          <w:szCs w:val="28"/>
        </w:rPr>
        <w:t>, alle linee guida in materia di aiuti di Stato per l’</w:t>
      </w:r>
      <w:r>
        <w:rPr>
          <w:rFonts w:ascii="Garamond" w:hAnsi="Garamond" w:cs="Times New Roman"/>
          <w:color w:val="000000" w:themeColor="text1"/>
          <w:sz w:val="28"/>
          <w:szCs w:val="28"/>
        </w:rPr>
        <w:t>energia</w:t>
      </w:r>
      <w:r w:rsidRPr="00850F05">
        <w:rPr>
          <w:rFonts w:ascii="Garamond" w:hAnsi="Garamond" w:cs="Times New Roman"/>
          <w:color w:val="000000" w:themeColor="text1"/>
          <w:sz w:val="28"/>
          <w:szCs w:val="28"/>
        </w:rPr>
        <w:t xml:space="preserve"> e l’ambiente di cui alla comunicazione della Commissione europea 2014/C 200/01. Queste ultime consentono un graduale adattamento della </w:t>
      </w:r>
      <w:r>
        <w:rPr>
          <w:rFonts w:ascii="Garamond" w:hAnsi="Garamond" w:cs="Times New Roman"/>
          <w:color w:val="000000" w:themeColor="text1"/>
          <w:sz w:val="28"/>
          <w:szCs w:val="28"/>
        </w:rPr>
        <w:t>normativa</w:t>
      </w:r>
      <w:r w:rsidRPr="00850F05">
        <w:rPr>
          <w:rFonts w:ascii="Garamond" w:hAnsi="Garamond" w:cs="Times New Roman"/>
          <w:color w:val="000000" w:themeColor="text1"/>
          <w:sz w:val="28"/>
          <w:szCs w:val="28"/>
        </w:rPr>
        <w:t xml:space="preserve"> sui regimi di sostegno, richiedendo che solo alcuni </w:t>
      </w:r>
      <w:bookmarkStart w:id="0" w:name="_GoBack"/>
      <w:bookmarkEnd w:id="0"/>
      <w:r w:rsidRPr="00850F05">
        <w:rPr>
          <w:rFonts w:ascii="Garamond" w:hAnsi="Garamond" w:cs="Times New Roman"/>
          <w:color w:val="000000" w:themeColor="text1"/>
          <w:sz w:val="28"/>
          <w:szCs w:val="28"/>
        </w:rPr>
        <w:t xml:space="preserve">requisiti siano improrogabilmente rispettati nell’arco di un periodo transitorio che si è concluso il 31 dicembre 2016. Dal 1° gennaio 2017 tutti gli aiuti di Stato in favore delle fonti rinnovabili all’interno dell’Unione </w:t>
      </w:r>
      <w:r>
        <w:rPr>
          <w:rFonts w:ascii="Garamond" w:hAnsi="Garamond" w:cs="Times New Roman"/>
          <w:color w:val="000000" w:themeColor="text1"/>
          <w:sz w:val="28"/>
          <w:szCs w:val="28"/>
        </w:rPr>
        <w:t>e</w:t>
      </w:r>
      <w:r w:rsidRPr="00850F05">
        <w:rPr>
          <w:rFonts w:ascii="Garamond" w:hAnsi="Garamond" w:cs="Times New Roman"/>
          <w:color w:val="000000" w:themeColor="text1"/>
          <w:sz w:val="28"/>
          <w:szCs w:val="28"/>
        </w:rPr>
        <w:t xml:space="preserve">uropea dovranno conformarsi pienamente alle sopra richiamate linee guida della Commissione </w:t>
      </w:r>
      <w:r>
        <w:rPr>
          <w:rFonts w:ascii="Garamond" w:hAnsi="Garamond" w:cs="Times New Roman"/>
          <w:color w:val="000000" w:themeColor="text1"/>
          <w:sz w:val="28"/>
          <w:szCs w:val="28"/>
        </w:rPr>
        <w:t>e</w:t>
      </w:r>
      <w:r w:rsidRPr="00850F05">
        <w:rPr>
          <w:rFonts w:ascii="Garamond" w:hAnsi="Garamond" w:cs="Times New Roman"/>
          <w:color w:val="000000" w:themeColor="text1"/>
          <w:sz w:val="28"/>
          <w:szCs w:val="28"/>
        </w:rPr>
        <w:t xml:space="preserve">uropea. Nel periodo transitorio necessario al pieno adeguamento degli strumenti di </w:t>
      </w:r>
      <w:r>
        <w:rPr>
          <w:rFonts w:ascii="Garamond" w:hAnsi="Garamond" w:cs="Times New Roman"/>
          <w:color w:val="000000" w:themeColor="text1"/>
          <w:sz w:val="28"/>
          <w:szCs w:val="28"/>
        </w:rPr>
        <w:t>incentivazione</w:t>
      </w:r>
      <w:r w:rsidRPr="00850F05">
        <w:rPr>
          <w:rFonts w:ascii="Garamond" w:hAnsi="Garamond" w:cs="Times New Roman"/>
          <w:color w:val="000000" w:themeColor="text1"/>
          <w:sz w:val="28"/>
          <w:szCs w:val="28"/>
        </w:rPr>
        <w:t xml:space="preserve"> alle nuove disposizioni comunitarie, il decreto ha assicurato la continuità al sostegno economico in favore della produzione di </w:t>
      </w:r>
      <w:r>
        <w:rPr>
          <w:rFonts w:ascii="Garamond" w:hAnsi="Garamond" w:cs="Times New Roman"/>
          <w:color w:val="000000" w:themeColor="text1"/>
          <w:sz w:val="28"/>
          <w:szCs w:val="28"/>
        </w:rPr>
        <w:t>energia</w:t>
      </w:r>
      <w:r w:rsidRPr="00850F05">
        <w:rPr>
          <w:rFonts w:ascii="Garamond" w:hAnsi="Garamond" w:cs="Times New Roman"/>
          <w:color w:val="000000" w:themeColor="text1"/>
          <w:sz w:val="28"/>
          <w:szCs w:val="28"/>
        </w:rPr>
        <w:t xml:space="preserve"> elettrica da fonti rinnovabili, nei limiti consentiti dai criteri dettati dalla </w:t>
      </w:r>
      <w:r>
        <w:rPr>
          <w:rFonts w:ascii="Garamond" w:hAnsi="Garamond" w:cs="Times New Roman"/>
          <w:color w:val="000000" w:themeColor="text1"/>
          <w:sz w:val="28"/>
          <w:szCs w:val="28"/>
        </w:rPr>
        <w:t xml:space="preserve">normativa primaria di riferimento (d.lgs. </w:t>
      </w:r>
      <w:r w:rsidRPr="00850F05">
        <w:rPr>
          <w:rFonts w:ascii="Garamond" w:hAnsi="Garamond" w:cs="Times New Roman"/>
          <w:color w:val="000000" w:themeColor="text1"/>
          <w:sz w:val="28"/>
          <w:szCs w:val="28"/>
        </w:rPr>
        <w:t>n. 28</w:t>
      </w:r>
      <w:r>
        <w:rPr>
          <w:rFonts w:ascii="Garamond" w:hAnsi="Garamond" w:cs="Times New Roman"/>
          <w:color w:val="000000" w:themeColor="text1"/>
          <w:sz w:val="28"/>
          <w:szCs w:val="28"/>
        </w:rPr>
        <w:t xml:space="preserve"> del 2011</w:t>
      </w:r>
      <w:r w:rsidRPr="00850F05">
        <w:rPr>
          <w:rFonts w:ascii="Garamond" w:hAnsi="Garamond" w:cs="Times New Roman"/>
          <w:color w:val="000000" w:themeColor="text1"/>
          <w:sz w:val="28"/>
          <w:szCs w:val="28"/>
        </w:rPr>
        <w:t>).</w:t>
      </w:r>
    </w:p>
    <w:p w:rsidR="007B4920" w:rsidRPr="00850F05" w:rsidRDefault="007B4920" w:rsidP="007B4920">
      <w:pPr>
        <w:spacing w:line="240" w:lineRule="auto"/>
        <w:ind w:firstLine="709"/>
        <w:contextualSpacing/>
        <w:jc w:val="both"/>
        <w:rPr>
          <w:rFonts w:ascii="Garamond" w:hAnsi="Garamond" w:cs="Times New Roman"/>
          <w:color w:val="000000" w:themeColor="text1"/>
          <w:sz w:val="28"/>
          <w:szCs w:val="28"/>
        </w:rPr>
      </w:pPr>
      <w:r w:rsidRPr="00850F05">
        <w:rPr>
          <w:rFonts w:ascii="Garamond" w:hAnsi="Garamond" w:cs="Times New Roman"/>
          <w:color w:val="000000" w:themeColor="text1"/>
          <w:sz w:val="28"/>
          <w:szCs w:val="28"/>
        </w:rPr>
        <w:t xml:space="preserve">In particolare, il decreto ha essenzialmente mantenuto l’impostazione della previgente disciplina di </w:t>
      </w:r>
      <w:r>
        <w:rPr>
          <w:rFonts w:ascii="Garamond" w:hAnsi="Garamond" w:cs="Times New Roman"/>
          <w:color w:val="000000" w:themeColor="text1"/>
          <w:sz w:val="28"/>
          <w:szCs w:val="28"/>
        </w:rPr>
        <w:t>incentivazione</w:t>
      </w:r>
      <w:r w:rsidRPr="00850F05">
        <w:rPr>
          <w:rFonts w:ascii="Garamond" w:hAnsi="Garamond" w:cs="Times New Roman"/>
          <w:color w:val="000000" w:themeColor="text1"/>
          <w:sz w:val="28"/>
          <w:szCs w:val="28"/>
        </w:rPr>
        <w:t xml:space="preserve"> alla produzione di </w:t>
      </w:r>
      <w:r>
        <w:rPr>
          <w:rFonts w:ascii="Garamond" w:hAnsi="Garamond" w:cs="Times New Roman"/>
          <w:color w:val="000000" w:themeColor="text1"/>
          <w:sz w:val="28"/>
          <w:szCs w:val="28"/>
        </w:rPr>
        <w:t>energia</w:t>
      </w:r>
      <w:r w:rsidRPr="00850F05">
        <w:rPr>
          <w:rFonts w:ascii="Garamond" w:hAnsi="Garamond" w:cs="Times New Roman"/>
          <w:color w:val="000000" w:themeColor="text1"/>
          <w:sz w:val="28"/>
          <w:szCs w:val="28"/>
        </w:rPr>
        <w:t xml:space="preserve"> elettrica da fonti rinnovabili definita dal </w:t>
      </w:r>
      <w:r>
        <w:rPr>
          <w:rFonts w:ascii="Garamond" w:hAnsi="Garamond" w:cs="Times New Roman"/>
          <w:color w:val="000000" w:themeColor="text1"/>
          <w:sz w:val="28"/>
          <w:szCs w:val="28"/>
        </w:rPr>
        <w:t xml:space="preserve">d.m. </w:t>
      </w:r>
      <w:r w:rsidRPr="00850F05">
        <w:rPr>
          <w:rFonts w:ascii="Garamond" w:hAnsi="Garamond" w:cs="Times New Roman"/>
          <w:color w:val="000000" w:themeColor="text1"/>
          <w:sz w:val="28"/>
          <w:szCs w:val="28"/>
        </w:rPr>
        <w:t>6 luglio 2012, soprattutto per quanto riguarda le modalità di accesso all’</w:t>
      </w:r>
      <w:r>
        <w:rPr>
          <w:rFonts w:ascii="Garamond" w:hAnsi="Garamond" w:cs="Times New Roman"/>
          <w:color w:val="000000" w:themeColor="text1"/>
          <w:sz w:val="28"/>
          <w:szCs w:val="28"/>
        </w:rPr>
        <w:t>incentivazione</w:t>
      </w:r>
      <w:r w:rsidRPr="00850F05">
        <w:rPr>
          <w:rFonts w:ascii="Garamond" w:hAnsi="Garamond" w:cs="Times New Roman"/>
          <w:color w:val="000000" w:themeColor="text1"/>
          <w:sz w:val="28"/>
          <w:szCs w:val="28"/>
        </w:rPr>
        <w:t xml:space="preserve"> (aste e registri per gli impianti più grandi, accesso diretto per gli impianti di potenza minore) e la tipologia di incentivo (</w:t>
      </w:r>
      <w:r w:rsidRPr="00E17E34">
        <w:rPr>
          <w:rFonts w:ascii="Garamond" w:hAnsi="Garamond" w:cs="Times New Roman"/>
          <w:i/>
          <w:color w:val="000000" w:themeColor="text1"/>
          <w:sz w:val="28"/>
          <w:szCs w:val="28"/>
        </w:rPr>
        <w:t>feed in premium</w:t>
      </w:r>
      <w:r w:rsidRPr="00850F05">
        <w:rPr>
          <w:rFonts w:ascii="Garamond" w:hAnsi="Garamond" w:cs="Times New Roman"/>
          <w:color w:val="000000" w:themeColor="text1"/>
          <w:sz w:val="28"/>
          <w:szCs w:val="28"/>
        </w:rPr>
        <w:t>).</w:t>
      </w:r>
    </w:p>
    <w:p w:rsidR="007B4920" w:rsidRPr="00850F05" w:rsidRDefault="007B4920" w:rsidP="007B4920">
      <w:pPr>
        <w:spacing w:line="240" w:lineRule="auto"/>
        <w:ind w:firstLine="709"/>
        <w:contextualSpacing/>
        <w:jc w:val="both"/>
        <w:rPr>
          <w:rFonts w:ascii="Garamond" w:hAnsi="Garamond" w:cs="Times New Roman"/>
          <w:color w:val="000000" w:themeColor="text1"/>
          <w:sz w:val="28"/>
          <w:szCs w:val="28"/>
        </w:rPr>
      </w:pPr>
      <w:r w:rsidRPr="00850F05">
        <w:rPr>
          <w:rFonts w:ascii="Garamond" w:hAnsi="Garamond" w:cs="Times New Roman"/>
          <w:color w:val="000000" w:themeColor="text1"/>
          <w:sz w:val="28"/>
          <w:szCs w:val="28"/>
        </w:rPr>
        <w:t>Tenuto conto delle mutate condizioni di contesto sono state poi apportate alcune novità, ad esempio, i contingenti di potenza elettrica incent</w:t>
      </w:r>
      <w:r>
        <w:rPr>
          <w:rFonts w:ascii="Garamond" w:hAnsi="Garamond" w:cs="Times New Roman"/>
          <w:color w:val="000000" w:themeColor="text1"/>
          <w:sz w:val="28"/>
          <w:szCs w:val="28"/>
        </w:rPr>
        <w:t>iva</w:t>
      </w:r>
      <w:r w:rsidRPr="00850F05">
        <w:rPr>
          <w:rFonts w:ascii="Garamond" w:hAnsi="Garamond" w:cs="Times New Roman"/>
          <w:color w:val="000000" w:themeColor="text1"/>
          <w:sz w:val="28"/>
          <w:szCs w:val="28"/>
        </w:rPr>
        <w:t xml:space="preserve">bile sono stati predisposti e dimensionati in modo da offrire sostegno alle tipologie di installazioni immediatamente cantierabili, lasciando impregiudicata la potenziale futura eleggibilità delle altre tipologie di impianto nell’ambito di eventuali ulteriori provvedimenti di </w:t>
      </w:r>
      <w:r>
        <w:rPr>
          <w:rFonts w:ascii="Garamond" w:hAnsi="Garamond" w:cs="Times New Roman"/>
          <w:color w:val="000000" w:themeColor="text1"/>
          <w:sz w:val="28"/>
          <w:szCs w:val="28"/>
        </w:rPr>
        <w:t>incentivazione</w:t>
      </w:r>
      <w:r w:rsidRPr="00850F05">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850F05">
        <w:rPr>
          <w:rFonts w:ascii="Garamond" w:hAnsi="Garamond" w:cs="Times New Roman"/>
          <w:color w:val="000000" w:themeColor="text1"/>
          <w:sz w:val="28"/>
          <w:szCs w:val="28"/>
        </w:rPr>
        <w:t xml:space="preserve">Nella medesima </w:t>
      </w:r>
      <w:r>
        <w:rPr>
          <w:rFonts w:ascii="Garamond" w:hAnsi="Garamond" w:cs="Times New Roman"/>
          <w:color w:val="000000" w:themeColor="text1"/>
          <w:sz w:val="28"/>
          <w:szCs w:val="28"/>
        </w:rPr>
        <w:t>prospettiva</w:t>
      </w:r>
      <w:r w:rsidRPr="00850F05">
        <w:rPr>
          <w:rFonts w:ascii="Garamond" w:hAnsi="Garamond" w:cs="Times New Roman"/>
          <w:color w:val="000000" w:themeColor="text1"/>
          <w:sz w:val="28"/>
          <w:szCs w:val="28"/>
        </w:rPr>
        <w:t>, i criteri di priorità per la formazione della graduatoria dei registri e delle aste tengono conto anche dell’anteriorità dei titoli autorizzativi/concessori, in modo da favorire la selezione dei progetti quanto più prossimi alla realizzazione.</w:t>
      </w:r>
    </w:p>
    <w:p w:rsidR="007B4920" w:rsidRPr="009D424E" w:rsidRDefault="007B4920" w:rsidP="007B4920">
      <w:pPr>
        <w:spacing w:line="240" w:lineRule="auto"/>
        <w:ind w:firstLine="709"/>
        <w:contextualSpacing/>
        <w:jc w:val="both"/>
        <w:rPr>
          <w:rFonts w:ascii="Garamond" w:hAnsi="Garamond" w:cs="Times New Roman"/>
          <w:color w:val="000000" w:themeColor="text1"/>
          <w:sz w:val="28"/>
          <w:szCs w:val="28"/>
        </w:rPr>
      </w:pPr>
      <w:r w:rsidRPr="009D424E">
        <w:rPr>
          <w:rFonts w:ascii="Garamond" w:hAnsi="Garamond" w:cs="Times New Roman"/>
          <w:color w:val="000000" w:themeColor="text1"/>
          <w:sz w:val="28"/>
          <w:szCs w:val="28"/>
        </w:rPr>
        <w:t>L’art. 9 del d.m. ha poi demandato al G</w:t>
      </w:r>
      <w:r>
        <w:rPr>
          <w:rFonts w:ascii="Garamond" w:hAnsi="Garamond" w:cs="Times New Roman"/>
          <w:color w:val="000000" w:themeColor="text1"/>
          <w:sz w:val="28"/>
          <w:szCs w:val="28"/>
        </w:rPr>
        <w:t>.</w:t>
      </w:r>
      <w:r w:rsidRPr="009D424E">
        <w:rPr>
          <w:rFonts w:ascii="Garamond" w:hAnsi="Garamond" w:cs="Times New Roman"/>
          <w:color w:val="000000" w:themeColor="text1"/>
          <w:sz w:val="28"/>
          <w:szCs w:val="28"/>
        </w:rPr>
        <w:t>s.e. la pubblicazione di un bando per l’iscrizione degli operatori all’apposito registro informatico, con fissazione dei contingenti massimi di potenza incent</w:t>
      </w:r>
      <w:r>
        <w:rPr>
          <w:rFonts w:ascii="Garamond" w:hAnsi="Garamond" w:cs="Times New Roman"/>
          <w:color w:val="000000" w:themeColor="text1"/>
          <w:sz w:val="28"/>
          <w:szCs w:val="28"/>
        </w:rPr>
        <w:t>iva</w:t>
      </w:r>
      <w:r w:rsidRPr="009D424E">
        <w:rPr>
          <w:rFonts w:ascii="Garamond" w:hAnsi="Garamond" w:cs="Times New Roman"/>
          <w:color w:val="000000" w:themeColor="text1"/>
          <w:sz w:val="28"/>
          <w:szCs w:val="28"/>
        </w:rPr>
        <w:t>bili per ciascuna fonte e tipologia di impianto.</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9D424E">
        <w:rPr>
          <w:rFonts w:ascii="Garamond" w:hAnsi="Garamond" w:cs="Times New Roman"/>
          <w:color w:val="000000" w:themeColor="text1"/>
          <w:sz w:val="28"/>
          <w:szCs w:val="28"/>
        </w:rPr>
        <w:t>L’art. 10 ha invece fissato i requisiti e le modalità per la richiesta di iscrizione al registro ed i relativi criteri di selezione.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9D424E">
        <w:rPr>
          <w:rFonts w:ascii="Garamond" w:hAnsi="Garamond" w:cs="Times New Roman"/>
          <w:color w:val="000000" w:themeColor="text1"/>
          <w:sz w:val="28"/>
          <w:szCs w:val="28"/>
        </w:rPr>
        <w:t>Le previsioni del decreto sono poi ulteriormente declinate dalle procedure applicative appr</w:t>
      </w:r>
      <w:r>
        <w:rPr>
          <w:rFonts w:ascii="Garamond" w:hAnsi="Garamond" w:cs="Times New Roman"/>
          <w:color w:val="000000" w:themeColor="text1"/>
          <w:sz w:val="28"/>
          <w:szCs w:val="28"/>
        </w:rPr>
        <w:t>ovate dal Gse il 15 luglio 2016.</w:t>
      </w:r>
    </w:p>
    <w:p w:rsidR="007B4920" w:rsidRPr="009D424E" w:rsidRDefault="007B4920" w:rsidP="007B4920">
      <w:pPr>
        <w:spacing w:line="240" w:lineRule="auto"/>
        <w:ind w:firstLine="709"/>
        <w:contextualSpacing/>
        <w:jc w:val="both"/>
        <w:rPr>
          <w:rFonts w:ascii="Garamond" w:hAnsi="Garamond" w:cs="Times New Roman"/>
          <w:color w:val="000000" w:themeColor="text1"/>
          <w:sz w:val="28"/>
          <w:szCs w:val="28"/>
        </w:rPr>
      </w:pPr>
      <w:r w:rsidRPr="009D424E">
        <w:rPr>
          <w:rFonts w:ascii="Garamond" w:hAnsi="Garamond" w:cs="Times New Roman"/>
          <w:color w:val="000000" w:themeColor="text1"/>
          <w:sz w:val="28"/>
          <w:szCs w:val="28"/>
        </w:rPr>
        <w:t xml:space="preserve">Il G.s.e., con atto del 20 agosto 2016, ha quindi adottato il bando pubblico per l’iscrizione ai diversi registri informatici, comunicando gli specifici requisiti e le modalità </w:t>
      </w:r>
      <w:r w:rsidRPr="009D424E">
        <w:rPr>
          <w:rFonts w:ascii="Garamond" w:hAnsi="Garamond" w:cs="Times New Roman"/>
          <w:color w:val="000000" w:themeColor="text1"/>
          <w:sz w:val="28"/>
          <w:szCs w:val="28"/>
        </w:rPr>
        <w:lastRenderedPageBreak/>
        <w:t>per la richiesta di iscrizione, tra i quali anche quelli relativi al registro n. IDRO_RG2016 per gli impianti idroelettrici.</w:t>
      </w:r>
    </w:p>
    <w:p w:rsidR="007B4920" w:rsidRPr="00850F05" w:rsidRDefault="007B4920" w:rsidP="007B4920">
      <w:pPr>
        <w:spacing w:line="240" w:lineRule="auto"/>
        <w:ind w:firstLine="709"/>
        <w:contextualSpacing/>
        <w:jc w:val="both"/>
        <w:rPr>
          <w:rFonts w:ascii="Garamond" w:hAnsi="Garamond" w:cs="Times New Roman"/>
          <w:color w:val="000000" w:themeColor="text1"/>
          <w:sz w:val="28"/>
          <w:szCs w:val="28"/>
        </w:rPr>
      </w:pPr>
      <w:r w:rsidRPr="009D424E">
        <w:rPr>
          <w:rFonts w:ascii="Garamond" w:hAnsi="Garamond" w:cs="Times New Roman"/>
          <w:color w:val="000000" w:themeColor="text1"/>
          <w:sz w:val="28"/>
          <w:szCs w:val="28"/>
        </w:rPr>
        <w:t>La graduatoria degli impianti idroelettrici di quest’ultimo registro, che rientravano nel limite di contingente di potenza previsto (Tabella A), è stata quindi pubblicata in data 25 novembre 2016.</w:t>
      </w:r>
      <w:r w:rsidRPr="009D424E">
        <w:t xml:space="preserve"> </w:t>
      </w:r>
      <w:r w:rsidRPr="009D424E">
        <w:rPr>
          <w:rFonts w:ascii="Garamond" w:hAnsi="Garamond" w:cs="Times New Roman"/>
          <w:color w:val="000000" w:themeColor="text1"/>
          <w:sz w:val="28"/>
          <w:szCs w:val="28"/>
        </w:rPr>
        <w:t>(Cons. Stato, sez. IV, n. 6520 del 2020).</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Ai fini dell’applicazione del criterio di priorità dell’anteriorità del titolo autorizzativo previsto per la formazione della graduatoria dei registri dall’art. 10 comma 3, lett. g, d.m. </w:t>
      </w:r>
      <w:r w:rsidRPr="00F00ACF">
        <w:rPr>
          <w:rFonts w:ascii="Garamond" w:hAnsi="Garamond" w:cs="Times New Roman"/>
          <w:color w:val="000000" w:themeColor="text1"/>
          <w:sz w:val="28"/>
          <w:szCs w:val="28"/>
        </w:rPr>
        <w:t>23 giugno 2016</w:t>
      </w:r>
      <w:r>
        <w:rPr>
          <w:rFonts w:ascii="Garamond" w:hAnsi="Garamond" w:cs="Times New Roman"/>
          <w:color w:val="000000" w:themeColor="text1"/>
          <w:sz w:val="28"/>
          <w:szCs w:val="28"/>
        </w:rPr>
        <w:t xml:space="preserve">,  </w:t>
      </w:r>
      <w:r w:rsidRPr="002F081B">
        <w:rPr>
          <w:rFonts w:ascii="Garamond" w:hAnsi="Garamond" w:cs="Times New Roman"/>
          <w:color w:val="000000" w:themeColor="text1"/>
          <w:sz w:val="28"/>
          <w:szCs w:val="28"/>
        </w:rPr>
        <w:t>la data rilevante è quella in cui</w:t>
      </w:r>
      <w:r>
        <w:rPr>
          <w:rFonts w:ascii="Garamond" w:hAnsi="Garamond" w:cs="Times New Roman"/>
          <w:color w:val="000000" w:themeColor="text1"/>
          <w:sz w:val="28"/>
          <w:szCs w:val="28"/>
        </w:rPr>
        <w:t xml:space="preserve"> </w:t>
      </w:r>
      <w:r w:rsidRPr="002F081B">
        <w:rPr>
          <w:rFonts w:ascii="Garamond" w:hAnsi="Garamond" w:cs="Times New Roman"/>
          <w:color w:val="000000" w:themeColor="text1"/>
          <w:sz w:val="28"/>
          <w:szCs w:val="28"/>
        </w:rPr>
        <w:t>l’Amministrazione competente ha rilasciato l’atto conclusivo del</w:t>
      </w:r>
      <w:r>
        <w:rPr>
          <w:rFonts w:ascii="Garamond" w:hAnsi="Garamond" w:cs="Times New Roman"/>
          <w:color w:val="000000" w:themeColor="text1"/>
          <w:sz w:val="28"/>
          <w:szCs w:val="28"/>
        </w:rPr>
        <w:t xml:space="preserve"> </w:t>
      </w:r>
      <w:r w:rsidRPr="002F081B">
        <w:rPr>
          <w:rFonts w:ascii="Garamond" w:hAnsi="Garamond" w:cs="Times New Roman"/>
          <w:color w:val="000000" w:themeColor="text1"/>
          <w:sz w:val="28"/>
          <w:szCs w:val="28"/>
        </w:rPr>
        <w:t>procedimento di autorizzazione, e quindi l’atto sostanzialmente idoneo a</w:t>
      </w:r>
      <w:r>
        <w:rPr>
          <w:rFonts w:ascii="Garamond" w:hAnsi="Garamond" w:cs="Times New Roman"/>
          <w:color w:val="000000" w:themeColor="text1"/>
          <w:sz w:val="28"/>
          <w:szCs w:val="28"/>
        </w:rPr>
        <w:t xml:space="preserve"> </w:t>
      </w:r>
      <w:r w:rsidRPr="002F081B">
        <w:rPr>
          <w:rFonts w:ascii="Garamond" w:hAnsi="Garamond" w:cs="Times New Roman"/>
          <w:color w:val="000000" w:themeColor="text1"/>
          <w:sz w:val="28"/>
          <w:szCs w:val="28"/>
        </w:rPr>
        <w:t>garantire l’effettivo avvio in produzione dell’impianto richiedente l’accesso al</w:t>
      </w:r>
      <w:r>
        <w:rPr>
          <w:rFonts w:ascii="Garamond" w:hAnsi="Garamond" w:cs="Times New Roman"/>
          <w:color w:val="000000" w:themeColor="text1"/>
          <w:sz w:val="28"/>
          <w:szCs w:val="28"/>
        </w:rPr>
        <w:t xml:space="preserve"> </w:t>
      </w:r>
      <w:r w:rsidRPr="002F081B">
        <w:rPr>
          <w:rFonts w:ascii="Garamond" w:hAnsi="Garamond" w:cs="Times New Roman"/>
          <w:color w:val="000000" w:themeColor="text1"/>
          <w:sz w:val="28"/>
          <w:szCs w:val="28"/>
        </w:rPr>
        <w:t>benefic</w:t>
      </w:r>
      <w:r>
        <w:rPr>
          <w:rFonts w:ascii="Garamond" w:hAnsi="Garamond" w:cs="Times New Roman"/>
          <w:color w:val="000000" w:themeColor="text1"/>
          <w:sz w:val="28"/>
          <w:szCs w:val="28"/>
        </w:rPr>
        <w:t xml:space="preserve">io economico, a prescindere dal </w:t>
      </w:r>
      <w:r w:rsidRPr="002F081B">
        <w:rPr>
          <w:rFonts w:ascii="Garamond" w:hAnsi="Garamond" w:cs="Times New Roman"/>
          <w:i/>
          <w:color w:val="000000" w:themeColor="text1"/>
          <w:sz w:val="28"/>
          <w:szCs w:val="28"/>
        </w:rPr>
        <w:t>nomen iuris</w:t>
      </w:r>
      <w:r>
        <w:rPr>
          <w:rFonts w:ascii="Garamond" w:hAnsi="Garamond" w:cs="Times New Roman"/>
          <w:color w:val="000000" w:themeColor="text1"/>
          <w:sz w:val="28"/>
          <w:szCs w:val="28"/>
        </w:rPr>
        <w:t xml:space="preserve"> </w:t>
      </w:r>
      <w:r w:rsidRPr="002F081B">
        <w:rPr>
          <w:rFonts w:ascii="Garamond" w:hAnsi="Garamond" w:cs="Times New Roman"/>
          <w:color w:val="000000" w:themeColor="text1"/>
          <w:sz w:val="28"/>
          <w:szCs w:val="28"/>
        </w:rPr>
        <w:t>del provvedimento di volta</w:t>
      </w:r>
      <w:r>
        <w:rPr>
          <w:rFonts w:ascii="Garamond" w:hAnsi="Garamond" w:cs="Times New Roman"/>
          <w:color w:val="000000" w:themeColor="text1"/>
          <w:sz w:val="28"/>
          <w:szCs w:val="28"/>
        </w:rPr>
        <w:t xml:space="preserve"> </w:t>
      </w:r>
      <w:r w:rsidRPr="002F081B">
        <w:rPr>
          <w:rFonts w:ascii="Garamond" w:hAnsi="Garamond" w:cs="Times New Roman"/>
          <w:color w:val="000000" w:themeColor="text1"/>
          <w:sz w:val="28"/>
          <w:szCs w:val="28"/>
        </w:rPr>
        <w:t>in volta preso in considerazione, essendo indifferente che nella specie si tratti</w:t>
      </w:r>
      <w:r>
        <w:rPr>
          <w:rFonts w:ascii="Garamond" w:hAnsi="Garamond" w:cs="Times New Roman"/>
          <w:color w:val="000000" w:themeColor="text1"/>
          <w:sz w:val="28"/>
          <w:szCs w:val="28"/>
        </w:rPr>
        <w:t xml:space="preserve"> </w:t>
      </w:r>
      <w:r w:rsidRPr="002F081B">
        <w:rPr>
          <w:rFonts w:ascii="Garamond" w:hAnsi="Garamond" w:cs="Times New Roman"/>
          <w:color w:val="000000" w:themeColor="text1"/>
          <w:sz w:val="28"/>
          <w:szCs w:val="28"/>
        </w:rPr>
        <w:t>di autorizzazione o di denuncia inizio attività o di un permesso di</w:t>
      </w:r>
      <w:r>
        <w:rPr>
          <w:rFonts w:ascii="Garamond" w:hAnsi="Garamond" w:cs="Times New Roman"/>
          <w:color w:val="000000" w:themeColor="text1"/>
          <w:sz w:val="28"/>
          <w:szCs w:val="28"/>
        </w:rPr>
        <w:t xml:space="preserve"> </w:t>
      </w:r>
      <w:r w:rsidRPr="002F081B">
        <w:rPr>
          <w:rFonts w:ascii="Garamond" w:hAnsi="Garamond" w:cs="Times New Roman"/>
          <w:color w:val="000000" w:themeColor="text1"/>
          <w:sz w:val="28"/>
          <w:szCs w:val="28"/>
        </w:rPr>
        <w:t>costruire, assumendo rilievo unicamente la data di conclusione favorevole</w:t>
      </w:r>
      <w:r>
        <w:rPr>
          <w:rFonts w:ascii="Garamond" w:hAnsi="Garamond" w:cs="Times New Roman"/>
          <w:color w:val="000000" w:themeColor="text1"/>
          <w:sz w:val="28"/>
          <w:szCs w:val="28"/>
        </w:rPr>
        <w:t xml:space="preserve"> </w:t>
      </w:r>
      <w:r w:rsidRPr="002F081B">
        <w:rPr>
          <w:rFonts w:ascii="Garamond" w:hAnsi="Garamond" w:cs="Times New Roman"/>
          <w:color w:val="000000" w:themeColor="text1"/>
          <w:sz w:val="28"/>
          <w:szCs w:val="28"/>
        </w:rPr>
        <w:t>dell’iter amministrativo che abilita la costruzi</w:t>
      </w:r>
      <w:r>
        <w:rPr>
          <w:rFonts w:ascii="Garamond" w:hAnsi="Garamond" w:cs="Times New Roman"/>
          <w:color w:val="000000" w:themeColor="text1"/>
          <w:sz w:val="28"/>
          <w:szCs w:val="28"/>
        </w:rPr>
        <w:t xml:space="preserve">one e l’esercizio dell’impianto come peraltro evincibile dalle procedure applicative [Cons. Stato, sez. IV,  n. 6520 del 2020 cit.  (intervenuta sull’appello proposto da due società titolari di impianti idroelettrici avverso la sentenza del T.a.r. per il Lazio relativa a graduatoria per l’accesso agli incentivi per gli impianti idroelettrici adotta dal G.s.e. e pubblicata il 25 novembre 2016 e all’impugnativa dell’art. 10,  comma 3,  d.m. </w:t>
      </w:r>
      <w:r w:rsidRPr="000F1F7C">
        <w:rPr>
          <w:rFonts w:ascii="Garamond" w:hAnsi="Garamond" w:cs="Times New Roman"/>
          <w:color w:val="000000" w:themeColor="text1"/>
          <w:sz w:val="28"/>
          <w:szCs w:val="28"/>
        </w:rPr>
        <w:t>23 giugno 2016</w:t>
      </w:r>
      <w:r>
        <w:rPr>
          <w:rFonts w:ascii="Garamond" w:hAnsi="Garamond" w:cs="Times New Roman"/>
          <w:color w:val="000000" w:themeColor="text1"/>
          <w:sz w:val="28"/>
          <w:szCs w:val="28"/>
        </w:rPr>
        <w:t xml:space="preserve"> che attribuisce priorità alla “</w:t>
      </w:r>
      <w:r w:rsidRPr="00056947">
        <w:rPr>
          <w:rFonts w:ascii="Garamond" w:hAnsi="Garamond" w:cs="Times New Roman"/>
          <w:color w:val="000000" w:themeColor="text1"/>
          <w:sz w:val="28"/>
          <w:szCs w:val="28"/>
        </w:rPr>
        <w:t>anteriorità del titolo autorizzativo”,</w:t>
      </w:r>
      <w:r w:rsidRPr="000F1F7C">
        <w:rPr>
          <w:rFonts w:ascii="Garamond" w:hAnsi="Garamond" w:cs="Times New Roman"/>
          <w:color w:val="000000" w:themeColor="text1"/>
          <w:sz w:val="28"/>
          <w:szCs w:val="28"/>
        </w:rPr>
        <w:t xml:space="preserve"> ove interpretato nel senso che la nozione di “titolo</w:t>
      </w:r>
      <w:r>
        <w:rPr>
          <w:rFonts w:ascii="Garamond" w:hAnsi="Garamond" w:cs="Times New Roman"/>
          <w:color w:val="000000" w:themeColor="text1"/>
          <w:sz w:val="28"/>
          <w:szCs w:val="28"/>
        </w:rPr>
        <w:t xml:space="preserve"> </w:t>
      </w:r>
      <w:r w:rsidRPr="000F1F7C">
        <w:rPr>
          <w:rFonts w:ascii="Garamond" w:hAnsi="Garamond" w:cs="Times New Roman"/>
          <w:color w:val="000000" w:themeColor="text1"/>
          <w:sz w:val="28"/>
          <w:szCs w:val="28"/>
        </w:rPr>
        <w:t>autorizzativo” non coincide con l’ultimo atto di assenso emesso tale da</w:t>
      </w:r>
      <w:r>
        <w:rPr>
          <w:rFonts w:ascii="Garamond" w:hAnsi="Garamond" w:cs="Times New Roman"/>
          <w:color w:val="000000" w:themeColor="text1"/>
          <w:sz w:val="28"/>
          <w:szCs w:val="28"/>
        </w:rPr>
        <w:t xml:space="preserve"> </w:t>
      </w:r>
      <w:r w:rsidRPr="000F1F7C">
        <w:rPr>
          <w:rFonts w:ascii="Garamond" w:hAnsi="Garamond" w:cs="Times New Roman"/>
          <w:color w:val="000000" w:themeColor="text1"/>
          <w:sz w:val="28"/>
          <w:szCs w:val="28"/>
        </w:rPr>
        <w:t>consentire l’avvio dei lavori,</w:t>
      </w:r>
      <w:r>
        <w:rPr>
          <w:rFonts w:ascii="Garamond" w:hAnsi="Garamond" w:cs="Times New Roman"/>
          <w:color w:val="000000" w:themeColor="text1"/>
          <w:sz w:val="28"/>
          <w:szCs w:val="28"/>
        </w:rPr>
        <w:t xml:space="preserve"> nonché dell’art. 10 comma 5 del medesimo d.m. secondo cui “</w:t>
      </w:r>
      <w:r w:rsidRPr="00056947">
        <w:rPr>
          <w:rFonts w:ascii="Garamond" w:hAnsi="Garamond" w:cs="Times New Roman"/>
          <w:i/>
          <w:color w:val="000000" w:themeColor="text1"/>
          <w:sz w:val="28"/>
          <w:szCs w:val="28"/>
        </w:rPr>
        <w:t>La graduatoria formata a seguito dell'iscrizione al registro non è soggetta a scorrimento fatto salvo l'art. 11, comma 4</w:t>
      </w:r>
      <w:r w:rsidRPr="000F1F7C">
        <w:rPr>
          <w:rFonts w:ascii="Garamond" w:hAnsi="Garamond" w:cs="Times New Roman"/>
          <w:color w:val="000000" w:themeColor="text1"/>
          <w:sz w:val="28"/>
          <w:szCs w:val="28"/>
        </w:rPr>
        <w:t>”, laddove interpretato nel senso di non</w:t>
      </w:r>
      <w:r>
        <w:rPr>
          <w:rFonts w:ascii="Garamond" w:hAnsi="Garamond" w:cs="Times New Roman"/>
          <w:color w:val="000000" w:themeColor="text1"/>
          <w:sz w:val="28"/>
          <w:szCs w:val="28"/>
        </w:rPr>
        <w:t xml:space="preserve"> </w:t>
      </w:r>
      <w:r w:rsidRPr="000F1F7C">
        <w:rPr>
          <w:rFonts w:ascii="Garamond" w:hAnsi="Garamond" w:cs="Times New Roman"/>
          <w:color w:val="000000" w:themeColor="text1"/>
          <w:sz w:val="28"/>
          <w:szCs w:val="28"/>
        </w:rPr>
        <w:t>consentire lo scorrimento della graduatoria per escludere gli impianti che vi</w:t>
      </w:r>
      <w:r>
        <w:rPr>
          <w:rFonts w:ascii="Garamond" w:hAnsi="Garamond" w:cs="Times New Roman"/>
          <w:color w:val="000000" w:themeColor="text1"/>
          <w:sz w:val="28"/>
          <w:szCs w:val="28"/>
        </w:rPr>
        <w:t xml:space="preserve"> </w:t>
      </w:r>
      <w:r w:rsidRPr="000F1F7C">
        <w:rPr>
          <w:rFonts w:ascii="Garamond" w:hAnsi="Garamond" w:cs="Times New Roman"/>
          <w:color w:val="000000" w:themeColor="text1"/>
          <w:sz w:val="28"/>
          <w:szCs w:val="28"/>
        </w:rPr>
        <w:t>sono stati illegittimamente inseriti, ma solo di scorrere nel caso di rinuncia al</w:t>
      </w:r>
      <w:r>
        <w:rPr>
          <w:rFonts w:ascii="Garamond" w:hAnsi="Garamond" w:cs="Times New Roman"/>
          <w:color w:val="000000" w:themeColor="text1"/>
          <w:sz w:val="28"/>
          <w:szCs w:val="28"/>
        </w:rPr>
        <w:t xml:space="preserve"> </w:t>
      </w:r>
      <w:r w:rsidRPr="000F1F7C">
        <w:rPr>
          <w:rFonts w:ascii="Garamond" w:hAnsi="Garamond" w:cs="Times New Roman"/>
          <w:color w:val="000000" w:themeColor="text1"/>
          <w:sz w:val="28"/>
          <w:szCs w:val="28"/>
        </w:rPr>
        <w:t>beneficio tariffario da parte dell’impresa ammessa</w:t>
      </w:r>
      <w:r>
        <w:rPr>
          <w:rFonts w:ascii="Garamond" w:hAnsi="Garamond" w:cs="Times New Roman"/>
          <w:color w:val="000000" w:themeColor="text1"/>
          <w:sz w:val="28"/>
          <w:szCs w:val="28"/>
        </w:rPr>
        <w:t xml:space="preserve">); il Consiglio di Stato ha confermato la sentenza di </w:t>
      </w:r>
      <w:r w:rsidRPr="00F00ACF">
        <w:rPr>
          <w:rFonts w:ascii="Garamond" w:hAnsi="Garamond" w:cs="Times New Roman"/>
          <w:i/>
          <w:color w:val="000000" w:themeColor="text1"/>
          <w:sz w:val="28"/>
          <w:szCs w:val="28"/>
        </w:rPr>
        <w:t>prime cure</w:t>
      </w:r>
      <w:r>
        <w:rPr>
          <w:rFonts w:ascii="Garamond" w:hAnsi="Garamond" w:cs="Times New Roman"/>
          <w:color w:val="000000" w:themeColor="text1"/>
          <w:sz w:val="28"/>
          <w:szCs w:val="28"/>
        </w:rPr>
        <w:t xml:space="preserve"> relativamente all’impugnativa della graduatoria e dell’art. 10 comma 3 del d.m. – interpretato peraltro nel senso innanzi indicato – per mancato superamento della prova di resistenza;  ha   altresì dichiarato inammissibile per difetto di interesse la doglianza proposta avverso l’art. 10, comma 5, del d.m., per essere stata la stessa già accolta dal primo giudice, come peraltro evincibile dalla segnalazione </w:t>
      </w:r>
      <w:r w:rsidRPr="000B21A4">
        <w:rPr>
          <w:rFonts w:ascii="Garamond" w:hAnsi="Garamond" w:cs="Times New Roman"/>
          <w:color w:val="000000" w:themeColor="text1"/>
          <w:sz w:val="28"/>
          <w:szCs w:val="28"/>
        </w:rPr>
        <w:t xml:space="preserve">del 12 giugno 2017 </w:t>
      </w:r>
      <w:r>
        <w:rPr>
          <w:rFonts w:ascii="Garamond" w:hAnsi="Garamond" w:cs="Times New Roman"/>
          <w:color w:val="000000" w:themeColor="text1"/>
          <w:sz w:val="28"/>
          <w:szCs w:val="28"/>
        </w:rPr>
        <w:t>del</w:t>
      </w:r>
      <w:r w:rsidRPr="000B21A4">
        <w:rPr>
          <w:rFonts w:ascii="Garamond" w:hAnsi="Garamond" w:cs="Times New Roman"/>
          <w:color w:val="000000" w:themeColor="text1"/>
          <w:sz w:val="28"/>
          <w:szCs w:val="28"/>
        </w:rPr>
        <w:t>l’A</w:t>
      </w:r>
      <w:r>
        <w:rPr>
          <w:rFonts w:ascii="Garamond" w:hAnsi="Garamond" w:cs="Times New Roman"/>
          <w:color w:val="000000" w:themeColor="text1"/>
          <w:sz w:val="28"/>
          <w:szCs w:val="28"/>
        </w:rPr>
        <w:t>utorità garante della concorrenza e del mercato (A</w:t>
      </w:r>
      <w:r w:rsidRPr="000B21A4">
        <w:rPr>
          <w:rFonts w:ascii="Garamond" w:hAnsi="Garamond" w:cs="Times New Roman"/>
          <w:color w:val="000000" w:themeColor="text1"/>
          <w:sz w:val="28"/>
          <w:szCs w:val="28"/>
        </w:rPr>
        <w:t>GCM</w:t>
      </w:r>
      <w:r>
        <w:rPr>
          <w:rFonts w:ascii="Garamond" w:hAnsi="Garamond" w:cs="Times New Roman"/>
          <w:color w:val="000000" w:themeColor="text1"/>
          <w:sz w:val="28"/>
          <w:szCs w:val="28"/>
        </w:rPr>
        <w:t xml:space="preserve">) che, nel ritenere illegittima tale previsione in quanto </w:t>
      </w:r>
      <w:r w:rsidRPr="000B21A4">
        <w:rPr>
          <w:rFonts w:ascii="Garamond" w:hAnsi="Garamond" w:cs="Times New Roman"/>
          <w:color w:val="000000" w:themeColor="text1"/>
          <w:sz w:val="28"/>
          <w:szCs w:val="28"/>
        </w:rPr>
        <w:t>eccess</w:t>
      </w:r>
      <w:r>
        <w:rPr>
          <w:rFonts w:ascii="Garamond" w:hAnsi="Garamond" w:cs="Times New Roman"/>
          <w:color w:val="000000" w:themeColor="text1"/>
          <w:sz w:val="28"/>
          <w:szCs w:val="28"/>
        </w:rPr>
        <w:t>iva</w:t>
      </w:r>
      <w:r w:rsidRPr="000B21A4">
        <w:rPr>
          <w:rFonts w:ascii="Garamond" w:hAnsi="Garamond" w:cs="Times New Roman"/>
          <w:color w:val="000000" w:themeColor="text1"/>
          <w:sz w:val="28"/>
          <w:szCs w:val="28"/>
        </w:rPr>
        <w:t>mente vincolante e non funzionale alla promozione di un uso</w:t>
      </w:r>
      <w:r>
        <w:rPr>
          <w:rFonts w:ascii="Garamond" w:hAnsi="Garamond" w:cs="Times New Roman"/>
          <w:color w:val="000000" w:themeColor="text1"/>
          <w:sz w:val="28"/>
          <w:szCs w:val="28"/>
        </w:rPr>
        <w:t xml:space="preserve"> </w:t>
      </w:r>
      <w:r w:rsidRPr="000B21A4">
        <w:rPr>
          <w:rFonts w:ascii="Garamond" w:hAnsi="Garamond" w:cs="Times New Roman"/>
          <w:color w:val="000000" w:themeColor="text1"/>
          <w:sz w:val="28"/>
          <w:szCs w:val="28"/>
        </w:rPr>
        <w:t xml:space="preserve">efficiente delle risorse di </w:t>
      </w:r>
      <w:r>
        <w:rPr>
          <w:rFonts w:ascii="Garamond" w:hAnsi="Garamond" w:cs="Times New Roman"/>
          <w:color w:val="000000" w:themeColor="text1"/>
          <w:sz w:val="28"/>
          <w:szCs w:val="28"/>
        </w:rPr>
        <w:t>incentivazione</w:t>
      </w:r>
      <w:r w:rsidRPr="000B21A4">
        <w:rPr>
          <w:rFonts w:ascii="Garamond" w:hAnsi="Garamond" w:cs="Times New Roman"/>
          <w:color w:val="000000" w:themeColor="text1"/>
          <w:sz w:val="28"/>
          <w:szCs w:val="28"/>
        </w:rPr>
        <w:t xml:space="preserve"> disponibili, alterando le dinamiche concorrenziali</w:t>
      </w:r>
      <w:r>
        <w:rPr>
          <w:rFonts w:ascii="Garamond" w:hAnsi="Garamond" w:cs="Times New Roman"/>
          <w:color w:val="000000" w:themeColor="text1"/>
          <w:sz w:val="28"/>
          <w:szCs w:val="28"/>
        </w:rPr>
        <w:t xml:space="preserve"> </w:t>
      </w:r>
      <w:r w:rsidRPr="000B21A4">
        <w:rPr>
          <w:rFonts w:ascii="Garamond" w:hAnsi="Garamond" w:cs="Times New Roman"/>
          <w:color w:val="000000" w:themeColor="text1"/>
          <w:sz w:val="28"/>
          <w:szCs w:val="28"/>
        </w:rPr>
        <w:t xml:space="preserve">future nel mercato della produzione di </w:t>
      </w:r>
      <w:r>
        <w:rPr>
          <w:rFonts w:ascii="Garamond" w:hAnsi="Garamond" w:cs="Times New Roman"/>
          <w:color w:val="000000" w:themeColor="text1"/>
          <w:sz w:val="28"/>
          <w:szCs w:val="28"/>
        </w:rPr>
        <w:t>energia</w:t>
      </w:r>
      <w:r w:rsidRPr="000B21A4">
        <w:rPr>
          <w:rFonts w:ascii="Garamond" w:hAnsi="Garamond" w:cs="Times New Roman"/>
          <w:color w:val="000000" w:themeColor="text1"/>
          <w:sz w:val="28"/>
          <w:szCs w:val="28"/>
        </w:rPr>
        <w:t xml:space="preserve"> da fonti rinnovabili</w:t>
      </w:r>
      <w:r>
        <w:rPr>
          <w:rFonts w:ascii="Garamond" w:hAnsi="Garamond" w:cs="Times New Roman"/>
          <w:color w:val="000000" w:themeColor="text1"/>
          <w:sz w:val="28"/>
          <w:szCs w:val="28"/>
        </w:rPr>
        <w:t>,  aveva rinviato a tale sentenza)].</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8</w:t>
      </w:r>
      <w:r w:rsidRPr="002705E8">
        <w:rPr>
          <w:rFonts w:ascii="Garamond" w:hAnsi="Garamond" w:cs="Times New Roman"/>
          <w:b/>
          <w:color w:val="000000" w:themeColor="text1"/>
          <w:sz w:val="28"/>
          <w:szCs w:val="28"/>
        </w:rPr>
        <w:t xml:space="preserve">. Regimi di sostegno per la produzione di </w:t>
      </w:r>
      <w:r>
        <w:rPr>
          <w:rFonts w:ascii="Garamond" w:hAnsi="Garamond" w:cs="Times New Roman"/>
          <w:b/>
          <w:color w:val="000000" w:themeColor="text1"/>
          <w:sz w:val="28"/>
          <w:szCs w:val="28"/>
        </w:rPr>
        <w:t>energia</w:t>
      </w:r>
      <w:r w:rsidRPr="002705E8">
        <w:rPr>
          <w:rFonts w:ascii="Garamond" w:hAnsi="Garamond" w:cs="Times New Roman"/>
          <w:b/>
          <w:color w:val="000000" w:themeColor="text1"/>
          <w:sz w:val="28"/>
          <w:szCs w:val="28"/>
        </w:rPr>
        <w:t xml:space="preserve"> termica da fonti rinnovabili e per l'efficienza energetica</w:t>
      </w:r>
      <w:r>
        <w:rPr>
          <w:rFonts w:ascii="Garamond" w:hAnsi="Garamond" w:cs="Times New Roman"/>
          <w:b/>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2705E8">
        <w:rPr>
          <w:rFonts w:ascii="Garamond" w:hAnsi="Garamond" w:cs="Times New Roman"/>
          <w:color w:val="000000" w:themeColor="text1"/>
          <w:sz w:val="28"/>
          <w:szCs w:val="28"/>
        </w:rPr>
        <w:t>L’art. 27</w:t>
      </w:r>
      <w:r>
        <w:rPr>
          <w:rFonts w:ascii="Garamond" w:hAnsi="Garamond" w:cs="Times New Roman"/>
          <w:color w:val="000000" w:themeColor="text1"/>
          <w:sz w:val="28"/>
          <w:szCs w:val="28"/>
        </w:rPr>
        <w:t xml:space="preserve"> </w:t>
      </w:r>
      <w:r w:rsidRPr="002705E8">
        <w:rPr>
          <w:rFonts w:ascii="Garamond" w:hAnsi="Garamond" w:cs="Times New Roman"/>
          <w:color w:val="000000" w:themeColor="text1"/>
          <w:sz w:val="28"/>
          <w:szCs w:val="28"/>
        </w:rPr>
        <w:t>d.l.gs. 28 del 2011 prevede un doppio sistema di sostegno per la produzione dell’</w:t>
      </w:r>
      <w:r>
        <w:rPr>
          <w:rFonts w:ascii="Garamond" w:hAnsi="Garamond" w:cs="Times New Roman"/>
          <w:color w:val="000000" w:themeColor="text1"/>
          <w:sz w:val="28"/>
          <w:szCs w:val="28"/>
        </w:rPr>
        <w:t>energia termica prodotta da fonti rinnovabili e per l’efficienza energetica, ovvero:</w:t>
      </w:r>
    </w:p>
    <w:p w:rsidR="007B4920" w:rsidRDefault="007B4920" w:rsidP="007B4920">
      <w:pPr>
        <w:pStyle w:val="Paragrafoelenco"/>
        <w:numPr>
          <w:ilvl w:val="0"/>
          <w:numId w:val="49"/>
        </w:numPr>
        <w:spacing w:line="240" w:lineRule="auto"/>
        <w:jc w:val="both"/>
        <w:rPr>
          <w:rFonts w:ascii="Garamond" w:hAnsi="Garamond" w:cs="Times New Roman"/>
          <w:color w:val="000000" w:themeColor="text1"/>
          <w:sz w:val="28"/>
          <w:szCs w:val="28"/>
        </w:rPr>
      </w:pPr>
      <w:r w:rsidRPr="00237040">
        <w:rPr>
          <w:rFonts w:ascii="Garamond" w:hAnsi="Garamond" w:cs="Times New Roman"/>
          <w:color w:val="000000" w:themeColor="text1"/>
          <w:sz w:val="28"/>
          <w:szCs w:val="28"/>
        </w:rPr>
        <w:lastRenderedPageBreak/>
        <w:t>mediante contributi a valere sulle tariffe del gas naturale per gli interventi di piccole dimensioni di cui al successivo art. 28, alle condizioni e secondo le modalità ivi previste;</w:t>
      </w:r>
    </w:p>
    <w:p w:rsidR="007B4920" w:rsidRPr="00237040" w:rsidRDefault="007B4920" w:rsidP="007B4920">
      <w:pPr>
        <w:pStyle w:val="Paragrafoelenco"/>
        <w:numPr>
          <w:ilvl w:val="0"/>
          <w:numId w:val="49"/>
        </w:numPr>
        <w:spacing w:line="240" w:lineRule="auto"/>
        <w:jc w:val="both"/>
        <w:rPr>
          <w:rFonts w:ascii="Garamond" w:hAnsi="Garamond" w:cs="Times New Roman"/>
          <w:color w:val="000000" w:themeColor="text1"/>
          <w:sz w:val="28"/>
          <w:szCs w:val="28"/>
        </w:rPr>
      </w:pPr>
      <w:r w:rsidRPr="00237040">
        <w:rPr>
          <w:rFonts w:ascii="Garamond" w:hAnsi="Garamond" w:cs="Times New Roman"/>
          <w:color w:val="000000" w:themeColor="text1"/>
          <w:sz w:val="28"/>
          <w:szCs w:val="28"/>
        </w:rPr>
        <w:t>b) mediante il rilascio dei certificati bianchi per gli interventi che non ricadono fra quelli di cui alla lettera a), alle condizioni e secondo le modalità previste dall'articolo 29.</w:t>
      </w:r>
    </w:p>
    <w:p w:rsidR="007B4920" w:rsidRPr="009C49E2"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8.1. Il Conto </w:t>
      </w:r>
      <w:r w:rsidRPr="00237040">
        <w:rPr>
          <w:rFonts w:ascii="Garamond" w:hAnsi="Garamond" w:cs="Times New Roman"/>
          <w:b/>
          <w:color w:val="000000" w:themeColor="text1"/>
          <w:sz w:val="28"/>
          <w:szCs w:val="28"/>
        </w:rPr>
        <w:t>ter</w:t>
      </w:r>
      <w:r w:rsidRPr="009C49E2">
        <w:rPr>
          <w:rFonts w:ascii="Garamond" w:hAnsi="Garamond" w:cs="Times New Roman"/>
          <w:b/>
          <w:color w:val="000000" w:themeColor="text1"/>
          <w:sz w:val="28"/>
          <w:szCs w:val="28"/>
        </w:rPr>
        <w:t>mico</w:t>
      </w:r>
      <w:r>
        <w:rPr>
          <w:rFonts w:ascii="Garamond" w:hAnsi="Garamond" w:cs="Times New Roman"/>
          <w:b/>
          <w:color w:val="000000" w:themeColor="text1"/>
          <w:sz w:val="28"/>
          <w:szCs w:val="28"/>
        </w:rPr>
        <w:t>.</w:t>
      </w:r>
    </w:p>
    <w:p w:rsidR="007B4920" w:rsidRPr="005933CF" w:rsidRDefault="007B4920" w:rsidP="007B4920">
      <w:pPr>
        <w:spacing w:line="240" w:lineRule="auto"/>
        <w:ind w:firstLine="709"/>
        <w:contextualSpacing/>
        <w:jc w:val="both"/>
        <w:rPr>
          <w:rFonts w:ascii="Garamond" w:hAnsi="Garamond" w:cs="Times New Roman"/>
          <w:i/>
          <w:color w:val="000000" w:themeColor="text1"/>
          <w:sz w:val="28"/>
          <w:szCs w:val="28"/>
        </w:rPr>
      </w:pPr>
      <w:r>
        <w:rPr>
          <w:rFonts w:ascii="Garamond" w:hAnsi="Garamond" w:cs="Times New Roman"/>
          <w:color w:val="000000" w:themeColor="text1"/>
          <w:sz w:val="28"/>
          <w:szCs w:val="28"/>
        </w:rPr>
        <w:t xml:space="preserve">L’art. 28 </w:t>
      </w:r>
      <w:r w:rsidRPr="005933CF">
        <w:rPr>
          <w:rFonts w:ascii="Garamond" w:hAnsi="Garamond" w:cs="Times New Roman"/>
          <w:color w:val="000000" w:themeColor="text1"/>
          <w:sz w:val="28"/>
          <w:szCs w:val="28"/>
        </w:rPr>
        <w:t xml:space="preserve">d.l.gs. 28 del 2011 </w:t>
      </w:r>
      <w:r>
        <w:rPr>
          <w:rFonts w:ascii="Garamond" w:hAnsi="Garamond" w:cs="Times New Roman"/>
          <w:color w:val="000000" w:themeColor="text1"/>
          <w:sz w:val="28"/>
          <w:szCs w:val="28"/>
        </w:rPr>
        <w:t xml:space="preserve">prevede al comma 1 che </w:t>
      </w:r>
      <w:r w:rsidRPr="002705E8">
        <w:rPr>
          <w:rFonts w:ascii="Garamond" w:hAnsi="Garamond" w:cs="Times New Roman"/>
          <w:color w:val="000000" w:themeColor="text1"/>
          <w:sz w:val="28"/>
          <w:szCs w:val="28"/>
        </w:rPr>
        <w:t>“</w:t>
      </w:r>
      <w:r w:rsidRPr="005933CF">
        <w:rPr>
          <w:rFonts w:ascii="Garamond" w:hAnsi="Garamond" w:cs="Times New Roman"/>
          <w:i/>
          <w:color w:val="000000" w:themeColor="text1"/>
          <w:sz w:val="28"/>
          <w:szCs w:val="28"/>
        </w:rPr>
        <w:t xml:space="preserve">Gli interventi di produzione di </w:t>
      </w:r>
      <w:r>
        <w:rPr>
          <w:rFonts w:ascii="Garamond" w:hAnsi="Garamond" w:cs="Times New Roman"/>
          <w:i/>
          <w:color w:val="000000" w:themeColor="text1"/>
          <w:sz w:val="28"/>
          <w:szCs w:val="28"/>
        </w:rPr>
        <w:t>energia</w:t>
      </w:r>
      <w:r w:rsidRPr="005933CF">
        <w:rPr>
          <w:rFonts w:ascii="Garamond" w:hAnsi="Garamond" w:cs="Times New Roman"/>
          <w:i/>
          <w:color w:val="000000" w:themeColor="text1"/>
          <w:sz w:val="28"/>
          <w:szCs w:val="28"/>
        </w:rPr>
        <w:t xml:space="preserve"> termica da fonti rinnovabili e di incremento dell'efficienza energetica di piccole dimensioni, realizzati in data </w:t>
      </w:r>
      <w:r>
        <w:rPr>
          <w:rFonts w:ascii="Garamond" w:hAnsi="Garamond" w:cs="Times New Roman"/>
          <w:i/>
          <w:color w:val="000000" w:themeColor="text1"/>
          <w:sz w:val="28"/>
          <w:szCs w:val="28"/>
        </w:rPr>
        <w:t>successiva</w:t>
      </w:r>
      <w:r w:rsidRPr="005933CF">
        <w:rPr>
          <w:rFonts w:ascii="Garamond" w:hAnsi="Garamond" w:cs="Times New Roman"/>
          <w:i/>
          <w:color w:val="000000" w:themeColor="text1"/>
          <w:sz w:val="28"/>
          <w:szCs w:val="28"/>
        </w:rPr>
        <w:t xml:space="preserve"> al 31 dicembre 2011, sono incent</w:t>
      </w:r>
      <w:r>
        <w:rPr>
          <w:rFonts w:ascii="Garamond" w:hAnsi="Garamond" w:cs="Times New Roman"/>
          <w:i/>
          <w:color w:val="000000" w:themeColor="text1"/>
          <w:sz w:val="28"/>
          <w:szCs w:val="28"/>
        </w:rPr>
        <w:t>iva</w:t>
      </w:r>
      <w:r w:rsidRPr="005933CF">
        <w:rPr>
          <w:rFonts w:ascii="Garamond" w:hAnsi="Garamond" w:cs="Times New Roman"/>
          <w:i/>
          <w:color w:val="000000" w:themeColor="text1"/>
          <w:sz w:val="28"/>
          <w:szCs w:val="28"/>
        </w:rPr>
        <w:t>ti sulla base dei seguenti criteri generali:</w:t>
      </w:r>
    </w:p>
    <w:p w:rsidR="007B4920" w:rsidRPr="005933CF" w:rsidRDefault="007B4920" w:rsidP="007B4920">
      <w:pPr>
        <w:spacing w:line="240" w:lineRule="auto"/>
        <w:ind w:firstLine="709"/>
        <w:contextualSpacing/>
        <w:jc w:val="both"/>
        <w:rPr>
          <w:rFonts w:ascii="Garamond" w:hAnsi="Garamond" w:cs="Times New Roman"/>
          <w:i/>
          <w:color w:val="000000" w:themeColor="text1"/>
          <w:sz w:val="28"/>
          <w:szCs w:val="28"/>
        </w:rPr>
      </w:pPr>
      <w:r w:rsidRPr="005933CF">
        <w:rPr>
          <w:rFonts w:ascii="Garamond" w:hAnsi="Garamond" w:cs="Times New Roman"/>
          <w:i/>
          <w:color w:val="000000" w:themeColor="text1"/>
          <w:sz w:val="28"/>
          <w:szCs w:val="28"/>
        </w:rPr>
        <w:t xml:space="preserve">a) l'incentivo ha lo scopo di assicurare una equa remunerazione dei costi di investimento ed esercizio ed è commisurato alla produzione di </w:t>
      </w:r>
      <w:r>
        <w:rPr>
          <w:rFonts w:ascii="Garamond" w:hAnsi="Garamond" w:cs="Times New Roman"/>
          <w:i/>
          <w:color w:val="000000" w:themeColor="text1"/>
          <w:sz w:val="28"/>
          <w:szCs w:val="28"/>
        </w:rPr>
        <w:t>energia</w:t>
      </w:r>
      <w:r w:rsidRPr="005933CF">
        <w:rPr>
          <w:rFonts w:ascii="Garamond" w:hAnsi="Garamond" w:cs="Times New Roman"/>
          <w:i/>
          <w:color w:val="000000" w:themeColor="text1"/>
          <w:sz w:val="28"/>
          <w:szCs w:val="28"/>
        </w:rPr>
        <w:t xml:space="preserve"> termica da fonti rinnovabili, ovvero ai risparmi energetici generati dagli interventi;</w:t>
      </w:r>
    </w:p>
    <w:p w:rsidR="007B4920" w:rsidRPr="005933CF" w:rsidRDefault="007B4920" w:rsidP="007B4920">
      <w:pPr>
        <w:spacing w:line="240" w:lineRule="auto"/>
        <w:ind w:firstLine="709"/>
        <w:contextualSpacing/>
        <w:jc w:val="both"/>
        <w:rPr>
          <w:rFonts w:ascii="Garamond" w:hAnsi="Garamond" w:cs="Times New Roman"/>
          <w:i/>
          <w:color w:val="000000" w:themeColor="text1"/>
          <w:sz w:val="28"/>
          <w:szCs w:val="28"/>
        </w:rPr>
      </w:pPr>
      <w:r w:rsidRPr="005933CF">
        <w:rPr>
          <w:rFonts w:ascii="Garamond" w:hAnsi="Garamond" w:cs="Times New Roman"/>
          <w:i/>
          <w:color w:val="000000" w:themeColor="text1"/>
          <w:sz w:val="28"/>
          <w:szCs w:val="28"/>
        </w:rPr>
        <w:t>b) il periodo di diritto all'incentivo non può essere superiore a dieci anni e decorre dalla data di conclusione dell'intervento;</w:t>
      </w:r>
    </w:p>
    <w:p w:rsidR="007B4920" w:rsidRPr="005933CF" w:rsidRDefault="007B4920" w:rsidP="007B4920">
      <w:pPr>
        <w:spacing w:line="240" w:lineRule="auto"/>
        <w:ind w:firstLine="709"/>
        <w:contextualSpacing/>
        <w:jc w:val="both"/>
        <w:rPr>
          <w:rFonts w:ascii="Garamond" w:hAnsi="Garamond" w:cs="Times New Roman"/>
          <w:i/>
          <w:color w:val="000000" w:themeColor="text1"/>
          <w:sz w:val="28"/>
          <w:szCs w:val="28"/>
        </w:rPr>
      </w:pPr>
      <w:r w:rsidRPr="005933CF">
        <w:rPr>
          <w:rFonts w:ascii="Garamond" w:hAnsi="Garamond" w:cs="Times New Roman"/>
          <w:i/>
          <w:color w:val="000000" w:themeColor="text1"/>
          <w:sz w:val="28"/>
          <w:szCs w:val="28"/>
        </w:rPr>
        <w:t>c) l'incentivo resta costante per tutto il periodo di diritto e può tener conto del valore economico dell'</w:t>
      </w:r>
      <w:r>
        <w:rPr>
          <w:rFonts w:ascii="Garamond" w:hAnsi="Garamond" w:cs="Times New Roman"/>
          <w:i/>
          <w:color w:val="000000" w:themeColor="text1"/>
          <w:sz w:val="28"/>
          <w:szCs w:val="28"/>
        </w:rPr>
        <w:t>energia</w:t>
      </w:r>
      <w:r w:rsidRPr="005933CF">
        <w:rPr>
          <w:rFonts w:ascii="Garamond" w:hAnsi="Garamond" w:cs="Times New Roman"/>
          <w:i/>
          <w:color w:val="000000" w:themeColor="text1"/>
          <w:sz w:val="28"/>
          <w:szCs w:val="28"/>
        </w:rPr>
        <w:t xml:space="preserve"> prodotta o risparmiata;</w:t>
      </w:r>
    </w:p>
    <w:p w:rsidR="007B4920" w:rsidRPr="005933CF" w:rsidRDefault="007B4920" w:rsidP="007B4920">
      <w:pPr>
        <w:spacing w:line="240" w:lineRule="auto"/>
        <w:ind w:firstLine="709"/>
        <w:contextualSpacing/>
        <w:jc w:val="both"/>
        <w:rPr>
          <w:rFonts w:ascii="Garamond" w:hAnsi="Garamond" w:cs="Times New Roman"/>
          <w:i/>
          <w:color w:val="000000" w:themeColor="text1"/>
          <w:sz w:val="28"/>
          <w:szCs w:val="28"/>
        </w:rPr>
      </w:pPr>
      <w:r w:rsidRPr="005933CF">
        <w:rPr>
          <w:rFonts w:ascii="Garamond" w:hAnsi="Garamond" w:cs="Times New Roman"/>
          <w:i/>
          <w:color w:val="000000" w:themeColor="text1"/>
          <w:sz w:val="28"/>
          <w:szCs w:val="28"/>
        </w:rPr>
        <w:t xml:space="preserve">d) l'incentivo può essere assegnato </w:t>
      </w:r>
      <w:r>
        <w:rPr>
          <w:rFonts w:ascii="Garamond" w:hAnsi="Garamond" w:cs="Times New Roman"/>
          <w:i/>
          <w:color w:val="000000" w:themeColor="text1"/>
          <w:sz w:val="28"/>
          <w:szCs w:val="28"/>
        </w:rPr>
        <w:t>esclusivamente</w:t>
      </w:r>
      <w:r w:rsidRPr="005933CF">
        <w:rPr>
          <w:rFonts w:ascii="Garamond" w:hAnsi="Garamond" w:cs="Times New Roman"/>
          <w:i/>
          <w:color w:val="000000" w:themeColor="text1"/>
          <w:sz w:val="28"/>
          <w:szCs w:val="28"/>
        </w:rPr>
        <w:t xml:space="preserve"> agli interventi che non accedono ad altri incentivi statali, fatti salvi i fondi di garanzia, i fondi di rotazione e i contributi in conto interesse;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5933CF">
        <w:rPr>
          <w:rFonts w:ascii="Garamond" w:hAnsi="Garamond" w:cs="Times New Roman"/>
          <w:i/>
          <w:color w:val="000000" w:themeColor="text1"/>
          <w:sz w:val="28"/>
          <w:szCs w:val="28"/>
        </w:rPr>
        <w:t xml:space="preserve">e) gli incentivi sono assegnati tramite contratti di diritto </w:t>
      </w:r>
      <w:r>
        <w:rPr>
          <w:rFonts w:ascii="Garamond" w:hAnsi="Garamond" w:cs="Times New Roman"/>
          <w:i/>
          <w:color w:val="000000" w:themeColor="text1"/>
          <w:sz w:val="28"/>
          <w:szCs w:val="28"/>
        </w:rPr>
        <w:t>privato</w:t>
      </w:r>
      <w:r w:rsidRPr="005933CF">
        <w:rPr>
          <w:rFonts w:ascii="Garamond" w:hAnsi="Garamond" w:cs="Times New Roman"/>
          <w:i/>
          <w:color w:val="000000" w:themeColor="text1"/>
          <w:sz w:val="28"/>
          <w:szCs w:val="28"/>
        </w:rPr>
        <w:t xml:space="preserve"> fra il GSE e il soggetto responsabile dell'impianto, sulla base di un contratto-tipo definito dall' Autorità per l'</w:t>
      </w:r>
      <w:r>
        <w:rPr>
          <w:rFonts w:ascii="Garamond" w:hAnsi="Garamond" w:cs="Times New Roman"/>
          <w:i/>
          <w:color w:val="000000" w:themeColor="text1"/>
          <w:sz w:val="28"/>
          <w:szCs w:val="28"/>
        </w:rPr>
        <w:t>energia</w:t>
      </w:r>
      <w:r w:rsidRPr="005933CF">
        <w:rPr>
          <w:rFonts w:ascii="Garamond" w:hAnsi="Garamond" w:cs="Times New Roman"/>
          <w:i/>
          <w:color w:val="000000" w:themeColor="text1"/>
          <w:sz w:val="28"/>
          <w:szCs w:val="28"/>
        </w:rPr>
        <w:t xml:space="preserve"> elettrica e il gas entro tre mesi dalla data di entrata in vigore del primo dei decreti di cui al comma 2</w:t>
      </w:r>
      <w:r>
        <w:rPr>
          <w:rFonts w:ascii="Garamond" w:hAnsi="Garamond" w:cs="Times New Roman"/>
          <w:color w:val="000000" w:themeColor="text1"/>
          <w:sz w:val="28"/>
          <w:szCs w:val="28"/>
        </w:rPr>
        <w:t>”</w:t>
      </w:r>
      <w:r w:rsidRPr="002705E8">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Il comma 2 rinvia quindi a de</w:t>
      </w:r>
      <w:r w:rsidRPr="002705E8">
        <w:rPr>
          <w:rFonts w:ascii="Garamond" w:hAnsi="Garamond" w:cs="Times New Roman"/>
          <w:color w:val="000000" w:themeColor="text1"/>
          <w:sz w:val="28"/>
          <w:szCs w:val="28"/>
        </w:rPr>
        <w:t>creti del Ministro dello sviluppo economico, di concerto con il Ministro dell'ambiente e della tutela del territorio e del mare e, per i profili di competenza, con il Ministro delle politiche agricole e forestali, previa intesa con Conferenza unificata</w:t>
      </w:r>
      <w:r>
        <w:rPr>
          <w:rFonts w:ascii="Garamond" w:hAnsi="Garamond" w:cs="Times New Roman"/>
          <w:color w:val="000000" w:themeColor="text1"/>
          <w:sz w:val="28"/>
          <w:szCs w:val="28"/>
        </w:rPr>
        <w:t xml:space="preserve">,  per </w:t>
      </w:r>
      <w:r w:rsidRPr="002705E8">
        <w:rPr>
          <w:rFonts w:ascii="Garamond" w:hAnsi="Garamond" w:cs="Times New Roman"/>
          <w:color w:val="000000" w:themeColor="text1"/>
          <w:sz w:val="28"/>
          <w:szCs w:val="28"/>
        </w:rPr>
        <w:t xml:space="preserve">l'attuazione di quanto disposto al presente articolo e per l'avvio dei nuovi meccanismi di </w:t>
      </w:r>
      <w:r>
        <w:rPr>
          <w:rFonts w:ascii="Garamond" w:hAnsi="Garamond" w:cs="Times New Roman"/>
          <w:color w:val="000000" w:themeColor="text1"/>
          <w:sz w:val="28"/>
          <w:szCs w:val="28"/>
        </w:rPr>
        <w:t>incentivazione, prevedendo al comma 3 che gli stessi siano adottati entro sei mesi dall’entrata in vigore del d.lgs. 28 del 2011,  mentre il comma 4 prevede che l’</w:t>
      </w:r>
      <w:r w:rsidRPr="003B4D16">
        <w:rPr>
          <w:rFonts w:ascii="Garamond" w:hAnsi="Garamond" w:cs="Times New Roman"/>
          <w:color w:val="000000" w:themeColor="text1"/>
          <w:sz w:val="28"/>
          <w:szCs w:val="28"/>
        </w:rPr>
        <w:t>Autorità per l'</w:t>
      </w:r>
      <w:r>
        <w:rPr>
          <w:rFonts w:ascii="Garamond" w:hAnsi="Garamond" w:cs="Times New Roman"/>
          <w:color w:val="000000" w:themeColor="text1"/>
          <w:sz w:val="28"/>
          <w:szCs w:val="28"/>
        </w:rPr>
        <w:t>energia</w:t>
      </w:r>
      <w:r w:rsidRPr="003B4D16">
        <w:rPr>
          <w:rFonts w:ascii="Garamond" w:hAnsi="Garamond" w:cs="Times New Roman"/>
          <w:color w:val="000000" w:themeColor="text1"/>
          <w:sz w:val="28"/>
          <w:szCs w:val="28"/>
        </w:rPr>
        <w:t xml:space="preserve"> elettrica e il gas definisce le modalità con le quali le risorse per l'erogazione degli incentivi di cui al presente articolo trovano copertura a valere sul gettito delle componenti</w:t>
      </w:r>
      <w:r>
        <w:rPr>
          <w:rFonts w:ascii="Garamond" w:hAnsi="Garamond" w:cs="Times New Roman"/>
          <w:color w:val="000000" w:themeColor="text1"/>
          <w:sz w:val="28"/>
          <w:szCs w:val="28"/>
        </w:rPr>
        <w:t xml:space="preserve"> delle tariffe del gas naturale ed i successivi due commi dettano la disciplina transitoria.</w:t>
      </w:r>
    </w:p>
    <w:p w:rsidR="007B4920" w:rsidRPr="005F5B8F"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In attuazione di tale disciplina è intervenuto il d.m. 16 febbraio </w:t>
      </w:r>
      <w:r w:rsidRPr="003E7BDC">
        <w:rPr>
          <w:rFonts w:ascii="Garamond" w:hAnsi="Garamond" w:cs="Times New Roman"/>
          <w:color w:val="000000" w:themeColor="text1"/>
          <w:sz w:val="28"/>
          <w:szCs w:val="28"/>
        </w:rPr>
        <w:t>2016, recante “</w:t>
      </w:r>
      <w:r w:rsidRPr="003E7BDC">
        <w:rPr>
          <w:rFonts w:ascii="Garamond" w:hAnsi="Garamond" w:cs="Times New Roman"/>
          <w:i/>
          <w:color w:val="000000" w:themeColor="text1"/>
          <w:sz w:val="28"/>
          <w:szCs w:val="28"/>
        </w:rPr>
        <w:t>Aggiornamento della disciplina per l’</w:t>
      </w:r>
      <w:r>
        <w:rPr>
          <w:rFonts w:ascii="Garamond" w:hAnsi="Garamond" w:cs="Times New Roman"/>
          <w:i/>
          <w:color w:val="000000" w:themeColor="text1"/>
          <w:sz w:val="28"/>
          <w:szCs w:val="28"/>
        </w:rPr>
        <w:t>incentivazione</w:t>
      </w:r>
      <w:r w:rsidRPr="003E7BDC">
        <w:rPr>
          <w:rFonts w:ascii="Garamond" w:hAnsi="Garamond" w:cs="Times New Roman"/>
          <w:i/>
          <w:color w:val="000000" w:themeColor="text1"/>
          <w:sz w:val="28"/>
          <w:szCs w:val="28"/>
        </w:rPr>
        <w:t xml:space="preserve"> di interventi di piccole dimensioni per l’incremento dell’efficienza energetica e per la produzione di </w:t>
      </w:r>
      <w:r>
        <w:rPr>
          <w:rFonts w:ascii="Garamond" w:hAnsi="Garamond" w:cs="Times New Roman"/>
          <w:i/>
          <w:color w:val="000000" w:themeColor="text1"/>
          <w:sz w:val="28"/>
          <w:szCs w:val="28"/>
        </w:rPr>
        <w:t>energia</w:t>
      </w:r>
      <w:r w:rsidRPr="003E7BDC">
        <w:rPr>
          <w:rFonts w:ascii="Garamond" w:hAnsi="Garamond" w:cs="Times New Roman"/>
          <w:i/>
          <w:color w:val="000000" w:themeColor="text1"/>
          <w:sz w:val="28"/>
          <w:szCs w:val="28"/>
        </w:rPr>
        <w:t xml:space="preserve"> termica da fonti rinnovabili</w:t>
      </w:r>
      <w:r w:rsidRPr="003E7BDC">
        <w:rPr>
          <w:rFonts w:ascii="Garamond" w:hAnsi="Garamond" w:cs="Times New Roman"/>
          <w:color w:val="000000" w:themeColor="text1"/>
          <w:sz w:val="28"/>
          <w:szCs w:val="28"/>
        </w:rPr>
        <w:t>”, più comunemente noto come “Nuovo Conto termico” o “Conto termico 2.0”.</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A</w:t>
      </w:r>
      <w:r w:rsidRPr="005F5B8F">
        <w:rPr>
          <w:rFonts w:ascii="Garamond" w:hAnsi="Garamond" w:cs="Times New Roman"/>
          <w:color w:val="000000" w:themeColor="text1"/>
          <w:sz w:val="28"/>
          <w:szCs w:val="28"/>
        </w:rPr>
        <w:t xml:space="preserve">i sensi </w:t>
      </w:r>
      <w:r>
        <w:rPr>
          <w:rFonts w:ascii="Garamond" w:hAnsi="Garamond" w:cs="Times New Roman"/>
          <w:color w:val="000000" w:themeColor="text1"/>
          <w:sz w:val="28"/>
          <w:szCs w:val="28"/>
        </w:rPr>
        <w:t>dell'art.8, comma 2, del medesimo, "Il G.s.e.</w:t>
      </w:r>
      <w:r w:rsidRPr="005F5B8F">
        <w:rPr>
          <w:rFonts w:ascii="Garamond" w:hAnsi="Garamond" w:cs="Times New Roman"/>
          <w:color w:val="000000" w:themeColor="text1"/>
          <w:sz w:val="28"/>
          <w:szCs w:val="28"/>
        </w:rPr>
        <w:t xml:space="preserve"> provvede all'assegnazione, all'erogazione, alla revoca degli incentivi secondo modalità e tempistiche specificate in</w:t>
      </w:r>
      <w:r>
        <w:rPr>
          <w:rFonts w:ascii="Garamond" w:hAnsi="Garamond" w:cs="Times New Roman"/>
          <w:color w:val="000000" w:themeColor="text1"/>
          <w:sz w:val="28"/>
          <w:szCs w:val="28"/>
        </w:rPr>
        <w:t xml:space="preserve"> apposite regole applicative”.</w:t>
      </w:r>
    </w:p>
    <w:p w:rsidR="007B4920" w:rsidRPr="007C1F96" w:rsidRDefault="007B4920" w:rsidP="007B4920">
      <w:pPr>
        <w:spacing w:line="240" w:lineRule="auto"/>
        <w:ind w:firstLine="709"/>
        <w:contextualSpacing/>
        <w:jc w:val="both"/>
        <w:rPr>
          <w:rFonts w:ascii="Garamond" w:hAnsi="Garamond" w:cs="Times New Roman"/>
          <w:i/>
          <w:color w:val="000000" w:themeColor="text1"/>
          <w:sz w:val="28"/>
          <w:szCs w:val="28"/>
        </w:rPr>
      </w:pPr>
      <w:r>
        <w:rPr>
          <w:rFonts w:ascii="Garamond" w:hAnsi="Garamond" w:cs="Times New Roman"/>
          <w:color w:val="000000" w:themeColor="text1"/>
          <w:sz w:val="28"/>
          <w:szCs w:val="28"/>
        </w:rPr>
        <w:t xml:space="preserve">Il G.s.e. </w:t>
      </w:r>
      <w:r w:rsidRPr="005F5B8F">
        <w:rPr>
          <w:rFonts w:ascii="Garamond" w:hAnsi="Garamond" w:cs="Times New Roman"/>
          <w:color w:val="000000" w:themeColor="text1"/>
          <w:sz w:val="28"/>
          <w:szCs w:val="28"/>
        </w:rPr>
        <w:t>ha</w:t>
      </w:r>
      <w:r>
        <w:rPr>
          <w:rFonts w:ascii="Garamond" w:hAnsi="Garamond" w:cs="Times New Roman"/>
          <w:color w:val="000000" w:themeColor="text1"/>
          <w:sz w:val="28"/>
          <w:szCs w:val="28"/>
        </w:rPr>
        <w:t xml:space="preserve"> dunque</w:t>
      </w:r>
      <w:r w:rsidRPr="005F5B8F">
        <w:rPr>
          <w:rFonts w:ascii="Garamond" w:hAnsi="Garamond" w:cs="Times New Roman"/>
          <w:color w:val="000000" w:themeColor="text1"/>
          <w:sz w:val="28"/>
          <w:szCs w:val="28"/>
        </w:rPr>
        <w:t xml:space="preserve"> pubblicato le "Re</w:t>
      </w:r>
      <w:r>
        <w:rPr>
          <w:rFonts w:ascii="Garamond" w:hAnsi="Garamond" w:cs="Times New Roman"/>
          <w:color w:val="000000" w:themeColor="text1"/>
          <w:sz w:val="28"/>
          <w:szCs w:val="28"/>
        </w:rPr>
        <w:t xml:space="preserve">gole applicative del d.m. 16 febbraio </w:t>
      </w:r>
      <w:r w:rsidRPr="005F5B8F">
        <w:rPr>
          <w:rFonts w:ascii="Garamond" w:hAnsi="Garamond" w:cs="Times New Roman"/>
          <w:color w:val="000000" w:themeColor="text1"/>
          <w:sz w:val="28"/>
          <w:szCs w:val="28"/>
        </w:rPr>
        <w:t>2016"</w:t>
      </w:r>
      <w:r>
        <w:rPr>
          <w:rFonts w:ascii="Garamond" w:hAnsi="Garamond" w:cs="Times New Roman"/>
          <w:color w:val="000000" w:themeColor="text1"/>
          <w:sz w:val="28"/>
          <w:szCs w:val="28"/>
        </w:rPr>
        <w:t xml:space="preserve"> prevedendo all’art. </w:t>
      </w:r>
      <w:r w:rsidRPr="005F5B8F">
        <w:rPr>
          <w:rFonts w:ascii="Garamond" w:hAnsi="Garamond" w:cs="Times New Roman"/>
          <w:color w:val="000000" w:themeColor="text1"/>
          <w:sz w:val="28"/>
          <w:szCs w:val="28"/>
        </w:rPr>
        <w:t xml:space="preserve">3 comma 1 </w:t>
      </w:r>
      <w:r>
        <w:rPr>
          <w:rFonts w:ascii="Garamond" w:hAnsi="Garamond" w:cs="Times New Roman"/>
          <w:color w:val="000000" w:themeColor="text1"/>
          <w:sz w:val="28"/>
          <w:szCs w:val="28"/>
        </w:rPr>
        <w:t xml:space="preserve">che </w:t>
      </w:r>
      <w:r w:rsidRPr="005F5B8F">
        <w:rPr>
          <w:rFonts w:ascii="Garamond" w:hAnsi="Garamond" w:cs="Times New Roman"/>
          <w:color w:val="000000" w:themeColor="text1"/>
          <w:sz w:val="28"/>
          <w:szCs w:val="28"/>
        </w:rPr>
        <w:t>"</w:t>
      </w:r>
      <w:r w:rsidRPr="007C1F96">
        <w:rPr>
          <w:rFonts w:ascii="Garamond" w:hAnsi="Garamond" w:cs="Times New Roman"/>
          <w:i/>
          <w:color w:val="000000" w:themeColor="text1"/>
          <w:sz w:val="28"/>
          <w:szCs w:val="28"/>
        </w:rPr>
        <w:t>Sono ammessi ai benefici previsti dal presente decreto:</w:t>
      </w:r>
    </w:p>
    <w:p w:rsidR="007B4920" w:rsidRPr="007C1F96" w:rsidRDefault="007B4920" w:rsidP="007B4920">
      <w:pPr>
        <w:spacing w:line="240" w:lineRule="auto"/>
        <w:ind w:firstLine="709"/>
        <w:contextualSpacing/>
        <w:jc w:val="both"/>
        <w:rPr>
          <w:rFonts w:ascii="Garamond" w:hAnsi="Garamond" w:cs="Times New Roman"/>
          <w:i/>
          <w:color w:val="000000" w:themeColor="text1"/>
          <w:sz w:val="28"/>
          <w:szCs w:val="28"/>
        </w:rPr>
      </w:pPr>
      <w:r w:rsidRPr="007C1F96">
        <w:rPr>
          <w:rFonts w:ascii="Garamond" w:hAnsi="Garamond" w:cs="Times New Roman"/>
          <w:i/>
          <w:color w:val="000000" w:themeColor="text1"/>
          <w:sz w:val="28"/>
          <w:szCs w:val="28"/>
        </w:rPr>
        <w:t>a)</w:t>
      </w:r>
      <w:r w:rsidRPr="007C1F96">
        <w:rPr>
          <w:rFonts w:ascii="Garamond" w:hAnsi="Garamond" w:cs="Times New Roman"/>
          <w:i/>
          <w:color w:val="000000" w:themeColor="text1"/>
          <w:sz w:val="28"/>
          <w:szCs w:val="28"/>
        </w:rPr>
        <w:tab/>
        <w:t xml:space="preserve">le amministrazioni pubbliche, </w:t>
      </w:r>
      <w:r>
        <w:rPr>
          <w:rFonts w:ascii="Garamond" w:hAnsi="Garamond" w:cs="Times New Roman"/>
          <w:i/>
          <w:color w:val="000000" w:themeColor="text1"/>
          <w:sz w:val="28"/>
          <w:szCs w:val="28"/>
        </w:rPr>
        <w:t>relativa</w:t>
      </w:r>
      <w:r w:rsidRPr="007C1F96">
        <w:rPr>
          <w:rFonts w:ascii="Garamond" w:hAnsi="Garamond" w:cs="Times New Roman"/>
          <w:i/>
          <w:color w:val="000000" w:themeColor="text1"/>
          <w:sz w:val="28"/>
          <w:szCs w:val="28"/>
        </w:rPr>
        <w:t>mente alla realizzazione di uno o più degli interventi di cui all'articolo 4;</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7C1F96">
        <w:rPr>
          <w:rFonts w:ascii="Garamond" w:hAnsi="Garamond" w:cs="Times New Roman"/>
          <w:i/>
          <w:color w:val="000000" w:themeColor="text1"/>
          <w:sz w:val="28"/>
          <w:szCs w:val="28"/>
        </w:rPr>
        <w:lastRenderedPageBreak/>
        <w:t>b)</w:t>
      </w:r>
      <w:r w:rsidRPr="007C1F96">
        <w:rPr>
          <w:rFonts w:ascii="Garamond" w:hAnsi="Garamond" w:cs="Times New Roman"/>
          <w:i/>
          <w:color w:val="000000" w:themeColor="text1"/>
          <w:sz w:val="28"/>
          <w:szCs w:val="28"/>
        </w:rPr>
        <w:tab/>
        <w:t>i soggetti pr</w:t>
      </w:r>
      <w:r>
        <w:rPr>
          <w:rFonts w:ascii="Garamond" w:hAnsi="Garamond" w:cs="Times New Roman"/>
          <w:i/>
          <w:color w:val="000000" w:themeColor="text1"/>
          <w:sz w:val="28"/>
          <w:szCs w:val="28"/>
        </w:rPr>
        <w:t>iva</w:t>
      </w:r>
      <w:r w:rsidRPr="007C1F96">
        <w:rPr>
          <w:rFonts w:ascii="Garamond" w:hAnsi="Garamond" w:cs="Times New Roman"/>
          <w:i/>
          <w:color w:val="000000" w:themeColor="text1"/>
          <w:sz w:val="28"/>
          <w:szCs w:val="28"/>
        </w:rPr>
        <w:t xml:space="preserve">ti, </w:t>
      </w:r>
      <w:r>
        <w:rPr>
          <w:rFonts w:ascii="Garamond" w:hAnsi="Garamond" w:cs="Times New Roman"/>
          <w:i/>
          <w:color w:val="000000" w:themeColor="text1"/>
          <w:sz w:val="28"/>
          <w:szCs w:val="28"/>
        </w:rPr>
        <w:t>relativa</w:t>
      </w:r>
      <w:r w:rsidRPr="007C1F96">
        <w:rPr>
          <w:rFonts w:ascii="Garamond" w:hAnsi="Garamond" w:cs="Times New Roman"/>
          <w:i/>
          <w:color w:val="000000" w:themeColor="text1"/>
          <w:sz w:val="28"/>
          <w:szCs w:val="28"/>
        </w:rPr>
        <w:t>mente alla realizzazione di uno o più degli interventi di cui all'articolo 4, comma 2.</w:t>
      </w:r>
      <w:r w:rsidRPr="005F5B8F">
        <w:rPr>
          <w:rFonts w:ascii="Garamond" w:hAnsi="Garamond" w:cs="Times New Roman"/>
          <w:color w:val="000000" w:themeColor="text1"/>
          <w:sz w:val="28"/>
          <w:szCs w:val="28"/>
        </w:rPr>
        <w:t>"</w:t>
      </w:r>
    </w:p>
    <w:p w:rsidR="007B4920" w:rsidRPr="0022653A" w:rsidRDefault="007B4920" w:rsidP="007B4920">
      <w:pPr>
        <w:spacing w:line="240" w:lineRule="auto"/>
        <w:ind w:firstLine="708"/>
        <w:jc w:val="both"/>
        <w:rPr>
          <w:rFonts w:ascii="Garamond" w:hAnsi="Garamond" w:cs="Times New Roman"/>
          <w:color w:val="000000" w:themeColor="text1"/>
          <w:sz w:val="28"/>
          <w:szCs w:val="28"/>
        </w:rPr>
      </w:pPr>
      <w:r w:rsidRPr="0022653A">
        <w:rPr>
          <w:rFonts w:ascii="Garamond" w:hAnsi="Garamond" w:cs="Times New Roman"/>
          <w:color w:val="000000" w:themeColor="text1"/>
          <w:sz w:val="28"/>
          <w:szCs w:val="28"/>
        </w:rPr>
        <w:t xml:space="preserve">Detto d.m. è stato oggetto di </w:t>
      </w:r>
      <w:r>
        <w:rPr>
          <w:rFonts w:ascii="Garamond" w:hAnsi="Garamond" w:cs="Times New Roman"/>
          <w:color w:val="000000" w:themeColor="text1"/>
          <w:sz w:val="28"/>
          <w:szCs w:val="28"/>
        </w:rPr>
        <w:t>impugnativa</w:t>
      </w:r>
      <w:r w:rsidRPr="0022653A">
        <w:rPr>
          <w:rFonts w:ascii="Garamond" w:hAnsi="Garamond" w:cs="Times New Roman"/>
          <w:color w:val="000000" w:themeColor="text1"/>
          <w:sz w:val="28"/>
          <w:szCs w:val="28"/>
        </w:rPr>
        <w:t xml:space="preserve"> innanzi al T.a.r. per il Lazio da parte di una società produttrice di pannelli solari termici scoperti nella parte in cui non contemplava i pannelli solari scoperti (Pscop) dal regime di </w:t>
      </w:r>
      <w:r>
        <w:rPr>
          <w:rFonts w:ascii="Garamond" w:hAnsi="Garamond" w:cs="Times New Roman"/>
          <w:color w:val="000000" w:themeColor="text1"/>
          <w:sz w:val="28"/>
          <w:szCs w:val="28"/>
        </w:rPr>
        <w:t>incentivazione</w:t>
      </w:r>
      <w:r w:rsidRPr="0022653A">
        <w:rPr>
          <w:rFonts w:ascii="Garamond" w:hAnsi="Garamond" w:cs="Times New Roman"/>
          <w:color w:val="000000" w:themeColor="text1"/>
          <w:sz w:val="28"/>
          <w:szCs w:val="28"/>
        </w:rPr>
        <w:t>, limitandolo ai pannelli solari termici piano vetrati (Pvetr). L’</w:t>
      </w:r>
      <w:r>
        <w:rPr>
          <w:rFonts w:ascii="Garamond" w:hAnsi="Garamond" w:cs="Times New Roman"/>
          <w:color w:val="000000" w:themeColor="text1"/>
          <w:sz w:val="28"/>
          <w:szCs w:val="28"/>
        </w:rPr>
        <w:t>impugnativa</w:t>
      </w:r>
      <w:r w:rsidRPr="0022653A">
        <w:rPr>
          <w:rFonts w:ascii="Garamond" w:hAnsi="Garamond" w:cs="Times New Roman"/>
          <w:color w:val="000000" w:themeColor="text1"/>
          <w:sz w:val="28"/>
          <w:szCs w:val="28"/>
        </w:rPr>
        <w:t xml:space="preserve"> è stata rigettata (T.a.r. per il Lazio, sez. II </w:t>
      </w:r>
      <w:r w:rsidRPr="0022653A">
        <w:rPr>
          <w:rFonts w:ascii="Garamond" w:hAnsi="Garamond" w:cs="Times New Roman"/>
          <w:i/>
          <w:color w:val="000000" w:themeColor="text1"/>
          <w:sz w:val="28"/>
          <w:szCs w:val="28"/>
        </w:rPr>
        <w:t>ter</w:t>
      </w:r>
      <w:r w:rsidRPr="0022653A">
        <w:rPr>
          <w:rFonts w:ascii="Garamond" w:hAnsi="Garamond" w:cs="Times New Roman"/>
          <w:color w:val="000000" w:themeColor="text1"/>
          <w:sz w:val="28"/>
          <w:szCs w:val="28"/>
        </w:rPr>
        <w:t xml:space="preserve">, n. 14830 del 2023, la sentenza non risulta </w:t>
      </w:r>
      <w:r>
        <w:rPr>
          <w:rFonts w:ascii="Garamond" w:hAnsi="Garamond" w:cs="Times New Roman"/>
          <w:color w:val="000000" w:themeColor="text1"/>
          <w:sz w:val="28"/>
          <w:szCs w:val="28"/>
        </w:rPr>
        <w:t xml:space="preserve">appellata al </w:t>
      </w:r>
      <w:r w:rsidRPr="0022653A">
        <w:rPr>
          <w:rFonts w:ascii="Garamond" w:hAnsi="Garamond" w:cs="Times New Roman"/>
          <w:color w:val="000000" w:themeColor="text1"/>
          <w:sz w:val="28"/>
          <w:szCs w:val="28"/>
        </w:rPr>
        <w:t>Consiglio di Stato), rilevandosi in particolare quanto segue:</w:t>
      </w:r>
    </w:p>
    <w:p w:rsidR="007B4920" w:rsidRDefault="007B4920" w:rsidP="007B4920">
      <w:pPr>
        <w:pStyle w:val="Paragrafoelenco"/>
        <w:numPr>
          <w:ilvl w:val="0"/>
          <w:numId w:val="17"/>
        </w:numPr>
        <w:spacing w:line="240" w:lineRule="auto"/>
        <w:jc w:val="both"/>
        <w:rPr>
          <w:rFonts w:ascii="Garamond" w:hAnsi="Garamond" w:cs="Times New Roman"/>
          <w:color w:val="000000" w:themeColor="text1"/>
          <w:sz w:val="28"/>
          <w:szCs w:val="28"/>
        </w:rPr>
      </w:pPr>
      <w:r w:rsidRPr="0022653A">
        <w:rPr>
          <w:rFonts w:ascii="Garamond" w:hAnsi="Garamond" w:cs="Times New Roman"/>
          <w:color w:val="000000" w:themeColor="text1"/>
          <w:sz w:val="28"/>
          <w:szCs w:val="28"/>
        </w:rPr>
        <w:t>l’art. 28 d.lgs. n. 28 del 2011  laddove al  comma 1 dispone molteplici criteri per la determinazioni dell’incentivo tra cui alla lett. a) che lo stesso “</w:t>
      </w:r>
      <w:r w:rsidRPr="0022653A">
        <w:rPr>
          <w:rFonts w:ascii="Garamond" w:hAnsi="Garamond" w:cs="Times New Roman"/>
          <w:i/>
          <w:color w:val="000000" w:themeColor="text1"/>
          <w:sz w:val="28"/>
          <w:szCs w:val="28"/>
        </w:rPr>
        <w:t xml:space="preserve">ha lo scopo di assicurare una equa remunerazione dei costi di investimento ed esercizio ed è commisurato alla produzione di </w:t>
      </w:r>
      <w:r>
        <w:rPr>
          <w:rFonts w:ascii="Garamond" w:hAnsi="Garamond" w:cs="Times New Roman"/>
          <w:i/>
          <w:color w:val="000000" w:themeColor="text1"/>
          <w:sz w:val="28"/>
          <w:szCs w:val="28"/>
        </w:rPr>
        <w:t>energia</w:t>
      </w:r>
      <w:r w:rsidRPr="0022653A">
        <w:rPr>
          <w:rFonts w:ascii="Garamond" w:hAnsi="Garamond" w:cs="Times New Roman"/>
          <w:i/>
          <w:color w:val="000000" w:themeColor="text1"/>
          <w:sz w:val="28"/>
          <w:szCs w:val="28"/>
        </w:rPr>
        <w:t xml:space="preserve"> termica da fonti rinnovabili, ovvero ai risparmi energetici generati dagli interventi</w:t>
      </w:r>
      <w:r w:rsidRPr="0022653A">
        <w:rPr>
          <w:rFonts w:ascii="Garamond" w:hAnsi="Garamond" w:cs="Times New Roman"/>
          <w:color w:val="000000" w:themeColor="text1"/>
          <w:sz w:val="28"/>
          <w:szCs w:val="28"/>
        </w:rPr>
        <w:t xml:space="preserve">” e demanda al comma 2 ai decreti ministeriali la scelta sulle effettive modalità di attuazione del sistema di </w:t>
      </w:r>
      <w:r>
        <w:rPr>
          <w:rFonts w:ascii="Garamond" w:hAnsi="Garamond" w:cs="Times New Roman"/>
          <w:color w:val="000000" w:themeColor="text1"/>
          <w:sz w:val="28"/>
          <w:szCs w:val="28"/>
        </w:rPr>
        <w:t>incentivazione</w:t>
      </w:r>
      <w:r w:rsidRPr="0022653A">
        <w:rPr>
          <w:rFonts w:ascii="Garamond" w:hAnsi="Garamond" w:cs="Times New Roman"/>
          <w:color w:val="000000" w:themeColor="text1"/>
          <w:sz w:val="28"/>
          <w:szCs w:val="28"/>
        </w:rPr>
        <w:t xml:space="preserve">, anche mediante la definizione, </w:t>
      </w:r>
      <w:r w:rsidRPr="0022653A">
        <w:rPr>
          <w:rFonts w:ascii="Garamond" w:hAnsi="Garamond" w:cs="Times New Roman"/>
          <w:i/>
          <w:color w:val="000000" w:themeColor="text1"/>
          <w:sz w:val="28"/>
          <w:szCs w:val="28"/>
        </w:rPr>
        <w:t>inter alia</w:t>
      </w:r>
      <w:r w:rsidRPr="0022653A">
        <w:rPr>
          <w:rFonts w:ascii="Garamond" w:hAnsi="Garamond" w:cs="Times New Roman"/>
          <w:color w:val="000000" w:themeColor="text1"/>
          <w:sz w:val="28"/>
          <w:szCs w:val="28"/>
        </w:rPr>
        <w:t>, dei “</w:t>
      </w:r>
      <w:r w:rsidRPr="0022653A">
        <w:rPr>
          <w:rFonts w:ascii="Garamond" w:hAnsi="Garamond" w:cs="Times New Roman"/>
          <w:i/>
          <w:color w:val="000000" w:themeColor="text1"/>
          <w:sz w:val="28"/>
          <w:szCs w:val="28"/>
        </w:rPr>
        <w:t>requisiti tecnici minimi per l’accesso ai benefici per componenti, impianti e interventi</w:t>
      </w:r>
      <w:r w:rsidRPr="0022653A">
        <w:rPr>
          <w:rFonts w:ascii="Garamond" w:hAnsi="Garamond" w:cs="Times New Roman"/>
          <w:color w:val="000000" w:themeColor="text1"/>
          <w:sz w:val="28"/>
          <w:szCs w:val="28"/>
        </w:rPr>
        <w:t xml:space="preserve">” si inserisce  nel più ampio disegno legislativo di attuazione della </w:t>
      </w:r>
      <w:r>
        <w:rPr>
          <w:rFonts w:ascii="Garamond" w:hAnsi="Garamond" w:cs="Times New Roman"/>
          <w:color w:val="000000" w:themeColor="text1"/>
          <w:sz w:val="28"/>
          <w:szCs w:val="28"/>
        </w:rPr>
        <w:t>direttiva</w:t>
      </w:r>
      <w:r w:rsidRPr="0022653A">
        <w:rPr>
          <w:rFonts w:ascii="Garamond" w:hAnsi="Garamond" w:cs="Times New Roman"/>
          <w:color w:val="000000" w:themeColor="text1"/>
          <w:sz w:val="28"/>
          <w:szCs w:val="28"/>
        </w:rPr>
        <w:t xml:space="preserve"> 2009/28/CE,  definendo gli strumenti, i meccanismi, gli incentivi e il quadro istituzionale, finanziario e giuridico, necessari per il raggiungimento degli obiettivi fino al 2020 in materia di quota </w:t>
      </w:r>
      <w:r>
        <w:rPr>
          <w:rFonts w:ascii="Garamond" w:hAnsi="Garamond" w:cs="Times New Roman"/>
          <w:color w:val="000000" w:themeColor="text1"/>
          <w:sz w:val="28"/>
          <w:szCs w:val="28"/>
        </w:rPr>
        <w:t>complessiva</w:t>
      </w:r>
      <w:r w:rsidRPr="0022653A">
        <w:rPr>
          <w:rFonts w:ascii="Garamond" w:hAnsi="Garamond" w:cs="Times New Roman"/>
          <w:color w:val="000000" w:themeColor="text1"/>
          <w:sz w:val="28"/>
          <w:szCs w:val="28"/>
        </w:rPr>
        <w:t xml:space="preserve"> di </w:t>
      </w:r>
      <w:r>
        <w:rPr>
          <w:rFonts w:ascii="Garamond" w:hAnsi="Garamond" w:cs="Times New Roman"/>
          <w:color w:val="000000" w:themeColor="text1"/>
          <w:sz w:val="28"/>
          <w:szCs w:val="28"/>
        </w:rPr>
        <w:t>energia</w:t>
      </w:r>
      <w:r w:rsidRPr="0022653A">
        <w:rPr>
          <w:rFonts w:ascii="Garamond" w:hAnsi="Garamond" w:cs="Times New Roman"/>
          <w:color w:val="000000" w:themeColor="text1"/>
          <w:sz w:val="28"/>
          <w:szCs w:val="28"/>
        </w:rPr>
        <w:t xml:space="preserve"> da fonti rinnovabili sul consumo finale lordo di </w:t>
      </w:r>
      <w:r>
        <w:rPr>
          <w:rFonts w:ascii="Garamond" w:hAnsi="Garamond" w:cs="Times New Roman"/>
          <w:color w:val="000000" w:themeColor="text1"/>
          <w:sz w:val="28"/>
          <w:szCs w:val="28"/>
        </w:rPr>
        <w:t>energia</w:t>
      </w:r>
      <w:r w:rsidRPr="0022653A">
        <w:rPr>
          <w:rFonts w:ascii="Garamond" w:hAnsi="Garamond" w:cs="Times New Roman"/>
          <w:color w:val="000000" w:themeColor="text1"/>
          <w:sz w:val="28"/>
          <w:szCs w:val="28"/>
        </w:rPr>
        <w:t xml:space="preserve"> e di quota di </w:t>
      </w:r>
      <w:r>
        <w:rPr>
          <w:rFonts w:ascii="Garamond" w:hAnsi="Garamond" w:cs="Times New Roman"/>
          <w:color w:val="000000" w:themeColor="text1"/>
          <w:sz w:val="28"/>
          <w:szCs w:val="28"/>
        </w:rPr>
        <w:t>energia</w:t>
      </w:r>
      <w:r w:rsidRPr="0022653A">
        <w:rPr>
          <w:rFonts w:ascii="Garamond" w:hAnsi="Garamond" w:cs="Times New Roman"/>
          <w:color w:val="000000" w:themeColor="text1"/>
          <w:sz w:val="28"/>
          <w:szCs w:val="28"/>
        </w:rPr>
        <w:t xml:space="preserve"> da fonti rinnovabili nei trasporti (art.1 del d.lgs. n. 28 del 2011);</w:t>
      </w:r>
    </w:p>
    <w:p w:rsidR="007B4920" w:rsidRDefault="007B4920" w:rsidP="007B4920">
      <w:pPr>
        <w:pStyle w:val="Paragrafoelenco"/>
        <w:numPr>
          <w:ilvl w:val="0"/>
          <w:numId w:val="17"/>
        </w:numPr>
        <w:spacing w:line="240" w:lineRule="auto"/>
        <w:jc w:val="both"/>
        <w:rPr>
          <w:rFonts w:ascii="Garamond" w:hAnsi="Garamond" w:cs="Times New Roman"/>
          <w:color w:val="000000" w:themeColor="text1"/>
          <w:sz w:val="28"/>
          <w:szCs w:val="28"/>
        </w:rPr>
      </w:pPr>
      <w:r w:rsidRPr="0022653A">
        <w:rPr>
          <w:rFonts w:ascii="Garamond" w:hAnsi="Garamond" w:cs="Times New Roman"/>
          <w:color w:val="000000" w:themeColor="text1"/>
          <w:sz w:val="28"/>
          <w:szCs w:val="28"/>
        </w:rPr>
        <w:t xml:space="preserve">in detto contesto dunque l’individuazione di standard di efficienza ritenuti più elevati e valutati avendo a riferimento l’esercizio in modo continuativo appare rispondere alle finalità poste dalla stessa legge e declinate nello stesso d.m. che all’art. 1 richiama i “principi di semplificazione, efficacia, diversificazione e innovazione tecnologica nonché di coerenza con gli obiettivi di riqualificazione energetica degli edifici della pubblica amministrazione.”; </w:t>
      </w:r>
    </w:p>
    <w:p w:rsidR="007B4920" w:rsidRPr="0022653A" w:rsidRDefault="007B4920" w:rsidP="007B4920">
      <w:pPr>
        <w:pStyle w:val="Paragrafoelenco"/>
        <w:numPr>
          <w:ilvl w:val="0"/>
          <w:numId w:val="17"/>
        </w:numPr>
        <w:spacing w:line="240" w:lineRule="auto"/>
        <w:jc w:val="both"/>
        <w:rPr>
          <w:rFonts w:ascii="Garamond" w:hAnsi="Garamond" w:cs="Times New Roman"/>
          <w:color w:val="000000" w:themeColor="text1"/>
          <w:sz w:val="28"/>
          <w:szCs w:val="28"/>
        </w:rPr>
      </w:pPr>
      <w:r w:rsidRPr="0022653A">
        <w:rPr>
          <w:rFonts w:ascii="Garamond" w:hAnsi="Garamond" w:cs="Times New Roman"/>
          <w:color w:val="000000" w:themeColor="text1"/>
          <w:sz w:val="28"/>
          <w:szCs w:val="28"/>
        </w:rPr>
        <w:t>non potendo gli incentivi essere destinati ad ogni tipologia di intervento comunque utile ad incrementare l’efficienza energetica, la stessa legge ha pertanto demandato al decreto l’individuazione dei requisiti tecnici minimi per l’accesso ai benefici in quanto solo determinate tecnologie sono state ritenute in base ad una scelta discrezionale tecnica più rispondenti agli obiettivi di efficienza da raggiungere e dunque incent</w:t>
      </w:r>
      <w:r>
        <w:rPr>
          <w:rFonts w:ascii="Garamond" w:hAnsi="Garamond" w:cs="Times New Roman"/>
          <w:color w:val="000000" w:themeColor="text1"/>
          <w:sz w:val="28"/>
          <w:szCs w:val="28"/>
        </w:rPr>
        <w:t>iva</w:t>
      </w:r>
      <w:r w:rsidRPr="0022653A">
        <w:rPr>
          <w:rFonts w:ascii="Garamond" w:hAnsi="Garamond" w:cs="Times New Roman"/>
          <w:color w:val="000000" w:themeColor="text1"/>
          <w:sz w:val="28"/>
          <w:szCs w:val="28"/>
        </w:rPr>
        <w:t xml:space="preserve">bili.  </w:t>
      </w:r>
    </w:p>
    <w:p w:rsidR="007B4920"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8</w:t>
      </w:r>
      <w:r w:rsidRPr="00027FA8">
        <w:rPr>
          <w:rFonts w:ascii="Garamond" w:hAnsi="Garamond" w:cs="Times New Roman"/>
          <w:b/>
          <w:color w:val="000000" w:themeColor="text1"/>
          <w:sz w:val="28"/>
          <w:szCs w:val="28"/>
        </w:rPr>
        <w:t>.2. I certificati bianchi</w:t>
      </w:r>
      <w:r>
        <w:rPr>
          <w:rFonts w:ascii="Garamond" w:hAnsi="Garamond" w:cs="Times New Roman"/>
          <w:b/>
          <w:color w:val="000000" w:themeColor="text1"/>
          <w:sz w:val="28"/>
          <w:szCs w:val="28"/>
        </w:rPr>
        <w:t>.</w:t>
      </w:r>
    </w:p>
    <w:p w:rsidR="007B4920" w:rsidRPr="00D1722E" w:rsidRDefault="007B4920" w:rsidP="007B4920">
      <w:pPr>
        <w:spacing w:line="240" w:lineRule="auto"/>
        <w:ind w:firstLine="709"/>
        <w:contextualSpacing/>
        <w:jc w:val="both"/>
        <w:rPr>
          <w:rFonts w:ascii="Garamond" w:hAnsi="Garamond" w:cs="Times New Roman"/>
          <w:b/>
          <w:color w:val="000000" w:themeColor="text1"/>
          <w:sz w:val="28"/>
          <w:szCs w:val="28"/>
        </w:rPr>
      </w:pPr>
      <w:r>
        <w:rPr>
          <w:rFonts w:ascii="Garamond" w:hAnsi="Garamond" w:cs="Times New Roman"/>
          <w:color w:val="000000" w:themeColor="text1"/>
          <w:sz w:val="28"/>
          <w:szCs w:val="28"/>
        </w:rPr>
        <w:t>I</w:t>
      </w:r>
      <w:r w:rsidRPr="00F72EE9">
        <w:rPr>
          <w:rFonts w:ascii="Garamond" w:hAnsi="Garamond" w:cs="Times New Roman"/>
          <w:color w:val="000000" w:themeColor="text1"/>
          <w:sz w:val="28"/>
          <w:szCs w:val="28"/>
        </w:rPr>
        <w:t xml:space="preserve">l meccanismo di </w:t>
      </w:r>
      <w:r>
        <w:rPr>
          <w:rFonts w:ascii="Garamond" w:hAnsi="Garamond" w:cs="Times New Roman"/>
          <w:color w:val="000000" w:themeColor="text1"/>
          <w:sz w:val="28"/>
          <w:szCs w:val="28"/>
        </w:rPr>
        <w:t>incentivazione</w:t>
      </w:r>
      <w:r w:rsidRPr="00F72EE9">
        <w:rPr>
          <w:rFonts w:ascii="Garamond" w:hAnsi="Garamond" w:cs="Times New Roman"/>
          <w:color w:val="000000" w:themeColor="text1"/>
          <w:sz w:val="28"/>
          <w:szCs w:val="28"/>
        </w:rPr>
        <w:t xml:space="preserve"> fondato sul rilascio dei c.d. “</w:t>
      </w:r>
      <w:r w:rsidRPr="009D26AF">
        <w:rPr>
          <w:rFonts w:ascii="Garamond" w:hAnsi="Garamond" w:cs="Times New Roman"/>
          <w:i/>
          <w:color w:val="000000" w:themeColor="text1"/>
          <w:sz w:val="28"/>
          <w:szCs w:val="28"/>
        </w:rPr>
        <w:t>Certificati bianchi</w:t>
      </w:r>
      <w:r w:rsidRPr="00F72EE9">
        <w:rPr>
          <w:rFonts w:ascii="Garamond" w:hAnsi="Garamond" w:cs="Times New Roman"/>
          <w:color w:val="000000" w:themeColor="text1"/>
          <w:sz w:val="28"/>
          <w:szCs w:val="28"/>
        </w:rPr>
        <w:t>” o Titoli di efficienza energetica</w:t>
      </w:r>
      <w:r>
        <w:rPr>
          <w:rFonts w:ascii="Garamond" w:hAnsi="Garamond" w:cs="Times New Roman"/>
          <w:color w:val="000000" w:themeColor="text1"/>
          <w:sz w:val="28"/>
          <w:szCs w:val="28"/>
        </w:rPr>
        <w:t xml:space="preserve"> (TEE), è stato introdotto dal d.m</w:t>
      </w:r>
      <w:r w:rsidRPr="00F72EE9">
        <w:rPr>
          <w:rFonts w:ascii="Garamond" w:hAnsi="Garamond" w:cs="Times New Roman"/>
          <w:color w:val="000000" w:themeColor="text1"/>
          <w:sz w:val="28"/>
          <w:szCs w:val="28"/>
        </w:rPr>
        <w:t>. 20 luglio 2004 (</w:t>
      </w:r>
      <w:r w:rsidRPr="00F72EE9">
        <w:rPr>
          <w:rFonts w:ascii="Garamond" w:hAnsi="Garamond" w:cs="Times New Roman"/>
          <w:i/>
          <w:color w:val="000000" w:themeColor="text1"/>
          <w:sz w:val="28"/>
          <w:szCs w:val="28"/>
        </w:rPr>
        <w:t xml:space="preserve">Nuova individuazione degli obiettivi quantitativi per l’incremento dell’efficienza energetica negli usi finali di </w:t>
      </w:r>
      <w:r>
        <w:rPr>
          <w:rFonts w:ascii="Garamond" w:hAnsi="Garamond" w:cs="Times New Roman"/>
          <w:i/>
          <w:color w:val="000000" w:themeColor="text1"/>
          <w:sz w:val="28"/>
          <w:szCs w:val="28"/>
        </w:rPr>
        <w:t>energia</w:t>
      </w:r>
      <w:r w:rsidRPr="00F72EE9">
        <w:rPr>
          <w:rFonts w:ascii="Garamond" w:hAnsi="Garamond" w:cs="Times New Roman"/>
          <w:i/>
          <w:color w:val="000000" w:themeColor="text1"/>
          <w:sz w:val="28"/>
          <w:szCs w:val="28"/>
        </w:rPr>
        <w:t>, ai sensi dell’art. 9, comma 1, del decreto legislativo 16 marzo 1999, n. 79</w:t>
      </w:r>
      <w:r w:rsidRPr="00F72EE9">
        <w:rPr>
          <w:rFonts w:ascii="Garamond" w:hAnsi="Garamond" w:cs="Times New Roman"/>
          <w:color w:val="000000" w:themeColor="text1"/>
          <w:sz w:val="28"/>
          <w:szCs w:val="28"/>
        </w:rPr>
        <w:t xml:space="preserve">) allo scopo di </w:t>
      </w:r>
      <w:r>
        <w:rPr>
          <w:rFonts w:ascii="Garamond" w:hAnsi="Garamond" w:cs="Times New Roman"/>
          <w:color w:val="000000" w:themeColor="text1"/>
          <w:sz w:val="28"/>
          <w:szCs w:val="28"/>
        </w:rPr>
        <w:t>incentivare</w:t>
      </w:r>
      <w:r w:rsidRPr="00F72EE9">
        <w:rPr>
          <w:rFonts w:ascii="Garamond" w:hAnsi="Garamond" w:cs="Times New Roman"/>
          <w:color w:val="000000" w:themeColor="text1"/>
          <w:sz w:val="28"/>
          <w:szCs w:val="28"/>
        </w:rPr>
        <w:t xml:space="preserve"> i distributori di </w:t>
      </w:r>
      <w:r>
        <w:rPr>
          <w:rFonts w:ascii="Garamond" w:hAnsi="Garamond" w:cs="Times New Roman"/>
          <w:color w:val="000000" w:themeColor="text1"/>
          <w:sz w:val="28"/>
          <w:szCs w:val="28"/>
        </w:rPr>
        <w:t>energia</w:t>
      </w:r>
      <w:r w:rsidRPr="00F72EE9">
        <w:rPr>
          <w:rFonts w:ascii="Garamond" w:hAnsi="Garamond" w:cs="Times New Roman"/>
          <w:color w:val="000000" w:themeColor="text1"/>
          <w:sz w:val="28"/>
          <w:szCs w:val="28"/>
        </w:rPr>
        <w:t xml:space="preserve"> elettrica e di gas naturale a raggiungere annualmente obiettivi quantitativi di risparmio di </w:t>
      </w:r>
      <w:r>
        <w:rPr>
          <w:rFonts w:ascii="Garamond" w:hAnsi="Garamond" w:cs="Times New Roman"/>
          <w:color w:val="000000" w:themeColor="text1"/>
          <w:sz w:val="28"/>
          <w:szCs w:val="28"/>
        </w:rPr>
        <w:t>energia</w:t>
      </w:r>
      <w:r w:rsidRPr="00F72EE9">
        <w:rPr>
          <w:rFonts w:ascii="Garamond" w:hAnsi="Garamond" w:cs="Times New Roman"/>
          <w:color w:val="000000" w:themeColor="text1"/>
          <w:sz w:val="28"/>
          <w:szCs w:val="28"/>
        </w:rPr>
        <w:t xml:space="preserve"> primaria, espressi in “</w:t>
      </w:r>
      <w:r w:rsidRPr="00F72EE9">
        <w:rPr>
          <w:rFonts w:ascii="Garamond" w:hAnsi="Garamond" w:cs="Times New Roman"/>
          <w:i/>
          <w:color w:val="000000" w:themeColor="text1"/>
          <w:sz w:val="28"/>
          <w:szCs w:val="28"/>
        </w:rPr>
        <w:t xml:space="preserve">Tonnellate </w:t>
      </w:r>
      <w:r>
        <w:rPr>
          <w:rFonts w:ascii="Garamond" w:hAnsi="Garamond" w:cs="Times New Roman"/>
          <w:i/>
          <w:color w:val="000000" w:themeColor="text1"/>
          <w:sz w:val="28"/>
          <w:szCs w:val="28"/>
        </w:rPr>
        <w:t>Equivale</w:t>
      </w:r>
      <w:r w:rsidRPr="00F72EE9">
        <w:rPr>
          <w:rFonts w:ascii="Garamond" w:hAnsi="Garamond" w:cs="Times New Roman"/>
          <w:i/>
          <w:color w:val="000000" w:themeColor="text1"/>
          <w:sz w:val="28"/>
          <w:szCs w:val="28"/>
        </w:rPr>
        <w:t>nti di Petrolio</w:t>
      </w:r>
      <w:r>
        <w:rPr>
          <w:rFonts w:ascii="Garamond" w:hAnsi="Garamond" w:cs="Times New Roman"/>
          <w:color w:val="000000" w:themeColor="text1"/>
          <w:sz w:val="28"/>
          <w:szCs w:val="28"/>
        </w:rPr>
        <w:t>” (TEP) risparmiate.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Tale </w:t>
      </w:r>
      <w:r w:rsidRPr="00F72EE9">
        <w:rPr>
          <w:rFonts w:ascii="Garamond" w:hAnsi="Garamond" w:cs="Times New Roman"/>
          <w:color w:val="000000" w:themeColor="text1"/>
          <w:sz w:val="28"/>
          <w:szCs w:val="28"/>
        </w:rPr>
        <w:t>disciplina è stata</w:t>
      </w:r>
      <w:r>
        <w:rPr>
          <w:rFonts w:ascii="Garamond" w:hAnsi="Garamond" w:cs="Times New Roman"/>
          <w:color w:val="000000" w:themeColor="text1"/>
          <w:sz w:val="28"/>
          <w:szCs w:val="28"/>
        </w:rPr>
        <w:t xml:space="preserve"> successivamente integrata dai d.m. 28 dicembre </w:t>
      </w:r>
      <w:r w:rsidRPr="00F72EE9">
        <w:rPr>
          <w:rFonts w:ascii="Garamond" w:hAnsi="Garamond" w:cs="Times New Roman"/>
          <w:color w:val="000000" w:themeColor="text1"/>
          <w:sz w:val="28"/>
          <w:szCs w:val="28"/>
        </w:rPr>
        <w:t>2012, 11 gennaio 2017 e 10 maggio 2018,</w:t>
      </w:r>
      <w:r w:rsidRPr="00A9648D">
        <w:t xml:space="preserve"> </w:t>
      </w:r>
      <w:r>
        <w:rPr>
          <w:rFonts w:ascii="Garamond" w:hAnsi="Garamond" w:cs="Times New Roman"/>
          <w:color w:val="000000" w:themeColor="text1"/>
          <w:sz w:val="28"/>
          <w:szCs w:val="28"/>
        </w:rPr>
        <w:t>(adottati</w:t>
      </w:r>
      <w:r w:rsidRPr="00A9648D">
        <w:rPr>
          <w:rFonts w:ascii="Garamond" w:hAnsi="Garamond" w:cs="Times New Roman"/>
          <w:color w:val="000000" w:themeColor="text1"/>
          <w:sz w:val="28"/>
          <w:szCs w:val="28"/>
        </w:rPr>
        <w:t xml:space="preserve"> in attuazione dell’art. 29 d.lgs. n. 28 del 2011), </w:t>
      </w:r>
      <w:r>
        <w:rPr>
          <w:rFonts w:ascii="Garamond" w:hAnsi="Garamond" w:cs="Times New Roman"/>
          <w:color w:val="000000" w:themeColor="text1"/>
          <w:sz w:val="28"/>
          <w:szCs w:val="28"/>
        </w:rPr>
        <w:lastRenderedPageBreak/>
        <w:t>nonché dalla d</w:t>
      </w:r>
      <w:r w:rsidRPr="00F72EE9">
        <w:rPr>
          <w:rFonts w:ascii="Garamond" w:hAnsi="Garamond" w:cs="Times New Roman"/>
          <w:color w:val="000000" w:themeColor="text1"/>
          <w:sz w:val="28"/>
          <w:szCs w:val="28"/>
        </w:rPr>
        <w:t xml:space="preserve">elibera </w:t>
      </w:r>
      <w:r>
        <w:rPr>
          <w:rFonts w:ascii="Garamond" w:hAnsi="Garamond" w:cs="Times New Roman"/>
          <w:color w:val="000000" w:themeColor="text1"/>
          <w:sz w:val="28"/>
          <w:szCs w:val="28"/>
        </w:rPr>
        <w:t xml:space="preserve">della Autorità di settore (all’epoca AEEG. </w:t>
      </w:r>
      <w:r w:rsidRPr="00F72EE9">
        <w:rPr>
          <w:rFonts w:ascii="Garamond" w:hAnsi="Garamond" w:cs="Times New Roman"/>
          <w:color w:val="000000" w:themeColor="text1"/>
          <w:sz w:val="28"/>
          <w:szCs w:val="28"/>
        </w:rPr>
        <w:t>n</w:t>
      </w:r>
      <w:r>
        <w:rPr>
          <w:rFonts w:ascii="Garamond" w:hAnsi="Garamond" w:cs="Times New Roman"/>
          <w:color w:val="000000" w:themeColor="text1"/>
          <w:sz w:val="28"/>
          <w:szCs w:val="28"/>
        </w:rPr>
        <w:t>. EEN 9/11 del 27 ottobre 2011).</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Segnatamente l’art. 29 d.lgs. n. 28 del 2011 prevede che con i successivi d.m. di cui </w:t>
      </w:r>
      <w:r w:rsidRPr="00A9648D">
        <w:rPr>
          <w:rFonts w:ascii="Garamond" w:hAnsi="Garamond" w:cs="Times New Roman"/>
          <w:color w:val="000000" w:themeColor="text1"/>
          <w:sz w:val="28"/>
          <w:szCs w:val="28"/>
        </w:rPr>
        <w:t xml:space="preserve">all'articolo 7 </w:t>
      </w:r>
      <w:r>
        <w:rPr>
          <w:rFonts w:ascii="Garamond" w:hAnsi="Garamond" w:cs="Times New Roman"/>
          <w:color w:val="000000" w:themeColor="text1"/>
          <w:sz w:val="28"/>
          <w:szCs w:val="28"/>
        </w:rPr>
        <w:t>del d.l.gs. n. 115 del 2008:</w:t>
      </w:r>
    </w:p>
    <w:p w:rsidR="007B4920" w:rsidRDefault="007B4920" w:rsidP="007B4920">
      <w:pPr>
        <w:pStyle w:val="Paragrafoelenco"/>
        <w:numPr>
          <w:ilvl w:val="0"/>
          <w:numId w:val="18"/>
        </w:numPr>
        <w:spacing w:line="240" w:lineRule="auto"/>
        <w:jc w:val="both"/>
        <w:rPr>
          <w:rFonts w:ascii="Garamond" w:hAnsi="Garamond" w:cs="Times New Roman"/>
          <w:color w:val="000000" w:themeColor="text1"/>
          <w:sz w:val="28"/>
          <w:szCs w:val="28"/>
        </w:rPr>
      </w:pPr>
      <w:r w:rsidRPr="0022653A">
        <w:rPr>
          <w:rFonts w:ascii="Garamond" w:hAnsi="Garamond" w:cs="Times New Roman"/>
          <w:color w:val="000000" w:themeColor="text1"/>
          <w:sz w:val="28"/>
          <w:szCs w:val="28"/>
        </w:rPr>
        <w:t>sono stabilite le modalità con cui gli obblighi in capo alle imprese di distribuzione di cui all'articolo 9, comma 1, del decreto legislativo 16 marzo 1999, n. 79, e all'articolo 16, comma 4, del decreto legislativo 23 maggio 2000, n. 164, si raccordano agli obiettivi nazionali relativi all'efficienza energetica;</w:t>
      </w:r>
    </w:p>
    <w:p w:rsidR="007B4920" w:rsidRDefault="007B4920" w:rsidP="007B4920">
      <w:pPr>
        <w:pStyle w:val="Paragrafoelenco"/>
        <w:numPr>
          <w:ilvl w:val="0"/>
          <w:numId w:val="18"/>
        </w:numPr>
        <w:spacing w:line="240" w:lineRule="auto"/>
        <w:jc w:val="both"/>
        <w:rPr>
          <w:rFonts w:ascii="Garamond" w:hAnsi="Garamond" w:cs="Times New Roman"/>
          <w:color w:val="000000" w:themeColor="text1"/>
          <w:sz w:val="28"/>
          <w:szCs w:val="28"/>
        </w:rPr>
      </w:pPr>
      <w:r w:rsidRPr="0022653A">
        <w:rPr>
          <w:rFonts w:ascii="Garamond" w:hAnsi="Garamond" w:cs="Times New Roman"/>
          <w:color w:val="000000" w:themeColor="text1"/>
          <w:sz w:val="28"/>
          <w:szCs w:val="28"/>
        </w:rPr>
        <w:t xml:space="preserve">è disposto il passaggio al G.s.e. dell'attività di gestione del meccanismo di certificazione relativo ai certificati bianchi, ferme restando le competenze del </w:t>
      </w:r>
      <w:r w:rsidRPr="00F72EE9">
        <w:rPr>
          <w:rFonts w:ascii="Garamond" w:hAnsi="Garamond" w:cs="Times New Roman"/>
          <w:color w:val="000000" w:themeColor="text1"/>
          <w:sz w:val="28"/>
          <w:szCs w:val="28"/>
        </w:rPr>
        <w:t>Gestore d</w:t>
      </w:r>
      <w:r>
        <w:rPr>
          <w:rFonts w:ascii="Garamond" w:hAnsi="Garamond" w:cs="Times New Roman"/>
          <w:color w:val="000000" w:themeColor="text1"/>
          <w:sz w:val="28"/>
          <w:szCs w:val="28"/>
        </w:rPr>
        <w:t>ei mercati energetici (</w:t>
      </w:r>
      <w:r w:rsidRPr="0022653A">
        <w:rPr>
          <w:rFonts w:ascii="Garamond" w:hAnsi="Garamond" w:cs="Times New Roman"/>
          <w:color w:val="000000" w:themeColor="text1"/>
          <w:sz w:val="28"/>
          <w:szCs w:val="28"/>
        </w:rPr>
        <w:t>G.m.e.</w:t>
      </w:r>
      <w:r>
        <w:rPr>
          <w:rFonts w:ascii="Garamond" w:hAnsi="Garamond" w:cs="Times New Roman"/>
          <w:color w:val="000000" w:themeColor="text1"/>
          <w:sz w:val="28"/>
          <w:szCs w:val="28"/>
        </w:rPr>
        <w:t>)</w:t>
      </w:r>
      <w:r w:rsidRPr="0022653A">
        <w:rPr>
          <w:rFonts w:ascii="Garamond" w:hAnsi="Garamond" w:cs="Times New Roman"/>
          <w:color w:val="000000" w:themeColor="text1"/>
          <w:sz w:val="28"/>
          <w:szCs w:val="28"/>
        </w:rPr>
        <w:t xml:space="preserve"> sull'attività di emissione dei certificati bianchi e sulla gestione del registro e della borsa dei medesimi certificati bianchi; </w:t>
      </w:r>
    </w:p>
    <w:p w:rsidR="007B4920" w:rsidRDefault="007B4920" w:rsidP="007B4920">
      <w:pPr>
        <w:pStyle w:val="Paragrafoelenco"/>
        <w:numPr>
          <w:ilvl w:val="0"/>
          <w:numId w:val="18"/>
        </w:numPr>
        <w:spacing w:line="240" w:lineRule="auto"/>
        <w:jc w:val="both"/>
        <w:rPr>
          <w:rFonts w:ascii="Garamond" w:hAnsi="Garamond" w:cs="Times New Roman"/>
          <w:color w:val="000000" w:themeColor="text1"/>
          <w:sz w:val="28"/>
          <w:szCs w:val="28"/>
        </w:rPr>
      </w:pPr>
      <w:r w:rsidRPr="0022653A">
        <w:rPr>
          <w:rFonts w:ascii="Garamond" w:hAnsi="Garamond" w:cs="Times New Roman"/>
          <w:color w:val="000000" w:themeColor="text1"/>
          <w:sz w:val="28"/>
          <w:szCs w:val="28"/>
        </w:rPr>
        <w:t>sono approvate almeno 15 nuove schede standardizzate, predisposte dall'ENEA-UTEE secondo quanto stabilito dall'articolo 30, comma 1;</w:t>
      </w:r>
    </w:p>
    <w:p w:rsidR="007B4920" w:rsidRDefault="007B4920" w:rsidP="007B4920">
      <w:pPr>
        <w:pStyle w:val="Paragrafoelenco"/>
        <w:numPr>
          <w:ilvl w:val="0"/>
          <w:numId w:val="18"/>
        </w:numPr>
        <w:spacing w:line="240" w:lineRule="auto"/>
        <w:jc w:val="both"/>
        <w:rPr>
          <w:rFonts w:ascii="Garamond" w:hAnsi="Garamond" w:cs="Times New Roman"/>
          <w:color w:val="000000" w:themeColor="text1"/>
          <w:sz w:val="28"/>
          <w:szCs w:val="28"/>
        </w:rPr>
      </w:pPr>
      <w:r w:rsidRPr="0022653A">
        <w:rPr>
          <w:rFonts w:ascii="Garamond" w:hAnsi="Garamond" w:cs="Times New Roman"/>
          <w:color w:val="000000" w:themeColor="text1"/>
          <w:sz w:val="28"/>
          <w:szCs w:val="28"/>
        </w:rPr>
        <w:t>è raccordato il periodo di diritto ai certificati con la vita utile dell'intervento;</w:t>
      </w:r>
    </w:p>
    <w:p w:rsidR="007B4920" w:rsidRDefault="007B4920" w:rsidP="007B4920">
      <w:pPr>
        <w:pStyle w:val="Paragrafoelenco"/>
        <w:numPr>
          <w:ilvl w:val="0"/>
          <w:numId w:val="18"/>
        </w:numPr>
        <w:spacing w:line="240" w:lineRule="auto"/>
        <w:jc w:val="both"/>
        <w:rPr>
          <w:rFonts w:ascii="Garamond" w:hAnsi="Garamond" w:cs="Times New Roman"/>
          <w:color w:val="000000" w:themeColor="text1"/>
          <w:sz w:val="28"/>
          <w:szCs w:val="28"/>
        </w:rPr>
      </w:pPr>
      <w:r w:rsidRPr="0022653A">
        <w:rPr>
          <w:rFonts w:ascii="Garamond" w:hAnsi="Garamond" w:cs="Times New Roman"/>
          <w:color w:val="000000" w:themeColor="text1"/>
          <w:sz w:val="28"/>
          <w:szCs w:val="28"/>
        </w:rPr>
        <w:t>sono individuate modalità per ridurre tempi e adempimenti per l'ottenimento dei certificati;</w:t>
      </w:r>
    </w:p>
    <w:p w:rsidR="007B4920" w:rsidRPr="0022653A" w:rsidRDefault="007B4920" w:rsidP="007B4920">
      <w:pPr>
        <w:pStyle w:val="Paragrafoelenco"/>
        <w:numPr>
          <w:ilvl w:val="0"/>
          <w:numId w:val="18"/>
        </w:numPr>
        <w:spacing w:line="240" w:lineRule="auto"/>
        <w:jc w:val="both"/>
        <w:rPr>
          <w:rFonts w:ascii="Garamond" w:hAnsi="Garamond" w:cs="Times New Roman"/>
          <w:color w:val="000000" w:themeColor="text1"/>
          <w:sz w:val="28"/>
          <w:szCs w:val="28"/>
        </w:rPr>
      </w:pPr>
      <w:r w:rsidRPr="0022653A">
        <w:rPr>
          <w:rFonts w:ascii="Garamond" w:hAnsi="Garamond" w:cs="Times New Roman"/>
          <w:color w:val="000000" w:themeColor="text1"/>
          <w:sz w:val="28"/>
          <w:szCs w:val="28"/>
        </w:rPr>
        <w:t xml:space="preserve">sono stabiliti i criteri per la determinazione del contributo tariffario per i costi sostenuti dai soggetti obbligati per il conseguimento degli obiettivi di risparmio di </w:t>
      </w:r>
      <w:r>
        <w:rPr>
          <w:rFonts w:ascii="Garamond" w:hAnsi="Garamond" w:cs="Times New Roman"/>
          <w:color w:val="000000" w:themeColor="text1"/>
          <w:sz w:val="28"/>
          <w:szCs w:val="28"/>
        </w:rPr>
        <w:t>energia</w:t>
      </w:r>
      <w:r w:rsidRPr="0022653A">
        <w:rPr>
          <w:rFonts w:ascii="Garamond" w:hAnsi="Garamond" w:cs="Times New Roman"/>
          <w:color w:val="000000" w:themeColor="text1"/>
          <w:sz w:val="28"/>
          <w:szCs w:val="28"/>
        </w:rPr>
        <w:t xml:space="preserve"> primaria posti a loro carico.</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L’art. 8 del d.m. 28 dicembre 2012 disciplina l’accesso del meccanismo dei certificati bianchi per i grandi progetti, ovvero per </w:t>
      </w:r>
      <w:r w:rsidRPr="00285D2A">
        <w:rPr>
          <w:rFonts w:ascii="Garamond" w:hAnsi="Garamond" w:cs="Times New Roman"/>
          <w:color w:val="000000" w:themeColor="text1"/>
          <w:sz w:val="28"/>
          <w:szCs w:val="28"/>
        </w:rPr>
        <w:t>gli interventi infrastrutturali, anche asserviti a sistemi di risparmio energetico, trasporti e processi industriali</w:t>
      </w:r>
      <w:r>
        <w:rPr>
          <w:rFonts w:ascii="Garamond" w:hAnsi="Garamond" w:cs="Times New Roman"/>
          <w:color w:val="000000" w:themeColor="text1"/>
          <w:sz w:val="28"/>
          <w:szCs w:val="28"/>
        </w:rPr>
        <w:t xml:space="preserve"> </w:t>
      </w:r>
      <w:r w:rsidRPr="00285D2A">
        <w:rPr>
          <w:rFonts w:ascii="Garamond" w:hAnsi="Garamond" w:cs="Times New Roman"/>
          <w:color w:val="000000" w:themeColor="text1"/>
          <w:sz w:val="28"/>
          <w:szCs w:val="28"/>
        </w:rPr>
        <w:t xml:space="preserve">che comportino un risparmio di </w:t>
      </w:r>
      <w:r>
        <w:rPr>
          <w:rFonts w:ascii="Garamond" w:hAnsi="Garamond" w:cs="Times New Roman"/>
          <w:color w:val="000000" w:themeColor="text1"/>
          <w:sz w:val="28"/>
          <w:szCs w:val="28"/>
        </w:rPr>
        <w:t>energia</w:t>
      </w:r>
      <w:r w:rsidRPr="00285D2A">
        <w:rPr>
          <w:rFonts w:ascii="Garamond" w:hAnsi="Garamond" w:cs="Times New Roman"/>
          <w:color w:val="000000" w:themeColor="text1"/>
          <w:sz w:val="28"/>
          <w:szCs w:val="28"/>
        </w:rPr>
        <w:t xml:space="preserve"> elettrica o di gas stimato annuo superiore a 35.000 TEP</w:t>
      </w:r>
      <w:r>
        <w:rPr>
          <w:rFonts w:ascii="Garamond" w:hAnsi="Garamond" w:cs="Times New Roman"/>
          <w:color w:val="000000" w:themeColor="text1"/>
          <w:sz w:val="28"/>
          <w:szCs w:val="28"/>
        </w:rPr>
        <w:t xml:space="preserve"> </w:t>
      </w:r>
      <w:r w:rsidRPr="00285D2A">
        <w:rPr>
          <w:rFonts w:ascii="Garamond" w:hAnsi="Garamond" w:cs="Times New Roman"/>
          <w:color w:val="000000" w:themeColor="text1"/>
          <w:sz w:val="28"/>
          <w:szCs w:val="28"/>
        </w:rPr>
        <w:t>e che abbiano una</w:t>
      </w:r>
      <w:r>
        <w:rPr>
          <w:rFonts w:ascii="Garamond" w:hAnsi="Garamond" w:cs="Times New Roman"/>
          <w:color w:val="000000" w:themeColor="text1"/>
          <w:sz w:val="28"/>
          <w:szCs w:val="28"/>
        </w:rPr>
        <w:t xml:space="preserve"> </w:t>
      </w:r>
      <w:r w:rsidRPr="00285D2A">
        <w:rPr>
          <w:rFonts w:ascii="Garamond" w:hAnsi="Garamond" w:cs="Times New Roman"/>
          <w:color w:val="000000" w:themeColor="text1"/>
          <w:sz w:val="28"/>
          <w:szCs w:val="28"/>
        </w:rPr>
        <w:t>vita</w:t>
      </w:r>
      <w:r>
        <w:rPr>
          <w:rFonts w:ascii="Garamond" w:hAnsi="Garamond" w:cs="Times New Roman"/>
          <w:color w:val="000000" w:themeColor="text1"/>
          <w:sz w:val="28"/>
          <w:szCs w:val="28"/>
        </w:rPr>
        <w:t xml:space="preserve"> tecnica superiore a venti anni.</w:t>
      </w:r>
    </w:p>
    <w:p w:rsidR="007B4920" w:rsidRPr="00F72EE9" w:rsidRDefault="007B4920" w:rsidP="007B4920">
      <w:pPr>
        <w:spacing w:line="240" w:lineRule="auto"/>
        <w:ind w:firstLine="709"/>
        <w:contextualSpacing/>
        <w:jc w:val="both"/>
        <w:rPr>
          <w:rFonts w:ascii="Garamond" w:hAnsi="Garamond" w:cs="Times New Roman"/>
          <w:color w:val="000000" w:themeColor="text1"/>
          <w:sz w:val="28"/>
          <w:szCs w:val="28"/>
        </w:rPr>
      </w:pPr>
      <w:r w:rsidRPr="00F72EE9">
        <w:rPr>
          <w:rFonts w:ascii="Garamond" w:hAnsi="Garamond" w:cs="Times New Roman"/>
          <w:color w:val="000000" w:themeColor="text1"/>
          <w:sz w:val="28"/>
          <w:szCs w:val="28"/>
        </w:rPr>
        <w:t>Il sistema</w:t>
      </w:r>
      <w:r>
        <w:rPr>
          <w:rFonts w:ascii="Garamond" w:hAnsi="Garamond" w:cs="Times New Roman"/>
          <w:color w:val="000000" w:themeColor="text1"/>
          <w:sz w:val="28"/>
          <w:szCs w:val="28"/>
        </w:rPr>
        <w:t xml:space="preserve"> dei certificati bianchi</w:t>
      </w:r>
      <w:r w:rsidRPr="00F72EE9">
        <w:rPr>
          <w:rFonts w:ascii="Garamond" w:hAnsi="Garamond" w:cs="Times New Roman"/>
          <w:color w:val="000000" w:themeColor="text1"/>
          <w:sz w:val="28"/>
          <w:szCs w:val="28"/>
        </w:rPr>
        <w:t xml:space="preserve"> prevede obblighi di risparmio di </w:t>
      </w:r>
      <w:r>
        <w:rPr>
          <w:rFonts w:ascii="Garamond" w:hAnsi="Garamond" w:cs="Times New Roman"/>
          <w:color w:val="000000" w:themeColor="text1"/>
          <w:sz w:val="28"/>
          <w:szCs w:val="28"/>
        </w:rPr>
        <w:t>energia</w:t>
      </w:r>
      <w:r w:rsidRPr="00F72EE9">
        <w:rPr>
          <w:rFonts w:ascii="Garamond" w:hAnsi="Garamond" w:cs="Times New Roman"/>
          <w:color w:val="000000" w:themeColor="text1"/>
          <w:sz w:val="28"/>
          <w:szCs w:val="28"/>
        </w:rPr>
        <w:t xml:space="preserve"> primaria per i distributori di </w:t>
      </w:r>
      <w:r>
        <w:rPr>
          <w:rFonts w:ascii="Garamond" w:hAnsi="Garamond" w:cs="Times New Roman"/>
          <w:color w:val="000000" w:themeColor="text1"/>
          <w:sz w:val="28"/>
          <w:szCs w:val="28"/>
        </w:rPr>
        <w:t>energia</w:t>
      </w:r>
      <w:r w:rsidRPr="00F72EE9">
        <w:rPr>
          <w:rFonts w:ascii="Garamond" w:hAnsi="Garamond" w:cs="Times New Roman"/>
          <w:color w:val="000000" w:themeColor="text1"/>
          <w:sz w:val="28"/>
          <w:szCs w:val="28"/>
        </w:rPr>
        <w:t xml:space="preserve"> elettrica e di gas naturale con più di 50.000 clienti finali (“Soggetti obbligati”), cui vengono attribuiti annualmente gli obiettivi da raggiungere. La quota d’obbligo di risparmio di ciascun soggetto può essere raggiunta attraverso due sistemi alternativi: realizzando direttamente i progetti di efficienza energetica ammessi al meccanismo o acquistando i TE</w:t>
      </w:r>
      <w:r>
        <w:rPr>
          <w:rFonts w:ascii="Garamond" w:hAnsi="Garamond" w:cs="Times New Roman"/>
          <w:color w:val="000000" w:themeColor="text1"/>
          <w:sz w:val="28"/>
          <w:szCs w:val="28"/>
        </w:rPr>
        <w:t>E dagli altri soggetti ammessi.</w:t>
      </w:r>
    </w:p>
    <w:p w:rsidR="007B4920" w:rsidRPr="00F72EE9" w:rsidRDefault="007B4920" w:rsidP="007B4920">
      <w:pPr>
        <w:spacing w:line="240" w:lineRule="auto"/>
        <w:ind w:firstLine="709"/>
        <w:contextualSpacing/>
        <w:jc w:val="both"/>
        <w:rPr>
          <w:rFonts w:ascii="Garamond" w:hAnsi="Garamond" w:cs="Times New Roman"/>
          <w:color w:val="000000" w:themeColor="text1"/>
          <w:sz w:val="28"/>
          <w:szCs w:val="28"/>
        </w:rPr>
      </w:pPr>
      <w:r w:rsidRPr="00F72EE9">
        <w:rPr>
          <w:rFonts w:ascii="Garamond" w:hAnsi="Garamond" w:cs="Times New Roman"/>
          <w:color w:val="000000" w:themeColor="text1"/>
          <w:sz w:val="28"/>
          <w:szCs w:val="28"/>
        </w:rPr>
        <w:t xml:space="preserve">Oltre ai distributori di </w:t>
      </w:r>
      <w:r>
        <w:rPr>
          <w:rFonts w:ascii="Garamond" w:hAnsi="Garamond" w:cs="Times New Roman"/>
          <w:color w:val="000000" w:themeColor="text1"/>
          <w:sz w:val="28"/>
          <w:szCs w:val="28"/>
        </w:rPr>
        <w:t>energia</w:t>
      </w:r>
      <w:r w:rsidRPr="00F72EE9">
        <w:rPr>
          <w:rFonts w:ascii="Garamond" w:hAnsi="Garamond" w:cs="Times New Roman"/>
          <w:color w:val="000000" w:themeColor="text1"/>
          <w:sz w:val="28"/>
          <w:szCs w:val="28"/>
        </w:rPr>
        <w:t xml:space="preserve">, la </w:t>
      </w:r>
      <w:r>
        <w:rPr>
          <w:rFonts w:ascii="Garamond" w:hAnsi="Garamond" w:cs="Times New Roman"/>
          <w:color w:val="000000" w:themeColor="text1"/>
          <w:sz w:val="28"/>
          <w:szCs w:val="28"/>
        </w:rPr>
        <w:t>normativa</w:t>
      </w:r>
      <w:r w:rsidRPr="00F72EE9">
        <w:rPr>
          <w:rFonts w:ascii="Garamond" w:hAnsi="Garamond" w:cs="Times New Roman"/>
          <w:color w:val="000000" w:themeColor="text1"/>
          <w:sz w:val="28"/>
          <w:szCs w:val="28"/>
        </w:rPr>
        <w:t xml:space="preserve"> consente la partecipazione al menzionato meccanismo anche ad altri soggetti volontari, t</w:t>
      </w:r>
      <w:r>
        <w:rPr>
          <w:rFonts w:ascii="Garamond" w:hAnsi="Garamond" w:cs="Times New Roman"/>
          <w:color w:val="000000" w:themeColor="text1"/>
          <w:sz w:val="28"/>
          <w:szCs w:val="28"/>
        </w:rPr>
        <w:t>ipicamente rappresentati dalle s</w:t>
      </w:r>
      <w:r w:rsidRPr="00F72EE9">
        <w:rPr>
          <w:rFonts w:ascii="Garamond" w:hAnsi="Garamond" w:cs="Times New Roman"/>
          <w:color w:val="000000" w:themeColor="text1"/>
          <w:sz w:val="28"/>
          <w:szCs w:val="28"/>
        </w:rPr>
        <w:t xml:space="preserve">ocietà di Servizi Energetici (ESCO) o dalle </w:t>
      </w:r>
      <w:r>
        <w:rPr>
          <w:rFonts w:ascii="Garamond" w:hAnsi="Garamond" w:cs="Times New Roman"/>
          <w:color w:val="000000" w:themeColor="text1"/>
          <w:sz w:val="28"/>
          <w:szCs w:val="28"/>
        </w:rPr>
        <w:t>s</w:t>
      </w:r>
      <w:r w:rsidRPr="00F72EE9">
        <w:rPr>
          <w:rFonts w:ascii="Garamond" w:hAnsi="Garamond" w:cs="Times New Roman"/>
          <w:color w:val="000000" w:themeColor="text1"/>
          <w:sz w:val="28"/>
          <w:szCs w:val="28"/>
        </w:rPr>
        <w:t>ocietà che abbiano nominato un esperto certificato in gestione dell’</w:t>
      </w:r>
      <w:r>
        <w:rPr>
          <w:rFonts w:ascii="Garamond" w:hAnsi="Garamond" w:cs="Times New Roman"/>
          <w:color w:val="000000" w:themeColor="text1"/>
          <w:sz w:val="28"/>
          <w:szCs w:val="28"/>
        </w:rPr>
        <w:t>energia</w:t>
      </w:r>
      <w:r w:rsidRPr="00F72EE9">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(EGE).</w:t>
      </w:r>
    </w:p>
    <w:p w:rsidR="007B4920" w:rsidRPr="00F72EE9" w:rsidRDefault="007B4920" w:rsidP="007B4920">
      <w:pPr>
        <w:spacing w:line="240" w:lineRule="auto"/>
        <w:ind w:firstLine="709"/>
        <w:contextualSpacing/>
        <w:jc w:val="both"/>
        <w:rPr>
          <w:rFonts w:ascii="Garamond" w:hAnsi="Garamond" w:cs="Times New Roman"/>
          <w:color w:val="000000" w:themeColor="text1"/>
          <w:sz w:val="28"/>
          <w:szCs w:val="28"/>
        </w:rPr>
      </w:pPr>
      <w:r w:rsidRPr="00F72EE9">
        <w:rPr>
          <w:rFonts w:ascii="Garamond" w:hAnsi="Garamond" w:cs="Times New Roman"/>
          <w:color w:val="000000" w:themeColor="text1"/>
          <w:sz w:val="28"/>
          <w:szCs w:val="28"/>
        </w:rPr>
        <w:t>I Certificati bianchi rappresentano</w:t>
      </w:r>
      <w:r>
        <w:rPr>
          <w:rFonts w:ascii="Garamond" w:hAnsi="Garamond" w:cs="Times New Roman"/>
          <w:color w:val="000000" w:themeColor="text1"/>
          <w:sz w:val="28"/>
          <w:szCs w:val="28"/>
        </w:rPr>
        <w:t xml:space="preserve"> pertanto</w:t>
      </w:r>
      <w:r w:rsidRPr="00F72EE9">
        <w:rPr>
          <w:rFonts w:ascii="Garamond" w:hAnsi="Garamond" w:cs="Times New Roman"/>
          <w:color w:val="000000" w:themeColor="text1"/>
          <w:sz w:val="28"/>
          <w:szCs w:val="28"/>
        </w:rPr>
        <w:t xml:space="preserve"> titoli negoziabili, di origine </w:t>
      </w:r>
      <w:r>
        <w:rPr>
          <w:rFonts w:ascii="Garamond" w:hAnsi="Garamond" w:cs="Times New Roman"/>
          <w:color w:val="000000" w:themeColor="text1"/>
          <w:sz w:val="28"/>
          <w:szCs w:val="28"/>
        </w:rPr>
        <w:t>normativa</w:t>
      </w:r>
      <w:r w:rsidRPr="00F72EE9">
        <w:rPr>
          <w:rFonts w:ascii="Garamond" w:hAnsi="Garamond" w:cs="Times New Roman"/>
          <w:color w:val="000000" w:themeColor="text1"/>
          <w:sz w:val="28"/>
          <w:szCs w:val="28"/>
        </w:rPr>
        <w:t xml:space="preserve">, finalizzati a certificare l’avvenuto conseguimento, da parte dei Soggetti obbligati e delle ESCO, di risparmi concreti negli usi finali di </w:t>
      </w:r>
      <w:r>
        <w:rPr>
          <w:rFonts w:ascii="Garamond" w:hAnsi="Garamond" w:cs="Times New Roman"/>
          <w:color w:val="000000" w:themeColor="text1"/>
          <w:sz w:val="28"/>
          <w:szCs w:val="28"/>
        </w:rPr>
        <w:t>energia</w:t>
      </w:r>
      <w:r w:rsidRPr="00F72EE9">
        <w:rPr>
          <w:rFonts w:ascii="Garamond" w:hAnsi="Garamond" w:cs="Times New Roman"/>
          <w:color w:val="000000" w:themeColor="text1"/>
          <w:sz w:val="28"/>
          <w:szCs w:val="28"/>
        </w:rPr>
        <w:t>, attraverso interventi e progetti di increme</w:t>
      </w:r>
      <w:r>
        <w:rPr>
          <w:rFonts w:ascii="Garamond" w:hAnsi="Garamond" w:cs="Times New Roman"/>
          <w:color w:val="000000" w:themeColor="text1"/>
          <w:sz w:val="28"/>
          <w:szCs w:val="28"/>
        </w:rPr>
        <w:t>nto dell’efficienza energetica.</w:t>
      </w:r>
    </w:p>
    <w:p w:rsidR="007B4920" w:rsidRPr="00F72EE9" w:rsidRDefault="007B4920" w:rsidP="007B4920">
      <w:pPr>
        <w:spacing w:line="240" w:lineRule="auto"/>
        <w:ind w:firstLine="709"/>
        <w:contextualSpacing/>
        <w:jc w:val="both"/>
        <w:rPr>
          <w:rFonts w:ascii="Garamond" w:hAnsi="Garamond" w:cs="Times New Roman"/>
          <w:color w:val="000000" w:themeColor="text1"/>
          <w:sz w:val="28"/>
          <w:szCs w:val="28"/>
        </w:rPr>
      </w:pPr>
      <w:r w:rsidRPr="00F72EE9">
        <w:rPr>
          <w:rFonts w:ascii="Garamond" w:hAnsi="Garamond" w:cs="Times New Roman"/>
          <w:color w:val="000000" w:themeColor="text1"/>
          <w:sz w:val="28"/>
          <w:szCs w:val="28"/>
        </w:rPr>
        <w:t xml:space="preserve">Ogni certificato </w:t>
      </w:r>
      <w:r>
        <w:rPr>
          <w:rFonts w:ascii="Garamond" w:hAnsi="Garamond" w:cs="Times New Roman"/>
          <w:color w:val="000000" w:themeColor="text1"/>
          <w:sz w:val="28"/>
          <w:szCs w:val="28"/>
        </w:rPr>
        <w:t>equivale</w:t>
      </w:r>
      <w:r w:rsidRPr="00F72EE9">
        <w:rPr>
          <w:rFonts w:ascii="Garamond" w:hAnsi="Garamond" w:cs="Times New Roman"/>
          <w:color w:val="000000" w:themeColor="text1"/>
          <w:sz w:val="28"/>
          <w:szCs w:val="28"/>
        </w:rPr>
        <w:t xml:space="preserve"> al risparmio di un</w:t>
      </w:r>
      <w:r>
        <w:rPr>
          <w:rFonts w:ascii="Garamond" w:hAnsi="Garamond" w:cs="Times New Roman"/>
          <w:color w:val="000000" w:themeColor="text1"/>
          <w:sz w:val="28"/>
          <w:szCs w:val="28"/>
        </w:rPr>
        <w:t xml:space="preserve"> </w:t>
      </w:r>
      <w:r w:rsidRPr="00F72EE9">
        <w:rPr>
          <w:rFonts w:ascii="Garamond" w:hAnsi="Garamond" w:cs="Times New Roman"/>
          <w:color w:val="000000" w:themeColor="text1"/>
          <w:sz w:val="28"/>
          <w:szCs w:val="28"/>
        </w:rPr>
        <w:t>T</w:t>
      </w:r>
      <w:r>
        <w:rPr>
          <w:rFonts w:ascii="Garamond" w:hAnsi="Garamond" w:cs="Times New Roman"/>
          <w:color w:val="000000" w:themeColor="text1"/>
          <w:sz w:val="28"/>
          <w:szCs w:val="28"/>
        </w:rPr>
        <w:t xml:space="preserve">EP, viene riconosciuto dal G.s.e. </w:t>
      </w:r>
      <w:r w:rsidRPr="00F72EE9">
        <w:rPr>
          <w:rFonts w:ascii="Garamond" w:hAnsi="Garamond" w:cs="Times New Roman"/>
          <w:color w:val="000000" w:themeColor="text1"/>
          <w:sz w:val="28"/>
          <w:szCs w:val="28"/>
        </w:rPr>
        <w:t xml:space="preserve">e viene emesso dal </w:t>
      </w:r>
      <w:r>
        <w:rPr>
          <w:rFonts w:ascii="Garamond" w:hAnsi="Garamond" w:cs="Times New Roman"/>
          <w:color w:val="000000" w:themeColor="text1"/>
          <w:sz w:val="28"/>
          <w:szCs w:val="28"/>
        </w:rPr>
        <w:t>G.m.e.</w:t>
      </w:r>
      <w:r w:rsidRPr="00F72EE9">
        <w:rPr>
          <w:rFonts w:ascii="Garamond" w:hAnsi="Garamond" w:cs="Times New Roman"/>
          <w:color w:val="000000" w:themeColor="text1"/>
          <w:sz w:val="28"/>
          <w:szCs w:val="28"/>
        </w:rPr>
        <w:t xml:space="preserve"> su appositi conti, dai quali i titoli </w:t>
      </w:r>
      <w:r>
        <w:rPr>
          <w:rFonts w:ascii="Garamond" w:hAnsi="Garamond" w:cs="Times New Roman"/>
          <w:color w:val="000000" w:themeColor="text1"/>
          <w:sz w:val="28"/>
          <w:szCs w:val="28"/>
        </w:rPr>
        <w:t>complessiva</w:t>
      </w:r>
      <w:r w:rsidRPr="00F72EE9">
        <w:rPr>
          <w:rFonts w:ascii="Garamond" w:hAnsi="Garamond" w:cs="Times New Roman"/>
          <w:color w:val="000000" w:themeColor="text1"/>
          <w:sz w:val="28"/>
          <w:szCs w:val="28"/>
        </w:rPr>
        <w:t xml:space="preserve">mente ottenuti dai diversi operatori possono essere scambiati e valorizzati sull’apposita piattaforma di </w:t>
      </w:r>
      <w:r w:rsidRPr="00F72EE9">
        <w:rPr>
          <w:rFonts w:ascii="Garamond" w:hAnsi="Garamond" w:cs="Times New Roman"/>
          <w:color w:val="000000" w:themeColor="text1"/>
          <w:sz w:val="28"/>
          <w:szCs w:val="28"/>
        </w:rPr>
        <w:lastRenderedPageBreak/>
        <w:t>mercato (il valore di un titolo è stato fissato in origine a 100 euro/TEP) oppure attraverso contrattazioni bilate</w:t>
      </w:r>
      <w:r>
        <w:rPr>
          <w:rFonts w:ascii="Garamond" w:hAnsi="Garamond" w:cs="Times New Roman"/>
          <w:color w:val="000000" w:themeColor="text1"/>
          <w:sz w:val="28"/>
          <w:szCs w:val="28"/>
        </w:rPr>
        <w:t>rali (c.d. “</w:t>
      </w:r>
      <w:r w:rsidRPr="001C4671">
        <w:rPr>
          <w:rFonts w:ascii="Garamond" w:hAnsi="Garamond" w:cs="Times New Roman"/>
          <w:i/>
          <w:color w:val="000000" w:themeColor="text1"/>
          <w:sz w:val="28"/>
          <w:szCs w:val="28"/>
        </w:rPr>
        <w:t>over the counter</w:t>
      </w:r>
      <w:r>
        <w:rPr>
          <w:rFonts w:ascii="Garamond" w:hAnsi="Garamond" w:cs="Times New Roman"/>
          <w:color w:val="000000" w:themeColor="text1"/>
          <w:sz w:val="28"/>
          <w:szCs w:val="28"/>
        </w:rPr>
        <w:t>”).</w:t>
      </w:r>
    </w:p>
    <w:p w:rsidR="007B4920" w:rsidRPr="00F72EE9" w:rsidRDefault="007B4920" w:rsidP="007B4920">
      <w:pPr>
        <w:spacing w:line="240" w:lineRule="auto"/>
        <w:ind w:firstLine="709"/>
        <w:contextualSpacing/>
        <w:jc w:val="both"/>
        <w:rPr>
          <w:rFonts w:ascii="Garamond" w:hAnsi="Garamond" w:cs="Times New Roman"/>
          <w:color w:val="000000" w:themeColor="text1"/>
          <w:sz w:val="28"/>
          <w:szCs w:val="28"/>
        </w:rPr>
      </w:pPr>
      <w:r w:rsidRPr="00F72EE9">
        <w:rPr>
          <w:rFonts w:ascii="Garamond" w:hAnsi="Garamond" w:cs="Times New Roman"/>
          <w:color w:val="000000" w:themeColor="text1"/>
          <w:sz w:val="28"/>
          <w:szCs w:val="28"/>
        </w:rPr>
        <w:t>La cessione a titolo oneroso dei TEE consente, dunque, alle imprese energeticamente più efficienti di ottenere un profitto dalla differenza tra i costi marginali di abbattimento dei propri consumi energetici ed il prezzo ricavabile dalla collocazione dei titoli sul mercato: in tal modo</w:t>
      </w:r>
      <w:r>
        <w:rPr>
          <w:rFonts w:ascii="Garamond" w:hAnsi="Garamond" w:cs="Times New Roman"/>
          <w:color w:val="000000" w:themeColor="text1"/>
          <w:sz w:val="28"/>
          <w:szCs w:val="28"/>
        </w:rPr>
        <w:t xml:space="preserve"> </w:t>
      </w:r>
      <w:r w:rsidRPr="00F72EE9">
        <w:rPr>
          <w:rFonts w:ascii="Garamond" w:hAnsi="Garamond" w:cs="Times New Roman"/>
          <w:color w:val="000000" w:themeColor="text1"/>
          <w:sz w:val="28"/>
          <w:szCs w:val="28"/>
        </w:rPr>
        <w:t>l’operatore economico massimizza la propria utilità, con</w:t>
      </w:r>
      <w:r>
        <w:rPr>
          <w:rFonts w:ascii="Garamond" w:hAnsi="Garamond" w:cs="Times New Roman"/>
          <w:color w:val="000000" w:themeColor="text1"/>
          <w:sz w:val="28"/>
          <w:szCs w:val="28"/>
        </w:rPr>
        <w:t>tribuendo al contempo all’effici</w:t>
      </w:r>
      <w:r w:rsidRPr="00F72EE9">
        <w:rPr>
          <w:rFonts w:ascii="Garamond" w:hAnsi="Garamond" w:cs="Times New Roman"/>
          <w:color w:val="000000" w:themeColor="text1"/>
          <w:sz w:val="28"/>
          <w:szCs w:val="28"/>
        </w:rPr>
        <w:t>entamento energetico complessivo ed al raggiungimento degli obiettivi energetici fiss</w:t>
      </w:r>
      <w:r>
        <w:rPr>
          <w:rFonts w:ascii="Garamond" w:hAnsi="Garamond" w:cs="Times New Roman"/>
          <w:color w:val="000000" w:themeColor="text1"/>
          <w:sz w:val="28"/>
          <w:szCs w:val="28"/>
        </w:rPr>
        <w:t>ati dal legislatore.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F72EE9">
        <w:rPr>
          <w:rFonts w:ascii="Garamond" w:hAnsi="Garamond" w:cs="Times New Roman"/>
          <w:color w:val="000000" w:themeColor="text1"/>
          <w:sz w:val="28"/>
          <w:szCs w:val="28"/>
        </w:rPr>
        <w:t xml:space="preserve">Con la </w:t>
      </w:r>
      <w:r>
        <w:rPr>
          <w:rFonts w:ascii="Garamond" w:hAnsi="Garamond" w:cs="Times New Roman"/>
          <w:color w:val="000000" w:themeColor="text1"/>
          <w:sz w:val="28"/>
          <w:szCs w:val="28"/>
        </w:rPr>
        <w:t>d</w:t>
      </w:r>
      <w:r w:rsidRPr="00F72EE9">
        <w:rPr>
          <w:rFonts w:ascii="Garamond" w:hAnsi="Garamond" w:cs="Times New Roman"/>
          <w:color w:val="000000" w:themeColor="text1"/>
          <w:sz w:val="28"/>
          <w:szCs w:val="28"/>
        </w:rPr>
        <w:t xml:space="preserve">elibera n. EEN </w:t>
      </w:r>
      <w:r>
        <w:rPr>
          <w:rFonts w:ascii="Garamond" w:hAnsi="Garamond" w:cs="Times New Roman"/>
          <w:color w:val="000000" w:themeColor="text1"/>
          <w:sz w:val="28"/>
          <w:szCs w:val="28"/>
        </w:rPr>
        <w:t xml:space="preserve">9/11 del 27 ottobre 2011 l’Autorità </w:t>
      </w:r>
      <w:r w:rsidRPr="00F72EE9">
        <w:rPr>
          <w:rFonts w:ascii="Garamond" w:hAnsi="Garamond" w:cs="Times New Roman"/>
          <w:color w:val="000000" w:themeColor="text1"/>
          <w:sz w:val="28"/>
          <w:szCs w:val="28"/>
        </w:rPr>
        <w:t>ha introdotto</w:t>
      </w:r>
      <w:r>
        <w:rPr>
          <w:rFonts w:ascii="Garamond" w:hAnsi="Garamond" w:cs="Times New Roman"/>
          <w:color w:val="000000" w:themeColor="text1"/>
          <w:sz w:val="28"/>
          <w:szCs w:val="28"/>
        </w:rPr>
        <w:t xml:space="preserve"> le linee guida</w:t>
      </w:r>
      <w:r w:rsidRPr="00F72EE9">
        <w:rPr>
          <w:rFonts w:ascii="Garamond" w:hAnsi="Garamond" w:cs="Times New Roman"/>
          <w:color w:val="000000" w:themeColor="text1"/>
          <w:sz w:val="28"/>
          <w:szCs w:val="28"/>
        </w:rPr>
        <w:t xml:space="preserve"> e disciplinato tre diversi metodi di valutazione dei risparmi energetici: </w:t>
      </w:r>
    </w:p>
    <w:p w:rsidR="007B4920" w:rsidRPr="00EA32C5" w:rsidRDefault="007B4920" w:rsidP="007B4920">
      <w:pPr>
        <w:pStyle w:val="Paragrafoelenco"/>
        <w:numPr>
          <w:ilvl w:val="0"/>
          <w:numId w:val="18"/>
        </w:numPr>
        <w:spacing w:line="240" w:lineRule="auto"/>
        <w:jc w:val="both"/>
        <w:rPr>
          <w:rFonts w:ascii="Garamond" w:hAnsi="Garamond" w:cs="Times New Roman"/>
          <w:color w:val="000000" w:themeColor="text1"/>
          <w:sz w:val="28"/>
          <w:szCs w:val="28"/>
        </w:rPr>
      </w:pPr>
      <w:r w:rsidRPr="00EA32C5">
        <w:rPr>
          <w:rFonts w:ascii="Garamond" w:hAnsi="Garamond" w:cs="Times New Roman"/>
          <w:color w:val="000000" w:themeColor="text1"/>
          <w:sz w:val="28"/>
          <w:szCs w:val="28"/>
        </w:rPr>
        <w:t>il metodo standardizzato, in cui vengono utilizzate schede tecniche precostituite che consentono di valutare il risparmio energetico da valorizzare senza la necessità di ricorrere a misurazioni effettive (questo metodo è usato per quantificare i risparmi energetici addizionali prodotti dalla realizzazione di interventi standardizzati e ripetitivi, attraverso un algoritmo di calcolo dedicato);</w:t>
      </w:r>
    </w:p>
    <w:p w:rsidR="007B4920" w:rsidRDefault="007B4920" w:rsidP="007B4920">
      <w:pPr>
        <w:pStyle w:val="Paragrafoelenco"/>
        <w:numPr>
          <w:ilvl w:val="0"/>
          <w:numId w:val="18"/>
        </w:numPr>
        <w:spacing w:line="240" w:lineRule="auto"/>
        <w:jc w:val="both"/>
        <w:rPr>
          <w:rFonts w:ascii="Garamond" w:hAnsi="Garamond" w:cs="Times New Roman"/>
          <w:color w:val="000000" w:themeColor="text1"/>
          <w:sz w:val="28"/>
          <w:szCs w:val="28"/>
        </w:rPr>
      </w:pPr>
      <w:r w:rsidRPr="00A0684D">
        <w:rPr>
          <w:rFonts w:ascii="Garamond" w:hAnsi="Garamond" w:cs="Times New Roman"/>
          <w:color w:val="000000" w:themeColor="text1"/>
          <w:sz w:val="28"/>
          <w:szCs w:val="28"/>
        </w:rPr>
        <w:t xml:space="preserve">il metodo analitico, in cui si utilizzano schede che presuppongono misurazioni dirette, ex </w:t>
      </w:r>
      <w:r w:rsidRPr="00A0684D">
        <w:rPr>
          <w:rFonts w:ascii="Garamond" w:hAnsi="Garamond" w:cs="Times New Roman"/>
          <w:i/>
          <w:color w:val="000000" w:themeColor="text1"/>
          <w:sz w:val="28"/>
          <w:szCs w:val="28"/>
        </w:rPr>
        <w:t>ant</w:t>
      </w:r>
      <w:r w:rsidRPr="00A0684D">
        <w:rPr>
          <w:rFonts w:ascii="Garamond" w:hAnsi="Garamond" w:cs="Times New Roman"/>
          <w:color w:val="000000" w:themeColor="text1"/>
          <w:sz w:val="28"/>
          <w:szCs w:val="28"/>
        </w:rPr>
        <w:t xml:space="preserve">e ed ex </w:t>
      </w:r>
      <w:r w:rsidRPr="00A0684D">
        <w:rPr>
          <w:rFonts w:ascii="Garamond" w:hAnsi="Garamond" w:cs="Times New Roman"/>
          <w:i/>
          <w:color w:val="000000" w:themeColor="text1"/>
          <w:sz w:val="28"/>
          <w:szCs w:val="28"/>
        </w:rPr>
        <w:t>post</w:t>
      </w:r>
      <w:r>
        <w:rPr>
          <w:rFonts w:ascii="Garamond" w:hAnsi="Garamond" w:cs="Times New Roman"/>
          <w:color w:val="000000" w:themeColor="text1"/>
          <w:sz w:val="28"/>
          <w:szCs w:val="28"/>
        </w:rPr>
        <w:t>, dei risparmi realizzati;</w:t>
      </w:r>
    </w:p>
    <w:p w:rsidR="007B4920" w:rsidRPr="00A0684D" w:rsidRDefault="007B4920" w:rsidP="007B4920">
      <w:pPr>
        <w:pStyle w:val="Paragrafoelenco"/>
        <w:numPr>
          <w:ilvl w:val="0"/>
          <w:numId w:val="18"/>
        </w:numPr>
        <w:spacing w:line="240" w:lineRule="auto"/>
        <w:jc w:val="both"/>
        <w:rPr>
          <w:rFonts w:ascii="Garamond" w:hAnsi="Garamond" w:cs="Times New Roman"/>
          <w:color w:val="000000" w:themeColor="text1"/>
          <w:sz w:val="28"/>
          <w:szCs w:val="28"/>
        </w:rPr>
      </w:pPr>
      <w:r w:rsidRPr="00A0684D">
        <w:rPr>
          <w:rFonts w:ascii="Garamond" w:hAnsi="Garamond" w:cs="Times New Roman"/>
          <w:color w:val="000000" w:themeColor="text1"/>
          <w:sz w:val="28"/>
          <w:szCs w:val="28"/>
        </w:rPr>
        <w:t>il metodo “a consuntivo”, applicato a tutti gli interventi per i quali è impossibile utilizzare una scheda tecnica di riferimento che, conseguentemente, vengono sottoposti a validazione e verifica direttamente da parte del G</w:t>
      </w:r>
      <w:r>
        <w:rPr>
          <w:rFonts w:ascii="Garamond" w:hAnsi="Garamond" w:cs="Times New Roman"/>
          <w:color w:val="000000" w:themeColor="text1"/>
          <w:sz w:val="28"/>
          <w:szCs w:val="28"/>
        </w:rPr>
        <w:t>.s.e.</w:t>
      </w:r>
    </w:p>
    <w:p w:rsidR="007B4920" w:rsidRPr="00A0684D" w:rsidRDefault="007B4920" w:rsidP="007B4920">
      <w:pPr>
        <w:spacing w:line="240" w:lineRule="auto"/>
        <w:contextualSpacing/>
        <w:jc w:val="both"/>
        <w:rPr>
          <w:rFonts w:ascii="Garamond" w:hAnsi="Garamond" w:cs="Times New Roman"/>
          <w:b/>
          <w:color w:val="000000" w:themeColor="text1"/>
          <w:sz w:val="28"/>
          <w:szCs w:val="28"/>
        </w:rPr>
      </w:pPr>
      <w:r w:rsidRPr="004E7680">
        <w:rPr>
          <w:rFonts w:ascii="Garamond" w:hAnsi="Garamond" w:cs="Times New Roman"/>
          <w:b/>
          <w:color w:val="000000" w:themeColor="text1"/>
          <w:sz w:val="28"/>
          <w:szCs w:val="28"/>
        </w:rPr>
        <w:t>8.2.1. La posizione della giurisprudenza.</w:t>
      </w:r>
    </w:p>
    <w:p w:rsidR="007B4920" w:rsidRDefault="007B4920" w:rsidP="007B4920">
      <w:pPr>
        <w:spacing w:line="240" w:lineRule="auto"/>
        <w:ind w:firstLine="708"/>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Ciò posto, secondo la giurisprudenza amministrativa:</w:t>
      </w:r>
    </w:p>
    <w:p w:rsidR="007B4920" w:rsidRDefault="007B4920" w:rsidP="007B4920">
      <w:pPr>
        <w:pStyle w:val="Paragrafoelenco"/>
        <w:numPr>
          <w:ilvl w:val="0"/>
          <w:numId w:val="22"/>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n</w:t>
      </w:r>
      <w:r w:rsidRPr="00A0684D">
        <w:rPr>
          <w:rFonts w:ascii="Garamond" w:hAnsi="Garamond" w:cs="Times New Roman"/>
          <w:color w:val="000000" w:themeColor="text1"/>
          <w:sz w:val="28"/>
          <w:szCs w:val="28"/>
        </w:rPr>
        <w:t>ell’ambito del metodo di valutazione a consuntivo dei progetti di risparmio energetico assume rilievo centrale la nozione di risparmio energetico “</w:t>
      </w:r>
      <w:r w:rsidRPr="00A0684D">
        <w:rPr>
          <w:rFonts w:ascii="Garamond" w:hAnsi="Garamond" w:cs="Times New Roman"/>
          <w:i/>
          <w:iCs/>
          <w:color w:val="000000" w:themeColor="text1"/>
          <w:sz w:val="28"/>
          <w:szCs w:val="28"/>
        </w:rPr>
        <w:t>netto</w:t>
      </w:r>
      <w:r w:rsidRPr="00A0684D">
        <w:rPr>
          <w:rFonts w:ascii="Garamond" w:hAnsi="Garamond" w:cs="Times New Roman"/>
          <w:color w:val="000000" w:themeColor="text1"/>
          <w:sz w:val="28"/>
          <w:szCs w:val="28"/>
        </w:rPr>
        <w:t>”, di cui all’</w:t>
      </w:r>
      <w:r w:rsidRPr="00A0684D">
        <w:rPr>
          <w:rFonts w:ascii="Garamond" w:hAnsi="Garamond" w:cs="Times New Roman"/>
          <w:bCs/>
          <w:color w:val="000000" w:themeColor="text1"/>
          <w:sz w:val="28"/>
          <w:szCs w:val="28"/>
        </w:rPr>
        <w:t>art</w:t>
      </w:r>
      <w:r w:rsidRPr="00A0684D">
        <w:rPr>
          <w:rFonts w:ascii="Garamond" w:hAnsi="Garamond" w:cs="Times New Roman"/>
          <w:color w:val="000000" w:themeColor="text1"/>
          <w:sz w:val="28"/>
          <w:szCs w:val="28"/>
        </w:rPr>
        <w:t>. 1 linee guida EEN 9/11 (applicabile ai sensi dell’</w:t>
      </w:r>
      <w:r w:rsidRPr="00A0684D">
        <w:rPr>
          <w:rFonts w:ascii="Garamond" w:hAnsi="Garamond" w:cs="Times New Roman"/>
          <w:bCs/>
          <w:color w:val="000000" w:themeColor="text1"/>
          <w:sz w:val="28"/>
          <w:szCs w:val="28"/>
        </w:rPr>
        <w:t>art</w:t>
      </w:r>
      <w:r w:rsidRPr="00A0684D">
        <w:rPr>
          <w:rFonts w:ascii="Garamond" w:hAnsi="Garamond" w:cs="Times New Roman"/>
          <w:color w:val="000000" w:themeColor="text1"/>
          <w:sz w:val="28"/>
          <w:szCs w:val="28"/>
        </w:rPr>
        <w:t xml:space="preserve">. 6, comma 2, </w:t>
      </w:r>
      <w:r w:rsidRPr="00A0684D">
        <w:rPr>
          <w:rFonts w:ascii="Garamond" w:hAnsi="Garamond" w:cs="Times New Roman"/>
          <w:bCs/>
          <w:color w:val="000000" w:themeColor="text1"/>
          <w:sz w:val="28"/>
          <w:szCs w:val="28"/>
        </w:rPr>
        <w:t>d</w:t>
      </w:r>
      <w:r w:rsidRPr="00A0684D">
        <w:rPr>
          <w:rFonts w:ascii="Garamond" w:hAnsi="Garamond" w:cs="Times New Roman"/>
          <w:color w:val="000000" w:themeColor="text1"/>
          <w:sz w:val="28"/>
          <w:szCs w:val="28"/>
        </w:rPr>
        <w:t xml:space="preserve">.m. </w:t>
      </w:r>
      <w:r w:rsidRPr="00A0684D">
        <w:rPr>
          <w:rFonts w:ascii="Garamond" w:hAnsi="Garamond" w:cs="Times New Roman"/>
          <w:bCs/>
          <w:color w:val="000000" w:themeColor="text1"/>
          <w:sz w:val="28"/>
          <w:szCs w:val="28"/>
        </w:rPr>
        <w:t>28</w:t>
      </w:r>
      <w:r w:rsidRPr="00A0684D">
        <w:rPr>
          <w:rFonts w:ascii="Garamond" w:hAnsi="Garamond" w:cs="Times New Roman"/>
          <w:color w:val="000000" w:themeColor="text1"/>
          <w:sz w:val="28"/>
          <w:szCs w:val="28"/>
        </w:rPr>
        <w:t xml:space="preserve"> dicembre 2012), sulla base del quale vengono calcolati e riconosciuti i TEE, che </w:t>
      </w:r>
      <w:r w:rsidRPr="00A0684D">
        <w:rPr>
          <w:rFonts w:ascii="Garamond" w:hAnsi="Garamond" w:cs="Times New Roman"/>
          <w:iCs/>
          <w:color w:val="000000" w:themeColor="text1"/>
          <w:sz w:val="28"/>
          <w:szCs w:val="28"/>
        </w:rPr>
        <w:t xml:space="preserve">si basa quindi sull’individuazione e sottrazione dal risparmio lordo – ossia dal risparmio che discende dalla differenza tra i consumi registrati prima e dopo la realizzazione dell’intervento – di quei risparmi energetici che anche senza la realizzazione dell’intervento si sarebbero comunque verificati per effetto dell’evoluzione tecnologica, </w:t>
      </w:r>
      <w:r>
        <w:rPr>
          <w:rFonts w:ascii="Garamond" w:hAnsi="Garamond" w:cs="Times New Roman"/>
          <w:iCs/>
          <w:color w:val="000000" w:themeColor="text1"/>
          <w:sz w:val="28"/>
          <w:szCs w:val="28"/>
        </w:rPr>
        <w:t>normativa</w:t>
      </w:r>
      <w:r w:rsidRPr="00A0684D">
        <w:rPr>
          <w:rFonts w:ascii="Garamond" w:hAnsi="Garamond" w:cs="Times New Roman"/>
          <w:iCs/>
          <w:color w:val="000000" w:themeColor="text1"/>
          <w:sz w:val="28"/>
          <w:szCs w:val="28"/>
        </w:rPr>
        <w:t xml:space="preserve"> e di mercato</w:t>
      </w:r>
      <w:r w:rsidRPr="00A0684D">
        <w:rPr>
          <w:rFonts w:ascii="Garamond" w:hAnsi="Garamond" w:cs="Times New Roman"/>
          <w:color w:val="000000" w:themeColor="text1"/>
          <w:sz w:val="28"/>
          <w:szCs w:val="28"/>
        </w:rPr>
        <w:t xml:space="preserve"> (criterio dell’addizionalità); </w:t>
      </w:r>
    </w:p>
    <w:p w:rsidR="007B4920" w:rsidRDefault="007B4920" w:rsidP="007B4920">
      <w:pPr>
        <w:pStyle w:val="Paragrafoelenco"/>
        <w:numPr>
          <w:ilvl w:val="0"/>
          <w:numId w:val="22"/>
        </w:numPr>
        <w:spacing w:line="240" w:lineRule="auto"/>
        <w:jc w:val="both"/>
        <w:rPr>
          <w:rFonts w:ascii="Garamond" w:hAnsi="Garamond" w:cs="Times New Roman"/>
          <w:color w:val="000000" w:themeColor="text1"/>
          <w:sz w:val="28"/>
          <w:szCs w:val="28"/>
        </w:rPr>
      </w:pPr>
      <w:r w:rsidRPr="00A0684D">
        <w:rPr>
          <w:rFonts w:ascii="Garamond" w:hAnsi="Garamond" w:cs="Times New Roman"/>
          <w:color w:val="000000" w:themeColor="text1"/>
          <w:sz w:val="28"/>
          <w:szCs w:val="28"/>
        </w:rPr>
        <w:t xml:space="preserve">il requisito dell’addizionalità dei risparmi deve essere inteso in termini non meramente legati all’evoluzione tecnologica ma estesi anche ai profili economici (o di “mercato”) che sono sottesi alla messa in atto dell’intervento. Ciò significa che devono essere escluse dal sostegno le tecnologie già rappresentative del mercato o del settore di riferimento, nonché gli interventi che devono essere realizzati per effetto di obblighi normativi. Gli interventi suscettibili di </w:t>
      </w:r>
      <w:r>
        <w:rPr>
          <w:rFonts w:ascii="Garamond" w:hAnsi="Garamond" w:cs="Times New Roman"/>
          <w:color w:val="000000" w:themeColor="text1"/>
          <w:sz w:val="28"/>
          <w:szCs w:val="28"/>
        </w:rPr>
        <w:t>incentivazione</w:t>
      </w:r>
      <w:r w:rsidRPr="00A0684D">
        <w:rPr>
          <w:rFonts w:ascii="Garamond" w:hAnsi="Garamond" w:cs="Times New Roman"/>
          <w:color w:val="000000" w:themeColor="text1"/>
          <w:sz w:val="28"/>
          <w:szCs w:val="28"/>
        </w:rPr>
        <w:t xml:space="preserve"> sono quindi quelli concretamente aggiuntivi rispetto a quelli che si sarebbero realizzati in assenza dell'</w:t>
      </w:r>
      <w:r>
        <w:rPr>
          <w:rFonts w:ascii="Garamond" w:hAnsi="Garamond" w:cs="Times New Roman"/>
          <w:color w:val="000000" w:themeColor="text1"/>
          <w:sz w:val="28"/>
          <w:szCs w:val="28"/>
        </w:rPr>
        <w:t>incentivazione</w:t>
      </w:r>
      <w:r w:rsidRPr="00A0684D">
        <w:rPr>
          <w:rFonts w:ascii="Garamond" w:hAnsi="Garamond" w:cs="Times New Roman"/>
          <w:color w:val="000000" w:themeColor="text1"/>
          <w:sz w:val="28"/>
          <w:szCs w:val="28"/>
        </w:rPr>
        <w:t xml:space="preserve">. Al contrario, se non lo sono, finiscono per essere un sussidio all’impresa da parte dello Stato lesivo della concorrenza [Cons. Stato, sez. II, n. 5095 del 2023 di conferma della sentenza del Tar per il Lazio, riferita a fattispecie di annullamento d’ufficio da parte del G.s.e. dei provvedimenti con i quali aveva approvato la PPPM (Proposta di progetto e di programma di misura) e </w:t>
      </w:r>
      <w:r w:rsidRPr="00A0684D">
        <w:rPr>
          <w:rFonts w:ascii="Garamond" w:hAnsi="Garamond" w:cs="Times New Roman"/>
          <w:color w:val="000000" w:themeColor="text1"/>
          <w:sz w:val="28"/>
          <w:szCs w:val="28"/>
        </w:rPr>
        <w:lastRenderedPageBreak/>
        <w:t>la prima richiesta di verifica e controllo, riconoscendo alla società l’accesso ai benefici; in senso analogo Cons. Stato, sez. IV, n. 2380 del 2019)];</w:t>
      </w:r>
    </w:p>
    <w:p w:rsidR="007B4920" w:rsidRPr="00A0684D" w:rsidRDefault="007B4920" w:rsidP="007B4920">
      <w:pPr>
        <w:pStyle w:val="Paragrafoelenco"/>
        <w:numPr>
          <w:ilvl w:val="0"/>
          <w:numId w:val="22"/>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A0684D">
        <w:rPr>
          <w:rFonts w:ascii="Garamond" w:hAnsi="Garamond" w:cs="Times New Roman"/>
          <w:color w:val="000000" w:themeColor="text1"/>
          <w:sz w:val="28"/>
          <w:szCs w:val="28"/>
        </w:rPr>
        <w:t xml:space="preserve">’onere della prova in ordine al requisito dell’addizionalità incombe sulla parte istante </w:t>
      </w:r>
      <w:r w:rsidRPr="00A0684D">
        <w:rPr>
          <w:rFonts w:ascii="Garamond" w:hAnsi="Garamond" w:cs="Times New Roman"/>
          <w:iCs/>
          <w:color w:val="000000" w:themeColor="text1"/>
          <w:sz w:val="28"/>
          <w:szCs w:val="28"/>
        </w:rPr>
        <w:t>al fine di stabilire se il risparmio energetico che si ritiene incent</w:t>
      </w:r>
      <w:r>
        <w:rPr>
          <w:rFonts w:ascii="Garamond" w:hAnsi="Garamond" w:cs="Times New Roman"/>
          <w:iCs/>
          <w:color w:val="000000" w:themeColor="text1"/>
          <w:sz w:val="28"/>
          <w:szCs w:val="28"/>
        </w:rPr>
        <w:t>iva</w:t>
      </w:r>
      <w:r w:rsidRPr="00A0684D">
        <w:rPr>
          <w:rFonts w:ascii="Garamond" w:hAnsi="Garamond" w:cs="Times New Roman"/>
          <w:iCs/>
          <w:color w:val="000000" w:themeColor="text1"/>
          <w:sz w:val="28"/>
          <w:szCs w:val="28"/>
        </w:rPr>
        <w:t>bile non sia da ricondurre al semplice approvvigionamento di strumenti tecnologici di mercato, che, per le dinamiche evolutive che lo contraddistinguono, comportano una progress</w:t>
      </w:r>
      <w:r>
        <w:rPr>
          <w:rFonts w:ascii="Garamond" w:hAnsi="Garamond" w:cs="Times New Roman"/>
          <w:iCs/>
          <w:color w:val="000000" w:themeColor="text1"/>
          <w:sz w:val="28"/>
          <w:szCs w:val="28"/>
        </w:rPr>
        <w:t>iva</w:t>
      </w:r>
      <w:r w:rsidRPr="00A0684D">
        <w:rPr>
          <w:rFonts w:ascii="Garamond" w:hAnsi="Garamond" w:cs="Times New Roman"/>
          <w:iCs/>
          <w:color w:val="000000" w:themeColor="text1"/>
          <w:sz w:val="28"/>
          <w:szCs w:val="28"/>
        </w:rPr>
        <w:t xml:space="preserve"> riduzione di dispendio energetico</w:t>
      </w:r>
      <w:r w:rsidRPr="00A0684D">
        <w:rPr>
          <w:rFonts w:ascii="Garamond" w:hAnsi="Garamond" w:cs="Times New Roman"/>
          <w:i/>
          <w:iCs/>
          <w:color w:val="000000" w:themeColor="text1"/>
          <w:sz w:val="28"/>
          <w:szCs w:val="28"/>
        </w:rPr>
        <w:t xml:space="preserve"> </w:t>
      </w:r>
      <w:r w:rsidRPr="00A0684D">
        <w:rPr>
          <w:rFonts w:ascii="Garamond" w:hAnsi="Garamond" w:cs="Times New Roman"/>
          <w:iCs/>
          <w:color w:val="000000" w:themeColor="text1"/>
          <w:sz w:val="28"/>
          <w:szCs w:val="28"/>
        </w:rPr>
        <w:t xml:space="preserve">(Cons. Stato, sez. II, n. 5095 del 2023 cit; </w:t>
      </w:r>
      <w:r>
        <w:rPr>
          <w:rFonts w:ascii="Garamond" w:hAnsi="Garamond" w:cs="Times New Roman"/>
          <w:iCs/>
          <w:color w:val="000000" w:themeColor="text1"/>
          <w:sz w:val="28"/>
          <w:szCs w:val="28"/>
        </w:rPr>
        <w:t>s</w:t>
      </w:r>
      <w:r w:rsidRPr="00A0684D">
        <w:rPr>
          <w:rFonts w:ascii="Garamond" w:hAnsi="Garamond" w:cs="Times New Roman"/>
          <w:iCs/>
          <w:color w:val="000000" w:themeColor="text1"/>
          <w:sz w:val="28"/>
          <w:szCs w:val="28"/>
        </w:rPr>
        <w:t>ez. II, n. 2581 del 2022);</w:t>
      </w:r>
    </w:p>
    <w:p w:rsidR="007B4920" w:rsidRPr="00A0684D" w:rsidRDefault="007B4920" w:rsidP="007B4920">
      <w:pPr>
        <w:pStyle w:val="Paragrafoelenco"/>
        <w:numPr>
          <w:ilvl w:val="0"/>
          <w:numId w:val="22"/>
        </w:numPr>
        <w:spacing w:line="240" w:lineRule="auto"/>
        <w:jc w:val="both"/>
        <w:rPr>
          <w:rFonts w:ascii="Garamond" w:hAnsi="Garamond" w:cs="Times New Roman"/>
          <w:color w:val="000000" w:themeColor="text1"/>
          <w:sz w:val="28"/>
          <w:szCs w:val="28"/>
        </w:rPr>
      </w:pPr>
      <w:r w:rsidRPr="00A0684D">
        <w:rPr>
          <w:rFonts w:ascii="Garamond" w:hAnsi="Garamond" w:cs="Times New Roman"/>
          <w:iCs/>
          <w:color w:val="000000" w:themeColor="text1"/>
          <w:sz w:val="28"/>
          <w:szCs w:val="28"/>
        </w:rPr>
        <w:t xml:space="preserve">il </w:t>
      </w:r>
      <w:r w:rsidRPr="00A0684D">
        <w:rPr>
          <w:rFonts w:ascii="Garamond" w:hAnsi="Garamond" w:cs="Times New Roman"/>
          <w:bCs/>
          <w:iCs/>
          <w:color w:val="000000" w:themeColor="text1"/>
          <w:sz w:val="28"/>
          <w:szCs w:val="28"/>
        </w:rPr>
        <w:t>d</w:t>
      </w:r>
      <w:r w:rsidRPr="00A0684D">
        <w:rPr>
          <w:rFonts w:ascii="Garamond" w:hAnsi="Garamond" w:cs="Times New Roman"/>
          <w:iCs/>
          <w:color w:val="000000" w:themeColor="text1"/>
          <w:sz w:val="28"/>
          <w:szCs w:val="28"/>
        </w:rPr>
        <w:t xml:space="preserve">.m. </w:t>
      </w:r>
      <w:r w:rsidRPr="00A0684D">
        <w:rPr>
          <w:rFonts w:ascii="Garamond" w:hAnsi="Garamond" w:cs="Times New Roman"/>
          <w:bCs/>
          <w:iCs/>
          <w:color w:val="000000" w:themeColor="text1"/>
          <w:sz w:val="28"/>
          <w:szCs w:val="28"/>
        </w:rPr>
        <w:t>28</w:t>
      </w:r>
      <w:r w:rsidRPr="00A0684D">
        <w:rPr>
          <w:rFonts w:ascii="Garamond" w:hAnsi="Garamond" w:cs="Times New Roman"/>
          <w:b/>
          <w:bCs/>
          <w:iCs/>
          <w:color w:val="000000" w:themeColor="text1"/>
          <w:sz w:val="28"/>
          <w:szCs w:val="28"/>
        </w:rPr>
        <w:t xml:space="preserve"> </w:t>
      </w:r>
      <w:r w:rsidRPr="00A0684D">
        <w:rPr>
          <w:rFonts w:ascii="Garamond" w:hAnsi="Garamond" w:cs="Times New Roman"/>
          <w:iCs/>
          <w:color w:val="000000" w:themeColor="text1"/>
          <w:sz w:val="28"/>
          <w:szCs w:val="28"/>
        </w:rPr>
        <w:t xml:space="preserve">dicembre 2012, ha trasferito al G.s.e. l’attività digestione, valutazione e certificazione dei risparmi correlati a progetti di efficienza energetica condotti nell’ambito del meccanismo dei </w:t>
      </w:r>
      <w:r w:rsidRPr="00A0684D">
        <w:rPr>
          <w:rFonts w:ascii="Garamond" w:hAnsi="Garamond" w:cs="Times New Roman"/>
          <w:bCs/>
          <w:iCs/>
          <w:color w:val="000000" w:themeColor="text1"/>
          <w:sz w:val="28"/>
          <w:szCs w:val="28"/>
        </w:rPr>
        <w:t>certificati bianchi</w:t>
      </w:r>
      <w:r w:rsidRPr="00A0684D">
        <w:rPr>
          <w:rFonts w:ascii="Garamond" w:hAnsi="Garamond" w:cs="Times New Roman"/>
          <w:iCs/>
          <w:color w:val="000000" w:themeColor="text1"/>
          <w:sz w:val="28"/>
          <w:szCs w:val="28"/>
        </w:rPr>
        <w:t>, già di competenza dell’Autorità per l’</w:t>
      </w:r>
      <w:r>
        <w:rPr>
          <w:rFonts w:ascii="Garamond" w:hAnsi="Garamond" w:cs="Times New Roman"/>
          <w:iCs/>
          <w:color w:val="000000" w:themeColor="text1"/>
          <w:sz w:val="28"/>
          <w:szCs w:val="28"/>
        </w:rPr>
        <w:t>energia</w:t>
      </w:r>
      <w:r w:rsidRPr="00A0684D">
        <w:rPr>
          <w:rFonts w:ascii="Garamond" w:hAnsi="Garamond" w:cs="Times New Roman"/>
          <w:iCs/>
          <w:color w:val="000000" w:themeColor="text1"/>
          <w:sz w:val="28"/>
          <w:szCs w:val="28"/>
        </w:rPr>
        <w:t xml:space="preserve"> elettrica ed il gas (</w:t>
      </w:r>
      <w:r w:rsidRPr="00A0684D">
        <w:rPr>
          <w:rFonts w:ascii="Garamond" w:hAnsi="Garamond" w:cs="Times New Roman"/>
          <w:bCs/>
          <w:iCs/>
          <w:color w:val="000000" w:themeColor="text1"/>
          <w:sz w:val="28"/>
          <w:szCs w:val="28"/>
        </w:rPr>
        <w:t>art</w:t>
      </w:r>
      <w:r w:rsidRPr="00A0684D">
        <w:rPr>
          <w:rFonts w:ascii="Garamond" w:hAnsi="Garamond" w:cs="Times New Roman"/>
          <w:iCs/>
          <w:color w:val="000000" w:themeColor="text1"/>
          <w:sz w:val="28"/>
          <w:szCs w:val="28"/>
        </w:rPr>
        <w:t>. 5) e ha previsto l’applicazione, fino all’entrata in vigore del decreto di approvazione dell’adeguamento delle linee guida, di quelle di cui alla richiamata delibera EEN 09/11 nelle parti non incompatibili con il medesimo decreto (</w:t>
      </w:r>
      <w:r w:rsidRPr="00A0684D">
        <w:rPr>
          <w:rFonts w:ascii="Garamond" w:hAnsi="Garamond" w:cs="Times New Roman"/>
          <w:bCs/>
          <w:iCs/>
          <w:color w:val="000000" w:themeColor="text1"/>
          <w:sz w:val="28"/>
          <w:szCs w:val="28"/>
        </w:rPr>
        <w:t>art</w:t>
      </w:r>
      <w:r w:rsidRPr="00A0684D">
        <w:rPr>
          <w:rFonts w:ascii="Garamond" w:hAnsi="Garamond" w:cs="Times New Roman"/>
          <w:iCs/>
          <w:color w:val="000000" w:themeColor="text1"/>
          <w:sz w:val="28"/>
          <w:szCs w:val="28"/>
        </w:rPr>
        <w:t>. 6) (Cons. Stato, sez. II, n. 8762 del 2023; nr. 2342, 2340, 2334, 2329 del 2022);</w:t>
      </w:r>
    </w:p>
    <w:p w:rsidR="007B4920" w:rsidRPr="00A0684D" w:rsidRDefault="007B4920" w:rsidP="007B4920">
      <w:pPr>
        <w:pStyle w:val="Paragrafoelenco"/>
        <w:numPr>
          <w:ilvl w:val="0"/>
          <w:numId w:val="22"/>
        </w:numPr>
        <w:spacing w:line="240" w:lineRule="auto"/>
        <w:jc w:val="both"/>
        <w:rPr>
          <w:rFonts w:ascii="Garamond" w:hAnsi="Garamond" w:cs="Times New Roman"/>
          <w:color w:val="000000" w:themeColor="text1"/>
          <w:sz w:val="28"/>
          <w:szCs w:val="28"/>
        </w:rPr>
      </w:pPr>
      <w:r>
        <w:rPr>
          <w:rFonts w:ascii="Garamond" w:hAnsi="Garamond" w:cs="Times New Roman"/>
          <w:iCs/>
          <w:color w:val="000000" w:themeColor="text1"/>
          <w:sz w:val="28"/>
          <w:szCs w:val="28"/>
        </w:rPr>
        <w:t>l</w:t>
      </w:r>
      <w:r w:rsidRPr="00A0684D">
        <w:rPr>
          <w:rFonts w:ascii="Garamond" w:hAnsi="Garamond" w:cs="Times New Roman"/>
          <w:iCs/>
          <w:color w:val="000000" w:themeColor="text1"/>
          <w:sz w:val="28"/>
          <w:szCs w:val="28"/>
        </w:rPr>
        <w:t xml:space="preserve">’ipotesi in cui l’operatore si sia avvalso del metodo di valutazione c.d “standardizzato”, ovvero effettuato mediante l’impiego di apposite schede tecniche predefinite per tipologia di intervento è disciplinato dal </w:t>
      </w:r>
      <w:r w:rsidRPr="00A0684D">
        <w:rPr>
          <w:rFonts w:ascii="Garamond" w:hAnsi="Garamond" w:cs="Times New Roman"/>
          <w:bCs/>
          <w:iCs/>
          <w:color w:val="000000" w:themeColor="text1"/>
          <w:sz w:val="28"/>
          <w:szCs w:val="28"/>
        </w:rPr>
        <w:t>d</w:t>
      </w:r>
      <w:r w:rsidRPr="00A0684D">
        <w:rPr>
          <w:rFonts w:ascii="Garamond" w:hAnsi="Garamond" w:cs="Times New Roman"/>
          <w:iCs/>
          <w:color w:val="000000" w:themeColor="text1"/>
          <w:sz w:val="28"/>
          <w:szCs w:val="28"/>
        </w:rPr>
        <w:t xml:space="preserve">.m. </w:t>
      </w:r>
      <w:r w:rsidRPr="00A0684D">
        <w:rPr>
          <w:rFonts w:ascii="Garamond" w:hAnsi="Garamond" w:cs="Times New Roman"/>
          <w:bCs/>
          <w:iCs/>
          <w:color w:val="000000" w:themeColor="text1"/>
          <w:sz w:val="28"/>
          <w:szCs w:val="28"/>
        </w:rPr>
        <w:t xml:space="preserve">28 </w:t>
      </w:r>
      <w:r w:rsidRPr="00A0684D">
        <w:rPr>
          <w:rFonts w:ascii="Garamond" w:hAnsi="Garamond" w:cs="Times New Roman"/>
          <w:iCs/>
          <w:color w:val="000000" w:themeColor="text1"/>
          <w:sz w:val="28"/>
          <w:szCs w:val="28"/>
        </w:rPr>
        <w:t>dicembre 2012, e dal</w:t>
      </w:r>
      <w:r>
        <w:rPr>
          <w:rFonts w:ascii="Garamond" w:hAnsi="Garamond" w:cs="Times New Roman"/>
          <w:iCs/>
          <w:color w:val="000000" w:themeColor="text1"/>
          <w:sz w:val="28"/>
          <w:szCs w:val="28"/>
        </w:rPr>
        <w:t>le l</w:t>
      </w:r>
      <w:r w:rsidRPr="00A0684D">
        <w:rPr>
          <w:rFonts w:ascii="Garamond" w:hAnsi="Garamond" w:cs="Times New Roman"/>
          <w:iCs/>
          <w:color w:val="000000" w:themeColor="text1"/>
          <w:sz w:val="28"/>
          <w:szCs w:val="28"/>
        </w:rPr>
        <w:t xml:space="preserve">inee guida per la preparazione, valutazione ed esecuzione dei progetti, approvate con delibera AEEG 27 ottobre </w:t>
      </w:r>
      <w:r w:rsidRPr="00A0684D">
        <w:rPr>
          <w:rFonts w:ascii="Garamond" w:hAnsi="Garamond" w:cs="Times New Roman"/>
          <w:bCs/>
          <w:iCs/>
          <w:color w:val="000000" w:themeColor="text1"/>
          <w:sz w:val="28"/>
          <w:szCs w:val="28"/>
        </w:rPr>
        <w:t>2011</w:t>
      </w:r>
      <w:r w:rsidRPr="00A0684D">
        <w:rPr>
          <w:rFonts w:ascii="Garamond" w:hAnsi="Garamond" w:cs="Times New Roman"/>
          <w:iCs/>
          <w:color w:val="000000" w:themeColor="text1"/>
          <w:sz w:val="28"/>
          <w:szCs w:val="28"/>
        </w:rPr>
        <w:t>-EEN 9/</w:t>
      </w:r>
      <w:r w:rsidRPr="00A0684D">
        <w:rPr>
          <w:rFonts w:ascii="Garamond" w:hAnsi="Garamond" w:cs="Times New Roman"/>
          <w:bCs/>
          <w:iCs/>
          <w:color w:val="000000" w:themeColor="text1"/>
          <w:sz w:val="28"/>
          <w:szCs w:val="28"/>
        </w:rPr>
        <w:t>2011</w:t>
      </w:r>
      <w:r w:rsidRPr="00A0684D">
        <w:rPr>
          <w:rFonts w:ascii="Garamond" w:hAnsi="Garamond" w:cs="Times New Roman"/>
          <w:iCs/>
          <w:color w:val="000000" w:themeColor="text1"/>
          <w:sz w:val="28"/>
          <w:szCs w:val="28"/>
        </w:rPr>
        <w:t xml:space="preserve">, in particolare Allegato A; da tale </w:t>
      </w:r>
      <w:r>
        <w:rPr>
          <w:rFonts w:ascii="Garamond" w:hAnsi="Garamond" w:cs="Times New Roman"/>
          <w:iCs/>
          <w:color w:val="000000" w:themeColor="text1"/>
          <w:sz w:val="28"/>
          <w:szCs w:val="28"/>
        </w:rPr>
        <w:t>normativa</w:t>
      </w:r>
      <w:r w:rsidRPr="00A0684D">
        <w:rPr>
          <w:rFonts w:ascii="Garamond" w:hAnsi="Garamond" w:cs="Times New Roman"/>
          <w:iCs/>
          <w:color w:val="000000" w:themeColor="text1"/>
          <w:sz w:val="28"/>
          <w:szCs w:val="28"/>
        </w:rPr>
        <w:t xml:space="preserve"> si evince che non è possibile presentare più richieste di verifica e certificazione (RVC) relative al medesimo progetto di efficienza energetica,  prevedendo l’art. 12.2 delle linee guida AEEG 9/2011 un termine perentorio di 180 giorni  per la presentazione della richiesta di verifica e certificazione dalla data di avvio del progetto, dovendosi intendere per progetto a   norma dell’art.  1.1. delle linee guida «</w:t>
      </w:r>
      <w:r w:rsidRPr="00A0684D">
        <w:rPr>
          <w:rFonts w:ascii="Garamond" w:hAnsi="Garamond" w:cs="Times New Roman"/>
          <w:i/>
          <w:iCs/>
          <w:color w:val="000000" w:themeColor="text1"/>
          <w:sz w:val="28"/>
          <w:szCs w:val="28"/>
        </w:rPr>
        <w:t xml:space="preserve">una qualsiasi attività o insieme di attività che produce risparmi di </w:t>
      </w:r>
      <w:r>
        <w:rPr>
          <w:rFonts w:ascii="Garamond" w:hAnsi="Garamond" w:cs="Times New Roman"/>
          <w:i/>
          <w:iCs/>
          <w:color w:val="000000" w:themeColor="text1"/>
          <w:sz w:val="28"/>
          <w:szCs w:val="28"/>
        </w:rPr>
        <w:t>energia</w:t>
      </w:r>
      <w:r w:rsidRPr="00A0684D">
        <w:rPr>
          <w:rFonts w:ascii="Garamond" w:hAnsi="Garamond" w:cs="Times New Roman"/>
          <w:i/>
          <w:iCs/>
          <w:color w:val="000000" w:themeColor="text1"/>
          <w:sz w:val="28"/>
          <w:szCs w:val="28"/>
        </w:rPr>
        <w:t xml:space="preserve"> primaria certi e quantificabili attraverso la realizzazione presso uno o più clienti partecipanti di uno o più interventi valutabili con il medesimo metodo di valutazione, ovvero attraverso la realizzazione presso un unico cliente partecipante di interventi valutabili con metodi di valutazione diversi</w:t>
      </w:r>
      <w:r w:rsidRPr="00A0684D">
        <w:rPr>
          <w:rFonts w:ascii="Garamond" w:hAnsi="Garamond" w:cs="Times New Roman"/>
          <w:iCs/>
          <w:color w:val="000000" w:themeColor="text1"/>
          <w:sz w:val="28"/>
          <w:szCs w:val="28"/>
        </w:rPr>
        <w:t>». Peraltro qualora l’istante ritenga vengano in rilievo più progetti il relativo onere probatorio,  anche in ordine alla data del relativo avvio,  incombe sul medesimo in quanto il principio di auto</w:t>
      </w:r>
      <w:r>
        <w:rPr>
          <w:rFonts w:ascii="Garamond" w:hAnsi="Garamond" w:cs="Times New Roman"/>
          <w:iCs/>
          <w:color w:val="000000" w:themeColor="text1"/>
          <w:sz w:val="28"/>
          <w:szCs w:val="28"/>
        </w:rPr>
        <w:t xml:space="preserve"> </w:t>
      </w:r>
      <w:r w:rsidRPr="00A0684D">
        <w:rPr>
          <w:rFonts w:ascii="Garamond" w:hAnsi="Garamond" w:cs="Times New Roman"/>
          <w:iCs/>
          <w:color w:val="000000" w:themeColor="text1"/>
          <w:sz w:val="28"/>
          <w:szCs w:val="28"/>
        </w:rPr>
        <w:t>responsabilità, che impone all’operatore richiedente di fornire una rappresentazione veritiera della situazione per la quale si richiede l’incentivo, implica anche la necessità di porre l’organo di controllo in condizione di potere adempiere ai propri compiti [Cons. Stato, sez. II, n. 8762 del 2023 di conferma della sentenza del T</w:t>
      </w:r>
      <w:r>
        <w:rPr>
          <w:rFonts w:ascii="Garamond" w:hAnsi="Garamond" w:cs="Times New Roman"/>
          <w:iCs/>
          <w:color w:val="000000" w:themeColor="text1"/>
          <w:sz w:val="28"/>
          <w:szCs w:val="28"/>
        </w:rPr>
        <w:t>.</w:t>
      </w:r>
      <w:r w:rsidRPr="00A0684D">
        <w:rPr>
          <w:rFonts w:ascii="Garamond" w:hAnsi="Garamond" w:cs="Times New Roman"/>
          <w:iCs/>
          <w:color w:val="000000" w:themeColor="text1"/>
          <w:sz w:val="28"/>
          <w:szCs w:val="28"/>
        </w:rPr>
        <w:t>a</w:t>
      </w:r>
      <w:r>
        <w:rPr>
          <w:rFonts w:ascii="Garamond" w:hAnsi="Garamond" w:cs="Times New Roman"/>
          <w:iCs/>
          <w:color w:val="000000" w:themeColor="text1"/>
          <w:sz w:val="28"/>
          <w:szCs w:val="28"/>
        </w:rPr>
        <w:t>.</w:t>
      </w:r>
      <w:r w:rsidRPr="00A0684D">
        <w:rPr>
          <w:rFonts w:ascii="Garamond" w:hAnsi="Garamond" w:cs="Times New Roman"/>
          <w:iCs/>
          <w:color w:val="000000" w:themeColor="text1"/>
          <w:sz w:val="28"/>
          <w:szCs w:val="28"/>
        </w:rPr>
        <w:t>r</w:t>
      </w:r>
      <w:r>
        <w:rPr>
          <w:rFonts w:ascii="Garamond" w:hAnsi="Garamond" w:cs="Times New Roman"/>
          <w:iCs/>
          <w:color w:val="000000" w:themeColor="text1"/>
          <w:sz w:val="28"/>
          <w:szCs w:val="28"/>
        </w:rPr>
        <w:t>.</w:t>
      </w:r>
      <w:r w:rsidRPr="00A0684D">
        <w:rPr>
          <w:rFonts w:ascii="Garamond" w:hAnsi="Garamond" w:cs="Times New Roman"/>
          <w:iCs/>
          <w:color w:val="000000" w:themeColor="text1"/>
          <w:sz w:val="28"/>
          <w:szCs w:val="28"/>
        </w:rPr>
        <w:t xml:space="preserve"> Lazio, sez. III </w:t>
      </w:r>
      <w:r w:rsidRPr="00A0684D">
        <w:rPr>
          <w:rFonts w:ascii="Garamond" w:hAnsi="Garamond" w:cs="Times New Roman"/>
          <w:i/>
          <w:iCs/>
          <w:color w:val="000000" w:themeColor="text1"/>
          <w:sz w:val="28"/>
          <w:szCs w:val="28"/>
        </w:rPr>
        <w:t>ter</w:t>
      </w:r>
      <w:r w:rsidRPr="00A0684D">
        <w:rPr>
          <w:rFonts w:ascii="Garamond" w:hAnsi="Garamond" w:cs="Times New Roman"/>
          <w:iCs/>
          <w:color w:val="000000" w:themeColor="text1"/>
          <w:sz w:val="28"/>
          <w:szCs w:val="28"/>
        </w:rPr>
        <w:t xml:space="preserve">, n. 7518 del 2023, </w:t>
      </w:r>
      <w:r>
        <w:rPr>
          <w:rFonts w:ascii="Garamond" w:hAnsi="Garamond" w:cs="Times New Roman"/>
          <w:iCs/>
          <w:color w:val="000000" w:themeColor="text1"/>
          <w:sz w:val="28"/>
          <w:szCs w:val="28"/>
        </w:rPr>
        <w:t>relativa</w:t>
      </w:r>
      <w:r w:rsidRPr="00A0684D">
        <w:rPr>
          <w:rFonts w:ascii="Garamond" w:hAnsi="Garamond" w:cs="Times New Roman"/>
          <w:iCs/>
          <w:color w:val="000000" w:themeColor="text1"/>
          <w:sz w:val="28"/>
          <w:szCs w:val="28"/>
        </w:rPr>
        <w:t xml:space="preserve"> a provvedimento del G.s.e. di rigetto di sette richieste di verifica e certificazione dei risparmi (RVC),</w:t>
      </w:r>
      <w:r w:rsidRPr="009D26AF">
        <w:t xml:space="preserve"> </w:t>
      </w:r>
      <w:r w:rsidRPr="00A0684D">
        <w:rPr>
          <w:rFonts w:ascii="Garamond" w:hAnsi="Garamond" w:cs="Times New Roman"/>
          <w:iCs/>
          <w:color w:val="000000" w:themeColor="text1"/>
          <w:sz w:val="28"/>
          <w:szCs w:val="28"/>
        </w:rPr>
        <w:t xml:space="preserve">finalizzate al rilascio dei c.d certificati bianchi, per asserite progettualità distinte comunque riconducibili all’installazione di corpi illuminanti ad alta efficienza in sistemi di illuminazione già esistenti per strade destinate al traffico </w:t>
      </w:r>
      <w:r>
        <w:rPr>
          <w:rFonts w:ascii="Garamond" w:hAnsi="Garamond" w:cs="Times New Roman"/>
          <w:iCs/>
          <w:color w:val="000000" w:themeColor="text1"/>
          <w:sz w:val="28"/>
          <w:szCs w:val="28"/>
        </w:rPr>
        <w:t>motorizzato nel c</w:t>
      </w:r>
      <w:r w:rsidRPr="00A0684D">
        <w:rPr>
          <w:rFonts w:ascii="Garamond" w:hAnsi="Garamond" w:cs="Times New Roman"/>
          <w:iCs/>
          <w:color w:val="000000" w:themeColor="text1"/>
          <w:sz w:val="28"/>
          <w:szCs w:val="28"/>
        </w:rPr>
        <w:t>omune di Sogliano Cavour (LE) e Noci (BA)].</w:t>
      </w:r>
    </w:p>
    <w:p w:rsidR="007B4920" w:rsidRPr="00C10FCF" w:rsidRDefault="007B4920" w:rsidP="007B4920">
      <w:pPr>
        <w:spacing w:line="240" w:lineRule="auto"/>
        <w:contextualSpacing/>
        <w:jc w:val="both"/>
        <w:rPr>
          <w:rFonts w:ascii="Garamond" w:hAnsi="Garamond" w:cs="Times New Roman"/>
          <w:iCs/>
          <w:color w:val="000000" w:themeColor="text1"/>
          <w:sz w:val="28"/>
          <w:szCs w:val="28"/>
        </w:rPr>
      </w:pPr>
    </w:p>
    <w:p w:rsidR="007B4920" w:rsidRPr="00027FA8" w:rsidRDefault="007B4920" w:rsidP="007B4920">
      <w:pPr>
        <w:spacing w:line="240" w:lineRule="auto"/>
        <w:contextualSpacing/>
        <w:jc w:val="both"/>
        <w:rPr>
          <w:rFonts w:ascii="Garamond" w:hAnsi="Garamond" w:cs="Times New Roman"/>
          <w:color w:val="000000" w:themeColor="text1"/>
          <w:sz w:val="28"/>
          <w:szCs w:val="28"/>
        </w:rPr>
      </w:pPr>
      <w:r>
        <w:rPr>
          <w:rFonts w:ascii="Garamond" w:hAnsi="Garamond" w:cs="Times New Roman"/>
          <w:b/>
          <w:color w:val="000000" w:themeColor="text1"/>
          <w:sz w:val="28"/>
          <w:szCs w:val="28"/>
        </w:rPr>
        <w:t xml:space="preserve">9. </w:t>
      </w:r>
      <w:r w:rsidRPr="0013288E">
        <w:rPr>
          <w:rFonts w:ascii="Garamond" w:hAnsi="Garamond" w:cs="Times New Roman"/>
          <w:b/>
          <w:color w:val="000000" w:themeColor="text1"/>
          <w:sz w:val="28"/>
          <w:szCs w:val="28"/>
        </w:rPr>
        <w:t xml:space="preserve"> Impianti</w:t>
      </w:r>
      <w:r>
        <w:rPr>
          <w:rFonts w:ascii="Garamond" w:hAnsi="Garamond" w:cs="Times New Roman"/>
          <w:b/>
          <w:color w:val="000000" w:themeColor="text1"/>
          <w:sz w:val="28"/>
          <w:szCs w:val="28"/>
        </w:rPr>
        <w:t xml:space="preserve"> a bioliquidi, biomasse, biogas.</w:t>
      </w:r>
    </w:p>
    <w:p w:rsidR="007B4920" w:rsidRPr="0013288E" w:rsidRDefault="007B4920" w:rsidP="007B4920">
      <w:pPr>
        <w:spacing w:line="240" w:lineRule="auto"/>
        <w:ind w:firstLine="709"/>
        <w:contextualSpacing/>
        <w:jc w:val="both"/>
        <w:rPr>
          <w:rFonts w:ascii="Garamond" w:hAnsi="Garamond" w:cs="Times New Roman"/>
          <w:color w:val="000000" w:themeColor="text1"/>
          <w:sz w:val="28"/>
          <w:szCs w:val="28"/>
        </w:rPr>
      </w:pPr>
      <w:r w:rsidRPr="0013288E">
        <w:rPr>
          <w:rFonts w:ascii="Garamond" w:hAnsi="Garamond" w:cs="Times New Roman"/>
          <w:color w:val="000000" w:themeColor="text1"/>
          <w:sz w:val="28"/>
          <w:szCs w:val="28"/>
        </w:rPr>
        <w:lastRenderedPageBreak/>
        <w:t>La giurisprudenza della Corte di giustizia UE ha chiarito che:</w:t>
      </w:r>
    </w:p>
    <w:p w:rsidR="007B4920" w:rsidRDefault="007B4920" w:rsidP="007B4920">
      <w:pPr>
        <w:pStyle w:val="Paragrafoelenco"/>
        <w:numPr>
          <w:ilvl w:val="0"/>
          <w:numId w:val="23"/>
        </w:numPr>
        <w:spacing w:line="240" w:lineRule="auto"/>
        <w:jc w:val="both"/>
        <w:rPr>
          <w:rFonts w:ascii="Garamond" w:hAnsi="Garamond" w:cs="Times New Roman"/>
          <w:color w:val="000000" w:themeColor="text1"/>
          <w:sz w:val="28"/>
          <w:szCs w:val="28"/>
        </w:rPr>
      </w:pPr>
      <w:r w:rsidRPr="00A0684D">
        <w:rPr>
          <w:rFonts w:ascii="Garamond" w:hAnsi="Garamond" w:cs="Times New Roman"/>
          <w:color w:val="000000" w:themeColor="text1"/>
          <w:sz w:val="28"/>
          <w:szCs w:val="28"/>
        </w:rPr>
        <w:t xml:space="preserve">l’art. 6 par. 1 e 4, della </w:t>
      </w:r>
      <w:r>
        <w:rPr>
          <w:rFonts w:ascii="Garamond" w:hAnsi="Garamond" w:cs="Times New Roman"/>
          <w:color w:val="000000" w:themeColor="text1"/>
          <w:sz w:val="28"/>
          <w:szCs w:val="28"/>
        </w:rPr>
        <w:t>direttiva</w:t>
      </w:r>
      <w:r w:rsidRPr="00A0684D">
        <w:rPr>
          <w:rFonts w:ascii="Garamond" w:hAnsi="Garamond" w:cs="Times New Roman"/>
          <w:color w:val="000000" w:themeColor="text1"/>
          <w:sz w:val="28"/>
          <w:szCs w:val="28"/>
        </w:rPr>
        <w:t xml:space="preserve"> 2008/98/Ce del Parlamento europeo e del Consiglio, del 19 novembre 2008, </w:t>
      </w:r>
      <w:r>
        <w:rPr>
          <w:rFonts w:ascii="Garamond" w:hAnsi="Garamond" w:cs="Times New Roman"/>
          <w:color w:val="000000" w:themeColor="text1"/>
          <w:sz w:val="28"/>
          <w:szCs w:val="28"/>
        </w:rPr>
        <w:t>relativa</w:t>
      </w:r>
      <w:r w:rsidRPr="00A0684D">
        <w:rPr>
          <w:rFonts w:ascii="Garamond" w:hAnsi="Garamond" w:cs="Times New Roman"/>
          <w:color w:val="000000" w:themeColor="text1"/>
          <w:sz w:val="28"/>
          <w:szCs w:val="28"/>
        </w:rPr>
        <w:t xml:space="preserve"> ai rifiuti e che abroga alcune direttive, e l'art. 13, par. 1, della </w:t>
      </w:r>
      <w:r>
        <w:rPr>
          <w:rFonts w:ascii="Garamond" w:hAnsi="Garamond" w:cs="Times New Roman"/>
          <w:color w:val="000000" w:themeColor="text1"/>
          <w:sz w:val="28"/>
          <w:szCs w:val="28"/>
        </w:rPr>
        <w:t>direttiva</w:t>
      </w:r>
      <w:r w:rsidRPr="00A0684D">
        <w:rPr>
          <w:rFonts w:ascii="Garamond" w:hAnsi="Garamond" w:cs="Times New Roman"/>
          <w:color w:val="000000" w:themeColor="text1"/>
          <w:sz w:val="28"/>
          <w:szCs w:val="28"/>
        </w:rPr>
        <w:t xml:space="preserve"> 2009/28/Ce del Parlamento europeo e del Consiglio, del 23 aprile 2009, sulla promozione dell'uso dell'</w:t>
      </w:r>
      <w:r>
        <w:rPr>
          <w:rFonts w:ascii="Garamond" w:hAnsi="Garamond" w:cs="Times New Roman"/>
          <w:color w:val="000000" w:themeColor="text1"/>
          <w:sz w:val="28"/>
          <w:szCs w:val="28"/>
        </w:rPr>
        <w:t>energia</w:t>
      </w:r>
      <w:r w:rsidRPr="00A0684D">
        <w:rPr>
          <w:rFonts w:ascii="Garamond" w:hAnsi="Garamond" w:cs="Times New Roman"/>
          <w:color w:val="000000" w:themeColor="text1"/>
          <w:sz w:val="28"/>
          <w:szCs w:val="28"/>
        </w:rPr>
        <w:t xml:space="preserve"> da fonti rinnovabili, recante modifica e </w:t>
      </w:r>
      <w:r>
        <w:rPr>
          <w:rFonts w:ascii="Garamond" w:hAnsi="Garamond" w:cs="Times New Roman"/>
          <w:color w:val="000000" w:themeColor="text1"/>
          <w:sz w:val="28"/>
          <w:szCs w:val="28"/>
        </w:rPr>
        <w:t>successiva</w:t>
      </w:r>
      <w:r w:rsidRPr="00A0684D">
        <w:rPr>
          <w:rFonts w:ascii="Garamond" w:hAnsi="Garamond" w:cs="Times New Roman"/>
          <w:color w:val="000000" w:themeColor="text1"/>
          <w:sz w:val="28"/>
          <w:szCs w:val="28"/>
        </w:rPr>
        <w:t xml:space="preserve"> abrogazione delle direttive 2001/77/Ce e 2003/30/Ce, come modificata dalla </w:t>
      </w:r>
      <w:r>
        <w:rPr>
          <w:rFonts w:ascii="Garamond" w:hAnsi="Garamond" w:cs="Times New Roman"/>
          <w:color w:val="000000" w:themeColor="text1"/>
          <w:sz w:val="28"/>
          <w:szCs w:val="28"/>
        </w:rPr>
        <w:t>direttiva</w:t>
      </w:r>
      <w:r w:rsidRPr="00A0684D">
        <w:rPr>
          <w:rFonts w:ascii="Garamond" w:hAnsi="Garamond" w:cs="Times New Roman"/>
          <w:color w:val="000000" w:themeColor="text1"/>
          <w:sz w:val="28"/>
          <w:szCs w:val="28"/>
        </w:rPr>
        <w:t xml:space="preserve"> UE 2015/1513 del Parlamento europeo e del Consiglio, del 9 settembre 2015, in combinato disposto, devono essere interpretati nel senso che non ostano a una </w:t>
      </w:r>
      <w:r>
        <w:rPr>
          <w:rFonts w:ascii="Garamond" w:hAnsi="Garamond" w:cs="Times New Roman"/>
          <w:color w:val="000000" w:themeColor="text1"/>
          <w:sz w:val="28"/>
          <w:szCs w:val="28"/>
        </w:rPr>
        <w:t>normativa</w:t>
      </w:r>
      <w:r w:rsidRPr="00A0684D">
        <w:rPr>
          <w:rFonts w:ascii="Garamond" w:hAnsi="Garamond" w:cs="Times New Roman"/>
          <w:color w:val="000000" w:themeColor="text1"/>
          <w:sz w:val="28"/>
          <w:szCs w:val="28"/>
        </w:rPr>
        <w:t xml:space="preserve"> nazionale in forza della quale un'istanza di autorizzazione a sostituire il metano - quale fonte di alimentazione di un impianto di produzione di </w:t>
      </w:r>
      <w:r>
        <w:rPr>
          <w:rFonts w:ascii="Garamond" w:hAnsi="Garamond" w:cs="Times New Roman"/>
          <w:color w:val="000000" w:themeColor="text1"/>
          <w:sz w:val="28"/>
          <w:szCs w:val="28"/>
        </w:rPr>
        <w:t>energia</w:t>
      </w:r>
      <w:r w:rsidRPr="00A0684D">
        <w:rPr>
          <w:rFonts w:ascii="Garamond" w:hAnsi="Garamond" w:cs="Times New Roman"/>
          <w:color w:val="000000" w:themeColor="text1"/>
          <w:sz w:val="28"/>
          <w:szCs w:val="28"/>
        </w:rPr>
        <w:t xml:space="preserve"> elettrica che genera emissioni in atmosfera - con una sostanza ottenuta dal trattamento chimico di oli vegetali esausti deve essere respinta per la ragione che tale sostanza non è iscritta nell'elenco delle categorie di combustibili ottenuti dalla biomassa autorizzati a tal fine e che detto elenco può essere modificato solo con decreto ministeriale, la cui procedura di adozione non è coordinata con la procedura </w:t>
      </w:r>
      <w:r>
        <w:rPr>
          <w:rFonts w:ascii="Garamond" w:hAnsi="Garamond" w:cs="Times New Roman"/>
          <w:color w:val="000000" w:themeColor="text1"/>
          <w:sz w:val="28"/>
          <w:szCs w:val="28"/>
        </w:rPr>
        <w:t>amministrativa</w:t>
      </w:r>
      <w:r w:rsidRPr="00A0684D">
        <w:rPr>
          <w:rFonts w:ascii="Garamond" w:hAnsi="Garamond" w:cs="Times New Roman"/>
          <w:color w:val="000000" w:themeColor="text1"/>
          <w:sz w:val="28"/>
          <w:szCs w:val="28"/>
        </w:rPr>
        <w:t xml:space="preserve"> di autorizzazione dell'utilizzo di tale sostanza come combustibile, se lo Stato membro ha potuto ritenere, senza incorrere in un errore manifesto di valutazione, che non sia stato dimostrato che l'utilizzo di tale olio vegetale, in simili circostanze, soddisfa le condizioni previste all'art. 6, par. 1, della </w:t>
      </w:r>
      <w:r>
        <w:rPr>
          <w:rFonts w:ascii="Garamond" w:hAnsi="Garamond" w:cs="Times New Roman"/>
          <w:color w:val="000000" w:themeColor="text1"/>
          <w:sz w:val="28"/>
          <w:szCs w:val="28"/>
        </w:rPr>
        <w:t>direttiva</w:t>
      </w:r>
      <w:r w:rsidRPr="00A0684D">
        <w:rPr>
          <w:rFonts w:ascii="Garamond" w:hAnsi="Garamond" w:cs="Times New Roman"/>
          <w:color w:val="000000" w:themeColor="text1"/>
          <w:sz w:val="28"/>
          <w:szCs w:val="28"/>
        </w:rPr>
        <w:t xml:space="preserve"> 2008/98 e, in particolare, è privo di qualsiasi possibile effetto nocivo sull'ambiente e sulla salute umana; spetta al giudice del rinvio verificare se tale ipotesi ricorra nel procedimento principale [Corte di giustizia UE,  24 ottobre 2019, C-212/18, resa in  riferimento alla questioni pregiudiziali sollevata da T.a.r. Piemonte, sez. II, ord. n. 318 del 2018, </w:t>
      </w:r>
      <w:r>
        <w:rPr>
          <w:rFonts w:ascii="Garamond" w:hAnsi="Garamond" w:cs="Times New Roman"/>
          <w:color w:val="000000" w:themeColor="text1"/>
          <w:sz w:val="28"/>
          <w:szCs w:val="28"/>
        </w:rPr>
        <w:t>relativa</w:t>
      </w:r>
      <w:r w:rsidRPr="00A0684D">
        <w:rPr>
          <w:rFonts w:ascii="Garamond" w:hAnsi="Garamond" w:cs="Times New Roman"/>
          <w:color w:val="000000" w:themeColor="text1"/>
          <w:sz w:val="28"/>
          <w:szCs w:val="28"/>
        </w:rPr>
        <w:t xml:space="preserve">mente alla compatibilità con il diritto europeo di due gruppi di previsioni normative nazionali, correlate al rilascio di autorizzazione all'impiego di un bioliquido come fonte di alimentazione di una centrale termica ed elettrica (ovvero le norme del d.lgs. n.  152 del 2006 che a date condizioni impongono di considerare tale bioliquido come un rifiuto e la disposizione del d.lgs. n. 28 del 2011 che, nel disciplinare l'autorizzazione unica per gli impianti di produzione di </w:t>
      </w:r>
      <w:r>
        <w:rPr>
          <w:rFonts w:ascii="Garamond" w:hAnsi="Garamond" w:cs="Times New Roman"/>
          <w:color w:val="000000" w:themeColor="text1"/>
          <w:sz w:val="28"/>
          <w:szCs w:val="28"/>
        </w:rPr>
        <w:t>energia</w:t>
      </w:r>
      <w:r w:rsidRPr="00A0684D">
        <w:rPr>
          <w:rFonts w:ascii="Garamond" w:hAnsi="Garamond" w:cs="Times New Roman"/>
          <w:color w:val="000000" w:themeColor="text1"/>
          <w:sz w:val="28"/>
          <w:szCs w:val="28"/>
        </w:rPr>
        <w:t xml:space="preserve"> da fonti rinnovabili, non risulta coordinata con la </w:t>
      </w:r>
      <w:r>
        <w:rPr>
          <w:rFonts w:ascii="Garamond" w:hAnsi="Garamond" w:cs="Times New Roman"/>
          <w:color w:val="000000" w:themeColor="text1"/>
          <w:sz w:val="28"/>
          <w:szCs w:val="28"/>
        </w:rPr>
        <w:t>normativa</w:t>
      </w:r>
      <w:r w:rsidRPr="00A0684D">
        <w:rPr>
          <w:rFonts w:ascii="Garamond" w:hAnsi="Garamond" w:cs="Times New Roman"/>
          <w:color w:val="000000" w:themeColor="text1"/>
          <w:sz w:val="28"/>
          <w:szCs w:val="28"/>
        </w:rPr>
        <w:t xml:space="preserve"> ambientale del d.lgs. n. 152 del 06)];</w:t>
      </w:r>
    </w:p>
    <w:p w:rsidR="007B4920" w:rsidRPr="00A0684D" w:rsidRDefault="007B4920" w:rsidP="007B4920">
      <w:pPr>
        <w:pStyle w:val="Paragrafoelenco"/>
        <w:numPr>
          <w:ilvl w:val="0"/>
          <w:numId w:val="23"/>
        </w:numPr>
        <w:spacing w:line="240" w:lineRule="auto"/>
        <w:jc w:val="both"/>
        <w:rPr>
          <w:rFonts w:ascii="Garamond" w:hAnsi="Garamond" w:cs="Times New Roman"/>
          <w:color w:val="000000" w:themeColor="text1"/>
          <w:sz w:val="28"/>
          <w:szCs w:val="28"/>
        </w:rPr>
      </w:pPr>
      <w:r w:rsidRPr="00A0684D">
        <w:rPr>
          <w:rFonts w:ascii="Garamond" w:hAnsi="Garamond" w:cs="Times New Roman"/>
          <w:color w:val="000000" w:themeColor="text1"/>
          <w:sz w:val="28"/>
          <w:szCs w:val="28"/>
        </w:rPr>
        <w:t xml:space="preserve">l’art. 18, par. 7, della </w:t>
      </w:r>
      <w:r>
        <w:rPr>
          <w:rFonts w:ascii="Garamond" w:hAnsi="Garamond" w:cs="Times New Roman"/>
          <w:color w:val="000000" w:themeColor="text1"/>
          <w:sz w:val="28"/>
          <w:szCs w:val="28"/>
        </w:rPr>
        <w:t>direttiva</w:t>
      </w:r>
      <w:r w:rsidRPr="00A0684D">
        <w:rPr>
          <w:rFonts w:ascii="Garamond" w:hAnsi="Garamond" w:cs="Times New Roman"/>
          <w:color w:val="000000" w:themeColor="text1"/>
          <w:sz w:val="28"/>
          <w:szCs w:val="28"/>
        </w:rPr>
        <w:t xml:space="preserve"> 2009/28/CE del  Parlamento europeo e del Consiglio, del 23 aprile 2009, sulla  promozione dell'uso dell'</w:t>
      </w:r>
      <w:r>
        <w:rPr>
          <w:rFonts w:ascii="Garamond" w:hAnsi="Garamond" w:cs="Times New Roman"/>
          <w:color w:val="000000" w:themeColor="text1"/>
          <w:sz w:val="28"/>
          <w:szCs w:val="28"/>
        </w:rPr>
        <w:t>energia</w:t>
      </w:r>
      <w:r w:rsidRPr="00A0684D">
        <w:rPr>
          <w:rFonts w:ascii="Garamond" w:hAnsi="Garamond" w:cs="Times New Roman"/>
          <w:color w:val="000000" w:themeColor="text1"/>
          <w:sz w:val="28"/>
          <w:szCs w:val="28"/>
        </w:rPr>
        <w:t xml:space="preserve"> da fonti rinnovabili, recante  modifica e </w:t>
      </w:r>
      <w:r>
        <w:rPr>
          <w:rFonts w:ascii="Garamond" w:hAnsi="Garamond" w:cs="Times New Roman"/>
          <w:color w:val="000000" w:themeColor="text1"/>
          <w:sz w:val="28"/>
          <w:szCs w:val="28"/>
        </w:rPr>
        <w:t>successiva</w:t>
      </w:r>
      <w:r w:rsidRPr="00A0684D">
        <w:rPr>
          <w:rFonts w:ascii="Garamond" w:hAnsi="Garamond" w:cs="Times New Roman"/>
          <w:color w:val="000000" w:themeColor="text1"/>
          <w:sz w:val="28"/>
          <w:szCs w:val="28"/>
        </w:rPr>
        <w:t xml:space="preserve"> abrogazione delle direttive 2001/77/CE  e 2003/30/CE, letto in combinato disposto con la decisione di  esecuzione 2011/438/UE della Commissione, del 19 luglio 2011,  </w:t>
      </w:r>
      <w:r>
        <w:rPr>
          <w:rFonts w:ascii="Garamond" w:hAnsi="Garamond" w:cs="Times New Roman"/>
          <w:color w:val="000000" w:themeColor="text1"/>
          <w:sz w:val="28"/>
          <w:szCs w:val="28"/>
        </w:rPr>
        <w:t>relativa</w:t>
      </w:r>
      <w:r w:rsidRPr="00A0684D">
        <w:rPr>
          <w:rFonts w:ascii="Garamond" w:hAnsi="Garamond" w:cs="Times New Roman"/>
          <w:color w:val="000000" w:themeColor="text1"/>
          <w:sz w:val="28"/>
          <w:szCs w:val="28"/>
        </w:rPr>
        <w:t xml:space="preserve"> al riconoscimento del sistema Iscc «</w:t>
      </w:r>
      <w:r w:rsidRPr="00A0684D">
        <w:rPr>
          <w:rFonts w:ascii="Garamond" w:hAnsi="Garamond" w:cs="Times New Roman"/>
          <w:i/>
          <w:color w:val="000000" w:themeColor="text1"/>
          <w:sz w:val="28"/>
          <w:szCs w:val="28"/>
        </w:rPr>
        <w:t>International Sustainability and Carbon Certification</w:t>
      </w:r>
      <w:r w:rsidRPr="00A0684D">
        <w:rPr>
          <w:rFonts w:ascii="Garamond" w:hAnsi="Garamond" w:cs="Times New Roman"/>
          <w:color w:val="000000" w:themeColor="text1"/>
          <w:sz w:val="28"/>
          <w:szCs w:val="28"/>
        </w:rPr>
        <w:t xml:space="preserve">» per la verifica del rispetto dei criteri di sostenibilità di cui alle direttive del parlamento europeo e del consiglio 2009/28 e 2009/30/CE, deve essere interpretato nel senso che esso non osta ad una </w:t>
      </w:r>
      <w:r>
        <w:rPr>
          <w:rFonts w:ascii="Garamond" w:hAnsi="Garamond" w:cs="Times New Roman"/>
          <w:color w:val="000000" w:themeColor="text1"/>
          <w:sz w:val="28"/>
          <w:szCs w:val="28"/>
        </w:rPr>
        <w:t>normativa</w:t>
      </w:r>
      <w:r w:rsidRPr="00A0684D">
        <w:rPr>
          <w:rFonts w:ascii="Garamond" w:hAnsi="Garamond" w:cs="Times New Roman"/>
          <w:color w:val="000000" w:themeColor="text1"/>
          <w:sz w:val="28"/>
          <w:szCs w:val="28"/>
        </w:rPr>
        <w:t xml:space="preserve">  nazionale, come quella in discussione nel procedimento principale, la quale imponga agli operatori economici, per la certificazione della sostenibilità dei bioliquidi, oneri specifici, diversi e più ampi rispetto a quelli previsti da un sistema volontario di certificazione della sostenibilità, quale il sistema Iscc,  </w:t>
      </w:r>
      <w:r w:rsidRPr="00A0684D">
        <w:rPr>
          <w:rFonts w:ascii="Garamond" w:hAnsi="Garamond" w:cs="Times New Roman"/>
          <w:color w:val="000000" w:themeColor="text1"/>
          <w:sz w:val="28"/>
          <w:szCs w:val="28"/>
        </w:rPr>
        <w:lastRenderedPageBreak/>
        <w:t xml:space="preserve">riconosciuto dalla citata decisione di esecuzione, adottata dalla  Commissione europea ai sensi dell'art. 18, par. 4, della </w:t>
      </w:r>
      <w:r>
        <w:rPr>
          <w:rFonts w:ascii="Garamond" w:hAnsi="Garamond" w:cs="Times New Roman"/>
          <w:color w:val="000000" w:themeColor="text1"/>
          <w:sz w:val="28"/>
          <w:szCs w:val="28"/>
        </w:rPr>
        <w:t>direttiva</w:t>
      </w:r>
      <w:r w:rsidRPr="00A0684D">
        <w:rPr>
          <w:rFonts w:ascii="Garamond" w:hAnsi="Garamond" w:cs="Times New Roman"/>
          <w:color w:val="000000" w:themeColor="text1"/>
          <w:sz w:val="28"/>
          <w:szCs w:val="28"/>
        </w:rPr>
        <w:t xml:space="preserve"> summenzionata, nella misura in cui tale sistema è stato approvato soltanto per i biocarburanti e gli oneri suddetti riguardano soltanto i bioliquidi; inoltre il diritto dell'Unione, e in particolare l'art. 34 TFUE e l'art. 18, par. 1 e 3, della </w:t>
      </w:r>
      <w:r>
        <w:rPr>
          <w:rFonts w:ascii="Garamond" w:hAnsi="Garamond" w:cs="Times New Roman"/>
          <w:color w:val="000000" w:themeColor="text1"/>
          <w:sz w:val="28"/>
          <w:szCs w:val="28"/>
        </w:rPr>
        <w:t>direttiva</w:t>
      </w:r>
      <w:r w:rsidRPr="00A0684D">
        <w:rPr>
          <w:rFonts w:ascii="Garamond" w:hAnsi="Garamond" w:cs="Times New Roman"/>
          <w:color w:val="000000" w:themeColor="text1"/>
          <w:sz w:val="28"/>
          <w:szCs w:val="28"/>
        </w:rPr>
        <w:t xml:space="preserve"> 2009/28,  deve essere interpretato nel senso che esso non osta a che una  </w:t>
      </w:r>
      <w:r>
        <w:rPr>
          <w:rFonts w:ascii="Garamond" w:hAnsi="Garamond" w:cs="Times New Roman"/>
          <w:color w:val="000000" w:themeColor="text1"/>
          <w:sz w:val="28"/>
          <w:szCs w:val="28"/>
        </w:rPr>
        <w:t>normativa</w:t>
      </w:r>
      <w:r w:rsidRPr="00A0684D">
        <w:rPr>
          <w:rFonts w:ascii="Garamond" w:hAnsi="Garamond" w:cs="Times New Roman"/>
          <w:color w:val="000000" w:themeColor="text1"/>
          <w:sz w:val="28"/>
          <w:szCs w:val="28"/>
        </w:rPr>
        <w:t xml:space="preserve"> nazionale, come quella in discussione nel procedimento principale, imponga un sistema nazionale di verifica  della sostenibilità dei bioliquidi, il quale stabilisca che tutti gli  operatori economici che intervengono nella catena di consegna  del prodotto considerato, anche quando si tratti di intermediari che non conseguono alcuna disponibilità fisica delle partite di bioliquidi, sono tenuti a rispettare taluni obblighi di certificazione, di comunicazione e di informazione scaturenti da detto  sistema [Corte giustizia UE,  4 ottobre 2018, C-242/17, avente ad oggetto la domanda di pronuncia pregiudiziale proposta dal Consiglio di Stato,  con ordinanza del 26 gennaio 2017, nell’ambito di una controversia che </w:t>
      </w:r>
      <w:r>
        <w:rPr>
          <w:rFonts w:ascii="Garamond" w:hAnsi="Garamond" w:cs="Times New Roman"/>
          <w:color w:val="000000" w:themeColor="text1"/>
          <w:sz w:val="28"/>
          <w:szCs w:val="28"/>
        </w:rPr>
        <w:t xml:space="preserve">ha </w:t>
      </w:r>
      <w:r w:rsidRPr="00A0684D">
        <w:rPr>
          <w:rFonts w:ascii="Garamond" w:hAnsi="Garamond" w:cs="Times New Roman"/>
          <w:color w:val="000000" w:themeColor="text1"/>
          <w:sz w:val="28"/>
          <w:szCs w:val="28"/>
        </w:rPr>
        <w:t>oppo</w:t>
      </w:r>
      <w:r>
        <w:rPr>
          <w:rFonts w:ascii="Garamond" w:hAnsi="Garamond" w:cs="Times New Roman"/>
          <w:color w:val="000000" w:themeColor="text1"/>
          <w:sz w:val="28"/>
          <w:szCs w:val="28"/>
        </w:rPr>
        <w:t xml:space="preserve">sto una società tipografica </w:t>
      </w:r>
      <w:r w:rsidRPr="00A0684D">
        <w:rPr>
          <w:rFonts w:ascii="Garamond" w:hAnsi="Garamond" w:cs="Times New Roman"/>
          <w:color w:val="000000" w:themeColor="text1"/>
          <w:sz w:val="28"/>
          <w:szCs w:val="28"/>
        </w:rPr>
        <w:t>al</w:t>
      </w:r>
      <w:r>
        <w:rPr>
          <w:rFonts w:ascii="Garamond" w:hAnsi="Garamond" w:cs="Times New Roman"/>
          <w:color w:val="000000" w:themeColor="text1"/>
          <w:sz w:val="28"/>
          <w:szCs w:val="28"/>
        </w:rPr>
        <w:t xml:space="preserve"> </w:t>
      </w:r>
      <w:r w:rsidRPr="00A0684D">
        <w:rPr>
          <w:rFonts w:ascii="Garamond" w:hAnsi="Garamond" w:cs="Times New Roman"/>
          <w:color w:val="000000" w:themeColor="text1"/>
          <w:sz w:val="28"/>
          <w:szCs w:val="28"/>
        </w:rPr>
        <w:t>G</w:t>
      </w:r>
      <w:r>
        <w:rPr>
          <w:rFonts w:ascii="Garamond" w:hAnsi="Garamond" w:cs="Times New Roman"/>
          <w:color w:val="000000" w:themeColor="text1"/>
          <w:sz w:val="28"/>
          <w:szCs w:val="28"/>
        </w:rPr>
        <w:t>.s.e. ed ai Ministeri di settore</w:t>
      </w:r>
      <w:r w:rsidRPr="00A0684D">
        <w:rPr>
          <w:rFonts w:ascii="Garamond" w:hAnsi="Garamond" w:cs="Times New Roman"/>
          <w:color w:val="000000" w:themeColor="text1"/>
          <w:sz w:val="28"/>
          <w:szCs w:val="28"/>
        </w:rPr>
        <w:t xml:space="preserve">, in merito alla mancata presentazione di certificati di sostenibilità relativi a bioliquidi utilizzati per il funzionamento dell’impianto termoelettrico, mancanza questa che ha determinato la decadenza dal regime di </w:t>
      </w:r>
      <w:r>
        <w:rPr>
          <w:rFonts w:ascii="Garamond" w:hAnsi="Garamond" w:cs="Times New Roman"/>
          <w:color w:val="000000" w:themeColor="text1"/>
          <w:sz w:val="28"/>
          <w:szCs w:val="28"/>
        </w:rPr>
        <w:t>incentivazione</w:t>
      </w:r>
      <w:r w:rsidRPr="00A0684D">
        <w:rPr>
          <w:rFonts w:ascii="Garamond" w:hAnsi="Garamond" w:cs="Times New Roman"/>
          <w:color w:val="000000" w:themeColor="text1"/>
          <w:sz w:val="28"/>
          <w:szCs w:val="28"/>
        </w:rPr>
        <w:t xml:space="preserve"> dei certificati verdi di cui beneficiava tale impianto].</w:t>
      </w:r>
    </w:p>
    <w:p w:rsidR="007B4920" w:rsidRDefault="007B4920" w:rsidP="007B4920">
      <w:pPr>
        <w:spacing w:line="240" w:lineRule="auto"/>
        <w:contextualSpacing/>
        <w:jc w:val="both"/>
        <w:rPr>
          <w:rFonts w:ascii="Garamond" w:hAnsi="Garamond" w:cs="Times New Roman"/>
          <w:b/>
          <w:color w:val="000000" w:themeColor="text1"/>
          <w:sz w:val="28"/>
          <w:szCs w:val="28"/>
        </w:rPr>
      </w:pPr>
    </w:p>
    <w:p w:rsidR="007B4920" w:rsidRDefault="007B4920" w:rsidP="007B4920">
      <w:pPr>
        <w:spacing w:line="240" w:lineRule="auto"/>
        <w:contextualSpacing/>
        <w:jc w:val="both"/>
        <w:rPr>
          <w:rFonts w:ascii="Garamond" w:hAnsi="Garamond" w:cs="Times New Roman"/>
          <w:b/>
          <w:color w:val="000000" w:themeColor="text1"/>
          <w:sz w:val="28"/>
          <w:szCs w:val="28"/>
        </w:rPr>
      </w:pPr>
      <w:r w:rsidRPr="00CF18B7">
        <w:rPr>
          <w:rFonts w:ascii="Garamond" w:hAnsi="Garamond" w:cs="Times New Roman"/>
          <w:b/>
          <w:color w:val="000000" w:themeColor="text1"/>
          <w:sz w:val="28"/>
          <w:szCs w:val="28"/>
        </w:rPr>
        <w:t>10</w:t>
      </w:r>
      <w:r>
        <w:rPr>
          <w:rFonts w:ascii="Garamond" w:hAnsi="Garamond" w:cs="Times New Roman"/>
          <w:b/>
          <w:color w:val="000000" w:themeColor="text1"/>
          <w:sz w:val="28"/>
          <w:szCs w:val="28"/>
        </w:rPr>
        <w:t>.</w:t>
      </w:r>
      <w:r w:rsidRPr="00CF18B7">
        <w:rPr>
          <w:rFonts w:ascii="Garamond" w:hAnsi="Garamond" w:cs="Times New Roman"/>
          <w:b/>
          <w:color w:val="000000" w:themeColor="text1"/>
          <w:sz w:val="28"/>
          <w:szCs w:val="28"/>
        </w:rPr>
        <w:t xml:space="preserve"> Gli impianti di cogenerazione</w:t>
      </w:r>
      <w:r>
        <w:rPr>
          <w:rFonts w:ascii="Garamond" w:hAnsi="Garamond" w:cs="Times New Roman"/>
          <w:b/>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824EA4">
        <w:rPr>
          <w:rFonts w:ascii="Garamond" w:hAnsi="Garamond" w:cs="Times New Roman"/>
          <w:color w:val="000000" w:themeColor="text1"/>
          <w:sz w:val="28"/>
          <w:szCs w:val="28"/>
        </w:rPr>
        <w:t>Come innanzi precisato al § 4</w:t>
      </w:r>
      <w:r>
        <w:rPr>
          <w:rFonts w:ascii="Garamond" w:hAnsi="Garamond" w:cs="Times New Roman"/>
          <w:color w:val="000000" w:themeColor="text1"/>
          <w:sz w:val="28"/>
          <w:szCs w:val="28"/>
        </w:rPr>
        <w:t>,</w:t>
      </w:r>
      <w:r w:rsidRPr="00824EA4">
        <w:rPr>
          <w:rFonts w:ascii="Garamond" w:hAnsi="Garamond" w:cs="Times New Roman"/>
          <w:color w:val="000000" w:themeColor="text1"/>
          <w:sz w:val="28"/>
          <w:szCs w:val="28"/>
        </w:rPr>
        <w:t xml:space="preserve"> l’art. 11, comma 1, del d.lgs. n. 79</w:t>
      </w:r>
      <w:r>
        <w:rPr>
          <w:rFonts w:ascii="Garamond" w:hAnsi="Garamond" w:cs="Times New Roman"/>
          <w:color w:val="000000" w:themeColor="text1"/>
          <w:sz w:val="28"/>
          <w:szCs w:val="28"/>
        </w:rPr>
        <w:t xml:space="preserve"> del 1999</w:t>
      </w:r>
      <w:r w:rsidRPr="00824EA4">
        <w:rPr>
          <w:rFonts w:ascii="Garamond" w:hAnsi="Garamond" w:cs="Times New Roman"/>
          <w:color w:val="000000" w:themeColor="text1"/>
          <w:sz w:val="28"/>
          <w:szCs w:val="28"/>
        </w:rPr>
        <w:t xml:space="preserve"> dispone</w:t>
      </w:r>
      <w:r>
        <w:rPr>
          <w:rFonts w:ascii="Garamond" w:hAnsi="Garamond" w:cs="Times New Roman"/>
          <w:color w:val="000000" w:themeColor="text1"/>
          <w:sz w:val="28"/>
          <w:szCs w:val="28"/>
        </w:rPr>
        <w:t>(va) che “</w:t>
      </w:r>
      <w:r w:rsidRPr="000B02C3">
        <w:rPr>
          <w:rFonts w:ascii="Garamond" w:hAnsi="Garamond" w:cs="Times New Roman"/>
          <w:i/>
          <w:color w:val="000000" w:themeColor="text1"/>
          <w:sz w:val="28"/>
          <w:szCs w:val="28"/>
        </w:rPr>
        <w:t xml:space="preserve">gli importatori e i soggetti responsabili degli impianti che, in ciascun anno, importano o producono </w:t>
      </w:r>
      <w:r>
        <w:rPr>
          <w:rFonts w:ascii="Garamond" w:hAnsi="Garamond" w:cs="Times New Roman"/>
          <w:i/>
          <w:color w:val="000000" w:themeColor="text1"/>
          <w:sz w:val="28"/>
          <w:szCs w:val="28"/>
        </w:rPr>
        <w:t>energia</w:t>
      </w:r>
      <w:r w:rsidRPr="000B02C3">
        <w:rPr>
          <w:rFonts w:ascii="Garamond" w:hAnsi="Garamond" w:cs="Times New Roman"/>
          <w:i/>
          <w:color w:val="000000" w:themeColor="text1"/>
          <w:sz w:val="28"/>
          <w:szCs w:val="28"/>
        </w:rPr>
        <w:t xml:space="preserve"> elettrica da fonti non rinnovabili hanno l’obbligo di immettere nel sistema elettrico nazionale, nell’anno successivo, una quota prodotta da impianti da fonti rinnovabili</w:t>
      </w:r>
      <w:r w:rsidRPr="00824EA4">
        <w:rPr>
          <w:rFonts w:ascii="Garamond" w:hAnsi="Garamond" w:cs="Times New Roman"/>
          <w:color w:val="000000" w:themeColor="text1"/>
          <w:sz w:val="28"/>
          <w:szCs w:val="28"/>
        </w:rPr>
        <w:t>” e il successivo</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comma 3 aggiunge</w:t>
      </w:r>
      <w:r>
        <w:rPr>
          <w:rFonts w:ascii="Garamond" w:hAnsi="Garamond" w:cs="Times New Roman"/>
          <w:color w:val="000000" w:themeColor="text1"/>
          <w:sz w:val="28"/>
          <w:szCs w:val="28"/>
        </w:rPr>
        <w:t>(va)</w:t>
      </w:r>
      <w:r w:rsidRPr="00824EA4">
        <w:rPr>
          <w:rFonts w:ascii="Garamond" w:hAnsi="Garamond" w:cs="Times New Roman"/>
          <w:color w:val="000000" w:themeColor="text1"/>
          <w:sz w:val="28"/>
          <w:szCs w:val="28"/>
        </w:rPr>
        <w:t xml:space="preserve"> che “</w:t>
      </w:r>
      <w:r w:rsidRPr="000B02C3">
        <w:rPr>
          <w:rFonts w:ascii="Garamond" w:hAnsi="Garamond" w:cs="Times New Roman"/>
          <w:i/>
          <w:color w:val="000000" w:themeColor="text1"/>
          <w:sz w:val="28"/>
          <w:szCs w:val="28"/>
        </w:rPr>
        <w:t>gli stessi soggetti possono adempiere al suddetto obbligo anche acquistando, in tutto o in parte, l’</w:t>
      </w:r>
      <w:r>
        <w:rPr>
          <w:rFonts w:ascii="Garamond" w:hAnsi="Garamond" w:cs="Times New Roman"/>
          <w:i/>
          <w:color w:val="000000" w:themeColor="text1"/>
          <w:sz w:val="28"/>
          <w:szCs w:val="28"/>
        </w:rPr>
        <w:t>equivalente</w:t>
      </w:r>
      <w:r w:rsidRPr="000B02C3">
        <w:rPr>
          <w:rFonts w:ascii="Garamond" w:hAnsi="Garamond" w:cs="Times New Roman"/>
          <w:i/>
          <w:color w:val="000000" w:themeColor="text1"/>
          <w:sz w:val="28"/>
          <w:szCs w:val="28"/>
        </w:rPr>
        <w:t xml:space="preserve"> quota o i relativi diritti da altri produttori”</w:t>
      </w:r>
      <w:r w:rsidRPr="00824EA4">
        <w:rPr>
          <w:rFonts w:ascii="Garamond" w:hAnsi="Garamond" w:cs="Times New Roman"/>
          <w:color w:val="000000" w:themeColor="text1"/>
          <w:sz w:val="28"/>
          <w:szCs w:val="28"/>
        </w:rPr>
        <w:t xml:space="preserve"> (i</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c.d. &lt;certificati verdi&gt;);</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ai sensi dell’art</w:t>
      </w:r>
      <w:r>
        <w:rPr>
          <w:rFonts w:ascii="Garamond" w:hAnsi="Garamond" w:cs="Times New Roman"/>
          <w:color w:val="000000" w:themeColor="text1"/>
          <w:sz w:val="28"/>
          <w:szCs w:val="28"/>
        </w:rPr>
        <w:t xml:space="preserve">. 11, comma 2, d.lgs. n 79 cit., </w:t>
      </w:r>
      <w:r w:rsidRPr="00824EA4">
        <w:rPr>
          <w:rFonts w:ascii="Garamond" w:hAnsi="Garamond" w:cs="Times New Roman"/>
          <w:color w:val="000000" w:themeColor="text1"/>
          <w:sz w:val="28"/>
          <w:szCs w:val="28"/>
        </w:rPr>
        <w:t>l’obbligo</w:t>
      </w:r>
      <w:r>
        <w:rPr>
          <w:rFonts w:ascii="Garamond" w:hAnsi="Garamond" w:cs="Times New Roman"/>
          <w:color w:val="000000" w:themeColor="text1"/>
          <w:sz w:val="28"/>
          <w:szCs w:val="28"/>
        </w:rPr>
        <w:t xml:space="preserve"> sopradescritto si applica(va) alle </w:t>
      </w:r>
      <w:r w:rsidRPr="00824EA4">
        <w:rPr>
          <w:rFonts w:ascii="Garamond" w:hAnsi="Garamond" w:cs="Times New Roman"/>
          <w:color w:val="000000" w:themeColor="text1"/>
          <w:sz w:val="28"/>
          <w:szCs w:val="28"/>
        </w:rPr>
        <w:t xml:space="preserve">importazioni e alle produzioni di </w:t>
      </w:r>
      <w:r>
        <w:rPr>
          <w:rFonts w:ascii="Garamond" w:hAnsi="Garamond" w:cs="Times New Roman"/>
          <w:color w:val="000000" w:themeColor="text1"/>
          <w:sz w:val="28"/>
          <w:szCs w:val="28"/>
        </w:rPr>
        <w:t>energia</w:t>
      </w:r>
      <w:r w:rsidRPr="00824EA4">
        <w:rPr>
          <w:rFonts w:ascii="Garamond" w:hAnsi="Garamond" w:cs="Times New Roman"/>
          <w:color w:val="000000" w:themeColor="text1"/>
          <w:sz w:val="28"/>
          <w:szCs w:val="28"/>
        </w:rPr>
        <w:t xml:space="preserve"> elettrica, “al netto della cogenerazione”, con</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 xml:space="preserve">conseguente esonero dei produttori di </w:t>
      </w:r>
      <w:r>
        <w:rPr>
          <w:rFonts w:ascii="Garamond" w:hAnsi="Garamond" w:cs="Times New Roman"/>
          <w:color w:val="000000" w:themeColor="text1"/>
          <w:sz w:val="28"/>
          <w:szCs w:val="28"/>
        </w:rPr>
        <w:t xml:space="preserve">energia elettrica da cogenerazione </w:t>
      </w:r>
      <w:r w:rsidRPr="00824EA4">
        <w:rPr>
          <w:rFonts w:ascii="Garamond" w:hAnsi="Garamond" w:cs="Times New Roman"/>
          <w:color w:val="000000" w:themeColor="text1"/>
          <w:sz w:val="28"/>
          <w:szCs w:val="28"/>
        </w:rPr>
        <w:t>dall’obbligo di acquistare certificati verdi, intende</w:t>
      </w:r>
      <w:r>
        <w:rPr>
          <w:rFonts w:ascii="Garamond" w:hAnsi="Garamond" w:cs="Times New Roman"/>
          <w:color w:val="000000" w:themeColor="text1"/>
          <w:sz w:val="28"/>
          <w:szCs w:val="28"/>
        </w:rPr>
        <w:t xml:space="preserve">ndosi per “energia elettrica da </w:t>
      </w:r>
      <w:r w:rsidRPr="00824EA4">
        <w:rPr>
          <w:rFonts w:ascii="Garamond" w:hAnsi="Garamond" w:cs="Times New Roman"/>
          <w:color w:val="000000" w:themeColor="text1"/>
          <w:sz w:val="28"/>
          <w:szCs w:val="28"/>
        </w:rPr>
        <w:t>cogenerazione” quella prodotta in impianti che g</w:t>
      </w:r>
      <w:r>
        <w:rPr>
          <w:rFonts w:ascii="Garamond" w:hAnsi="Garamond" w:cs="Times New Roman"/>
          <w:color w:val="000000" w:themeColor="text1"/>
          <w:sz w:val="28"/>
          <w:szCs w:val="28"/>
        </w:rPr>
        <w:t xml:space="preserve">enerano simultaneamente energia </w:t>
      </w:r>
      <w:r w:rsidRPr="00824EA4">
        <w:rPr>
          <w:rFonts w:ascii="Garamond" w:hAnsi="Garamond" w:cs="Times New Roman"/>
          <w:color w:val="000000" w:themeColor="text1"/>
          <w:sz w:val="28"/>
          <w:szCs w:val="28"/>
        </w:rPr>
        <w:t>elettrica e calore utile</w:t>
      </w:r>
      <w:r>
        <w:rPr>
          <w:rFonts w:ascii="Garamond" w:hAnsi="Garamond" w:cs="Times New Roman"/>
          <w:color w:val="000000" w:themeColor="text1"/>
          <w:sz w:val="28"/>
          <w:szCs w:val="28"/>
        </w:rPr>
        <w:t xml:space="preserve">. L’art. 2, comma 8, </w:t>
      </w:r>
      <w:r w:rsidRPr="00824EA4">
        <w:rPr>
          <w:rFonts w:ascii="Garamond" w:hAnsi="Garamond" w:cs="Times New Roman"/>
          <w:color w:val="000000" w:themeColor="text1"/>
          <w:sz w:val="28"/>
          <w:szCs w:val="28"/>
        </w:rPr>
        <w:t>d.lgs. n. 79 cit. demandava all’AEEG il compito di stabilire i</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 xml:space="preserve">requisiti minimi necessari affinché un impianto di </w:t>
      </w:r>
      <w:r>
        <w:rPr>
          <w:rFonts w:ascii="Garamond" w:hAnsi="Garamond" w:cs="Times New Roman"/>
          <w:color w:val="000000" w:themeColor="text1"/>
          <w:sz w:val="28"/>
          <w:szCs w:val="28"/>
        </w:rPr>
        <w:t xml:space="preserve">produzione di energia elettrica </w:t>
      </w:r>
      <w:r w:rsidRPr="00824EA4">
        <w:rPr>
          <w:rFonts w:ascii="Garamond" w:hAnsi="Garamond" w:cs="Times New Roman"/>
          <w:color w:val="000000" w:themeColor="text1"/>
          <w:sz w:val="28"/>
          <w:szCs w:val="28"/>
        </w:rPr>
        <w:t>potesse essere considerato “di cogenerazione” e com</w:t>
      </w:r>
      <w:r>
        <w:rPr>
          <w:rFonts w:ascii="Garamond" w:hAnsi="Garamond" w:cs="Times New Roman"/>
          <w:color w:val="000000" w:themeColor="text1"/>
          <w:sz w:val="28"/>
          <w:szCs w:val="28"/>
        </w:rPr>
        <w:t xml:space="preserve">e tale ammesso, tra l’altro, al </w:t>
      </w:r>
      <w:r w:rsidRPr="00824EA4">
        <w:rPr>
          <w:rFonts w:ascii="Garamond" w:hAnsi="Garamond" w:cs="Times New Roman"/>
          <w:color w:val="000000" w:themeColor="text1"/>
          <w:sz w:val="28"/>
          <w:szCs w:val="28"/>
        </w:rPr>
        <w:t>beneficio dell’esenzione dall’acquisto di certific</w:t>
      </w:r>
      <w:r>
        <w:rPr>
          <w:rFonts w:ascii="Garamond" w:hAnsi="Garamond" w:cs="Times New Roman"/>
          <w:color w:val="000000" w:themeColor="text1"/>
          <w:sz w:val="28"/>
          <w:szCs w:val="28"/>
        </w:rPr>
        <w:t xml:space="preserve">ati verdi e l’Autorità ha a ciò </w:t>
      </w:r>
      <w:r w:rsidRPr="00824EA4">
        <w:rPr>
          <w:rFonts w:ascii="Garamond" w:hAnsi="Garamond" w:cs="Times New Roman"/>
          <w:color w:val="000000" w:themeColor="text1"/>
          <w:sz w:val="28"/>
          <w:szCs w:val="28"/>
        </w:rPr>
        <w:t>provveduto con la delibera n. 42/02 del 19 marzo 2002</w:t>
      </w:r>
      <w:r>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Peraltro </w:t>
      </w:r>
      <w:r w:rsidRPr="00824EA4">
        <w:rPr>
          <w:rFonts w:ascii="Garamond" w:hAnsi="Garamond" w:cs="Times New Roman"/>
          <w:color w:val="000000" w:themeColor="text1"/>
          <w:sz w:val="28"/>
          <w:szCs w:val="28"/>
        </w:rPr>
        <w:t xml:space="preserve">la sopravvenuta </w:t>
      </w:r>
      <w:r>
        <w:rPr>
          <w:rFonts w:ascii="Garamond" w:hAnsi="Garamond" w:cs="Times New Roman"/>
          <w:color w:val="000000" w:themeColor="text1"/>
          <w:sz w:val="28"/>
          <w:szCs w:val="28"/>
        </w:rPr>
        <w:t>direttiva</w:t>
      </w:r>
      <w:r w:rsidRPr="00824EA4">
        <w:rPr>
          <w:rFonts w:ascii="Garamond" w:hAnsi="Garamond" w:cs="Times New Roman"/>
          <w:color w:val="000000" w:themeColor="text1"/>
          <w:sz w:val="28"/>
          <w:szCs w:val="28"/>
        </w:rPr>
        <w:t xml:space="preserve"> 2004/8/CE (“</w:t>
      </w:r>
      <w:r>
        <w:rPr>
          <w:rFonts w:ascii="Garamond" w:hAnsi="Garamond" w:cs="Times New Roman"/>
          <w:i/>
          <w:color w:val="000000" w:themeColor="text1"/>
          <w:sz w:val="28"/>
          <w:szCs w:val="28"/>
        </w:rPr>
        <w:t>Direttiva</w:t>
      </w:r>
      <w:r w:rsidRPr="0030147F">
        <w:rPr>
          <w:rFonts w:ascii="Garamond" w:hAnsi="Garamond" w:cs="Times New Roman"/>
          <w:i/>
          <w:color w:val="000000" w:themeColor="text1"/>
          <w:sz w:val="28"/>
          <w:szCs w:val="28"/>
        </w:rPr>
        <w:t xml:space="preserve"> del Parlamento europeo e del Consiglio sulla promozione della cogenerazione basata su una domanda di calore utile nel mercato interno dell'</w:t>
      </w:r>
      <w:r>
        <w:rPr>
          <w:rFonts w:ascii="Garamond" w:hAnsi="Garamond" w:cs="Times New Roman"/>
          <w:i/>
          <w:color w:val="000000" w:themeColor="text1"/>
          <w:sz w:val="28"/>
          <w:szCs w:val="28"/>
        </w:rPr>
        <w:t>energia</w:t>
      </w:r>
      <w:r w:rsidRPr="0030147F">
        <w:rPr>
          <w:rFonts w:ascii="Garamond" w:hAnsi="Garamond" w:cs="Times New Roman"/>
          <w:i/>
          <w:color w:val="000000" w:themeColor="text1"/>
          <w:sz w:val="28"/>
          <w:szCs w:val="28"/>
        </w:rPr>
        <w:t xml:space="preserve"> e che modifica la </w:t>
      </w:r>
      <w:r>
        <w:rPr>
          <w:rFonts w:ascii="Garamond" w:hAnsi="Garamond" w:cs="Times New Roman"/>
          <w:i/>
          <w:color w:val="000000" w:themeColor="text1"/>
          <w:sz w:val="28"/>
          <w:szCs w:val="28"/>
        </w:rPr>
        <w:t>direttiva</w:t>
      </w:r>
      <w:r w:rsidRPr="0030147F">
        <w:rPr>
          <w:rFonts w:ascii="Garamond" w:hAnsi="Garamond" w:cs="Times New Roman"/>
          <w:i/>
          <w:color w:val="000000" w:themeColor="text1"/>
          <w:sz w:val="28"/>
          <w:szCs w:val="28"/>
        </w:rPr>
        <w:t xml:space="preserve"> 92/42/CEE</w:t>
      </w:r>
      <w:r w:rsidRPr="00824EA4">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ha </w:t>
      </w:r>
      <w:r w:rsidRPr="00824EA4">
        <w:rPr>
          <w:rFonts w:ascii="Garamond" w:hAnsi="Garamond" w:cs="Times New Roman"/>
          <w:color w:val="000000" w:themeColor="text1"/>
          <w:sz w:val="28"/>
          <w:szCs w:val="28"/>
        </w:rPr>
        <w:t>introd</w:t>
      </w:r>
      <w:r>
        <w:rPr>
          <w:rFonts w:ascii="Garamond" w:hAnsi="Garamond" w:cs="Times New Roman"/>
          <w:color w:val="000000" w:themeColor="text1"/>
          <w:sz w:val="28"/>
          <w:szCs w:val="28"/>
        </w:rPr>
        <w:t>otto</w:t>
      </w:r>
      <w:r w:rsidRPr="00824EA4">
        <w:rPr>
          <w:rFonts w:ascii="Garamond" w:hAnsi="Garamond" w:cs="Times New Roman"/>
          <w:color w:val="000000" w:themeColor="text1"/>
          <w:sz w:val="28"/>
          <w:szCs w:val="28"/>
        </w:rPr>
        <w:t xml:space="preserve"> il concetto di</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 xml:space="preserve">&lt;cogenerazione ad alto rendimento&gt;, che “è definita </w:t>
      </w:r>
      <w:r>
        <w:rPr>
          <w:rFonts w:ascii="Garamond" w:hAnsi="Garamond" w:cs="Times New Roman"/>
          <w:color w:val="000000" w:themeColor="text1"/>
          <w:sz w:val="28"/>
          <w:szCs w:val="28"/>
        </w:rPr>
        <w:t xml:space="preserve">in base al risparmio energetico </w:t>
      </w:r>
      <w:r w:rsidRPr="00824EA4">
        <w:rPr>
          <w:rFonts w:ascii="Garamond" w:hAnsi="Garamond" w:cs="Times New Roman"/>
          <w:color w:val="000000" w:themeColor="text1"/>
          <w:sz w:val="28"/>
          <w:szCs w:val="28"/>
        </w:rPr>
        <w:t>offerto dalla produzione combinata rispetto alla produzione separata di calore e di elettricità.</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Il risparmio energetico superiore al 10% rientra nella &lt;cog</w:t>
      </w:r>
      <w:r>
        <w:rPr>
          <w:rFonts w:ascii="Garamond" w:hAnsi="Garamond" w:cs="Times New Roman"/>
          <w:color w:val="000000" w:themeColor="text1"/>
          <w:sz w:val="28"/>
          <w:szCs w:val="28"/>
        </w:rPr>
        <w:t xml:space="preserve">enerazione ad alto rendimento&gt;” </w:t>
      </w:r>
      <w:r w:rsidRPr="00824EA4">
        <w:rPr>
          <w:rFonts w:ascii="Garamond" w:hAnsi="Garamond" w:cs="Times New Roman"/>
          <w:color w:val="000000" w:themeColor="text1"/>
          <w:sz w:val="28"/>
          <w:szCs w:val="28"/>
        </w:rPr>
        <w:t xml:space="preserve">(così il considerando n. 11 della </w:t>
      </w:r>
      <w:r>
        <w:rPr>
          <w:rFonts w:ascii="Garamond" w:hAnsi="Garamond" w:cs="Times New Roman"/>
          <w:color w:val="000000" w:themeColor="text1"/>
          <w:sz w:val="28"/>
          <w:szCs w:val="28"/>
        </w:rPr>
        <w:t>direttiva</w:t>
      </w:r>
      <w:r w:rsidRPr="00824EA4">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la qualificazione in termini di </w:t>
      </w:r>
      <w:r w:rsidRPr="00824EA4">
        <w:rPr>
          <w:rFonts w:ascii="Garamond" w:hAnsi="Garamond" w:cs="Times New Roman"/>
          <w:color w:val="000000" w:themeColor="text1"/>
          <w:sz w:val="28"/>
          <w:szCs w:val="28"/>
        </w:rPr>
        <w:lastRenderedPageBreak/>
        <w:t>cogenerazione ad alto rendimento, giusto il disposto dell’art. 3, comma 1, lett. i) della</w:t>
      </w:r>
      <w:r>
        <w:rPr>
          <w:rFonts w:ascii="Garamond" w:hAnsi="Garamond" w:cs="Times New Roman"/>
          <w:color w:val="000000" w:themeColor="text1"/>
          <w:sz w:val="28"/>
          <w:szCs w:val="28"/>
        </w:rPr>
        <w:t xml:space="preserve"> direttiva</w:t>
      </w:r>
      <w:r w:rsidRPr="00824EA4">
        <w:rPr>
          <w:rFonts w:ascii="Garamond" w:hAnsi="Garamond" w:cs="Times New Roman"/>
          <w:color w:val="000000" w:themeColor="text1"/>
          <w:sz w:val="28"/>
          <w:szCs w:val="28"/>
        </w:rPr>
        <w:t>, presuppone la conformità ai criteri indicati da</w:t>
      </w:r>
      <w:r>
        <w:rPr>
          <w:rFonts w:ascii="Garamond" w:hAnsi="Garamond" w:cs="Times New Roman"/>
          <w:color w:val="000000" w:themeColor="text1"/>
          <w:sz w:val="28"/>
          <w:szCs w:val="28"/>
        </w:rPr>
        <w:t xml:space="preserve">ll’Allegato III alla direttiva, </w:t>
      </w:r>
      <w:r w:rsidRPr="00824EA4">
        <w:rPr>
          <w:rFonts w:ascii="Garamond" w:hAnsi="Garamond" w:cs="Times New Roman"/>
          <w:color w:val="000000" w:themeColor="text1"/>
          <w:sz w:val="28"/>
          <w:szCs w:val="28"/>
        </w:rPr>
        <w:t>portante il “Metodo di determinazione del rendimento del processo di cogenerazione”;</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 xml:space="preserve">l’art. 12, comma 3, della stessa </w:t>
      </w:r>
      <w:r>
        <w:rPr>
          <w:rFonts w:ascii="Garamond" w:hAnsi="Garamond" w:cs="Times New Roman"/>
          <w:color w:val="000000" w:themeColor="text1"/>
          <w:sz w:val="28"/>
          <w:szCs w:val="28"/>
        </w:rPr>
        <w:t>direttiva</w:t>
      </w:r>
      <w:r w:rsidRPr="00824EA4">
        <w:rPr>
          <w:rFonts w:ascii="Garamond" w:hAnsi="Garamond" w:cs="Times New Roman"/>
          <w:color w:val="000000" w:themeColor="text1"/>
          <w:sz w:val="28"/>
          <w:szCs w:val="28"/>
        </w:rPr>
        <w:t xml:space="preserve"> prevede po</w:t>
      </w:r>
      <w:r>
        <w:rPr>
          <w:rFonts w:ascii="Garamond" w:hAnsi="Garamond" w:cs="Times New Roman"/>
          <w:color w:val="000000" w:themeColor="text1"/>
          <w:sz w:val="28"/>
          <w:szCs w:val="28"/>
        </w:rPr>
        <w:t xml:space="preserve">i un regime transitorio, poiché </w:t>
      </w:r>
      <w:r w:rsidRPr="00824EA4">
        <w:rPr>
          <w:rFonts w:ascii="Garamond" w:hAnsi="Garamond" w:cs="Times New Roman"/>
          <w:color w:val="000000" w:themeColor="text1"/>
          <w:sz w:val="28"/>
          <w:szCs w:val="28"/>
        </w:rPr>
        <w:t>stabilisce che “fino alla fine del 2010 gli Stati memb</w:t>
      </w:r>
      <w:r>
        <w:rPr>
          <w:rFonts w:ascii="Garamond" w:hAnsi="Garamond" w:cs="Times New Roman"/>
          <w:color w:val="000000" w:themeColor="text1"/>
          <w:sz w:val="28"/>
          <w:szCs w:val="28"/>
        </w:rPr>
        <w:t xml:space="preserve">ri possono, ricorrendo a metodi </w:t>
      </w:r>
      <w:r w:rsidRPr="00824EA4">
        <w:rPr>
          <w:rFonts w:ascii="Garamond" w:hAnsi="Garamond" w:cs="Times New Roman"/>
          <w:color w:val="000000" w:themeColor="text1"/>
          <w:sz w:val="28"/>
          <w:szCs w:val="28"/>
        </w:rPr>
        <w:t>alternativi, definire ad alto rendimento una cogenerazione senza verificare che la produzione</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mediante cogenerazione sia conforme ai criteri di cui all'allegato III, lettera a), se è stato</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dimostrato a livello nazionale che la produzione mediante cogenerazione identificata con tali</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metodi alternativi di calcolo soddisfa in media i criteri di cui all'allegato III, lettera a)”;</w:t>
      </w:r>
      <w:r w:rsidRPr="00824EA4">
        <w:t xml:space="preserve"> </w:t>
      </w:r>
      <w:r w:rsidRPr="00824EA4">
        <w:rPr>
          <w:rFonts w:ascii="Garamond" w:hAnsi="Garamond" w:cs="Times New Roman"/>
          <w:color w:val="000000" w:themeColor="text1"/>
          <w:sz w:val="28"/>
          <w:szCs w:val="28"/>
        </w:rPr>
        <w:t>il legislatore nazionale ha recepito la rinnovata disciplina europea con il d.lgs.</w:t>
      </w:r>
      <w:r>
        <w:rPr>
          <w:rFonts w:ascii="Garamond" w:hAnsi="Garamond" w:cs="Times New Roman"/>
          <w:color w:val="000000" w:themeColor="text1"/>
          <w:sz w:val="28"/>
          <w:szCs w:val="28"/>
        </w:rPr>
        <w:t xml:space="preserve"> 8 </w:t>
      </w:r>
      <w:r w:rsidRPr="00824EA4">
        <w:rPr>
          <w:rFonts w:ascii="Garamond" w:hAnsi="Garamond" w:cs="Times New Roman"/>
          <w:color w:val="000000" w:themeColor="text1"/>
          <w:sz w:val="28"/>
          <w:szCs w:val="28"/>
        </w:rPr>
        <w:t>febbraio 2007, n. 20, che, all’art. 6, stabilisce l’applicaz</w:t>
      </w:r>
      <w:r>
        <w:rPr>
          <w:rFonts w:ascii="Garamond" w:hAnsi="Garamond" w:cs="Times New Roman"/>
          <w:color w:val="000000" w:themeColor="text1"/>
          <w:sz w:val="28"/>
          <w:szCs w:val="28"/>
        </w:rPr>
        <w:t xml:space="preserve">ione delle previsioni di cui al </w:t>
      </w:r>
      <w:r w:rsidRPr="00824EA4">
        <w:rPr>
          <w:rFonts w:ascii="Garamond" w:hAnsi="Garamond" w:cs="Times New Roman"/>
          <w:color w:val="000000" w:themeColor="text1"/>
          <w:sz w:val="28"/>
          <w:szCs w:val="28"/>
        </w:rPr>
        <w:t xml:space="preserve">d.lgs. n. 79 del 1999 alla cogenerazione ad alto </w:t>
      </w:r>
      <w:r>
        <w:rPr>
          <w:rFonts w:ascii="Garamond" w:hAnsi="Garamond" w:cs="Times New Roman"/>
          <w:color w:val="000000" w:themeColor="text1"/>
          <w:sz w:val="28"/>
          <w:szCs w:val="28"/>
        </w:rPr>
        <w:t xml:space="preserve">rendimento, mentre, all’art. 3, </w:t>
      </w:r>
      <w:r w:rsidRPr="00824EA4">
        <w:rPr>
          <w:rFonts w:ascii="Garamond" w:hAnsi="Garamond" w:cs="Times New Roman"/>
          <w:color w:val="000000" w:themeColor="text1"/>
          <w:sz w:val="28"/>
          <w:szCs w:val="28"/>
        </w:rPr>
        <w:t>recepisce la previsione di periodo transitorio, stabilendo che “fino al 31 dicembre 2010,</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fatto salvo quanto disposto dal comma 2, è considerata cogenerazione ad alto rendimento la</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cogenerazione rispondente alla definizione di cui all'articolo 2, comma 8, del decreto</w:t>
      </w:r>
      <w:r>
        <w:rPr>
          <w:rFonts w:ascii="Garamond" w:hAnsi="Garamond" w:cs="Times New Roman"/>
          <w:color w:val="000000" w:themeColor="text1"/>
          <w:sz w:val="28"/>
          <w:szCs w:val="28"/>
        </w:rPr>
        <w:t xml:space="preserve"> </w:t>
      </w:r>
      <w:r w:rsidRPr="00824EA4">
        <w:rPr>
          <w:rFonts w:ascii="Garamond" w:hAnsi="Garamond" w:cs="Times New Roman"/>
          <w:color w:val="000000" w:themeColor="text1"/>
          <w:sz w:val="28"/>
          <w:szCs w:val="28"/>
        </w:rPr>
        <w:t>legislativo 16 marzo 1999, n. 79”</w:t>
      </w:r>
      <w:r>
        <w:rPr>
          <w:rFonts w:ascii="Garamond" w:hAnsi="Garamond" w:cs="Times New Roman"/>
          <w:color w:val="000000" w:themeColor="text1"/>
          <w:sz w:val="28"/>
          <w:szCs w:val="28"/>
        </w:rPr>
        <w:t xml:space="preserve">. </w:t>
      </w:r>
    </w:p>
    <w:p w:rsidR="007B4920" w:rsidRDefault="007B4920" w:rsidP="007B4920">
      <w:pPr>
        <w:spacing w:line="240" w:lineRule="auto"/>
        <w:contextualSpacing/>
        <w:jc w:val="both"/>
        <w:rPr>
          <w:rFonts w:ascii="Garamond" w:hAnsi="Garamond" w:cs="Times New Roman"/>
          <w:color w:val="000000" w:themeColor="text1"/>
          <w:sz w:val="28"/>
          <w:szCs w:val="28"/>
        </w:rPr>
      </w:pPr>
    </w:p>
    <w:p w:rsidR="007B4920" w:rsidRPr="000B02C3" w:rsidRDefault="007B4920" w:rsidP="007B4920">
      <w:pPr>
        <w:spacing w:line="240" w:lineRule="auto"/>
        <w:contextualSpacing/>
        <w:jc w:val="both"/>
        <w:rPr>
          <w:rFonts w:ascii="Garamond" w:hAnsi="Garamond" w:cs="Times New Roman"/>
          <w:b/>
          <w:color w:val="000000" w:themeColor="text1"/>
          <w:sz w:val="28"/>
          <w:szCs w:val="28"/>
        </w:rPr>
      </w:pPr>
      <w:r w:rsidRPr="00EA32C5">
        <w:rPr>
          <w:rFonts w:ascii="Garamond" w:hAnsi="Garamond" w:cs="Times New Roman"/>
          <w:b/>
          <w:color w:val="000000" w:themeColor="text1"/>
          <w:sz w:val="28"/>
          <w:szCs w:val="28"/>
        </w:rPr>
        <w:t>10.1. La posizione della giurisprudenza.</w:t>
      </w:r>
    </w:p>
    <w:p w:rsidR="007B4920" w:rsidRDefault="007B4920" w:rsidP="007B4920">
      <w:pPr>
        <w:spacing w:line="240" w:lineRule="auto"/>
        <w:ind w:firstLine="708"/>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Conseguentemente si è posta in giurisprudenza la problematica dell’applicabilità della disciplina transitoria o della ultrattività della disciplina di cui all’art. 11 d.lgs. n. 79 del 1999 che, come innanzi precisato, prevedeva l’esonero dell’acquisto dei certificati verdi, agli impianti di cogenerazione </w:t>
      </w:r>
      <w:r w:rsidRPr="008B1F34">
        <w:rPr>
          <w:rFonts w:ascii="Garamond" w:hAnsi="Garamond" w:cs="Times New Roman"/>
          <w:i/>
          <w:color w:val="000000" w:themeColor="text1"/>
          <w:sz w:val="28"/>
          <w:szCs w:val="28"/>
        </w:rPr>
        <w:t>tout court</w:t>
      </w:r>
      <w:r>
        <w:rPr>
          <w:rFonts w:ascii="Garamond" w:hAnsi="Garamond" w:cs="Times New Roman"/>
          <w:color w:val="000000" w:themeColor="text1"/>
          <w:sz w:val="28"/>
          <w:szCs w:val="28"/>
        </w:rPr>
        <w:t xml:space="preserve">, per il periodo successivo al 31 dicembre 2010, posto che l’art. 25 </w:t>
      </w:r>
      <w:r w:rsidRPr="008B1F34">
        <w:rPr>
          <w:rFonts w:ascii="Garamond" w:hAnsi="Garamond" w:cs="Times New Roman"/>
          <w:color w:val="000000" w:themeColor="text1"/>
          <w:sz w:val="28"/>
          <w:szCs w:val="28"/>
        </w:rPr>
        <w:t>d.lgs.</w:t>
      </w:r>
      <w:r>
        <w:rPr>
          <w:rFonts w:ascii="Garamond" w:hAnsi="Garamond" w:cs="Times New Roman"/>
          <w:color w:val="000000" w:themeColor="text1"/>
          <w:sz w:val="28"/>
          <w:szCs w:val="28"/>
        </w:rPr>
        <w:t xml:space="preserve"> n. 28 del 2011 </w:t>
      </w:r>
      <w:r w:rsidRPr="008B1F34">
        <w:rPr>
          <w:rFonts w:ascii="Garamond" w:hAnsi="Garamond" w:cs="Times New Roman"/>
          <w:color w:val="000000" w:themeColor="text1"/>
          <w:sz w:val="28"/>
          <w:szCs w:val="28"/>
        </w:rPr>
        <w:t>abroga dal 1° gennaio 2016 i commi 1, 2, 3, 5 e 6</w:t>
      </w:r>
      <w:r>
        <w:rPr>
          <w:rFonts w:ascii="Garamond" w:hAnsi="Garamond" w:cs="Times New Roman"/>
          <w:color w:val="000000" w:themeColor="text1"/>
          <w:sz w:val="28"/>
          <w:szCs w:val="28"/>
        </w:rPr>
        <w:t xml:space="preserve"> dell’art. 11 d.l.gs. n. 79 del 1999.</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Il Consiglio di Stato (sez. IV, ordinanza n. 708 del 2019 relativa all’impugnativa da parte di una società che gestiva diversi impianti di cogenerazione del provvedimento del G.s.e. che aveva escluso l’esenzione dall’obbligo di acquisto dei certificati verdi per il periodo successivo al 31 dicembre 2010), ha disposto rinvio pregiudiziale su tale questione alla stregua dei seguenti rilievi: </w:t>
      </w:r>
    </w:p>
    <w:p w:rsidR="007B4920" w:rsidRDefault="007B4920" w:rsidP="007B4920">
      <w:pPr>
        <w:pStyle w:val="Paragrafoelenco"/>
        <w:numPr>
          <w:ilvl w:val="0"/>
          <w:numId w:val="24"/>
        </w:numPr>
        <w:spacing w:line="240" w:lineRule="auto"/>
        <w:jc w:val="both"/>
        <w:rPr>
          <w:rFonts w:ascii="Garamond" w:hAnsi="Garamond" w:cs="Times New Roman"/>
          <w:color w:val="000000" w:themeColor="text1"/>
          <w:sz w:val="28"/>
          <w:szCs w:val="28"/>
        </w:rPr>
      </w:pPr>
      <w:r w:rsidRPr="000B02C3">
        <w:rPr>
          <w:rFonts w:ascii="Garamond" w:hAnsi="Garamond" w:cs="Times New Roman"/>
          <w:color w:val="000000" w:themeColor="text1"/>
          <w:sz w:val="28"/>
          <w:szCs w:val="28"/>
        </w:rPr>
        <w:t xml:space="preserve">manca totalmente una disposizione secondo cui le norme che riconoscono benefici ai produttori di </w:t>
      </w:r>
      <w:r>
        <w:rPr>
          <w:rFonts w:ascii="Garamond" w:hAnsi="Garamond" w:cs="Times New Roman"/>
          <w:color w:val="000000" w:themeColor="text1"/>
          <w:sz w:val="28"/>
          <w:szCs w:val="28"/>
        </w:rPr>
        <w:t>energia</w:t>
      </w:r>
      <w:r w:rsidRPr="000B02C3">
        <w:rPr>
          <w:rFonts w:ascii="Garamond" w:hAnsi="Garamond" w:cs="Times New Roman"/>
          <w:color w:val="000000" w:themeColor="text1"/>
          <w:sz w:val="28"/>
          <w:szCs w:val="28"/>
        </w:rPr>
        <w:t xml:space="preserve"> in cogenerazione ad alto rendimento escluderebbero l’applicazione degli stessi benefici alle altre forme di cogenerazione (disposizione che, nel nostro ordinamento, è poi sopravvenuta solo con il d. lgs. n. 102 del 2014);</w:t>
      </w:r>
    </w:p>
    <w:p w:rsidR="007B4920" w:rsidRDefault="007B4920" w:rsidP="007B4920">
      <w:pPr>
        <w:pStyle w:val="Paragrafoelenco"/>
        <w:numPr>
          <w:ilvl w:val="0"/>
          <w:numId w:val="24"/>
        </w:numPr>
        <w:spacing w:line="240" w:lineRule="auto"/>
        <w:jc w:val="both"/>
        <w:rPr>
          <w:rFonts w:ascii="Garamond" w:hAnsi="Garamond" w:cs="Times New Roman"/>
          <w:color w:val="000000" w:themeColor="text1"/>
          <w:sz w:val="28"/>
          <w:szCs w:val="28"/>
        </w:rPr>
      </w:pPr>
      <w:r w:rsidRPr="000B02C3">
        <w:rPr>
          <w:rFonts w:ascii="Garamond" w:hAnsi="Garamond" w:cs="Times New Roman"/>
          <w:color w:val="000000" w:themeColor="text1"/>
          <w:sz w:val="28"/>
          <w:szCs w:val="28"/>
        </w:rPr>
        <w:t xml:space="preserve">l’efficacia dell’art. 11, comma 2, d.lgs. n. 79 del 1999 (ossia, dell’esonero dall’acquisto dei certificati verdi) non risulta “limitata” al 31 dicembre 2010, posto che l’abrogazione della norma è stata disposta con riferimento a data </w:t>
      </w:r>
      <w:r>
        <w:rPr>
          <w:rFonts w:ascii="Garamond" w:hAnsi="Garamond" w:cs="Times New Roman"/>
          <w:color w:val="000000" w:themeColor="text1"/>
          <w:sz w:val="28"/>
          <w:szCs w:val="28"/>
        </w:rPr>
        <w:t>successiva</w:t>
      </w:r>
      <w:r w:rsidRPr="000B02C3">
        <w:rPr>
          <w:rFonts w:ascii="Garamond" w:hAnsi="Garamond" w:cs="Times New Roman"/>
          <w:color w:val="000000" w:themeColor="text1"/>
          <w:sz w:val="28"/>
          <w:szCs w:val="28"/>
        </w:rPr>
        <w:t xml:space="preserve"> (dapprima 1° gennaio 2016, poi 19 luglio 2014);</w:t>
      </w:r>
    </w:p>
    <w:p w:rsidR="007B4920" w:rsidRDefault="007B4920" w:rsidP="007B4920">
      <w:pPr>
        <w:pStyle w:val="Paragrafoelenco"/>
        <w:numPr>
          <w:ilvl w:val="0"/>
          <w:numId w:val="24"/>
        </w:numPr>
        <w:spacing w:line="240" w:lineRule="auto"/>
        <w:jc w:val="both"/>
        <w:rPr>
          <w:rFonts w:ascii="Garamond" w:hAnsi="Garamond" w:cs="Times New Roman"/>
          <w:color w:val="000000" w:themeColor="text1"/>
          <w:sz w:val="28"/>
          <w:szCs w:val="28"/>
        </w:rPr>
      </w:pPr>
      <w:r w:rsidRPr="000B02C3">
        <w:rPr>
          <w:rFonts w:ascii="Garamond" w:hAnsi="Garamond" w:cs="Times New Roman"/>
          <w:color w:val="000000" w:themeColor="text1"/>
          <w:sz w:val="28"/>
          <w:szCs w:val="28"/>
        </w:rPr>
        <w:t xml:space="preserve">l’art. 3, d.lgs. n. 20 del 2007 non riguarda la cogenerazione ordinaria, ma </w:t>
      </w:r>
      <w:r>
        <w:rPr>
          <w:rFonts w:ascii="Garamond" w:hAnsi="Garamond" w:cs="Times New Roman"/>
          <w:color w:val="000000" w:themeColor="text1"/>
          <w:sz w:val="28"/>
          <w:szCs w:val="28"/>
        </w:rPr>
        <w:t>esclusivamente</w:t>
      </w:r>
      <w:r w:rsidRPr="000B02C3">
        <w:rPr>
          <w:rFonts w:ascii="Garamond" w:hAnsi="Garamond" w:cs="Times New Roman"/>
          <w:color w:val="000000" w:themeColor="text1"/>
          <w:sz w:val="28"/>
          <w:szCs w:val="28"/>
        </w:rPr>
        <w:t xml:space="preserve"> la CAR (cioè la cogenerazione ad alto rendimento) e prevede che, transitoriamente e fino al 31 dicembre 2010, siano considerate CAR le attività che rispondono ai requisiti di cogenerazione ordinaria, in attesa dell’entrata in vigore del decreto attuativo, con cui si definiscono le modalità operative per il riconoscimento dei requisiti propri della CAR;</w:t>
      </w:r>
    </w:p>
    <w:p w:rsidR="007B4920" w:rsidRPr="000B02C3" w:rsidRDefault="007B4920" w:rsidP="007B4920">
      <w:pPr>
        <w:pStyle w:val="Paragrafoelenco"/>
        <w:numPr>
          <w:ilvl w:val="0"/>
          <w:numId w:val="24"/>
        </w:numPr>
        <w:spacing w:line="240" w:lineRule="auto"/>
        <w:jc w:val="both"/>
        <w:rPr>
          <w:rFonts w:ascii="Garamond" w:hAnsi="Garamond" w:cs="Times New Roman"/>
          <w:color w:val="000000" w:themeColor="text1"/>
          <w:sz w:val="28"/>
          <w:szCs w:val="28"/>
        </w:rPr>
      </w:pPr>
      <w:r w:rsidRPr="000B02C3">
        <w:rPr>
          <w:rFonts w:ascii="Garamond" w:hAnsi="Garamond" w:cs="Times New Roman"/>
          <w:color w:val="000000" w:themeColor="text1"/>
          <w:sz w:val="28"/>
          <w:szCs w:val="28"/>
        </w:rPr>
        <w:lastRenderedPageBreak/>
        <w:t xml:space="preserve">la Corte di giustizia UE, con sentenza 26 settembre 2013, C-195/12, ha stabilito che l’art. 7 della </w:t>
      </w:r>
      <w:r>
        <w:rPr>
          <w:rFonts w:ascii="Garamond" w:hAnsi="Garamond" w:cs="Times New Roman"/>
          <w:color w:val="000000" w:themeColor="text1"/>
          <w:sz w:val="28"/>
          <w:szCs w:val="28"/>
        </w:rPr>
        <w:t>direttiva</w:t>
      </w:r>
      <w:r w:rsidRPr="000B02C3">
        <w:rPr>
          <w:rFonts w:ascii="Garamond" w:hAnsi="Garamond" w:cs="Times New Roman"/>
          <w:color w:val="000000" w:themeColor="text1"/>
          <w:sz w:val="28"/>
          <w:szCs w:val="28"/>
        </w:rPr>
        <w:t xml:space="preserve"> n. 2004/8/CE (relativo ai regimi di sostegno che vengono attuati negli Stati membri) vada applicato a tutti gli impianti di cogenerazione e non soltanto agli impianti di cogenerazione ad alto rendimento; la posizione europea, applicando i regimi di sostegno alla cogenerazione in generale, e non soltanto alla CAR, è dunque evidentemente nel senso di affiancare le due forme di cogenerazione e non di sostituire la seconda con la prima.</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Nell’esitare la richiesta di rinvio pregiudiziale (Corte giustizia UE, sez. VII, 17 settembre 2020, C-92/19), è stato precisato che </w:t>
      </w:r>
      <w:r w:rsidRPr="000B02C3">
        <w:rPr>
          <w:rFonts w:ascii="Garamond" w:hAnsi="Garamond" w:cs="Times New Roman"/>
          <w:i/>
          <w:color w:val="000000" w:themeColor="text1"/>
          <w:sz w:val="28"/>
          <w:szCs w:val="28"/>
        </w:rPr>
        <w:t xml:space="preserve">“L’articolo 12, paragrafo n. 3, della </w:t>
      </w:r>
      <w:r>
        <w:rPr>
          <w:rFonts w:ascii="Garamond" w:hAnsi="Garamond" w:cs="Times New Roman"/>
          <w:i/>
          <w:color w:val="000000" w:themeColor="text1"/>
          <w:sz w:val="28"/>
          <w:szCs w:val="28"/>
        </w:rPr>
        <w:t>direttiva</w:t>
      </w:r>
      <w:r w:rsidRPr="000B02C3">
        <w:rPr>
          <w:rFonts w:ascii="Garamond" w:hAnsi="Garamond" w:cs="Times New Roman"/>
          <w:i/>
          <w:color w:val="000000" w:themeColor="text1"/>
          <w:sz w:val="28"/>
          <w:szCs w:val="28"/>
        </w:rPr>
        <w:t xml:space="preserve"> n. 2004/8/CE del Parlamento europeo e del Consiglio, dell’11 febbraio 2004, sulla promozione della cogenerazione basata su una domanda di calore utile nel mercato interno dell’</w:t>
      </w:r>
      <w:r>
        <w:rPr>
          <w:rFonts w:ascii="Garamond" w:hAnsi="Garamond" w:cs="Times New Roman"/>
          <w:i/>
          <w:color w:val="000000" w:themeColor="text1"/>
          <w:sz w:val="28"/>
          <w:szCs w:val="28"/>
        </w:rPr>
        <w:t>energia</w:t>
      </w:r>
      <w:r w:rsidRPr="000B02C3">
        <w:rPr>
          <w:rFonts w:ascii="Garamond" w:hAnsi="Garamond" w:cs="Times New Roman"/>
          <w:i/>
          <w:color w:val="000000" w:themeColor="text1"/>
          <w:sz w:val="28"/>
          <w:szCs w:val="28"/>
        </w:rPr>
        <w:t xml:space="preserve"> e che modifica la </w:t>
      </w:r>
      <w:r>
        <w:rPr>
          <w:rFonts w:ascii="Garamond" w:hAnsi="Garamond" w:cs="Times New Roman"/>
          <w:i/>
          <w:color w:val="000000" w:themeColor="text1"/>
          <w:sz w:val="28"/>
          <w:szCs w:val="28"/>
        </w:rPr>
        <w:t>direttiva</w:t>
      </w:r>
      <w:r w:rsidRPr="000B02C3">
        <w:rPr>
          <w:rFonts w:ascii="Garamond" w:hAnsi="Garamond" w:cs="Times New Roman"/>
          <w:i/>
          <w:color w:val="000000" w:themeColor="text1"/>
          <w:sz w:val="28"/>
          <w:szCs w:val="28"/>
        </w:rPr>
        <w:t xml:space="preserve"> n. 1992/42/CEE, deve essere interpretato nel senso che esso non osta ad una </w:t>
      </w:r>
      <w:r>
        <w:rPr>
          <w:rFonts w:ascii="Garamond" w:hAnsi="Garamond" w:cs="Times New Roman"/>
          <w:i/>
          <w:color w:val="000000" w:themeColor="text1"/>
          <w:sz w:val="28"/>
          <w:szCs w:val="28"/>
        </w:rPr>
        <w:t>normativa</w:t>
      </w:r>
      <w:r w:rsidRPr="000B02C3">
        <w:rPr>
          <w:rFonts w:ascii="Garamond" w:hAnsi="Garamond" w:cs="Times New Roman"/>
          <w:i/>
          <w:color w:val="000000" w:themeColor="text1"/>
          <w:sz w:val="28"/>
          <w:szCs w:val="28"/>
        </w:rPr>
        <w:t xml:space="preserve"> nazionale, la quale permetta ad impianti di cogenerazione che non presentano la caratteristica di essere impianti ad alto rendimento, ai sensi di tale </w:t>
      </w:r>
      <w:r>
        <w:rPr>
          <w:rFonts w:ascii="Garamond" w:hAnsi="Garamond" w:cs="Times New Roman"/>
          <w:i/>
          <w:color w:val="000000" w:themeColor="text1"/>
          <w:sz w:val="28"/>
          <w:szCs w:val="28"/>
        </w:rPr>
        <w:t>direttiva</w:t>
      </w:r>
      <w:r w:rsidRPr="000B02C3">
        <w:rPr>
          <w:rFonts w:ascii="Garamond" w:hAnsi="Garamond" w:cs="Times New Roman"/>
          <w:i/>
          <w:color w:val="000000" w:themeColor="text1"/>
          <w:sz w:val="28"/>
          <w:szCs w:val="28"/>
        </w:rPr>
        <w:t>, di continuare a beneficiare, anche dopo il 31 dicembre 2010, di un regime di sostegno alla cogenerazione, in virtù del quale detti impianti siano così, segnatamente, esentati dall’obbligo di acquistare certificati verdi</w:t>
      </w:r>
      <w:r>
        <w:rPr>
          <w:rFonts w:ascii="Garamond" w:hAnsi="Garamond" w:cs="Times New Roman"/>
          <w:color w:val="000000" w:themeColor="text1"/>
          <w:sz w:val="28"/>
          <w:szCs w:val="28"/>
        </w:rPr>
        <w:t xml:space="preserve">”.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3B142B">
        <w:rPr>
          <w:rFonts w:ascii="Garamond" w:hAnsi="Garamond" w:cs="Times New Roman"/>
          <w:color w:val="000000" w:themeColor="text1"/>
          <w:sz w:val="28"/>
          <w:szCs w:val="28"/>
        </w:rPr>
        <w:t>a Corte</w:t>
      </w:r>
      <w:r>
        <w:rPr>
          <w:rFonts w:ascii="Garamond" w:hAnsi="Garamond" w:cs="Times New Roman"/>
          <w:color w:val="000000" w:themeColor="text1"/>
          <w:sz w:val="28"/>
          <w:szCs w:val="28"/>
        </w:rPr>
        <w:t>,</w:t>
      </w:r>
      <w:r w:rsidRPr="003B142B">
        <w:rPr>
          <w:rFonts w:ascii="Garamond" w:hAnsi="Garamond" w:cs="Times New Roman"/>
          <w:color w:val="000000" w:themeColor="text1"/>
          <w:sz w:val="28"/>
          <w:szCs w:val="28"/>
        </w:rPr>
        <w:t xml:space="preserve"> nel richiamare la propria pregressa giurisprudenza, </w:t>
      </w:r>
      <w:r>
        <w:rPr>
          <w:rFonts w:ascii="Garamond" w:hAnsi="Garamond" w:cs="Times New Roman"/>
          <w:color w:val="000000" w:themeColor="text1"/>
          <w:sz w:val="28"/>
          <w:szCs w:val="28"/>
        </w:rPr>
        <w:t xml:space="preserve">ha </w:t>
      </w:r>
      <w:r w:rsidRPr="003B142B">
        <w:rPr>
          <w:rFonts w:ascii="Garamond" w:hAnsi="Garamond" w:cs="Times New Roman"/>
          <w:color w:val="000000" w:themeColor="text1"/>
          <w:sz w:val="28"/>
          <w:szCs w:val="28"/>
        </w:rPr>
        <w:t>precisa</w:t>
      </w:r>
      <w:r>
        <w:rPr>
          <w:rFonts w:ascii="Garamond" w:hAnsi="Garamond" w:cs="Times New Roman"/>
          <w:color w:val="000000" w:themeColor="text1"/>
          <w:sz w:val="28"/>
          <w:szCs w:val="28"/>
        </w:rPr>
        <w:t>to</w:t>
      </w:r>
      <w:r w:rsidRPr="003B142B">
        <w:rPr>
          <w:rFonts w:ascii="Garamond" w:hAnsi="Garamond" w:cs="Times New Roman"/>
          <w:color w:val="000000" w:themeColor="text1"/>
          <w:sz w:val="28"/>
          <w:szCs w:val="28"/>
        </w:rPr>
        <w:t xml:space="preserve"> quanto segue:</w:t>
      </w:r>
      <w:r>
        <w:rPr>
          <w:rFonts w:ascii="Garamond" w:hAnsi="Garamond" w:cs="Times New Roman"/>
          <w:color w:val="000000" w:themeColor="text1"/>
          <w:sz w:val="28"/>
          <w:szCs w:val="28"/>
        </w:rPr>
        <w:t xml:space="preserve"> </w:t>
      </w:r>
    </w:p>
    <w:p w:rsidR="007B4920" w:rsidRDefault="007B4920" w:rsidP="007B4920">
      <w:pPr>
        <w:pStyle w:val="Paragrafoelenco"/>
        <w:numPr>
          <w:ilvl w:val="0"/>
          <w:numId w:val="24"/>
        </w:numPr>
        <w:spacing w:line="240" w:lineRule="auto"/>
        <w:jc w:val="both"/>
        <w:rPr>
          <w:rFonts w:ascii="Garamond" w:hAnsi="Garamond" w:cs="Times New Roman"/>
          <w:color w:val="000000" w:themeColor="text1"/>
          <w:sz w:val="28"/>
          <w:szCs w:val="28"/>
        </w:rPr>
      </w:pPr>
      <w:r w:rsidRPr="000B02C3">
        <w:rPr>
          <w:rFonts w:ascii="Garamond" w:hAnsi="Garamond" w:cs="Times New Roman"/>
          <w:color w:val="000000" w:themeColor="text1"/>
          <w:sz w:val="28"/>
          <w:szCs w:val="28"/>
        </w:rPr>
        <w:t xml:space="preserve">l’art. 7 della </w:t>
      </w:r>
      <w:r>
        <w:rPr>
          <w:rFonts w:ascii="Garamond" w:hAnsi="Garamond" w:cs="Times New Roman"/>
          <w:color w:val="000000" w:themeColor="text1"/>
          <w:sz w:val="28"/>
          <w:szCs w:val="28"/>
        </w:rPr>
        <w:t>direttiva</w:t>
      </w:r>
      <w:r w:rsidRPr="000B02C3">
        <w:rPr>
          <w:rFonts w:ascii="Garamond" w:hAnsi="Garamond" w:cs="Times New Roman"/>
          <w:color w:val="000000" w:themeColor="text1"/>
          <w:sz w:val="28"/>
          <w:szCs w:val="28"/>
        </w:rPr>
        <w:t xml:space="preserve"> n. 2004/8/CE, nel prevedere il regime di sostegno alla cogenerazione, non si riferisce ai soli impianti CAR, sicché gli Stati membri ben possono, alle condizioni stabilite da tale articolo, prevedere regimi di sostegno ad impianti di cogenerazione che non sono ad alto rendimento;</w:t>
      </w:r>
    </w:p>
    <w:p w:rsidR="007B4920" w:rsidRDefault="007B4920" w:rsidP="007B4920">
      <w:pPr>
        <w:pStyle w:val="Paragrafoelenco"/>
        <w:numPr>
          <w:ilvl w:val="0"/>
          <w:numId w:val="24"/>
        </w:numPr>
        <w:spacing w:line="240" w:lineRule="auto"/>
        <w:jc w:val="both"/>
        <w:rPr>
          <w:rFonts w:ascii="Garamond" w:hAnsi="Garamond" w:cs="Times New Roman"/>
          <w:color w:val="000000" w:themeColor="text1"/>
          <w:sz w:val="28"/>
          <w:szCs w:val="28"/>
        </w:rPr>
      </w:pPr>
      <w:r w:rsidRPr="000B02C3">
        <w:rPr>
          <w:rFonts w:ascii="Garamond" w:hAnsi="Garamond" w:cs="Times New Roman"/>
          <w:color w:val="000000" w:themeColor="text1"/>
          <w:sz w:val="28"/>
          <w:szCs w:val="28"/>
        </w:rPr>
        <w:t xml:space="preserve">ai fini dell’interpretazione di tale art. 7 è “ininfluente” quanto dispone il successivo art. 12, paragrafo 3, della medesima </w:t>
      </w:r>
      <w:r>
        <w:rPr>
          <w:rFonts w:ascii="Garamond" w:hAnsi="Garamond" w:cs="Times New Roman"/>
          <w:color w:val="000000" w:themeColor="text1"/>
          <w:sz w:val="28"/>
          <w:szCs w:val="28"/>
        </w:rPr>
        <w:t>direttiva</w:t>
      </w:r>
      <w:r w:rsidRPr="000B02C3">
        <w:rPr>
          <w:rFonts w:ascii="Garamond" w:hAnsi="Garamond" w:cs="Times New Roman"/>
          <w:color w:val="000000" w:themeColor="text1"/>
          <w:sz w:val="28"/>
          <w:szCs w:val="28"/>
        </w:rPr>
        <w:t xml:space="preserve"> (che contiene la norma transitoria la quale conferisce agli Stati membri, “fino alla fine del 2010”, la facoltà di “definire ad alto rendimento una cogenerazione” sulla base di criteri propri dei singoli Stati membri); ciò, in quanto tale art. 12 “non influisce sulla possibilità per gli Stati membri di prevedere regimi di sostegno a favore della cogenerazione che non sia ad alto rendimento oppure regimi di sostegno comune a queste due forme di cogenerazione”;</w:t>
      </w:r>
    </w:p>
    <w:p w:rsidR="007B4920" w:rsidRPr="000B02C3" w:rsidRDefault="007B4920" w:rsidP="007B4920">
      <w:pPr>
        <w:pStyle w:val="Paragrafoelenco"/>
        <w:numPr>
          <w:ilvl w:val="0"/>
          <w:numId w:val="24"/>
        </w:numPr>
        <w:spacing w:line="240" w:lineRule="auto"/>
        <w:jc w:val="both"/>
        <w:rPr>
          <w:rFonts w:ascii="Garamond" w:hAnsi="Garamond" w:cs="Times New Roman"/>
          <w:color w:val="000000" w:themeColor="text1"/>
          <w:sz w:val="28"/>
          <w:szCs w:val="28"/>
        </w:rPr>
      </w:pPr>
      <w:r w:rsidRPr="000B02C3">
        <w:rPr>
          <w:rFonts w:ascii="Garamond" w:hAnsi="Garamond" w:cs="Times New Roman"/>
          <w:color w:val="000000" w:themeColor="text1"/>
          <w:sz w:val="28"/>
          <w:szCs w:val="28"/>
        </w:rPr>
        <w:t xml:space="preserve">di conseguenza, conclude la Corte sul primo quesito, “il citato paragrafo 3 non osta a che gli Stati membri mettano in atto, anche dopo il 31 dicembre 2010, meccanismi di sostegno alla cogenerazione, come l’esenzione dall’obbligo di acquisto di certificati verdi, a favore della cogenerazione che non sia ad alto rendimento”; la Corte con la medesima sentenza  ha per contro ritenuto irricevibili il secondo e terzo quesito relativi alla violazione dell’art. 107 del Trattato e  del principio di eguaglianza e non discriminazione del diritto comunitario, per mancata specificazione degli elementi di rilevanza nel giudizio </w:t>
      </w:r>
      <w:r w:rsidRPr="000B02C3">
        <w:rPr>
          <w:rFonts w:ascii="Garamond" w:hAnsi="Garamond" w:cs="Times New Roman"/>
          <w:i/>
          <w:color w:val="000000" w:themeColor="text1"/>
          <w:sz w:val="28"/>
          <w:szCs w:val="28"/>
        </w:rPr>
        <w:t>a quo</w:t>
      </w:r>
      <w:r w:rsidRPr="000B02C3">
        <w:rPr>
          <w:rFonts w:ascii="Garamond" w:hAnsi="Garamond" w:cs="Times New Roman"/>
          <w:color w:val="000000" w:themeColor="text1"/>
          <w:sz w:val="28"/>
          <w:szCs w:val="28"/>
        </w:rPr>
        <w:t>: cfr § 15).</w:t>
      </w:r>
    </w:p>
    <w:p w:rsidR="007B4920" w:rsidRPr="009C388A"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Secondo la giurisprudenza amministrativa </w:t>
      </w:r>
      <w:r w:rsidRPr="009C388A">
        <w:rPr>
          <w:rFonts w:ascii="Garamond" w:hAnsi="Garamond" w:cs="Times New Roman"/>
          <w:color w:val="000000" w:themeColor="text1"/>
          <w:sz w:val="28"/>
          <w:szCs w:val="28"/>
        </w:rPr>
        <w:t xml:space="preserve">le definizioni normative in materia di cogenerazione sottendono un </w:t>
      </w:r>
      <w:r w:rsidRPr="000B02C3">
        <w:rPr>
          <w:rFonts w:ascii="Garamond" w:hAnsi="Garamond" w:cs="Times New Roman"/>
          <w:i/>
          <w:color w:val="000000" w:themeColor="text1"/>
          <w:sz w:val="28"/>
          <w:szCs w:val="28"/>
        </w:rPr>
        <w:t xml:space="preserve">“concetto di </w:t>
      </w:r>
      <w:r>
        <w:rPr>
          <w:rFonts w:ascii="Garamond" w:hAnsi="Garamond" w:cs="Times New Roman"/>
          <w:i/>
          <w:color w:val="000000" w:themeColor="text1"/>
          <w:sz w:val="28"/>
          <w:szCs w:val="28"/>
        </w:rPr>
        <w:t>energia</w:t>
      </w:r>
      <w:r w:rsidRPr="000B02C3">
        <w:rPr>
          <w:rFonts w:ascii="Garamond" w:hAnsi="Garamond" w:cs="Times New Roman"/>
          <w:i/>
          <w:color w:val="000000" w:themeColor="text1"/>
          <w:sz w:val="28"/>
          <w:szCs w:val="28"/>
        </w:rPr>
        <w:t xml:space="preserve"> termica utile di natura tecnico scientifica”</w:t>
      </w:r>
      <w:r w:rsidRPr="009C388A">
        <w:rPr>
          <w:rFonts w:ascii="Garamond" w:hAnsi="Garamond" w:cs="Times New Roman"/>
          <w:color w:val="000000" w:themeColor="text1"/>
          <w:sz w:val="28"/>
          <w:szCs w:val="28"/>
        </w:rPr>
        <w:t>, in base al quale, in assenza di destinazione del calore prodotto ad</w:t>
      </w:r>
      <w:r>
        <w:rPr>
          <w:rFonts w:ascii="Garamond" w:hAnsi="Garamond" w:cs="Times New Roman"/>
          <w:color w:val="000000" w:themeColor="text1"/>
          <w:sz w:val="28"/>
          <w:szCs w:val="28"/>
        </w:rPr>
        <w:t xml:space="preserve"> </w:t>
      </w:r>
      <w:r w:rsidRPr="009C388A">
        <w:rPr>
          <w:rFonts w:ascii="Garamond" w:hAnsi="Garamond" w:cs="Times New Roman"/>
          <w:color w:val="000000" w:themeColor="text1"/>
          <w:sz w:val="28"/>
          <w:szCs w:val="28"/>
        </w:rPr>
        <w:t xml:space="preserve">usi civili ed industriali </w:t>
      </w:r>
      <w:r w:rsidRPr="000B02C3">
        <w:rPr>
          <w:rFonts w:ascii="Garamond" w:hAnsi="Garamond" w:cs="Times New Roman"/>
          <w:i/>
          <w:color w:val="000000" w:themeColor="text1"/>
          <w:sz w:val="28"/>
          <w:szCs w:val="28"/>
        </w:rPr>
        <w:t xml:space="preserve">“l’esercizio dell’impianto sarebbe finalizzato a conseguire altri benefici, segnatamente un aumento della produzione di </w:t>
      </w:r>
      <w:r>
        <w:rPr>
          <w:rFonts w:ascii="Garamond" w:hAnsi="Garamond" w:cs="Times New Roman"/>
          <w:i/>
          <w:color w:val="000000" w:themeColor="text1"/>
          <w:sz w:val="28"/>
          <w:szCs w:val="28"/>
        </w:rPr>
        <w:t>energia</w:t>
      </w:r>
      <w:r w:rsidRPr="000B02C3">
        <w:rPr>
          <w:rFonts w:ascii="Garamond" w:hAnsi="Garamond" w:cs="Times New Roman"/>
          <w:i/>
          <w:color w:val="000000" w:themeColor="text1"/>
          <w:sz w:val="28"/>
          <w:szCs w:val="28"/>
        </w:rPr>
        <w:t xml:space="preserve"> elettrica, e non già un aumento del rendimento energetico complessivo, garantito da una sinergia </w:t>
      </w:r>
      <w:r w:rsidRPr="000B02C3">
        <w:rPr>
          <w:rFonts w:ascii="Garamond" w:hAnsi="Garamond" w:cs="Times New Roman"/>
          <w:i/>
          <w:color w:val="000000" w:themeColor="text1"/>
          <w:sz w:val="28"/>
          <w:szCs w:val="28"/>
        </w:rPr>
        <w:lastRenderedPageBreak/>
        <w:t>ottimale tra utenza elettrica e utenza termica rifornite dall’impianto cogenerativo, e finirebbe dunque a perseguire finalità esulanti dalla disciplina di favore per impianti di cogenerazione assimilabili ad impianti da fonte rinnovabile</w:t>
      </w:r>
      <w:r>
        <w:rPr>
          <w:rFonts w:ascii="Garamond" w:hAnsi="Garamond" w:cs="Times New Roman"/>
          <w:i/>
          <w:color w:val="000000" w:themeColor="text1"/>
          <w:sz w:val="28"/>
          <w:szCs w:val="28"/>
        </w:rPr>
        <w:t>”</w:t>
      </w:r>
      <w:r w:rsidRPr="009C388A">
        <w:rPr>
          <w:rFonts w:ascii="Garamond" w:hAnsi="Garamond" w:cs="Times New Roman"/>
          <w:color w:val="000000" w:themeColor="text1"/>
          <w:sz w:val="28"/>
          <w:szCs w:val="28"/>
        </w:rPr>
        <w:t xml:space="preserve"> (Cons. Stato, sez. IV, n. 8557 del 2019; sez. VI, n. 2659 del 2013).</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In materia di impianti di cogenerazione ad alto rendimento legittimati all’accesso ai certificati bianchi </w:t>
      </w:r>
      <w:r w:rsidRPr="00397CBD">
        <w:rPr>
          <w:rFonts w:ascii="Garamond" w:hAnsi="Garamond" w:cs="Times New Roman"/>
          <w:color w:val="000000" w:themeColor="text1"/>
          <w:sz w:val="28"/>
          <w:szCs w:val="28"/>
        </w:rPr>
        <w:t>ex art</w:t>
      </w:r>
      <w:r>
        <w:rPr>
          <w:rFonts w:ascii="Garamond" w:hAnsi="Garamond" w:cs="Times New Roman"/>
          <w:color w:val="000000" w:themeColor="text1"/>
          <w:sz w:val="28"/>
          <w:szCs w:val="28"/>
        </w:rPr>
        <w:t xml:space="preserve">. 2, lettera “o” </w:t>
      </w:r>
      <w:r w:rsidRPr="00397CBD">
        <w:rPr>
          <w:rFonts w:ascii="Garamond" w:hAnsi="Garamond" w:cs="Times New Roman"/>
          <w:color w:val="000000" w:themeColor="text1"/>
          <w:sz w:val="28"/>
          <w:szCs w:val="28"/>
        </w:rPr>
        <w:t>d.lgs. n. 20</w:t>
      </w:r>
      <w:r>
        <w:rPr>
          <w:rFonts w:ascii="Garamond" w:hAnsi="Garamond" w:cs="Times New Roman"/>
          <w:color w:val="000000" w:themeColor="text1"/>
          <w:sz w:val="28"/>
          <w:szCs w:val="28"/>
        </w:rPr>
        <w:t xml:space="preserve"> del 2007, che differiscono pertanto dagli impianti </w:t>
      </w:r>
      <w:r w:rsidRPr="00397CBD">
        <w:rPr>
          <w:rFonts w:ascii="Garamond" w:hAnsi="Garamond" w:cs="Times New Roman"/>
          <w:color w:val="000000" w:themeColor="text1"/>
          <w:sz w:val="28"/>
          <w:szCs w:val="28"/>
        </w:rPr>
        <w:t>cogenerativi</w:t>
      </w:r>
      <w:r>
        <w:rPr>
          <w:rFonts w:ascii="Garamond" w:hAnsi="Garamond" w:cs="Times New Roman"/>
          <w:color w:val="000000" w:themeColor="text1"/>
          <w:sz w:val="28"/>
          <w:szCs w:val="28"/>
        </w:rPr>
        <w:t xml:space="preserve"> </w:t>
      </w:r>
      <w:r w:rsidRPr="00397CBD">
        <w:rPr>
          <w:rFonts w:ascii="Garamond" w:hAnsi="Garamond" w:cs="Times New Roman"/>
          <w:color w:val="000000" w:themeColor="text1"/>
          <w:sz w:val="28"/>
          <w:szCs w:val="28"/>
        </w:rPr>
        <w:t xml:space="preserve">“semplici” ex art. 2, lettera “a” </w:t>
      </w:r>
      <w:r>
        <w:rPr>
          <w:rFonts w:ascii="Garamond" w:hAnsi="Garamond" w:cs="Times New Roman"/>
          <w:color w:val="000000" w:themeColor="text1"/>
          <w:sz w:val="28"/>
          <w:szCs w:val="28"/>
        </w:rPr>
        <w:t>del medesimo d.lgs. (Cons. Stato, sez. IV, n. 8557 del 2019), è stato precisato che:</w:t>
      </w:r>
    </w:p>
    <w:p w:rsidR="007B4920" w:rsidRDefault="007B4920" w:rsidP="007B4920">
      <w:pPr>
        <w:pStyle w:val="Paragrafoelenco"/>
        <w:numPr>
          <w:ilvl w:val="0"/>
          <w:numId w:val="24"/>
        </w:numPr>
        <w:spacing w:line="240" w:lineRule="auto"/>
        <w:jc w:val="both"/>
        <w:rPr>
          <w:rFonts w:ascii="Garamond" w:hAnsi="Garamond" w:cs="Times New Roman"/>
          <w:color w:val="000000" w:themeColor="text1"/>
          <w:sz w:val="28"/>
          <w:szCs w:val="28"/>
        </w:rPr>
      </w:pPr>
      <w:r w:rsidRPr="00001AA4">
        <w:rPr>
          <w:rFonts w:ascii="Garamond" w:hAnsi="Garamond" w:cs="Times New Roman"/>
          <w:color w:val="000000" w:themeColor="text1"/>
          <w:sz w:val="28"/>
          <w:szCs w:val="28"/>
        </w:rPr>
        <w:t>è legittimo il provvedimento del G.s.e. di diniego di accesso al regime dei certificati bianchi laddove l’intervento di rifacimento sia stato inammissibilmente frazionato e non sia stato pertanto realizzato in modo conforme alle prescrizioni tecniche e temporali richieste ai fini dell’accesso ai benefici richiesti, volti a premiare solo i nuovi interventi di contestuale e complessivo rifacimento capaci di determinare un rilevante incremento delle complessive prestazioni energetiche dell’ impianto</w:t>
      </w:r>
      <w:r>
        <w:rPr>
          <w:rFonts w:ascii="Garamond" w:hAnsi="Garamond" w:cs="Times New Roman"/>
          <w:color w:val="000000" w:themeColor="text1"/>
          <w:sz w:val="28"/>
          <w:szCs w:val="28"/>
        </w:rPr>
        <w:t xml:space="preserve"> [</w:t>
      </w:r>
      <w:r w:rsidRPr="00001AA4">
        <w:rPr>
          <w:rFonts w:ascii="Garamond" w:hAnsi="Garamond" w:cs="Times New Roman"/>
          <w:color w:val="000000" w:themeColor="text1"/>
          <w:sz w:val="28"/>
          <w:szCs w:val="28"/>
        </w:rPr>
        <w:t>Cons. Stato, sez. II, n. 2386 del 2022,  ha precisato come l'</w:t>
      </w:r>
      <w:r w:rsidRPr="00001AA4">
        <w:rPr>
          <w:rFonts w:ascii="Garamond" w:hAnsi="Garamond" w:cs="Times New Roman"/>
          <w:bCs/>
          <w:color w:val="000000" w:themeColor="text1"/>
          <w:sz w:val="28"/>
          <w:szCs w:val="28"/>
        </w:rPr>
        <w:t>art</w:t>
      </w:r>
      <w:r w:rsidRPr="00001AA4">
        <w:rPr>
          <w:rFonts w:ascii="Garamond" w:hAnsi="Garamond" w:cs="Times New Roman"/>
          <w:color w:val="000000" w:themeColor="text1"/>
          <w:sz w:val="28"/>
          <w:szCs w:val="28"/>
        </w:rPr>
        <w:t xml:space="preserve">. 30, comma 11, l. 23 luglio 2009, n. 99, e s.m.i., stabilisce che </w:t>
      </w:r>
      <w:r w:rsidRPr="00001AA4">
        <w:rPr>
          <w:rFonts w:ascii="Garamond" w:hAnsi="Garamond" w:cs="Times New Roman"/>
          <w:iCs/>
          <w:color w:val="000000" w:themeColor="text1"/>
          <w:sz w:val="28"/>
          <w:szCs w:val="28"/>
        </w:rPr>
        <w:t xml:space="preserve">il regime di sostegno previsto per la cogenerazione ad alto rendimento di cui al secondo periodo del comma 1 dell'articolo 6 del d.lgs. 8 febbraio 2007, n. 20, è riconosciuto per un periodo non inferiore a dieci anni, limitatamente alla nuova potenza entrata in esercizio dopo la data di entrata in vigore del medesimo decreto legislativo, a seguito di nuova costruzione o rifacimento,  nonché limitatamente ai rifacimenti di impianti esistenti sulla base del risparmio di </w:t>
      </w:r>
      <w:r>
        <w:rPr>
          <w:rFonts w:ascii="Garamond" w:hAnsi="Garamond" w:cs="Times New Roman"/>
          <w:iCs/>
          <w:color w:val="000000" w:themeColor="text1"/>
          <w:sz w:val="28"/>
          <w:szCs w:val="28"/>
        </w:rPr>
        <w:t>energia</w:t>
      </w:r>
      <w:r w:rsidRPr="00001AA4">
        <w:rPr>
          <w:rFonts w:ascii="Garamond" w:hAnsi="Garamond" w:cs="Times New Roman"/>
          <w:iCs/>
          <w:color w:val="000000" w:themeColor="text1"/>
          <w:sz w:val="28"/>
          <w:szCs w:val="28"/>
        </w:rPr>
        <w:t xml:space="preserve"> primaria. Con decreto del Ministro dello sviluppo economico sono definiti i criteri e le modalità per il riconoscimento dei relativi benefìci. </w:t>
      </w:r>
      <w:r w:rsidRPr="00001AA4">
        <w:rPr>
          <w:rFonts w:ascii="Garamond" w:hAnsi="Garamond" w:cs="Times New Roman"/>
          <w:color w:val="000000" w:themeColor="text1"/>
          <w:sz w:val="28"/>
          <w:szCs w:val="28"/>
        </w:rPr>
        <w:t>In attuazione di tale previsione, è stato emanato il d.m. 5 settembre 2011, le cui disposizioni si applicano (art. 1, comma 1, lett. a) alle unità di cogenerazione entrate in esercizio, come nuove unità di cogenerazione ovvero come rifacimento di unità esistenti secondo le condizioni definite dal medesimo decreto a decorrere dal 7 marzo 2007, data di entrata in vigore del d.lgs. n. 20 del 2007. Secondo il successivo art. 2, comma 1, lett. b), per "rifacimento" si intende l’intervento tecnologico, realizzato dopo l'entrata in vigore del d.lgs. n. 20 del 2007, su una unità di produzione cogenerat</w:t>
      </w:r>
      <w:r>
        <w:rPr>
          <w:rFonts w:ascii="Garamond" w:hAnsi="Garamond" w:cs="Times New Roman"/>
          <w:color w:val="000000" w:themeColor="text1"/>
          <w:sz w:val="28"/>
          <w:szCs w:val="28"/>
        </w:rPr>
        <w:t>iva</w:t>
      </w:r>
      <w:r w:rsidRPr="00001AA4">
        <w:rPr>
          <w:rFonts w:ascii="Garamond" w:hAnsi="Garamond" w:cs="Times New Roman"/>
          <w:color w:val="000000" w:themeColor="text1"/>
          <w:sz w:val="28"/>
          <w:szCs w:val="28"/>
        </w:rPr>
        <w:t xml:space="preserve"> o non cogenerat</w:t>
      </w:r>
      <w:r>
        <w:rPr>
          <w:rFonts w:ascii="Garamond" w:hAnsi="Garamond" w:cs="Times New Roman"/>
          <w:color w:val="000000" w:themeColor="text1"/>
          <w:sz w:val="28"/>
          <w:szCs w:val="28"/>
        </w:rPr>
        <w:t>iva</w:t>
      </w:r>
      <w:r w:rsidRPr="00001AA4">
        <w:rPr>
          <w:rFonts w:ascii="Garamond" w:hAnsi="Garamond" w:cs="Times New Roman"/>
          <w:color w:val="000000" w:themeColor="text1"/>
          <w:sz w:val="28"/>
          <w:szCs w:val="28"/>
        </w:rPr>
        <w:t xml:space="preserve"> in esercizio da almeno dodici anni, che comporti la totale ricostruzione o la sostituzione con componenti nuovi di almeno due dei componenti pr</w:t>
      </w:r>
      <w:r>
        <w:rPr>
          <w:rFonts w:ascii="Garamond" w:hAnsi="Garamond" w:cs="Times New Roman"/>
          <w:color w:val="000000" w:themeColor="text1"/>
          <w:sz w:val="28"/>
          <w:szCs w:val="28"/>
        </w:rPr>
        <w:t>incipali)];</w:t>
      </w:r>
    </w:p>
    <w:p w:rsidR="007B4920" w:rsidRPr="00001AA4" w:rsidRDefault="007B4920" w:rsidP="007B4920">
      <w:pPr>
        <w:pStyle w:val="Paragrafoelenco"/>
        <w:numPr>
          <w:ilvl w:val="0"/>
          <w:numId w:val="24"/>
        </w:numPr>
        <w:spacing w:line="240" w:lineRule="auto"/>
        <w:jc w:val="both"/>
        <w:rPr>
          <w:rFonts w:ascii="Garamond" w:hAnsi="Garamond" w:cs="Times New Roman"/>
          <w:color w:val="000000" w:themeColor="text1"/>
          <w:sz w:val="28"/>
          <w:szCs w:val="28"/>
        </w:rPr>
      </w:pPr>
      <w:r w:rsidRPr="00001AA4">
        <w:rPr>
          <w:rFonts w:ascii="Garamond" w:hAnsi="Garamond" w:cs="Times New Roman"/>
          <w:color w:val="000000" w:themeColor="text1"/>
          <w:sz w:val="28"/>
          <w:szCs w:val="28"/>
        </w:rPr>
        <w:t xml:space="preserve">la </w:t>
      </w:r>
      <w:r w:rsidRPr="00001AA4">
        <w:rPr>
          <w:rFonts w:ascii="Garamond" w:hAnsi="Garamond" w:cs="Times New Roman"/>
          <w:i/>
          <w:iCs/>
          <w:color w:val="000000" w:themeColor="text1"/>
          <w:sz w:val="28"/>
          <w:szCs w:val="28"/>
        </w:rPr>
        <w:t xml:space="preserve">ratio </w:t>
      </w:r>
      <w:r w:rsidRPr="00001AA4">
        <w:rPr>
          <w:rFonts w:ascii="Garamond" w:hAnsi="Garamond" w:cs="Times New Roman"/>
          <w:color w:val="000000" w:themeColor="text1"/>
          <w:sz w:val="28"/>
          <w:szCs w:val="28"/>
        </w:rPr>
        <w:t>dell’</w:t>
      </w:r>
      <w:r>
        <w:rPr>
          <w:rFonts w:ascii="Garamond" w:hAnsi="Garamond" w:cs="Times New Roman"/>
          <w:color w:val="000000" w:themeColor="text1"/>
          <w:sz w:val="28"/>
          <w:szCs w:val="28"/>
        </w:rPr>
        <w:t>incentivazione</w:t>
      </w:r>
      <w:r w:rsidRPr="00001AA4">
        <w:rPr>
          <w:rFonts w:ascii="Garamond" w:hAnsi="Garamond" w:cs="Times New Roman"/>
          <w:color w:val="000000" w:themeColor="text1"/>
          <w:sz w:val="28"/>
          <w:szCs w:val="28"/>
        </w:rPr>
        <w:t xml:space="preserve"> alla cogenerazione, imperniata sull’effett</w:t>
      </w:r>
      <w:r>
        <w:rPr>
          <w:rFonts w:ascii="Garamond" w:hAnsi="Garamond" w:cs="Times New Roman"/>
          <w:color w:val="000000" w:themeColor="text1"/>
          <w:sz w:val="28"/>
          <w:szCs w:val="28"/>
        </w:rPr>
        <w:t>iva</w:t>
      </w:r>
      <w:r w:rsidRPr="00001AA4">
        <w:rPr>
          <w:rFonts w:ascii="Garamond" w:hAnsi="Garamond" w:cs="Times New Roman"/>
          <w:color w:val="000000" w:themeColor="text1"/>
          <w:sz w:val="28"/>
          <w:szCs w:val="28"/>
        </w:rPr>
        <w:t xml:space="preserve"> dimostrazione dell’efficienza energetica dell’impianto ausiliato, richiede la misurazione esatta dell’</w:t>
      </w:r>
      <w:r>
        <w:rPr>
          <w:rFonts w:ascii="Garamond" w:hAnsi="Garamond" w:cs="Times New Roman"/>
          <w:color w:val="000000" w:themeColor="text1"/>
          <w:sz w:val="28"/>
          <w:szCs w:val="28"/>
        </w:rPr>
        <w:t>energia</w:t>
      </w:r>
      <w:r w:rsidRPr="00001AA4">
        <w:rPr>
          <w:rFonts w:ascii="Garamond" w:hAnsi="Garamond" w:cs="Times New Roman"/>
          <w:color w:val="000000" w:themeColor="text1"/>
          <w:sz w:val="28"/>
          <w:szCs w:val="28"/>
        </w:rPr>
        <w:t xml:space="preserve"> in entrata, al fine di poter acclarare, con speculare esattezza, l’effettivo risparmio di </w:t>
      </w:r>
      <w:r>
        <w:rPr>
          <w:rFonts w:ascii="Garamond" w:hAnsi="Garamond" w:cs="Times New Roman"/>
          <w:color w:val="000000" w:themeColor="text1"/>
          <w:sz w:val="28"/>
          <w:szCs w:val="28"/>
        </w:rPr>
        <w:t>energia</w:t>
      </w:r>
      <w:r w:rsidRPr="00001AA4">
        <w:rPr>
          <w:rFonts w:ascii="Garamond" w:hAnsi="Garamond" w:cs="Times New Roman"/>
          <w:color w:val="000000" w:themeColor="text1"/>
          <w:sz w:val="28"/>
          <w:szCs w:val="28"/>
        </w:rPr>
        <w:t xml:space="preserve"> primaria conseguito dall’impianto: ciò, invero, è l’unico modo con cui può garantirsi contro possibili indebite percezioni (quand’anche in buona fede) di risorse pubbliche, strutturalmente limitate e teleologicamente destinate all’esclusivo scopo di </w:t>
      </w:r>
      <w:r>
        <w:rPr>
          <w:rFonts w:ascii="Garamond" w:hAnsi="Garamond" w:cs="Times New Roman"/>
          <w:color w:val="000000" w:themeColor="text1"/>
          <w:sz w:val="28"/>
          <w:szCs w:val="28"/>
        </w:rPr>
        <w:t>incentivare</w:t>
      </w:r>
      <w:r w:rsidRPr="00001AA4">
        <w:rPr>
          <w:rFonts w:ascii="Garamond" w:hAnsi="Garamond" w:cs="Times New Roman"/>
          <w:color w:val="000000" w:themeColor="text1"/>
          <w:sz w:val="28"/>
          <w:szCs w:val="28"/>
        </w:rPr>
        <w:t xml:space="preserve"> forme efficienti di produzione di </w:t>
      </w:r>
      <w:r>
        <w:rPr>
          <w:rFonts w:ascii="Garamond" w:hAnsi="Garamond" w:cs="Times New Roman"/>
          <w:color w:val="000000" w:themeColor="text1"/>
          <w:sz w:val="28"/>
          <w:szCs w:val="28"/>
        </w:rPr>
        <w:t>energia</w:t>
      </w:r>
      <w:r w:rsidRPr="00001AA4">
        <w:rPr>
          <w:rFonts w:ascii="Garamond" w:hAnsi="Garamond" w:cs="Times New Roman"/>
          <w:color w:val="000000" w:themeColor="text1"/>
          <w:sz w:val="28"/>
          <w:szCs w:val="28"/>
        </w:rPr>
        <w:t>; né il d.m. 5 settembre 2011 per la “cogenerazione ad alto rendimento”</w:t>
      </w:r>
      <w:r w:rsidRPr="00882418">
        <w:t xml:space="preserve"> </w:t>
      </w:r>
      <w:r w:rsidRPr="00001AA4">
        <w:rPr>
          <w:rFonts w:ascii="Garamond" w:hAnsi="Garamond" w:cs="Times New Roman"/>
          <w:color w:val="000000" w:themeColor="text1"/>
          <w:sz w:val="28"/>
          <w:szCs w:val="28"/>
        </w:rPr>
        <w:t xml:space="preserve">né le </w:t>
      </w:r>
      <w:r>
        <w:rPr>
          <w:rFonts w:ascii="Garamond" w:hAnsi="Garamond" w:cs="Times New Roman"/>
          <w:color w:val="000000" w:themeColor="text1"/>
          <w:sz w:val="28"/>
          <w:szCs w:val="28"/>
        </w:rPr>
        <w:t>l</w:t>
      </w:r>
      <w:r w:rsidRPr="00001AA4">
        <w:rPr>
          <w:rFonts w:ascii="Garamond" w:hAnsi="Garamond" w:cs="Times New Roman"/>
          <w:color w:val="000000" w:themeColor="text1"/>
          <w:sz w:val="28"/>
          <w:szCs w:val="28"/>
        </w:rPr>
        <w:t xml:space="preserve">inee </w:t>
      </w:r>
      <w:r>
        <w:rPr>
          <w:rFonts w:ascii="Garamond" w:hAnsi="Garamond" w:cs="Times New Roman"/>
          <w:color w:val="000000" w:themeColor="text1"/>
          <w:sz w:val="28"/>
          <w:szCs w:val="28"/>
        </w:rPr>
        <w:t>g</w:t>
      </w:r>
      <w:r w:rsidRPr="00001AA4">
        <w:rPr>
          <w:rFonts w:ascii="Garamond" w:hAnsi="Garamond" w:cs="Times New Roman"/>
          <w:color w:val="000000" w:themeColor="text1"/>
          <w:sz w:val="28"/>
          <w:szCs w:val="28"/>
        </w:rPr>
        <w:t>uida redatte dal Ministero dello sviluppo economico consentono il ricorso a modalità alternative di computo dell’</w:t>
      </w:r>
      <w:r>
        <w:rPr>
          <w:rFonts w:ascii="Garamond" w:hAnsi="Garamond" w:cs="Times New Roman"/>
          <w:color w:val="000000" w:themeColor="text1"/>
          <w:sz w:val="28"/>
          <w:szCs w:val="28"/>
        </w:rPr>
        <w:t>energia</w:t>
      </w:r>
      <w:r w:rsidRPr="00001AA4">
        <w:rPr>
          <w:rFonts w:ascii="Garamond" w:hAnsi="Garamond" w:cs="Times New Roman"/>
          <w:color w:val="000000" w:themeColor="text1"/>
          <w:sz w:val="28"/>
          <w:szCs w:val="28"/>
        </w:rPr>
        <w:t xml:space="preserve"> in entrata, ossia scisse dalla concreta misurazione della stessa, ciò che solo consentirebbe l’ammissione della possibilità di fare ricorso anche a valori dell’</w:t>
      </w:r>
      <w:r>
        <w:rPr>
          <w:rFonts w:ascii="Garamond" w:hAnsi="Garamond" w:cs="Times New Roman"/>
          <w:color w:val="000000" w:themeColor="text1"/>
          <w:sz w:val="28"/>
          <w:szCs w:val="28"/>
        </w:rPr>
        <w:t>energia</w:t>
      </w:r>
      <w:r w:rsidRPr="00001AA4">
        <w:rPr>
          <w:rFonts w:ascii="Garamond" w:hAnsi="Garamond" w:cs="Times New Roman"/>
          <w:color w:val="000000" w:themeColor="text1"/>
          <w:sz w:val="28"/>
          <w:szCs w:val="28"/>
        </w:rPr>
        <w:t xml:space="preserve"> in entrata </w:t>
      </w:r>
      <w:r w:rsidRPr="00001AA4">
        <w:rPr>
          <w:rFonts w:ascii="Garamond" w:hAnsi="Garamond" w:cs="Times New Roman"/>
          <w:color w:val="000000" w:themeColor="text1"/>
          <w:sz w:val="28"/>
          <w:szCs w:val="28"/>
        </w:rPr>
        <w:lastRenderedPageBreak/>
        <w:t xml:space="preserve">preimpostati e non conseguenti ad una concreta misurazione reale del flusso; peraltro grava sull’interessato l’onere di apprestare tutti gli accorgimenti tecnici necessari a far sì che le grandezze fisiche in considerazione siano misurabili con esattezza e che, conseguentemente, il diritto alla percezione dell’incentivo emerga come oggettivo, evidente ed indiscutibile </w:t>
      </w:r>
      <w:r>
        <w:rPr>
          <w:rFonts w:ascii="Garamond" w:hAnsi="Garamond" w:cs="Times New Roman"/>
          <w:color w:val="000000" w:themeColor="text1"/>
          <w:sz w:val="28"/>
          <w:szCs w:val="28"/>
        </w:rPr>
        <w:t>[</w:t>
      </w:r>
      <w:r w:rsidRPr="00001AA4">
        <w:rPr>
          <w:rFonts w:ascii="Garamond" w:hAnsi="Garamond" w:cs="Times New Roman"/>
          <w:color w:val="000000" w:themeColor="text1"/>
          <w:sz w:val="28"/>
          <w:szCs w:val="28"/>
        </w:rPr>
        <w:t xml:space="preserve">cfr., in </w:t>
      </w:r>
      <w:r w:rsidRPr="00001AA4">
        <w:rPr>
          <w:rFonts w:ascii="Garamond" w:hAnsi="Garamond" w:cs="Times New Roman"/>
          <w:i/>
          <w:color w:val="000000" w:themeColor="text1"/>
          <w:sz w:val="28"/>
          <w:szCs w:val="28"/>
        </w:rPr>
        <w:t>subiecta materia</w:t>
      </w:r>
      <w:r w:rsidRPr="00001AA4">
        <w:rPr>
          <w:rFonts w:ascii="Garamond" w:hAnsi="Garamond" w:cs="Times New Roman"/>
          <w:color w:val="000000" w:themeColor="text1"/>
          <w:sz w:val="28"/>
          <w:szCs w:val="28"/>
        </w:rPr>
        <w:t>, art. 8, comma 6, d.m. 5 settembre 2011, a tenore del quale “la domanda di accesso al regime di sostegno è respinta per le unità di cogenerazione non dotate di strumentazione idonea a definire le grandezze fisiche necessarie”</w:t>
      </w:r>
      <w:r>
        <w:rPr>
          <w:rFonts w:ascii="Garamond" w:hAnsi="Garamond" w:cs="Times New Roman"/>
          <w:color w:val="000000" w:themeColor="text1"/>
          <w:sz w:val="28"/>
          <w:szCs w:val="28"/>
        </w:rPr>
        <w:t xml:space="preserve"> (</w:t>
      </w:r>
      <w:r w:rsidRPr="00001AA4">
        <w:rPr>
          <w:rFonts w:ascii="Garamond" w:hAnsi="Garamond" w:cs="Times New Roman"/>
          <w:color w:val="000000" w:themeColor="text1"/>
          <w:sz w:val="28"/>
          <w:szCs w:val="28"/>
        </w:rPr>
        <w:t xml:space="preserve">Cons. Stato, sez. IV, n. 2716 del 2021, riferita a fattispecie in cui il G.s.e aveva inizialmente ammesso l’impianto al regime di sostegno ma all’esito di un procedimento di controllo,  svolto ai sensi dell’art. 11 del d.m. 5 settembre 2011,  aveva annullato l’ammissione ai benefici, avendo riscontrato, all’esito di un sopralluogo, che </w:t>
      </w:r>
      <w:r>
        <w:rPr>
          <w:rFonts w:ascii="Garamond" w:hAnsi="Garamond" w:cs="Times New Roman"/>
          <w:color w:val="000000" w:themeColor="text1"/>
          <w:sz w:val="28"/>
          <w:szCs w:val="28"/>
        </w:rPr>
        <w:t>i</w:t>
      </w:r>
      <w:r w:rsidRPr="00001AA4">
        <w:rPr>
          <w:rFonts w:ascii="Garamond" w:hAnsi="Garamond" w:cs="Times New Roman"/>
          <w:i/>
          <w:iCs/>
          <w:color w:val="000000" w:themeColor="text1"/>
          <w:sz w:val="28"/>
          <w:szCs w:val="28"/>
        </w:rPr>
        <w:t xml:space="preserve"> </w:t>
      </w:r>
      <w:r w:rsidRPr="00001AA4">
        <w:rPr>
          <w:rFonts w:ascii="Garamond" w:hAnsi="Garamond" w:cs="Times New Roman"/>
          <w:iCs/>
          <w:color w:val="000000" w:themeColor="text1"/>
          <w:sz w:val="28"/>
          <w:szCs w:val="28"/>
        </w:rPr>
        <w:t xml:space="preserve">convertitori elettronici dei volumi </w:t>
      </w:r>
      <w:r w:rsidRPr="00001AA4">
        <w:rPr>
          <w:rFonts w:ascii="Garamond" w:hAnsi="Garamond" w:cs="Times New Roman"/>
          <w:color w:val="000000" w:themeColor="text1"/>
          <w:sz w:val="28"/>
          <w:szCs w:val="28"/>
        </w:rPr>
        <w:t xml:space="preserve">del gas in entrata </w:t>
      </w:r>
      <w:r w:rsidRPr="00001AA4">
        <w:rPr>
          <w:rFonts w:ascii="Garamond" w:hAnsi="Garamond" w:cs="Times New Roman"/>
          <w:iCs/>
          <w:color w:val="000000" w:themeColor="text1"/>
          <w:sz w:val="28"/>
          <w:szCs w:val="28"/>
        </w:rPr>
        <w:t>sono risultati privi del sensore di pressione:</w:t>
      </w:r>
      <w:r w:rsidRPr="00001AA4">
        <w:rPr>
          <w:rFonts w:ascii="Garamond" w:hAnsi="Garamond" w:cs="Times New Roman"/>
          <w:color w:val="000000" w:themeColor="text1"/>
          <w:sz w:val="28"/>
          <w:szCs w:val="28"/>
        </w:rPr>
        <w:t xml:space="preserve"> l’assenza di tale sensore non consent</w:t>
      </w:r>
      <w:r>
        <w:rPr>
          <w:rFonts w:ascii="Garamond" w:hAnsi="Garamond" w:cs="Times New Roman"/>
          <w:color w:val="000000" w:themeColor="text1"/>
          <w:sz w:val="28"/>
          <w:szCs w:val="28"/>
        </w:rPr>
        <w:t>iva</w:t>
      </w:r>
      <w:r w:rsidRPr="00001AA4">
        <w:rPr>
          <w:rFonts w:ascii="Garamond" w:hAnsi="Garamond" w:cs="Times New Roman"/>
          <w:color w:val="000000" w:themeColor="text1"/>
          <w:sz w:val="28"/>
          <w:szCs w:val="28"/>
        </w:rPr>
        <w:t xml:space="preserve"> pertanto ad avviso del G.s.e., “</w:t>
      </w:r>
      <w:r w:rsidRPr="00001AA4">
        <w:rPr>
          <w:rFonts w:ascii="Garamond" w:hAnsi="Garamond" w:cs="Times New Roman"/>
          <w:i/>
          <w:iCs/>
          <w:color w:val="000000" w:themeColor="text1"/>
          <w:sz w:val="28"/>
          <w:szCs w:val="28"/>
        </w:rPr>
        <w:t>un calcolo esatto e puntuale del volume del gas in condizioni termodinamiche standard</w:t>
      </w:r>
      <w:r w:rsidRPr="00001AA4">
        <w:rPr>
          <w:rFonts w:ascii="Garamond" w:hAnsi="Garamond" w:cs="Times New Roman"/>
          <w:color w:val="000000" w:themeColor="text1"/>
          <w:sz w:val="28"/>
          <w:szCs w:val="28"/>
        </w:rPr>
        <w:t>” immesso nell’impianto</w:t>
      </w:r>
      <w:r>
        <w:rPr>
          <w:rFonts w:ascii="Garamond" w:hAnsi="Garamond" w:cs="Times New Roman"/>
          <w:color w:val="000000" w:themeColor="text1"/>
          <w:sz w:val="28"/>
          <w:szCs w:val="28"/>
        </w:rPr>
        <w:t>)];</w:t>
      </w:r>
    </w:p>
    <w:p w:rsidR="007B4920" w:rsidRDefault="007B4920" w:rsidP="007B4920">
      <w:pPr>
        <w:pStyle w:val="Paragrafoelenco"/>
        <w:numPr>
          <w:ilvl w:val="0"/>
          <w:numId w:val="24"/>
        </w:numPr>
        <w:spacing w:line="240" w:lineRule="auto"/>
        <w:jc w:val="both"/>
        <w:rPr>
          <w:rFonts w:ascii="Garamond" w:hAnsi="Garamond" w:cs="Times New Roman"/>
          <w:color w:val="000000" w:themeColor="text1"/>
          <w:sz w:val="28"/>
          <w:szCs w:val="28"/>
        </w:rPr>
      </w:pPr>
      <w:r w:rsidRPr="00001AA4">
        <w:rPr>
          <w:rFonts w:ascii="Garamond" w:hAnsi="Garamond" w:cs="Times New Roman"/>
          <w:color w:val="000000" w:themeColor="text1"/>
          <w:sz w:val="28"/>
          <w:szCs w:val="28"/>
        </w:rPr>
        <w:t xml:space="preserve">l’art. 11, comma 3, d.m. 5 settembre 2011, in conformità con la previsione dell’art. 42 d.l.gs. n. 28 del 2011,  prevede l’annullamento del beneficio ed il recupero degli incentivi, eventualmente erogati, come conseguenza della mera “difformità” tra quanto dichiarato e la situazione reale dell’unità di cogenerazione, senza alcun riferimento all’idoneità di tale difformità, ai fini del conseguimento del beneficio, né tanto meno all’esistenza di un coefficiente psicologico del dichiarante (quale dolo o colpa) eventualmente riferibile all’ipotesi, prevista distintamente dalla disposizione in esame, </w:t>
      </w:r>
      <w:r>
        <w:rPr>
          <w:rFonts w:ascii="Garamond" w:hAnsi="Garamond" w:cs="Times New Roman"/>
          <w:color w:val="000000" w:themeColor="text1"/>
          <w:sz w:val="28"/>
          <w:szCs w:val="28"/>
        </w:rPr>
        <w:t>relativa</w:t>
      </w:r>
      <w:r w:rsidRPr="00001AA4">
        <w:rPr>
          <w:rFonts w:ascii="Garamond" w:hAnsi="Garamond" w:cs="Times New Roman"/>
          <w:color w:val="000000" w:themeColor="text1"/>
          <w:sz w:val="28"/>
          <w:szCs w:val="28"/>
        </w:rPr>
        <w:t xml:space="preserve"> alla produzione di documenti non veritieri ovvero di dichiarazioni false e mendaci (Cons. Stato, sez</w:t>
      </w:r>
      <w:r>
        <w:rPr>
          <w:rFonts w:ascii="Garamond" w:hAnsi="Garamond" w:cs="Times New Roman"/>
          <w:color w:val="000000" w:themeColor="text1"/>
          <w:sz w:val="28"/>
          <w:szCs w:val="28"/>
        </w:rPr>
        <w:t>.</w:t>
      </w:r>
      <w:r w:rsidRPr="00001AA4">
        <w:rPr>
          <w:rFonts w:ascii="Garamond" w:hAnsi="Garamond" w:cs="Times New Roman"/>
          <w:color w:val="000000" w:themeColor="text1"/>
          <w:sz w:val="28"/>
          <w:szCs w:val="28"/>
        </w:rPr>
        <w:t xml:space="preserve"> IV, n. 4840 del 2020 riferita a fattispecie di annullamento dei benefici riconosciuti con l’emissione di certificati bianchi per gli anni pregressi e annullamento del riconoscimento CAR; in senso analogo Cons. Stato, sez</w:t>
      </w:r>
      <w:r>
        <w:rPr>
          <w:rFonts w:ascii="Garamond" w:hAnsi="Garamond" w:cs="Times New Roman"/>
          <w:color w:val="000000" w:themeColor="text1"/>
          <w:sz w:val="28"/>
          <w:szCs w:val="28"/>
        </w:rPr>
        <w:t>.</w:t>
      </w:r>
      <w:r w:rsidRPr="00001AA4">
        <w:rPr>
          <w:rFonts w:ascii="Garamond" w:hAnsi="Garamond" w:cs="Times New Roman"/>
          <w:color w:val="000000" w:themeColor="text1"/>
          <w:sz w:val="28"/>
          <w:szCs w:val="28"/>
        </w:rPr>
        <w:t xml:space="preserve"> IV, n</w:t>
      </w:r>
      <w:r>
        <w:rPr>
          <w:rFonts w:ascii="Garamond" w:hAnsi="Garamond" w:cs="Times New Roman"/>
          <w:color w:val="000000" w:themeColor="text1"/>
          <w:sz w:val="28"/>
          <w:szCs w:val="28"/>
        </w:rPr>
        <w:t>n</w:t>
      </w:r>
      <w:r w:rsidRPr="00001AA4">
        <w:rPr>
          <w:rFonts w:ascii="Garamond" w:hAnsi="Garamond" w:cs="Times New Roman"/>
          <w:color w:val="000000" w:themeColor="text1"/>
          <w:sz w:val="28"/>
          <w:szCs w:val="28"/>
        </w:rPr>
        <w:t>. 6583 e 5637 del 2019);</w:t>
      </w:r>
    </w:p>
    <w:p w:rsidR="007B4920" w:rsidRPr="00001AA4" w:rsidRDefault="007B4920" w:rsidP="007B4920">
      <w:pPr>
        <w:pStyle w:val="Paragrafoelenco"/>
        <w:numPr>
          <w:ilvl w:val="0"/>
          <w:numId w:val="24"/>
        </w:numPr>
        <w:spacing w:line="240" w:lineRule="auto"/>
        <w:jc w:val="both"/>
        <w:rPr>
          <w:rFonts w:ascii="Garamond" w:hAnsi="Garamond" w:cs="Times New Roman"/>
          <w:color w:val="000000" w:themeColor="text1"/>
          <w:sz w:val="28"/>
          <w:szCs w:val="28"/>
        </w:rPr>
      </w:pPr>
      <w:r w:rsidRPr="00001AA4">
        <w:rPr>
          <w:rFonts w:ascii="Garamond" w:hAnsi="Garamond" w:cs="Times New Roman"/>
          <w:color w:val="000000" w:themeColor="text1"/>
          <w:sz w:val="28"/>
          <w:szCs w:val="28"/>
        </w:rPr>
        <w:t>il principio secondo cui il G.s.e. non è legittimato a revocare una qualifica oramai riconosciuta, per di più con effetto retroattivo e a revocare le agevolazioni, senza prima avere accertato che l’impianto, al di là di eventuali malfunzionamenti dei misuratori abbia conseguito o meno gli obiettivi imposti dalla legge  che trova conferma nella modifica dell’art. 42 d.lgs. n.28/2011 secondo cui  “</w:t>
      </w:r>
      <w:r w:rsidRPr="00001AA4">
        <w:rPr>
          <w:rFonts w:ascii="Garamond" w:hAnsi="Garamond" w:cs="Times New Roman"/>
          <w:i/>
          <w:color w:val="000000" w:themeColor="text1"/>
          <w:sz w:val="28"/>
          <w:szCs w:val="28"/>
        </w:rPr>
        <w:t>gli effetti dell'annullamento del provvedimento di riconoscimento dei titoli energetici disposto a seguito di verifica, decorrono dall’adozione del provvedimento di esito dell’attività di verifica”</w:t>
      </w:r>
      <w:r w:rsidRPr="00001AA4">
        <w:rPr>
          <w:rFonts w:ascii="Garamond" w:hAnsi="Garamond" w:cs="Times New Roman"/>
          <w:color w:val="000000" w:themeColor="text1"/>
          <w:sz w:val="28"/>
          <w:szCs w:val="28"/>
        </w:rPr>
        <w:t xml:space="preserve"> con salvezza dei titoli già riconosciuti,  si applica </w:t>
      </w:r>
      <w:r>
        <w:rPr>
          <w:rFonts w:ascii="Garamond" w:hAnsi="Garamond" w:cs="Times New Roman"/>
          <w:color w:val="000000" w:themeColor="text1"/>
          <w:sz w:val="28"/>
          <w:szCs w:val="28"/>
        </w:rPr>
        <w:t>esclusivamente</w:t>
      </w:r>
      <w:r w:rsidRPr="00001AA4">
        <w:rPr>
          <w:rFonts w:ascii="Garamond" w:hAnsi="Garamond" w:cs="Times New Roman"/>
          <w:color w:val="000000" w:themeColor="text1"/>
          <w:sz w:val="28"/>
          <w:szCs w:val="28"/>
        </w:rPr>
        <w:t xml:space="preserve"> alla fattispecie disciplinata dal comma 4 dell’art. 11 del d.m. 5 settembre 2011(</w:t>
      </w:r>
      <w:r>
        <w:rPr>
          <w:rFonts w:ascii="Garamond" w:hAnsi="Garamond" w:cs="Times New Roman"/>
          <w:color w:val="000000" w:themeColor="text1"/>
          <w:sz w:val="28"/>
          <w:szCs w:val="28"/>
        </w:rPr>
        <w:t>relativa</w:t>
      </w:r>
      <w:r w:rsidRPr="00001AA4">
        <w:rPr>
          <w:rFonts w:ascii="Garamond" w:hAnsi="Garamond" w:cs="Times New Roman"/>
          <w:color w:val="000000" w:themeColor="text1"/>
          <w:sz w:val="28"/>
          <w:szCs w:val="28"/>
        </w:rPr>
        <w:t xml:space="preserve"> al caso in cui le difformità accertate derivino da carenze impiantistiche o di sistemi di misurazione che non permettano di definire con precisione le grandezze utili per la definizione dell'incentivo economico) e non già quella </w:t>
      </w:r>
      <w:r>
        <w:rPr>
          <w:rFonts w:ascii="Garamond" w:hAnsi="Garamond" w:cs="Times New Roman"/>
          <w:color w:val="000000" w:themeColor="text1"/>
          <w:sz w:val="28"/>
          <w:szCs w:val="28"/>
        </w:rPr>
        <w:t>relativa</w:t>
      </w:r>
      <w:r w:rsidRPr="00001AA4">
        <w:rPr>
          <w:rFonts w:ascii="Garamond" w:hAnsi="Garamond" w:cs="Times New Roman"/>
          <w:color w:val="000000" w:themeColor="text1"/>
          <w:sz w:val="28"/>
          <w:szCs w:val="28"/>
        </w:rPr>
        <w:t xml:space="preserve"> alla difformità tra la dichiarazione resa dall’impresa e la realtà obiett</w:t>
      </w:r>
      <w:r>
        <w:rPr>
          <w:rFonts w:ascii="Garamond" w:hAnsi="Garamond" w:cs="Times New Roman"/>
          <w:color w:val="000000" w:themeColor="text1"/>
          <w:sz w:val="28"/>
          <w:szCs w:val="28"/>
        </w:rPr>
        <w:t>iva</w:t>
      </w:r>
      <w:r w:rsidRPr="00001AA4">
        <w:rPr>
          <w:rFonts w:ascii="Garamond" w:hAnsi="Garamond" w:cs="Times New Roman"/>
          <w:color w:val="000000" w:themeColor="text1"/>
          <w:sz w:val="28"/>
          <w:szCs w:val="28"/>
        </w:rPr>
        <w:t xml:space="preserve"> dell’impianto, disciplinata dal precedente comma 3 (Cons. Stato, sez</w:t>
      </w:r>
      <w:r>
        <w:rPr>
          <w:rFonts w:ascii="Garamond" w:hAnsi="Garamond" w:cs="Times New Roman"/>
          <w:color w:val="000000" w:themeColor="text1"/>
          <w:sz w:val="28"/>
          <w:szCs w:val="28"/>
        </w:rPr>
        <w:t>.</w:t>
      </w:r>
      <w:r w:rsidRPr="00001AA4">
        <w:rPr>
          <w:rFonts w:ascii="Garamond" w:hAnsi="Garamond" w:cs="Times New Roman"/>
          <w:color w:val="000000" w:themeColor="text1"/>
          <w:sz w:val="28"/>
          <w:szCs w:val="28"/>
        </w:rPr>
        <w:t xml:space="preserve"> IV, n. 4840 del 2020);</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p>
    <w:p w:rsidR="007B4920"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10.2. </w:t>
      </w:r>
      <w:r w:rsidRPr="00CF18B7">
        <w:rPr>
          <w:rFonts w:ascii="Garamond" w:hAnsi="Garamond" w:cs="Times New Roman"/>
          <w:b/>
          <w:color w:val="000000" w:themeColor="text1"/>
          <w:sz w:val="28"/>
          <w:szCs w:val="28"/>
        </w:rPr>
        <w:t xml:space="preserve">Gas ad effetto serra prodotti da impianto </w:t>
      </w:r>
      <w:r w:rsidRPr="004E7680">
        <w:rPr>
          <w:rFonts w:ascii="Garamond" w:hAnsi="Garamond" w:cs="Times New Roman"/>
          <w:b/>
          <w:color w:val="000000" w:themeColor="text1"/>
          <w:sz w:val="28"/>
          <w:szCs w:val="28"/>
        </w:rPr>
        <w:t>di</w:t>
      </w:r>
      <w:r>
        <w:rPr>
          <w:rFonts w:ascii="Garamond" w:hAnsi="Garamond" w:cs="Times New Roman"/>
          <w:b/>
          <w:color w:val="000000" w:themeColor="text1"/>
          <w:sz w:val="28"/>
          <w:szCs w:val="28"/>
        </w:rPr>
        <w:t xml:space="preserve"> </w:t>
      </w:r>
      <w:r w:rsidRPr="00CF18B7">
        <w:rPr>
          <w:rFonts w:ascii="Garamond" w:hAnsi="Garamond" w:cs="Times New Roman"/>
          <w:b/>
          <w:color w:val="000000" w:themeColor="text1"/>
          <w:sz w:val="28"/>
          <w:szCs w:val="28"/>
        </w:rPr>
        <w:t>cogenerazione</w:t>
      </w:r>
      <w:r>
        <w:rPr>
          <w:rFonts w:ascii="Garamond" w:hAnsi="Garamond" w:cs="Times New Roman"/>
          <w:b/>
          <w:color w:val="000000" w:themeColor="text1"/>
          <w:sz w:val="28"/>
          <w:szCs w:val="28"/>
        </w:rPr>
        <w:t>.</w:t>
      </w:r>
    </w:p>
    <w:p w:rsidR="007B4920" w:rsidRPr="00BC1199" w:rsidRDefault="007B4920" w:rsidP="007B4920">
      <w:pPr>
        <w:spacing w:line="240" w:lineRule="auto"/>
        <w:ind w:firstLine="709"/>
        <w:contextualSpacing/>
        <w:jc w:val="both"/>
        <w:rPr>
          <w:rFonts w:ascii="Garamond" w:hAnsi="Garamond" w:cs="Times New Roman"/>
          <w:color w:val="000000" w:themeColor="text1"/>
          <w:sz w:val="28"/>
          <w:szCs w:val="28"/>
        </w:rPr>
      </w:pPr>
      <w:r w:rsidRPr="00BC1199">
        <w:rPr>
          <w:rFonts w:ascii="Garamond" w:hAnsi="Garamond" w:cs="Times New Roman"/>
          <w:color w:val="000000" w:themeColor="text1"/>
          <w:sz w:val="28"/>
          <w:szCs w:val="28"/>
        </w:rPr>
        <w:lastRenderedPageBreak/>
        <w:t>Secondo la giurisprudenza della Corte di giustizia</w:t>
      </w:r>
      <w:r>
        <w:rPr>
          <w:rFonts w:ascii="Garamond" w:hAnsi="Garamond" w:cs="Times New Roman"/>
          <w:color w:val="000000" w:themeColor="text1"/>
          <w:sz w:val="28"/>
          <w:szCs w:val="28"/>
        </w:rPr>
        <w:t>,</w:t>
      </w:r>
      <w:r w:rsidRPr="00BC1199">
        <w:rPr>
          <w:rFonts w:ascii="Garamond" w:hAnsi="Garamond" w:cs="Times New Roman"/>
          <w:color w:val="000000" w:themeColor="text1"/>
          <w:sz w:val="28"/>
          <w:szCs w:val="28"/>
        </w:rPr>
        <w:t xml:space="preserve"> l’articolo 3, lettere e) e f), della </w:t>
      </w:r>
      <w:r>
        <w:rPr>
          <w:rFonts w:ascii="Garamond" w:hAnsi="Garamond" w:cs="Times New Roman"/>
          <w:color w:val="000000" w:themeColor="text1"/>
          <w:sz w:val="28"/>
          <w:szCs w:val="28"/>
        </w:rPr>
        <w:t>direttiva</w:t>
      </w:r>
      <w:r w:rsidRPr="00BC1199">
        <w:rPr>
          <w:rFonts w:ascii="Garamond" w:hAnsi="Garamond" w:cs="Times New Roman"/>
          <w:color w:val="000000" w:themeColor="text1"/>
          <w:sz w:val="28"/>
          <w:szCs w:val="28"/>
        </w:rPr>
        <w:t xml:space="preserve"> 2003/87/CE del Parlamento europeo e del Consiglio,</w:t>
      </w:r>
      <w:r>
        <w:rPr>
          <w:rFonts w:ascii="Garamond" w:hAnsi="Garamond" w:cs="Times New Roman"/>
          <w:color w:val="000000" w:themeColor="text1"/>
          <w:sz w:val="28"/>
          <w:szCs w:val="28"/>
        </w:rPr>
        <w:t xml:space="preserve"> del 13 ottobre 2003 - </w:t>
      </w:r>
      <w:r w:rsidRPr="00BC1199">
        <w:rPr>
          <w:rFonts w:ascii="Garamond" w:hAnsi="Garamond" w:cs="Times New Roman"/>
          <w:color w:val="000000" w:themeColor="text1"/>
          <w:sz w:val="28"/>
          <w:szCs w:val="28"/>
        </w:rPr>
        <w:t>che istituisce un sistema per lo scambio di quote di emissioni dei gas a</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 xml:space="preserve">effetto serra nella Comunità e che modifica la </w:t>
      </w:r>
      <w:r>
        <w:rPr>
          <w:rFonts w:ascii="Garamond" w:hAnsi="Garamond" w:cs="Times New Roman"/>
          <w:color w:val="000000" w:themeColor="text1"/>
          <w:sz w:val="28"/>
          <w:szCs w:val="28"/>
        </w:rPr>
        <w:t>direttiva</w:t>
      </w:r>
      <w:r w:rsidRPr="00BC1199">
        <w:rPr>
          <w:rFonts w:ascii="Garamond" w:hAnsi="Garamond" w:cs="Times New Roman"/>
          <w:color w:val="000000" w:themeColor="text1"/>
          <w:sz w:val="28"/>
          <w:szCs w:val="28"/>
        </w:rPr>
        <w:t xml:space="preserve"> 96/61/CE del Consiglio, come</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 xml:space="preserve">modificata dalla </w:t>
      </w:r>
      <w:r>
        <w:rPr>
          <w:rFonts w:ascii="Garamond" w:hAnsi="Garamond" w:cs="Times New Roman"/>
          <w:color w:val="000000" w:themeColor="text1"/>
          <w:sz w:val="28"/>
          <w:szCs w:val="28"/>
        </w:rPr>
        <w:t>direttiva</w:t>
      </w:r>
      <w:r w:rsidRPr="00BC1199">
        <w:rPr>
          <w:rFonts w:ascii="Garamond" w:hAnsi="Garamond" w:cs="Times New Roman"/>
          <w:color w:val="000000" w:themeColor="text1"/>
          <w:sz w:val="28"/>
          <w:szCs w:val="28"/>
        </w:rPr>
        <w:t xml:space="preserve"> 2009/29/CE del Parlamento europeo e del Consiglio, del 23 aprile2009, in combinato disposto con i punti 2 e</w:t>
      </w:r>
      <w:r>
        <w:rPr>
          <w:rFonts w:ascii="Garamond" w:hAnsi="Garamond" w:cs="Times New Roman"/>
          <w:color w:val="000000" w:themeColor="text1"/>
          <w:sz w:val="28"/>
          <w:szCs w:val="28"/>
        </w:rPr>
        <w:t xml:space="preserve"> 3 dell’allegato I della stessa -</w:t>
      </w:r>
      <w:r w:rsidRPr="00BC1199">
        <w:rPr>
          <w:rFonts w:ascii="Garamond" w:hAnsi="Garamond" w:cs="Times New Roman"/>
          <w:color w:val="000000" w:themeColor="text1"/>
          <w:sz w:val="28"/>
          <w:szCs w:val="28"/>
        </w:rPr>
        <w:t xml:space="preserve"> deve essere</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interpretato nel senso che esso non osta a che il proprietario di uno stabilimento produttivo</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dotato di una centrale termica</w:t>
      </w:r>
      <w:r>
        <w:rPr>
          <w:rFonts w:ascii="Garamond" w:hAnsi="Garamond" w:cs="Times New Roman"/>
          <w:color w:val="000000" w:themeColor="text1"/>
          <w:sz w:val="28"/>
          <w:szCs w:val="28"/>
        </w:rPr>
        <w:t>,</w:t>
      </w:r>
      <w:r w:rsidRPr="00BC1199">
        <w:rPr>
          <w:rFonts w:ascii="Garamond" w:hAnsi="Garamond" w:cs="Times New Roman"/>
          <w:color w:val="000000" w:themeColor="text1"/>
          <w:sz w:val="28"/>
          <w:szCs w:val="28"/>
        </w:rPr>
        <w:t xml:space="preserve"> la cui attività rientra nell’ambito di applicazione di tale</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allegato I</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 xml:space="preserve"> possa ottenere un aggiornamento della sua autorizzazione ad emettere gas a effetto</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 xml:space="preserve">serra, ai sensi dell’articolo 7 di tale </w:t>
      </w:r>
      <w:r>
        <w:rPr>
          <w:rFonts w:ascii="Garamond" w:hAnsi="Garamond" w:cs="Times New Roman"/>
          <w:color w:val="000000" w:themeColor="text1"/>
          <w:sz w:val="28"/>
          <w:szCs w:val="28"/>
        </w:rPr>
        <w:t>direttiva</w:t>
      </w:r>
      <w:r w:rsidRPr="00BC1199">
        <w:rPr>
          <w:rFonts w:ascii="Garamond" w:hAnsi="Garamond" w:cs="Times New Roman"/>
          <w:color w:val="000000" w:themeColor="text1"/>
          <w:sz w:val="28"/>
          <w:szCs w:val="28"/>
        </w:rPr>
        <w:t>, se ha ceduto un’unità di cogenerazione situata</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nello stesso sito industriale di tale stabilimento ed esercente un’attività con una capacità</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inferiore alla soglia stabilita in detto allegato I ad un’impresa specializzata nel settore</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dell’</w:t>
      </w:r>
      <w:r>
        <w:rPr>
          <w:rFonts w:ascii="Garamond" w:hAnsi="Garamond" w:cs="Times New Roman"/>
          <w:color w:val="000000" w:themeColor="text1"/>
          <w:sz w:val="28"/>
          <w:szCs w:val="28"/>
        </w:rPr>
        <w:t>energia</w:t>
      </w:r>
      <w:r w:rsidRPr="00BC1199">
        <w:rPr>
          <w:rFonts w:ascii="Garamond" w:hAnsi="Garamond" w:cs="Times New Roman"/>
          <w:color w:val="000000" w:themeColor="text1"/>
          <w:sz w:val="28"/>
          <w:szCs w:val="28"/>
        </w:rPr>
        <w:t>, concludendo con tale impresa un contratto che prevede, in particolare, la</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fornitura a detto stabilimento dell’</w:t>
      </w:r>
      <w:r>
        <w:rPr>
          <w:rFonts w:ascii="Garamond" w:hAnsi="Garamond" w:cs="Times New Roman"/>
          <w:color w:val="000000" w:themeColor="text1"/>
          <w:sz w:val="28"/>
          <w:szCs w:val="28"/>
        </w:rPr>
        <w:t>energia</w:t>
      </w:r>
      <w:r w:rsidRPr="00BC1199">
        <w:rPr>
          <w:rFonts w:ascii="Garamond" w:hAnsi="Garamond" w:cs="Times New Roman"/>
          <w:color w:val="000000" w:themeColor="text1"/>
          <w:sz w:val="28"/>
          <w:szCs w:val="28"/>
        </w:rPr>
        <w:t xml:space="preserve"> prodotta da tale unità di cogenerazione, sempre</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che la centrale termica e l’unità di cogenerazione non costituiscano un solo ed unico</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 xml:space="preserve">impianto, ai sensi dell’articolo 3, lettera e), di detta </w:t>
      </w:r>
      <w:r>
        <w:rPr>
          <w:rFonts w:ascii="Garamond" w:hAnsi="Garamond" w:cs="Times New Roman"/>
          <w:color w:val="000000" w:themeColor="text1"/>
          <w:sz w:val="28"/>
          <w:szCs w:val="28"/>
        </w:rPr>
        <w:t>direttiva</w:t>
      </w:r>
      <w:r w:rsidRPr="00BC1199">
        <w:rPr>
          <w:rFonts w:ascii="Garamond" w:hAnsi="Garamond" w:cs="Times New Roman"/>
          <w:color w:val="000000" w:themeColor="text1"/>
          <w:sz w:val="28"/>
          <w:szCs w:val="28"/>
        </w:rPr>
        <w:t>, e che, in ogni caso, il</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proprietario dello stabilimento produttivo non sia più il gestore dell’unità di cogenerazione,</w:t>
      </w:r>
      <w:r>
        <w:rPr>
          <w:rFonts w:ascii="Garamond" w:hAnsi="Garamond" w:cs="Times New Roman"/>
          <w:color w:val="000000" w:themeColor="text1"/>
          <w:sz w:val="28"/>
          <w:szCs w:val="28"/>
        </w:rPr>
        <w:t xml:space="preserve"> </w:t>
      </w:r>
      <w:r w:rsidRPr="00BC1199">
        <w:rPr>
          <w:rFonts w:ascii="Garamond" w:hAnsi="Garamond" w:cs="Times New Roman"/>
          <w:color w:val="000000" w:themeColor="text1"/>
          <w:sz w:val="28"/>
          <w:szCs w:val="28"/>
        </w:rPr>
        <w:t>ai sensi dell’articolo 3, lette</w:t>
      </w:r>
      <w:r>
        <w:rPr>
          <w:rFonts w:ascii="Garamond" w:hAnsi="Garamond" w:cs="Times New Roman"/>
          <w:color w:val="000000" w:themeColor="text1"/>
          <w:sz w:val="28"/>
          <w:szCs w:val="28"/>
        </w:rPr>
        <w:t xml:space="preserve">ra f), della medesima direttiva [Corte di giustizia UE, 29 aprile 2021, C- 617/19 resa sulle questioni di rinvio pregiudiziale deferite da T.a.r. per il Lazio, sez. II </w:t>
      </w:r>
      <w:r w:rsidRPr="00001AA4">
        <w:rPr>
          <w:rFonts w:ascii="Garamond" w:hAnsi="Garamond" w:cs="Times New Roman"/>
          <w:i/>
          <w:color w:val="000000" w:themeColor="text1"/>
          <w:sz w:val="28"/>
          <w:szCs w:val="28"/>
        </w:rPr>
        <w:t>bis,</w:t>
      </w:r>
      <w:r>
        <w:rPr>
          <w:rFonts w:ascii="Garamond" w:hAnsi="Garamond" w:cs="Times New Roman"/>
          <w:color w:val="000000" w:themeColor="text1"/>
          <w:sz w:val="28"/>
          <w:szCs w:val="28"/>
        </w:rPr>
        <w:t xml:space="preserve"> n. 9951 del 2019; le questioni pregiudiziali </w:t>
      </w:r>
      <w:r w:rsidRPr="00CA5531">
        <w:rPr>
          <w:rFonts w:ascii="Garamond" w:hAnsi="Garamond" w:cs="Times New Roman"/>
          <w:color w:val="000000" w:themeColor="text1"/>
          <w:sz w:val="28"/>
          <w:szCs w:val="28"/>
        </w:rPr>
        <w:t>son</w:t>
      </w:r>
      <w:r>
        <w:rPr>
          <w:rFonts w:ascii="Garamond" w:hAnsi="Garamond" w:cs="Times New Roman"/>
          <w:color w:val="000000" w:themeColor="text1"/>
          <w:sz w:val="28"/>
          <w:szCs w:val="28"/>
        </w:rPr>
        <w:t xml:space="preserve">o state poste relativamente ad una fattispecie in cui </w:t>
      </w:r>
      <w:r w:rsidRPr="00CA5531">
        <w:rPr>
          <w:rFonts w:ascii="Garamond" w:hAnsi="Garamond" w:cs="Times New Roman"/>
          <w:color w:val="000000" w:themeColor="text1"/>
          <w:sz w:val="28"/>
          <w:szCs w:val="28"/>
        </w:rPr>
        <w:t xml:space="preserve"> un cogeneratore costruito da un operatore economico sul proprio sito industriale per il fabbi</w:t>
      </w:r>
      <w:r>
        <w:rPr>
          <w:rFonts w:ascii="Garamond" w:hAnsi="Garamond" w:cs="Times New Roman"/>
          <w:color w:val="000000" w:themeColor="text1"/>
          <w:sz w:val="28"/>
          <w:szCs w:val="28"/>
        </w:rPr>
        <w:t xml:space="preserve">sogno della propria produzione era stato </w:t>
      </w:r>
      <w:r w:rsidRPr="00CA5531">
        <w:rPr>
          <w:rFonts w:ascii="Garamond" w:hAnsi="Garamond" w:cs="Times New Roman"/>
          <w:color w:val="000000" w:themeColor="text1"/>
          <w:sz w:val="28"/>
          <w:szCs w:val="28"/>
        </w:rPr>
        <w:t xml:space="preserve">poi ceduto (con cessione di ramo d’azienda) ad altro operatore energetico, quest’ultimo contrattualmente obbligato a produrre </w:t>
      </w:r>
      <w:r>
        <w:rPr>
          <w:rFonts w:ascii="Garamond" w:hAnsi="Garamond" w:cs="Times New Roman"/>
          <w:color w:val="000000" w:themeColor="text1"/>
          <w:sz w:val="28"/>
          <w:szCs w:val="28"/>
        </w:rPr>
        <w:t>energia</w:t>
      </w:r>
      <w:r w:rsidRPr="00CA5531">
        <w:rPr>
          <w:rFonts w:ascii="Garamond" w:hAnsi="Garamond" w:cs="Times New Roman"/>
          <w:color w:val="000000" w:themeColor="text1"/>
          <w:sz w:val="28"/>
          <w:szCs w:val="28"/>
        </w:rPr>
        <w:t xml:space="preserve"> per lo stabilimento produttivo origina</w:t>
      </w:r>
      <w:r>
        <w:rPr>
          <w:rFonts w:ascii="Garamond" w:hAnsi="Garamond" w:cs="Times New Roman"/>
          <w:color w:val="000000" w:themeColor="text1"/>
          <w:sz w:val="28"/>
          <w:szCs w:val="28"/>
        </w:rPr>
        <w:t>rio presso il quale l’impianto era rimasto allocato; il ricorrente  aveva lamentato  al riguardo l’illegittimità dell’interpretazione</w:t>
      </w:r>
      <w:r w:rsidRPr="00CA5531">
        <w:rPr>
          <w:rFonts w:ascii="Garamond" w:hAnsi="Garamond" w:cs="Times New Roman"/>
          <w:color w:val="000000" w:themeColor="text1"/>
          <w:sz w:val="28"/>
          <w:szCs w:val="28"/>
        </w:rPr>
        <w:t xml:space="preserve"> fornita dal Comitato ETS, secondo cui il contratto di fornitura di servizi energetici nel caso di specie sarebbe stato di per sé sufficiente a conservare in capo al soggetto cedente, pur dopo il trasferimento del ramo di azienda comprendente l’impianto di cogenerazione, un potere gestorio e di controllo delle emissioni del cogeneratore</w:t>
      </w:r>
      <w:r>
        <w:rPr>
          <w:rFonts w:ascii="Garamond" w:hAnsi="Garamond" w:cs="Times New Roman"/>
          <w:color w:val="000000" w:themeColor="text1"/>
          <w:sz w:val="28"/>
          <w:szCs w:val="28"/>
        </w:rPr>
        <w:t>)].</w:t>
      </w:r>
    </w:p>
    <w:p w:rsidR="007B4920" w:rsidRDefault="007B4920" w:rsidP="007B4920">
      <w:pPr>
        <w:spacing w:line="240" w:lineRule="auto"/>
        <w:contextualSpacing/>
        <w:jc w:val="both"/>
        <w:rPr>
          <w:rFonts w:ascii="Garamond" w:hAnsi="Garamond" w:cs="Times New Roman"/>
          <w:b/>
          <w:color w:val="000000" w:themeColor="text1"/>
          <w:sz w:val="28"/>
          <w:szCs w:val="28"/>
        </w:rPr>
      </w:pPr>
    </w:p>
    <w:p w:rsidR="007B4920"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11</w:t>
      </w:r>
      <w:r w:rsidRPr="00873D55">
        <w:rPr>
          <w:rFonts w:ascii="Garamond" w:hAnsi="Garamond" w:cs="Times New Roman"/>
          <w:b/>
          <w:color w:val="000000" w:themeColor="text1"/>
          <w:sz w:val="28"/>
          <w:szCs w:val="28"/>
        </w:rPr>
        <w:t>.</w:t>
      </w:r>
      <w:r w:rsidRPr="00873D55">
        <w:rPr>
          <w:rFonts w:ascii="Garamond" w:hAnsi="Garamond" w:cs="Times New Roman"/>
          <w:b/>
          <w:color w:val="000000" w:themeColor="text1"/>
          <w:sz w:val="28"/>
          <w:szCs w:val="28"/>
        </w:rPr>
        <w:tab/>
        <w:t>Il potere di disporre l’erogazione dei benefici e la decadenza</w:t>
      </w:r>
      <w:r>
        <w:rPr>
          <w:rFonts w:ascii="Garamond" w:hAnsi="Garamond" w:cs="Times New Roman"/>
          <w:b/>
          <w:color w:val="000000" w:themeColor="text1"/>
          <w:sz w:val="28"/>
          <w:szCs w:val="28"/>
        </w:rPr>
        <w:t>.</w:t>
      </w:r>
    </w:p>
    <w:p w:rsidR="007B4920" w:rsidRPr="00A10A89" w:rsidRDefault="007B4920" w:rsidP="007B4920">
      <w:pPr>
        <w:spacing w:line="240" w:lineRule="auto"/>
        <w:contextualSpacing/>
        <w:jc w:val="both"/>
        <w:rPr>
          <w:rFonts w:ascii="Garamond" w:hAnsi="Garamond" w:cs="Times New Roman"/>
          <w:b/>
          <w:sz w:val="28"/>
          <w:szCs w:val="28"/>
        </w:rPr>
      </w:pPr>
      <w:r w:rsidRPr="004E7680">
        <w:rPr>
          <w:rFonts w:ascii="Garamond" w:hAnsi="Garamond" w:cs="Times New Roman"/>
          <w:b/>
          <w:sz w:val="28"/>
          <w:szCs w:val="28"/>
        </w:rPr>
        <w:t>11.1. L’attribuzione del beneficio.</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L’art. 7 del d.lgs. n. 387 del </w:t>
      </w:r>
      <w:r w:rsidRPr="00873D55">
        <w:rPr>
          <w:rFonts w:ascii="Garamond" w:hAnsi="Garamond" w:cs="Times New Roman"/>
          <w:color w:val="000000" w:themeColor="text1"/>
          <w:sz w:val="28"/>
          <w:szCs w:val="28"/>
        </w:rPr>
        <w:t>2003 (oggi abrogato dall’art. 25, comma 11, lett. b, n. 3, d.lgs. 3 marzo 2011, n. 28) demandava ad appositi decreti ministeriali la definizione dei criteri per l’</w:t>
      </w:r>
      <w:r>
        <w:rPr>
          <w:rFonts w:ascii="Garamond" w:hAnsi="Garamond" w:cs="Times New Roman"/>
          <w:color w:val="000000" w:themeColor="text1"/>
          <w:sz w:val="28"/>
          <w:szCs w:val="28"/>
        </w:rPr>
        <w:t>incentivazione</w:t>
      </w:r>
      <w:r w:rsidRPr="00873D55">
        <w:rPr>
          <w:rFonts w:ascii="Garamond" w:hAnsi="Garamond" w:cs="Times New Roman"/>
          <w:color w:val="000000" w:themeColor="text1"/>
          <w:sz w:val="28"/>
          <w:szCs w:val="28"/>
        </w:rPr>
        <w:t xml:space="preserve"> della produzione di </w:t>
      </w:r>
      <w:r>
        <w:rPr>
          <w:rFonts w:ascii="Garamond" w:hAnsi="Garamond" w:cs="Times New Roman"/>
          <w:color w:val="000000" w:themeColor="text1"/>
          <w:sz w:val="28"/>
          <w:szCs w:val="28"/>
        </w:rPr>
        <w:t>energia</w:t>
      </w:r>
      <w:r w:rsidRPr="00873D55">
        <w:rPr>
          <w:rFonts w:ascii="Garamond" w:hAnsi="Garamond" w:cs="Times New Roman"/>
          <w:color w:val="000000" w:themeColor="text1"/>
          <w:sz w:val="28"/>
          <w:szCs w:val="28"/>
        </w:rPr>
        <w:t xml:space="preserve"> elettrica, ivi compresa la fissazione dei requisiti soggettivi, di quelli tecnici minimi dei componenti e degli impianti, delle condizioni di cumulabilità con altri incentivi e delle modalità di determinazione della tariffa incent</w:t>
      </w:r>
      <w:r>
        <w:rPr>
          <w:rFonts w:ascii="Garamond" w:hAnsi="Garamond" w:cs="Times New Roman"/>
          <w:color w:val="000000" w:themeColor="text1"/>
          <w:sz w:val="28"/>
          <w:szCs w:val="28"/>
        </w:rPr>
        <w:t>iva</w:t>
      </w:r>
      <w:r w:rsidRPr="00873D55">
        <w:rPr>
          <w:rFonts w:ascii="Garamond" w:hAnsi="Garamond" w:cs="Times New Roman"/>
          <w:color w:val="000000" w:themeColor="text1"/>
          <w:sz w:val="28"/>
          <w:szCs w:val="28"/>
        </w:rPr>
        <w:t>nte.</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 xml:space="preserve">In attuazione di tale disciplina l’art. 9 d.m. 28 luglio 2005 ha affidato all’Autorità di regolazione l’individuazione del soggetto erogatore delle tariffe </w:t>
      </w:r>
      <w:r>
        <w:rPr>
          <w:rFonts w:ascii="Garamond" w:hAnsi="Garamond" w:cs="Times New Roman"/>
          <w:color w:val="000000" w:themeColor="text1"/>
          <w:sz w:val="28"/>
          <w:szCs w:val="28"/>
        </w:rPr>
        <w:t>incentivanti</w:t>
      </w:r>
      <w:r w:rsidRPr="00873D55">
        <w:rPr>
          <w:rFonts w:ascii="Garamond" w:hAnsi="Garamond" w:cs="Times New Roman"/>
          <w:color w:val="000000" w:themeColor="text1"/>
          <w:sz w:val="28"/>
          <w:szCs w:val="28"/>
        </w:rPr>
        <w:t>, delle modalità e delle condizioni di erogazione, “ivi inclusa la verifica del rispetto delle disposizioni degli articoli 4 e 10, tenuto conto di quanto disposto agli articoli 12 e 13”.</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L’</w:t>
      </w:r>
      <w:r>
        <w:rPr>
          <w:rFonts w:ascii="Garamond" w:hAnsi="Garamond" w:cs="Times New Roman"/>
          <w:color w:val="000000" w:themeColor="text1"/>
          <w:sz w:val="28"/>
          <w:szCs w:val="28"/>
        </w:rPr>
        <w:t xml:space="preserve">AEEG, </w:t>
      </w:r>
      <w:r w:rsidRPr="00873D55">
        <w:rPr>
          <w:rFonts w:ascii="Garamond" w:hAnsi="Garamond" w:cs="Times New Roman"/>
          <w:color w:val="000000" w:themeColor="text1"/>
          <w:sz w:val="28"/>
          <w:szCs w:val="28"/>
        </w:rPr>
        <w:t>con delibera n. 188/2005</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 xml:space="preserve"> ha individuato nel G</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 xml:space="preserve"> il soggetto erogatore delle tariffe, a cui competono anche poteri di verifica dei requisiti di ammissione, </w:t>
      </w:r>
      <w:r w:rsidRPr="00873D55">
        <w:rPr>
          <w:rFonts w:ascii="Garamond" w:hAnsi="Garamond" w:cs="Times New Roman"/>
          <w:color w:val="000000" w:themeColor="text1"/>
          <w:sz w:val="28"/>
          <w:szCs w:val="28"/>
        </w:rPr>
        <w:lastRenderedPageBreak/>
        <w:t xml:space="preserve">prevedendo che l’esisto negativo della verifica avrebbe comportato la non ammissione alle tariffe </w:t>
      </w:r>
      <w:r>
        <w:rPr>
          <w:rFonts w:ascii="Garamond" w:hAnsi="Garamond" w:cs="Times New Roman"/>
          <w:color w:val="000000" w:themeColor="text1"/>
          <w:sz w:val="28"/>
          <w:szCs w:val="28"/>
        </w:rPr>
        <w:t>incentivanti</w:t>
      </w:r>
      <w:r w:rsidRPr="00873D55">
        <w:rPr>
          <w:rFonts w:ascii="Garamond" w:hAnsi="Garamond" w:cs="Times New Roman"/>
          <w:color w:val="000000" w:themeColor="text1"/>
          <w:sz w:val="28"/>
          <w:szCs w:val="28"/>
        </w:rPr>
        <w:t xml:space="preserve">, la decadenza dalle tariffe </w:t>
      </w:r>
      <w:r>
        <w:rPr>
          <w:rFonts w:ascii="Garamond" w:hAnsi="Garamond" w:cs="Times New Roman"/>
          <w:color w:val="000000" w:themeColor="text1"/>
          <w:sz w:val="28"/>
          <w:szCs w:val="28"/>
        </w:rPr>
        <w:t>incentivanti</w:t>
      </w:r>
      <w:r w:rsidRPr="00873D55">
        <w:rPr>
          <w:rFonts w:ascii="Garamond" w:hAnsi="Garamond" w:cs="Times New Roman"/>
          <w:color w:val="000000" w:themeColor="text1"/>
          <w:sz w:val="28"/>
          <w:szCs w:val="28"/>
        </w:rPr>
        <w:t xml:space="preserve"> già ammesse o l’obbligo di restituzione delle tariffe già percepite (art. 6 punto 6.7 della delibera).</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La giurisprudenza ha al riguardo ritenuto che tra le modalità e le condizioni per l’erogazione del beneficio,</w:t>
      </w:r>
      <w:r>
        <w:rPr>
          <w:rFonts w:ascii="Garamond" w:hAnsi="Garamond" w:cs="Times New Roman"/>
          <w:color w:val="000000" w:themeColor="text1"/>
          <w:sz w:val="28"/>
          <w:szCs w:val="28"/>
        </w:rPr>
        <w:t xml:space="preserve"> che l’art. 7 del d.lgs. n. 387 del </w:t>
      </w:r>
      <w:r w:rsidRPr="00873D55">
        <w:rPr>
          <w:rFonts w:ascii="Garamond" w:hAnsi="Garamond" w:cs="Times New Roman"/>
          <w:color w:val="000000" w:themeColor="text1"/>
          <w:sz w:val="28"/>
          <w:szCs w:val="28"/>
        </w:rPr>
        <w:t>2003 demandava alla fonte secondaria, era logicamente compresa anche la verifica in concreto dei requisiti, soggettivi e oggettivi, per l’</w:t>
      </w:r>
      <w:r>
        <w:rPr>
          <w:rFonts w:ascii="Garamond" w:hAnsi="Garamond" w:cs="Times New Roman"/>
          <w:color w:val="000000" w:themeColor="text1"/>
          <w:sz w:val="28"/>
          <w:szCs w:val="28"/>
        </w:rPr>
        <w:t>incentivazione</w:t>
      </w:r>
      <w:r w:rsidRPr="00873D55">
        <w:rPr>
          <w:rFonts w:ascii="Garamond" w:hAnsi="Garamond" w:cs="Times New Roman"/>
          <w:color w:val="000000" w:themeColor="text1"/>
          <w:sz w:val="28"/>
          <w:szCs w:val="28"/>
        </w:rPr>
        <w:t>, in assenza dei quali il beneficio non avrebbe potuto essere erogato o, se erogato, avrebbe dovuto essere recuperato, secondo le regole generali della ripetizione dell’indebito, non potendo il potere di concessione di benefici economici essere dissociato dal potere di verifica della ricorrenza dei presupposti e dei requisiti a cui la legge subordina l’erogazione, con il corollario della non ammissione, della decadenza e del recupero delle somme in caso di esito negativo della verifica.</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 xml:space="preserve">Pertanto la giurisprudenza </w:t>
      </w:r>
      <w:r>
        <w:rPr>
          <w:rFonts w:ascii="Garamond" w:hAnsi="Garamond" w:cs="Times New Roman"/>
          <w:color w:val="000000" w:themeColor="text1"/>
          <w:sz w:val="28"/>
          <w:szCs w:val="28"/>
        </w:rPr>
        <w:t>relativa</w:t>
      </w:r>
      <w:r w:rsidRPr="00873D55">
        <w:rPr>
          <w:rFonts w:ascii="Garamond" w:hAnsi="Garamond" w:cs="Times New Roman"/>
          <w:color w:val="000000" w:themeColor="text1"/>
          <w:sz w:val="28"/>
          <w:szCs w:val="28"/>
        </w:rPr>
        <w:t xml:space="preserve">mente a fattispecie </w:t>
      </w:r>
      <w:r w:rsidRPr="001900A1">
        <w:rPr>
          <w:rFonts w:ascii="Garamond" w:hAnsi="Garamond" w:cs="Times New Roman"/>
          <w:i/>
          <w:color w:val="000000" w:themeColor="text1"/>
          <w:sz w:val="28"/>
          <w:szCs w:val="28"/>
        </w:rPr>
        <w:t>ratione temporis</w:t>
      </w:r>
      <w:r w:rsidRPr="00873D55">
        <w:rPr>
          <w:rFonts w:ascii="Garamond" w:hAnsi="Garamond" w:cs="Times New Roman"/>
          <w:color w:val="000000" w:themeColor="text1"/>
          <w:sz w:val="28"/>
          <w:szCs w:val="28"/>
        </w:rPr>
        <w:t xml:space="preserve"> non regolate dall’art. 42 d.lgs. 28 del 2011, perché antecedenti la sua entrata in vigore,  ha ritenuto che  il potere di verifica e di conseguente decadenza è strumentale al potere di ammissione al finanziamento, con la conseguenza che il riconoscimento del primo è inscindibilmente connesso all’attribuzione del secondo, anche in coerenza con la teoria dei poteri impliciti, elaborata in relazione alle Autorità indipendenti (</w:t>
      </w:r>
      <w:r w:rsidRPr="00EC42A8">
        <w:rPr>
          <w:rFonts w:ascii="Garamond" w:hAnsi="Garamond" w:cs="Times New Roman"/>
          <w:color w:val="000000" w:themeColor="text1"/>
          <w:sz w:val="28"/>
          <w:szCs w:val="28"/>
        </w:rPr>
        <w:t>Cons. Stato, sez. IV n. 640 del 2023 che peraltro ha ritenuto applicabile alla fattispecie sottoposta al suo esame l’art. 42 comma 3 d.lgs. 28 del 2011 per essere il procedimento di verifica iniziato dopo la sua entrata in vigore</w:t>
      </w:r>
      <w:r>
        <w:rPr>
          <w:rFonts w:ascii="Garamond" w:hAnsi="Garamond" w:cs="Times New Roman"/>
          <w:color w:val="000000" w:themeColor="text1"/>
          <w:sz w:val="28"/>
          <w:szCs w:val="28"/>
        </w:rPr>
        <w:t xml:space="preserve">, con richiamo a </w:t>
      </w:r>
      <w:r w:rsidRPr="00873D55">
        <w:rPr>
          <w:rFonts w:ascii="Garamond" w:hAnsi="Garamond" w:cs="Times New Roman"/>
          <w:color w:val="000000" w:themeColor="text1"/>
          <w:sz w:val="28"/>
          <w:szCs w:val="28"/>
        </w:rPr>
        <w:t>Corte cost. 7 aprile 2017, n. 69; Cons. Stato, sez. VI, 14 dicembre 2020 n. 7972, 4 febbraio 2020 n. 879).</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Con l’entrata in vigore del d.lgs.</w:t>
      </w:r>
      <w:r>
        <w:rPr>
          <w:rFonts w:ascii="Garamond" w:hAnsi="Garamond" w:cs="Times New Roman"/>
          <w:color w:val="000000" w:themeColor="text1"/>
          <w:sz w:val="28"/>
          <w:szCs w:val="28"/>
        </w:rPr>
        <w:t xml:space="preserve"> n. </w:t>
      </w:r>
      <w:r w:rsidRPr="00873D55">
        <w:rPr>
          <w:rFonts w:ascii="Garamond" w:hAnsi="Garamond" w:cs="Times New Roman"/>
          <w:color w:val="000000" w:themeColor="text1"/>
          <w:sz w:val="28"/>
          <w:szCs w:val="28"/>
        </w:rPr>
        <w:t xml:space="preserve"> 28</w:t>
      </w:r>
      <w:r>
        <w:rPr>
          <w:rFonts w:ascii="Garamond" w:hAnsi="Garamond" w:cs="Times New Roman"/>
          <w:color w:val="000000" w:themeColor="text1"/>
          <w:sz w:val="28"/>
          <w:szCs w:val="28"/>
        </w:rPr>
        <w:t xml:space="preserve"> del 2011, la disciplina si rinviene ne</w:t>
      </w:r>
      <w:r w:rsidRPr="00873D55">
        <w:rPr>
          <w:rFonts w:ascii="Garamond" w:hAnsi="Garamond" w:cs="Times New Roman"/>
          <w:color w:val="000000" w:themeColor="text1"/>
          <w:sz w:val="28"/>
          <w:szCs w:val="28"/>
        </w:rPr>
        <w:t>ll’art. 42 del medesimo testo normativo.</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Ai sensi di detto disposto</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 xml:space="preserve"> l'erogazione di incentivi nei settori elettrico, termico e dell'efficienza energetica, di competenza del G</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 è subordinata alla verifica dei dati forniti dai soggetti responsabili che presentano istanza. La verifica, che può essere affidata anche agli enti controllati dal G</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 è effettuata attraverso il controllo della documentazione trasmessa, nonché con controlli a campione sugli impianti (1° comma).</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Il successivo 3° comma, nella sua formulazione originaria</w:t>
      </w:r>
      <w:r>
        <w:rPr>
          <w:rFonts w:ascii="Garamond" w:hAnsi="Garamond" w:cs="Times New Roman"/>
          <w:color w:val="000000" w:themeColor="text1"/>
          <w:sz w:val="28"/>
          <w:szCs w:val="28"/>
        </w:rPr>
        <w:t xml:space="preserve">, </w:t>
      </w:r>
      <w:r w:rsidRPr="00873D55">
        <w:rPr>
          <w:rFonts w:ascii="Garamond" w:hAnsi="Garamond" w:cs="Times New Roman"/>
          <w:color w:val="000000" w:themeColor="text1"/>
          <w:sz w:val="28"/>
          <w:szCs w:val="28"/>
        </w:rPr>
        <w:t xml:space="preserve"> p</w:t>
      </w:r>
      <w:r>
        <w:rPr>
          <w:rFonts w:ascii="Garamond" w:hAnsi="Garamond" w:cs="Times New Roman"/>
          <w:color w:val="000000" w:themeColor="text1"/>
          <w:sz w:val="28"/>
          <w:szCs w:val="28"/>
        </w:rPr>
        <w:t>revedeva che:</w:t>
      </w:r>
      <w:r w:rsidRPr="00873D55">
        <w:rPr>
          <w:rFonts w:ascii="Garamond" w:hAnsi="Garamond" w:cs="Times New Roman"/>
          <w:color w:val="000000" w:themeColor="text1"/>
          <w:sz w:val="28"/>
          <w:szCs w:val="28"/>
        </w:rPr>
        <w:t xml:space="preserve"> «</w:t>
      </w:r>
      <w:r w:rsidRPr="00EC42A8">
        <w:rPr>
          <w:rFonts w:ascii="Garamond" w:hAnsi="Garamond" w:cs="Times New Roman"/>
          <w:i/>
          <w:color w:val="000000" w:themeColor="text1"/>
          <w:sz w:val="28"/>
          <w:szCs w:val="28"/>
        </w:rPr>
        <w:t>Nel caso in cui le violazioni riscontrate nell'ambito dei controlli di cui al 1° e 2° comma siano rilevanti ai fini dell'erogazione degli incentivi, il Gse dispone il rigetto dell'istanza ovvero la decadenza dagli incentivi, nonché il recupero delle somme già erogate, e trasmette all'autorità l'esito degli accertamenti effettuati per l'applicazione delle sanzioni di cui all'art. 2, 20° comma, lett. c), l. 14 novembre 1995 n. 481</w:t>
      </w:r>
      <w:r w:rsidRPr="00873D55">
        <w:rPr>
          <w:rFonts w:ascii="Garamond" w:hAnsi="Garamond" w:cs="Times New Roman"/>
          <w:color w:val="000000" w:themeColor="text1"/>
          <w:sz w:val="28"/>
          <w:szCs w:val="28"/>
        </w:rPr>
        <w:t>».</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Successivamente</w:t>
      </w:r>
      <w:r w:rsidRPr="00873D55">
        <w:rPr>
          <w:rFonts w:ascii="Garamond" w:hAnsi="Garamond" w:cs="Times New Roman"/>
          <w:color w:val="000000" w:themeColor="text1"/>
          <w:sz w:val="28"/>
          <w:szCs w:val="28"/>
        </w:rPr>
        <w:t>, l'art. 1, comma 960, lett. a), l. 27 dicembre 2017 n. 205 e le successive modifiche hanno ulteriormente previsto, a integr</w:t>
      </w:r>
      <w:r>
        <w:rPr>
          <w:rFonts w:ascii="Garamond" w:hAnsi="Garamond" w:cs="Times New Roman"/>
          <w:color w:val="000000" w:themeColor="text1"/>
          <w:sz w:val="28"/>
          <w:szCs w:val="28"/>
        </w:rPr>
        <w:t>azione del citato 3° comma, che</w:t>
      </w:r>
      <w:r w:rsidRPr="00873D55">
        <w:rPr>
          <w:rFonts w:ascii="Garamond" w:hAnsi="Garamond" w:cs="Times New Roman"/>
          <w:color w:val="000000" w:themeColor="text1"/>
          <w:sz w:val="28"/>
          <w:szCs w:val="28"/>
        </w:rPr>
        <w:t xml:space="preserve"> «</w:t>
      </w:r>
      <w:r w:rsidRPr="00EC42A8">
        <w:rPr>
          <w:rFonts w:ascii="Garamond" w:hAnsi="Garamond" w:cs="Times New Roman"/>
          <w:i/>
          <w:color w:val="000000" w:themeColor="text1"/>
          <w:sz w:val="28"/>
          <w:szCs w:val="28"/>
        </w:rPr>
        <w:t xml:space="preserve">In deroga al periodo precedente, al fine di salvaguardare la produzione di </w:t>
      </w:r>
      <w:r>
        <w:rPr>
          <w:rFonts w:ascii="Garamond" w:hAnsi="Garamond" w:cs="Times New Roman"/>
          <w:i/>
          <w:color w:val="000000" w:themeColor="text1"/>
          <w:sz w:val="28"/>
          <w:szCs w:val="28"/>
        </w:rPr>
        <w:t>energia</w:t>
      </w:r>
      <w:r w:rsidRPr="00EC42A8">
        <w:rPr>
          <w:rFonts w:ascii="Garamond" w:hAnsi="Garamond" w:cs="Times New Roman"/>
          <w:i/>
          <w:color w:val="000000" w:themeColor="text1"/>
          <w:sz w:val="28"/>
          <w:szCs w:val="28"/>
        </w:rPr>
        <w:t xml:space="preserve"> da fonti rinnovabili degli impianti che al momento dell'accertamento della violazione percepiscono incentivi, il G</w:t>
      </w:r>
      <w:r>
        <w:rPr>
          <w:rFonts w:ascii="Garamond" w:hAnsi="Garamond" w:cs="Times New Roman"/>
          <w:i/>
          <w:color w:val="000000" w:themeColor="text1"/>
          <w:sz w:val="28"/>
          <w:szCs w:val="28"/>
        </w:rPr>
        <w:t>.</w:t>
      </w:r>
      <w:r w:rsidRPr="00EC42A8">
        <w:rPr>
          <w:rFonts w:ascii="Garamond" w:hAnsi="Garamond" w:cs="Times New Roman"/>
          <w:i/>
          <w:color w:val="000000" w:themeColor="text1"/>
          <w:sz w:val="28"/>
          <w:szCs w:val="28"/>
        </w:rPr>
        <w:t>s</w:t>
      </w:r>
      <w:r>
        <w:rPr>
          <w:rFonts w:ascii="Garamond" w:hAnsi="Garamond" w:cs="Times New Roman"/>
          <w:i/>
          <w:color w:val="000000" w:themeColor="text1"/>
          <w:sz w:val="28"/>
          <w:szCs w:val="28"/>
        </w:rPr>
        <w:t>.</w:t>
      </w:r>
      <w:r w:rsidRPr="00EC42A8">
        <w:rPr>
          <w:rFonts w:ascii="Garamond" w:hAnsi="Garamond" w:cs="Times New Roman"/>
          <w:i/>
          <w:color w:val="000000" w:themeColor="text1"/>
          <w:sz w:val="28"/>
          <w:szCs w:val="28"/>
        </w:rPr>
        <w:t>e</w:t>
      </w:r>
      <w:r>
        <w:rPr>
          <w:rFonts w:ascii="Garamond" w:hAnsi="Garamond" w:cs="Times New Roman"/>
          <w:i/>
          <w:color w:val="000000" w:themeColor="text1"/>
          <w:sz w:val="28"/>
          <w:szCs w:val="28"/>
        </w:rPr>
        <w:t>.</w:t>
      </w:r>
      <w:r w:rsidRPr="00EC42A8">
        <w:rPr>
          <w:rFonts w:ascii="Garamond" w:hAnsi="Garamond" w:cs="Times New Roman"/>
          <w:i/>
          <w:color w:val="000000" w:themeColor="text1"/>
          <w:sz w:val="28"/>
          <w:szCs w:val="28"/>
        </w:rPr>
        <w:t xml:space="preserve"> dispone la decurtazione dell'incentivo in misura ricompresa fra il 10 e il 50 per cento in ragione dell'entità della violazione. Nel caso in cui le violazioni siano spontaneamente denunciate dal soggetto responsabile al di fuori di un procedimento di verifica e controllo le decurtazioni sono ulteriormente ridotte della metà</w:t>
      </w:r>
      <w:r w:rsidRPr="00873D55">
        <w:rPr>
          <w:rFonts w:ascii="Garamond" w:hAnsi="Garamond" w:cs="Times New Roman"/>
          <w:color w:val="000000" w:themeColor="text1"/>
          <w:sz w:val="28"/>
          <w:szCs w:val="28"/>
        </w:rPr>
        <w:t>».</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 xml:space="preserve">La l. 27 dicembre 2017 n. 205 ha altresì aggiunto all’art. 42 il comma 3 </w:t>
      </w:r>
      <w:r w:rsidRPr="00EC42A8">
        <w:rPr>
          <w:rFonts w:ascii="Garamond" w:hAnsi="Garamond" w:cs="Times New Roman"/>
          <w:i/>
          <w:color w:val="000000" w:themeColor="text1"/>
          <w:sz w:val="28"/>
          <w:szCs w:val="28"/>
        </w:rPr>
        <w:t>quater</w:t>
      </w:r>
      <w:r w:rsidRPr="00873D55">
        <w:rPr>
          <w:rFonts w:ascii="Garamond" w:hAnsi="Garamond" w:cs="Times New Roman"/>
          <w:color w:val="000000" w:themeColor="text1"/>
          <w:sz w:val="28"/>
          <w:szCs w:val="28"/>
        </w:rPr>
        <w:t xml:space="preserve"> e il comma 4 </w:t>
      </w:r>
      <w:r w:rsidRPr="00EC42A8">
        <w:rPr>
          <w:rFonts w:ascii="Garamond" w:hAnsi="Garamond" w:cs="Times New Roman"/>
          <w:i/>
          <w:color w:val="000000" w:themeColor="text1"/>
          <w:sz w:val="28"/>
          <w:szCs w:val="28"/>
        </w:rPr>
        <w:t>bis</w:t>
      </w:r>
      <w:r w:rsidRPr="00873D55">
        <w:rPr>
          <w:rFonts w:ascii="Garamond" w:hAnsi="Garamond" w:cs="Times New Roman"/>
          <w:color w:val="000000" w:themeColor="text1"/>
          <w:sz w:val="28"/>
          <w:szCs w:val="28"/>
        </w:rPr>
        <w:t xml:space="preserve"> (per impianti </w:t>
      </w:r>
      <w:r>
        <w:rPr>
          <w:rFonts w:ascii="Garamond" w:hAnsi="Garamond" w:cs="Times New Roman"/>
          <w:color w:val="000000" w:themeColor="text1"/>
          <w:sz w:val="28"/>
          <w:szCs w:val="28"/>
        </w:rPr>
        <w:t>rispettivamente</w:t>
      </w:r>
      <w:r w:rsidRPr="00873D55">
        <w:rPr>
          <w:rFonts w:ascii="Garamond" w:hAnsi="Garamond" w:cs="Times New Roman"/>
          <w:color w:val="000000" w:themeColor="text1"/>
          <w:sz w:val="28"/>
          <w:szCs w:val="28"/>
        </w:rPr>
        <w:t xml:space="preserve"> inferiori e superiori ai 3 kW), i quali, con specifico riferimento alla problematica della non conformità della certificazione dei moduli fotovoltaici alla </w:t>
      </w:r>
      <w:r>
        <w:rPr>
          <w:rFonts w:ascii="Garamond" w:hAnsi="Garamond" w:cs="Times New Roman"/>
          <w:color w:val="000000" w:themeColor="text1"/>
          <w:sz w:val="28"/>
          <w:szCs w:val="28"/>
        </w:rPr>
        <w:t>normativa</w:t>
      </w:r>
      <w:r w:rsidRPr="00873D55">
        <w:rPr>
          <w:rFonts w:ascii="Garamond" w:hAnsi="Garamond" w:cs="Times New Roman"/>
          <w:color w:val="000000" w:themeColor="text1"/>
          <w:sz w:val="28"/>
          <w:szCs w:val="28"/>
        </w:rPr>
        <w:t xml:space="preserve"> vigente  e al dichiarato fine di salvaguardare le iniziative di </w:t>
      </w:r>
      <w:r w:rsidRPr="00873D55">
        <w:rPr>
          <w:rFonts w:ascii="Garamond" w:hAnsi="Garamond" w:cs="Times New Roman"/>
          <w:color w:val="000000" w:themeColor="text1"/>
          <w:sz w:val="28"/>
          <w:szCs w:val="28"/>
        </w:rPr>
        <w:lastRenderedPageBreak/>
        <w:t xml:space="preserve">realizzazione di impianti fotovoltaici e la produzione di </w:t>
      </w:r>
      <w:r>
        <w:rPr>
          <w:rFonts w:ascii="Garamond" w:hAnsi="Garamond" w:cs="Times New Roman"/>
          <w:color w:val="000000" w:themeColor="text1"/>
          <w:sz w:val="28"/>
          <w:szCs w:val="28"/>
        </w:rPr>
        <w:t>energia</w:t>
      </w:r>
      <w:r w:rsidRPr="00873D55">
        <w:rPr>
          <w:rFonts w:ascii="Garamond" w:hAnsi="Garamond" w:cs="Times New Roman"/>
          <w:color w:val="000000" w:themeColor="text1"/>
          <w:sz w:val="28"/>
          <w:szCs w:val="28"/>
        </w:rPr>
        <w:t xml:space="preserve"> elettrica, si sono limitati a disporre una decurtazione del 10 per cento della tariffa incent</w:t>
      </w:r>
      <w:r>
        <w:rPr>
          <w:rFonts w:ascii="Garamond" w:hAnsi="Garamond" w:cs="Times New Roman"/>
          <w:color w:val="000000" w:themeColor="text1"/>
          <w:sz w:val="28"/>
          <w:szCs w:val="28"/>
        </w:rPr>
        <w:t>iva</w:t>
      </w:r>
      <w:r w:rsidRPr="00873D55">
        <w:rPr>
          <w:rFonts w:ascii="Garamond" w:hAnsi="Garamond" w:cs="Times New Roman"/>
          <w:color w:val="000000" w:themeColor="text1"/>
          <w:sz w:val="28"/>
          <w:szCs w:val="28"/>
        </w:rPr>
        <w:t>nte sin dalla data di decorrenza della convenzione, fermo restando, ove ne ricorra il caso, l'annullamento della maggiorazione di cui all'art. 14, 1° comma, lett. d), d.m. sviluppo economico 5 maggio 2011.</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Inoltre</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 xml:space="preserve"> la  l. 2 novembre 2019 n. 128,  di conversione del d.l. 3 settembre 2019 n. 101,  ha poi previsto che «</w:t>
      </w:r>
      <w:r w:rsidRPr="00EC42A8">
        <w:rPr>
          <w:rFonts w:ascii="Garamond" w:hAnsi="Garamond" w:cs="Times New Roman"/>
          <w:i/>
          <w:color w:val="000000" w:themeColor="text1"/>
          <w:sz w:val="28"/>
          <w:szCs w:val="28"/>
        </w:rPr>
        <w:t>Le disposizioni di cui alla lett. a) del 1° comma</w:t>
      </w:r>
      <w:r w:rsidRPr="00873D55">
        <w:rPr>
          <w:rFonts w:ascii="Garamond" w:hAnsi="Garamond" w:cs="Times New Roman"/>
          <w:color w:val="000000" w:themeColor="text1"/>
          <w:sz w:val="28"/>
          <w:szCs w:val="28"/>
        </w:rPr>
        <w:t xml:space="preserve"> [n.d.r.: quelle che prevedono la decadenza parziale nella misura del 10 per cento sopra citate] </w:t>
      </w:r>
      <w:r w:rsidRPr="00EC42A8">
        <w:rPr>
          <w:rFonts w:ascii="Garamond" w:hAnsi="Garamond" w:cs="Times New Roman"/>
          <w:i/>
          <w:color w:val="000000" w:themeColor="text1"/>
          <w:sz w:val="28"/>
          <w:szCs w:val="28"/>
        </w:rPr>
        <w:t xml:space="preserve">si applicano agli impianti realizzati e in esercizio oggetto di procedimenti amministrativi in corso e, su richiesta dell'interessato, a quelli definiti con provvedimenti del Gestore dei servizi energetici (Gse) di decadenza dagli incentivi, oggetto di procedimenti giurisdizionali pendenti nonché di quelli non definiti con sentenza passata in giudicato alla data di entrata in vigore della legge di conversione del presente decreto, compresi i ricorsi straordinari al presidente della repubblica per i quali non è intervenuto il parere di cui all'art. 11 d.p.r. 24 novembre 1971 n. 1199. La richiesta dell'interessato </w:t>
      </w:r>
      <w:r>
        <w:rPr>
          <w:rFonts w:ascii="Garamond" w:hAnsi="Garamond" w:cs="Times New Roman"/>
          <w:i/>
          <w:color w:val="000000" w:themeColor="text1"/>
          <w:sz w:val="28"/>
          <w:szCs w:val="28"/>
        </w:rPr>
        <w:t>equivale</w:t>
      </w:r>
      <w:r w:rsidRPr="00EC42A8">
        <w:rPr>
          <w:rFonts w:ascii="Garamond" w:hAnsi="Garamond" w:cs="Times New Roman"/>
          <w:i/>
          <w:color w:val="000000" w:themeColor="text1"/>
          <w:sz w:val="28"/>
          <w:szCs w:val="28"/>
        </w:rPr>
        <w:t xml:space="preserve"> ad acquiescenza alla violazione contestata dal Gse nonché a rinuncia all'azione</w:t>
      </w:r>
      <w:r w:rsidRPr="00873D55">
        <w:rPr>
          <w:rFonts w:ascii="Garamond" w:hAnsi="Garamond" w:cs="Times New Roman"/>
          <w:color w:val="000000" w:themeColor="text1"/>
          <w:sz w:val="28"/>
          <w:szCs w:val="28"/>
        </w:rPr>
        <w:t>».</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La giurisprudenza tuttavia ha chiarito che la disposizione che prevede, in luogo della decadenza, una decurtazione dell’incentivo in misura compresa tra il 20 e l’80 per cento, poi modificato come indicato, in misura ricompresa fra il 10 e il 50 per cento</w:t>
      </w:r>
      <w:r>
        <w:rPr>
          <w:rFonts w:ascii="Garamond" w:hAnsi="Garamond" w:cs="Times New Roman"/>
          <w:color w:val="000000" w:themeColor="text1"/>
          <w:sz w:val="28"/>
          <w:szCs w:val="28"/>
        </w:rPr>
        <w:t xml:space="preserve">, </w:t>
      </w:r>
      <w:r w:rsidRPr="00873D55">
        <w:rPr>
          <w:rFonts w:ascii="Garamond" w:hAnsi="Garamond" w:cs="Times New Roman"/>
          <w:color w:val="000000" w:themeColor="text1"/>
          <w:sz w:val="28"/>
          <w:szCs w:val="28"/>
        </w:rPr>
        <w:t xml:space="preserve"> dall’art. 1</w:t>
      </w:r>
      <w:r>
        <w:rPr>
          <w:rFonts w:ascii="Garamond" w:hAnsi="Garamond" w:cs="Times New Roman"/>
          <w:color w:val="000000" w:themeColor="text1"/>
          <w:sz w:val="28"/>
          <w:szCs w:val="28"/>
        </w:rPr>
        <w:t xml:space="preserve">3-bis, comma 1, lettera a), </w:t>
      </w:r>
      <w:r w:rsidRPr="00873D55">
        <w:rPr>
          <w:rFonts w:ascii="Garamond" w:hAnsi="Garamond" w:cs="Times New Roman"/>
          <w:color w:val="000000" w:themeColor="text1"/>
          <w:sz w:val="28"/>
          <w:szCs w:val="28"/>
        </w:rPr>
        <w:t xml:space="preserve">d.l. 3 settembre 2019, n. 101, </w:t>
      </w:r>
      <w:r>
        <w:rPr>
          <w:rFonts w:ascii="Garamond" w:hAnsi="Garamond" w:cs="Times New Roman"/>
          <w:color w:val="000000" w:themeColor="text1"/>
          <w:sz w:val="28"/>
          <w:szCs w:val="28"/>
        </w:rPr>
        <w:t xml:space="preserve">convertito </w:t>
      </w:r>
      <w:r w:rsidRPr="00873D55">
        <w:rPr>
          <w:rFonts w:ascii="Garamond" w:hAnsi="Garamond" w:cs="Times New Roman"/>
          <w:color w:val="000000" w:themeColor="text1"/>
          <w:sz w:val="28"/>
          <w:szCs w:val="28"/>
        </w:rPr>
        <w:t>dalla l. 2 novembre 2019, n. 128, in ragione dell’entità della violazione, non ha portata interpretat</w:t>
      </w:r>
      <w:r>
        <w:rPr>
          <w:rFonts w:ascii="Garamond" w:hAnsi="Garamond" w:cs="Times New Roman"/>
          <w:color w:val="000000" w:themeColor="text1"/>
          <w:sz w:val="28"/>
          <w:szCs w:val="28"/>
        </w:rPr>
        <w:t>iva</w:t>
      </w:r>
      <w:r w:rsidRPr="00873D55">
        <w:rPr>
          <w:rFonts w:ascii="Garamond" w:hAnsi="Garamond" w:cs="Times New Roman"/>
          <w:color w:val="000000" w:themeColor="text1"/>
          <w:sz w:val="28"/>
          <w:szCs w:val="28"/>
        </w:rPr>
        <w:t>, ma innovat</w:t>
      </w:r>
      <w:r>
        <w:rPr>
          <w:rFonts w:ascii="Garamond" w:hAnsi="Garamond" w:cs="Times New Roman"/>
          <w:color w:val="000000" w:themeColor="text1"/>
          <w:sz w:val="28"/>
          <w:szCs w:val="28"/>
        </w:rPr>
        <w:t>iva</w:t>
      </w:r>
      <w:r w:rsidRPr="00873D55">
        <w:rPr>
          <w:rFonts w:ascii="Garamond" w:hAnsi="Garamond" w:cs="Times New Roman"/>
          <w:color w:val="000000" w:themeColor="text1"/>
          <w:sz w:val="28"/>
          <w:szCs w:val="28"/>
        </w:rPr>
        <w:t xml:space="preserve"> e dunque non può che applicarsi alle violazioni accertate dopo il 1 gennaio 2018, data di entrata in vigore della legge che l’ha introdotta (Cons. Stato, sez. IV, n. 2396 del 2020; n. 6583 del 2020).</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Parimenti si è precisato</w:t>
      </w:r>
      <w:r>
        <w:rPr>
          <w:rFonts w:ascii="Garamond" w:hAnsi="Garamond" w:cs="Times New Roman"/>
          <w:color w:val="000000" w:themeColor="text1"/>
          <w:sz w:val="28"/>
          <w:szCs w:val="28"/>
        </w:rPr>
        <w:t xml:space="preserve">, </w:t>
      </w:r>
      <w:r w:rsidRPr="00873D55">
        <w:rPr>
          <w:rFonts w:ascii="Garamond" w:hAnsi="Garamond" w:cs="Times New Roman"/>
          <w:color w:val="000000" w:themeColor="text1"/>
          <w:sz w:val="28"/>
          <w:szCs w:val="28"/>
        </w:rPr>
        <w:t xml:space="preserve"> con riferimento alla previgente novella cui all’art. 1, comma 960, della legge n. 205 del 2017 (che, come visto, aveva già  introdotto la seconda parte dell’art. 42, comma 3, del d.lgs. n. </w:t>
      </w:r>
      <w:r>
        <w:rPr>
          <w:rFonts w:ascii="Garamond" w:hAnsi="Garamond" w:cs="Times New Roman"/>
          <w:color w:val="000000" w:themeColor="text1"/>
          <w:sz w:val="28"/>
          <w:szCs w:val="28"/>
        </w:rPr>
        <w:t xml:space="preserve">28 del 2011, che consente al G.s.e. di  non adottare il provvedimento di decadenza </w:t>
      </w:r>
      <w:r w:rsidRPr="00873D55">
        <w:rPr>
          <w:rFonts w:ascii="Garamond" w:hAnsi="Garamond" w:cs="Times New Roman"/>
          <w:color w:val="000000" w:themeColor="text1"/>
          <w:sz w:val="28"/>
          <w:szCs w:val="28"/>
        </w:rPr>
        <w:t xml:space="preserve"> e di sostituirlo con la più blanda misura della decurtazione dell’incentivo) ritenendo che, “stante il suo univoco tenore letterale, è applicabile </w:t>
      </w:r>
      <w:r w:rsidRPr="00FC6EAC">
        <w:rPr>
          <w:rFonts w:ascii="Garamond" w:hAnsi="Garamond" w:cs="Times New Roman"/>
          <w:i/>
          <w:color w:val="000000" w:themeColor="text1"/>
          <w:sz w:val="28"/>
          <w:szCs w:val="28"/>
        </w:rPr>
        <w:t>ratione temporis</w:t>
      </w:r>
      <w:r w:rsidRPr="00873D55">
        <w:rPr>
          <w:rFonts w:ascii="Garamond" w:hAnsi="Garamond" w:cs="Times New Roman"/>
          <w:color w:val="000000" w:themeColor="text1"/>
          <w:sz w:val="28"/>
          <w:szCs w:val="28"/>
        </w:rPr>
        <w:t xml:space="preserve">, solo in relazione a provvedimenti emanati dal Gestore </w:t>
      </w:r>
      <w:r>
        <w:rPr>
          <w:rFonts w:ascii="Garamond" w:hAnsi="Garamond" w:cs="Times New Roman"/>
          <w:color w:val="000000" w:themeColor="text1"/>
          <w:sz w:val="28"/>
          <w:szCs w:val="28"/>
        </w:rPr>
        <w:t>successivamente</w:t>
      </w:r>
      <w:r w:rsidRPr="00873D55">
        <w:rPr>
          <w:rFonts w:ascii="Garamond" w:hAnsi="Garamond" w:cs="Times New Roman"/>
          <w:color w:val="000000" w:themeColor="text1"/>
          <w:sz w:val="28"/>
          <w:szCs w:val="28"/>
        </w:rPr>
        <w:t xml:space="preserve"> alla sua entrata in vigore” (cfr. Cons. Stato, sez. VI, n. 9874 del 2022; Cons. Stato, sez. VI,  n. 9 del 2022; Cons. Stato, sez. IV, n. 594 del 2021;  n 6060 del 2018; n. 2859 del 2018; ordinanza n. 1749 del 2018).</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La giurisprudenza ha</w:t>
      </w:r>
      <w:r w:rsidRPr="00873D55">
        <w:rPr>
          <w:rFonts w:ascii="Garamond" w:hAnsi="Garamond" w:cs="Times New Roman"/>
          <w:color w:val="000000" w:themeColor="text1"/>
          <w:sz w:val="28"/>
          <w:szCs w:val="28"/>
        </w:rPr>
        <w:t xml:space="preserve"> altresì chiarito la previsione dell’art. 42 comma 3 secondo periodo, come novellata dalla l. 205 del 2017 cit. non si applica retroatt</w:t>
      </w:r>
      <w:r>
        <w:rPr>
          <w:rFonts w:ascii="Garamond" w:hAnsi="Garamond" w:cs="Times New Roman"/>
          <w:color w:val="000000" w:themeColor="text1"/>
          <w:sz w:val="28"/>
          <w:szCs w:val="28"/>
        </w:rPr>
        <w:t>iva</w:t>
      </w:r>
      <w:r w:rsidRPr="00873D55">
        <w:rPr>
          <w:rFonts w:ascii="Garamond" w:hAnsi="Garamond" w:cs="Times New Roman"/>
          <w:color w:val="000000" w:themeColor="text1"/>
          <w:sz w:val="28"/>
          <w:szCs w:val="28"/>
        </w:rPr>
        <w:t>mente, allorché alla data della sua entrata in vigore, 1 gennaio 2018, sia già stato adottato un provvedimento di decadenza, tanto più se coperto da giudicato (Cons. Stato, sez. IV. n. 1687 del 2022).</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Peraltro a seguito delle modifi</w:t>
      </w:r>
      <w:r>
        <w:rPr>
          <w:rFonts w:ascii="Garamond" w:hAnsi="Garamond" w:cs="Times New Roman"/>
          <w:color w:val="000000" w:themeColor="text1"/>
          <w:sz w:val="28"/>
          <w:szCs w:val="28"/>
        </w:rPr>
        <w:t>che di cui all’art. 56, comma 7</w:t>
      </w:r>
      <w:r w:rsidRPr="00873D55">
        <w:rPr>
          <w:rFonts w:ascii="Garamond" w:hAnsi="Garamond" w:cs="Times New Roman"/>
          <w:color w:val="000000" w:themeColor="text1"/>
          <w:sz w:val="28"/>
          <w:szCs w:val="28"/>
        </w:rPr>
        <w:t>, lett. a) e a-bis), d.l. 16 luglio 2020, n. 76, conver</w:t>
      </w:r>
      <w:r>
        <w:rPr>
          <w:rFonts w:ascii="Garamond" w:hAnsi="Garamond" w:cs="Times New Roman"/>
          <w:color w:val="000000" w:themeColor="text1"/>
          <w:sz w:val="28"/>
          <w:szCs w:val="28"/>
        </w:rPr>
        <w:t>tito, con modificazioni, dalla l</w:t>
      </w:r>
      <w:r w:rsidRPr="00873D55">
        <w:rPr>
          <w:rFonts w:ascii="Garamond" w:hAnsi="Garamond" w:cs="Times New Roman"/>
          <w:color w:val="000000" w:themeColor="text1"/>
          <w:sz w:val="28"/>
          <w:szCs w:val="28"/>
        </w:rPr>
        <w:t>. 11 settembre 2020, n. 120, l'attuale formulazione dell'art. 4</w:t>
      </w:r>
      <w:r>
        <w:rPr>
          <w:rFonts w:ascii="Garamond" w:hAnsi="Garamond" w:cs="Times New Roman"/>
          <w:color w:val="000000" w:themeColor="text1"/>
          <w:sz w:val="28"/>
          <w:szCs w:val="28"/>
        </w:rPr>
        <w:t xml:space="preserve">2, </w:t>
      </w:r>
      <w:r w:rsidRPr="00873D55">
        <w:rPr>
          <w:rFonts w:ascii="Garamond" w:hAnsi="Garamond" w:cs="Times New Roman"/>
          <w:color w:val="000000" w:themeColor="text1"/>
          <w:sz w:val="28"/>
          <w:szCs w:val="28"/>
        </w:rPr>
        <w:t>comma</w:t>
      </w:r>
      <w:r>
        <w:rPr>
          <w:rFonts w:ascii="Garamond" w:hAnsi="Garamond" w:cs="Times New Roman"/>
          <w:color w:val="000000" w:themeColor="text1"/>
          <w:sz w:val="28"/>
          <w:szCs w:val="28"/>
        </w:rPr>
        <w:t xml:space="preserve"> 3</w:t>
      </w:r>
      <w:r w:rsidRPr="00873D55">
        <w:rPr>
          <w:rFonts w:ascii="Garamond" w:hAnsi="Garamond" w:cs="Times New Roman"/>
          <w:color w:val="000000" w:themeColor="text1"/>
          <w:sz w:val="28"/>
          <w:szCs w:val="28"/>
        </w:rPr>
        <w:t xml:space="preserve">, prevede che « </w:t>
      </w:r>
      <w:r w:rsidRPr="00FC6EAC">
        <w:rPr>
          <w:rFonts w:ascii="Garamond" w:hAnsi="Garamond" w:cs="Times New Roman"/>
          <w:i/>
          <w:color w:val="000000" w:themeColor="text1"/>
          <w:sz w:val="28"/>
          <w:szCs w:val="28"/>
        </w:rPr>
        <w:t xml:space="preserve">Nel caso in cui le violazioni riscontrate nell'ambito dei controlli di cui ai commi 1 e 2 siano rilevanti ai fini dell'erogazione degli incentivi, il Gse in presenza dei presupposti di cui all'articolo 21-nonies della legge 7 agosto 1990, n. 241 dispone il rigetto dell'istanza ovvero la decadenza dagli incentivi, nonché il recupero delle somme già erogate, e trasmette all'Autorità l'esito degli accertamenti effettuati per l'applicazione delle sanzioni di cui all'articolo 2, comma 20, lettera c), della legge 14 novembre 1995, n. 481. In deroga al periodo precedente, al fine di </w:t>
      </w:r>
      <w:r w:rsidRPr="00FC6EAC">
        <w:rPr>
          <w:rFonts w:ascii="Garamond" w:hAnsi="Garamond" w:cs="Times New Roman"/>
          <w:i/>
          <w:color w:val="000000" w:themeColor="text1"/>
          <w:sz w:val="28"/>
          <w:szCs w:val="28"/>
        </w:rPr>
        <w:lastRenderedPageBreak/>
        <w:t xml:space="preserve">salvaguardare la produzione di </w:t>
      </w:r>
      <w:r>
        <w:rPr>
          <w:rFonts w:ascii="Garamond" w:hAnsi="Garamond" w:cs="Times New Roman"/>
          <w:i/>
          <w:color w:val="000000" w:themeColor="text1"/>
          <w:sz w:val="28"/>
          <w:szCs w:val="28"/>
        </w:rPr>
        <w:t>energia</w:t>
      </w:r>
      <w:r w:rsidRPr="00FC6EAC">
        <w:rPr>
          <w:rFonts w:ascii="Garamond" w:hAnsi="Garamond" w:cs="Times New Roman"/>
          <w:i/>
          <w:color w:val="000000" w:themeColor="text1"/>
          <w:sz w:val="28"/>
          <w:szCs w:val="28"/>
        </w:rPr>
        <w:t xml:space="preserve"> da fonti rinnovabili, l'</w:t>
      </w:r>
      <w:r>
        <w:rPr>
          <w:rFonts w:ascii="Garamond" w:hAnsi="Garamond" w:cs="Times New Roman"/>
          <w:i/>
          <w:color w:val="000000" w:themeColor="text1"/>
          <w:sz w:val="28"/>
          <w:szCs w:val="28"/>
        </w:rPr>
        <w:t>energia</w:t>
      </w:r>
      <w:r w:rsidRPr="00FC6EAC">
        <w:rPr>
          <w:rFonts w:ascii="Garamond" w:hAnsi="Garamond" w:cs="Times New Roman"/>
          <w:i/>
          <w:color w:val="000000" w:themeColor="text1"/>
          <w:sz w:val="28"/>
          <w:szCs w:val="28"/>
        </w:rPr>
        <w:t xml:space="preserve"> termica e il risparmio energetico, conseguente agli interventi di efficientamento, degli impianti che al momento dell'accertamento della violazione percepiscono incentivi, il Gse dispone la decurtazione dell'incentivo in misura ricompresa fra il 10 e il 50 per cento in ragione dell'entità della violazione. Nel caso in cui le violazioni siano spontaneamente denunciate dal soggetto responsabile al di fuori di un procedimento di verifica e controllo le decurtazioni sono ulteriormente ridotte della metà</w:t>
      </w:r>
      <w:r w:rsidRPr="00873D55">
        <w:rPr>
          <w:rFonts w:ascii="Garamond" w:hAnsi="Garamond" w:cs="Times New Roman"/>
          <w:color w:val="000000" w:themeColor="text1"/>
          <w:sz w:val="28"/>
          <w:szCs w:val="28"/>
        </w:rPr>
        <w:t>».</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Pertanto la decadenza risulta correlata espressamente ai «</w:t>
      </w:r>
      <w:r w:rsidRPr="00FC6EAC">
        <w:rPr>
          <w:rFonts w:ascii="Garamond" w:hAnsi="Garamond" w:cs="Times New Roman"/>
          <w:i/>
          <w:color w:val="000000" w:themeColor="text1"/>
          <w:sz w:val="28"/>
          <w:szCs w:val="28"/>
        </w:rPr>
        <w:t>presupposti di cui all'art. 21 nonies l. 7 agosto 1990 n. 241</w:t>
      </w:r>
      <w:r w:rsidRPr="00873D55">
        <w:rPr>
          <w:rFonts w:ascii="Garamond" w:hAnsi="Garamond" w:cs="Times New Roman"/>
          <w:color w:val="000000" w:themeColor="text1"/>
          <w:sz w:val="28"/>
          <w:szCs w:val="28"/>
        </w:rPr>
        <w:t>».</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Ai sensi del comma 8 del d.l. n. 76 d</w:t>
      </w:r>
      <w:r>
        <w:rPr>
          <w:rFonts w:ascii="Garamond" w:hAnsi="Garamond" w:cs="Times New Roman"/>
          <w:color w:val="000000" w:themeColor="text1"/>
          <w:sz w:val="28"/>
          <w:szCs w:val="28"/>
        </w:rPr>
        <w:t xml:space="preserve">el 2020 le modifiche apportate - </w:t>
      </w:r>
      <w:r w:rsidRPr="00873D55">
        <w:rPr>
          <w:rFonts w:ascii="Garamond" w:hAnsi="Garamond" w:cs="Times New Roman"/>
          <w:color w:val="000000" w:themeColor="text1"/>
          <w:sz w:val="28"/>
          <w:szCs w:val="28"/>
        </w:rPr>
        <w:t xml:space="preserve"> ivi compreso il riferimento ai presupposti di cui all’art. 21 </w:t>
      </w:r>
      <w:r w:rsidRPr="00FC6EAC">
        <w:rPr>
          <w:rFonts w:ascii="Garamond" w:hAnsi="Garamond" w:cs="Times New Roman"/>
          <w:i/>
          <w:color w:val="000000" w:themeColor="text1"/>
          <w:sz w:val="28"/>
          <w:szCs w:val="28"/>
        </w:rPr>
        <w:t>nonies</w:t>
      </w:r>
      <w:r w:rsidRPr="00873D55">
        <w:rPr>
          <w:rFonts w:ascii="Garamond" w:hAnsi="Garamond" w:cs="Times New Roman"/>
          <w:color w:val="000000" w:themeColor="text1"/>
          <w:sz w:val="28"/>
          <w:szCs w:val="28"/>
        </w:rPr>
        <w:t xml:space="preserve"> l. 241/90 si applicano «</w:t>
      </w:r>
      <w:r w:rsidRPr="00FC6EAC">
        <w:rPr>
          <w:rFonts w:ascii="Garamond" w:hAnsi="Garamond" w:cs="Times New Roman"/>
          <w:i/>
          <w:color w:val="000000" w:themeColor="text1"/>
          <w:sz w:val="28"/>
          <w:szCs w:val="28"/>
        </w:rPr>
        <w:t>ai progetti di efficienza energetica oggetto di procedimenti amministrativi di annullamento d'ufficio in corso e, su richiesta dell'interessato, a quelli de</w:t>
      </w:r>
      <w:r>
        <w:rPr>
          <w:rFonts w:ascii="Garamond" w:hAnsi="Garamond" w:cs="Times New Roman"/>
          <w:i/>
          <w:color w:val="000000" w:themeColor="text1"/>
          <w:sz w:val="28"/>
          <w:szCs w:val="28"/>
        </w:rPr>
        <w:t>finiti con provvedimenti del G.s.e.</w:t>
      </w:r>
      <w:r w:rsidRPr="00FC6EAC">
        <w:rPr>
          <w:rFonts w:ascii="Garamond" w:hAnsi="Garamond" w:cs="Times New Roman"/>
          <w:i/>
          <w:color w:val="000000" w:themeColor="text1"/>
          <w:sz w:val="28"/>
          <w:szCs w:val="28"/>
        </w:rPr>
        <w:t xml:space="preserve"> di decadenza dagli incentivi, oggetto di procedimenti giurisdizionali pendenti nonché di quelli non definiti con sentenza passata in giudicato alla data di entrata in vigore del presente decreto-legge, compresi i ricorsi straordinari al Presidente della Repubblica per i quali non è intervenuto il parere di cui all'articolo 11 del decreto del Presidente della Repubblica 2</w:t>
      </w:r>
      <w:r>
        <w:rPr>
          <w:rFonts w:ascii="Garamond" w:hAnsi="Garamond" w:cs="Times New Roman"/>
          <w:i/>
          <w:color w:val="000000" w:themeColor="text1"/>
          <w:sz w:val="28"/>
          <w:szCs w:val="28"/>
        </w:rPr>
        <w:t>4 novembre 1971, n. 1199. Il G.s.e.</w:t>
      </w:r>
      <w:r w:rsidRPr="00FC6EAC">
        <w:rPr>
          <w:rFonts w:ascii="Garamond" w:hAnsi="Garamond" w:cs="Times New Roman"/>
          <w:i/>
          <w:color w:val="000000" w:themeColor="text1"/>
          <w:sz w:val="28"/>
          <w:szCs w:val="28"/>
        </w:rPr>
        <w:t>, preso atto della documentazione già nella propria disponibilità e di eventuale documentazione integrat</w:t>
      </w:r>
      <w:r>
        <w:rPr>
          <w:rFonts w:ascii="Garamond" w:hAnsi="Garamond" w:cs="Times New Roman"/>
          <w:i/>
          <w:color w:val="000000" w:themeColor="text1"/>
          <w:sz w:val="28"/>
          <w:szCs w:val="28"/>
        </w:rPr>
        <w:t>iva</w:t>
      </w:r>
      <w:r w:rsidRPr="00FC6EAC">
        <w:rPr>
          <w:rFonts w:ascii="Garamond" w:hAnsi="Garamond" w:cs="Times New Roman"/>
          <w:i/>
          <w:color w:val="000000" w:themeColor="text1"/>
          <w:sz w:val="28"/>
          <w:szCs w:val="28"/>
        </w:rPr>
        <w:t xml:space="preserve"> messa a disposizione dal proponente, dispone la revoca del provvedimento di annullamento entro il termine di 60 giorni consecutivi dalla data di presentazione dell'istanza a cura del soggetto interessato. Le disposizioni di cui al comma 7 non si applicano nel caso in cui la condotta dell'operatore che ha determinato il provvedimento di decadenza del GSE è oggetto di procedimento penale in corso concluso con sentenza di condanna, anche non definit</w:t>
      </w:r>
      <w:r>
        <w:rPr>
          <w:rFonts w:ascii="Garamond" w:hAnsi="Garamond" w:cs="Times New Roman"/>
          <w:i/>
          <w:color w:val="000000" w:themeColor="text1"/>
          <w:sz w:val="28"/>
          <w:szCs w:val="28"/>
        </w:rPr>
        <w:t>iva</w:t>
      </w:r>
      <w:r w:rsidRPr="00873D55">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p>
    <w:p w:rsidR="007B4920" w:rsidRPr="00A10A89" w:rsidRDefault="007B4920" w:rsidP="007B4920">
      <w:pPr>
        <w:spacing w:line="240" w:lineRule="auto"/>
        <w:contextualSpacing/>
        <w:jc w:val="both"/>
        <w:rPr>
          <w:rFonts w:ascii="Garamond" w:hAnsi="Garamond" w:cs="Times New Roman"/>
          <w:b/>
          <w:color w:val="000000" w:themeColor="text1"/>
          <w:sz w:val="28"/>
          <w:szCs w:val="28"/>
        </w:rPr>
      </w:pPr>
      <w:r w:rsidRPr="004E7680">
        <w:rPr>
          <w:rFonts w:ascii="Garamond" w:hAnsi="Garamond" w:cs="Times New Roman"/>
          <w:b/>
          <w:color w:val="000000" w:themeColor="text1"/>
          <w:sz w:val="28"/>
          <w:szCs w:val="28"/>
        </w:rPr>
        <w:t>11.2. La decadenza.</w:t>
      </w:r>
    </w:p>
    <w:p w:rsidR="007B4920" w:rsidRDefault="007B4920" w:rsidP="007B4920">
      <w:pPr>
        <w:spacing w:line="240" w:lineRule="auto"/>
        <w:ind w:firstLine="708"/>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 xml:space="preserve">La giurisprudenza maggioritaria, con riferimento a fattispecie regolamentate dalla </w:t>
      </w:r>
      <w:r>
        <w:rPr>
          <w:rFonts w:ascii="Garamond" w:hAnsi="Garamond" w:cs="Times New Roman"/>
          <w:color w:val="000000" w:themeColor="text1"/>
          <w:sz w:val="28"/>
          <w:szCs w:val="28"/>
        </w:rPr>
        <w:t>previsione dell’art. 42 comma 3</w:t>
      </w:r>
      <w:r w:rsidRPr="00873D55">
        <w:rPr>
          <w:rFonts w:ascii="Garamond" w:hAnsi="Garamond" w:cs="Times New Roman"/>
          <w:color w:val="000000" w:themeColor="text1"/>
          <w:sz w:val="28"/>
          <w:szCs w:val="28"/>
        </w:rPr>
        <w:t>, previgente le modifiche introdotte dal d.l. n. 76 del 2020, ha affermato che la decadenza pronunciata dal g</w:t>
      </w:r>
      <w:r>
        <w:rPr>
          <w:rFonts w:ascii="Garamond" w:hAnsi="Garamond" w:cs="Times New Roman"/>
          <w:color w:val="000000" w:themeColor="text1"/>
          <w:sz w:val="28"/>
          <w:szCs w:val="28"/>
        </w:rPr>
        <w:t xml:space="preserve">estore ai sensi dell'art. 42, </w:t>
      </w:r>
      <w:r w:rsidRPr="00873D55">
        <w:rPr>
          <w:rFonts w:ascii="Garamond" w:hAnsi="Garamond" w:cs="Times New Roman"/>
          <w:color w:val="000000" w:themeColor="text1"/>
          <w:sz w:val="28"/>
          <w:szCs w:val="28"/>
        </w:rPr>
        <w:t xml:space="preserve"> comma</w:t>
      </w:r>
      <w:r>
        <w:rPr>
          <w:rFonts w:ascii="Garamond" w:hAnsi="Garamond" w:cs="Times New Roman"/>
          <w:color w:val="000000" w:themeColor="text1"/>
          <w:sz w:val="28"/>
          <w:szCs w:val="28"/>
        </w:rPr>
        <w:t xml:space="preserve"> 3</w:t>
      </w:r>
      <w:r w:rsidRPr="00873D55">
        <w:rPr>
          <w:rFonts w:ascii="Garamond" w:hAnsi="Garamond" w:cs="Times New Roman"/>
          <w:color w:val="000000" w:themeColor="text1"/>
          <w:sz w:val="28"/>
          <w:szCs w:val="28"/>
        </w:rPr>
        <w:t>, d.lgs. n. 28 del 2011 non è manifestazione né di un potere di autotutela, né di un potere sanzionatorio, bensì la conseguenza di «un potere immanente di verifica, accertamento e controllo» volto ad «acclarare lo stato dell'impianto e ad accertarne la corrispondenza rispetto a quanto dichiarato dall'interessato in sede di richiesta di ammissione»</w:t>
      </w:r>
      <w:r>
        <w:rPr>
          <w:rFonts w:ascii="Garamond" w:hAnsi="Garamond" w:cs="Times New Roman"/>
          <w:color w:val="000000" w:themeColor="text1"/>
          <w:sz w:val="28"/>
          <w:szCs w:val="28"/>
        </w:rPr>
        <w:t>.</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A57157">
        <w:rPr>
          <w:rFonts w:ascii="Garamond" w:hAnsi="Garamond" w:cs="Times New Roman"/>
          <w:color w:val="000000" w:themeColor="text1"/>
          <w:sz w:val="28"/>
          <w:szCs w:val="28"/>
        </w:rPr>
        <w:t>La decadenza pertanto non ha natura sanzionatoria, ma ripristinatoria di un assetto procedimentale alterato dalla erronea asseverazione della presenza di requisiti viceversa mancanti. Invero, le sanzioni vere e proprie vengono applicate unicamente dalla Autorità di settore, con la conseguenza che risulta inconferente la questione della applicazione del principio di non retroattività delle sanzioni, in applicazione degli argomenti e principi sviluppati dalle sentenze della Corte costituzionale n. 237 del 2020 e n. 51 del 2017</w:t>
      </w:r>
      <w:r w:rsidRPr="00873D55">
        <w:rPr>
          <w:rFonts w:ascii="Garamond" w:hAnsi="Garamond" w:cs="Times New Roman"/>
          <w:color w:val="000000" w:themeColor="text1"/>
          <w:sz w:val="28"/>
          <w:szCs w:val="28"/>
        </w:rPr>
        <w:t xml:space="preserve"> (Cons.</w:t>
      </w:r>
      <w:r>
        <w:rPr>
          <w:rFonts w:ascii="Garamond" w:hAnsi="Garamond" w:cs="Times New Roman"/>
          <w:color w:val="000000" w:themeColor="text1"/>
          <w:sz w:val="28"/>
          <w:szCs w:val="28"/>
        </w:rPr>
        <w:t xml:space="preserve"> Stato, sez. IV, n. 8442 del 2020</w:t>
      </w:r>
      <w:r w:rsidRPr="00873D55">
        <w:rPr>
          <w:rFonts w:ascii="Garamond" w:hAnsi="Garamond" w:cs="Times New Roman"/>
          <w:color w:val="000000" w:themeColor="text1"/>
          <w:sz w:val="28"/>
          <w:szCs w:val="28"/>
        </w:rPr>
        <w:t xml:space="preserve">; n. 6118 del 2019; sez. IV, n. 50 del 2017 secondo cui il </w:t>
      </w:r>
      <w:r>
        <w:rPr>
          <w:rFonts w:ascii="Garamond" w:hAnsi="Garamond" w:cs="Times New Roman"/>
          <w:color w:val="000000" w:themeColor="text1"/>
          <w:sz w:val="28"/>
          <w:szCs w:val="28"/>
        </w:rPr>
        <w:t xml:space="preserve">potere in questione è, quindi, </w:t>
      </w:r>
      <w:r w:rsidRPr="00FC6EAC">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un atto vincolato di decadenza accertat</w:t>
      </w:r>
      <w:r>
        <w:rPr>
          <w:rFonts w:ascii="Garamond" w:hAnsi="Garamond" w:cs="Times New Roman"/>
          <w:color w:val="000000" w:themeColor="text1"/>
          <w:sz w:val="28"/>
          <w:szCs w:val="28"/>
        </w:rPr>
        <w:t>iva</w:t>
      </w:r>
      <w:r w:rsidRPr="00873D55">
        <w:rPr>
          <w:rFonts w:ascii="Garamond" w:hAnsi="Garamond" w:cs="Times New Roman"/>
          <w:color w:val="000000" w:themeColor="text1"/>
          <w:sz w:val="28"/>
          <w:szCs w:val="28"/>
        </w:rPr>
        <w:t xml:space="preserve"> dell'assodata mancanza dei requisiti oggettivi condizionanti ab origine l'ammis</w:t>
      </w:r>
      <w:r>
        <w:rPr>
          <w:rFonts w:ascii="Garamond" w:hAnsi="Garamond" w:cs="Times New Roman"/>
          <w:color w:val="000000" w:themeColor="text1"/>
          <w:sz w:val="28"/>
          <w:szCs w:val="28"/>
        </w:rPr>
        <w:t>sione al finanziamento pubblico</w:t>
      </w:r>
      <w:r w:rsidRPr="00FC6EAC">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w:t>
      </w:r>
      <w:r w:rsidRPr="00873D55">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ciò sulla base del rilievo che </w:t>
      </w:r>
      <w:r w:rsidRPr="00FC6EAC">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 xml:space="preserve">in ogni  operazione di finanziamento a carico dell’erario, il beneficio economico è riferibile ad un obbiettivo essenziale perseguito dalla </w:t>
      </w:r>
      <w:r>
        <w:rPr>
          <w:rFonts w:ascii="Garamond" w:hAnsi="Garamond" w:cs="Times New Roman"/>
          <w:color w:val="000000" w:themeColor="text1"/>
          <w:sz w:val="28"/>
          <w:szCs w:val="28"/>
        </w:rPr>
        <w:t>relativa</w:t>
      </w:r>
      <w:r w:rsidRPr="00873D55">
        <w:rPr>
          <w:rFonts w:ascii="Garamond" w:hAnsi="Garamond" w:cs="Times New Roman"/>
          <w:color w:val="000000" w:themeColor="text1"/>
          <w:sz w:val="28"/>
          <w:szCs w:val="28"/>
        </w:rPr>
        <w:t xml:space="preserve"> disciplina di settore (sia </w:t>
      </w:r>
      <w:r>
        <w:rPr>
          <w:rFonts w:ascii="Garamond" w:hAnsi="Garamond" w:cs="Times New Roman"/>
          <w:color w:val="000000" w:themeColor="text1"/>
          <w:sz w:val="28"/>
          <w:szCs w:val="28"/>
        </w:rPr>
        <w:t>normativa</w:t>
      </w:r>
      <w:r w:rsidRPr="00873D55">
        <w:rPr>
          <w:rFonts w:ascii="Garamond" w:hAnsi="Garamond" w:cs="Times New Roman"/>
          <w:color w:val="000000" w:themeColor="text1"/>
          <w:sz w:val="28"/>
          <w:szCs w:val="28"/>
        </w:rPr>
        <w:t xml:space="preserve"> che </w:t>
      </w:r>
      <w:r>
        <w:rPr>
          <w:rFonts w:ascii="Garamond" w:hAnsi="Garamond" w:cs="Times New Roman"/>
          <w:color w:val="000000" w:themeColor="text1"/>
          <w:sz w:val="28"/>
          <w:szCs w:val="28"/>
        </w:rPr>
        <w:t>amministrativa</w:t>
      </w:r>
      <w:r w:rsidRPr="00873D55">
        <w:rPr>
          <w:rFonts w:ascii="Garamond" w:hAnsi="Garamond" w:cs="Times New Roman"/>
          <w:color w:val="000000" w:themeColor="text1"/>
          <w:sz w:val="28"/>
          <w:szCs w:val="28"/>
        </w:rPr>
        <w:t xml:space="preserve">); il finanziamento è preordinato al soddisfacimento di un interesse istituzionale che trascende, cioè, pur implicandolo, l’interesse dei destinatari; vale a dire che in ogni operazione di finanziamento non è intellegibile solo un interesse del beneficiario ma anche quello dell’organismo che </w:t>
      </w:r>
      <w:r w:rsidRPr="00873D55">
        <w:rPr>
          <w:rFonts w:ascii="Garamond" w:hAnsi="Garamond" w:cs="Times New Roman"/>
          <w:color w:val="000000" w:themeColor="text1"/>
          <w:sz w:val="28"/>
          <w:szCs w:val="28"/>
        </w:rPr>
        <w:lastRenderedPageBreak/>
        <w:t xml:space="preserve">lo elargisce il quale, a sua volta, altro non è se non il portatore degli interessi, dei fini e degli obbiettivi del superiore livello politico istituzionale; logico corollario è che le disposizioni attributive di finanziamento devono essere interpretate i modo rigoroso e quanto più conformemente con gli obbiettivi avuti di mira dal normatore, anche allo scopo di evitare che si configurino aiuti di stato </w:t>
      </w:r>
      <w:r>
        <w:rPr>
          <w:rFonts w:ascii="Garamond" w:hAnsi="Garamond" w:cs="Times New Roman"/>
          <w:color w:val="000000" w:themeColor="text1"/>
          <w:sz w:val="28"/>
          <w:szCs w:val="28"/>
        </w:rPr>
        <w:t>illegittimi (cfr. Cons. Stato, s</w:t>
      </w:r>
      <w:r w:rsidRPr="00873D55">
        <w:rPr>
          <w:rFonts w:ascii="Garamond" w:hAnsi="Garamond" w:cs="Times New Roman"/>
          <w:color w:val="000000" w:themeColor="text1"/>
          <w:sz w:val="28"/>
          <w:szCs w:val="28"/>
        </w:rPr>
        <w:t>ez. V, n. 3778 del 2012; sui principi generali in materia di contributi pubblici, Ad. pl</w:t>
      </w:r>
      <w:r>
        <w:rPr>
          <w:rFonts w:ascii="Garamond" w:hAnsi="Garamond" w:cs="Times New Roman"/>
          <w:color w:val="000000" w:themeColor="text1"/>
          <w:sz w:val="28"/>
          <w:szCs w:val="28"/>
        </w:rPr>
        <w:t>en. n. 20 del 2012; Corte giustizia</w:t>
      </w:r>
      <w:r w:rsidRPr="00873D55">
        <w:rPr>
          <w:rFonts w:ascii="Garamond" w:hAnsi="Garamond" w:cs="Times New Roman"/>
          <w:color w:val="000000" w:themeColor="text1"/>
          <w:sz w:val="28"/>
          <w:szCs w:val="28"/>
        </w:rPr>
        <w:t xml:space="preserve"> UE, sez. </w:t>
      </w:r>
      <w:r>
        <w:rPr>
          <w:rFonts w:ascii="Garamond" w:hAnsi="Garamond" w:cs="Times New Roman"/>
          <w:color w:val="000000" w:themeColor="text1"/>
          <w:sz w:val="28"/>
          <w:szCs w:val="28"/>
        </w:rPr>
        <w:t>VIII, 26 maggio 2016, C-273/15)</w:t>
      </w:r>
      <w:r w:rsidRPr="008E7376">
        <w:rPr>
          <w:rFonts w:ascii="Garamond" w:hAnsi="Garamond" w:cs="Times New Roman"/>
          <w:color w:val="000000" w:themeColor="text1"/>
          <w:sz w:val="28"/>
          <w:szCs w:val="28"/>
        </w:rPr>
        <w:t>»</w:t>
      </w:r>
      <w:r>
        <w:rPr>
          <w:rFonts w:ascii="Garamond" w:hAnsi="Garamond" w:cs="Times New Roman"/>
          <w:color w:val="000000" w:themeColor="text1"/>
          <w:sz w:val="28"/>
          <w:szCs w:val="28"/>
        </w:rPr>
        <w:t>.</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Tale o</w:t>
      </w:r>
      <w:r>
        <w:rPr>
          <w:rFonts w:ascii="Garamond" w:hAnsi="Garamond" w:cs="Times New Roman"/>
          <w:color w:val="000000" w:themeColor="text1"/>
          <w:sz w:val="28"/>
          <w:szCs w:val="28"/>
        </w:rPr>
        <w:t>rientamento è stato ribadito dalla Adunanza plenaria del Consiglio di Stato (</w:t>
      </w:r>
      <w:r w:rsidRPr="00873D55">
        <w:rPr>
          <w:rFonts w:ascii="Garamond" w:hAnsi="Garamond" w:cs="Times New Roman"/>
          <w:color w:val="000000" w:themeColor="text1"/>
          <w:sz w:val="28"/>
          <w:szCs w:val="28"/>
        </w:rPr>
        <w:t>n. 18 del 2020</w:t>
      </w:r>
      <w:r>
        <w:rPr>
          <w:rFonts w:ascii="Garamond" w:hAnsi="Garamond" w:cs="Times New Roman"/>
          <w:color w:val="000000" w:themeColor="text1"/>
          <w:sz w:val="28"/>
          <w:szCs w:val="28"/>
        </w:rPr>
        <w:t xml:space="preserve">), </w:t>
      </w:r>
      <w:r w:rsidRPr="00873D55">
        <w:rPr>
          <w:rFonts w:ascii="Garamond" w:hAnsi="Garamond" w:cs="Times New Roman"/>
          <w:color w:val="000000" w:themeColor="text1"/>
          <w:sz w:val="28"/>
          <w:szCs w:val="28"/>
        </w:rPr>
        <w:t>che ha affermato come la decadenza, intesa quale vicenda pubblicistica estint</w:t>
      </w:r>
      <w:r>
        <w:rPr>
          <w:rFonts w:ascii="Garamond" w:hAnsi="Garamond" w:cs="Times New Roman"/>
          <w:color w:val="000000" w:themeColor="text1"/>
          <w:sz w:val="28"/>
          <w:szCs w:val="28"/>
        </w:rPr>
        <w:t>iva</w:t>
      </w:r>
      <w:r w:rsidRPr="00873D55">
        <w:rPr>
          <w:rFonts w:ascii="Garamond" w:hAnsi="Garamond" w:cs="Times New Roman"/>
          <w:color w:val="000000" w:themeColor="text1"/>
          <w:sz w:val="28"/>
          <w:szCs w:val="28"/>
        </w:rPr>
        <w:t xml:space="preserve">, </w:t>
      </w:r>
      <w:r w:rsidRPr="008E7376">
        <w:rPr>
          <w:rFonts w:ascii="Garamond" w:hAnsi="Garamond" w:cs="Times New Roman"/>
          <w:i/>
          <w:color w:val="000000" w:themeColor="text1"/>
          <w:sz w:val="28"/>
          <w:szCs w:val="28"/>
        </w:rPr>
        <w:t>ex tunc</w:t>
      </w:r>
      <w:r w:rsidRPr="00873D55">
        <w:rPr>
          <w:rFonts w:ascii="Garamond" w:hAnsi="Garamond" w:cs="Times New Roman"/>
          <w:color w:val="000000" w:themeColor="text1"/>
          <w:sz w:val="28"/>
          <w:szCs w:val="28"/>
        </w:rPr>
        <w:t xml:space="preserve"> (o in alcuni casi </w:t>
      </w:r>
      <w:r w:rsidRPr="008E7376">
        <w:rPr>
          <w:rFonts w:ascii="Garamond" w:hAnsi="Garamond" w:cs="Times New Roman"/>
          <w:i/>
          <w:color w:val="000000" w:themeColor="text1"/>
          <w:sz w:val="28"/>
          <w:szCs w:val="28"/>
        </w:rPr>
        <w:t>ex nunc</w:t>
      </w:r>
      <w:r w:rsidRPr="00873D55">
        <w:rPr>
          <w:rFonts w:ascii="Garamond" w:hAnsi="Garamond" w:cs="Times New Roman"/>
          <w:color w:val="000000" w:themeColor="text1"/>
          <w:sz w:val="28"/>
          <w:szCs w:val="28"/>
        </w:rPr>
        <w:t xml:space="preserve">), di una posizione giuridica di vantaggio (c.d. beneficio) è istituto che, pur presentando tratti comuni col più ampio </w:t>
      </w:r>
      <w:r w:rsidRPr="008E7376">
        <w:rPr>
          <w:rFonts w:ascii="Garamond" w:hAnsi="Garamond" w:cs="Times New Roman"/>
          <w:i/>
          <w:color w:val="000000" w:themeColor="text1"/>
          <w:sz w:val="28"/>
          <w:szCs w:val="28"/>
        </w:rPr>
        <w:t>genus</w:t>
      </w:r>
      <w:r w:rsidRPr="00873D55">
        <w:rPr>
          <w:rFonts w:ascii="Garamond" w:hAnsi="Garamond" w:cs="Times New Roman"/>
          <w:color w:val="000000" w:themeColor="text1"/>
          <w:sz w:val="28"/>
          <w:szCs w:val="28"/>
        </w:rPr>
        <w:t xml:space="preserve"> dell'autotutela, ne deve essere opportunamente differenziato, caratterizzandosi specificatamente:</w:t>
      </w:r>
    </w:p>
    <w:p w:rsidR="007B4920" w:rsidRDefault="007B4920" w:rsidP="007B4920">
      <w:pPr>
        <w:pStyle w:val="Paragrafoelenco"/>
        <w:numPr>
          <w:ilvl w:val="0"/>
          <w:numId w:val="28"/>
        </w:numPr>
        <w:spacing w:line="240" w:lineRule="auto"/>
        <w:jc w:val="both"/>
        <w:rPr>
          <w:rFonts w:ascii="Garamond" w:hAnsi="Garamond" w:cs="Times New Roman"/>
          <w:color w:val="000000" w:themeColor="text1"/>
          <w:sz w:val="28"/>
          <w:szCs w:val="28"/>
        </w:rPr>
      </w:pPr>
      <w:r w:rsidRPr="00A41732">
        <w:rPr>
          <w:rFonts w:ascii="Garamond" w:hAnsi="Garamond" w:cs="Times New Roman"/>
          <w:color w:val="000000" w:themeColor="text1"/>
          <w:sz w:val="28"/>
          <w:szCs w:val="28"/>
        </w:rPr>
        <w:t xml:space="preserve">per l'espressa e specifica previsione, da parte della legge, non sussistendo, in materia di decadenza, una norma generale quale quella prevista dall'art. 21 </w:t>
      </w:r>
      <w:r w:rsidRPr="00A41732">
        <w:rPr>
          <w:rFonts w:ascii="Garamond" w:hAnsi="Garamond" w:cs="Times New Roman"/>
          <w:i/>
          <w:color w:val="000000" w:themeColor="text1"/>
          <w:sz w:val="28"/>
          <w:szCs w:val="28"/>
        </w:rPr>
        <w:t>nonies</w:t>
      </w:r>
      <w:r w:rsidRPr="00A41732">
        <w:rPr>
          <w:rFonts w:ascii="Garamond" w:hAnsi="Garamond" w:cs="Times New Roman"/>
          <w:color w:val="000000" w:themeColor="text1"/>
          <w:sz w:val="28"/>
          <w:szCs w:val="28"/>
        </w:rPr>
        <w:t>, l. 241 del 1990, che ne disciplini pre</w:t>
      </w:r>
      <w:r>
        <w:rPr>
          <w:rFonts w:ascii="Garamond" w:hAnsi="Garamond" w:cs="Times New Roman"/>
          <w:color w:val="000000" w:themeColor="text1"/>
          <w:sz w:val="28"/>
          <w:szCs w:val="28"/>
        </w:rPr>
        <w:t>supposti, condizioni ed effetti;</w:t>
      </w:r>
    </w:p>
    <w:p w:rsidR="007B4920" w:rsidRDefault="007B4920" w:rsidP="007B4920">
      <w:pPr>
        <w:pStyle w:val="Paragrafoelenco"/>
        <w:numPr>
          <w:ilvl w:val="0"/>
          <w:numId w:val="28"/>
        </w:numPr>
        <w:spacing w:line="240" w:lineRule="auto"/>
        <w:jc w:val="both"/>
        <w:rPr>
          <w:rFonts w:ascii="Garamond" w:hAnsi="Garamond" w:cs="Times New Roman"/>
          <w:color w:val="000000" w:themeColor="text1"/>
          <w:sz w:val="28"/>
          <w:szCs w:val="28"/>
        </w:rPr>
      </w:pPr>
      <w:r w:rsidRPr="00A41732">
        <w:rPr>
          <w:rFonts w:ascii="Garamond" w:hAnsi="Garamond" w:cs="Times New Roman"/>
          <w:color w:val="000000" w:themeColor="text1"/>
          <w:sz w:val="28"/>
          <w:szCs w:val="28"/>
        </w:rPr>
        <w:t xml:space="preserve">per la tipologia del vizio, </w:t>
      </w:r>
      <w:r w:rsidRPr="00A41732">
        <w:rPr>
          <w:rFonts w:ascii="Garamond" w:hAnsi="Garamond" w:cs="Times New Roman"/>
          <w:i/>
          <w:color w:val="000000" w:themeColor="text1"/>
          <w:sz w:val="28"/>
          <w:szCs w:val="28"/>
        </w:rPr>
        <w:t>more solito</w:t>
      </w:r>
      <w:r w:rsidRPr="00A41732">
        <w:rPr>
          <w:rFonts w:ascii="Garamond" w:hAnsi="Garamond" w:cs="Times New Roman"/>
          <w:color w:val="000000" w:themeColor="text1"/>
          <w:sz w:val="28"/>
          <w:szCs w:val="28"/>
        </w:rPr>
        <w:t xml:space="preserve"> individuato nella falsità o non veridicità degli stati e delle condizioni dichiarate dall'istante, o nella violazione di prescrizioni amministrative ritenute essenziali per il perdurante godimento dei benefici, ovvero, ancora, nel venir meno dei requisiti di idoneità per la costituzione e la continuazione del rapporto; </w:t>
      </w:r>
    </w:p>
    <w:p w:rsidR="007B4920" w:rsidRPr="00A41732" w:rsidRDefault="007B4920" w:rsidP="007B4920">
      <w:pPr>
        <w:pStyle w:val="Paragrafoelenco"/>
        <w:numPr>
          <w:ilvl w:val="0"/>
          <w:numId w:val="28"/>
        </w:numPr>
        <w:spacing w:line="240" w:lineRule="auto"/>
        <w:jc w:val="both"/>
        <w:rPr>
          <w:rFonts w:ascii="Garamond" w:hAnsi="Garamond" w:cs="Times New Roman"/>
          <w:color w:val="000000" w:themeColor="text1"/>
          <w:sz w:val="28"/>
          <w:szCs w:val="28"/>
        </w:rPr>
      </w:pPr>
      <w:r w:rsidRPr="00A41732">
        <w:rPr>
          <w:rFonts w:ascii="Garamond" w:hAnsi="Garamond" w:cs="Times New Roman"/>
          <w:color w:val="000000" w:themeColor="text1"/>
          <w:sz w:val="28"/>
          <w:szCs w:val="28"/>
        </w:rPr>
        <w:t>per il carattere vincolato del potere, una volta accertato il ricorrere dei presupposti.</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La decadenza non presenta, invece, nessun tratto comune con il diverso istituto della sanzione, differenziandosene nettamente in ragione:</w:t>
      </w:r>
    </w:p>
    <w:p w:rsidR="007B4920" w:rsidRDefault="007B4920" w:rsidP="007B4920">
      <w:pPr>
        <w:pStyle w:val="Paragrafoelenco"/>
        <w:numPr>
          <w:ilvl w:val="0"/>
          <w:numId w:val="28"/>
        </w:numPr>
        <w:spacing w:line="240" w:lineRule="auto"/>
        <w:jc w:val="both"/>
        <w:rPr>
          <w:rFonts w:ascii="Garamond" w:hAnsi="Garamond" w:cs="Times New Roman"/>
          <w:color w:val="000000" w:themeColor="text1"/>
          <w:sz w:val="28"/>
          <w:szCs w:val="28"/>
        </w:rPr>
      </w:pPr>
      <w:r w:rsidRPr="00A41732">
        <w:rPr>
          <w:rFonts w:ascii="Garamond" w:hAnsi="Garamond" w:cs="Times New Roman"/>
          <w:color w:val="000000" w:themeColor="text1"/>
          <w:sz w:val="28"/>
          <w:szCs w:val="28"/>
        </w:rPr>
        <w:t>della non rilevanza, ai fini dell'integrazione dei presupposti, dell'elemento soggettivo del dolo o della colpa;</w:t>
      </w:r>
    </w:p>
    <w:p w:rsidR="007B4920" w:rsidRPr="00A41732" w:rsidRDefault="007B4920" w:rsidP="007B4920">
      <w:pPr>
        <w:pStyle w:val="Paragrafoelenco"/>
        <w:numPr>
          <w:ilvl w:val="0"/>
          <w:numId w:val="28"/>
        </w:numPr>
        <w:spacing w:line="240" w:lineRule="auto"/>
        <w:jc w:val="both"/>
        <w:rPr>
          <w:rFonts w:ascii="Garamond" w:hAnsi="Garamond" w:cs="Times New Roman"/>
          <w:color w:val="000000" w:themeColor="text1"/>
          <w:sz w:val="28"/>
          <w:szCs w:val="28"/>
        </w:rPr>
      </w:pPr>
      <w:r w:rsidRPr="00A41732">
        <w:rPr>
          <w:rFonts w:ascii="Garamond" w:hAnsi="Garamond" w:cs="Times New Roman"/>
          <w:color w:val="000000" w:themeColor="text1"/>
          <w:sz w:val="28"/>
          <w:szCs w:val="28"/>
        </w:rPr>
        <w:t>del limite dell'effetto ablatorio prodotto, al massimo coincidente con l'utilità innanzi concessa attraverso il pregresso provvedimento ampliativo sul quale la decadenza viene ad incidere.</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 xml:space="preserve">Il chiaro </w:t>
      </w:r>
      <w:r w:rsidRPr="0048614D">
        <w:rPr>
          <w:rFonts w:ascii="Garamond" w:hAnsi="Garamond" w:cs="Times New Roman"/>
          <w:i/>
          <w:color w:val="000000" w:themeColor="text1"/>
          <w:sz w:val="28"/>
          <w:szCs w:val="28"/>
        </w:rPr>
        <w:t>discrimen</w:t>
      </w:r>
      <w:r w:rsidRPr="00873D55">
        <w:rPr>
          <w:rFonts w:ascii="Garamond" w:hAnsi="Garamond" w:cs="Times New Roman"/>
          <w:color w:val="000000" w:themeColor="text1"/>
          <w:sz w:val="28"/>
          <w:szCs w:val="28"/>
        </w:rPr>
        <w:t xml:space="preserve"> fra la decadenza dal beneficio incent</w:t>
      </w:r>
      <w:r>
        <w:rPr>
          <w:rFonts w:ascii="Garamond" w:hAnsi="Garamond" w:cs="Times New Roman"/>
          <w:color w:val="000000" w:themeColor="text1"/>
          <w:sz w:val="28"/>
          <w:szCs w:val="28"/>
        </w:rPr>
        <w:t>iva</w:t>
      </w:r>
      <w:r w:rsidRPr="00873D55">
        <w:rPr>
          <w:rFonts w:ascii="Garamond" w:hAnsi="Garamond" w:cs="Times New Roman"/>
          <w:color w:val="000000" w:themeColor="text1"/>
          <w:sz w:val="28"/>
          <w:szCs w:val="28"/>
        </w:rPr>
        <w:t>nte e la sanzione per la violazione delle norme che disciplinano il rapporto con la pubblica amministrazione è se</w:t>
      </w:r>
      <w:r>
        <w:rPr>
          <w:rFonts w:ascii="Garamond" w:hAnsi="Garamond" w:cs="Times New Roman"/>
          <w:color w:val="000000" w:themeColor="text1"/>
          <w:sz w:val="28"/>
          <w:szCs w:val="28"/>
        </w:rPr>
        <w:t>gnato dallo stesso art. 42 d.lgs</w:t>
      </w:r>
      <w:r w:rsidRPr="00873D55">
        <w:rPr>
          <w:rFonts w:ascii="Garamond" w:hAnsi="Garamond" w:cs="Times New Roman"/>
          <w:color w:val="000000" w:themeColor="text1"/>
          <w:sz w:val="28"/>
          <w:szCs w:val="28"/>
        </w:rPr>
        <w:t>. n. 28 del 2011, che specificatamente demanda</w:t>
      </w:r>
      <w:r>
        <w:rPr>
          <w:rFonts w:ascii="Garamond" w:hAnsi="Garamond" w:cs="Times New Roman"/>
          <w:color w:val="000000" w:themeColor="text1"/>
          <w:sz w:val="28"/>
          <w:szCs w:val="28"/>
        </w:rPr>
        <w:t xml:space="preserve"> al G.s.e.</w:t>
      </w:r>
      <w:r w:rsidRPr="00873D55">
        <w:rPr>
          <w:rFonts w:ascii="Garamond" w:hAnsi="Garamond" w:cs="Times New Roman"/>
          <w:color w:val="000000" w:themeColor="text1"/>
          <w:sz w:val="28"/>
          <w:szCs w:val="28"/>
        </w:rPr>
        <w:t xml:space="preserve"> il compito di trasmettere gli atti, a base del provvedimento di decadenza, all'autorità indipendente di settore per l'eventuale irrogazione delle sanzioni.</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 xml:space="preserve">Tale orientamento è stato ribadito anche dalla giurisprudenza </w:t>
      </w:r>
      <w:r>
        <w:rPr>
          <w:rFonts w:ascii="Garamond" w:hAnsi="Garamond" w:cs="Times New Roman"/>
          <w:color w:val="000000" w:themeColor="text1"/>
          <w:sz w:val="28"/>
          <w:szCs w:val="28"/>
        </w:rPr>
        <w:t>successiva</w:t>
      </w:r>
      <w:r w:rsidRPr="00873D55">
        <w:rPr>
          <w:rFonts w:ascii="Garamond" w:hAnsi="Garamond" w:cs="Times New Roman"/>
          <w:color w:val="000000" w:themeColor="text1"/>
          <w:sz w:val="28"/>
          <w:szCs w:val="28"/>
        </w:rPr>
        <w:t xml:space="preserve"> che ha affermato che i provvedimenti di decadenza del G</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 xml:space="preserve"> si caratterizzano per l’esercizio di uno speciale e vincolato potere di verifica e controllo, che è estraneo al paradigma dell’autotutela di cui all’art. 21 </w:t>
      </w:r>
      <w:r w:rsidRPr="008E7376">
        <w:rPr>
          <w:rFonts w:ascii="Garamond" w:hAnsi="Garamond" w:cs="Times New Roman"/>
          <w:i/>
          <w:color w:val="000000" w:themeColor="text1"/>
          <w:sz w:val="28"/>
          <w:szCs w:val="28"/>
        </w:rPr>
        <w:t>nonies</w:t>
      </w:r>
      <w:r>
        <w:rPr>
          <w:rFonts w:ascii="Garamond" w:hAnsi="Garamond" w:cs="Times New Roman"/>
          <w:color w:val="000000" w:themeColor="text1"/>
          <w:sz w:val="28"/>
          <w:szCs w:val="28"/>
        </w:rPr>
        <w:t xml:space="preserve"> della l.</w:t>
      </w:r>
      <w:r w:rsidRPr="00873D55">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 </w:t>
      </w:r>
      <w:r w:rsidRPr="00873D55">
        <w:rPr>
          <w:rFonts w:ascii="Garamond" w:hAnsi="Garamond" w:cs="Times New Roman"/>
          <w:color w:val="000000" w:themeColor="text1"/>
          <w:sz w:val="28"/>
          <w:szCs w:val="28"/>
        </w:rPr>
        <w:t>n. 241</w:t>
      </w:r>
      <w:r>
        <w:rPr>
          <w:rFonts w:ascii="Garamond" w:hAnsi="Garamond" w:cs="Times New Roman"/>
          <w:color w:val="000000" w:themeColor="text1"/>
          <w:sz w:val="28"/>
          <w:szCs w:val="28"/>
        </w:rPr>
        <w:t xml:space="preserve"> del 1990</w:t>
      </w:r>
      <w:r w:rsidRPr="00873D55">
        <w:rPr>
          <w:rFonts w:ascii="Garamond" w:hAnsi="Garamond" w:cs="Times New Roman"/>
          <w:color w:val="000000" w:themeColor="text1"/>
          <w:sz w:val="28"/>
          <w:szCs w:val="28"/>
        </w:rPr>
        <w:t xml:space="preserve"> (Cons. Stato, </w:t>
      </w:r>
      <w:r>
        <w:rPr>
          <w:rFonts w:ascii="Garamond" w:hAnsi="Garamond" w:cs="Times New Roman"/>
          <w:color w:val="000000" w:themeColor="text1"/>
          <w:sz w:val="28"/>
          <w:szCs w:val="28"/>
        </w:rPr>
        <w:t>s</w:t>
      </w:r>
      <w:r w:rsidRPr="00873D55">
        <w:rPr>
          <w:rFonts w:ascii="Garamond" w:hAnsi="Garamond" w:cs="Times New Roman"/>
          <w:color w:val="000000" w:themeColor="text1"/>
          <w:sz w:val="28"/>
          <w:szCs w:val="28"/>
        </w:rPr>
        <w:t>ez. II, n. 2747 del 2022;</w:t>
      </w:r>
      <w:r>
        <w:rPr>
          <w:rFonts w:ascii="Garamond" w:hAnsi="Garamond" w:cs="Times New Roman"/>
          <w:color w:val="000000" w:themeColor="text1"/>
          <w:sz w:val="28"/>
          <w:szCs w:val="28"/>
        </w:rPr>
        <w:t xml:space="preserve"> </w:t>
      </w:r>
      <w:r w:rsidRPr="00873D55">
        <w:rPr>
          <w:rFonts w:ascii="Garamond" w:hAnsi="Garamond" w:cs="Times New Roman"/>
          <w:color w:val="000000" w:themeColor="text1"/>
          <w:sz w:val="28"/>
          <w:szCs w:val="28"/>
        </w:rPr>
        <w:t>sez. IV</w:t>
      </w:r>
      <w:r>
        <w:rPr>
          <w:rFonts w:ascii="Garamond" w:hAnsi="Garamond" w:cs="Times New Roman"/>
          <w:color w:val="000000" w:themeColor="text1"/>
          <w:sz w:val="28"/>
          <w:szCs w:val="28"/>
        </w:rPr>
        <w:t xml:space="preserve">, </w:t>
      </w:r>
      <w:r w:rsidRPr="00873D55">
        <w:rPr>
          <w:rFonts w:ascii="Garamond" w:hAnsi="Garamond" w:cs="Times New Roman"/>
          <w:color w:val="000000" w:themeColor="text1"/>
          <w:sz w:val="28"/>
          <w:szCs w:val="28"/>
        </w:rPr>
        <w:t>n. 462 del 2022 e n. 594 del 2021; sez.</w:t>
      </w:r>
      <w:r>
        <w:rPr>
          <w:rFonts w:ascii="Garamond" w:hAnsi="Garamond" w:cs="Times New Roman"/>
          <w:color w:val="000000" w:themeColor="text1"/>
          <w:sz w:val="28"/>
          <w:szCs w:val="28"/>
        </w:rPr>
        <w:t xml:space="preserve"> </w:t>
      </w:r>
      <w:r w:rsidRPr="00873D55">
        <w:rPr>
          <w:rFonts w:ascii="Garamond" w:hAnsi="Garamond" w:cs="Times New Roman"/>
          <w:color w:val="000000" w:themeColor="text1"/>
          <w:sz w:val="28"/>
          <w:szCs w:val="28"/>
        </w:rPr>
        <w:t>VI</w:t>
      </w:r>
      <w:r>
        <w:rPr>
          <w:rFonts w:ascii="Garamond" w:hAnsi="Garamond" w:cs="Times New Roman"/>
          <w:color w:val="000000" w:themeColor="text1"/>
          <w:sz w:val="28"/>
          <w:szCs w:val="28"/>
        </w:rPr>
        <w:t xml:space="preserve">, </w:t>
      </w:r>
      <w:r w:rsidRPr="00873D55">
        <w:rPr>
          <w:rFonts w:ascii="Garamond" w:hAnsi="Garamond" w:cs="Times New Roman"/>
          <w:color w:val="000000" w:themeColor="text1"/>
          <w:sz w:val="28"/>
          <w:szCs w:val="28"/>
        </w:rPr>
        <w:t xml:space="preserve">n. 9 del 2022 e n. 6516 del 2021; Corte cost., </w:t>
      </w:r>
      <w:r>
        <w:rPr>
          <w:rFonts w:ascii="Garamond" w:hAnsi="Garamond" w:cs="Times New Roman"/>
          <w:color w:val="000000" w:themeColor="text1"/>
          <w:sz w:val="28"/>
          <w:szCs w:val="28"/>
        </w:rPr>
        <w:t>n. 237 del 2020</w:t>
      </w:r>
      <w:r w:rsidRPr="00873D55">
        <w:rPr>
          <w:rFonts w:ascii="Garamond" w:hAnsi="Garamond" w:cs="Times New Roman"/>
          <w:color w:val="000000" w:themeColor="text1"/>
          <w:sz w:val="28"/>
          <w:szCs w:val="28"/>
        </w:rPr>
        <w:t xml:space="preserve">).  </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Secondo la giurisprudenza del Consiglio di Stato inoltre:</w:t>
      </w:r>
    </w:p>
    <w:p w:rsidR="007B4920" w:rsidRDefault="007B4920" w:rsidP="007B4920">
      <w:pPr>
        <w:pStyle w:val="Paragrafoelenco"/>
        <w:numPr>
          <w:ilvl w:val="0"/>
          <w:numId w:val="28"/>
        </w:numPr>
        <w:spacing w:line="240" w:lineRule="auto"/>
        <w:jc w:val="both"/>
        <w:rPr>
          <w:rFonts w:ascii="Garamond" w:hAnsi="Garamond" w:cs="Times New Roman"/>
          <w:color w:val="000000" w:themeColor="text1"/>
          <w:sz w:val="28"/>
          <w:szCs w:val="28"/>
        </w:rPr>
      </w:pPr>
      <w:r w:rsidRPr="00A10A89">
        <w:rPr>
          <w:rFonts w:ascii="Garamond" w:hAnsi="Garamond" w:cs="Times New Roman"/>
          <w:color w:val="000000" w:themeColor="text1"/>
          <w:sz w:val="28"/>
          <w:szCs w:val="28"/>
        </w:rPr>
        <w:t xml:space="preserve">sia la direttiva 2009/28 che la giurisprudenza della Corte di </w:t>
      </w:r>
      <w:r>
        <w:rPr>
          <w:rFonts w:ascii="Garamond" w:hAnsi="Garamond" w:cs="Times New Roman"/>
          <w:color w:val="000000" w:themeColor="text1"/>
          <w:sz w:val="28"/>
          <w:szCs w:val="28"/>
        </w:rPr>
        <w:t>G</w:t>
      </w:r>
      <w:r w:rsidRPr="00A10A89">
        <w:rPr>
          <w:rFonts w:ascii="Garamond" w:hAnsi="Garamond" w:cs="Times New Roman"/>
          <w:color w:val="000000" w:themeColor="text1"/>
          <w:sz w:val="28"/>
          <w:szCs w:val="28"/>
        </w:rPr>
        <w:t xml:space="preserve">iustizia escludono che la previsione di un potere di verifica e decadenza in capo al G.s.e. sia, di per sé, in </w:t>
      </w:r>
      <w:r w:rsidRPr="00A10A89">
        <w:rPr>
          <w:rFonts w:ascii="Garamond" w:hAnsi="Garamond" w:cs="Times New Roman"/>
          <w:color w:val="000000" w:themeColor="text1"/>
          <w:sz w:val="28"/>
          <w:szCs w:val="28"/>
        </w:rPr>
        <w:lastRenderedPageBreak/>
        <w:t>contrasto con il legittimo affidamento e la fiducia degli investitori la quale viene, per contro, tutelata, attraverso il corretto funzionamento dei regimi di sostegno che impongono un controllo non limitato alla mera fase iniziale di incentivazione (Cons. Stato, sez. II, n. 640 del 2023 con rinvio a Corte giustizia UE grande sezione -  6 ottobre 2021, in causa C-561/19, punto 47);</w:t>
      </w:r>
    </w:p>
    <w:p w:rsidR="007B4920" w:rsidRPr="00A10A89" w:rsidRDefault="007B4920" w:rsidP="007B4920">
      <w:pPr>
        <w:pStyle w:val="Paragrafoelenco"/>
        <w:numPr>
          <w:ilvl w:val="0"/>
          <w:numId w:val="28"/>
        </w:numPr>
        <w:spacing w:line="240" w:lineRule="auto"/>
        <w:jc w:val="both"/>
        <w:rPr>
          <w:rFonts w:ascii="Garamond" w:hAnsi="Garamond" w:cs="Times New Roman"/>
          <w:color w:val="000000" w:themeColor="text1"/>
          <w:sz w:val="28"/>
          <w:szCs w:val="28"/>
        </w:rPr>
      </w:pPr>
      <w:r w:rsidRPr="00A10A89">
        <w:rPr>
          <w:rFonts w:ascii="Garamond" w:hAnsi="Garamond" w:cs="Times New Roman"/>
          <w:color w:val="000000" w:themeColor="text1"/>
          <w:sz w:val="28"/>
          <w:szCs w:val="28"/>
        </w:rPr>
        <w:t>la decadenza dalla tariffa incentivante, anche se applicata a distanza di un certo lasso di tempo dal provvedimento di ammissione, non può rappresentare un rimedio incompatibile con gli obiettivi di corretto funzionamento dei regimi di sostegno nazionali, poiché l’istituzione di procedure di controllo non è idonea a ingenerare la sfiducia negli operatori in possesso dei requisiti per il conseguimento degli incentivi e non produce alcuna situazione di instabilità, non determinando una sopravvenuta modifica della normativa (Cons. Stato, sez. II, n. 640 del 2023 cit.; Cons. Stato, sez. IV, 20 gennaio 2021 n. 594).</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L’Ad</w:t>
      </w:r>
      <w:r>
        <w:rPr>
          <w:rFonts w:ascii="Garamond" w:hAnsi="Garamond" w:cs="Times New Roman"/>
          <w:color w:val="000000" w:themeColor="text1"/>
          <w:sz w:val="28"/>
          <w:szCs w:val="28"/>
        </w:rPr>
        <w:t>unanza plenaria (</w:t>
      </w:r>
      <w:r w:rsidRPr="00873D55">
        <w:rPr>
          <w:rFonts w:ascii="Garamond" w:hAnsi="Garamond" w:cs="Times New Roman"/>
          <w:color w:val="000000" w:themeColor="text1"/>
          <w:sz w:val="28"/>
          <w:szCs w:val="28"/>
        </w:rPr>
        <w:t>n.  18 del 2020</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 xml:space="preserve"> e la giurisprudenza innanzi</w:t>
      </w:r>
      <w:r>
        <w:rPr>
          <w:rFonts w:ascii="Garamond" w:hAnsi="Garamond" w:cs="Times New Roman"/>
          <w:color w:val="000000" w:themeColor="text1"/>
          <w:sz w:val="28"/>
          <w:szCs w:val="28"/>
        </w:rPr>
        <w:t xml:space="preserve"> richiamata (cfr. Cons. Stato, s</w:t>
      </w:r>
      <w:r w:rsidRPr="00873D55">
        <w:rPr>
          <w:rFonts w:ascii="Garamond" w:hAnsi="Garamond" w:cs="Times New Roman"/>
          <w:color w:val="000000" w:themeColor="text1"/>
          <w:sz w:val="28"/>
          <w:szCs w:val="28"/>
        </w:rPr>
        <w:t>ez. II, n. 2747 del 2022; sez. IV n. 462 del 2022 e n. 594 del 2021; sez.VI n. 9 del 2022 e n. 6516 del 2021; Corte cost., n. 237</w:t>
      </w:r>
      <w:r>
        <w:rPr>
          <w:rFonts w:ascii="Garamond" w:hAnsi="Garamond" w:cs="Times New Roman"/>
          <w:color w:val="000000" w:themeColor="text1"/>
          <w:sz w:val="28"/>
          <w:szCs w:val="28"/>
        </w:rPr>
        <w:t xml:space="preserve"> del 2020</w:t>
      </w:r>
      <w:r w:rsidRPr="00873D55">
        <w:rPr>
          <w:rFonts w:ascii="Garamond" w:hAnsi="Garamond" w:cs="Times New Roman"/>
          <w:color w:val="000000" w:themeColor="text1"/>
          <w:sz w:val="28"/>
          <w:szCs w:val="28"/>
        </w:rPr>
        <w:t>) ha peraltro preci</w:t>
      </w:r>
      <w:r>
        <w:rPr>
          <w:rFonts w:ascii="Garamond" w:hAnsi="Garamond" w:cs="Times New Roman"/>
          <w:color w:val="000000" w:themeColor="text1"/>
          <w:sz w:val="28"/>
          <w:szCs w:val="28"/>
        </w:rPr>
        <w:t xml:space="preserve">sato che l'art. 56, comma 7, d.l. </w:t>
      </w:r>
      <w:r w:rsidRPr="00873D55">
        <w:rPr>
          <w:rFonts w:ascii="Garamond" w:hAnsi="Garamond" w:cs="Times New Roman"/>
          <w:color w:val="000000" w:themeColor="text1"/>
          <w:sz w:val="28"/>
          <w:szCs w:val="28"/>
        </w:rPr>
        <w:t>n. 76 del 2020 pur avendo previsto che l'esercizio del potere di decadenza si eserciti in presenza dei presupposti di cui all'articolo 21-</w:t>
      </w:r>
      <w:r w:rsidRPr="00ED5FA5">
        <w:rPr>
          <w:rFonts w:ascii="Garamond" w:hAnsi="Garamond" w:cs="Times New Roman"/>
          <w:i/>
          <w:color w:val="000000" w:themeColor="text1"/>
          <w:sz w:val="28"/>
          <w:szCs w:val="28"/>
        </w:rPr>
        <w:t>nonies</w:t>
      </w:r>
      <w:r>
        <w:rPr>
          <w:rFonts w:ascii="Garamond" w:hAnsi="Garamond" w:cs="Times New Roman"/>
          <w:color w:val="000000" w:themeColor="text1"/>
          <w:sz w:val="28"/>
          <w:szCs w:val="28"/>
        </w:rPr>
        <w:t>, l n. 241 del 1990</w:t>
      </w:r>
      <w:r w:rsidRPr="00873D55">
        <w:rPr>
          <w:rFonts w:ascii="Garamond" w:hAnsi="Garamond" w:cs="Times New Roman"/>
          <w:color w:val="000000" w:themeColor="text1"/>
          <w:sz w:val="28"/>
          <w:szCs w:val="28"/>
        </w:rPr>
        <w:t>, non ha mutato la natura del potere esercitato, che rimane di decadenza sia pure</w:t>
      </w:r>
      <w:r>
        <w:rPr>
          <w:rFonts w:ascii="Garamond" w:hAnsi="Garamond" w:cs="Times New Roman"/>
          <w:color w:val="000000" w:themeColor="text1"/>
          <w:sz w:val="28"/>
          <w:szCs w:val="28"/>
        </w:rPr>
        <w:t xml:space="preserve"> subordinato alla ricorrenza degli indicati </w:t>
      </w:r>
      <w:r w:rsidRPr="00873D55">
        <w:rPr>
          <w:rFonts w:ascii="Garamond" w:hAnsi="Garamond" w:cs="Times New Roman"/>
          <w:color w:val="000000" w:themeColor="text1"/>
          <w:sz w:val="28"/>
          <w:szCs w:val="28"/>
        </w:rPr>
        <w:t>presupposti. La disposizione, inoltre, non ha natura di norma di interpretazione autentica e, per e</w:t>
      </w:r>
      <w:r>
        <w:rPr>
          <w:rFonts w:ascii="Garamond" w:hAnsi="Garamond" w:cs="Times New Roman"/>
          <w:color w:val="000000" w:themeColor="text1"/>
          <w:sz w:val="28"/>
          <w:szCs w:val="28"/>
        </w:rPr>
        <w:t xml:space="preserve">spressa previsione, si applica </w:t>
      </w:r>
      <w:r w:rsidRPr="00873D55">
        <w:rPr>
          <w:rFonts w:ascii="Garamond" w:hAnsi="Garamond" w:cs="Times New Roman"/>
          <w:color w:val="000000" w:themeColor="text1"/>
          <w:sz w:val="28"/>
          <w:szCs w:val="28"/>
        </w:rPr>
        <w:t>ai procedimenti pendenti o, se già definiti, solo a seguito di apposita istanza dell’interessato, alle condizioni indicate dall’art 56</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 xml:space="preserve"> comma 8, d.l. n. 76 del 2020 (in senso conforme Cons. Stato, sez. II, n. 640 del 2023; sez. VI, n. 8719 del 2022; </w:t>
      </w:r>
      <w:r>
        <w:rPr>
          <w:rFonts w:ascii="Garamond" w:hAnsi="Garamond" w:cs="Times New Roman"/>
          <w:color w:val="000000" w:themeColor="text1"/>
          <w:sz w:val="28"/>
          <w:szCs w:val="28"/>
        </w:rPr>
        <w:t>s</w:t>
      </w:r>
      <w:r w:rsidRPr="00873D55">
        <w:rPr>
          <w:rFonts w:ascii="Garamond" w:hAnsi="Garamond" w:cs="Times New Roman"/>
          <w:color w:val="000000" w:themeColor="text1"/>
          <w:sz w:val="28"/>
          <w:szCs w:val="28"/>
        </w:rPr>
        <w:t>ez. II, n</w:t>
      </w:r>
      <w:r>
        <w:rPr>
          <w:rFonts w:ascii="Garamond" w:hAnsi="Garamond" w:cs="Times New Roman"/>
          <w:color w:val="000000" w:themeColor="text1"/>
          <w:sz w:val="28"/>
          <w:szCs w:val="28"/>
        </w:rPr>
        <w:t>n</w:t>
      </w:r>
      <w:r w:rsidRPr="00873D55">
        <w:rPr>
          <w:rFonts w:ascii="Garamond" w:hAnsi="Garamond" w:cs="Times New Roman"/>
          <w:color w:val="000000" w:themeColor="text1"/>
          <w:sz w:val="28"/>
          <w:szCs w:val="28"/>
        </w:rPr>
        <w:t>. 2743, 2744, 2745, 2746 del 2022).</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sidRPr="00873D55">
        <w:rPr>
          <w:rFonts w:ascii="Garamond" w:hAnsi="Garamond" w:cs="Times New Roman"/>
          <w:color w:val="000000" w:themeColor="text1"/>
          <w:sz w:val="28"/>
          <w:szCs w:val="28"/>
        </w:rPr>
        <w:t xml:space="preserve">La giurisprudenza del Consiglio di Stato ha altresì chiarito che la richiesta di restituzione dei benefici già erogati non è espressione di una distinta e automa volontà provvedimentale rispetto a quella oggetto dei provvedimenti di decadenza dai benefici concessi, bensì rappresenta un atto esecutivo, conseguente alla qualifica di indebito oggettivo </w:t>
      </w:r>
      <w:r>
        <w:rPr>
          <w:rFonts w:ascii="Garamond" w:hAnsi="Garamond" w:cs="Times New Roman"/>
          <w:color w:val="000000" w:themeColor="text1"/>
          <w:sz w:val="28"/>
          <w:szCs w:val="28"/>
        </w:rPr>
        <w:t>delle somme erogate per effetto</w:t>
      </w:r>
      <w:r w:rsidRPr="00873D55">
        <w:rPr>
          <w:rFonts w:ascii="Garamond" w:hAnsi="Garamond" w:cs="Times New Roman"/>
          <w:color w:val="000000" w:themeColor="text1"/>
          <w:sz w:val="28"/>
          <w:szCs w:val="28"/>
        </w:rPr>
        <w:t xml:space="preserve"> della determinazione di decadenza (Cons. Stato, sez. IV, n. 6241 del 2020).</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La plenaria (</w:t>
      </w:r>
      <w:r w:rsidRPr="00873D55">
        <w:rPr>
          <w:rFonts w:ascii="Garamond" w:hAnsi="Garamond" w:cs="Times New Roman"/>
          <w:color w:val="000000" w:themeColor="text1"/>
          <w:sz w:val="28"/>
          <w:szCs w:val="28"/>
        </w:rPr>
        <w:t>n. 18 del 2020</w:t>
      </w:r>
      <w:r>
        <w:rPr>
          <w:rFonts w:ascii="Garamond" w:hAnsi="Garamond" w:cs="Times New Roman"/>
          <w:color w:val="000000" w:themeColor="text1"/>
          <w:sz w:val="28"/>
          <w:szCs w:val="28"/>
        </w:rPr>
        <w:t>)</w:t>
      </w:r>
      <w:r w:rsidRPr="00873D55">
        <w:rPr>
          <w:rFonts w:ascii="Garamond" w:hAnsi="Garamond" w:cs="Times New Roman"/>
          <w:color w:val="000000" w:themeColor="text1"/>
          <w:sz w:val="28"/>
          <w:szCs w:val="28"/>
        </w:rPr>
        <w:t xml:space="preserve"> ha inoltre affermato i seguenti principi:</w:t>
      </w:r>
    </w:p>
    <w:p w:rsidR="007B4920" w:rsidRPr="00A10A89" w:rsidRDefault="007B4920" w:rsidP="007B4920">
      <w:pPr>
        <w:pStyle w:val="Paragrafoelenco"/>
        <w:numPr>
          <w:ilvl w:val="0"/>
          <w:numId w:val="28"/>
        </w:numPr>
        <w:spacing w:line="240" w:lineRule="auto"/>
        <w:jc w:val="both"/>
        <w:rPr>
          <w:rFonts w:ascii="Garamond" w:hAnsi="Garamond" w:cs="Times New Roman"/>
          <w:color w:val="000000" w:themeColor="text1"/>
          <w:sz w:val="28"/>
          <w:szCs w:val="28"/>
        </w:rPr>
      </w:pPr>
      <w:r w:rsidRPr="00A10A89">
        <w:rPr>
          <w:rFonts w:ascii="Garamond" w:hAnsi="Garamond" w:cs="Times New Roman"/>
          <w:color w:val="000000" w:themeColor="text1"/>
          <w:sz w:val="28"/>
          <w:szCs w:val="28"/>
        </w:rPr>
        <w:t>in tema di domanda per incentivi relativi alla produzione di energia da fonti rinnovabili, laddove si riscontri violazione riguardante una certificazione prodotta al fine di ottenere la maggiorazione del dieci per cento rispetto alla tariffa base incentivante, essa deve intendersi rilevante ai fini della decadenza dalla sola maggiorazione del dieci per cento per ottenere la quale era stata prodotta;</w:t>
      </w:r>
    </w:p>
    <w:p w:rsidR="007B4920" w:rsidRPr="005E455A" w:rsidRDefault="007B4920" w:rsidP="007B4920">
      <w:pPr>
        <w:pStyle w:val="Paragrafoelenco"/>
        <w:numPr>
          <w:ilvl w:val="0"/>
          <w:numId w:val="28"/>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Pr="005E455A">
        <w:rPr>
          <w:rFonts w:ascii="Garamond" w:hAnsi="Garamond" w:cs="Times New Roman"/>
          <w:color w:val="000000" w:themeColor="text1"/>
          <w:sz w:val="28"/>
          <w:szCs w:val="28"/>
        </w:rPr>
        <w:t>n tema di domanda per incentivi relativi alla produzione di energia da fonti rinnovabili, l'accertamento necessario ai fini della pronuncia di decadenza ha ad oggetto la sola violazione e la sua rilevanza, prescindendo dall'elemento soggettivo, che viene in evidenza soltanto nel prosieguo del procedimento sanzionatorio avanti alla c</w:t>
      </w:r>
      <w:r>
        <w:rPr>
          <w:rFonts w:ascii="Garamond" w:hAnsi="Garamond" w:cs="Times New Roman"/>
          <w:color w:val="000000" w:themeColor="text1"/>
          <w:sz w:val="28"/>
          <w:szCs w:val="28"/>
        </w:rPr>
        <w:t>ompetente autorità di settore [</w:t>
      </w:r>
      <w:r w:rsidRPr="005E455A">
        <w:rPr>
          <w:rFonts w:ascii="Garamond" w:hAnsi="Garamond" w:cs="Times New Roman"/>
          <w:color w:val="000000" w:themeColor="text1"/>
          <w:sz w:val="28"/>
          <w:szCs w:val="28"/>
        </w:rPr>
        <w:t xml:space="preserve">la vicenda trae origine dall'istanza presentata da un'impresa per il riconoscimento degli incentivi previsti dal d.m. 5 maggio 2011, relativamente all'energia prodotta da impianti solari fotovoltaici. Nello specifico, </w:t>
      </w:r>
      <w:r w:rsidRPr="005E455A">
        <w:rPr>
          <w:rFonts w:ascii="Garamond" w:hAnsi="Garamond" w:cs="Times New Roman"/>
          <w:color w:val="000000" w:themeColor="text1"/>
          <w:sz w:val="28"/>
          <w:szCs w:val="28"/>
        </w:rPr>
        <w:lastRenderedPageBreak/>
        <w:t>l'impresa richiedeva al G.s.e. sia il riconoscimento della tariffa base che della relativa maggiorazione del dieci per cento, secondo quanto rispettivamente previsto dagli art. 12 e 14 citato d.m. Il G.s.e. accoglieva l’istanza, riconoscendo entrambi gli incentivi, ma, successivamente, nell'ambito della propria attività di controllo, rilevava una difformità tra la certificazione presentata dall'impresa esclusivamente ai fini della maggiorazione del dieci per cento e quella originariamente emessa dall'ente certificatore. Conseguentemente, dichiarava, ai sensi del citato art. 42, comma 3, la decadenza dall'intero beneficio, sia con riferimento alla tariffa base, sia con riferimento alla maggiorazione del dieci per cento, imputando all'impresa una «violazione rilevante ai fini dell'erogazione degli incentivi» per avere la stessa presentato «dati non veritieri» o «documenti falsi, mendaci o contraffatti», secondo la definizione di «violazione rilevante» recata nel d.m. 31 gennaio 2014, attuativo dell'art. 42. Avverso il provvedimento di decadenza l'impresa ricorreva al T</w:t>
      </w:r>
      <w:r>
        <w:rPr>
          <w:rFonts w:ascii="Garamond" w:hAnsi="Garamond" w:cs="Times New Roman"/>
          <w:color w:val="000000" w:themeColor="text1"/>
          <w:sz w:val="28"/>
          <w:szCs w:val="28"/>
        </w:rPr>
        <w:t>.</w:t>
      </w:r>
      <w:r w:rsidRPr="005E455A">
        <w:rPr>
          <w:rFonts w:ascii="Garamond" w:hAnsi="Garamond" w:cs="Times New Roman"/>
          <w:color w:val="000000" w:themeColor="text1"/>
          <w:sz w:val="28"/>
          <w:szCs w:val="28"/>
        </w:rPr>
        <w:t>a</w:t>
      </w:r>
      <w:r>
        <w:rPr>
          <w:rFonts w:ascii="Garamond" w:hAnsi="Garamond" w:cs="Times New Roman"/>
          <w:color w:val="000000" w:themeColor="text1"/>
          <w:sz w:val="28"/>
          <w:szCs w:val="28"/>
        </w:rPr>
        <w:t>.</w:t>
      </w:r>
      <w:r w:rsidRPr="005E455A">
        <w:rPr>
          <w:rFonts w:ascii="Garamond" w:hAnsi="Garamond" w:cs="Times New Roman"/>
          <w:color w:val="000000" w:themeColor="text1"/>
          <w:sz w:val="28"/>
          <w:szCs w:val="28"/>
        </w:rPr>
        <w:t>r</w:t>
      </w:r>
      <w:r>
        <w:rPr>
          <w:rFonts w:ascii="Garamond" w:hAnsi="Garamond" w:cs="Times New Roman"/>
          <w:color w:val="000000" w:themeColor="text1"/>
          <w:sz w:val="28"/>
          <w:szCs w:val="28"/>
        </w:rPr>
        <w:t>.</w:t>
      </w:r>
      <w:r w:rsidRPr="005E455A">
        <w:rPr>
          <w:rFonts w:ascii="Garamond" w:hAnsi="Garamond" w:cs="Times New Roman"/>
          <w:color w:val="000000" w:themeColor="text1"/>
          <w:sz w:val="28"/>
          <w:szCs w:val="28"/>
        </w:rPr>
        <w:t xml:space="preserve"> Lazio e, a seguito del rigetto del ricorso, proponeva appello al Consiglio di Stato. Chiamata a pronunciarsi sull'appello, ord. Cons. Stato, sez. IV, n. 2682 del 2020 riteneva d'investire l'Adunanza </w:t>
      </w:r>
      <w:r>
        <w:rPr>
          <w:rFonts w:ascii="Garamond" w:hAnsi="Garamond" w:cs="Times New Roman"/>
          <w:color w:val="000000" w:themeColor="text1"/>
          <w:sz w:val="28"/>
          <w:szCs w:val="28"/>
        </w:rPr>
        <w:t>p</w:t>
      </w:r>
      <w:r w:rsidRPr="005E455A">
        <w:rPr>
          <w:rFonts w:ascii="Garamond" w:hAnsi="Garamond" w:cs="Times New Roman"/>
          <w:color w:val="000000" w:themeColor="text1"/>
          <w:sz w:val="28"/>
          <w:szCs w:val="28"/>
        </w:rPr>
        <w:t>lenaria sull'esatto ambito di applicazione dell'art. 42, comma 3, nelle specifiche ipotesi in cui la violazione riscontrata riguardi esclusivamente la maggiorazione del dieci per cen</w:t>
      </w:r>
      <w:r>
        <w:rPr>
          <w:rFonts w:ascii="Garamond" w:hAnsi="Garamond" w:cs="Times New Roman"/>
          <w:color w:val="000000" w:themeColor="text1"/>
          <w:sz w:val="28"/>
          <w:szCs w:val="28"/>
        </w:rPr>
        <w:t>to ma non anche la tariffa base]</w:t>
      </w:r>
      <w:r w:rsidRPr="005E455A">
        <w:rPr>
          <w:rFonts w:ascii="Garamond" w:hAnsi="Garamond" w:cs="Times New Roman"/>
          <w:color w:val="000000" w:themeColor="text1"/>
          <w:sz w:val="28"/>
          <w:szCs w:val="28"/>
        </w:rPr>
        <w:t xml:space="preserve">.  </w:t>
      </w:r>
    </w:p>
    <w:p w:rsidR="007B4920" w:rsidRPr="00D82D4E" w:rsidRDefault="007B4920" w:rsidP="007B4920">
      <w:pPr>
        <w:spacing w:line="240" w:lineRule="auto"/>
        <w:ind w:firstLine="709"/>
        <w:contextualSpacing/>
        <w:jc w:val="both"/>
        <w:rPr>
          <w:rFonts w:ascii="Garamond" w:hAnsi="Garamond" w:cs="Times New Roman"/>
          <w:color w:val="000000" w:themeColor="text1"/>
          <w:sz w:val="28"/>
          <w:szCs w:val="28"/>
        </w:rPr>
      </w:pPr>
      <w:r w:rsidRPr="00D82D4E">
        <w:rPr>
          <w:rFonts w:ascii="Garamond" w:hAnsi="Garamond" w:cs="Times New Roman"/>
          <w:color w:val="000000" w:themeColor="text1"/>
          <w:sz w:val="28"/>
          <w:szCs w:val="28"/>
        </w:rPr>
        <w:t xml:space="preserve">La Corte costituzionale con sentenza n. 237 del 2020 ha dichiarato costituzionalmente illegittimo il disposto dell’art. 42 comma 4 </w:t>
      </w:r>
      <w:r>
        <w:rPr>
          <w:rFonts w:ascii="Garamond" w:hAnsi="Garamond" w:cs="Times New Roman"/>
          <w:i/>
          <w:color w:val="000000" w:themeColor="text1"/>
          <w:sz w:val="28"/>
          <w:szCs w:val="28"/>
        </w:rPr>
        <w:t xml:space="preserve">sexies, </w:t>
      </w:r>
      <w:r w:rsidRPr="00D82D4E">
        <w:rPr>
          <w:rFonts w:ascii="Garamond" w:hAnsi="Garamond" w:cs="Times New Roman"/>
          <w:color w:val="000000" w:themeColor="text1"/>
          <w:sz w:val="28"/>
          <w:szCs w:val="28"/>
        </w:rPr>
        <w:t xml:space="preserve"> d.lgs. 28 del 2011, inserito dall'art. 57-</w:t>
      </w:r>
      <w:r w:rsidRPr="00D77DB5">
        <w:rPr>
          <w:rFonts w:ascii="Garamond" w:hAnsi="Garamond" w:cs="Times New Roman"/>
          <w:i/>
          <w:color w:val="000000" w:themeColor="text1"/>
          <w:sz w:val="28"/>
          <w:szCs w:val="28"/>
        </w:rPr>
        <w:t>quater</w:t>
      </w:r>
      <w:r w:rsidRPr="00D82D4E">
        <w:rPr>
          <w:rFonts w:ascii="Garamond" w:hAnsi="Garamond" w:cs="Times New Roman"/>
          <w:color w:val="000000" w:themeColor="text1"/>
          <w:sz w:val="28"/>
          <w:szCs w:val="28"/>
        </w:rPr>
        <w:t>, comma 1, d.l. 24 aprile 2017, n. 50, convertito, con modificazioni, dalla l. 21 giugno 2017, n. 96, secondo cui “</w:t>
      </w:r>
      <w:r w:rsidRPr="00EF35E2">
        <w:rPr>
          <w:rFonts w:ascii="Garamond" w:hAnsi="Garamond" w:cs="Times New Roman"/>
          <w:i/>
          <w:color w:val="000000" w:themeColor="text1"/>
          <w:sz w:val="28"/>
          <w:szCs w:val="28"/>
        </w:rPr>
        <w:t xml:space="preserve">Al fine di salvaguardare la produzione di </w:t>
      </w:r>
      <w:r>
        <w:rPr>
          <w:rFonts w:ascii="Garamond" w:hAnsi="Garamond" w:cs="Times New Roman"/>
          <w:i/>
          <w:color w:val="000000" w:themeColor="text1"/>
          <w:sz w:val="28"/>
          <w:szCs w:val="28"/>
        </w:rPr>
        <w:t>energia</w:t>
      </w:r>
      <w:r w:rsidRPr="00EF35E2">
        <w:rPr>
          <w:rFonts w:ascii="Garamond" w:hAnsi="Garamond" w:cs="Times New Roman"/>
          <w:i/>
          <w:color w:val="000000" w:themeColor="text1"/>
          <w:sz w:val="28"/>
          <w:szCs w:val="28"/>
        </w:rPr>
        <w:t xml:space="preserve"> elettrica der</w:t>
      </w:r>
      <w:r>
        <w:rPr>
          <w:rFonts w:ascii="Garamond" w:hAnsi="Garamond" w:cs="Times New Roman"/>
          <w:i/>
          <w:color w:val="000000" w:themeColor="text1"/>
          <w:sz w:val="28"/>
          <w:szCs w:val="28"/>
        </w:rPr>
        <w:t>iva</w:t>
      </w:r>
      <w:r w:rsidRPr="00EF35E2">
        <w:rPr>
          <w:rFonts w:ascii="Garamond" w:hAnsi="Garamond" w:cs="Times New Roman"/>
          <w:i/>
          <w:color w:val="000000" w:themeColor="text1"/>
          <w:sz w:val="28"/>
          <w:szCs w:val="28"/>
        </w:rPr>
        <w:t xml:space="preserve">nte da impianti eolici, tutti gli impianti eolici già iscritti in posizione utile nel registro EOLN-RG2012, ai quali è stato negato l'accesso agli incentivi di cui al decreto del Ministro dello sviluppo economico 6 luglio 2012, pubblicato nel supplemento ordinario n. 143 alla Gazzetta Ufficiale n. 159 del 10 luglio 2012, a causa della errata indicazione della data del titolo autorizzativo in sede di registrazione dell'impianto al registro EOLN-RG2012, sono riammessi agli incentivi previsti dalla </w:t>
      </w:r>
      <w:r>
        <w:rPr>
          <w:rFonts w:ascii="Garamond" w:hAnsi="Garamond" w:cs="Times New Roman"/>
          <w:i/>
          <w:color w:val="000000" w:themeColor="text1"/>
          <w:sz w:val="28"/>
          <w:szCs w:val="28"/>
        </w:rPr>
        <w:t>normativa</w:t>
      </w:r>
      <w:r w:rsidRPr="00EF35E2">
        <w:rPr>
          <w:rFonts w:ascii="Garamond" w:hAnsi="Garamond" w:cs="Times New Roman"/>
          <w:i/>
          <w:color w:val="000000" w:themeColor="text1"/>
          <w:sz w:val="28"/>
          <w:szCs w:val="28"/>
        </w:rPr>
        <w:t xml:space="preserve"> per tale registro. La riammissione avviene a condizione che l'errata indicazione della data del titolo autorizzativo non abbia effett</w:t>
      </w:r>
      <w:r>
        <w:rPr>
          <w:rFonts w:ascii="Garamond" w:hAnsi="Garamond" w:cs="Times New Roman"/>
          <w:i/>
          <w:color w:val="000000" w:themeColor="text1"/>
          <w:sz w:val="28"/>
          <w:szCs w:val="28"/>
        </w:rPr>
        <w:t>iva</w:t>
      </w:r>
      <w:r w:rsidRPr="00EF35E2">
        <w:rPr>
          <w:rFonts w:ascii="Garamond" w:hAnsi="Garamond" w:cs="Times New Roman"/>
          <w:i/>
          <w:color w:val="000000" w:themeColor="text1"/>
          <w:sz w:val="28"/>
          <w:szCs w:val="28"/>
        </w:rPr>
        <w:t>mente portato all'impianto un vantaggio in relazione alla sua posizione in graduatoria</w:t>
      </w:r>
      <w:r w:rsidRPr="00D82D4E">
        <w:rPr>
          <w:rFonts w:ascii="Garamond" w:hAnsi="Garamond" w:cs="Times New Roman"/>
          <w:color w:val="000000" w:themeColor="text1"/>
          <w:sz w:val="28"/>
          <w:szCs w:val="28"/>
        </w:rPr>
        <w:t xml:space="preserve">” nella parte in cui non prevede la riammissione agli incentivi in favore anche di altri impianti di produzione di </w:t>
      </w:r>
      <w:r>
        <w:rPr>
          <w:rFonts w:ascii="Garamond" w:hAnsi="Garamond" w:cs="Times New Roman"/>
          <w:color w:val="000000" w:themeColor="text1"/>
          <w:sz w:val="28"/>
          <w:szCs w:val="28"/>
        </w:rPr>
        <w:t>energia</w:t>
      </w:r>
      <w:r w:rsidRPr="00D82D4E">
        <w:rPr>
          <w:rFonts w:ascii="Garamond" w:hAnsi="Garamond" w:cs="Times New Roman"/>
          <w:color w:val="000000" w:themeColor="text1"/>
          <w:sz w:val="28"/>
          <w:szCs w:val="28"/>
        </w:rPr>
        <w:t xml:space="preserve"> elettrica da fonti rinnovabili di cui al medesimo decreto del Ministro dello sviluppo economico 6 luglio 2012 (</w:t>
      </w:r>
      <w:r>
        <w:rPr>
          <w:rFonts w:ascii="Garamond" w:hAnsi="Garamond" w:cs="Times New Roman"/>
          <w:color w:val="000000" w:themeColor="text1"/>
          <w:sz w:val="28"/>
          <w:szCs w:val="28"/>
        </w:rPr>
        <w:t>“</w:t>
      </w:r>
      <w:r w:rsidRPr="00D77DB5">
        <w:rPr>
          <w:rFonts w:ascii="Garamond" w:hAnsi="Garamond" w:cs="Times New Roman"/>
          <w:i/>
          <w:color w:val="000000" w:themeColor="text1"/>
          <w:sz w:val="28"/>
          <w:szCs w:val="28"/>
        </w:rPr>
        <w:t xml:space="preserve">Attuazione dell'art. 24 del decreto legislativo 3 marzo 2011, n. 28, recante </w:t>
      </w:r>
      <w:r>
        <w:rPr>
          <w:rFonts w:ascii="Garamond" w:hAnsi="Garamond" w:cs="Times New Roman"/>
          <w:i/>
          <w:color w:val="000000" w:themeColor="text1"/>
          <w:sz w:val="28"/>
          <w:szCs w:val="28"/>
        </w:rPr>
        <w:t>incentivazione</w:t>
      </w:r>
      <w:r w:rsidRPr="00D77DB5">
        <w:rPr>
          <w:rFonts w:ascii="Garamond" w:hAnsi="Garamond" w:cs="Times New Roman"/>
          <w:i/>
          <w:color w:val="000000" w:themeColor="text1"/>
          <w:sz w:val="28"/>
          <w:szCs w:val="28"/>
        </w:rPr>
        <w:t xml:space="preserve"> della produzione di </w:t>
      </w:r>
      <w:r>
        <w:rPr>
          <w:rFonts w:ascii="Garamond" w:hAnsi="Garamond" w:cs="Times New Roman"/>
          <w:i/>
          <w:color w:val="000000" w:themeColor="text1"/>
          <w:sz w:val="28"/>
          <w:szCs w:val="28"/>
        </w:rPr>
        <w:t>energia</w:t>
      </w:r>
      <w:r w:rsidRPr="00D77DB5">
        <w:rPr>
          <w:rFonts w:ascii="Garamond" w:hAnsi="Garamond" w:cs="Times New Roman"/>
          <w:i/>
          <w:color w:val="000000" w:themeColor="text1"/>
          <w:sz w:val="28"/>
          <w:szCs w:val="28"/>
        </w:rPr>
        <w:t xml:space="preserve"> elettrica da impianti a fonti rinnovabili diversi dai fotovoltaici</w:t>
      </w:r>
      <w:r>
        <w:rPr>
          <w:rFonts w:ascii="Garamond" w:hAnsi="Garamond" w:cs="Times New Roman"/>
          <w:i/>
          <w:color w:val="000000" w:themeColor="text1"/>
          <w:sz w:val="28"/>
          <w:szCs w:val="28"/>
        </w:rPr>
        <w:t>”</w:t>
      </w:r>
      <w:r w:rsidRPr="00D82D4E">
        <w:rPr>
          <w:rFonts w:ascii="Garamond" w:hAnsi="Garamond" w:cs="Times New Roman"/>
          <w:color w:val="000000" w:themeColor="text1"/>
          <w:sz w:val="28"/>
          <w:szCs w:val="28"/>
        </w:rPr>
        <w:t xml:space="preserve">), collocati utilmente nella graduatoria </w:t>
      </w:r>
      <w:r>
        <w:rPr>
          <w:rFonts w:ascii="Garamond" w:hAnsi="Garamond" w:cs="Times New Roman"/>
          <w:color w:val="000000" w:themeColor="text1"/>
          <w:sz w:val="28"/>
          <w:szCs w:val="28"/>
        </w:rPr>
        <w:t>relativa</w:t>
      </w:r>
      <w:r w:rsidRPr="00D82D4E">
        <w:rPr>
          <w:rFonts w:ascii="Garamond" w:hAnsi="Garamond" w:cs="Times New Roman"/>
          <w:color w:val="000000" w:themeColor="text1"/>
          <w:sz w:val="28"/>
          <w:szCs w:val="28"/>
        </w:rPr>
        <w:t xml:space="preserve"> ad altro registro informatico, a condizione che l'errata indicazione della data del titolo autorizzativo o concessorio, quale unica causa del diniego di accesso agli incentivi, non abbia effett</w:t>
      </w:r>
      <w:r>
        <w:rPr>
          <w:rFonts w:ascii="Garamond" w:hAnsi="Garamond" w:cs="Times New Roman"/>
          <w:color w:val="000000" w:themeColor="text1"/>
          <w:sz w:val="28"/>
          <w:szCs w:val="28"/>
        </w:rPr>
        <w:t>iva</w:t>
      </w:r>
      <w:r w:rsidRPr="00D82D4E">
        <w:rPr>
          <w:rFonts w:ascii="Garamond" w:hAnsi="Garamond" w:cs="Times New Roman"/>
          <w:color w:val="000000" w:themeColor="text1"/>
          <w:sz w:val="28"/>
          <w:szCs w:val="28"/>
        </w:rPr>
        <w:t xml:space="preserve">mente portato all'impianto alcun vantaggio in relazione alla </w:t>
      </w:r>
      <w:r>
        <w:rPr>
          <w:rFonts w:ascii="Garamond" w:hAnsi="Garamond" w:cs="Times New Roman"/>
          <w:color w:val="000000" w:themeColor="text1"/>
          <w:sz w:val="28"/>
          <w:szCs w:val="28"/>
        </w:rPr>
        <w:t>loro posizione in graduatoria. [</w:t>
      </w:r>
      <w:r w:rsidRPr="00D82D4E">
        <w:rPr>
          <w:rFonts w:ascii="Garamond" w:hAnsi="Garamond" w:cs="Times New Roman"/>
          <w:color w:val="000000" w:themeColor="text1"/>
          <w:sz w:val="28"/>
          <w:szCs w:val="28"/>
        </w:rPr>
        <w:t xml:space="preserve">La Corte ha al riguardo osservato che la rimodulazione, in termini generali e non già settoriali, della prescrizione del comma 3 dell'art. 42 citato sul rigetto dell'istanza e sulla decadenza dagli incentivi in caso di violazioni "rilevanti", dimostrano che la disposizione censurata è riconducibile ad una più ampia </w:t>
      </w:r>
      <w:r w:rsidRPr="00EF35E2">
        <w:rPr>
          <w:rFonts w:ascii="Garamond" w:hAnsi="Garamond" w:cs="Times New Roman"/>
          <w:i/>
          <w:color w:val="000000" w:themeColor="text1"/>
          <w:sz w:val="28"/>
          <w:szCs w:val="28"/>
        </w:rPr>
        <w:t>ratio</w:t>
      </w:r>
      <w:r w:rsidRPr="00D82D4E">
        <w:rPr>
          <w:rFonts w:ascii="Garamond" w:hAnsi="Garamond" w:cs="Times New Roman"/>
          <w:color w:val="000000" w:themeColor="text1"/>
          <w:sz w:val="28"/>
          <w:szCs w:val="28"/>
        </w:rPr>
        <w:t xml:space="preserve"> di sostegno della produzione di </w:t>
      </w:r>
      <w:r>
        <w:rPr>
          <w:rFonts w:ascii="Garamond" w:hAnsi="Garamond" w:cs="Times New Roman"/>
          <w:color w:val="000000" w:themeColor="text1"/>
          <w:sz w:val="28"/>
          <w:szCs w:val="28"/>
        </w:rPr>
        <w:t>energia</w:t>
      </w:r>
      <w:r w:rsidRPr="00D82D4E">
        <w:rPr>
          <w:rFonts w:ascii="Garamond" w:hAnsi="Garamond" w:cs="Times New Roman"/>
          <w:color w:val="000000" w:themeColor="text1"/>
          <w:sz w:val="28"/>
          <w:szCs w:val="28"/>
        </w:rPr>
        <w:t xml:space="preserve"> da fonti rinnovabili, comune a tutte quelle alle quali tale prescrizione si riferisce e non già peculiare del solo settore eolico con riferimento esclusivo al registro EOLN-RG2012. Di talché, opera il principio secondo cui </w:t>
      </w:r>
      <w:r w:rsidRPr="00D82D4E">
        <w:rPr>
          <w:rFonts w:ascii="Garamond" w:hAnsi="Garamond" w:cs="Times New Roman"/>
          <w:color w:val="000000" w:themeColor="text1"/>
          <w:sz w:val="28"/>
          <w:szCs w:val="28"/>
        </w:rPr>
        <w:lastRenderedPageBreak/>
        <w:t xml:space="preserve">"… una volta riconosciuta l'esigenza di un'eccezione rispetto a una </w:t>
      </w:r>
      <w:r>
        <w:rPr>
          <w:rFonts w:ascii="Garamond" w:hAnsi="Garamond" w:cs="Times New Roman"/>
          <w:color w:val="000000" w:themeColor="text1"/>
          <w:sz w:val="28"/>
          <w:szCs w:val="28"/>
        </w:rPr>
        <w:t>normativa</w:t>
      </w:r>
      <w:r w:rsidRPr="00D82D4E">
        <w:rPr>
          <w:rFonts w:ascii="Garamond" w:hAnsi="Garamond" w:cs="Times New Roman"/>
          <w:color w:val="000000" w:themeColor="text1"/>
          <w:sz w:val="28"/>
          <w:szCs w:val="28"/>
        </w:rPr>
        <w:t xml:space="preserve"> più generale, non potrebbe, in mancanza di un giustificato motivo, esimersi dal realizzarne integralmente la </w:t>
      </w:r>
      <w:r w:rsidRPr="00EF35E2">
        <w:rPr>
          <w:rFonts w:ascii="Garamond" w:hAnsi="Garamond" w:cs="Times New Roman"/>
          <w:i/>
          <w:color w:val="000000" w:themeColor="text1"/>
          <w:sz w:val="28"/>
          <w:szCs w:val="28"/>
        </w:rPr>
        <w:t>ratio</w:t>
      </w:r>
      <w:r w:rsidRPr="00D82D4E">
        <w:rPr>
          <w:rFonts w:ascii="Garamond" w:hAnsi="Garamond" w:cs="Times New Roman"/>
          <w:color w:val="000000" w:themeColor="text1"/>
          <w:sz w:val="28"/>
          <w:szCs w:val="28"/>
        </w:rPr>
        <w:t>, senza per ciò stesso peccare di irrazionalità". Nel compiere tale valutazione non può del resto trascurarsi il preminente rilievo del principio della massima diffusione delle energie rinnovabili, che comporta un'esigenza di semplificazione dei procedimenti autorizzatori. Risulta, dunque, violato il principio di eguaglianza e di ragionevolezza, espresso dall'art. 3 Cost., in quanto la norma censurata, sotto un duplice aspetto, determina un'illegittima disparità di trattamento tra situazioni simili, laddove - a parità di condizioni, ossia sul comune presupposto che l'errata indicazione della data del titolo autorizzativo non abbia effett</w:t>
      </w:r>
      <w:r>
        <w:rPr>
          <w:rFonts w:ascii="Garamond" w:hAnsi="Garamond" w:cs="Times New Roman"/>
          <w:color w:val="000000" w:themeColor="text1"/>
          <w:sz w:val="28"/>
          <w:szCs w:val="28"/>
        </w:rPr>
        <w:t>iva</w:t>
      </w:r>
      <w:r w:rsidRPr="00D82D4E">
        <w:rPr>
          <w:rFonts w:ascii="Garamond" w:hAnsi="Garamond" w:cs="Times New Roman"/>
          <w:color w:val="000000" w:themeColor="text1"/>
          <w:sz w:val="28"/>
          <w:szCs w:val="28"/>
        </w:rPr>
        <w:t xml:space="preserve">mente portato all'impianto alcun vantaggio in relazione alla sua posizione in graduatoria - non contempla la "riammissione" agli incentivi per impianti di produzione di </w:t>
      </w:r>
      <w:r>
        <w:rPr>
          <w:rFonts w:ascii="Garamond" w:hAnsi="Garamond" w:cs="Times New Roman"/>
          <w:color w:val="000000" w:themeColor="text1"/>
          <w:sz w:val="28"/>
          <w:szCs w:val="28"/>
        </w:rPr>
        <w:t>energia</w:t>
      </w:r>
      <w:r w:rsidRPr="00D82D4E">
        <w:rPr>
          <w:rFonts w:ascii="Garamond" w:hAnsi="Garamond" w:cs="Times New Roman"/>
          <w:color w:val="000000" w:themeColor="text1"/>
          <w:sz w:val="28"/>
          <w:szCs w:val="28"/>
        </w:rPr>
        <w:t xml:space="preserve"> da fonti rinnovabili, diversi da quelli che producono </w:t>
      </w:r>
      <w:r>
        <w:rPr>
          <w:rFonts w:ascii="Garamond" w:hAnsi="Garamond" w:cs="Times New Roman"/>
          <w:color w:val="000000" w:themeColor="text1"/>
          <w:sz w:val="28"/>
          <w:szCs w:val="28"/>
        </w:rPr>
        <w:t>energia</w:t>
      </w:r>
      <w:r w:rsidRPr="00D82D4E">
        <w:rPr>
          <w:rFonts w:ascii="Garamond" w:hAnsi="Garamond" w:cs="Times New Roman"/>
          <w:color w:val="000000" w:themeColor="text1"/>
          <w:sz w:val="28"/>
          <w:szCs w:val="28"/>
        </w:rPr>
        <w:t xml:space="preserve"> eolica (primo profilo), ovvero per impianti eolici iscritti in registri differenti da quello (EOLN-RG2012) relativo all'anno 2012 (secondo profilo)</w:t>
      </w:r>
      <w:r>
        <w:rPr>
          <w:rFonts w:ascii="Garamond" w:hAnsi="Garamond" w:cs="Times New Roman"/>
          <w:color w:val="000000" w:themeColor="text1"/>
          <w:sz w:val="28"/>
          <w:szCs w:val="28"/>
        </w:rPr>
        <w:t>]</w:t>
      </w:r>
      <w:r w:rsidRPr="00D82D4E">
        <w:rPr>
          <w:rFonts w:ascii="Garamond" w:hAnsi="Garamond" w:cs="Times New Roman"/>
          <w:color w:val="000000" w:themeColor="text1"/>
          <w:sz w:val="28"/>
          <w:szCs w:val="28"/>
        </w:rPr>
        <w:t>.</w:t>
      </w:r>
    </w:p>
    <w:p w:rsidR="007B4920" w:rsidRPr="00D82D4E" w:rsidRDefault="007B4920" w:rsidP="007B4920">
      <w:pPr>
        <w:spacing w:line="240" w:lineRule="auto"/>
        <w:ind w:firstLine="709"/>
        <w:contextualSpacing/>
        <w:jc w:val="both"/>
        <w:rPr>
          <w:rFonts w:ascii="Garamond" w:hAnsi="Garamond" w:cs="Times New Roman"/>
          <w:color w:val="000000" w:themeColor="text1"/>
          <w:sz w:val="28"/>
          <w:szCs w:val="28"/>
        </w:rPr>
      </w:pPr>
      <w:r w:rsidRPr="00D82D4E">
        <w:rPr>
          <w:rFonts w:ascii="Garamond" w:hAnsi="Garamond" w:cs="Times New Roman"/>
          <w:color w:val="000000" w:themeColor="text1"/>
          <w:sz w:val="28"/>
          <w:szCs w:val="28"/>
        </w:rPr>
        <w:t xml:space="preserve">Con la precedente pronuncia, n. 51 del 2017,  la Corte costituzionale ha dichiarato costituzionalmente illegittimi, per violazione dell’art. 76 Cost., gli artt. </w:t>
      </w:r>
      <w:r>
        <w:rPr>
          <w:rFonts w:ascii="Garamond" w:hAnsi="Garamond" w:cs="Times New Roman"/>
          <w:color w:val="000000" w:themeColor="text1"/>
          <w:sz w:val="28"/>
          <w:szCs w:val="28"/>
        </w:rPr>
        <w:t xml:space="preserve">23, comma 3, e 43, comma 1, </w:t>
      </w:r>
      <w:r w:rsidRPr="00D82D4E">
        <w:rPr>
          <w:rFonts w:ascii="Garamond" w:hAnsi="Garamond" w:cs="Times New Roman"/>
          <w:color w:val="000000" w:themeColor="text1"/>
          <w:sz w:val="28"/>
          <w:szCs w:val="28"/>
        </w:rPr>
        <w:t xml:space="preserve">d.lgs. n. 28 del 2011 che, in tema di incentivi alle imprese che producono </w:t>
      </w:r>
      <w:r>
        <w:rPr>
          <w:rFonts w:ascii="Garamond" w:hAnsi="Garamond" w:cs="Times New Roman"/>
          <w:color w:val="000000" w:themeColor="text1"/>
          <w:sz w:val="28"/>
          <w:szCs w:val="28"/>
        </w:rPr>
        <w:t>energia</w:t>
      </w:r>
      <w:r w:rsidRPr="00D82D4E">
        <w:rPr>
          <w:rFonts w:ascii="Garamond" w:hAnsi="Garamond" w:cs="Times New Roman"/>
          <w:color w:val="000000" w:themeColor="text1"/>
          <w:sz w:val="28"/>
          <w:szCs w:val="28"/>
        </w:rPr>
        <w:t xml:space="preserve"> elettrica mediante conversione fotovoltaica della fonte solare, contemplano la ulteriore sanzione della esclusione decennale da futuri incentivi, a carico dei soggetti per i quali sia stato accertato che abbiano fornito dati o documenti non veritieri, ovvero abbiano reso dichiarazioni false o mendaci. La Consulta ha accolto, sotto l’assorbente profilo dell’eccesso di delega, le questioni di legittimità costituzionale sollevate da sei ordinanze della VI </w:t>
      </w:r>
      <w:r>
        <w:rPr>
          <w:rFonts w:ascii="Garamond" w:hAnsi="Garamond" w:cs="Times New Roman"/>
          <w:color w:val="000000" w:themeColor="text1"/>
          <w:sz w:val="28"/>
          <w:szCs w:val="28"/>
        </w:rPr>
        <w:t>s</w:t>
      </w:r>
      <w:r w:rsidRPr="00D82D4E">
        <w:rPr>
          <w:rFonts w:ascii="Garamond" w:hAnsi="Garamond" w:cs="Times New Roman"/>
          <w:color w:val="000000" w:themeColor="text1"/>
          <w:sz w:val="28"/>
          <w:szCs w:val="28"/>
        </w:rPr>
        <w:t>ezione del Consiglio di Stato in merito alle sanzioni interdittive introdotte dalla nuova disciplina in tema di incentivi per le fonti rinnovabili.</w:t>
      </w:r>
    </w:p>
    <w:p w:rsidR="007B4920" w:rsidRPr="00D82D4E" w:rsidRDefault="007B4920" w:rsidP="007B4920">
      <w:pPr>
        <w:spacing w:line="240" w:lineRule="auto"/>
        <w:ind w:firstLine="709"/>
        <w:contextualSpacing/>
        <w:jc w:val="both"/>
        <w:rPr>
          <w:rFonts w:ascii="Garamond" w:hAnsi="Garamond" w:cs="Times New Roman"/>
          <w:color w:val="000000" w:themeColor="text1"/>
          <w:sz w:val="28"/>
          <w:szCs w:val="28"/>
        </w:rPr>
      </w:pPr>
      <w:r w:rsidRPr="00D82D4E">
        <w:rPr>
          <w:rFonts w:ascii="Garamond" w:hAnsi="Garamond" w:cs="Times New Roman"/>
          <w:color w:val="000000" w:themeColor="text1"/>
          <w:sz w:val="28"/>
          <w:szCs w:val="28"/>
        </w:rPr>
        <w:t xml:space="preserve">In particolare, le ordinanze di rimessione avevano contestato  l’introduzione di sanzioni interdittive sotto diversi profili relativi: all’eccesso di delega rispetto alla legge delegante (n. 96 del 2010); all’art. 3 Cost.; alla violazione dei principi di ragionevolezza e proporzionalità nell’esercizio della discrezionalità </w:t>
      </w:r>
      <w:r>
        <w:rPr>
          <w:rFonts w:ascii="Garamond" w:hAnsi="Garamond" w:cs="Times New Roman"/>
          <w:color w:val="000000" w:themeColor="text1"/>
          <w:sz w:val="28"/>
          <w:szCs w:val="28"/>
        </w:rPr>
        <w:t xml:space="preserve">legislativa; all’art. 117, </w:t>
      </w:r>
      <w:r w:rsidRPr="00D82D4E">
        <w:rPr>
          <w:rFonts w:ascii="Garamond" w:hAnsi="Garamond" w:cs="Times New Roman"/>
          <w:color w:val="000000" w:themeColor="text1"/>
          <w:sz w:val="28"/>
          <w:szCs w:val="28"/>
        </w:rPr>
        <w:t>comma</w:t>
      </w:r>
      <w:r>
        <w:rPr>
          <w:rFonts w:ascii="Garamond" w:hAnsi="Garamond" w:cs="Times New Roman"/>
          <w:color w:val="000000" w:themeColor="text1"/>
          <w:sz w:val="28"/>
          <w:szCs w:val="28"/>
        </w:rPr>
        <w:t xml:space="preserve"> 1</w:t>
      </w:r>
      <w:r w:rsidRPr="00D82D4E">
        <w:rPr>
          <w:rFonts w:ascii="Garamond" w:hAnsi="Garamond" w:cs="Times New Roman"/>
          <w:color w:val="000000" w:themeColor="text1"/>
          <w:sz w:val="28"/>
          <w:szCs w:val="28"/>
        </w:rPr>
        <w:t>, Cost., in connessione col “vincolo der</w:t>
      </w:r>
      <w:r>
        <w:rPr>
          <w:rFonts w:ascii="Garamond" w:hAnsi="Garamond" w:cs="Times New Roman"/>
          <w:color w:val="000000" w:themeColor="text1"/>
          <w:sz w:val="28"/>
          <w:szCs w:val="28"/>
        </w:rPr>
        <w:t>iva</w:t>
      </w:r>
      <w:r w:rsidRPr="00D82D4E">
        <w:rPr>
          <w:rFonts w:ascii="Garamond" w:hAnsi="Garamond" w:cs="Times New Roman"/>
          <w:color w:val="000000" w:themeColor="text1"/>
          <w:sz w:val="28"/>
          <w:szCs w:val="28"/>
        </w:rPr>
        <w:t>nte dall’ordinamento comunitario” per quanto concerne la violazione della proporzionalità nella misura delle sanzioni.</w:t>
      </w:r>
    </w:p>
    <w:p w:rsidR="007B4920" w:rsidRPr="00D82D4E" w:rsidRDefault="007B4920" w:rsidP="007B4920">
      <w:pPr>
        <w:spacing w:line="240" w:lineRule="auto"/>
        <w:ind w:firstLine="709"/>
        <w:contextualSpacing/>
        <w:jc w:val="both"/>
        <w:rPr>
          <w:rFonts w:ascii="Garamond" w:hAnsi="Garamond" w:cs="Times New Roman"/>
          <w:color w:val="000000" w:themeColor="text1"/>
          <w:sz w:val="28"/>
          <w:szCs w:val="28"/>
        </w:rPr>
      </w:pPr>
      <w:r w:rsidRPr="00D82D4E">
        <w:rPr>
          <w:rFonts w:ascii="Garamond" w:hAnsi="Garamond" w:cs="Times New Roman"/>
          <w:color w:val="000000" w:themeColor="text1"/>
          <w:sz w:val="28"/>
          <w:szCs w:val="28"/>
        </w:rPr>
        <w:t xml:space="preserve">Con la sentenza </w:t>
      </w:r>
      <w:r w:rsidRPr="00EF35E2">
        <w:rPr>
          <w:rFonts w:ascii="Garamond" w:hAnsi="Garamond" w:cs="Times New Roman"/>
          <w:i/>
          <w:color w:val="000000" w:themeColor="text1"/>
          <w:sz w:val="28"/>
          <w:szCs w:val="28"/>
        </w:rPr>
        <w:t>de qua</w:t>
      </w:r>
      <w:r w:rsidRPr="00D82D4E">
        <w:rPr>
          <w:rFonts w:ascii="Garamond" w:hAnsi="Garamond" w:cs="Times New Roman"/>
          <w:color w:val="000000" w:themeColor="text1"/>
          <w:sz w:val="28"/>
          <w:szCs w:val="28"/>
        </w:rPr>
        <w:t xml:space="preserve"> la Corte ha richiamato i criteri direttivi di cui alla legge delega, evidenziandone il profilo di dettaglio. In proposito, i criteri prevedevano che, al di là dei casi previsti dalle norme penali in vigore, nei d.lgs. attuativi potessero essere stabilite discipline contenenti trattamenti sanzionatori amministrativi e penali «per le infrazioni alle disposizioni dei decreti stessi». Con riguardo specifico alle sanzioni amministrative, si stabil</w:t>
      </w:r>
      <w:r>
        <w:rPr>
          <w:rFonts w:ascii="Garamond" w:hAnsi="Garamond" w:cs="Times New Roman"/>
          <w:color w:val="000000" w:themeColor="text1"/>
          <w:sz w:val="28"/>
          <w:szCs w:val="28"/>
        </w:rPr>
        <w:t>iva</w:t>
      </w:r>
      <w:r w:rsidRPr="00D82D4E">
        <w:rPr>
          <w:rFonts w:ascii="Garamond" w:hAnsi="Garamond" w:cs="Times New Roman"/>
          <w:color w:val="000000" w:themeColor="text1"/>
          <w:sz w:val="28"/>
          <w:szCs w:val="28"/>
        </w:rPr>
        <w:t xml:space="preserve"> che esse potessero consistere «nel pagamento di una somma non inferiore a 150 euro e non superiore a 150.000 euro»; ed ulteriormente si prescriveva che, nell’ambito dei limiti minimi e massimi previsti, le sanzioni fossero determinate nella loro entità, «tenendo conto della diversa potenzialità les</w:t>
      </w:r>
      <w:r>
        <w:rPr>
          <w:rFonts w:ascii="Garamond" w:hAnsi="Garamond" w:cs="Times New Roman"/>
          <w:color w:val="000000" w:themeColor="text1"/>
          <w:sz w:val="28"/>
          <w:szCs w:val="28"/>
        </w:rPr>
        <w:t>iva</w:t>
      </w:r>
      <w:r w:rsidRPr="00D82D4E">
        <w:rPr>
          <w:rFonts w:ascii="Garamond" w:hAnsi="Garamond" w:cs="Times New Roman"/>
          <w:color w:val="000000" w:themeColor="text1"/>
          <w:sz w:val="28"/>
          <w:szCs w:val="28"/>
        </w:rPr>
        <w:t xml:space="preserve"> dell’interesse protetto».</w:t>
      </w:r>
    </w:p>
    <w:p w:rsidR="007B4920" w:rsidRPr="00D82D4E" w:rsidRDefault="007B4920" w:rsidP="007B4920">
      <w:pPr>
        <w:spacing w:line="240" w:lineRule="auto"/>
        <w:ind w:firstLine="709"/>
        <w:contextualSpacing/>
        <w:jc w:val="both"/>
        <w:rPr>
          <w:rFonts w:ascii="Garamond" w:hAnsi="Garamond" w:cs="Times New Roman"/>
          <w:color w:val="000000" w:themeColor="text1"/>
          <w:sz w:val="28"/>
          <w:szCs w:val="28"/>
        </w:rPr>
      </w:pPr>
      <w:r w:rsidRPr="00D82D4E">
        <w:rPr>
          <w:rFonts w:ascii="Garamond" w:hAnsi="Garamond" w:cs="Times New Roman"/>
          <w:color w:val="000000" w:themeColor="text1"/>
          <w:sz w:val="28"/>
          <w:szCs w:val="28"/>
        </w:rPr>
        <w:t>Secondo la Corte, che condivide le censure sollevate sul punto dalle ordinanze di rimessione, a tali puntuali criteri non si è attenuto il legislatore delegato, introducendo con le norme denunciate le indicate misure interdittive. In definit</w:t>
      </w:r>
      <w:r>
        <w:rPr>
          <w:rFonts w:ascii="Garamond" w:hAnsi="Garamond" w:cs="Times New Roman"/>
          <w:color w:val="000000" w:themeColor="text1"/>
          <w:sz w:val="28"/>
          <w:szCs w:val="28"/>
        </w:rPr>
        <w:t>iva</w:t>
      </w:r>
      <w:r w:rsidRPr="00D82D4E">
        <w:rPr>
          <w:rFonts w:ascii="Garamond" w:hAnsi="Garamond" w:cs="Times New Roman"/>
          <w:color w:val="000000" w:themeColor="text1"/>
          <w:sz w:val="28"/>
          <w:szCs w:val="28"/>
        </w:rPr>
        <w:t>, mentre i criteri di delega prevedevano sanzioni penali o amministrative, limitando queste ultime a quelle di tipo pecuniario, i decreti attuativi hanno introdotto sanzioni interdittive, estranee quindi al perimetro di delega.</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D82D4E">
        <w:rPr>
          <w:rFonts w:ascii="Garamond" w:hAnsi="Garamond" w:cs="Times New Roman"/>
          <w:color w:val="000000" w:themeColor="text1"/>
          <w:sz w:val="28"/>
          <w:szCs w:val="28"/>
        </w:rPr>
        <w:lastRenderedPageBreak/>
        <w:t>La sentenza inoltre precisa che tale misura interditt</w:t>
      </w:r>
      <w:r>
        <w:rPr>
          <w:rFonts w:ascii="Garamond" w:hAnsi="Garamond" w:cs="Times New Roman"/>
          <w:color w:val="000000" w:themeColor="text1"/>
          <w:sz w:val="28"/>
          <w:szCs w:val="28"/>
        </w:rPr>
        <w:t>iva</w:t>
      </w:r>
      <w:r w:rsidRPr="00D82D4E">
        <w:rPr>
          <w:rFonts w:ascii="Garamond" w:hAnsi="Garamond" w:cs="Times New Roman"/>
          <w:color w:val="000000" w:themeColor="text1"/>
          <w:sz w:val="28"/>
          <w:szCs w:val="28"/>
        </w:rPr>
        <w:t xml:space="preserve"> - incidendo sull’esercizio della libertà di </w:t>
      </w:r>
      <w:r>
        <w:rPr>
          <w:rFonts w:ascii="Garamond" w:hAnsi="Garamond" w:cs="Times New Roman"/>
          <w:color w:val="000000" w:themeColor="text1"/>
          <w:sz w:val="28"/>
          <w:szCs w:val="28"/>
        </w:rPr>
        <w:t>iniziativa</w:t>
      </w:r>
      <w:r w:rsidRPr="00D82D4E">
        <w:rPr>
          <w:rFonts w:ascii="Garamond" w:hAnsi="Garamond" w:cs="Times New Roman"/>
          <w:color w:val="000000" w:themeColor="text1"/>
          <w:sz w:val="28"/>
          <w:szCs w:val="28"/>
        </w:rPr>
        <w:t xml:space="preserve"> economica </w:t>
      </w:r>
      <w:r>
        <w:rPr>
          <w:rFonts w:ascii="Garamond" w:hAnsi="Garamond" w:cs="Times New Roman"/>
          <w:color w:val="000000" w:themeColor="text1"/>
          <w:sz w:val="28"/>
          <w:szCs w:val="28"/>
        </w:rPr>
        <w:t>privata</w:t>
      </w:r>
      <w:r w:rsidRPr="00D82D4E">
        <w:rPr>
          <w:rFonts w:ascii="Garamond" w:hAnsi="Garamond" w:cs="Times New Roman"/>
          <w:color w:val="000000" w:themeColor="text1"/>
          <w:sz w:val="28"/>
          <w:szCs w:val="28"/>
        </w:rPr>
        <w:t xml:space="preserve"> imprenditoriale (in un settore di attività particolarmente legato al sostegno di incentivi), nei confronti di un’ampia platea di soggetti e per un periodo di tempo particolarmente rilevante, in termini di rigido automatismo e di non graduabilità in rapporto al pur variabile contenuto lesivo delle violazioni cui la misura stessa consegue - contraddice manifestamente i principi di proporzionalità ed adeguatezza</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Pr="00A9303A" w:rsidRDefault="007B4920" w:rsidP="007B4920">
      <w:pPr>
        <w:spacing w:line="240" w:lineRule="auto"/>
        <w:contextualSpacing/>
        <w:jc w:val="both"/>
        <w:rPr>
          <w:rFonts w:ascii="Garamond" w:hAnsi="Garamond" w:cs="Times New Roman"/>
          <w:b/>
          <w:color w:val="000000" w:themeColor="text1"/>
          <w:sz w:val="28"/>
          <w:szCs w:val="28"/>
        </w:rPr>
      </w:pPr>
      <w:r w:rsidRPr="00A75C8B">
        <w:rPr>
          <w:rFonts w:ascii="Garamond" w:hAnsi="Garamond" w:cs="Times New Roman"/>
          <w:b/>
          <w:color w:val="000000" w:themeColor="text1"/>
          <w:sz w:val="28"/>
          <w:szCs w:val="28"/>
        </w:rPr>
        <w:t>11.3.</w:t>
      </w:r>
      <w:r w:rsidRPr="00A9303A">
        <w:rPr>
          <w:rFonts w:ascii="Garamond" w:hAnsi="Garamond" w:cs="Times New Roman"/>
          <w:b/>
          <w:color w:val="000000" w:themeColor="text1"/>
          <w:sz w:val="28"/>
          <w:szCs w:val="28"/>
        </w:rPr>
        <w:t xml:space="preserve"> Il rilascio dell’autorizzazione e la titolarità dell’impianto come presupposto per la concessione degli incentivi</w:t>
      </w:r>
      <w:r>
        <w:rPr>
          <w:rFonts w:ascii="Garamond" w:hAnsi="Garamond" w:cs="Times New Roman"/>
          <w:b/>
          <w:color w:val="000000" w:themeColor="text1"/>
          <w:sz w:val="28"/>
          <w:szCs w:val="28"/>
        </w:rPr>
        <w:t>.</w:t>
      </w:r>
      <w:r w:rsidRPr="00A9303A">
        <w:rPr>
          <w:rFonts w:ascii="Garamond" w:hAnsi="Garamond" w:cs="Times New Roman"/>
          <w:b/>
          <w:color w:val="000000" w:themeColor="text1"/>
          <w:sz w:val="28"/>
          <w:szCs w:val="28"/>
        </w:rPr>
        <w:t xml:space="preserve">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A9303A">
        <w:rPr>
          <w:rFonts w:ascii="Garamond" w:hAnsi="Garamond" w:cs="Times New Roman"/>
          <w:color w:val="000000" w:themeColor="text1"/>
          <w:sz w:val="28"/>
          <w:szCs w:val="28"/>
        </w:rPr>
        <w:t xml:space="preserve">Secondo la giurisprudenza </w:t>
      </w:r>
      <w:r>
        <w:rPr>
          <w:rFonts w:ascii="Garamond" w:hAnsi="Garamond" w:cs="Times New Roman"/>
          <w:color w:val="000000" w:themeColor="text1"/>
          <w:sz w:val="28"/>
          <w:szCs w:val="28"/>
        </w:rPr>
        <w:t xml:space="preserve">amministrativa </w:t>
      </w:r>
      <w:r w:rsidRPr="00A9303A">
        <w:rPr>
          <w:rFonts w:ascii="Garamond" w:hAnsi="Garamond" w:cs="Times New Roman"/>
          <w:color w:val="000000" w:themeColor="text1"/>
          <w:sz w:val="28"/>
          <w:szCs w:val="28"/>
        </w:rPr>
        <w:t>il rilascio dell’autorizzazione unica costituisce una</w:t>
      </w:r>
      <w:r>
        <w:rPr>
          <w:rFonts w:ascii="Garamond" w:hAnsi="Garamond" w:cs="Times New Roman"/>
          <w:color w:val="000000" w:themeColor="text1"/>
          <w:sz w:val="28"/>
          <w:szCs w:val="28"/>
        </w:rPr>
        <w:t xml:space="preserve"> </w:t>
      </w:r>
      <w:r w:rsidRPr="00A9303A">
        <w:rPr>
          <w:rFonts w:ascii="Garamond" w:hAnsi="Garamond" w:cs="Times New Roman"/>
          <w:color w:val="000000" w:themeColor="text1"/>
          <w:sz w:val="28"/>
          <w:szCs w:val="28"/>
        </w:rPr>
        <w:t>condizione necessaria per il ricon</w:t>
      </w:r>
      <w:r>
        <w:rPr>
          <w:rFonts w:ascii="Garamond" w:hAnsi="Garamond" w:cs="Times New Roman"/>
          <w:color w:val="000000" w:themeColor="text1"/>
          <w:sz w:val="28"/>
          <w:szCs w:val="28"/>
        </w:rPr>
        <w:t xml:space="preserve">oscimento della qualità di IAFR (impianto alimentato da fonti rinnovabili) e per la concessione dei relativi benefici. </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La giurisprudenza del Consiglio di Stato ha al riguardo ritenuto che:</w:t>
      </w:r>
    </w:p>
    <w:p w:rsidR="007B4920" w:rsidRDefault="007B4920" w:rsidP="007B4920">
      <w:pPr>
        <w:pStyle w:val="Paragrafoelenco"/>
        <w:numPr>
          <w:ilvl w:val="0"/>
          <w:numId w:val="38"/>
        </w:numPr>
        <w:spacing w:line="240" w:lineRule="auto"/>
        <w:jc w:val="both"/>
        <w:rPr>
          <w:rFonts w:ascii="Garamond" w:hAnsi="Garamond" w:cs="Times New Roman"/>
          <w:color w:val="000000" w:themeColor="text1"/>
          <w:sz w:val="28"/>
          <w:szCs w:val="28"/>
        </w:rPr>
      </w:pPr>
      <w:r w:rsidRPr="00A10A89">
        <w:rPr>
          <w:rFonts w:ascii="Garamond" w:hAnsi="Garamond" w:cs="Times New Roman"/>
          <w:color w:val="000000" w:themeColor="text1"/>
          <w:sz w:val="28"/>
          <w:szCs w:val="28"/>
        </w:rPr>
        <w:t xml:space="preserve">in termini giuridici generali il godimento di un beneficio economico stabilito dalla legge (tale essendo la percezione della tariffa incentivante) non può prescindere dalla regolarità giuridica, </w:t>
      </w:r>
      <w:r w:rsidRPr="00A10A89">
        <w:rPr>
          <w:rFonts w:ascii="Garamond" w:hAnsi="Garamond" w:cs="Times New Roman"/>
          <w:i/>
          <w:color w:val="000000" w:themeColor="text1"/>
          <w:sz w:val="28"/>
          <w:szCs w:val="28"/>
        </w:rPr>
        <w:t>lato sensu</w:t>
      </w:r>
      <w:r w:rsidRPr="00A10A89">
        <w:rPr>
          <w:rFonts w:ascii="Garamond" w:hAnsi="Garamond" w:cs="Times New Roman"/>
          <w:color w:val="000000" w:themeColor="text1"/>
          <w:sz w:val="28"/>
          <w:szCs w:val="28"/>
        </w:rPr>
        <w:t xml:space="preserve"> intesa, della sottesa attività, in disparte i pur precisi dati di diritto positivo (cfr. art. 12 d.lgs. n. 387 del 2003, nonché i vari dd.mm. susseguitisi nel tempo relativi alla regolamentazione degli incentivi). Pertanto ad un impianto privo (</w:t>
      </w:r>
      <w:r w:rsidRPr="00A10A89">
        <w:rPr>
          <w:rFonts w:ascii="Garamond" w:hAnsi="Garamond" w:cs="Times New Roman"/>
          <w:i/>
          <w:color w:val="000000" w:themeColor="text1"/>
          <w:sz w:val="28"/>
          <w:szCs w:val="28"/>
        </w:rPr>
        <w:t>ab origine</w:t>
      </w:r>
      <w:r w:rsidRPr="00A10A89">
        <w:rPr>
          <w:rFonts w:ascii="Garamond" w:hAnsi="Garamond" w:cs="Times New Roman"/>
          <w:color w:val="000000" w:themeColor="text1"/>
          <w:sz w:val="28"/>
          <w:szCs w:val="28"/>
        </w:rPr>
        <w:t xml:space="preserve"> o per causa sopravvenuta) di un’autorizzazione unica valida ed efficace non può essere riconosciuta (o, rispettivamente, mantenuta) la qualifica IAFR ed attribuita la tariffa incentivante (Cons. Stato, sez. II, n. 4970 del 2022, relativa a fattispecie in cui l’autorizzazione unica era stata successivamente annullata in sede giurisdizionale, a seguito della declaratoria di incostituzionalità di una l.r. che consentiva il rilascio della stessa in assenza di V.I.A.</w:t>
      </w:r>
      <w:r w:rsidRPr="00A9303A">
        <w:t xml:space="preserve"> </w:t>
      </w:r>
      <w:r w:rsidRPr="00A10A89">
        <w:rPr>
          <w:rFonts w:ascii="Garamond" w:hAnsi="Garamond" w:cs="Times New Roman"/>
          <w:color w:val="000000" w:themeColor="text1"/>
          <w:sz w:val="28"/>
          <w:szCs w:val="28"/>
        </w:rPr>
        <w:t>per gli impianti di potenza termica non superiore a 3 MW; conseguentemente il G.s.e. aveva provveduto ad annullare in via di autotutela il provvedimento di rilascio  all’impianto della qualifica di IAFR, a risolvere di diritto la connessa convenzione tariffaria e a determinare gli importi da restituire);</w:t>
      </w:r>
    </w:p>
    <w:p w:rsidR="007B4920" w:rsidRDefault="007B4920" w:rsidP="007B4920">
      <w:pPr>
        <w:pStyle w:val="Paragrafoelenco"/>
        <w:numPr>
          <w:ilvl w:val="0"/>
          <w:numId w:val="38"/>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Pr="00A10A89">
        <w:rPr>
          <w:rFonts w:ascii="Garamond" w:hAnsi="Garamond" w:cs="Times New Roman"/>
          <w:color w:val="000000" w:themeColor="text1"/>
          <w:sz w:val="28"/>
          <w:szCs w:val="28"/>
        </w:rPr>
        <w:t>l controllo operato dal G.s.e. in relazione agli atti prodromici che devono essere adottati da altre Amministrazioni ovvero dagli enti locali o, in generale in relazione a procedimenti che devono essere gestiti dai detti enti, ha carattere meramente formale, ossia di verifica della sussistenza del titolo, non potendosi spingere sino alla verifica della legittimità dello stesso a pena di stravolgimento del riparto di competenze fissato dal legislatore.</w:t>
      </w:r>
      <w:r w:rsidRPr="00E7596A">
        <w:t xml:space="preserve"> </w:t>
      </w:r>
      <w:r w:rsidRPr="00A10A89">
        <w:rPr>
          <w:rFonts w:ascii="Garamond" w:hAnsi="Garamond" w:cs="Times New Roman"/>
          <w:color w:val="000000" w:themeColor="text1"/>
          <w:sz w:val="28"/>
          <w:szCs w:val="28"/>
        </w:rPr>
        <w:t>Il G.s.e., pertanto, si deve limitare a verificare l’esistenza del titolo autorizzativo, non potendo, invece, sindacare la legittimità e conseguentemente l’efficacia dello stesso (Cons. Stato, se</w:t>
      </w:r>
      <w:r>
        <w:rPr>
          <w:rFonts w:ascii="Garamond" w:hAnsi="Garamond" w:cs="Times New Roman"/>
          <w:color w:val="000000" w:themeColor="text1"/>
          <w:sz w:val="28"/>
          <w:szCs w:val="28"/>
        </w:rPr>
        <w:t>z</w:t>
      </w:r>
      <w:r w:rsidRPr="00A10A89">
        <w:rPr>
          <w:rFonts w:ascii="Garamond" w:hAnsi="Garamond" w:cs="Times New Roman"/>
          <w:color w:val="000000" w:themeColor="text1"/>
          <w:sz w:val="28"/>
          <w:szCs w:val="28"/>
        </w:rPr>
        <w:t>. IV n. 2859 del 2018);</w:t>
      </w:r>
    </w:p>
    <w:p w:rsidR="007B4920" w:rsidRDefault="007B4920" w:rsidP="007B4920">
      <w:pPr>
        <w:pStyle w:val="Paragrafoelenco"/>
        <w:numPr>
          <w:ilvl w:val="0"/>
          <w:numId w:val="38"/>
        </w:numPr>
        <w:spacing w:line="240" w:lineRule="auto"/>
        <w:jc w:val="both"/>
        <w:rPr>
          <w:rFonts w:ascii="Garamond" w:hAnsi="Garamond" w:cs="Times New Roman"/>
          <w:color w:val="000000" w:themeColor="text1"/>
          <w:sz w:val="28"/>
          <w:szCs w:val="28"/>
        </w:rPr>
      </w:pPr>
      <w:r w:rsidRPr="00A10A89">
        <w:rPr>
          <w:rFonts w:ascii="Garamond" w:hAnsi="Garamond" w:cs="Times New Roman"/>
          <w:color w:val="000000" w:themeColor="text1"/>
          <w:sz w:val="28"/>
          <w:szCs w:val="28"/>
        </w:rPr>
        <w:t xml:space="preserve">il G.s.e. ha il potere di verificare la sussistenza dei presupposti per l’ammissione alle tariffe incentivanti, ai sensi dell’art. 4 del d.m. 18 dicembre 2008, tra cui quello inerente alla verifica dell’idoneità dell’autorizzazione posseduta dall’impianto ai fini dell’ammissione alla qualificazione IAFR. Ciò in forza dei poteri di controllo e verifica di cui all’art. 42, d.lgs. n. 28 del 2011; il controllo dei titoli necessari ai fini del rilascio dell’incentivo qualora si tratti di impianto idroelettrico riguarda non solo il titolo abilitativo rilasciato dal Comune ma anche la concessione di derivazione a fini idroelettrici [Cons. Stato, sez. II, n. 2475 del 2022, riferita a fattispecie in cui la </w:t>
      </w:r>
      <w:r w:rsidRPr="00A10A89">
        <w:rPr>
          <w:rFonts w:ascii="Garamond" w:hAnsi="Garamond" w:cs="Times New Roman"/>
          <w:color w:val="000000" w:themeColor="text1"/>
          <w:sz w:val="28"/>
          <w:szCs w:val="28"/>
        </w:rPr>
        <w:lastRenderedPageBreak/>
        <w:t>legge regionale contemplava un procedimento semplificato, non soggetto all’applicazione del procedimento unico di cui all’art. 12 d.lgs. 387 del 2003, per impianti (definiti di microgenerazione) di potenza inferiore ai 500 kW];</w:t>
      </w:r>
    </w:p>
    <w:p w:rsidR="007B4920" w:rsidRDefault="007B4920" w:rsidP="007B4920">
      <w:pPr>
        <w:pStyle w:val="Paragrafoelenco"/>
        <w:numPr>
          <w:ilvl w:val="0"/>
          <w:numId w:val="38"/>
        </w:numPr>
        <w:spacing w:line="240" w:lineRule="auto"/>
        <w:jc w:val="both"/>
        <w:rPr>
          <w:rFonts w:ascii="Garamond" w:hAnsi="Garamond" w:cs="Times New Roman"/>
          <w:color w:val="000000" w:themeColor="text1"/>
          <w:sz w:val="28"/>
          <w:szCs w:val="28"/>
        </w:rPr>
      </w:pPr>
      <w:r w:rsidRPr="00511F26">
        <w:rPr>
          <w:rFonts w:ascii="Garamond" w:hAnsi="Garamond" w:cs="Times New Roman"/>
          <w:color w:val="000000" w:themeColor="text1"/>
          <w:sz w:val="28"/>
          <w:szCs w:val="28"/>
        </w:rPr>
        <w:t xml:space="preserve">l’art. 1 </w:t>
      </w:r>
      <w:r w:rsidRPr="00511F26">
        <w:rPr>
          <w:rFonts w:ascii="Garamond" w:hAnsi="Garamond" w:cs="Times New Roman"/>
          <w:i/>
          <w:color w:val="000000" w:themeColor="text1"/>
          <w:sz w:val="28"/>
          <w:szCs w:val="28"/>
        </w:rPr>
        <w:t xml:space="preserve">septies </w:t>
      </w:r>
      <w:r w:rsidRPr="00511F26">
        <w:rPr>
          <w:rFonts w:ascii="Garamond" w:hAnsi="Garamond" w:cs="Times New Roman"/>
          <w:color w:val="000000" w:themeColor="text1"/>
          <w:sz w:val="28"/>
          <w:szCs w:val="28"/>
        </w:rPr>
        <w:t xml:space="preserve">d.l 8 luglio 2010, n. 105, prevede la coincidenza tra il soggetto richiedente e quello che ha realizzato l’impianto, iniziato l’esercizio e che detiene i relativi titoli abilitativi necessari per l’accesso all’incentivo. Tale previsione non può essere superata in forza dell’argomento secondo cui chi acquista un impianto già realizzato subentra automaticamente, </w:t>
      </w:r>
      <w:r w:rsidRPr="00511F26">
        <w:rPr>
          <w:rFonts w:ascii="Garamond" w:hAnsi="Garamond" w:cs="Times New Roman"/>
          <w:i/>
          <w:color w:val="000000" w:themeColor="text1"/>
          <w:sz w:val="28"/>
          <w:szCs w:val="28"/>
        </w:rPr>
        <w:t>ex lege</w:t>
      </w:r>
      <w:r w:rsidRPr="00511F26">
        <w:rPr>
          <w:rFonts w:ascii="Garamond" w:hAnsi="Garamond" w:cs="Times New Roman"/>
          <w:color w:val="000000" w:themeColor="text1"/>
          <w:sz w:val="28"/>
          <w:szCs w:val="28"/>
        </w:rPr>
        <w:t>, nei rapporti inerenti all’impianto stesso, compresi i titoli abilitativi, per cui non sarebbe necessaria alcuna voltura nell’ipotesi in cui il cessionario non subentri nella titolarità esclusiva dell’impianto per cui ha chiesto i benefici, avendo “acquistato” solo una quota pro-indivisa di un impianto più grande intestato alla diversa società, che lo ha realizzato e posto in esercizio e che è  titolare del permesso di costruire. [Cons. Stato, sez. II, n. 2536 del 2022 che ha precisato come in siffatta ipotesi sussista tra l’altro anche l’artato frazionamento di un impianto di maggiori dimensioni in diversi più piccoli impianti, reso evidente dall’unicità del permesso di costruire (titolo peraltro presentato in sede di richiesta di accesso ai benefici per ben altri pretesi quattro impianti limitrofi), dalla contiguità dei lotti e dall’unicità del soggetto realizzatore che ha comunicato la fi</w:t>
      </w:r>
      <w:r>
        <w:rPr>
          <w:rFonts w:ascii="Garamond" w:hAnsi="Garamond" w:cs="Times New Roman"/>
          <w:color w:val="000000" w:themeColor="text1"/>
          <w:sz w:val="28"/>
          <w:szCs w:val="28"/>
        </w:rPr>
        <w:t>ne lavori];</w:t>
      </w:r>
    </w:p>
    <w:p w:rsidR="007B4920" w:rsidRPr="00511F26" w:rsidRDefault="007B4920" w:rsidP="007B4920">
      <w:pPr>
        <w:pStyle w:val="Paragrafoelenco"/>
        <w:numPr>
          <w:ilvl w:val="0"/>
          <w:numId w:val="38"/>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è</w:t>
      </w:r>
      <w:r w:rsidRPr="00511F26">
        <w:rPr>
          <w:rFonts w:ascii="Garamond" w:hAnsi="Garamond" w:cs="Times New Roman"/>
          <w:color w:val="000000" w:themeColor="text1"/>
          <w:sz w:val="28"/>
          <w:szCs w:val="28"/>
        </w:rPr>
        <w:t xml:space="preserve"> </w:t>
      </w:r>
      <w:r w:rsidRPr="00511F26">
        <w:rPr>
          <w:rFonts w:ascii="Garamond" w:hAnsi="Garamond" w:cs="Times New Roman"/>
          <w:i/>
          <w:color w:val="000000" w:themeColor="text1"/>
          <w:sz w:val="28"/>
          <w:szCs w:val="28"/>
        </w:rPr>
        <w:t>contra legem</w:t>
      </w:r>
      <w:r w:rsidRPr="00511F26">
        <w:rPr>
          <w:rFonts w:ascii="Garamond" w:hAnsi="Garamond" w:cs="Times New Roman"/>
          <w:color w:val="000000" w:themeColor="text1"/>
          <w:sz w:val="28"/>
          <w:szCs w:val="28"/>
        </w:rPr>
        <w:t xml:space="preserve"> la scissione soggettiva tra la titolarità dell’autorizzazione e la responsabilità dell’impianto in quanto:</w:t>
      </w:r>
    </w:p>
    <w:p w:rsidR="007B4920" w:rsidRDefault="007B4920" w:rsidP="007B4920">
      <w:pPr>
        <w:spacing w:line="240" w:lineRule="auto"/>
        <w:ind w:left="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e1) l’art. 12, commi 3 e 4, d.lgs. n. 387 del </w:t>
      </w:r>
      <w:r w:rsidRPr="00615935">
        <w:rPr>
          <w:rFonts w:ascii="Garamond" w:hAnsi="Garamond" w:cs="Times New Roman"/>
          <w:color w:val="000000" w:themeColor="text1"/>
          <w:sz w:val="28"/>
          <w:szCs w:val="28"/>
        </w:rPr>
        <w:t xml:space="preserve">2003 prevede che la costruzione e l’esercizio degli impianti di produzione di </w:t>
      </w:r>
      <w:r>
        <w:rPr>
          <w:rFonts w:ascii="Garamond" w:hAnsi="Garamond" w:cs="Times New Roman"/>
          <w:color w:val="000000" w:themeColor="text1"/>
          <w:sz w:val="28"/>
          <w:szCs w:val="28"/>
        </w:rPr>
        <w:t>energia</w:t>
      </w:r>
      <w:r w:rsidRPr="00615935">
        <w:rPr>
          <w:rFonts w:ascii="Garamond" w:hAnsi="Garamond" w:cs="Times New Roman"/>
          <w:color w:val="000000" w:themeColor="text1"/>
          <w:sz w:val="28"/>
          <w:szCs w:val="28"/>
        </w:rPr>
        <w:t xml:space="preserve"> elettrica alimentati da fonti rinnovabili sono soggetti ad un’autorizzazione unica e che il rilascio dell’autorizzazione costituisce “titolo a costruire e esercire l’impianto”;</w:t>
      </w:r>
    </w:p>
    <w:p w:rsidR="007B4920" w:rsidRDefault="007B4920" w:rsidP="007B4920">
      <w:pPr>
        <w:spacing w:line="240" w:lineRule="auto"/>
        <w:ind w:left="708" w:firstLine="1"/>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e2) </w:t>
      </w:r>
      <w:r w:rsidRPr="003F0C52">
        <w:rPr>
          <w:rFonts w:ascii="Garamond" w:hAnsi="Garamond" w:cs="Times New Roman"/>
          <w:color w:val="000000" w:themeColor="text1"/>
          <w:sz w:val="28"/>
          <w:szCs w:val="28"/>
        </w:rPr>
        <w:t>l</w:t>
      </w:r>
      <w:r w:rsidRPr="00615935">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art. 2, comma 1, lettera g), </w:t>
      </w:r>
      <w:r w:rsidRPr="00615935">
        <w:rPr>
          <w:rFonts w:ascii="Garamond" w:hAnsi="Garamond" w:cs="Times New Roman"/>
          <w:color w:val="000000" w:themeColor="text1"/>
          <w:sz w:val="28"/>
          <w:szCs w:val="28"/>
        </w:rPr>
        <w:t xml:space="preserve">d.m. 28 luglio 2005 sancisce che il soggetto responsabile dell’impianto è “il soggetto, avente i requisiti di cui all’art. 3, responsabile della realizzazione e dell’esercizio dell’impianto e che ha diritto a richiedere ed ottenere le tariffe </w:t>
      </w:r>
      <w:r>
        <w:rPr>
          <w:rFonts w:ascii="Garamond" w:hAnsi="Garamond" w:cs="Times New Roman"/>
          <w:color w:val="000000" w:themeColor="text1"/>
          <w:sz w:val="28"/>
          <w:szCs w:val="28"/>
        </w:rPr>
        <w:t>incentivanti</w:t>
      </w:r>
      <w:r w:rsidRPr="00615935">
        <w:rPr>
          <w:rFonts w:ascii="Garamond" w:hAnsi="Garamond" w:cs="Times New Roman"/>
          <w:color w:val="000000" w:themeColor="text1"/>
          <w:sz w:val="28"/>
          <w:szCs w:val="28"/>
        </w:rPr>
        <w:t>”;</w:t>
      </w:r>
    </w:p>
    <w:p w:rsidR="007B4920" w:rsidRDefault="007B4920" w:rsidP="007B4920">
      <w:pPr>
        <w:spacing w:line="240" w:lineRule="auto"/>
        <w:ind w:left="708" w:firstLine="73"/>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e3) la </w:t>
      </w:r>
      <w:r w:rsidRPr="00615935">
        <w:rPr>
          <w:rFonts w:ascii="Garamond" w:hAnsi="Garamond" w:cs="Times New Roman"/>
          <w:color w:val="000000" w:themeColor="text1"/>
          <w:sz w:val="28"/>
          <w:szCs w:val="28"/>
        </w:rPr>
        <w:t xml:space="preserve">deliberazione dell’AEEG n. 188/2005, al punto 3.1 prevede che il soggetto responsabile per essere ammesso a beneficiare delle “tariffe </w:t>
      </w:r>
      <w:r>
        <w:rPr>
          <w:rFonts w:ascii="Garamond" w:hAnsi="Garamond" w:cs="Times New Roman"/>
          <w:color w:val="000000" w:themeColor="text1"/>
          <w:sz w:val="28"/>
          <w:szCs w:val="28"/>
        </w:rPr>
        <w:t>incentivanti</w:t>
      </w:r>
      <w:r w:rsidRPr="00615935">
        <w:rPr>
          <w:rFonts w:ascii="Garamond" w:hAnsi="Garamond" w:cs="Times New Roman"/>
          <w:color w:val="000000" w:themeColor="text1"/>
          <w:sz w:val="28"/>
          <w:szCs w:val="28"/>
        </w:rPr>
        <w:t>” p</w:t>
      </w:r>
      <w:r>
        <w:rPr>
          <w:rFonts w:ascii="Garamond" w:hAnsi="Garamond" w:cs="Times New Roman"/>
          <w:color w:val="000000" w:themeColor="text1"/>
          <w:sz w:val="28"/>
          <w:szCs w:val="28"/>
        </w:rPr>
        <w:t>reviste dal d.m.</w:t>
      </w:r>
      <w:r w:rsidRPr="00615935">
        <w:rPr>
          <w:rFonts w:ascii="Garamond" w:hAnsi="Garamond" w:cs="Times New Roman"/>
          <w:color w:val="000000" w:themeColor="text1"/>
          <w:sz w:val="28"/>
          <w:szCs w:val="28"/>
        </w:rPr>
        <w:t xml:space="preserve"> 28 luglio 2005 deve dichiarare, sotto la propria responsabilità, tra l’altro, di “assumere l’impegno a conseguire tutte le autorizzazioni necessarie alla costruzione ed all’esercizio dell’impianto nonché di essere consapevole delle proprie responsabilità civili e penali verso terzi connesse alle attività di costruzi</w:t>
      </w:r>
      <w:r>
        <w:rPr>
          <w:rFonts w:ascii="Garamond" w:hAnsi="Garamond" w:cs="Times New Roman"/>
          <w:color w:val="000000" w:themeColor="text1"/>
          <w:sz w:val="28"/>
          <w:szCs w:val="28"/>
        </w:rPr>
        <w:t>one ed esercizio dell’impianto .(</w:t>
      </w:r>
      <w:r w:rsidRPr="000B0631">
        <w:rPr>
          <w:rFonts w:ascii="Garamond" w:hAnsi="Garamond" w:cs="Times New Roman"/>
          <w:color w:val="000000" w:themeColor="text1"/>
          <w:sz w:val="28"/>
          <w:szCs w:val="28"/>
        </w:rPr>
        <w:t>Cons. Stato, sez. II., n. 2485 del 2022</w:t>
      </w:r>
      <w:r>
        <w:rPr>
          <w:rFonts w:ascii="Garamond" w:hAnsi="Garamond" w:cs="Times New Roman"/>
          <w:color w:val="000000" w:themeColor="text1"/>
          <w:sz w:val="28"/>
          <w:szCs w:val="28"/>
        </w:rPr>
        <w:t>);</w:t>
      </w:r>
    </w:p>
    <w:p w:rsidR="007B4920" w:rsidRDefault="007B4920" w:rsidP="007B4920">
      <w:pPr>
        <w:pStyle w:val="Paragrafoelenco"/>
        <w:numPr>
          <w:ilvl w:val="0"/>
          <w:numId w:val="38"/>
        </w:numPr>
        <w:spacing w:line="240" w:lineRule="auto"/>
        <w:jc w:val="both"/>
        <w:rPr>
          <w:rFonts w:ascii="Garamond" w:hAnsi="Garamond" w:cs="Times New Roman"/>
          <w:color w:val="000000" w:themeColor="text1"/>
          <w:sz w:val="28"/>
          <w:szCs w:val="28"/>
        </w:rPr>
      </w:pPr>
      <w:r w:rsidRPr="00511F26">
        <w:rPr>
          <w:rFonts w:ascii="Garamond" w:hAnsi="Garamond" w:cs="Times New Roman"/>
          <w:color w:val="000000" w:themeColor="text1"/>
          <w:sz w:val="28"/>
          <w:szCs w:val="28"/>
        </w:rPr>
        <w:t xml:space="preserve">è necessario che l’autorizzazione faccia capo - o perché rilasciata </w:t>
      </w:r>
      <w:r w:rsidRPr="00511F26">
        <w:rPr>
          <w:rFonts w:ascii="Garamond" w:hAnsi="Garamond" w:cs="Times New Roman"/>
          <w:i/>
          <w:color w:val="000000" w:themeColor="text1"/>
          <w:sz w:val="28"/>
          <w:szCs w:val="28"/>
        </w:rPr>
        <w:t>ab inizio</w:t>
      </w:r>
      <w:r w:rsidRPr="00511F26">
        <w:rPr>
          <w:rFonts w:ascii="Garamond" w:hAnsi="Garamond" w:cs="Times New Roman"/>
          <w:color w:val="000000" w:themeColor="text1"/>
          <w:sz w:val="28"/>
          <w:szCs w:val="28"/>
        </w:rPr>
        <w:t xml:space="preserve"> o perché successivamente trasferita- al responsabile dell’impianto, avuto riguardo al carattere indisponibile della medesima da parte del soggetto interessato, che può essere solo quello a nome del quale è stato emesso il provvedimento autorizzativo. Ne discende che il titolo, per una elementare esigenza di certezza dei rapporti giuridici e di controllo da parte dell’amministrazione, deve necessariamente fare capo al soggetto </w:t>
      </w:r>
      <w:r w:rsidRPr="00511F26">
        <w:rPr>
          <w:rFonts w:ascii="Garamond" w:hAnsi="Garamond" w:cs="Times New Roman"/>
          <w:color w:val="000000" w:themeColor="text1"/>
          <w:sz w:val="28"/>
          <w:szCs w:val="28"/>
        </w:rPr>
        <w:lastRenderedPageBreak/>
        <w:t>che gestisce l’impianto e percepisce gli incentivi, anche se agisce per conto altrui (Cons. Stato sez</w:t>
      </w:r>
      <w:r>
        <w:rPr>
          <w:rFonts w:ascii="Garamond" w:hAnsi="Garamond" w:cs="Times New Roman"/>
          <w:color w:val="000000" w:themeColor="text1"/>
          <w:sz w:val="28"/>
          <w:szCs w:val="28"/>
        </w:rPr>
        <w:t>.</w:t>
      </w:r>
      <w:r w:rsidRPr="00511F26">
        <w:rPr>
          <w:rFonts w:ascii="Garamond" w:hAnsi="Garamond" w:cs="Times New Roman"/>
          <w:color w:val="000000" w:themeColor="text1"/>
          <w:sz w:val="28"/>
          <w:szCs w:val="28"/>
        </w:rPr>
        <w:t xml:space="preserve"> IV, n</w:t>
      </w:r>
      <w:r>
        <w:rPr>
          <w:rFonts w:ascii="Garamond" w:hAnsi="Garamond" w:cs="Times New Roman"/>
          <w:color w:val="000000" w:themeColor="text1"/>
          <w:sz w:val="28"/>
          <w:szCs w:val="28"/>
        </w:rPr>
        <w:t>n</w:t>
      </w:r>
      <w:r w:rsidRPr="00511F26">
        <w:rPr>
          <w:rFonts w:ascii="Garamond" w:hAnsi="Garamond" w:cs="Times New Roman"/>
          <w:color w:val="000000" w:themeColor="text1"/>
          <w:sz w:val="28"/>
          <w:szCs w:val="28"/>
        </w:rPr>
        <w:t>. 6146 e 5412 del 2018);</w:t>
      </w:r>
    </w:p>
    <w:p w:rsidR="007B4920" w:rsidRPr="00511F26" w:rsidRDefault="007B4920" w:rsidP="007B4920">
      <w:pPr>
        <w:pStyle w:val="Paragrafoelenco"/>
        <w:numPr>
          <w:ilvl w:val="0"/>
          <w:numId w:val="38"/>
        </w:numPr>
        <w:spacing w:line="240" w:lineRule="auto"/>
        <w:jc w:val="both"/>
        <w:rPr>
          <w:rFonts w:ascii="Garamond" w:hAnsi="Garamond" w:cs="Times New Roman"/>
          <w:color w:val="000000" w:themeColor="text1"/>
          <w:sz w:val="28"/>
          <w:szCs w:val="28"/>
        </w:rPr>
      </w:pPr>
      <w:r w:rsidRPr="00511F26">
        <w:rPr>
          <w:rFonts w:ascii="Garamond" w:hAnsi="Garamond" w:cs="Times New Roman"/>
          <w:color w:val="000000" w:themeColor="text1"/>
          <w:sz w:val="28"/>
          <w:szCs w:val="28"/>
        </w:rPr>
        <w:t>la mancanza del titolo autorizzatorio in capo a colui che esercita l’impianto e richiede gli incentivi non può essere compensata attraverso il ricorso a strumenti privatistici, non controllabili né opponibili all’amministrazione, quali il contratto di locazione dell’impianto o la partecipazione di controllo nella società che gestisce l’impianto. Solo il soggetto a favore del quale il titolo è rilasciato o volturato può legittimamente esercitare l’impianto e fruire dei benefici per l’energia prodotta, indipendentemente dalla proprietà del medesimo (Cons. Stato, sez. II., n. 2485 del 2022 relativa a fattispecie in cui non vi era coincidenza soggettiva tra il titolare dell’autorizzazione e il soggetto responsabile dell’impianto, in quanto l’autorizzazione unica faceva capo alla capogruppo, mentre responsabili degli impianti erano le società veicolo).</w:t>
      </w:r>
    </w:p>
    <w:p w:rsidR="007B4920" w:rsidRPr="00873D55" w:rsidRDefault="007B4920" w:rsidP="007B4920">
      <w:pPr>
        <w:spacing w:line="240" w:lineRule="auto"/>
        <w:ind w:firstLine="709"/>
        <w:contextualSpacing/>
        <w:jc w:val="both"/>
        <w:rPr>
          <w:rFonts w:ascii="Garamond" w:hAnsi="Garamond" w:cs="Times New Roman"/>
          <w:color w:val="000000" w:themeColor="text1"/>
          <w:sz w:val="28"/>
          <w:szCs w:val="28"/>
        </w:rPr>
      </w:pPr>
    </w:p>
    <w:p w:rsidR="007B4920" w:rsidRPr="00E12897" w:rsidRDefault="007B4920" w:rsidP="007B4920">
      <w:pPr>
        <w:spacing w:line="240" w:lineRule="auto"/>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11</w:t>
      </w:r>
      <w:r w:rsidRPr="00CB7290">
        <w:rPr>
          <w:rFonts w:ascii="Garamond" w:hAnsi="Garamond" w:cs="Times New Roman"/>
          <w:b/>
          <w:color w:val="000000" w:themeColor="text1"/>
          <w:sz w:val="28"/>
          <w:szCs w:val="28"/>
        </w:rPr>
        <w:t>.4</w:t>
      </w:r>
      <w:r w:rsidRPr="001604D5">
        <w:rPr>
          <w:rFonts w:ascii="Garamond" w:hAnsi="Garamond" w:cs="Times New Roman"/>
          <w:b/>
          <w:color w:val="000000" w:themeColor="text1"/>
          <w:sz w:val="28"/>
          <w:szCs w:val="28"/>
        </w:rPr>
        <w:t>.</w:t>
      </w:r>
      <w:r>
        <w:rPr>
          <w:rFonts w:ascii="Garamond" w:hAnsi="Garamond" w:cs="Times New Roman"/>
          <w:color w:val="000000" w:themeColor="text1"/>
          <w:sz w:val="28"/>
          <w:szCs w:val="28"/>
        </w:rPr>
        <w:t xml:space="preserve"> </w:t>
      </w:r>
      <w:r>
        <w:rPr>
          <w:rFonts w:ascii="Garamond" w:hAnsi="Garamond" w:cs="Times New Roman"/>
          <w:b/>
          <w:color w:val="000000" w:themeColor="text1"/>
          <w:sz w:val="28"/>
          <w:szCs w:val="28"/>
        </w:rPr>
        <w:t xml:space="preserve">Decadenza, rimodulazione delle tariffe, </w:t>
      </w:r>
      <w:r w:rsidRPr="00E12897">
        <w:rPr>
          <w:rFonts w:ascii="Garamond" w:hAnsi="Garamond" w:cs="Times New Roman"/>
          <w:b/>
          <w:color w:val="000000" w:themeColor="text1"/>
          <w:sz w:val="28"/>
          <w:szCs w:val="28"/>
        </w:rPr>
        <w:t>autoresponsabilità</w:t>
      </w:r>
      <w:r>
        <w:rPr>
          <w:rFonts w:ascii="Garamond" w:hAnsi="Garamond" w:cs="Times New Roman"/>
          <w:b/>
          <w:color w:val="000000" w:themeColor="text1"/>
          <w:sz w:val="28"/>
          <w:szCs w:val="28"/>
        </w:rPr>
        <w:t xml:space="preserve"> e tutela dell’affidamento.</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La giurisprudenza ha inoltre elaborato i seguenti principi in materia di decadenza e rimodulazione delle tariffe, avuto riguardo al principio di autoresponsabilità e di tutela dell’affidamento:</w:t>
      </w:r>
    </w:p>
    <w:p w:rsidR="007B4920"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sidRPr="00A41732">
        <w:rPr>
          <w:rFonts w:ascii="Garamond" w:hAnsi="Garamond" w:cs="Times New Roman"/>
          <w:color w:val="000000" w:themeColor="text1"/>
          <w:sz w:val="28"/>
          <w:szCs w:val="28"/>
        </w:rPr>
        <w:t>qualora un operatore economico prudente ed avveduto sia in grado di prevedere l'adozione di un provvedimento idoneo a ledere i suoi interessi, esso non può invocare il principio dell’affidamento nel caso in cui il provvedimento venga adottato. Inoltre, gli operatori economici non possono fare legittimamente affidamento sul mantenimento di una situazione esistente che può essere modificata nell'ambito del potere discrezionale delle autorità nazionali. [Corte di Giustizia UE, 10 settembre 2009, C-201/08; sez. X, 11 luglio 2019, n. 180 C</w:t>
      </w:r>
      <w:r w:rsidRPr="00A41732">
        <w:rPr>
          <w:rFonts w:ascii="Times New Roman" w:hAnsi="Times New Roman" w:cs="Times New Roman"/>
          <w:color w:val="000000" w:themeColor="text1"/>
          <w:sz w:val="28"/>
          <w:szCs w:val="28"/>
        </w:rPr>
        <w:t>‑</w:t>
      </w:r>
      <w:r w:rsidRPr="00A41732">
        <w:rPr>
          <w:rFonts w:ascii="Garamond" w:hAnsi="Garamond" w:cs="Times New Roman"/>
          <w:color w:val="000000" w:themeColor="text1"/>
          <w:sz w:val="28"/>
          <w:szCs w:val="28"/>
        </w:rPr>
        <w:t>180/18, C</w:t>
      </w:r>
      <w:r w:rsidRPr="00A41732">
        <w:rPr>
          <w:rFonts w:ascii="Times New Roman" w:hAnsi="Times New Roman" w:cs="Times New Roman"/>
          <w:color w:val="000000" w:themeColor="text1"/>
          <w:sz w:val="28"/>
          <w:szCs w:val="28"/>
        </w:rPr>
        <w:t>‑</w:t>
      </w:r>
      <w:r w:rsidRPr="00A41732">
        <w:rPr>
          <w:rFonts w:ascii="Garamond" w:hAnsi="Garamond" w:cs="Times New Roman"/>
          <w:color w:val="000000" w:themeColor="text1"/>
          <w:sz w:val="28"/>
          <w:szCs w:val="28"/>
        </w:rPr>
        <w:t xml:space="preserve">286/18 (che ha precisato che </w:t>
      </w:r>
      <w:r w:rsidRPr="00A41732">
        <w:rPr>
          <w:rFonts w:ascii="Garamond" w:hAnsi="Garamond" w:cs="Garamond"/>
          <w:color w:val="000000" w:themeColor="text1"/>
          <w:sz w:val="28"/>
          <w:szCs w:val="28"/>
        </w:rPr>
        <w:t>“</w:t>
      </w:r>
      <w:r w:rsidRPr="00A41732">
        <w:rPr>
          <w:rFonts w:ascii="Garamond" w:hAnsi="Garamond" w:cs="Times New Roman"/>
          <w:color w:val="000000" w:themeColor="text1"/>
          <w:sz w:val="28"/>
          <w:szCs w:val="28"/>
        </w:rPr>
        <w:t>fatte salve le verifiche che il giudice del rinvio deve effettuare tenendo conto di tutti gli elementi rilevanti, l</w:t>
      </w:r>
      <w:r w:rsidRPr="00A41732">
        <w:rPr>
          <w:rFonts w:ascii="Garamond" w:hAnsi="Garamond" w:cs="Garamond"/>
          <w:color w:val="000000" w:themeColor="text1"/>
          <w:sz w:val="28"/>
          <w:szCs w:val="28"/>
        </w:rPr>
        <w:t>’</w:t>
      </w:r>
      <w:r w:rsidRPr="00A41732">
        <w:rPr>
          <w:rFonts w:ascii="Garamond" w:hAnsi="Garamond" w:cs="Times New Roman"/>
          <w:color w:val="000000" w:themeColor="text1"/>
          <w:sz w:val="28"/>
          <w:szCs w:val="28"/>
        </w:rPr>
        <w:t xml:space="preserve">articolo 3, paragrafo 3, lettera a), della </w:t>
      </w:r>
      <w:r>
        <w:rPr>
          <w:rFonts w:ascii="Garamond" w:hAnsi="Garamond" w:cs="Times New Roman"/>
          <w:color w:val="000000" w:themeColor="text1"/>
          <w:sz w:val="28"/>
          <w:szCs w:val="28"/>
        </w:rPr>
        <w:t>direttiva</w:t>
      </w:r>
      <w:r w:rsidRPr="00A41732">
        <w:rPr>
          <w:rFonts w:ascii="Garamond" w:hAnsi="Garamond" w:cs="Times New Roman"/>
          <w:color w:val="000000" w:themeColor="text1"/>
          <w:sz w:val="28"/>
          <w:szCs w:val="28"/>
        </w:rPr>
        <w:t xml:space="preserve"> 2009/28, letto alla luce dei principi di certezza del diritto e di tutela del legittimo affidamento, deve essere interpretato nel senso che esso non osta a una </w:t>
      </w:r>
      <w:r>
        <w:rPr>
          <w:rFonts w:ascii="Garamond" w:hAnsi="Garamond" w:cs="Times New Roman"/>
          <w:color w:val="000000" w:themeColor="text1"/>
          <w:sz w:val="28"/>
          <w:szCs w:val="28"/>
        </w:rPr>
        <w:t>normativa</w:t>
      </w:r>
      <w:r w:rsidRPr="00A41732">
        <w:rPr>
          <w:rFonts w:ascii="Garamond" w:hAnsi="Garamond" w:cs="Times New Roman"/>
          <w:color w:val="000000" w:themeColor="text1"/>
          <w:sz w:val="28"/>
          <w:szCs w:val="28"/>
        </w:rPr>
        <w:t xml:space="preserve"> nazionale, come quella di cui trattasi nei procedimenti principali, che consente a uno Stato membro di prevedere la riduzione, o perfino la soppressione, delle tariffe </w:t>
      </w:r>
      <w:r>
        <w:rPr>
          <w:rFonts w:ascii="Garamond" w:hAnsi="Garamond" w:cs="Times New Roman"/>
          <w:color w:val="000000" w:themeColor="text1"/>
          <w:sz w:val="28"/>
          <w:szCs w:val="28"/>
        </w:rPr>
        <w:t>incentivanti</w:t>
      </w:r>
      <w:r w:rsidRPr="00A41732">
        <w:rPr>
          <w:rFonts w:ascii="Garamond" w:hAnsi="Garamond" w:cs="Times New Roman"/>
          <w:color w:val="000000" w:themeColor="text1"/>
          <w:sz w:val="28"/>
          <w:szCs w:val="28"/>
        </w:rPr>
        <w:t xml:space="preserve"> in precedenza stabilite per l’</w:t>
      </w:r>
      <w:r>
        <w:rPr>
          <w:rFonts w:ascii="Garamond" w:hAnsi="Garamond" w:cs="Times New Roman"/>
          <w:color w:val="000000" w:themeColor="text1"/>
          <w:sz w:val="28"/>
          <w:szCs w:val="28"/>
        </w:rPr>
        <w:t>energia</w:t>
      </w:r>
      <w:r w:rsidRPr="00A41732">
        <w:rPr>
          <w:rFonts w:ascii="Garamond" w:hAnsi="Garamond" w:cs="Times New Roman"/>
          <w:color w:val="000000" w:themeColor="text1"/>
          <w:sz w:val="28"/>
          <w:szCs w:val="28"/>
        </w:rPr>
        <w:t xml:space="preserve"> prodotta da impianti solari fotovoltaici”);  Corte di giustizia UE,  sez</w:t>
      </w:r>
      <w:r>
        <w:rPr>
          <w:rFonts w:ascii="Garamond" w:hAnsi="Garamond" w:cs="Times New Roman"/>
          <w:color w:val="000000" w:themeColor="text1"/>
          <w:sz w:val="28"/>
          <w:szCs w:val="28"/>
        </w:rPr>
        <w:t>.</w:t>
      </w:r>
      <w:r w:rsidRPr="00A41732">
        <w:rPr>
          <w:rFonts w:ascii="Garamond" w:hAnsi="Garamond" w:cs="Times New Roman"/>
          <w:color w:val="000000" w:themeColor="text1"/>
          <w:sz w:val="28"/>
          <w:szCs w:val="28"/>
        </w:rPr>
        <w:t xml:space="preserve"> V,  15 aprile 2021 C</w:t>
      </w:r>
      <w:r w:rsidRPr="00A41732">
        <w:rPr>
          <w:rFonts w:ascii="Times New Roman" w:hAnsi="Times New Roman" w:cs="Times New Roman"/>
          <w:color w:val="000000" w:themeColor="text1"/>
          <w:sz w:val="28"/>
          <w:szCs w:val="28"/>
        </w:rPr>
        <w:t>‑</w:t>
      </w:r>
      <w:r w:rsidRPr="00A41732">
        <w:rPr>
          <w:rFonts w:ascii="Garamond" w:hAnsi="Garamond" w:cs="Times New Roman"/>
          <w:color w:val="000000" w:themeColor="text1"/>
          <w:sz w:val="28"/>
          <w:szCs w:val="28"/>
        </w:rPr>
        <w:t>798/18 e C</w:t>
      </w:r>
      <w:r w:rsidRPr="00A41732">
        <w:rPr>
          <w:rFonts w:ascii="Times New Roman" w:hAnsi="Times New Roman" w:cs="Times New Roman"/>
          <w:color w:val="000000" w:themeColor="text1"/>
          <w:sz w:val="28"/>
          <w:szCs w:val="28"/>
        </w:rPr>
        <w:t>‑</w:t>
      </w:r>
      <w:r w:rsidRPr="00A41732">
        <w:rPr>
          <w:rFonts w:ascii="Garamond" w:hAnsi="Garamond" w:cs="Times New Roman"/>
          <w:color w:val="000000" w:themeColor="text1"/>
          <w:sz w:val="28"/>
          <w:szCs w:val="28"/>
        </w:rPr>
        <w:t>799/18 (che ha statuito che gli incentivi alla produzione dell’</w:t>
      </w:r>
      <w:r>
        <w:rPr>
          <w:rFonts w:ascii="Garamond" w:hAnsi="Garamond" w:cs="Times New Roman"/>
          <w:color w:val="000000" w:themeColor="text1"/>
          <w:sz w:val="28"/>
          <w:szCs w:val="28"/>
        </w:rPr>
        <w:t>energia</w:t>
      </w:r>
      <w:r w:rsidRPr="00A41732">
        <w:rPr>
          <w:rFonts w:ascii="Garamond" w:hAnsi="Garamond" w:cs="Times New Roman"/>
          <w:color w:val="000000" w:themeColor="text1"/>
          <w:sz w:val="28"/>
          <w:szCs w:val="28"/>
        </w:rPr>
        <w:t xml:space="preserve"> fotovoltaica rientrano nella nozione di beni elaborata dalla giurisprudenza della Corte </w:t>
      </w:r>
      <w:r>
        <w:rPr>
          <w:rFonts w:ascii="Garamond" w:hAnsi="Garamond" w:cs="Times New Roman"/>
          <w:color w:val="000000" w:themeColor="text1"/>
          <w:sz w:val="28"/>
          <w:szCs w:val="28"/>
        </w:rPr>
        <w:t>relativa</w:t>
      </w:r>
      <w:r w:rsidRPr="00A41732">
        <w:rPr>
          <w:rFonts w:ascii="Garamond" w:hAnsi="Garamond" w:cs="Times New Roman"/>
          <w:color w:val="000000" w:themeColor="text1"/>
          <w:sz w:val="28"/>
          <w:szCs w:val="28"/>
        </w:rPr>
        <w:t xml:space="preserve"> all’art. 1 prot. 1 CEDU e devono, ai sensi dell’art 52 paragrafo 3 della Carta dei diritti fondamentali dell’Unione, essere oggetto delle garanzie in materia di proprietà previste dall’art 17 della Carta ma ha limitato la tutela prevista dal citato art 17 - avente, ai sensi dell’art 52 par. 3, lo stesso significato e la stessa portata dell’art 1 prot. 1 CEDU- ai casi in cui sussista in capo all’interessato un legittimo affidamento a conseguire il valore patrimoniale); con richiamo a tali pronunce cfr. Cons. Stato, sez. IV, n. 1306 del 2022; sez. IV, n. </w:t>
      </w:r>
      <w:r w:rsidRPr="00A41732">
        <w:rPr>
          <w:rFonts w:ascii="Garamond" w:hAnsi="Garamond" w:cs="Times New Roman"/>
          <w:color w:val="000000" w:themeColor="text1"/>
          <w:sz w:val="28"/>
          <w:szCs w:val="28"/>
        </w:rPr>
        <w:lastRenderedPageBreak/>
        <w:t>223 del 2020; sez. II, n. 2501 del 2022; in senso analogo Cons. Stato, sez. II, n. 2485 del 2022];</w:t>
      </w:r>
    </w:p>
    <w:p w:rsidR="007B4920"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f</w:t>
      </w:r>
      <w:r w:rsidRPr="00511F26">
        <w:rPr>
          <w:rFonts w:ascii="Garamond" w:hAnsi="Garamond" w:cs="Times New Roman"/>
          <w:color w:val="000000" w:themeColor="text1"/>
          <w:sz w:val="28"/>
          <w:szCs w:val="28"/>
        </w:rPr>
        <w:t xml:space="preserve">atte salve le verifiche che spetta al giudice del rinvio effettuare tenendo conto di tutti gli elementi rilevanti, l’articolo 3, paragrafo 3, lettera a), della direttiva 2009/28/CE del Parlamento europeo e del Consiglio, del 23 aprile 2009, sulla promozione dell’uso dell’energia da fonti rinnovabili, recante modifica e successiva abrogazione delle direttive 2001/77/CE e 2003/30/CE, e gli articoli 16 e 17 della Carta dei diritti fondamentali dell’Unione europea, letti alla luce dei principi di certezza del diritto e tutela del legittimo affidamento, devono essere interpretati nel senso che essi non ostano a una normativa nazionale che prevede la riduzione o il rinvio del pagamento degli incentivi per l’energia prodotta dagli impianti solari fotovoltaici, incentivi precedentemente concessi mediante decisioni amministrative e confermati da apposite convenzioni concluse tra gli operatori di tali impianti e una società pubblica, qualora tale normativa riguardi gli incentivi già previsti, ma non ancora dovuti </w:t>
      </w:r>
      <w:r>
        <w:rPr>
          <w:rFonts w:ascii="Garamond" w:hAnsi="Garamond" w:cs="Times New Roman"/>
          <w:color w:val="000000" w:themeColor="text1"/>
          <w:sz w:val="28"/>
          <w:szCs w:val="28"/>
        </w:rPr>
        <w:t>[</w:t>
      </w:r>
      <w:r w:rsidRPr="00511F26">
        <w:rPr>
          <w:rFonts w:ascii="Garamond" w:hAnsi="Garamond" w:cs="Times New Roman"/>
          <w:color w:val="000000" w:themeColor="text1"/>
          <w:sz w:val="28"/>
          <w:szCs w:val="28"/>
        </w:rPr>
        <w:t>Corte di giustizia UE, ord. 1 marzo 2022, C-608/20, C-611/20</w:t>
      </w:r>
      <w:r>
        <w:rPr>
          <w:rFonts w:ascii="Garamond" w:hAnsi="Garamond" w:cs="Times New Roman"/>
          <w:color w:val="000000" w:themeColor="text1"/>
          <w:sz w:val="28"/>
          <w:szCs w:val="28"/>
        </w:rPr>
        <w:t>, C-595/19, C-512/19, C-306/19 (</w:t>
      </w:r>
      <w:r w:rsidRPr="00511F26">
        <w:rPr>
          <w:rFonts w:ascii="Garamond" w:hAnsi="Garamond" w:cs="Times New Roman"/>
          <w:color w:val="000000" w:themeColor="text1"/>
          <w:sz w:val="28"/>
          <w:szCs w:val="28"/>
        </w:rPr>
        <w:t>resa sulle questioni pregiudiziali sollevate dal T.a.r. per il Lazio con diverse ordinanze</w:t>
      </w:r>
      <w:r>
        <w:rPr>
          <w:rFonts w:ascii="Garamond" w:hAnsi="Garamond" w:cs="Times New Roman"/>
          <w:color w:val="000000" w:themeColor="text1"/>
          <w:sz w:val="28"/>
          <w:szCs w:val="28"/>
        </w:rPr>
        <w:t>)</w:t>
      </w:r>
      <w:r w:rsidRPr="00511F26">
        <w:rPr>
          <w:rFonts w:ascii="Garamond" w:hAnsi="Garamond" w:cs="Times New Roman"/>
          <w:color w:val="000000" w:themeColor="text1"/>
          <w:sz w:val="28"/>
          <w:szCs w:val="28"/>
        </w:rPr>
        <w:t>; la Corte, richiamando i principi elaborati nelle precedenti pronunce ha osservato che,  come emergente dall’art. 3, par. 3, lett. a), della direttiva 2009/28 e, in particolare, dal termine “possono” gli Stati membri non sono affatto obbligati, al fine di promuovere l’uso dell’energia da fonti rinnovabili, ad adottare regimi di sostegno, godendo di un potere discrezionale quanto alle misure ritenute appropriate per raggiungere gli obiettivi nazionali generali obbligatori fissati dall’art. 3, par. 1 e 2, della direttiva. Tale potere implica che gli Stati sono liberi di adottare, modificare o sopprimere regimi di sostegno, purché tali obiettivi siano raggiunti;  quando gli Stati membri adottano misure tramite le quali danno attuazione al diritto dell’Unione, essi sono tenuti a rispettare i principi generali di tale diritto, tra i quali figurano, in particolare, il principio della certezza del diritto e di tutela del legittimo affidamento;  ne consegue che l’art. 3, par. 3, lett. a), della direttiva 2009/28 non osta a una normativa nazionale, quale l’art. 26, commi 2 e 3, del d.l. n. 91 del 2014, che modifica un regime di sostegno riducendo le tariffe e modifica le modalità di pagamento di incentivi alla produzione di energia elettrica da impianti fotovoltaici, purché tale normativa rispetti detti principi];</w:t>
      </w:r>
    </w:p>
    <w:p w:rsidR="007B4920"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sidRPr="00511F26">
        <w:rPr>
          <w:rFonts w:ascii="Garamond" w:hAnsi="Garamond" w:cs="Times New Roman"/>
          <w:color w:val="000000" w:themeColor="text1"/>
          <w:sz w:val="28"/>
          <w:szCs w:val="28"/>
        </w:rPr>
        <w:t>non è fondata - con riferimento agli artt. 3, 11, 41, 77 e 117 comma 1 Cost., in relazione all’art. 1 del Protocollo addizionale n. 1 alla Convenzione per la salvaguardia dei diritti dell’uomo e delle libertà fondamentali e a</w:t>
      </w:r>
      <w:r>
        <w:rPr>
          <w:rFonts w:ascii="Garamond" w:hAnsi="Garamond" w:cs="Times New Roman"/>
          <w:color w:val="000000" w:themeColor="text1"/>
          <w:sz w:val="28"/>
          <w:szCs w:val="28"/>
        </w:rPr>
        <w:t>ll’art. 6, paragrafo 3, del TU</w:t>
      </w:r>
      <w:r w:rsidRPr="00511F26">
        <w:rPr>
          <w:rFonts w:ascii="Garamond" w:hAnsi="Garamond" w:cs="Times New Roman"/>
          <w:color w:val="000000" w:themeColor="text1"/>
          <w:sz w:val="28"/>
          <w:szCs w:val="28"/>
        </w:rPr>
        <w:t>E.</w:t>
      </w:r>
      <w:r>
        <w:rPr>
          <w:rFonts w:ascii="Garamond" w:hAnsi="Garamond" w:cs="Times New Roman"/>
          <w:color w:val="000000" w:themeColor="text1"/>
          <w:sz w:val="28"/>
          <w:szCs w:val="28"/>
        </w:rPr>
        <w:t xml:space="preserve"> </w:t>
      </w:r>
      <w:r w:rsidRPr="00511F26">
        <w:rPr>
          <w:rFonts w:ascii="Garamond" w:hAnsi="Garamond" w:cs="Times New Roman"/>
          <w:color w:val="000000" w:themeColor="text1"/>
          <w:sz w:val="28"/>
          <w:szCs w:val="28"/>
        </w:rPr>
        <w:t>- la questione di legittimità costituzionale dell’art. 26 commi 2 e 3 d.l. 24 giugno 2014 n. 91 convertito, con modificazioni, dalla l. 11 agosto 2014 n. 116, in materia di nuove tariffe incentivanti per gli impianti di produzione di energia elettrica da fonti rinnovabili,  nella parte in cui prevede che, a decorrere dal 2015, le tariffe relative all’energia prodotta dagli impianti da fonti rinnovabili siano rimodulate sulla base di tre prefissate opzioni, tutte peggiorative dei regimi anteriori regolati dalle convenzioni con il G.s.e., tra le quali l’operatore sarebbe stato, comunque, obbligato a scegliere, applicandosi, altrimenti, in via automatica, il terzo schema di rimodulazione</w:t>
      </w:r>
      <w:r>
        <w:rPr>
          <w:rFonts w:ascii="Garamond" w:hAnsi="Garamond" w:cs="Times New Roman"/>
          <w:color w:val="000000" w:themeColor="text1"/>
          <w:sz w:val="28"/>
          <w:szCs w:val="28"/>
        </w:rPr>
        <w:t xml:space="preserve"> [Corte c</w:t>
      </w:r>
      <w:r w:rsidRPr="00511F26">
        <w:rPr>
          <w:rFonts w:ascii="Garamond" w:hAnsi="Garamond" w:cs="Times New Roman"/>
          <w:color w:val="000000" w:themeColor="text1"/>
          <w:sz w:val="28"/>
          <w:szCs w:val="28"/>
        </w:rPr>
        <w:t xml:space="preserve">ost. n. 16 del 2017; in particolare con tale </w:t>
      </w:r>
      <w:r w:rsidRPr="00511F26">
        <w:rPr>
          <w:rFonts w:ascii="Garamond" w:hAnsi="Garamond" w:cs="Times New Roman"/>
          <w:color w:val="000000" w:themeColor="text1"/>
          <w:sz w:val="28"/>
          <w:szCs w:val="28"/>
        </w:rPr>
        <w:lastRenderedPageBreak/>
        <w:t>sentenza la Corte in relazione al paventato vulnus al legittimo affidamento degli operatori, dopo aver richiamato la rilevanza che a tale principio riconosce anche la propria giurisprudenza (cfr. Corte cost., n. 173 del 2016) giunge ad escludere che la rimodulazione degli incentivi presenti gli asseriti caratteri di “imprevedibilità”, risultando la stessa anzi, in qualche modo, preannunciata e finalizzata proprio ad assicurare la “stabilità” presa in considerazione dalle leggi istitutive degli incentivi al fotovoltaico, come caratteristica dell’intero sistema e non del singolo incentivo; oltre a costituire (nel quadro di un mercato “regolato” di settore, come quello di cui si discute) un elemento fisiologicamente riconducibile al rischio normativo di impresa. Richiamando la giurisprudenza europea, la Consulta reputa che l’abolizione anticipata di un regime di favore rientri nel potere discrezionale delle Autorità nazionali, incontrando ostacolo solo nell’affidamento che nel mantenimento dello stesso potrebbe porre l’«operatore economico prudente e accorto»; nel caso di specie, invece, l’intervento del legislatore non è stato imprevedibile né improvviso, per cui l’«operatore economico prudente e accorto» avrebbe potuto tener conto della possibile evoluzione normativa, considerate le caratteristiche di temporaneità e mutevolezza dei regimi di sostegno; con  successiva ordinanza Corte cost. n. 138 del 2017 la Corte  ha del pari ritenuto costituzionalmente legittima l’indicata normativa rinviando per  un verso alla precedente sentenza e per altro verso escludendo il  paventato contrasto della nuova disciplina con l’art. 25,  comma 2, Cost</w:t>
      </w:r>
      <w:r>
        <w:rPr>
          <w:rFonts w:ascii="Garamond" w:hAnsi="Garamond" w:cs="Times New Roman"/>
          <w:color w:val="000000" w:themeColor="text1"/>
          <w:sz w:val="28"/>
          <w:szCs w:val="28"/>
        </w:rPr>
        <w:t>.</w:t>
      </w:r>
      <w:r w:rsidRPr="00511F26">
        <w:rPr>
          <w:rFonts w:ascii="Garamond" w:hAnsi="Garamond" w:cs="Times New Roman"/>
          <w:color w:val="000000" w:themeColor="text1"/>
          <w:sz w:val="28"/>
          <w:szCs w:val="28"/>
        </w:rPr>
        <w:t>, negando  la natura sanzionatoria della rimodulazione dell’incentivo recata dalla disposizione denunciata ed evidenziando,  in relazione al parametro di cui all’art. 97 Cost., la oggettiva carenza, nella ordinanza di rimessione, di una adeguata motivazione sulla effettività della violazione del richiamato parametro];</w:t>
      </w:r>
    </w:p>
    <w:p w:rsidR="007B4920"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sidRPr="00511F26">
        <w:rPr>
          <w:rFonts w:ascii="Garamond" w:hAnsi="Garamond" w:cs="Times New Roman"/>
          <w:color w:val="000000" w:themeColor="text1"/>
          <w:sz w:val="28"/>
          <w:szCs w:val="28"/>
        </w:rPr>
        <w:t xml:space="preserve">non può configurarsi a carico del G.s.e. alcun obbligo di attivazione del soccorso istruttorio ai fini dell’accesso agli incentivi da parte delle imprese; il principio del soccorso istruttorio non è infatti incondizionato,  essendo temperato da altri principi, in particolare in relazione alle procedure comparative e di massa o che pongono oneri specifici a chi vuol ottenere le scarse e non facilmente riproducibili risorse finanziarie pubbliche d’incentivo alle fonti d’energia rinnovabili; in questi casi, si configurano in capo al singolo obblighi di correttezza, specificati con il richiamo alla clausola generale della buona fede, della solidarietà e dell'autoresponsabilità, che rinvengono il loro fondamento sostanziale negli artt. 2 e 97 Cost. e che impongono che questi sia chiamato ad assolvere oneri di cooperazione, quale appunto è il dovere di fornire informazioni non reticenti e complete, di compilare moduli, di presentare la prescritta documentazione, ecc.; conseguentemente, ove sia chiesto un adempimento (rimasto inevaso) entro un dato termine, decorso il quale non è più possibile ottenere, in via definitiva o nel determinato procedimento, un bene della vita governato dal pubblico potere, tale mancanza non può formare oggetto di domanda d'integrazione o di richiesta di acquisizione a carico della P.A. in base al cd. "obbligo di soccorso" ex art. art. 6 della l. 241/1990; infatti, la produzione postuma di un documento o, parimenti, di un documento richiesto in una determinata forma, non può avere l'effetto di sanare retroattivamente la causa di esclusione o il mancato impedimento della decadenza. </w:t>
      </w:r>
      <w:r w:rsidRPr="00511F26">
        <w:rPr>
          <w:rFonts w:ascii="Garamond" w:hAnsi="Garamond" w:cs="Times New Roman"/>
          <w:color w:val="000000" w:themeColor="text1"/>
          <w:sz w:val="28"/>
          <w:szCs w:val="28"/>
        </w:rPr>
        <w:lastRenderedPageBreak/>
        <w:t xml:space="preserve">(Cons. Stato, </w:t>
      </w:r>
      <w:r>
        <w:rPr>
          <w:rFonts w:ascii="Garamond" w:hAnsi="Garamond" w:cs="Times New Roman"/>
          <w:color w:val="000000" w:themeColor="text1"/>
          <w:sz w:val="28"/>
          <w:szCs w:val="28"/>
        </w:rPr>
        <w:t xml:space="preserve">sez. IV, </w:t>
      </w:r>
      <w:r w:rsidRPr="00511F26">
        <w:rPr>
          <w:rFonts w:ascii="Garamond" w:hAnsi="Garamond" w:cs="Times New Roman"/>
          <w:color w:val="000000" w:themeColor="text1"/>
          <w:sz w:val="28"/>
          <w:szCs w:val="28"/>
        </w:rPr>
        <w:t>n. 50 del 2017, con richiamo a</w:t>
      </w:r>
      <w:r>
        <w:rPr>
          <w:rFonts w:ascii="Garamond" w:hAnsi="Garamond" w:cs="Times New Roman"/>
          <w:color w:val="000000" w:themeColor="text1"/>
          <w:sz w:val="28"/>
          <w:szCs w:val="28"/>
        </w:rPr>
        <w:t xml:space="preserve">lla plenaria </w:t>
      </w:r>
      <w:r w:rsidRPr="00511F26">
        <w:rPr>
          <w:rFonts w:ascii="Garamond" w:hAnsi="Garamond" w:cs="Times New Roman"/>
          <w:color w:val="000000" w:themeColor="text1"/>
          <w:sz w:val="28"/>
          <w:szCs w:val="28"/>
        </w:rPr>
        <w:t xml:space="preserve">n. 9 del 2014 e </w:t>
      </w:r>
      <w:r>
        <w:rPr>
          <w:rFonts w:ascii="Garamond" w:hAnsi="Garamond" w:cs="Times New Roman"/>
          <w:color w:val="000000" w:themeColor="text1"/>
          <w:sz w:val="28"/>
          <w:szCs w:val="28"/>
        </w:rPr>
        <w:t xml:space="preserve">a </w:t>
      </w:r>
      <w:r w:rsidRPr="00511F26">
        <w:rPr>
          <w:rFonts w:ascii="Garamond" w:hAnsi="Garamond" w:cs="Times New Roman"/>
          <w:color w:val="000000" w:themeColor="text1"/>
          <w:sz w:val="28"/>
          <w:szCs w:val="28"/>
        </w:rPr>
        <w:t>sez. III, n</w:t>
      </w:r>
      <w:r>
        <w:rPr>
          <w:rFonts w:ascii="Garamond" w:hAnsi="Garamond" w:cs="Times New Roman"/>
          <w:color w:val="000000" w:themeColor="text1"/>
          <w:sz w:val="28"/>
          <w:szCs w:val="28"/>
        </w:rPr>
        <w:t>n</w:t>
      </w:r>
      <w:r w:rsidRPr="00511F26">
        <w:rPr>
          <w:rFonts w:ascii="Garamond" w:hAnsi="Garamond" w:cs="Times New Roman"/>
          <w:color w:val="000000" w:themeColor="text1"/>
          <w:sz w:val="28"/>
          <w:szCs w:val="28"/>
        </w:rPr>
        <w:t>. 4081 e 796 del 2016);</w:t>
      </w:r>
    </w:p>
    <w:p w:rsidR="007B4920"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n</w:t>
      </w:r>
      <w:r w:rsidRPr="00511F26">
        <w:rPr>
          <w:rFonts w:ascii="Garamond" w:hAnsi="Garamond" w:cs="Times New Roman"/>
          <w:color w:val="000000" w:themeColor="text1"/>
          <w:sz w:val="28"/>
          <w:szCs w:val="28"/>
        </w:rPr>
        <w:t>elle procedure volte al riconoscimento delle tariffe incentivanti, assume particolare rilievo il principio di autoresponsabilità nella produzione di dichiarazioni e di documenti, al di là dell'elemento soggettivo sottostante (e quindi dell'eventuale buona fede del dichiarante), insieme a quello della non configurabilità del c.d. falso innocuo, con conseguente emersione, per ciò solo, di un'ipotesi di violazione rilevante, ostativa all'erogazione degli incentivi (Cons. Stato sez. IV n. 594 del 2021; n. 8442 del 2019; n. 3014 del 2016);</w:t>
      </w:r>
    </w:p>
    <w:p w:rsidR="007B4920"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Pr="00511F26">
        <w:rPr>
          <w:rFonts w:ascii="Garamond" w:hAnsi="Garamond" w:cs="Times New Roman"/>
          <w:color w:val="000000" w:themeColor="text1"/>
          <w:sz w:val="28"/>
          <w:szCs w:val="28"/>
        </w:rPr>
        <w:t>n applicazione del principio di autoresponsabilità costituisce onere dell’interessato ad ottenere il beneficio il fornire la prova di tutti i presupposti per l’ammissione all’incentivo, ricadendo sullo stesso eventuali carenze che incidano sul perfezionamento della fattispecie agevolativa (Cons. Stato, sez. IV, n. 8808 del 2019; n. 6583 del 2019);</w:t>
      </w:r>
    </w:p>
    <w:p w:rsidR="007B4920"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Pr="008C2D06">
        <w:rPr>
          <w:rFonts w:ascii="Garamond" w:hAnsi="Garamond" w:cs="Times New Roman"/>
          <w:color w:val="000000" w:themeColor="text1"/>
          <w:sz w:val="28"/>
          <w:szCs w:val="28"/>
        </w:rPr>
        <w:t>n presenza di una “violazione rilevante” - attribuibile in ragione del principio di autoresponsabilità all’impresa richiedente, in quanto consistente nella omissione di un’informazione necessaria ad accertare la provenienza europea dei componenti utilizzati e, quindi, necessaria ad accertare la spettanza della maggiorazione prevista dall’art. 14, comma 1, lettera d), del d.m. 5 maggio 2011 -  è legittima la decisione del G.s.e. di disporre la decadenza, ed il conseguente recupero, con riferimento alla maggiorazione dell’incentivo (Cons. Stato, sez. IV, n. 2682 del 2020);</w:t>
      </w:r>
    </w:p>
    <w:p w:rsidR="007B4920"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n</w:t>
      </w:r>
      <w:r w:rsidRPr="008C2D06">
        <w:rPr>
          <w:rFonts w:ascii="Garamond" w:hAnsi="Garamond" w:cs="Times New Roman"/>
          <w:color w:val="000000" w:themeColor="text1"/>
          <w:sz w:val="28"/>
          <w:szCs w:val="28"/>
        </w:rPr>
        <w:t>on è configurabile alcun affidamento in capo al privato che abbia formulato dichiarazioni incomplete o non rispondenti all’effettivo stato dell’impianto e delle sue componenti, pur in assenza di ogni valenza penalistica di tale condotta. D’altra parte, il legislatore è già intervenuto al fine di limitare i pregiudizi subiti da titolari che abbiano installato impianti rivelatisi privi delle necessarie caratteristiche tecniche, consentendo agli stessi di ottenere, a certe condizioni, in alternativa alla decadenza, una tariffa decurtata (art. 42, comma 4-</w:t>
      </w:r>
      <w:r w:rsidRPr="008C2D06">
        <w:rPr>
          <w:rFonts w:ascii="Garamond" w:hAnsi="Garamond" w:cs="Times New Roman"/>
          <w:i/>
          <w:color w:val="000000" w:themeColor="text1"/>
          <w:sz w:val="28"/>
          <w:szCs w:val="28"/>
        </w:rPr>
        <w:t>bis</w:t>
      </w:r>
      <w:r w:rsidRPr="008C2D06">
        <w:rPr>
          <w:rFonts w:ascii="Garamond" w:hAnsi="Garamond" w:cs="Times New Roman"/>
          <w:color w:val="000000" w:themeColor="text1"/>
          <w:sz w:val="28"/>
          <w:szCs w:val="28"/>
        </w:rPr>
        <w:t>, d.lgs. n. 28 del 2011) (Cons. Stato, sez. IV, n. 2682 del 2020 cit.);</w:t>
      </w:r>
    </w:p>
    <w:p w:rsidR="007B4920"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8C2D06">
        <w:rPr>
          <w:rFonts w:ascii="Garamond" w:hAnsi="Garamond" w:cs="Times New Roman"/>
          <w:color w:val="000000" w:themeColor="text1"/>
          <w:sz w:val="28"/>
          <w:szCs w:val="28"/>
        </w:rPr>
        <w:t>’assenza dei presupposti per accedere al beneficio, legittima pienamente il provvedimento di decadenza secondo le regole di validità che hanno riguardo ai presupposti della normativa pubblicistica che presidia al meccanismo incentivante, indipendentemente dal profilo della “correttezza” dell’operato dell’amministrazione, inerente al comportamento secondo regole di buona fede oggettiva,  che può semmai rilevare, qualora ne ricorrano i presupposti, sotto il profilo della violazione delle regole di responsabilità che, tuttavia, non rende illegittimo l’atto (Cons. Stato, sez. II, n. 2536 del 2022)</w:t>
      </w:r>
      <w:r>
        <w:rPr>
          <w:rFonts w:ascii="Garamond" w:hAnsi="Garamond" w:cs="Times New Roman"/>
          <w:color w:val="000000" w:themeColor="text1"/>
          <w:sz w:val="28"/>
          <w:szCs w:val="28"/>
        </w:rPr>
        <w:t xml:space="preserve">; </w:t>
      </w:r>
    </w:p>
    <w:p w:rsidR="007B4920"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8C2D06">
        <w:rPr>
          <w:rFonts w:ascii="Garamond" w:hAnsi="Garamond" w:cs="Times New Roman"/>
          <w:color w:val="000000" w:themeColor="text1"/>
          <w:sz w:val="28"/>
          <w:szCs w:val="28"/>
        </w:rPr>
        <w:t xml:space="preserve">a tutela dell’affidamento - che peraltro solo occasionalmente può dare luogo all’invalidità degli atti in caso di sua violazione, stante il principio di differenza tra regole di validità e regole di responsabilità affermato soprattutto in tema di responsabilità precontrattuale - presuppone la legittimità dell’aspettativa del privato alla “stabilità” degli atti dell’amministrazione e a tale riguardo è necessario che l’affidamento da parte del privato sia incolpevole.  Nel caso di esercizio del potere di decadenza dagli incentivi per assenza dei presupposti l’ipotetica possibilità di riconoscere valenza all’aspettativa del privato presuppone che la causa di </w:t>
      </w:r>
      <w:r w:rsidRPr="008C2D06">
        <w:rPr>
          <w:rFonts w:ascii="Garamond" w:hAnsi="Garamond" w:cs="Times New Roman"/>
          <w:color w:val="000000" w:themeColor="text1"/>
          <w:sz w:val="28"/>
          <w:szCs w:val="28"/>
        </w:rPr>
        <w:lastRenderedPageBreak/>
        <w:t>illegittimità che ha portato all’esercizio del suddetto potere non sia nota o, comunque, conoscibile sulla base dell’ordinaria diligenza dal privato che confida nella stabilità degli atti posti in essere dall’amministrazione [Cons. Stato n. 11757 del 2022 (con richiamo a Cons. Stato</w:t>
      </w:r>
      <w:r>
        <w:rPr>
          <w:rFonts w:ascii="Garamond" w:hAnsi="Garamond" w:cs="Times New Roman"/>
          <w:color w:val="000000" w:themeColor="text1"/>
          <w:sz w:val="28"/>
          <w:szCs w:val="28"/>
        </w:rPr>
        <w:t>, Ad. p</w:t>
      </w:r>
      <w:r w:rsidRPr="008C2D06">
        <w:rPr>
          <w:rFonts w:ascii="Garamond" w:hAnsi="Garamond" w:cs="Times New Roman"/>
          <w:color w:val="000000" w:themeColor="text1"/>
          <w:sz w:val="28"/>
          <w:szCs w:val="28"/>
        </w:rPr>
        <w:t xml:space="preserve">len., n. 21 del 2021)]; </w:t>
      </w:r>
    </w:p>
    <w:p w:rsidR="007B4920"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sidRPr="00E95E6B">
        <w:rPr>
          <w:rFonts w:ascii="Garamond" w:hAnsi="Garamond" w:cs="Times New Roman"/>
          <w:color w:val="000000" w:themeColor="text1"/>
          <w:sz w:val="28"/>
          <w:szCs w:val="28"/>
        </w:rPr>
        <w:t xml:space="preserve">non possono considerarsi lesive del principio del legittimo affidamento sulla stabilità degli incentivi tutelato dal diritto europeo le disposizioni contenute nel c.d. “Quarto Conto </w:t>
      </w:r>
      <w:r>
        <w:rPr>
          <w:rFonts w:ascii="Garamond" w:hAnsi="Garamond" w:cs="Times New Roman"/>
          <w:color w:val="000000" w:themeColor="text1"/>
          <w:sz w:val="28"/>
          <w:szCs w:val="28"/>
        </w:rPr>
        <w:t>e</w:t>
      </w:r>
      <w:r w:rsidRPr="00E95E6B">
        <w:rPr>
          <w:rFonts w:ascii="Garamond" w:hAnsi="Garamond" w:cs="Times New Roman"/>
          <w:color w:val="000000" w:themeColor="text1"/>
          <w:sz w:val="28"/>
          <w:szCs w:val="28"/>
        </w:rPr>
        <w:t>nergia”, atteso che la direttiva 28/2009/Ce, nel prescrivere ai regolatori dei singoli Paesi di creare certezza per gli investitori, ha ancorato la predetta prescrizione agli obiettivi nazionali obbligatori e non alla modulazione delle misure di sostegno e che gli operatori economici non possono fare legittimamente affidamento sulla conservazione di una situazione esistente che può essere modificata nell'ambito del potere discrezionale delle autorità nazionali (Cons. Sta</w:t>
      </w:r>
      <w:r>
        <w:rPr>
          <w:rFonts w:ascii="Garamond" w:hAnsi="Garamond" w:cs="Times New Roman"/>
          <w:color w:val="000000" w:themeColor="text1"/>
          <w:sz w:val="28"/>
          <w:szCs w:val="28"/>
        </w:rPr>
        <w:t>to, s</w:t>
      </w:r>
      <w:r w:rsidRPr="00E95E6B">
        <w:rPr>
          <w:rFonts w:ascii="Garamond" w:hAnsi="Garamond" w:cs="Times New Roman"/>
          <w:color w:val="000000" w:themeColor="text1"/>
          <w:sz w:val="28"/>
          <w:szCs w:val="28"/>
        </w:rPr>
        <w:t>ez. VI, n. 1768 del 2016; in senso analogo sez. IV, n. 223 del 2020 che con riferimento al regime del cd. “Quarto Conto energia” ha chiarito che la possibilità di fruire delle tariffe incentivanti previste dallo stesso “non era offerta a tutti gli operatori di impianti solari fotovoltaici e non era neppure garantita per un periodo specifico, ma dipendeva: da un lato, dall' iscrizione in posizione utile di un impianto solare fotovoltaico in un registro aperto dal G.s.e.; dall'altro, dal mancato superamento del limite dei costi di incentivazione indicati nel corso del periodo precedente”; con la conseguenza che, essendo le norme di diritto in questione “chiare e precise”, la loro applicazione era prevedibile per i soggetti dell'ordinamento e il G.s.e. ne ha fatto legittima applicazione garantendo l'adeguata pubblicità;  vi erano pertanto  le condizioni affinché un operatore economico prudente ed avveduto fosse in grado di prevedere l'adozione di un provvedimento idoneo a ledere i suoi interessi);</w:t>
      </w:r>
    </w:p>
    <w:p w:rsidR="007B4920" w:rsidRPr="000505C2" w:rsidRDefault="007B4920" w:rsidP="007B4920">
      <w:pPr>
        <w:pStyle w:val="Paragrafoelenco"/>
        <w:numPr>
          <w:ilvl w:val="0"/>
          <w:numId w:val="31"/>
        </w:numPr>
        <w:spacing w:line="240" w:lineRule="auto"/>
        <w:jc w:val="both"/>
        <w:rPr>
          <w:rFonts w:ascii="Garamond" w:hAnsi="Garamond" w:cs="Times New Roman"/>
          <w:color w:val="000000" w:themeColor="text1"/>
          <w:sz w:val="28"/>
          <w:szCs w:val="28"/>
        </w:rPr>
      </w:pPr>
      <w:r w:rsidRPr="000505C2">
        <w:rPr>
          <w:rFonts w:ascii="Garamond" w:hAnsi="Garamond" w:cs="Times New Roman"/>
          <w:color w:val="000000" w:themeColor="text1"/>
          <w:sz w:val="28"/>
          <w:szCs w:val="28"/>
        </w:rPr>
        <w:t>va rimesso alla Corte di giustizia UE il seguente quesito interpretativo: “</w:t>
      </w:r>
      <w:r w:rsidRPr="000505C2">
        <w:rPr>
          <w:rFonts w:ascii="Garamond" w:hAnsi="Garamond" w:cs="Times New Roman"/>
          <w:i/>
          <w:color w:val="000000" w:themeColor="text1"/>
          <w:sz w:val="28"/>
          <w:szCs w:val="28"/>
        </w:rPr>
        <w:t>Se la direttiva 2009/28/CE del Parlamento europeo e del Consiglio, del 23 aprile 2009, sulla promozione dell’uso dell’energia da fonti rinnovabili, recante modifica e successiva abrogazione delle direttive 2001/77/CE e 2003/30/CE, ed in particolare i “considerando” n.8, n.14, n.25 e gli articoli 1 e 3, nonché l’articolo 16 della Carta dei diritti fondamentali dell’Unione europea, letti alla luce dei principi della certezza del diritto e della tutela del legittimo affidamento, debbano essere interpretati nel senso che essi ostino a una normativa nazionale, quale quella discendente dalle disposizioni del d.lgs. 3 marzo 2011, n. 28 e del d.m. 6 luglio 2012 - come interpretata dalla costante giurisprudenza di questo Consiglio di Stato -, che subordina l’assegnazione degli incentivi alla sottoscrizione di contratti di diritto privato fra il G.s.e. e il soggetto responsabile dell'impianto anche nel caso di impianti di produzione di energia elettrica alimentati da fonti rinnovabili entrati in esercizio prima del 31 dicembre 2012</w:t>
      </w:r>
      <w:r w:rsidRPr="000505C2">
        <w:rPr>
          <w:rFonts w:ascii="Garamond" w:hAnsi="Garamond" w:cs="Times New Roman"/>
          <w:color w:val="000000" w:themeColor="text1"/>
          <w:sz w:val="28"/>
          <w:szCs w:val="28"/>
        </w:rPr>
        <w:t>2 [Cons. Stato, sez. II, n. 2009 del 2023</w:t>
      </w:r>
      <w:r>
        <w:rPr>
          <w:rFonts w:ascii="Garamond" w:hAnsi="Garamond" w:cs="Times New Roman"/>
          <w:color w:val="000000" w:themeColor="text1"/>
          <w:sz w:val="28"/>
          <w:szCs w:val="28"/>
        </w:rPr>
        <w:t xml:space="preserve">; </w:t>
      </w:r>
      <w:r w:rsidRPr="000505C2">
        <w:rPr>
          <w:rFonts w:ascii="Garamond" w:hAnsi="Garamond" w:cs="Times New Roman"/>
          <w:color w:val="000000" w:themeColor="text1"/>
          <w:sz w:val="28"/>
          <w:szCs w:val="28"/>
        </w:rPr>
        <w:t xml:space="preserve">con l’indicata ordinanza il Consiglio di Stato ha sottoposto alla Corte di giustizia UE un quesito interpretativo diretto a verificare la compatibilità, con le previsioni del diritto europeo di settore e con i principi della certezza del diritto e della tutela del legittimo affidamento, nonché dell’art. </w:t>
      </w:r>
      <w:r w:rsidRPr="00F10BD3">
        <w:t xml:space="preserve"> </w:t>
      </w:r>
      <w:r w:rsidRPr="000505C2">
        <w:rPr>
          <w:rFonts w:ascii="Garamond" w:hAnsi="Garamond" w:cs="Times New Roman"/>
          <w:color w:val="000000" w:themeColor="text1"/>
          <w:sz w:val="28"/>
          <w:szCs w:val="28"/>
        </w:rPr>
        <w:t xml:space="preserve">16 della Carta dei diritti fondamentali dell’Unione europea,  della normativa nazionale in materia di promozione dell’uso dell’energia da fonti rinnovabili, nell’interpretazione data dalla costante giurisprudenza del Consiglio di Stato, che subordina l’assegnazione degli incentivi alla sottoscrizione di contratti di diritto </w:t>
      </w:r>
      <w:r w:rsidRPr="000505C2">
        <w:rPr>
          <w:rFonts w:ascii="Garamond" w:hAnsi="Garamond" w:cs="Times New Roman"/>
          <w:color w:val="000000" w:themeColor="text1"/>
          <w:sz w:val="28"/>
          <w:szCs w:val="28"/>
        </w:rPr>
        <w:lastRenderedPageBreak/>
        <w:t xml:space="preserve">privato fra il G.s.e. e il soggetto responsabile dell'impianto anche nel caso di impianti di produzione di energia elettrica alimentati da fonti rinnovabili entrati in esercizio prima del 31 dicembre 2012; la questione concerne la possibilità di utilizzare la convenzione-tipo prevista per i nuovi impianti anche per la regolamentazione del rapporto tra G.s.e. e singolo aspirante alla commutazione dei certificati verdi nella tariffa onnicomprensiva,  sulla base del rilievo che soggetti che erano già titolari di uno strumento incentivante in corso di validità si vedono imporre uno strumento convenzionale non frutto di libera negoziazione che vede singole clausole aggiuntive - rispetto alla mera formula matematica - tali da inibire e impedire comportamenti che, al contrario, erano perfettamente consentiti nella vigenza del sistema di incentivazione cui avevano avuto originariamente accesso, modificando </w:t>
      </w:r>
      <w:r w:rsidRPr="000505C2">
        <w:rPr>
          <w:rFonts w:ascii="Garamond" w:hAnsi="Garamond" w:cs="Times New Roman"/>
          <w:i/>
          <w:color w:val="000000" w:themeColor="text1"/>
          <w:sz w:val="28"/>
          <w:szCs w:val="28"/>
        </w:rPr>
        <w:t>in pejus</w:t>
      </w:r>
      <w:r w:rsidRPr="000505C2">
        <w:rPr>
          <w:rFonts w:ascii="Garamond" w:hAnsi="Garamond" w:cs="Times New Roman"/>
          <w:color w:val="000000" w:themeColor="text1"/>
          <w:sz w:val="28"/>
          <w:szCs w:val="28"/>
        </w:rPr>
        <w:t xml:space="preserve"> un diritto ormai consolidato; pertanto ad avviso del Consiglio di Stato sarebbe dubbia la ricorrenza dei presupposti ritraibili dalla giurisprudenza eurounionale per ritenere che un operatore economico prudente e avveduto avrebbe dovuto essere perfettamente in grado di prevedere, appunto, la possibile evoluzione del settore, con la conseguente, potenziale adozione di provvedimenti idonei a ledere i propri interessi, non ravvisandosi una precedente regolamentazione che contenesse un’indicazione sufficientemente chiara per gli operatori economici, nel senso che gli incentivi in questione potevano essere modificati o soppressi; il Consiglio di Stato dubita altresì della violazione della libertà d’impresa, sancita dall’art. 16 della Carta dei diritti fondamentali, sotto il profilo della libertà di esercitare un’attività economica in un quadro di libertà contrattuale, potendosi ritenere che le disposizioni legislative nazionali richiamate determinino una ingerenza nella libertà contrattuale dei gestori degli impianti, beneficiari degli incentivi, essendo il legislatore intervenuto direttamente sul regime degli incentivi, imponendo effetti novativi sulle condizioni sulla base delle quali gli operatori economici avevano impostato e programmato la propria attività economica, per un periodo che sarebbe dovuto restare stabile per un congruo arco di tempo].</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Default="007B4920" w:rsidP="007B4920">
      <w:pPr>
        <w:spacing w:line="240" w:lineRule="auto"/>
        <w:contextualSpacing/>
        <w:jc w:val="both"/>
        <w:rPr>
          <w:rFonts w:ascii="Garamond" w:hAnsi="Garamond" w:cs="Times New Roman"/>
          <w:b/>
          <w:color w:val="000000" w:themeColor="text1"/>
          <w:sz w:val="28"/>
          <w:szCs w:val="28"/>
        </w:rPr>
      </w:pPr>
      <w:r w:rsidRPr="00CB7290">
        <w:rPr>
          <w:rFonts w:ascii="Garamond" w:hAnsi="Garamond" w:cs="Times New Roman"/>
          <w:b/>
          <w:color w:val="000000" w:themeColor="text1"/>
          <w:sz w:val="28"/>
          <w:szCs w:val="28"/>
        </w:rPr>
        <w:t>11.5.</w:t>
      </w:r>
      <w:r>
        <w:rPr>
          <w:rFonts w:ascii="Garamond" w:hAnsi="Garamond" w:cs="Times New Roman"/>
          <w:b/>
          <w:color w:val="000000" w:themeColor="text1"/>
          <w:sz w:val="28"/>
          <w:szCs w:val="28"/>
        </w:rPr>
        <w:t xml:space="preserve"> Applicabilità </w:t>
      </w:r>
      <w:r w:rsidRPr="003322E4">
        <w:rPr>
          <w:rFonts w:ascii="Garamond" w:hAnsi="Garamond" w:cs="Times New Roman"/>
          <w:b/>
          <w:i/>
          <w:color w:val="000000" w:themeColor="text1"/>
          <w:sz w:val="28"/>
          <w:szCs w:val="28"/>
        </w:rPr>
        <w:t>ratione temporis</w:t>
      </w:r>
      <w:r>
        <w:rPr>
          <w:rFonts w:ascii="Garamond" w:hAnsi="Garamond" w:cs="Times New Roman"/>
          <w:b/>
          <w:color w:val="000000" w:themeColor="text1"/>
          <w:sz w:val="28"/>
          <w:szCs w:val="28"/>
        </w:rPr>
        <w:t xml:space="preserve"> del nuovo testo dell’art. 42, comma 3, d.lgs. n. 28 del 2011, </w:t>
      </w:r>
      <w:r w:rsidRPr="00302632">
        <w:rPr>
          <w:rFonts w:ascii="Garamond" w:hAnsi="Garamond" w:cs="Times New Roman"/>
          <w:b/>
          <w:color w:val="000000" w:themeColor="text1"/>
          <w:sz w:val="28"/>
          <w:szCs w:val="28"/>
        </w:rPr>
        <w:t xml:space="preserve">come modificato </w:t>
      </w:r>
      <w:r>
        <w:rPr>
          <w:rFonts w:ascii="Garamond" w:hAnsi="Garamond" w:cs="Times New Roman"/>
          <w:b/>
          <w:color w:val="000000" w:themeColor="text1"/>
          <w:sz w:val="28"/>
          <w:szCs w:val="28"/>
        </w:rPr>
        <w:t>dall’art. 56, comma 7, d.l.</w:t>
      </w:r>
      <w:r w:rsidRPr="00302632">
        <w:rPr>
          <w:rFonts w:ascii="Garamond" w:hAnsi="Garamond" w:cs="Times New Roman"/>
          <w:b/>
          <w:color w:val="000000" w:themeColor="text1"/>
          <w:sz w:val="28"/>
          <w:szCs w:val="28"/>
        </w:rPr>
        <w:t xml:space="preserve"> n. 76</w:t>
      </w:r>
      <w:r>
        <w:rPr>
          <w:rFonts w:ascii="Garamond" w:hAnsi="Garamond" w:cs="Times New Roman"/>
          <w:b/>
          <w:color w:val="000000" w:themeColor="text1"/>
          <w:sz w:val="28"/>
          <w:szCs w:val="28"/>
        </w:rPr>
        <w:t xml:space="preserve"> del 2020 e ricadute processuali.</w:t>
      </w:r>
    </w:p>
    <w:p w:rsidR="007B4920" w:rsidRPr="00DE1F6B" w:rsidRDefault="007B4920" w:rsidP="007B4920">
      <w:pPr>
        <w:spacing w:line="240" w:lineRule="auto"/>
        <w:ind w:firstLine="709"/>
        <w:contextualSpacing/>
        <w:jc w:val="both"/>
        <w:rPr>
          <w:rFonts w:ascii="Garamond" w:hAnsi="Garamond" w:cs="Times New Roman"/>
          <w:color w:val="000000" w:themeColor="text1"/>
          <w:sz w:val="28"/>
          <w:szCs w:val="28"/>
        </w:rPr>
      </w:pPr>
      <w:r w:rsidRPr="00DE1F6B">
        <w:rPr>
          <w:rFonts w:ascii="Garamond" w:hAnsi="Garamond" w:cs="Times New Roman"/>
          <w:color w:val="000000" w:themeColor="text1"/>
          <w:sz w:val="28"/>
          <w:szCs w:val="28"/>
        </w:rPr>
        <w:t>La giurisprudenza del Consiglio di Stato ha chiarito che:</w:t>
      </w:r>
    </w:p>
    <w:p w:rsidR="007B4920" w:rsidRDefault="007B4920" w:rsidP="007B4920">
      <w:pPr>
        <w:pStyle w:val="Paragrafoelenco"/>
        <w:numPr>
          <w:ilvl w:val="0"/>
          <w:numId w:val="32"/>
        </w:numPr>
        <w:spacing w:line="240" w:lineRule="auto"/>
        <w:jc w:val="both"/>
        <w:rPr>
          <w:rFonts w:ascii="Garamond" w:hAnsi="Garamond" w:cs="Times New Roman"/>
          <w:color w:val="000000" w:themeColor="text1"/>
          <w:sz w:val="28"/>
          <w:szCs w:val="28"/>
        </w:rPr>
      </w:pPr>
      <w:r w:rsidRPr="00A41732">
        <w:rPr>
          <w:rFonts w:ascii="Garamond" w:hAnsi="Garamond" w:cs="Times New Roman"/>
          <w:color w:val="000000" w:themeColor="text1"/>
          <w:sz w:val="28"/>
          <w:szCs w:val="28"/>
        </w:rPr>
        <w:t xml:space="preserve">la modifica </w:t>
      </w:r>
      <w:r>
        <w:rPr>
          <w:rFonts w:ascii="Garamond" w:hAnsi="Garamond" w:cs="Times New Roman"/>
          <w:color w:val="000000" w:themeColor="text1"/>
          <w:sz w:val="28"/>
          <w:szCs w:val="28"/>
        </w:rPr>
        <w:t>legislativa</w:t>
      </w:r>
      <w:r w:rsidRPr="00A41732">
        <w:rPr>
          <w:rFonts w:ascii="Garamond" w:hAnsi="Garamond" w:cs="Times New Roman"/>
          <w:color w:val="000000" w:themeColor="text1"/>
          <w:sz w:val="28"/>
          <w:szCs w:val="28"/>
        </w:rPr>
        <w:t xml:space="preserve"> di cui all’art. 56, comma 7, d.l.  n. 76 del 2020, convertito in l. n. 120 del 2020, che ha novellato l’art.  42, comma 3, d.lgs. n. 28 del 2011 è entrata in vigore nel luglio 2020 ed è testualmente applicabile ai provvedimenti emanati prima della sua entrata in vigore, qualora costituiscano oggetto di giudizio pendente, solo allorché l'interessato proponga apposita istanza nei termini di cui al comma 7 dello stesso articolo. La pretesa applicazione retroatt</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 xml:space="preserve"> dello </w:t>
      </w:r>
      <w:r w:rsidRPr="00A41732">
        <w:rPr>
          <w:rFonts w:ascii="Garamond" w:hAnsi="Garamond" w:cs="Times New Roman"/>
          <w:i/>
          <w:color w:val="000000" w:themeColor="text1"/>
          <w:sz w:val="28"/>
          <w:szCs w:val="28"/>
        </w:rPr>
        <w:t>ius superveniens</w:t>
      </w:r>
      <w:r w:rsidRPr="00A41732">
        <w:rPr>
          <w:rFonts w:ascii="Garamond" w:hAnsi="Garamond" w:cs="Times New Roman"/>
          <w:color w:val="000000" w:themeColor="text1"/>
          <w:sz w:val="28"/>
          <w:szCs w:val="28"/>
        </w:rPr>
        <w:t xml:space="preserve"> in via automatica comporterebbe, invece, una violazione del principio dell'irretroattività della legge, enunciato all'articolo 11 delle preleggi al c.c. Di conseguenza, la legittimità dell’atto di decadenza adottato in data anteriore all’entrata in vigore della </w:t>
      </w:r>
      <w:r w:rsidRPr="00A41732">
        <w:rPr>
          <w:rFonts w:ascii="Garamond" w:hAnsi="Garamond" w:cs="Times New Roman"/>
          <w:color w:val="000000" w:themeColor="text1"/>
          <w:sz w:val="28"/>
          <w:szCs w:val="28"/>
        </w:rPr>
        <w:lastRenderedPageBreak/>
        <w:t xml:space="preserve">novella va valutata, in forza del principio </w:t>
      </w:r>
      <w:r w:rsidRPr="00A41732">
        <w:rPr>
          <w:rFonts w:ascii="Garamond" w:hAnsi="Garamond" w:cs="Times New Roman"/>
          <w:i/>
          <w:color w:val="000000" w:themeColor="text1"/>
          <w:sz w:val="28"/>
          <w:szCs w:val="28"/>
        </w:rPr>
        <w:t xml:space="preserve">tempus regit actum, </w:t>
      </w:r>
      <w:r w:rsidRPr="00A41732">
        <w:rPr>
          <w:rFonts w:ascii="Garamond" w:hAnsi="Garamond" w:cs="Times New Roman"/>
          <w:color w:val="000000" w:themeColor="text1"/>
          <w:sz w:val="28"/>
          <w:szCs w:val="28"/>
        </w:rPr>
        <w:t xml:space="preserve">alla luce del quadro normativo vigente alla data della sua adozione (Cons. Stato, </w:t>
      </w:r>
      <w:r>
        <w:rPr>
          <w:rFonts w:ascii="Garamond" w:hAnsi="Garamond" w:cs="Times New Roman"/>
          <w:color w:val="000000" w:themeColor="text1"/>
          <w:sz w:val="28"/>
          <w:szCs w:val="28"/>
        </w:rPr>
        <w:t>s</w:t>
      </w:r>
      <w:r w:rsidRPr="00A41732">
        <w:rPr>
          <w:rFonts w:ascii="Garamond" w:hAnsi="Garamond" w:cs="Times New Roman"/>
          <w:color w:val="000000" w:themeColor="text1"/>
          <w:sz w:val="28"/>
          <w:szCs w:val="28"/>
        </w:rPr>
        <w:t>ez. IV, n. 2583 del 2022);</w:t>
      </w:r>
    </w:p>
    <w:p w:rsidR="007B4920" w:rsidRDefault="007B4920" w:rsidP="007B4920">
      <w:pPr>
        <w:pStyle w:val="Paragrafoelenco"/>
        <w:numPr>
          <w:ilvl w:val="0"/>
          <w:numId w:val="32"/>
        </w:numPr>
        <w:spacing w:line="240" w:lineRule="auto"/>
        <w:jc w:val="both"/>
        <w:rPr>
          <w:rFonts w:ascii="Garamond" w:hAnsi="Garamond" w:cs="Times New Roman"/>
          <w:color w:val="000000" w:themeColor="text1"/>
          <w:sz w:val="28"/>
          <w:szCs w:val="28"/>
        </w:rPr>
      </w:pPr>
      <w:r w:rsidRPr="000A3B16">
        <w:rPr>
          <w:rFonts w:ascii="Garamond" w:hAnsi="Garamond" w:cs="Times New Roman"/>
          <w:color w:val="000000" w:themeColor="text1"/>
          <w:sz w:val="28"/>
          <w:szCs w:val="28"/>
        </w:rPr>
        <w:t>è inammissibile la richiesta di applicazione della previsione di cui all’art.  56, comma 7, d.l.  n. 76 del 2020, di modifica della previsione dell’art. 42,  comma 3,  d.lgs. n. 28 del 2011 che in forza del successivo comma 8 si applica su richiesta dell’interessato, anche ai procedimenti definiti con provvedimenti del G.s.e. di decadenza dagli incentivi, oggetto di procedimenti giurisdizionali pendenti nonché di quelli non definiti con sentenza passata in giudicato, non formulata in primo grado e tra l’altro formulata in appello con memoria non notificata (Cons. Stato, sez. II, n. 2536 del 2022);</w:t>
      </w:r>
    </w:p>
    <w:p w:rsidR="007B4920" w:rsidRPr="000A3B16" w:rsidRDefault="007B4920" w:rsidP="007B4920">
      <w:pPr>
        <w:pStyle w:val="Paragrafoelenco"/>
        <w:numPr>
          <w:ilvl w:val="0"/>
          <w:numId w:val="32"/>
        </w:numPr>
        <w:spacing w:line="240" w:lineRule="auto"/>
        <w:jc w:val="both"/>
        <w:rPr>
          <w:rFonts w:ascii="Garamond" w:hAnsi="Garamond" w:cs="Times New Roman"/>
          <w:color w:val="000000" w:themeColor="text1"/>
          <w:sz w:val="28"/>
          <w:szCs w:val="28"/>
        </w:rPr>
      </w:pPr>
      <w:r w:rsidRPr="000A3B16">
        <w:rPr>
          <w:rFonts w:ascii="Garamond" w:hAnsi="Garamond" w:cs="Times New Roman"/>
          <w:color w:val="000000" w:themeColor="text1"/>
          <w:sz w:val="28"/>
          <w:szCs w:val="28"/>
        </w:rPr>
        <w:t xml:space="preserve">non è improcedibile il ricorso proposto avverso un provvedimento di decadenza qualora in corso di causa il G.s.e. rigetti la richiesta dell’istanza di riesame,  proposta ex art. 56 commi 7 e 8,  d.l. n. 76 del 2020, convertito in l. n. 120 del 2020, non essendo un tale atto di conferma in senso proprio, ovvero sostitutivo delle determinazioni impugnate in quanto il G.s.e. con il provvedimento di rigetto,  anziché rivalutare la situazione sostanziale originaria all’esito di una nuova istruttoria e sulla base di una nuova motivazione,  riferite alla legittimità dell’atto originariamente assunto, nega l’integrazione dei (sopravvenuti) presupposti di applicazione dell’art. 42, comma 3, d.lgs. n. 28 del 2011, come modificato dall’art. 56, commi 7 e 8, d.l. n. 76 del 2020. In tali ipotesi - in cui non si fa questione del riesame di un precedente provvedimento al fine di valutarne l’originaria legittimità, ma di una verifica di nuovi e diversi presupposti idonei a giustificare una differente regolazione del rapporto amministrativo - a prescindere dal </w:t>
      </w:r>
      <w:r w:rsidRPr="000A3B16">
        <w:rPr>
          <w:rFonts w:ascii="Garamond" w:hAnsi="Garamond" w:cs="Times New Roman"/>
          <w:i/>
          <w:color w:val="000000" w:themeColor="text1"/>
          <w:sz w:val="28"/>
          <w:szCs w:val="28"/>
        </w:rPr>
        <w:t>nomen iuris</w:t>
      </w:r>
      <w:r w:rsidRPr="000A3B16">
        <w:rPr>
          <w:rFonts w:ascii="Garamond" w:hAnsi="Garamond" w:cs="Times New Roman"/>
          <w:color w:val="000000" w:themeColor="text1"/>
          <w:sz w:val="28"/>
          <w:szCs w:val="28"/>
        </w:rPr>
        <w:t xml:space="preserve"> in concreto utilizzato (non vincolante l’interprete nella qualificazione degli atti giuridici), si assiste:</w:t>
      </w:r>
    </w:p>
    <w:p w:rsidR="007B4920" w:rsidRDefault="007B4920" w:rsidP="007B4920">
      <w:pPr>
        <w:pStyle w:val="Paragrafoelenco"/>
        <w:spacing w:line="240" w:lineRule="auto"/>
        <w:jc w:val="both"/>
        <w:rPr>
          <w:rFonts w:ascii="Garamond" w:hAnsi="Garamond" w:cs="Times New Roman"/>
          <w:color w:val="000000" w:themeColor="text1"/>
          <w:sz w:val="28"/>
          <w:szCs w:val="28"/>
        </w:rPr>
      </w:pPr>
      <w:r w:rsidRPr="000A3B16">
        <w:rPr>
          <w:rFonts w:ascii="Garamond" w:hAnsi="Garamond" w:cs="Times New Roman"/>
          <w:color w:val="000000" w:themeColor="text1"/>
          <w:sz w:val="28"/>
          <w:szCs w:val="28"/>
        </w:rPr>
        <w:t xml:space="preserve">c1) in caso di accoglimento dell’istanza di parte, al ritiro dell’originario provvedimento con la sostituzione dell’assetto di interessi ivi divisato con una nuova regolazione definita in via amministrativa, in applicazione della disciplina sopravvenuta in costanza di rapporto; ciò determinando, in caso di realizzazione della pretesa sostanziale sottesa all’originaria azione giudiziaria, la cessazione della materia del contendere in relazione al giudizio </w:t>
      </w:r>
      <w:r w:rsidRPr="000A3B16">
        <w:rPr>
          <w:rFonts w:ascii="Garamond" w:hAnsi="Garamond" w:cs="Times New Roman"/>
          <w:i/>
          <w:color w:val="000000" w:themeColor="text1"/>
          <w:sz w:val="28"/>
          <w:szCs w:val="28"/>
        </w:rPr>
        <w:t>inter partes</w:t>
      </w:r>
      <w:r w:rsidRPr="000A3B16">
        <w:rPr>
          <w:rFonts w:ascii="Garamond" w:hAnsi="Garamond" w:cs="Times New Roman"/>
          <w:color w:val="000000" w:themeColor="text1"/>
          <w:sz w:val="28"/>
          <w:szCs w:val="28"/>
        </w:rPr>
        <w:t xml:space="preserve"> pendente;</w:t>
      </w:r>
    </w:p>
    <w:p w:rsidR="007B4920" w:rsidRPr="005527BB" w:rsidRDefault="007B4920" w:rsidP="007B4920">
      <w:pPr>
        <w:pStyle w:val="Paragrafoelenco"/>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c2) </w:t>
      </w:r>
      <w:r w:rsidRPr="005527BB">
        <w:rPr>
          <w:rFonts w:ascii="Garamond" w:hAnsi="Garamond" w:cs="Times New Roman"/>
          <w:color w:val="000000" w:themeColor="text1"/>
          <w:sz w:val="28"/>
          <w:szCs w:val="28"/>
        </w:rPr>
        <w:t xml:space="preserve">in caso di rigetto dell’istanza di parte, alla (sola) negazione dei nuovi e diversi presupposti delineati dallo </w:t>
      </w:r>
      <w:r w:rsidRPr="00C26672">
        <w:rPr>
          <w:rFonts w:ascii="Garamond" w:hAnsi="Garamond" w:cs="Times New Roman"/>
          <w:i/>
          <w:color w:val="000000" w:themeColor="text1"/>
          <w:sz w:val="28"/>
          <w:szCs w:val="28"/>
        </w:rPr>
        <w:t>ius superveniens</w:t>
      </w:r>
      <w:r>
        <w:rPr>
          <w:rFonts w:ascii="Garamond" w:hAnsi="Garamond" w:cs="Times New Roman"/>
          <w:color w:val="000000" w:themeColor="text1"/>
          <w:sz w:val="28"/>
          <w:szCs w:val="28"/>
        </w:rPr>
        <w:t xml:space="preserve"> (Cons. Stato, sez. II, n. 640 del 2023;</w:t>
      </w:r>
      <w:r w:rsidRPr="000F0867">
        <w:rPr>
          <w:rFonts w:ascii="Garamond" w:hAnsi="Garamond" w:cs="Times New Roman"/>
          <w:color w:val="000000" w:themeColor="text1"/>
          <w:sz w:val="28"/>
          <w:szCs w:val="28"/>
        </w:rPr>
        <w:t xml:space="preserve"> n. </w:t>
      </w:r>
      <w:r>
        <w:rPr>
          <w:rFonts w:ascii="Garamond" w:hAnsi="Garamond" w:cs="Times New Roman"/>
          <w:color w:val="000000" w:themeColor="text1"/>
          <w:sz w:val="28"/>
          <w:szCs w:val="28"/>
        </w:rPr>
        <w:t xml:space="preserve">11552 del </w:t>
      </w:r>
      <w:r w:rsidRPr="00841CD6">
        <w:rPr>
          <w:rFonts w:ascii="Garamond" w:hAnsi="Garamond" w:cs="Times New Roman"/>
          <w:color w:val="000000" w:themeColor="text1"/>
          <w:sz w:val="28"/>
          <w:szCs w:val="28"/>
        </w:rPr>
        <w:t>2022</w:t>
      </w:r>
      <w:r>
        <w:rPr>
          <w:rFonts w:ascii="Garamond" w:hAnsi="Garamond" w:cs="Times New Roman"/>
          <w:color w:val="000000" w:themeColor="text1"/>
          <w:sz w:val="28"/>
          <w:szCs w:val="28"/>
        </w:rPr>
        <w:t xml:space="preserve">; n. 11545 del </w:t>
      </w:r>
      <w:r w:rsidRPr="00841CD6">
        <w:rPr>
          <w:rFonts w:ascii="Garamond" w:hAnsi="Garamond" w:cs="Times New Roman"/>
          <w:color w:val="000000" w:themeColor="text1"/>
          <w:sz w:val="28"/>
          <w:szCs w:val="28"/>
        </w:rPr>
        <w:t>2022</w:t>
      </w:r>
      <w:r>
        <w:rPr>
          <w:rFonts w:ascii="Garamond" w:hAnsi="Garamond" w:cs="Times New Roman"/>
          <w:color w:val="000000" w:themeColor="text1"/>
          <w:sz w:val="28"/>
          <w:szCs w:val="28"/>
        </w:rPr>
        <w:t xml:space="preserve">; sez. VI, n. 8719 del </w:t>
      </w:r>
      <w:r w:rsidRPr="00E85FA2">
        <w:rPr>
          <w:rFonts w:ascii="Garamond" w:hAnsi="Garamond" w:cs="Times New Roman"/>
          <w:color w:val="000000" w:themeColor="text1"/>
          <w:sz w:val="28"/>
          <w:szCs w:val="28"/>
        </w:rPr>
        <w:t>2022</w:t>
      </w:r>
      <w:r>
        <w:rPr>
          <w:rFonts w:ascii="Garamond" w:hAnsi="Garamond" w:cs="Times New Roman"/>
          <w:color w:val="000000" w:themeColor="text1"/>
          <w:sz w:val="28"/>
          <w:szCs w:val="28"/>
        </w:rPr>
        <w:t xml:space="preserve">; n. 8718 del </w:t>
      </w:r>
      <w:r w:rsidRPr="00E85FA2">
        <w:rPr>
          <w:rFonts w:ascii="Garamond" w:hAnsi="Garamond" w:cs="Times New Roman"/>
          <w:color w:val="000000" w:themeColor="text1"/>
          <w:sz w:val="28"/>
          <w:szCs w:val="28"/>
        </w:rPr>
        <w:t>2022</w:t>
      </w:r>
      <w:r>
        <w:rPr>
          <w:rFonts w:ascii="Garamond" w:hAnsi="Garamond" w:cs="Times New Roman"/>
          <w:color w:val="000000" w:themeColor="text1"/>
          <w:sz w:val="28"/>
          <w:szCs w:val="28"/>
        </w:rPr>
        <w:t xml:space="preserve">). </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Pr="0086076D" w:rsidRDefault="007B4920" w:rsidP="007B4920">
      <w:pPr>
        <w:spacing w:line="240" w:lineRule="auto"/>
        <w:contextualSpacing/>
        <w:jc w:val="both"/>
        <w:rPr>
          <w:rFonts w:ascii="Garamond" w:hAnsi="Garamond" w:cs="Times New Roman"/>
          <w:b/>
          <w:color w:val="000000" w:themeColor="text1"/>
          <w:sz w:val="28"/>
          <w:szCs w:val="28"/>
        </w:rPr>
      </w:pPr>
      <w:r w:rsidRPr="00CB7290">
        <w:rPr>
          <w:rFonts w:ascii="Garamond" w:hAnsi="Garamond" w:cs="Times New Roman"/>
          <w:b/>
          <w:color w:val="000000" w:themeColor="text1"/>
          <w:sz w:val="28"/>
          <w:szCs w:val="28"/>
        </w:rPr>
        <w:t>11.6.</w:t>
      </w:r>
      <w:r w:rsidRPr="0086076D">
        <w:rPr>
          <w:rFonts w:ascii="Garamond" w:hAnsi="Garamond" w:cs="Times New Roman"/>
          <w:b/>
          <w:color w:val="000000" w:themeColor="text1"/>
          <w:sz w:val="28"/>
          <w:szCs w:val="28"/>
        </w:rPr>
        <w:t xml:space="preserve"> Decadenza e violazione del divieto di artato frazionamento</w:t>
      </w:r>
      <w:r>
        <w:rPr>
          <w:rFonts w:ascii="Garamond" w:hAnsi="Garamond" w:cs="Times New Roman"/>
          <w:b/>
          <w:color w:val="000000" w:themeColor="text1"/>
          <w:sz w:val="28"/>
          <w:szCs w:val="28"/>
        </w:rPr>
        <w:t>.</w:t>
      </w:r>
    </w:p>
    <w:p w:rsidR="007B4920" w:rsidRPr="00CD00EA" w:rsidRDefault="007B4920" w:rsidP="007B4920">
      <w:pPr>
        <w:spacing w:line="240" w:lineRule="auto"/>
        <w:ind w:firstLine="709"/>
        <w:contextualSpacing/>
        <w:jc w:val="both"/>
        <w:rPr>
          <w:rFonts w:ascii="Garamond" w:hAnsi="Garamond" w:cs="Times New Roman"/>
          <w:color w:val="000000" w:themeColor="text1"/>
          <w:sz w:val="28"/>
          <w:szCs w:val="28"/>
        </w:rPr>
      </w:pPr>
      <w:r w:rsidRPr="009B66E9">
        <w:rPr>
          <w:rFonts w:ascii="Garamond" w:hAnsi="Garamond" w:cs="Times New Roman"/>
          <w:color w:val="000000" w:themeColor="text1"/>
          <w:sz w:val="28"/>
          <w:szCs w:val="28"/>
        </w:rPr>
        <w:t xml:space="preserve">Secondo la </w:t>
      </w:r>
      <w:r>
        <w:rPr>
          <w:rFonts w:ascii="Garamond" w:hAnsi="Garamond" w:cs="Times New Roman"/>
          <w:color w:val="000000" w:themeColor="text1"/>
          <w:sz w:val="28"/>
          <w:szCs w:val="28"/>
        </w:rPr>
        <w:t xml:space="preserve">costante </w:t>
      </w:r>
      <w:r w:rsidRPr="009B66E9">
        <w:rPr>
          <w:rFonts w:ascii="Garamond" w:hAnsi="Garamond" w:cs="Times New Roman"/>
          <w:color w:val="000000" w:themeColor="text1"/>
          <w:sz w:val="28"/>
          <w:szCs w:val="28"/>
        </w:rPr>
        <w:t>giurisprudenza del Consiglio di Stato è legittimo l’atto di decadenza del G</w:t>
      </w:r>
      <w:r>
        <w:rPr>
          <w:rFonts w:ascii="Garamond" w:hAnsi="Garamond" w:cs="Times New Roman"/>
          <w:color w:val="000000" w:themeColor="text1"/>
          <w:sz w:val="28"/>
          <w:szCs w:val="28"/>
        </w:rPr>
        <w:t>.</w:t>
      </w:r>
      <w:r w:rsidRPr="009B66E9">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9B66E9">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9B66E9">
        <w:rPr>
          <w:rFonts w:ascii="Garamond" w:hAnsi="Garamond" w:cs="Times New Roman"/>
          <w:color w:val="000000" w:themeColor="text1"/>
          <w:sz w:val="28"/>
          <w:szCs w:val="28"/>
        </w:rPr>
        <w:t xml:space="preserve"> adottato sulla base dell’artato frazionamento di un impianto unitario in più impianti al fine</w:t>
      </w:r>
      <w:r w:rsidRPr="00CD00EA">
        <w:rPr>
          <w:rFonts w:ascii="Garamond" w:hAnsi="Garamond" w:cs="Times New Roman"/>
          <w:color w:val="000000" w:themeColor="text1"/>
          <w:sz w:val="28"/>
          <w:szCs w:val="28"/>
        </w:rPr>
        <w:t xml:space="preserve"> di conseguire i vantaggi der</w:t>
      </w:r>
      <w:r>
        <w:rPr>
          <w:rFonts w:ascii="Garamond" w:hAnsi="Garamond" w:cs="Times New Roman"/>
          <w:color w:val="000000" w:themeColor="text1"/>
          <w:sz w:val="28"/>
          <w:szCs w:val="28"/>
        </w:rPr>
        <w:t>iva</w:t>
      </w:r>
      <w:r w:rsidRPr="00CD00EA">
        <w:rPr>
          <w:rFonts w:ascii="Garamond" w:hAnsi="Garamond" w:cs="Times New Roman"/>
          <w:color w:val="000000" w:themeColor="text1"/>
          <w:sz w:val="28"/>
          <w:szCs w:val="28"/>
        </w:rPr>
        <w:t>nti - in termini non solo di maggiori incentivi, ma</w:t>
      </w:r>
      <w:r>
        <w:rPr>
          <w:rFonts w:ascii="Garamond" w:hAnsi="Garamond" w:cs="Times New Roman"/>
          <w:color w:val="000000" w:themeColor="text1"/>
          <w:sz w:val="28"/>
          <w:szCs w:val="28"/>
        </w:rPr>
        <w:t xml:space="preserve"> </w:t>
      </w:r>
      <w:r w:rsidRPr="00CD00EA">
        <w:rPr>
          <w:rFonts w:ascii="Garamond" w:hAnsi="Garamond" w:cs="Times New Roman"/>
          <w:color w:val="000000" w:themeColor="text1"/>
          <w:sz w:val="28"/>
          <w:szCs w:val="28"/>
        </w:rPr>
        <w:t xml:space="preserve">anche di </w:t>
      </w:r>
      <w:r>
        <w:rPr>
          <w:rFonts w:ascii="Garamond" w:hAnsi="Garamond" w:cs="Times New Roman"/>
          <w:color w:val="000000" w:themeColor="text1"/>
          <w:sz w:val="28"/>
          <w:szCs w:val="28"/>
        </w:rPr>
        <w:t>semplificazione autorizzatoria -</w:t>
      </w:r>
      <w:r w:rsidRPr="00CD00EA">
        <w:rPr>
          <w:rFonts w:ascii="Garamond" w:hAnsi="Garamond" w:cs="Times New Roman"/>
          <w:color w:val="000000" w:themeColor="text1"/>
          <w:sz w:val="28"/>
          <w:szCs w:val="28"/>
        </w:rPr>
        <w:t xml:space="preserve"> dal possesso di più impianti fotovoltaici di potenza inferiore a 50 kW, piuttosto che un solo impianto di potenza superiore alla suddetta soglia.</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Si è al riguardo affermato che i</w:t>
      </w:r>
      <w:r w:rsidRPr="009B66E9">
        <w:rPr>
          <w:rFonts w:ascii="Garamond" w:hAnsi="Garamond" w:cs="Times New Roman"/>
          <w:color w:val="000000" w:themeColor="text1"/>
          <w:sz w:val="28"/>
          <w:szCs w:val="28"/>
        </w:rPr>
        <w:t xml:space="preserve">l divieto di artato frazionamento degli impianti costituisce una declinazione, nello specifico settore dei meccanismi di </w:t>
      </w:r>
      <w:r>
        <w:rPr>
          <w:rFonts w:ascii="Garamond" w:hAnsi="Garamond" w:cs="Times New Roman"/>
          <w:color w:val="000000" w:themeColor="text1"/>
          <w:sz w:val="28"/>
          <w:szCs w:val="28"/>
        </w:rPr>
        <w:t>incentivazione</w:t>
      </w:r>
      <w:r w:rsidRPr="009B66E9">
        <w:rPr>
          <w:rFonts w:ascii="Garamond" w:hAnsi="Garamond" w:cs="Times New Roman"/>
          <w:color w:val="000000" w:themeColor="text1"/>
          <w:sz w:val="28"/>
          <w:szCs w:val="28"/>
        </w:rPr>
        <w:t xml:space="preserve"> per la produzione di </w:t>
      </w:r>
      <w:r>
        <w:rPr>
          <w:rFonts w:ascii="Garamond" w:hAnsi="Garamond" w:cs="Times New Roman"/>
          <w:color w:val="000000" w:themeColor="text1"/>
          <w:sz w:val="28"/>
          <w:szCs w:val="28"/>
        </w:rPr>
        <w:t>energia</w:t>
      </w:r>
      <w:r w:rsidRPr="009B66E9">
        <w:rPr>
          <w:rFonts w:ascii="Garamond" w:hAnsi="Garamond" w:cs="Times New Roman"/>
          <w:color w:val="000000" w:themeColor="text1"/>
          <w:sz w:val="28"/>
          <w:szCs w:val="28"/>
        </w:rPr>
        <w:t xml:space="preserve"> da fonti rinnovabili, del generale divieto di abuso del diritto, quale principio gener</w:t>
      </w:r>
      <w:r>
        <w:rPr>
          <w:rFonts w:ascii="Garamond" w:hAnsi="Garamond" w:cs="Times New Roman"/>
          <w:color w:val="000000" w:themeColor="text1"/>
          <w:sz w:val="28"/>
          <w:szCs w:val="28"/>
        </w:rPr>
        <w:t xml:space="preserve">ale dell’ordinamento giuridico. </w:t>
      </w:r>
      <w:r w:rsidRPr="009B66E9">
        <w:rPr>
          <w:rFonts w:ascii="Garamond" w:hAnsi="Garamond" w:cs="Times New Roman"/>
          <w:color w:val="000000" w:themeColor="text1"/>
          <w:sz w:val="28"/>
          <w:szCs w:val="28"/>
        </w:rPr>
        <w:t xml:space="preserve">L’elusione delle regole di settore al fine di conseguire vantaggi non spettanti infatti non può assurgere a fattispecie </w:t>
      </w:r>
      <w:r>
        <w:rPr>
          <w:rFonts w:ascii="Garamond" w:hAnsi="Garamond" w:cs="Times New Roman"/>
          <w:color w:val="000000" w:themeColor="text1"/>
          <w:sz w:val="28"/>
          <w:szCs w:val="28"/>
        </w:rPr>
        <w:t>costitutiva</w:t>
      </w:r>
      <w:r w:rsidRPr="009B66E9">
        <w:rPr>
          <w:rFonts w:ascii="Garamond" w:hAnsi="Garamond" w:cs="Times New Roman"/>
          <w:color w:val="000000" w:themeColor="text1"/>
          <w:sz w:val="28"/>
          <w:szCs w:val="28"/>
        </w:rPr>
        <w:t xml:space="preserve"> del diritto all’</w:t>
      </w:r>
      <w:r>
        <w:rPr>
          <w:rFonts w:ascii="Garamond" w:hAnsi="Garamond" w:cs="Times New Roman"/>
          <w:color w:val="000000" w:themeColor="text1"/>
          <w:sz w:val="28"/>
          <w:szCs w:val="28"/>
        </w:rPr>
        <w:t>incentivazione</w:t>
      </w:r>
      <w:r w:rsidRPr="009B66E9">
        <w:rPr>
          <w:rFonts w:ascii="Garamond" w:hAnsi="Garamond" w:cs="Times New Roman"/>
          <w:color w:val="000000" w:themeColor="text1"/>
          <w:sz w:val="28"/>
          <w:szCs w:val="28"/>
        </w:rPr>
        <w:t xml:space="preserve"> (o del diritto a un’</w:t>
      </w:r>
      <w:r>
        <w:rPr>
          <w:rFonts w:ascii="Garamond" w:hAnsi="Garamond" w:cs="Times New Roman"/>
          <w:color w:val="000000" w:themeColor="text1"/>
          <w:sz w:val="28"/>
          <w:szCs w:val="28"/>
        </w:rPr>
        <w:t>incentivazione</w:t>
      </w:r>
      <w:r w:rsidRPr="009B66E9">
        <w:rPr>
          <w:rFonts w:ascii="Garamond" w:hAnsi="Garamond" w:cs="Times New Roman"/>
          <w:color w:val="000000" w:themeColor="text1"/>
          <w:sz w:val="28"/>
          <w:szCs w:val="28"/>
        </w:rPr>
        <w:t xml:space="preserve"> superiore a quella spettante), in quanto pregiudica gli altri operatori economici che quelle regole hanno rispettato, vanifica l’i</w:t>
      </w:r>
      <w:r>
        <w:rPr>
          <w:rFonts w:ascii="Garamond" w:hAnsi="Garamond" w:cs="Times New Roman"/>
          <w:color w:val="000000" w:themeColor="text1"/>
          <w:sz w:val="28"/>
          <w:szCs w:val="28"/>
        </w:rPr>
        <w:t>mposizione, ad opera dei vari “Conti Energia</w:t>
      </w:r>
      <w:r w:rsidRPr="009B66E9">
        <w:rPr>
          <w:rFonts w:ascii="Garamond" w:hAnsi="Garamond" w:cs="Times New Roman"/>
          <w:color w:val="000000" w:themeColor="text1"/>
          <w:sz w:val="28"/>
          <w:szCs w:val="28"/>
        </w:rPr>
        <w:t>”, di specifici requisiti di potenza per l’ammissione al beneficio e frustra, in ultima analisi, la stessa finalità perseguita attraverso la distribuzione delle risorse scarse in questione.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9B66E9">
        <w:rPr>
          <w:rFonts w:ascii="Garamond" w:hAnsi="Garamond" w:cs="Times New Roman"/>
          <w:color w:val="000000" w:themeColor="text1"/>
          <w:sz w:val="28"/>
          <w:szCs w:val="28"/>
        </w:rPr>
        <w:t>È stato condivisibilmente precisato che il divieto dell’abuso degli istituti giuridici – cui è funzionale la noz</w:t>
      </w:r>
      <w:r>
        <w:rPr>
          <w:rFonts w:ascii="Garamond" w:hAnsi="Garamond" w:cs="Times New Roman"/>
          <w:color w:val="000000" w:themeColor="text1"/>
          <w:sz w:val="28"/>
          <w:szCs w:val="28"/>
        </w:rPr>
        <w:t xml:space="preserve">ione di “artato frazionamento” - </w:t>
      </w:r>
      <w:r w:rsidRPr="009B66E9">
        <w:rPr>
          <w:rFonts w:ascii="Garamond" w:hAnsi="Garamond" w:cs="Times New Roman"/>
          <w:color w:val="000000" w:themeColor="text1"/>
          <w:sz w:val="28"/>
          <w:szCs w:val="28"/>
        </w:rPr>
        <w:t xml:space="preserve"> è un valore ordinamentale diffuso e di portata generale, che non richiede specifiche e puntuali disposizioni settoriali, posto che consegue all’intrinseca necessità di rispettare la </w:t>
      </w:r>
      <w:r w:rsidRPr="00253FEB">
        <w:rPr>
          <w:rFonts w:ascii="Garamond" w:hAnsi="Garamond" w:cs="Times New Roman"/>
          <w:i/>
          <w:color w:val="000000" w:themeColor="text1"/>
          <w:sz w:val="28"/>
          <w:szCs w:val="28"/>
        </w:rPr>
        <w:t>ratio</w:t>
      </w:r>
      <w:r w:rsidRPr="009B66E9">
        <w:rPr>
          <w:rFonts w:ascii="Garamond" w:hAnsi="Garamond" w:cs="Times New Roman"/>
          <w:color w:val="000000" w:themeColor="text1"/>
          <w:sz w:val="28"/>
          <w:szCs w:val="28"/>
        </w:rPr>
        <w:t xml:space="preserve"> dell’istituto volta per volta in considerazione (</w:t>
      </w:r>
      <w:r>
        <w:rPr>
          <w:rFonts w:ascii="Garamond" w:hAnsi="Garamond" w:cs="Times New Roman"/>
          <w:color w:val="000000" w:themeColor="text1"/>
          <w:sz w:val="28"/>
          <w:szCs w:val="28"/>
        </w:rPr>
        <w:t xml:space="preserve">Cons. Stato, sez. II n. 640 del 2023; </w:t>
      </w:r>
      <w:r w:rsidRPr="009B66E9">
        <w:rPr>
          <w:rFonts w:ascii="Garamond" w:hAnsi="Garamond" w:cs="Times New Roman"/>
          <w:color w:val="000000" w:themeColor="text1"/>
          <w:sz w:val="28"/>
          <w:szCs w:val="28"/>
        </w:rPr>
        <w:t>n</w:t>
      </w:r>
      <w:r>
        <w:rPr>
          <w:rFonts w:ascii="Garamond" w:hAnsi="Garamond" w:cs="Times New Roman"/>
          <w:color w:val="000000" w:themeColor="text1"/>
          <w:sz w:val="28"/>
          <w:szCs w:val="28"/>
        </w:rPr>
        <w:t>n</w:t>
      </w:r>
      <w:r w:rsidRPr="009B66E9">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2747, 27445, 2744 e 2743 del 2022</w:t>
      </w:r>
      <w:r w:rsidRPr="009B66E9">
        <w:rPr>
          <w:rFonts w:ascii="Garamond" w:hAnsi="Garamond" w:cs="Times New Roman"/>
          <w:color w:val="000000" w:themeColor="text1"/>
          <w:sz w:val="28"/>
          <w:szCs w:val="28"/>
        </w:rPr>
        <w:t xml:space="preserve">; sez. IV, </w:t>
      </w:r>
      <w:r>
        <w:rPr>
          <w:rFonts w:ascii="Garamond" w:hAnsi="Garamond" w:cs="Times New Roman"/>
          <w:color w:val="000000" w:themeColor="text1"/>
          <w:sz w:val="28"/>
          <w:szCs w:val="28"/>
        </w:rPr>
        <w:t>nn. 749, 748, 747, 746, 73</w:t>
      </w:r>
      <w:r w:rsidRPr="009B66E9">
        <w:rPr>
          <w:rFonts w:ascii="Garamond" w:hAnsi="Garamond" w:cs="Times New Roman"/>
          <w:color w:val="000000" w:themeColor="text1"/>
          <w:sz w:val="28"/>
          <w:szCs w:val="28"/>
        </w:rPr>
        <w:t>9</w:t>
      </w:r>
      <w:r w:rsidRPr="00AC0585">
        <w:t xml:space="preserve"> </w:t>
      </w:r>
      <w:r w:rsidRPr="00AC0585">
        <w:rPr>
          <w:rFonts w:ascii="Garamond" w:hAnsi="Garamond" w:cs="Times New Roman"/>
          <w:color w:val="000000" w:themeColor="text1"/>
          <w:sz w:val="28"/>
          <w:szCs w:val="28"/>
        </w:rPr>
        <w:t>del 2021</w:t>
      </w:r>
      <w:r w:rsidRPr="009B66E9">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pPr>
      <w:r>
        <w:rPr>
          <w:rFonts w:ascii="Garamond" w:hAnsi="Garamond" w:cs="Times New Roman"/>
          <w:color w:val="000000" w:themeColor="text1"/>
          <w:sz w:val="28"/>
          <w:szCs w:val="28"/>
        </w:rPr>
        <w:t>In tale ottica si è altresì precisato che l’art. 29 d.m</w:t>
      </w:r>
      <w:r w:rsidRPr="00AC0585">
        <w:rPr>
          <w:rFonts w:ascii="Garamond" w:hAnsi="Garamond" w:cs="Times New Roman"/>
          <w:color w:val="000000" w:themeColor="text1"/>
          <w:sz w:val="28"/>
          <w:szCs w:val="28"/>
        </w:rPr>
        <w:t>. 23 giugno</w:t>
      </w:r>
      <w:r>
        <w:rPr>
          <w:rFonts w:ascii="Garamond" w:hAnsi="Garamond" w:cs="Times New Roman"/>
          <w:color w:val="000000" w:themeColor="text1"/>
          <w:sz w:val="28"/>
          <w:szCs w:val="28"/>
        </w:rPr>
        <w:t xml:space="preserve"> 2016 e l’art. 12, comma 5, d.m. 5 maggio </w:t>
      </w:r>
      <w:r w:rsidRPr="00AC0585">
        <w:rPr>
          <w:rFonts w:ascii="Garamond" w:hAnsi="Garamond" w:cs="Times New Roman"/>
          <w:color w:val="000000" w:themeColor="text1"/>
          <w:sz w:val="28"/>
          <w:szCs w:val="28"/>
        </w:rPr>
        <w:t xml:space="preserve">2011 non hanno natura </w:t>
      </w:r>
      <w:r>
        <w:rPr>
          <w:rFonts w:ascii="Garamond" w:hAnsi="Garamond" w:cs="Times New Roman"/>
          <w:color w:val="000000" w:themeColor="text1"/>
          <w:sz w:val="28"/>
          <w:szCs w:val="28"/>
        </w:rPr>
        <w:t>costitutiva</w:t>
      </w:r>
      <w:r w:rsidRPr="00AC0585">
        <w:rPr>
          <w:rFonts w:ascii="Garamond" w:hAnsi="Garamond" w:cs="Times New Roman"/>
          <w:color w:val="000000" w:themeColor="text1"/>
          <w:sz w:val="28"/>
          <w:szCs w:val="28"/>
        </w:rPr>
        <w:t xml:space="preserve"> del divieto di artato frazionamento, ma hanno soltanto chiarito, sul piano positivo, in relazione al rispettivo ambito applicativo, gli elementi connotanti una fattispecie elus</w:t>
      </w:r>
      <w:r>
        <w:rPr>
          <w:rFonts w:ascii="Garamond" w:hAnsi="Garamond" w:cs="Times New Roman"/>
          <w:color w:val="000000" w:themeColor="text1"/>
          <w:sz w:val="28"/>
          <w:szCs w:val="28"/>
        </w:rPr>
        <w:t>iva</w:t>
      </w:r>
      <w:r w:rsidRPr="00AC0585">
        <w:rPr>
          <w:rFonts w:ascii="Garamond" w:hAnsi="Garamond" w:cs="Times New Roman"/>
          <w:color w:val="000000" w:themeColor="text1"/>
          <w:sz w:val="28"/>
          <w:szCs w:val="28"/>
        </w:rPr>
        <w:t xml:space="preserve"> (più impianti riconducibili ad un’unica </w:t>
      </w:r>
      <w:r>
        <w:rPr>
          <w:rFonts w:ascii="Garamond" w:hAnsi="Garamond" w:cs="Times New Roman"/>
          <w:color w:val="000000" w:themeColor="text1"/>
          <w:sz w:val="28"/>
          <w:szCs w:val="28"/>
        </w:rPr>
        <w:t>iniziativa</w:t>
      </w:r>
      <w:r w:rsidRPr="00AC0585">
        <w:rPr>
          <w:rFonts w:ascii="Garamond" w:hAnsi="Garamond" w:cs="Times New Roman"/>
          <w:color w:val="000000" w:themeColor="text1"/>
          <w:sz w:val="28"/>
          <w:szCs w:val="28"/>
        </w:rPr>
        <w:t xml:space="preserve"> imprenditoriale) comunque operante in materia - a prescindere dalla disciplina dettata dai relativi decreti ministeriali - con l’indicazione di taluni indizi, di carattere non tassativo, da cui desumere l’artato frazionamento nei casi di impianto a medi</w:t>
      </w:r>
      <w:r>
        <w:rPr>
          <w:rFonts w:ascii="Garamond" w:hAnsi="Garamond" w:cs="Times New Roman"/>
          <w:color w:val="000000" w:themeColor="text1"/>
          <w:sz w:val="28"/>
          <w:szCs w:val="28"/>
        </w:rPr>
        <w:t>a-alta tensione, costituendo  i</w:t>
      </w:r>
      <w:r w:rsidRPr="00AE35F4">
        <w:rPr>
          <w:rFonts w:ascii="Garamond" w:hAnsi="Garamond" w:cs="Times New Roman"/>
          <w:color w:val="000000" w:themeColor="text1"/>
          <w:sz w:val="28"/>
          <w:szCs w:val="28"/>
        </w:rPr>
        <w:t>l divieto di artato frazionamento un principio generale dell’ordinamento (solo esemplificato per gli impianti fotovolta</w:t>
      </w:r>
      <w:r>
        <w:rPr>
          <w:rFonts w:ascii="Garamond" w:hAnsi="Garamond" w:cs="Times New Roman"/>
          <w:color w:val="000000" w:themeColor="text1"/>
          <w:sz w:val="28"/>
          <w:szCs w:val="28"/>
        </w:rPr>
        <w:t xml:space="preserve">ici dal suindicato art. 12 del d.m. 5 maggio </w:t>
      </w:r>
      <w:r w:rsidRPr="00AE35F4">
        <w:rPr>
          <w:rFonts w:ascii="Garamond" w:hAnsi="Garamond" w:cs="Times New Roman"/>
          <w:color w:val="000000" w:themeColor="text1"/>
          <w:sz w:val="28"/>
          <w:szCs w:val="28"/>
        </w:rPr>
        <w:t xml:space="preserve">2011) che opera a prescindere da una espressa e puntuale previsione </w:t>
      </w:r>
      <w:r>
        <w:rPr>
          <w:rFonts w:ascii="Garamond" w:hAnsi="Garamond" w:cs="Times New Roman"/>
          <w:color w:val="000000" w:themeColor="text1"/>
          <w:sz w:val="28"/>
          <w:szCs w:val="28"/>
        </w:rPr>
        <w:t>normativa</w:t>
      </w:r>
      <w:r w:rsidRPr="00AE35F4">
        <w:rPr>
          <w:rFonts w:ascii="Garamond" w:hAnsi="Garamond" w:cs="Times New Roman"/>
          <w:color w:val="000000" w:themeColor="text1"/>
          <w:sz w:val="28"/>
          <w:szCs w:val="28"/>
        </w:rPr>
        <w:t xml:space="preserve"> ed è applicabile a tutti gli impianti che percepiscono incentivi per la produzione di </w:t>
      </w:r>
      <w:r>
        <w:rPr>
          <w:rFonts w:ascii="Garamond" w:hAnsi="Garamond" w:cs="Times New Roman"/>
          <w:color w:val="000000" w:themeColor="text1"/>
          <w:sz w:val="28"/>
          <w:szCs w:val="28"/>
        </w:rPr>
        <w:t>energia</w:t>
      </w:r>
      <w:r w:rsidRPr="00AE35F4">
        <w:rPr>
          <w:rFonts w:ascii="Garamond" w:hAnsi="Garamond" w:cs="Times New Roman"/>
          <w:color w:val="000000" w:themeColor="text1"/>
          <w:sz w:val="28"/>
          <w:szCs w:val="28"/>
        </w:rPr>
        <w:t xml:space="preserve"> da fonti rinnovabili.</w:t>
      </w:r>
      <w:r w:rsidRPr="00880D27">
        <w:t xml:space="preserve"> </w:t>
      </w:r>
    </w:p>
    <w:p w:rsidR="007B4920" w:rsidRPr="000623A1" w:rsidRDefault="007B4920" w:rsidP="007B4920">
      <w:pPr>
        <w:spacing w:line="240" w:lineRule="auto"/>
        <w:ind w:firstLine="709"/>
        <w:contextualSpacing/>
        <w:jc w:val="both"/>
        <w:rPr>
          <w:rFonts w:ascii="Garamond" w:hAnsi="Garamond" w:cs="Times New Roman"/>
          <w:color w:val="000000" w:themeColor="text1"/>
          <w:sz w:val="28"/>
          <w:szCs w:val="28"/>
        </w:rPr>
      </w:pPr>
      <w:r w:rsidRPr="00880D27">
        <w:rPr>
          <w:rFonts w:ascii="Garamond" w:hAnsi="Garamond" w:cs="Times New Roman"/>
          <w:color w:val="000000" w:themeColor="text1"/>
          <w:sz w:val="28"/>
          <w:szCs w:val="28"/>
        </w:rPr>
        <w:t xml:space="preserve">Pertanto la determinazione delle concrete fattispecie in cui ricorre l’ipotesi di violazione del suddetto divieto è da ricondurre all’esistenza di elementi indicativi, rispetto ai quali non possono non avere primaria importanza, anche per </w:t>
      </w:r>
      <w:r>
        <w:rPr>
          <w:rFonts w:ascii="Garamond" w:hAnsi="Garamond" w:cs="Times New Roman"/>
          <w:color w:val="000000" w:themeColor="text1"/>
          <w:sz w:val="28"/>
          <w:szCs w:val="28"/>
        </w:rPr>
        <w:t xml:space="preserve">impianti precedenti al d.m. 5 maggio </w:t>
      </w:r>
      <w:r w:rsidRPr="00880D27">
        <w:rPr>
          <w:rFonts w:ascii="Garamond" w:hAnsi="Garamond" w:cs="Times New Roman"/>
          <w:color w:val="000000" w:themeColor="text1"/>
          <w:sz w:val="28"/>
          <w:szCs w:val="28"/>
        </w:rPr>
        <w:t>2011, gli indici previsti dal comma 5 del suindicato art. 12, in quanto ricognitivi di aspetti che denota</w:t>
      </w:r>
      <w:r>
        <w:rPr>
          <w:rFonts w:ascii="Garamond" w:hAnsi="Garamond" w:cs="Times New Roman"/>
          <w:color w:val="000000" w:themeColor="text1"/>
          <w:sz w:val="28"/>
          <w:szCs w:val="28"/>
        </w:rPr>
        <w:t>no l’unicità, e in particolare, la realizzazione da parte de</w:t>
      </w:r>
      <w:r w:rsidRPr="00880D27">
        <w:rPr>
          <w:rFonts w:ascii="Garamond" w:hAnsi="Garamond" w:cs="Times New Roman"/>
          <w:color w:val="000000" w:themeColor="text1"/>
          <w:sz w:val="28"/>
          <w:szCs w:val="28"/>
        </w:rPr>
        <w:t>l medesimo soggetto responsabile o, comunque, la riconducibilità a un unico soggetto responsabile e la localizzazione nella medesima particella catastale o s</w:t>
      </w:r>
      <w:r>
        <w:rPr>
          <w:rFonts w:ascii="Garamond" w:hAnsi="Garamond" w:cs="Times New Roman"/>
          <w:color w:val="000000" w:themeColor="text1"/>
          <w:sz w:val="28"/>
          <w:szCs w:val="28"/>
        </w:rPr>
        <w:t>u particelle catastali contigue (Cons. Stato, sez. II, n.</w:t>
      </w:r>
      <w:r w:rsidRPr="00880D27">
        <w:rPr>
          <w:rFonts w:ascii="Garamond" w:hAnsi="Garamond" w:cs="Times New Roman"/>
          <w:color w:val="000000" w:themeColor="text1"/>
          <w:sz w:val="28"/>
          <w:szCs w:val="28"/>
        </w:rPr>
        <w:t xml:space="preserve"> 2743</w:t>
      </w:r>
      <w:r>
        <w:rPr>
          <w:rFonts w:ascii="Garamond" w:hAnsi="Garamond" w:cs="Times New Roman"/>
          <w:color w:val="000000" w:themeColor="text1"/>
          <w:sz w:val="28"/>
          <w:szCs w:val="28"/>
        </w:rPr>
        <w:t xml:space="preserve"> del 2022 cit.).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0623A1">
        <w:rPr>
          <w:rFonts w:ascii="Garamond" w:hAnsi="Garamond" w:cs="Times New Roman"/>
          <w:color w:val="000000" w:themeColor="text1"/>
          <w:sz w:val="28"/>
          <w:szCs w:val="28"/>
        </w:rPr>
        <w:t>Anche sul piano delle conseguenze che der</w:t>
      </w:r>
      <w:r>
        <w:rPr>
          <w:rFonts w:ascii="Garamond" w:hAnsi="Garamond" w:cs="Times New Roman"/>
          <w:color w:val="000000" w:themeColor="text1"/>
          <w:sz w:val="28"/>
          <w:szCs w:val="28"/>
        </w:rPr>
        <w:t>iva</w:t>
      </w:r>
      <w:r w:rsidRPr="000623A1">
        <w:rPr>
          <w:rFonts w:ascii="Garamond" w:hAnsi="Garamond" w:cs="Times New Roman"/>
          <w:color w:val="000000" w:themeColor="text1"/>
          <w:sz w:val="28"/>
          <w:szCs w:val="28"/>
        </w:rPr>
        <w:t>no dall’acce</w:t>
      </w:r>
      <w:r>
        <w:rPr>
          <w:rFonts w:ascii="Garamond" w:hAnsi="Garamond" w:cs="Times New Roman"/>
          <w:color w:val="000000" w:themeColor="text1"/>
          <w:sz w:val="28"/>
          <w:szCs w:val="28"/>
        </w:rPr>
        <w:t xml:space="preserve">rtamento in concreto, il </w:t>
      </w:r>
      <w:r w:rsidRPr="000623A1">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d.m. 5 maggio </w:t>
      </w:r>
      <w:r w:rsidRPr="00253FEB">
        <w:rPr>
          <w:rFonts w:ascii="Garamond" w:hAnsi="Garamond" w:cs="Times New Roman"/>
          <w:color w:val="000000" w:themeColor="text1"/>
          <w:sz w:val="28"/>
          <w:szCs w:val="28"/>
        </w:rPr>
        <w:t xml:space="preserve">2011 </w:t>
      </w:r>
      <w:r w:rsidRPr="000623A1">
        <w:rPr>
          <w:rFonts w:ascii="Garamond" w:hAnsi="Garamond" w:cs="Times New Roman"/>
          <w:color w:val="000000" w:themeColor="text1"/>
          <w:sz w:val="28"/>
          <w:szCs w:val="28"/>
        </w:rPr>
        <w:t xml:space="preserve">si limita a positivizzare un principio immanente nel sistema e consistente nel disconoscimento di qualunque effetto giuridico a fattispecie che, pur rispettose sul piano formare della regola, ne frustrano nella sostanza la </w:t>
      </w:r>
      <w:r w:rsidRPr="00253FEB">
        <w:rPr>
          <w:rFonts w:ascii="Garamond" w:hAnsi="Garamond" w:cs="Times New Roman"/>
          <w:i/>
          <w:color w:val="000000" w:themeColor="text1"/>
          <w:sz w:val="28"/>
          <w:szCs w:val="28"/>
        </w:rPr>
        <w:t>ratio</w:t>
      </w:r>
      <w:r w:rsidRPr="000623A1">
        <w:rPr>
          <w:rFonts w:ascii="Garamond" w:hAnsi="Garamond" w:cs="Times New Roman"/>
          <w:color w:val="000000" w:themeColor="text1"/>
          <w:sz w:val="28"/>
          <w:szCs w:val="28"/>
        </w:rPr>
        <w:t xml:space="preserve">: di qui l’appena richiamata previsione che considera gli impianti artatamente frazionati come un unico impianto di potenza cumulata e che, in caso di violazione delle norme per l’accesso agli incentivi, ne dispone la decadenza con </w:t>
      </w:r>
      <w:r>
        <w:rPr>
          <w:rFonts w:ascii="Garamond" w:hAnsi="Garamond" w:cs="Times New Roman"/>
          <w:color w:val="000000" w:themeColor="text1"/>
          <w:sz w:val="28"/>
          <w:szCs w:val="28"/>
        </w:rPr>
        <w:t>recupero integrale delle somme.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0623A1">
        <w:rPr>
          <w:rFonts w:ascii="Garamond" w:hAnsi="Garamond" w:cs="Times New Roman"/>
          <w:color w:val="000000" w:themeColor="text1"/>
          <w:sz w:val="28"/>
          <w:szCs w:val="28"/>
        </w:rPr>
        <w:t>A riprova di tale impostazione il cosiddetto “decreto controlli” del Ministero dello sviluppo economico del 31 gennaio 2014 sancisce</w:t>
      </w:r>
      <w:r>
        <w:rPr>
          <w:rFonts w:ascii="Garamond" w:hAnsi="Garamond" w:cs="Times New Roman"/>
          <w:color w:val="000000" w:themeColor="text1"/>
          <w:sz w:val="28"/>
          <w:szCs w:val="28"/>
        </w:rPr>
        <w:t xml:space="preserve"> </w:t>
      </w:r>
      <w:r w:rsidRPr="000623A1">
        <w:rPr>
          <w:rFonts w:ascii="Garamond" w:hAnsi="Garamond" w:cs="Times New Roman"/>
          <w:color w:val="000000" w:themeColor="text1"/>
          <w:sz w:val="28"/>
          <w:szCs w:val="28"/>
        </w:rPr>
        <w:t xml:space="preserve">(art 11), con formula aperta, che, al di </w:t>
      </w:r>
      <w:r w:rsidRPr="000623A1">
        <w:rPr>
          <w:rFonts w:ascii="Garamond" w:hAnsi="Garamond" w:cs="Times New Roman"/>
          <w:color w:val="000000" w:themeColor="text1"/>
          <w:sz w:val="28"/>
          <w:szCs w:val="28"/>
        </w:rPr>
        <w:lastRenderedPageBreak/>
        <w:t>fuori delle fattispecie di violazioni rilevanti espressamente contemplate nell’allegato 1, il rigetto dell’istanza e la decadenza dagli incentivi può der</w:t>
      </w:r>
      <w:r>
        <w:rPr>
          <w:rFonts w:ascii="Garamond" w:hAnsi="Garamond" w:cs="Times New Roman"/>
          <w:color w:val="000000" w:themeColor="text1"/>
          <w:sz w:val="28"/>
          <w:szCs w:val="28"/>
        </w:rPr>
        <w:t>iva</w:t>
      </w:r>
      <w:r w:rsidRPr="000623A1">
        <w:rPr>
          <w:rFonts w:ascii="Garamond" w:hAnsi="Garamond" w:cs="Times New Roman"/>
          <w:color w:val="000000" w:themeColor="text1"/>
          <w:sz w:val="28"/>
          <w:szCs w:val="28"/>
        </w:rPr>
        <w:t>re, oltre che da “violazioni</w:t>
      </w:r>
      <w:r>
        <w:rPr>
          <w:rFonts w:ascii="Garamond" w:hAnsi="Garamond" w:cs="Times New Roman"/>
          <w:color w:val="000000" w:themeColor="text1"/>
          <w:sz w:val="28"/>
          <w:szCs w:val="28"/>
        </w:rPr>
        <w:t xml:space="preserve">” e </w:t>
      </w:r>
      <w:r w:rsidRPr="000623A1">
        <w:rPr>
          <w:rFonts w:ascii="Garamond" w:hAnsi="Garamond" w:cs="Times New Roman"/>
          <w:color w:val="000000" w:themeColor="text1"/>
          <w:sz w:val="28"/>
          <w:szCs w:val="28"/>
        </w:rPr>
        <w:t>“inadempimenti”, anche da “elusioni” a cui consegua un indebito accesso agli incentivi.</w:t>
      </w:r>
      <w:r w:rsidRPr="000623A1">
        <w:t xml:space="preserve"> </w:t>
      </w:r>
      <w:r w:rsidRPr="000623A1">
        <w:rPr>
          <w:rFonts w:ascii="Garamond" w:hAnsi="Garamond" w:cs="Times New Roman"/>
          <w:color w:val="000000" w:themeColor="text1"/>
          <w:sz w:val="28"/>
          <w:szCs w:val="28"/>
        </w:rPr>
        <w:t xml:space="preserve">(Cons. Stato, sez. II, n. 640 del 2023; </w:t>
      </w:r>
      <w:r>
        <w:rPr>
          <w:rFonts w:ascii="Garamond" w:hAnsi="Garamond" w:cs="Times New Roman"/>
          <w:color w:val="000000" w:themeColor="text1"/>
          <w:sz w:val="28"/>
          <w:szCs w:val="28"/>
        </w:rPr>
        <w:t xml:space="preserve">nn. </w:t>
      </w:r>
      <w:r w:rsidRPr="00D66BDA">
        <w:rPr>
          <w:rFonts w:ascii="Garamond" w:hAnsi="Garamond" w:cs="Times New Roman"/>
          <w:color w:val="000000" w:themeColor="text1"/>
          <w:sz w:val="28"/>
          <w:szCs w:val="28"/>
        </w:rPr>
        <w:t>2747, 27445, 2744 e 2743 del 2022</w:t>
      </w:r>
      <w:r>
        <w:rPr>
          <w:rFonts w:ascii="Garamond" w:hAnsi="Garamond" w:cs="Times New Roman"/>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p>
    <w:p w:rsidR="007B4920" w:rsidRPr="00D82D53"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1</w:t>
      </w:r>
      <w:r w:rsidRPr="00CB7290">
        <w:rPr>
          <w:rFonts w:ascii="Garamond" w:hAnsi="Garamond" w:cs="Times New Roman"/>
          <w:b/>
          <w:color w:val="000000" w:themeColor="text1"/>
          <w:sz w:val="28"/>
          <w:szCs w:val="28"/>
        </w:rPr>
        <w:t>1.7.</w:t>
      </w:r>
      <w:r w:rsidRPr="00D82D53">
        <w:rPr>
          <w:rFonts w:ascii="Garamond" w:hAnsi="Garamond" w:cs="Times New Roman"/>
          <w:b/>
          <w:color w:val="000000" w:themeColor="text1"/>
          <w:sz w:val="28"/>
          <w:szCs w:val="28"/>
        </w:rPr>
        <w:t xml:space="preserve"> Inammissibilità dell’azione sul silenzio a seguito dell’adozione di un provvedimento di decadenza</w:t>
      </w:r>
      <w:r>
        <w:rPr>
          <w:rFonts w:ascii="Garamond" w:hAnsi="Garamond" w:cs="Times New Roman"/>
          <w:b/>
          <w:color w:val="000000" w:themeColor="text1"/>
          <w:sz w:val="28"/>
          <w:szCs w:val="28"/>
        </w:rPr>
        <w:t>.</w:t>
      </w:r>
    </w:p>
    <w:p w:rsidR="007B4920" w:rsidRPr="00D82D53" w:rsidRDefault="007B4920" w:rsidP="007B4920">
      <w:pPr>
        <w:spacing w:line="240" w:lineRule="auto"/>
        <w:ind w:firstLine="709"/>
        <w:contextualSpacing/>
        <w:jc w:val="both"/>
        <w:rPr>
          <w:rFonts w:ascii="Garamond" w:hAnsi="Garamond" w:cs="Times New Roman"/>
          <w:color w:val="000000" w:themeColor="text1"/>
          <w:sz w:val="28"/>
          <w:szCs w:val="28"/>
        </w:rPr>
      </w:pPr>
      <w:r w:rsidRPr="00D82D53">
        <w:rPr>
          <w:rFonts w:ascii="Garamond" w:hAnsi="Garamond" w:cs="Times New Roman"/>
          <w:color w:val="000000" w:themeColor="text1"/>
          <w:sz w:val="28"/>
          <w:szCs w:val="28"/>
        </w:rPr>
        <w:t xml:space="preserve">È inapplicabile l’azione sul silenzio all’istanza volta ad ottenere l’accesso alle tariffe </w:t>
      </w:r>
      <w:r>
        <w:rPr>
          <w:rFonts w:ascii="Garamond" w:hAnsi="Garamond" w:cs="Times New Roman"/>
          <w:color w:val="000000" w:themeColor="text1"/>
          <w:sz w:val="28"/>
          <w:szCs w:val="28"/>
        </w:rPr>
        <w:t>incentivanti</w:t>
      </w:r>
      <w:r w:rsidRPr="00D82D53">
        <w:rPr>
          <w:rFonts w:ascii="Garamond" w:hAnsi="Garamond" w:cs="Times New Roman"/>
          <w:color w:val="000000" w:themeColor="text1"/>
          <w:sz w:val="28"/>
          <w:szCs w:val="28"/>
        </w:rPr>
        <w:t xml:space="preserve"> di cui al Terzo Conto </w:t>
      </w:r>
      <w:r>
        <w:rPr>
          <w:rFonts w:ascii="Garamond" w:hAnsi="Garamond" w:cs="Times New Roman"/>
          <w:color w:val="000000" w:themeColor="text1"/>
          <w:sz w:val="28"/>
          <w:szCs w:val="28"/>
        </w:rPr>
        <w:t>energia</w:t>
      </w:r>
      <w:r w:rsidRPr="00D82D53">
        <w:rPr>
          <w:rFonts w:ascii="Garamond" w:hAnsi="Garamond" w:cs="Times New Roman"/>
          <w:color w:val="000000" w:themeColor="text1"/>
          <w:sz w:val="28"/>
          <w:szCs w:val="28"/>
        </w:rPr>
        <w:t xml:space="preserve"> a seguito dell’adozione di un provvedimento di decadenza del G.s.e., coperto da giudicato, dall’accesso alle tariffe </w:t>
      </w:r>
      <w:r>
        <w:rPr>
          <w:rFonts w:ascii="Garamond" w:hAnsi="Garamond" w:cs="Times New Roman"/>
          <w:color w:val="000000" w:themeColor="text1"/>
          <w:sz w:val="28"/>
          <w:szCs w:val="28"/>
        </w:rPr>
        <w:t>incentivanti</w:t>
      </w:r>
      <w:r w:rsidRPr="00D82D53">
        <w:rPr>
          <w:rFonts w:ascii="Garamond" w:hAnsi="Garamond" w:cs="Times New Roman"/>
          <w:color w:val="000000" w:themeColor="text1"/>
          <w:sz w:val="28"/>
          <w:szCs w:val="28"/>
        </w:rPr>
        <w:t xml:space="preserve"> di cui al Secondo Conto </w:t>
      </w:r>
      <w:r>
        <w:rPr>
          <w:rFonts w:ascii="Garamond" w:hAnsi="Garamond" w:cs="Times New Roman"/>
          <w:color w:val="000000" w:themeColor="text1"/>
          <w:sz w:val="28"/>
          <w:szCs w:val="28"/>
        </w:rPr>
        <w:t>energia</w:t>
      </w:r>
      <w:r w:rsidRPr="00D82D53">
        <w:rPr>
          <w:rFonts w:ascii="Garamond" w:hAnsi="Garamond" w:cs="Times New Roman"/>
          <w:color w:val="000000" w:themeColor="text1"/>
          <w:sz w:val="28"/>
          <w:szCs w:val="28"/>
        </w:rPr>
        <w:t>. Ciò in quanto, secondo la costante giurisprudenza in materia, non sussiste alcun obbligo per l'Amministrazione di pronunciarsi su un'istanza volta a ottenere un provvedimento in via di autotutela, non essendo coercibile dall'esterno l'att</w:t>
      </w:r>
      <w:r>
        <w:rPr>
          <w:rFonts w:ascii="Garamond" w:hAnsi="Garamond" w:cs="Times New Roman"/>
          <w:color w:val="000000" w:themeColor="text1"/>
          <w:sz w:val="28"/>
          <w:szCs w:val="28"/>
        </w:rPr>
        <w:t>iva</w:t>
      </w:r>
      <w:r w:rsidRPr="00D82D53">
        <w:rPr>
          <w:rFonts w:ascii="Garamond" w:hAnsi="Garamond" w:cs="Times New Roman"/>
          <w:color w:val="000000" w:themeColor="text1"/>
          <w:sz w:val="28"/>
          <w:szCs w:val="28"/>
        </w:rPr>
        <w:t>zione del procedimento di riesame della legittimità dell'atto amministrativo mediante l'istituto del silenzio-rifiuto e lo strumento di tutela offerto ex art. 117 c.p.a.  ed il rito del silenzio è esperibile soltanto laddove ci si trovi al cospetto di una disposizione puntuale imposit</w:t>
      </w:r>
      <w:r>
        <w:rPr>
          <w:rFonts w:ascii="Garamond" w:hAnsi="Garamond" w:cs="Times New Roman"/>
          <w:color w:val="000000" w:themeColor="text1"/>
          <w:sz w:val="28"/>
          <w:szCs w:val="28"/>
        </w:rPr>
        <w:t>iva</w:t>
      </w:r>
      <w:r w:rsidRPr="00D82D53">
        <w:rPr>
          <w:rFonts w:ascii="Garamond" w:hAnsi="Garamond" w:cs="Times New Roman"/>
          <w:color w:val="000000" w:themeColor="text1"/>
          <w:sz w:val="28"/>
          <w:szCs w:val="28"/>
        </w:rPr>
        <w:t xml:space="preserve"> di un obbligo di provvedere, ovvero laddove quest'ultimo sia univocamente ricavabile dal sistema giuridico, non sussistendo peraltro detto obbligo  laddove il regime incent</w:t>
      </w:r>
      <w:r>
        <w:rPr>
          <w:rFonts w:ascii="Garamond" w:hAnsi="Garamond" w:cs="Times New Roman"/>
          <w:color w:val="000000" w:themeColor="text1"/>
          <w:sz w:val="28"/>
          <w:szCs w:val="28"/>
        </w:rPr>
        <w:t>iva</w:t>
      </w:r>
      <w:r w:rsidRPr="00D82D53">
        <w:rPr>
          <w:rFonts w:ascii="Garamond" w:hAnsi="Garamond" w:cs="Times New Roman"/>
          <w:color w:val="000000" w:themeColor="text1"/>
          <w:sz w:val="28"/>
          <w:szCs w:val="28"/>
        </w:rPr>
        <w:t xml:space="preserve">nte previsto dai conti </w:t>
      </w:r>
      <w:r>
        <w:rPr>
          <w:rFonts w:ascii="Garamond" w:hAnsi="Garamond" w:cs="Times New Roman"/>
          <w:color w:val="000000" w:themeColor="text1"/>
          <w:sz w:val="28"/>
          <w:szCs w:val="28"/>
        </w:rPr>
        <w:t>energia</w:t>
      </w:r>
      <w:r w:rsidRPr="00D82D53">
        <w:rPr>
          <w:rFonts w:ascii="Garamond" w:hAnsi="Garamond" w:cs="Times New Roman"/>
          <w:color w:val="000000" w:themeColor="text1"/>
          <w:sz w:val="28"/>
          <w:szCs w:val="28"/>
        </w:rPr>
        <w:t xml:space="preserve"> sia oramai terminato  (Cons. Stato, sez. IV, n. 1687 del 2022, resa in relazione a fattispecie in cui l’impresa era decaduta dall’accesso alle tariffe </w:t>
      </w:r>
      <w:r>
        <w:rPr>
          <w:rFonts w:ascii="Garamond" w:hAnsi="Garamond" w:cs="Times New Roman"/>
          <w:color w:val="000000" w:themeColor="text1"/>
          <w:sz w:val="28"/>
          <w:szCs w:val="28"/>
        </w:rPr>
        <w:t>incentivanti</w:t>
      </w:r>
      <w:r w:rsidRPr="00D82D53">
        <w:rPr>
          <w:rFonts w:ascii="Garamond" w:hAnsi="Garamond" w:cs="Times New Roman"/>
          <w:color w:val="000000" w:themeColor="text1"/>
          <w:sz w:val="28"/>
          <w:szCs w:val="28"/>
        </w:rPr>
        <w:t xml:space="preserve"> di cui al secondo conto </w:t>
      </w:r>
      <w:r>
        <w:rPr>
          <w:rFonts w:ascii="Garamond" w:hAnsi="Garamond" w:cs="Times New Roman"/>
          <w:color w:val="000000" w:themeColor="text1"/>
          <w:sz w:val="28"/>
          <w:szCs w:val="28"/>
        </w:rPr>
        <w:t>energia</w:t>
      </w:r>
      <w:r w:rsidRPr="00D82D53">
        <w:rPr>
          <w:rFonts w:ascii="Garamond" w:hAnsi="Garamond" w:cs="Times New Roman"/>
          <w:color w:val="000000" w:themeColor="text1"/>
          <w:sz w:val="28"/>
          <w:szCs w:val="28"/>
        </w:rPr>
        <w:t>, a seguito di provvedimento del G</w:t>
      </w:r>
      <w:r>
        <w:rPr>
          <w:rFonts w:ascii="Garamond" w:hAnsi="Garamond" w:cs="Times New Roman"/>
          <w:color w:val="000000" w:themeColor="text1"/>
          <w:sz w:val="28"/>
          <w:szCs w:val="28"/>
        </w:rPr>
        <w:t>.</w:t>
      </w:r>
      <w:r w:rsidRPr="00D82D53">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D82D53">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D82D53">
        <w:rPr>
          <w:rFonts w:ascii="Garamond" w:hAnsi="Garamond" w:cs="Times New Roman"/>
          <w:color w:val="000000" w:themeColor="text1"/>
          <w:sz w:val="28"/>
          <w:szCs w:val="28"/>
        </w:rPr>
        <w:t>, coperto da giudicato, mot</w:t>
      </w:r>
      <w:r>
        <w:rPr>
          <w:rFonts w:ascii="Garamond" w:hAnsi="Garamond" w:cs="Times New Roman"/>
          <w:color w:val="000000" w:themeColor="text1"/>
          <w:sz w:val="28"/>
          <w:szCs w:val="28"/>
        </w:rPr>
        <w:t>iva</w:t>
      </w:r>
      <w:r w:rsidRPr="00D82D53">
        <w:rPr>
          <w:rFonts w:ascii="Garamond" w:hAnsi="Garamond" w:cs="Times New Roman"/>
          <w:color w:val="000000" w:themeColor="text1"/>
          <w:sz w:val="28"/>
          <w:szCs w:val="28"/>
        </w:rPr>
        <w:t xml:space="preserve">to sulla base del fatto che l'impianto non era stato completato entro il 31 dicembre 2010, venendo pertanto meno la stessa ammissibilità della domanda di incentivo e l’impresa aveva richiesto l’accesso alle tariffe </w:t>
      </w:r>
      <w:r>
        <w:rPr>
          <w:rFonts w:ascii="Garamond" w:hAnsi="Garamond" w:cs="Times New Roman"/>
          <w:color w:val="000000" w:themeColor="text1"/>
          <w:sz w:val="28"/>
          <w:szCs w:val="28"/>
        </w:rPr>
        <w:t>incentivanti</w:t>
      </w:r>
      <w:r w:rsidRPr="00D82D53">
        <w:rPr>
          <w:rFonts w:ascii="Garamond" w:hAnsi="Garamond" w:cs="Times New Roman"/>
          <w:color w:val="000000" w:themeColor="text1"/>
          <w:sz w:val="28"/>
          <w:szCs w:val="28"/>
        </w:rPr>
        <w:t xml:space="preserve"> di cui al successivo terzo conto </w:t>
      </w:r>
      <w:r>
        <w:rPr>
          <w:rFonts w:ascii="Garamond" w:hAnsi="Garamond" w:cs="Times New Roman"/>
          <w:color w:val="000000" w:themeColor="text1"/>
          <w:sz w:val="28"/>
          <w:szCs w:val="28"/>
        </w:rPr>
        <w:t>energia</w:t>
      </w:r>
      <w:r w:rsidRPr="00D82D53">
        <w:rPr>
          <w:rFonts w:ascii="Garamond" w:hAnsi="Garamond" w:cs="Times New Roman"/>
          <w:color w:val="000000" w:themeColor="text1"/>
          <w:sz w:val="28"/>
          <w:szCs w:val="28"/>
        </w:rPr>
        <w:t>).</w:t>
      </w:r>
    </w:p>
    <w:p w:rsidR="007B4920" w:rsidRDefault="007B4920" w:rsidP="007B4920">
      <w:pPr>
        <w:spacing w:line="240" w:lineRule="auto"/>
        <w:contextualSpacing/>
        <w:jc w:val="both"/>
        <w:rPr>
          <w:rFonts w:ascii="Garamond" w:hAnsi="Garamond" w:cs="Times New Roman"/>
          <w:color w:val="000000" w:themeColor="text1"/>
          <w:sz w:val="28"/>
          <w:szCs w:val="28"/>
        </w:rPr>
      </w:pPr>
    </w:p>
    <w:p w:rsidR="007B4920" w:rsidRPr="00826B56"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12. </w:t>
      </w:r>
      <w:r w:rsidRPr="00826B56">
        <w:rPr>
          <w:rFonts w:ascii="Garamond" w:hAnsi="Garamond" w:cs="Times New Roman"/>
          <w:b/>
          <w:color w:val="000000" w:themeColor="text1"/>
          <w:sz w:val="28"/>
          <w:szCs w:val="28"/>
        </w:rPr>
        <w:t xml:space="preserve">Divieto di cumulo delle tariffe </w:t>
      </w:r>
      <w:r>
        <w:rPr>
          <w:rFonts w:ascii="Garamond" w:hAnsi="Garamond" w:cs="Times New Roman"/>
          <w:b/>
          <w:color w:val="000000" w:themeColor="text1"/>
          <w:sz w:val="28"/>
          <w:szCs w:val="28"/>
        </w:rPr>
        <w:t>incentivanti</w:t>
      </w:r>
      <w:r w:rsidRPr="00826B56">
        <w:rPr>
          <w:rFonts w:ascii="Garamond" w:hAnsi="Garamond" w:cs="Times New Roman"/>
          <w:b/>
          <w:color w:val="000000" w:themeColor="text1"/>
          <w:sz w:val="28"/>
          <w:szCs w:val="28"/>
        </w:rPr>
        <w:t xml:space="preserve"> e della detassazione</w:t>
      </w:r>
      <w:r>
        <w:rPr>
          <w:rFonts w:ascii="Garamond" w:hAnsi="Garamond" w:cs="Times New Roman"/>
          <w:b/>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i/>
          <w:color w:val="000000" w:themeColor="text1"/>
          <w:sz w:val="28"/>
          <w:szCs w:val="28"/>
        </w:rPr>
      </w:pPr>
      <w:r>
        <w:rPr>
          <w:rFonts w:ascii="Garamond" w:hAnsi="Garamond" w:cs="Times New Roman"/>
          <w:color w:val="000000" w:themeColor="text1"/>
          <w:sz w:val="28"/>
          <w:szCs w:val="28"/>
        </w:rPr>
        <w:t>L</w:t>
      </w:r>
      <w:r w:rsidRPr="00826B56">
        <w:rPr>
          <w:rFonts w:ascii="Garamond" w:hAnsi="Garamond" w:cs="Times New Roman"/>
          <w:color w:val="000000" w:themeColor="text1"/>
          <w:sz w:val="28"/>
          <w:szCs w:val="28"/>
        </w:rPr>
        <w:t>’art. 36</w:t>
      </w:r>
      <w:r>
        <w:rPr>
          <w:rFonts w:ascii="Garamond" w:hAnsi="Garamond" w:cs="Times New Roman"/>
          <w:color w:val="000000" w:themeColor="text1"/>
          <w:sz w:val="28"/>
          <w:szCs w:val="28"/>
        </w:rPr>
        <w:t xml:space="preserve"> d.l. 26 ottobre 2019, n.124, </w:t>
      </w:r>
      <w:r w:rsidRPr="00826B56">
        <w:rPr>
          <w:rFonts w:ascii="Garamond" w:hAnsi="Garamond" w:cs="Times New Roman"/>
          <w:color w:val="000000" w:themeColor="text1"/>
          <w:sz w:val="28"/>
          <w:szCs w:val="28"/>
        </w:rPr>
        <w:t>convertito dalla l.</w:t>
      </w:r>
      <w:r>
        <w:rPr>
          <w:rFonts w:ascii="Garamond" w:hAnsi="Garamond" w:cs="Times New Roman"/>
          <w:color w:val="000000" w:themeColor="text1"/>
          <w:sz w:val="28"/>
          <w:szCs w:val="28"/>
        </w:rPr>
        <w:t xml:space="preserve"> 19 dicembre 2019 </w:t>
      </w:r>
      <w:r w:rsidRPr="00826B56">
        <w:rPr>
          <w:rFonts w:ascii="Garamond" w:hAnsi="Garamond" w:cs="Times New Roman"/>
          <w:color w:val="000000" w:themeColor="text1"/>
          <w:sz w:val="28"/>
          <w:szCs w:val="28"/>
        </w:rPr>
        <w:t>n. 157</w:t>
      </w:r>
      <w:r>
        <w:rPr>
          <w:rFonts w:ascii="Garamond" w:hAnsi="Garamond" w:cs="Times New Roman"/>
          <w:color w:val="000000" w:themeColor="text1"/>
          <w:sz w:val="28"/>
          <w:szCs w:val="28"/>
        </w:rPr>
        <w:t>, ha previsto il divieto di cumulo delle tariffe incentivanti di cui al terzo, quarto, e quinto conto energia con la detassazione prevista per investimenti ambientali, disciplinando le modalità e le condizioni per il mantenimento delle tariffe.</w:t>
      </w:r>
      <w:r w:rsidRPr="00DF1D54">
        <w:rPr>
          <w:rFonts w:ascii="Garamond" w:hAnsi="Garamond" w:cs="Times New Roman"/>
          <w:i/>
          <w:color w:val="000000" w:themeColor="text1"/>
          <w:sz w:val="28"/>
          <w:szCs w:val="28"/>
        </w:rPr>
        <w:t xml:space="preserve"> </w:t>
      </w:r>
    </w:p>
    <w:p w:rsidR="007B4920" w:rsidRPr="00EF0E3A"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Pertanto, in tema di versamento Ires, </w:t>
      </w:r>
      <w:r w:rsidRPr="00562F89">
        <w:rPr>
          <w:rFonts w:ascii="Garamond" w:hAnsi="Garamond" w:cs="Times New Roman"/>
          <w:color w:val="000000" w:themeColor="text1"/>
          <w:sz w:val="28"/>
          <w:szCs w:val="28"/>
        </w:rPr>
        <w:t>per le imprese realizzat</w:t>
      </w:r>
      <w:r>
        <w:rPr>
          <w:rFonts w:ascii="Garamond" w:hAnsi="Garamond" w:cs="Times New Roman"/>
          <w:color w:val="000000" w:themeColor="text1"/>
          <w:sz w:val="28"/>
          <w:szCs w:val="28"/>
        </w:rPr>
        <w:t xml:space="preserve">rici di impianti fotovoltaici, il menzionato </w:t>
      </w:r>
      <w:r w:rsidRPr="00562F89">
        <w:rPr>
          <w:rFonts w:ascii="Garamond" w:hAnsi="Garamond" w:cs="Times New Roman"/>
          <w:color w:val="000000" w:themeColor="text1"/>
          <w:sz w:val="28"/>
          <w:szCs w:val="28"/>
        </w:rPr>
        <w:t xml:space="preserve">art. 36 ha sancito </w:t>
      </w:r>
      <w:r w:rsidRPr="00826B56">
        <w:rPr>
          <w:rFonts w:ascii="Garamond" w:hAnsi="Garamond" w:cs="Times New Roman"/>
          <w:color w:val="000000" w:themeColor="text1"/>
          <w:sz w:val="28"/>
          <w:szCs w:val="28"/>
        </w:rPr>
        <w:t xml:space="preserve">il divieto di cumulo degli incentivi di cui al </w:t>
      </w:r>
      <w:r>
        <w:rPr>
          <w:rFonts w:ascii="Garamond" w:hAnsi="Garamond" w:cs="Times New Roman"/>
          <w:color w:val="000000" w:themeColor="text1"/>
          <w:sz w:val="28"/>
          <w:szCs w:val="28"/>
        </w:rPr>
        <w:t xml:space="preserve">Terzo, Quarto e </w:t>
      </w:r>
      <w:r w:rsidRPr="00826B56">
        <w:rPr>
          <w:rFonts w:ascii="Garamond" w:hAnsi="Garamond" w:cs="Times New Roman"/>
          <w:color w:val="000000" w:themeColor="text1"/>
          <w:sz w:val="28"/>
          <w:szCs w:val="28"/>
        </w:rPr>
        <w:t xml:space="preserve">Quinto Conto </w:t>
      </w:r>
      <w:r>
        <w:rPr>
          <w:rFonts w:ascii="Garamond" w:hAnsi="Garamond" w:cs="Times New Roman"/>
          <w:color w:val="000000" w:themeColor="text1"/>
          <w:sz w:val="28"/>
          <w:szCs w:val="28"/>
        </w:rPr>
        <w:t>energia</w:t>
      </w:r>
      <w:r w:rsidRPr="00826B56">
        <w:rPr>
          <w:rFonts w:ascii="Garamond" w:hAnsi="Garamond" w:cs="Times New Roman"/>
          <w:color w:val="000000" w:themeColor="text1"/>
          <w:sz w:val="28"/>
          <w:szCs w:val="28"/>
        </w:rPr>
        <w:t>, con la detassazione per investimenti ambientali prevista dall'art. 6, commi da 13 a 19, della l.</w:t>
      </w:r>
      <w:r>
        <w:rPr>
          <w:rFonts w:ascii="Garamond" w:hAnsi="Garamond" w:cs="Times New Roman"/>
          <w:color w:val="000000" w:themeColor="text1"/>
          <w:sz w:val="28"/>
          <w:szCs w:val="28"/>
        </w:rPr>
        <w:t xml:space="preserve"> n. 388 del 2000 (cd. Tremonti a</w:t>
      </w:r>
      <w:r w:rsidRPr="00826B56">
        <w:rPr>
          <w:rFonts w:ascii="Garamond" w:hAnsi="Garamond" w:cs="Times New Roman"/>
          <w:color w:val="000000" w:themeColor="text1"/>
          <w:sz w:val="28"/>
          <w:szCs w:val="28"/>
        </w:rPr>
        <w:t xml:space="preserve">mbientale); ne consegue che le imprese che si trovino in dette condizioni possono continuare a fruire delle tariffe </w:t>
      </w:r>
      <w:r>
        <w:rPr>
          <w:rFonts w:ascii="Garamond" w:hAnsi="Garamond" w:cs="Times New Roman"/>
          <w:color w:val="000000" w:themeColor="text1"/>
          <w:sz w:val="28"/>
          <w:szCs w:val="28"/>
        </w:rPr>
        <w:t>incentivanti</w:t>
      </w:r>
      <w:r w:rsidRPr="00826B56">
        <w:rPr>
          <w:rFonts w:ascii="Garamond" w:hAnsi="Garamond" w:cs="Times New Roman"/>
          <w:color w:val="000000" w:themeColor="text1"/>
          <w:sz w:val="28"/>
          <w:szCs w:val="28"/>
        </w:rPr>
        <w:t xml:space="preserve"> solo rinunciando alla detassazione per investimenti ambientali e provvedendo al pagamento dell'imposta non versata</w:t>
      </w:r>
      <w:r>
        <w:rPr>
          <w:rFonts w:ascii="Garamond" w:hAnsi="Garamond" w:cs="Times New Roman"/>
          <w:color w:val="000000" w:themeColor="text1"/>
          <w:sz w:val="28"/>
          <w:szCs w:val="28"/>
        </w:rPr>
        <w:t xml:space="preserve"> [(Cass. civ., sez. trib., ord</w:t>
      </w:r>
      <w:r w:rsidRPr="00826B56">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n. 15451 del 2023 che ha cassato (e deciso nel merito) </w:t>
      </w:r>
      <w:r w:rsidRPr="00562F89">
        <w:rPr>
          <w:rFonts w:ascii="Garamond" w:hAnsi="Garamond" w:cs="Times New Roman"/>
          <w:color w:val="000000" w:themeColor="text1"/>
          <w:sz w:val="28"/>
          <w:szCs w:val="28"/>
        </w:rPr>
        <w:t>Comm.</w:t>
      </w:r>
      <w:r>
        <w:rPr>
          <w:rFonts w:ascii="Garamond" w:hAnsi="Garamond" w:cs="Times New Roman"/>
          <w:color w:val="000000" w:themeColor="text1"/>
          <w:sz w:val="28"/>
          <w:szCs w:val="28"/>
        </w:rPr>
        <w:t xml:space="preserve"> </w:t>
      </w:r>
      <w:r w:rsidRPr="00562F89">
        <w:rPr>
          <w:rFonts w:ascii="Garamond" w:hAnsi="Garamond" w:cs="Times New Roman"/>
          <w:color w:val="000000" w:themeColor="text1"/>
          <w:sz w:val="28"/>
          <w:szCs w:val="28"/>
        </w:rPr>
        <w:t>trib.</w:t>
      </w:r>
      <w:r>
        <w:rPr>
          <w:rFonts w:ascii="Garamond" w:hAnsi="Garamond" w:cs="Times New Roman"/>
          <w:color w:val="000000" w:themeColor="text1"/>
          <w:sz w:val="28"/>
          <w:szCs w:val="28"/>
        </w:rPr>
        <w:t xml:space="preserve"> </w:t>
      </w:r>
      <w:r w:rsidRPr="00562F89">
        <w:rPr>
          <w:rFonts w:ascii="Garamond" w:hAnsi="Garamond" w:cs="Times New Roman"/>
          <w:color w:val="000000" w:themeColor="text1"/>
          <w:sz w:val="28"/>
          <w:szCs w:val="28"/>
        </w:rPr>
        <w:t>reg.</w:t>
      </w:r>
      <w:r>
        <w:rPr>
          <w:rFonts w:ascii="Garamond" w:hAnsi="Garamond" w:cs="Times New Roman"/>
          <w:color w:val="000000" w:themeColor="text1"/>
          <w:sz w:val="28"/>
          <w:szCs w:val="28"/>
        </w:rPr>
        <w:t xml:space="preserve"> se</w:t>
      </w:r>
      <w:r w:rsidRPr="00562F89">
        <w:rPr>
          <w:rFonts w:ascii="Garamond" w:hAnsi="Garamond" w:cs="Times New Roman"/>
          <w:color w:val="000000" w:themeColor="text1"/>
          <w:sz w:val="28"/>
          <w:szCs w:val="28"/>
        </w:rPr>
        <w:t>z.</w:t>
      </w:r>
      <w:r>
        <w:rPr>
          <w:rFonts w:ascii="Garamond" w:hAnsi="Garamond" w:cs="Times New Roman"/>
          <w:color w:val="000000" w:themeColor="text1"/>
          <w:sz w:val="28"/>
          <w:szCs w:val="28"/>
        </w:rPr>
        <w:t xml:space="preserve"> dist. Brescia, 22 giugno </w:t>
      </w:r>
      <w:r w:rsidRPr="00562F89">
        <w:rPr>
          <w:rFonts w:ascii="Garamond" w:hAnsi="Garamond" w:cs="Times New Roman"/>
          <w:color w:val="000000" w:themeColor="text1"/>
          <w:sz w:val="28"/>
          <w:szCs w:val="28"/>
        </w:rPr>
        <w:t>2020</w:t>
      </w:r>
      <w:r>
        <w:rPr>
          <w:rFonts w:ascii="Garamond" w:hAnsi="Garamond" w:cs="Times New Roman"/>
          <w:color w:val="000000" w:themeColor="text1"/>
          <w:sz w:val="28"/>
          <w:szCs w:val="28"/>
        </w:rPr>
        <w:t>)].</w:t>
      </w:r>
    </w:p>
    <w:p w:rsidR="007B4920" w:rsidRDefault="007B4920" w:rsidP="007B4920">
      <w:pPr>
        <w:spacing w:line="240" w:lineRule="auto"/>
        <w:ind w:left="360"/>
        <w:jc w:val="both"/>
        <w:rPr>
          <w:rFonts w:ascii="Garamond" w:hAnsi="Garamond" w:cs="Times New Roman"/>
          <w:b/>
          <w:color w:val="000000" w:themeColor="text1"/>
          <w:sz w:val="28"/>
          <w:szCs w:val="28"/>
        </w:rPr>
      </w:pPr>
    </w:p>
    <w:p w:rsidR="007B4920" w:rsidRPr="00D82D53" w:rsidRDefault="007B4920" w:rsidP="007B4920">
      <w:pPr>
        <w:spacing w:line="240" w:lineRule="auto"/>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13. </w:t>
      </w:r>
      <w:r w:rsidRPr="00D82D53">
        <w:rPr>
          <w:rFonts w:ascii="Garamond" w:hAnsi="Garamond" w:cs="Times New Roman"/>
          <w:b/>
          <w:color w:val="000000" w:themeColor="text1"/>
          <w:sz w:val="28"/>
          <w:szCs w:val="28"/>
        </w:rPr>
        <w:t>La forza vincolante delle regole tecniche dettate dal G.s.e.</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9F108A">
        <w:rPr>
          <w:rFonts w:ascii="Garamond" w:hAnsi="Garamond" w:cs="Times New Roman"/>
          <w:color w:val="000000" w:themeColor="text1"/>
          <w:sz w:val="28"/>
          <w:szCs w:val="28"/>
        </w:rPr>
        <w:lastRenderedPageBreak/>
        <w:t>Secondo la giurisprudenza</w:t>
      </w:r>
      <w:r>
        <w:rPr>
          <w:rFonts w:ascii="Garamond" w:hAnsi="Garamond" w:cs="Times New Roman"/>
          <w:color w:val="000000" w:themeColor="text1"/>
          <w:sz w:val="28"/>
          <w:szCs w:val="28"/>
        </w:rPr>
        <w:t xml:space="preserve"> amministrativa</w:t>
      </w:r>
      <w:r w:rsidRPr="009F108A">
        <w:rPr>
          <w:rFonts w:ascii="Garamond" w:hAnsi="Garamond" w:cs="Times New Roman"/>
          <w:color w:val="000000" w:themeColor="text1"/>
          <w:sz w:val="28"/>
          <w:szCs w:val="28"/>
        </w:rPr>
        <w:t xml:space="preserve"> le regole tecniche dettate dal G</w:t>
      </w:r>
      <w:r>
        <w:rPr>
          <w:rFonts w:ascii="Garamond" w:hAnsi="Garamond" w:cs="Times New Roman"/>
          <w:color w:val="000000" w:themeColor="text1"/>
          <w:sz w:val="28"/>
          <w:szCs w:val="28"/>
        </w:rPr>
        <w:t>.</w:t>
      </w:r>
      <w:r w:rsidRPr="009F108A">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9F108A">
        <w:rPr>
          <w:rFonts w:ascii="Garamond" w:hAnsi="Garamond" w:cs="Times New Roman"/>
          <w:color w:val="000000" w:themeColor="text1"/>
          <w:sz w:val="28"/>
          <w:szCs w:val="28"/>
        </w:rPr>
        <w:t>e</w:t>
      </w:r>
      <w:r>
        <w:rPr>
          <w:rFonts w:ascii="Garamond" w:hAnsi="Garamond" w:cs="Times New Roman"/>
          <w:color w:val="000000" w:themeColor="text1"/>
          <w:sz w:val="28"/>
          <w:szCs w:val="28"/>
        </w:rPr>
        <w:t>. costituisco</w:t>
      </w:r>
      <w:r w:rsidRPr="009F108A">
        <w:rPr>
          <w:rFonts w:ascii="Garamond" w:hAnsi="Garamond" w:cs="Times New Roman"/>
          <w:color w:val="000000" w:themeColor="text1"/>
          <w:sz w:val="28"/>
          <w:szCs w:val="28"/>
        </w:rPr>
        <w:t>no uno sviluppo ragionevole del comp</w:t>
      </w:r>
      <w:r>
        <w:rPr>
          <w:rFonts w:ascii="Garamond" w:hAnsi="Garamond" w:cs="Times New Roman"/>
          <w:color w:val="000000" w:themeColor="text1"/>
          <w:sz w:val="28"/>
          <w:szCs w:val="28"/>
        </w:rPr>
        <w:t xml:space="preserve">endio normativo di riferimento. Pertanto </w:t>
      </w:r>
      <w:r w:rsidRPr="007E2309">
        <w:rPr>
          <w:rFonts w:ascii="Garamond" w:hAnsi="Garamond" w:cs="Times New Roman"/>
          <w:color w:val="000000" w:themeColor="text1"/>
          <w:sz w:val="28"/>
          <w:szCs w:val="28"/>
        </w:rPr>
        <w:t>alle</w:t>
      </w:r>
      <w:r>
        <w:rPr>
          <w:rFonts w:ascii="Garamond" w:hAnsi="Garamond" w:cs="Times New Roman"/>
          <w:color w:val="000000" w:themeColor="text1"/>
          <w:sz w:val="28"/>
          <w:szCs w:val="28"/>
        </w:rPr>
        <w:t xml:space="preserve"> norme </w:t>
      </w:r>
      <w:r w:rsidRPr="007E2309">
        <w:rPr>
          <w:rFonts w:ascii="Garamond" w:hAnsi="Garamond" w:cs="Times New Roman"/>
          <w:color w:val="000000" w:themeColor="text1"/>
          <w:sz w:val="28"/>
          <w:szCs w:val="28"/>
        </w:rPr>
        <w:t>che fissano i r</w:t>
      </w:r>
      <w:r>
        <w:rPr>
          <w:rFonts w:ascii="Garamond" w:hAnsi="Garamond" w:cs="Times New Roman"/>
          <w:color w:val="000000" w:themeColor="text1"/>
          <w:sz w:val="28"/>
          <w:szCs w:val="28"/>
        </w:rPr>
        <w:t xml:space="preserve">equisiti tecnici degli impianti </w:t>
      </w:r>
      <w:r w:rsidRPr="007E2309">
        <w:rPr>
          <w:rFonts w:ascii="Garamond" w:hAnsi="Garamond" w:cs="Times New Roman"/>
          <w:color w:val="000000" w:themeColor="text1"/>
          <w:sz w:val="28"/>
          <w:szCs w:val="28"/>
        </w:rPr>
        <w:t>va riconosciuta valenza vincolante, e</w:t>
      </w:r>
      <w:r>
        <w:rPr>
          <w:rFonts w:ascii="Garamond" w:hAnsi="Garamond" w:cs="Times New Roman"/>
          <w:color w:val="000000" w:themeColor="text1"/>
          <w:sz w:val="28"/>
          <w:szCs w:val="28"/>
        </w:rPr>
        <w:t>,</w:t>
      </w:r>
      <w:r w:rsidRPr="007E2309">
        <w:rPr>
          <w:rFonts w:ascii="Garamond" w:hAnsi="Garamond" w:cs="Times New Roman"/>
          <w:color w:val="000000" w:themeColor="text1"/>
          <w:sz w:val="28"/>
          <w:szCs w:val="28"/>
        </w:rPr>
        <w:t xml:space="preserve"> per quanto riguarda  i requisi</w:t>
      </w:r>
      <w:r>
        <w:rPr>
          <w:rFonts w:ascii="Garamond" w:hAnsi="Garamond" w:cs="Times New Roman"/>
          <w:color w:val="000000" w:themeColor="text1"/>
          <w:sz w:val="28"/>
          <w:szCs w:val="28"/>
        </w:rPr>
        <w:t xml:space="preserve">ti degli impianti fotovoltaici, tale valenza vincolante va riconosciuta alla </w:t>
      </w:r>
      <w:r w:rsidRPr="007E2309">
        <w:rPr>
          <w:rFonts w:ascii="Garamond" w:hAnsi="Garamond" w:cs="Times New Roman"/>
          <w:color w:val="000000" w:themeColor="text1"/>
          <w:sz w:val="28"/>
          <w:szCs w:val="28"/>
        </w:rPr>
        <w:t>"</w:t>
      </w:r>
      <w:r w:rsidRPr="007E2309">
        <w:rPr>
          <w:rFonts w:ascii="Garamond" w:hAnsi="Garamond" w:cs="Times New Roman"/>
          <w:i/>
          <w:color w:val="000000" w:themeColor="text1"/>
          <w:sz w:val="28"/>
          <w:szCs w:val="28"/>
        </w:rPr>
        <w:t>Guida agli interventi validi ai fini del riconoscimento dell'integrazione architettonica del fotovoltaico</w:t>
      </w:r>
      <w:r w:rsidRPr="007E2309">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integrando i requisiti  previsti per la concessione dei benefici quale impianto totalmente integrato, anche prima  dell’entrata in vigore del d.m. 6 agosto </w:t>
      </w:r>
      <w:r w:rsidRPr="00287290">
        <w:rPr>
          <w:rFonts w:ascii="Garamond" w:hAnsi="Garamond" w:cs="Times New Roman"/>
          <w:color w:val="000000" w:themeColor="text1"/>
          <w:sz w:val="28"/>
          <w:szCs w:val="28"/>
        </w:rPr>
        <w:t xml:space="preserve">2010 </w:t>
      </w:r>
      <w:r>
        <w:rPr>
          <w:rFonts w:ascii="Garamond" w:hAnsi="Garamond" w:cs="Times New Roman"/>
          <w:color w:val="000000" w:themeColor="text1"/>
          <w:sz w:val="28"/>
          <w:szCs w:val="28"/>
        </w:rPr>
        <w:t xml:space="preserve"> [</w:t>
      </w:r>
      <w:r w:rsidRPr="00756FBC">
        <w:rPr>
          <w:rFonts w:ascii="Garamond" w:hAnsi="Garamond" w:cs="Times New Roman"/>
          <w:color w:val="000000" w:themeColor="text1"/>
          <w:sz w:val="28"/>
          <w:szCs w:val="28"/>
        </w:rPr>
        <w:t>Cons. Stato, sez. IV,  n. 2817 del 2022</w:t>
      </w:r>
      <w:r>
        <w:rPr>
          <w:rFonts w:ascii="Garamond" w:hAnsi="Garamond" w:cs="Times New Roman"/>
          <w:color w:val="000000" w:themeColor="text1"/>
          <w:sz w:val="28"/>
          <w:szCs w:val="28"/>
        </w:rPr>
        <w:t xml:space="preserve">, con richiamo a </w:t>
      </w:r>
      <w:r w:rsidRPr="00750BF3">
        <w:rPr>
          <w:rFonts w:ascii="Garamond" w:hAnsi="Garamond" w:cs="Times New Roman"/>
          <w:color w:val="000000" w:themeColor="text1"/>
          <w:sz w:val="28"/>
          <w:szCs w:val="28"/>
        </w:rPr>
        <w:t>Cons</w:t>
      </w:r>
      <w:r>
        <w:rPr>
          <w:rFonts w:ascii="Garamond" w:hAnsi="Garamond" w:cs="Times New Roman"/>
          <w:color w:val="000000" w:themeColor="text1"/>
          <w:sz w:val="28"/>
          <w:szCs w:val="28"/>
        </w:rPr>
        <w:t>.</w:t>
      </w:r>
      <w:r w:rsidRPr="00750BF3">
        <w:rPr>
          <w:rFonts w:ascii="Garamond" w:hAnsi="Garamond" w:cs="Times New Roman"/>
          <w:color w:val="000000" w:themeColor="text1"/>
          <w:sz w:val="28"/>
          <w:szCs w:val="28"/>
        </w:rPr>
        <w:t xml:space="preserve"> Stato, sez. IV, n. 21</w:t>
      </w:r>
      <w:r>
        <w:rPr>
          <w:rFonts w:ascii="Garamond" w:hAnsi="Garamond" w:cs="Times New Roman"/>
          <w:color w:val="000000" w:themeColor="text1"/>
          <w:sz w:val="28"/>
          <w:szCs w:val="28"/>
        </w:rPr>
        <w:t xml:space="preserve">24 del 2018;  nella fattispecie non risultava rispettato il requisito della distanza minima di 2 metri dal suolo (il Consiglio di Stato ha al riguardo riformato la sentenza del T.a.r. per il Lazio,  sez. III,  n. 9400 del </w:t>
      </w:r>
      <w:r w:rsidRPr="00CC1AC3">
        <w:rPr>
          <w:rFonts w:ascii="Garamond" w:hAnsi="Garamond" w:cs="Times New Roman"/>
          <w:color w:val="000000" w:themeColor="text1"/>
          <w:sz w:val="28"/>
          <w:szCs w:val="28"/>
        </w:rPr>
        <w:t>2014</w:t>
      </w:r>
      <w:r>
        <w:rPr>
          <w:rFonts w:ascii="Garamond" w:hAnsi="Garamond" w:cs="Times New Roman"/>
          <w:color w:val="000000" w:themeColor="text1"/>
          <w:sz w:val="28"/>
          <w:szCs w:val="28"/>
        </w:rPr>
        <w:t xml:space="preserve">,  che aveva </w:t>
      </w:r>
      <w:r w:rsidRPr="00CC1AC3">
        <w:rPr>
          <w:rFonts w:ascii="Garamond" w:hAnsi="Garamond" w:cs="Times New Roman"/>
          <w:color w:val="000000" w:themeColor="text1"/>
          <w:sz w:val="28"/>
          <w:szCs w:val="28"/>
        </w:rPr>
        <w:t xml:space="preserve">accolto il ricorso </w:t>
      </w:r>
      <w:r>
        <w:rPr>
          <w:rFonts w:ascii="Garamond" w:hAnsi="Garamond" w:cs="Times New Roman"/>
          <w:color w:val="000000" w:themeColor="text1"/>
          <w:sz w:val="28"/>
          <w:szCs w:val="28"/>
        </w:rPr>
        <w:t xml:space="preserve">per </w:t>
      </w:r>
      <w:r w:rsidRPr="00CC1AC3">
        <w:rPr>
          <w:rFonts w:ascii="Garamond" w:hAnsi="Garamond" w:cs="Times New Roman"/>
          <w:color w:val="000000" w:themeColor="text1"/>
          <w:sz w:val="28"/>
          <w:szCs w:val="28"/>
        </w:rPr>
        <w:t>violazione de</w:t>
      </w:r>
      <w:r>
        <w:rPr>
          <w:rFonts w:ascii="Garamond" w:hAnsi="Garamond" w:cs="Times New Roman"/>
          <w:color w:val="000000" w:themeColor="text1"/>
          <w:sz w:val="28"/>
          <w:szCs w:val="28"/>
        </w:rPr>
        <w:t xml:space="preserve">ll’art. 2 e dell’Allegato 3 al d.m. 19.02.2007, ritenendo </w:t>
      </w:r>
      <w:r w:rsidRPr="00CC1AC3">
        <w:rPr>
          <w:rFonts w:ascii="Garamond" w:hAnsi="Garamond" w:cs="Times New Roman"/>
          <w:color w:val="000000" w:themeColor="text1"/>
          <w:sz w:val="28"/>
          <w:szCs w:val="28"/>
        </w:rPr>
        <w:t>condivisibile l'assunto della ricorrente secondo cui il requisito dell'altezza minima della pensilina, pari a mt, 2, al momento dell'entr</w:t>
      </w:r>
      <w:r>
        <w:rPr>
          <w:rFonts w:ascii="Garamond" w:hAnsi="Garamond" w:cs="Times New Roman"/>
          <w:color w:val="000000" w:themeColor="text1"/>
          <w:sz w:val="28"/>
          <w:szCs w:val="28"/>
        </w:rPr>
        <w:t xml:space="preserve">ata in esercizio dell'impianto </w:t>
      </w:r>
      <w:r w:rsidRPr="00CC1AC3">
        <w:rPr>
          <w:rFonts w:ascii="Garamond" w:hAnsi="Garamond" w:cs="Times New Roman"/>
          <w:color w:val="000000" w:themeColor="text1"/>
          <w:sz w:val="28"/>
          <w:szCs w:val="28"/>
        </w:rPr>
        <w:t xml:space="preserve">non era ancora vincolante in quanto non contemplato </w:t>
      </w:r>
      <w:r>
        <w:rPr>
          <w:rFonts w:ascii="Garamond" w:hAnsi="Garamond" w:cs="Times New Roman"/>
          <w:color w:val="000000" w:themeColor="text1"/>
          <w:sz w:val="28"/>
          <w:szCs w:val="28"/>
        </w:rPr>
        <w:t xml:space="preserve">da tale d.m. </w:t>
      </w:r>
      <w:r w:rsidRPr="00CC1AC3">
        <w:rPr>
          <w:rFonts w:ascii="Garamond" w:hAnsi="Garamond" w:cs="Times New Roman"/>
          <w:color w:val="000000" w:themeColor="text1"/>
          <w:sz w:val="28"/>
          <w:szCs w:val="28"/>
        </w:rPr>
        <w:t>bensì soltanto</w:t>
      </w:r>
      <w:r>
        <w:rPr>
          <w:rFonts w:ascii="Garamond" w:hAnsi="Garamond" w:cs="Times New Roman"/>
          <w:color w:val="000000" w:themeColor="text1"/>
          <w:sz w:val="28"/>
          <w:szCs w:val="28"/>
        </w:rPr>
        <w:t xml:space="preserve"> dalla </w:t>
      </w:r>
      <w:r w:rsidRPr="00CC1AC3">
        <w:rPr>
          <w:rFonts w:ascii="Garamond" w:hAnsi="Garamond" w:cs="Times New Roman"/>
          <w:color w:val="000000" w:themeColor="text1"/>
          <w:sz w:val="28"/>
          <w:szCs w:val="28"/>
        </w:rPr>
        <w:t xml:space="preserve"> "</w:t>
      </w:r>
      <w:r w:rsidRPr="00844917">
        <w:rPr>
          <w:rFonts w:ascii="Garamond" w:hAnsi="Garamond" w:cs="Times New Roman"/>
          <w:i/>
          <w:color w:val="000000" w:themeColor="text1"/>
          <w:sz w:val="28"/>
          <w:szCs w:val="28"/>
        </w:rPr>
        <w:t>Guida</w:t>
      </w:r>
      <w:r>
        <w:rPr>
          <w:rFonts w:ascii="Garamond" w:hAnsi="Garamond" w:cs="Times New Roman"/>
          <w:color w:val="000000" w:themeColor="text1"/>
          <w:sz w:val="28"/>
          <w:szCs w:val="28"/>
        </w:rPr>
        <w:t>" pubblicata dal G.s.e.</w:t>
      </w:r>
      <w:r w:rsidRPr="00CC1AC3">
        <w:rPr>
          <w:rFonts w:ascii="Garamond" w:hAnsi="Garamond" w:cs="Times New Roman"/>
          <w:color w:val="000000" w:themeColor="text1"/>
          <w:sz w:val="28"/>
          <w:szCs w:val="28"/>
        </w:rPr>
        <w:t xml:space="preserve"> sul propri</w:t>
      </w:r>
      <w:r>
        <w:rPr>
          <w:rFonts w:ascii="Garamond" w:hAnsi="Garamond" w:cs="Times New Roman"/>
          <w:color w:val="000000" w:themeColor="text1"/>
          <w:sz w:val="28"/>
          <w:szCs w:val="28"/>
        </w:rPr>
        <w:t>o sito, le cui prescrizioni erano</w:t>
      </w:r>
      <w:r w:rsidRPr="00CC1AC3">
        <w:rPr>
          <w:rFonts w:ascii="Garamond" w:hAnsi="Garamond" w:cs="Times New Roman"/>
          <w:color w:val="000000" w:themeColor="text1"/>
          <w:sz w:val="28"/>
          <w:szCs w:val="28"/>
        </w:rPr>
        <w:t xml:space="preserve"> state recepite soltanto </w:t>
      </w:r>
      <w:r>
        <w:rPr>
          <w:rFonts w:ascii="Garamond" w:hAnsi="Garamond" w:cs="Times New Roman"/>
          <w:color w:val="000000" w:themeColor="text1"/>
          <w:sz w:val="28"/>
          <w:szCs w:val="28"/>
        </w:rPr>
        <w:t>successivamente</w:t>
      </w:r>
      <w:r w:rsidRPr="00CC1AC3">
        <w:rPr>
          <w:rFonts w:ascii="Garamond" w:hAnsi="Garamond" w:cs="Times New Roman"/>
          <w:color w:val="000000" w:themeColor="text1"/>
          <w:sz w:val="28"/>
          <w:szCs w:val="28"/>
        </w:rPr>
        <w:t xml:space="preserve"> in un atto normativo e, pr</w:t>
      </w:r>
      <w:r>
        <w:rPr>
          <w:rFonts w:ascii="Garamond" w:hAnsi="Garamond" w:cs="Times New Roman"/>
          <w:color w:val="000000" w:themeColor="text1"/>
          <w:sz w:val="28"/>
          <w:szCs w:val="28"/>
        </w:rPr>
        <w:t>ecisamente, nell'art. 20 del d</w:t>
      </w:r>
      <w:r w:rsidRPr="00CC1AC3">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m. 6 agosto </w:t>
      </w:r>
      <w:r w:rsidRPr="00CC1AC3">
        <w:rPr>
          <w:rFonts w:ascii="Garamond" w:hAnsi="Garamond" w:cs="Times New Roman"/>
          <w:color w:val="000000" w:themeColor="text1"/>
          <w:sz w:val="28"/>
          <w:szCs w:val="28"/>
        </w:rPr>
        <w:t>2010</w:t>
      </w:r>
      <w:r>
        <w:rPr>
          <w:rFonts w:ascii="Garamond" w:hAnsi="Garamond" w:cs="Times New Roman"/>
          <w:color w:val="000000" w:themeColor="text1"/>
          <w:sz w:val="28"/>
          <w:szCs w:val="28"/>
        </w:rPr>
        <w:t>)</w:t>
      </w:r>
      <w:r w:rsidRPr="00756FBC">
        <w:rPr>
          <w:rFonts w:ascii="Garamond" w:hAnsi="Garamond" w:cs="Times New Roman"/>
          <w:color w:val="000000" w:themeColor="text1"/>
          <w:sz w:val="28"/>
          <w:szCs w:val="28"/>
        </w:rPr>
        <w:t xml:space="preserve">; Cons. </w:t>
      </w:r>
      <w:r>
        <w:rPr>
          <w:rFonts w:ascii="Garamond" w:hAnsi="Garamond" w:cs="Times New Roman"/>
          <w:color w:val="000000" w:themeColor="text1"/>
          <w:sz w:val="28"/>
          <w:szCs w:val="28"/>
        </w:rPr>
        <w:t xml:space="preserve">Stato, sez. IV, n. 8706 del 2019 in relazione a fattispecie in cui non erano previsti </w:t>
      </w:r>
      <w:r w:rsidRPr="00756FBC">
        <w:rPr>
          <w:rFonts w:ascii="Garamond" w:hAnsi="Garamond" w:cs="Times New Roman"/>
          <w:color w:val="000000" w:themeColor="text1"/>
          <w:sz w:val="28"/>
          <w:szCs w:val="28"/>
        </w:rPr>
        <w:t xml:space="preserve">sistemi di raccordo tra l’impianto e la copertura, conformi a quanto previsto dalla </w:t>
      </w:r>
      <w:r>
        <w:rPr>
          <w:rFonts w:ascii="Garamond" w:hAnsi="Garamond" w:cs="Times New Roman"/>
          <w:color w:val="000000" w:themeColor="text1"/>
          <w:sz w:val="28"/>
          <w:szCs w:val="28"/>
        </w:rPr>
        <w:t>“</w:t>
      </w:r>
      <w:r w:rsidRPr="00844917">
        <w:rPr>
          <w:rFonts w:ascii="Garamond" w:hAnsi="Garamond" w:cs="Times New Roman"/>
          <w:i/>
          <w:color w:val="000000" w:themeColor="text1"/>
          <w:sz w:val="28"/>
          <w:szCs w:val="28"/>
        </w:rPr>
        <w:t>Guida</w:t>
      </w:r>
      <w:r>
        <w:rPr>
          <w:rFonts w:ascii="Garamond" w:hAnsi="Garamond" w:cs="Times New Roman"/>
          <w:color w:val="000000" w:themeColor="text1"/>
          <w:sz w:val="28"/>
          <w:szCs w:val="28"/>
        </w:rPr>
        <w:t>”</w:t>
      </w:r>
      <w:r w:rsidRPr="00756FBC">
        <w:rPr>
          <w:rFonts w:ascii="Garamond" w:hAnsi="Garamond" w:cs="Times New Roman"/>
          <w:color w:val="000000" w:themeColor="text1"/>
          <w:sz w:val="28"/>
          <w:szCs w:val="28"/>
        </w:rPr>
        <w:t xml:space="preserve"> per il riconoscimento della categoria di integrazione architettonica totale (tipologia specifica 1 – moduli fotovoltaici sostitutivi di materiali </w:t>
      </w:r>
      <w:r>
        <w:rPr>
          <w:rFonts w:ascii="Garamond" w:hAnsi="Garamond" w:cs="Times New Roman"/>
          <w:color w:val="000000" w:themeColor="text1"/>
          <w:sz w:val="28"/>
          <w:szCs w:val="28"/>
        </w:rPr>
        <w:t>di rivestimento degli edifici): il Consiglio di Stato ha al riguardo precisato che il d.m.</w:t>
      </w:r>
      <w:r w:rsidRPr="00CC1AC3">
        <w:rPr>
          <w:rFonts w:ascii="Garamond" w:hAnsi="Garamond" w:cs="Times New Roman"/>
          <w:color w:val="000000" w:themeColor="text1"/>
          <w:sz w:val="28"/>
          <w:szCs w:val="28"/>
        </w:rPr>
        <w:t xml:space="preserve"> 19 febbraio 2007 (recante “</w:t>
      </w:r>
      <w:r w:rsidRPr="00CC1AC3">
        <w:rPr>
          <w:rFonts w:ascii="Garamond" w:hAnsi="Garamond" w:cs="Times New Roman"/>
          <w:i/>
          <w:color w:val="000000" w:themeColor="text1"/>
          <w:sz w:val="28"/>
          <w:szCs w:val="28"/>
        </w:rPr>
        <w:t xml:space="preserve">Criteri e modalità per </w:t>
      </w:r>
      <w:r>
        <w:rPr>
          <w:rFonts w:ascii="Garamond" w:hAnsi="Garamond" w:cs="Times New Roman"/>
          <w:i/>
          <w:color w:val="000000" w:themeColor="text1"/>
          <w:sz w:val="28"/>
          <w:szCs w:val="28"/>
        </w:rPr>
        <w:t>incentivare</w:t>
      </w:r>
      <w:r w:rsidRPr="00CC1AC3">
        <w:rPr>
          <w:rFonts w:ascii="Garamond" w:hAnsi="Garamond" w:cs="Times New Roman"/>
          <w:i/>
          <w:color w:val="000000" w:themeColor="text1"/>
          <w:sz w:val="28"/>
          <w:szCs w:val="28"/>
        </w:rPr>
        <w:t xml:space="preserve"> la produzione di </w:t>
      </w:r>
      <w:r>
        <w:rPr>
          <w:rFonts w:ascii="Garamond" w:hAnsi="Garamond" w:cs="Times New Roman"/>
          <w:i/>
          <w:color w:val="000000" w:themeColor="text1"/>
          <w:sz w:val="28"/>
          <w:szCs w:val="28"/>
        </w:rPr>
        <w:t>energia</w:t>
      </w:r>
      <w:r w:rsidRPr="00CC1AC3">
        <w:rPr>
          <w:rFonts w:ascii="Garamond" w:hAnsi="Garamond" w:cs="Times New Roman"/>
          <w:i/>
          <w:color w:val="000000" w:themeColor="text1"/>
          <w:sz w:val="28"/>
          <w:szCs w:val="28"/>
        </w:rPr>
        <w:t xml:space="preserve"> elettrica mediante conversione fotovoltaica della fonte solare, in attuazione dell'articolo </w:t>
      </w:r>
      <w:r>
        <w:rPr>
          <w:rFonts w:ascii="Garamond" w:hAnsi="Garamond" w:cs="Times New Roman"/>
          <w:i/>
          <w:color w:val="000000" w:themeColor="text1"/>
          <w:sz w:val="28"/>
          <w:szCs w:val="28"/>
        </w:rPr>
        <w:t>7 del d.l</w:t>
      </w:r>
      <w:r w:rsidRPr="00CC1AC3">
        <w:rPr>
          <w:rFonts w:ascii="Garamond" w:hAnsi="Garamond" w:cs="Times New Roman"/>
          <w:i/>
          <w:color w:val="000000" w:themeColor="text1"/>
          <w:sz w:val="28"/>
          <w:szCs w:val="28"/>
        </w:rPr>
        <w:t>gs. 29 dicembre 2003, n. 387</w:t>
      </w:r>
      <w:r w:rsidRPr="00CC1AC3">
        <w:rPr>
          <w:rFonts w:ascii="Garamond" w:hAnsi="Garamond" w:cs="Times New Roman"/>
          <w:color w:val="000000" w:themeColor="text1"/>
          <w:sz w:val="28"/>
          <w:szCs w:val="28"/>
        </w:rPr>
        <w:t>”), prevede delle tariffe differenziate in misura direttamente proporzionale al maggior grado di integrazione architettonica dell’impianto fotovoltaico, all’evidente fine del contemperamento delle esigenze energetiche c</w:t>
      </w:r>
      <w:r>
        <w:rPr>
          <w:rFonts w:ascii="Garamond" w:hAnsi="Garamond" w:cs="Times New Roman"/>
          <w:color w:val="000000" w:themeColor="text1"/>
          <w:sz w:val="28"/>
          <w:szCs w:val="28"/>
        </w:rPr>
        <w:t xml:space="preserve">on quelle estetiche. </w:t>
      </w:r>
      <w:r w:rsidRPr="00CC1AC3">
        <w:rPr>
          <w:rFonts w:ascii="Garamond" w:hAnsi="Garamond" w:cs="Times New Roman"/>
          <w:color w:val="000000" w:themeColor="text1"/>
          <w:sz w:val="28"/>
          <w:szCs w:val="28"/>
        </w:rPr>
        <w:t>All’articolo 2, com</w:t>
      </w:r>
      <w:r>
        <w:rPr>
          <w:rFonts w:ascii="Garamond" w:hAnsi="Garamond" w:cs="Times New Roman"/>
          <w:color w:val="000000" w:themeColor="text1"/>
          <w:sz w:val="28"/>
          <w:szCs w:val="28"/>
        </w:rPr>
        <w:t>ma 1, lettera b3, del medesimo d.m</w:t>
      </w:r>
      <w:r w:rsidRPr="00CC1AC3">
        <w:rPr>
          <w:rFonts w:ascii="Garamond" w:hAnsi="Garamond" w:cs="Times New Roman"/>
          <w:color w:val="000000" w:themeColor="text1"/>
          <w:sz w:val="28"/>
          <w:szCs w:val="28"/>
        </w:rPr>
        <w:t>. è infatti definito impianto fotovoltaico con (totale) integrazione architettonica quello “</w:t>
      </w:r>
      <w:r w:rsidRPr="00844917">
        <w:rPr>
          <w:rFonts w:ascii="Garamond" w:hAnsi="Garamond" w:cs="Times New Roman"/>
          <w:i/>
          <w:color w:val="000000" w:themeColor="text1"/>
          <w:sz w:val="28"/>
          <w:szCs w:val="28"/>
        </w:rPr>
        <w:t>i cui moduli sono integrati, secondo le tipologie elencate in allegato 3, in elementi di arredo urbano e viario, superfici esterne degli involucri di edifici, fabbricati, strutture edilizie di qualsiasi funzione e destinazione”. L’impianto fotovoltaico “parzialmente integrato” è invece “l'impianto i cui moduli sono posizionati, secondo le tipologie elencate in allegato 2, su elementi di arredo urbano e viario, superfici esterne degli involucri di edifici, fabbricati, strutture edilizie di qualsiasi funzione e destinazione</w:t>
      </w:r>
      <w:r w:rsidRPr="00CC1AC3">
        <w:rPr>
          <w:rFonts w:ascii="Garamond" w:hAnsi="Garamond" w:cs="Times New Roman"/>
          <w:color w:val="000000" w:themeColor="text1"/>
          <w:sz w:val="28"/>
          <w:szCs w:val="28"/>
        </w:rPr>
        <w:t>” (art. 2, comma 1, lett. b2).</w:t>
      </w:r>
      <w:r>
        <w:rPr>
          <w:rFonts w:ascii="Garamond" w:hAnsi="Garamond" w:cs="Times New Roman"/>
          <w:color w:val="000000" w:themeColor="text1"/>
          <w:sz w:val="28"/>
          <w:szCs w:val="28"/>
        </w:rPr>
        <w:t xml:space="preserve"> </w:t>
      </w:r>
      <w:r w:rsidRPr="00CC1AC3">
        <w:rPr>
          <w:rFonts w:ascii="Garamond" w:hAnsi="Garamond" w:cs="Times New Roman"/>
          <w:color w:val="000000" w:themeColor="text1"/>
          <w:sz w:val="28"/>
          <w:szCs w:val="28"/>
        </w:rPr>
        <w:t>L’allegato 3 al predetto decreto ministeriale individua diverse tipologie di interventi validi ai fini del riconoscimento dell’integrazione architettonica.</w:t>
      </w:r>
      <w:r>
        <w:rPr>
          <w:rFonts w:ascii="Garamond" w:hAnsi="Garamond" w:cs="Times New Roman"/>
          <w:color w:val="000000" w:themeColor="text1"/>
          <w:sz w:val="28"/>
          <w:szCs w:val="28"/>
        </w:rPr>
        <w:t xml:space="preserve"> </w:t>
      </w:r>
      <w:r w:rsidRPr="00CC1AC3">
        <w:rPr>
          <w:rFonts w:ascii="Garamond" w:hAnsi="Garamond" w:cs="Times New Roman"/>
          <w:color w:val="000000" w:themeColor="text1"/>
          <w:sz w:val="28"/>
          <w:szCs w:val="28"/>
        </w:rPr>
        <w:t>In particolare, rientrano nella tipologia specifica 1 gli impianti oggetto di interventi di “</w:t>
      </w:r>
      <w:r w:rsidRPr="00844917">
        <w:rPr>
          <w:rFonts w:ascii="Garamond" w:hAnsi="Garamond" w:cs="Times New Roman"/>
          <w:i/>
          <w:color w:val="000000" w:themeColor="text1"/>
          <w:sz w:val="28"/>
          <w:szCs w:val="28"/>
        </w:rPr>
        <w:t>sostituzione di materiali di rivestimento di tetti, coperture, facciate di edifici e fabbricati con moduli fotovoltaici aventi la medesima inclinazione e funzionalità architettonica della superficie rivestita</w:t>
      </w:r>
      <w:r w:rsidRPr="00CC1AC3">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Ad aprile 2009 il Gse</w:t>
      </w:r>
      <w:r w:rsidRPr="00CC1AC3">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con la </w:t>
      </w:r>
      <w:r w:rsidRPr="00CC1AC3">
        <w:rPr>
          <w:rFonts w:ascii="Garamond" w:hAnsi="Garamond" w:cs="Times New Roman"/>
          <w:color w:val="000000" w:themeColor="text1"/>
          <w:sz w:val="28"/>
          <w:szCs w:val="28"/>
        </w:rPr>
        <w:t>“</w:t>
      </w:r>
      <w:r w:rsidRPr="00844917">
        <w:rPr>
          <w:rFonts w:ascii="Garamond" w:hAnsi="Garamond" w:cs="Times New Roman"/>
          <w:i/>
          <w:color w:val="000000" w:themeColor="text1"/>
          <w:sz w:val="28"/>
          <w:szCs w:val="28"/>
        </w:rPr>
        <w:t>Guida</w:t>
      </w:r>
      <w:r>
        <w:rPr>
          <w:rFonts w:ascii="Garamond" w:hAnsi="Garamond" w:cs="Times New Roman"/>
          <w:color w:val="000000" w:themeColor="text1"/>
          <w:sz w:val="28"/>
          <w:szCs w:val="28"/>
        </w:rPr>
        <w:t>”</w:t>
      </w:r>
      <w:r w:rsidRPr="00CC1AC3">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ha provveduto a fornire </w:t>
      </w:r>
      <w:r w:rsidRPr="00CC1AC3">
        <w:rPr>
          <w:rFonts w:ascii="Garamond" w:hAnsi="Garamond" w:cs="Times New Roman"/>
          <w:color w:val="000000" w:themeColor="text1"/>
          <w:sz w:val="28"/>
          <w:szCs w:val="28"/>
        </w:rPr>
        <w:t>indicazioni e specifiche sulle modalità di integrazione dei moduli necessarie al riconoscimento dell’integrazione architettonica dell</w:t>
      </w:r>
      <w:r>
        <w:rPr>
          <w:rFonts w:ascii="Garamond" w:hAnsi="Garamond" w:cs="Times New Roman"/>
          <w:color w:val="000000" w:themeColor="text1"/>
          <w:sz w:val="28"/>
          <w:szCs w:val="28"/>
        </w:rPr>
        <w:t>’installazione ai sensi del d.m.</w:t>
      </w:r>
      <w:r w:rsidRPr="00CC1AC3">
        <w:rPr>
          <w:rFonts w:ascii="Garamond" w:hAnsi="Garamond" w:cs="Times New Roman"/>
          <w:color w:val="000000" w:themeColor="text1"/>
          <w:sz w:val="28"/>
          <w:szCs w:val="28"/>
        </w:rPr>
        <w:t xml:space="preserve"> 19 febbraio 2007</w:t>
      </w:r>
      <w:r>
        <w:rPr>
          <w:rFonts w:ascii="Garamond" w:hAnsi="Garamond" w:cs="Times New Roman"/>
          <w:color w:val="000000" w:themeColor="text1"/>
          <w:sz w:val="28"/>
          <w:szCs w:val="28"/>
        </w:rPr>
        <w:t>)</w:t>
      </w:r>
      <w:r w:rsidRPr="00CC1AC3">
        <w:rPr>
          <w:rFonts w:ascii="Garamond" w:hAnsi="Garamond" w:cs="Times New Roman"/>
          <w:color w:val="000000" w:themeColor="text1"/>
          <w:sz w:val="28"/>
          <w:szCs w:val="28"/>
        </w:rPr>
        <w:t>.</w:t>
      </w:r>
    </w:p>
    <w:p w:rsidR="007B4920" w:rsidRDefault="007B4920" w:rsidP="007B4920">
      <w:pPr>
        <w:spacing w:line="240" w:lineRule="auto"/>
        <w:jc w:val="both"/>
        <w:rPr>
          <w:rFonts w:ascii="Garamond" w:hAnsi="Garamond" w:cs="Times New Roman"/>
          <w:b/>
          <w:color w:val="000000" w:themeColor="text1"/>
          <w:sz w:val="28"/>
          <w:szCs w:val="28"/>
        </w:rPr>
      </w:pPr>
    </w:p>
    <w:p w:rsidR="007B4920" w:rsidRPr="00E71EC6" w:rsidRDefault="007B4920" w:rsidP="007B4920">
      <w:pPr>
        <w:spacing w:line="240" w:lineRule="auto"/>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14. </w:t>
      </w:r>
      <w:r w:rsidRPr="00E71EC6">
        <w:rPr>
          <w:rFonts w:ascii="Garamond" w:hAnsi="Garamond" w:cs="Times New Roman"/>
          <w:b/>
          <w:color w:val="000000" w:themeColor="text1"/>
          <w:sz w:val="28"/>
          <w:szCs w:val="28"/>
        </w:rPr>
        <w:t>Casistiche particolari</w:t>
      </w:r>
      <w:r>
        <w:rPr>
          <w:rFonts w:ascii="Garamond" w:hAnsi="Garamond" w:cs="Times New Roman"/>
          <w:b/>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Stante l’ampia casistica giurisprudenziale in materia di diniego o di parziale accoglimento delle istanze per la concessione delle tariffe incentivanti si riportano, oltre a quelle indicate nei precedenti paragrafi, di seguito, a titolo esemplificativo, alcune questioni peculiari affrontate dal Consiglio di Stato riguardanti impianti fotovoltaici.</w:t>
      </w:r>
    </w:p>
    <w:p w:rsidR="007B4920" w:rsidRDefault="007B4920" w:rsidP="007B4920">
      <w:pPr>
        <w:spacing w:line="240" w:lineRule="auto"/>
        <w:jc w:val="both"/>
        <w:rPr>
          <w:rFonts w:ascii="Garamond" w:hAnsi="Garamond" w:cs="Times New Roman"/>
          <w:b/>
          <w:color w:val="000000" w:themeColor="text1"/>
          <w:sz w:val="28"/>
          <w:szCs w:val="28"/>
        </w:rPr>
      </w:pPr>
    </w:p>
    <w:p w:rsidR="007B4920" w:rsidRPr="00E71EC6" w:rsidRDefault="007B4920" w:rsidP="007B4920">
      <w:pPr>
        <w:spacing w:line="240" w:lineRule="auto"/>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14.1. </w:t>
      </w:r>
      <w:r w:rsidRPr="00E71EC6">
        <w:rPr>
          <w:rFonts w:ascii="Garamond" w:hAnsi="Garamond" w:cs="Times New Roman"/>
          <w:b/>
          <w:color w:val="000000" w:themeColor="text1"/>
          <w:sz w:val="28"/>
          <w:szCs w:val="28"/>
        </w:rPr>
        <w:t>Impianto fotovoltaico su stalla</w:t>
      </w:r>
      <w:r>
        <w:rPr>
          <w:rFonts w:ascii="Garamond" w:hAnsi="Garamond" w:cs="Times New Roman"/>
          <w:b/>
          <w:color w:val="000000" w:themeColor="text1"/>
          <w:sz w:val="28"/>
          <w:szCs w:val="28"/>
        </w:rPr>
        <w:t>.</w:t>
      </w:r>
    </w:p>
    <w:p w:rsidR="007B4920" w:rsidRDefault="007B4920" w:rsidP="007B4920">
      <w:pPr>
        <w:spacing w:line="240" w:lineRule="auto"/>
        <w:ind w:firstLine="708"/>
        <w:contextualSpacing/>
        <w:jc w:val="both"/>
        <w:rPr>
          <w:rFonts w:ascii="Garamond" w:hAnsi="Garamond" w:cs="Times New Roman"/>
          <w:color w:val="000000" w:themeColor="text1"/>
          <w:sz w:val="28"/>
          <w:szCs w:val="28"/>
        </w:rPr>
      </w:pPr>
      <w:r w:rsidRPr="0054273D">
        <w:rPr>
          <w:rFonts w:ascii="Garamond" w:hAnsi="Garamond" w:cs="Times New Roman"/>
          <w:color w:val="000000" w:themeColor="text1"/>
          <w:sz w:val="28"/>
          <w:szCs w:val="28"/>
        </w:rPr>
        <w:t xml:space="preserve">È legittimo il provvedimento del G.s.e. che abbia denegato l’accesso alle tariffe </w:t>
      </w:r>
      <w:r>
        <w:rPr>
          <w:rFonts w:ascii="Garamond" w:hAnsi="Garamond" w:cs="Times New Roman"/>
          <w:color w:val="000000" w:themeColor="text1"/>
          <w:sz w:val="28"/>
          <w:szCs w:val="28"/>
        </w:rPr>
        <w:t>incentivanti</w:t>
      </w:r>
      <w:r w:rsidRPr="0054273D">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di cui al   Quinto Conto energia per impianto fotovoltaico con caratteristiche innovative realizzato a seguito di l</w:t>
      </w:r>
      <w:r w:rsidRPr="0054273D">
        <w:rPr>
          <w:rFonts w:ascii="Garamond" w:hAnsi="Garamond" w:cs="Times New Roman"/>
          <w:color w:val="000000" w:themeColor="text1"/>
          <w:sz w:val="28"/>
          <w:szCs w:val="28"/>
        </w:rPr>
        <w:t>avori di ristrutturazione di edifici</w:t>
      </w:r>
      <w:r>
        <w:rPr>
          <w:rFonts w:ascii="Garamond" w:hAnsi="Garamond" w:cs="Times New Roman"/>
          <w:color w:val="000000" w:themeColor="text1"/>
          <w:sz w:val="28"/>
          <w:szCs w:val="28"/>
        </w:rPr>
        <w:t>o adibito</w:t>
      </w:r>
      <w:r w:rsidRPr="0054273D">
        <w:rPr>
          <w:rFonts w:ascii="Garamond" w:hAnsi="Garamond" w:cs="Times New Roman"/>
          <w:color w:val="000000" w:themeColor="text1"/>
          <w:sz w:val="28"/>
          <w:szCs w:val="28"/>
        </w:rPr>
        <w:t xml:space="preserve"> a ricovero di animali e deposito agricolo </w:t>
      </w:r>
      <w:r>
        <w:rPr>
          <w:rFonts w:ascii="Garamond" w:hAnsi="Garamond" w:cs="Times New Roman"/>
          <w:color w:val="000000" w:themeColor="text1"/>
          <w:sz w:val="28"/>
          <w:szCs w:val="28"/>
        </w:rPr>
        <w:t>privo della certificabilità energetica, presupposto essenziale secondo l’Allegato 4 del d.m. 5 luglio 2012 per l’accesso diretto alle tariffe incentivanti.</w:t>
      </w:r>
    </w:p>
    <w:p w:rsidR="007B4920" w:rsidRDefault="007B4920" w:rsidP="007B4920">
      <w:pPr>
        <w:spacing w:line="240" w:lineRule="auto"/>
        <w:ind w:left="708" w:firstLine="708"/>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C</w:t>
      </w:r>
      <w:r w:rsidRPr="00D85233">
        <w:rPr>
          <w:rFonts w:ascii="Garamond" w:hAnsi="Garamond" w:cs="Times New Roman"/>
          <w:color w:val="000000" w:themeColor="text1"/>
          <w:sz w:val="28"/>
          <w:szCs w:val="28"/>
        </w:rPr>
        <w:t xml:space="preserve">ondizione necessaria per considerare un edificio energeticamente certificabile è la presenza di un fabbisogno energetico calcolabile tramite parametri definiti in funzione dell'occupazione dell'edificio riferiti </w:t>
      </w:r>
      <w:r>
        <w:rPr>
          <w:rFonts w:ascii="Garamond" w:hAnsi="Garamond" w:cs="Times New Roman"/>
          <w:color w:val="000000" w:themeColor="text1"/>
          <w:sz w:val="28"/>
          <w:szCs w:val="28"/>
        </w:rPr>
        <w:t xml:space="preserve">alla permanenza </w:t>
      </w:r>
      <w:r w:rsidRPr="00D85233">
        <w:rPr>
          <w:rFonts w:ascii="Garamond" w:hAnsi="Garamond" w:cs="Times New Roman"/>
          <w:color w:val="000000" w:themeColor="text1"/>
          <w:sz w:val="28"/>
          <w:szCs w:val="28"/>
        </w:rPr>
        <w:t>di persone all'interno dell'edificio</w:t>
      </w:r>
      <w:r>
        <w:rPr>
          <w:rFonts w:ascii="Garamond" w:hAnsi="Garamond" w:cs="Times New Roman"/>
          <w:color w:val="000000" w:themeColor="text1"/>
          <w:sz w:val="28"/>
          <w:szCs w:val="28"/>
        </w:rPr>
        <w:t xml:space="preserve">, per cui laddove l’impianto fotovoltaico sia ubicato </w:t>
      </w:r>
      <w:r w:rsidRPr="0054273D">
        <w:rPr>
          <w:rFonts w:ascii="Garamond" w:hAnsi="Garamond" w:cs="Times New Roman"/>
          <w:color w:val="000000" w:themeColor="text1"/>
          <w:sz w:val="28"/>
          <w:szCs w:val="28"/>
        </w:rPr>
        <w:t>su manufatti adibiti a ricovero a</w:t>
      </w:r>
      <w:r>
        <w:rPr>
          <w:rFonts w:ascii="Garamond" w:hAnsi="Garamond" w:cs="Times New Roman"/>
          <w:color w:val="000000" w:themeColor="text1"/>
          <w:sz w:val="28"/>
          <w:szCs w:val="28"/>
        </w:rPr>
        <w:t xml:space="preserve">nimali e ad uso magazzino </w:t>
      </w:r>
      <w:r w:rsidRPr="0054273D">
        <w:rPr>
          <w:rFonts w:ascii="Garamond" w:hAnsi="Garamond" w:cs="Times New Roman"/>
          <w:color w:val="000000" w:themeColor="text1"/>
          <w:sz w:val="28"/>
          <w:szCs w:val="28"/>
        </w:rPr>
        <w:t>non risultano applicabili i succitati parametri determinanti per il calcolo dello scambio</w:t>
      </w:r>
      <w:r>
        <w:rPr>
          <w:rFonts w:ascii="Garamond" w:hAnsi="Garamond" w:cs="Times New Roman"/>
          <w:color w:val="000000" w:themeColor="text1"/>
          <w:sz w:val="28"/>
          <w:szCs w:val="28"/>
        </w:rPr>
        <w:t xml:space="preserve"> termico in funzione di persone. </w:t>
      </w:r>
    </w:p>
    <w:p w:rsidR="007B4920" w:rsidRDefault="007B4920" w:rsidP="007B4920">
      <w:pPr>
        <w:spacing w:line="240" w:lineRule="auto"/>
        <w:ind w:left="708" w:firstLine="708"/>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Inoltre, ai sensi </w:t>
      </w:r>
      <w:r w:rsidRPr="00D85233">
        <w:rPr>
          <w:rFonts w:ascii="Garamond" w:hAnsi="Garamond" w:cs="Times New Roman"/>
          <w:color w:val="000000" w:themeColor="text1"/>
          <w:sz w:val="28"/>
          <w:szCs w:val="28"/>
        </w:rPr>
        <w:t>delle previsioni</w:t>
      </w:r>
      <w:r w:rsidRPr="00FA1667">
        <w:t xml:space="preserve"> </w:t>
      </w:r>
      <w:r>
        <w:rPr>
          <w:rFonts w:ascii="Garamond" w:hAnsi="Garamond" w:cs="Times New Roman"/>
          <w:color w:val="000000" w:themeColor="text1"/>
          <w:sz w:val="28"/>
          <w:szCs w:val="28"/>
        </w:rPr>
        <w:t>de</w:t>
      </w:r>
      <w:r w:rsidRPr="00FA1667">
        <w:rPr>
          <w:rFonts w:ascii="Garamond" w:hAnsi="Garamond" w:cs="Times New Roman"/>
          <w:color w:val="000000" w:themeColor="text1"/>
          <w:sz w:val="28"/>
          <w:szCs w:val="28"/>
        </w:rPr>
        <w:t>ll’art. 3 (“</w:t>
      </w:r>
      <w:r>
        <w:rPr>
          <w:rFonts w:ascii="Garamond" w:hAnsi="Garamond" w:cs="Times New Roman"/>
          <w:color w:val="000000" w:themeColor="text1"/>
          <w:sz w:val="28"/>
          <w:szCs w:val="28"/>
        </w:rPr>
        <w:t xml:space="preserve">ambito di intervento”), comma 3, </w:t>
      </w:r>
      <w:r w:rsidRPr="00D85233">
        <w:rPr>
          <w:rFonts w:ascii="Garamond" w:hAnsi="Garamond" w:cs="Times New Roman"/>
          <w:color w:val="000000" w:themeColor="text1"/>
          <w:sz w:val="28"/>
          <w:szCs w:val="28"/>
        </w:rPr>
        <w:t xml:space="preserve"> d.lgs. 19 agosto 2005, n. 192, “</w:t>
      </w:r>
      <w:r w:rsidRPr="00E83236">
        <w:rPr>
          <w:rFonts w:ascii="Garamond" w:hAnsi="Garamond" w:cs="Times New Roman"/>
          <w:i/>
          <w:color w:val="000000" w:themeColor="text1"/>
          <w:sz w:val="28"/>
          <w:szCs w:val="28"/>
        </w:rPr>
        <w:t xml:space="preserve">Attuazione della </w:t>
      </w:r>
      <w:r>
        <w:rPr>
          <w:rFonts w:ascii="Garamond" w:hAnsi="Garamond" w:cs="Times New Roman"/>
          <w:i/>
          <w:color w:val="000000" w:themeColor="text1"/>
          <w:sz w:val="28"/>
          <w:szCs w:val="28"/>
        </w:rPr>
        <w:t>direttiva</w:t>
      </w:r>
      <w:r w:rsidRPr="00E83236">
        <w:rPr>
          <w:rFonts w:ascii="Garamond" w:hAnsi="Garamond" w:cs="Times New Roman"/>
          <w:i/>
          <w:color w:val="000000" w:themeColor="text1"/>
          <w:sz w:val="28"/>
          <w:szCs w:val="28"/>
        </w:rPr>
        <w:t xml:space="preserve"> 2002/91/CE </w:t>
      </w:r>
      <w:r>
        <w:rPr>
          <w:rFonts w:ascii="Garamond" w:hAnsi="Garamond" w:cs="Times New Roman"/>
          <w:i/>
          <w:color w:val="000000" w:themeColor="text1"/>
          <w:sz w:val="28"/>
          <w:szCs w:val="28"/>
        </w:rPr>
        <w:t>relativa</w:t>
      </w:r>
      <w:r w:rsidRPr="00E83236">
        <w:rPr>
          <w:rFonts w:ascii="Garamond" w:hAnsi="Garamond" w:cs="Times New Roman"/>
          <w:i/>
          <w:color w:val="000000" w:themeColor="text1"/>
          <w:sz w:val="28"/>
          <w:szCs w:val="28"/>
        </w:rPr>
        <w:t xml:space="preserve"> al rendimento energetico nell’edilizia</w:t>
      </w:r>
      <w:r w:rsidRPr="00D85233">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nel testo vigente </w:t>
      </w:r>
      <w:r w:rsidRPr="00E83236">
        <w:rPr>
          <w:rFonts w:ascii="Garamond" w:hAnsi="Garamond" w:cs="Times New Roman"/>
          <w:i/>
          <w:color w:val="000000" w:themeColor="text1"/>
          <w:sz w:val="28"/>
          <w:szCs w:val="28"/>
        </w:rPr>
        <w:t>ratione temporis</w:t>
      </w:r>
      <w:r>
        <w:rPr>
          <w:rFonts w:ascii="Garamond" w:hAnsi="Garamond" w:cs="Times New Roman"/>
          <w:color w:val="000000" w:themeColor="text1"/>
          <w:sz w:val="28"/>
          <w:szCs w:val="28"/>
        </w:rPr>
        <w:t xml:space="preserve">, </w:t>
      </w:r>
      <w:r w:rsidRPr="00D85233">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tra gli edifici esentati dall’obbligo di certificazione energetica -  e dunque non certificabili in tal senso - sono compresi  i </w:t>
      </w:r>
      <w:r w:rsidRPr="00FA1667">
        <w:rPr>
          <w:rFonts w:ascii="Garamond" w:hAnsi="Garamond" w:cs="Times New Roman"/>
          <w:color w:val="000000" w:themeColor="text1"/>
          <w:sz w:val="28"/>
          <w:szCs w:val="28"/>
        </w:rPr>
        <w:t>f</w:t>
      </w:r>
      <w:r w:rsidRPr="00FA1667">
        <w:rPr>
          <w:rFonts w:ascii="Garamond" w:hAnsi="Garamond" w:cs="Times New Roman"/>
          <w:iCs/>
          <w:color w:val="000000" w:themeColor="text1"/>
          <w:sz w:val="28"/>
          <w:szCs w:val="28"/>
        </w:rPr>
        <w:t>abbricati strumentali all’esercizio delle attività agricole in quanto “rurali” e “non residenziali”,</w:t>
      </w:r>
      <w:r>
        <w:rPr>
          <w:rFonts w:ascii="Garamond" w:hAnsi="Garamond" w:cs="Times New Roman"/>
          <w:i/>
          <w:iCs/>
          <w:color w:val="000000" w:themeColor="text1"/>
          <w:sz w:val="28"/>
          <w:szCs w:val="28"/>
        </w:rPr>
        <w:t xml:space="preserve"> </w:t>
      </w:r>
      <w:r w:rsidRPr="00FA1667">
        <w:rPr>
          <w:rFonts w:ascii="Garamond" w:hAnsi="Garamond" w:cs="Times New Roman"/>
          <w:color w:val="000000" w:themeColor="text1"/>
          <w:sz w:val="28"/>
          <w:szCs w:val="28"/>
        </w:rPr>
        <w:t>qualora siano “sprovvisti di impianti di climatizzazione” (invernale</w:t>
      </w:r>
      <w:r>
        <w:rPr>
          <w:rFonts w:ascii="Garamond" w:hAnsi="Garamond" w:cs="Times New Roman"/>
          <w:color w:val="000000" w:themeColor="text1"/>
          <w:sz w:val="28"/>
          <w:szCs w:val="28"/>
        </w:rPr>
        <w:t xml:space="preserve"> ed estiva, come evincibile</w:t>
      </w:r>
      <w:r w:rsidRPr="00FA1667">
        <w:rPr>
          <w:rFonts w:ascii="Garamond" w:hAnsi="Garamond" w:cs="Times New Roman"/>
          <w:color w:val="000000" w:themeColor="text1"/>
          <w:sz w:val="28"/>
          <w:szCs w:val="28"/>
        </w:rPr>
        <w:t xml:space="preserve"> dal c</w:t>
      </w:r>
      <w:r>
        <w:rPr>
          <w:rFonts w:ascii="Garamond" w:hAnsi="Garamond" w:cs="Times New Roman"/>
          <w:color w:val="000000" w:themeColor="text1"/>
          <w:sz w:val="28"/>
          <w:szCs w:val="28"/>
        </w:rPr>
        <w:t xml:space="preserve">ontesto del d.lgs. n. 192 del 2005), </w:t>
      </w:r>
      <w:r>
        <w:rPr>
          <w:rFonts w:ascii="Garamond" w:hAnsi="Garamond"/>
          <w:color w:val="000000"/>
          <w:sz w:val="30"/>
          <w:szCs w:val="30"/>
        </w:rPr>
        <w:t xml:space="preserve">e i </w:t>
      </w:r>
      <w:r>
        <w:rPr>
          <w:rFonts w:ascii="Garamond" w:hAnsi="Garamond" w:cs="Times New Roman"/>
          <w:color w:val="000000" w:themeColor="text1"/>
          <w:sz w:val="28"/>
          <w:szCs w:val="28"/>
        </w:rPr>
        <w:t xml:space="preserve">generatori a gasolio mobile per la climatizzazione </w:t>
      </w:r>
      <w:r w:rsidRPr="00560CD5">
        <w:rPr>
          <w:rFonts w:ascii="Garamond" w:hAnsi="Garamond" w:cs="Times New Roman"/>
          <w:color w:val="000000" w:themeColor="text1"/>
          <w:sz w:val="28"/>
          <w:szCs w:val="28"/>
        </w:rPr>
        <w:t>invernale degli edifici </w:t>
      </w:r>
      <w:r>
        <w:rPr>
          <w:rFonts w:ascii="Garamond" w:hAnsi="Garamond" w:cs="Times New Roman"/>
          <w:color w:val="000000" w:themeColor="text1"/>
          <w:sz w:val="28"/>
          <w:szCs w:val="28"/>
        </w:rPr>
        <w:t xml:space="preserve">, </w:t>
      </w:r>
      <w:r w:rsidRPr="00560CD5">
        <w:rPr>
          <w:rFonts w:ascii="Garamond" w:hAnsi="Garamond" w:cs="Times New Roman"/>
          <w:color w:val="000000" w:themeColor="text1"/>
          <w:sz w:val="28"/>
          <w:szCs w:val="28"/>
        </w:rPr>
        <w:t> </w:t>
      </w:r>
      <w:r>
        <w:rPr>
          <w:rFonts w:ascii="Garamond" w:hAnsi="Garamond" w:cs="Times New Roman"/>
          <w:color w:val="000000" w:themeColor="text1"/>
          <w:sz w:val="28"/>
          <w:szCs w:val="28"/>
        </w:rPr>
        <w:t xml:space="preserve">utilizzati nell’edificio,  non siano  </w:t>
      </w:r>
      <w:r w:rsidRPr="00560CD5">
        <w:rPr>
          <w:rFonts w:ascii="Garamond" w:hAnsi="Garamond" w:cs="Times New Roman"/>
          <w:color w:val="000000" w:themeColor="text1"/>
          <w:sz w:val="28"/>
          <w:szCs w:val="28"/>
        </w:rPr>
        <w:t>riconducibili alla definizione di impianto termico di</w:t>
      </w:r>
      <w:r>
        <w:rPr>
          <w:rFonts w:ascii="Garamond" w:hAnsi="Garamond" w:cs="Times New Roman"/>
          <w:color w:val="000000" w:themeColor="text1"/>
          <w:sz w:val="28"/>
          <w:szCs w:val="28"/>
        </w:rPr>
        <w:t xml:space="preserve"> cui al d.lgs. n. 192 del 2005;  ciò in quanto  </w:t>
      </w:r>
      <w:r w:rsidRPr="00560CD5">
        <w:rPr>
          <w:rFonts w:ascii="Garamond" w:hAnsi="Garamond" w:cs="Times New Roman"/>
          <w:color w:val="000000" w:themeColor="text1"/>
          <w:sz w:val="28"/>
          <w:szCs w:val="28"/>
        </w:rPr>
        <w:t>la lettera l</w:t>
      </w:r>
      <w:r>
        <w:rPr>
          <w:rFonts w:ascii="Garamond" w:hAnsi="Garamond" w:cs="Times New Roman"/>
          <w:color w:val="000000" w:themeColor="text1"/>
          <w:sz w:val="28"/>
          <w:szCs w:val="28"/>
        </w:rPr>
        <w:t>-</w:t>
      </w:r>
      <w:r w:rsidRPr="00E71EC6">
        <w:rPr>
          <w:rFonts w:ascii="Garamond" w:hAnsi="Garamond" w:cs="Times New Roman"/>
          <w:i/>
          <w:color w:val="000000" w:themeColor="text1"/>
          <w:sz w:val="28"/>
          <w:szCs w:val="28"/>
        </w:rPr>
        <w:t>tricies</w:t>
      </w:r>
      <w:r>
        <w:rPr>
          <w:rFonts w:ascii="Garamond" w:hAnsi="Garamond" w:cs="Times New Roman"/>
          <w:color w:val="000000" w:themeColor="text1"/>
          <w:sz w:val="28"/>
          <w:szCs w:val="28"/>
        </w:rPr>
        <w:t>) dell’art. 2</w:t>
      </w:r>
      <w:r w:rsidRPr="00560CD5">
        <w:rPr>
          <w:rFonts w:ascii="Garamond" w:hAnsi="Garamond" w:cs="Times New Roman"/>
          <w:color w:val="000000" w:themeColor="text1"/>
          <w:sz w:val="28"/>
          <w:szCs w:val="28"/>
        </w:rPr>
        <w:t>, definisce “impianto termico: impianto tecnologico fisso destinato ai servizi di climatizzazione invernale o est</w:t>
      </w:r>
      <w:r>
        <w:rPr>
          <w:rFonts w:ascii="Garamond" w:hAnsi="Garamond" w:cs="Times New Roman"/>
          <w:color w:val="000000" w:themeColor="text1"/>
          <w:sz w:val="28"/>
          <w:szCs w:val="28"/>
        </w:rPr>
        <w:t xml:space="preserve">iva degli ambienti”, per cui </w:t>
      </w:r>
      <w:r w:rsidRPr="00560CD5">
        <w:rPr>
          <w:rFonts w:ascii="Garamond" w:hAnsi="Garamond" w:cs="Times New Roman"/>
          <w:color w:val="000000" w:themeColor="text1"/>
          <w:sz w:val="28"/>
          <w:szCs w:val="28"/>
        </w:rPr>
        <w:t xml:space="preserve"> la condizione di stabile installazione costituisce requisito</w:t>
      </w:r>
      <w:r>
        <w:rPr>
          <w:rFonts w:ascii="Garamond" w:hAnsi="Garamond" w:cs="Times New Roman"/>
          <w:color w:val="000000" w:themeColor="text1"/>
          <w:sz w:val="28"/>
          <w:szCs w:val="28"/>
        </w:rPr>
        <w:t xml:space="preserve"> per </w:t>
      </w:r>
      <w:r w:rsidRPr="00560CD5">
        <w:rPr>
          <w:rFonts w:ascii="Garamond" w:hAnsi="Garamond" w:cs="Times New Roman"/>
          <w:color w:val="000000" w:themeColor="text1"/>
          <w:sz w:val="28"/>
          <w:szCs w:val="28"/>
        </w:rPr>
        <w:t xml:space="preserve"> l’e</w:t>
      </w:r>
      <w:r>
        <w:rPr>
          <w:rFonts w:ascii="Garamond" w:hAnsi="Garamond" w:cs="Times New Roman"/>
          <w:color w:val="000000" w:themeColor="text1"/>
          <w:sz w:val="28"/>
          <w:szCs w:val="28"/>
        </w:rPr>
        <w:t>sistenza di un impianto termico</w:t>
      </w:r>
      <w:r w:rsidRPr="00CB7290">
        <w:rPr>
          <w:rFonts w:ascii="Garamond" w:hAnsi="Garamond" w:cs="Times New Roman"/>
          <w:color w:val="000000" w:themeColor="text1"/>
          <w:sz w:val="28"/>
          <w:szCs w:val="28"/>
        </w:rPr>
        <w:t>; mentre</w:t>
      </w:r>
      <w:r>
        <w:rPr>
          <w:rFonts w:ascii="Garamond" w:hAnsi="Garamond" w:cs="Times New Roman"/>
          <w:color w:val="000000" w:themeColor="text1"/>
          <w:sz w:val="28"/>
          <w:szCs w:val="28"/>
        </w:rPr>
        <w:t xml:space="preserve"> la lettera l-</w:t>
      </w:r>
      <w:r w:rsidRPr="00E71EC6">
        <w:rPr>
          <w:rFonts w:ascii="Garamond" w:hAnsi="Garamond" w:cs="Times New Roman"/>
          <w:i/>
          <w:color w:val="000000" w:themeColor="text1"/>
          <w:sz w:val="28"/>
          <w:szCs w:val="28"/>
        </w:rPr>
        <w:t>tricies quater</w:t>
      </w:r>
      <w:r>
        <w:rPr>
          <w:rFonts w:ascii="Garamond" w:hAnsi="Garamond" w:cs="Times New Roman"/>
          <w:color w:val="000000" w:themeColor="text1"/>
          <w:sz w:val="28"/>
          <w:szCs w:val="28"/>
        </w:rPr>
        <w:t xml:space="preserve">) </w:t>
      </w:r>
      <w:r w:rsidRPr="00560CD5">
        <w:rPr>
          <w:rFonts w:ascii="Garamond" w:hAnsi="Garamond" w:cs="Times New Roman"/>
          <w:color w:val="000000" w:themeColor="text1"/>
          <w:sz w:val="28"/>
          <w:szCs w:val="28"/>
        </w:rPr>
        <w:t>definisce “«sistema o impianto di climatizzazione invernale» o «impianto di riscaldamento»: complesso di tutti i componenti necessari a un sistema di trattamento dell'aria, attraverso il quale la temperatura è controllata o può essere aumentata”, facendo</w:t>
      </w:r>
      <w:r>
        <w:rPr>
          <w:rFonts w:ascii="Garamond" w:hAnsi="Garamond" w:cs="Times New Roman"/>
          <w:color w:val="000000" w:themeColor="text1"/>
          <w:sz w:val="28"/>
          <w:szCs w:val="28"/>
        </w:rPr>
        <w:t xml:space="preserve"> del pari </w:t>
      </w:r>
      <w:r w:rsidRPr="00560CD5">
        <w:rPr>
          <w:rFonts w:ascii="Garamond" w:hAnsi="Garamond" w:cs="Times New Roman"/>
          <w:color w:val="000000" w:themeColor="text1"/>
          <w:sz w:val="28"/>
          <w:szCs w:val="28"/>
        </w:rPr>
        <w:t xml:space="preserve"> riferimento a una installazione stabile.</w:t>
      </w:r>
      <w:r>
        <w:rPr>
          <w:rFonts w:ascii="Garamond" w:hAnsi="Garamond" w:cs="Times New Roman"/>
          <w:color w:val="000000" w:themeColor="text1"/>
          <w:sz w:val="28"/>
          <w:szCs w:val="28"/>
        </w:rPr>
        <w:t xml:space="preserve"> L’ art. 3, comma 3, d.lgs. n. 192 del 2005 è </w:t>
      </w:r>
      <w:r w:rsidRPr="00FA1667">
        <w:rPr>
          <w:rFonts w:ascii="Garamond" w:hAnsi="Garamond" w:cs="Times New Roman"/>
          <w:color w:val="000000" w:themeColor="text1"/>
          <w:sz w:val="28"/>
          <w:szCs w:val="28"/>
        </w:rPr>
        <w:t xml:space="preserve">norma avente carattere di specialità rispetto alle previsioni sugli edifici </w:t>
      </w:r>
      <w:r w:rsidRPr="00FA1667">
        <w:rPr>
          <w:rFonts w:ascii="Garamond" w:hAnsi="Garamond" w:cs="Times New Roman"/>
          <w:i/>
          <w:color w:val="000000" w:themeColor="text1"/>
          <w:sz w:val="28"/>
          <w:szCs w:val="28"/>
        </w:rPr>
        <w:t>tout court</w:t>
      </w:r>
      <w:r w:rsidRPr="00FA1667">
        <w:rPr>
          <w:rFonts w:ascii="Garamond" w:hAnsi="Garamond" w:cs="Times New Roman"/>
          <w:color w:val="000000" w:themeColor="text1"/>
          <w:sz w:val="28"/>
          <w:szCs w:val="28"/>
        </w:rPr>
        <w:t xml:space="preserve">, con la conseguenza che i fabbricati rurali, se non provvisti di impianti di climatizzazione, non sono suscettibili di certificazione energetica (come confermato anche dalle vigenti </w:t>
      </w:r>
      <w:r>
        <w:rPr>
          <w:rFonts w:ascii="Garamond" w:hAnsi="Garamond" w:cs="Times New Roman"/>
          <w:color w:val="000000" w:themeColor="text1"/>
          <w:sz w:val="28"/>
          <w:szCs w:val="28"/>
        </w:rPr>
        <w:t>l</w:t>
      </w:r>
      <w:r w:rsidRPr="00FA1667">
        <w:rPr>
          <w:rFonts w:ascii="Garamond" w:hAnsi="Garamond" w:cs="Times New Roman"/>
          <w:color w:val="000000" w:themeColor="text1"/>
          <w:sz w:val="28"/>
          <w:szCs w:val="28"/>
        </w:rPr>
        <w:t>ine</w:t>
      </w:r>
      <w:r>
        <w:rPr>
          <w:rFonts w:ascii="Garamond" w:hAnsi="Garamond" w:cs="Times New Roman"/>
          <w:color w:val="000000" w:themeColor="text1"/>
          <w:sz w:val="28"/>
          <w:szCs w:val="28"/>
        </w:rPr>
        <w:t xml:space="preserve">e guida, approvate con d.m. 26 giugno 2015, </w:t>
      </w:r>
      <w:r w:rsidRPr="00FA1667">
        <w:rPr>
          <w:rFonts w:ascii="Garamond" w:hAnsi="Garamond" w:cs="Times New Roman"/>
          <w:color w:val="000000" w:themeColor="text1"/>
          <w:sz w:val="28"/>
          <w:szCs w:val="28"/>
        </w:rPr>
        <w:t xml:space="preserve"> contemplanti per l’appunto, tra i casi di esonero dall’obbligo d</w:t>
      </w:r>
      <w:r>
        <w:rPr>
          <w:rFonts w:ascii="Garamond" w:hAnsi="Garamond" w:cs="Times New Roman"/>
          <w:color w:val="000000" w:themeColor="text1"/>
          <w:sz w:val="28"/>
          <w:szCs w:val="28"/>
        </w:rPr>
        <w:t xml:space="preserve">i dotazione </w:t>
      </w:r>
      <w:r w:rsidRPr="00CB7290">
        <w:rPr>
          <w:rFonts w:ascii="Garamond" w:hAnsi="Garamond" w:cs="Times New Roman"/>
          <w:color w:val="000000" w:themeColor="text1"/>
          <w:sz w:val="28"/>
          <w:szCs w:val="28"/>
        </w:rPr>
        <w:t>dell’attestato di prestazione energetica (APE),</w:t>
      </w:r>
      <w:r w:rsidRPr="00FA1667">
        <w:rPr>
          <w:rFonts w:ascii="Garamond" w:hAnsi="Garamond" w:cs="Times New Roman"/>
          <w:color w:val="000000" w:themeColor="text1"/>
          <w:sz w:val="28"/>
          <w:szCs w:val="28"/>
        </w:rPr>
        <w:t xml:space="preserve"> “</w:t>
      </w:r>
      <w:r w:rsidRPr="00560CD5">
        <w:rPr>
          <w:rFonts w:ascii="Garamond" w:hAnsi="Garamond" w:cs="Times New Roman"/>
          <w:i/>
          <w:color w:val="000000" w:themeColor="text1"/>
          <w:sz w:val="28"/>
          <w:szCs w:val="28"/>
        </w:rPr>
        <w:t>gli edifici agricoli, o rurali, non residenziali, sprovvisti di impianti di climatizzazione</w:t>
      </w:r>
      <w:r w:rsidRPr="00FA1667">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(Cons. Stato, sez. II, n. 11554 del 2022).</w:t>
      </w:r>
    </w:p>
    <w:p w:rsidR="007B4920" w:rsidRDefault="007B4920" w:rsidP="007B4920">
      <w:pPr>
        <w:spacing w:line="240" w:lineRule="auto"/>
        <w:jc w:val="both"/>
        <w:rPr>
          <w:rFonts w:ascii="Garamond" w:hAnsi="Garamond" w:cs="Times New Roman"/>
          <w:b/>
          <w:color w:val="000000" w:themeColor="text1"/>
          <w:sz w:val="28"/>
          <w:szCs w:val="28"/>
        </w:rPr>
      </w:pPr>
    </w:p>
    <w:p w:rsidR="007B4920" w:rsidRPr="00E71EC6" w:rsidRDefault="007B4920" w:rsidP="007B4920">
      <w:pPr>
        <w:pStyle w:val="Paragrafoelenco"/>
        <w:numPr>
          <w:ilvl w:val="1"/>
          <w:numId w:val="10"/>
        </w:numPr>
        <w:spacing w:line="240" w:lineRule="auto"/>
        <w:jc w:val="both"/>
        <w:rPr>
          <w:rFonts w:ascii="Garamond" w:hAnsi="Garamond" w:cs="Times New Roman"/>
          <w:b/>
          <w:color w:val="000000" w:themeColor="text1"/>
          <w:sz w:val="28"/>
          <w:szCs w:val="28"/>
        </w:rPr>
      </w:pPr>
      <w:r w:rsidRPr="00E71EC6">
        <w:rPr>
          <w:rFonts w:ascii="Garamond" w:hAnsi="Garamond" w:cs="Times New Roman"/>
          <w:b/>
          <w:color w:val="000000" w:themeColor="text1"/>
          <w:sz w:val="28"/>
          <w:szCs w:val="28"/>
        </w:rPr>
        <w:t>Impianto fotovoltaico realizzato su manufatto parzialmente aperto</w:t>
      </w:r>
      <w:r>
        <w:rPr>
          <w:rFonts w:ascii="Garamond" w:hAnsi="Garamond" w:cs="Times New Roman"/>
          <w:b/>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E’ legittimo il provvedimento del G.s.e.,  recante parziale diniego alle tariffe incentivanti di cui Quarto Conto energia,  relativamente ad un impianto fotovoltaico ubicato su</w:t>
      </w:r>
      <w:r w:rsidRPr="00C11F86">
        <w:rPr>
          <w:rFonts w:ascii="Garamond" w:hAnsi="Garamond" w:cs="Times New Roman"/>
          <w:color w:val="000000" w:themeColor="text1"/>
          <w:sz w:val="28"/>
          <w:szCs w:val="28"/>
        </w:rPr>
        <w:t xml:space="preserve"> fabbricato rurale</w:t>
      </w:r>
      <w:r>
        <w:rPr>
          <w:rFonts w:ascii="Garamond" w:hAnsi="Garamond" w:cs="Times New Roman"/>
          <w:color w:val="000000" w:themeColor="text1"/>
          <w:sz w:val="28"/>
          <w:szCs w:val="28"/>
        </w:rPr>
        <w:t xml:space="preserve"> e motivato sulla base della circostanza che il fabbricato sul quale risulta istallato l’impianto è seppure parzialmente aperto,  in quanto realizzato con mattoni forati e quindi non in grado  </w:t>
      </w:r>
      <w:r w:rsidRPr="00C11F86">
        <w:rPr>
          <w:rFonts w:ascii="Garamond" w:hAnsi="Garamond" w:cs="Times New Roman"/>
          <w:color w:val="000000" w:themeColor="text1"/>
          <w:sz w:val="28"/>
          <w:szCs w:val="28"/>
        </w:rPr>
        <w:t>di garantire il mantenimento di un l</w:t>
      </w:r>
      <w:r>
        <w:rPr>
          <w:rFonts w:ascii="Garamond" w:hAnsi="Garamond" w:cs="Times New Roman"/>
          <w:color w:val="000000" w:themeColor="text1"/>
          <w:sz w:val="28"/>
          <w:szCs w:val="28"/>
        </w:rPr>
        <w:t xml:space="preserve">ivello di fabbisogno energetico </w:t>
      </w:r>
      <w:r w:rsidRPr="00C11F86">
        <w:rPr>
          <w:rFonts w:ascii="Garamond" w:hAnsi="Garamond" w:cs="Times New Roman"/>
          <w:color w:val="000000" w:themeColor="text1"/>
          <w:sz w:val="28"/>
          <w:szCs w:val="28"/>
        </w:rPr>
        <w:t>anche solo in astratto determinabile (requisito invece richiesto dalle previsioni</w:t>
      </w:r>
      <w:r>
        <w:rPr>
          <w:rFonts w:ascii="Garamond" w:hAnsi="Garamond" w:cs="Times New Roman"/>
          <w:color w:val="000000" w:themeColor="text1"/>
          <w:sz w:val="28"/>
          <w:szCs w:val="28"/>
        </w:rPr>
        <w:t xml:space="preserve"> </w:t>
      </w:r>
      <w:r w:rsidRPr="00C11F86">
        <w:rPr>
          <w:rFonts w:ascii="Garamond" w:hAnsi="Garamond" w:cs="Times New Roman"/>
          <w:color w:val="000000" w:themeColor="text1"/>
          <w:sz w:val="28"/>
          <w:szCs w:val="28"/>
        </w:rPr>
        <w:t>del</w:t>
      </w:r>
      <w:r>
        <w:rPr>
          <w:rFonts w:ascii="Garamond" w:hAnsi="Garamond" w:cs="Times New Roman"/>
          <w:color w:val="000000" w:themeColor="text1"/>
          <w:sz w:val="28"/>
          <w:szCs w:val="28"/>
        </w:rPr>
        <w:t xml:space="preserve">l’allegato 4, d.m. 5 maggio 2011, </w:t>
      </w:r>
      <w:r w:rsidRPr="00C11F86">
        <w:rPr>
          <w:rFonts w:ascii="Garamond" w:hAnsi="Garamond" w:cs="Times New Roman"/>
          <w:color w:val="000000" w:themeColor="text1"/>
          <w:sz w:val="28"/>
          <w:szCs w:val="28"/>
        </w:rPr>
        <w:t>ai fini del ricono</w:t>
      </w:r>
      <w:r>
        <w:rPr>
          <w:rFonts w:ascii="Garamond" w:hAnsi="Garamond" w:cs="Times New Roman"/>
          <w:color w:val="000000" w:themeColor="text1"/>
          <w:sz w:val="28"/>
          <w:szCs w:val="28"/>
        </w:rPr>
        <w:t>scimento del maggior incentivo de</w:t>
      </w:r>
      <w:r w:rsidRPr="00C11F86">
        <w:rPr>
          <w:rFonts w:ascii="Garamond" w:hAnsi="Garamond" w:cs="Times New Roman"/>
          <w:color w:val="000000" w:themeColor="text1"/>
          <w:sz w:val="28"/>
          <w:szCs w:val="28"/>
        </w:rPr>
        <w:t>lla tariffa di cui al Titolo III,</w:t>
      </w:r>
      <w:r>
        <w:rPr>
          <w:rFonts w:ascii="Garamond" w:hAnsi="Garamond" w:cs="Times New Roman"/>
          <w:color w:val="000000" w:themeColor="text1"/>
          <w:sz w:val="28"/>
          <w:szCs w:val="28"/>
        </w:rPr>
        <w:t xml:space="preserve"> riferibile ad impianti che </w:t>
      </w:r>
      <w:r w:rsidRPr="00C11F86">
        <w:rPr>
          <w:rFonts w:ascii="Garamond" w:hAnsi="Garamond" w:cs="Times New Roman"/>
          <w:color w:val="000000" w:themeColor="text1"/>
          <w:sz w:val="28"/>
          <w:szCs w:val="28"/>
        </w:rPr>
        <w:t>oltre a produr</w:t>
      </w:r>
      <w:r>
        <w:rPr>
          <w:rFonts w:ascii="Garamond" w:hAnsi="Garamond" w:cs="Times New Roman"/>
          <w:color w:val="000000" w:themeColor="text1"/>
          <w:sz w:val="28"/>
          <w:szCs w:val="28"/>
        </w:rPr>
        <w:t xml:space="preserve">re “energia pulita”, svolgano altresì </w:t>
      </w:r>
      <w:r w:rsidRPr="00C11F86">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funzioni architettoniche fondamentali, </w:t>
      </w:r>
      <w:r w:rsidRPr="00BD09E0">
        <w:rPr>
          <w:rFonts w:ascii="Garamond" w:hAnsi="Garamond" w:cs="Times New Roman"/>
          <w:color w:val="000000" w:themeColor="text1"/>
          <w:sz w:val="28"/>
          <w:szCs w:val="28"/>
        </w:rPr>
        <w:t>quali la</w:t>
      </w:r>
      <w:r>
        <w:rPr>
          <w:rFonts w:ascii="Garamond" w:hAnsi="Garamond" w:cs="Times New Roman"/>
          <w:color w:val="000000" w:themeColor="text1"/>
          <w:sz w:val="28"/>
          <w:szCs w:val="28"/>
        </w:rPr>
        <w:t xml:space="preserve"> </w:t>
      </w:r>
      <w:r w:rsidRPr="00BD09E0">
        <w:rPr>
          <w:rFonts w:ascii="Garamond" w:hAnsi="Garamond" w:cs="Times New Roman"/>
          <w:color w:val="000000" w:themeColor="text1"/>
          <w:sz w:val="28"/>
          <w:szCs w:val="28"/>
        </w:rPr>
        <w:t>protezione o re</w:t>
      </w:r>
      <w:r>
        <w:rPr>
          <w:rFonts w:ascii="Garamond" w:hAnsi="Garamond" w:cs="Times New Roman"/>
          <w:color w:val="000000" w:themeColor="text1"/>
          <w:sz w:val="28"/>
          <w:szCs w:val="28"/>
        </w:rPr>
        <w:t xml:space="preserve">golazione termica dell'edificio, ciò implicando </w:t>
      </w:r>
      <w:r w:rsidRPr="00BD09E0">
        <w:rPr>
          <w:rFonts w:ascii="Garamond" w:hAnsi="Garamond" w:cs="Times New Roman"/>
          <w:color w:val="000000" w:themeColor="text1"/>
          <w:sz w:val="28"/>
          <w:szCs w:val="28"/>
        </w:rPr>
        <w:t xml:space="preserve"> che il</w:t>
      </w:r>
      <w:r>
        <w:rPr>
          <w:rFonts w:ascii="Garamond" w:hAnsi="Garamond" w:cs="Times New Roman"/>
          <w:color w:val="000000" w:themeColor="text1"/>
          <w:sz w:val="28"/>
          <w:szCs w:val="28"/>
        </w:rPr>
        <w:t xml:space="preserve"> </w:t>
      </w:r>
      <w:r w:rsidRPr="00BD09E0">
        <w:rPr>
          <w:rFonts w:ascii="Garamond" w:hAnsi="Garamond" w:cs="Times New Roman"/>
          <w:color w:val="000000" w:themeColor="text1"/>
          <w:sz w:val="28"/>
          <w:szCs w:val="28"/>
        </w:rPr>
        <w:t>componente debba garantire il mantenimento dei livelli di fabbisogno</w:t>
      </w:r>
      <w:r>
        <w:rPr>
          <w:rFonts w:ascii="Garamond" w:hAnsi="Garamond" w:cs="Times New Roman"/>
          <w:color w:val="000000" w:themeColor="text1"/>
          <w:sz w:val="28"/>
          <w:szCs w:val="28"/>
        </w:rPr>
        <w:t xml:space="preserve"> </w:t>
      </w:r>
      <w:r w:rsidRPr="00BD09E0">
        <w:rPr>
          <w:rFonts w:ascii="Garamond" w:hAnsi="Garamond" w:cs="Times New Roman"/>
          <w:color w:val="000000" w:themeColor="text1"/>
          <w:sz w:val="28"/>
          <w:szCs w:val="28"/>
        </w:rPr>
        <w:t>energetico dell'edificio ed essere caratterizzato da trasmittanza termica</w:t>
      </w:r>
      <w:r>
        <w:rPr>
          <w:rFonts w:ascii="Garamond" w:hAnsi="Garamond" w:cs="Times New Roman"/>
          <w:color w:val="000000" w:themeColor="text1"/>
          <w:sz w:val="28"/>
          <w:szCs w:val="28"/>
        </w:rPr>
        <w:t xml:space="preserve"> </w:t>
      </w:r>
      <w:r w:rsidRPr="00BD09E0">
        <w:rPr>
          <w:rFonts w:ascii="Garamond" w:hAnsi="Garamond" w:cs="Times New Roman"/>
          <w:color w:val="000000" w:themeColor="text1"/>
          <w:sz w:val="28"/>
          <w:szCs w:val="28"/>
        </w:rPr>
        <w:t>comparabile con quella del componente architettonico sostituito</w:t>
      </w:r>
      <w:r>
        <w:rPr>
          <w:rFonts w:ascii="Garamond" w:hAnsi="Garamond" w:cs="Times New Roman"/>
          <w:color w:val="000000" w:themeColor="text1"/>
          <w:sz w:val="28"/>
          <w:szCs w:val="28"/>
        </w:rPr>
        <w:t xml:space="preserve">,  ai sensi dell’art. 7 comma </w:t>
      </w:r>
      <w:r w:rsidRPr="00CB7290">
        <w:rPr>
          <w:rFonts w:ascii="Garamond" w:hAnsi="Garamond" w:cs="Times New Roman"/>
          <w:color w:val="000000" w:themeColor="text1"/>
          <w:sz w:val="28"/>
          <w:szCs w:val="28"/>
        </w:rPr>
        <w:t>3, d</w:t>
      </w:r>
      <w:r>
        <w:rPr>
          <w:rFonts w:ascii="Garamond" w:hAnsi="Garamond" w:cs="Times New Roman"/>
          <w:color w:val="000000" w:themeColor="text1"/>
          <w:sz w:val="28"/>
          <w:szCs w:val="28"/>
        </w:rPr>
        <w:t>.</w:t>
      </w:r>
      <w:r w:rsidRPr="00C2516C">
        <w:t xml:space="preserve"> </w:t>
      </w:r>
      <w:r w:rsidRPr="00C2516C">
        <w:rPr>
          <w:rFonts w:ascii="Garamond" w:hAnsi="Garamond" w:cs="Times New Roman"/>
          <w:color w:val="000000" w:themeColor="text1"/>
          <w:sz w:val="28"/>
          <w:szCs w:val="28"/>
        </w:rPr>
        <w:t>m. 5 maggio 2011</w:t>
      </w:r>
      <w:r>
        <w:rPr>
          <w:rFonts w:ascii="Garamond" w:hAnsi="Garamond" w:cs="Times New Roman"/>
          <w:color w:val="000000" w:themeColor="text1"/>
          <w:sz w:val="28"/>
          <w:szCs w:val="28"/>
        </w:rPr>
        <w:t>, presupposto questo confermato dall’art. 15 del medesimo d.m. (Cons. Stato, sez. IV, n. 19 del 2017).</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Pr="00A41732" w:rsidRDefault="007B4920" w:rsidP="007B4920">
      <w:pPr>
        <w:pStyle w:val="Paragrafoelenco"/>
        <w:numPr>
          <w:ilvl w:val="1"/>
          <w:numId w:val="10"/>
        </w:numPr>
        <w:spacing w:line="240" w:lineRule="auto"/>
        <w:jc w:val="both"/>
        <w:rPr>
          <w:rFonts w:ascii="Garamond" w:hAnsi="Garamond" w:cs="Times New Roman"/>
          <w:b/>
          <w:color w:val="000000" w:themeColor="text1"/>
          <w:sz w:val="28"/>
          <w:szCs w:val="28"/>
        </w:rPr>
      </w:pPr>
      <w:r w:rsidRPr="00A41732">
        <w:rPr>
          <w:rFonts w:ascii="Garamond" w:hAnsi="Garamond" w:cs="Times New Roman"/>
          <w:b/>
          <w:color w:val="000000" w:themeColor="text1"/>
          <w:sz w:val="28"/>
          <w:szCs w:val="28"/>
        </w:rPr>
        <w:t>Impianto fotovoltaico su cava</w:t>
      </w:r>
      <w:r>
        <w:rPr>
          <w:rFonts w:ascii="Garamond" w:hAnsi="Garamond" w:cs="Times New Roman"/>
          <w:b/>
          <w:color w:val="000000" w:themeColor="text1"/>
          <w:sz w:val="28"/>
          <w:szCs w:val="28"/>
        </w:rPr>
        <w:t>.</w:t>
      </w:r>
    </w:p>
    <w:p w:rsidR="007B4920" w:rsidRPr="00290DBE" w:rsidRDefault="007B4920" w:rsidP="007B4920">
      <w:pPr>
        <w:spacing w:line="240" w:lineRule="auto"/>
        <w:ind w:firstLine="709"/>
        <w:contextualSpacing/>
        <w:jc w:val="both"/>
        <w:rPr>
          <w:rFonts w:ascii="Garamond" w:hAnsi="Garamond" w:cs="Times New Roman"/>
          <w:color w:val="000000" w:themeColor="text1"/>
          <w:sz w:val="28"/>
          <w:szCs w:val="28"/>
        </w:rPr>
      </w:pPr>
      <w:r w:rsidRPr="00C03AFE">
        <w:rPr>
          <w:rFonts w:ascii="Garamond" w:hAnsi="Garamond" w:cs="Times New Roman"/>
          <w:color w:val="000000" w:themeColor="text1"/>
          <w:sz w:val="28"/>
          <w:szCs w:val="28"/>
        </w:rPr>
        <w:t xml:space="preserve">È legittimo il provvedimento del G.s.e. di diniego di ammissione agli incentivi di cui al Quarto Conto </w:t>
      </w:r>
      <w:r>
        <w:rPr>
          <w:rFonts w:ascii="Garamond" w:hAnsi="Garamond" w:cs="Times New Roman"/>
          <w:color w:val="000000" w:themeColor="text1"/>
          <w:sz w:val="28"/>
          <w:szCs w:val="28"/>
        </w:rPr>
        <w:t>energia</w:t>
      </w:r>
      <w:r w:rsidRPr="00C03AFE">
        <w:rPr>
          <w:rFonts w:ascii="Garamond" w:hAnsi="Garamond" w:cs="Times New Roman"/>
          <w:color w:val="000000" w:themeColor="text1"/>
          <w:sz w:val="28"/>
          <w:szCs w:val="28"/>
        </w:rPr>
        <w:t xml:space="preserve"> (d.m. 5 maggio 2011) per impianto fotovoltaico realizzato su cava dismessa</w:t>
      </w:r>
      <w:r>
        <w:rPr>
          <w:rFonts w:ascii="Garamond" w:hAnsi="Garamond" w:cs="Times New Roman"/>
          <w:color w:val="000000" w:themeColor="text1"/>
          <w:sz w:val="28"/>
          <w:szCs w:val="28"/>
        </w:rPr>
        <w:t xml:space="preserve">, </w:t>
      </w:r>
      <w:r w:rsidRPr="00C03AFE">
        <w:rPr>
          <w:rFonts w:ascii="Garamond" w:hAnsi="Garamond" w:cs="Times New Roman"/>
          <w:color w:val="000000" w:themeColor="text1"/>
          <w:sz w:val="28"/>
          <w:szCs w:val="28"/>
        </w:rPr>
        <w:t>ove non risulti che la cava sia stata autorizzata</w:t>
      </w:r>
      <w:r>
        <w:rPr>
          <w:rFonts w:ascii="Garamond" w:hAnsi="Garamond" w:cs="Times New Roman"/>
          <w:color w:val="000000" w:themeColor="text1"/>
          <w:sz w:val="28"/>
          <w:szCs w:val="28"/>
        </w:rPr>
        <w:t xml:space="preserve"> in epoca successiva alla sua classificazione ad opera dello strumento urbanistico come agricola,</w:t>
      </w:r>
      <w:r w:rsidRPr="00C03AFE">
        <w:rPr>
          <w:rFonts w:ascii="Garamond" w:hAnsi="Garamond" w:cs="Times New Roman"/>
          <w:color w:val="000000" w:themeColor="text1"/>
          <w:sz w:val="28"/>
          <w:szCs w:val="28"/>
        </w:rPr>
        <w:t xml:space="preserve"> operando il divieto introdotto dal </w:t>
      </w:r>
      <w:r>
        <w:rPr>
          <w:rFonts w:ascii="Garamond" w:hAnsi="Garamond" w:cs="Times New Roman"/>
          <w:color w:val="000000" w:themeColor="text1"/>
          <w:sz w:val="28"/>
          <w:szCs w:val="28"/>
        </w:rPr>
        <w:t>d</w:t>
      </w:r>
      <w:r w:rsidRPr="00290DBE">
        <w:rPr>
          <w:rFonts w:ascii="Garamond" w:hAnsi="Garamond" w:cs="Times New Roman"/>
          <w:color w:val="000000" w:themeColor="text1"/>
          <w:sz w:val="28"/>
          <w:szCs w:val="28"/>
        </w:rPr>
        <w:t>.l. 24 gennaio 2012 n. 1, conv. in l. 24 marzo 2012 n. 27</w:t>
      </w:r>
      <w:r>
        <w:rPr>
          <w:rFonts w:ascii="Garamond" w:hAnsi="Garamond" w:cs="Times New Roman"/>
          <w:color w:val="000000" w:themeColor="text1"/>
          <w:sz w:val="28"/>
          <w:szCs w:val="28"/>
        </w:rPr>
        <w:t xml:space="preserve">,  </w:t>
      </w:r>
      <w:r w:rsidRPr="00C03AFE">
        <w:rPr>
          <w:rFonts w:ascii="Garamond" w:hAnsi="Garamond" w:cs="Times New Roman"/>
          <w:color w:val="000000" w:themeColor="text1"/>
          <w:sz w:val="28"/>
          <w:szCs w:val="28"/>
        </w:rPr>
        <w:t>per gli impianti a terra in area agricola e non essendo applicabile la deroga di cui all’art. 2, comma 2, d.m. 5 maggio 2011</w:t>
      </w:r>
      <w:r>
        <w:rPr>
          <w:rFonts w:ascii="Garamond" w:hAnsi="Garamond" w:cs="Times New Roman"/>
          <w:color w:val="000000" w:themeColor="text1"/>
          <w:sz w:val="28"/>
          <w:szCs w:val="28"/>
        </w:rPr>
        <w:t>, secondo</w:t>
      </w:r>
      <w:r w:rsidRPr="00C03AFE">
        <w:rPr>
          <w:rFonts w:ascii="Garamond" w:hAnsi="Garamond" w:cs="Times New Roman"/>
          <w:color w:val="000000" w:themeColor="text1"/>
          <w:sz w:val="28"/>
          <w:szCs w:val="28"/>
        </w:rPr>
        <w:t xml:space="preserve"> cui le cave non sono considerate aree agricole anche se ricadenti in aree così classificate dallo strumento </w:t>
      </w:r>
      <w:r>
        <w:rPr>
          <w:rFonts w:ascii="Garamond" w:hAnsi="Garamond" w:cs="Times New Roman"/>
          <w:color w:val="000000" w:themeColor="text1"/>
          <w:sz w:val="28"/>
          <w:szCs w:val="28"/>
        </w:rPr>
        <w:t>urbanistico [</w:t>
      </w:r>
      <w:r w:rsidRPr="00C2516C">
        <w:rPr>
          <w:rFonts w:ascii="Garamond" w:hAnsi="Garamond" w:cs="Times New Roman"/>
          <w:color w:val="000000" w:themeColor="text1"/>
          <w:sz w:val="28"/>
          <w:szCs w:val="28"/>
        </w:rPr>
        <w:t>Cons. S</w:t>
      </w:r>
      <w:r>
        <w:rPr>
          <w:rFonts w:ascii="Garamond" w:hAnsi="Garamond" w:cs="Times New Roman"/>
          <w:color w:val="000000" w:themeColor="text1"/>
          <w:sz w:val="28"/>
          <w:szCs w:val="28"/>
        </w:rPr>
        <w:t>tato, sez. IV,  n. 4267 del 2017 che ha al riguardo chiarito che l’art. 65, comma</w:t>
      </w:r>
      <w:r w:rsidRPr="00290DBE">
        <w:rPr>
          <w:rFonts w:ascii="Garamond" w:hAnsi="Garamond" w:cs="Times New Roman"/>
          <w:color w:val="000000" w:themeColor="text1"/>
          <w:sz w:val="28"/>
          <w:szCs w:val="28"/>
        </w:rPr>
        <w:t xml:space="preserve"> 1, d</w:t>
      </w:r>
      <w:r>
        <w:rPr>
          <w:rFonts w:ascii="Garamond" w:hAnsi="Garamond" w:cs="Times New Roman"/>
          <w:color w:val="000000" w:themeColor="text1"/>
          <w:sz w:val="28"/>
          <w:szCs w:val="28"/>
        </w:rPr>
        <w:t>.l n. 1 del 2012</w:t>
      </w:r>
      <w:r w:rsidRPr="00290DBE">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(“impianti fotovoltaici</w:t>
      </w:r>
      <w:r>
        <w:rPr>
          <w:rFonts w:ascii="Garamond" w:hAnsi="Garamond" w:cs="Times New Roman"/>
          <w:color w:val="000000" w:themeColor="text1"/>
          <w:sz w:val="28"/>
          <w:szCs w:val="28"/>
        </w:rPr>
        <w:t xml:space="preserve"> in ambito agricolo”), prevede: </w:t>
      </w:r>
      <w:r w:rsidRPr="00290DBE">
        <w:rPr>
          <w:rFonts w:ascii="Garamond" w:hAnsi="Garamond" w:cs="Times New Roman"/>
          <w:color w:val="000000" w:themeColor="text1"/>
          <w:sz w:val="28"/>
          <w:szCs w:val="28"/>
        </w:rPr>
        <w:t>“Agli impianti solari fotovoltaici con moduli collocati a terra in aree agricole</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non è consentito l'accesso agli incentivi statali di cui al decreto legislativo 3</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marzo 2011, n. 28”.</w:t>
      </w:r>
      <w:r>
        <w:rPr>
          <w:rFonts w:ascii="Garamond" w:hAnsi="Garamond" w:cs="Times New Roman"/>
          <w:color w:val="000000" w:themeColor="text1"/>
          <w:sz w:val="28"/>
          <w:szCs w:val="28"/>
        </w:rPr>
        <w:t xml:space="preserve"> L’art. 3, comma 2, d.m. </w:t>
      </w:r>
      <w:r w:rsidRPr="00290DBE">
        <w:rPr>
          <w:rFonts w:ascii="Garamond" w:hAnsi="Garamond" w:cs="Times New Roman"/>
          <w:color w:val="000000" w:themeColor="text1"/>
          <w:sz w:val="28"/>
          <w:szCs w:val="28"/>
        </w:rPr>
        <w:t>5 maggio</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2011</w:t>
      </w:r>
      <w:r>
        <w:rPr>
          <w:rFonts w:ascii="Garamond" w:hAnsi="Garamond" w:cs="Times New Roman"/>
          <w:color w:val="000000" w:themeColor="text1"/>
          <w:sz w:val="28"/>
          <w:szCs w:val="28"/>
        </w:rPr>
        <w:t>,</w:t>
      </w:r>
      <w:r w:rsidRPr="00290DBE">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precisa: </w:t>
      </w:r>
      <w:r w:rsidRPr="00290DBE">
        <w:rPr>
          <w:rFonts w:ascii="Garamond" w:hAnsi="Garamond" w:cs="Times New Roman"/>
          <w:color w:val="000000" w:themeColor="text1"/>
          <w:sz w:val="28"/>
          <w:szCs w:val="28"/>
        </w:rPr>
        <w:t>“2. Ai fini del presente decreto, le cave, le discariche esaurite, le aree di</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pertinenza di discariche o di siti contaminati non sono considerate aree</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agricole, anche se ricadenti in aree classificate agricole dal pertinente</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strumento urbanistico”.</w:t>
      </w:r>
      <w:r>
        <w:rPr>
          <w:rFonts w:ascii="Garamond" w:hAnsi="Garamond" w:cs="Times New Roman"/>
          <w:color w:val="000000" w:themeColor="text1"/>
          <w:sz w:val="28"/>
          <w:szCs w:val="28"/>
        </w:rPr>
        <w:t xml:space="preserve"> Secondo il Consiglio di Stato il citato d.m</w:t>
      </w:r>
      <w:r w:rsidRPr="00290DBE">
        <w:rPr>
          <w:rFonts w:ascii="Garamond" w:hAnsi="Garamond" w:cs="Times New Roman"/>
          <w:color w:val="000000" w:themeColor="text1"/>
          <w:sz w:val="28"/>
          <w:szCs w:val="28"/>
        </w:rPr>
        <w:t>. “interpreta”, quindi, il divieto introdotto dalla norma primaria,</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escludendo che talune aree, tra le quali quelle di cava, possano essere</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considerate agricole, ancorché ricadenti in zone così classificate dallo</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strumento urbanistico.</w:t>
      </w:r>
      <w:r w:rsidRPr="00290DBE">
        <w:t xml:space="preserve"> </w:t>
      </w:r>
      <w:r>
        <w:rPr>
          <w:rFonts w:ascii="Garamond" w:hAnsi="Garamond" w:cs="Times New Roman"/>
          <w:color w:val="000000" w:themeColor="text1"/>
          <w:sz w:val="28"/>
          <w:szCs w:val="28"/>
        </w:rPr>
        <w:t>L</w:t>
      </w:r>
      <w:r w:rsidRPr="00290DBE">
        <w:rPr>
          <w:rFonts w:ascii="Garamond" w:hAnsi="Garamond" w:cs="Times New Roman"/>
          <w:color w:val="000000" w:themeColor="text1"/>
          <w:sz w:val="28"/>
          <w:szCs w:val="28"/>
        </w:rPr>
        <w:t>’area di cava che non è da considerare agricola (e,</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dunque,</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 xml:space="preserve">utilizzabile per impianti solari fotovoltaici) è </w:t>
      </w:r>
      <w:r>
        <w:rPr>
          <w:rFonts w:ascii="Garamond" w:hAnsi="Garamond" w:cs="Times New Roman"/>
          <w:color w:val="000000" w:themeColor="text1"/>
          <w:sz w:val="28"/>
          <w:szCs w:val="28"/>
        </w:rPr>
        <w:t>solo quella ubicata</w:t>
      </w:r>
      <w:r w:rsidRPr="00290DBE">
        <w:rPr>
          <w:rFonts w:ascii="Garamond" w:hAnsi="Garamond" w:cs="Times New Roman"/>
          <w:color w:val="000000" w:themeColor="text1"/>
          <w:sz w:val="28"/>
          <w:szCs w:val="28"/>
        </w:rPr>
        <w:t xml:space="preserve"> in un terreno in precedenza pianificato come “agricolo”, e</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 xml:space="preserve">non già l’area che, pur in passato adibita a cava, sia stata, in epoca </w:t>
      </w:r>
      <w:r>
        <w:rPr>
          <w:rFonts w:ascii="Garamond" w:hAnsi="Garamond" w:cs="Times New Roman"/>
          <w:color w:val="000000" w:themeColor="text1"/>
          <w:sz w:val="28"/>
          <w:szCs w:val="28"/>
        </w:rPr>
        <w:t>successiva</w:t>
      </w:r>
      <w:r w:rsidRPr="00290DBE">
        <w:rPr>
          <w:rFonts w:ascii="Garamond" w:hAnsi="Garamond" w:cs="Times New Roman"/>
          <w:color w:val="000000" w:themeColor="text1"/>
          <w:sz w:val="28"/>
          <w:szCs w:val="28"/>
        </w:rPr>
        <w:t>,</w:t>
      </w:r>
      <w:r>
        <w:rPr>
          <w:rFonts w:ascii="Garamond" w:hAnsi="Garamond" w:cs="Times New Roman"/>
          <w:color w:val="000000" w:themeColor="text1"/>
          <w:sz w:val="28"/>
          <w:szCs w:val="28"/>
        </w:rPr>
        <w:t xml:space="preserve"> </w:t>
      </w:r>
      <w:r w:rsidRPr="00290DBE">
        <w:rPr>
          <w:rFonts w:ascii="Garamond" w:hAnsi="Garamond" w:cs="Times New Roman"/>
          <w:color w:val="000000" w:themeColor="text1"/>
          <w:sz w:val="28"/>
          <w:szCs w:val="28"/>
        </w:rPr>
        <w:t>ulteriormente oggetto di pianificazione. Ed infatti:</w:t>
      </w:r>
    </w:p>
    <w:p w:rsidR="007B4920" w:rsidRDefault="007B4920" w:rsidP="007B4920">
      <w:pPr>
        <w:pStyle w:val="Paragrafoelenco"/>
        <w:numPr>
          <w:ilvl w:val="0"/>
          <w:numId w:val="43"/>
        </w:numPr>
        <w:spacing w:line="240" w:lineRule="auto"/>
        <w:jc w:val="both"/>
        <w:rPr>
          <w:rFonts w:ascii="Garamond" w:hAnsi="Garamond" w:cs="Times New Roman"/>
          <w:color w:val="000000" w:themeColor="text1"/>
          <w:sz w:val="28"/>
          <w:szCs w:val="28"/>
        </w:rPr>
      </w:pPr>
      <w:r w:rsidRPr="00CB7290">
        <w:rPr>
          <w:rFonts w:ascii="Garamond" w:hAnsi="Garamond" w:cs="Times New Roman"/>
          <w:color w:val="000000" w:themeColor="text1"/>
          <w:sz w:val="28"/>
          <w:szCs w:val="28"/>
        </w:rPr>
        <w:lastRenderedPageBreak/>
        <w:t>nel primo caso, la pianificazione preesistente è, in sostanza, incisa in senso modificativo dalla attività concreta di cava ad essa successiva, di modo che l’astratta previsione urbanistica risulta già contraddetta nei fatti;</w:t>
      </w:r>
    </w:p>
    <w:p w:rsidR="007B4920" w:rsidRDefault="007B4920" w:rsidP="007B4920">
      <w:pPr>
        <w:pStyle w:val="Paragrafoelenco"/>
        <w:numPr>
          <w:ilvl w:val="0"/>
          <w:numId w:val="43"/>
        </w:numPr>
        <w:spacing w:line="240" w:lineRule="auto"/>
        <w:jc w:val="both"/>
        <w:rPr>
          <w:rFonts w:ascii="Garamond" w:hAnsi="Garamond" w:cs="Times New Roman"/>
          <w:color w:val="000000" w:themeColor="text1"/>
          <w:sz w:val="28"/>
          <w:szCs w:val="28"/>
        </w:rPr>
      </w:pPr>
      <w:r w:rsidRPr="00CB7290">
        <w:rPr>
          <w:rFonts w:ascii="Garamond" w:hAnsi="Garamond" w:cs="Times New Roman"/>
          <w:color w:val="000000" w:themeColor="text1"/>
          <w:sz w:val="28"/>
          <w:szCs w:val="28"/>
        </w:rPr>
        <w:t>nel secondo caso, invece, la pianificazione urbanistica successiva all’attività di cava ha già considerato la precedente utilizzazione dell’area, facendola nuovamente oggetto di pianificazione; di modo che una considerazione della medesima come “non agricola” costituirebbe una non ammissibile disapplicazione dello strumento urbanistico e, al contempo, una incisione sulla potestà pianificatoria dell’ente locale, costituzionalmente prevista. Pertanto ai fini dell’applicazione dell’art. 3, comma 2, d.m. cit., occorre riferirsi alle sole aree già pianificate come agricole prima della cessazione dell’attività di cava; questa interpretazione è l’unica che rende quanto previsto dal decreto ministeriale (anche in ragione della natura giuridica di tale atto) compatibile con il divieto di utilizzazione affermato dalla norma primaria].</w:t>
      </w:r>
    </w:p>
    <w:p w:rsidR="007B4920" w:rsidRPr="00CB7290" w:rsidRDefault="007B4920" w:rsidP="007B4920">
      <w:pPr>
        <w:pStyle w:val="Paragrafoelenco"/>
        <w:spacing w:line="240" w:lineRule="auto"/>
        <w:ind w:left="744"/>
        <w:jc w:val="both"/>
        <w:rPr>
          <w:rFonts w:ascii="Garamond" w:hAnsi="Garamond" w:cs="Times New Roman"/>
          <w:color w:val="000000" w:themeColor="text1"/>
          <w:sz w:val="28"/>
          <w:szCs w:val="28"/>
        </w:rPr>
      </w:pPr>
      <w:r w:rsidRPr="00CB7290">
        <w:rPr>
          <w:rFonts w:ascii="Garamond" w:hAnsi="Garamond" w:cs="Times New Roman"/>
          <w:color w:val="000000" w:themeColor="text1"/>
          <w:sz w:val="28"/>
          <w:szCs w:val="28"/>
        </w:rPr>
        <w:t xml:space="preserve"> </w:t>
      </w:r>
    </w:p>
    <w:p w:rsidR="007B4920" w:rsidRPr="00AE2890" w:rsidRDefault="007B4920" w:rsidP="007B4920">
      <w:pPr>
        <w:pStyle w:val="Paragrafoelenco"/>
        <w:numPr>
          <w:ilvl w:val="0"/>
          <w:numId w:val="10"/>
        </w:numPr>
        <w:spacing w:line="240" w:lineRule="auto"/>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Obbligo di cooperazione </w:t>
      </w:r>
      <w:r w:rsidRPr="00AE2890">
        <w:rPr>
          <w:rFonts w:ascii="Garamond" w:hAnsi="Garamond" w:cs="Times New Roman"/>
          <w:b/>
          <w:color w:val="000000" w:themeColor="text1"/>
          <w:sz w:val="28"/>
          <w:szCs w:val="28"/>
        </w:rPr>
        <w:t>tra giudici nazionali e Corte di giustizia</w:t>
      </w:r>
      <w:r>
        <w:rPr>
          <w:rFonts w:ascii="Garamond" w:hAnsi="Garamond" w:cs="Times New Roman"/>
          <w:b/>
          <w:color w:val="000000" w:themeColor="text1"/>
          <w:sz w:val="28"/>
          <w:szCs w:val="28"/>
        </w:rPr>
        <w:t>.</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AE2890">
        <w:rPr>
          <w:rFonts w:ascii="Garamond" w:hAnsi="Garamond" w:cs="Times New Roman"/>
          <w:color w:val="000000" w:themeColor="text1"/>
          <w:sz w:val="28"/>
          <w:szCs w:val="28"/>
        </w:rPr>
        <w:t>Secondo una consolid</w:t>
      </w:r>
      <w:r>
        <w:rPr>
          <w:rFonts w:ascii="Garamond" w:hAnsi="Garamond" w:cs="Times New Roman"/>
          <w:color w:val="000000" w:themeColor="text1"/>
          <w:sz w:val="28"/>
          <w:szCs w:val="28"/>
        </w:rPr>
        <w:t>ata giurisprudenza della Corte di giustizia:</w:t>
      </w:r>
    </w:p>
    <w:p w:rsidR="007B4920" w:rsidRDefault="007B4920" w:rsidP="007B4920">
      <w:pPr>
        <w:pStyle w:val="Paragrafoelenco"/>
        <w:numPr>
          <w:ilvl w:val="0"/>
          <w:numId w:val="41"/>
        </w:numPr>
        <w:spacing w:line="240" w:lineRule="auto"/>
        <w:jc w:val="both"/>
        <w:rPr>
          <w:rFonts w:ascii="Garamond" w:hAnsi="Garamond" w:cs="Times New Roman"/>
          <w:color w:val="000000" w:themeColor="text1"/>
          <w:sz w:val="28"/>
          <w:szCs w:val="28"/>
        </w:rPr>
      </w:pPr>
      <w:r w:rsidRPr="00F6508E">
        <w:rPr>
          <w:rFonts w:ascii="Garamond" w:hAnsi="Garamond" w:cs="Times New Roman"/>
          <w:color w:val="000000" w:themeColor="text1"/>
          <w:sz w:val="28"/>
          <w:szCs w:val="28"/>
        </w:rPr>
        <w:t>il procedimento istituito dall’articolo 267 TFUE è uno strumento di cooperazione tra la Corte ed i giudici nazionali, grazie al quale la prima fornisce ai secondi gli elementi di interpretazione del diritto dell’Unione che sono loro necessari per la soluzione della controversia che sono chiamati a dirimere. Il giudice nazionale è tenuto pertanto a illustrare, nella decisione stessa, il contesto di fatto e di diritto della controversia oggetto del procedimento principale e a fornire i chiarimenti necessari in merito alle ragioni della scelta delle disposizioni del diritto dell’Unione di cui esso chiede l’interpretazione, nonché riguardo al collegamento che esso stabilisce tra tali disposizioni e la normativa nazionale applicabile alla controversia sottoposta al suo giudizio. Le informazioni contenute nelle decisioni di rinvio devono, da un lato, permettere alla Corte di fornire risposte utili alle questioni sollevate dal giudice nazionale e, dall’altro, consentire ai governi degli Stati membri nonché agli altri interessati di esercitare il diritto di presentare osservazioni ad essi conferito dall’articolo 23 dello statuto della Corte di giustizia dell’Unione europea. La Corte deve assicurare il rispetto di tale diritto, tenuto conto del fatto che, in virtù di detta disposizione, soltanto le decisioni di rinvio vengono notificate agli interessati.</w:t>
      </w:r>
      <w:r w:rsidRPr="00AE2890">
        <w:t xml:space="preserve"> </w:t>
      </w:r>
      <w:r w:rsidRPr="00F6508E">
        <w:rPr>
          <w:rFonts w:ascii="Garamond" w:hAnsi="Garamond" w:cs="Times New Roman"/>
          <w:color w:val="000000" w:themeColor="text1"/>
          <w:sz w:val="28"/>
          <w:szCs w:val="28"/>
        </w:rPr>
        <w:t>Tali requisiti cumulativi, riguardanti il contenuto di una decisione di rinvio, sono espressamente indicati all’articolo 94 del regolamento di procedura, che il giudice del rinvio è tenuto a rispettare scrupolosamente pena l’irricevibilità della richiesta di rinvio pregiudiziale. [Corte di giustizia UE, X sez., 1 marzo 2023 (con richiamo a Corte di giustizia UE, 2 settembre 2021, C</w:t>
      </w:r>
      <w:r w:rsidRPr="00F6508E">
        <w:rPr>
          <w:rFonts w:ascii="Times New Roman" w:hAnsi="Times New Roman" w:cs="Times New Roman"/>
          <w:color w:val="000000" w:themeColor="text1"/>
          <w:sz w:val="28"/>
          <w:szCs w:val="28"/>
        </w:rPr>
        <w:t>‑</w:t>
      </w:r>
      <w:r w:rsidRPr="00F6508E">
        <w:rPr>
          <w:rFonts w:ascii="Garamond" w:hAnsi="Garamond" w:cs="Times New Roman"/>
          <w:color w:val="000000" w:themeColor="text1"/>
          <w:sz w:val="28"/>
          <w:szCs w:val="28"/>
        </w:rPr>
        <w:t>570/19, punto 134 e alla giurisprudenza ivi citata, a  Corte di giustizia UE 26 marzo 2020,</w:t>
      </w:r>
      <w:r w:rsidRPr="00DC0F0C">
        <w:t xml:space="preserve"> </w:t>
      </w:r>
      <w:r w:rsidRPr="00F6508E">
        <w:rPr>
          <w:rFonts w:ascii="Garamond" w:hAnsi="Garamond" w:cs="Times New Roman"/>
          <w:color w:val="000000" w:themeColor="text1"/>
          <w:sz w:val="28"/>
          <w:szCs w:val="28"/>
        </w:rPr>
        <w:t>C</w:t>
      </w:r>
      <w:r w:rsidRPr="00F6508E">
        <w:rPr>
          <w:rFonts w:ascii="Times New Roman" w:hAnsi="Times New Roman" w:cs="Times New Roman"/>
          <w:color w:val="000000" w:themeColor="text1"/>
          <w:sz w:val="28"/>
          <w:szCs w:val="28"/>
        </w:rPr>
        <w:t>‑</w:t>
      </w:r>
      <w:r w:rsidRPr="00F6508E">
        <w:rPr>
          <w:rFonts w:ascii="Garamond" w:hAnsi="Garamond" w:cs="Times New Roman"/>
          <w:color w:val="000000" w:themeColor="text1"/>
          <w:sz w:val="28"/>
          <w:szCs w:val="28"/>
        </w:rPr>
        <w:t>558/18 e C</w:t>
      </w:r>
      <w:r w:rsidRPr="00F6508E">
        <w:rPr>
          <w:rFonts w:ascii="Times New Roman" w:hAnsi="Times New Roman" w:cs="Times New Roman"/>
          <w:color w:val="000000" w:themeColor="text1"/>
          <w:sz w:val="28"/>
          <w:szCs w:val="28"/>
        </w:rPr>
        <w:t>‑</w:t>
      </w:r>
      <w:r w:rsidRPr="00F6508E">
        <w:rPr>
          <w:rFonts w:ascii="Garamond" w:hAnsi="Garamond" w:cs="Times New Roman"/>
          <w:color w:val="000000" w:themeColor="text1"/>
          <w:sz w:val="28"/>
          <w:szCs w:val="28"/>
        </w:rPr>
        <w:t>563/18, punto 44 nonché alla giurisprudenza ivi citata e a Corte di giustizia UE,  4 giugno 2020, C</w:t>
      </w:r>
      <w:r w:rsidRPr="00F6508E">
        <w:rPr>
          <w:rFonts w:ascii="Times New Roman" w:hAnsi="Times New Roman" w:cs="Times New Roman"/>
          <w:color w:val="000000" w:themeColor="text1"/>
          <w:sz w:val="28"/>
          <w:szCs w:val="28"/>
        </w:rPr>
        <w:t>‑</w:t>
      </w:r>
      <w:r w:rsidRPr="00F6508E">
        <w:rPr>
          <w:rFonts w:ascii="Garamond" w:hAnsi="Garamond" w:cs="Times New Roman"/>
          <w:color w:val="000000" w:themeColor="text1"/>
          <w:sz w:val="28"/>
          <w:szCs w:val="28"/>
        </w:rPr>
        <w:t xml:space="preserve">430/19, punto 23 e alla giurisprudenza ivi citata) che ha dichiarato irricevibile i quattro quesiti di cui  all’ ordinanza di  rinvio pregiudiziale del T.a.r. per il Lazio, sez. II </w:t>
      </w:r>
      <w:r w:rsidRPr="00F6508E">
        <w:rPr>
          <w:rFonts w:ascii="Garamond" w:hAnsi="Garamond" w:cs="Times New Roman"/>
          <w:i/>
          <w:color w:val="000000" w:themeColor="text1"/>
          <w:sz w:val="28"/>
          <w:szCs w:val="28"/>
        </w:rPr>
        <w:t>bis</w:t>
      </w:r>
      <w:r w:rsidRPr="00F6508E">
        <w:rPr>
          <w:rFonts w:ascii="Garamond" w:hAnsi="Garamond" w:cs="Times New Roman"/>
          <w:color w:val="000000" w:themeColor="text1"/>
          <w:sz w:val="28"/>
          <w:szCs w:val="28"/>
        </w:rPr>
        <w:t>,  n.836 del 2022 in materia di gas serra,  per mancato rispetto di detti requisiti)</w:t>
      </w:r>
      <w:r w:rsidRPr="00CB7290">
        <w:rPr>
          <w:rFonts w:ascii="Garamond" w:hAnsi="Garamond" w:cs="Times New Roman"/>
          <w:color w:val="000000" w:themeColor="text1"/>
          <w:sz w:val="28"/>
          <w:szCs w:val="28"/>
        </w:rPr>
        <w:t>]</w:t>
      </w:r>
      <w:r w:rsidRPr="00F6508E">
        <w:rPr>
          <w:rFonts w:ascii="Garamond" w:hAnsi="Garamond" w:cs="Times New Roman"/>
          <w:color w:val="000000" w:themeColor="text1"/>
          <w:sz w:val="28"/>
          <w:szCs w:val="28"/>
        </w:rPr>
        <w:t>;</w:t>
      </w:r>
    </w:p>
    <w:p w:rsidR="007B4920" w:rsidRDefault="007B4920" w:rsidP="007B4920">
      <w:pPr>
        <w:pStyle w:val="Paragrafoelenco"/>
        <w:numPr>
          <w:ilvl w:val="0"/>
          <w:numId w:val="41"/>
        </w:numPr>
        <w:spacing w:line="240" w:lineRule="auto"/>
        <w:jc w:val="both"/>
        <w:rPr>
          <w:rFonts w:ascii="Garamond" w:hAnsi="Garamond" w:cs="Times New Roman"/>
          <w:color w:val="000000" w:themeColor="text1"/>
          <w:sz w:val="28"/>
          <w:szCs w:val="28"/>
        </w:rPr>
      </w:pPr>
      <w:r w:rsidRPr="00F6508E">
        <w:rPr>
          <w:rFonts w:ascii="Garamond" w:hAnsi="Garamond" w:cs="Times New Roman"/>
          <w:color w:val="000000" w:themeColor="text1"/>
          <w:sz w:val="28"/>
          <w:szCs w:val="28"/>
        </w:rPr>
        <w:lastRenderedPageBreak/>
        <w:t xml:space="preserve">la circostanza che, formalmente, il giudice del rinvio abbia formulato la sua domanda di pronuncia pregiudiziale facendo riferimento a determinate disposizioni del diritto dell’Unione non osta a che la Corte fornisca a tale giudice tutti gli elementi interpretativi che possano essere utili per la soluzione della causa di cui è investito, indipendentemente dal fatto che esso vi abbia fatto o meno riferimento nell’enunciato delle questioni. A tal proposito, la Corte è tenuta a trarre dall’insieme degli elementi forniti dal giudice nazionale, e in particolare dalla motivazione della decisione di rinvio, gli elementi del diritto dell’Unione che richiedano un’interpretazione, tenuto conto dell’oggetto della controversia (Corte di giustizia UE, 29 aprile 2021, C- 617/19; 27 giugno 2018, C-90/17 relativa ad autorizzazione all’emissione di gas ad effetto serra di un impianto di cogenerazione, cfr. § 10.1.); </w:t>
      </w:r>
    </w:p>
    <w:p w:rsidR="007B4920" w:rsidRPr="00F6508E" w:rsidRDefault="007B4920" w:rsidP="007B4920">
      <w:pPr>
        <w:pStyle w:val="Paragrafoelenco"/>
        <w:numPr>
          <w:ilvl w:val="0"/>
          <w:numId w:val="41"/>
        </w:numPr>
        <w:spacing w:line="240" w:lineRule="auto"/>
        <w:jc w:val="both"/>
        <w:rPr>
          <w:rFonts w:ascii="Garamond" w:hAnsi="Garamond" w:cs="Times New Roman"/>
          <w:color w:val="000000" w:themeColor="text1"/>
          <w:sz w:val="28"/>
          <w:szCs w:val="28"/>
        </w:rPr>
      </w:pPr>
      <w:r w:rsidRPr="00F6508E">
        <w:rPr>
          <w:rFonts w:ascii="Garamond" w:hAnsi="Garamond" w:cs="Times New Roman"/>
          <w:color w:val="000000" w:themeColor="text1"/>
          <w:sz w:val="28"/>
          <w:szCs w:val="28"/>
        </w:rPr>
        <w:t>allorché le questioni sollevate con l’ordinanza di rinvio pregiudiziale riguardano l’interpretazione del diritto dell’Unione, la Corte è, in via di principio, tenuta a statuire. Infatti le questioni vertenti sul diritto dell’Unione sono assistite da una presunzione di rilevanza; il diniego della Corte di statuire su una questione pregiudiziale sollevata da un giudice nazionale è possibile solo qualora risulti in modo manifesto che l’interpretazione del diritto dell’Unione richiesta non ha alcun rapporto con la realtà effettiva o con l’oggetto della causa principale, qualora il problema sia di natura ipotetica, oppure quando la Corte non disponga degli elementi di fatto e di diritto necessari per fornire una risposta utile alle questioni che le vengono sottoposte [Corte di giustizia UE, sez. VII, 17 settembre 2020, C92/19 (con richiamo a Corte di giustizia UE 4 dicembre 2018, C-378/17, punto 26) che ha dichiarato irricevibile il secondo e terzo quesito di rinvio pregiudiziale di cui all’ordinanza del Consiglio di Stato, sez. IV, n. 708 del 2019, relativi alla possibile violazione dell’art.   107 del TFUE, e al rispetto del principio di eguaglianza e non discriminazione del diritto comunitario relativamente alla prospettata applicabilità del regime di sostegno per gli impianti di cogenerazione di energia e calore anche nell’ipotesi in cui si tratti di impianto non “ad alto rendimento” e per il periodo successivo al 31 dicembre 2010</w:t>
      </w:r>
      <w:r>
        <w:rPr>
          <w:rFonts w:ascii="Garamond" w:hAnsi="Garamond" w:cs="Times New Roman"/>
          <w:color w:val="000000" w:themeColor="text1"/>
          <w:sz w:val="28"/>
          <w:szCs w:val="28"/>
        </w:rPr>
        <w:t xml:space="preserve">, </w:t>
      </w:r>
      <w:r w:rsidRPr="00F6508E">
        <w:rPr>
          <w:rFonts w:ascii="Garamond" w:hAnsi="Garamond" w:cs="Times New Roman"/>
          <w:color w:val="000000" w:themeColor="text1"/>
          <w:sz w:val="28"/>
          <w:szCs w:val="28"/>
        </w:rPr>
        <w:t>cfr. § 10).</w:t>
      </w:r>
    </w:p>
    <w:p w:rsidR="007B4920" w:rsidRPr="00412AF0"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 xml:space="preserve">16. </w:t>
      </w:r>
      <w:r w:rsidRPr="00412AF0">
        <w:rPr>
          <w:rFonts w:ascii="Garamond" w:hAnsi="Garamond" w:cs="Times New Roman"/>
          <w:b/>
          <w:color w:val="000000" w:themeColor="text1"/>
          <w:sz w:val="28"/>
          <w:szCs w:val="28"/>
        </w:rPr>
        <w:t xml:space="preserve">Questioni di giurisdizione. </w:t>
      </w:r>
    </w:p>
    <w:p w:rsidR="007B4920" w:rsidRPr="00412AF0" w:rsidRDefault="007B4920" w:rsidP="007B4920">
      <w:pPr>
        <w:spacing w:line="240" w:lineRule="auto"/>
        <w:ind w:firstLine="709"/>
        <w:contextualSpacing/>
        <w:jc w:val="both"/>
        <w:rPr>
          <w:rFonts w:ascii="Garamond" w:hAnsi="Garamond" w:cs="Times New Roman"/>
          <w:color w:val="000000" w:themeColor="text1"/>
          <w:sz w:val="28"/>
          <w:szCs w:val="28"/>
        </w:rPr>
      </w:pPr>
      <w:r w:rsidRPr="00412AF0">
        <w:rPr>
          <w:rFonts w:ascii="Garamond" w:hAnsi="Garamond" w:cs="Times New Roman"/>
          <w:color w:val="000000" w:themeColor="text1"/>
          <w:sz w:val="28"/>
          <w:szCs w:val="28"/>
        </w:rPr>
        <w:t xml:space="preserve">In materia di giurisdizione </w:t>
      </w:r>
      <w:r w:rsidRPr="00CB7290">
        <w:rPr>
          <w:rFonts w:ascii="Garamond" w:hAnsi="Garamond" w:cs="Times New Roman"/>
          <w:color w:val="000000" w:themeColor="text1"/>
          <w:sz w:val="28"/>
          <w:szCs w:val="28"/>
        </w:rPr>
        <w:t>le Sezioni unite d</w:t>
      </w:r>
      <w:r w:rsidRPr="00412AF0">
        <w:rPr>
          <w:rFonts w:ascii="Garamond" w:hAnsi="Garamond" w:cs="Times New Roman"/>
          <w:color w:val="000000" w:themeColor="text1"/>
          <w:sz w:val="28"/>
          <w:szCs w:val="28"/>
        </w:rPr>
        <w:t>ella Cassazione hanno precisato che:</w:t>
      </w:r>
    </w:p>
    <w:p w:rsidR="007B4920" w:rsidRDefault="007B4920" w:rsidP="007B4920">
      <w:pPr>
        <w:pStyle w:val="Paragrafoelenco"/>
        <w:numPr>
          <w:ilvl w:val="0"/>
          <w:numId w:val="33"/>
        </w:numPr>
        <w:spacing w:line="240" w:lineRule="auto"/>
        <w:jc w:val="both"/>
        <w:rPr>
          <w:rFonts w:ascii="Garamond" w:hAnsi="Garamond" w:cs="Times New Roman"/>
          <w:color w:val="000000" w:themeColor="text1"/>
          <w:sz w:val="28"/>
          <w:szCs w:val="28"/>
        </w:rPr>
      </w:pPr>
      <w:r w:rsidRPr="00A41732">
        <w:rPr>
          <w:rFonts w:ascii="Garamond" w:hAnsi="Garamond" w:cs="Times New Roman"/>
          <w:color w:val="000000" w:themeColor="text1"/>
          <w:sz w:val="28"/>
          <w:szCs w:val="28"/>
        </w:rPr>
        <w:t>rientra nella giurisdizione esclus</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 xml:space="preserve"> del giudice amministrativo la controversia nella quale il titolare di un impianto fotovoltaico chiede l'accertamento del diritto a ottenere la tariffa incent</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nte con il riconoscimento della r</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lutazione Istat, con le consequenziali condanne, nonché l'accertamento negativo del diritto del G.s.e. alla ripetizione di quanto già corrisposto a detto titolo [Cass. civ., sez. un., ord. n. 29922 del 2017, con rinvio ai precedenti di cui alle ord., nr. 10650, 10409, 10410, 10411 del 2017 con cui si è ritenuto che la causa, avente ad oggetto, nella sostanza, il d.m. 6 febbraio 2006, rientra nella giurisdizione esclus</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 xml:space="preserve"> del giudice amministrativo, ai sensi dell'art. 133, comma 1, lett. o), c.p.a., che contempla «le controversie, incluse quelle risarcitorie, attinenti alle procedure e ai provvedimenti della pubblica amministrazione concernenti la produzione di </w:t>
      </w:r>
      <w:r>
        <w:rPr>
          <w:rFonts w:ascii="Garamond" w:hAnsi="Garamond" w:cs="Times New Roman"/>
          <w:color w:val="000000" w:themeColor="text1"/>
          <w:sz w:val="28"/>
          <w:szCs w:val="28"/>
        </w:rPr>
        <w:t>energia</w:t>
      </w:r>
      <w:r w:rsidRPr="00A41732">
        <w:rPr>
          <w:rFonts w:ascii="Garamond" w:hAnsi="Garamond" w:cs="Times New Roman"/>
          <w:color w:val="000000" w:themeColor="text1"/>
          <w:sz w:val="28"/>
          <w:szCs w:val="28"/>
        </w:rPr>
        <w:t xml:space="preserve">, i rigassificatori, i gasdotti di importazione, le centrali termoelettriche e quelle relative </w:t>
      </w:r>
      <w:r w:rsidRPr="00A41732">
        <w:rPr>
          <w:rFonts w:ascii="Garamond" w:hAnsi="Garamond" w:cs="Times New Roman"/>
          <w:color w:val="000000" w:themeColor="text1"/>
          <w:sz w:val="28"/>
          <w:szCs w:val="28"/>
        </w:rPr>
        <w:lastRenderedPageBreak/>
        <w:t xml:space="preserve">ad infrastrutture di trasporto ricomprese o da ricomprendere nella rete di trasmissione nazionale o rete nazionale di gasdotti» (con la pronuncia in questione le sezioni unite si sono pronunciate sul ricorso per regolamento di giurisdizione presentato dal G.s.e. nell’ambito di una controversia intentata davanti al Tribunale di Roma da una società titolare di un impianto fotovoltaico che aveva avuto accesso tariffe </w:t>
      </w:r>
      <w:r>
        <w:rPr>
          <w:rFonts w:ascii="Garamond" w:hAnsi="Garamond" w:cs="Times New Roman"/>
          <w:color w:val="000000" w:themeColor="text1"/>
          <w:sz w:val="28"/>
          <w:szCs w:val="28"/>
        </w:rPr>
        <w:t>incentivanti</w:t>
      </w:r>
      <w:r w:rsidRPr="00A41732">
        <w:rPr>
          <w:rFonts w:ascii="Garamond" w:hAnsi="Garamond" w:cs="Times New Roman"/>
          <w:color w:val="000000" w:themeColor="text1"/>
          <w:sz w:val="28"/>
          <w:szCs w:val="28"/>
        </w:rPr>
        <w:t xml:space="preserve"> previste dal d.m. 28 luglio 2005(c.d. Primo Conto </w:t>
      </w:r>
      <w:r>
        <w:rPr>
          <w:rFonts w:ascii="Garamond" w:hAnsi="Garamond" w:cs="Times New Roman"/>
          <w:color w:val="000000" w:themeColor="text1"/>
          <w:sz w:val="28"/>
          <w:szCs w:val="28"/>
        </w:rPr>
        <w:t>Energia</w:t>
      </w:r>
      <w:r w:rsidRPr="00A41732">
        <w:rPr>
          <w:rFonts w:ascii="Garamond" w:hAnsi="Garamond" w:cs="Times New Roman"/>
          <w:color w:val="000000" w:themeColor="text1"/>
          <w:sz w:val="28"/>
          <w:szCs w:val="28"/>
        </w:rPr>
        <w:t>), da aggiornarsi annualmente sulla base degli indici di r</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 xml:space="preserve">lutazione Istat, secondo quanto previsto dall'art. 6,  comma 6, d.m. cit.,  a seguito dell'avvio del procedimento di rideterminazione della tariffa spettante e di recupero delle eventuali maggiori somme erogate, dopo l’emanazione della norma di interpretazione autentica del citato disposto ad opera dell'art. 4, comma 1, d.m. 6 febbraio 2006, che ha escluso l'aggiornamento Istat per le tariffe </w:t>
      </w:r>
      <w:r>
        <w:rPr>
          <w:rFonts w:ascii="Garamond" w:hAnsi="Garamond" w:cs="Times New Roman"/>
          <w:color w:val="000000" w:themeColor="text1"/>
          <w:sz w:val="28"/>
          <w:szCs w:val="28"/>
        </w:rPr>
        <w:t>incentivanti</w:t>
      </w:r>
      <w:r w:rsidRPr="00A41732">
        <w:rPr>
          <w:rFonts w:ascii="Garamond" w:hAnsi="Garamond" w:cs="Times New Roman"/>
          <w:color w:val="000000" w:themeColor="text1"/>
          <w:sz w:val="28"/>
          <w:szCs w:val="28"/>
        </w:rPr>
        <w:t xml:space="preserve"> richieste </w:t>
      </w:r>
      <w:r>
        <w:rPr>
          <w:rFonts w:ascii="Garamond" w:hAnsi="Garamond" w:cs="Times New Roman"/>
          <w:color w:val="000000" w:themeColor="text1"/>
          <w:sz w:val="28"/>
          <w:szCs w:val="28"/>
        </w:rPr>
        <w:t>successivamente</w:t>
      </w:r>
      <w:r w:rsidRPr="00A41732">
        <w:rPr>
          <w:rFonts w:ascii="Garamond" w:hAnsi="Garamond" w:cs="Times New Roman"/>
          <w:color w:val="000000" w:themeColor="text1"/>
          <w:sz w:val="28"/>
          <w:szCs w:val="28"/>
        </w:rPr>
        <w:t xml:space="preserve"> all'entrata in vigore del Primo Conto </w:t>
      </w:r>
      <w:r>
        <w:rPr>
          <w:rFonts w:ascii="Garamond" w:hAnsi="Garamond" w:cs="Times New Roman"/>
          <w:color w:val="000000" w:themeColor="text1"/>
          <w:sz w:val="28"/>
          <w:szCs w:val="28"/>
        </w:rPr>
        <w:t>Energia</w:t>
      </w:r>
      <w:r w:rsidRPr="00A41732">
        <w:rPr>
          <w:rFonts w:ascii="Garamond" w:hAnsi="Garamond" w:cs="Times New Roman"/>
          <w:color w:val="000000" w:themeColor="text1"/>
          <w:sz w:val="28"/>
          <w:szCs w:val="28"/>
        </w:rPr>
        <w:t>. La società aveva richiesto la disapplicazione dell'atto di comunicazione da parte di G.s.e. del recupero delle somme, l'accertamento del diritto a conseguire la tariffa incent</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nte in relazione all'impianto fotovoltaico in oggetto, con il conseguente riconoscimento della r</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lutazione Istat, e quindi la condanna di G.s.e. al pagamento dei relativi importi, e comunque l'accertamento negativo del diritto di G</w:t>
      </w:r>
      <w:r>
        <w:rPr>
          <w:rFonts w:ascii="Garamond" w:hAnsi="Garamond" w:cs="Times New Roman"/>
          <w:color w:val="000000" w:themeColor="text1"/>
          <w:sz w:val="28"/>
          <w:szCs w:val="28"/>
        </w:rPr>
        <w:t>.</w:t>
      </w:r>
      <w:r w:rsidRPr="00A41732">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A41732">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A41732">
        <w:rPr>
          <w:rFonts w:ascii="Garamond" w:hAnsi="Garamond" w:cs="Times New Roman"/>
          <w:color w:val="000000" w:themeColor="text1"/>
          <w:sz w:val="28"/>
          <w:szCs w:val="28"/>
        </w:rPr>
        <w:t xml:space="preserve"> alla ripetizione delle somme già corrisposte a titolo di r</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lutazione secondo gli indici Istat e del diritto alla compensazione tra le somme pretese a titolo di restituzione e quelle dovute a titolo di incentivo)];</w:t>
      </w:r>
    </w:p>
    <w:p w:rsidR="007B4920" w:rsidRDefault="007B4920" w:rsidP="007B4920">
      <w:pPr>
        <w:pStyle w:val="Paragrafoelenco"/>
        <w:numPr>
          <w:ilvl w:val="0"/>
          <w:numId w:val="33"/>
        </w:numPr>
        <w:spacing w:line="240" w:lineRule="auto"/>
        <w:jc w:val="both"/>
        <w:rPr>
          <w:rFonts w:ascii="Garamond" w:hAnsi="Garamond" w:cs="Times New Roman"/>
          <w:color w:val="000000" w:themeColor="text1"/>
          <w:sz w:val="28"/>
          <w:szCs w:val="28"/>
        </w:rPr>
      </w:pPr>
      <w:r w:rsidRPr="00A41732">
        <w:rPr>
          <w:rFonts w:ascii="Garamond" w:hAnsi="Garamond" w:cs="Times New Roman"/>
          <w:color w:val="000000" w:themeColor="text1"/>
          <w:sz w:val="28"/>
          <w:szCs w:val="28"/>
        </w:rPr>
        <w:t>la giurisdizione esclus</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 xml:space="preserve"> del giudice amministrativo per le controversie in tema di </w:t>
      </w:r>
      <w:r>
        <w:rPr>
          <w:rFonts w:ascii="Garamond" w:hAnsi="Garamond" w:cs="Times New Roman"/>
          <w:color w:val="000000" w:themeColor="text1"/>
          <w:sz w:val="28"/>
          <w:szCs w:val="28"/>
        </w:rPr>
        <w:t>energia</w:t>
      </w:r>
      <w:r w:rsidRPr="00A41732">
        <w:rPr>
          <w:rFonts w:ascii="Garamond" w:hAnsi="Garamond" w:cs="Times New Roman"/>
          <w:color w:val="000000" w:themeColor="text1"/>
          <w:sz w:val="28"/>
          <w:szCs w:val="28"/>
        </w:rPr>
        <w:t xml:space="preserve"> prevista dall'art. 133, comma 1, lett. o), c.p.a si estende anche alle controversie con il G.s.e. in tema di misure di </w:t>
      </w:r>
      <w:r>
        <w:rPr>
          <w:rFonts w:ascii="Garamond" w:hAnsi="Garamond" w:cs="Times New Roman"/>
          <w:color w:val="000000" w:themeColor="text1"/>
          <w:sz w:val="28"/>
          <w:szCs w:val="28"/>
        </w:rPr>
        <w:t>incentivazione</w:t>
      </w:r>
      <w:r w:rsidRPr="00A41732">
        <w:rPr>
          <w:rFonts w:ascii="Garamond" w:hAnsi="Garamond" w:cs="Times New Roman"/>
          <w:color w:val="000000" w:themeColor="text1"/>
          <w:sz w:val="28"/>
          <w:szCs w:val="28"/>
        </w:rPr>
        <w:t xml:space="preserve"> per la produzione di </w:t>
      </w:r>
      <w:r>
        <w:rPr>
          <w:rFonts w:ascii="Garamond" w:hAnsi="Garamond" w:cs="Times New Roman"/>
          <w:color w:val="000000" w:themeColor="text1"/>
          <w:sz w:val="28"/>
          <w:szCs w:val="28"/>
        </w:rPr>
        <w:t>energia</w:t>
      </w:r>
      <w:r w:rsidRPr="00A41732">
        <w:rPr>
          <w:rFonts w:ascii="Garamond" w:hAnsi="Garamond" w:cs="Times New Roman"/>
          <w:color w:val="000000" w:themeColor="text1"/>
          <w:sz w:val="28"/>
          <w:szCs w:val="28"/>
        </w:rPr>
        <w:t xml:space="preserve"> da fonti rinnovabili [Cass. civ., sez. un.,  n. 10020 del 2019 che osservando che  il G.s.e. è «soggetto che, seppur nella veste di società per azioni, il cui azionista unico è il ministero dell'economia e delle finanze, svolge funzioni di natura pubblicistica nel settore elettrico e in particolare in tema di </w:t>
      </w:r>
      <w:r>
        <w:rPr>
          <w:rFonts w:ascii="Garamond" w:hAnsi="Garamond" w:cs="Times New Roman"/>
          <w:color w:val="000000" w:themeColor="text1"/>
          <w:sz w:val="28"/>
          <w:szCs w:val="28"/>
        </w:rPr>
        <w:t>incentivazione</w:t>
      </w:r>
      <w:r w:rsidRPr="00A41732">
        <w:rPr>
          <w:rFonts w:ascii="Garamond" w:hAnsi="Garamond" w:cs="Times New Roman"/>
          <w:color w:val="000000" w:themeColor="text1"/>
          <w:sz w:val="28"/>
          <w:szCs w:val="28"/>
        </w:rPr>
        <w:t xml:space="preserve"> dell'</w:t>
      </w:r>
      <w:r>
        <w:rPr>
          <w:rFonts w:ascii="Garamond" w:hAnsi="Garamond" w:cs="Times New Roman"/>
          <w:color w:val="000000" w:themeColor="text1"/>
          <w:sz w:val="28"/>
          <w:szCs w:val="28"/>
        </w:rPr>
        <w:t>energia</w:t>
      </w:r>
      <w:r w:rsidRPr="00A41732">
        <w:rPr>
          <w:rFonts w:ascii="Garamond" w:hAnsi="Garamond" w:cs="Times New Roman"/>
          <w:color w:val="000000" w:themeColor="text1"/>
          <w:sz w:val="28"/>
          <w:szCs w:val="28"/>
        </w:rPr>
        <w:t xml:space="preserve"> elettrica da fonte rinnovabile, attendendo alla gestione del relativo sistema pubblico», ha  precisato che la giurisdizione esclus</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 xml:space="preserve"> non viene meno per la circostanza che il G.s.e. sia intervenuto con strumenti negoziali; nello stesso senso Cass. civ., sez. un., n. 28057 del 2018; ord. n. 29922 del 2017; n. 14653 del 2017; n. 10795 del 2017 secondo cui sono devolute alla giurisdizione </w:t>
      </w:r>
      <w:r>
        <w:rPr>
          <w:rFonts w:ascii="Garamond" w:hAnsi="Garamond" w:cs="Times New Roman"/>
          <w:color w:val="000000" w:themeColor="text1"/>
          <w:sz w:val="28"/>
          <w:szCs w:val="28"/>
        </w:rPr>
        <w:t>amministrativa</w:t>
      </w:r>
      <w:r w:rsidRPr="00A41732">
        <w:rPr>
          <w:rFonts w:ascii="Garamond" w:hAnsi="Garamond" w:cs="Times New Roman"/>
          <w:color w:val="000000" w:themeColor="text1"/>
          <w:sz w:val="28"/>
          <w:szCs w:val="28"/>
        </w:rPr>
        <w:t xml:space="preserve"> anche le controversie sulle c.d. rimodulazioni degli incentivi (nella specie si trattava della rimodulazione disposta in attuazione dell'art. 26 d.l. 24 giugno 2014 n. 91, convertito, con modificazioni, dalla l. 11 agosto 2014 n. 116), che argomenta sulla considerazione che la rimodulazione, anche se attuata con atti bilaterali, avrebbe carattere autoritativo]</w:t>
      </w:r>
      <w:r w:rsidRPr="00CB7290">
        <w:rPr>
          <w:rFonts w:ascii="Garamond" w:hAnsi="Garamond" w:cs="Times New Roman"/>
          <w:color w:val="000000" w:themeColor="text1"/>
          <w:sz w:val="28"/>
          <w:szCs w:val="28"/>
        </w:rPr>
        <w:t>;</w:t>
      </w:r>
    </w:p>
    <w:p w:rsidR="007B4920" w:rsidRDefault="007B4920" w:rsidP="007B4920">
      <w:pPr>
        <w:pStyle w:val="Paragrafoelenco"/>
        <w:numPr>
          <w:ilvl w:val="0"/>
          <w:numId w:val="33"/>
        </w:numPr>
        <w:spacing w:line="240" w:lineRule="auto"/>
        <w:jc w:val="both"/>
        <w:rPr>
          <w:rFonts w:ascii="Garamond" w:hAnsi="Garamond" w:cs="Times New Roman"/>
          <w:color w:val="000000" w:themeColor="text1"/>
          <w:sz w:val="28"/>
          <w:szCs w:val="28"/>
        </w:rPr>
      </w:pPr>
      <w:r w:rsidRPr="00A41732">
        <w:rPr>
          <w:rFonts w:ascii="Garamond" w:hAnsi="Garamond" w:cs="Times New Roman"/>
          <w:color w:val="000000" w:themeColor="text1"/>
          <w:sz w:val="28"/>
          <w:szCs w:val="28"/>
        </w:rPr>
        <w:t xml:space="preserve">spetta al giudice amministrativo e non alle Commissioni tributarie la giurisdizione sulle controversie aventi ad oggetto quei provvedimenti che possono coinvolgere un numero indeterminato di soggetti come quelli che riguardano il mantenimento del diritto a beneficiare delle tariffe </w:t>
      </w:r>
      <w:r>
        <w:rPr>
          <w:rFonts w:ascii="Garamond" w:hAnsi="Garamond" w:cs="Times New Roman"/>
          <w:color w:val="000000" w:themeColor="text1"/>
          <w:sz w:val="28"/>
          <w:szCs w:val="28"/>
        </w:rPr>
        <w:t>incentivanti</w:t>
      </w:r>
      <w:r w:rsidRPr="00A41732">
        <w:rPr>
          <w:rFonts w:ascii="Garamond" w:hAnsi="Garamond" w:cs="Times New Roman"/>
          <w:color w:val="000000" w:themeColor="text1"/>
          <w:sz w:val="28"/>
          <w:szCs w:val="28"/>
        </w:rPr>
        <w:t xml:space="preserve"> riconosciute dal G.s.e. (Cass. civ., sez. un., ord. n. 22697 del 2022);</w:t>
      </w:r>
    </w:p>
    <w:p w:rsidR="007B4920" w:rsidRPr="00A41732" w:rsidRDefault="007B4920" w:rsidP="007B4920">
      <w:pPr>
        <w:pStyle w:val="Paragrafoelenco"/>
        <w:numPr>
          <w:ilvl w:val="0"/>
          <w:numId w:val="33"/>
        </w:numPr>
        <w:spacing w:line="240" w:lineRule="auto"/>
        <w:jc w:val="both"/>
        <w:rPr>
          <w:rFonts w:ascii="Garamond" w:hAnsi="Garamond" w:cs="Times New Roman"/>
          <w:color w:val="000000" w:themeColor="text1"/>
          <w:sz w:val="28"/>
          <w:szCs w:val="28"/>
        </w:rPr>
      </w:pPr>
      <w:r w:rsidRPr="00A41732">
        <w:rPr>
          <w:rFonts w:ascii="Garamond" w:hAnsi="Garamond" w:cs="Times New Roman"/>
          <w:color w:val="000000" w:themeColor="text1"/>
          <w:sz w:val="28"/>
          <w:szCs w:val="28"/>
        </w:rPr>
        <w:t>rientra nella giurisdizione esclus</w:t>
      </w:r>
      <w:r>
        <w:rPr>
          <w:rFonts w:ascii="Garamond" w:hAnsi="Garamond" w:cs="Times New Roman"/>
          <w:color w:val="000000" w:themeColor="text1"/>
          <w:sz w:val="28"/>
          <w:szCs w:val="28"/>
        </w:rPr>
        <w:t>iva</w:t>
      </w:r>
      <w:r w:rsidRPr="00A41732">
        <w:rPr>
          <w:rFonts w:ascii="Garamond" w:hAnsi="Garamond" w:cs="Times New Roman"/>
          <w:color w:val="000000" w:themeColor="text1"/>
          <w:sz w:val="28"/>
          <w:szCs w:val="28"/>
        </w:rPr>
        <w:t xml:space="preserve"> del giudice amministrativo, ai sensi dell'art. 133, comma 1, lett. o), c.p.a., l'impugnazione proposta dal responsabile di un impianto </w:t>
      </w:r>
      <w:r w:rsidRPr="00A41732">
        <w:rPr>
          <w:rFonts w:ascii="Garamond" w:hAnsi="Garamond" w:cs="Times New Roman"/>
          <w:color w:val="000000" w:themeColor="text1"/>
          <w:sz w:val="28"/>
          <w:szCs w:val="28"/>
        </w:rPr>
        <w:lastRenderedPageBreak/>
        <w:t>fotovoltaico contro il provvedimento dell'Agenzia delle entrate del 6 marzo 2020 con cui, in attuazione dell'art. 36, comma 3, d.l. n. 124 del 2019, conv., con modif., dalla l. n. 157 del 2019, sono stati indicati le modalità di presentazione e il contenuto essenziale della comunicazione mediante la quale gli operatori economici,  che abbiano cumulato la deduzione fiscale,  ex art. 6, commi 13 ss., l. n. 388 del 2000, e gli incentivi previsti dai decreti ministeriali del 2011,  possono, avvalendosi della speciale facoltà introdotta proprio dal citato art. 36, assoggettare alle imposte dirette l'importo dedotto dalle rispettive basi imponibili. Infatti, tale provvedimento si configura come atto tipicamente amministrativo, generale, meramente ricognitivo e attuativo del disposto di legge, non contenente una pretesa tributaria sostanziale e non rientrante nell'elenco riportato nell'art. 19 d.lgs. n. 546 del 1992. (</w:t>
      </w:r>
      <w:r w:rsidRPr="00CB7290">
        <w:rPr>
          <w:rFonts w:ascii="Garamond" w:hAnsi="Garamond" w:cs="Times New Roman"/>
          <w:color w:val="000000" w:themeColor="text1"/>
          <w:sz w:val="28"/>
          <w:szCs w:val="28"/>
        </w:rPr>
        <w:t>Cass. civ., sez. un.,</w:t>
      </w:r>
      <w:r w:rsidRPr="00A41732">
        <w:rPr>
          <w:rFonts w:ascii="Garamond" w:hAnsi="Garamond" w:cs="Times New Roman"/>
          <w:color w:val="000000" w:themeColor="text1"/>
          <w:sz w:val="28"/>
          <w:szCs w:val="28"/>
        </w:rPr>
        <w:t xml:space="preserve"> ord. n. 25479 del 2021: nella specie, parte ricorrente aveva agito chiedendo l'annullamento del provvedimento in esame nonché l'accertamento del proprio diritto a cumulare le tariffe e la menzionata deduzione fiscale, cfr.</w:t>
      </w:r>
      <w:r w:rsidRPr="00C75CB8">
        <w:t xml:space="preserve"> </w:t>
      </w:r>
      <w:r w:rsidRPr="00A41732">
        <w:rPr>
          <w:rFonts w:ascii="Garamond" w:hAnsi="Garamond" w:cs="Times New Roman"/>
          <w:color w:val="000000" w:themeColor="text1"/>
          <w:sz w:val="28"/>
          <w:szCs w:val="28"/>
        </w:rPr>
        <w:t>§ 12).</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Pr="00E71EC6" w:rsidRDefault="007B4920" w:rsidP="007B4920">
      <w:pPr>
        <w:spacing w:line="240" w:lineRule="auto"/>
        <w:jc w:val="both"/>
        <w:rPr>
          <w:rFonts w:ascii="Garamond" w:hAnsi="Garamond" w:cs="Times New Roman"/>
          <w:color w:val="000000" w:themeColor="text1"/>
          <w:sz w:val="28"/>
          <w:szCs w:val="28"/>
        </w:rPr>
      </w:pPr>
      <w:r>
        <w:rPr>
          <w:rFonts w:ascii="Garamond" w:hAnsi="Garamond" w:cs="Times New Roman"/>
          <w:b/>
          <w:color w:val="000000" w:themeColor="text1"/>
          <w:sz w:val="28"/>
          <w:szCs w:val="28"/>
        </w:rPr>
        <w:t xml:space="preserve">17. </w:t>
      </w:r>
      <w:r w:rsidRPr="00E71EC6">
        <w:rPr>
          <w:rFonts w:ascii="Garamond" w:hAnsi="Garamond" w:cs="Times New Roman"/>
          <w:b/>
          <w:color w:val="000000" w:themeColor="text1"/>
          <w:sz w:val="28"/>
          <w:szCs w:val="28"/>
        </w:rPr>
        <w:t>La competenza territoriale del T.a.r. per il Lazio</w:t>
      </w:r>
      <w:r>
        <w:rPr>
          <w:rFonts w:ascii="Garamond" w:hAnsi="Garamond" w:cs="Times New Roman"/>
          <w:b/>
          <w:color w:val="000000" w:themeColor="text1"/>
          <w:sz w:val="28"/>
          <w:szCs w:val="28"/>
        </w:rPr>
        <w:t>.</w:t>
      </w:r>
    </w:p>
    <w:p w:rsidR="007B4920" w:rsidRPr="00BB341C" w:rsidRDefault="007B4920" w:rsidP="007B4920">
      <w:pPr>
        <w:spacing w:line="240" w:lineRule="auto"/>
        <w:ind w:firstLine="709"/>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Sulla competenza si è espresso più volte il Consiglio di Stato ritenendo che </w:t>
      </w:r>
      <w:r w:rsidRPr="00BB341C">
        <w:rPr>
          <w:rFonts w:ascii="Garamond" w:hAnsi="Garamond" w:cs="Times New Roman"/>
          <w:color w:val="000000" w:themeColor="text1"/>
          <w:sz w:val="28"/>
          <w:szCs w:val="28"/>
        </w:rPr>
        <w:t>le vertenze nei confronti del G</w:t>
      </w:r>
      <w:r>
        <w:rPr>
          <w:rFonts w:ascii="Garamond" w:hAnsi="Garamond" w:cs="Times New Roman"/>
          <w:color w:val="000000" w:themeColor="text1"/>
          <w:sz w:val="28"/>
          <w:szCs w:val="28"/>
        </w:rPr>
        <w:t>.</w:t>
      </w:r>
      <w:r w:rsidRPr="00BB341C">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BB341C">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BB341C">
        <w:rPr>
          <w:rFonts w:ascii="Garamond" w:hAnsi="Garamond" w:cs="Times New Roman"/>
          <w:color w:val="000000" w:themeColor="text1"/>
          <w:sz w:val="28"/>
          <w:szCs w:val="28"/>
        </w:rPr>
        <w:t xml:space="preserve"> per atti concernenti</w:t>
      </w:r>
      <w:r>
        <w:rPr>
          <w:rFonts w:ascii="Garamond" w:hAnsi="Garamond" w:cs="Times New Roman"/>
          <w:color w:val="000000" w:themeColor="text1"/>
          <w:sz w:val="28"/>
          <w:szCs w:val="28"/>
        </w:rPr>
        <w:t xml:space="preserve"> </w:t>
      </w:r>
      <w:r w:rsidRPr="00BB341C">
        <w:rPr>
          <w:rFonts w:ascii="Garamond" w:hAnsi="Garamond" w:cs="Times New Roman"/>
          <w:color w:val="000000" w:themeColor="text1"/>
          <w:sz w:val="28"/>
          <w:szCs w:val="28"/>
        </w:rPr>
        <w:t>le incent</w:t>
      </w:r>
      <w:r>
        <w:rPr>
          <w:rFonts w:ascii="Garamond" w:hAnsi="Garamond" w:cs="Times New Roman"/>
          <w:color w:val="000000" w:themeColor="text1"/>
          <w:sz w:val="28"/>
          <w:szCs w:val="28"/>
        </w:rPr>
        <w:t>iva</w:t>
      </w:r>
      <w:r w:rsidRPr="00BB341C">
        <w:rPr>
          <w:rFonts w:ascii="Garamond" w:hAnsi="Garamond" w:cs="Times New Roman"/>
          <w:color w:val="000000" w:themeColor="text1"/>
          <w:sz w:val="28"/>
          <w:szCs w:val="28"/>
        </w:rPr>
        <w:t xml:space="preserve">zioni di </w:t>
      </w:r>
      <w:r>
        <w:rPr>
          <w:rFonts w:ascii="Garamond" w:hAnsi="Garamond" w:cs="Times New Roman"/>
          <w:color w:val="000000" w:themeColor="text1"/>
          <w:sz w:val="28"/>
          <w:szCs w:val="28"/>
        </w:rPr>
        <w:t>interventi per la produzione di energia</w:t>
      </w:r>
      <w:r w:rsidRPr="00BB341C">
        <w:rPr>
          <w:rFonts w:ascii="Garamond" w:hAnsi="Garamond" w:cs="Times New Roman"/>
          <w:color w:val="000000" w:themeColor="text1"/>
          <w:sz w:val="28"/>
          <w:szCs w:val="28"/>
        </w:rPr>
        <w:t xml:space="preserve"> da fonti rinnovabili sono devolute alla competenza territoriale</w:t>
      </w:r>
      <w:r>
        <w:rPr>
          <w:rFonts w:ascii="Garamond" w:hAnsi="Garamond" w:cs="Times New Roman"/>
          <w:color w:val="000000" w:themeColor="text1"/>
          <w:sz w:val="28"/>
          <w:szCs w:val="28"/>
        </w:rPr>
        <w:t xml:space="preserve"> del T.a.r. per il Lazio, sede di Roma, rilevando </w:t>
      </w:r>
      <w:r w:rsidRPr="00BB341C">
        <w:rPr>
          <w:rFonts w:ascii="Garamond" w:hAnsi="Garamond" w:cs="Times New Roman"/>
          <w:color w:val="000000" w:themeColor="text1"/>
          <w:sz w:val="28"/>
          <w:szCs w:val="28"/>
        </w:rPr>
        <w:t>che tali incent</w:t>
      </w:r>
      <w:r>
        <w:rPr>
          <w:rFonts w:ascii="Garamond" w:hAnsi="Garamond" w:cs="Times New Roman"/>
          <w:color w:val="000000" w:themeColor="text1"/>
          <w:sz w:val="28"/>
          <w:szCs w:val="28"/>
        </w:rPr>
        <w:t>iva</w:t>
      </w:r>
      <w:r w:rsidRPr="00BB341C">
        <w:rPr>
          <w:rFonts w:ascii="Garamond" w:hAnsi="Garamond" w:cs="Times New Roman"/>
          <w:color w:val="000000" w:themeColor="text1"/>
          <w:sz w:val="28"/>
          <w:szCs w:val="28"/>
        </w:rPr>
        <w:t>zioni,</w:t>
      </w:r>
      <w:r>
        <w:rPr>
          <w:rFonts w:ascii="Garamond" w:hAnsi="Garamond" w:cs="Times New Roman"/>
          <w:color w:val="000000" w:themeColor="text1"/>
          <w:sz w:val="28"/>
          <w:szCs w:val="28"/>
        </w:rPr>
        <w:t xml:space="preserve"> </w:t>
      </w:r>
      <w:r w:rsidRPr="00BB341C">
        <w:rPr>
          <w:rFonts w:ascii="Garamond" w:hAnsi="Garamond" w:cs="Times New Roman"/>
          <w:color w:val="000000" w:themeColor="text1"/>
          <w:sz w:val="28"/>
          <w:szCs w:val="28"/>
        </w:rPr>
        <w:t>pur concernendo l'</w:t>
      </w:r>
      <w:r>
        <w:rPr>
          <w:rFonts w:ascii="Garamond" w:hAnsi="Garamond" w:cs="Times New Roman"/>
          <w:color w:val="000000" w:themeColor="text1"/>
          <w:sz w:val="28"/>
          <w:szCs w:val="28"/>
        </w:rPr>
        <w:t>energia</w:t>
      </w:r>
      <w:r w:rsidRPr="00BB341C">
        <w:rPr>
          <w:rFonts w:ascii="Garamond" w:hAnsi="Garamond" w:cs="Times New Roman"/>
          <w:color w:val="000000" w:themeColor="text1"/>
          <w:sz w:val="28"/>
          <w:szCs w:val="28"/>
        </w:rPr>
        <w:t xml:space="preserve"> prodotta in un determinato impianto,</w:t>
      </w:r>
      <w:r>
        <w:rPr>
          <w:rFonts w:ascii="Garamond" w:hAnsi="Garamond" w:cs="Times New Roman"/>
          <w:color w:val="000000" w:themeColor="text1"/>
          <w:sz w:val="28"/>
          <w:szCs w:val="28"/>
        </w:rPr>
        <w:t xml:space="preserve"> </w:t>
      </w:r>
      <w:r w:rsidRPr="00BB341C">
        <w:rPr>
          <w:rFonts w:ascii="Garamond" w:hAnsi="Garamond" w:cs="Times New Roman"/>
          <w:color w:val="000000" w:themeColor="text1"/>
          <w:sz w:val="28"/>
          <w:szCs w:val="28"/>
        </w:rPr>
        <w:t>non hanno effetti localizzabili nell'ambito regionale in cui è</w:t>
      </w:r>
      <w:r>
        <w:rPr>
          <w:rFonts w:ascii="Garamond" w:hAnsi="Garamond" w:cs="Times New Roman"/>
          <w:color w:val="000000" w:themeColor="text1"/>
          <w:sz w:val="28"/>
          <w:szCs w:val="28"/>
        </w:rPr>
        <w:t xml:space="preserve"> </w:t>
      </w:r>
      <w:r w:rsidRPr="00BB341C">
        <w:rPr>
          <w:rFonts w:ascii="Garamond" w:hAnsi="Garamond" w:cs="Times New Roman"/>
          <w:color w:val="000000" w:themeColor="text1"/>
          <w:sz w:val="28"/>
          <w:szCs w:val="28"/>
        </w:rPr>
        <w:t>ubicato l'impianto stesso, ma hanno effetti sull'intero sistema</w:t>
      </w:r>
      <w:r>
        <w:rPr>
          <w:rFonts w:ascii="Garamond" w:hAnsi="Garamond" w:cs="Times New Roman"/>
          <w:color w:val="000000" w:themeColor="text1"/>
          <w:sz w:val="28"/>
          <w:szCs w:val="28"/>
        </w:rPr>
        <w:t xml:space="preserve"> nazionale energetico [Cons. Stato, sez. IV, ord. nn. </w:t>
      </w:r>
      <w:r w:rsidRPr="00BB341C">
        <w:rPr>
          <w:rFonts w:ascii="Garamond" w:hAnsi="Garamond" w:cs="Times New Roman"/>
          <w:color w:val="000000" w:themeColor="text1"/>
          <w:sz w:val="28"/>
          <w:szCs w:val="28"/>
        </w:rPr>
        <w:t>3309</w:t>
      </w:r>
      <w:r>
        <w:rPr>
          <w:rFonts w:ascii="Garamond" w:hAnsi="Garamond" w:cs="Times New Roman"/>
          <w:color w:val="000000" w:themeColor="text1"/>
          <w:sz w:val="28"/>
          <w:szCs w:val="28"/>
        </w:rPr>
        <w:t xml:space="preserve"> del 2016, </w:t>
      </w:r>
      <w:r w:rsidRPr="00BB341C">
        <w:rPr>
          <w:rFonts w:ascii="Garamond" w:hAnsi="Garamond" w:cs="Times New Roman"/>
          <w:color w:val="000000" w:themeColor="text1"/>
          <w:sz w:val="28"/>
          <w:szCs w:val="28"/>
        </w:rPr>
        <w:t>3583</w:t>
      </w:r>
      <w:r>
        <w:rPr>
          <w:rFonts w:ascii="Garamond" w:hAnsi="Garamond" w:cs="Times New Roman"/>
          <w:color w:val="000000" w:themeColor="text1"/>
          <w:sz w:val="28"/>
          <w:szCs w:val="28"/>
        </w:rPr>
        <w:t xml:space="preserve"> del 2015, </w:t>
      </w:r>
      <w:r w:rsidRPr="00BB341C">
        <w:rPr>
          <w:rFonts w:ascii="Garamond" w:hAnsi="Garamond" w:cs="Times New Roman"/>
          <w:color w:val="000000" w:themeColor="text1"/>
          <w:sz w:val="28"/>
          <w:szCs w:val="28"/>
        </w:rPr>
        <w:t>4700</w:t>
      </w:r>
      <w:r>
        <w:rPr>
          <w:rFonts w:ascii="Garamond" w:hAnsi="Garamond" w:cs="Times New Roman"/>
          <w:color w:val="000000" w:themeColor="text1"/>
          <w:sz w:val="28"/>
          <w:szCs w:val="28"/>
        </w:rPr>
        <w:t xml:space="preserve"> del 2014, 2765 del 2014 </w:t>
      </w:r>
      <w:r w:rsidRPr="00BB341C">
        <w:rPr>
          <w:rFonts w:ascii="Garamond" w:hAnsi="Garamond" w:cs="Times New Roman"/>
          <w:color w:val="000000" w:themeColor="text1"/>
          <w:sz w:val="28"/>
          <w:szCs w:val="28"/>
        </w:rPr>
        <w:t>(che assegna rilievo anche</w:t>
      </w:r>
      <w:r>
        <w:rPr>
          <w:rFonts w:ascii="Garamond" w:hAnsi="Garamond" w:cs="Times New Roman"/>
          <w:color w:val="000000" w:themeColor="text1"/>
          <w:sz w:val="28"/>
          <w:szCs w:val="28"/>
        </w:rPr>
        <w:t xml:space="preserve"> </w:t>
      </w:r>
      <w:r w:rsidRPr="00BB341C">
        <w:rPr>
          <w:rFonts w:ascii="Garamond" w:hAnsi="Garamond" w:cs="Times New Roman"/>
          <w:color w:val="000000" w:themeColor="text1"/>
          <w:sz w:val="28"/>
          <w:szCs w:val="28"/>
        </w:rPr>
        <w:t>alla circostanza che il G</w:t>
      </w:r>
      <w:r>
        <w:rPr>
          <w:rFonts w:ascii="Garamond" w:hAnsi="Garamond" w:cs="Times New Roman"/>
          <w:color w:val="000000" w:themeColor="text1"/>
          <w:sz w:val="28"/>
          <w:szCs w:val="28"/>
        </w:rPr>
        <w:t>.</w:t>
      </w:r>
      <w:r w:rsidRPr="00BB341C">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BB341C">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BB341C">
        <w:rPr>
          <w:rFonts w:ascii="Garamond" w:hAnsi="Garamond" w:cs="Times New Roman"/>
          <w:color w:val="000000" w:themeColor="text1"/>
          <w:sz w:val="28"/>
          <w:szCs w:val="28"/>
        </w:rPr>
        <w:t xml:space="preserve"> sia società a partecipazione pubblica</w:t>
      </w:r>
      <w:r>
        <w:rPr>
          <w:rFonts w:ascii="Garamond" w:hAnsi="Garamond" w:cs="Times New Roman"/>
          <w:color w:val="000000" w:themeColor="text1"/>
          <w:sz w:val="28"/>
          <w:szCs w:val="28"/>
        </w:rPr>
        <w:t xml:space="preserve"> </w:t>
      </w:r>
      <w:r w:rsidRPr="00BB341C">
        <w:rPr>
          <w:rFonts w:ascii="Garamond" w:hAnsi="Garamond" w:cs="Times New Roman"/>
          <w:color w:val="000000" w:themeColor="text1"/>
          <w:sz w:val="28"/>
          <w:szCs w:val="28"/>
        </w:rPr>
        <w:t>«a carattere ultraregionale»); sez. V, ord., n.</w:t>
      </w:r>
      <w:r>
        <w:rPr>
          <w:rFonts w:ascii="Garamond" w:hAnsi="Garamond" w:cs="Times New Roman"/>
          <w:color w:val="000000" w:themeColor="text1"/>
          <w:sz w:val="28"/>
          <w:szCs w:val="28"/>
        </w:rPr>
        <w:t>5319 del 2011].</w:t>
      </w:r>
    </w:p>
    <w:p w:rsidR="007B4920" w:rsidRDefault="007B4920" w:rsidP="007B4920">
      <w:pPr>
        <w:spacing w:line="240" w:lineRule="auto"/>
        <w:ind w:firstLine="709"/>
        <w:contextualSpacing/>
        <w:jc w:val="both"/>
        <w:rPr>
          <w:rFonts w:ascii="Garamond" w:hAnsi="Garamond" w:cs="Times New Roman"/>
          <w:b/>
          <w:color w:val="000000" w:themeColor="text1"/>
          <w:sz w:val="28"/>
          <w:szCs w:val="28"/>
        </w:rPr>
      </w:pPr>
    </w:p>
    <w:p w:rsidR="007B4920" w:rsidRDefault="007B4920" w:rsidP="007B4920">
      <w:pPr>
        <w:spacing w:line="240" w:lineRule="auto"/>
        <w:contextualSpacing/>
        <w:jc w:val="both"/>
        <w:rPr>
          <w:rFonts w:ascii="Garamond" w:hAnsi="Garamond" w:cs="Times New Roman"/>
          <w:b/>
          <w:color w:val="000000" w:themeColor="text1"/>
          <w:sz w:val="28"/>
          <w:szCs w:val="28"/>
        </w:rPr>
      </w:pPr>
      <w:r>
        <w:rPr>
          <w:rFonts w:ascii="Garamond" w:hAnsi="Garamond" w:cs="Times New Roman"/>
          <w:b/>
          <w:color w:val="000000" w:themeColor="text1"/>
          <w:sz w:val="28"/>
          <w:szCs w:val="28"/>
        </w:rPr>
        <w:t>18</w:t>
      </w:r>
      <w:r w:rsidRPr="001539F9">
        <w:rPr>
          <w:rFonts w:ascii="Garamond" w:hAnsi="Garamond" w:cs="Times New Roman"/>
          <w:b/>
          <w:color w:val="000000" w:themeColor="text1"/>
          <w:sz w:val="28"/>
          <w:szCs w:val="28"/>
        </w:rPr>
        <w:t>. Conclusioni</w:t>
      </w:r>
    </w:p>
    <w:p w:rsidR="007B4920" w:rsidRDefault="007B4920" w:rsidP="007B4920">
      <w:pPr>
        <w:spacing w:line="240" w:lineRule="auto"/>
        <w:ind w:firstLine="709"/>
        <w:contextualSpacing/>
        <w:jc w:val="both"/>
        <w:rPr>
          <w:rFonts w:ascii="Garamond" w:hAnsi="Garamond" w:cs="Times New Roman"/>
          <w:color w:val="000000" w:themeColor="text1"/>
          <w:sz w:val="28"/>
          <w:szCs w:val="28"/>
        </w:rPr>
      </w:pPr>
      <w:r w:rsidRPr="00B43082">
        <w:rPr>
          <w:rFonts w:ascii="Garamond" w:hAnsi="Garamond" w:cs="Times New Roman"/>
          <w:color w:val="000000" w:themeColor="text1"/>
          <w:sz w:val="28"/>
          <w:szCs w:val="28"/>
        </w:rPr>
        <w:t xml:space="preserve">Al termine della rassegna </w:t>
      </w:r>
      <w:r>
        <w:rPr>
          <w:rFonts w:ascii="Garamond" w:hAnsi="Garamond" w:cs="Times New Roman"/>
          <w:color w:val="000000" w:themeColor="text1"/>
          <w:sz w:val="28"/>
          <w:szCs w:val="28"/>
        </w:rPr>
        <w:t>relativa</w:t>
      </w:r>
      <w:r w:rsidRPr="00B43082">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alle controversi di cui </w:t>
      </w:r>
      <w:r w:rsidRPr="00CB7290">
        <w:rPr>
          <w:rFonts w:ascii="Garamond" w:hAnsi="Garamond" w:cs="Times New Roman"/>
          <w:color w:val="000000" w:themeColor="text1"/>
          <w:sz w:val="28"/>
          <w:szCs w:val="28"/>
        </w:rPr>
        <w:t>è protagonista</w:t>
      </w:r>
      <w:r>
        <w:rPr>
          <w:rFonts w:ascii="Garamond" w:hAnsi="Garamond" w:cs="Times New Roman"/>
          <w:color w:val="000000" w:themeColor="text1"/>
          <w:sz w:val="28"/>
          <w:szCs w:val="28"/>
        </w:rPr>
        <w:t xml:space="preserve"> il G.s.e.</w:t>
      </w:r>
      <w:r w:rsidRPr="00F24473">
        <w:rPr>
          <w:rFonts w:ascii="Garamond" w:hAnsi="Garamond" w:cs="Times New Roman"/>
          <w:color w:val="000000" w:themeColor="text1"/>
          <w:sz w:val="28"/>
          <w:szCs w:val="28"/>
          <w:highlight w:val="yellow"/>
        </w:rPr>
        <w:t>,</w:t>
      </w:r>
      <w:r>
        <w:rPr>
          <w:rFonts w:ascii="Garamond" w:hAnsi="Garamond" w:cs="Times New Roman"/>
          <w:color w:val="000000" w:themeColor="text1"/>
          <w:sz w:val="28"/>
          <w:szCs w:val="28"/>
        </w:rPr>
        <w:t xml:space="preserve"> </w:t>
      </w:r>
      <w:r w:rsidRPr="00B43082">
        <w:rPr>
          <w:rFonts w:ascii="Garamond" w:hAnsi="Garamond" w:cs="Times New Roman"/>
          <w:color w:val="000000" w:themeColor="text1"/>
          <w:sz w:val="28"/>
          <w:szCs w:val="28"/>
        </w:rPr>
        <w:t xml:space="preserve">si possono enucleare - senza pretese di esaustività, attesa la vastità e la complessità del contenzioso nella predetta materia - alcuni indirizzi </w:t>
      </w:r>
      <w:r w:rsidRPr="00CB7290">
        <w:rPr>
          <w:rFonts w:ascii="Garamond" w:hAnsi="Garamond" w:cs="Times New Roman"/>
          <w:color w:val="000000" w:themeColor="text1"/>
          <w:sz w:val="28"/>
          <w:szCs w:val="28"/>
        </w:rPr>
        <w:t>giurisprudenziali</w:t>
      </w:r>
      <w:r>
        <w:rPr>
          <w:rFonts w:ascii="Garamond" w:hAnsi="Garamond" w:cs="Times New Roman"/>
          <w:color w:val="000000" w:themeColor="text1"/>
          <w:sz w:val="28"/>
          <w:szCs w:val="28"/>
        </w:rPr>
        <w:t xml:space="preserve"> </w:t>
      </w:r>
      <w:r w:rsidRPr="00B43082">
        <w:rPr>
          <w:rFonts w:ascii="Garamond" w:hAnsi="Garamond" w:cs="Times New Roman"/>
          <w:color w:val="000000" w:themeColor="text1"/>
          <w:sz w:val="28"/>
          <w:szCs w:val="28"/>
        </w:rPr>
        <w:t>da intendersi consolidati, anche a seguito dell’intervento dell’Adunanza plenaria</w:t>
      </w:r>
      <w:r>
        <w:rPr>
          <w:rFonts w:ascii="Garamond" w:hAnsi="Garamond" w:cs="Times New Roman"/>
          <w:color w:val="000000" w:themeColor="text1"/>
          <w:sz w:val="28"/>
          <w:szCs w:val="28"/>
        </w:rPr>
        <w:t xml:space="preserve"> del Consiglio di Stato, </w:t>
      </w:r>
      <w:r w:rsidRPr="00B43082">
        <w:rPr>
          <w:rFonts w:ascii="Garamond" w:hAnsi="Garamond" w:cs="Times New Roman"/>
          <w:color w:val="000000" w:themeColor="text1"/>
          <w:sz w:val="28"/>
          <w:szCs w:val="28"/>
        </w:rPr>
        <w:t xml:space="preserve">delle </w:t>
      </w:r>
      <w:r>
        <w:rPr>
          <w:rFonts w:ascii="Garamond" w:hAnsi="Garamond" w:cs="Times New Roman"/>
          <w:color w:val="000000" w:themeColor="text1"/>
          <w:sz w:val="28"/>
          <w:szCs w:val="28"/>
        </w:rPr>
        <w:t>Sezioni u</w:t>
      </w:r>
      <w:r w:rsidRPr="00B43082">
        <w:rPr>
          <w:rFonts w:ascii="Garamond" w:hAnsi="Garamond" w:cs="Times New Roman"/>
          <w:color w:val="000000" w:themeColor="text1"/>
          <w:sz w:val="28"/>
          <w:szCs w:val="28"/>
        </w:rPr>
        <w:t xml:space="preserve">nite della Cassazione, </w:t>
      </w:r>
      <w:r>
        <w:rPr>
          <w:rFonts w:ascii="Garamond" w:hAnsi="Garamond" w:cs="Times New Roman"/>
          <w:color w:val="000000" w:themeColor="text1"/>
          <w:sz w:val="28"/>
          <w:szCs w:val="28"/>
        </w:rPr>
        <w:t xml:space="preserve">della Corte di giustizia UE e della Corte costituzionale,  </w:t>
      </w:r>
      <w:r w:rsidRPr="00B43082">
        <w:rPr>
          <w:rFonts w:ascii="Garamond" w:hAnsi="Garamond" w:cs="Times New Roman"/>
          <w:color w:val="000000" w:themeColor="text1"/>
          <w:sz w:val="28"/>
          <w:szCs w:val="28"/>
        </w:rPr>
        <w:t>in relazione a questioni sia di natura sostanziale che di natura più squisitamente processuale</w:t>
      </w:r>
      <w:r>
        <w:rPr>
          <w:rFonts w:ascii="Garamond" w:hAnsi="Garamond" w:cs="Times New Roman"/>
          <w:color w:val="000000" w:themeColor="text1"/>
          <w:sz w:val="28"/>
          <w:szCs w:val="28"/>
        </w:rPr>
        <w:t>.</w:t>
      </w:r>
    </w:p>
    <w:p w:rsidR="007B4920" w:rsidRDefault="007B4920" w:rsidP="007B4920">
      <w:pPr>
        <w:spacing w:line="240" w:lineRule="auto"/>
        <w:contextualSpacing/>
        <w:jc w:val="both"/>
        <w:rPr>
          <w:rFonts w:ascii="Garamond" w:hAnsi="Garamond" w:cs="Times New Roman"/>
          <w:color w:val="000000" w:themeColor="text1"/>
          <w:sz w:val="28"/>
          <w:szCs w:val="28"/>
        </w:rPr>
      </w:pPr>
    </w:p>
    <w:p w:rsidR="007B4920" w:rsidRDefault="007B4920" w:rsidP="007B4920">
      <w:pPr>
        <w:spacing w:line="240" w:lineRule="auto"/>
        <w:ind w:firstLine="708"/>
        <w:contextualSpacing/>
        <w:jc w:val="both"/>
        <w:rPr>
          <w:rFonts w:ascii="Garamond" w:hAnsi="Garamond" w:cs="Times New Roman"/>
          <w:color w:val="000000" w:themeColor="text1"/>
          <w:sz w:val="28"/>
          <w:szCs w:val="28"/>
        </w:rPr>
      </w:pPr>
      <w:r>
        <w:rPr>
          <w:rFonts w:ascii="Garamond" w:hAnsi="Garamond" w:cs="Times New Roman"/>
          <w:color w:val="000000" w:themeColor="text1"/>
          <w:sz w:val="28"/>
          <w:szCs w:val="28"/>
        </w:rPr>
        <w:t>Con riguardo ai profili sostanziali la giurisprudenza ha affermato i seguenti princìpi:</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Pr="00723273">
        <w:rPr>
          <w:rFonts w:ascii="Garamond" w:hAnsi="Garamond" w:cs="Times New Roman"/>
          <w:color w:val="000000" w:themeColor="text1"/>
          <w:sz w:val="28"/>
          <w:szCs w:val="28"/>
        </w:rPr>
        <w:t>l G.s.e. rientra nel novero dei soggetti pr</w:t>
      </w:r>
      <w:r>
        <w:rPr>
          <w:rFonts w:ascii="Garamond" w:hAnsi="Garamond" w:cs="Times New Roman"/>
          <w:color w:val="000000" w:themeColor="text1"/>
          <w:sz w:val="28"/>
          <w:szCs w:val="28"/>
        </w:rPr>
        <w:t>iva</w:t>
      </w:r>
      <w:r w:rsidRPr="00723273">
        <w:rPr>
          <w:rFonts w:ascii="Garamond" w:hAnsi="Garamond" w:cs="Times New Roman"/>
          <w:color w:val="000000" w:themeColor="text1"/>
          <w:sz w:val="28"/>
          <w:szCs w:val="28"/>
        </w:rPr>
        <w:t xml:space="preserve">ti svolgenti pubbliche funzioni, posto che, pur rivestendo formalmente la veste di società di capitali di diritto </w:t>
      </w:r>
      <w:r>
        <w:rPr>
          <w:rFonts w:ascii="Garamond" w:hAnsi="Garamond" w:cs="Times New Roman"/>
          <w:color w:val="000000" w:themeColor="text1"/>
          <w:sz w:val="28"/>
          <w:szCs w:val="28"/>
        </w:rPr>
        <w:t>privato</w:t>
      </w:r>
      <w:r w:rsidRPr="00723273">
        <w:rPr>
          <w:rFonts w:ascii="Garamond" w:hAnsi="Garamond" w:cs="Times New Roman"/>
          <w:color w:val="000000" w:themeColor="text1"/>
          <w:sz w:val="28"/>
          <w:szCs w:val="28"/>
        </w:rPr>
        <w:t>, è nondimeno soggetto munito dalla legge di funzioni pubbliche correlate - tra l'altro - alla diffusione delle energie da fonte rinnovabile, al controllo ed alla gestione dei flussi energetici di tale provenienza ed all'assolvimento degli obblighi imposti dalla legge agli operatori del settore energetico</w:t>
      </w:r>
      <w:r>
        <w:rPr>
          <w:rFonts w:ascii="Garamond" w:hAnsi="Garamond" w:cs="Times New Roman"/>
          <w:color w:val="000000" w:themeColor="text1"/>
          <w:sz w:val="28"/>
          <w:szCs w:val="28"/>
        </w:rPr>
        <w:t>;</w:t>
      </w:r>
    </w:p>
    <w:p w:rsidR="007B4920" w:rsidRPr="00666A63"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g</w:t>
      </w:r>
      <w:r w:rsidRPr="00AA3A88">
        <w:rPr>
          <w:rFonts w:ascii="Garamond" w:hAnsi="Garamond" w:cs="Times New Roman"/>
          <w:color w:val="000000" w:themeColor="text1"/>
          <w:sz w:val="28"/>
          <w:szCs w:val="28"/>
        </w:rPr>
        <w:t xml:space="preserve">li atti con cui il G.s.e. accerta il mancato assolvimento, da parte degli importatori o   produttori di </w:t>
      </w:r>
      <w:r>
        <w:rPr>
          <w:rFonts w:ascii="Garamond" w:hAnsi="Garamond" w:cs="Times New Roman"/>
          <w:color w:val="000000" w:themeColor="text1"/>
          <w:sz w:val="28"/>
          <w:szCs w:val="28"/>
        </w:rPr>
        <w:t>energia</w:t>
      </w:r>
      <w:r w:rsidRPr="00AA3A88">
        <w:rPr>
          <w:rFonts w:ascii="Garamond" w:hAnsi="Garamond" w:cs="Times New Roman"/>
          <w:color w:val="000000" w:themeColor="text1"/>
          <w:sz w:val="28"/>
          <w:szCs w:val="28"/>
        </w:rPr>
        <w:t xml:space="preserve"> da fonte rinnovabile, dell’obbligo stabilito dall'art. 11 d.lgs. n.  79 del 1999 hanno natura provvedimentale; pertanto, fatto salvo il legittimo esercizio, ricorrendone i presupposti, dell'autotutela </w:t>
      </w:r>
      <w:r>
        <w:rPr>
          <w:rFonts w:ascii="Garamond" w:hAnsi="Garamond" w:cs="Times New Roman"/>
          <w:color w:val="000000" w:themeColor="text1"/>
          <w:sz w:val="28"/>
          <w:szCs w:val="28"/>
        </w:rPr>
        <w:t>amministrativa</w:t>
      </w:r>
      <w:r w:rsidRPr="00AA3A88">
        <w:rPr>
          <w:rFonts w:ascii="Garamond" w:hAnsi="Garamond" w:cs="Times New Roman"/>
          <w:color w:val="000000" w:themeColor="text1"/>
          <w:sz w:val="28"/>
          <w:szCs w:val="28"/>
        </w:rPr>
        <w:t>, tali atti diventano definitivi ove non impugnati nei termini decadenziali di legge, avuto riguardo alla stretta correlazione tra atto di accertamento dell'inadempimento (con consequenziale attribuzione all'operatore economico dello stigma di soggetto inadempiente) ed il sistema delle sanzioni correlate a quell'accertamento e  alla necessaria esigenza di certezza giuridica e di stabilità del provvedimento del G.s.e. che accerta l'inadempienza dell'operatore economico rispetto all'obbligo di legge, in funzione propedeutica al sistema sanzionatorio affidato alle cure di altre autorità amministrative; hanno invece natura non provvedimentale gli atti con cui il G.s.e. accerta in positivo l'avvenuto puntuale adempimento del suddetto obbligo da parte degli operatori, rivolvendosi  in una mera presa d'atto dell'assolvimento degli obblighi discendenti direttamente dalla legge</w:t>
      </w:r>
      <w:r>
        <w:rPr>
          <w:rFonts w:ascii="Garamond" w:hAnsi="Garamond" w:cs="Times New Roman"/>
          <w:color w:val="000000" w:themeColor="text1"/>
          <w:sz w:val="28"/>
          <w:szCs w:val="28"/>
        </w:rPr>
        <w:t xml:space="preserve">, </w:t>
      </w:r>
      <w:r w:rsidRPr="00AA3A88">
        <w:rPr>
          <w:rFonts w:ascii="Garamond" w:hAnsi="Garamond" w:cs="Times New Roman"/>
          <w:color w:val="000000" w:themeColor="text1"/>
          <w:sz w:val="28"/>
          <w:szCs w:val="28"/>
        </w:rPr>
        <w:t xml:space="preserve"> in cui ciò che rileva, sul piano del controllo amministrativo, è che quel soggetto per quell'anno non pu</w:t>
      </w:r>
      <w:r>
        <w:rPr>
          <w:rFonts w:ascii="Garamond" w:hAnsi="Garamond" w:cs="Times New Roman"/>
          <w:color w:val="000000" w:themeColor="text1"/>
          <w:sz w:val="28"/>
          <w:szCs w:val="28"/>
        </w:rPr>
        <w:t>ò essere ritenuto inadempiente;</w:t>
      </w:r>
    </w:p>
    <w:p w:rsidR="007B4920" w:rsidRPr="00917267"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Pr="00460DB4">
        <w:rPr>
          <w:rFonts w:ascii="Garamond" w:hAnsi="Garamond" w:cs="Times New Roman"/>
          <w:color w:val="000000" w:themeColor="text1"/>
          <w:sz w:val="28"/>
          <w:szCs w:val="28"/>
        </w:rPr>
        <w:t xml:space="preserve">n materia di </w:t>
      </w:r>
      <w:r>
        <w:rPr>
          <w:rFonts w:ascii="Garamond" w:hAnsi="Garamond" w:cs="Times New Roman"/>
          <w:color w:val="000000" w:themeColor="text1"/>
          <w:sz w:val="28"/>
          <w:szCs w:val="28"/>
        </w:rPr>
        <w:t>energia</w:t>
      </w:r>
      <w:r w:rsidRPr="00460DB4">
        <w:rPr>
          <w:rFonts w:ascii="Garamond" w:hAnsi="Garamond" w:cs="Times New Roman"/>
          <w:color w:val="000000" w:themeColor="text1"/>
          <w:sz w:val="28"/>
          <w:szCs w:val="28"/>
        </w:rPr>
        <w:t>, in relazione alla controversia concernente la transizi</w:t>
      </w:r>
      <w:r>
        <w:rPr>
          <w:rFonts w:ascii="Garamond" w:hAnsi="Garamond" w:cs="Times New Roman"/>
          <w:color w:val="000000" w:themeColor="text1"/>
          <w:sz w:val="28"/>
          <w:szCs w:val="28"/>
        </w:rPr>
        <w:t>one da parte delle s</w:t>
      </w:r>
      <w:r w:rsidRPr="00460DB4">
        <w:rPr>
          <w:rFonts w:ascii="Garamond" w:hAnsi="Garamond" w:cs="Times New Roman"/>
          <w:color w:val="000000" w:themeColor="text1"/>
          <w:sz w:val="28"/>
          <w:szCs w:val="28"/>
        </w:rPr>
        <w:t xml:space="preserve">ocietà - titolari di impianti di produzione di </w:t>
      </w:r>
      <w:r>
        <w:rPr>
          <w:rFonts w:ascii="Garamond" w:hAnsi="Garamond" w:cs="Times New Roman"/>
          <w:color w:val="000000" w:themeColor="text1"/>
          <w:sz w:val="28"/>
          <w:szCs w:val="28"/>
        </w:rPr>
        <w:t>energia</w:t>
      </w:r>
      <w:r w:rsidRPr="00460DB4">
        <w:rPr>
          <w:rFonts w:ascii="Garamond" w:hAnsi="Garamond" w:cs="Times New Roman"/>
          <w:color w:val="000000" w:themeColor="text1"/>
          <w:sz w:val="28"/>
          <w:szCs w:val="28"/>
        </w:rPr>
        <w:t xml:space="preserve"> da fonte diversa da quella fotovoltaica (idraulica, eolica, a biogas di discarica, a biomasse solide, a biomasse liquide) </w:t>
      </w:r>
      <w:r>
        <w:rPr>
          <w:rFonts w:ascii="Garamond" w:hAnsi="Garamond" w:cs="Times New Roman"/>
          <w:color w:val="000000" w:themeColor="text1"/>
          <w:sz w:val="28"/>
          <w:szCs w:val="28"/>
        </w:rPr>
        <w:t xml:space="preserve">- </w:t>
      </w:r>
      <w:r w:rsidRPr="00460DB4">
        <w:rPr>
          <w:rFonts w:ascii="Garamond" w:hAnsi="Garamond" w:cs="Times New Roman"/>
          <w:color w:val="000000" w:themeColor="text1"/>
          <w:sz w:val="28"/>
          <w:szCs w:val="28"/>
        </w:rPr>
        <w:t>già ammesse agli incentivi con il sist</w:t>
      </w:r>
      <w:r>
        <w:rPr>
          <w:rFonts w:ascii="Garamond" w:hAnsi="Garamond" w:cs="Times New Roman"/>
          <w:color w:val="000000" w:themeColor="text1"/>
          <w:sz w:val="28"/>
          <w:szCs w:val="28"/>
        </w:rPr>
        <w:t xml:space="preserve">ema dei c.d. certificati verdi, </w:t>
      </w:r>
      <w:r w:rsidRPr="00460DB4">
        <w:rPr>
          <w:rFonts w:ascii="Garamond" w:hAnsi="Garamond" w:cs="Times New Roman"/>
          <w:color w:val="000000" w:themeColor="text1"/>
          <w:sz w:val="28"/>
          <w:szCs w:val="28"/>
        </w:rPr>
        <w:t>al nuovo regime incent</w:t>
      </w:r>
      <w:r>
        <w:rPr>
          <w:rFonts w:ascii="Garamond" w:hAnsi="Garamond" w:cs="Times New Roman"/>
          <w:color w:val="000000" w:themeColor="text1"/>
          <w:sz w:val="28"/>
          <w:szCs w:val="28"/>
        </w:rPr>
        <w:t>iva</w:t>
      </w:r>
      <w:r w:rsidRPr="00460DB4">
        <w:rPr>
          <w:rFonts w:ascii="Garamond" w:hAnsi="Garamond" w:cs="Times New Roman"/>
          <w:color w:val="000000" w:themeColor="text1"/>
          <w:sz w:val="28"/>
          <w:szCs w:val="28"/>
        </w:rPr>
        <w:t>nte mediante tariffa onnicomprens</w:t>
      </w:r>
      <w:r>
        <w:rPr>
          <w:rFonts w:ascii="Garamond" w:hAnsi="Garamond" w:cs="Times New Roman"/>
          <w:color w:val="000000" w:themeColor="text1"/>
          <w:sz w:val="28"/>
          <w:szCs w:val="28"/>
        </w:rPr>
        <w:t>iva (</w:t>
      </w:r>
      <w:r w:rsidRPr="00460DB4">
        <w:rPr>
          <w:rFonts w:ascii="Garamond" w:hAnsi="Garamond" w:cs="Times New Roman"/>
          <w:color w:val="000000" w:themeColor="text1"/>
          <w:sz w:val="28"/>
          <w:szCs w:val="28"/>
        </w:rPr>
        <w:t>previsto per quelli entrati in ese</w:t>
      </w:r>
      <w:r>
        <w:rPr>
          <w:rFonts w:ascii="Garamond" w:hAnsi="Garamond" w:cs="Times New Roman"/>
          <w:color w:val="000000" w:themeColor="text1"/>
          <w:sz w:val="28"/>
          <w:szCs w:val="28"/>
        </w:rPr>
        <w:t xml:space="preserve">rcizio dopo il 31 dicembre 2012, </w:t>
      </w:r>
      <w:r w:rsidRPr="00460DB4">
        <w:rPr>
          <w:rFonts w:ascii="Garamond" w:hAnsi="Garamond" w:cs="Times New Roman"/>
          <w:color w:val="000000" w:themeColor="text1"/>
          <w:sz w:val="28"/>
          <w:szCs w:val="28"/>
        </w:rPr>
        <w:t>dal d.lgs. n. 28 del 2011, e dal d.m. 6 luglio 2012, adottato in esecuzione dell'art. 24 del</w:t>
      </w:r>
      <w:r>
        <w:rPr>
          <w:rFonts w:ascii="Garamond" w:hAnsi="Garamond" w:cs="Times New Roman"/>
          <w:color w:val="000000" w:themeColor="text1"/>
          <w:sz w:val="28"/>
          <w:szCs w:val="28"/>
        </w:rPr>
        <w:t xml:space="preserve"> </w:t>
      </w:r>
      <w:r w:rsidRPr="00917267">
        <w:rPr>
          <w:rFonts w:ascii="Garamond" w:hAnsi="Garamond" w:cs="Times New Roman"/>
          <w:color w:val="000000" w:themeColor="text1"/>
          <w:sz w:val="28"/>
          <w:szCs w:val="28"/>
        </w:rPr>
        <w:t>d.lgs. n. 28 del 2011</w:t>
      </w:r>
      <w:r>
        <w:rPr>
          <w:rFonts w:ascii="Garamond" w:hAnsi="Garamond" w:cs="Times New Roman"/>
          <w:color w:val="000000" w:themeColor="text1"/>
          <w:sz w:val="28"/>
          <w:szCs w:val="28"/>
        </w:rPr>
        <w:t xml:space="preserve">), </w:t>
      </w:r>
      <w:r w:rsidRPr="00CB7290">
        <w:rPr>
          <w:rFonts w:ascii="Garamond" w:hAnsi="Garamond" w:cs="Times New Roman"/>
          <w:color w:val="000000" w:themeColor="text1"/>
          <w:sz w:val="28"/>
          <w:szCs w:val="28"/>
        </w:rPr>
        <w:t>la norma primaria dettata per l’appunto dal menzionato art. 24</w:t>
      </w:r>
      <w:r>
        <w:rPr>
          <w:rFonts w:ascii="Garamond" w:hAnsi="Garamond" w:cs="Times New Roman"/>
          <w:color w:val="000000" w:themeColor="text1"/>
          <w:sz w:val="28"/>
          <w:szCs w:val="28"/>
        </w:rPr>
        <w:t xml:space="preserve"> </w:t>
      </w:r>
      <w:r w:rsidRPr="00917267">
        <w:rPr>
          <w:rFonts w:ascii="Garamond" w:hAnsi="Garamond" w:cs="Times New Roman"/>
          <w:color w:val="000000" w:themeColor="text1"/>
          <w:sz w:val="28"/>
          <w:szCs w:val="28"/>
        </w:rPr>
        <w:t xml:space="preserve">non ha esaurito la disciplina del sistema di </w:t>
      </w:r>
      <w:r>
        <w:rPr>
          <w:rFonts w:ascii="Garamond" w:hAnsi="Garamond" w:cs="Times New Roman"/>
          <w:color w:val="000000" w:themeColor="text1"/>
          <w:sz w:val="28"/>
          <w:szCs w:val="28"/>
        </w:rPr>
        <w:t>incentivazione</w:t>
      </w:r>
      <w:r w:rsidRPr="00917267">
        <w:rPr>
          <w:rFonts w:ascii="Garamond" w:hAnsi="Garamond" w:cs="Times New Roman"/>
          <w:color w:val="000000" w:themeColor="text1"/>
          <w:sz w:val="28"/>
          <w:szCs w:val="28"/>
        </w:rPr>
        <w:t xml:space="preserve"> anche nella fase di transizione dal vecchio al nuovo regime, rimettendone la regolamentazione alla decretazione ministeriale (d.m. 6 luglio 2012, art. 19) sulla base di criteri indicati dalla stessa anzidetta norma primaria, i quali fanno riferimento anche all'intervento del Gestore sulla base di negozi pr</w:t>
      </w:r>
      <w:r>
        <w:rPr>
          <w:rFonts w:ascii="Garamond" w:hAnsi="Garamond" w:cs="Times New Roman"/>
          <w:color w:val="000000" w:themeColor="text1"/>
          <w:sz w:val="28"/>
          <w:szCs w:val="28"/>
        </w:rPr>
        <w:t>iva</w:t>
      </w:r>
      <w:r w:rsidRPr="00917267">
        <w:rPr>
          <w:rFonts w:ascii="Garamond" w:hAnsi="Garamond" w:cs="Times New Roman"/>
          <w:color w:val="000000" w:themeColor="text1"/>
          <w:sz w:val="28"/>
          <w:szCs w:val="28"/>
        </w:rPr>
        <w:t>tistici con funzione pubblicistica regolat</w:t>
      </w:r>
      <w:r>
        <w:rPr>
          <w:rFonts w:ascii="Garamond" w:hAnsi="Garamond" w:cs="Times New Roman"/>
          <w:color w:val="000000" w:themeColor="text1"/>
          <w:sz w:val="28"/>
          <w:szCs w:val="28"/>
        </w:rPr>
        <w:t>iva</w:t>
      </w:r>
      <w:r w:rsidRPr="00917267">
        <w:rPr>
          <w:rFonts w:ascii="Garamond" w:hAnsi="Garamond" w:cs="Times New Roman"/>
          <w:color w:val="000000" w:themeColor="text1"/>
          <w:sz w:val="28"/>
          <w:szCs w:val="28"/>
        </w:rPr>
        <w:t xml:space="preserve"> dell'obiettivo incent</w:t>
      </w:r>
      <w:r>
        <w:rPr>
          <w:rFonts w:ascii="Garamond" w:hAnsi="Garamond" w:cs="Times New Roman"/>
          <w:color w:val="000000" w:themeColor="text1"/>
          <w:sz w:val="28"/>
          <w:szCs w:val="28"/>
        </w:rPr>
        <w:t>iva</w:t>
      </w:r>
      <w:r w:rsidRPr="00917267">
        <w:rPr>
          <w:rFonts w:ascii="Garamond" w:hAnsi="Garamond" w:cs="Times New Roman"/>
          <w:color w:val="000000" w:themeColor="text1"/>
          <w:sz w:val="28"/>
          <w:szCs w:val="28"/>
        </w:rPr>
        <w:t>nte;</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la </w:t>
      </w:r>
      <w:r w:rsidRPr="00666A63">
        <w:rPr>
          <w:rFonts w:ascii="Garamond" w:hAnsi="Garamond" w:cs="Times New Roman"/>
          <w:color w:val="000000" w:themeColor="text1"/>
          <w:sz w:val="28"/>
          <w:szCs w:val="28"/>
        </w:rPr>
        <w:t xml:space="preserve">disposizione </w:t>
      </w:r>
      <w:r>
        <w:rPr>
          <w:rFonts w:ascii="Garamond" w:hAnsi="Garamond" w:cs="Times New Roman"/>
          <w:color w:val="000000" w:themeColor="text1"/>
          <w:sz w:val="28"/>
          <w:szCs w:val="28"/>
        </w:rPr>
        <w:t>di cui all’art. 7, comma 1, d.l.gs. n.  387 del 2003 che rinvia ad uno o più decreti per la determinazione delle tariffe incentivanti per gli impianti fotovoltaici, è</w:t>
      </w:r>
      <w:r w:rsidRPr="00666A63">
        <w:rPr>
          <w:rFonts w:ascii="Garamond" w:hAnsi="Garamond" w:cs="Times New Roman"/>
          <w:color w:val="000000" w:themeColor="text1"/>
          <w:sz w:val="28"/>
          <w:szCs w:val="28"/>
        </w:rPr>
        <w:t xml:space="preserve"> fonte di un potere certamente destinato a non esaurirsi con l’emanazione del primo decreto attuativo. Da un lato, infatti, la stessa disposizione </w:t>
      </w:r>
      <w:r>
        <w:rPr>
          <w:rFonts w:ascii="Garamond" w:hAnsi="Garamond" w:cs="Times New Roman"/>
          <w:color w:val="000000" w:themeColor="text1"/>
          <w:sz w:val="28"/>
          <w:szCs w:val="28"/>
        </w:rPr>
        <w:t>legislativa</w:t>
      </w:r>
      <w:r w:rsidRPr="00666A63">
        <w:rPr>
          <w:rFonts w:ascii="Garamond" w:hAnsi="Garamond" w:cs="Times New Roman"/>
          <w:color w:val="000000" w:themeColor="text1"/>
          <w:sz w:val="28"/>
          <w:szCs w:val="28"/>
        </w:rPr>
        <w:t xml:space="preserve"> prevede espressamente la possibilità di una pluralità di decreti ministeriali (“adotta uno o più decreti”); dall’altro lato, la possibilità che il potere attribuito venga esercitato con più atti discende dal principio di inesauribilità del potere amministrativo, a sua volta corollario della necessità che la tutela dell’interesse pubblico sia continuamente assicurata. </w:t>
      </w:r>
      <w:r>
        <w:rPr>
          <w:rFonts w:ascii="Garamond" w:hAnsi="Garamond" w:cs="Times New Roman"/>
          <w:color w:val="000000" w:themeColor="text1"/>
          <w:sz w:val="28"/>
          <w:szCs w:val="28"/>
        </w:rPr>
        <w:t xml:space="preserve">Tali decreti </w:t>
      </w:r>
      <w:r w:rsidRPr="00666A63">
        <w:rPr>
          <w:rFonts w:ascii="Garamond" w:hAnsi="Garamond" w:cs="Times New Roman"/>
          <w:color w:val="000000" w:themeColor="text1"/>
          <w:sz w:val="28"/>
          <w:szCs w:val="28"/>
        </w:rPr>
        <w:t>hanno natura regolamentare e non di atto amministrativo generale, avuto riguardo alla indeterminabilità dei suoi destinataria non solo a priori a ma anche a posteriori</w:t>
      </w:r>
      <w:r>
        <w:rPr>
          <w:rFonts w:ascii="Garamond" w:hAnsi="Garamond" w:cs="Times New Roman"/>
          <w:color w:val="000000" w:themeColor="text1"/>
          <w:sz w:val="28"/>
          <w:szCs w:val="28"/>
        </w:rPr>
        <w:t>;</w:t>
      </w:r>
    </w:p>
    <w:p w:rsidR="007B4920" w:rsidRPr="00917267"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3303A7">
        <w:rPr>
          <w:rFonts w:ascii="Garamond" w:hAnsi="Garamond" w:cs="Times New Roman"/>
          <w:color w:val="000000" w:themeColor="text1"/>
          <w:sz w:val="28"/>
          <w:szCs w:val="28"/>
        </w:rPr>
        <w:t>’art. 4, comma 1</w:t>
      </w:r>
      <w:r>
        <w:rPr>
          <w:rFonts w:ascii="Garamond" w:hAnsi="Garamond" w:cs="Times New Roman"/>
          <w:color w:val="000000" w:themeColor="text1"/>
          <w:sz w:val="28"/>
          <w:szCs w:val="28"/>
        </w:rPr>
        <w:t xml:space="preserve">, </w:t>
      </w:r>
      <w:r w:rsidRPr="003303A7">
        <w:rPr>
          <w:rFonts w:ascii="Garamond" w:hAnsi="Garamond" w:cs="Times New Roman"/>
          <w:color w:val="000000" w:themeColor="text1"/>
          <w:sz w:val="28"/>
          <w:szCs w:val="28"/>
        </w:rPr>
        <w:t xml:space="preserve"> d.m. 6 febbraio 2006</w:t>
      </w:r>
      <w:r>
        <w:rPr>
          <w:rFonts w:ascii="Garamond" w:hAnsi="Garamond" w:cs="Times New Roman"/>
          <w:color w:val="000000" w:themeColor="text1"/>
          <w:sz w:val="28"/>
          <w:szCs w:val="28"/>
        </w:rPr>
        <w:t xml:space="preserve">, riferito all’aggiornamento delle tariffe incentivanti per gli impianti fotovoltaici,  ha natura di norma di interpretazione </w:t>
      </w:r>
      <w:r>
        <w:rPr>
          <w:rFonts w:ascii="Garamond" w:hAnsi="Garamond" w:cs="Times New Roman"/>
          <w:color w:val="000000" w:themeColor="text1"/>
          <w:sz w:val="28"/>
          <w:szCs w:val="28"/>
        </w:rPr>
        <w:lastRenderedPageBreak/>
        <w:t>autentica  rispetto alla previgente previsione dell’art</w:t>
      </w:r>
      <w:r w:rsidRPr="003303A7">
        <w:rPr>
          <w:rFonts w:ascii="Garamond" w:hAnsi="Garamond" w:cs="Times New Roman"/>
          <w:color w:val="000000" w:themeColor="text1"/>
          <w:sz w:val="28"/>
          <w:szCs w:val="28"/>
        </w:rPr>
        <w:t>. 6, comma 6, d.m. 28 luglio 2005</w:t>
      </w:r>
      <w:r>
        <w:rPr>
          <w:rFonts w:ascii="Garamond" w:hAnsi="Garamond" w:cs="Times New Roman"/>
          <w:color w:val="000000" w:themeColor="text1"/>
          <w:sz w:val="28"/>
          <w:szCs w:val="28"/>
        </w:rPr>
        <w:t xml:space="preserve">, precisando </w:t>
      </w:r>
      <w:r w:rsidRPr="00382A50">
        <w:rPr>
          <w:rFonts w:ascii="Garamond" w:hAnsi="Garamond" w:cs="Times New Roman"/>
          <w:color w:val="000000" w:themeColor="text1"/>
          <w:sz w:val="28"/>
          <w:szCs w:val="28"/>
        </w:rPr>
        <w:t>che l’aggiornamento delle tariffe per gli impianti di cui alla lettera b) “viene effettuato per ciascuno degli anni successivi al 2006”, essendo convergente con ciò l’ulteriore previsione, di cui all’art. 8, comma 1, dello stesso d.m.</w:t>
      </w:r>
      <w:r w:rsidRPr="00917267">
        <w:t xml:space="preserve"> </w:t>
      </w:r>
      <w:r w:rsidRPr="00917267">
        <w:rPr>
          <w:rFonts w:ascii="Garamond" w:hAnsi="Garamond" w:cs="Times New Roman"/>
          <w:color w:val="000000" w:themeColor="text1"/>
          <w:sz w:val="28"/>
          <w:szCs w:val="28"/>
        </w:rPr>
        <w:t xml:space="preserve">6 febbraio 2006, per il quale la suddetta modifica si applica “alle domande inoltrate </w:t>
      </w:r>
      <w:r>
        <w:rPr>
          <w:rFonts w:ascii="Garamond" w:hAnsi="Garamond" w:cs="Times New Roman"/>
          <w:color w:val="000000" w:themeColor="text1"/>
          <w:sz w:val="28"/>
          <w:szCs w:val="28"/>
        </w:rPr>
        <w:t>successivamente</w:t>
      </w:r>
      <w:r w:rsidRPr="00917267">
        <w:rPr>
          <w:rFonts w:ascii="Garamond" w:hAnsi="Garamond" w:cs="Times New Roman"/>
          <w:color w:val="000000" w:themeColor="text1"/>
          <w:sz w:val="28"/>
          <w:szCs w:val="28"/>
        </w:rPr>
        <w:t xml:space="preserve"> alla data di entrata in vigore del d.m. 28 luglio 2005”. Tale soluzione peraltro è la più favorevole per gli operatori tra qu</w:t>
      </w:r>
      <w:r>
        <w:rPr>
          <w:rFonts w:ascii="Garamond" w:hAnsi="Garamond" w:cs="Times New Roman"/>
          <w:color w:val="000000" w:themeColor="text1"/>
          <w:sz w:val="28"/>
          <w:szCs w:val="28"/>
        </w:rPr>
        <w:t xml:space="preserve">elle consentite dall’art. 7 </w:t>
      </w:r>
      <w:r w:rsidRPr="00917267">
        <w:rPr>
          <w:rFonts w:ascii="Garamond" w:hAnsi="Garamond" w:cs="Times New Roman"/>
          <w:color w:val="000000" w:themeColor="text1"/>
          <w:sz w:val="28"/>
          <w:szCs w:val="28"/>
        </w:rPr>
        <w:t>d.l.gs n. 387 del 2003: il vincolo del carattere decrescente della tariffa viene infatti assicurato mantenendola fissa a livello nominale e lasciandola decrescente solo in termini reali.  la natura meramente interpretat</w:t>
      </w:r>
      <w:r>
        <w:rPr>
          <w:rFonts w:ascii="Garamond" w:hAnsi="Garamond" w:cs="Times New Roman"/>
          <w:color w:val="000000" w:themeColor="text1"/>
          <w:sz w:val="28"/>
          <w:szCs w:val="28"/>
        </w:rPr>
        <w:t>iva</w:t>
      </w:r>
      <w:r w:rsidRPr="00917267">
        <w:rPr>
          <w:rFonts w:ascii="Garamond" w:hAnsi="Garamond" w:cs="Times New Roman"/>
          <w:color w:val="000000" w:themeColor="text1"/>
          <w:sz w:val="28"/>
          <w:szCs w:val="28"/>
        </w:rPr>
        <w:t xml:space="preserve"> e non innovat</w:t>
      </w:r>
      <w:r>
        <w:rPr>
          <w:rFonts w:ascii="Garamond" w:hAnsi="Garamond" w:cs="Times New Roman"/>
          <w:color w:val="000000" w:themeColor="text1"/>
          <w:sz w:val="28"/>
          <w:szCs w:val="28"/>
        </w:rPr>
        <w:t>iva</w:t>
      </w:r>
      <w:r w:rsidRPr="00917267">
        <w:rPr>
          <w:rFonts w:ascii="Garamond" w:hAnsi="Garamond" w:cs="Times New Roman"/>
          <w:color w:val="000000" w:themeColor="text1"/>
          <w:sz w:val="28"/>
          <w:szCs w:val="28"/>
        </w:rPr>
        <w:t xml:space="preserve"> del d.m. del 2006 porta ad escludere la violazione del principio di </w:t>
      </w:r>
      <w:r>
        <w:rPr>
          <w:rFonts w:ascii="Garamond" w:hAnsi="Garamond" w:cs="Times New Roman"/>
          <w:color w:val="000000" w:themeColor="text1"/>
          <w:sz w:val="28"/>
          <w:szCs w:val="28"/>
        </w:rPr>
        <w:t>ir</w:t>
      </w:r>
      <w:r w:rsidRPr="00917267">
        <w:rPr>
          <w:rFonts w:ascii="Garamond" w:hAnsi="Garamond" w:cs="Times New Roman"/>
          <w:color w:val="000000" w:themeColor="text1"/>
          <w:sz w:val="28"/>
          <w:szCs w:val="28"/>
        </w:rPr>
        <w:t>retroattività;</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ad un impianto privo (</w:t>
      </w:r>
      <w:r w:rsidRPr="0040718D">
        <w:rPr>
          <w:rFonts w:ascii="Garamond" w:hAnsi="Garamond" w:cs="Times New Roman"/>
          <w:i/>
          <w:color w:val="000000" w:themeColor="text1"/>
          <w:sz w:val="28"/>
          <w:szCs w:val="28"/>
        </w:rPr>
        <w:t>ab origine</w:t>
      </w:r>
      <w:r w:rsidRPr="00B1284B">
        <w:rPr>
          <w:rFonts w:ascii="Garamond" w:hAnsi="Garamond" w:cs="Times New Roman"/>
          <w:color w:val="000000" w:themeColor="text1"/>
          <w:sz w:val="28"/>
          <w:szCs w:val="28"/>
        </w:rPr>
        <w:t xml:space="preserve"> o per causa sopravvenuta) di un’autorizzazione unica valida ed efficace non può essere riconosciuta (o, </w:t>
      </w:r>
      <w:r>
        <w:rPr>
          <w:rFonts w:ascii="Garamond" w:hAnsi="Garamond" w:cs="Times New Roman"/>
          <w:color w:val="000000" w:themeColor="text1"/>
          <w:sz w:val="28"/>
          <w:szCs w:val="28"/>
        </w:rPr>
        <w:t>rispettivamente</w:t>
      </w:r>
      <w:r w:rsidRPr="00B1284B">
        <w:rPr>
          <w:rFonts w:ascii="Garamond" w:hAnsi="Garamond" w:cs="Times New Roman"/>
          <w:color w:val="000000" w:themeColor="text1"/>
          <w:sz w:val="28"/>
          <w:szCs w:val="28"/>
        </w:rPr>
        <w:t>, mantenuta) la qualifica IAFR ed attribuita la tariffa incent</w:t>
      </w:r>
      <w:r>
        <w:rPr>
          <w:rFonts w:ascii="Garamond" w:hAnsi="Garamond" w:cs="Times New Roman"/>
          <w:color w:val="000000" w:themeColor="text1"/>
          <w:sz w:val="28"/>
          <w:szCs w:val="28"/>
        </w:rPr>
        <w:t>iva</w:t>
      </w:r>
      <w:r w:rsidRPr="00B1284B">
        <w:rPr>
          <w:rFonts w:ascii="Garamond" w:hAnsi="Garamond" w:cs="Times New Roman"/>
          <w:color w:val="000000" w:themeColor="text1"/>
          <w:sz w:val="28"/>
          <w:szCs w:val="28"/>
        </w:rPr>
        <w:t>nte</w:t>
      </w:r>
      <w:r>
        <w:rPr>
          <w:rFonts w:ascii="Garamond" w:hAnsi="Garamond" w:cs="Times New Roman"/>
          <w:color w:val="000000" w:themeColor="text1"/>
          <w:sz w:val="28"/>
          <w:szCs w:val="28"/>
        </w:rPr>
        <w:t>;</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E56D6B">
        <w:rPr>
          <w:rFonts w:ascii="Garamond" w:hAnsi="Garamond" w:cs="Times New Roman"/>
          <w:color w:val="000000" w:themeColor="text1"/>
          <w:sz w:val="28"/>
          <w:szCs w:val="28"/>
        </w:rPr>
        <w:t>a mancanza del titolo autorizzatorio in capo a colui che esercita l’impianto e richiede gli incentivi non può essere compensata attraverso il ricorso a strumenti pr</w:t>
      </w:r>
      <w:r>
        <w:rPr>
          <w:rFonts w:ascii="Garamond" w:hAnsi="Garamond" w:cs="Times New Roman"/>
          <w:color w:val="000000" w:themeColor="text1"/>
          <w:sz w:val="28"/>
          <w:szCs w:val="28"/>
        </w:rPr>
        <w:t>iva</w:t>
      </w:r>
      <w:r w:rsidRPr="00E56D6B">
        <w:rPr>
          <w:rFonts w:ascii="Garamond" w:hAnsi="Garamond" w:cs="Times New Roman"/>
          <w:color w:val="000000" w:themeColor="text1"/>
          <w:sz w:val="28"/>
          <w:szCs w:val="28"/>
        </w:rPr>
        <w:t>tistici, non controllabili né opponibili all’amministrazione, quali il contratto di locazione dell’impianto o la partecipazione di controllo nella società che gestisce l’impianto. Solo il soggetto a favore del quale il titolo è rilasciato o volturato può legittimamente esercitare l’impianto e fruire dei benefici per l’</w:t>
      </w:r>
      <w:r>
        <w:rPr>
          <w:rFonts w:ascii="Garamond" w:hAnsi="Garamond" w:cs="Times New Roman"/>
          <w:color w:val="000000" w:themeColor="text1"/>
          <w:sz w:val="28"/>
          <w:szCs w:val="28"/>
        </w:rPr>
        <w:t>energia</w:t>
      </w:r>
      <w:r w:rsidRPr="00E56D6B">
        <w:rPr>
          <w:rFonts w:ascii="Garamond" w:hAnsi="Garamond" w:cs="Times New Roman"/>
          <w:color w:val="000000" w:themeColor="text1"/>
          <w:sz w:val="28"/>
          <w:szCs w:val="28"/>
        </w:rPr>
        <w:t xml:space="preserve"> prodotta, indipendentemente dalla proprietà del medesimo</w:t>
      </w:r>
      <w:r>
        <w:rPr>
          <w:rFonts w:ascii="Garamond" w:hAnsi="Garamond" w:cs="Times New Roman"/>
          <w:color w:val="000000" w:themeColor="text1"/>
          <w:sz w:val="28"/>
          <w:szCs w:val="28"/>
        </w:rPr>
        <w:t>;</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è </w:t>
      </w:r>
      <w:r w:rsidRPr="00477422">
        <w:rPr>
          <w:rFonts w:ascii="Garamond" w:hAnsi="Garamond" w:cs="Times New Roman"/>
          <w:color w:val="000000" w:themeColor="text1"/>
          <w:sz w:val="28"/>
          <w:szCs w:val="28"/>
        </w:rPr>
        <w:t>legittimo</w:t>
      </w:r>
      <w:r>
        <w:rPr>
          <w:rFonts w:ascii="Garamond" w:hAnsi="Garamond" w:cs="Times New Roman"/>
          <w:color w:val="000000" w:themeColor="text1"/>
          <w:sz w:val="28"/>
          <w:szCs w:val="28"/>
        </w:rPr>
        <w:t>,</w:t>
      </w:r>
      <w:r w:rsidRPr="00477422">
        <w:rPr>
          <w:rFonts w:ascii="Garamond" w:hAnsi="Garamond" w:cs="Times New Roman"/>
          <w:color w:val="000000" w:themeColor="text1"/>
          <w:sz w:val="28"/>
          <w:szCs w:val="28"/>
        </w:rPr>
        <w:t xml:space="preserve"> alla stregua della </w:t>
      </w:r>
      <w:r>
        <w:rPr>
          <w:rFonts w:ascii="Garamond" w:hAnsi="Garamond" w:cs="Times New Roman"/>
          <w:color w:val="000000" w:themeColor="text1"/>
          <w:sz w:val="28"/>
          <w:szCs w:val="28"/>
        </w:rPr>
        <w:t>normativa</w:t>
      </w:r>
      <w:r w:rsidRPr="00477422">
        <w:rPr>
          <w:rFonts w:ascii="Garamond" w:hAnsi="Garamond" w:cs="Times New Roman"/>
          <w:color w:val="000000" w:themeColor="text1"/>
          <w:sz w:val="28"/>
          <w:szCs w:val="28"/>
        </w:rPr>
        <w:t xml:space="preserve"> in materia sul Quarto e Quinto Conto </w:t>
      </w:r>
      <w:r>
        <w:rPr>
          <w:rFonts w:ascii="Garamond" w:hAnsi="Garamond" w:cs="Times New Roman"/>
          <w:color w:val="000000" w:themeColor="text1"/>
          <w:sz w:val="28"/>
          <w:szCs w:val="28"/>
        </w:rPr>
        <w:t xml:space="preserve">energia, </w:t>
      </w:r>
      <w:r w:rsidRPr="00477422">
        <w:rPr>
          <w:rFonts w:ascii="Garamond" w:hAnsi="Garamond" w:cs="Times New Roman"/>
          <w:color w:val="000000" w:themeColor="text1"/>
          <w:sz w:val="28"/>
          <w:szCs w:val="28"/>
        </w:rPr>
        <w:t xml:space="preserve">il provvedimento del G.s.e. che non abbia ammesso un’impresa alle tariffe </w:t>
      </w:r>
      <w:r>
        <w:rPr>
          <w:rFonts w:ascii="Garamond" w:hAnsi="Garamond" w:cs="Times New Roman"/>
          <w:color w:val="000000" w:themeColor="text1"/>
          <w:sz w:val="28"/>
          <w:szCs w:val="28"/>
        </w:rPr>
        <w:t>incentivanti</w:t>
      </w:r>
      <w:r w:rsidRPr="00477422">
        <w:rPr>
          <w:rFonts w:ascii="Garamond" w:hAnsi="Garamond" w:cs="Times New Roman"/>
          <w:color w:val="000000" w:themeColor="text1"/>
          <w:sz w:val="28"/>
          <w:szCs w:val="28"/>
        </w:rPr>
        <w:t xml:space="preserve"> più favorevoli del Quarto Conto </w:t>
      </w:r>
      <w:r>
        <w:rPr>
          <w:rFonts w:ascii="Garamond" w:hAnsi="Garamond" w:cs="Times New Roman"/>
          <w:color w:val="000000" w:themeColor="text1"/>
          <w:sz w:val="28"/>
          <w:szCs w:val="28"/>
        </w:rPr>
        <w:t>energia</w:t>
      </w:r>
      <w:r w:rsidRPr="00477422">
        <w:rPr>
          <w:rFonts w:ascii="Garamond" w:hAnsi="Garamond" w:cs="Times New Roman"/>
          <w:color w:val="000000" w:themeColor="text1"/>
          <w:sz w:val="28"/>
          <w:szCs w:val="28"/>
        </w:rPr>
        <w:t xml:space="preserve">, ma a quelle del Quinto conto </w:t>
      </w:r>
      <w:r>
        <w:rPr>
          <w:rFonts w:ascii="Garamond" w:hAnsi="Garamond" w:cs="Times New Roman"/>
          <w:color w:val="000000" w:themeColor="text1"/>
          <w:sz w:val="28"/>
          <w:szCs w:val="28"/>
        </w:rPr>
        <w:t>energia</w:t>
      </w:r>
      <w:r w:rsidRPr="00477422">
        <w:rPr>
          <w:rFonts w:ascii="Garamond" w:hAnsi="Garamond" w:cs="Times New Roman"/>
          <w:color w:val="000000" w:themeColor="text1"/>
          <w:sz w:val="28"/>
          <w:szCs w:val="28"/>
        </w:rPr>
        <w:t xml:space="preserve"> poiché il proprio impianto non era stato iscritto in posizione utile nei registri previsti dal d.m. 5 maggio 2011. La disciplina transitoria</w:t>
      </w:r>
      <w:r>
        <w:rPr>
          <w:rFonts w:ascii="Garamond" w:hAnsi="Garamond" w:cs="Times New Roman"/>
          <w:color w:val="000000" w:themeColor="text1"/>
          <w:sz w:val="28"/>
          <w:szCs w:val="28"/>
        </w:rPr>
        <w:t xml:space="preserve"> di cui all’art. 1, comma 4, </w:t>
      </w:r>
      <w:r w:rsidRPr="00477422">
        <w:rPr>
          <w:rFonts w:ascii="Garamond" w:hAnsi="Garamond" w:cs="Times New Roman"/>
          <w:color w:val="000000" w:themeColor="text1"/>
          <w:sz w:val="28"/>
          <w:szCs w:val="28"/>
        </w:rPr>
        <w:t xml:space="preserve">d.m. 5 luglio 2012 si applica infatti agli impianti iscritti in posizione utile nei registri relativi al Quarto Conto </w:t>
      </w:r>
      <w:r>
        <w:rPr>
          <w:rFonts w:ascii="Garamond" w:hAnsi="Garamond" w:cs="Times New Roman"/>
          <w:color w:val="000000" w:themeColor="text1"/>
          <w:sz w:val="28"/>
          <w:szCs w:val="28"/>
        </w:rPr>
        <w:t>Energia</w:t>
      </w:r>
      <w:r w:rsidRPr="00477422">
        <w:rPr>
          <w:rFonts w:ascii="Garamond" w:hAnsi="Garamond" w:cs="Times New Roman"/>
          <w:color w:val="000000" w:themeColor="text1"/>
          <w:sz w:val="28"/>
          <w:szCs w:val="28"/>
        </w:rPr>
        <w:t>, non a quelli che, ove tali registri fossero stati aperti, sarebbero stati nelle condizioni di esservi inseriti. Legittimamente infatti il G.s.e. non ha aperto il registro per il secondo semestre 2012, essendone già azzerata la prevista dotazione finanziaria</w:t>
      </w:r>
      <w:r>
        <w:rPr>
          <w:rFonts w:ascii="Garamond" w:hAnsi="Garamond" w:cs="Times New Roman"/>
          <w:color w:val="000000" w:themeColor="text1"/>
          <w:sz w:val="28"/>
          <w:szCs w:val="28"/>
        </w:rPr>
        <w:t xml:space="preserve">, </w:t>
      </w:r>
      <w:r w:rsidRPr="00477422">
        <w:rPr>
          <w:rFonts w:ascii="Garamond" w:hAnsi="Garamond" w:cs="Times New Roman"/>
          <w:color w:val="000000" w:themeColor="text1"/>
          <w:sz w:val="28"/>
          <w:szCs w:val="28"/>
        </w:rPr>
        <w:t>in applicazion</w:t>
      </w:r>
      <w:r>
        <w:rPr>
          <w:rFonts w:ascii="Garamond" w:hAnsi="Garamond" w:cs="Times New Roman"/>
          <w:color w:val="000000" w:themeColor="text1"/>
          <w:sz w:val="28"/>
          <w:szCs w:val="28"/>
        </w:rPr>
        <w:t xml:space="preserve">e del disposto dell’art.  6 </w:t>
      </w:r>
      <w:r w:rsidRPr="00477422">
        <w:rPr>
          <w:rFonts w:ascii="Garamond" w:hAnsi="Garamond" w:cs="Times New Roman"/>
          <w:color w:val="000000" w:themeColor="text1"/>
          <w:sz w:val="28"/>
          <w:szCs w:val="28"/>
        </w:rPr>
        <w:t>d.m. 5 maggio 2011</w:t>
      </w:r>
      <w:r>
        <w:rPr>
          <w:rFonts w:ascii="Garamond" w:hAnsi="Garamond" w:cs="Times New Roman"/>
          <w:color w:val="000000" w:themeColor="text1"/>
          <w:sz w:val="28"/>
          <w:szCs w:val="28"/>
        </w:rPr>
        <w:t xml:space="preserve">, </w:t>
      </w:r>
      <w:r w:rsidRPr="00477422">
        <w:rPr>
          <w:rFonts w:ascii="Garamond" w:hAnsi="Garamond" w:cs="Times New Roman"/>
          <w:color w:val="000000" w:themeColor="text1"/>
          <w:sz w:val="28"/>
          <w:szCs w:val="28"/>
        </w:rPr>
        <w:t>da ritenersi applicativo del disp</w:t>
      </w:r>
      <w:r>
        <w:rPr>
          <w:rFonts w:ascii="Garamond" w:hAnsi="Garamond" w:cs="Times New Roman"/>
          <w:color w:val="000000" w:themeColor="text1"/>
          <w:sz w:val="28"/>
          <w:szCs w:val="28"/>
        </w:rPr>
        <w:t xml:space="preserve">osto dell’art. 25, comma 10, </w:t>
      </w:r>
      <w:r w:rsidRPr="00477422">
        <w:rPr>
          <w:rFonts w:ascii="Garamond" w:hAnsi="Garamond" w:cs="Times New Roman"/>
          <w:color w:val="000000" w:themeColor="text1"/>
          <w:sz w:val="28"/>
          <w:szCs w:val="28"/>
        </w:rPr>
        <w:t xml:space="preserve">d.lgs. n. 28 del 2011 che indica, fra i principi cui i decreti ministeriali attuativi debbono attenersi, “la determinazione di un limite annuale di potenza elettrica </w:t>
      </w:r>
      <w:r>
        <w:rPr>
          <w:rFonts w:ascii="Garamond" w:hAnsi="Garamond" w:cs="Times New Roman"/>
          <w:color w:val="000000" w:themeColor="text1"/>
          <w:sz w:val="28"/>
          <w:szCs w:val="28"/>
        </w:rPr>
        <w:t>cumulativa</w:t>
      </w:r>
      <w:r w:rsidRPr="00477422">
        <w:rPr>
          <w:rFonts w:ascii="Garamond" w:hAnsi="Garamond" w:cs="Times New Roman"/>
          <w:color w:val="000000" w:themeColor="text1"/>
          <w:sz w:val="28"/>
          <w:szCs w:val="28"/>
        </w:rPr>
        <w:t xml:space="preserve"> degli impianti fotovoltaici che possono ottenere le tariffe </w:t>
      </w:r>
      <w:r>
        <w:rPr>
          <w:rFonts w:ascii="Garamond" w:hAnsi="Garamond" w:cs="Times New Roman"/>
          <w:color w:val="000000" w:themeColor="text1"/>
          <w:sz w:val="28"/>
          <w:szCs w:val="28"/>
        </w:rPr>
        <w:t xml:space="preserve">incentivanti”; </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477422">
        <w:rPr>
          <w:rFonts w:ascii="Garamond" w:hAnsi="Garamond" w:cs="Times New Roman"/>
          <w:color w:val="000000" w:themeColor="text1"/>
          <w:sz w:val="28"/>
          <w:szCs w:val="28"/>
        </w:rPr>
        <w:t xml:space="preserve">a data ultima del 26 agosto 2012, entro cui l’impianto deve essere entrato in esercizio per beneficiare delle tariffe </w:t>
      </w:r>
      <w:r>
        <w:rPr>
          <w:rFonts w:ascii="Garamond" w:hAnsi="Garamond" w:cs="Times New Roman"/>
          <w:color w:val="000000" w:themeColor="text1"/>
          <w:sz w:val="28"/>
          <w:szCs w:val="28"/>
        </w:rPr>
        <w:t>incentivanti</w:t>
      </w:r>
      <w:r w:rsidRPr="00477422">
        <w:rPr>
          <w:rFonts w:ascii="Garamond" w:hAnsi="Garamond" w:cs="Times New Roman"/>
          <w:color w:val="000000" w:themeColor="text1"/>
          <w:sz w:val="28"/>
          <w:szCs w:val="28"/>
        </w:rPr>
        <w:t xml:space="preserve"> di cui al Quarto Conto </w:t>
      </w:r>
      <w:r>
        <w:rPr>
          <w:rFonts w:ascii="Garamond" w:hAnsi="Garamond" w:cs="Times New Roman"/>
          <w:color w:val="000000" w:themeColor="text1"/>
          <w:sz w:val="28"/>
          <w:szCs w:val="28"/>
        </w:rPr>
        <w:t>energia</w:t>
      </w:r>
      <w:r w:rsidRPr="00477422">
        <w:rPr>
          <w:rFonts w:ascii="Garamond" w:hAnsi="Garamond" w:cs="Times New Roman"/>
          <w:color w:val="000000" w:themeColor="text1"/>
          <w:sz w:val="28"/>
          <w:szCs w:val="28"/>
        </w:rPr>
        <w:t xml:space="preserve"> è da intendersi riferita al collegamento in parallelo alla rete elettrica e non all’effettivo funzionamento dell’impianto</w:t>
      </w:r>
      <w:r>
        <w:rPr>
          <w:rFonts w:ascii="Garamond" w:hAnsi="Garamond" w:cs="Times New Roman"/>
          <w:color w:val="000000" w:themeColor="text1"/>
          <w:sz w:val="28"/>
          <w:szCs w:val="28"/>
        </w:rPr>
        <w:t>;</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a</w:t>
      </w:r>
      <w:r w:rsidRPr="009D7CAC">
        <w:rPr>
          <w:rFonts w:ascii="Garamond" w:hAnsi="Garamond" w:cs="Times New Roman"/>
          <w:color w:val="000000" w:themeColor="text1"/>
          <w:sz w:val="28"/>
          <w:szCs w:val="28"/>
        </w:rPr>
        <w:t xml:space="preserve">i fini dell’accesso alle tariffe </w:t>
      </w:r>
      <w:r>
        <w:rPr>
          <w:rFonts w:ascii="Garamond" w:hAnsi="Garamond" w:cs="Times New Roman"/>
          <w:color w:val="000000" w:themeColor="text1"/>
          <w:sz w:val="28"/>
          <w:szCs w:val="28"/>
        </w:rPr>
        <w:t>incentivanti</w:t>
      </w:r>
      <w:r w:rsidRPr="009D7CAC">
        <w:rPr>
          <w:rFonts w:ascii="Garamond" w:hAnsi="Garamond" w:cs="Times New Roman"/>
          <w:color w:val="000000" w:themeColor="text1"/>
          <w:sz w:val="28"/>
          <w:szCs w:val="28"/>
        </w:rPr>
        <w:t xml:space="preserve"> </w:t>
      </w:r>
      <w:r>
        <w:rPr>
          <w:rFonts w:ascii="Garamond" w:hAnsi="Garamond" w:cs="Times New Roman"/>
          <w:color w:val="000000" w:themeColor="text1"/>
          <w:sz w:val="28"/>
          <w:szCs w:val="28"/>
        </w:rPr>
        <w:t xml:space="preserve">di cui al Quinto Conto energia </w:t>
      </w:r>
      <w:r w:rsidRPr="009D7CAC">
        <w:rPr>
          <w:rFonts w:ascii="Garamond" w:hAnsi="Garamond" w:cs="Times New Roman"/>
          <w:color w:val="000000" w:themeColor="text1"/>
          <w:sz w:val="28"/>
          <w:szCs w:val="28"/>
        </w:rPr>
        <w:t>per impianti fotovoltaici integrati con caratteristiche innovative presupposto necessario è la certificabilità energetica dell’edificio ai sensi dell’All</w:t>
      </w:r>
      <w:r>
        <w:rPr>
          <w:rFonts w:ascii="Garamond" w:hAnsi="Garamond" w:cs="Times New Roman"/>
          <w:color w:val="000000" w:themeColor="text1"/>
          <w:sz w:val="28"/>
          <w:szCs w:val="28"/>
        </w:rPr>
        <w:t>egato 4 del d.m. 5. luglio 2012;</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a</w:t>
      </w:r>
      <w:r w:rsidRPr="00771669">
        <w:rPr>
          <w:rFonts w:ascii="Garamond" w:hAnsi="Garamond" w:cs="Times New Roman"/>
          <w:color w:val="000000" w:themeColor="text1"/>
          <w:sz w:val="28"/>
          <w:szCs w:val="28"/>
        </w:rPr>
        <w:t xml:space="preserve">i  fini dell’accesso alle tariffe </w:t>
      </w:r>
      <w:r>
        <w:rPr>
          <w:rFonts w:ascii="Garamond" w:hAnsi="Garamond" w:cs="Times New Roman"/>
          <w:color w:val="000000" w:themeColor="text1"/>
          <w:sz w:val="28"/>
          <w:szCs w:val="28"/>
        </w:rPr>
        <w:t>incentivanti</w:t>
      </w:r>
      <w:r w:rsidRPr="00771669">
        <w:rPr>
          <w:rFonts w:ascii="Garamond" w:hAnsi="Garamond" w:cs="Times New Roman"/>
          <w:color w:val="000000" w:themeColor="text1"/>
          <w:sz w:val="28"/>
          <w:szCs w:val="28"/>
        </w:rPr>
        <w:t xml:space="preserve"> di cui al Quinto Conto </w:t>
      </w:r>
      <w:r>
        <w:rPr>
          <w:rFonts w:ascii="Garamond" w:hAnsi="Garamond" w:cs="Times New Roman"/>
          <w:color w:val="000000" w:themeColor="text1"/>
          <w:sz w:val="28"/>
          <w:szCs w:val="28"/>
        </w:rPr>
        <w:t>energia</w:t>
      </w:r>
      <w:r w:rsidRPr="00771669">
        <w:rPr>
          <w:rFonts w:ascii="Garamond" w:hAnsi="Garamond" w:cs="Times New Roman"/>
          <w:color w:val="000000" w:themeColor="text1"/>
          <w:sz w:val="28"/>
          <w:szCs w:val="28"/>
        </w:rPr>
        <w:t>, non è sufficiente l’allacciamento alla rete dell’impianto entro la data prescritta, essendo necessario anche l’avvio dell’i</w:t>
      </w:r>
      <w:r>
        <w:rPr>
          <w:rFonts w:ascii="Garamond" w:hAnsi="Garamond" w:cs="Times New Roman"/>
          <w:color w:val="000000" w:themeColor="text1"/>
          <w:sz w:val="28"/>
          <w:szCs w:val="28"/>
        </w:rPr>
        <w:t xml:space="preserve">mpianto; ciò in quanto l'art. 2, comma 1 lettera b), </w:t>
      </w:r>
      <w:r w:rsidRPr="00771669">
        <w:rPr>
          <w:rFonts w:ascii="Garamond" w:hAnsi="Garamond" w:cs="Times New Roman"/>
          <w:color w:val="000000" w:themeColor="text1"/>
          <w:sz w:val="28"/>
          <w:szCs w:val="28"/>
        </w:rPr>
        <w:t xml:space="preserve">d.m. 5 luglio 2012 qualifica l'entrata in esercizio dell'impianto non già in funzione del solo allacciamento alla rete, bensì al suo "funzionamento... in parallelo con il sistema elettrico"; ne consegue che l'entrata in esercizio non si esaurisce con la connessione in parallelo al sistema elettrico,  richiedendo un </w:t>
      </w:r>
      <w:r w:rsidRPr="00771669">
        <w:rPr>
          <w:rFonts w:ascii="Garamond" w:hAnsi="Garamond" w:cs="Times New Roman"/>
          <w:i/>
          <w:color w:val="000000" w:themeColor="text1"/>
          <w:sz w:val="28"/>
          <w:szCs w:val="28"/>
        </w:rPr>
        <w:t>quid pluris</w:t>
      </w:r>
      <w:r w:rsidRPr="00771669">
        <w:rPr>
          <w:rFonts w:ascii="Garamond" w:hAnsi="Garamond" w:cs="Times New Roman"/>
          <w:color w:val="000000" w:themeColor="text1"/>
          <w:sz w:val="28"/>
          <w:szCs w:val="28"/>
        </w:rPr>
        <w:t xml:space="preserve"> che non può individuarsi in altro se non nella produzione e immissione in rete dell'</w:t>
      </w:r>
      <w:r>
        <w:rPr>
          <w:rFonts w:ascii="Garamond" w:hAnsi="Garamond" w:cs="Times New Roman"/>
          <w:color w:val="000000" w:themeColor="text1"/>
          <w:sz w:val="28"/>
          <w:szCs w:val="28"/>
        </w:rPr>
        <w:t>energia</w:t>
      </w:r>
      <w:r w:rsidRPr="00771669">
        <w:rPr>
          <w:rFonts w:ascii="Garamond" w:hAnsi="Garamond" w:cs="Times New Roman"/>
          <w:color w:val="000000" w:themeColor="text1"/>
          <w:sz w:val="28"/>
          <w:szCs w:val="28"/>
        </w:rPr>
        <w:t xml:space="preserve">. Infatti, l'impianto non solo deve essere collegato in parallelo ma deve altresì funzionare materialmente ed immettere in contestualità </w:t>
      </w:r>
      <w:r>
        <w:rPr>
          <w:rFonts w:ascii="Garamond" w:hAnsi="Garamond" w:cs="Times New Roman"/>
          <w:color w:val="000000" w:themeColor="text1"/>
          <w:sz w:val="28"/>
          <w:szCs w:val="28"/>
        </w:rPr>
        <w:t>energia</w:t>
      </w:r>
      <w:r w:rsidRPr="00771669">
        <w:rPr>
          <w:rFonts w:ascii="Garamond" w:hAnsi="Garamond" w:cs="Times New Roman"/>
          <w:color w:val="000000" w:themeColor="text1"/>
          <w:sz w:val="28"/>
          <w:szCs w:val="28"/>
        </w:rPr>
        <w:t xml:space="preserve"> in rete</w:t>
      </w:r>
      <w:r>
        <w:rPr>
          <w:rFonts w:ascii="Garamond" w:hAnsi="Garamond" w:cs="Times New Roman"/>
          <w:color w:val="000000" w:themeColor="text1"/>
          <w:sz w:val="28"/>
          <w:szCs w:val="28"/>
        </w:rPr>
        <w:t>;</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771669">
        <w:rPr>
          <w:rFonts w:ascii="Garamond" w:hAnsi="Garamond" w:cs="Times New Roman"/>
          <w:color w:val="000000" w:themeColor="text1"/>
          <w:sz w:val="28"/>
          <w:szCs w:val="28"/>
        </w:rPr>
        <w:t>a d</w:t>
      </w:r>
      <w:r>
        <w:rPr>
          <w:rFonts w:ascii="Garamond" w:hAnsi="Garamond" w:cs="Times New Roman"/>
          <w:color w:val="000000" w:themeColor="text1"/>
          <w:sz w:val="28"/>
          <w:szCs w:val="28"/>
        </w:rPr>
        <w:t>ecadenza pronunciata dal G.s.e.</w:t>
      </w:r>
      <w:r w:rsidRPr="00771669">
        <w:rPr>
          <w:rFonts w:ascii="Garamond" w:hAnsi="Garamond" w:cs="Times New Roman"/>
          <w:color w:val="000000" w:themeColor="text1"/>
          <w:sz w:val="28"/>
          <w:szCs w:val="28"/>
        </w:rPr>
        <w:t xml:space="preserve"> ai sensi</w:t>
      </w:r>
      <w:r>
        <w:rPr>
          <w:rFonts w:ascii="Garamond" w:hAnsi="Garamond" w:cs="Times New Roman"/>
          <w:color w:val="000000" w:themeColor="text1"/>
          <w:sz w:val="28"/>
          <w:szCs w:val="28"/>
        </w:rPr>
        <w:t xml:space="preserve"> dell'art. 42, </w:t>
      </w:r>
      <w:r w:rsidRPr="00771669">
        <w:rPr>
          <w:rFonts w:ascii="Garamond" w:hAnsi="Garamond" w:cs="Times New Roman"/>
          <w:color w:val="000000" w:themeColor="text1"/>
          <w:sz w:val="28"/>
          <w:szCs w:val="28"/>
        </w:rPr>
        <w:t>comma</w:t>
      </w:r>
      <w:r>
        <w:rPr>
          <w:rFonts w:ascii="Garamond" w:hAnsi="Garamond" w:cs="Times New Roman"/>
          <w:color w:val="000000" w:themeColor="text1"/>
          <w:sz w:val="28"/>
          <w:szCs w:val="28"/>
        </w:rPr>
        <w:t xml:space="preserve"> 3</w:t>
      </w:r>
      <w:r w:rsidRPr="00771669">
        <w:rPr>
          <w:rFonts w:ascii="Garamond" w:hAnsi="Garamond" w:cs="Times New Roman"/>
          <w:color w:val="000000" w:themeColor="text1"/>
          <w:sz w:val="28"/>
          <w:szCs w:val="28"/>
        </w:rPr>
        <w:t>, d.lgs. n. 28 del 2011 non è manifestazione né di un potere di autotutela, né di un potere sanziona</w:t>
      </w:r>
      <w:r>
        <w:rPr>
          <w:rFonts w:ascii="Garamond" w:hAnsi="Garamond" w:cs="Times New Roman"/>
          <w:color w:val="000000" w:themeColor="text1"/>
          <w:sz w:val="28"/>
          <w:szCs w:val="28"/>
        </w:rPr>
        <w:t xml:space="preserve">torio, bensì la conseguenza di </w:t>
      </w:r>
      <w:r w:rsidRPr="00771669">
        <w:rPr>
          <w:rFonts w:ascii="Garamond" w:hAnsi="Garamond" w:cs="Times New Roman"/>
          <w:color w:val="000000" w:themeColor="text1"/>
          <w:sz w:val="28"/>
          <w:szCs w:val="28"/>
        </w:rPr>
        <w:t>un potere immanente di ver</w:t>
      </w:r>
      <w:r>
        <w:rPr>
          <w:rFonts w:ascii="Garamond" w:hAnsi="Garamond" w:cs="Times New Roman"/>
          <w:color w:val="000000" w:themeColor="text1"/>
          <w:sz w:val="28"/>
          <w:szCs w:val="28"/>
        </w:rPr>
        <w:t xml:space="preserve">ifica, accertamento e controllo volto ad </w:t>
      </w:r>
      <w:r w:rsidRPr="00771669">
        <w:rPr>
          <w:rFonts w:ascii="Garamond" w:hAnsi="Garamond" w:cs="Times New Roman"/>
          <w:color w:val="000000" w:themeColor="text1"/>
          <w:sz w:val="28"/>
          <w:szCs w:val="28"/>
        </w:rPr>
        <w:t>acclarare lo stato dell'impianto e ad accertarne la corrispondenza rispetto a quanto dichiarato dall'interessato in sede d</w:t>
      </w:r>
      <w:r>
        <w:rPr>
          <w:rFonts w:ascii="Garamond" w:hAnsi="Garamond" w:cs="Times New Roman"/>
          <w:color w:val="000000" w:themeColor="text1"/>
          <w:sz w:val="28"/>
          <w:szCs w:val="28"/>
        </w:rPr>
        <w:t xml:space="preserve">i richiesta di ammissione; </w:t>
      </w:r>
      <w:r w:rsidRPr="00771669">
        <w:rPr>
          <w:rFonts w:ascii="Garamond" w:hAnsi="Garamond" w:cs="Times New Roman"/>
          <w:color w:val="000000" w:themeColor="text1"/>
          <w:sz w:val="28"/>
          <w:szCs w:val="28"/>
        </w:rPr>
        <w:t xml:space="preserve">il </w:t>
      </w:r>
      <w:r>
        <w:rPr>
          <w:rFonts w:ascii="Garamond" w:hAnsi="Garamond" w:cs="Times New Roman"/>
          <w:color w:val="000000" w:themeColor="text1"/>
          <w:sz w:val="28"/>
          <w:szCs w:val="28"/>
        </w:rPr>
        <w:t xml:space="preserve">potere in questione è, quindi, </w:t>
      </w:r>
      <w:r w:rsidRPr="00771669">
        <w:rPr>
          <w:rFonts w:ascii="Garamond" w:hAnsi="Garamond" w:cs="Times New Roman"/>
          <w:color w:val="000000" w:themeColor="text1"/>
          <w:sz w:val="28"/>
          <w:szCs w:val="28"/>
        </w:rPr>
        <w:t>un atto vincolato di decadenza accertat</w:t>
      </w:r>
      <w:r>
        <w:rPr>
          <w:rFonts w:ascii="Garamond" w:hAnsi="Garamond" w:cs="Times New Roman"/>
          <w:color w:val="000000" w:themeColor="text1"/>
          <w:sz w:val="28"/>
          <w:szCs w:val="28"/>
        </w:rPr>
        <w:t xml:space="preserve">iva </w:t>
      </w:r>
      <w:r w:rsidRPr="00771669">
        <w:rPr>
          <w:rFonts w:ascii="Garamond" w:hAnsi="Garamond" w:cs="Times New Roman"/>
          <w:color w:val="000000" w:themeColor="text1"/>
          <w:sz w:val="28"/>
          <w:szCs w:val="28"/>
        </w:rPr>
        <w:t xml:space="preserve">dell'assodata mancanza dei requisiti oggettivi condizionanti </w:t>
      </w:r>
      <w:r w:rsidRPr="00C13EAA">
        <w:rPr>
          <w:rFonts w:ascii="Garamond" w:hAnsi="Garamond" w:cs="Times New Roman"/>
          <w:i/>
          <w:color w:val="000000" w:themeColor="text1"/>
          <w:sz w:val="28"/>
          <w:szCs w:val="28"/>
        </w:rPr>
        <w:t>ab origine</w:t>
      </w:r>
      <w:r w:rsidRPr="00771669">
        <w:rPr>
          <w:rFonts w:ascii="Garamond" w:hAnsi="Garamond" w:cs="Times New Roman"/>
          <w:color w:val="000000" w:themeColor="text1"/>
          <w:sz w:val="28"/>
          <w:szCs w:val="28"/>
        </w:rPr>
        <w:t xml:space="preserve"> l'ammiss</w:t>
      </w:r>
      <w:r>
        <w:rPr>
          <w:rFonts w:ascii="Garamond" w:hAnsi="Garamond" w:cs="Times New Roman"/>
          <w:color w:val="000000" w:themeColor="text1"/>
          <w:sz w:val="28"/>
          <w:szCs w:val="28"/>
        </w:rPr>
        <w:t>ione al finanziamento pubblico;</w:t>
      </w:r>
    </w:p>
    <w:p w:rsidR="007B4920" w:rsidRPr="006C530D"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s</w:t>
      </w:r>
      <w:r w:rsidRPr="006C530D">
        <w:rPr>
          <w:rFonts w:ascii="Garamond" w:hAnsi="Garamond" w:cs="Times New Roman"/>
          <w:color w:val="000000" w:themeColor="text1"/>
          <w:sz w:val="28"/>
          <w:szCs w:val="28"/>
        </w:rPr>
        <w:t xml:space="preserve">ia la </w:t>
      </w:r>
      <w:r>
        <w:rPr>
          <w:rFonts w:ascii="Garamond" w:hAnsi="Garamond" w:cs="Times New Roman"/>
          <w:color w:val="000000" w:themeColor="text1"/>
          <w:sz w:val="28"/>
          <w:szCs w:val="28"/>
        </w:rPr>
        <w:t>direttiva</w:t>
      </w:r>
      <w:r w:rsidRPr="006C530D">
        <w:rPr>
          <w:rFonts w:ascii="Garamond" w:hAnsi="Garamond" w:cs="Times New Roman"/>
          <w:color w:val="000000" w:themeColor="text1"/>
          <w:sz w:val="28"/>
          <w:szCs w:val="28"/>
        </w:rPr>
        <w:t xml:space="preserve"> 2009/28 che la giurisprudenza della Corte di </w:t>
      </w:r>
      <w:r>
        <w:rPr>
          <w:rFonts w:ascii="Garamond" w:hAnsi="Garamond" w:cs="Times New Roman"/>
          <w:color w:val="000000" w:themeColor="text1"/>
          <w:sz w:val="28"/>
          <w:szCs w:val="28"/>
        </w:rPr>
        <w:t>g</w:t>
      </w:r>
      <w:r w:rsidRPr="006C530D">
        <w:rPr>
          <w:rFonts w:ascii="Garamond" w:hAnsi="Garamond" w:cs="Times New Roman"/>
          <w:color w:val="000000" w:themeColor="text1"/>
          <w:sz w:val="28"/>
          <w:szCs w:val="28"/>
        </w:rPr>
        <w:t xml:space="preserve">iustizia escludono che la previsione di un potere di verifica e decadenza in capo al G.s.e. sia, di per sé, in contrasto con il legittimo affidamento e la fiducia degli investitori la quale viene, per contro, tutelata, attraverso il corretto funzionamento dei regimi di sostegno che impongono un controllo non limitato alla mera fase iniziale di </w:t>
      </w:r>
      <w:r>
        <w:rPr>
          <w:rFonts w:ascii="Garamond" w:hAnsi="Garamond" w:cs="Times New Roman"/>
          <w:color w:val="000000" w:themeColor="text1"/>
          <w:sz w:val="28"/>
          <w:szCs w:val="28"/>
        </w:rPr>
        <w:t>incentivazione;</w:t>
      </w:r>
      <w:r w:rsidRPr="006C530D">
        <w:rPr>
          <w:rFonts w:ascii="Garamond" w:hAnsi="Garamond" w:cs="Times New Roman"/>
          <w:color w:val="000000" w:themeColor="text1"/>
          <w:sz w:val="28"/>
          <w:szCs w:val="28"/>
        </w:rPr>
        <w:t xml:space="preserve"> </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 xml:space="preserve">l'art. 56, comma 7, </w:t>
      </w:r>
      <w:r w:rsidRPr="006C530D">
        <w:rPr>
          <w:rFonts w:ascii="Garamond" w:hAnsi="Garamond" w:cs="Times New Roman"/>
          <w:color w:val="000000" w:themeColor="text1"/>
          <w:sz w:val="28"/>
          <w:szCs w:val="28"/>
        </w:rPr>
        <w:t>d.l.  n. 76 del 2020</w:t>
      </w:r>
      <w:r>
        <w:rPr>
          <w:rFonts w:ascii="Garamond" w:hAnsi="Garamond" w:cs="Times New Roman"/>
          <w:color w:val="000000" w:themeColor="text1"/>
          <w:sz w:val="28"/>
          <w:szCs w:val="28"/>
        </w:rPr>
        <w:t>,</w:t>
      </w:r>
      <w:r w:rsidRPr="007E0F6D">
        <w:t xml:space="preserve"> </w:t>
      </w:r>
      <w:r w:rsidRPr="007E0F6D">
        <w:rPr>
          <w:rFonts w:ascii="Garamond" w:hAnsi="Garamond" w:cs="Times New Roman"/>
          <w:color w:val="000000" w:themeColor="text1"/>
          <w:sz w:val="28"/>
          <w:szCs w:val="28"/>
        </w:rPr>
        <w:t>co</w:t>
      </w:r>
      <w:r>
        <w:rPr>
          <w:rFonts w:ascii="Garamond" w:hAnsi="Garamond" w:cs="Times New Roman"/>
          <w:color w:val="000000" w:themeColor="text1"/>
          <w:sz w:val="28"/>
          <w:szCs w:val="28"/>
        </w:rPr>
        <w:t>nvertito in l. n. 120 del 2020,</w:t>
      </w:r>
      <w:r w:rsidRPr="006C530D">
        <w:rPr>
          <w:rFonts w:ascii="Garamond" w:hAnsi="Garamond" w:cs="Times New Roman"/>
          <w:color w:val="000000" w:themeColor="text1"/>
          <w:sz w:val="28"/>
          <w:szCs w:val="28"/>
        </w:rPr>
        <w:t xml:space="preserve"> pur avendo previsto che l'esercizio del potere di decadenza si eserciti in presenza dei presupposti di cui all'articolo 21-</w:t>
      </w:r>
      <w:r w:rsidRPr="00C13EAA">
        <w:rPr>
          <w:rFonts w:ascii="Garamond" w:hAnsi="Garamond" w:cs="Times New Roman"/>
          <w:i/>
          <w:color w:val="000000" w:themeColor="text1"/>
          <w:sz w:val="28"/>
          <w:szCs w:val="28"/>
        </w:rPr>
        <w:t xml:space="preserve">nonies </w:t>
      </w:r>
      <w:r w:rsidRPr="006C530D">
        <w:rPr>
          <w:rFonts w:ascii="Garamond" w:hAnsi="Garamond" w:cs="Times New Roman"/>
          <w:color w:val="000000" w:themeColor="text1"/>
          <w:sz w:val="28"/>
          <w:szCs w:val="28"/>
        </w:rPr>
        <w:t xml:space="preserve">della l n. 241/90, non ha mutato la natura del potere esercitato, che rimane di decadenza sia pure subordinato alla ricorrenza degli indicati presupposti. La disposizione, inoltre, non ha natura di norma di interpretazione autentica e, per espressa previsione, si applica ai procedimenti pendenti o, se già definiti, solo a seguito di apposita istanza dell’interessato, alle condizioni indicate dall’art </w:t>
      </w:r>
      <w:r>
        <w:rPr>
          <w:rFonts w:ascii="Garamond" w:hAnsi="Garamond" w:cs="Times New Roman"/>
          <w:color w:val="000000" w:themeColor="text1"/>
          <w:sz w:val="28"/>
          <w:szCs w:val="28"/>
        </w:rPr>
        <w:t>56 comma 8, d.l. n. 76 del 2020;</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Pr="006C530D">
        <w:rPr>
          <w:rFonts w:ascii="Garamond" w:hAnsi="Garamond" w:cs="Times New Roman"/>
          <w:color w:val="000000" w:themeColor="text1"/>
          <w:sz w:val="28"/>
          <w:szCs w:val="28"/>
        </w:rPr>
        <w:t xml:space="preserve">n tema di domanda per incentivi relativi alla produzione di </w:t>
      </w:r>
      <w:r>
        <w:rPr>
          <w:rFonts w:ascii="Garamond" w:hAnsi="Garamond" w:cs="Times New Roman"/>
          <w:color w:val="000000" w:themeColor="text1"/>
          <w:sz w:val="28"/>
          <w:szCs w:val="28"/>
        </w:rPr>
        <w:t>energia</w:t>
      </w:r>
      <w:r w:rsidRPr="006C530D">
        <w:rPr>
          <w:rFonts w:ascii="Garamond" w:hAnsi="Garamond" w:cs="Times New Roman"/>
          <w:color w:val="000000" w:themeColor="text1"/>
          <w:sz w:val="28"/>
          <w:szCs w:val="28"/>
        </w:rPr>
        <w:t xml:space="preserve"> da fonti rinnovabili, laddove si riscontri violazione riguardante una certificazione prodotta al fine di ottenere la maggiorazione del dieci per cento rispetto alla tariffa base incent</w:t>
      </w:r>
      <w:r>
        <w:rPr>
          <w:rFonts w:ascii="Garamond" w:hAnsi="Garamond" w:cs="Times New Roman"/>
          <w:color w:val="000000" w:themeColor="text1"/>
          <w:sz w:val="28"/>
          <w:szCs w:val="28"/>
        </w:rPr>
        <w:t>iva</w:t>
      </w:r>
      <w:r w:rsidRPr="006C530D">
        <w:rPr>
          <w:rFonts w:ascii="Garamond" w:hAnsi="Garamond" w:cs="Times New Roman"/>
          <w:color w:val="000000" w:themeColor="text1"/>
          <w:sz w:val="28"/>
          <w:szCs w:val="28"/>
        </w:rPr>
        <w:t>nte, essa deve intendersi rilevante ai fini della decadenza dalla sola maggiorazione del dieci per cento per ottenere la quale era stata prodotta;</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Pr="006C530D">
        <w:rPr>
          <w:rFonts w:ascii="Garamond" w:hAnsi="Garamond" w:cs="Times New Roman"/>
          <w:color w:val="000000" w:themeColor="text1"/>
          <w:sz w:val="28"/>
          <w:szCs w:val="28"/>
        </w:rPr>
        <w:t xml:space="preserve">n tema di domanda per incentivi relativi alla produzione di </w:t>
      </w:r>
      <w:r>
        <w:rPr>
          <w:rFonts w:ascii="Garamond" w:hAnsi="Garamond" w:cs="Times New Roman"/>
          <w:color w:val="000000" w:themeColor="text1"/>
          <w:sz w:val="28"/>
          <w:szCs w:val="28"/>
        </w:rPr>
        <w:t>energia</w:t>
      </w:r>
      <w:r w:rsidRPr="006C530D">
        <w:rPr>
          <w:rFonts w:ascii="Garamond" w:hAnsi="Garamond" w:cs="Times New Roman"/>
          <w:color w:val="000000" w:themeColor="text1"/>
          <w:sz w:val="28"/>
          <w:szCs w:val="28"/>
        </w:rPr>
        <w:t xml:space="preserve"> da fonti rinnovabili, l'accertamento necessario ai fini della pronuncia di decadenza ha ad oggetto la sola violazione e la sua rilevanza, prescindendo dall'elemento soggettivo, che viene in evidenza soltanto nel prosieguo del procedimento sanzionatorio avanti alla competente autorità di settore</w:t>
      </w:r>
      <w:r>
        <w:rPr>
          <w:rFonts w:ascii="Garamond" w:hAnsi="Garamond" w:cs="Times New Roman"/>
          <w:color w:val="000000" w:themeColor="text1"/>
          <w:sz w:val="28"/>
          <w:szCs w:val="28"/>
        </w:rPr>
        <w:t>:</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l</w:t>
      </w:r>
      <w:r w:rsidRPr="00E25FDE">
        <w:rPr>
          <w:rFonts w:ascii="Garamond" w:hAnsi="Garamond" w:cs="Times New Roman"/>
          <w:color w:val="000000" w:themeColor="text1"/>
          <w:sz w:val="28"/>
          <w:szCs w:val="28"/>
        </w:rPr>
        <w:t xml:space="preserve">’art. 29 d.m. 23 giugno 2016 e l’art. 12, comma 5, d.m. 5 maggio 2011 non hanno natura </w:t>
      </w:r>
      <w:r>
        <w:rPr>
          <w:rFonts w:ascii="Garamond" w:hAnsi="Garamond" w:cs="Times New Roman"/>
          <w:color w:val="000000" w:themeColor="text1"/>
          <w:sz w:val="28"/>
          <w:szCs w:val="28"/>
        </w:rPr>
        <w:t>costitutiva</w:t>
      </w:r>
      <w:r w:rsidRPr="00E25FDE">
        <w:rPr>
          <w:rFonts w:ascii="Garamond" w:hAnsi="Garamond" w:cs="Times New Roman"/>
          <w:color w:val="000000" w:themeColor="text1"/>
          <w:sz w:val="28"/>
          <w:szCs w:val="28"/>
        </w:rPr>
        <w:t xml:space="preserve"> del divieto di artato frazionamento, ma hanno soltanto chiarito, sul piano positivo, in relazione al rispettivo ambito applicativo, gli elementi connotanti una fattispecie elus</w:t>
      </w:r>
      <w:r>
        <w:rPr>
          <w:rFonts w:ascii="Garamond" w:hAnsi="Garamond" w:cs="Times New Roman"/>
          <w:color w:val="000000" w:themeColor="text1"/>
          <w:sz w:val="28"/>
          <w:szCs w:val="28"/>
        </w:rPr>
        <w:t>iva</w:t>
      </w:r>
      <w:r w:rsidRPr="00E25FDE">
        <w:rPr>
          <w:rFonts w:ascii="Garamond" w:hAnsi="Garamond" w:cs="Times New Roman"/>
          <w:color w:val="000000" w:themeColor="text1"/>
          <w:sz w:val="28"/>
          <w:szCs w:val="28"/>
        </w:rPr>
        <w:t xml:space="preserve"> (più impianti riconducibili ad un’unica </w:t>
      </w:r>
      <w:r>
        <w:rPr>
          <w:rFonts w:ascii="Garamond" w:hAnsi="Garamond" w:cs="Times New Roman"/>
          <w:color w:val="000000" w:themeColor="text1"/>
          <w:sz w:val="28"/>
          <w:szCs w:val="28"/>
        </w:rPr>
        <w:t>iniziativa</w:t>
      </w:r>
      <w:r w:rsidRPr="00E25FDE">
        <w:rPr>
          <w:rFonts w:ascii="Garamond" w:hAnsi="Garamond" w:cs="Times New Roman"/>
          <w:color w:val="000000" w:themeColor="text1"/>
          <w:sz w:val="28"/>
          <w:szCs w:val="28"/>
        </w:rPr>
        <w:t xml:space="preserve"> imprenditoriale) comunque operante in materia - a prescindere dalla disciplina dettata dai relativi decreti ministeriali - con l’indicazione di taluni indizi, di carattere non tassativo, da cui desumere l’artato frazionamento nei casi di impianto a media-alta tensione, costituendo  il divieto di artato frazionamento un principio generale dell’ordinamento (solo esemplificato per gli impianti fotovoltaici dal suindicato art. 12 del d.m. 5 maggio 2011) che opera a prescindere da una espressa e puntuale previsione </w:t>
      </w:r>
      <w:r>
        <w:rPr>
          <w:rFonts w:ascii="Garamond" w:hAnsi="Garamond" w:cs="Times New Roman"/>
          <w:color w:val="000000" w:themeColor="text1"/>
          <w:sz w:val="28"/>
          <w:szCs w:val="28"/>
        </w:rPr>
        <w:t>normativa</w:t>
      </w:r>
      <w:r w:rsidRPr="00E25FDE">
        <w:rPr>
          <w:rFonts w:ascii="Garamond" w:hAnsi="Garamond" w:cs="Times New Roman"/>
          <w:color w:val="000000" w:themeColor="text1"/>
          <w:sz w:val="28"/>
          <w:szCs w:val="28"/>
        </w:rPr>
        <w:t xml:space="preserve"> ed è applicabile a tutti gli impianti che percepiscono incentivi per la produzione di </w:t>
      </w:r>
      <w:r>
        <w:rPr>
          <w:rFonts w:ascii="Garamond" w:hAnsi="Garamond" w:cs="Times New Roman"/>
          <w:color w:val="000000" w:themeColor="text1"/>
          <w:sz w:val="28"/>
          <w:szCs w:val="28"/>
        </w:rPr>
        <w:t>energia</w:t>
      </w:r>
      <w:r w:rsidRPr="00E25FDE">
        <w:rPr>
          <w:rFonts w:ascii="Garamond" w:hAnsi="Garamond" w:cs="Times New Roman"/>
          <w:color w:val="000000" w:themeColor="text1"/>
          <w:sz w:val="28"/>
          <w:szCs w:val="28"/>
        </w:rPr>
        <w:t xml:space="preserve"> da fonti ri</w:t>
      </w:r>
      <w:r>
        <w:rPr>
          <w:rFonts w:ascii="Garamond" w:hAnsi="Garamond" w:cs="Times New Roman"/>
          <w:color w:val="000000" w:themeColor="text1"/>
          <w:sz w:val="28"/>
          <w:szCs w:val="28"/>
        </w:rPr>
        <w:t>nnovabili;</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i</w:t>
      </w:r>
      <w:r w:rsidRPr="00AD11B5">
        <w:rPr>
          <w:rFonts w:ascii="Garamond" w:hAnsi="Garamond" w:cs="Times New Roman"/>
          <w:color w:val="000000" w:themeColor="text1"/>
          <w:sz w:val="28"/>
          <w:szCs w:val="28"/>
        </w:rPr>
        <w:t>n applicazione del principio di auto</w:t>
      </w:r>
      <w:r>
        <w:rPr>
          <w:rFonts w:ascii="Garamond" w:hAnsi="Garamond" w:cs="Times New Roman"/>
          <w:color w:val="000000" w:themeColor="text1"/>
          <w:sz w:val="28"/>
          <w:szCs w:val="28"/>
        </w:rPr>
        <w:t xml:space="preserve"> </w:t>
      </w:r>
      <w:r w:rsidRPr="00AD11B5">
        <w:rPr>
          <w:rFonts w:ascii="Garamond" w:hAnsi="Garamond" w:cs="Times New Roman"/>
          <w:color w:val="000000" w:themeColor="text1"/>
          <w:sz w:val="28"/>
          <w:szCs w:val="28"/>
        </w:rPr>
        <w:t>responsabilità costituisce onere dell’interessato ad ottenere il beneficio il fornire la prova di tutti i presupposti per l’ammissione all’incentivo, ricadendo sullo stesso eventuali carenze che incidano sul perfezionamento della fattispecie agevolat</w:t>
      </w:r>
      <w:r>
        <w:rPr>
          <w:rFonts w:ascii="Garamond" w:hAnsi="Garamond" w:cs="Times New Roman"/>
          <w:color w:val="000000" w:themeColor="text1"/>
          <w:sz w:val="28"/>
          <w:szCs w:val="28"/>
        </w:rPr>
        <w:t>iva;</w:t>
      </w:r>
    </w:p>
    <w:p w:rsidR="007B4920" w:rsidRDefault="007B4920" w:rsidP="007B4920">
      <w:pPr>
        <w:spacing w:line="240" w:lineRule="auto"/>
        <w:ind w:left="709"/>
        <w:jc w:val="both"/>
        <w:rPr>
          <w:rFonts w:ascii="Garamond" w:hAnsi="Garamond" w:cs="Times New Roman"/>
          <w:color w:val="000000" w:themeColor="text1"/>
          <w:sz w:val="28"/>
          <w:szCs w:val="28"/>
        </w:rPr>
      </w:pPr>
      <w:r>
        <w:rPr>
          <w:rFonts w:ascii="Garamond" w:hAnsi="Garamond" w:cs="Times New Roman"/>
          <w:color w:val="000000" w:themeColor="text1"/>
          <w:sz w:val="28"/>
          <w:szCs w:val="28"/>
        </w:rPr>
        <w:t>Con riguardo ai profili processuali la giurisprudenza ha affermato i seguenti principi:</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è</w:t>
      </w:r>
      <w:r w:rsidRPr="0066764A">
        <w:rPr>
          <w:rFonts w:ascii="Garamond" w:hAnsi="Garamond" w:cs="Times New Roman"/>
          <w:color w:val="000000" w:themeColor="text1"/>
          <w:sz w:val="28"/>
          <w:szCs w:val="28"/>
        </w:rPr>
        <w:t xml:space="preserve"> inapplicabile l’azione sul silenzio all’istanza volta ad ottenere l’accesso alle tariffe </w:t>
      </w:r>
      <w:r>
        <w:rPr>
          <w:rFonts w:ascii="Garamond" w:hAnsi="Garamond" w:cs="Times New Roman"/>
          <w:color w:val="000000" w:themeColor="text1"/>
          <w:sz w:val="28"/>
          <w:szCs w:val="28"/>
        </w:rPr>
        <w:t>incentivanti</w:t>
      </w:r>
      <w:r w:rsidRPr="0066764A">
        <w:rPr>
          <w:rFonts w:ascii="Garamond" w:hAnsi="Garamond" w:cs="Times New Roman"/>
          <w:color w:val="000000" w:themeColor="text1"/>
          <w:sz w:val="28"/>
          <w:szCs w:val="28"/>
        </w:rPr>
        <w:t xml:space="preserve"> di cui al Terzo Conto </w:t>
      </w:r>
      <w:r>
        <w:rPr>
          <w:rFonts w:ascii="Garamond" w:hAnsi="Garamond" w:cs="Times New Roman"/>
          <w:color w:val="000000" w:themeColor="text1"/>
          <w:sz w:val="28"/>
          <w:szCs w:val="28"/>
        </w:rPr>
        <w:t>energia</w:t>
      </w:r>
      <w:r w:rsidRPr="0066764A">
        <w:rPr>
          <w:rFonts w:ascii="Garamond" w:hAnsi="Garamond" w:cs="Times New Roman"/>
          <w:color w:val="000000" w:themeColor="text1"/>
          <w:sz w:val="28"/>
          <w:szCs w:val="28"/>
        </w:rPr>
        <w:t xml:space="preserve"> a seguito dell’adozione di un provvedimento di decadenza del G.s.e., coperto da giudicato, dall’accesso alle tariffe </w:t>
      </w:r>
      <w:r>
        <w:rPr>
          <w:rFonts w:ascii="Garamond" w:hAnsi="Garamond" w:cs="Times New Roman"/>
          <w:color w:val="000000" w:themeColor="text1"/>
          <w:sz w:val="28"/>
          <w:szCs w:val="28"/>
        </w:rPr>
        <w:t>incentivanti</w:t>
      </w:r>
      <w:r w:rsidRPr="0066764A">
        <w:rPr>
          <w:rFonts w:ascii="Garamond" w:hAnsi="Garamond" w:cs="Times New Roman"/>
          <w:color w:val="000000" w:themeColor="text1"/>
          <w:sz w:val="28"/>
          <w:szCs w:val="28"/>
        </w:rPr>
        <w:t xml:space="preserve"> di cui al Secondo Conto </w:t>
      </w:r>
      <w:r>
        <w:rPr>
          <w:rFonts w:ascii="Garamond" w:hAnsi="Garamond" w:cs="Times New Roman"/>
          <w:color w:val="000000" w:themeColor="text1"/>
          <w:sz w:val="28"/>
          <w:szCs w:val="28"/>
        </w:rPr>
        <w:t>energia</w:t>
      </w:r>
      <w:r w:rsidRPr="0066764A">
        <w:rPr>
          <w:rFonts w:ascii="Garamond" w:hAnsi="Garamond" w:cs="Times New Roman"/>
          <w:color w:val="000000" w:themeColor="text1"/>
          <w:sz w:val="28"/>
          <w:szCs w:val="28"/>
        </w:rPr>
        <w:t>. Ciò in quanto, secondo la costante giurisprudenza in materia, non sussiste alcun obbligo per l'Amministrazione di pronunciarsi su un'istanza volta a ottenere un provvedimento in via di autotutela, non essendo coercibile dall'esterno l'att</w:t>
      </w:r>
      <w:r>
        <w:rPr>
          <w:rFonts w:ascii="Garamond" w:hAnsi="Garamond" w:cs="Times New Roman"/>
          <w:color w:val="000000" w:themeColor="text1"/>
          <w:sz w:val="28"/>
          <w:szCs w:val="28"/>
        </w:rPr>
        <w:t>iva</w:t>
      </w:r>
      <w:r w:rsidRPr="0066764A">
        <w:rPr>
          <w:rFonts w:ascii="Garamond" w:hAnsi="Garamond" w:cs="Times New Roman"/>
          <w:color w:val="000000" w:themeColor="text1"/>
          <w:sz w:val="28"/>
          <w:szCs w:val="28"/>
        </w:rPr>
        <w:t>zione del procedimento di riesame della legittimità dell'atto amministrativo mediante l'istituto del silenzio-rifiuto e lo strumento di tutela offerto ex art. 117 c.p.a.  ed il rito del silenzio è esperibile soltanto laddove ci si trovi al cospetto di una disposizione puntuale imposit</w:t>
      </w:r>
      <w:r>
        <w:rPr>
          <w:rFonts w:ascii="Garamond" w:hAnsi="Garamond" w:cs="Times New Roman"/>
          <w:color w:val="000000" w:themeColor="text1"/>
          <w:sz w:val="28"/>
          <w:szCs w:val="28"/>
        </w:rPr>
        <w:t>iva</w:t>
      </w:r>
      <w:r w:rsidRPr="0066764A">
        <w:rPr>
          <w:rFonts w:ascii="Garamond" w:hAnsi="Garamond" w:cs="Times New Roman"/>
          <w:color w:val="000000" w:themeColor="text1"/>
          <w:sz w:val="28"/>
          <w:szCs w:val="28"/>
        </w:rPr>
        <w:t xml:space="preserve"> di un obbligo di provvedere, ovvero laddove quest'ultimo sia univocamente ricavabile dal sistema giuridico, non sus</w:t>
      </w:r>
      <w:r>
        <w:rPr>
          <w:rFonts w:ascii="Garamond" w:hAnsi="Garamond" w:cs="Times New Roman"/>
          <w:color w:val="000000" w:themeColor="text1"/>
          <w:sz w:val="28"/>
          <w:szCs w:val="28"/>
        </w:rPr>
        <w:t>sistendo peraltro detto obbligo</w:t>
      </w:r>
      <w:r w:rsidRPr="0066764A">
        <w:rPr>
          <w:rFonts w:ascii="Garamond" w:hAnsi="Garamond" w:cs="Times New Roman"/>
          <w:color w:val="000000" w:themeColor="text1"/>
          <w:sz w:val="28"/>
          <w:szCs w:val="28"/>
        </w:rPr>
        <w:t xml:space="preserve"> laddove il regime incent</w:t>
      </w:r>
      <w:r>
        <w:rPr>
          <w:rFonts w:ascii="Garamond" w:hAnsi="Garamond" w:cs="Times New Roman"/>
          <w:color w:val="000000" w:themeColor="text1"/>
          <w:sz w:val="28"/>
          <w:szCs w:val="28"/>
        </w:rPr>
        <w:t>iva</w:t>
      </w:r>
      <w:r w:rsidRPr="0066764A">
        <w:rPr>
          <w:rFonts w:ascii="Garamond" w:hAnsi="Garamond" w:cs="Times New Roman"/>
          <w:color w:val="000000" w:themeColor="text1"/>
          <w:sz w:val="28"/>
          <w:szCs w:val="28"/>
        </w:rPr>
        <w:t>nte previsto dai con</w:t>
      </w:r>
      <w:r>
        <w:rPr>
          <w:rFonts w:ascii="Garamond" w:hAnsi="Garamond" w:cs="Times New Roman"/>
          <w:color w:val="000000" w:themeColor="text1"/>
          <w:sz w:val="28"/>
          <w:szCs w:val="28"/>
        </w:rPr>
        <w:t>ti energia sia oramai terminato;</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n</w:t>
      </w:r>
      <w:r w:rsidRPr="00C30007">
        <w:rPr>
          <w:rFonts w:ascii="Garamond" w:hAnsi="Garamond" w:cs="Times New Roman"/>
          <w:color w:val="000000" w:themeColor="text1"/>
          <w:sz w:val="28"/>
          <w:szCs w:val="28"/>
        </w:rPr>
        <w:t>on è improcedibile il ricorso proposto avverso un provvedimento di decadenza qualora in corso di causa il G.s.e. rigetti la richiesta dell’istanza di riesame prop</w:t>
      </w:r>
      <w:r>
        <w:rPr>
          <w:rFonts w:ascii="Garamond" w:hAnsi="Garamond" w:cs="Times New Roman"/>
          <w:color w:val="000000" w:themeColor="text1"/>
          <w:sz w:val="28"/>
          <w:szCs w:val="28"/>
        </w:rPr>
        <w:t xml:space="preserve">osta ex art. 56,  commi 7 e 8, </w:t>
      </w:r>
      <w:r w:rsidRPr="00C30007">
        <w:rPr>
          <w:rFonts w:ascii="Garamond" w:hAnsi="Garamond" w:cs="Times New Roman"/>
          <w:color w:val="000000" w:themeColor="text1"/>
          <w:sz w:val="28"/>
          <w:szCs w:val="28"/>
        </w:rPr>
        <w:t>d.l. n. 76 del 2020, convertito in l. n. 120 del 2020, non essendo un tale atto di conferma in senso proprio, ovvero sostitutivo delle determinazioni impugnate in quanto il G.s.e. con il provvedimento di rigetto,  anziché r</w:t>
      </w:r>
      <w:r>
        <w:rPr>
          <w:rFonts w:ascii="Garamond" w:hAnsi="Garamond" w:cs="Times New Roman"/>
          <w:color w:val="000000" w:themeColor="text1"/>
          <w:sz w:val="28"/>
          <w:szCs w:val="28"/>
        </w:rPr>
        <w:t>iva</w:t>
      </w:r>
      <w:r w:rsidRPr="00C30007">
        <w:rPr>
          <w:rFonts w:ascii="Garamond" w:hAnsi="Garamond" w:cs="Times New Roman"/>
          <w:color w:val="000000" w:themeColor="text1"/>
          <w:sz w:val="28"/>
          <w:szCs w:val="28"/>
        </w:rPr>
        <w:t xml:space="preserve">lutare la situazione sostanziale originaria all’esito di una nuova istruttoria e sulla base di una nuova </w:t>
      </w:r>
      <w:r>
        <w:rPr>
          <w:rFonts w:ascii="Garamond" w:hAnsi="Garamond" w:cs="Times New Roman"/>
          <w:color w:val="000000" w:themeColor="text1"/>
          <w:sz w:val="28"/>
          <w:szCs w:val="28"/>
        </w:rPr>
        <w:t>motivazione</w:t>
      </w:r>
      <w:r w:rsidRPr="00C30007">
        <w:rPr>
          <w:rFonts w:ascii="Garamond" w:hAnsi="Garamond" w:cs="Times New Roman"/>
          <w:color w:val="000000" w:themeColor="text1"/>
          <w:sz w:val="28"/>
          <w:szCs w:val="28"/>
        </w:rPr>
        <w:t>,  riferite alla legittimità dell’atto originariamente assunto, nega l’integrazione dei (sopravvenuti) presupposti di applica</w:t>
      </w:r>
      <w:r>
        <w:rPr>
          <w:rFonts w:ascii="Garamond" w:hAnsi="Garamond" w:cs="Times New Roman"/>
          <w:color w:val="000000" w:themeColor="text1"/>
          <w:sz w:val="28"/>
          <w:szCs w:val="28"/>
        </w:rPr>
        <w:t xml:space="preserve">zione dell’art. 42, comma 3, d.lgs. n. 28 del </w:t>
      </w:r>
      <w:r w:rsidRPr="00C30007">
        <w:rPr>
          <w:rFonts w:ascii="Garamond" w:hAnsi="Garamond" w:cs="Times New Roman"/>
          <w:color w:val="000000" w:themeColor="text1"/>
          <w:sz w:val="28"/>
          <w:szCs w:val="28"/>
        </w:rPr>
        <w:t>2011, come modific</w:t>
      </w:r>
      <w:r>
        <w:rPr>
          <w:rFonts w:ascii="Garamond" w:hAnsi="Garamond" w:cs="Times New Roman"/>
          <w:color w:val="000000" w:themeColor="text1"/>
          <w:sz w:val="28"/>
          <w:szCs w:val="28"/>
        </w:rPr>
        <w:t>ato dalla sopravvenuta normativa;</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lastRenderedPageBreak/>
        <w:t>r</w:t>
      </w:r>
      <w:r w:rsidRPr="00134658">
        <w:rPr>
          <w:rFonts w:ascii="Garamond" w:hAnsi="Garamond" w:cs="Times New Roman"/>
          <w:color w:val="000000" w:themeColor="text1"/>
          <w:sz w:val="28"/>
          <w:szCs w:val="28"/>
        </w:rPr>
        <w:t>ientra nella giurisdizione esclus</w:t>
      </w:r>
      <w:r>
        <w:rPr>
          <w:rFonts w:ascii="Garamond" w:hAnsi="Garamond" w:cs="Times New Roman"/>
          <w:color w:val="000000" w:themeColor="text1"/>
          <w:sz w:val="28"/>
          <w:szCs w:val="28"/>
        </w:rPr>
        <w:t>iva</w:t>
      </w:r>
      <w:r w:rsidRPr="00134658">
        <w:rPr>
          <w:rFonts w:ascii="Garamond" w:hAnsi="Garamond" w:cs="Times New Roman"/>
          <w:color w:val="000000" w:themeColor="text1"/>
          <w:sz w:val="28"/>
          <w:szCs w:val="28"/>
        </w:rPr>
        <w:t xml:space="preserve"> del giudice amministrativo la controversia nella quale il titolare di un impianto fotovoltaico chiede l'accertamento del diritto a ottenere la tariffa incent</w:t>
      </w:r>
      <w:r>
        <w:rPr>
          <w:rFonts w:ascii="Garamond" w:hAnsi="Garamond" w:cs="Times New Roman"/>
          <w:color w:val="000000" w:themeColor="text1"/>
          <w:sz w:val="28"/>
          <w:szCs w:val="28"/>
        </w:rPr>
        <w:t>iva</w:t>
      </w:r>
      <w:r w:rsidRPr="00134658">
        <w:rPr>
          <w:rFonts w:ascii="Garamond" w:hAnsi="Garamond" w:cs="Times New Roman"/>
          <w:color w:val="000000" w:themeColor="text1"/>
          <w:sz w:val="28"/>
          <w:szCs w:val="28"/>
        </w:rPr>
        <w:t>nte con il riconoscimento della r</w:t>
      </w:r>
      <w:r>
        <w:rPr>
          <w:rFonts w:ascii="Garamond" w:hAnsi="Garamond" w:cs="Times New Roman"/>
          <w:color w:val="000000" w:themeColor="text1"/>
          <w:sz w:val="28"/>
          <w:szCs w:val="28"/>
        </w:rPr>
        <w:t>iva</w:t>
      </w:r>
      <w:r w:rsidRPr="00134658">
        <w:rPr>
          <w:rFonts w:ascii="Garamond" w:hAnsi="Garamond" w:cs="Times New Roman"/>
          <w:color w:val="000000" w:themeColor="text1"/>
          <w:sz w:val="28"/>
          <w:szCs w:val="28"/>
        </w:rPr>
        <w:t>lutazione Istat, con le consequenziali condanne, nonché l'accertamento negativo del diritto del G.s.e. alla ripetizione di quanto già corrisposto a detto titolo</w:t>
      </w:r>
      <w:r>
        <w:rPr>
          <w:rFonts w:ascii="Garamond" w:hAnsi="Garamond" w:cs="Times New Roman"/>
          <w:color w:val="000000" w:themeColor="text1"/>
          <w:sz w:val="28"/>
          <w:szCs w:val="28"/>
        </w:rPr>
        <w:t>;</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0B4AB8">
        <w:rPr>
          <w:rFonts w:ascii="Garamond" w:hAnsi="Garamond" w:cs="Times New Roman"/>
          <w:color w:val="000000" w:themeColor="text1"/>
          <w:sz w:val="28"/>
          <w:szCs w:val="28"/>
        </w:rPr>
        <w:t>a giurisdizione esclus</w:t>
      </w:r>
      <w:r>
        <w:rPr>
          <w:rFonts w:ascii="Garamond" w:hAnsi="Garamond" w:cs="Times New Roman"/>
          <w:color w:val="000000" w:themeColor="text1"/>
          <w:sz w:val="28"/>
          <w:szCs w:val="28"/>
        </w:rPr>
        <w:t>iva</w:t>
      </w:r>
      <w:r w:rsidRPr="000B4AB8">
        <w:rPr>
          <w:rFonts w:ascii="Garamond" w:hAnsi="Garamond" w:cs="Times New Roman"/>
          <w:color w:val="000000" w:themeColor="text1"/>
          <w:sz w:val="28"/>
          <w:szCs w:val="28"/>
        </w:rPr>
        <w:t xml:space="preserve"> del giudice amministrativo per le controversie in tema di </w:t>
      </w:r>
      <w:r>
        <w:rPr>
          <w:rFonts w:ascii="Garamond" w:hAnsi="Garamond" w:cs="Times New Roman"/>
          <w:color w:val="000000" w:themeColor="text1"/>
          <w:sz w:val="28"/>
          <w:szCs w:val="28"/>
        </w:rPr>
        <w:t xml:space="preserve">energia, prevista dall'art. 133, </w:t>
      </w:r>
      <w:r w:rsidRPr="000B4AB8">
        <w:rPr>
          <w:rFonts w:ascii="Garamond" w:hAnsi="Garamond" w:cs="Times New Roman"/>
          <w:color w:val="000000" w:themeColor="text1"/>
          <w:sz w:val="28"/>
          <w:szCs w:val="28"/>
        </w:rPr>
        <w:t>comma</w:t>
      </w:r>
      <w:r>
        <w:rPr>
          <w:rFonts w:ascii="Garamond" w:hAnsi="Garamond" w:cs="Times New Roman"/>
          <w:color w:val="000000" w:themeColor="text1"/>
          <w:sz w:val="28"/>
          <w:szCs w:val="28"/>
        </w:rPr>
        <w:t xml:space="preserve"> 1, lett. o), c.p.a., </w:t>
      </w:r>
      <w:r w:rsidRPr="000B4AB8">
        <w:rPr>
          <w:rFonts w:ascii="Garamond" w:hAnsi="Garamond" w:cs="Times New Roman"/>
          <w:color w:val="000000" w:themeColor="text1"/>
          <w:sz w:val="28"/>
          <w:szCs w:val="28"/>
        </w:rPr>
        <w:t>si estende anche alle controversie con il G</w:t>
      </w:r>
      <w:r>
        <w:rPr>
          <w:rFonts w:ascii="Garamond" w:hAnsi="Garamond" w:cs="Times New Roman"/>
          <w:color w:val="000000" w:themeColor="text1"/>
          <w:sz w:val="28"/>
          <w:szCs w:val="28"/>
        </w:rPr>
        <w:t>.</w:t>
      </w:r>
      <w:r w:rsidRPr="000B4AB8">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0B4AB8">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0B4AB8">
        <w:rPr>
          <w:rFonts w:ascii="Garamond" w:hAnsi="Garamond" w:cs="Times New Roman"/>
          <w:color w:val="000000" w:themeColor="text1"/>
          <w:sz w:val="28"/>
          <w:szCs w:val="28"/>
        </w:rPr>
        <w:t xml:space="preserve"> in tema di misure di </w:t>
      </w:r>
      <w:r>
        <w:rPr>
          <w:rFonts w:ascii="Garamond" w:hAnsi="Garamond" w:cs="Times New Roman"/>
          <w:color w:val="000000" w:themeColor="text1"/>
          <w:sz w:val="28"/>
          <w:szCs w:val="28"/>
        </w:rPr>
        <w:t>incentivazione</w:t>
      </w:r>
      <w:r w:rsidRPr="000B4AB8">
        <w:rPr>
          <w:rFonts w:ascii="Garamond" w:hAnsi="Garamond" w:cs="Times New Roman"/>
          <w:color w:val="000000" w:themeColor="text1"/>
          <w:sz w:val="28"/>
          <w:szCs w:val="28"/>
        </w:rPr>
        <w:t xml:space="preserve"> per la produzione di </w:t>
      </w:r>
      <w:r>
        <w:rPr>
          <w:rFonts w:ascii="Garamond" w:hAnsi="Garamond" w:cs="Times New Roman"/>
          <w:color w:val="000000" w:themeColor="text1"/>
          <w:sz w:val="28"/>
          <w:szCs w:val="28"/>
        </w:rPr>
        <w:t>energia</w:t>
      </w:r>
      <w:r w:rsidRPr="000B4AB8">
        <w:rPr>
          <w:rFonts w:ascii="Garamond" w:hAnsi="Garamond" w:cs="Times New Roman"/>
          <w:color w:val="000000" w:themeColor="text1"/>
          <w:sz w:val="28"/>
          <w:szCs w:val="28"/>
        </w:rPr>
        <w:t xml:space="preserve"> da fonti rinnovabili</w:t>
      </w:r>
      <w:r>
        <w:rPr>
          <w:rFonts w:ascii="Garamond" w:hAnsi="Garamond" w:cs="Times New Roman"/>
          <w:color w:val="000000" w:themeColor="text1"/>
          <w:sz w:val="28"/>
          <w:szCs w:val="28"/>
        </w:rPr>
        <w:t xml:space="preserve">; detta giurisdizione non viene meno </w:t>
      </w:r>
      <w:r w:rsidRPr="0079099C">
        <w:rPr>
          <w:rFonts w:ascii="Garamond" w:hAnsi="Garamond" w:cs="Times New Roman"/>
          <w:color w:val="000000" w:themeColor="text1"/>
          <w:sz w:val="28"/>
          <w:szCs w:val="28"/>
        </w:rPr>
        <w:t>per la circostanza che il G.s.e. sia intervenuto con strumenti negoziali</w:t>
      </w:r>
      <w:r>
        <w:rPr>
          <w:rFonts w:ascii="Garamond" w:hAnsi="Garamond" w:cs="Times New Roman"/>
          <w:color w:val="000000" w:themeColor="text1"/>
          <w:sz w:val="28"/>
          <w:szCs w:val="28"/>
        </w:rPr>
        <w:t>;</w:t>
      </w:r>
    </w:p>
    <w:p w:rsidR="007B4920"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r</w:t>
      </w:r>
      <w:r w:rsidRPr="0079099C">
        <w:rPr>
          <w:rFonts w:ascii="Garamond" w:hAnsi="Garamond" w:cs="Times New Roman"/>
          <w:color w:val="000000" w:themeColor="text1"/>
          <w:sz w:val="28"/>
          <w:szCs w:val="28"/>
        </w:rPr>
        <w:t>ientra nella</w:t>
      </w:r>
      <w:r>
        <w:rPr>
          <w:rFonts w:ascii="Garamond" w:hAnsi="Garamond" w:cs="Times New Roman"/>
          <w:color w:val="000000" w:themeColor="text1"/>
          <w:sz w:val="28"/>
          <w:szCs w:val="28"/>
        </w:rPr>
        <w:t xml:space="preserve"> giurisdizione esclusiva del giudice amministrativo</w:t>
      </w:r>
      <w:r w:rsidRPr="0079099C">
        <w:rPr>
          <w:rFonts w:ascii="Garamond" w:hAnsi="Garamond" w:cs="Times New Roman"/>
          <w:color w:val="000000" w:themeColor="text1"/>
          <w:sz w:val="28"/>
          <w:szCs w:val="28"/>
        </w:rPr>
        <w:t xml:space="preserve">, ai sensi dell'art. 133, comma 1, lett. o), </w:t>
      </w:r>
      <w:r>
        <w:rPr>
          <w:rFonts w:ascii="Garamond" w:hAnsi="Garamond" w:cs="Times New Roman"/>
          <w:color w:val="000000" w:themeColor="text1"/>
          <w:sz w:val="28"/>
          <w:szCs w:val="28"/>
        </w:rPr>
        <w:t>c.p.a.</w:t>
      </w:r>
      <w:r w:rsidRPr="0079099C">
        <w:rPr>
          <w:rFonts w:ascii="Garamond" w:hAnsi="Garamond" w:cs="Times New Roman"/>
          <w:color w:val="000000" w:themeColor="text1"/>
          <w:sz w:val="28"/>
          <w:szCs w:val="28"/>
        </w:rPr>
        <w:t>, l'impugnazione proposta dal responsabile di un impianto fotovoltaico contro il pr</w:t>
      </w:r>
      <w:r>
        <w:rPr>
          <w:rFonts w:ascii="Garamond" w:hAnsi="Garamond" w:cs="Times New Roman"/>
          <w:color w:val="000000" w:themeColor="text1"/>
          <w:sz w:val="28"/>
          <w:szCs w:val="28"/>
        </w:rPr>
        <w:t>ovvedimento dell'Agenzia delle e</w:t>
      </w:r>
      <w:r w:rsidRPr="0079099C">
        <w:rPr>
          <w:rFonts w:ascii="Garamond" w:hAnsi="Garamond" w:cs="Times New Roman"/>
          <w:color w:val="000000" w:themeColor="text1"/>
          <w:sz w:val="28"/>
          <w:szCs w:val="28"/>
        </w:rPr>
        <w:t>ntrate del 6 marzo 2020 con cui, in attuazione dell'art. 36, comma 3, d.l. n. 124 del 2019, conv., con modif., dalla l. n. 157 del 2019, sono stati indicati le modalità di presentazione e il contenuto essenziale della comunicazione mediante la quale gli operatori economici che abbiano cumulato la deduzione fiscale ex art. 6, commi 13 ss., l. n. 388 del 2000, e gli incentivi previsti dai decreti ministeriali del 2011 possono, avvalendosi della speciale facoltà introdotta proprio dal citato art. 36, assoggettare alle imposte dirette l'importo dedotto dalle rispettive basi imponibili. Infatti, tale provvedimento si configura come atto tipicamente amministrativo, generale, meramente ricognitivo e attuativo del disposto di legge, non contenente una pretesa tributaria sostanziale e non rientrante nell'elenco riportato nell'art. 19 del d.lgs. n. 546 del 1992</w:t>
      </w:r>
      <w:r>
        <w:rPr>
          <w:rFonts w:ascii="Garamond" w:hAnsi="Garamond" w:cs="Times New Roman"/>
          <w:color w:val="000000" w:themeColor="text1"/>
          <w:sz w:val="28"/>
          <w:szCs w:val="28"/>
        </w:rPr>
        <w:t>;</w:t>
      </w:r>
    </w:p>
    <w:p w:rsidR="007B4920" w:rsidRPr="00FF1B4B" w:rsidRDefault="007B4920" w:rsidP="007B4920">
      <w:pPr>
        <w:pStyle w:val="Paragrafoelenco"/>
        <w:numPr>
          <w:ilvl w:val="0"/>
          <w:numId w:val="3"/>
        </w:numPr>
        <w:spacing w:line="240" w:lineRule="auto"/>
        <w:jc w:val="both"/>
        <w:rPr>
          <w:rFonts w:ascii="Garamond" w:hAnsi="Garamond" w:cs="Times New Roman"/>
          <w:color w:val="000000" w:themeColor="text1"/>
          <w:sz w:val="28"/>
          <w:szCs w:val="28"/>
        </w:rPr>
      </w:pPr>
      <w:r>
        <w:rPr>
          <w:rFonts w:ascii="Garamond" w:hAnsi="Garamond" w:cs="Times New Roman"/>
          <w:color w:val="000000" w:themeColor="text1"/>
          <w:sz w:val="28"/>
          <w:szCs w:val="28"/>
        </w:rPr>
        <w:t>l</w:t>
      </w:r>
      <w:r w:rsidRPr="0079099C">
        <w:rPr>
          <w:rFonts w:ascii="Garamond" w:hAnsi="Garamond" w:cs="Times New Roman"/>
          <w:color w:val="000000" w:themeColor="text1"/>
          <w:sz w:val="28"/>
          <w:szCs w:val="28"/>
        </w:rPr>
        <w:t>e vertenze nei confronti del G</w:t>
      </w:r>
      <w:r>
        <w:rPr>
          <w:rFonts w:ascii="Garamond" w:hAnsi="Garamond" w:cs="Times New Roman"/>
          <w:color w:val="000000" w:themeColor="text1"/>
          <w:sz w:val="28"/>
          <w:szCs w:val="28"/>
        </w:rPr>
        <w:t>.</w:t>
      </w:r>
      <w:r w:rsidRPr="0079099C">
        <w:rPr>
          <w:rFonts w:ascii="Garamond" w:hAnsi="Garamond" w:cs="Times New Roman"/>
          <w:color w:val="000000" w:themeColor="text1"/>
          <w:sz w:val="28"/>
          <w:szCs w:val="28"/>
        </w:rPr>
        <w:t>s</w:t>
      </w:r>
      <w:r>
        <w:rPr>
          <w:rFonts w:ascii="Garamond" w:hAnsi="Garamond" w:cs="Times New Roman"/>
          <w:color w:val="000000" w:themeColor="text1"/>
          <w:sz w:val="28"/>
          <w:szCs w:val="28"/>
        </w:rPr>
        <w:t>.</w:t>
      </w:r>
      <w:r w:rsidRPr="0079099C">
        <w:rPr>
          <w:rFonts w:ascii="Garamond" w:hAnsi="Garamond" w:cs="Times New Roman"/>
          <w:color w:val="000000" w:themeColor="text1"/>
          <w:sz w:val="28"/>
          <w:szCs w:val="28"/>
        </w:rPr>
        <w:t>e</w:t>
      </w:r>
      <w:r>
        <w:rPr>
          <w:rFonts w:ascii="Garamond" w:hAnsi="Garamond" w:cs="Times New Roman"/>
          <w:color w:val="000000" w:themeColor="text1"/>
          <w:sz w:val="28"/>
          <w:szCs w:val="28"/>
        </w:rPr>
        <w:t>.</w:t>
      </w:r>
      <w:r w:rsidRPr="0079099C">
        <w:rPr>
          <w:rFonts w:ascii="Garamond" w:hAnsi="Garamond" w:cs="Times New Roman"/>
          <w:color w:val="000000" w:themeColor="text1"/>
          <w:sz w:val="28"/>
          <w:szCs w:val="28"/>
        </w:rPr>
        <w:t xml:space="preserve"> per atti concernenti le incent</w:t>
      </w:r>
      <w:r>
        <w:rPr>
          <w:rFonts w:ascii="Garamond" w:hAnsi="Garamond" w:cs="Times New Roman"/>
          <w:color w:val="000000" w:themeColor="text1"/>
          <w:sz w:val="28"/>
          <w:szCs w:val="28"/>
        </w:rPr>
        <w:t>iva</w:t>
      </w:r>
      <w:r w:rsidRPr="0079099C">
        <w:rPr>
          <w:rFonts w:ascii="Garamond" w:hAnsi="Garamond" w:cs="Times New Roman"/>
          <w:color w:val="000000" w:themeColor="text1"/>
          <w:sz w:val="28"/>
          <w:szCs w:val="28"/>
        </w:rPr>
        <w:t xml:space="preserve">zioni di interventi per la produzione di </w:t>
      </w:r>
      <w:r>
        <w:rPr>
          <w:rFonts w:ascii="Garamond" w:hAnsi="Garamond" w:cs="Times New Roman"/>
          <w:color w:val="000000" w:themeColor="text1"/>
          <w:sz w:val="28"/>
          <w:szCs w:val="28"/>
        </w:rPr>
        <w:t>energia</w:t>
      </w:r>
      <w:r w:rsidRPr="0079099C">
        <w:rPr>
          <w:rFonts w:ascii="Garamond" w:hAnsi="Garamond" w:cs="Times New Roman"/>
          <w:color w:val="000000" w:themeColor="text1"/>
          <w:sz w:val="28"/>
          <w:szCs w:val="28"/>
        </w:rPr>
        <w:t xml:space="preserve"> da fonti rinnovabili sono devolute alla competenza territoriale del T</w:t>
      </w:r>
      <w:r>
        <w:rPr>
          <w:rFonts w:ascii="Garamond" w:hAnsi="Garamond" w:cs="Times New Roman"/>
          <w:color w:val="000000" w:themeColor="text1"/>
          <w:sz w:val="28"/>
          <w:szCs w:val="28"/>
        </w:rPr>
        <w:t>.</w:t>
      </w:r>
      <w:r w:rsidRPr="0079099C">
        <w:rPr>
          <w:rFonts w:ascii="Garamond" w:hAnsi="Garamond" w:cs="Times New Roman"/>
          <w:color w:val="000000" w:themeColor="text1"/>
          <w:sz w:val="28"/>
          <w:szCs w:val="28"/>
        </w:rPr>
        <w:t>a</w:t>
      </w:r>
      <w:r>
        <w:rPr>
          <w:rFonts w:ascii="Garamond" w:hAnsi="Garamond" w:cs="Times New Roman"/>
          <w:color w:val="000000" w:themeColor="text1"/>
          <w:sz w:val="28"/>
          <w:szCs w:val="28"/>
        </w:rPr>
        <w:t>.</w:t>
      </w:r>
      <w:r w:rsidRPr="0079099C">
        <w:rPr>
          <w:rFonts w:ascii="Garamond" w:hAnsi="Garamond" w:cs="Times New Roman"/>
          <w:color w:val="000000" w:themeColor="text1"/>
          <w:sz w:val="28"/>
          <w:szCs w:val="28"/>
        </w:rPr>
        <w:t>r</w:t>
      </w:r>
      <w:r>
        <w:rPr>
          <w:rFonts w:ascii="Garamond" w:hAnsi="Garamond" w:cs="Times New Roman"/>
          <w:color w:val="000000" w:themeColor="text1"/>
          <w:sz w:val="28"/>
          <w:szCs w:val="28"/>
        </w:rPr>
        <w:t>.</w:t>
      </w:r>
      <w:r w:rsidRPr="0079099C">
        <w:rPr>
          <w:rFonts w:ascii="Garamond" w:hAnsi="Garamond" w:cs="Times New Roman"/>
          <w:color w:val="000000" w:themeColor="text1"/>
          <w:sz w:val="28"/>
          <w:szCs w:val="28"/>
        </w:rPr>
        <w:t xml:space="preserve"> per il Lazio, sede di Roma, </w:t>
      </w:r>
      <w:r>
        <w:rPr>
          <w:rFonts w:ascii="Garamond" w:hAnsi="Garamond" w:cs="Times New Roman"/>
          <w:color w:val="000000" w:themeColor="text1"/>
          <w:sz w:val="28"/>
          <w:szCs w:val="28"/>
        </w:rPr>
        <w:t xml:space="preserve">in quanto il G.s.e. è società a partecipazione pubblica a carattere ultraregionale e  </w:t>
      </w:r>
      <w:r w:rsidRPr="0079099C">
        <w:rPr>
          <w:rFonts w:ascii="Garamond" w:hAnsi="Garamond" w:cs="Times New Roman"/>
          <w:color w:val="000000" w:themeColor="text1"/>
          <w:sz w:val="28"/>
          <w:szCs w:val="28"/>
        </w:rPr>
        <w:t>tali incent</w:t>
      </w:r>
      <w:r>
        <w:rPr>
          <w:rFonts w:ascii="Garamond" w:hAnsi="Garamond" w:cs="Times New Roman"/>
          <w:color w:val="000000" w:themeColor="text1"/>
          <w:sz w:val="28"/>
          <w:szCs w:val="28"/>
        </w:rPr>
        <w:t>iva</w:t>
      </w:r>
      <w:r w:rsidRPr="0079099C">
        <w:rPr>
          <w:rFonts w:ascii="Garamond" w:hAnsi="Garamond" w:cs="Times New Roman"/>
          <w:color w:val="000000" w:themeColor="text1"/>
          <w:sz w:val="28"/>
          <w:szCs w:val="28"/>
        </w:rPr>
        <w:t>zioni, pur concernendo l'</w:t>
      </w:r>
      <w:r>
        <w:rPr>
          <w:rFonts w:ascii="Garamond" w:hAnsi="Garamond" w:cs="Times New Roman"/>
          <w:color w:val="000000" w:themeColor="text1"/>
          <w:sz w:val="28"/>
          <w:szCs w:val="28"/>
        </w:rPr>
        <w:t>energia</w:t>
      </w:r>
      <w:r w:rsidRPr="0079099C">
        <w:rPr>
          <w:rFonts w:ascii="Garamond" w:hAnsi="Garamond" w:cs="Times New Roman"/>
          <w:color w:val="000000" w:themeColor="text1"/>
          <w:sz w:val="28"/>
          <w:szCs w:val="28"/>
        </w:rPr>
        <w:t xml:space="preserve"> prodotta in un determinato impianto, non hanno effetti localizzabili nell'ambito regionale in cui è ubicato l'impianto stesso, ma hanno effetti sull'intero sistema nazionale energetico</w:t>
      </w:r>
      <w:r>
        <w:rPr>
          <w:rFonts w:ascii="Garamond" w:hAnsi="Garamond" w:cs="Times New Roman"/>
          <w:color w:val="000000" w:themeColor="text1"/>
          <w:sz w:val="28"/>
          <w:szCs w:val="28"/>
        </w:rPr>
        <w:t>.</w:t>
      </w:r>
    </w:p>
    <w:p w:rsidR="005B1D76" w:rsidRDefault="007B4920"/>
    <w:sectPr w:rsidR="005B1D76">
      <w:footerReference w:type="default" r:id="rI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11632"/>
      <w:docPartObj>
        <w:docPartGallery w:val="Page Numbers (Bottom of Page)"/>
        <w:docPartUnique/>
      </w:docPartObj>
    </w:sdtPr>
    <w:sdtEndPr/>
    <w:sdtContent>
      <w:p w:rsidR="004244A4" w:rsidRDefault="007B4920">
        <w:pPr>
          <w:pStyle w:val="Pidipagina"/>
          <w:jc w:val="right"/>
        </w:pPr>
        <w:r>
          <w:fldChar w:fldCharType="begin"/>
        </w:r>
        <w:r>
          <w:instrText>PAGE   \* MERGEFORMAT</w:instrText>
        </w:r>
        <w:r>
          <w:fldChar w:fldCharType="separate"/>
        </w:r>
        <w:r>
          <w:rPr>
            <w:noProof/>
          </w:rPr>
          <w:t>37</w:t>
        </w:r>
        <w:r>
          <w:fldChar w:fldCharType="end"/>
        </w:r>
      </w:p>
    </w:sdtContent>
  </w:sdt>
  <w:p w:rsidR="004244A4" w:rsidRDefault="007B4920">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859"/>
    <w:multiLevelType w:val="hybridMultilevel"/>
    <w:tmpl w:val="A626680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01E0301A"/>
    <w:multiLevelType w:val="hybridMultilevel"/>
    <w:tmpl w:val="37146742"/>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D26A5B"/>
    <w:multiLevelType w:val="hybridMultilevel"/>
    <w:tmpl w:val="C750F0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C60373"/>
    <w:multiLevelType w:val="hybridMultilevel"/>
    <w:tmpl w:val="237EEE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0A1864"/>
    <w:multiLevelType w:val="hybridMultilevel"/>
    <w:tmpl w:val="D960B5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2C708B"/>
    <w:multiLevelType w:val="hybridMultilevel"/>
    <w:tmpl w:val="9460A1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5C19C3"/>
    <w:multiLevelType w:val="hybridMultilevel"/>
    <w:tmpl w:val="2FD0C286"/>
    <w:lvl w:ilvl="0" w:tplc="CC2AE072">
      <w:start w:val="3"/>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174F63B3"/>
    <w:multiLevelType w:val="hybridMultilevel"/>
    <w:tmpl w:val="2592AB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860B02"/>
    <w:multiLevelType w:val="multilevel"/>
    <w:tmpl w:val="D96EE3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8DA1A8D"/>
    <w:multiLevelType w:val="hybridMultilevel"/>
    <w:tmpl w:val="AA5E42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9CB43FC"/>
    <w:multiLevelType w:val="hybridMultilevel"/>
    <w:tmpl w:val="CCF8E5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9D7279"/>
    <w:multiLevelType w:val="hybridMultilevel"/>
    <w:tmpl w:val="D09EFE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432E4A"/>
    <w:multiLevelType w:val="hybridMultilevel"/>
    <w:tmpl w:val="761A56E4"/>
    <w:lvl w:ilvl="0" w:tplc="0FDE1D98">
      <w:start w:val="1"/>
      <w:numFmt w:val="lowerLetter"/>
      <w:lvlText w:val="%1)"/>
      <w:lvlJc w:val="left"/>
      <w:pPr>
        <w:ind w:left="792" w:hanging="43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2450DF"/>
    <w:multiLevelType w:val="multilevel"/>
    <w:tmpl w:val="6C7A00E4"/>
    <w:lvl w:ilvl="0">
      <w:start w:val="14"/>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5974DC1"/>
    <w:multiLevelType w:val="hybridMultilevel"/>
    <w:tmpl w:val="4D3415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124C23"/>
    <w:multiLevelType w:val="hybridMultilevel"/>
    <w:tmpl w:val="B2D8A8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434AFF"/>
    <w:multiLevelType w:val="hybridMultilevel"/>
    <w:tmpl w:val="6492A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5629C5"/>
    <w:multiLevelType w:val="hybridMultilevel"/>
    <w:tmpl w:val="1C1472E4"/>
    <w:lvl w:ilvl="0" w:tplc="702495D2">
      <w:start w:val="10"/>
      <w:numFmt w:val="bullet"/>
      <w:lvlText w:val="-"/>
      <w:lvlJc w:val="left"/>
      <w:pPr>
        <w:ind w:left="1069" w:hanging="360"/>
      </w:pPr>
      <w:rPr>
        <w:rFonts w:ascii="Garamond" w:eastAsiaTheme="minorHAnsi" w:hAnsi="Garamond"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8" w15:restartNumberingAfterBreak="0">
    <w:nsid w:val="2F5E777B"/>
    <w:multiLevelType w:val="hybridMultilevel"/>
    <w:tmpl w:val="F2F8A9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6A3370"/>
    <w:multiLevelType w:val="hybridMultilevel"/>
    <w:tmpl w:val="06089F52"/>
    <w:lvl w:ilvl="0" w:tplc="04100017">
      <w:start w:val="1"/>
      <w:numFmt w:val="lowerLetter"/>
      <w:lvlText w:val="%1)"/>
      <w:lvlJc w:val="left"/>
      <w:pPr>
        <w:ind w:left="793" w:hanging="360"/>
      </w:pPr>
    </w:lvl>
    <w:lvl w:ilvl="1" w:tplc="04100019" w:tentative="1">
      <w:start w:val="1"/>
      <w:numFmt w:val="lowerLetter"/>
      <w:lvlText w:val="%2."/>
      <w:lvlJc w:val="left"/>
      <w:pPr>
        <w:ind w:left="1513" w:hanging="360"/>
      </w:pPr>
    </w:lvl>
    <w:lvl w:ilvl="2" w:tplc="0410001B" w:tentative="1">
      <w:start w:val="1"/>
      <w:numFmt w:val="lowerRoman"/>
      <w:lvlText w:val="%3."/>
      <w:lvlJc w:val="right"/>
      <w:pPr>
        <w:ind w:left="2233" w:hanging="180"/>
      </w:pPr>
    </w:lvl>
    <w:lvl w:ilvl="3" w:tplc="0410000F" w:tentative="1">
      <w:start w:val="1"/>
      <w:numFmt w:val="decimal"/>
      <w:lvlText w:val="%4."/>
      <w:lvlJc w:val="left"/>
      <w:pPr>
        <w:ind w:left="2953" w:hanging="360"/>
      </w:pPr>
    </w:lvl>
    <w:lvl w:ilvl="4" w:tplc="04100019" w:tentative="1">
      <w:start w:val="1"/>
      <w:numFmt w:val="lowerLetter"/>
      <w:lvlText w:val="%5."/>
      <w:lvlJc w:val="left"/>
      <w:pPr>
        <w:ind w:left="3673" w:hanging="360"/>
      </w:pPr>
    </w:lvl>
    <w:lvl w:ilvl="5" w:tplc="0410001B" w:tentative="1">
      <w:start w:val="1"/>
      <w:numFmt w:val="lowerRoman"/>
      <w:lvlText w:val="%6."/>
      <w:lvlJc w:val="right"/>
      <w:pPr>
        <w:ind w:left="4393" w:hanging="180"/>
      </w:pPr>
    </w:lvl>
    <w:lvl w:ilvl="6" w:tplc="0410000F" w:tentative="1">
      <w:start w:val="1"/>
      <w:numFmt w:val="decimal"/>
      <w:lvlText w:val="%7."/>
      <w:lvlJc w:val="left"/>
      <w:pPr>
        <w:ind w:left="5113" w:hanging="360"/>
      </w:pPr>
    </w:lvl>
    <w:lvl w:ilvl="7" w:tplc="04100019" w:tentative="1">
      <w:start w:val="1"/>
      <w:numFmt w:val="lowerLetter"/>
      <w:lvlText w:val="%8."/>
      <w:lvlJc w:val="left"/>
      <w:pPr>
        <w:ind w:left="5833" w:hanging="360"/>
      </w:pPr>
    </w:lvl>
    <w:lvl w:ilvl="8" w:tplc="0410001B" w:tentative="1">
      <w:start w:val="1"/>
      <w:numFmt w:val="lowerRoman"/>
      <w:lvlText w:val="%9."/>
      <w:lvlJc w:val="right"/>
      <w:pPr>
        <w:ind w:left="6553" w:hanging="180"/>
      </w:pPr>
    </w:lvl>
  </w:abstractNum>
  <w:abstractNum w:abstractNumId="20" w15:restartNumberingAfterBreak="0">
    <w:nsid w:val="307A63DC"/>
    <w:multiLevelType w:val="hybridMultilevel"/>
    <w:tmpl w:val="BC84B9DC"/>
    <w:lvl w:ilvl="0" w:tplc="3086D0E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1" w15:restartNumberingAfterBreak="0">
    <w:nsid w:val="31293528"/>
    <w:multiLevelType w:val="hybridMultilevel"/>
    <w:tmpl w:val="B9CC5504"/>
    <w:lvl w:ilvl="0" w:tplc="DE3636CC">
      <w:start w:val="1"/>
      <w:numFmt w:val="lowerLetter"/>
      <w:lvlText w:val="%1)"/>
      <w:lvlJc w:val="left"/>
      <w:pPr>
        <w:ind w:left="1069" w:hanging="360"/>
      </w:pPr>
      <w:rPr>
        <w:rFonts w:hint="default"/>
        <w:i w:val="0"/>
      </w:rPr>
    </w:lvl>
    <w:lvl w:ilvl="1" w:tplc="04100019">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4880715"/>
    <w:multiLevelType w:val="multilevel"/>
    <w:tmpl w:val="DFC65E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9CE55D2"/>
    <w:multiLevelType w:val="multilevel"/>
    <w:tmpl w:val="0204B4D8"/>
    <w:lvl w:ilvl="0">
      <w:start w:val="14"/>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4" w15:restartNumberingAfterBreak="0">
    <w:nsid w:val="3AA63D13"/>
    <w:multiLevelType w:val="hybridMultilevel"/>
    <w:tmpl w:val="0E2ADE0A"/>
    <w:lvl w:ilvl="0" w:tplc="30A22B28">
      <w:start w:val="10"/>
      <w:numFmt w:val="bullet"/>
      <w:lvlText w:val="-"/>
      <w:lvlJc w:val="left"/>
      <w:pPr>
        <w:ind w:left="1069" w:hanging="360"/>
      </w:pPr>
      <w:rPr>
        <w:rFonts w:ascii="Garamond" w:eastAsiaTheme="minorHAnsi" w:hAnsi="Garamond"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15:restartNumberingAfterBreak="0">
    <w:nsid w:val="3B7C51E2"/>
    <w:multiLevelType w:val="hybridMultilevel"/>
    <w:tmpl w:val="13DC2990"/>
    <w:lvl w:ilvl="0" w:tplc="372E2FE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15:restartNumberingAfterBreak="0">
    <w:nsid w:val="3E5F76E9"/>
    <w:multiLevelType w:val="hybridMultilevel"/>
    <w:tmpl w:val="02945272"/>
    <w:lvl w:ilvl="0" w:tplc="463CEBF6">
      <w:start w:val="1"/>
      <w:numFmt w:val="lowerLetter"/>
      <w:lvlText w:val="%1)"/>
      <w:lvlJc w:val="left"/>
      <w:pPr>
        <w:ind w:left="744" w:hanging="38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F5B3601"/>
    <w:multiLevelType w:val="hybridMultilevel"/>
    <w:tmpl w:val="0284ECC0"/>
    <w:lvl w:ilvl="0" w:tplc="94CCC304">
      <w:start w:val="10"/>
      <w:numFmt w:val="bullet"/>
      <w:lvlText w:val="-"/>
      <w:lvlJc w:val="left"/>
      <w:pPr>
        <w:ind w:left="1069" w:hanging="360"/>
      </w:pPr>
      <w:rPr>
        <w:rFonts w:ascii="Garamond" w:eastAsiaTheme="minorHAnsi" w:hAnsi="Garamond"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8" w15:restartNumberingAfterBreak="0">
    <w:nsid w:val="3F794CB3"/>
    <w:multiLevelType w:val="hybridMultilevel"/>
    <w:tmpl w:val="811CA7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3E434CC"/>
    <w:multiLevelType w:val="hybridMultilevel"/>
    <w:tmpl w:val="76E6FA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F66B3A"/>
    <w:multiLevelType w:val="hybridMultilevel"/>
    <w:tmpl w:val="98B84D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A931F74"/>
    <w:multiLevelType w:val="hybridMultilevel"/>
    <w:tmpl w:val="C0400BF6"/>
    <w:lvl w:ilvl="0" w:tplc="5E02E250">
      <w:start w:val="3"/>
      <w:numFmt w:val="bullet"/>
      <w:lvlText w:val="-"/>
      <w:lvlJc w:val="left"/>
      <w:pPr>
        <w:ind w:left="1069" w:hanging="360"/>
      </w:pPr>
      <w:rPr>
        <w:rFonts w:ascii="Garamond" w:eastAsiaTheme="minorHAnsi" w:hAnsi="Garamond"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2" w15:restartNumberingAfterBreak="0">
    <w:nsid w:val="4B1E0CD4"/>
    <w:multiLevelType w:val="hybridMultilevel"/>
    <w:tmpl w:val="AEE88B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BCB6C3D"/>
    <w:multiLevelType w:val="hybridMultilevel"/>
    <w:tmpl w:val="7E5641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D2C62F7"/>
    <w:multiLevelType w:val="hybridMultilevel"/>
    <w:tmpl w:val="F1E21694"/>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15:restartNumberingAfterBreak="0">
    <w:nsid w:val="515D2FBD"/>
    <w:multiLevelType w:val="hybridMultilevel"/>
    <w:tmpl w:val="3676C24E"/>
    <w:lvl w:ilvl="0" w:tplc="463CEBF6">
      <w:start w:val="1"/>
      <w:numFmt w:val="lowerLetter"/>
      <w:lvlText w:val="%1)"/>
      <w:lvlJc w:val="left"/>
      <w:pPr>
        <w:ind w:left="744" w:hanging="38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6C1048"/>
    <w:multiLevelType w:val="hybridMultilevel"/>
    <w:tmpl w:val="686457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CF15BD0"/>
    <w:multiLevelType w:val="hybridMultilevel"/>
    <w:tmpl w:val="8D7E92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E2578A"/>
    <w:multiLevelType w:val="hybridMultilevel"/>
    <w:tmpl w:val="D96EE3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EE96B07"/>
    <w:multiLevelType w:val="hybridMultilevel"/>
    <w:tmpl w:val="6A90762C"/>
    <w:lvl w:ilvl="0" w:tplc="DBA28690">
      <w:start w:val="1"/>
      <w:numFmt w:val="lowerLetter"/>
      <w:lvlText w:val="%1)"/>
      <w:lvlJc w:val="left"/>
      <w:pPr>
        <w:ind w:left="1069" w:hanging="360"/>
      </w:pPr>
      <w:rPr>
        <w:rFonts w:ascii="Garamond" w:eastAsiaTheme="minorHAnsi" w:hAnsi="Garamond" w:cs="Times New Roman"/>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0" w15:restartNumberingAfterBreak="0">
    <w:nsid w:val="5F0B7AEF"/>
    <w:multiLevelType w:val="multilevel"/>
    <w:tmpl w:val="686457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64072350"/>
    <w:multiLevelType w:val="hybridMultilevel"/>
    <w:tmpl w:val="0722F5D6"/>
    <w:lvl w:ilvl="0" w:tplc="F1D66012">
      <w:start w:val="1"/>
      <w:numFmt w:val="decimal"/>
      <w:lvlText w:val="%1."/>
      <w:lvlJc w:val="left"/>
      <w:pPr>
        <w:ind w:left="1429" w:hanging="360"/>
      </w:pPr>
      <w:rPr>
        <w:rFonts w:hint="default"/>
      </w:r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2" w15:restartNumberingAfterBreak="0">
    <w:nsid w:val="66796F45"/>
    <w:multiLevelType w:val="hybridMultilevel"/>
    <w:tmpl w:val="12C8F2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72122FC"/>
    <w:multiLevelType w:val="multilevel"/>
    <w:tmpl w:val="D960B5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683176DA"/>
    <w:multiLevelType w:val="hybridMultilevel"/>
    <w:tmpl w:val="960E3C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FBB19D1"/>
    <w:multiLevelType w:val="hybridMultilevel"/>
    <w:tmpl w:val="4D0E61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45111D1"/>
    <w:multiLevelType w:val="hybridMultilevel"/>
    <w:tmpl w:val="8DA43036"/>
    <w:lvl w:ilvl="0" w:tplc="AC06F18E">
      <w:start w:val="15"/>
      <w:numFmt w:val="bullet"/>
      <w:lvlText w:val="-"/>
      <w:lvlJc w:val="left"/>
      <w:pPr>
        <w:ind w:left="1069" w:hanging="360"/>
      </w:pPr>
      <w:rPr>
        <w:rFonts w:ascii="Garamond" w:eastAsiaTheme="minorHAnsi" w:hAnsi="Garamond"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7" w15:restartNumberingAfterBreak="0">
    <w:nsid w:val="78E07E0E"/>
    <w:multiLevelType w:val="hybridMultilevel"/>
    <w:tmpl w:val="6818DB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FCF0C0D"/>
    <w:multiLevelType w:val="hybridMultilevel"/>
    <w:tmpl w:val="DFC65E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1"/>
  </w:num>
  <w:num w:numId="2">
    <w:abstractNumId w:val="23"/>
  </w:num>
  <w:num w:numId="3">
    <w:abstractNumId w:val="25"/>
  </w:num>
  <w:num w:numId="4">
    <w:abstractNumId w:val="46"/>
  </w:num>
  <w:num w:numId="5">
    <w:abstractNumId w:val="27"/>
  </w:num>
  <w:num w:numId="6">
    <w:abstractNumId w:val="17"/>
  </w:num>
  <w:num w:numId="7">
    <w:abstractNumId w:val="24"/>
  </w:num>
  <w:num w:numId="8">
    <w:abstractNumId w:val="15"/>
  </w:num>
  <w:num w:numId="9">
    <w:abstractNumId w:val="1"/>
  </w:num>
  <w:num w:numId="10">
    <w:abstractNumId w:val="13"/>
  </w:num>
  <w:num w:numId="11">
    <w:abstractNumId w:val="31"/>
  </w:num>
  <w:num w:numId="12">
    <w:abstractNumId w:val="6"/>
  </w:num>
  <w:num w:numId="13">
    <w:abstractNumId w:val="20"/>
  </w:num>
  <w:num w:numId="14">
    <w:abstractNumId w:val="21"/>
  </w:num>
  <w:num w:numId="15">
    <w:abstractNumId w:val="34"/>
  </w:num>
  <w:num w:numId="16">
    <w:abstractNumId w:val="10"/>
  </w:num>
  <w:num w:numId="17">
    <w:abstractNumId w:val="39"/>
  </w:num>
  <w:num w:numId="18">
    <w:abstractNumId w:val="42"/>
  </w:num>
  <w:num w:numId="19">
    <w:abstractNumId w:val="16"/>
  </w:num>
  <w:num w:numId="20">
    <w:abstractNumId w:val="47"/>
  </w:num>
  <w:num w:numId="21">
    <w:abstractNumId w:val="28"/>
  </w:num>
  <w:num w:numId="22">
    <w:abstractNumId w:val="9"/>
  </w:num>
  <w:num w:numId="23">
    <w:abstractNumId w:val="19"/>
  </w:num>
  <w:num w:numId="24">
    <w:abstractNumId w:val="7"/>
  </w:num>
  <w:num w:numId="25">
    <w:abstractNumId w:val="3"/>
  </w:num>
  <w:num w:numId="26">
    <w:abstractNumId w:val="18"/>
  </w:num>
  <w:num w:numId="27">
    <w:abstractNumId w:val="11"/>
  </w:num>
  <w:num w:numId="28">
    <w:abstractNumId w:val="38"/>
  </w:num>
  <w:num w:numId="29">
    <w:abstractNumId w:val="0"/>
  </w:num>
  <w:num w:numId="30">
    <w:abstractNumId w:val="2"/>
  </w:num>
  <w:num w:numId="31">
    <w:abstractNumId w:val="12"/>
  </w:num>
  <w:num w:numId="32">
    <w:abstractNumId w:val="37"/>
  </w:num>
  <w:num w:numId="33">
    <w:abstractNumId w:val="36"/>
  </w:num>
  <w:num w:numId="34">
    <w:abstractNumId w:val="40"/>
  </w:num>
  <w:num w:numId="35">
    <w:abstractNumId w:val="4"/>
  </w:num>
  <w:num w:numId="36">
    <w:abstractNumId w:val="43"/>
  </w:num>
  <w:num w:numId="37">
    <w:abstractNumId w:val="8"/>
  </w:num>
  <w:num w:numId="38">
    <w:abstractNumId w:val="48"/>
  </w:num>
  <w:num w:numId="39">
    <w:abstractNumId w:val="22"/>
  </w:num>
  <w:num w:numId="40">
    <w:abstractNumId w:val="14"/>
  </w:num>
  <w:num w:numId="41">
    <w:abstractNumId w:val="44"/>
  </w:num>
  <w:num w:numId="42">
    <w:abstractNumId w:val="32"/>
  </w:num>
  <w:num w:numId="43">
    <w:abstractNumId w:val="26"/>
  </w:num>
  <w:num w:numId="44">
    <w:abstractNumId w:val="35"/>
  </w:num>
  <w:num w:numId="45">
    <w:abstractNumId w:val="45"/>
  </w:num>
  <w:num w:numId="46">
    <w:abstractNumId w:val="29"/>
  </w:num>
  <w:num w:numId="47">
    <w:abstractNumId w:val="30"/>
  </w:num>
  <w:num w:numId="48">
    <w:abstractNumId w:val="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20"/>
    <w:rsid w:val="0016700A"/>
    <w:rsid w:val="007B4920"/>
    <w:rsid w:val="00C65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3D9C4-5C1E-4116-9853-8E0FF56A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492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4920"/>
    <w:pPr>
      <w:ind w:left="720"/>
      <w:contextualSpacing/>
    </w:pPr>
  </w:style>
  <w:style w:type="character" w:styleId="Collegamentoipertestuale">
    <w:name w:val="Hyperlink"/>
    <w:basedOn w:val="Carpredefinitoparagrafo"/>
    <w:uiPriority w:val="99"/>
    <w:unhideWhenUsed/>
    <w:rsid w:val="007B4920"/>
    <w:rPr>
      <w:color w:val="0563C1" w:themeColor="hyperlink"/>
      <w:u w:val="single"/>
    </w:rPr>
  </w:style>
  <w:style w:type="paragraph" w:styleId="Intestazione">
    <w:name w:val="header"/>
    <w:basedOn w:val="Normale"/>
    <w:link w:val="IntestazioneCarattere"/>
    <w:uiPriority w:val="99"/>
    <w:unhideWhenUsed/>
    <w:rsid w:val="007B49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4920"/>
  </w:style>
  <w:style w:type="paragraph" w:styleId="Pidipagina">
    <w:name w:val="footer"/>
    <w:basedOn w:val="Normale"/>
    <w:link w:val="PidipaginaCarattere"/>
    <w:uiPriority w:val="99"/>
    <w:unhideWhenUsed/>
    <w:rsid w:val="007B49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4920"/>
  </w:style>
  <w:style w:type="paragraph" w:customStyle="1" w:styleId="Default">
    <w:name w:val="Default"/>
    <w:uiPriority w:val="99"/>
    <w:rsid w:val="007B4920"/>
    <w:pPr>
      <w:autoSpaceDE w:val="0"/>
      <w:autoSpaceDN w:val="0"/>
      <w:adjustRightInd w:val="0"/>
      <w:spacing w:after="0" w:line="240" w:lineRule="auto"/>
    </w:pPr>
    <w:rPr>
      <w:rFonts w:ascii="Garamond" w:hAnsi="Garamond" w:cs="Garamond"/>
      <w:color w:val="000000"/>
      <w:sz w:val="24"/>
      <w:szCs w:val="24"/>
    </w:rPr>
  </w:style>
  <w:style w:type="character" w:styleId="Rimandocommento">
    <w:name w:val="annotation reference"/>
    <w:basedOn w:val="Carpredefinitoparagrafo"/>
    <w:uiPriority w:val="99"/>
    <w:semiHidden/>
    <w:unhideWhenUsed/>
    <w:rsid w:val="007B4920"/>
    <w:rPr>
      <w:sz w:val="16"/>
      <w:szCs w:val="16"/>
    </w:rPr>
  </w:style>
  <w:style w:type="paragraph" w:styleId="Testocommento">
    <w:name w:val="annotation text"/>
    <w:basedOn w:val="Normale"/>
    <w:link w:val="TestocommentoCarattere"/>
    <w:uiPriority w:val="99"/>
    <w:semiHidden/>
    <w:unhideWhenUsed/>
    <w:rsid w:val="007B492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B4920"/>
    <w:rPr>
      <w:sz w:val="20"/>
      <w:szCs w:val="20"/>
    </w:rPr>
  </w:style>
  <w:style w:type="paragraph" w:styleId="Soggettocommento">
    <w:name w:val="annotation subject"/>
    <w:basedOn w:val="Testocommento"/>
    <w:next w:val="Testocommento"/>
    <w:link w:val="SoggettocommentoCarattere"/>
    <w:uiPriority w:val="99"/>
    <w:semiHidden/>
    <w:unhideWhenUsed/>
    <w:rsid w:val="007B4920"/>
    <w:rPr>
      <w:b/>
      <w:bCs/>
    </w:rPr>
  </w:style>
  <w:style w:type="character" w:customStyle="1" w:styleId="SoggettocommentoCarattere">
    <w:name w:val="Soggetto commento Carattere"/>
    <w:basedOn w:val="TestocommentoCarattere"/>
    <w:link w:val="Soggettocommento"/>
    <w:uiPriority w:val="99"/>
    <w:semiHidden/>
    <w:rsid w:val="007B4920"/>
    <w:rPr>
      <w:b/>
      <w:bCs/>
      <w:sz w:val="20"/>
      <w:szCs w:val="20"/>
    </w:rPr>
  </w:style>
  <w:style w:type="paragraph" w:styleId="Testofumetto">
    <w:name w:val="Balloon Text"/>
    <w:basedOn w:val="Normale"/>
    <w:link w:val="TestofumettoCarattere"/>
    <w:uiPriority w:val="99"/>
    <w:semiHidden/>
    <w:unhideWhenUsed/>
    <w:rsid w:val="007B492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4920"/>
    <w:rPr>
      <w:rFonts w:ascii="Segoe UI" w:hAnsi="Segoe UI" w:cs="Segoe UI"/>
      <w:sz w:val="18"/>
      <w:szCs w:val="18"/>
    </w:rPr>
  </w:style>
  <w:style w:type="paragraph" w:customStyle="1" w:styleId="xmsonormal">
    <w:name w:val="x_msonormal"/>
    <w:basedOn w:val="Normale"/>
    <w:uiPriority w:val="99"/>
    <w:rsid w:val="007B4920"/>
    <w:pPr>
      <w:spacing w:before="100" w:beforeAutospacing="1" w:after="100" w:afterAutospacing="1"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A0C1F.D9856B1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A0C1F.D9856B1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71</Pages>
  <Words>37143</Words>
  <Characters>211721</Characters>
  <Application>Microsoft Office Word</Application>
  <DocSecurity>0</DocSecurity>
  <Lines>1764</Lines>
  <Paragraphs>496</Paragraphs>
  <ScaleCrop>false</ScaleCrop>
  <Company/>
  <LinksUpToDate>false</LinksUpToDate>
  <CharactersWithSpaces>248368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 Vito</dc:creator>
  <cp:keywords/>
  <dc:description/>
  <cp:lastModifiedBy>POLI Vito</cp:lastModifiedBy>
  <cp:revision>1</cp:revision>
  <dcterms:created xsi:type="dcterms:W3CDTF">2023-11-21T17:22:00Z</dcterms:created>
  <dcterms:modified xsi:type="dcterms:W3CDTF">2023-11-21T17:26:00Z</dcterms:modified>
</cp:coreProperties>
</file>