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8F" w:rsidRPr="00EF1E8F" w:rsidRDefault="009E3A94" w:rsidP="00EF1E8F">
      <w:pPr>
        <w:jc w:val="both"/>
        <w:rPr>
          <w:rFonts w:ascii="Times New Roman" w:hAnsi="Times New Roman" w:cs="Times New Roman"/>
          <w:sz w:val="32"/>
          <w:szCs w:val="32"/>
        </w:rPr>
      </w:pPr>
      <w:bookmarkStart w:id="0" w:name="_GoBack"/>
      <w:bookmarkEnd w:id="0"/>
      <w:r w:rsidRPr="009E3A94">
        <w:rPr>
          <w:rFonts w:ascii="Times New Roman" w:hAnsi="Times New Roman" w:cs="Times New Roman"/>
          <w:b/>
          <w:sz w:val="32"/>
          <w:szCs w:val="32"/>
        </w:rPr>
        <w:t>“Verso un diritto comune” – Incontro di studio, in occasione della presentazione del libro di Giampiero Paolo Cirillo</w:t>
      </w:r>
      <w:r>
        <w:rPr>
          <w:rFonts w:ascii="Times New Roman" w:hAnsi="Times New Roman" w:cs="Times New Roman"/>
          <w:sz w:val="32"/>
          <w:szCs w:val="32"/>
        </w:rPr>
        <w:t xml:space="preserve"> (Palazzo Spada, 25 febbraio 2019)</w:t>
      </w:r>
    </w:p>
    <w:p w:rsidR="00EF1E8F" w:rsidRPr="00EF1E8F" w:rsidRDefault="00B17D03" w:rsidP="00EF1E8F">
      <w:pPr>
        <w:jc w:val="both"/>
        <w:rPr>
          <w:rFonts w:ascii="Times New Roman" w:hAnsi="Times New Roman" w:cs="Times New Roman"/>
          <w:sz w:val="32"/>
          <w:szCs w:val="32"/>
        </w:rPr>
      </w:pPr>
      <w:r w:rsidRPr="00B17D03">
        <w:rPr>
          <w:rFonts w:ascii="Times New Roman" w:hAnsi="Times New Roman" w:cs="Times New Roman"/>
          <w:i/>
          <w:sz w:val="32"/>
          <w:szCs w:val="32"/>
        </w:rPr>
        <w:t>Premessa</w:t>
      </w:r>
      <w:r>
        <w:rPr>
          <w:rFonts w:ascii="Times New Roman" w:hAnsi="Times New Roman" w:cs="Times New Roman"/>
          <w:sz w:val="32"/>
          <w:szCs w:val="32"/>
        </w:rPr>
        <w:t xml:space="preserve"> - </w:t>
      </w:r>
      <w:r w:rsidR="00EF1E8F" w:rsidRPr="00884A2C">
        <w:rPr>
          <w:rFonts w:ascii="Times New Roman" w:hAnsi="Times New Roman" w:cs="Times New Roman"/>
          <w:sz w:val="32"/>
          <w:szCs w:val="32"/>
        </w:rPr>
        <w:t>Diritto privato e diritto pubblico, diritto civile e diritto amministrativo vanno convergendo verso un “nuovo” diritto comune? Il tema che pervade l’incontro di oggi è tra i classici della letteratura giuridica, e non da oggi. Già Gianturco e Barassi, in tempi diversi, si ponevano</w:t>
      </w:r>
      <w:r w:rsidRPr="00884A2C">
        <w:rPr>
          <w:rFonts w:ascii="Times New Roman" w:hAnsi="Times New Roman" w:cs="Times New Roman"/>
          <w:sz w:val="32"/>
          <w:szCs w:val="32"/>
        </w:rPr>
        <w:t xml:space="preserve">, nelle loro </w:t>
      </w:r>
      <w:r w:rsidRPr="00884A2C">
        <w:rPr>
          <w:rFonts w:ascii="Times New Roman" w:hAnsi="Times New Roman" w:cs="Times New Roman"/>
          <w:i/>
          <w:sz w:val="32"/>
          <w:szCs w:val="32"/>
        </w:rPr>
        <w:t>Istituzioni</w:t>
      </w:r>
      <w:r w:rsidRPr="00884A2C">
        <w:rPr>
          <w:rFonts w:ascii="Times New Roman" w:hAnsi="Times New Roman" w:cs="Times New Roman"/>
          <w:sz w:val="32"/>
          <w:szCs w:val="32"/>
        </w:rPr>
        <w:t>,</w:t>
      </w:r>
      <w:r w:rsidR="00EF1E8F" w:rsidRPr="00884A2C">
        <w:rPr>
          <w:rFonts w:ascii="Times New Roman" w:hAnsi="Times New Roman" w:cs="Times New Roman"/>
          <w:sz w:val="32"/>
          <w:szCs w:val="32"/>
        </w:rPr>
        <w:t xml:space="preserve"> la centralità della questione, in termini in primo luogo di distinzione c</w:t>
      </w:r>
      <w:r w:rsidRPr="00884A2C">
        <w:rPr>
          <w:rFonts w:ascii="Times New Roman" w:hAnsi="Times New Roman" w:cs="Times New Roman"/>
          <w:sz w:val="32"/>
          <w:szCs w:val="32"/>
        </w:rPr>
        <w:t>oncettuale e poi positi</w:t>
      </w:r>
      <w:r w:rsidR="00EF1E8F" w:rsidRPr="00884A2C">
        <w:rPr>
          <w:rFonts w:ascii="Times New Roman" w:hAnsi="Times New Roman" w:cs="Times New Roman"/>
          <w:sz w:val="32"/>
          <w:szCs w:val="32"/>
        </w:rPr>
        <w:t>va. Le teorie elaborate al riguardo sono state molte e i criteri utilizzati dei più svariati. Ma l’atteggiamento è sempre stato quello</w:t>
      </w:r>
      <w:r w:rsidRPr="00884A2C">
        <w:rPr>
          <w:rFonts w:ascii="Times New Roman" w:hAnsi="Times New Roman" w:cs="Times New Roman"/>
          <w:sz w:val="32"/>
          <w:szCs w:val="32"/>
        </w:rPr>
        <w:t xml:space="preserve"> di porre una netta demarcazion</w:t>
      </w:r>
      <w:r w:rsidR="00EF1E8F" w:rsidRPr="00884A2C">
        <w:rPr>
          <w:rFonts w:ascii="Times New Roman" w:hAnsi="Times New Roman" w:cs="Times New Roman"/>
          <w:sz w:val="32"/>
          <w:szCs w:val="32"/>
        </w:rPr>
        <w:t>e tra le due branche del diritto</w:t>
      </w:r>
      <w:r w:rsidR="00C65551" w:rsidRPr="00884A2C">
        <w:rPr>
          <w:rFonts w:ascii="Times New Roman" w:hAnsi="Times New Roman" w:cs="Times New Roman"/>
          <w:sz w:val="32"/>
          <w:szCs w:val="32"/>
        </w:rPr>
        <w:t xml:space="preserve">. Bisogna però riconoscere che </w:t>
      </w:r>
      <w:r w:rsidR="00EF1E8F" w:rsidRPr="00884A2C">
        <w:rPr>
          <w:rFonts w:ascii="Times New Roman" w:hAnsi="Times New Roman" w:cs="Times New Roman"/>
          <w:sz w:val="32"/>
          <w:szCs w:val="32"/>
        </w:rPr>
        <w:t>la netta demarcazione iniziale si è andata progressivamente attenuando</w:t>
      </w:r>
      <w:r w:rsidRPr="00884A2C">
        <w:rPr>
          <w:rFonts w:ascii="Times New Roman" w:hAnsi="Times New Roman" w:cs="Times New Roman"/>
          <w:sz w:val="32"/>
          <w:szCs w:val="32"/>
        </w:rPr>
        <w:t xml:space="preserve"> alla luce, non solo delle moderne elaborazioni della scienza giuridica, sempre più sospettosa rispetto a classificazioni di ispirazione dogmatica che sembravano perdere di vista l’utilità pratica di modelli positivi e concettuali flessibili e disposti a un ibridis</w:t>
      </w:r>
      <w:r>
        <w:rPr>
          <w:rFonts w:ascii="Times New Roman" w:hAnsi="Times New Roman" w:cs="Times New Roman"/>
          <w:sz w:val="32"/>
          <w:szCs w:val="32"/>
        </w:rPr>
        <w:t>mo utile al soddisfacimento dell’interesse, di un privato o di un soggetto pubblico o di una collettività di persone, che fosse stato giuridicizzato dal legislatore. Ma esiste una differenza ontologica tra le due branche del diritto? La difficoltà di individuare tale differenza, o la controvertibilità delle soluzioni adottate, hanno indotto un illustre amministrativista, pur attento a una ricorstruzione in termini omogenei degli istituti e delle categorie di diritto amministrativo e diritto privato – Giovanni Miele- ad adottare una nozione meramente formale –e, aggiungerei, storicamente determinata- secondo cui le norme di diritto pubblico attengono a rapporti di cui necessariamente sia parte lo Stato o altro ente pubblico, mentre il diritto privato inerisce a situazioni e rapporti in cui tale partecipazione è solo eventuale.</w:t>
      </w:r>
    </w:p>
    <w:p w:rsidR="00EF1E8F" w:rsidRPr="00EF1E8F" w:rsidRDefault="00EF1E8F" w:rsidP="00EF1E8F">
      <w:pPr>
        <w:jc w:val="both"/>
        <w:rPr>
          <w:rFonts w:ascii="Times New Roman" w:hAnsi="Times New Roman" w:cs="Times New Roman"/>
          <w:sz w:val="32"/>
          <w:szCs w:val="32"/>
        </w:rPr>
      </w:pPr>
      <w:r w:rsidRPr="00275AC4">
        <w:rPr>
          <w:rFonts w:ascii="Times New Roman" w:hAnsi="Times New Roman" w:cs="Times New Roman"/>
          <w:i/>
          <w:sz w:val="32"/>
          <w:szCs w:val="32"/>
        </w:rPr>
        <w:t>1</w:t>
      </w:r>
      <w:r w:rsidRPr="00EF1E8F">
        <w:rPr>
          <w:rFonts w:ascii="Times New Roman" w:hAnsi="Times New Roman" w:cs="Times New Roman"/>
          <w:sz w:val="32"/>
          <w:szCs w:val="32"/>
        </w:rPr>
        <w:t xml:space="preserve">-L’incontro di oggi ha la particolarità di essere non un convegno in cui si presenta anche un libro, ma un libro che, proponendo un tema di grande attualità -ossia il rapporto tra il diritto amministrativo e il diritto civile alla luce dell’evoluzione legislativa, giurisprudenziale e scientifica- può aspirare a </w:t>
      </w:r>
      <w:r w:rsidR="00B17D03">
        <w:rPr>
          <w:rFonts w:ascii="Times New Roman" w:hAnsi="Times New Roman" w:cs="Times New Roman"/>
          <w:sz w:val="32"/>
          <w:szCs w:val="32"/>
        </w:rPr>
        <w:t>giustificare un seminario</w:t>
      </w:r>
      <w:r w:rsidRPr="00EF1E8F">
        <w:rPr>
          <w:rFonts w:ascii="Times New Roman" w:hAnsi="Times New Roman" w:cs="Times New Roman"/>
          <w:sz w:val="32"/>
          <w:szCs w:val="32"/>
        </w:rPr>
        <w:t>, dove sono chiamati a confrontarsi civilisti e amministrativisti, tra i più autorevoli.</w:t>
      </w:r>
    </w:p>
    <w:p w:rsidR="00275AC4"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lastRenderedPageBreak/>
        <w:t>L’intitolazione immaginata, “Verso un nuovo diritto comune”, pur evocando l’esperienza giuridica del</w:t>
      </w:r>
      <w:r w:rsidRPr="00EF1E8F">
        <w:rPr>
          <w:rFonts w:ascii="Times New Roman" w:hAnsi="Times New Roman" w:cs="Times New Roman"/>
          <w:i/>
          <w:iCs/>
          <w:sz w:val="32"/>
          <w:szCs w:val="32"/>
        </w:rPr>
        <w:t xml:space="preserve"> ius commune</w:t>
      </w:r>
      <w:r w:rsidRPr="00EF1E8F">
        <w:rPr>
          <w:rFonts w:ascii="Times New Roman" w:hAnsi="Times New Roman" w:cs="Times New Roman"/>
          <w:sz w:val="32"/>
          <w:szCs w:val="32"/>
        </w:rPr>
        <w:t xml:space="preserve"> che si estese tra il XII e il XVI secolo e che è anche conosciuta come l’età della ricezione del diritto romano per distinguerlo dagli altri sistemi giuridici speciali e locali, non vuole certo riproporre un nostalgico ritorno al passato. Tuttavia la crisi delle sovranità nazionali e la persistente penetrazione del diritto </w:t>
      </w:r>
      <w:r w:rsidR="00275AC4">
        <w:rPr>
          <w:rFonts w:ascii="Times New Roman" w:hAnsi="Times New Roman" w:cs="Times New Roman"/>
          <w:sz w:val="32"/>
          <w:szCs w:val="32"/>
        </w:rPr>
        <w:t>europeo e</w:t>
      </w:r>
      <w:r w:rsidRPr="00EF1E8F">
        <w:rPr>
          <w:rFonts w:ascii="Times New Roman" w:hAnsi="Times New Roman" w:cs="Times New Roman"/>
          <w:sz w:val="32"/>
          <w:szCs w:val="32"/>
        </w:rPr>
        <w:t xml:space="preserve"> </w:t>
      </w:r>
      <w:r w:rsidR="00275AC4">
        <w:rPr>
          <w:rFonts w:ascii="Times New Roman" w:hAnsi="Times New Roman" w:cs="Times New Roman"/>
          <w:sz w:val="32"/>
          <w:szCs w:val="32"/>
        </w:rPr>
        <w:t>mondiale</w:t>
      </w:r>
      <w:r w:rsidRPr="00EF1E8F">
        <w:rPr>
          <w:rFonts w:ascii="Times New Roman" w:hAnsi="Times New Roman" w:cs="Times New Roman"/>
          <w:sz w:val="32"/>
          <w:szCs w:val="32"/>
        </w:rPr>
        <w:t xml:space="preserve"> negli</w:t>
      </w:r>
      <w:r w:rsidR="00275AC4">
        <w:rPr>
          <w:rFonts w:ascii="Times New Roman" w:hAnsi="Times New Roman" w:cs="Times New Roman"/>
          <w:sz w:val="32"/>
          <w:szCs w:val="32"/>
        </w:rPr>
        <w:t xml:space="preserve"> ordinamenti locali moderni pongono</w:t>
      </w:r>
      <w:r w:rsidRPr="00EF1E8F">
        <w:rPr>
          <w:rFonts w:ascii="Times New Roman" w:hAnsi="Times New Roman" w:cs="Times New Roman"/>
          <w:sz w:val="32"/>
          <w:szCs w:val="32"/>
        </w:rPr>
        <w:t xml:space="preserve"> taluni dei problemi che si posero allora, ossia come </w:t>
      </w:r>
      <w:r w:rsidR="00C65551">
        <w:rPr>
          <w:rFonts w:ascii="Times New Roman" w:hAnsi="Times New Roman" w:cs="Times New Roman"/>
          <w:sz w:val="32"/>
          <w:szCs w:val="32"/>
        </w:rPr>
        <w:t xml:space="preserve">creare </w:t>
      </w:r>
      <w:r w:rsidRPr="00EF1E8F">
        <w:rPr>
          <w:rFonts w:ascii="Times New Roman" w:hAnsi="Times New Roman" w:cs="Times New Roman"/>
          <w:sz w:val="32"/>
          <w:szCs w:val="32"/>
        </w:rPr>
        <w:t xml:space="preserve">sistemi giuridici capaci di </w:t>
      </w:r>
      <w:r w:rsidR="00275AC4">
        <w:rPr>
          <w:rFonts w:ascii="Times New Roman" w:hAnsi="Times New Roman" w:cs="Times New Roman"/>
          <w:sz w:val="32"/>
          <w:szCs w:val="32"/>
        </w:rPr>
        <w:t>regolamentare</w:t>
      </w:r>
      <w:r w:rsidRPr="00EF1E8F">
        <w:rPr>
          <w:rFonts w:ascii="Times New Roman" w:hAnsi="Times New Roman" w:cs="Times New Roman"/>
          <w:sz w:val="32"/>
          <w:szCs w:val="32"/>
        </w:rPr>
        <w:t xml:space="preserve"> la vita delle persone, l’economia e i traffici commerciali tra i luoghi più lontani del mondo</w:t>
      </w:r>
      <w:r w:rsidR="00275AC4">
        <w:rPr>
          <w:rFonts w:ascii="Times New Roman" w:hAnsi="Times New Roman" w:cs="Times New Roman"/>
          <w:sz w:val="32"/>
          <w:szCs w:val="32"/>
        </w:rPr>
        <w:t xml:space="preserve">. Proprio tale esigenza sovranazionale di regolazione di fenomeni che si pongono in via di fatto nella società evidenzia un carattere distintivo di tale diritto comune </w:t>
      </w:r>
      <w:r w:rsidR="00C65551">
        <w:rPr>
          <w:rFonts w:ascii="Times New Roman" w:hAnsi="Times New Roman" w:cs="Times New Roman"/>
          <w:sz w:val="32"/>
          <w:szCs w:val="32"/>
        </w:rPr>
        <w:t xml:space="preserve">rispetto a </w:t>
      </w:r>
      <w:r w:rsidR="00275AC4">
        <w:rPr>
          <w:rFonts w:ascii="Times New Roman" w:hAnsi="Times New Roman" w:cs="Times New Roman"/>
          <w:sz w:val="32"/>
          <w:szCs w:val="32"/>
        </w:rPr>
        <w:t>quello medievale</w:t>
      </w:r>
      <w:r w:rsidR="00C65551">
        <w:rPr>
          <w:rFonts w:ascii="Times New Roman" w:hAnsi="Times New Roman" w:cs="Times New Roman"/>
          <w:sz w:val="32"/>
          <w:szCs w:val="32"/>
        </w:rPr>
        <w:t>:</w:t>
      </w:r>
      <w:r w:rsidR="00275AC4">
        <w:rPr>
          <w:rFonts w:ascii="Times New Roman" w:hAnsi="Times New Roman" w:cs="Times New Roman"/>
          <w:sz w:val="32"/>
          <w:szCs w:val="32"/>
        </w:rPr>
        <w:t xml:space="preserve"> quest’ultimo più marcatamente “politico”, quello attuale fortemente incentrato sui modelli organizzativi e le tecniche di tutela.</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2-In realtà il rapporto tra le due branche del diritto costituisce un capitolo classico della letteratura giuridica. Nel diritto amministrativo classico i capisaldi, su cui è costruita la specificità del diritto amministrativo, sono: a) un’amministrazione separata dagli altri poteri; b) una materia disciplinata da norme proprie; c) un sistema giuridico organico ispirato a criteri e principi unitari.</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Inoltre i principi, che costituiscono abitualmente il tessuto normativo in cui si muove il diritto amministrativo, che differenzierebbero il diritto amministrativo dal diritto privato sono: la rilevanza dell’attività e delle norme organizzative sulle situazioni giuridiche soggettive incise; la legalità dei fini e dei mezzi; il controllo della discrezionalità; l’effetto invalidante di ogni violazione di legge; il carattere generale della tutela costitutiva; l’ampiezza degli interessi tutelati.</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Nel diritto civile, viceversa, la presenza di un codice, ossia la presenza stabile di norme scritte sedimentate nel tempo, ha consentito il formarsi di una tradizione interpretativa fortemente legata alla lettera della legge, cui è seguita un’opera secolare di elaborazione concettuale e la formazione di solide categorie giuridiche.</w:t>
      </w:r>
    </w:p>
    <w:p w:rsidR="00A03179" w:rsidRDefault="002177F4" w:rsidP="002177F4">
      <w:pPr>
        <w:jc w:val="both"/>
        <w:rPr>
          <w:rFonts w:ascii="Times New Roman" w:hAnsi="Times New Roman" w:cs="Times New Roman"/>
          <w:sz w:val="32"/>
          <w:szCs w:val="32"/>
        </w:rPr>
      </w:pPr>
      <w:r>
        <w:rPr>
          <w:rFonts w:ascii="Times New Roman" w:hAnsi="Times New Roman" w:cs="Times New Roman"/>
          <w:sz w:val="32"/>
          <w:szCs w:val="32"/>
        </w:rPr>
        <w:t>Attraverso una analisi dettagliata di t</w:t>
      </w:r>
      <w:r w:rsidR="00EF1E8F" w:rsidRPr="00EF1E8F">
        <w:rPr>
          <w:rFonts w:ascii="Times New Roman" w:hAnsi="Times New Roman" w:cs="Times New Roman"/>
          <w:sz w:val="32"/>
          <w:szCs w:val="32"/>
        </w:rPr>
        <w:t>ali principi</w:t>
      </w:r>
      <w:r>
        <w:rPr>
          <w:rFonts w:ascii="Times New Roman" w:hAnsi="Times New Roman" w:cs="Times New Roman"/>
          <w:sz w:val="32"/>
          <w:szCs w:val="32"/>
        </w:rPr>
        <w:t>,</w:t>
      </w:r>
      <w:r w:rsidR="00EF1E8F" w:rsidRPr="00EF1E8F">
        <w:rPr>
          <w:rFonts w:ascii="Times New Roman" w:hAnsi="Times New Roman" w:cs="Times New Roman"/>
          <w:sz w:val="32"/>
          <w:szCs w:val="32"/>
        </w:rPr>
        <w:t xml:space="preserve"> </w:t>
      </w:r>
      <w:r>
        <w:rPr>
          <w:rFonts w:ascii="Times New Roman" w:hAnsi="Times New Roman" w:cs="Times New Roman"/>
          <w:sz w:val="32"/>
          <w:szCs w:val="32"/>
        </w:rPr>
        <w:t>Cirillo enfatizzza giustamente il ruolo di</w:t>
      </w:r>
      <w:r w:rsidR="00EF1E8F" w:rsidRPr="00EF1E8F">
        <w:rPr>
          <w:rFonts w:ascii="Times New Roman" w:hAnsi="Times New Roman" w:cs="Times New Roman"/>
          <w:sz w:val="32"/>
          <w:szCs w:val="32"/>
        </w:rPr>
        <w:t xml:space="preserve"> ‘piccolo codice’ della legge generale sul </w:t>
      </w:r>
      <w:r w:rsidR="00EF1E8F" w:rsidRPr="00EF1E8F">
        <w:rPr>
          <w:rFonts w:ascii="Times New Roman" w:hAnsi="Times New Roman" w:cs="Times New Roman"/>
          <w:sz w:val="32"/>
          <w:szCs w:val="32"/>
        </w:rPr>
        <w:lastRenderedPageBreak/>
        <w:t>procedimento amministrativo</w:t>
      </w:r>
      <w:r>
        <w:rPr>
          <w:rFonts w:ascii="Times New Roman" w:hAnsi="Times New Roman" w:cs="Times New Roman"/>
          <w:sz w:val="32"/>
          <w:szCs w:val="32"/>
        </w:rPr>
        <w:t xml:space="preserve"> (legge n.241 del 1990)</w:t>
      </w:r>
      <w:r w:rsidR="00EF1E8F" w:rsidRPr="00EF1E8F">
        <w:rPr>
          <w:rFonts w:ascii="Times New Roman" w:hAnsi="Times New Roman" w:cs="Times New Roman"/>
          <w:sz w:val="32"/>
          <w:szCs w:val="32"/>
        </w:rPr>
        <w:t>, il ruolo degli ordinamenti giuridici sovranazionali e il diritto globale.</w:t>
      </w:r>
      <w:r>
        <w:rPr>
          <w:rFonts w:ascii="Times New Roman" w:hAnsi="Times New Roman" w:cs="Times New Roman"/>
          <w:sz w:val="32"/>
          <w:szCs w:val="32"/>
        </w:rPr>
        <w:t xml:space="preserve"> La legge 241: uno statuto del cittadino sul piano costituzionale dei rapporti con il potere che finalmente positivizza caratteri propri del provvedimento e dell’attività amministrativi.</w:t>
      </w:r>
    </w:p>
    <w:p w:rsidR="00EF1E8F" w:rsidRPr="00EF1E8F" w:rsidRDefault="00A03179" w:rsidP="002177F4">
      <w:pPr>
        <w:jc w:val="both"/>
        <w:rPr>
          <w:rFonts w:ascii="Times New Roman" w:hAnsi="Times New Roman" w:cs="Times New Roman"/>
          <w:sz w:val="32"/>
          <w:szCs w:val="32"/>
        </w:rPr>
      </w:pPr>
      <w:r>
        <w:rPr>
          <w:rFonts w:ascii="Times New Roman" w:hAnsi="Times New Roman" w:cs="Times New Roman"/>
          <w:sz w:val="32"/>
          <w:szCs w:val="32"/>
        </w:rPr>
        <w:t>I</w:t>
      </w:r>
      <w:r w:rsidR="002177F4">
        <w:rPr>
          <w:rFonts w:ascii="Times New Roman" w:hAnsi="Times New Roman" w:cs="Times New Roman"/>
          <w:sz w:val="32"/>
          <w:szCs w:val="32"/>
        </w:rPr>
        <w:t>l percorso che l’Autore propone, di una progressiva convergenza tra i due rami del diritto, è sviluppato con riferimento a</w:t>
      </w:r>
      <w:r w:rsidR="00EF1E8F" w:rsidRPr="00EF1E8F">
        <w:rPr>
          <w:rFonts w:ascii="Times New Roman" w:hAnsi="Times New Roman" w:cs="Times New Roman"/>
          <w:sz w:val="32"/>
          <w:szCs w:val="32"/>
        </w:rPr>
        <w:t xml:space="preserve"> tutte le parti in cui normalmente si scompone lo studio del diritto, ossia l’attività giuridica, la soggettività, i beni e la patrimonialità dei rapporti giuridici, la responsabilità e le forme e le tecniche di tutela.</w:t>
      </w:r>
    </w:p>
    <w:p w:rsidR="00EF1E8F" w:rsidRPr="00EF1E8F" w:rsidRDefault="00EF1E8F" w:rsidP="00A244D0">
      <w:pPr>
        <w:jc w:val="both"/>
        <w:rPr>
          <w:rFonts w:ascii="Times New Roman" w:hAnsi="Times New Roman" w:cs="Times New Roman"/>
          <w:sz w:val="32"/>
          <w:szCs w:val="32"/>
        </w:rPr>
      </w:pPr>
      <w:r w:rsidRPr="00EF1E8F">
        <w:rPr>
          <w:rFonts w:ascii="Times New Roman" w:hAnsi="Times New Roman" w:cs="Times New Roman"/>
          <w:sz w:val="32"/>
          <w:szCs w:val="32"/>
        </w:rPr>
        <w:t>3-In questa visione</w:t>
      </w:r>
      <w:r w:rsidR="007C6B89">
        <w:rPr>
          <w:rFonts w:ascii="Times New Roman" w:hAnsi="Times New Roman" w:cs="Times New Roman"/>
          <w:sz w:val="32"/>
          <w:szCs w:val="32"/>
        </w:rPr>
        <w:t>,</w:t>
      </w:r>
      <w:r w:rsidRPr="00EF1E8F">
        <w:rPr>
          <w:rFonts w:ascii="Times New Roman" w:hAnsi="Times New Roman" w:cs="Times New Roman"/>
          <w:sz w:val="32"/>
          <w:szCs w:val="32"/>
        </w:rPr>
        <w:t xml:space="preserve"> </w:t>
      </w:r>
      <w:r w:rsidRPr="00A244D0">
        <w:rPr>
          <w:rFonts w:ascii="Times New Roman" w:hAnsi="Times New Roman" w:cs="Times New Roman"/>
          <w:sz w:val="32"/>
          <w:szCs w:val="32"/>
          <w:u w:val="single"/>
        </w:rPr>
        <w:t>l’attività giuridica</w:t>
      </w:r>
      <w:r w:rsidRPr="00EF1E8F">
        <w:rPr>
          <w:rFonts w:ascii="Times New Roman" w:hAnsi="Times New Roman" w:cs="Times New Roman"/>
          <w:sz w:val="32"/>
          <w:szCs w:val="32"/>
        </w:rPr>
        <w:t xml:space="preserve">, concepita -secondo l’idea tutta vichiana- come “esperienza storica”, assume un ruolo centrale, poiché è essa che determina le forme della soggettività e non viceversa. </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L’autore sceglie come punto di osservazione </w:t>
      </w:r>
      <w:r w:rsidR="000B751E">
        <w:rPr>
          <w:rFonts w:ascii="Times New Roman" w:hAnsi="Times New Roman" w:cs="Times New Roman"/>
          <w:sz w:val="32"/>
          <w:szCs w:val="32"/>
        </w:rPr>
        <w:t xml:space="preserve">l’attività amministrativa di diritto privato, </w:t>
      </w:r>
      <w:r w:rsidRPr="00EF1E8F">
        <w:rPr>
          <w:rFonts w:ascii="Times New Roman" w:hAnsi="Times New Roman" w:cs="Times New Roman"/>
          <w:sz w:val="32"/>
          <w:szCs w:val="32"/>
        </w:rPr>
        <w:t>e non solo perché in essa si condensa</w:t>
      </w:r>
      <w:r w:rsidR="000B751E">
        <w:rPr>
          <w:rFonts w:ascii="Times New Roman" w:hAnsi="Times New Roman" w:cs="Times New Roman"/>
          <w:sz w:val="32"/>
          <w:szCs w:val="32"/>
        </w:rPr>
        <w:t>no</w:t>
      </w:r>
      <w:r w:rsidRPr="00EF1E8F">
        <w:rPr>
          <w:rFonts w:ascii="Times New Roman" w:hAnsi="Times New Roman" w:cs="Times New Roman"/>
          <w:sz w:val="32"/>
          <w:szCs w:val="32"/>
        </w:rPr>
        <w:t xml:space="preserve"> sia l’attività negoziale sia l’attività provvedimentale, ma anche perché solo attraverso l</w:t>
      </w:r>
      <w:r w:rsidR="00505FEB">
        <w:rPr>
          <w:rFonts w:ascii="Times New Roman" w:hAnsi="Times New Roman" w:cs="Times New Roman"/>
          <w:sz w:val="32"/>
          <w:szCs w:val="32"/>
        </w:rPr>
        <w:t xml:space="preserve">a </w:t>
      </w:r>
      <w:r w:rsidR="0090455C">
        <w:rPr>
          <w:rFonts w:ascii="Times New Roman" w:hAnsi="Times New Roman" w:cs="Times New Roman"/>
          <w:sz w:val="32"/>
          <w:szCs w:val="32"/>
        </w:rPr>
        <w:t>sua</w:t>
      </w:r>
      <w:r w:rsidR="00505FEB">
        <w:rPr>
          <w:rFonts w:ascii="Times New Roman" w:hAnsi="Times New Roman" w:cs="Times New Roman"/>
          <w:sz w:val="32"/>
          <w:szCs w:val="32"/>
        </w:rPr>
        <w:t xml:space="preserve"> </w:t>
      </w:r>
      <w:r w:rsidRPr="00EF1E8F">
        <w:rPr>
          <w:rFonts w:ascii="Times New Roman" w:hAnsi="Times New Roman" w:cs="Times New Roman"/>
          <w:sz w:val="32"/>
          <w:szCs w:val="32"/>
        </w:rPr>
        <w:t>analisi si possono comp</w:t>
      </w:r>
      <w:r w:rsidR="00341072">
        <w:rPr>
          <w:rFonts w:ascii="Times New Roman" w:hAnsi="Times New Roman" w:cs="Times New Roman"/>
          <w:sz w:val="32"/>
          <w:szCs w:val="32"/>
        </w:rPr>
        <w:t xml:space="preserve">rendere appieno il ruolo che possono rispettivamente svolgere </w:t>
      </w:r>
      <w:r w:rsidRPr="00EF1E8F">
        <w:rPr>
          <w:rFonts w:ascii="Times New Roman" w:hAnsi="Times New Roman" w:cs="Times New Roman"/>
          <w:sz w:val="32"/>
          <w:szCs w:val="32"/>
        </w:rPr>
        <w:t xml:space="preserve">oggi il contratto e il provvedimento amministrativo, </w:t>
      </w:r>
      <w:r w:rsidR="00341072">
        <w:rPr>
          <w:rFonts w:ascii="Times New Roman" w:hAnsi="Times New Roman" w:cs="Times New Roman"/>
          <w:sz w:val="32"/>
          <w:szCs w:val="32"/>
        </w:rPr>
        <w:t>anche attraverso il loro utilizzo combinato.</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Questa lettura </w:t>
      </w:r>
      <w:r w:rsidR="00011B8D">
        <w:rPr>
          <w:rFonts w:ascii="Times New Roman" w:hAnsi="Times New Roman" w:cs="Times New Roman"/>
          <w:sz w:val="32"/>
          <w:szCs w:val="32"/>
        </w:rPr>
        <w:t xml:space="preserve">è coerente con la scelta del </w:t>
      </w:r>
      <w:r w:rsidRPr="00EF1E8F">
        <w:rPr>
          <w:rFonts w:ascii="Times New Roman" w:hAnsi="Times New Roman" w:cs="Times New Roman"/>
          <w:sz w:val="32"/>
          <w:szCs w:val="32"/>
        </w:rPr>
        <w:t>legislatore</w:t>
      </w:r>
      <w:r w:rsidR="00011B8D">
        <w:rPr>
          <w:rFonts w:ascii="Times New Roman" w:hAnsi="Times New Roman" w:cs="Times New Roman"/>
          <w:sz w:val="32"/>
          <w:szCs w:val="32"/>
        </w:rPr>
        <w:t xml:space="preserve">. Questi stabilisce che </w:t>
      </w:r>
      <w:r w:rsidRPr="00EF1E8F">
        <w:rPr>
          <w:rFonts w:ascii="Times New Roman" w:hAnsi="Times New Roman" w:cs="Times New Roman"/>
          <w:sz w:val="32"/>
          <w:szCs w:val="32"/>
        </w:rPr>
        <w:t xml:space="preserve">la pubblica amministrazione deve amministrare secondo il metodo consensuale </w:t>
      </w:r>
      <w:r w:rsidR="00011B8D">
        <w:rPr>
          <w:rFonts w:ascii="Times New Roman" w:hAnsi="Times New Roman" w:cs="Times New Roman"/>
          <w:sz w:val="32"/>
          <w:szCs w:val="32"/>
        </w:rPr>
        <w:t>(art. 1 l. n. 241 del 1990)</w:t>
      </w:r>
      <w:r w:rsidR="00011B8D" w:rsidRPr="00EF1E8F">
        <w:rPr>
          <w:rFonts w:ascii="Times New Roman" w:hAnsi="Times New Roman" w:cs="Times New Roman"/>
          <w:sz w:val="32"/>
          <w:szCs w:val="32"/>
        </w:rPr>
        <w:t xml:space="preserve"> </w:t>
      </w:r>
      <w:r w:rsidRPr="00EF1E8F">
        <w:rPr>
          <w:rFonts w:ascii="Times New Roman" w:hAnsi="Times New Roman" w:cs="Times New Roman"/>
          <w:sz w:val="32"/>
          <w:szCs w:val="32"/>
        </w:rPr>
        <w:t xml:space="preserve">e </w:t>
      </w:r>
      <w:r w:rsidR="00011B8D">
        <w:rPr>
          <w:rFonts w:ascii="Times New Roman" w:hAnsi="Times New Roman" w:cs="Times New Roman"/>
          <w:sz w:val="32"/>
          <w:szCs w:val="32"/>
        </w:rPr>
        <w:t xml:space="preserve">che </w:t>
      </w:r>
      <w:r w:rsidRPr="00EF1E8F">
        <w:rPr>
          <w:rFonts w:ascii="Times New Roman" w:hAnsi="Times New Roman" w:cs="Times New Roman"/>
          <w:sz w:val="32"/>
          <w:szCs w:val="32"/>
        </w:rPr>
        <w:t>l’accordo sostitutivo (artt. 11 e 15 l. n. 241 del 1990) del provvedimento ha la capacità di generare obblighi e anche obbligazioni in senso tecnico al pari del contratto di diritto privato, con l’unica differenza che nel primo caso l’oggetto è pubblico e nel secondo invece è privato.</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La funzione sistematica dell’accordo sostitutivo del provvedimento e dell’accordo organizzativo costituiscono la categorie generali entro cui </w:t>
      </w:r>
      <w:r w:rsidR="00341072">
        <w:rPr>
          <w:rFonts w:ascii="Times New Roman" w:hAnsi="Times New Roman" w:cs="Times New Roman"/>
          <w:sz w:val="32"/>
          <w:szCs w:val="32"/>
        </w:rPr>
        <w:t>l’Autore colloca</w:t>
      </w:r>
      <w:r w:rsidRPr="00EF1E8F">
        <w:rPr>
          <w:rFonts w:ascii="Times New Roman" w:hAnsi="Times New Roman" w:cs="Times New Roman"/>
          <w:sz w:val="32"/>
          <w:szCs w:val="32"/>
        </w:rPr>
        <w:t xml:space="preserve"> tutti i contratti pubblici e tutte le nuove formule organizzatorie, contenute nel codice dei contratti pubblici (partenariato pubblico privato, contratto di concessione, baratto amministrativo e così via). </w:t>
      </w:r>
    </w:p>
    <w:p w:rsidR="00EF1E8F" w:rsidRPr="00EF1E8F" w:rsidRDefault="00341072" w:rsidP="00EF1E8F">
      <w:pPr>
        <w:jc w:val="both"/>
        <w:rPr>
          <w:rFonts w:ascii="Times New Roman" w:hAnsi="Times New Roman" w:cs="Times New Roman"/>
          <w:sz w:val="32"/>
          <w:szCs w:val="32"/>
        </w:rPr>
      </w:pPr>
      <w:r>
        <w:rPr>
          <w:rFonts w:ascii="Times New Roman" w:hAnsi="Times New Roman" w:cs="Times New Roman"/>
          <w:sz w:val="32"/>
          <w:szCs w:val="32"/>
        </w:rPr>
        <w:lastRenderedPageBreak/>
        <w:t>Ma è indubbio che è quello dei</w:t>
      </w:r>
      <w:r w:rsidR="00EF1E8F" w:rsidRPr="00EF1E8F">
        <w:rPr>
          <w:rFonts w:ascii="Times New Roman" w:hAnsi="Times New Roman" w:cs="Times New Roman"/>
          <w:sz w:val="32"/>
          <w:szCs w:val="32"/>
        </w:rPr>
        <w:t xml:space="preserve"> </w:t>
      </w:r>
      <w:r w:rsidR="00EF1E8F" w:rsidRPr="00011B8D">
        <w:rPr>
          <w:rFonts w:ascii="Times New Roman" w:hAnsi="Times New Roman" w:cs="Times New Roman"/>
          <w:sz w:val="32"/>
          <w:szCs w:val="32"/>
          <w:u w:val="single"/>
        </w:rPr>
        <w:t>servizi pubblici</w:t>
      </w:r>
      <w:r w:rsidR="00EF1E8F" w:rsidRPr="00EF1E8F">
        <w:rPr>
          <w:rFonts w:ascii="Times New Roman" w:hAnsi="Times New Roman" w:cs="Times New Roman"/>
          <w:sz w:val="32"/>
          <w:szCs w:val="32"/>
        </w:rPr>
        <w:t xml:space="preserve"> il terreno dove più facilmente si incontrano il diritto privato e il diritto pubblico</w:t>
      </w:r>
      <w:r w:rsidR="00011B8D">
        <w:rPr>
          <w:rFonts w:ascii="Times New Roman" w:hAnsi="Times New Roman" w:cs="Times New Roman"/>
          <w:sz w:val="32"/>
          <w:szCs w:val="32"/>
        </w:rPr>
        <w:t>. Essi</w:t>
      </w:r>
      <w:r w:rsidR="00EF1E8F" w:rsidRPr="00EF1E8F">
        <w:rPr>
          <w:rFonts w:ascii="Times New Roman" w:hAnsi="Times New Roman" w:cs="Times New Roman"/>
          <w:sz w:val="32"/>
          <w:szCs w:val="32"/>
        </w:rPr>
        <w:t xml:space="preserve"> non costituiscono più un capitolo della soggettività, bensì dell’attività giuridica in forma privatistica delle amministrazioni pubbliche, </w:t>
      </w:r>
      <w:r>
        <w:rPr>
          <w:rFonts w:ascii="Times New Roman" w:hAnsi="Times New Roman" w:cs="Times New Roman"/>
          <w:sz w:val="32"/>
          <w:szCs w:val="32"/>
        </w:rPr>
        <w:t>attraverso l’utilizzazione di strumenti e schemi giuridici di cui il carattere privatistico oggettivo, inesorabilmente riadattato per finalità pubblicistiche talvolta in misura tale da far dubitare della pertinenza al modello originario, prevale sulla qualificazione pubblicistica soggettiva, il più delle volte meramente formale, di chi svolge l’attività, secondo il modello assai variegato e storicamente “fluttuante” delle cd. società pubbliche.</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4-Il libro contiene una unica opzione ideologica di fondo, ossia che la pubblica amministrazione non costituisce più l’espressione del potere autoritativo e non è più antitetica all’autonomia privata, così come accadeva negli anni ’60, quando Pietro Rescigno scriveva le bellissime pagine ‘sulla paura dello Stato e il deserto della solitudine in cui si muove la condizione umana’. Essa è diventata </w:t>
      </w:r>
      <w:r w:rsidR="000B751E">
        <w:rPr>
          <w:rFonts w:ascii="Times New Roman" w:hAnsi="Times New Roman" w:cs="Times New Roman"/>
          <w:sz w:val="32"/>
          <w:szCs w:val="32"/>
        </w:rPr>
        <w:t>“</w:t>
      </w:r>
      <w:r w:rsidRPr="00EF1E8F">
        <w:rPr>
          <w:rFonts w:ascii="Times New Roman" w:hAnsi="Times New Roman" w:cs="Times New Roman"/>
          <w:sz w:val="32"/>
          <w:szCs w:val="32"/>
        </w:rPr>
        <w:t>intermedia</w:t>
      </w:r>
      <w:r w:rsidR="000B751E">
        <w:rPr>
          <w:rFonts w:ascii="Times New Roman" w:hAnsi="Times New Roman" w:cs="Times New Roman"/>
          <w:sz w:val="32"/>
          <w:szCs w:val="32"/>
        </w:rPr>
        <w:t>”</w:t>
      </w:r>
      <w:r w:rsidRPr="00EF1E8F">
        <w:rPr>
          <w:rFonts w:ascii="Times New Roman" w:hAnsi="Times New Roman" w:cs="Times New Roman"/>
          <w:sz w:val="32"/>
          <w:szCs w:val="32"/>
        </w:rPr>
        <w:t>, quasi al pari delle formazioni sociali private.</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Infatti </w:t>
      </w:r>
      <w:r w:rsidR="000B751E">
        <w:rPr>
          <w:rFonts w:ascii="Times New Roman" w:hAnsi="Times New Roman" w:cs="Times New Roman"/>
          <w:sz w:val="32"/>
          <w:szCs w:val="32"/>
        </w:rPr>
        <w:t xml:space="preserve">l’amministrazione </w:t>
      </w:r>
      <w:r w:rsidR="00505FEB">
        <w:rPr>
          <w:rFonts w:ascii="Times New Roman" w:hAnsi="Times New Roman" w:cs="Times New Roman"/>
          <w:sz w:val="32"/>
          <w:szCs w:val="32"/>
        </w:rPr>
        <w:t xml:space="preserve">sta </w:t>
      </w:r>
      <w:r w:rsidRPr="00EF1E8F">
        <w:rPr>
          <w:rFonts w:ascii="Times New Roman" w:hAnsi="Times New Roman" w:cs="Times New Roman"/>
          <w:sz w:val="32"/>
          <w:szCs w:val="32"/>
        </w:rPr>
        <w:t>diventando il punto di riferimento dei singoli cittadini</w:t>
      </w:r>
      <w:r w:rsidR="000B751E">
        <w:rPr>
          <w:rFonts w:ascii="Times New Roman" w:hAnsi="Times New Roman" w:cs="Times New Roman"/>
          <w:sz w:val="32"/>
          <w:szCs w:val="32"/>
        </w:rPr>
        <w:t>,</w:t>
      </w:r>
      <w:r w:rsidRPr="00EF1E8F">
        <w:rPr>
          <w:rFonts w:ascii="Times New Roman" w:hAnsi="Times New Roman" w:cs="Times New Roman"/>
          <w:sz w:val="32"/>
          <w:szCs w:val="32"/>
        </w:rPr>
        <w:t xml:space="preserve"> anche in relazione a quelle istanze sociali e politiche un tempo affidate ai partiti politici</w:t>
      </w:r>
      <w:r w:rsidR="000B751E">
        <w:rPr>
          <w:rFonts w:ascii="Times New Roman" w:hAnsi="Times New Roman" w:cs="Times New Roman"/>
          <w:sz w:val="32"/>
          <w:szCs w:val="32"/>
        </w:rPr>
        <w:t>,</w:t>
      </w:r>
      <w:r w:rsidRPr="00EF1E8F">
        <w:rPr>
          <w:rFonts w:ascii="Times New Roman" w:hAnsi="Times New Roman" w:cs="Times New Roman"/>
          <w:sz w:val="32"/>
          <w:szCs w:val="32"/>
        </w:rPr>
        <w:t xml:space="preserve"> ai sindacati</w:t>
      </w:r>
      <w:r w:rsidR="000B751E">
        <w:rPr>
          <w:rFonts w:ascii="Times New Roman" w:hAnsi="Times New Roman" w:cs="Times New Roman"/>
          <w:sz w:val="32"/>
          <w:szCs w:val="32"/>
        </w:rPr>
        <w:t>,</w:t>
      </w:r>
      <w:r w:rsidRPr="00EF1E8F">
        <w:rPr>
          <w:rFonts w:ascii="Times New Roman" w:hAnsi="Times New Roman" w:cs="Times New Roman"/>
          <w:sz w:val="32"/>
          <w:szCs w:val="32"/>
        </w:rPr>
        <w:t xml:space="preserve"> alle parrocchie, alla famiglia e così via. </w:t>
      </w:r>
      <w:r w:rsidR="000B751E">
        <w:rPr>
          <w:rFonts w:ascii="Times New Roman" w:hAnsi="Times New Roman" w:cs="Times New Roman"/>
          <w:sz w:val="32"/>
          <w:szCs w:val="32"/>
        </w:rPr>
        <w:t>A fronte di una crisi della politica, che talvolta sembra esa</w:t>
      </w:r>
      <w:r w:rsidR="00A56A50">
        <w:rPr>
          <w:rFonts w:ascii="Times New Roman" w:hAnsi="Times New Roman" w:cs="Times New Roman"/>
          <w:sz w:val="32"/>
          <w:szCs w:val="32"/>
        </w:rPr>
        <w:t>urirsi nella ricerca del consenso</w:t>
      </w:r>
      <w:r w:rsidR="000B751E">
        <w:rPr>
          <w:rFonts w:ascii="Times New Roman" w:hAnsi="Times New Roman" w:cs="Times New Roman"/>
          <w:sz w:val="32"/>
          <w:szCs w:val="32"/>
        </w:rPr>
        <w:t xml:space="preserve"> per il cons</w:t>
      </w:r>
      <w:r w:rsidR="00A56A50">
        <w:rPr>
          <w:rFonts w:ascii="Times New Roman" w:hAnsi="Times New Roman" w:cs="Times New Roman"/>
          <w:sz w:val="32"/>
          <w:szCs w:val="32"/>
        </w:rPr>
        <w:t>enso</w:t>
      </w:r>
      <w:r w:rsidR="000B751E">
        <w:rPr>
          <w:rFonts w:ascii="Times New Roman" w:hAnsi="Times New Roman" w:cs="Times New Roman"/>
          <w:sz w:val="32"/>
          <w:szCs w:val="32"/>
        </w:rPr>
        <w:t>, i</w:t>
      </w:r>
      <w:r w:rsidRPr="00EF1E8F">
        <w:rPr>
          <w:rFonts w:ascii="Times New Roman" w:hAnsi="Times New Roman" w:cs="Times New Roman"/>
          <w:sz w:val="32"/>
          <w:szCs w:val="32"/>
        </w:rPr>
        <w:t xml:space="preserve"> cittadini vogliono utilità concrete, che possono essere offerte solo dall’amministrazione pubblica.</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5-Sul piano più squisitamente giuridico le tre chiavi di lettura del sistema di diritto comune si possono riassumere così: la tendenziale procedimentalizzazione di tutte le attività giuridiche, anche quella negoziale; il depotenziamento dell’attività autoritativa e la dequotazione dell’atto amministrativo come sintesi delle ragioni della collettività, soprattutto nei meccanismi di coinvolgimento degli interessi dei terzi che rimangono quindi toccati dal procedimento, ma non sempre entrano nella valutazione decisoria dell’amministrazione; infine, nella crisi della categoria e della funzione ordinante del contratto nonché nella sua tendenziale funzionalizzazione rispetto </w:t>
      </w:r>
      <w:r w:rsidR="00FA7AC0">
        <w:rPr>
          <w:rFonts w:ascii="Times New Roman" w:hAnsi="Times New Roman" w:cs="Times New Roman"/>
          <w:sz w:val="32"/>
          <w:szCs w:val="32"/>
        </w:rPr>
        <w:t xml:space="preserve">a un interesse terzo: frutto, forse, di un più generale processo di conformazione del diritto soggettivo ai valori </w:t>
      </w:r>
      <w:r w:rsidR="00FA7AC0">
        <w:rPr>
          <w:rFonts w:ascii="Times New Roman" w:hAnsi="Times New Roman" w:cs="Times New Roman"/>
          <w:sz w:val="32"/>
          <w:szCs w:val="32"/>
        </w:rPr>
        <w:lastRenderedPageBreak/>
        <w:t>solidali della Costituzione, che non può peraltro portare a obliterare il carattere originariamente e originalmente individuale di tale figura soggettiva anche in un’ottica non più anacronisticamente “dominicale”.</w:t>
      </w:r>
    </w:p>
    <w:p w:rsidR="00FA7AC0"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6- </w:t>
      </w:r>
      <w:r w:rsidRPr="00A56A50">
        <w:rPr>
          <w:rFonts w:ascii="Times New Roman" w:hAnsi="Times New Roman" w:cs="Times New Roman"/>
          <w:sz w:val="32"/>
          <w:szCs w:val="32"/>
          <w:u w:val="single"/>
        </w:rPr>
        <w:t>Quanto alla soggettività</w:t>
      </w:r>
      <w:r w:rsidRPr="00EF1E8F">
        <w:rPr>
          <w:rFonts w:ascii="Times New Roman" w:hAnsi="Times New Roman" w:cs="Times New Roman"/>
          <w:sz w:val="32"/>
          <w:szCs w:val="32"/>
        </w:rPr>
        <w:t>, il punto più qualificante è dato dallo sviluppo del principio della neutralità delle forme giuridiche soggettive, che consente di avvicinare i soggetti privati e i soggetti pubblici, ora pacificamente dotati di autonomia negoziale.</w:t>
      </w:r>
      <w:r w:rsidR="00A56A50">
        <w:rPr>
          <w:rFonts w:ascii="Times New Roman" w:hAnsi="Times New Roman" w:cs="Times New Roman"/>
          <w:sz w:val="32"/>
          <w:szCs w:val="32"/>
        </w:rPr>
        <w:t xml:space="preserve"> </w:t>
      </w:r>
      <w:r w:rsidRPr="00EF1E8F">
        <w:rPr>
          <w:rFonts w:ascii="Times New Roman" w:hAnsi="Times New Roman" w:cs="Times New Roman"/>
          <w:sz w:val="32"/>
          <w:szCs w:val="32"/>
        </w:rPr>
        <w:t>Il punto</w:t>
      </w:r>
      <w:r w:rsidR="00A56A50">
        <w:rPr>
          <w:rFonts w:ascii="Times New Roman" w:hAnsi="Times New Roman" w:cs="Times New Roman"/>
          <w:sz w:val="32"/>
          <w:szCs w:val="32"/>
        </w:rPr>
        <w:t xml:space="preserve">, al riguardo, </w:t>
      </w:r>
      <w:r w:rsidRPr="00EF1E8F">
        <w:rPr>
          <w:rFonts w:ascii="Times New Roman" w:hAnsi="Times New Roman" w:cs="Times New Roman"/>
          <w:sz w:val="32"/>
          <w:szCs w:val="32"/>
        </w:rPr>
        <w:t xml:space="preserve">è come estendere anche ad essi il sistema delle garanzie procedimentali propri degli </w:t>
      </w:r>
      <w:r w:rsidR="00A56A50">
        <w:rPr>
          <w:rFonts w:ascii="Times New Roman" w:hAnsi="Times New Roman" w:cs="Times New Roman"/>
          <w:sz w:val="32"/>
          <w:szCs w:val="32"/>
        </w:rPr>
        <w:t>enti pubblici in senso formale.</w:t>
      </w:r>
    </w:p>
    <w:p w:rsidR="00A9782B"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7- Quanto </w:t>
      </w:r>
      <w:r w:rsidRPr="00A9782B">
        <w:rPr>
          <w:rFonts w:ascii="Times New Roman" w:hAnsi="Times New Roman" w:cs="Times New Roman"/>
          <w:sz w:val="32"/>
          <w:szCs w:val="32"/>
          <w:u w:val="single"/>
        </w:rPr>
        <w:t>ai beni e alla patrimonialità</w:t>
      </w:r>
      <w:r w:rsidRPr="00EF1E8F">
        <w:rPr>
          <w:rFonts w:ascii="Times New Roman" w:hAnsi="Times New Roman" w:cs="Times New Roman"/>
          <w:sz w:val="32"/>
          <w:szCs w:val="32"/>
        </w:rPr>
        <w:t>, diretta e indiretta, di tutti i rapporti giuridici, viene riproposta una sistemazione aggiornata del rapporto tra cose beni e oggetto del diritto. Il contratto e il provvedimento amministrativo favorevole vengono considerati beni in senso giuridico</w:t>
      </w:r>
      <w:r w:rsidR="00A9782B">
        <w:rPr>
          <w:rFonts w:ascii="Times New Roman" w:hAnsi="Times New Roman" w:cs="Times New Roman"/>
          <w:sz w:val="32"/>
          <w:szCs w:val="32"/>
        </w:rPr>
        <w:t>.</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Quanto ai beni pubblici, </w:t>
      </w:r>
      <w:r w:rsidR="00FA7AC0">
        <w:rPr>
          <w:rFonts w:ascii="Times New Roman" w:hAnsi="Times New Roman" w:cs="Times New Roman"/>
          <w:sz w:val="32"/>
          <w:szCs w:val="32"/>
        </w:rPr>
        <w:t xml:space="preserve">l’Autore ritiene oramai inadeguata </w:t>
      </w:r>
      <w:r w:rsidRPr="00EF1E8F">
        <w:rPr>
          <w:rFonts w:ascii="Times New Roman" w:hAnsi="Times New Roman" w:cs="Times New Roman"/>
          <w:sz w:val="32"/>
          <w:szCs w:val="32"/>
        </w:rPr>
        <w:t xml:space="preserve">la tradizionale ripartizione </w:t>
      </w:r>
      <w:r w:rsidR="00FA7AC0">
        <w:rPr>
          <w:rFonts w:ascii="Times New Roman" w:hAnsi="Times New Roman" w:cs="Times New Roman"/>
          <w:sz w:val="32"/>
          <w:szCs w:val="32"/>
        </w:rPr>
        <w:t xml:space="preserve">e si sofferma sulla </w:t>
      </w:r>
      <w:r w:rsidR="00A9782B">
        <w:rPr>
          <w:rFonts w:ascii="Times New Roman" w:hAnsi="Times New Roman" w:cs="Times New Roman"/>
          <w:sz w:val="32"/>
          <w:szCs w:val="32"/>
        </w:rPr>
        <w:t>dibattuta</w:t>
      </w:r>
      <w:r w:rsidR="00FA7AC0">
        <w:rPr>
          <w:rFonts w:ascii="Times New Roman" w:hAnsi="Times New Roman" w:cs="Times New Roman"/>
          <w:sz w:val="32"/>
          <w:szCs w:val="32"/>
        </w:rPr>
        <w:t xml:space="preserve"> categoria dei cd.</w:t>
      </w:r>
      <w:r w:rsidRPr="00EF1E8F">
        <w:rPr>
          <w:rFonts w:ascii="Times New Roman" w:hAnsi="Times New Roman" w:cs="Times New Roman"/>
          <w:sz w:val="32"/>
          <w:szCs w:val="32"/>
        </w:rPr>
        <w:t xml:space="preserve"> beni comuni</w:t>
      </w:r>
      <w:r w:rsidR="00FA7AC0">
        <w:rPr>
          <w:rFonts w:ascii="Times New Roman" w:hAnsi="Times New Roman" w:cs="Times New Roman"/>
          <w:sz w:val="32"/>
          <w:szCs w:val="32"/>
        </w:rPr>
        <w:t xml:space="preserve"> </w:t>
      </w:r>
      <w:r w:rsidRPr="00EF1E8F">
        <w:rPr>
          <w:rFonts w:ascii="Times New Roman" w:hAnsi="Times New Roman" w:cs="Times New Roman"/>
          <w:sz w:val="32"/>
          <w:szCs w:val="32"/>
        </w:rPr>
        <w:t xml:space="preserve">e </w:t>
      </w:r>
      <w:r w:rsidR="00FA7AC0">
        <w:rPr>
          <w:rFonts w:ascii="Times New Roman" w:hAnsi="Times New Roman" w:cs="Times New Roman"/>
          <w:sz w:val="32"/>
          <w:szCs w:val="32"/>
        </w:rPr>
        <w:t>sulla Rete</w:t>
      </w:r>
      <w:r w:rsidRPr="00EF1E8F">
        <w:rPr>
          <w:rFonts w:ascii="Times New Roman" w:hAnsi="Times New Roman" w:cs="Times New Roman"/>
          <w:sz w:val="32"/>
          <w:szCs w:val="32"/>
        </w:rPr>
        <w:t>, destinati a diventare non solo i nuovi luoghi di svolgimento della personalità umana, ma anche i luoghi dove si realizzeranno nuove forme di società intermedie (</w:t>
      </w:r>
      <w:r w:rsidRPr="009F5209">
        <w:rPr>
          <w:rFonts w:ascii="Times New Roman" w:hAnsi="Times New Roman" w:cs="Times New Roman"/>
          <w:i/>
          <w:sz w:val="32"/>
          <w:szCs w:val="32"/>
        </w:rPr>
        <w:t>social netwo</w:t>
      </w:r>
      <w:r w:rsidR="009F5209">
        <w:rPr>
          <w:rFonts w:ascii="Times New Roman" w:hAnsi="Times New Roman" w:cs="Times New Roman"/>
          <w:i/>
          <w:sz w:val="32"/>
          <w:szCs w:val="32"/>
        </w:rPr>
        <w:t>r</w:t>
      </w:r>
      <w:r w:rsidRPr="009F5209">
        <w:rPr>
          <w:rFonts w:ascii="Times New Roman" w:hAnsi="Times New Roman" w:cs="Times New Roman"/>
          <w:i/>
          <w:sz w:val="32"/>
          <w:szCs w:val="32"/>
        </w:rPr>
        <w:t>k</w:t>
      </w:r>
      <w:r w:rsidRPr="00EF1E8F">
        <w:rPr>
          <w:rFonts w:ascii="Times New Roman" w:hAnsi="Times New Roman" w:cs="Times New Roman"/>
          <w:sz w:val="32"/>
          <w:szCs w:val="32"/>
        </w:rPr>
        <w:t>, utilizzo del bene pubblico da parte di cittadini in vario modo organizzati).</w:t>
      </w:r>
    </w:p>
    <w:p w:rsidR="00EF1E8F" w:rsidRPr="00EF1E8F" w:rsidRDefault="00EF1E8F" w:rsidP="00EF1E8F">
      <w:pPr>
        <w:jc w:val="both"/>
        <w:rPr>
          <w:rFonts w:ascii="Times New Roman" w:hAnsi="Times New Roman" w:cs="Times New Roman"/>
          <w:sz w:val="32"/>
          <w:szCs w:val="32"/>
        </w:rPr>
      </w:pPr>
      <w:r w:rsidRPr="00EF1E8F">
        <w:rPr>
          <w:rFonts w:ascii="Times New Roman" w:hAnsi="Times New Roman" w:cs="Times New Roman"/>
          <w:sz w:val="32"/>
          <w:szCs w:val="32"/>
        </w:rPr>
        <w:t xml:space="preserve">8- Nel capitolo finale, dedicato alla </w:t>
      </w:r>
      <w:r w:rsidRPr="0026007D">
        <w:rPr>
          <w:rFonts w:ascii="Times New Roman" w:hAnsi="Times New Roman" w:cs="Times New Roman"/>
          <w:sz w:val="32"/>
          <w:szCs w:val="32"/>
          <w:u w:val="single"/>
        </w:rPr>
        <w:t>responsabilità e alla tutela</w:t>
      </w:r>
      <w:r w:rsidRPr="00EF1E8F">
        <w:rPr>
          <w:rFonts w:ascii="Times New Roman" w:hAnsi="Times New Roman" w:cs="Times New Roman"/>
          <w:sz w:val="32"/>
          <w:szCs w:val="32"/>
        </w:rPr>
        <w:t xml:space="preserve">, </w:t>
      </w:r>
      <w:r w:rsidR="00FA7AC0">
        <w:rPr>
          <w:rFonts w:ascii="Times New Roman" w:hAnsi="Times New Roman" w:cs="Times New Roman"/>
          <w:sz w:val="32"/>
          <w:szCs w:val="32"/>
        </w:rPr>
        <w:t>sono</w:t>
      </w:r>
      <w:r w:rsidRPr="00EF1E8F">
        <w:rPr>
          <w:rFonts w:ascii="Times New Roman" w:hAnsi="Times New Roman" w:cs="Times New Roman"/>
          <w:sz w:val="32"/>
          <w:szCs w:val="32"/>
        </w:rPr>
        <w:t xml:space="preserve"> indagati i fondamenti dei vari tipi di responsabilità, rinvenendosi nel legittimo affidamento </w:t>
      </w:r>
      <w:r w:rsidR="008F64CE">
        <w:rPr>
          <w:rFonts w:ascii="Times New Roman" w:hAnsi="Times New Roman" w:cs="Times New Roman"/>
          <w:sz w:val="32"/>
          <w:szCs w:val="32"/>
        </w:rPr>
        <w:t xml:space="preserve">e quindi nel contatto sociale qualificato </w:t>
      </w:r>
      <w:r w:rsidRPr="00EF1E8F">
        <w:rPr>
          <w:rFonts w:ascii="Times New Roman" w:hAnsi="Times New Roman" w:cs="Times New Roman"/>
          <w:sz w:val="32"/>
          <w:szCs w:val="32"/>
        </w:rPr>
        <w:t>il possibile fondamento di tutte le responsabilità</w:t>
      </w:r>
      <w:r w:rsidR="009F5209">
        <w:rPr>
          <w:rFonts w:ascii="Times New Roman" w:hAnsi="Times New Roman" w:cs="Times New Roman"/>
          <w:sz w:val="32"/>
          <w:szCs w:val="32"/>
        </w:rPr>
        <w:t>. Si spiega così l’a</w:t>
      </w:r>
      <w:r w:rsidRPr="00EF1E8F">
        <w:rPr>
          <w:rFonts w:ascii="Times New Roman" w:hAnsi="Times New Roman" w:cs="Times New Roman"/>
          <w:sz w:val="32"/>
          <w:szCs w:val="32"/>
        </w:rPr>
        <w:t xml:space="preserve">mpio spazio </w:t>
      </w:r>
      <w:r w:rsidR="009F5209">
        <w:rPr>
          <w:rFonts w:ascii="Times New Roman" w:hAnsi="Times New Roman" w:cs="Times New Roman"/>
          <w:sz w:val="32"/>
          <w:szCs w:val="32"/>
        </w:rPr>
        <w:t>riservato</w:t>
      </w:r>
      <w:r w:rsidRPr="00EF1E8F">
        <w:rPr>
          <w:rFonts w:ascii="Times New Roman" w:hAnsi="Times New Roman" w:cs="Times New Roman"/>
          <w:sz w:val="32"/>
          <w:szCs w:val="32"/>
        </w:rPr>
        <w:t xml:space="preserve"> alla responsabilità precontrattuale</w:t>
      </w:r>
      <w:r w:rsidR="009F5209">
        <w:rPr>
          <w:rFonts w:ascii="Times New Roman" w:hAnsi="Times New Roman" w:cs="Times New Roman"/>
          <w:sz w:val="32"/>
          <w:szCs w:val="32"/>
        </w:rPr>
        <w:t>,</w:t>
      </w:r>
      <w:r w:rsidRPr="00EF1E8F">
        <w:rPr>
          <w:rFonts w:ascii="Times New Roman" w:hAnsi="Times New Roman" w:cs="Times New Roman"/>
          <w:sz w:val="32"/>
          <w:szCs w:val="32"/>
        </w:rPr>
        <w:t xml:space="preserve"> che costituisce la base per l’affermazione della responsabilità per l’inutile coinvolgimento </w:t>
      </w:r>
      <w:r w:rsidR="0026007D">
        <w:rPr>
          <w:rFonts w:ascii="Times New Roman" w:hAnsi="Times New Roman" w:cs="Times New Roman"/>
          <w:sz w:val="32"/>
          <w:szCs w:val="32"/>
        </w:rPr>
        <w:t xml:space="preserve">di un soggetto, </w:t>
      </w:r>
      <w:r w:rsidRPr="00EF1E8F">
        <w:rPr>
          <w:rFonts w:ascii="Times New Roman" w:hAnsi="Times New Roman" w:cs="Times New Roman"/>
          <w:sz w:val="32"/>
          <w:szCs w:val="32"/>
        </w:rPr>
        <w:t>in un procedimento amministrativo da parte dell’amministrazione che non ha agito in buona fede.</w:t>
      </w:r>
    </w:p>
    <w:p w:rsidR="00AC1066" w:rsidRDefault="008F64CE" w:rsidP="00AC1066">
      <w:pPr>
        <w:jc w:val="both"/>
        <w:rPr>
          <w:rFonts w:ascii="Times New Roman" w:hAnsi="Times New Roman" w:cs="Times New Roman"/>
          <w:sz w:val="32"/>
          <w:szCs w:val="32"/>
        </w:rPr>
      </w:pPr>
      <w:r>
        <w:rPr>
          <w:rFonts w:ascii="Times New Roman" w:hAnsi="Times New Roman" w:cs="Times New Roman"/>
          <w:sz w:val="32"/>
          <w:szCs w:val="32"/>
        </w:rPr>
        <w:t xml:space="preserve">9- </w:t>
      </w:r>
      <w:r w:rsidR="009F5209" w:rsidRPr="00A244D0">
        <w:rPr>
          <w:rFonts w:ascii="Times New Roman" w:hAnsi="Times New Roman" w:cs="Times New Roman"/>
          <w:sz w:val="32"/>
          <w:szCs w:val="32"/>
          <w:u w:val="single"/>
        </w:rPr>
        <w:t>In conclusione</w:t>
      </w:r>
      <w:r w:rsidR="009F5209">
        <w:rPr>
          <w:rFonts w:ascii="Times New Roman" w:hAnsi="Times New Roman" w:cs="Times New Roman"/>
          <w:sz w:val="32"/>
          <w:szCs w:val="32"/>
        </w:rPr>
        <w:t xml:space="preserve"> tutti i temi tradizionali dei due rami del diritto sono trattati con un costante riferimento alla legislazione positiva e al cd. diritto giurisprudenziale. Perché il pregio di fondo di questo libro </w:t>
      </w:r>
      <w:r w:rsidR="0074614C">
        <w:rPr>
          <w:rFonts w:ascii="Times New Roman" w:hAnsi="Times New Roman" w:cs="Times New Roman"/>
          <w:sz w:val="32"/>
          <w:szCs w:val="32"/>
        </w:rPr>
        <w:t xml:space="preserve">– nonché, </w:t>
      </w:r>
      <w:r w:rsidR="009F5209">
        <w:rPr>
          <w:rFonts w:ascii="Times New Roman" w:hAnsi="Times New Roman" w:cs="Times New Roman"/>
          <w:sz w:val="32"/>
          <w:szCs w:val="32"/>
        </w:rPr>
        <w:t xml:space="preserve">a mio avviso, il filo conduttore della riflessione che l’incontro di oggi ci propone </w:t>
      </w:r>
      <w:r w:rsidR="0074614C">
        <w:rPr>
          <w:rFonts w:ascii="Times New Roman" w:hAnsi="Times New Roman" w:cs="Times New Roman"/>
          <w:sz w:val="32"/>
          <w:szCs w:val="32"/>
        </w:rPr>
        <w:t xml:space="preserve">- </w:t>
      </w:r>
      <w:r w:rsidR="009F5209">
        <w:rPr>
          <w:rFonts w:ascii="Times New Roman" w:hAnsi="Times New Roman" w:cs="Times New Roman"/>
          <w:sz w:val="32"/>
          <w:szCs w:val="32"/>
        </w:rPr>
        <w:t>è</w:t>
      </w:r>
      <w:r w:rsidR="00505FEB">
        <w:rPr>
          <w:rFonts w:ascii="Times New Roman" w:hAnsi="Times New Roman" w:cs="Times New Roman"/>
          <w:sz w:val="32"/>
          <w:szCs w:val="32"/>
        </w:rPr>
        <w:t xml:space="preserve"> </w:t>
      </w:r>
      <w:r w:rsidR="009F5209">
        <w:rPr>
          <w:rFonts w:ascii="Times New Roman" w:hAnsi="Times New Roman" w:cs="Times New Roman"/>
          <w:sz w:val="32"/>
          <w:szCs w:val="32"/>
        </w:rPr>
        <w:t>il seguente: ipotizzare e sviluppare un percorso di ordine teorico e istituzionale di grande attualità e complessità –</w:t>
      </w:r>
      <w:r w:rsidR="00F92823">
        <w:rPr>
          <w:rFonts w:ascii="Times New Roman" w:hAnsi="Times New Roman" w:cs="Times New Roman"/>
          <w:sz w:val="32"/>
          <w:szCs w:val="32"/>
        </w:rPr>
        <w:t xml:space="preserve"> </w:t>
      </w:r>
      <w:r w:rsidR="009F5209">
        <w:rPr>
          <w:rFonts w:ascii="Times New Roman" w:hAnsi="Times New Roman" w:cs="Times New Roman"/>
          <w:sz w:val="32"/>
          <w:szCs w:val="32"/>
        </w:rPr>
        <w:t xml:space="preserve">quello dei tratti comuni tra i </w:t>
      </w:r>
      <w:r w:rsidR="009F5209">
        <w:rPr>
          <w:rFonts w:ascii="Times New Roman" w:hAnsi="Times New Roman" w:cs="Times New Roman"/>
          <w:sz w:val="32"/>
          <w:szCs w:val="32"/>
        </w:rPr>
        <w:lastRenderedPageBreak/>
        <w:t xml:space="preserve">due rami tradizionali della scienza giuridica </w:t>
      </w:r>
      <w:r w:rsidR="00F92823">
        <w:rPr>
          <w:rFonts w:ascii="Times New Roman" w:hAnsi="Times New Roman" w:cs="Times New Roman"/>
          <w:sz w:val="32"/>
          <w:szCs w:val="32"/>
        </w:rPr>
        <w:t xml:space="preserve">- </w:t>
      </w:r>
      <w:r w:rsidR="009F5209">
        <w:rPr>
          <w:rFonts w:ascii="Times New Roman" w:hAnsi="Times New Roman" w:cs="Times New Roman"/>
          <w:sz w:val="32"/>
          <w:szCs w:val="32"/>
        </w:rPr>
        <w:t>coniugando la riflessione teorica e sistematica con l’aderenza al dato positivo e a quello giurisprudenziale, senza la quale il giurista corre il rischio di cadere in una dogmatica avulsa dalla realtà che, per fortuna, non appartiene alla tradizione d</w:t>
      </w:r>
      <w:r w:rsidR="00AC1066">
        <w:rPr>
          <w:rFonts w:ascii="Times New Roman" w:hAnsi="Times New Roman" w:cs="Times New Roman"/>
          <w:sz w:val="32"/>
          <w:szCs w:val="32"/>
        </w:rPr>
        <w:t>ella scuola giuridica italiana.</w:t>
      </w:r>
    </w:p>
    <w:p w:rsidR="00AC1066" w:rsidRDefault="00AC1066" w:rsidP="00AC1066">
      <w:pPr>
        <w:jc w:val="both"/>
        <w:rPr>
          <w:rFonts w:ascii="Times New Roman" w:hAnsi="Times New Roman" w:cs="Times New Roman"/>
          <w:sz w:val="32"/>
          <w:szCs w:val="32"/>
        </w:rPr>
      </w:pPr>
      <w:r>
        <w:rPr>
          <w:rFonts w:ascii="Times New Roman" w:hAnsi="Times New Roman" w:cs="Times New Roman"/>
          <w:sz w:val="32"/>
          <w:szCs w:val="32"/>
        </w:rPr>
        <w:t>N</w:t>
      </w:r>
      <w:r w:rsidR="009F5209">
        <w:rPr>
          <w:rFonts w:ascii="Times New Roman" w:hAnsi="Times New Roman" w:cs="Times New Roman"/>
          <w:sz w:val="32"/>
          <w:szCs w:val="32"/>
        </w:rPr>
        <w:t>on a quella civilistica, in particolare alla scuola giu</w:t>
      </w:r>
      <w:r w:rsidR="009E3A94">
        <w:rPr>
          <w:rFonts w:ascii="Times New Roman" w:hAnsi="Times New Roman" w:cs="Times New Roman"/>
          <w:sz w:val="32"/>
          <w:szCs w:val="32"/>
        </w:rPr>
        <w:t>ridica</w:t>
      </w:r>
      <w:r w:rsidR="009F5209">
        <w:rPr>
          <w:rFonts w:ascii="Times New Roman" w:hAnsi="Times New Roman" w:cs="Times New Roman"/>
          <w:sz w:val="32"/>
          <w:szCs w:val="32"/>
        </w:rPr>
        <w:t xml:space="preserve"> me</w:t>
      </w:r>
      <w:r w:rsidR="009E3A94">
        <w:rPr>
          <w:rFonts w:ascii="Times New Roman" w:hAnsi="Times New Roman" w:cs="Times New Roman"/>
          <w:sz w:val="32"/>
          <w:szCs w:val="32"/>
        </w:rPr>
        <w:t>ri</w:t>
      </w:r>
      <w:r w:rsidR="009F5209">
        <w:rPr>
          <w:rFonts w:ascii="Times New Roman" w:hAnsi="Times New Roman" w:cs="Times New Roman"/>
          <w:sz w:val="32"/>
          <w:szCs w:val="32"/>
        </w:rPr>
        <w:t>dionale da Gianturco in poi</w:t>
      </w:r>
      <w:r w:rsidR="00505FEB">
        <w:rPr>
          <w:rFonts w:ascii="Times New Roman" w:hAnsi="Times New Roman" w:cs="Times New Roman"/>
          <w:sz w:val="32"/>
          <w:szCs w:val="32"/>
        </w:rPr>
        <w:t>.</w:t>
      </w:r>
      <w:r w:rsidRPr="00AC1066">
        <w:rPr>
          <w:rFonts w:ascii="Times New Roman" w:eastAsia="Times New Roman" w:hAnsi="Times New Roman" w:cs="Times New Roman"/>
          <w:sz w:val="28"/>
          <w:szCs w:val="28"/>
          <w:lang w:eastAsia="it-IT"/>
        </w:rPr>
        <w:t xml:space="preserve"> </w:t>
      </w:r>
      <w:r w:rsidRPr="00AC1066">
        <w:rPr>
          <w:rFonts w:ascii="Times New Roman" w:hAnsi="Times New Roman" w:cs="Times New Roman"/>
          <w:sz w:val="32"/>
          <w:szCs w:val="32"/>
        </w:rPr>
        <w:t>Del resto –come osserva Giovanni Cazzetta</w:t>
      </w:r>
      <w:r w:rsidRPr="00AC1066">
        <w:rPr>
          <w:rFonts w:ascii="Times New Roman" w:hAnsi="Times New Roman" w:cs="Times New Roman"/>
          <w:sz w:val="32"/>
          <w:szCs w:val="32"/>
          <w:vertAlign w:val="superscript"/>
        </w:rPr>
        <w:footnoteReference w:id="1"/>
      </w:r>
      <w:r w:rsidRPr="00AC1066">
        <w:rPr>
          <w:rFonts w:ascii="Times New Roman" w:hAnsi="Times New Roman" w:cs="Times New Roman"/>
          <w:sz w:val="32"/>
          <w:szCs w:val="32"/>
        </w:rPr>
        <w:t xml:space="preserve"> - dopo l’Unità, “il segno di un diritto veramente italiano” è dato dalla costante ricerca di “un’indispensabile alleanza, di un connubio, tra scienza e pratica, diritto teorico e pratico, giurisprudenza dottrinale e forense”. E nel programma della </w:t>
      </w:r>
      <w:r w:rsidRPr="00AC1066">
        <w:rPr>
          <w:rFonts w:ascii="Times New Roman" w:hAnsi="Times New Roman" w:cs="Times New Roman"/>
          <w:i/>
          <w:sz w:val="32"/>
          <w:szCs w:val="32"/>
        </w:rPr>
        <w:t>Rivista di diritto civile</w:t>
      </w:r>
      <w:r w:rsidRPr="00AC1066">
        <w:rPr>
          <w:rFonts w:ascii="Times New Roman" w:hAnsi="Times New Roman" w:cs="Times New Roman"/>
          <w:sz w:val="32"/>
          <w:szCs w:val="32"/>
        </w:rPr>
        <w:t xml:space="preserve"> del 1909 si ritrova l’esigenza di un diritto italiano che rifugga il metodo esegetico francese, ma che sappia sottrarsi anche al metodo dogmatico e astratto della pandettistica tedesca e alla “scienza per la scienza” che, nella scia di quella, veniva propugnata da Gian Pietro Chironi, con il quale Gianturco intraprese una sorta di tenzone.</w:t>
      </w:r>
    </w:p>
    <w:p w:rsidR="009F5209" w:rsidRDefault="00AC1066" w:rsidP="00EF1E8F">
      <w:pPr>
        <w:jc w:val="both"/>
        <w:rPr>
          <w:rFonts w:ascii="Times New Roman" w:hAnsi="Times New Roman" w:cs="Times New Roman"/>
          <w:sz w:val="32"/>
          <w:szCs w:val="32"/>
        </w:rPr>
      </w:pPr>
      <w:r>
        <w:rPr>
          <w:rFonts w:ascii="Times New Roman" w:hAnsi="Times New Roman" w:cs="Times New Roman"/>
          <w:sz w:val="32"/>
          <w:szCs w:val="32"/>
        </w:rPr>
        <w:t>Ma l’aderenza alla realtà dei fenomeni da regolare appartiene forse ancor più alla scuola</w:t>
      </w:r>
      <w:r w:rsidR="009F5209">
        <w:rPr>
          <w:rFonts w:ascii="Times New Roman" w:hAnsi="Times New Roman" w:cs="Times New Roman"/>
          <w:sz w:val="32"/>
          <w:szCs w:val="32"/>
        </w:rPr>
        <w:t xml:space="preserve"> amministrativistica, e ai suoi Maestri</w:t>
      </w:r>
      <w:r>
        <w:rPr>
          <w:rFonts w:ascii="Times New Roman" w:hAnsi="Times New Roman" w:cs="Times New Roman"/>
          <w:sz w:val="32"/>
          <w:szCs w:val="32"/>
        </w:rPr>
        <w:t>, per limi</w:t>
      </w:r>
      <w:r w:rsidR="00CB7995">
        <w:rPr>
          <w:rFonts w:ascii="Times New Roman" w:hAnsi="Times New Roman" w:cs="Times New Roman"/>
          <w:sz w:val="32"/>
          <w:szCs w:val="32"/>
        </w:rPr>
        <w:t xml:space="preserve">tarci ai </w:t>
      </w:r>
      <w:r w:rsidR="005768CA">
        <w:rPr>
          <w:rFonts w:ascii="Times New Roman" w:hAnsi="Times New Roman" w:cs="Times New Roman"/>
          <w:sz w:val="32"/>
          <w:szCs w:val="32"/>
        </w:rPr>
        <w:t xml:space="preserve">tempi a noi più vicini </w:t>
      </w:r>
      <w:r w:rsidR="00CB7995">
        <w:rPr>
          <w:rFonts w:ascii="Times New Roman" w:hAnsi="Times New Roman" w:cs="Times New Roman"/>
          <w:sz w:val="32"/>
          <w:szCs w:val="32"/>
        </w:rPr>
        <w:t>a Sandulli, Giannini, Benvenuti, Nigro, Cassese: giuristi attenti al valore “pratico” e ordinante del diritto rispetto ai fenomeni sociali da regolare, ma non inclini a un dogmatismo che distacchi il diritto da questi fenomeni</w:t>
      </w:r>
      <w:r w:rsidR="00505FEB">
        <w:rPr>
          <w:rFonts w:ascii="Times New Roman" w:hAnsi="Times New Roman" w:cs="Times New Roman"/>
          <w:sz w:val="32"/>
          <w:szCs w:val="32"/>
        </w:rPr>
        <w:t>;</w:t>
      </w:r>
      <w:r>
        <w:rPr>
          <w:rFonts w:ascii="Times New Roman" w:hAnsi="Times New Roman" w:cs="Times New Roman"/>
          <w:sz w:val="32"/>
          <w:szCs w:val="32"/>
        </w:rPr>
        <w:t xml:space="preserve"> </w:t>
      </w:r>
      <w:r w:rsidR="00505FEB">
        <w:rPr>
          <w:rFonts w:ascii="Times New Roman" w:hAnsi="Times New Roman" w:cs="Times New Roman"/>
          <w:sz w:val="32"/>
          <w:szCs w:val="32"/>
        </w:rPr>
        <w:t>un diritto</w:t>
      </w:r>
      <w:r w:rsidR="005768CA">
        <w:rPr>
          <w:rFonts w:ascii="Times New Roman" w:hAnsi="Times New Roman" w:cs="Times New Roman"/>
          <w:sz w:val="32"/>
          <w:szCs w:val="32"/>
        </w:rPr>
        <w:t xml:space="preserve"> questo che sarebbe utile,</w:t>
      </w:r>
      <w:r w:rsidR="00505FEB">
        <w:rPr>
          <w:rFonts w:ascii="Times New Roman" w:hAnsi="Times New Roman" w:cs="Times New Roman"/>
          <w:sz w:val="32"/>
          <w:szCs w:val="32"/>
        </w:rPr>
        <w:t xml:space="preserve"> </w:t>
      </w:r>
      <w:r>
        <w:rPr>
          <w:rFonts w:ascii="Times New Roman" w:hAnsi="Times New Roman" w:cs="Times New Roman"/>
          <w:sz w:val="32"/>
          <w:szCs w:val="32"/>
        </w:rPr>
        <w:t>in ultima analisi</w:t>
      </w:r>
      <w:r w:rsidR="00CB7995">
        <w:rPr>
          <w:rFonts w:ascii="Times New Roman" w:hAnsi="Times New Roman" w:cs="Times New Roman"/>
          <w:sz w:val="32"/>
          <w:szCs w:val="32"/>
        </w:rPr>
        <w:t>, forse, ai giuristi ma non anche alla società.</w:t>
      </w:r>
    </w:p>
    <w:p w:rsidR="009E3A94" w:rsidRDefault="009E3A94" w:rsidP="009E3A94">
      <w:pPr>
        <w:jc w:val="right"/>
        <w:rPr>
          <w:rFonts w:ascii="Times New Roman" w:hAnsi="Times New Roman" w:cs="Times New Roman"/>
          <w:sz w:val="32"/>
          <w:szCs w:val="32"/>
        </w:rPr>
      </w:pPr>
      <w:r>
        <w:rPr>
          <w:rFonts w:ascii="Times New Roman" w:hAnsi="Times New Roman" w:cs="Times New Roman"/>
          <w:sz w:val="32"/>
          <w:szCs w:val="32"/>
        </w:rPr>
        <w:t>Filippo Patroni Griffi</w:t>
      </w:r>
    </w:p>
    <w:p w:rsidR="00CB7995" w:rsidRPr="00EF1E8F" w:rsidRDefault="00CB7995" w:rsidP="00EF1E8F">
      <w:pPr>
        <w:jc w:val="both"/>
        <w:rPr>
          <w:rFonts w:ascii="Times New Roman" w:hAnsi="Times New Roman" w:cs="Times New Roman"/>
          <w:sz w:val="32"/>
          <w:szCs w:val="32"/>
        </w:rPr>
      </w:pPr>
    </w:p>
    <w:p w:rsidR="00EF1E8F" w:rsidRPr="00EF1E8F" w:rsidRDefault="00EF1E8F" w:rsidP="00EF1E8F">
      <w:pPr>
        <w:jc w:val="both"/>
        <w:rPr>
          <w:rFonts w:ascii="Times New Roman" w:hAnsi="Times New Roman" w:cs="Times New Roman"/>
          <w:sz w:val="32"/>
          <w:szCs w:val="32"/>
        </w:rPr>
      </w:pPr>
    </w:p>
    <w:p w:rsidR="00EF1E8F" w:rsidRPr="00EF1E8F" w:rsidRDefault="00EF1E8F" w:rsidP="00EF1E8F">
      <w:pPr>
        <w:jc w:val="both"/>
        <w:rPr>
          <w:rFonts w:ascii="Times New Roman" w:hAnsi="Times New Roman" w:cs="Times New Roman"/>
          <w:sz w:val="32"/>
          <w:szCs w:val="32"/>
        </w:rPr>
      </w:pPr>
    </w:p>
    <w:p w:rsidR="00EF1E8F" w:rsidRPr="00EF1E8F" w:rsidRDefault="00EF1E8F" w:rsidP="00EF1E8F">
      <w:pPr>
        <w:jc w:val="both"/>
        <w:rPr>
          <w:rFonts w:ascii="Times New Roman" w:hAnsi="Times New Roman" w:cs="Times New Roman"/>
          <w:sz w:val="32"/>
          <w:szCs w:val="32"/>
        </w:rPr>
      </w:pPr>
    </w:p>
    <w:p w:rsidR="00003968" w:rsidRPr="00EF1E8F" w:rsidRDefault="00003968" w:rsidP="00EF1E8F">
      <w:pPr>
        <w:jc w:val="both"/>
        <w:rPr>
          <w:rFonts w:ascii="Times New Roman" w:hAnsi="Times New Roman" w:cs="Times New Roman"/>
          <w:sz w:val="32"/>
          <w:szCs w:val="32"/>
        </w:rPr>
      </w:pPr>
    </w:p>
    <w:sectPr w:rsidR="00003968" w:rsidRPr="00EF1E8F">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234" w:rsidRDefault="00407234" w:rsidP="00AC1066">
      <w:pPr>
        <w:spacing w:after="0" w:line="240" w:lineRule="auto"/>
      </w:pPr>
      <w:r>
        <w:separator/>
      </w:r>
    </w:p>
  </w:endnote>
  <w:endnote w:type="continuationSeparator" w:id="0">
    <w:p w:rsidR="00407234" w:rsidRDefault="00407234" w:rsidP="00AC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FC8" w:rsidRDefault="004072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023665"/>
      <w:docPartObj>
        <w:docPartGallery w:val="Page Numbers (Bottom of Page)"/>
        <w:docPartUnique/>
      </w:docPartObj>
    </w:sdtPr>
    <w:sdtEndPr/>
    <w:sdtContent>
      <w:p w:rsidR="00C85FC8" w:rsidRDefault="00AC1066">
        <w:pPr>
          <w:pStyle w:val="Pidipagina"/>
        </w:pPr>
        <w:r>
          <w:fldChar w:fldCharType="begin"/>
        </w:r>
        <w:r>
          <w:instrText>PAGE   \* MERGEFORMAT</w:instrText>
        </w:r>
        <w:r>
          <w:fldChar w:fldCharType="separate"/>
        </w:r>
        <w:r w:rsidR="00CA3E2C">
          <w:rPr>
            <w:noProof/>
          </w:rPr>
          <w:t>1</w:t>
        </w:r>
        <w:r>
          <w:fldChar w:fldCharType="end"/>
        </w:r>
      </w:p>
    </w:sdtContent>
  </w:sdt>
  <w:p w:rsidR="00C85FC8" w:rsidRDefault="0040723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FC8" w:rsidRDefault="004072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234" w:rsidRDefault="00407234" w:rsidP="00AC1066">
      <w:pPr>
        <w:spacing w:after="0" w:line="240" w:lineRule="auto"/>
      </w:pPr>
      <w:r>
        <w:separator/>
      </w:r>
    </w:p>
  </w:footnote>
  <w:footnote w:type="continuationSeparator" w:id="0">
    <w:p w:rsidR="00407234" w:rsidRDefault="00407234" w:rsidP="00AC1066">
      <w:pPr>
        <w:spacing w:after="0" w:line="240" w:lineRule="auto"/>
      </w:pPr>
      <w:r>
        <w:continuationSeparator/>
      </w:r>
    </w:p>
  </w:footnote>
  <w:footnote w:id="1">
    <w:p w:rsidR="00AC1066" w:rsidRDefault="00AC1066" w:rsidP="00AC1066">
      <w:pPr>
        <w:pStyle w:val="Testonotaapidipagina"/>
      </w:pPr>
      <w:r>
        <w:rPr>
          <w:rStyle w:val="Rimandonotaapidipagina"/>
        </w:rPr>
        <w:footnoteRef/>
      </w:r>
      <w:r>
        <w:t xml:space="preserve"> </w:t>
      </w:r>
      <w:r w:rsidRPr="00923226">
        <w:rPr>
          <w:i/>
        </w:rPr>
        <w:t xml:space="preserve">Coscienza giuridica nazionale e giurisprudenza pratica nel primo Novecento italiano” </w:t>
      </w:r>
      <w:r w:rsidRPr="00923226">
        <w:t>in</w:t>
      </w:r>
      <w:r w:rsidRPr="00923226">
        <w:rPr>
          <w:i/>
        </w:rPr>
        <w:t xml:space="preserve"> Quad.fior.</w:t>
      </w:r>
      <w:r w:rsidRPr="00923226">
        <w:t>2011 n. 40, 781 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FC8" w:rsidRDefault="0040723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FC8" w:rsidRDefault="0040723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FC8" w:rsidRDefault="0040723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9D"/>
    <w:rsid w:val="00003968"/>
    <w:rsid w:val="00011B8D"/>
    <w:rsid w:val="000B751E"/>
    <w:rsid w:val="001B709D"/>
    <w:rsid w:val="002177F4"/>
    <w:rsid w:val="00237245"/>
    <w:rsid w:val="0026007D"/>
    <w:rsid w:val="00275AC4"/>
    <w:rsid w:val="00341072"/>
    <w:rsid w:val="00407234"/>
    <w:rsid w:val="00505FEB"/>
    <w:rsid w:val="005768CA"/>
    <w:rsid w:val="005F6CFF"/>
    <w:rsid w:val="0074614C"/>
    <w:rsid w:val="007C6B89"/>
    <w:rsid w:val="00884A2C"/>
    <w:rsid w:val="008F64CE"/>
    <w:rsid w:val="0090455C"/>
    <w:rsid w:val="009E3A94"/>
    <w:rsid w:val="009F5209"/>
    <w:rsid w:val="00A03179"/>
    <w:rsid w:val="00A244D0"/>
    <w:rsid w:val="00A56A50"/>
    <w:rsid w:val="00A9782B"/>
    <w:rsid w:val="00AC1066"/>
    <w:rsid w:val="00B17D03"/>
    <w:rsid w:val="00B57022"/>
    <w:rsid w:val="00C07AE3"/>
    <w:rsid w:val="00C65551"/>
    <w:rsid w:val="00CA3E2C"/>
    <w:rsid w:val="00CB7995"/>
    <w:rsid w:val="00DC1451"/>
    <w:rsid w:val="00DF1BC9"/>
    <w:rsid w:val="00E94254"/>
    <w:rsid w:val="00EF1E8F"/>
    <w:rsid w:val="00F92823"/>
    <w:rsid w:val="00FA7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39E23-643E-4336-877E-C1707BE3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1E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1E8F"/>
  </w:style>
  <w:style w:type="paragraph" w:styleId="Pidipagina">
    <w:name w:val="footer"/>
    <w:basedOn w:val="Normale"/>
    <w:link w:val="PidipaginaCarattere"/>
    <w:uiPriority w:val="99"/>
    <w:unhideWhenUsed/>
    <w:rsid w:val="00EF1E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1E8F"/>
  </w:style>
  <w:style w:type="paragraph" w:styleId="Testonotaapidipagina">
    <w:name w:val="footnote text"/>
    <w:basedOn w:val="Normale"/>
    <w:link w:val="TestonotaapidipaginaCarattere"/>
    <w:semiHidden/>
    <w:rsid w:val="00AC106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AC1066"/>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AC1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1982</Words>
  <Characters>11304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Gianluca Ricci</cp:lastModifiedBy>
  <cp:revision>2</cp:revision>
  <dcterms:created xsi:type="dcterms:W3CDTF">2019-12-12T10:37:00Z</dcterms:created>
  <dcterms:modified xsi:type="dcterms:W3CDTF">2019-12-12T10:37:00Z</dcterms:modified>
</cp:coreProperties>
</file>