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0BF61" w14:textId="343AC002" w:rsidR="00311A5A" w:rsidRPr="000555F1" w:rsidRDefault="00D22A32" w:rsidP="00311A5A">
      <w:pPr>
        <w:jc w:val="center"/>
        <w:rPr>
          <w:rFonts w:ascii="Times New Roman" w:hAnsi="Times New Roman" w:cs="Times New Roman"/>
          <w:sz w:val="32"/>
          <w:szCs w:val="32"/>
        </w:rPr>
      </w:pPr>
      <w:bookmarkStart w:id="0" w:name="_GoBack"/>
      <w:bookmarkEnd w:id="0"/>
      <w:r w:rsidRPr="000555F1">
        <w:rPr>
          <w:rFonts w:ascii="Times New Roman" w:hAnsi="Times New Roman" w:cs="Times New Roman"/>
          <w:b/>
          <w:sz w:val="32"/>
          <w:szCs w:val="32"/>
        </w:rPr>
        <w:t>Le istituzioni della concorrenza</w:t>
      </w:r>
    </w:p>
    <w:p w14:paraId="7C308F93" w14:textId="57F32935" w:rsidR="00D22A32" w:rsidRDefault="00D22A32" w:rsidP="00311A5A">
      <w:pPr>
        <w:jc w:val="center"/>
        <w:rPr>
          <w:rFonts w:ascii="Times New Roman" w:hAnsi="Times New Roman" w:cs="Times New Roman"/>
          <w:sz w:val="32"/>
          <w:szCs w:val="32"/>
        </w:rPr>
      </w:pPr>
      <w:r>
        <w:rPr>
          <w:rFonts w:ascii="Times New Roman" w:hAnsi="Times New Roman" w:cs="Times New Roman"/>
          <w:sz w:val="32"/>
          <w:szCs w:val="32"/>
        </w:rPr>
        <w:t>(Consiglio di Stato, 13 novembre 2019)</w:t>
      </w:r>
    </w:p>
    <w:p w14:paraId="3519AF63" w14:textId="77777777" w:rsidR="00D22A32" w:rsidRDefault="00D22A32" w:rsidP="00423554">
      <w:pPr>
        <w:ind w:firstLine="708"/>
        <w:jc w:val="both"/>
        <w:rPr>
          <w:rFonts w:ascii="Times New Roman" w:hAnsi="Times New Roman" w:cs="Times New Roman"/>
          <w:sz w:val="32"/>
          <w:szCs w:val="32"/>
        </w:rPr>
      </w:pPr>
    </w:p>
    <w:p w14:paraId="363608A2" w14:textId="77777777" w:rsidR="000555F1" w:rsidRPr="00E87751" w:rsidRDefault="000555F1" w:rsidP="000555F1">
      <w:pPr>
        <w:jc w:val="right"/>
        <w:textAlignment w:val="baseline"/>
        <w:rPr>
          <w:color w:val="222222"/>
          <w:sz w:val="32"/>
          <w:szCs w:val="32"/>
        </w:rPr>
      </w:pPr>
      <w:r>
        <w:rPr>
          <w:rFonts w:ascii="Times New Roman" w:hAnsi="Times New Roman" w:cs="Times New Roman"/>
          <w:b/>
          <w:sz w:val="32"/>
          <w:szCs w:val="32"/>
        </w:rPr>
        <w:t>di Filippo Patroni Griffi</w:t>
      </w:r>
    </w:p>
    <w:p w14:paraId="46138738" w14:textId="77777777" w:rsidR="00D22A32" w:rsidRDefault="00D22A32" w:rsidP="00423554">
      <w:pPr>
        <w:ind w:firstLine="708"/>
        <w:jc w:val="both"/>
        <w:rPr>
          <w:rFonts w:ascii="Times New Roman" w:hAnsi="Times New Roman" w:cs="Times New Roman"/>
          <w:sz w:val="32"/>
          <w:szCs w:val="32"/>
        </w:rPr>
      </w:pPr>
    </w:p>
    <w:p w14:paraId="4F42B791" w14:textId="609074E7" w:rsidR="0001113A" w:rsidRPr="00B37AAF" w:rsidRDefault="00EA6135" w:rsidP="00423554">
      <w:pPr>
        <w:ind w:firstLine="708"/>
        <w:jc w:val="both"/>
        <w:rPr>
          <w:rFonts w:ascii="Times New Roman" w:hAnsi="Times New Roman" w:cs="Times New Roman"/>
          <w:sz w:val="32"/>
          <w:szCs w:val="32"/>
        </w:rPr>
      </w:pPr>
      <w:r w:rsidRPr="00B37AAF">
        <w:rPr>
          <w:rFonts w:ascii="Times New Roman" w:hAnsi="Times New Roman" w:cs="Times New Roman"/>
          <w:sz w:val="32"/>
          <w:szCs w:val="32"/>
        </w:rPr>
        <w:t xml:space="preserve">Il 1990 è un anno molto importante per il diritto amministrativo in Italia. E’ l’anno in cui viene varata la legge generale </w:t>
      </w:r>
      <w:r w:rsidR="00BE6299">
        <w:rPr>
          <w:rFonts w:ascii="Times New Roman" w:hAnsi="Times New Roman" w:cs="Times New Roman"/>
          <w:sz w:val="32"/>
          <w:szCs w:val="32"/>
        </w:rPr>
        <w:t>sul procedimento amministrativo</w:t>
      </w:r>
      <w:r w:rsidR="00D3318F">
        <w:rPr>
          <w:rFonts w:ascii="Times New Roman" w:hAnsi="Times New Roman" w:cs="Times New Roman"/>
          <w:sz w:val="32"/>
          <w:szCs w:val="32"/>
        </w:rPr>
        <w:t>, l’anno in cui si introduce una riforma organica degli enti locali.</w:t>
      </w:r>
      <w:r w:rsidRPr="00B37AAF">
        <w:rPr>
          <w:rFonts w:ascii="Times New Roman" w:hAnsi="Times New Roman" w:cs="Times New Roman"/>
          <w:sz w:val="32"/>
          <w:szCs w:val="32"/>
        </w:rPr>
        <w:t xml:space="preserve"> Ed è anche l’anno della legge n. 287: la legge italiana sulla concorrenza, che ha istituito l’Autorità garante della concorrenza e del mercato.</w:t>
      </w:r>
    </w:p>
    <w:p w14:paraId="50E02D9A" w14:textId="77777777" w:rsidR="00423554" w:rsidRPr="00B37AAF" w:rsidRDefault="00423554" w:rsidP="00423554">
      <w:pPr>
        <w:ind w:firstLine="708"/>
        <w:jc w:val="both"/>
        <w:rPr>
          <w:rFonts w:ascii="Times New Roman" w:hAnsi="Times New Roman" w:cs="Times New Roman"/>
          <w:sz w:val="32"/>
          <w:szCs w:val="32"/>
        </w:rPr>
      </w:pPr>
    </w:p>
    <w:p w14:paraId="5D98AF78" w14:textId="77777777" w:rsidR="00423554" w:rsidRPr="00B37AAF" w:rsidRDefault="00EA6135" w:rsidP="00423554">
      <w:pPr>
        <w:ind w:firstLine="708"/>
        <w:jc w:val="both"/>
        <w:rPr>
          <w:rFonts w:ascii="Times New Roman" w:hAnsi="Times New Roman" w:cs="Times New Roman"/>
          <w:sz w:val="32"/>
          <w:szCs w:val="32"/>
        </w:rPr>
      </w:pPr>
      <w:r w:rsidRPr="00B37AAF">
        <w:rPr>
          <w:rFonts w:ascii="Times New Roman" w:hAnsi="Times New Roman" w:cs="Times New Roman"/>
          <w:sz w:val="32"/>
          <w:szCs w:val="32"/>
        </w:rPr>
        <w:t>La concorrenza potremmo definirla, con le parole di M</w:t>
      </w:r>
      <w:r w:rsidR="00B777D7" w:rsidRPr="00B37AAF">
        <w:rPr>
          <w:rFonts w:ascii="Times New Roman" w:hAnsi="Times New Roman" w:cs="Times New Roman"/>
          <w:sz w:val="32"/>
          <w:szCs w:val="32"/>
        </w:rPr>
        <w:t>.</w:t>
      </w:r>
      <w:r w:rsidRPr="00B37AAF">
        <w:rPr>
          <w:rFonts w:ascii="Times New Roman" w:hAnsi="Times New Roman" w:cs="Times New Roman"/>
          <w:sz w:val="32"/>
          <w:szCs w:val="32"/>
        </w:rPr>
        <w:t>S</w:t>
      </w:r>
      <w:r w:rsidR="00B777D7" w:rsidRPr="00B37AAF">
        <w:rPr>
          <w:rFonts w:ascii="Times New Roman" w:hAnsi="Times New Roman" w:cs="Times New Roman"/>
          <w:sz w:val="32"/>
          <w:szCs w:val="32"/>
        </w:rPr>
        <w:t>.</w:t>
      </w:r>
      <w:r w:rsidRPr="00B37AAF">
        <w:rPr>
          <w:rFonts w:ascii="Times New Roman" w:hAnsi="Times New Roman" w:cs="Times New Roman"/>
          <w:sz w:val="32"/>
          <w:szCs w:val="32"/>
        </w:rPr>
        <w:t xml:space="preserve"> Giannini, </w:t>
      </w:r>
      <w:r w:rsidR="00423554" w:rsidRPr="00B37AAF">
        <w:rPr>
          <w:rFonts w:ascii="Times New Roman" w:hAnsi="Times New Roman" w:cs="Times New Roman"/>
          <w:sz w:val="32"/>
          <w:szCs w:val="32"/>
        </w:rPr>
        <w:t xml:space="preserve">come </w:t>
      </w:r>
      <w:r w:rsidRPr="00B37AAF">
        <w:rPr>
          <w:rFonts w:ascii="Times New Roman" w:hAnsi="Times New Roman" w:cs="Times New Roman"/>
          <w:sz w:val="32"/>
          <w:szCs w:val="32"/>
        </w:rPr>
        <w:t xml:space="preserve">un ordinamento settoriale. </w:t>
      </w:r>
    </w:p>
    <w:p w14:paraId="51C687B1" w14:textId="7EC464D7" w:rsidR="00423554" w:rsidRPr="00B37AAF" w:rsidRDefault="00EA6135" w:rsidP="00423554">
      <w:pPr>
        <w:ind w:firstLine="708"/>
        <w:jc w:val="both"/>
        <w:rPr>
          <w:rFonts w:ascii="Times New Roman" w:hAnsi="Times New Roman" w:cs="Times New Roman"/>
          <w:sz w:val="32"/>
          <w:szCs w:val="32"/>
        </w:rPr>
      </w:pPr>
      <w:r w:rsidRPr="00B37AAF">
        <w:rPr>
          <w:rFonts w:ascii="Times New Roman" w:hAnsi="Times New Roman" w:cs="Times New Roman"/>
          <w:sz w:val="32"/>
          <w:szCs w:val="32"/>
        </w:rPr>
        <w:t xml:space="preserve">La scelta ordinamentale, in linea con quella dell’Unione europea, è </w:t>
      </w:r>
      <w:r w:rsidR="009629A9" w:rsidRPr="00B37AAF">
        <w:rPr>
          <w:rFonts w:ascii="Times New Roman" w:hAnsi="Times New Roman" w:cs="Times New Roman"/>
          <w:sz w:val="32"/>
          <w:szCs w:val="32"/>
        </w:rPr>
        <w:t xml:space="preserve">infatti </w:t>
      </w:r>
      <w:r w:rsidRPr="00B37AAF">
        <w:rPr>
          <w:rFonts w:ascii="Times New Roman" w:hAnsi="Times New Roman" w:cs="Times New Roman"/>
          <w:sz w:val="32"/>
          <w:szCs w:val="32"/>
        </w:rPr>
        <w:t xml:space="preserve">di introdurre in primo luogo un sistema di </w:t>
      </w:r>
      <w:r w:rsidRPr="00B37AAF">
        <w:rPr>
          <w:rFonts w:ascii="Times New Roman" w:hAnsi="Times New Roman" w:cs="Times New Roman"/>
          <w:i/>
          <w:sz w:val="32"/>
          <w:szCs w:val="32"/>
        </w:rPr>
        <w:t xml:space="preserve">antitrust public </w:t>
      </w:r>
      <w:proofErr w:type="spellStart"/>
      <w:r w:rsidRPr="00B37AAF">
        <w:rPr>
          <w:rFonts w:ascii="Times New Roman" w:hAnsi="Times New Roman" w:cs="Times New Roman"/>
          <w:i/>
          <w:sz w:val="32"/>
          <w:szCs w:val="32"/>
        </w:rPr>
        <w:t>enforcement</w:t>
      </w:r>
      <w:proofErr w:type="spellEnd"/>
      <w:r w:rsidRPr="00B37AAF">
        <w:rPr>
          <w:rFonts w:ascii="Times New Roman" w:hAnsi="Times New Roman" w:cs="Times New Roman"/>
          <w:sz w:val="32"/>
          <w:szCs w:val="32"/>
        </w:rPr>
        <w:t xml:space="preserve">. </w:t>
      </w:r>
    </w:p>
    <w:p w14:paraId="43424F40" w14:textId="77777777" w:rsidR="00423554" w:rsidRPr="00B37AAF" w:rsidRDefault="00423554" w:rsidP="00423554">
      <w:pPr>
        <w:ind w:firstLine="708"/>
        <w:jc w:val="both"/>
        <w:rPr>
          <w:rFonts w:ascii="Times New Roman" w:hAnsi="Times New Roman" w:cs="Times New Roman"/>
          <w:sz w:val="32"/>
          <w:szCs w:val="32"/>
        </w:rPr>
      </w:pPr>
    </w:p>
    <w:p w14:paraId="368A0891" w14:textId="3617961A" w:rsidR="00423554" w:rsidRPr="00B37AAF" w:rsidRDefault="00EA6135" w:rsidP="00423554">
      <w:pPr>
        <w:ind w:firstLine="708"/>
        <w:jc w:val="both"/>
        <w:rPr>
          <w:rFonts w:ascii="Times New Roman" w:hAnsi="Times New Roman" w:cs="Times New Roman"/>
          <w:sz w:val="32"/>
          <w:szCs w:val="32"/>
        </w:rPr>
      </w:pPr>
      <w:r w:rsidRPr="00B37AAF">
        <w:rPr>
          <w:rFonts w:ascii="Times New Roman" w:hAnsi="Times New Roman" w:cs="Times New Roman"/>
          <w:sz w:val="32"/>
          <w:szCs w:val="32"/>
        </w:rPr>
        <w:t>L’istituzione di AGC</w:t>
      </w:r>
      <w:r w:rsidR="0067763C">
        <w:rPr>
          <w:rFonts w:ascii="Times New Roman" w:hAnsi="Times New Roman" w:cs="Times New Roman"/>
          <w:sz w:val="32"/>
          <w:szCs w:val="32"/>
        </w:rPr>
        <w:t>M ha visto confluire in questa i</w:t>
      </w:r>
      <w:r w:rsidRPr="00B37AAF">
        <w:rPr>
          <w:rFonts w:ascii="Times New Roman" w:hAnsi="Times New Roman" w:cs="Times New Roman"/>
          <w:sz w:val="32"/>
          <w:szCs w:val="32"/>
        </w:rPr>
        <w:t xml:space="preserve">stituzione una serie di competenze: da quella, cruciale, di repressione degli illeciti anticoncorrenziali, a quella di autorizzare le concentrazioni </w:t>
      </w:r>
      <w:r w:rsidR="009629A9" w:rsidRPr="00B37AAF">
        <w:rPr>
          <w:rFonts w:ascii="Times New Roman" w:hAnsi="Times New Roman" w:cs="Times New Roman"/>
          <w:sz w:val="32"/>
          <w:szCs w:val="32"/>
        </w:rPr>
        <w:t>sino</w:t>
      </w:r>
      <w:r w:rsidRPr="00B37AAF">
        <w:rPr>
          <w:rFonts w:ascii="Times New Roman" w:hAnsi="Times New Roman" w:cs="Times New Roman"/>
          <w:sz w:val="32"/>
          <w:szCs w:val="32"/>
        </w:rPr>
        <w:t xml:space="preserve"> alla funzione di c.d. </w:t>
      </w:r>
      <w:proofErr w:type="spellStart"/>
      <w:r w:rsidRPr="00B37AAF">
        <w:rPr>
          <w:rFonts w:ascii="Times New Roman" w:hAnsi="Times New Roman" w:cs="Times New Roman"/>
          <w:i/>
          <w:sz w:val="32"/>
          <w:szCs w:val="32"/>
        </w:rPr>
        <w:t>advocacy</w:t>
      </w:r>
      <w:proofErr w:type="spellEnd"/>
      <w:r w:rsidRPr="00B37AAF">
        <w:rPr>
          <w:rFonts w:ascii="Times New Roman" w:hAnsi="Times New Roman" w:cs="Times New Roman"/>
          <w:sz w:val="32"/>
          <w:szCs w:val="32"/>
        </w:rPr>
        <w:t>, che proprio in anni recenti ha visto espandere la pronuncia di pareri e segnalazioni</w:t>
      </w:r>
      <w:r w:rsidR="0067763C">
        <w:rPr>
          <w:rFonts w:ascii="Times New Roman" w:hAnsi="Times New Roman" w:cs="Times New Roman"/>
          <w:sz w:val="32"/>
          <w:szCs w:val="32"/>
        </w:rPr>
        <w:t>,</w:t>
      </w:r>
      <w:r w:rsidRPr="00B37AAF">
        <w:rPr>
          <w:rFonts w:ascii="Times New Roman" w:hAnsi="Times New Roman" w:cs="Times New Roman"/>
          <w:sz w:val="32"/>
          <w:szCs w:val="32"/>
        </w:rPr>
        <w:t xml:space="preserve"> allo speciale </w:t>
      </w:r>
      <w:r w:rsidR="0067763C">
        <w:rPr>
          <w:rFonts w:ascii="Times New Roman" w:hAnsi="Times New Roman" w:cs="Times New Roman"/>
          <w:sz w:val="32"/>
          <w:szCs w:val="32"/>
        </w:rPr>
        <w:t>legittimazione a ricorrere davanti al g</w:t>
      </w:r>
      <w:r w:rsidRPr="00B37AAF">
        <w:rPr>
          <w:rFonts w:ascii="Times New Roman" w:hAnsi="Times New Roman" w:cs="Times New Roman"/>
          <w:sz w:val="32"/>
          <w:szCs w:val="32"/>
        </w:rPr>
        <w:t>iudice amministrativo contro gli atti amministrativi lesivi della concorrenza</w:t>
      </w:r>
      <w:r w:rsidR="00B777D7" w:rsidRPr="00B37AAF">
        <w:rPr>
          <w:rFonts w:ascii="Times New Roman" w:hAnsi="Times New Roman" w:cs="Times New Roman"/>
          <w:sz w:val="32"/>
          <w:szCs w:val="32"/>
        </w:rPr>
        <w:t xml:space="preserve"> ai sensi dell’</w:t>
      </w:r>
      <w:r w:rsidR="00423554" w:rsidRPr="00B37AAF">
        <w:rPr>
          <w:rFonts w:ascii="Times New Roman" w:hAnsi="Times New Roman" w:cs="Times New Roman"/>
          <w:sz w:val="32"/>
          <w:szCs w:val="32"/>
        </w:rPr>
        <w:t>art. 21</w:t>
      </w:r>
      <w:r w:rsidR="00423554" w:rsidRPr="00B37AAF">
        <w:rPr>
          <w:rFonts w:ascii="Times New Roman" w:hAnsi="Times New Roman" w:cs="Times New Roman"/>
          <w:i/>
          <w:sz w:val="32"/>
          <w:szCs w:val="32"/>
        </w:rPr>
        <w:t>bis</w:t>
      </w:r>
      <w:r w:rsidR="00B777D7" w:rsidRPr="00B37AAF">
        <w:rPr>
          <w:rFonts w:ascii="Times New Roman" w:hAnsi="Times New Roman" w:cs="Times New Roman"/>
          <w:sz w:val="32"/>
          <w:szCs w:val="32"/>
        </w:rPr>
        <w:t xml:space="preserve"> della legge n. 287</w:t>
      </w:r>
      <w:r w:rsidR="0067763C">
        <w:rPr>
          <w:rFonts w:ascii="Times New Roman" w:hAnsi="Times New Roman" w:cs="Times New Roman"/>
          <w:sz w:val="32"/>
          <w:szCs w:val="32"/>
        </w:rPr>
        <w:t>.</w:t>
      </w:r>
      <w:r w:rsidRPr="00B37AAF">
        <w:rPr>
          <w:rFonts w:ascii="Times New Roman" w:hAnsi="Times New Roman" w:cs="Times New Roman"/>
          <w:sz w:val="32"/>
          <w:szCs w:val="32"/>
        </w:rPr>
        <w:t xml:space="preserve"> </w:t>
      </w:r>
      <w:r w:rsidR="00B777D7" w:rsidRPr="00B37AAF">
        <w:rPr>
          <w:rFonts w:ascii="Times New Roman" w:hAnsi="Times New Roman" w:cs="Times New Roman"/>
          <w:sz w:val="32"/>
          <w:szCs w:val="32"/>
        </w:rPr>
        <w:t xml:space="preserve">AGCM </w:t>
      </w:r>
      <w:r w:rsidR="009629A9" w:rsidRPr="00B37AAF">
        <w:rPr>
          <w:rFonts w:ascii="Times New Roman" w:hAnsi="Times New Roman" w:cs="Times New Roman"/>
          <w:sz w:val="32"/>
          <w:szCs w:val="32"/>
        </w:rPr>
        <w:t>ha lavorato nei suoi primi anni</w:t>
      </w:r>
      <w:r w:rsidR="00B777D7" w:rsidRPr="00B37AAF">
        <w:rPr>
          <w:rFonts w:ascii="Times New Roman" w:hAnsi="Times New Roman" w:cs="Times New Roman"/>
          <w:sz w:val="32"/>
          <w:szCs w:val="32"/>
        </w:rPr>
        <w:t xml:space="preserve"> </w:t>
      </w:r>
      <w:r w:rsidR="009629A9" w:rsidRPr="00B37AAF">
        <w:rPr>
          <w:rFonts w:ascii="Times New Roman" w:hAnsi="Times New Roman" w:cs="Times New Roman"/>
          <w:sz w:val="32"/>
          <w:szCs w:val="32"/>
        </w:rPr>
        <w:t>(</w:t>
      </w:r>
      <w:r w:rsidR="00B777D7" w:rsidRPr="00B37AAF">
        <w:rPr>
          <w:rFonts w:ascii="Times New Roman" w:hAnsi="Times New Roman" w:cs="Times New Roman"/>
          <w:sz w:val="32"/>
          <w:szCs w:val="32"/>
        </w:rPr>
        <w:t>quelli che Giuliano Amato ha definito del “</w:t>
      </w:r>
      <w:r w:rsidR="00B777D7" w:rsidRPr="00B37AAF">
        <w:rPr>
          <w:rFonts w:ascii="Times New Roman" w:hAnsi="Times New Roman" w:cs="Times New Roman"/>
          <w:i/>
          <w:sz w:val="32"/>
          <w:szCs w:val="32"/>
        </w:rPr>
        <w:t>missionario in terra di infedeli</w:t>
      </w:r>
      <w:r w:rsidR="00B777D7" w:rsidRPr="00B37AAF">
        <w:rPr>
          <w:rFonts w:ascii="Times New Roman" w:hAnsi="Times New Roman" w:cs="Times New Roman"/>
          <w:sz w:val="32"/>
          <w:szCs w:val="32"/>
        </w:rPr>
        <w:t>”</w:t>
      </w:r>
      <w:r w:rsidR="009629A9" w:rsidRPr="00B37AAF">
        <w:rPr>
          <w:rFonts w:ascii="Times New Roman" w:hAnsi="Times New Roman" w:cs="Times New Roman"/>
          <w:sz w:val="32"/>
          <w:szCs w:val="32"/>
        </w:rPr>
        <w:t xml:space="preserve"> a causa delle difficoltà di un sistema, che non conosceva il diritto </w:t>
      </w:r>
      <w:r w:rsidR="009629A9" w:rsidRPr="0067763C">
        <w:rPr>
          <w:rFonts w:ascii="Times New Roman" w:hAnsi="Times New Roman" w:cs="Times New Roman"/>
          <w:i/>
          <w:sz w:val="32"/>
          <w:szCs w:val="32"/>
        </w:rPr>
        <w:t>antitrust</w:t>
      </w:r>
      <w:r w:rsidR="009629A9" w:rsidRPr="00B37AAF">
        <w:rPr>
          <w:rFonts w:ascii="Times New Roman" w:hAnsi="Times New Roman" w:cs="Times New Roman"/>
          <w:sz w:val="32"/>
          <w:szCs w:val="32"/>
        </w:rPr>
        <w:t>, a confrontarsi con questa nuova realtà)</w:t>
      </w:r>
      <w:r w:rsidR="00B777D7" w:rsidRPr="00B37AAF">
        <w:rPr>
          <w:rFonts w:ascii="Times New Roman" w:hAnsi="Times New Roman" w:cs="Times New Roman"/>
          <w:sz w:val="32"/>
          <w:szCs w:val="32"/>
        </w:rPr>
        <w:t xml:space="preserve"> sotto l’egida della legge n. 287 del 1990. Poi la concorrenza è stata attratta ancor più nettamente nell’architettura europea, con il Regolamento n. 1 del 2003, che ha affidato alle Autorità di concorrenza degli stati membri la diretta applicazione degli articoli 101 e 102 TFUE, nell’ambito di un </w:t>
      </w:r>
      <w:r w:rsidR="00B777D7" w:rsidRPr="00B37AAF">
        <w:rPr>
          <w:rFonts w:ascii="Times New Roman" w:hAnsi="Times New Roman" w:cs="Times New Roman"/>
          <w:i/>
          <w:sz w:val="32"/>
          <w:szCs w:val="32"/>
        </w:rPr>
        <w:t>network</w:t>
      </w:r>
      <w:r w:rsidR="00B777D7" w:rsidRPr="00B37AAF">
        <w:rPr>
          <w:rFonts w:ascii="Times New Roman" w:hAnsi="Times New Roman" w:cs="Times New Roman"/>
          <w:sz w:val="32"/>
          <w:szCs w:val="32"/>
        </w:rPr>
        <w:t xml:space="preserve"> direttamente coordinato dalla Commissione UE. </w:t>
      </w:r>
    </w:p>
    <w:p w14:paraId="1F55BEEB" w14:textId="6A5BE170" w:rsidR="00B777D7" w:rsidRPr="00B37AAF" w:rsidRDefault="00B777D7" w:rsidP="00423554">
      <w:pPr>
        <w:ind w:firstLine="708"/>
        <w:jc w:val="both"/>
        <w:rPr>
          <w:rFonts w:ascii="Times New Roman" w:hAnsi="Times New Roman" w:cs="Times New Roman"/>
          <w:sz w:val="32"/>
          <w:szCs w:val="32"/>
        </w:rPr>
      </w:pPr>
      <w:r w:rsidRPr="00B37AAF">
        <w:rPr>
          <w:rFonts w:ascii="Times New Roman" w:hAnsi="Times New Roman" w:cs="Times New Roman"/>
          <w:sz w:val="32"/>
          <w:szCs w:val="32"/>
        </w:rPr>
        <w:t xml:space="preserve">Oggi </w:t>
      </w:r>
      <w:r w:rsidR="0067763C">
        <w:rPr>
          <w:rFonts w:ascii="Times New Roman" w:hAnsi="Times New Roman" w:cs="Times New Roman"/>
          <w:sz w:val="32"/>
          <w:szCs w:val="32"/>
        </w:rPr>
        <w:t>lo Stato italiano Italiana è chiamato</w:t>
      </w:r>
      <w:r w:rsidRPr="00B37AAF">
        <w:rPr>
          <w:rFonts w:ascii="Times New Roman" w:hAnsi="Times New Roman" w:cs="Times New Roman"/>
          <w:sz w:val="32"/>
          <w:szCs w:val="32"/>
        </w:rPr>
        <w:t xml:space="preserve"> a recepire la nuova direttiva n. 1 del 2019, che punta ad una migliore armonizzazione dei poteri di </w:t>
      </w:r>
      <w:r w:rsidRPr="00B37AAF">
        <w:rPr>
          <w:rFonts w:ascii="Times New Roman" w:hAnsi="Times New Roman" w:cs="Times New Roman"/>
          <w:i/>
          <w:sz w:val="32"/>
          <w:szCs w:val="32"/>
        </w:rPr>
        <w:t xml:space="preserve">public </w:t>
      </w:r>
      <w:proofErr w:type="spellStart"/>
      <w:r w:rsidRPr="00B37AAF">
        <w:rPr>
          <w:rFonts w:ascii="Times New Roman" w:hAnsi="Times New Roman" w:cs="Times New Roman"/>
          <w:i/>
          <w:sz w:val="32"/>
          <w:szCs w:val="32"/>
        </w:rPr>
        <w:t>enforcement</w:t>
      </w:r>
      <w:proofErr w:type="spellEnd"/>
      <w:r w:rsidRPr="00B37AAF">
        <w:rPr>
          <w:rFonts w:ascii="Times New Roman" w:hAnsi="Times New Roman" w:cs="Times New Roman"/>
          <w:sz w:val="32"/>
          <w:szCs w:val="32"/>
        </w:rPr>
        <w:t xml:space="preserve"> delle Autorità </w:t>
      </w:r>
      <w:r w:rsidRPr="0067763C">
        <w:rPr>
          <w:rFonts w:ascii="Times New Roman" w:hAnsi="Times New Roman" w:cs="Times New Roman"/>
          <w:i/>
          <w:sz w:val="32"/>
          <w:szCs w:val="32"/>
        </w:rPr>
        <w:t>antitrust</w:t>
      </w:r>
      <w:r w:rsidRPr="00B37AAF">
        <w:rPr>
          <w:rFonts w:ascii="Times New Roman" w:hAnsi="Times New Roman" w:cs="Times New Roman"/>
          <w:sz w:val="32"/>
          <w:szCs w:val="32"/>
        </w:rPr>
        <w:t xml:space="preserve"> europee.</w:t>
      </w:r>
    </w:p>
    <w:p w14:paraId="4BAB7D38" w14:textId="77777777" w:rsidR="00423554" w:rsidRPr="00B37AAF" w:rsidRDefault="00423554" w:rsidP="00EA6135">
      <w:pPr>
        <w:jc w:val="both"/>
        <w:rPr>
          <w:rFonts w:ascii="Times New Roman" w:hAnsi="Times New Roman" w:cs="Times New Roman"/>
          <w:sz w:val="32"/>
          <w:szCs w:val="32"/>
        </w:rPr>
      </w:pPr>
    </w:p>
    <w:p w14:paraId="378A07ED" w14:textId="6CCFA29A" w:rsidR="00EA6135" w:rsidRPr="00B37AAF" w:rsidRDefault="0067763C" w:rsidP="00423554">
      <w:pPr>
        <w:ind w:firstLine="708"/>
        <w:jc w:val="both"/>
        <w:rPr>
          <w:rFonts w:ascii="Times New Roman" w:hAnsi="Times New Roman" w:cs="Times New Roman"/>
          <w:sz w:val="32"/>
          <w:szCs w:val="32"/>
        </w:rPr>
      </w:pPr>
      <w:r>
        <w:rPr>
          <w:rFonts w:ascii="Times New Roman" w:hAnsi="Times New Roman" w:cs="Times New Roman"/>
          <w:sz w:val="32"/>
          <w:szCs w:val="32"/>
        </w:rPr>
        <w:lastRenderedPageBreak/>
        <w:t>Il g</w:t>
      </w:r>
      <w:r w:rsidR="00EA6135" w:rsidRPr="00B37AAF">
        <w:rPr>
          <w:rFonts w:ascii="Times New Roman" w:hAnsi="Times New Roman" w:cs="Times New Roman"/>
          <w:sz w:val="32"/>
          <w:szCs w:val="32"/>
        </w:rPr>
        <w:t xml:space="preserve">iudice amministrativo ha avuto il compito di effettuare il suo sindacato sul potere pubblico dell’AGCM. Lo ha svolto in </w:t>
      </w:r>
      <w:r w:rsidR="009629A9" w:rsidRPr="00B37AAF">
        <w:rPr>
          <w:rFonts w:ascii="Times New Roman" w:hAnsi="Times New Roman" w:cs="Times New Roman"/>
          <w:sz w:val="32"/>
          <w:szCs w:val="32"/>
        </w:rPr>
        <w:t>linea</w:t>
      </w:r>
      <w:r w:rsidR="00EA6135" w:rsidRPr="00B37AAF">
        <w:rPr>
          <w:rFonts w:ascii="Times New Roman" w:hAnsi="Times New Roman" w:cs="Times New Roman"/>
          <w:sz w:val="32"/>
          <w:szCs w:val="32"/>
        </w:rPr>
        <w:t xml:space="preserve"> con la sua missione tradizion</w:t>
      </w:r>
      <w:r w:rsidR="00423554" w:rsidRPr="00B37AAF">
        <w:rPr>
          <w:rFonts w:ascii="Times New Roman" w:hAnsi="Times New Roman" w:cs="Times New Roman"/>
          <w:sz w:val="32"/>
          <w:szCs w:val="32"/>
        </w:rPr>
        <w:t>al</w:t>
      </w:r>
      <w:r w:rsidR="00EA6135" w:rsidRPr="00B37AAF">
        <w:rPr>
          <w:rFonts w:ascii="Times New Roman" w:hAnsi="Times New Roman" w:cs="Times New Roman"/>
          <w:sz w:val="32"/>
          <w:szCs w:val="32"/>
        </w:rPr>
        <w:t>e di giudice che controlla i poteri pubblici</w:t>
      </w:r>
      <w:r w:rsidR="00B777D7" w:rsidRPr="00B37AAF">
        <w:rPr>
          <w:rFonts w:ascii="Times New Roman" w:hAnsi="Times New Roman" w:cs="Times New Roman"/>
          <w:sz w:val="32"/>
          <w:szCs w:val="32"/>
        </w:rPr>
        <w:t xml:space="preserve">. Ed ha adattato il suo controllo, in </w:t>
      </w:r>
      <w:r w:rsidR="00423554" w:rsidRPr="00B37AAF">
        <w:rPr>
          <w:rFonts w:ascii="Times New Roman" w:hAnsi="Times New Roman" w:cs="Times New Roman"/>
          <w:sz w:val="32"/>
          <w:szCs w:val="32"/>
        </w:rPr>
        <w:t xml:space="preserve">stretta </w:t>
      </w:r>
      <w:r w:rsidR="009629A9" w:rsidRPr="00B37AAF">
        <w:rPr>
          <w:rFonts w:ascii="Times New Roman" w:hAnsi="Times New Roman" w:cs="Times New Roman"/>
          <w:sz w:val="32"/>
          <w:szCs w:val="32"/>
        </w:rPr>
        <w:t>aderenza</w:t>
      </w:r>
      <w:r w:rsidR="00B777D7" w:rsidRPr="00B37AAF">
        <w:rPr>
          <w:rFonts w:ascii="Times New Roman" w:hAnsi="Times New Roman" w:cs="Times New Roman"/>
          <w:sz w:val="32"/>
          <w:szCs w:val="32"/>
        </w:rPr>
        <w:t xml:space="preserve"> con quanto spetta alla Corte di giustizia UE nei confronti delle decisioni </w:t>
      </w:r>
      <w:r w:rsidR="00B777D7" w:rsidRPr="00B37AAF">
        <w:rPr>
          <w:rFonts w:ascii="Times New Roman" w:hAnsi="Times New Roman" w:cs="Times New Roman"/>
          <w:i/>
          <w:sz w:val="32"/>
          <w:szCs w:val="32"/>
        </w:rPr>
        <w:t>antitrust</w:t>
      </w:r>
      <w:r w:rsidR="00B777D7" w:rsidRPr="00B37AAF">
        <w:rPr>
          <w:rFonts w:ascii="Times New Roman" w:hAnsi="Times New Roman" w:cs="Times New Roman"/>
          <w:sz w:val="32"/>
          <w:szCs w:val="32"/>
        </w:rPr>
        <w:t xml:space="preserve"> della Commissione, all’esigenza di un corretto equilibrio tra potere</w:t>
      </w:r>
      <w:r w:rsidR="00423554" w:rsidRPr="00B37AAF">
        <w:rPr>
          <w:rFonts w:ascii="Times New Roman" w:hAnsi="Times New Roman" w:cs="Times New Roman"/>
          <w:sz w:val="32"/>
          <w:szCs w:val="32"/>
        </w:rPr>
        <w:t>,</w:t>
      </w:r>
      <w:r w:rsidR="00B777D7" w:rsidRPr="00B37AAF">
        <w:rPr>
          <w:rFonts w:ascii="Times New Roman" w:hAnsi="Times New Roman" w:cs="Times New Roman"/>
          <w:sz w:val="32"/>
          <w:szCs w:val="32"/>
        </w:rPr>
        <w:t xml:space="preserve"> diritti</w:t>
      </w:r>
      <w:r w:rsidR="00423554" w:rsidRPr="00B37AAF">
        <w:rPr>
          <w:rFonts w:ascii="Times New Roman" w:hAnsi="Times New Roman" w:cs="Times New Roman"/>
          <w:sz w:val="32"/>
          <w:szCs w:val="32"/>
        </w:rPr>
        <w:t xml:space="preserve"> e interessi</w:t>
      </w:r>
      <w:r w:rsidR="00B777D7" w:rsidRPr="00B37AAF">
        <w:rPr>
          <w:rFonts w:ascii="Times New Roman" w:hAnsi="Times New Roman" w:cs="Times New Roman"/>
          <w:sz w:val="32"/>
          <w:szCs w:val="32"/>
        </w:rPr>
        <w:t xml:space="preserve">. Le formule e l’intensità di questo sindacato nel corso del tempo sono </w:t>
      </w:r>
      <w:r w:rsidR="00423554" w:rsidRPr="00B37AAF">
        <w:rPr>
          <w:rFonts w:ascii="Times New Roman" w:hAnsi="Times New Roman" w:cs="Times New Roman"/>
          <w:sz w:val="32"/>
          <w:szCs w:val="32"/>
        </w:rPr>
        <w:t>cambiate, nel segno di una maggiore effettività</w:t>
      </w:r>
      <w:r w:rsidR="00B777D7" w:rsidRPr="00B37AAF">
        <w:rPr>
          <w:rFonts w:ascii="Times New Roman" w:hAnsi="Times New Roman" w:cs="Times New Roman"/>
          <w:sz w:val="32"/>
          <w:szCs w:val="32"/>
        </w:rPr>
        <w:t xml:space="preserve">: si è </w:t>
      </w:r>
      <w:r w:rsidR="00423554" w:rsidRPr="00B37AAF">
        <w:rPr>
          <w:rFonts w:ascii="Times New Roman" w:hAnsi="Times New Roman" w:cs="Times New Roman"/>
          <w:sz w:val="32"/>
          <w:szCs w:val="32"/>
        </w:rPr>
        <w:t xml:space="preserve">presto </w:t>
      </w:r>
      <w:r w:rsidR="00B777D7" w:rsidRPr="00B37AAF">
        <w:rPr>
          <w:rFonts w:ascii="Times New Roman" w:hAnsi="Times New Roman" w:cs="Times New Roman"/>
          <w:sz w:val="32"/>
          <w:szCs w:val="32"/>
        </w:rPr>
        <w:t>passati dal controllo “debole”</w:t>
      </w:r>
      <w:r>
        <w:rPr>
          <w:rFonts w:ascii="Times New Roman" w:hAnsi="Times New Roman" w:cs="Times New Roman"/>
          <w:sz w:val="32"/>
          <w:szCs w:val="32"/>
        </w:rPr>
        <w:t xml:space="preserve"> ed “estrinseco”</w:t>
      </w:r>
      <w:r w:rsidR="00B777D7" w:rsidRPr="00B37AAF">
        <w:rPr>
          <w:rFonts w:ascii="Times New Roman" w:hAnsi="Times New Roman" w:cs="Times New Roman"/>
          <w:sz w:val="32"/>
          <w:szCs w:val="32"/>
        </w:rPr>
        <w:t xml:space="preserve"> al controllo “forte”</w:t>
      </w:r>
      <w:r w:rsidR="00423554" w:rsidRPr="00B37AAF">
        <w:rPr>
          <w:rFonts w:ascii="Times New Roman" w:hAnsi="Times New Roman" w:cs="Times New Roman"/>
          <w:sz w:val="32"/>
          <w:szCs w:val="32"/>
        </w:rPr>
        <w:t xml:space="preserve"> di ragionevolezza; e</w:t>
      </w:r>
      <w:r w:rsidR="00B777D7" w:rsidRPr="00B37AAF">
        <w:rPr>
          <w:rFonts w:ascii="Times New Roman" w:hAnsi="Times New Roman" w:cs="Times New Roman"/>
          <w:sz w:val="32"/>
          <w:szCs w:val="32"/>
        </w:rPr>
        <w:t xml:space="preserve"> </w:t>
      </w:r>
      <w:r>
        <w:rPr>
          <w:rFonts w:ascii="Times New Roman" w:hAnsi="Times New Roman" w:cs="Times New Roman"/>
          <w:sz w:val="32"/>
          <w:szCs w:val="32"/>
        </w:rPr>
        <w:t>la recente</w:t>
      </w:r>
      <w:r w:rsidR="00B777D7" w:rsidRPr="00B37AAF">
        <w:rPr>
          <w:rFonts w:ascii="Times New Roman" w:hAnsi="Times New Roman" w:cs="Times New Roman"/>
          <w:sz w:val="32"/>
          <w:szCs w:val="32"/>
        </w:rPr>
        <w:t xml:space="preserve"> sentenza della Sezione VI sul caso </w:t>
      </w:r>
      <w:r w:rsidR="00B777D7" w:rsidRPr="00B37AAF">
        <w:rPr>
          <w:rFonts w:ascii="Times New Roman" w:hAnsi="Times New Roman" w:cs="Times New Roman"/>
          <w:i/>
          <w:sz w:val="32"/>
          <w:szCs w:val="32"/>
        </w:rPr>
        <w:t>Roche-Novartis</w:t>
      </w:r>
      <w:r w:rsidR="00B777D7" w:rsidRPr="00B37AAF">
        <w:rPr>
          <w:rFonts w:ascii="Times New Roman" w:hAnsi="Times New Roman" w:cs="Times New Roman"/>
          <w:sz w:val="32"/>
          <w:szCs w:val="32"/>
        </w:rPr>
        <w:t xml:space="preserve"> </w:t>
      </w:r>
      <w:r>
        <w:rPr>
          <w:rFonts w:ascii="Times New Roman" w:hAnsi="Times New Roman" w:cs="Times New Roman"/>
          <w:sz w:val="32"/>
          <w:szCs w:val="32"/>
        </w:rPr>
        <w:t>si è spinta verso</w:t>
      </w:r>
      <w:r w:rsidR="00B777D7" w:rsidRPr="00B37AAF">
        <w:rPr>
          <w:rFonts w:ascii="Times New Roman" w:hAnsi="Times New Roman" w:cs="Times New Roman"/>
          <w:sz w:val="32"/>
          <w:szCs w:val="32"/>
        </w:rPr>
        <w:t xml:space="preserve"> un sindacato che</w:t>
      </w:r>
      <w:r>
        <w:rPr>
          <w:rFonts w:ascii="Times New Roman" w:hAnsi="Times New Roman" w:cs="Times New Roman"/>
          <w:sz w:val="32"/>
          <w:szCs w:val="32"/>
        </w:rPr>
        <w:t>, pur non ponendosi come</w:t>
      </w:r>
      <w:r w:rsidR="00B777D7" w:rsidRPr="00B37AAF">
        <w:rPr>
          <w:rFonts w:ascii="Times New Roman" w:hAnsi="Times New Roman" w:cs="Times New Roman"/>
          <w:sz w:val="32"/>
          <w:szCs w:val="32"/>
        </w:rPr>
        <w:t xml:space="preserve"> “sostitutivo”, </w:t>
      </w:r>
      <w:r>
        <w:rPr>
          <w:rFonts w:ascii="Times New Roman" w:hAnsi="Times New Roman" w:cs="Times New Roman"/>
          <w:sz w:val="32"/>
          <w:szCs w:val="32"/>
        </w:rPr>
        <w:t xml:space="preserve">ben può essere definito </w:t>
      </w:r>
      <w:r w:rsidR="00B777D7" w:rsidRPr="00B37AAF">
        <w:rPr>
          <w:rFonts w:ascii="Times New Roman" w:hAnsi="Times New Roman" w:cs="Times New Roman"/>
          <w:sz w:val="32"/>
          <w:szCs w:val="32"/>
        </w:rPr>
        <w:t>di “maggiore attendibilità”.</w:t>
      </w:r>
    </w:p>
    <w:p w14:paraId="455EDEAC" w14:textId="02428346" w:rsidR="00E62EA9" w:rsidRPr="00B37AAF" w:rsidRDefault="00B777D7" w:rsidP="00423554">
      <w:pPr>
        <w:ind w:firstLine="708"/>
        <w:jc w:val="both"/>
        <w:rPr>
          <w:rFonts w:ascii="Times New Roman" w:hAnsi="Times New Roman" w:cs="Times New Roman"/>
          <w:sz w:val="32"/>
          <w:szCs w:val="32"/>
        </w:rPr>
      </w:pPr>
      <w:r w:rsidRPr="00B37AAF">
        <w:rPr>
          <w:rFonts w:ascii="Times New Roman" w:hAnsi="Times New Roman" w:cs="Times New Roman"/>
          <w:sz w:val="32"/>
          <w:szCs w:val="32"/>
        </w:rPr>
        <w:t xml:space="preserve">Accanto alla vicenda del </w:t>
      </w:r>
      <w:r w:rsidRPr="00B37AAF">
        <w:rPr>
          <w:rFonts w:ascii="Times New Roman" w:hAnsi="Times New Roman" w:cs="Times New Roman"/>
          <w:i/>
          <w:sz w:val="32"/>
          <w:szCs w:val="32"/>
        </w:rPr>
        <w:t xml:space="preserve">public </w:t>
      </w:r>
      <w:proofErr w:type="spellStart"/>
      <w:r w:rsidRPr="00B37AAF">
        <w:rPr>
          <w:rFonts w:ascii="Times New Roman" w:hAnsi="Times New Roman" w:cs="Times New Roman"/>
          <w:i/>
          <w:sz w:val="32"/>
          <w:szCs w:val="32"/>
        </w:rPr>
        <w:t>enforcement</w:t>
      </w:r>
      <w:proofErr w:type="spellEnd"/>
      <w:r w:rsidRPr="00B37AAF">
        <w:rPr>
          <w:rFonts w:ascii="Times New Roman" w:hAnsi="Times New Roman" w:cs="Times New Roman"/>
          <w:sz w:val="32"/>
          <w:szCs w:val="32"/>
        </w:rPr>
        <w:t xml:space="preserve">, si è sviluppata quella del </w:t>
      </w:r>
      <w:r w:rsidRPr="00B37AAF">
        <w:rPr>
          <w:rFonts w:ascii="Times New Roman" w:hAnsi="Times New Roman" w:cs="Times New Roman"/>
          <w:i/>
          <w:sz w:val="32"/>
          <w:szCs w:val="32"/>
        </w:rPr>
        <w:t xml:space="preserve">private </w:t>
      </w:r>
      <w:proofErr w:type="spellStart"/>
      <w:r w:rsidRPr="00B37AAF">
        <w:rPr>
          <w:rFonts w:ascii="Times New Roman" w:hAnsi="Times New Roman" w:cs="Times New Roman"/>
          <w:i/>
          <w:sz w:val="32"/>
          <w:szCs w:val="32"/>
        </w:rPr>
        <w:t>enforcement</w:t>
      </w:r>
      <w:proofErr w:type="spellEnd"/>
      <w:r w:rsidRPr="00B37AAF">
        <w:rPr>
          <w:rFonts w:ascii="Times New Roman" w:hAnsi="Times New Roman" w:cs="Times New Roman"/>
          <w:sz w:val="32"/>
          <w:szCs w:val="32"/>
        </w:rPr>
        <w:t>. L’importanza di questa parte del contenzioso delle Sezioni</w:t>
      </w:r>
      <w:r w:rsidR="0067763C">
        <w:rPr>
          <w:rFonts w:ascii="Times New Roman" w:hAnsi="Times New Roman" w:cs="Times New Roman"/>
          <w:sz w:val="32"/>
          <w:szCs w:val="32"/>
        </w:rPr>
        <w:t xml:space="preserve"> specializzate per le</w:t>
      </w:r>
      <w:r w:rsidRPr="00B37AAF">
        <w:rPr>
          <w:rFonts w:ascii="Times New Roman" w:hAnsi="Times New Roman" w:cs="Times New Roman"/>
          <w:sz w:val="32"/>
          <w:szCs w:val="32"/>
        </w:rPr>
        <w:t xml:space="preserve"> imprese è cresciuta sempre di più. Si sono avute molte cause </w:t>
      </w:r>
      <w:r w:rsidRPr="00B37AAF">
        <w:rPr>
          <w:rFonts w:ascii="Times New Roman" w:hAnsi="Times New Roman" w:cs="Times New Roman"/>
          <w:i/>
          <w:sz w:val="32"/>
          <w:szCs w:val="32"/>
        </w:rPr>
        <w:t>stand alone</w:t>
      </w:r>
      <w:r w:rsidRPr="00B37AAF">
        <w:rPr>
          <w:rFonts w:ascii="Times New Roman" w:hAnsi="Times New Roman" w:cs="Times New Roman"/>
          <w:sz w:val="32"/>
          <w:szCs w:val="32"/>
        </w:rPr>
        <w:t xml:space="preserve">, proposte in assenza di un precedente procedimento </w:t>
      </w:r>
      <w:r w:rsidRPr="0067763C">
        <w:rPr>
          <w:rFonts w:ascii="Times New Roman" w:hAnsi="Times New Roman" w:cs="Times New Roman"/>
          <w:i/>
          <w:sz w:val="32"/>
          <w:szCs w:val="32"/>
        </w:rPr>
        <w:t>antitrust</w:t>
      </w:r>
      <w:r w:rsidRPr="00B37AAF">
        <w:rPr>
          <w:rFonts w:ascii="Times New Roman" w:hAnsi="Times New Roman" w:cs="Times New Roman"/>
          <w:sz w:val="32"/>
          <w:szCs w:val="32"/>
        </w:rPr>
        <w:t>, ma più frequentemente i giudizi civili di risarcimento del danno, sia quelli proposti dei concorrenti danneggiati dagli atti anticoncorrenziali</w:t>
      </w:r>
      <w:r w:rsidR="00E62EA9" w:rsidRPr="00B37AAF">
        <w:rPr>
          <w:rFonts w:ascii="Times New Roman" w:hAnsi="Times New Roman" w:cs="Times New Roman"/>
          <w:sz w:val="32"/>
          <w:szCs w:val="32"/>
        </w:rPr>
        <w:t xml:space="preserve"> sia quelli proposti dai consumatori, hanno avuto il carattere </w:t>
      </w:r>
      <w:proofErr w:type="spellStart"/>
      <w:r w:rsidR="00E62EA9" w:rsidRPr="00B37AAF">
        <w:rPr>
          <w:rFonts w:ascii="Times New Roman" w:hAnsi="Times New Roman" w:cs="Times New Roman"/>
          <w:i/>
          <w:sz w:val="32"/>
          <w:szCs w:val="32"/>
        </w:rPr>
        <w:t>follow</w:t>
      </w:r>
      <w:proofErr w:type="spellEnd"/>
      <w:r w:rsidR="00E62EA9" w:rsidRPr="00B37AAF">
        <w:rPr>
          <w:rFonts w:ascii="Times New Roman" w:hAnsi="Times New Roman" w:cs="Times New Roman"/>
          <w:i/>
          <w:sz w:val="32"/>
          <w:szCs w:val="32"/>
        </w:rPr>
        <w:t xml:space="preserve"> on</w:t>
      </w:r>
      <w:r w:rsidR="00E62EA9" w:rsidRPr="00B37AAF">
        <w:rPr>
          <w:rFonts w:ascii="Times New Roman" w:hAnsi="Times New Roman" w:cs="Times New Roman"/>
          <w:sz w:val="32"/>
          <w:szCs w:val="32"/>
        </w:rPr>
        <w:t xml:space="preserve">, ossia si sono sviluppati dopo la fase del procedimento </w:t>
      </w:r>
      <w:r w:rsidR="00E62EA9" w:rsidRPr="0067763C">
        <w:rPr>
          <w:rFonts w:ascii="Times New Roman" w:hAnsi="Times New Roman" w:cs="Times New Roman"/>
          <w:i/>
          <w:sz w:val="32"/>
          <w:szCs w:val="32"/>
        </w:rPr>
        <w:t>antitrust</w:t>
      </w:r>
      <w:r w:rsidR="00E62EA9" w:rsidRPr="00B37AAF">
        <w:rPr>
          <w:rFonts w:ascii="Times New Roman" w:hAnsi="Times New Roman" w:cs="Times New Roman"/>
          <w:sz w:val="32"/>
          <w:szCs w:val="32"/>
        </w:rPr>
        <w:t xml:space="preserve"> e quella del </w:t>
      </w:r>
      <w:r w:rsidR="0067763C">
        <w:rPr>
          <w:rFonts w:ascii="Times New Roman" w:hAnsi="Times New Roman" w:cs="Times New Roman"/>
          <w:sz w:val="32"/>
          <w:szCs w:val="32"/>
        </w:rPr>
        <w:t xml:space="preserve">giudizio </w:t>
      </w:r>
      <w:r w:rsidR="00E62EA9" w:rsidRPr="00B37AAF">
        <w:rPr>
          <w:rFonts w:ascii="Times New Roman" w:hAnsi="Times New Roman" w:cs="Times New Roman"/>
          <w:sz w:val="32"/>
          <w:szCs w:val="32"/>
        </w:rPr>
        <w:t>amministrativo. E’</w:t>
      </w:r>
      <w:r w:rsidR="0067763C">
        <w:rPr>
          <w:rFonts w:ascii="Times New Roman" w:hAnsi="Times New Roman" w:cs="Times New Roman"/>
          <w:sz w:val="32"/>
          <w:szCs w:val="32"/>
        </w:rPr>
        <w:t xml:space="preserve"> </w:t>
      </w:r>
      <w:r w:rsidR="00E62EA9" w:rsidRPr="00B37AAF">
        <w:rPr>
          <w:rFonts w:ascii="Times New Roman" w:hAnsi="Times New Roman" w:cs="Times New Roman"/>
          <w:sz w:val="32"/>
          <w:szCs w:val="32"/>
        </w:rPr>
        <w:t xml:space="preserve">un contenzioso vivacissimo, nel quale, come sempre accade </w:t>
      </w:r>
      <w:r w:rsidR="0067763C">
        <w:rPr>
          <w:rFonts w:ascii="Times New Roman" w:hAnsi="Times New Roman" w:cs="Times New Roman"/>
          <w:sz w:val="32"/>
          <w:szCs w:val="32"/>
        </w:rPr>
        <w:t>nel</w:t>
      </w:r>
      <w:r w:rsidR="00E62EA9" w:rsidRPr="00B37AAF">
        <w:rPr>
          <w:rFonts w:ascii="Times New Roman" w:hAnsi="Times New Roman" w:cs="Times New Roman"/>
          <w:sz w:val="32"/>
          <w:szCs w:val="32"/>
        </w:rPr>
        <w:t xml:space="preserve"> diritto della concorrenza, le questioni di diritto relative al risarcimento dei dann</w:t>
      </w:r>
      <w:r w:rsidR="000B3746" w:rsidRPr="00B37AAF">
        <w:rPr>
          <w:rFonts w:ascii="Times New Roman" w:hAnsi="Times New Roman" w:cs="Times New Roman"/>
          <w:sz w:val="32"/>
          <w:szCs w:val="32"/>
        </w:rPr>
        <w:t>i provocati dalle condotte anti</w:t>
      </w:r>
      <w:r w:rsidR="00E62EA9" w:rsidRPr="00B37AAF">
        <w:rPr>
          <w:rFonts w:ascii="Times New Roman" w:hAnsi="Times New Roman" w:cs="Times New Roman"/>
          <w:sz w:val="32"/>
          <w:szCs w:val="32"/>
        </w:rPr>
        <w:t xml:space="preserve">concorrenziali sono state trattate in una con l’analisi economica, anche </w:t>
      </w:r>
      <w:r w:rsidR="0067763C">
        <w:rPr>
          <w:rFonts w:ascii="Times New Roman" w:hAnsi="Times New Roman" w:cs="Times New Roman"/>
          <w:sz w:val="32"/>
          <w:szCs w:val="32"/>
        </w:rPr>
        <w:t>sotto il delicato profilo della</w:t>
      </w:r>
      <w:r w:rsidR="00E62EA9" w:rsidRPr="00B37AAF">
        <w:rPr>
          <w:rFonts w:ascii="Times New Roman" w:hAnsi="Times New Roman" w:cs="Times New Roman"/>
          <w:sz w:val="32"/>
          <w:szCs w:val="32"/>
        </w:rPr>
        <w:t xml:space="preserve"> </w:t>
      </w:r>
      <w:r w:rsidR="0067763C">
        <w:rPr>
          <w:rFonts w:ascii="Times New Roman" w:hAnsi="Times New Roman" w:cs="Times New Roman"/>
          <w:sz w:val="32"/>
          <w:szCs w:val="32"/>
        </w:rPr>
        <w:t>quantificazione del danno</w:t>
      </w:r>
      <w:r w:rsidR="00E62EA9" w:rsidRPr="00B37AAF">
        <w:rPr>
          <w:rFonts w:ascii="Times New Roman" w:hAnsi="Times New Roman" w:cs="Times New Roman"/>
          <w:sz w:val="32"/>
          <w:szCs w:val="32"/>
        </w:rPr>
        <w:t>.</w:t>
      </w:r>
    </w:p>
    <w:p w14:paraId="792C40D6" w14:textId="77777777" w:rsidR="00423554" w:rsidRPr="00B37AAF" w:rsidRDefault="00423554" w:rsidP="00423554">
      <w:pPr>
        <w:ind w:firstLine="708"/>
        <w:jc w:val="both"/>
        <w:rPr>
          <w:rFonts w:ascii="Times New Roman" w:hAnsi="Times New Roman" w:cs="Times New Roman"/>
          <w:sz w:val="32"/>
          <w:szCs w:val="32"/>
        </w:rPr>
      </w:pPr>
    </w:p>
    <w:p w14:paraId="772792B2" w14:textId="4CB2C356" w:rsidR="000B3746" w:rsidRPr="00B37AAF" w:rsidRDefault="000B3746" w:rsidP="00423554">
      <w:pPr>
        <w:ind w:firstLine="708"/>
        <w:jc w:val="both"/>
        <w:rPr>
          <w:rFonts w:ascii="Times New Roman" w:hAnsi="Times New Roman" w:cs="Times New Roman"/>
          <w:sz w:val="32"/>
          <w:szCs w:val="32"/>
        </w:rPr>
      </w:pPr>
      <w:r w:rsidRPr="00B37AAF">
        <w:rPr>
          <w:rFonts w:ascii="Times New Roman" w:hAnsi="Times New Roman" w:cs="Times New Roman"/>
          <w:sz w:val="32"/>
          <w:szCs w:val="32"/>
        </w:rPr>
        <w:t xml:space="preserve">Oggi i compiti delle istituzioni della concorrenza sembrano ancor più vicini, in </w:t>
      </w:r>
      <w:r w:rsidR="00423554" w:rsidRPr="00B37AAF">
        <w:rPr>
          <w:rFonts w:ascii="Times New Roman" w:hAnsi="Times New Roman" w:cs="Times New Roman"/>
          <w:sz w:val="32"/>
          <w:szCs w:val="32"/>
        </w:rPr>
        <w:t xml:space="preserve">un </w:t>
      </w:r>
      <w:r w:rsidRPr="00B37AAF">
        <w:rPr>
          <w:rFonts w:ascii="Times New Roman" w:hAnsi="Times New Roman" w:cs="Times New Roman"/>
          <w:sz w:val="32"/>
          <w:szCs w:val="32"/>
        </w:rPr>
        <w:t>quadro ordinamentale ormai unitario.</w:t>
      </w:r>
    </w:p>
    <w:p w14:paraId="31C04F8C" w14:textId="77777777" w:rsidR="00423554" w:rsidRPr="00B37AAF" w:rsidRDefault="00423554" w:rsidP="00423554">
      <w:pPr>
        <w:ind w:firstLine="708"/>
        <w:jc w:val="both"/>
        <w:rPr>
          <w:rFonts w:ascii="Times New Roman" w:hAnsi="Times New Roman" w:cs="Times New Roman"/>
          <w:sz w:val="32"/>
          <w:szCs w:val="32"/>
        </w:rPr>
      </w:pPr>
    </w:p>
    <w:p w14:paraId="62CBCB00" w14:textId="62EB8784" w:rsidR="000B3746" w:rsidRPr="00B37AAF" w:rsidRDefault="000B3746" w:rsidP="00423554">
      <w:pPr>
        <w:ind w:firstLine="708"/>
        <w:jc w:val="both"/>
        <w:rPr>
          <w:rFonts w:ascii="Times New Roman" w:hAnsi="Times New Roman" w:cs="Times New Roman"/>
          <w:sz w:val="32"/>
          <w:szCs w:val="32"/>
        </w:rPr>
      </w:pPr>
      <w:r w:rsidRPr="00B37AAF">
        <w:rPr>
          <w:rFonts w:ascii="Times New Roman" w:hAnsi="Times New Roman" w:cs="Times New Roman"/>
          <w:sz w:val="32"/>
          <w:szCs w:val="32"/>
        </w:rPr>
        <w:t>Hanno contribuito a questo avvicinamento soprattutto due eventi.</w:t>
      </w:r>
    </w:p>
    <w:p w14:paraId="00BAAC0C" w14:textId="0868EC8D" w:rsidR="000B3746" w:rsidRPr="00B37AAF" w:rsidRDefault="000B3746" w:rsidP="000B3746">
      <w:pPr>
        <w:ind w:firstLine="708"/>
        <w:jc w:val="both"/>
        <w:rPr>
          <w:rFonts w:ascii="Times New Roman" w:hAnsi="Times New Roman" w:cs="Times New Roman"/>
          <w:sz w:val="32"/>
          <w:szCs w:val="32"/>
        </w:rPr>
      </w:pPr>
      <w:r w:rsidRPr="00B37AAF">
        <w:rPr>
          <w:rFonts w:ascii="Times New Roman" w:hAnsi="Times New Roman" w:cs="Times New Roman"/>
          <w:sz w:val="32"/>
          <w:szCs w:val="32"/>
        </w:rPr>
        <w:t xml:space="preserve">Il primo è l’assimilazione del procedimento amministrativo di </w:t>
      </w:r>
      <w:r w:rsidRPr="00B37AAF">
        <w:rPr>
          <w:rFonts w:ascii="Times New Roman" w:hAnsi="Times New Roman" w:cs="Times New Roman"/>
          <w:i/>
          <w:sz w:val="32"/>
          <w:szCs w:val="32"/>
        </w:rPr>
        <w:t>public</w:t>
      </w:r>
      <w:r w:rsidRPr="00B37AAF">
        <w:rPr>
          <w:rFonts w:ascii="Times New Roman" w:hAnsi="Times New Roman" w:cs="Times New Roman"/>
          <w:sz w:val="32"/>
          <w:szCs w:val="32"/>
        </w:rPr>
        <w:t xml:space="preserve"> </w:t>
      </w:r>
      <w:proofErr w:type="spellStart"/>
      <w:r w:rsidRPr="00B37AAF">
        <w:rPr>
          <w:rFonts w:ascii="Times New Roman" w:hAnsi="Times New Roman" w:cs="Times New Roman"/>
          <w:i/>
          <w:sz w:val="32"/>
          <w:szCs w:val="32"/>
        </w:rPr>
        <w:t>enforcement</w:t>
      </w:r>
      <w:proofErr w:type="spellEnd"/>
      <w:r w:rsidRPr="00B37AAF">
        <w:rPr>
          <w:rFonts w:ascii="Times New Roman" w:hAnsi="Times New Roman" w:cs="Times New Roman"/>
          <w:sz w:val="32"/>
          <w:szCs w:val="32"/>
        </w:rPr>
        <w:t xml:space="preserve"> alla “</w:t>
      </w:r>
      <w:r w:rsidRPr="00B37AAF">
        <w:rPr>
          <w:rFonts w:ascii="Times New Roman" w:hAnsi="Times New Roman" w:cs="Times New Roman"/>
          <w:i/>
          <w:sz w:val="32"/>
          <w:szCs w:val="32"/>
        </w:rPr>
        <w:t>accusa penale</w:t>
      </w:r>
      <w:r w:rsidRPr="00B37AAF">
        <w:rPr>
          <w:rFonts w:ascii="Times New Roman" w:hAnsi="Times New Roman" w:cs="Times New Roman"/>
          <w:sz w:val="32"/>
          <w:szCs w:val="32"/>
        </w:rPr>
        <w:t>” dell’articolo 6 CEDU, voluta dalla Corte internazionale EDU</w:t>
      </w:r>
      <w:r w:rsidR="00423554" w:rsidRPr="00B37AAF">
        <w:rPr>
          <w:rFonts w:ascii="Times New Roman" w:hAnsi="Times New Roman" w:cs="Times New Roman"/>
          <w:sz w:val="32"/>
          <w:szCs w:val="32"/>
        </w:rPr>
        <w:t>,</w:t>
      </w:r>
      <w:r w:rsidRPr="00B37AAF">
        <w:rPr>
          <w:rFonts w:ascii="Times New Roman" w:hAnsi="Times New Roman" w:cs="Times New Roman"/>
          <w:sz w:val="32"/>
          <w:szCs w:val="32"/>
        </w:rPr>
        <w:t xml:space="preserve"> ed alla conseguente necessità, riconosciuta pressoché da tutti gli specialisti, che le diversità che presenta il procedimento di AGCM rispetto al parametro </w:t>
      </w:r>
      <w:proofErr w:type="spellStart"/>
      <w:r w:rsidRPr="00B37AAF">
        <w:rPr>
          <w:rFonts w:ascii="Times New Roman" w:hAnsi="Times New Roman" w:cs="Times New Roman"/>
          <w:sz w:val="32"/>
          <w:szCs w:val="32"/>
        </w:rPr>
        <w:t>processualpenalistico</w:t>
      </w:r>
      <w:proofErr w:type="spellEnd"/>
      <w:r w:rsidRPr="00B37AAF">
        <w:rPr>
          <w:rFonts w:ascii="Times New Roman" w:hAnsi="Times New Roman" w:cs="Times New Roman"/>
          <w:sz w:val="32"/>
          <w:szCs w:val="32"/>
        </w:rPr>
        <w:t xml:space="preserve"> vadano colmate nel processo amministrativo. Un processo che dev’essere di </w:t>
      </w:r>
      <w:r w:rsidRPr="00B37AAF">
        <w:rPr>
          <w:rFonts w:ascii="Times New Roman" w:hAnsi="Times New Roman" w:cs="Times New Roman"/>
          <w:i/>
          <w:sz w:val="32"/>
          <w:szCs w:val="32"/>
        </w:rPr>
        <w:t xml:space="preserve">full </w:t>
      </w:r>
      <w:proofErr w:type="spellStart"/>
      <w:r w:rsidRPr="00B37AAF">
        <w:rPr>
          <w:rFonts w:ascii="Times New Roman" w:hAnsi="Times New Roman" w:cs="Times New Roman"/>
          <w:i/>
          <w:sz w:val="32"/>
          <w:szCs w:val="32"/>
        </w:rPr>
        <w:t>jurisdiction</w:t>
      </w:r>
      <w:proofErr w:type="spellEnd"/>
      <w:r w:rsidRPr="00B37AAF">
        <w:rPr>
          <w:rFonts w:ascii="Times New Roman" w:hAnsi="Times New Roman" w:cs="Times New Roman"/>
          <w:sz w:val="32"/>
          <w:szCs w:val="32"/>
        </w:rPr>
        <w:t>, appunto. Procedimento e processo si legano ancor più, vicendevolmente.</w:t>
      </w:r>
      <w:r w:rsidR="000D7296">
        <w:rPr>
          <w:rFonts w:ascii="Times New Roman" w:hAnsi="Times New Roman" w:cs="Times New Roman"/>
          <w:sz w:val="32"/>
          <w:szCs w:val="32"/>
        </w:rPr>
        <w:t xml:space="preserve"> In ciò, si nota un parallelismo, anche più spinto, con il progressivo </w:t>
      </w:r>
      <w:r w:rsidR="000D7296">
        <w:rPr>
          <w:rFonts w:ascii="Times New Roman" w:hAnsi="Times New Roman" w:cs="Times New Roman"/>
          <w:sz w:val="32"/>
          <w:szCs w:val="32"/>
        </w:rPr>
        <w:lastRenderedPageBreak/>
        <w:t>assoggettamento al sindacato di legittimità dell’area di cd. discrezionalità tecnica delle amministrazioni.</w:t>
      </w:r>
    </w:p>
    <w:p w14:paraId="21C3E784" w14:textId="634F79E8" w:rsidR="000B3746" w:rsidRPr="00B37AAF" w:rsidRDefault="000B3746" w:rsidP="000B3746">
      <w:pPr>
        <w:ind w:firstLine="708"/>
        <w:jc w:val="both"/>
        <w:rPr>
          <w:rFonts w:ascii="Times New Roman" w:hAnsi="Times New Roman" w:cs="Times New Roman"/>
          <w:sz w:val="32"/>
          <w:szCs w:val="32"/>
        </w:rPr>
      </w:pPr>
      <w:r w:rsidRPr="00B37AAF">
        <w:rPr>
          <w:rFonts w:ascii="Times New Roman" w:hAnsi="Times New Roman" w:cs="Times New Roman"/>
          <w:sz w:val="32"/>
          <w:szCs w:val="32"/>
        </w:rPr>
        <w:t>Il secondo è</w:t>
      </w:r>
      <w:r w:rsidR="0067763C">
        <w:rPr>
          <w:rFonts w:ascii="Times New Roman" w:hAnsi="Times New Roman" w:cs="Times New Roman"/>
          <w:sz w:val="32"/>
          <w:szCs w:val="32"/>
        </w:rPr>
        <w:t xml:space="preserve"> la</w:t>
      </w:r>
      <w:r w:rsidRPr="00B37AAF">
        <w:rPr>
          <w:rFonts w:ascii="Times New Roman" w:hAnsi="Times New Roman" w:cs="Times New Roman"/>
          <w:sz w:val="32"/>
          <w:szCs w:val="32"/>
        </w:rPr>
        <w:t xml:space="preserve"> novità introdotta in Italia dall’articolo 7 del decreto legislativo n. 3 del 2017, che, recependo la direttiva UE n. 104 del 2014, ha previsto che il provvedimento di AGCM sia vincolante, per quanto riguarda </w:t>
      </w:r>
      <w:r w:rsidRPr="00B37AAF">
        <w:rPr>
          <w:rFonts w:ascii="Times New Roman" w:hAnsi="Times New Roman" w:cs="Times New Roman"/>
          <w:i/>
          <w:sz w:val="32"/>
          <w:szCs w:val="32"/>
        </w:rPr>
        <w:t>la natura della violazione e la sua portata materiale, personale, temporale e territoriale</w:t>
      </w:r>
      <w:r w:rsidRPr="00B37AAF">
        <w:rPr>
          <w:rFonts w:ascii="Times New Roman" w:hAnsi="Times New Roman" w:cs="Times New Roman"/>
          <w:sz w:val="32"/>
          <w:szCs w:val="32"/>
        </w:rPr>
        <w:t xml:space="preserve">, nei confronti del giudice del </w:t>
      </w:r>
      <w:r w:rsidRPr="00B37AAF">
        <w:rPr>
          <w:rFonts w:ascii="Times New Roman" w:hAnsi="Times New Roman" w:cs="Times New Roman"/>
          <w:i/>
          <w:sz w:val="32"/>
          <w:szCs w:val="32"/>
        </w:rPr>
        <w:t xml:space="preserve">private </w:t>
      </w:r>
      <w:proofErr w:type="spellStart"/>
      <w:r w:rsidRPr="00B37AAF">
        <w:rPr>
          <w:rFonts w:ascii="Times New Roman" w:hAnsi="Times New Roman" w:cs="Times New Roman"/>
          <w:i/>
          <w:sz w:val="32"/>
          <w:szCs w:val="32"/>
        </w:rPr>
        <w:t>enforcement</w:t>
      </w:r>
      <w:proofErr w:type="spellEnd"/>
      <w:r w:rsidRPr="00B37AAF">
        <w:rPr>
          <w:rFonts w:ascii="Times New Roman" w:hAnsi="Times New Roman" w:cs="Times New Roman"/>
          <w:sz w:val="32"/>
          <w:szCs w:val="32"/>
        </w:rPr>
        <w:t xml:space="preserve">, con esclusione </w:t>
      </w:r>
      <w:r w:rsidR="009629A9" w:rsidRPr="00B37AAF">
        <w:rPr>
          <w:rFonts w:ascii="Times New Roman" w:hAnsi="Times New Roman" w:cs="Times New Roman"/>
          <w:sz w:val="32"/>
          <w:szCs w:val="32"/>
        </w:rPr>
        <w:t>di ogni vincolo su</w:t>
      </w:r>
      <w:r w:rsidRPr="00B37AAF">
        <w:rPr>
          <w:rFonts w:ascii="Times New Roman" w:hAnsi="Times New Roman" w:cs="Times New Roman"/>
          <w:sz w:val="32"/>
          <w:szCs w:val="32"/>
        </w:rPr>
        <w:t>l</w:t>
      </w:r>
      <w:r w:rsidR="00423554" w:rsidRPr="00B37AAF">
        <w:rPr>
          <w:rFonts w:ascii="Times New Roman" w:hAnsi="Times New Roman" w:cs="Times New Roman"/>
          <w:sz w:val="32"/>
          <w:szCs w:val="32"/>
        </w:rPr>
        <w:t>l’accertamento de</w:t>
      </w:r>
      <w:r w:rsidRPr="00B37AAF">
        <w:rPr>
          <w:rFonts w:ascii="Times New Roman" w:hAnsi="Times New Roman" w:cs="Times New Roman"/>
          <w:sz w:val="32"/>
          <w:szCs w:val="32"/>
        </w:rPr>
        <w:t xml:space="preserve">l nesso causale e </w:t>
      </w:r>
      <w:r w:rsidR="00423554" w:rsidRPr="00B37AAF">
        <w:rPr>
          <w:rFonts w:ascii="Times New Roman" w:hAnsi="Times New Roman" w:cs="Times New Roman"/>
          <w:sz w:val="32"/>
          <w:szCs w:val="32"/>
        </w:rPr>
        <w:t>del</w:t>
      </w:r>
      <w:r w:rsidRPr="00B37AAF">
        <w:rPr>
          <w:rFonts w:ascii="Times New Roman" w:hAnsi="Times New Roman" w:cs="Times New Roman"/>
          <w:sz w:val="32"/>
          <w:szCs w:val="32"/>
        </w:rPr>
        <w:t xml:space="preserve">l’entità del danno. </w:t>
      </w:r>
    </w:p>
    <w:p w14:paraId="71AE5D07" w14:textId="34888227" w:rsidR="000B3746" w:rsidRPr="00B37AAF" w:rsidRDefault="000B3746" w:rsidP="000B3746">
      <w:pPr>
        <w:ind w:firstLine="708"/>
        <w:jc w:val="both"/>
        <w:rPr>
          <w:rFonts w:ascii="Times New Roman" w:hAnsi="Times New Roman" w:cs="Times New Roman"/>
          <w:sz w:val="32"/>
          <w:szCs w:val="32"/>
        </w:rPr>
      </w:pPr>
      <w:r w:rsidRPr="00B37AAF">
        <w:rPr>
          <w:rFonts w:ascii="Times New Roman" w:hAnsi="Times New Roman" w:cs="Times New Roman"/>
          <w:sz w:val="32"/>
          <w:szCs w:val="32"/>
        </w:rPr>
        <w:t xml:space="preserve">E l’articolo 7, che dovrebbe disciplinare solo il fronte del processo civile, in realtà dice qualcosa anche </w:t>
      </w:r>
      <w:r w:rsidR="00895818">
        <w:rPr>
          <w:rFonts w:ascii="Times New Roman" w:hAnsi="Times New Roman" w:cs="Times New Roman"/>
          <w:sz w:val="32"/>
          <w:szCs w:val="32"/>
        </w:rPr>
        <w:t>sul</w:t>
      </w:r>
      <w:r w:rsidRPr="00B37AAF">
        <w:rPr>
          <w:rFonts w:ascii="Times New Roman" w:hAnsi="Times New Roman" w:cs="Times New Roman"/>
          <w:sz w:val="32"/>
          <w:szCs w:val="32"/>
        </w:rPr>
        <w:t xml:space="preserve"> processo amministrativo, </w:t>
      </w:r>
      <w:r w:rsidR="00895818">
        <w:rPr>
          <w:rFonts w:ascii="Times New Roman" w:hAnsi="Times New Roman" w:cs="Times New Roman"/>
          <w:sz w:val="32"/>
          <w:szCs w:val="32"/>
        </w:rPr>
        <w:t>quando aggiunge, per</w:t>
      </w:r>
      <w:r w:rsidRPr="00B37AAF">
        <w:rPr>
          <w:rFonts w:ascii="Times New Roman" w:hAnsi="Times New Roman" w:cs="Times New Roman"/>
          <w:sz w:val="32"/>
          <w:szCs w:val="32"/>
        </w:rPr>
        <w:t xml:space="preserve"> esempio</w:t>
      </w:r>
      <w:r w:rsidR="00895818">
        <w:rPr>
          <w:rFonts w:ascii="Times New Roman" w:hAnsi="Times New Roman" w:cs="Times New Roman"/>
          <w:sz w:val="32"/>
          <w:szCs w:val="32"/>
        </w:rPr>
        <w:t>,</w:t>
      </w:r>
      <w:r w:rsidRPr="00B37AAF">
        <w:rPr>
          <w:rFonts w:ascii="Times New Roman" w:hAnsi="Times New Roman" w:cs="Times New Roman"/>
          <w:sz w:val="32"/>
          <w:szCs w:val="32"/>
        </w:rPr>
        <w:t xml:space="preserve"> che “</w:t>
      </w:r>
      <w:r w:rsidRPr="00B37AAF">
        <w:rPr>
          <w:rFonts w:ascii="Times New Roman" w:hAnsi="Times New Roman" w:cs="Times New Roman"/>
          <w:i/>
          <w:sz w:val="32"/>
          <w:szCs w:val="32"/>
        </w:rPr>
        <w:t>il sindacato del giudice del ricorso comporta la verifica diretta dei fatti posti a fondamento della decisione impugnata</w:t>
      </w:r>
      <w:r w:rsidRPr="00B37AAF">
        <w:rPr>
          <w:rFonts w:ascii="Times New Roman" w:hAnsi="Times New Roman" w:cs="Times New Roman"/>
          <w:sz w:val="32"/>
          <w:szCs w:val="32"/>
        </w:rPr>
        <w:t>”.</w:t>
      </w:r>
      <w:r w:rsidR="00423554" w:rsidRPr="00B37AAF">
        <w:rPr>
          <w:rFonts w:ascii="Times New Roman" w:hAnsi="Times New Roman" w:cs="Times New Roman"/>
          <w:sz w:val="32"/>
          <w:szCs w:val="32"/>
        </w:rPr>
        <w:t xml:space="preserve"> Perché </w:t>
      </w:r>
      <w:r w:rsidR="009629A9" w:rsidRPr="00B37AAF">
        <w:rPr>
          <w:rFonts w:ascii="Times New Roman" w:hAnsi="Times New Roman" w:cs="Times New Roman"/>
          <w:sz w:val="32"/>
          <w:szCs w:val="32"/>
        </w:rPr>
        <w:t xml:space="preserve">appunto </w:t>
      </w:r>
      <w:r w:rsidR="00423554" w:rsidRPr="00B37AAF">
        <w:rPr>
          <w:rFonts w:ascii="Times New Roman" w:hAnsi="Times New Roman" w:cs="Times New Roman"/>
          <w:sz w:val="32"/>
          <w:szCs w:val="32"/>
        </w:rPr>
        <w:t xml:space="preserve">di solito il provvedimento </w:t>
      </w:r>
      <w:r w:rsidR="00423554" w:rsidRPr="00895818">
        <w:rPr>
          <w:rFonts w:ascii="Times New Roman" w:hAnsi="Times New Roman" w:cs="Times New Roman"/>
          <w:i/>
          <w:sz w:val="32"/>
          <w:szCs w:val="32"/>
        </w:rPr>
        <w:t>antitrust</w:t>
      </w:r>
      <w:r w:rsidR="00423554" w:rsidRPr="00B37AAF">
        <w:rPr>
          <w:rFonts w:ascii="Times New Roman" w:hAnsi="Times New Roman" w:cs="Times New Roman"/>
          <w:sz w:val="32"/>
          <w:szCs w:val="32"/>
        </w:rPr>
        <w:t xml:space="preserve"> giunge al</w:t>
      </w:r>
      <w:r w:rsidR="00F61C7E" w:rsidRPr="00B37AAF">
        <w:rPr>
          <w:rFonts w:ascii="Times New Roman" w:hAnsi="Times New Roman" w:cs="Times New Roman"/>
          <w:sz w:val="32"/>
          <w:szCs w:val="32"/>
        </w:rPr>
        <w:t xml:space="preserve"> </w:t>
      </w:r>
      <w:r w:rsidR="00423554" w:rsidRPr="00B37AAF">
        <w:rPr>
          <w:rFonts w:ascii="Times New Roman" w:hAnsi="Times New Roman" w:cs="Times New Roman"/>
          <w:i/>
          <w:sz w:val="32"/>
          <w:szCs w:val="32"/>
        </w:rPr>
        <w:t xml:space="preserve">private </w:t>
      </w:r>
      <w:proofErr w:type="spellStart"/>
      <w:r w:rsidR="00423554" w:rsidRPr="00B37AAF">
        <w:rPr>
          <w:rFonts w:ascii="Times New Roman" w:hAnsi="Times New Roman" w:cs="Times New Roman"/>
          <w:i/>
          <w:sz w:val="32"/>
          <w:szCs w:val="32"/>
        </w:rPr>
        <w:t>enforcement</w:t>
      </w:r>
      <w:proofErr w:type="spellEnd"/>
      <w:r w:rsidR="00423554" w:rsidRPr="00B37AAF">
        <w:rPr>
          <w:rFonts w:ascii="Times New Roman" w:hAnsi="Times New Roman" w:cs="Times New Roman"/>
          <w:sz w:val="32"/>
          <w:szCs w:val="32"/>
        </w:rPr>
        <w:t xml:space="preserve"> attraverso il filtro del giudicato amministrativo.</w:t>
      </w:r>
      <w:r w:rsidR="00895818">
        <w:rPr>
          <w:rFonts w:ascii="Times New Roman" w:hAnsi="Times New Roman" w:cs="Times New Roman"/>
          <w:sz w:val="32"/>
          <w:szCs w:val="32"/>
        </w:rPr>
        <w:t xml:space="preserve"> Così rafforzando quell’idea “forte” di sindacato di cui si è fatto cenno e confermando un’impressione: più che estendersi il sindacato, si è allargata l’area del fatto e delle valutazioni tecniche che il giudice ritiene assoggettata al sindacato. Circostanza questa di cui non potrà non tener conto la Corte di cassazione in sede di controllo ex art. 111 </w:t>
      </w:r>
      <w:proofErr w:type="spellStart"/>
      <w:r w:rsidR="00895818">
        <w:rPr>
          <w:rFonts w:ascii="Times New Roman" w:hAnsi="Times New Roman" w:cs="Times New Roman"/>
          <w:sz w:val="32"/>
          <w:szCs w:val="32"/>
        </w:rPr>
        <w:t>Cost</w:t>
      </w:r>
      <w:proofErr w:type="spellEnd"/>
      <w:r w:rsidR="00895818">
        <w:rPr>
          <w:rFonts w:ascii="Times New Roman" w:hAnsi="Times New Roman" w:cs="Times New Roman"/>
          <w:sz w:val="32"/>
          <w:szCs w:val="32"/>
        </w:rPr>
        <w:t>. sul cd. eccesso di potere giurisdizionale: un controllo svolto secondo canoni rigidi, infatti, contrasterebbe con la esigenza di “piena giurisdizione” imposta dalla Corte europea e minerebbe alla radice l’effettività della tutela. Non appartengono infatti al “merito” amministrativo, sicuramente da salvaguardare anche per AGCM, i fatti posti alla base delle sanzioni e le valutazioni sul piano tecnico dei relativi fatti. Anche perché –a differenza di quanto avviene per la funzione di regolazione in senso stretto, in cui alle Autorità di settore sono riconosciuti poteri di integrazione della fattispecie normativa primaria, peraltro si</w:t>
      </w:r>
      <w:r w:rsidR="000D7296">
        <w:rPr>
          <w:rFonts w:ascii="Times New Roman" w:hAnsi="Times New Roman" w:cs="Times New Roman"/>
          <w:sz w:val="32"/>
          <w:szCs w:val="32"/>
        </w:rPr>
        <w:t>n</w:t>
      </w:r>
      <w:r w:rsidR="00895818">
        <w:rPr>
          <w:rFonts w:ascii="Times New Roman" w:hAnsi="Times New Roman" w:cs="Times New Roman"/>
          <w:sz w:val="32"/>
          <w:szCs w:val="32"/>
        </w:rPr>
        <w:t>dacabili dal giudice con gli strumenti appropriati- la fattispecie sanzionatoria costituisce un modello normativo in sé chiuso, e non “aperto”, rispetto al quale il giudice deve verificare la sussistenza dei presupposti di fatto, inclusivi di fatti e relative valutazioni.</w:t>
      </w:r>
    </w:p>
    <w:p w14:paraId="594FBBFC" w14:textId="185D1946" w:rsidR="000B3746" w:rsidRPr="00B37AAF" w:rsidRDefault="000B3746" w:rsidP="000B3746">
      <w:pPr>
        <w:ind w:firstLine="708"/>
        <w:jc w:val="both"/>
        <w:rPr>
          <w:rFonts w:ascii="Times New Roman" w:hAnsi="Times New Roman" w:cs="Times New Roman"/>
          <w:sz w:val="32"/>
          <w:szCs w:val="32"/>
        </w:rPr>
      </w:pPr>
      <w:r w:rsidRPr="00B37AAF">
        <w:rPr>
          <w:rFonts w:ascii="Times New Roman" w:hAnsi="Times New Roman" w:cs="Times New Roman"/>
          <w:sz w:val="32"/>
          <w:szCs w:val="32"/>
        </w:rPr>
        <w:t>Se a queste novità si unisce la già ricordata prossima implementazione della direttiva n. 1 del 2019</w:t>
      </w:r>
      <w:r w:rsidR="00423554" w:rsidRPr="00B37AAF">
        <w:rPr>
          <w:rFonts w:ascii="Times New Roman" w:hAnsi="Times New Roman" w:cs="Times New Roman"/>
          <w:sz w:val="32"/>
          <w:szCs w:val="32"/>
        </w:rPr>
        <w:t xml:space="preserve"> dell’UE</w:t>
      </w:r>
      <w:r w:rsidRPr="00B37AAF">
        <w:rPr>
          <w:rFonts w:ascii="Times New Roman" w:hAnsi="Times New Roman" w:cs="Times New Roman"/>
          <w:sz w:val="32"/>
          <w:szCs w:val="32"/>
        </w:rPr>
        <w:t>, che punta ad un rafforzamento ed omogeneizzazione sia dei poteri delle</w:t>
      </w:r>
      <w:r w:rsidR="00423554" w:rsidRPr="00B37AAF">
        <w:rPr>
          <w:rFonts w:ascii="Times New Roman" w:hAnsi="Times New Roman" w:cs="Times New Roman"/>
          <w:sz w:val="32"/>
          <w:szCs w:val="32"/>
        </w:rPr>
        <w:t xml:space="preserve"> Autorità di concorrenza degli S</w:t>
      </w:r>
      <w:r w:rsidRPr="00B37AAF">
        <w:rPr>
          <w:rFonts w:ascii="Times New Roman" w:hAnsi="Times New Roman" w:cs="Times New Roman"/>
          <w:sz w:val="32"/>
          <w:szCs w:val="32"/>
        </w:rPr>
        <w:t>tati membri, sia dei diritti di difesa nei confronti di tali poteri, si ha la sensazione che questo importante capitolo dell’ordinamento europeo ed italiano sia destinato ad un’ulteriore fase di vivacità</w:t>
      </w:r>
      <w:r w:rsidR="00423554" w:rsidRPr="00B37AAF">
        <w:rPr>
          <w:rFonts w:ascii="Times New Roman" w:hAnsi="Times New Roman" w:cs="Times New Roman"/>
          <w:sz w:val="32"/>
          <w:szCs w:val="32"/>
        </w:rPr>
        <w:t xml:space="preserve"> e </w:t>
      </w:r>
      <w:r w:rsidR="009629A9" w:rsidRPr="00B37AAF">
        <w:rPr>
          <w:rFonts w:ascii="Times New Roman" w:hAnsi="Times New Roman" w:cs="Times New Roman"/>
          <w:sz w:val="32"/>
          <w:szCs w:val="32"/>
        </w:rPr>
        <w:t xml:space="preserve">di </w:t>
      </w:r>
      <w:r w:rsidR="00423554" w:rsidRPr="00B37AAF">
        <w:rPr>
          <w:rFonts w:ascii="Times New Roman" w:hAnsi="Times New Roman" w:cs="Times New Roman"/>
          <w:sz w:val="32"/>
          <w:szCs w:val="32"/>
        </w:rPr>
        <w:t xml:space="preserve">attenzione, sia </w:t>
      </w:r>
      <w:r w:rsidR="009629A9" w:rsidRPr="00B37AAF">
        <w:rPr>
          <w:rFonts w:ascii="Times New Roman" w:hAnsi="Times New Roman" w:cs="Times New Roman"/>
          <w:sz w:val="32"/>
          <w:szCs w:val="32"/>
        </w:rPr>
        <w:t>nel</w:t>
      </w:r>
      <w:r w:rsidR="00423554" w:rsidRPr="00B37AAF">
        <w:rPr>
          <w:rFonts w:ascii="Times New Roman" w:hAnsi="Times New Roman" w:cs="Times New Roman"/>
          <w:sz w:val="32"/>
          <w:szCs w:val="32"/>
        </w:rPr>
        <w:t xml:space="preserve"> dibattito fra </w:t>
      </w:r>
      <w:r w:rsidR="00423554" w:rsidRPr="00B37AAF">
        <w:rPr>
          <w:rFonts w:ascii="Times New Roman" w:hAnsi="Times New Roman" w:cs="Times New Roman"/>
          <w:sz w:val="32"/>
          <w:szCs w:val="32"/>
        </w:rPr>
        <w:lastRenderedPageBreak/>
        <w:t>gli studiosi, sia per assestare ancor meglio i compiti delle Istituzioni della concorrenza.</w:t>
      </w:r>
    </w:p>
    <w:p w14:paraId="31D98BA7" w14:textId="77777777" w:rsidR="001D2D22" w:rsidRPr="00B37AAF" w:rsidRDefault="001D2D22" w:rsidP="000B3746">
      <w:pPr>
        <w:ind w:firstLine="708"/>
        <w:jc w:val="both"/>
        <w:rPr>
          <w:rFonts w:ascii="Times New Roman" w:hAnsi="Times New Roman" w:cs="Times New Roman"/>
          <w:sz w:val="32"/>
          <w:szCs w:val="32"/>
        </w:rPr>
      </w:pPr>
    </w:p>
    <w:p w14:paraId="7D107DD0" w14:textId="52A282F5" w:rsidR="00423554" w:rsidRPr="00B37AAF" w:rsidRDefault="00423554" w:rsidP="000B3746">
      <w:pPr>
        <w:ind w:firstLine="708"/>
        <w:jc w:val="both"/>
        <w:rPr>
          <w:rFonts w:ascii="Times New Roman" w:hAnsi="Times New Roman" w:cs="Times New Roman"/>
          <w:sz w:val="32"/>
          <w:szCs w:val="32"/>
        </w:rPr>
      </w:pPr>
      <w:r w:rsidRPr="00B37AAF">
        <w:rPr>
          <w:rFonts w:ascii="Times New Roman" w:hAnsi="Times New Roman" w:cs="Times New Roman"/>
          <w:sz w:val="32"/>
          <w:szCs w:val="32"/>
        </w:rPr>
        <w:t>Il convegno di oggi si propone di accompagnare questo dibattito, attraverso una visione unitaria dei tre momenti in cui il sistema di tutela della concorrenza si snoda, in Italia come in Europa.</w:t>
      </w:r>
    </w:p>
    <w:p w14:paraId="4DFDE25E" w14:textId="77777777" w:rsidR="000B3746" w:rsidRPr="00B37AAF" w:rsidRDefault="000B3746" w:rsidP="00EA6135">
      <w:pPr>
        <w:jc w:val="both"/>
        <w:rPr>
          <w:rFonts w:ascii="Times New Roman" w:hAnsi="Times New Roman" w:cs="Times New Roman"/>
          <w:sz w:val="32"/>
          <w:szCs w:val="32"/>
        </w:rPr>
      </w:pPr>
    </w:p>
    <w:p w14:paraId="63914293" w14:textId="619F7B8A" w:rsidR="00E62EA9" w:rsidRDefault="00E62EA9" w:rsidP="00EA6135">
      <w:pPr>
        <w:jc w:val="both"/>
        <w:rPr>
          <w:rFonts w:ascii="Times New Roman" w:hAnsi="Times New Roman" w:cs="Times New Roman"/>
          <w:sz w:val="32"/>
          <w:szCs w:val="32"/>
        </w:rPr>
      </w:pPr>
    </w:p>
    <w:p w14:paraId="5C352F3E" w14:textId="77777777" w:rsidR="00311A5A" w:rsidRDefault="00311A5A" w:rsidP="00311A5A">
      <w:pPr>
        <w:jc w:val="right"/>
        <w:rPr>
          <w:rFonts w:ascii="Times New Roman" w:hAnsi="Times New Roman" w:cs="Times New Roman"/>
          <w:b/>
          <w:sz w:val="32"/>
          <w:szCs w:val="32"/>
        </w:rPr>
      </w:pPr>
      <w:r>
        <w:rPr>
          <w:rFonts w:ascii="Times New Roman" w:hAnsi="Times New Roman" w:cs="Times New Roman"/>
          <w:b/>
          <w:sz w:val="32"/>
          <w:szCs w:val="32"/>
        </w:rPr>
        <w:t>Filippo Patroni Griffi</w:t>
      </w:r>
    </w:p>
    <w:p w14:paraId="7F62490B" w14:textId="77777777" w:rsidR="00311A5A" w:rsidRDefault="00311A5A" w:rsidP="00311A5A">
      <w:pPr>
        <w:spacing w:line="360" w:lineRule="auto"/>
        <w:ind w:firstLine="284"/>
        <w:jc w:val="right"/>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Presidente del Consiglio di Stato</w:t>
      </w:r>
    </w:p>
    <w:p w14:paraId="78991DEF" w14:textId="54D3AF26" w:rsidR="00311A5A" w:rsidRDefault="00311A5A" w:rsidP="00311A5A">
      <w:pPr>
        <w:spacing w:line="360" w:lineRule="auto"/>
        <w:ind w:firstLine="284"/>
        <w:jc w:val="right"/>
        <w:rPr>
          <w:rFonts w:ascii="Times New Roman" w:eastAsia="Times New Roman" w:hAnsi="Times New Roman" w:cs="Times New Roman"/>
          <w:sz w:val="32"/>
          <w:szCs w:val="32"/>
          <w:lang w:eastAsia="it-IT"/>
        </w:rPr>
      </w:pPr>
      <w:r>
        <w:rPr>
          <w:rFonts w:ascii="Times New Roman" w:eastAsia="Times New Roman" w:hAnsi="Times New Roman" w:cs="Times New Roman"/>
          <w:sz w:val="32"/>
          <w:szCs w:val="32"/>
          <w:lang w:eastAsia="it-IT"/>
        </w:rPr>
        <w:t>Pubblicato il 15 novembre 2019</w:t>
      </w:r>
    </w:p>
    <w:p w14:paraId="3E5352C5" w14:textId="77777777" w:rsidR="00311A5A" w:rsidRPr="00B37AAF" w:rsidRDefault="00311A5A" w:rsidP="00EA6135">
      <w:pPr>
        <w:jc w:val="both"/>
        <w:rPr>
          <w:rFonts w:ascii="Times New Roman" w:hAnsi="Times New Roman" w:cs="Times New Roman"/>
          <w:sz w:val="32"/>
          <w:szCs w:val="32"/>
        </w:rPr>
      </w:pPr>
    </w:p>
    <w:sectPr w:rsidR="00311A5A" w:rsidRPr="00B37AAF" w:rsidSect="005C5895">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135"/>
    <w:rsid w:val="000555F1"/>
    <w:rsid w:val="000B3746"/>
    <w:rsid w:val="000D7296"/>
    <w:rsid w:val="00105F5B"/>
    <w:rsid w:val="001371A0"/>
    <w:rsid w:val="001D2D22"/>
    <w:rsid w:val="00311A5A"/>
    <w:rsid w:val="003D3D22"/>
    <w:rsid w:val="00423554"/>
    <w:rsid w:val="004A5352"/>
    <w:rsid w:val="005C5895"/>
    <w:rsid w:val="0067763C"/>
    <w:rsid w:val="00684B1F"/>
    <w:rsid w:val="007F5318"/>
    <w:rsid w:val="00895818"/>
    <w:rsid w:val="009629A9"/>
    <w:rsid w:val="00AB2AB1"/>
    <w:rsid w:val="00B37AAF"/>
    <w:rsid w:val="00B777D7"/>
    <w:rsid w:val="00BE6299"/>
    <w:rsid w:val="00C12D31"/>
    <w:rsid w:val="00D22A32"/>
    <w:rsid w:val="00D24D39"/>
    <w:rsid w:val="00D3318F"/>
    <w:rsid w:val="00E62EA9"/>
    <w:rsid w:val="00EA6135"/>
    <w:rsid w:val="00F61C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154A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E629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E62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0171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1142</Words>
  <Characters>6514</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Cintioli</dc:creator>
  <cp:keywords/>
  <dc:description/>
  <cp:lastModifiedBy>Gianluca Ricci</cp:lastModifiedBy>
  <cp:revision>2</cp:revision>
  <cp:lastPrinted>2019-11-13T15:00:00Z</cp:lastPrinted>
  <dcterms:created xsi:type="dcterms:W3CDTF">2019-11-15T11:16:00Z</dcterms:created>
  <dcterms:modified xsi:type="dcterms:W3CDTF">2019-11-15T11:16:00Z</dcterms:modified>
</cp:coreProperties>
</file>