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519" w:rsidRPr="00357201" w:rsidRDefault="00704519" w:rsidP="00704519">
      <w:pPr>
        <w:spacing w:line="360" w:lineRule="auto"/>
        <w:jc w:val="center"/>
        <w:rPr>
          <w:rFonts w:ascii="Times New Roman" w:hAnsi="Times New Roman" w:cs="Times New Roman"/>
          <w:b/>
          <w:sz w:val="32"/>
          <w:szCs w:val="32"/>
        </w:rPr>
      </w:pPr>
      <w:bookmarkStart w:id="0" w:name="_GoBack"/>
      <w:bookmarkEnd w:id="0"/>
      <w:r w:rsidRPr="00357201">
        <w:rPr>
          <w:rFonts w:ascii="Times New Roman" w:hAnsi="Times New Roman" w:cs="Times New Roman"/>
          <w:b/>
          <w:sz w:val="32"/>
          <w:szCs w:val="32"/>
        </w:rPr>
        <w:t>Audizione alla Camera dei Deputati – Comitato per la legislazione</w:t>
      </w:r>
    </w:p>
    <w:p w:rsidR="00704519" w:rsidRPr="00357201" w:rsidRDefault="00704519" w:rsidP="00704519">
      <w:pPr>
        <w:spacing w:line="360" w:lineRule="auto"/>
        <w:jc w:val="center"/>
        <w:rPr>
          <w:rFonts w:ascii="Times New Roman" w:hAnsi="Times New Roman" w:cs="Times New Roman"/>
          <w:b/>
          <w:sz w:val="32"/>
          <w:szCs w:val="32"/>
        </w:rPr>
      </w:pPr>
      <w:r w:rsidRPr="00357201">
        <w:rPr>
          <w:rFonts w:ascii="Times New Roman" w:hAnsi="Times New Roman" w:cs="Times New Roman"/>
          <w:b/>
          <w:sz w:val="32"/>
          <w:szCs w:val="32"/>
        </w:rPr>
        <w:t>sulle tendenze della produzione normativa</w:t>
      </w:r>
    </w:p>
    <w:p w:rsidR="00704519" w:rsidRDefault="00704519" w:rsidP="00704519">
      <w:pPr>
        <w:spacing w:line="360" w:lineRule="auto"/>
        <w:jc w:val="center"/>
        <w:rPr>
          <w:rFonts w:ascii="Times New Roman" w:hAnsi="Times New Roman" w:cs="Times New Roman"/>
          <w:sz w:val="32"/>
          <w:szCs w:val="32"/>
        </w:rPr>
      </w:pPr>
      <w:r>
        <w:rPr>
          <w:rFonts w:ascii="Times New Roman" w:hAnsi="Times New Roman" w:cs="Times New Roman"/>
          <w:sz w:val="32"/>
          <w:szCs w:val="32"/>
        </w:rPr>
        <w:t>27 marzo 2019</w:t>
      </w:r>
    </w:p>
    <w:p w:rsidR="00704519" w:rsidRDefault="00704519" w:rsidP="00704519">
      <w:pPr>
        <w:spacing w:line="360" w:lineRule="auto"/>
        <w:jc w:val="center"/>
        <w:rPr>
          <w:rFonts w:ascii="Times New Roman" w:hAnsi="Times New Roman" w:cs="Times New Roman"/>
          <w:sz w:val="32"/>
          <w:szCs w:val="32"/>
        </w:rPr>
      </w:pPr>
      <w:r>
        <w:rPr>
          <w:rFonts w:ascii="Times New Roman" w:hAnsi="Times New Roman" w:cs="Times New Roman"/>
          <w:sz w:val="32"/>
          <w:szCs w:val="32"/>
        </w:rPr>
        <w:t>di Filippo Patroni Griffi</w:t>
      </w:r>
    </w:p>
    <w:p w:rsidR="00704519" w:rsidRDefault="00704519" w:rsidP="00704519">
      <w:pPr>
        <w:spacing w:line="360" w:lineRule="auto"/>
        <w:jc w:val="center"/>
        <w:rPr>
          <w:rFonts w:ascii="Times New Roman" w:hAnsi="Times New Roman" w:cs="Times New Roman"/>
          <w:sz w:val="32"/>
          <w:szCs w:val="32"/>
        </w:rPr>
      </w:pPr>
      <w:r>
        <w:rPr>
          <w:rFonts w:ascii="Times New Roman" w:hAnsi="Times New Roman" w:cs="Times New Roman"/>
          <w:sz w:val="32"/>
          <w:szCs w:val="32"/>
        </w:rPr>
        <w:t>Presidente del Consiglio di Stato</w:t>
      </w:r>
    </w:p>
    <w:p w:rsidR="00704519" w:rsidRDefault="00704519" w:rsidP="00704519">
      <w:pPr>
        <w:spacing w:line="360" w:lineRule="auto"/>
        <w:jc w:val="both"/>
        <w:rPr>
          <w:rFonts w:ascii="Times New Roman" w:hAnsi="Times New Roman" w:cs="Times New Roman"/>
          <w:sz w:val="32"/>
          <w:szCs w:val="32"/>
        </w:rPr>
      </w:pPr>
    </w:p>
    <w:p w:rsidR="00704519" w:rsidRPr="00357201" w:rsidRDefault="00704519" w:rsidP="00704519">
      <w:pPr>
        <w:spacing w:line="360" w:lineRule="auto"/>
        <w:jc w:val="both"/>
        <w:rPr>
          <w:rFonts w:ascii="Times New Roman" w:hAnsi="Times New Roman" w:cs="Times New Roman"/>
          <w:b/>
          <w:sz w:val="32"/>
          <w:szCs w:val="32"/>
          <w:u w:val="single"/>
        </w:rPr>
      </w:pPr>
      <w:r w:rsidRPr="00357201">
        <w:rPr>
          <w:rFonts w:ascii="Times New Roman" w:hAnsi="Times New Roman" w:cs="Times New Roman"/>
          <w:b/>
          <w:sz w:val="32"/>
          <w:szCs w:val="32"/>
          <w:u w:val="single"/>
        </w:rPr>
        <w:t>1- Premessa: qualità delle leggi e qualità della democrazia</w:t>
      </w:r>
    </w:p>
    <w:p w:rsidR="007D6983" w:rsidRPr="00704519" w:rsidRDefault="007D6983" w:rsidP="00704519">
      <w:p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t>Muoviamo da una premessa</w:t>
      </w:r>
      <w:r w:rsidR="00357201">
        <w:rPr>
          <w:rFonts w:ascii="Times New Roman" w:hAnsi="Times New Roman" w:cs="Times New Roman"/>
          <w:sz w:val="32"/>
          <w:szCs w:val="32"/>
        </w:rPr>
        <w:t xml:space="preserve"> che, per quanto di ordine generale, mi sembra funzionale alle considerazioni che svolgerò</w:t>
      </w:r>
      <w:r w:rsidRPr="00704519">
        <w:rPr>
          <w:rFonts w:ascii="Times New Roman" w:hAnsi="Times New Roman" w:cs="Times New Roman"/>
          <w:sz w:val="32"/>
          <w:szCs w:val="32"/>
        </w:rPr>
        <w:t>: la qualità delle leggi ha un forte impatto su aspetti che concorrono a definire la qualità della democrazia.</w:t>
      </w:r>
    </w:p>
    <w:p w:rsidR="007D6983" w:rsidRPr="00704519" w:rsidRDefault="007D6983" w:rsidP="00704519">
      <w:p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t>Quali sono questi aspetti?</w:t>
      </w:r>
    </w:p>
    <w:p w:rsidR="007D6983" w:rsidRPr="00704519" w:rsidRDefault="007D6983" w:rsidP="00704519">
      <w:p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t xml:space="preserve">In primo luogo, l’attuazione dell’indirizzo politico. La legge –e, con essa, l’attività normativa del governo- è espressione delle scelte del legislatore e, come tale, esprime l’indirizzo politico, in un dato tempo, della maggioranza. Spesso, anzi, </w:t>
      </w:r>
      <w:r w:rsidR="00704519">
        <w:rPr>
          <w:rFonts w:ascii="Times New Roman" w:hAnsi="Times New Roman" w:cs="Times New Roman"/>
          <w:sz w:val="32"/>
          <w:szCs w:val="32"/>
        </w:rPr>
        <w:t xml:space="preserve">essa </w:t>
      </w:r>
      <w:r w:rsidRPr="00704519">
        <w:rPr>
          <w:rFonts w:ascii="Times New Roman" w:hAnsi="Times New Roman" w:cs="Times New Roman"/>
          <w:sz w:val="32"/>
          <w:szCs w:val="32"/>
        </w:rPr>
        <w:t>è il frutto della mediazione tra maggioranza e opposizione, o almeno così dovrebbe essere per i grandi temi. Alla qualità e alla quantità delle norme è legato il problema della loro attuazione</w:t>
      </w:r>
      <w:r w:rsidR="00357201">
        <w:rPr>
          <w:rFonts w:ascii="Times New Roman" w:hAnsi="Times New Roman" w:cs="Times New Roman"/>
          <w:sz w:val="32"/>
          <w:szCs w:val="32"/>
        </w:rPr>
        <w:t xml:space="preserve"> (e quindi della realizzazione dell’indir</w:t>
      </w:r>
      <w:r w:rsidR="00EB3A1C">
        <w:rPr>
          <w:rFonts w:ascii="Times New Roman" w:hAnsi="Times New Roman" w:cs="Times New Roman"/>
          <w:sz w:val="32"/>
          <w:szCs w:val="32"/>
        </w:rPr>
        <w:t>izzo politico di cui sono espre</w:t>
      </w:r>
      <w:r w:rsidR="00357201">
        <w:rPr>
          <w:rFonts w:ascii="Times New Roman" w:hAnsi="Times New Roman" w:cs="Times New Roman"/>
          <w:sz w:val="32"/>
          <w:szCs w:val="32"/>
        </w:rPr>
        <w:t>ssione)</w:t>
      </w:r>
      <w:r w:rsidRPr="00704519">
        <w:rPr>
          <w:rFonts w:ascii="Times New Roman" w:hAnsi="Times New Roman" w:cs="Times New Roman"/>
          <w:sz w:val="32"/>
          <w:szCs w:val="32"/>
        </w:rPr>
        <w:t>: leggi poco chiare o ambigue, leggi che lasciano “aperte” più soluzioni, leggi che sono tante, delineano un quadro complesso e articolato difficile da mettere in pratica, da applicare.</w:t>
      </w:r>
    </w:p>
    <w:p w:rsidR="007D6983" w:rsidRPr="00704519" w:rsidRDefault="007D6983" w:rsidP="00704519">
      <w:p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t xml:space="preserve">Il secondo aspetto è quello che viene comunemente ricondotto sotto la locuzione della “certezza del diritto” o “diritto alla sicurezza giuridica”. Che </w:t>
      </w:r>
      <w:r w:rsidRPr="00704519">
        <w:rPr>
          <w:rFonts w:ascii="Times New Roman" w:hAnsi="Times New Roman" w:cs="Times New Roman"/>
          <w:sz w:val="32"/>
          <w:szCs w:val="32"/>
        </w:rPr>
        <w:lastRenderedPageBreak/>
        <w:t>questa sia un “mito”, come ammoniva Bobbio, può essere vero. Ma è indubitabile che la società vive di regole, cui privati e amministrazioni conformano (o dovrebbero conformare) i propri comportamenti. Un quadro chiaro e univoco di regole cons</w:t>
      </w:r>
      <w:r w:rsidR="00257B45">
        <w:rPr>
          <w:rFonts w:ascii="Times New Roman" w:hAnsi="Times New Roman" w:cs="Times New Roman"/>
          <w:sz w:val="32"/>
          <w:szCs w:val="32"/>
        </w:rPr>
        <w:t>ente a ciascuno di agire con un</w:t>
      </w:r>
      <w:r w:rsidRPr="00704519">
        <w:rPr>
          <w:rFonts w:ascii="Times New Roman" w:hAnsi="Times New Roman" w:cs="Times New Roman"/>
          <w:sz w:val="32"/>
          <w:szCs w:val="32"/>
        </w:rPr>
        <w:t xml:space="preserve"> certo grado di prevedibilità delle conseguenze delle proprie azioni e di quelle altrui. Un quadro confuso e sovrabbondante determina incertezza dei comportamenti e sminuisce la valenza stessa delle regole.</w:t>
      </w:r>
    </w:p>
    <w:p w:rsidR="007D6983" w:rsidRPr="00704519" w:rsidRDefault="007D6983" w:rsidP="00704519">
      <w:p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t xml:space="preserve">Conseguentemente –e siamo al terzo aspetto- un quadro normativo confuso lede, con la certezza delle regole, il principio di uguaglianza </w:t>
      </w:r>
      <w:r w:rsidRPr="00704519">
        <w:rPr>
          <w:rFonts w:ascii="Times New Roman" w:hAnsi="Times New Roman" w:cs="Times New Roman"/>
          <w:i/>
          <w:sz w:val="32"/>
          <w:szCs w:val="32"/>
        </w:rPr>
        <w:t>sub specie</w:t>
      </w:r>
      <w:r w:rsidRPr="00704519">
        <w:rPr>
          <w:rFonts w:ascii="Times New Roman" w:hAnsi="Times New Roman" w:cs="Times New Roman"/>
          <w:sz w:val="32"/>
          <w:szCs w:val="32"/>
        </w:rPr>
        <w:t xml:space="preserve"> di parità di trattamento dei cittadini dinanzi alla legge.</w:t>
      </w:r>
      <w:r w:rsidR="00052CC6">
        <w:rPr>
          <w:rFonts w:ascii="Times New Roman" w:hAnsi="Times New Roman" w:cs="Times New Roman"/>
          <w:sz w:val="32"/>
          <w:szCs w:val="32"/>
        </w:rPr>
        <w:t xml:space="preserve"> Tale profilo si accentua se si rapporta la produzione normativa alla funzione giurisdizionale: infatti,</w:t>
      </w:r>
      <w:r w:rsidRPr="00704519">
        <w:rPr>
          <w:rFonts w:ascii="Times New Roman" w:hAnsi="Times New Roman" w:cs="Times New Roman"/>
          <w:sz w:val="32"/>
          <w:szCs w:val="32"/>
        </w:rPr>
        <w:t xml:space="preserve"> la qualità della normazione influenza direttamente la prevedibilità delle decisioni dei giudici e quindi l’autorevolezza della funzione giurisdizionale.</w:t>
      </w:r>
    </w:p>
    <w:p w:rsidR="007D6983" w:rsidRPr="00704519" w:rsidRDefault="007D6983" w:rsidP="00704519">
      <w:p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t>Quest’ultimo aspetta merita qualche precisazione.</w:t>
      </w:r>
    </w:p>
    <w:p w:rsidR="007D6983" w:rsidRPr="00704519" w:rsidRDefault="007D6983" w:rsidP="00704519">
      <w:p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t>Siamo in un periodo in cui molto si parla di diritto giurisprudenziale, di supplenza dei giudici, di sconfinamento di questi in campi in cui la decisione spetta al parlamento o alla legge. Vi sono ragioni fisiologiche</w:t>
      </w:r>
      <w:r w:rsidR="00052CC6">
        <w:rPr>
          <w:rFonts w:ascii="Times New Roman" w:hAnsi="Times New Roman" w:cs="Times New Roman"/>
          <w:sz w:val="32"/>
          <w:szCs w:val="32"/>
        </w:rPr>
        <w:t xml:space="preserve"> di questo fenomeno, definito</w:t>
      </w:r>
      <w:r w:rsidRPr="00704519">
        <w:rPr>
          <w:rFonts w:ascii="Times New Roman" w:hAnsi="Times New Roman" w:cs="Times New Roman"/>
          <w:sz w:val="32"/>
          <w:szCs w:val="32"/>
        </w:rPr>
        <w:t xml:space="preserve"> del </w:t>
      </w:r>
      <w:r w:rsidR="00052CC6">
        <w:rPr>
          <w:rFonts w:ascii="Times New Roman" w:hAnsi="Times New Roman" w:cs="Times New Roman"/>
          <w:sz w:val="32"/>
          <w:szCs w:val="32"/>
        </w:rPr>
        <w:t>“</w:t>
      </w:r>
      <w:r w:rsidRPr="00704519">
        <w:rPr>
          <w:rFonts w:ascii="Times New Roman" w:hAnsi="Times New Roman" w:cs="Times New Roman"/>
          <w:sz w:val="32"/>
          <w:szCs w:val="32"/>
        </w:rPr>
        <w:t>diritto giurisprudenziale</w:t>
      </w:r>
      <w:r w:rsidR="00052CC6">
        <w:rPr>
          <w:rFonts w:ascii="Times New Roman" w:hAnsi="Times New Roman" w:cs="Times New Roman"/>
          <w:sz w:val="32"/>
          <w:szCs w:val="32"/>
        </w:rPr>
        <w:t xml:space="preserve">”, essenzialmente da rinvenire negli </w:t>
      </w:r>
      <w:r w:rsidR="00357201">
        <w:rPr>
          <w:rFonts w:ascii="Times New Roman" w:hAnsi="Times New Roman" w:cs="Times New Roman"/>
          <w:sz w:val="32"/>
          <w:szCs w:val="32"/>
        </w:rPr>
        <w:t>ambiti della</w:t>
      </w:r>
      <w:r w:rsidRPr="00704519">
        <w:rPr>
          <w:rFonts w:ascii="Times New Roman" w:hAnsi="Times New Roman" w:cs="Times New Roman"/>
          <w:sz w:val="32"/>
          <w:szCs w:val="32"/>
        </w:rPr>
        <w:t xml:space="preserve"> cd. discrezionalità connessa alla funzione giurisdizionale soprattutto quando ci si trova dinanzi a modelli normativi “aperti” (es. clausole generali)</w:t>
      </w:r>
      <w:r w:rsidR="00052CC6">
        <w:rPr>
          <w:rFonts w:ascii="Times New Roman" w:hAnsi="Times New Roman" w:cs="Times New Roman"/>
          <w:sz w:val="32"/>
          <w:szCs w:val="32"/>
        </w:rPr>
        <w:t>, che richiedono necessariamente l’integrazione della norma in via giudiziaria all’atto della sua applicazione.</w:t>
      </w:r>
      <w:r w:rsidRPr="00704519">
        <w:rPr>
          <w:rFonts w:ascii="Times New Roman" w:hAnsi="Times New Roman" w:cs="Times New Roman"/>
          <w:sz w:val="32"/>
          <w:szCs w:val="32"/>
        </w:rPr>
        <w:t xml:space="preserve"> </w:t>
      </w:r>
      <w:r w:rsidR="00052CC6">
        <w:rPr>
          <w:rFonts w:ascii="Times New Roman" w:hAnsi="Times New Roman" w:cs="Times New Roman"/>
          <w:sz w:val="32"/>
          <w:szCs w:val="32"/>
        </w:rPr>
        <w:t>M</w:t>
      </w:r>
      <w:r w:rsidRPr="00704519">
        <w:rPr>
          <w:rFonts w:ascii="Times New Roman" w:hAnsi="Times New Roman" w:cs="Times New Roman"/>
          <w:sz w:val="32"/>
          <w:szCs w:val="32"/>
        </w:rPr>
        <w:t>a vi sono ambiti patologici</w:t>
      </w:r>
      <w:r w:rsidR="004162E8">
        <w:rPr>
          <w:rFonts w:ascii="Times New Roman" w:hAnsi="Times New Roman" w:cs="Times New Roman"/>
          <w:sz w:val="32"/>
          <w:szCs w:val="32"/>
        </w:rPr>
        <w:t>, tra i quali il più rilevante mi sembra il fenomeno per cui</w:t>
      </w:r>
      <w:r w:rsidRPr="00704519">
        <w:rPr>
          <w:rFonts w:ascii="Times New Roman" w:hAnsi="Times New Roman" w:cs="Times New Roman"/>
          <w:sz w:val="32"/>
          <w:szCs w:val="32"/>
        </w:rPr>
        <w:t xml:space="preserve"> una norma</w:t>
      </w:r>
      <w:r w:rsidR="004162E8">
        <w:rPr>
          <w:rFonts w:ascii="Times New Roman" w:hAnsi="Times New Roman" w:cs="Times New Roman"/>
          <w:sz w:val="32"/>
          <w:szCs w:val="32"/>
        </w:rPr>
        <w:t xml:space="preserve"> sia</w:t>
      </w:r>
      <w:r w:rsidRPr="00704519">
        <w:rPr>
          <w:rFonts w:ascii="Times New Roman" w:hAnsi="Times New Roman" w:cs="Times New Roman"/>
          <w:sz w:val="32"/>
          <w:szCs w:val="32"/>
        </w:rPr>
        <w:t xml:space="preserve"> “confusa” o ambigua,</w:t>
      </w:r>
      <w:r w:rsidR="004162E8">
        <w:rPr>
          <w:rFonts w:ascii="Times New Roman" w:hAnsi="Times New Roman" w:cs="Times New Roman"/>
          <w:sz w:val="32"/>
          <w:szCs w:val="32"/>
        </w:rPr>
        <w:t xml:space="preserve"> non per una scarsa competenza tecnica di chi l’ha prodotta, ma</w:t>
      </w:r>
      <w:r w:rsidRPr="00704519">
        <w:rPr>
          <w:rFonts w:ascii="Times New Roman" w:hAnsi="Times New Roman" w:cs="Times New Roman"/>
          <w:sz w:val="32"/>
          <w:szCs w:val="32"/>
        </w:rPr>
        <w:t xml:space="preserve"> perché al momento della scelta </w:t>
      </w:r>
      <w:r w:rsidRPr="00704519">
        <w:rPr>
          <w:rFonts w:ascii="Times New Roman" w:hAnsi="Times New Roman" w:cs="Times New Roman"/>
          <w:sz w:val="32"/>
          <w:szCs w:val="32"/>
        </w:rPr>
        <w:lastRenderedPageBreak/>
        <w:t>politica non si è saputo trovare il punto di mediazione, o meglio di sintesi</w:t>
      </w:r>
      <w:r w:rsidR="004162E8">
        <w:rPr>
          <w:rFonts w:ascii="Times New Roman" w:hAnsi="Times New Roman" w:cs="Times New Roman"/>
          <w:sz w:val="32"/>
          <w:szCs w:val="32"/>
        </w:rPr>
        <w:t>, tra diverse visioni politiche, sicché la norma viene approvata con questa non-scelta di fondo che inevitabilmente riemerge in sede di applicazione della legge, e in particolare in sede giurisdizionale.</w:t>
      </w:r>
    </w:p>
    <w:p w:rsidR="007D6983" w:rsidRPr="00704519" w:rsidRDefault="007D6983" w:rsidP="00704519">
      <w:p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t>Per ricondurre a fisiologia il sistema credo occorrano, prima di ogni altra, due cose:</w:t>
      </w:r>
    </w:p>
    <w:p w:rsidR="007D6983" w:rsidRPr="004162E8" w:rsidRDefault="004162E8" w:rsidP="004162E8">
      <w:pPr>
        <w:spacing w:line="360" w:lineRule="auto"/>
        <w:jc w:val="both"/>
        <w:rPr>
          <w:rFonts w:ascii="Times New Roman" w:hAnsi="Times New Roman" w:cs="Times New Roman"/>
          <w:sz w:val="32"/>
          <w:szCs w:val="32"/>
        </w:rPr>
      </w:pPr>
      <w:r w:rsidRPr="004162E8">
        <w:rPr>
          <w:rFonts w:ascii="Times New Roman" w:hAnsi="Times New Roman" w:cs="Times New Roman"/>
          <w:sz w:val="32"/>
          <w:szCs w:val="32"/>
        </w:rPr>
        <w:t>a)</w:t>
      </w:r>
      <w:r>
        <w:rPr>
          <w:rFonts w:ascii="Times New Roman" w:hAnsi="Times New Roman" w:cs="Times New Roman"/>
          <w:sz w:val="32"/>
          <w:szCs w:val="32"/>
        </w:rPr>
        <w:t xml:space="preserve"> </w:t>
      </w:r>
      <w:r w:rsidR="007D6983" w:rsidRPr="004162E8">
        <w:rPr>
          <w:rFonts w:ascii="Times New Roman" w:hAnsi="Times New Roman" w:cs="Times New Roman"/>
          <w:sz w:val="32"/>
          <w:szCs w:val="32"/>
        </w:rPr>
        <w:t>Che il Parlamento eserciti quanto più possibile le sue prerogative, disciplinando i settori più delicati e conflittuali della vita della comunità</w:t>
      </w:r>
      <w:r w:rsidR="00357201">
        <w:rPr>
          <w:rFonts w:ascii="Times New Roman" w:hAnsi="Times New Roman" w:cs="Times New Roman"/>
          <w:sz w:val="32"/>
          <w:szCs w:val="32"/>
        </w:rPr>
        <w:t xml:space="preserve"> (vorrei ricordare il recente “monito” della Corte costituzionale che ha sospeso per un anno il giudizio in materia di cd.suicidio assistito)</w:t>
      </w:r>
      <w:r w:rsidR="007D6983" w:rsidRPr="004162E8">
        <w:rPr>
          <w:rFonts w:ascii="Times New Roman" w:hAnsi="Times New Roman" w:cs="Times New Roman"/>
          <w:sz w:val="32"/>
          <w:szCs w:val="32"/>
        </w:rPr>
        <w:t>; con la conseguenza che siano ridotti</w:t>
      </w:r>
      <w:r w:rsidR="00357201">
        <w:rPr>
          <w:rFonts w:ascii="Times New Roman" w:hAnsi="Times New Roman" w:cs="Times New Roman"/>
          <w:sz w:val="32"/>
          <w:szCs w:val="32"/>
        </w:rPr>
        <w:t xml:space="preserve"> alla fisiologia gli spazi di</w:t>
      </w:r>
      <w:r w:rsidR="007D6983" w:rsidRPr="004162E8">
        <w:rPr>
          <w:rFonts w:ascii="Times New Roman" w:hAnsi="Times New Roman" w:cs="Times New Roman"/>
          <w:sz w:val="32"/>
          <w:szCs w:val="32"/>
        </w:rPr>
        <w:t xml:space="preserve"> “discrezionalità” rimessa ai giudici;</w:t>
      </w:r>
    </w:p>
    <w:p w:rsidR="007D6983" w:rsidRPr="00704519" w:rsidRDefault="004162E8" w:rsidP="00704519">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b) </w:t>
      </w:r>
      <w:r w:rsidR="007D6983" w:rsidRPr="00704519">
        <w:rPr>
          <w:rFonts w:ascii="Times New Roman" w:hAnsi="Times New Roman" w:cs="Times New Roman"/>
          <w:sz w:val="32"/>
          <w:szCs w:val="32"/>
        </w:rPr>
        <w:t>Che, conseguentemente, le leggi siano scritte in modo che risulti chiara la scelta politica che ne è alla base, che sia chiaro il quadro normativo complessivo (norme vigenti e norme abrogate, ambiti di applicazione, ecc.), che, in definitiva, il nostro ordinamento, per quantità e qualità delle leggi, sia più ordinato dell’attuale.</w:t>
      </w:r>
    </w:p>
    <w:p w:rsidR="00994666" w:rsidRDefault="004162E8" w:rsidP="00994666">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Del resto, tale esigenza di chiarezza e di ordine del quadro normativo è stata più volte richiamata anche dalla Corte costituzionale, che ha sottolineato l’importanza della “comprensibilità” delle leggi perché i soggetti dell’ordinamento possano prevedere le conseguenze delle proprie azioni; ed è coerente con </w:t>
      </w:r>
      <w:r w:rsidR="00994666">
        <w:rPr>
          <w:rFonts w:ascii="Times New Roman" w:hAnsi="Times New Roman" w:cs="Times New Roman"/>
          <w:sz w:val="32"/>
          <w:szCs w:val="32"/>
        </w:rPr>
        <w:t>gli orientamenti più recenti</w:t>
      </w:r>
      <w:r>
        <w:rPr>
          <w:rFonts w:ascii="Times New Roman" w:hAnsi="Times New Roman" w:cs="Times New Roman"/>
          <w:sz w:val="32"/>
          <w:szCs w:val="32"/>
        </w:rPr>
        <w:t xml:space="preserve"> della giurisprudenza della Corte di giustizia dell’Unione europea, </w:t>
      </w:r>
      <w:r w:rsidR="00994666">
        <w:rPr>
          <w:rFonts w:ascii="Times New Roman" w:hAnsi="Times New Roman" w:cs="Times New Roman"/>
          <w:sz w:val="32"/>
          <w:szCs w:val="32"/>
        </w:rPr>
        <w:t>nella quale si assiste all’evoluzione del principio di certezza del diritto da corollario del principio di legalità a</w:t>
      </w:r>
      <w:r w:rsidR="00994666" w:rsidRPr="00994666">
        <w:rPr>
          <w:rFonts w:ascii="Times New Roman" w:hAnsi="Times New Roman" w:cs="Times New Roman"/>
          <w:sz w:val="32"/>
          <w:szCs w:val="32"/>
        </w:rPr>
        <w:t xml:space="preserve"> </w:t>
      </w:r>
      <w:r w:rsidR="00994666" w:rsidRPr="00994666">
        <w:rPr>
          <w:rFonts w:ascii="Times New Roman" w:hAnsi="Times New Roman" w:cs="Times New Roman"/>
          <w:sz w:val="32"/>
          <w:szCs w:val="32"/>
        </w:rPr>
        <w:lastRenderedPageBreak/>
        <w:t xml:space="preserve">principio di certezza oggettiva del diritto e </w:t>
      </w:r>
      <w:r w:rsidR="00994666">
        <w:rPr>
          <w:rFonts w:ascii="Times New Roman" w:hAnsi="Times New Roman" w:cs="Times New Roman"/>
          <w:sz w:val="32"/>
          <w:szCs w:val="32"/>
        </w:rPr>
        <w:t>quindi a</w:t>
      </w:r>
      <w:r w:rsidR="00994666" w:rsidRPr="00994666">
        <w:rPr>
          <w:rFonts w:ascii="Times New Roman" w:hAnsi="Times New Roman" w:cs="Times New Roman"/>
          <w:sz w:val="32"/>
          <w:szCs w:val="32"/>
        </w:rPr>
        <w:t xml:space="preserve"> principio di prevedibilità soggettiva delle conseguenze, per permettere all’individuo di conoscere in a</w:t>
      </w:r>
      <w:r w:rsidR="00994666">
        <w:rPr>
          <w:rFonts w:ascii="Times New Roman" w:hAnsi="Times New Roman" w:cs="Times New Roman"/>
          <w:sz w:val="32"/>
          <w:szCs w:val="32"/>
        </w:rPr>
        <w:t>nticipo le conseguenze della propria</w:t>
      </w:r>
      <w:r w:rsidR="00994666" w:rsidRPr="00994666">
        <w:rPr>
          <w:rFonts w:ascii="Times New Roman" w:hAnsi="Times New Roman" w:cs="Times New Roman"/>
          <w:sz w:val="32"/>
          <w:szCs w:val="32"/>
        </w:rPr>
        <w:t xml:space="preserve"> condotta</w:t>
      </w:r>
      <w:r w:rsidR="00994666">
        <w:rPr>
          <w:rFonts w:ascii="Times New Roman" w:hAnsi="Times New Roman" w:cs="Times New Roman"/>
          <w:sz w:val="32"/>
          <w:szCs w:val="32"/>
        </w:rPr>
        <w:t xml:space="preserve"> e tutelarne comunque l’affidamento da lui riposto nel quadro regolatorio di riferimento.</w:t>
      </w:r>
    </w:p>
    <w:p w:rsidR="00994666" w:rsidRPr="00357201" w:rsidRDefault="00994666" w:rsidP="00994666">
      <w:pPr>
        <w:spacing w:line="360" w:lineRule="auto"/>
        <w:jc w:val="both"/>
        <w:rPr>
          <w:rFonts w:ascii="Times New Roman" w:hAnsi="Times New Roman" w:cs="Times New Roman"/>
          <w:b/>
          <w:sz w:val="32"/>
          <w:szCs w:val="32"/>
          <w:u w:val="single"/>
        </w:rPr>
      </w:pPr>
      <w:r w:rsidRPr="00357201">
        <w:rPr>
          <w:rFonts w:ascii="Times New Roman" w:hAnsi="Times New Roman" w:cs="Times New Roman"/>
          <w:b/>
          <w:sz w:val="32"/>
          <w:szCs w:val="32"/>
          <w:u w:val="single"/>
        </w:rPr>
        <w:t>2 – Qualità della normazione e istruttoria (governativa e legislativa)</w:t>
      </w:r>
    </w:p>
    <w:p w:rsidR="00994666" w:rsidRDefault="00994666" w:rsidP="00994666">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Per avere una buona legge occorre che questa sia preparata accuratamente fin dal momento in cui si ritiene di </w:t>
      </w:r>
      <w:r w:rsidR="00357201">
        <w:rPr>
          <w:rFonts w:ascii="Times New Roman" w:hAnsi="Times New Roman" w:cs="Times New Roman"/>
          <w:sz w:val="32"/>
          <w:szCs w:val="32"/>
        </w:rPr>
        <w:t>disciplinare</w:t>
      </w:r>
      <w:r>
        <w:rPr>
          <w:rFonts w:ascii="Times New Roman" w:hAnsi="Times New Roman" w:cs="Times New Roman"/>
          <w:sz w:val="32"/>
          <w:szCs w:val="32"/>
        </w:rPr>
        <w:t xml:space="preserve"> un dato settore con un intervento di tipo normativo. L’istruttor</w:t>
      </w:r>
      <w:r w:rsidR="00357201">
        <w:rPr>
          <w:rFonts w:ascii="Times New Roman" w:hAnsi="Times New Roman" w:cs="Times New Roman"/>
          <w:sz w:val="32"/>
          <w:szCs w:val="32"/>
        </w:rPr>
        <w:t>i</w:t>
      </w:r>
      <w:r>
        <w:rPr>
          <w:rFonts w:ascii="Times New Roman" w:hAnsi="Times New Roman" w:cs="Times New Roman"/>
          <w:sz w:val="32"/>
          <w:szCs w:val="32"/>
        </w:rPr>
        <w:t>a normativa può riguardare il duplice versante, parlamentare e governativo, per leggi, decreti-legge e legislazione delegata, o solo il versante governativo (ma generalmente con l’intervento parlamentare in sede di parere reso dalle commissioni) per gli atti di normazione secondaria, essenzialmente i regolamenti.</w:t>
      </w:r>
    </w:p>
    <w:p w:rsidR="00994666" w:rsidRDefault="00994666" w:rsidP="00994666">
      <w:pPr>
        <w:spacing w:line="360" w:lineRule="auto"/>
        <w:jc w:val="both"/>
        <w:rPr>
          <w:rFonts w:ascii="Times New Roman" w:hAnsi="Times New Roman" w:cs="Times New Roman"/>
          <w:sz w:val="32"/>
          <w:szCs w:val="32"/>
        </w:rPr>
      </w:pPr>
      <w:r>
        <w:rPr>
          <w:rFonts w:ascii="Times New Roman" w:hAnsi="Times New Roman" w:cs="Times New Roman"/>
          <w:sz w:val="32"/>
          <w:szCs w:val="32"/>
        </w:rPr>
        <w:t>Proverò a sintetizzare schematicamente i punti che mi paiono di maggiore rilievo</w:t>
      </w:r>
      <w:r w:rsidR="006943DA">
        <w:rPr>
          <w:rFonts w:ascii="Times New Roman" w:hAnsi="Times New Roman" w:cs="Times New Roman"/>
          <w:sz w:val="32"/>
          <w:szCs w:val="32"/>
        </w:rPr>
        <w:t>, in relazione ai quesiti posti.</w:t>
      </w:r>
      <w:r>
        <w:rPr>
          <w:rFonts w:ascii="Times New Roman" w:hAnsi="Times New Roman" w:cs="Times New Roman"/>
          <w:sz w:val="32"/>
          <w:szCs w:val="32"/>
        </w:rPr>
        <w:t xml:space="preserve"> Premetto</w:t>
      </w:r>
      <w:r w:rsidR="006943DA">
        <w:rPr>
          <w:rFonts w:ascii="Times New Roman" w:hAnsi="Times New Roman" w:cs="Times New Roman"/>
          <w:sz w:val="32"/>
          <w:szCs w:val="32"/>
        </w:rPr>
        <w:t xml:space="preserve"> che la mia esperienza istituzionale, interna ed esterna al Consiglio di Stato, e l’ambito della mia conoscenza tecnica riguardano prevalentemente il versante governativo della produzione normativa, che peraltro, a mio avviso, e questo mi pare un punto centrale, andrebbe raccordato fortemente, in un’ottica di collaborazione interistituzionale, con le commissioni e con gli uffici parlamentari e, </w:t>
      </w:r>
      <w:r w:rsidR="006943DA" w:rsidRPr="00357201">
        <w:rPr>
          <w:rFonts w:ascii="Times New Roman" w:hAnsi="Times New Roman" w:cs="Times New Roman"/>
          <w:i/>
          <w:sz w:val="32"/>
          <w:szCs w:val="32"/>
        </w:rPr>
        <w:t>in primis</w:t>
      </w:r>
      <w:r w:rsidR="006943DA">
        <w:rPr>
          <w:rFonts w:ascii="Times New Roman" w:hAnsi="Times New Roman" w:cs="Times New Roman"/>
          <w:sz w:val="32"/>
          <w:szCs w:val="32"/>
        </w:rPr>
        <w:t>, con il Comitato per la legislazione.</w:t>
      </w:r>
    </w:p>
    <w:p w:rsidR="00704519" w:rsidRPr="00704519" w:rsidRDefault="006943DA" w:rsidP="00994666">
      <w:pPr>
        <w:spacing w:line="360" w:lineRule="auto"/>
        <w:jc w:val="both"/>
        <w:rPr>
          <w:rFonts w:ascii="Times New Roman" w:hAnsi="Times New Roman" w:cs="Times New Roman"/>
          <w:sz w:val="32"/>
          <w:szCs w:val="32"/>
        </w:rPr>
      </w:pPr>
      <w:r>
        <w:rPr>
          <w:rFonts w:ascii="Times New Roman" w:hAnsi="Times New Roman" w:cs="Times New Roman"/>
          <w:sz w:val="32"/>
          <w:szCs w:val="32"/>
        </w:rPr>
        <w:t>Se convengo sulla c</w:t>
      </w:r>
      <w:r w:rsidR="00704519" w:rsidRPr="00704519">
        <w:rPr>
          <w:rFonts w:ascii="Times New Roman" w:hAnsi="Times New Roman" w:cs="Times New Roman"/>
          <w:sz w:val="32"/>
          <w:szCs w:val="32"/>
        </w:rPr>
        <w:t xml:space="preserve">entralità della questione dell’istruttoria legislativa, </w:t>
      </w:r>
      <w:r>
        <w:rPr>
          <w:rFonts w:ascii="Times New Roman" w:hAnsi="Times New Roman" w:cs="Times New Roman"/>
          <w:sz w:val="32"/>
          <w:szCs w:val="32"/>
        </w:rPr>
        <w:t>avverto</w:t>
      </w:r>
      <w:r w:rsidR="00357201">
        <w:rPr>
          <w:rFonts w:ascii="Times New Roman" w:hAnsi="Times New Roman" w:cs="Times New Roman"/>
          <w:sz w:val="32"/>
          <w:szCs w:val="32"/>
        </w:rPr>
        <w:t xml:space="preserve"> peraltro</w:t>
      </w:r>
      <w:r>
        <w:rPr>
          <w:rFonts w:ascii="Times New Roman" w:hAnsi="Times New Roman" w:cs="Times New Roman"/>
          <w:sz w:val="32"/>
          <w:szCs w:val="32"/>
        </w:rPr>
        <w:t xml:space="preserve"> una qualche difficoltà a</w:t>
      </w:r>
      <w:r w:rsidR="00704519" w:rsidRPr="00704519">
        <w:rPr>
          <w:rFonts w:ascii="Times New Roman" w:hAnsi="Times New Roman" w:cs="Times New Roman"/>
          <w:sz w:val="32"/>
          <w:szCs w:val="32"/>
        </w:rPr>
        <w:t xml:space="preserve"> prefigurare un intervento normativo al riguardo</w:t>
      </w:r>
      <w:r>
        <w:rPr>
          <w:rFonts w:ascii="Times New Roman" w:hAnsi="Times New Roman" w:cs="Times New Roman"/>
          <w:sz w:val="32"/>
          <w:szCs w:val="32"/>
        </w:rPr>
        <w:t xml:space="preserve"> che modifichi o integri la legge n. </w:t>
      </w:r>
      <w:r w:rsidR="00704519" w:rsidRPr="00704519">
        <w:rPr>
          <w:rFonts w:ascii="Times New Roman" w:hAnsi="Times New Roman" w:cs="Times New Roman"/>
          <w:sz w:val="32"/>
          <w:szCs w:val="32"/>
        </w:rPr>
        <w:t>400</w:t>
      </w:r>
      <w:r>
        <w:rPr>
          <w:rFonts w:ascii="Times New Roman" w:hAnsi="Times New Roman" w:cs="Times New Roman"/>
          <w:sz w:val="32"/>
          <w:szCs w:val="32"/>
        </w:rPr>
        <w:t xml:space="preserve"> del 1988. E ciò per due concorrenti motivi: perché la legge c’è già e il problema è principalmente la </w:t>
      </w:r>
      <w:r>
        <w:rPr>
          <w:rFonts w:ascii="Times New Roman" w:hAnsi="Times New Roman" w:cs="Times New Roman"/>
          <w:sz w:val="32"/>
          <w:szCs w:val="32"/>
        </w:rPr>
        <w:lastRenderedPageBreak/>
        <w:t>sua elusione, anzi l’elusione di questa e di altre disposizioni, di rango secondario o anche “terziario” quali regolamenti e circolari della Presidenza del consiglio in materia di attività di produzione normativa; in secondo luogo, perché si ripeterebbe la criticità di fondo di qualsivoglia “norma sulla normazione”</w:t>
      </w:r>
      <w:r w:rsidR="00704519" w:rsidRPr="00704519">
        <w:rPr>
          <w:rFonts w:ascii="Times New Roman" w:hAnsi="Times New Roman" w:cs="Times New Roman"/>
          <w:sz w:val="32"/>
          <w:szCs w:val="32"/>
        </w:rPr>
        <w:t xml:space="preserve"> che</w:t>
      </w:r>
      <w:r>
        <w:rPr>
          <w:rFonts w:ascii="Times New Roman" w:hAnsi="Times New Roman" w:cs="Times New Roman"/>
          <w:sz w:val="32"/>
          <w:szCs w:val="32"/>
        </w:rPr>
        <w:t xml:space="preserve"> è comunque una legge ordinaria che, </w:t>
      </w:r>
      <w:r w:rsidR="00357201">
        <w:rPr>
          <w:rFonts w:ascii="Times New Roman" w:hAnsi="Times New Roman" w:cs="Times New Roman"/>
          <w:sz w:val="32"/>
          <w:szCs w:val="32"/>
        </w:rPr>
        <w:t>come tale, pone regole e princìp</w:t>
      </w:r>
      <w:r>
        <w:rPr>
          <w:rFonts w:ascii="Times New Roman" w:hAnsi="Times New Roman" w:cs="Times New Roman"/>
          <w:sz w:val="32"/>
          <w:szCs w:val="32"/>
        </w:rPr>
        <w:t>i che possono essere derogati da leggi successive.</w:t>
      </w:r>
    </w:p>
    <w:p w:rsidR="00704519" w:rsidRPr="00704519" w:rsidRDefault="006943DA" w:rsidP="00704519">
      <w:pPr>
        <w:spacing w:line="360" w:lineRule="auto"/>
        <w:jc w:val="both"/>
        <w:rPr>
          <w:rFonts w:ascii="Times New Roman" w:hAnsi="Times New Roman" w:cs="Times New Roman"/>
          <w:sz w:val="32"/>
          <w:szCs w:val="32"/>
        </w:rPr>
      </w:pPr>
      <w:r>
        <w:rPr>
          <w:rFonts w:ascii="Times New Roman" w:hAnsi="Times New Roman" w:cs="Times New Roman"/>
          <w:sz w:val="32"/>
          <w:szCs w:val="32"/>
        </w:rPr>
        <w:t>Preferisco quindi</w:t>
      </w:r>
      <w:r w:rsidR="00B749C8">
        <w:rPr>
          <w:rFonts w:ascii="Times New Roman" w:hAnsi="Times New Roman" w:cs="Times New Roman"/>
          <w:sz w:val="32"/>
          <w:szCs w:val="32"/>
        </w:rPr>
        <w:t xml:space="preserve"> riferire schematicamente</w:t>
      </w:r>
      <w:r>
        <w:rPr>
          <w:rFonts w:ascii="Times New Roman" w:hAnsi="Times New Roman" w:cs="Times New Roman"/>
          <w:sz w:val="32"/>
          <w:szCs w:val="32"/>
        </w:rPr>
        <w:t xml:space="preserve"> questioni</w:t>
      </w:r>
      <w:r w:rsidR="00B749C8">
        <w:rPr>
          <w:rFonts w:ascii="Times New Roman" w:hAnsi="Times New Roman" w:cs="Times New Roman"/>
          <w:sz w:val="32"/>
          <w:szCs w:val="32"/>
        </w:rPr>
        <w:t>,</w:t>
      </w:r>
      <w:r w:rsidR="006215F1">
        <w:rPr>
          <w:rFonts w:ascii="Times New Roman" w:hAnsi="Times New Roman" w:cs="Times New Roman"/>
          <w:sz w:val="32"/>
          <w:szCs w:val="32"/>
        </w:rPr>
        <w:t xml:space="preserve"> che possono essere affrontate in prevalenza a legislazione vigente.</w:t>
      </w:r>
    </w:p>
    <w:p w:rsidR="00704519" w:rsidRPr="00357201" w:rsidRDefault="00704519" w:rsidP="00704519">
      <w:pPr>
        <w:numPr>
          <w:ilvl w:val="0"/>
          <w:numId w:val="6"/>
        </w:numPr>
        <w:spacing w:line="360" w:lineRule="auto"/>
        <w:jc w:val="both"/>
        <w:rPr>
          <w:rFonts w:ascii="Times New Roman" w:hAnsi="Times New Roman" w:cs="Times New Roman"/>
          <w:i/>
          <w:sz w:val="32"/>
          <w:szCs w:val="32"/>
        </w:rPr>
      </w:pPr>
      <w:r w:rsidRPr="00357201">
        <w:rPr>
          <w:rFonts w:ascii="Times New Roman" w:hAnsi="Times New Roman" w:cs="Times New Roman"/>
          <w:i/>
          <w:sz w:val="32"/>
          <w:szCs w:val="32"/>
        </w:rPr>
        <w:t>Agenda del Governo e preconsiglio</w:t>
      </w:r>
    </w:p>
    <w:p w:rsidR="00704519" w:rsidRPr="00704519" w:rsidRDefault="00704519" w:rsidP="00704519">
      <w:p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t xml:space="preserve">Precondizione essenziale per un ordinato svolgersi dell’iniziativa normativa </w:t>
      </w:r>
      <w:r w:rsidR="006215F1">
        <w:rPr>
          <w:rFonts w:ascii="Times New Roman" w:hAnsi="Times New Roman" w:cs="Times New Roman"/>
          <w:sz w:val="32"/>
          <w:szCs w:val="32"/>
        </w:rPr>
        <w:t>è</w:t>
      </w:r>
      <w:r w:rsidRPr="00704519">
        <w:rPr>
          <w:rFonts w:ascii="Times New Roman" w:hAnsi="Times New Roman" w:cs="Times New Roman"/>
          <w:sz w:val="32"/>
          <w:szCs w:val="32"/>
        </w:rPr>
        <w:t xml:space="preserve"> mettere in pratica</w:t>
      </w:r>
      <w:r w:rsidR="006215F1">
        <w:rPr>
          <w:rFonts w:ascii="Times New Roman" w:hAnsi="Times New Roman" w:cs="Times New Roman"/>
          <w:sz w:val="32"/>
          <w:szCs w:val="32"/>
        </w:rPr>
        <w:t xml:space="preserve"> compiutamente </w:t>
      </w:r>
      <w:r w:rsidRPr="00704519">
        <w:rPr>
          <w:rFonts w:ascii="Times New Roman" w:hAnsi="Times New Roman" w:cs="Times New Roman"/>
          <w:sz w:val="32"/>
          <w:szCs w:val="32"/>
        </w:rPr>
        <w:t xml:space="preserve">gli istrumenti tecnici di istruttoria </w:t>
      </w:r>
      <w:r w:rsidRPr="00704519">
        <w:rPr>
          <w:rFonts w:ascii="Times New Roman" w:hAnsi="Times New Roman" w:cs="Times New Roman"/>
          <w:sz w:val="32"/>
          <w:szCs w:val="32"/>
          <w:u w:val="single"/>
        </w:rPr>
        <w:t xml:space="preserve">che già esistono </w:t>
      </w:r>
      <w:r w:rsidRPr="00704519">
        <w:rPr>
          <w:rFonts w:ascii="Times New Roman" w:hAnsi="Times New Roman" w:cs="Times New Roman"/>
          <w:sz w:val="32"/>
          <w:szCs w:val="32"/>
        </w:rPr>
        <w:t>(AIR, VIR</w:t>
      </w:r>
      <w:r w:rsidR="006215F1">
        <w:rPr>
          <w:rFonts w:ascii="Times New Roman" w:hAnsi="Times New Roman" w:cs="Times New Roman"/>
          <w:sz w:val="32"/>
          <w:szCs w:val="32"/>
        </w:rPr>
        <w:t>) oppure affrontare in maniera chiara e conseguenziale alcuni temi pratici che si ripropongono continuamente, tra cui quello della cd.bollinatura dei provvedimenti, assicurando al contempo copertura reale ed effettiva dei provvedimenti di spesa e</w:t>
      </w:r>
      <w:r w:rsidR="00357201">
        <w:rPr>
          <w:rFonts w:ascii="Times New Roman" w:hAnsi="Times New Roman" w:cs="Times New Roman"/>
          <w:sz w:val="32"/>
          <w:szCs w:val="32"/>
        </w:rPr>
        <w:t xml:space="preserve"> rispetto delle</w:t>
      </w:r>
      <w:r w:rsidR="006215F1">
        <w:rPr>
          <w:rFonts w:ascii="Times New Roman" w:hAnsi="Times New Roman" w:cs="Times New Roman"/>
          <w:sz w:val="32"/>
          <w:szCs w:val="32"/>
        </w:rPr>
        <w:t xml:space="preserve"> scelte politiche del legislatore. </w:t>
      </w:r>
    </w:p>
    <w:p w:rsidR="00704519" w:rsidRDefault="006215F1" w:rsidP="00704519">
      <w:pPr>
        <w:spacing w:line="360" w:lineRule="auto"/>
        <w:jc w:val="both"/>
        <w:rPr>
          <w:rFonts w:ascii="Times New Roman" w:hAnsi="Times New Roman" w:cs="Times New Roman"/>
          <w:sz w:val="32"/>
          <w:szCs w:val="32"/>
        </w:rPr>
      </w:pPr>
      <w:r>
        <w:rPr>
          <w:rFonts w:ascii="Times New Roman" w:hAnsi="Times New Roman" w:cs="Times New Roman"/>
          <w:sz w:val="32"/>
          <w:szCs w:val="32"/>
        </w:rPr>
        <w:t>Per quanto riguarda i mezzi sopra richiamati, vorrei sottolineare che l’Agenda consente di scandire i tempi dell’azione di governo; il cd. preconsiglio consente un c</w:t>
      </w:r>
      <w:r w:rsidR="00704519" w:rsidRPr="00704519">
        <w:rPr>
          <w:rFonts w:ascii="Times New Roman" w:hAnsi="Times New Roman" w:cs="Times New Roman"/>
          <w:sz w:val="32"/>
          <w:szCs w:val="32"/>
        </w:rPr>
        <w:t xml:space="preserve">onfronto tecnico </w:t>
      </w:r>
      <w:r>
        <w:rPr>
          <w:rFonts w:ascii="Times New Roman" w:hAnsi="Times New Roman" w:cs="Times New Roman"/>
          <w:sz w:val="32"/>
          <w:szCs w:val="32"/>
        </w:rPr>
        <w:t>tra gli uffici legislativi di tutti i ministeri, sotto il coordinamento del Sottosegretario della Presidenza (che, non dimentichiamolo, siede in Consiglio dei Ministri) e del DAGL, propedeutico all’assunzione di</w:t>
      </w:r>
      <w:r w:rsidR="00704519" w:rsidRPr="00704519">
        <w:rPr>
          <w:rFonts w:ascii="Times New Roman" w:hAnsi="Times New Roman" w:cs="Times New Roman"/>
          <w:sz w:val="32"/>
          <w:szCs w:val="32"/>
        </w:rPr>
        <w:t xml:space="preserve"> una decisione politica informata e consapevole.</w:t>
      </w:r>
    </w:p>
    <w:p w:rsidR="00300F71" w:rsidRPr="00357201" w:rsidRDefault="00300F71" w:rsidP="00704519">
      <w:pPr>
        <w:pStyle w:val="Paragrafoelenco"/>
        <w:numPr>
          <w:ilvl w:val="0"/>
          <w:numId w:val="6"/>
        </w:numPr>
        <w:spacing w:line="360" w:lineRule="auto"/>
        <w:jc w:val="both"/>
        <w:rPr>
          <w:rFonts w:ascii="Times New Roman" w:hAnsi="Times New Roman" w:cs="Times New Roman"/>
          <w:i/>
          <w:sz w:val="32"/>
          <w:szCs w:val="32"/>
        </w:rPr>
      </w:pPr>
      <w:r w:rsidRPr="00357201">
        <w:rPr>
          <w:rFonts w:ascii="Times New Roman" w:hAnsi="Times New Roman" w:cs="Times New Roman"/>
          <w:i/>
          <w:sz w:val="32"/>
          <w:szCs w:val="32"/>
        </w:rPr>
        <w:t>Interessi settoriali e interessi trasversali</w:t>
      </w:r>
    </w:p>
    <w:p w:rsidR="00704519" w:rsidRPr="00300F71" w:rsidRDefault="00300F71" w:rsidP="00300F71">
      <w:pPr>
        <w:spacing w:line="360" w:lineRule="auto"/>
        <w:jc w:val="both"/>
        <w:rPr>
          <w:rFonts w:ascii="Times New Roman" w:hAnsi="Times New Roman" w:cs="Times New Roman"/>
          <w:sz w:val="32"/>
          <w:szCs w:val="32"/>
        </w:rPr>
      </w:pPr>
      <w:r>
        <w:rPr>
          <w:rFonts w:ascii="Times New Roman" w:hAnsi="Times New Roman" w:cs="Times New Roman"/>
          <w:sz w:val="32"/>
          <w:szCs w:val="32"/>
        </w:rPr>
        <w:lastRenderedPageBreak/>
        <w:t>G</w:t>
      </w:r>
      <w:r w:rsidR="00704519" w:rsidRPr="00300F71">
        <w:rPr>
          <w:rFonts w:ascii="Times New Roman" w:hAnsi="Times New Roman" w:cs="Times New Roman"/>
          <w:sz w:val="32"/>
          <w:szCs w:val="32"/>
        </w:rPr>
        <w:t>li strumenti di qualità della regolazione, nella misura in cui incidono su</w:t>
      </w:r>
      <w:r>
        <w:rPr>
          <w:rFonts w:ascii="Times New Roman" w:hAnsi="Times New Roman" w:cs="Times New Roman"/>
          <w:sz w:val="32"/>
          <w:szCs w:val="32"/>
        </w:rPr>
        <w:t>ll’</w:t>
      </w:r>
      <w:r w:rsidRPr="00300F71">
        <w:rPr>
          <w:rFonts w:ascii="Times New Roman" w:hAnsi="Times New Roman" w:cs="Times New Roman"/>
          <w:i/>
          <w:sz w:val="32"/>
          <w:szCs w:val="32"/>
        </w:rPr>
        <w:t xml:space="preserve">an </w:t>
      </w:r>
      <w:r w:rsidR="00704519" w:rsidRPr="00300F71">
        <w:rPr>
          <w:rFonts w:ascii="Times New Roman" w:hAnsi="Times New Roman" w:cs="Times New Roman"/>
          <w:sz w:val="32"/>
          <w:szCs w:val="32"/>
        </w:rPr>
        <w:t xml:space="preserve">e </w:t>
      </w:r>
      <w:r>
        <w:rPr>
          <w:rFonts w:ascii="Times New Roman" w:hAnsi="Times New Roman" w:cs="Times New Roman"/>
          <w:sz w:val="32"/>
          <w:szCs w:val="32"/>
        </w:rPr>
        <w:t xml:space="preserve">sul </w:t>
      </w:r>
      <w:r w:rsidRPr="00300F71">
        <w:rPr>
          <w:rFonts w:ascii="Times New Roman" w:hAnsi="Times New Roman" w:cs="Times New Roman"/>
          <w:i/>
          <w:sz w:val="32"/>
          <w:szCs w:val="32"/>
        </w:rPr>
        <w:t>quomodo</w:t>
      </w:r>
      <w:r w:rsidR="00704519" w:rsidRPr="00300F71">
        <w:rPr>
          <w:rFonts w:ascii="Times New Roman" w:hAnsi="Times New Roman" w:cs="Times New Roman"/>
          <w:sz w:val="32"/>
          <w:szCs w:val="32"/>
        </w:rPr>
        <w:t xml:space="preserve"> dell’iniziativa normativa, richiedono un confronto e una sintesi delle varie posiz</w:t>
      </w:r>
      <w:r>
        <w:rPr>
          <w:rFonts w:ascii="Times New Roman" w:hAnsi="Times New Roman" w:cs="Times New Roman"/>
          <w:sz w:val="32"/>
          <w:szCs w:val="32"/>
        </w:rPr>
        <w:t>ioni, già a livello di governo;</w:t>
      </w:r>
      <w:r w:rsidR="00704519" w:rsidRPr="00300F71">
        <w:rPr>
          <w:rFonts w:ascii="Times New Roman" w:hAnsi="Times New Roman" w:cs="Times New Roman"/>
          <w:sz w:val="32"/>
          <w:szCs w:val="32"/>
        </w:rPr>
        <w:t xml:space="preserve"> confronto che</w:t>
      </w:r>
      <w:r>
        <w:rPr>
          <w:rFonts w:ascii="Times New Roman" w:hAnsi="Times New Roman" w:cs="Times New Roman"/>
          <w:sz w:val="32"/>
          <w:szCs w:val="32"/>
        </w:rPr>
        <w:t xml:space="preserve"> poi</w:t>
      </w:r>
      <w:r w:rsidR="00704519" w:rsidRPr="00300F71">
        <w:rPr>
          <w:rFonts w:ascii="Times New Roman" w:hAnsi="Times New Roman" w:cs="Times New Roman"/>
          <w:sz w:val="32"/>
          <w:szCs w:val="32"/>
        </w:rPr>
        <w:t xml:space="preserve"> si trasferisce in Parlamento.</w:t>
      </w:r>
      <w:r>
        <w:rPr>
          <w:rFonts w:ascii="Times New Roman" w:hAnsi="Times New Roman" w:cs="Times New Roman"/>
          <w:sz w:val="32"/>
          <w:szCs w:val="32"/>
        </w:rPr>
        <w:t xml:space="preserve"> P</w:t>
      </w:r>
      <w:r w:rsidR="00357201">
        <w:rPr>
          <w:rFonts w:ascii="Times New Roman" w:hAnsi="Times New Roman" w:cs="Times New Roman"/>
          <w:sz w:val="32"/>
          <w:szCs w:val="32"/>
        </w:rPr>
        <w:t>erciò penserei</w:t>
      </w:r>
      <w:r>
        <w:rPr>
          <w:rFonts w:ascii="Times New Roman" w:hAnsi="Times New Roman" w:cs="Times New Roman"/>
          <w:sz w:val="32"/>
          <w:szCs w:val="32"/>
        </w:rPr>
        <w:t xml:space="preserve"> a forme stabili di collaborazione, soprattutto tra quegli organismi che non rappresentano interessi settoriali, ma che sono espressione di un interesse trasversale alla qualità della regolazione e che sono presenti sia in parlamento (Comitato per la legislazione, Ufficio di bilancio); sia a livello governativo, prevalentemente in funzione di coordinamento tecnico (per esempio, il DAGL). Riemerge dunque un tema ricorrente, quello del rapporto tra </w:t>
      </w:r>
    </w:p>
    <w:p w:rsidR="00300F71" w:rsidRPr="00357201" w:rsidRDefault="00704519" w:rsidP="00704519">
      <w:pPr>
        <w:numPr>
          <w:ilvl w:val="0"/>
          <w:numId w:val="6"/>
        </w:numPr>
        <w:spacing w:line="360" w:lineRule="auto"/>
        <w:jc w:val="both"/>
        <w:rPr>
          <w:rFonts w:ascii="Times New Roman" w:hAnsi="Times New Roman" w:cs="Times New Roman"/>
          <w:i/>
          <w:sz w:val="32"/>
          <w:szCs w:val="32"/>
        </w:rPr>
      </w:pPr>
      <w:r w:rsidRPr="00357201">
        <w:rPr>
          <w:rFonts w:ascii="Times New Roman" w:hAnsi="Times New Roman" w:cs="Times New Roman"/>
          <w:i/>
          <w:sz w:val="32"/>
          <w:szCs w:val="32"/>
        </w:rPr>
        <w:t xml:space="preserve">Tecnici e politica </w:t>
      </w:r>
    </w:p>
    <w:p w:rsidR="00704519" w:rsidRPr="00704519" w:rsidRDefault="00300F71" w:rsidP="00300F71">
      <w:pPr>
        <w:spacing w:line="360" w:lineRule="auto"/>
        <w:jc w:val="both"/>
        <w:rPr>
          <w:rFonts w:ascii="Times New Roman" w:hAnsi="Times New Roman" w:cs="Times New Roman"/>
          <w:sz w:val="32"/>
          <w:szCs w:val="32"/>
        </w:rPr>
      </w:pPr>
      <w:r>
        <w:rPr>
          <w:rFonts w:ascii="Times New Roman" w:hAnsi="Times New Roman" w:cs="Times New Roman"/>
          <w:sz w:val="32"/>
          <w:szCs w:val="32"/>
        </w:rPr>
        <w:t>N</w:t>
      </w:r>
      <w:r w:rsidR="00704519" w:rsidRPr="00704519">
        <w:rPr>
          <w:rFonts w:ascii="Times New Roman" w:hAnsi="Times New Roman" w:cs="Times New Roman"/>
          <w:sz w:val="32"/>
          <w:szCs w:val="32"/>
        </w:rPr>
        <w:t xml:space="preserve">on credo molto in </w:t>
      </w:r>
      <w:r>
        <w:rPr>
          <w:rFonts w:ascii="Times New Roman" w:hAnsi="Times New Roman" w:cs="Times New Roman"/>
          <w:sz w:val="32"/>
          <w:szCs w:val="32"/>
        </w:rPr>
        <w:t xml:space="preserve">un organismo “terzo” che valuti </w:t>
      </w:r>
      <w:r w:rsidR="00704519" w:rsidRPr="00704519">
        <w:rPr>
          <w:rFonts w:ascii="Times New Roman" w:hAnsi="Times New Roman" w:cs="Times New Roman"/>
          <w:sz w:val="32"/>
          <w:szCs w:val="32"/>
        </w:rPr>
        <w:t xml:space="preserve">i profili istruttori delle iniziative normative. Servono uffici attrezzati interni al Governo (e al Parlamento) </w:t>
      </w:r>
      <w:r w:rsidR="00704519" w:rsidRPr="00300F71">
        <w:rPr>
          <w:rFonts w:ascii="Times New Roman" w:hAnsi="Times New Roman" w:cs="Times New Roman"/>
          <w:sz w:val="32"/>
          <w:szCs w:val="32"/>
        </w:rPr>
        <w:t>a supporto delle scelte politiche per aiutare</w:t>
      </w:r>
      <w:r w:rsidRPr="00300F71">
        <w:rPr>
          <w:rFonts w:ascii="Times New Roman" w:hAnsi="Times New Roman" w:cs="Times New Roman"/>
          <w:sz w:val="32"/>
          <w:szCs w:val="32"/>
        </w:rPr>
        <w:t xml:space="preserve"> che</w:t>
      </w:r>
      <w:r w:rsidR="00704519" w:rsidRPr="00300F71">
        <w:rPr>
          <w:rFonts w:ascii="Times New Roman" w:hAnsi="Times New Roman" w:cs="Times New Roman"/>
          <w:sz w:val="32"/>
          <w:szCs w:val="32"/>
        </w:rPr>
        <w:t xml:space="preserve"> queste </w:t>
      </w:r>
      <w:r w:rsidRPr="00300F71">
        <w:rPr>
          <w:rFonts w:ascii="Times New Roman" w:hAnsi="Times New Roman" w:cs="Times New Roman"/>
          <w:sz w:val="32"/>
          <w:szCs w:val="32"/>
        </w:rPr>
        <w:t xml:space="preserve">si facciano </w:t>
      </w:r>
      <w:r w:rsidR="00704519" w:rsidRPr="00300F71">
        <w:rPr>
          <w:rFonts w:ascii="Times New Roman" w:hAnsi="Times New Roman" w:cs="Times New Roman"/>
          <w:sz w:val="32"/>
          <w:szCs w:val="32"/>
        </w:rPr>
        <w:t>al meglio;</w:t>
      </w:r>
      <w:r w:rsidR="00704519" w:rsidRPr="00704519">
        <w:rPr>
          <w:rFonts w:ascii="Times New Roman" w:hAnsi="Times New Roman" w:cs="Times New Roman"/>
          <w:sz w:val="32"/>
          <w:szCs w:val="32"/>
          <w:u w:val="single"/>
        </w:rPr>
        <w:t xml:space="preserve"> </w:t>
      </w:r>
    </w:p>
    <w:p w:rsidR="00704519" w:rsidRPr="00704519" w:rsidRDefault="00704519" w:rsidP="00704519">
      <w:pPr>
        <w:numPr>
          <w:ilvl w:val="0"/>
          <w:numId w:val="6"/>
        </w:numPr>
        <w:spacing w:line="360" w:lineRule="auto"/>
        <w:jc w:val="both"/>
        <w:rPr>
          <w:rFonts w:ascii="Times New Roman" w:hAnsi="Times New Roman" w:cs="Times New Roman"/>
          <w:sz w:val="32"/>
          <w:szCs w:val="32"/>
        </w:rPr>
      </w:pPr>
      <w:r w:rsidRPr="00357201">
        <w:rPr>
          <w:rFonts w:ascii="Times New Roman" w:hAnsi="Times New Roman" w:cs="Times New Roman"/>
          <w:i/>
          <w:sz w:val="32"/>
          <w:szCs w:val="32"/>
        </w:rPr>
        <w:t xml:space="preserve">Si tratta quindi di migliorare e rendere effettivo </w:t>
      </w:r>
      <w:r w:rsidR="00300F71" w:rsidRPr="00357201">
        <w:rPr>
          <w:rFonts w:ascii="Times New Roman" w:hAnsi="Times New Roman" w:cs="Times New Roman"/>
          <w:i/>
          <w:sz w:val="32"/>
          <w:szCs w:val="32"/>
        </w:rPr>
        <w:t>quanto affermato sub c)</w:t>
      </w:r>
      <w:r w:rsidR="00300F71">
        <w:rPr>
          <w:rFonts w:ascii="Times New Roman" w:hAnsi="Times New Roman" w:cs="Times New Roman"/>
          <w:sz w:val="32"/>
          <w:szCs w:val="32"/>
        </w:rPr>
        <w:t>:</w:t>
      </w:r>
    </w:p>
    <w:p w:rsidR="00704519" w:rsidRPr="00704519" w:rsidRDefault="00704519" w:rsidP="00704519">
      <w:p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t>d1)</w:t>
      </w:r>
      <w:r w:rsidRPr="00704519">
        <w:rPr>
          <w:rFonts w:ascii="Times New Roman" w:hAnsi="Times New Roman" w:cs="Times New Roman"/>
          <w:sz w:val="32"/>
          <w:szCs w:val="32"/>
        </w:rPr>
        <w:tab/>
        <w:t xml:space="preserve">Quanto ai documenti economici e all’impatto economico della regolazione, occorrerebbe rendere più </w:t>
      </w:r>
      <w:r w:rsidR="00F5392F">
        <w:rPr>
          <w:rFonts w:ascii="Times New Roman" w:hAnsi="Times New Roman" w:cs="Times New Roman"/>
          <w:sz w:val="32"/>
          <w:szCs w:val="32"/>
        </w:rPr>
        <w:t xml:space="preserve">incisiva </w:t>
      </w:r>
      <w:r w:rsidRPr="00704519">
        <w:rPr>
          <w:rFonts w:ascii="Times New Roman" w:hAnsi="Times New Roman" w:cs="Times New Roman"/>
          <w:sz w:val="32"/>
          <w:szCs w:val="32"/>
        </w:rPr>
        <w:t>l’analisi dell’Ufficio di bilancio e dare luogo al confronto – forse disciplinabile anc</w:t>
      </w:r>
      <w:r w:rsidR="00F5392F">
        <w:rPr>
          <w:rFonts w:ascii="Times New Roman" w:hAnsi="Times New Roman" w:cs="Times New Roman"/>
          <w:sz w:val="32"/>
          <w:szCs w:val="32"/>
        </w:rPr>
        <w:t>h</w:t>
      </w:r>
      <w:r w:rsidRPr="00704519">
        <w:rPr>
          <w:rFonts w:ascii="Times New Roman" w:hAnsi="Times New Roman" w:cs="Times New Roman"/>
          <w:sz w:val="32"/>
          <w:szCs w:val="32"/>
        </w:rPr>
        <w:t xml:space="preserve">e dai regolamenti </w:t>
      </w:r>
      <w:r w:rsidR="00CD098D">
        <w:rPr>
          <w:rFonts w:ascii="Times New Roman" w:hAnsi="Times New Roman" w:cs="Times New Roman"/>
          <w:sz w:val="32"/>
          <w:szCs w:val="32"/>
        </w:rPr>
        <w:t>parlamentari-</w:t>
      </w:r>
      <w:r w:rsidRPr="00704519">
        <w:rPr>
          <w:rFonts w:ascii="Times New Roman" w:hAnsi="Times New Roman" w:cs="Times New Roman"/>
          <w:sz w:val="32"/>
          <w:szCs w:val="32"/>
        </w:rPr>
        <w:t xml:space="preserve"> tra l’Ufficio di bilancio e il Governo (</w:t>
      </w:r>
      <w:r w:rsidR="00F5392F">
        <w:rPr>
          <w:rFonts w:ascii="Times New Roman" w:hAnsi="Times New Roman" w:cs="Times New Roman"/>
          <w:sz w:val="32"/>
          <w:szCs w:val="32"/>
        </w:rPr>
        <w:t>DAGL, RGS, Ministro proponente).</w:t>
      </w:r>
      <w:r w:rsidRPr="00704519">
        <w:rPr>
          <w:rFonts w:ascii="Times New Roman" w:hAnsi="Times New Roman" w:cs="Times New Roman"/>
          <w:sz w:val="32"/>
          <w:szCs w:val="32"/>
        </w:rPr>
        <w:t xml:space="preserve"> Si tratterebbe, in sostanza di elaborare una condivisione della istruttoria tecnica della proposta legislativa tra i due organi costituzionali (Parlamento e Governo) che può </w:t>
      </w:r>
      <w:r w:rsidR="00F5392F">
        <w:rPr>
          <w:rFonts w:ascii="Times New Roman" w:hAnsi="Times New Roman" w:cs="Times New Roman"/>
          <w:sz w:val="32"/>
          <w:szCs w:val="32"/>
        </w:rPr>
        <w:t>condurre a</w:t>
      </w:r>
      <w:r w:rsidR="00CD098D">
        <w:rPr>
          <w:rFonts w:ascii="Times New Roman" w:hAnsi="Times New Roman" w:cs="Times New Roman"/>
          <w:sz w:val="32"/>
          <w:szCs w:val="32"/>
        </w:rPr>
        <w:t xml:space="preserve"> due risultati. 1. L’</w:t>
      </w:r>
      <w:r w:rsidRPr="00704519">
        <w:rPr>
          <w:rFonts w:ascii="Times New Roman" w:hAnsi="Times New Roman" w:cs="Times New Roman"/>
          <w:sz w:val="32"/>
          <w:szCs w:val="32"/>
        </w:rPr>
        <w:t xml:space="preserve">individuazione di valutazioni pienamente condivise sul piano </w:t>
      </w:r>
      <w:r w:rsidRPr="00704519">
        <w:rPr>
          <w:rFonts w:ascii="Times New Roman" w:hAnsi="Times New Roman" w:cs="Times New Roman"/>
          <w:sz w:val="32"/>
          <w:szCs w:val="32"/>
        </w:rPr>
        <w:lastRenderedPageBreak/>
        <w:t>della copertura e degli impatti socio</w:t>
      </w:r>
      <w:r w:rsidR="00CD098D">
        <w:rPr>
          <w:rFonts w:ascii="Times New Roman" w:hAnsi="Times New Roman" w:cs="Times New Roman"/>
          <w:sz w:val="32"/>
          <w:szCs w:val="32"/>
        </w:rPr>
        <w:t>-</w:t>
      </w:r>
      <w:r w:rsidRPr="00704519">
        <w:rPr>
          <w:rFonts w:ascii="Times New Roman" w:hAnsi="Times New Roman" w:cs="Times New Roman"/>
          <w:sz w:val="32"/>
          <w:szCs w:val="32"/>
        </w:rPr>
        <w:t>economici e finanziari (a prescindere dai giudizi politici), su cui il Parlamento interverrà liberamente</w:t>
      </w:r>
      <w:r w:rsidR="00CD098D">
        <w:rPr>
          <w:rFonts w:ascii="Times New Roman" w:hAnsi="Times New Roman" w:cs="Times New Roman"/>
          <w:sz w:val="32"/>
          <w:szCs w:val="32"/>
        </w:rPr>
        <w:t>,</w:t>
      </w:r>
      <w:r w:rsidRPr="00704519">
        <w:rPr>
          <w:rFonts w:ascii="Times New Roman" w:hAnsi="Times New Roman" w:cs="Times New Roman"/>
          <w:sz w:val="32"/>
          <w:szCs w:val="32"/>
        </w:rPr>
        <w:t xml:space="preserve"> nel quadro delle valutazioni condivise</w:t>
      </w:r>
      <w:r w:rsidR="00CD098D">
        <w:rPr>
          <w:rFonts w:ascii="Times New Roman" w:hAnsi="Times New Roman" w:cs="Times New Roman"/>
          <w:sz w:val="32"/>
          <w:szCs w:val="32"/>
        </w:rPr>
        <w:t>,</w:t>
      </w:r>
      <w:r w:rsidRPr="00704519">
        <w:rPr>
          <w:rFonts w:ascii="Times New Roman" w:hAnsi="Times New Roman" w:cs="Times New Roman"/>
          <w:sz w:val="32"/>
          <w:szCs w:val="32"/>
        </w:rPr>
        <w:t xml:space="preserve"> per declinarle politicamente. 2. Ovvero la permanenza del contrasto</w:t>
      </w:r>
      <w:r w:rsidR="00CD098D">
        <w:rPr>
          <w:rFonts w:ascii="Times New Roman" w:hAnsi="Times New Roman" w:cs="Times New Roman"/>
          <w:sz w:val="32"/>
          <w:szCs w:val="32"/>
        </w:rPr>
        <w:t>,</w:t>
      </w:r>
      <w:r w:rsidRPr="00704519">
        <w:rPr>
          <w:rFonts w:ascii="Times New Roman" w:hAnsi="Times New Roman" w:cs="Times New Roman"/>
          <w:sz w:val="32"/>
          <w:szCs w:val="32"/>
        </w:rPr>
        <w:t xml:space="preserve"> che sarà risolta politicamente in sede Parlamentare.</w:t>
      </w:r>
    </w:p>
    <w:p w:rsidR="00704519" w:rsidRPr="00704519" w:rsidRDefault="00704519" w:rsidP="00704519">
      <w:p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t>d2)</w:t>
      </w:r>
      <w:r w:rsidRPr="00704519">
        <w:rPr>
          <w:rFonts w:ascii="Times New Roman" w:hAnsi="Times New Roman" w:cs="Times New Roman"/>
          <w:sz w:val="32"/>
          <w:szCs w:val="32"/>
        </w:rPr>
        <w:tab/>
        <w:t xml:space="preserve">Quanto ai documenti tecnici </w:t>
      </w:r>
      <w:r w:rsidR="00CD098D">
        <w:rPr>
          <w:rFonts w:ascii="Times New Roman" w:hAnsi="Times New Roman" w:cs="Times New Roman"/>
          <w:sz w:val="32"/>
          <w:szCs w:val="32"/>
        </w:rPr>
        <w:t xml:space="preserve">e </w:t>
      </w:r>
      <w:r w:rsidRPr="00704519">
        <w:rPr>
          <w:rFonts w:ascii="Times New Roman" w:hAnsi="Times New Roman" w:cs="Times New Roman"/>
          <w:sz w:val="32"/>
          <w:szCs w:val="32"/>
        </w:rPr>
        <w:t>giuridici e all’analisi della regolazione</w:t>
      </w:r>
      <w:r w:rsidR="00F5392F">
        <w:rPr>
          <w:rFonts w:ascii="Times New Roman" w:hAnsi="Times New Roman" w:cs="Times New Roman"/>
          <w:sz w:val="32"/>
          <w:szCs w:val="32"/>
        </w:rPr>
        <w:t>, riguardata sotto il profilo dell’</w:t>
      </w:r>
      <w:r w:rsidRPr="00704519">
        <w:rPr>
          <w:rFonts w:ascii="Times New Roman" w:hAnsi="Times New Roman" w:cs="Times New Roman"/>
          <w:sz w:val="32"/>
          <w:szCs w:val="32"/>
        </w:rPr>
        <w:t>impatto sull’ordinamento,</w:t>
      </w:r>
      <w:r w:rsidR="00F5392F">
        <w:rPr>
          <w:rFonts w:ascii="Times New Roman" w:hAnsi="Times New Roman" w:cs="Times New Roman"/>
          <w:sz w:val="32"/>
          <w:szCs w:val="32"/>
        </w:rPr>
        <w:t xml:space="preserve"> utili opportunità possono derivare </w:t>
      </w:r>
      <w:r w:rsidR="00CD098D">
        <w:rPr>
          <w:rFonts w:ascii="Times New Roman" w:hAnsi="Times New Roman" w:cs="Times New Roman"/>
          <w:sz w:val="32"/>
          <w:szCs w:val="32"/>
        </w:rPr>
        <w:t>d</w:t>
      </w:r>
      <w:r w:rsidR="00F5392F">
        <w:rPr>
          <w:rFonts w:ascii="Times New Roman" w:hAnsi="Times New Roman" w:cs="Times New Roman"/>
          <w:sz w:val="32"/>
          <w:szCs w:val="32"/>
        </w:rPr>
        <w:t>alla tecnologia informatica</w:t>
      </w:r>
      <w:r w:rsidR="00CD098D">
        <w:rPr>
          <w:rFonts w:ascii="Times New Roman" w:hAnsi="Times New Roman" w:cs="Times New Roman"/>
          <w:sz w:val="32"/>
          <w:szCs w:val="32"/>
        </w:rPr>
        <w:t>; inoltre,</w:t>
      </w:r>
      <w:r w:rsidR="00F5392F">
        <w:rPr>
          <w:rFonts w:ascii="Times New Roman" w:hAnsi="Times New Roman" w:cs="Times New Roman"/>
          <w:sz w:val="32"/>
          <w:szCs w:val="32"/>
        </w:rPr>
        <w:t xml:space="preserve"> vanno assicurate al meglio le funzioni di coordinamento della Presidenza del Consiglio attraverso il DAGL e, al contempo, va garantito il raccordo interistituzionale di cui parlavo con gli organismi parlamentari deputati alla salvaguardia della qualità della normazione</w:t>
      </w:r>
      <w:r w:rsidR="00CD098D">
        <w:rPr>
          <w:rFonts w:ascii="Times New Roman" w:hAnsi="Times New Roman" w:cs="Times New Roman"/>
          <w:sz w:val="32"/>
          <w:szCs w:val="32"/>
        </w:rPr>
        <w:t>.</w:t>
      </w:r>
      <w:r w:rsidR="00F5392F">
        <w:rPr>
          <w:rFonts w:ascii="Times New Roman" w:hAnsi="Times New Roman" w:cs="Times New Roman"/>
          <w:sz w:val="32"/>
          <w:szCs w:val="32"/>
        </w:rPr>
        <w:t xml:space="preserve">  </w:t>
      </w:r>
    </w:p>
    <w:p w:rsidR="00704519" w:rsidRPr="00006FEF" w:rsidRDefault="00F5392F" w:rsidP="00006FEF">
      <w:pPr>
        <w:pStyle w:val="Paragrafoelenco"/>
        <w:numPr>
          <w:ilvl w:val="0"/>
          <w:numId w:val="11"/>
        </w:numPr>
        <w:spacing w:line="360" w:lineRule="auto"/>
        <w:jc w:val="both"/>
        <w:rPr>
          <w:rFonts w:ascii="Times New Roman" w:hAnsi="Times New Roman" w:cs="Times New Roman"/>
          <w:sz w:val="32"/>
          <w:szCs w:val="32"/>
          <w:u w:val="single"/>
        </w:rPr>
      </w:pPr>
      <w:r w:rsidRPr="00006FEF">
        <w:rPr>
          <w:rFonts w:ascii="Times New Roman" w:hAnsi="Times New Roman" w:cs="Times New Roman"/>
          <w:sz w:val="32"/>
          <w:szCs w:val="32"/>
        </w:rPr>
        <w:t xml:space="preserve">- </w:t>
      </w:r>
      <w:r w:rsidR="00704519" w:rsidRPr="00CD098D">
        <w:rPr>
          <w:rFonts w:ascii="Times New Roman" w:hAnsi="Times New Roman" w:cs="Times New Roman"/>
          <w:b/>
          <w:sz w:val="32"/>
          <w:szCs w:val="32"/>
          <w:u w:val="single"/>
        </w:rPr>
        <w:t xml:space="preserve">Altri aspetti e </w:t>
      </w:r>
      <w:r w:rsidR="00006FEF" w:rsidRPr="00CD098D">
        <w:rPr>
          <w:rFonts w:ascii="Times New Roman" w:hAnsi="Times New Roman" w:cs="Times New Roman"/>
          <w:b/>
          <w:sz w:val="32"/>
          <w:szCs w:val="32"/>
          <w:u w:val="single"/>
        </w:rPr>
        <w:t xml:space="preserve">risposta a </w:t>
      </w:r>
      <w:r w:rsidR="00704519" w:rsidRPr="00CD098D">
        <w:rPr>
          <w:rFonts w:ascii="Times New Roman" w:hAnsi="Times New Roman" w:cs="Times New Roman"/>
          <w:b/>
          <w:sz w:val="32"/>
          <w:szCs w:val="32"/>
          <w:u w:val="single"/>
        </w:rPr>
        <w:t>quesiti specifici</w:t>
      </w:r>
    </w:p>
    <w:p w:rsidR="00704519" w:rsidRDefault="00704519" w:rsidP="00006FEF">
      <w:pPr>
        <w:pStyle w:val="Paragrafoelenco"/>
        <w:numPr>
          <w:ilvl w:val="0"/>
          <w:numId w:val="12"/>
        </w:numPr>
        <w:spacing w:line="360" w:lineRule="auto"/>
        <w:jc w:val="both"/>
        <w:rPr>
          <w:rFonts w:ascii="Times New Roman" w:hAnsi="Times New Roman" w:cs="Times New Roman"/>
          <w:sz w:val="32"/>
          <w:szCs w:val="32"/>
        </w:rPr>
      </w:pPr>
      <w:r w:rsidRPr="00006FEF">
        <w:rPr>
          <w:rFonts w:ascii="Times New Roman" w:hAnsi="Times New Roman" w:cs="Times New Roman"/>
          <w:sz w:val="32"/>
          <w:szCs w:val="32"/>
        </w:rPr>
        <w:t>Imporre istruttoria a iniziative di singoli</w:t>
      </w:r>
      <w:r w:rsidR="00CD098D">
        <w:rPr>
          <w:rFonts w:ascii="Times New Roman" w:hAnsi="Times New Roman" w:cs="Times New Roman"/>
          <w:sz w:val="32"/>
          <w:szCs w:val="32"/>
        </w:rPr>
        <w:t xml:space="preserve"> parlamentari – U</w:t>
      </w:r>
      <w:r w:rsidR="00B749C8">
        <w:rPr>
          <w:rFonts w:ascii="Times New Roman" w:hAnsi="Times New Roman" w:cs="Times New Roman"/>
          <w:sz w:val="32"/>
          <w:szCs w:val="32"/>
        </w:rPr>
        <w:t xml:space="preserve">na ipotesi del </w:t>
      </w:r>
      <w:r w:rsidRPr="00006FEF">
        <w:rPr>
          <w:rFonts w:ascii="Times New Roman" w:hAnsi="Times New Roman" w:cs="Times New Roman"/>
          <w:sz w:val="32"/>
          <w:szCs w:val="32"/>
        </w:rPr>
        <w:t>genere potrebbe limitare l’autonomia del parlamentare nell’espletamento del mandato. Forse di tale esigenza si dovrebbero fare carico gli Uffici dei Gruppi o delle Camere.</w:t>
      </w:r>
    </w:p>
    <w:p w:rsidR="00704519" w:rsidRPr="00006FEF" w:rsidRDefault="00704519" w:rsidP="00006FEF">
      <w:pPr>
        <w:pStyle w:val="Paragrafoelenco"/>
        <w:numPr>
          <w:ilvl w:val="0"/>
          <w:numId w:val="12"/>
        </w:numPr>
        <w:spacing w:line="360" w:lineRule="auto"/>
        <w:jc w:val="both"/>
        <w:rPr>
          <w:rFonts w:ascii="Times New Roman" w:hAnsi="Times New Roman" w:cs="Times New Roman"/>
          <w:sz w:val="32"/>
          <w:szCs w:val="32"/>
        </w:rPr>
      </w:pPr>
      <w:r w:rsidRPr="00006FEF">
        <w:rPr>
          <w:rFonts w:ascii="Times New Roman" w:hAnsi="Times New Roman" w:cs="Times New Roman"/>
          <w:sz w:val="32"/>
          <w:szCs w:val="32"/>
        </w:rPr>
        <w:t>I decreti legge sono spesso usati al di fuori di reali presupposti di necessità o urgenza, o quanto meno contengono norme “intruse”.</w:t>
      </w:r>
    </w:p>
    <w:p w:rsidR="00704519" w:rsidRPr="00704519" w:rsidRDefault="00704519" w:rsidP="00704519">
      <w:p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t>La Corte Costituzionale ha sviluppato una giurisprudenza “contenitiva” di tale problema, a partire dal profilo della reiterazione dei DL fino al tema della estraneità di materia.</w:t>
      </w:r>
    </w:p>
    <w:p w:rsidR="00704519" w:rsidRPr="00704519" w:rsidRDefault="00006FEF" w:rsidP="00704519">
      <w:pPr>
        <w:spacing w:line="360" w:lineRule="auto"/>
        <w:jc w:val="both"/>
        <w:rPr>
          <w:rFonts w:ascii="Times New Roman" w:hAnsi="Times New Roman" w:cs="Times New Roman"/>
          <w:sz w:val="32"/>
          <w:szCs w:val="32"/>
        </w:rPr>
      </w:pPr>
      <w:r>
        <w:rPr>
          <w:rFonts w:ascii="Times New Roman" w:hAnsi="Times New Roman" w:cs="Times New Roman"/>
          <w:sz w:val="32"/>
          <w:szCs w:val="32"/>
        </w:rPr>
        <w:t>Su</w:t>
      </w:r>
      <w:r w:rsidR="00704519" w:rsidRPr="00704519">
        <w:rPr>
          <w:rFonts w:ascii="Times New Roman" w:hAnsi="Times New Roman" w:cs="Times New Roman"/>
          <w:sz w:val="32"/>
          <w:szCs w:val="32"/>
        </w:rPr>
        <w:t xml:space="preserve"> questi presupposti occorrerebbe vigilare</w:t>
      </w:r>
      <w:r>
        <w:rPr>
          <w:rFonts w:ascii="Times New Roman" w:hAnsi="Times New Roman" w:cs="Times New Roman"/>
          <w:sz w:val="32"/>
          <w:szCs w:val="32"/>
        </w:rPr>
        <w:t>,</w:t>
      </w:r>
      <w:r w:rsidR="00704519" w:rsidRPr="00704519">
        <w:rPr>
          <w:rFonts w:ascii="Times New Roman" w:hAnsi="Times New Roman" w:cs="Times New Roman"/>
          <w:sz w:val="32"/>
          <w:szCs w:val="32"/>
        </w:rPr>
        <w:t xml:space="preserve"> specie in Parlamento.</w:t>
      </w:r>
    </w:p>
    <w:p w:rsidR="00704519" w:rsidRPr="00704519" w:rsidRDefault="00704519" w:rsidP="00704519">
      <w:p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lastRenderedPageBreak/>
        <w:t>Sul piano costituzionale ci si potrebbe porre il tema – che</w:t>
      </w:r>
      <w:r w:rsidR="00CD098D">
        <w:rPr>
          <w:rFonts w:ascii="Times New Roman" w:hAnsi="Times New Roman" w:cs="Times New Roman"/>
          <w:sz w:val="32"/>
          <w:szCs w:val="32"/>
        </w:rPr>
        <w:t xml:space="preserve"> però non riterrei risolvibile</w:t>
      </w:r>
      <w:r w:rsidRPr="00704519">
        <w:rPr>
          <w:rFonts w:ascii="Times New Roman" w:hAnsi="Times New Roman" w:cs="Times New Roman"/>
          <w:sz w:val="32"/>
          <w:szCs w:val="32"/>
        </w:rPr>
        <w:t xml:space="preserve"> </w:t>
      </w:r>
      <w:r w:rsidR="00CD098D">
        <w:rPr>
          <w:rFonts w:ascii="Times New Roman" w:hAnsi="Times New Roman" w:cs="Times New Roman"/>
          <w:sz w:val="32"/>
          <w:szCs w:val="32"/>
        </w:rPr>
        <w:t>al livello</w:t>
      </w:r>
      <w:r w:rsidRPr="00704519">
        <w:rPr>
          <w:rFonts w:ascii="Times New Roman" w:hAnsi="Times New Roman" w:cs="Times New Roman"/>
          <w:sz w:val="32"/>
          <w:szCs w:val="32"/>
        </w:rPr>
        <w:t xml:space="preserve"> dei regolamenti parlamentari – della inemendabilità dei DL che quindi andrebber</w:t>
      </w:r>
      <w:r w:rsidR="00CD098D">
        <w:rPr>
          <w:rFonts w:ascii="Times New Roman" w:hAnsi="Times New Roman" w:cs="Times New Roman"/>
          <w:sz w:val="32"/>
          <w:szCs w:val="32"/>
        </w:rPr>
        <w:t>o convertiti in blocco con un sì</w:t>
      </w:r>
      <w:r w:rsidRPr="00704519">
        <w:rPr>
          <w:rFonts w:ascii="Times New Roman" w:hAnsi="Times New Roman" w:cs="Times New Roman"/>
          <w:sz w:val="32"/>
          <w:szCs w:val="32"/>
        </w:rPr>
        <w:t xml:space="preserve"> o con un no</w:t>
      </w:r>
      <w:r w:rsidR="00CD098D">
        <w:rPr>
          <w:rFonts w:ascii="Times New Roman" w:hAnsi="Times New Roman" w:cs="Times New Roman"/>
          <w:sz w:val="32"/>
          <w:szCs w:val="32"/>
        </w:rPr>
        <w:t xml:space="preserve"> (soluzione peraltro non scevra da inconvenienti).</w:t>
      </w:r>
    </w:p>
    <w:p w:rsidR="00006FEF" w:rsidRDefault="00704519" w:rsidP="00006FEF">
      <w:pPr>
        <w:pStyle w:val="Paragrafoelenco"/>
        <w:numPr>
          <w:ilvl w:val="0"/>
          <w:numId w:val="12"/>
        </w:numPr>
        <w:spacing w:line="360" w:lineRule="auto"/>
        <w:jc w:val="both"/>
        <w:rPr>
          <w:rFonts w:ascii="Times New Roman" w:hAnsi="Times New Roman" w:cs="Times New Roman"/>
          <w:sz w:val="32"/>
          <w:szCs w:val="32"/>
        </w:rPr>
      </w:pPr>
      <w:r w:rsidRPr="00006FEF">
        <w:rPr>
          <w:rFonts w:ascii="Times New Roman" w:hAnsi="Times New Roman" w:cs="Times New Roman"/>
          <w:sz w:val="32"/>
          <w:szCs w:val="32"/>
        </w:rPr>
        <w:t>Questione di fiducia e articoli “m</w:t>
      </w:r>
      <w:r w:rsidR="00006FEF" w:rsidRPr="00006FEF">
        <w:rPr>
          <w:rFonts w:ascii="Times New Roman" w:hAnsi="Times New Roman" w:cs="Times New Roman"/>
          <w:sz w:val="32"/>
          <w:szCs w:val="32"/>
        </w:rPr>
        <w:t xml:space="preserve">onstre” </w:t>
      </w:r>
    </w:p>
    <w:p w:rsidR="00704519" w:rsidRPr="00006FEF" w:rsidRDefault="00006FEF" w:rsidP="00006FEF">
      <w:pPr>
        <w:spacing w:line="360" w:lineRule="auto"/>
        <w:jc w:val="both"/>
        <w:rPr>
          <w:rFonts w:ascii="Times New Roman" w:hAnsi="Times New Roman" w:cs="Times New Roman"/>
          <w:sz w:val="32"/>
          <w:szCs w:val="32"/>
        </w:rPr>
      </w:pPr>
      <w:r w:rsidRPr="00006FEF">
        <w:rPr>
          <w:rFonts w:ascii="Times New Roman" w:hAnsi="Times New Roman" w:cs="Times New Roman"/>
          <w:sz w:val="32"/>
          <w:szCs w:val="32"/>
        </w:rPr>
        <w:t xml:space="preserve">Qui sarebbe opportuna </w:t>
      </w:r>
      <w:r w:rsidR="00704519" w:rsidRPr="00006FEF">
        <w:rPr>
          <w:rFonts w:ascii="Times New Roman" w:hAnsi="Times New Roman" w:cs="Times New Roman"/>
          <w:sz w:val="32"/>
          <w:szCs w:val="32"/>
        </w:rPr>
        <w:t>una modifica dei regolamenti parlamentari che consenta di porre una questione di fi</w:t>
      </w:r>
      <w:r w:rsidRPr="00006FEF">
        <w:rPr>
          <w:rFonts w:ascii="Times New Roman" w:hAnsi="Times New Roman" w:cs="Times New Roman"/>
          <w:sz w:val="32"/>
          <w:szCs w:val="32"/>
        </w:rPr>
        <w:t>ducia sull’intero testo di una l</w:t>
      </w:r>
      <w:r w:rsidR="00704519" w:rsidRPr="00006FEF">
        <w:rPr>
          <w:rFonts w:ascii="Times New Roman" w:hAnsi="Times New Roman" w:cs="Times New Roman"/>
          <w:sz w:val="32"/>
          <w:szCs w:val="32"/>
        </w:rPr>
        <w:t xml:space="preserve">egge senza costringere </w:t>
      </w:r>
      <w:r w:rsidRPr="00006FEF">
        <w:rPr>
          <w:rFonts w:ascii="Times New Roman" w:hAnsi="Times New Roman" w:cs="Times New Roman"/>
          <w:sz w:val="32"/>
          <w:szCs w:val="32"/>
        </w:rPr>
        <w:t>all’</w:t>
      </w:r>
      <w:r w:rsidR="00704519" w:rsidRPr="00006FEF">
        <w:rPr>
          <w:rFonts w:ascii="Times New Roman" w:hAnsi="Times New Roman" w:cs="Times New Roman"/>
          <w:sz w:val="32"/>
          <w:szCs w:val="32"/>
        </w:rPr>
        <w:t>accorpamento di questo in un unico articolo che si compone di decine e centinaia di commi.</w:t>
      </w:r>
      <w:r w:rsidRPr="00006FEF">
        <w:rPr>
          <w:rFonts w:ascii="Times New Roman" w:hAnsi="Times New Roman" w:cs="Times New Roman"/>
          <w:sz w:val="32"/>
          <w:szCs w:val="32"/>
        </w:rPr>
        <w:t xml:space="preserve"> Questa modifica dei regolamenti parlamentari sarebbe nondimeno di grande impatto pratico sulla qualità della normazione.</w:t>
      </w:r>
    </w:p>
    <w:p w:rsidR="00704519" w:rsidRDefault="00704519" w:rsidP="00006FEF">
      <w:pPr>
        <w:numPr>
          <w:ilvl w:val="0"/>
          <w:numId w:val="12"/>
        </w:num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t xml:space="preserve">Uso dell’informatica per migliorare </w:t>
      </w:r>
      <w:r w:rsidR="00006FEF">
        <w:rPr>
          <w:rFonts w:ascii="Times New Roman" w:hAnsi="Times New Roman" w:cs="Times New Roman"/>
          <w:sz w:val="32"/>
          <w:szCs w:val="32"/>
        </w:rPr>
        <w:t>l’</w:t>
      </w:r>
      <w:r w:rsidRPr="00704519">
        <w:rPr>
          <w:rFonts w:ascii="Times New Roman" w:hAnsi="Times New Roman" w:cs="Times New Roman"/>
          <w:sz w:val="32"/>
          <w:szCs w:val="32"/>
        </w:rPr>
        <w:t xml:space="preserve">istruttoria legislativa </w:t>
      </w:r>
    </w:p>
    <w:p w:rsidR="00704519" w:rsidRPr="00704519" w:rsidRDefault="00B749C8" w:rsidP="00B749C8">
      <w:pPr>
        <w:spacing w:line="360" w:lineRule="auto"/>
        <w:jc w:val="both"/>
        <w:rPr>
          <w:rFonts w:ascii="Times New Roman" w:hAnsi="Times New Roman" w:cs="Times New Roman"/>
          <w:sz w:val="32"/>
          <w:szCs w:val="32"/>
        </w:rPr>
      </w:pPr>
      <w:r>
        <w:rPr>
          <w:rFonts w:ascii="Times New Roman" w:hAnsi="Times New Roman" w:cs="Times New Roman"/>
          <w:sz w:val="32"/>
          <w:szCs w:val="32"/>
        </w:rPr>
        <w:t>Al riguardo vorrei richiamare i vantaggi che potrebbero derivare</w:t>
      </w:r>
      <w:r w:rsidR="00704519" w:rsidRPr="00704519">
        <w:rPr>
          <w:rFonts w:ascii="Times New Roman" w:hAnsi="Times New Roman" w:cs="Times New Roman"/>
          <w:sz w:val="32"/>
          <w:szCs w:val="32"/>
        </w:rPr>
        <w:t xml:space="preserve"> utilizzando lo strumento informatico costituito da XLeges elaborato presso il DAGL.</w:t>
      </w:r>
      <w:r>
        <w:rPr>
          <w:rFonts w:ascii="Times New Roman" w:hAnsi="Times New Roman" w:cs="Times New Roman"/>
          <w:sz w:val="32"/>
          <w:szCs w:val="32"/>
        </w:rPr>
        <w:t xml:space="preserve"> S</w:t>
      </w:r>
      <w:r w:rsidR="00704519" w:rsidRPr="00704519">
        <w:rPr>
          <w:rFonts w:ascii="Times New Roman" w:hAnsi="Times New Roman" w:cs="Times New Roman"/>
          <w:sz w:val="32"/>
          <w:szCs w:val="32"/>
        </w:rPr>
        <w:t>i tratta del progetto lanciato</w:t>
      </w:r>
      <w:r>
        <w:rPr>
          <w:rFonts w:ascii="Times New Roman" w:hAnsi="Times New Roman" w:cs="Times New Roman"/>
          <w:sz w:val="32"/>
          <w:szCs w:val="32"/>
        </w:rPr>
        <w:t xml:space="preserve"> a suo tempo</w:t>
      </w:r>
      <w:r w:rsidR="00704519" w:rsidRPr="00704519">
        <w:rPr>
          <w:rFonts w:ascii="Times New Roman" w:hAnsi="Times New Roman" w:cs="Times New Roman"/>
          <w:sz w:val="32"/>
          <w:szCs w:val="32"/>
        </w:rPr>
        <w:t xml:space="preserve"> dal DAGL</w:t>
      </w:r>
      <w:r w:rsidR="00CD098D">
        <w:rPr>
          <w:rFonts w:ascii="Times New Roman" w:hAnsi="Times New Roman" w:cs="Times New Roman"/>
          <w:sz w:val="32"/>
          <w:szCs w:val="32"/>
        </w:rPr>
        <w:t>,</w:t>
      </w:r>
      <w:r w:rsidR="00704519" w:rsidRPr="00704519">
        <w:rPr>
          <w:rFonts w:ascii="Times New Roman" w:hAnsi="Times New Roman" w:cs="Times New Roman"/>
          <w:sz w:val="32"/>
          <w:szCs w:val="32"/>
        </w:rPr>
        <w:t xml:space="preserve"> che si sostanzia nella creazione di un unico </w:t>
      </w:r>
      <w:r w:rsidR="00704519" w:rsidRPr="00CD098D">
        <w:rPr>
          <w:rFonts w:ascii="Times New Roman" w:hAnsi="Times New Roman" w:cs="Times New Roman"/>
          <w:i/>
          <w:sz w:val="32"/>
          <w:szCs w:val="32"/>
        </w:rPr>
        <w:t>file</w:t>
      </w:r>
      <w:r w:rsidR="00704519" w:rsidRPr="00704519">
        <w:rPr>
          <w:rFonts w:ascii="Times New Roman" w:hAnsi="Times New Roman" w:cs="Times New Roman"/>
          <w:sz w:val="32"/>
          <w:szCs w:val="32"/>
        </w:rPr>
        <w:t xml:space="preserve"> certificato che inizia il suo cammino dal ministero proponente e segue tutto l’iter legislativo sino alla gazzetta. Con opportune procedure informatiche e cautele, ogni passa</w:t>
      </w:r>
      <w:r>
        <w:rPr>
          <w:rFonts w:ascii="Times New Roman" w:hAnsi="Times New Roman" w:cs="Times New Roman"/>
          <w:sz w:val="32"/>
          <w:szCs w:val="32"/>
        </w:rPr>
        <w:t>ggio</w:t>
      </w:r>
      <w:r w:rsidR="00704519" w:rsidRPr="00704519">
        <w:rPr>
          <w:rFonts w:ascii="Times New Roman" w:hAnsi="Times New Roman" w:cs="Times New Roman"/>
          <w:sz w:val="32"/>
          <w:szCs w:val="32"/>
        </w:rPr>
        <w:t xml:space="preserve"> (emendamenti, modifiche, </w:t>
      </w:r>
      <w:r w:rsidR="00CD098D">
        <w:rPr>
          <w:rFonts w:ascii="Times New Roman" w:hAnsi="Times New Roman" w:cs="Times New Roman"/>
          <w:sz w:val="32"/>
          <w:szCs w:val="32"/>
        </w:rPr>
        <w:t>approvazioni etc.)</w:t>
      </w:r>
      <w:r>
        <w:rPr>
          <w:rFonts w:ascii="Times New Roman" w:hAnsi="Times New Roman" w:cs="Times New Roman"/>
          <w:sz w:val="32"/>
          <w:szCs w:val="32"/>
        </w:rPr>
        <w:t xml:space="preserve"> è operato</w:t>
      </w:r>
      <w:r w:rsidR="00704519" w:rsidRPr="00704519">
        <w:rPr>
          <w:rFonts w:ascii="Times New Roman" w:hAnsi="Times New Roman" w:cs="Times New Roman"/>
          <w:sz w:val="32"/>
          <w:szCs w:val="32"/>
        </w:rPr>
        <w:t xml:space="preserve"> sul medesimo </w:t>
      </w:r>
      <w:r w:rsidR="00704519" w:rsidRPr="00CD098D">
        <w:rPr>
          <w:rFonts w:ascii="Times New Roman" w:hAnsi="Times New Roman" w:cs="Times New Roman"/>
          <w:i/>
          <w:sz w:val="32"/>
          <w:szCs w:val="32"/>
        </w:rPr>
        <w:t>file</w:t>
      </w:r>
      <w:r w:rsidR="00704519" w:rsidRPr="00704519">
        <w:rPr>
          <w:rFonts w:ascii="Times New Roman" w:hAnsi="Times New Roman" w:cs="Times New Roman"/>
          <w:sz w:val="32"/>
          <w:szCs w:val="32"/>
        </w:rPr>
        <w:t xml:space="preserve"> costringendo tutti al rispetto delle regole formali di strutturazione che sono inserite nei meccanismi di contr</w:t>
      </w:r>
      <w:r w:rsidR="00CD098D">
        <w:rPr>
          <w:rFonts w:ascii="Times New Roman" w:hAnsi="Times New Roman" w:cs="Times New Roman"/>
          <w:sz w:val="32"/>
          <w:szCs w:val="32"/>
        </w:rPr>
        <w:t>ollo automatico del programma (p</w:t>
      </w:r>
      <w:r w:rsidR="00704519" w:rsidRPr="00704519">
        <w:rPr>
          <w:rFonts w:ascii="Times New Roman" w:hAnsi="Times New Roman" w:cs="Times New Roman"/>
          <w:sz w:val="32"/>
          <w:szCs w:val="32"/>
        </w:rPr>
        <w:t xml:space="preserve">arti, titoli, capi, sezioni, articoli, lunghezza degli articoli, numero di commi etc.) nonché di </w:t>
      </w:r>
      <w:r w:rsidR="00704519" w:rsidRPr="00CD098D">
        <w:rPr>
          <w:rFonts w:ascii="Times New Roman" w:hAnsi="Times New Roman" w:cs="Times New Roman"/>
          <w:i/>
          <w:sz w:val="32"/>
          <w:szCs w:val="32"/>
        </w:rPr>
        <w:t>drafting</w:t>
      </w:r>
      <w:r w:rsidR="00704519" w:rsidRPr="00704519">
        <w:rPr>
          <w:rFonts w:ascii="Times New Roman" w:hAnsi="Times New Roman" w:cs="Times New Roman"/>
          <w:sz w:val="32"/>
          <w:szCs w:val="32"/>
        </w:rPr>
        <w:t xml:space="preserve"> (verbi servili, parole ambigue o non appartenenti al lessico giuridico, correzione lessicale e non solo ortografica, segnalazione sui lemmi etc.).  </w:t>
      </w:r>
    </w:p>
    <w:p w:rsidR="00704519" w:rsidRPr="00704519" w:rsidRDefault="00704519" w:rsidP="00704519">
      <w:pPr>
        <w:spacing w:line="360" w:lineRule="auto"/>
        <w:jc w:val="both"/>
        <w:rPr>
          <w:rFonts w:ascii="Times New Roman" w:hAnsi="Times New Roman" w:cs="Times New Roman"/>
          <w:sz w:val="32"/>
          <w:szCs w:val="32"/>
        </w:rPr>
      </w:pPr>
    </w:p>
    <w:p w:rsidR="00704519" w:rsidRPr="00CD098D" w:rsidRDefault="00CD098D" w:rsidP="00704519">
      <w:pPr>
        <w:spacing w:line="360" w:lineRule="auto"/>
        <w:jc w:val="both"/>
        <w:rPr>
          <w:rFonts w:ascii="Times New Roman" w:hAnsi="Times New Roman" w:cs="Times New Roman"/>
          <w:b/>
          <w:sz w:val="32"/>
          <w:szCs w:val="32"/>
          <w:u w:val="single"/>
        </w:rPr>
      </w:pPr>
      <w:r w:rsidRPr="00CD098D">
        <w:rPr>
          <w:rFonts w:ascii="Times New Roman" w:hAnsi="Times New Roman" w:cs="Times New Roman"/>
          <w:b/>
          <w:sz w:val="32"/>
          <w:szCs w:val="32"/>
          <w:u w:val="single"/>
        </w:rPr>
        <w:t>4</w:t>
      </w:r>
      <w:r w:rsidR="00B749C8" w:rsidRPr="00CD098D">
        <w:rPr>
          <w:rFonts w:ascii="Times New Roman" w:hAnsi="Times New Roman" w:cs="Times New Roman"/>
          <w:b/>
          <w:sz w:val="32"/>
          <w:szCs w:val="32"/>
          <w:u w:val="single"/>
        </w:rPr>
        <w:t xml:space="preserve"> – A proposito di un recente disegno di legge approvato dal Governo</w:t>
      </w:r>
    </w:p>
    <w:p w:rsidR="00704519" w:rsidRPr="00704519" w:rsidRDefault="00704519" w:rsidP="00704519">
      <w:p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t>Oggi il Governo presenta un ambizioso programma di codificazione e rilancia, in contemporanea, un programma di nuova semplificazione abbinato a un meccanismo di monitoraggio e di salvaguardia di quella esistente. Obiettivo sicuramente da condividere e che forse non merita tutte le critiche che ho letto su alcuni quotidiani.</w:t>
      </w:r>
    </w:p>
    <w:p w:rsidR="00704519" w:rsidRPr="00704519" w:rsidRDefault="00704519" w:rsidP="00704519">
      <w:p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t>Sicuramente non merita le critiche di “spoliazione” del ruolo del Parlamento: il Parlamento non può legiferare in dettaglio, a rischio di legiferare male o, peggio, di rinunciare nei fatti al ruolo di effettuare le grandi scelte politiche alla base della legislazione. La codificazione di settori ad alta complessità richiede, a mio avviso, lo sforzo congiunto di parlamento e governo col meccanismo della delega: il Parlamento indica chiari e specifici criteri di delega –da tenere ben distinti dall’oggetto- e il Governo elabora un testo che deve essere sottoposto al parere delle co</w:t>
      </w:r>
      <w:r w:rsidR="00CD098D">
        <w:rPr>
          <w:rFonts w:ascii="Times New Roman" w:hAnsi="Times New Roman" w:cs="Times New Roman"/>
          <w:sz w:val="32"/>
          <w:szCs w:val="32"/>
        </w:rPr>
        <w:t>mmissioni parlamentari, compreso il Comitato per la legislazione</w:t>
      </w:r>
      <w:r w:rsidRPr="00704519">
        <w:rPr>
          <w:rFonts w:ascii="Times New Roman" w:hAnsi="Times New Roman" w:cs="Times New Roman"/>
          <w:sz w:val="32"/>
          <w:szCs w:val="32"/>
        </w:rPr>
        <w:t>, parere che avrà un peso determinante in sede di approvazione definitiva del decreto delegato. Pensare che tutto ciò debba essere fatto in parlamento significa non intervenire, o intervenire in modo episodico e asistematico.</w:t>
      </w:r>
    </w:p>
    <w:p w:rsidR="00704519" w:rsidRPr="00704519" w:rsidRDefault="00704519" w:rsidP="00704519">
      <w:p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t>Piuttosto i problemi sono due e si evidenziano anche nel ddl in esame:</w:t>
      </w:r>
    </w:p>
    <w:p w:rsidR="00704519" w:rsidRPr="00704519" w:rsidRDefault="00704519" w:rsidP="00704519">
      <w:pPr>
        <w:numPr>
          <w:ilvl w:val="0"/>
          <w:numId w:val="3"/>
        </w:num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t>Un’architettura complessa e “impegnativa” dei soggetti preposti alla codificazione;</w:t>
      </w:r>
    </w:p>
    <w:p w:rsidR="00704519" w:rsidRPr="00704519" w:rsidRDefault="00704519" w:rsidP="00704519">
      <w:pPr>
        <w:numPr>
          <w:ilvl w:val="0"/>
          <w:numId w:val="3"/>
        </w:num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t>Il “termine” imposto per l’esercizio della delega a fronte di una previsione di delega sconfinata.</w:t>
      </w:r>
    </w:p>
    <w:p w:rsidR="00704519" w:rsidRPr="00704519" w:rsidRDefault="00704519" w:rsidP="00704519">
      <w:p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lastRenderedPageBreak/>
        <w:t>L’architettura operativa del ddl delega sembra in ef</w:t>
      </w:r>
      <w:r w:rsidR="001D73B2">
        <w:rPr>
          <w:rFonts w:ascii="Times New Roman" w:hAnsi="Times New Roman" w:cs="Times New Roman"/>
          <w:sz w:val="32"/>
          <w:szCs w:val="32"/>
        </w:rPr>
        <w:t>fetti assai complessa</w:t>
      </w:r>
      <w:r w:rsidRPr="00704519">
        <w:rPr>
          <w:rFonts w:ascii="Times New Roman" w:hAnsi="Times New Roman" w:cs="Times New Roman"/>
          <w:sz w:val="32"/>
          <w:szCs w:val="32"/>
        </w:rPr>
        <w:t>, in qualche misura sovrabbondante. In particolare, sembrano “istituzionalizzati” dei passaggi che potrebbero rimanere affidati al momento politico interno al governo. Inoltre, forse le stesse strutture “serventi” potrebbero essere accorpate.</w:t>
      </w:r>
    </w:p>
    <w:p w:rsidR="00704519" w:rsidRPr="00704519" w:rsidRDefault="00704519" w:rsidP="00704519">
      <w:p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t>Sul secondo, e più delicato profilo, il problema probabilmente deriva dall’abbinamento codificazione/modificazioni del settore interessato. Sarebbe allora forse interessante prevedere un meccanismo a scorrimento che combini delega di codificazione e codificazione a diritto vigente.</w:t>
      </w:r>
    </w:p>
    <w:p w:rsidR="00704519" w:rsidRPr="00704519" w:rsidRDefault="00704519" w:rsidP="00704519">
      <w:p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t xml:space="preserve">Le deleghe legislative dovrebbero riguardare </w:t>
      </w:r>
      <w:r w:rsidRPr="00CD098D">
        <w:rPr>
          <w:rFonts w:ascii="Times New Roman" w:hAnsi="Times New Roman" w:cs="Times New Roman"/>
          <w:i/>
          <w:sz w:val="32"/>
          <w:szCs w:val="32"/>
        </w:rPr>
        <w:t>in progress</w:t>
      </w:r>
      <w:r w:rsidRPr="00704519">
        <w:rPr>
          <w:rFonts w:ascii="Times New Roman" w:hAnsi="Times New Roman" w:cs="Times New Roman"/>
          <w:sz w:val="32"/>
          <w:szCs w:val="32"/>
        </w:rPr>
        <w:t xml:space="preserve"> settori limitati di legislazione, anno per anno; nel frattempo, e in parallelo, si elaborano codici a diritto vigente che potranno poi consentire interventi mirati di modifica e semplificazione di quel settore, sempre secondo il meccanismo della delega o anche della sottoposizione del testo “codificato” (ed eventualmente modificato) a un procedimento legislativo ordinario (una sorta di “approvazione” in sede redigente) magari mediante una modificazione, se necessaria per uno snellimento dell’iter, dei regolamenti parlamentari</w:t>
      </w:r>
      <w:r w:rsidR="00FF33E1">
        <w:rPr>
          <w:rFonts w:ascii="Times New Roman" w:hAnsi="Times New Roman" w:cs="Times New Roman"/>
          <w:sz w:val="32"/>
          <w:szCs w:val="32"/>
        </w:rPr>
        <w:t>.</w:t>
      </w:r>
    </w:p>
    <w:p w:rsidR="00B749C8" w:rsidRPr="00CD098D" w:rsidRDefault="00CD098D" w:rsidP="00B749C8">
      <w:pPr>
        <w:spacing w:line="360" w:lineRule="auto"/>
        <w:jc w:val="both"/>
        <w:rPr>
          <w:rFonts w:ascii="Times New Roman" w:hAnsi="Times New Roman" w:cs="Times New Roman"/>
          <w:b/>
          <w:sz w:val="32"/>
          <w:szCs w:val="32"/>
          <w:u w:val="single"/>
        </w:rPr>
      </w:pPr>
      <w:r w:rsidRPr="00CD098D">
        <w:rPr>
          <w:rFonts w:ascii="Times New Roman" w:hAnsi="Times New Roman" w:cs="Times New Roman"/>
          <w:b/>
          <w:sz w:val="32"/>
          <w:szCs w:val="32"/>
          <w:u w:val="single"/>
        </w:rPr>
        <w:t>5</w:t>
      </w:r>
      <w:r w:rsidR="00B450FC" w:rsidRPr="00CD098D">
        <w:rPr>
          <w:rFonts w:ascii="Times New Roman" w:hAnsi="Times New Roman" w:cs="Times New Roman"/>
          <w:b/>
          <w:sz w:val="32"/>
          <w:szCs w:val="32"/>
          <w:u w:val="single"/>
        </w:rPr>
        <w:t xml:space="preserve">. </w:t>
      </w:r>
      <w:r w:rsidR="00B749C8" w:rsidRPr="00CD098D">
        <w:rPr>
          <w:rFonts w:ascii="Times New Roman" w:hAnsi="Times New Roman" w:cs="Times New Roman"/>
          <w:b/>
          <w:sz w:val="32"/>
          <w:szCs w:val="32"/>
          <w:u w:val="single"/>
        </w:rPr>
        <w:t>Ruolo del Consiglio di Stato</w:t>
      </w:r>
    </w:p>
    <w:p w:rsidR="00B749C8" w:rsidRPr="00B749C8" w:rsidRDefault="00B450FC" w:rsidP="00B749C8">
      <w:pPr>
        <w:spacing w:line="360" w:lineRule="auto"/>
        <w:jc w:val="both"/>
        <w:rPr>
          <w:rFonts w:ascii="Times New Roman" w:hAnsi="Times New Roman" w:cs="Times New Roman"/>
          <w:sz w:val="32"/>
          <w:szCs w:val="32"/>
        </w:rPr>
      </w:pPr>
      <w:r>
        <w:rPr>
          <w:rFonts w:ascii="Times New Roman" w:hAnsi="Times New Roman" w:cs="Times New Roman"/>
          <w:sz w:val="32"/>
          <w:szCs w:val="32"/>
        </w:rPr>
        <w:t>Va fatta una p</w:t>
      </w:r>
      <w:r w:rsidR="00B749C8" w:rsidRPr="00B450FC">
        <w:rPr>
          <w:rFonts w:ascii="Times New Roman" w:hAnsi="Times New Roman" w:cs="Times New Roman"/>
          <w:sz w:val="32"/>
          <w:szCs w:val="32"/>
        </w:rPr>
        <w:t xml:space="preserve">remessa sull’attività consultiva: </w:t>
      </w:r>
      <w:r w:rsidR="00B749C8" w:rsidRPr="00B749C8">
        <w:rPr>
          <w:rFonts w:ascii="Times New Roman" w:hAnsi="Times New Roman" w:cs="Times New Roman"/>
          <w:sz w:val="32"/>
          <w:szCs w:val="32"/>
        </w:rPr>
        <w:t>già la Costituzione, nel prefigurare la funzione consultiva e nell’attribuirla allo stesso organo che esercitava funzione</w:t>
      </w:r>
      <w:r w:rsidR="00CD098D">
        <w:rPr>
          <w:rFonts w:ascii="Times New Roman" w:hAnsi="Times New Roman" w:cs="Times New Roman"/>
          <w:sz w:val="32"/>
          <w:szCs w:val="32"/>
        </w:rPr>
        <w:t xml:space="preserve"> già allora pacificamente ritenuta</w:t>
      </w:r>
      <w:r w:rsidR="00B749C8" w:rsidRPr="00B749C8">
        <w:rPr>
          <w:rFonts w:ascii="Times New Roman" w:hAnsi="Times New Roman" w:cs="Times New Roman"/>
          <w:sz w:val="32"/>
          <w:szCs w:val="32"/>
        </w:rPr>
        <w:t xml:space="preserve"> giurisdizionale, configura tale attività consultiva come “funzione neutra” che, negli ulteriori sviluppi, si è delineata come funzione di garanzia,</w:t>
      </w:r>
      <w:r>
        <w:rPr>
          <w:rFonts w:ascii="Times New Roman" w:hAnsi="Times New Roman" w:cs="Times New Roman"/>
          <w:sz w:val="32"/>
          <w:szCs w:val="32"/>
        </w:rPr>
        <w:t xml:space="preserve"> svolta dal Consiglio</w:t>
      </w:r>
      <w:r w:rsidR="00B749C8" w:rsidRPr="00B749C8">
        <w:rPr>
          <w:rFonts w:ascii="Times New Roman" w:hAnsi="Times New Roman" w:cs="Times New Roman"/>
          <w:sz w:val="32"/>
          <w:szCs w:val="32"/>
        </w:rPr>
        <w:t xml:space="preserve"> nella medesima posizione di indip</w:t>
      </w:r>
      <w:r w:rsidR="00CD098D">
        <w:rPr>
          <w:rFonts w:ascii="Times New Roman" w:hAnsi="Times New Roman" w:cs="Times New Roman"/>
          <w:sz w:val="32"/>
          <w:szCs w:val="32"/>
        </w:rPr>
        <w:t>endenza e terzietà in cui il Consiglio di Stato</w:t>
      </w:r>
      <w:r w:rsidR="00B749C8" w:rsidRPr="00B749C8">
        <w:rPr>
          <w:rFonts w:ascii="Times New Roman" w:hAnsi="Times New Roman" w:cs="Times New Roman"/>
          <w:sz w:val="32"/>
          <w:szCs w:val="32"/>
        </w:rPr>
        <w:t xml:space="preserve"> </w:t>
      </w:r>
      <w:r w:rsidR="00B749C8" w:rsidRPr="00B749C8">
        <w:rPr>
          <w:rFonts w:ascii="Times New Roman" w:hAnsi="Times New Roman" w:cs="Times New Roman"/>
          <w:sz w:val="32"/>
          <w:szCs w:val="32"/>
        </w:rPr>
        <w:lastRenderedPageBreak/>
        <w:t>svolge le sue attribuzioni giurisdizionali. Tale “neutralità” si è accentuata, sul piano oggettivo, con la</w:t>
      </w:r>
      <w:r w:rsidR="00CD098D">
        <w:rPr>
          <w:rFonts w:ascii="Times New Roman" w:hAnsi="Times New Roman" w:cs="Times New Roman"/>
          <w:sz w:val="32"/>
          <w:szCs w:val="32"/>
        </w:rPr>
        <w:t xml:space="preserve"> cd.</w:t>
      </w:r>
      <w:r w:rsidR="00B749C8" w:rsidRPr="00B749C8">
        <w:rPr>
          <w:rFonts w:ascii="Times New Roman" w:hAnsi="Times New Roman" w:cs="Times New Roman"/>
          <w:sz w:val="32"/>
          <w:szCs w:val="32"/>
        </w:rPr>
        <w:t xml:space="preserve"> Riforma Ba</w:t>
      </w:r>
      <w:r>
        <w:rPr>
          <w:rFonts w:ascii="Times New Roman" w:hAnsi="Times New Roman" w:cs="Times New Roman"/>
          <w:sz w:val="32"/>
          <w:szCs w:val="32"/>
        </w:rPr>
        <w:t>ssanini, che ha sottratto al Consiglio di Stato</w:t>
      </w:r>
      <w:r w:rsidR="00B749C8" w:rsidRPr="00B749C8">
        <w:rPr>
          <w:rFonts w:ascii="Times New Roman" w:hAnsi="Times New Roman" w:cs="Times New Roman"/>
          <w:sz w:val="32"/>
          <w:szCs w:val="32"/>
        </w:rPr>
        <w:t xml:space="preserve"> la consulenza su specific</w:t>
      </w:r>
      <w:r>
        <w:rPr>
          <w:rFonts w:ascii="Times New Roman" w:hAnsi="Times New Roman" w:cs="Times New Roman"/>
          <w:sz w:val="32"/>
          <w:szCs w:val="32"/>
        </w:rPr>
        <w:t xml:space="preserve">he questioni di gestione e l’ha </w:t>
      </w:r>
      <w:r w:rsidR="00B749C8" w:rsidRPr="00B749C8">
        <w:rPr>
          <w:rFonts w:ascii="Times New Roman" w:hAnsi="Times New Roman" w:cs="Times New Roman"/>
          <w:sz w:val="32"/>
          <w:szCs w:val="32"/>
        </w:rPr>
        <w:t xml:space="preserve">concentrata sulla consulenza sulla normazione; </w:t>
      </w:r>
      <w:r>
        <w:rPr>
          <w:rFonts w:ascii="Times New Roman" w:hAnsi="Times New Roman" w:cs="Times New Roman"/>
          <w:sz w:val="32"/>
          <w:szCs w:val="32"/>
        </w:rPr>
        <w:t>oltreché</w:t>
      </w:r>
      <w:r w:rsidR="00B749C8" w:rsidRPr="00B749C8">
        <w:rPr>
          <w:rFonts w:ascii="Times New Roman" w:hAnsi="Times New Roman" w:cs="Times New Roman"/>
          <w:sz w:val="32"/>
          <w:szCs w:val="32"/>
        </w:rPr>
        <w:t>, ovviamente, sulla decisione dei ricorsi straordinari al Presidente della Repubblica della cui natura “paragiurisdizionale” più nessuno dubita.</w:t>
      </w:r>
    </w:p>
    <w:p w:rsidR="00B749C8" w:rsidRPr="00B749C8" w:rsidRDefault="00B749C8" w:rsidP="00B749C8">
      <w:pPr>
        <w:spacing w:line="360" w:lineRule="auto"/>
        <w:jc w:val="both"/>
        <w:rPr>
          <w:rFonts w:ascii="Times New Roman" w:hAnsi="Times New Roman" w:cs="Times New Roman"/>
          <w:sz w:val="32"/>
          <w:szCs w:val="32"/>
        </w:rPr>
      </w:pPr>
      <w:r w:rsidRPr="00B749C8">
        <w:rPr>
          <w:rFonts w:ascii="Times New Roman" w:hAnsi="Times New Roman" w:cs="Times New Roman"/>
          <w:sz w:val="32"/>
          <w:szCs w:val="32"/>
        </w:rPr>
        <w:t xml:space="preserve">Sul piano soggettivo, poi va rilevato che non più solo il Governo ma anche il Parlamento, Regioni, Autorità Indipendenti richiedono il parere </w:t>
      </w:r>
      <w:r w:rsidR="00B450FC">
        <w:rPr>
          <w:rFonts w:ascii="Times New Roman" w:hAnsi="Times New Roman" w:cs="Times New Roman"/>
          <w:sz w:val="32"/>
          <w:szCs w:val="32"/>
        </w:rPr>
        <w:t>del Consiglio</w:t>
      </w:r>
      <w:r w:rsidRPr="00B749C8">
        <w:rPr>
          <w:rFonts w:ascii="Times New Roman" w:hAnsi="Times New Roman" w:cs="Times New Roman"/>
          <w:sz w:val="32"/>
          <w:szCs w:val="32"/>
        </w:rPr>
        <w:t xml:space="preserve"> su questioni di massima, confermando così la posizione consultiva del C</w:t>
      </w:r>
      <w:r w:rsidR="00B450FC">
        <w:rPr>
          <w:rFonts w:ascii="Times New Roman" w:hAnsi="Times New Roman" w:cs="Times New Roman"/>
          <w:sz w:val="32"/>
          <w:szCs w:val="32"/>
        </w:rPr>
        <w:t>onsiglio di Stato</w:t>
      </w:r>
      <w:r w:rsidRPr="00B749C8">
        <w:rPr>
          <w:rFonts w:ascii="Times New Roman" w:hAnsi="Times New Roman" w:cs="Times New Roman"/>
          <w:sz w:val="32"/>
          <w:szCs w:val="32"/>
        </w:rPr>
        <w:t xml:space="preserve"> come organo ausiliario non solo del Governo ma dello Stato-ordinamento.</w:t>
      </w:r>
    </w:p>
    <w:p w:rsidR="00B749C8" w:rsidRPr="00B749C8" w:rsidRDefault="00B749C8" w:rsidP="00B749C8">
      <w:pPr>
        <w:spacing w:line="360" w:lineRule="auto"/>
        <w:jc w:val="both"/>
        <w:rPr>
          <w:rFonts w:ascii="Times New Roman" w:hAnsi="Times New Roman" w:cs="Times New Roman"/>
          <w:sz w:val="32"/>
          <w:szCs w:val="32"/>
        </w:rPr>
      </w:pPr>
      <w:r w:rsidRPr="00B450FC">
        <w:rPr>
          <w:rFonts w:ascii="Times New Roman" w:hAnsi="Times New Roman" w:cs="Times New Roman"/>
          <w:sz w:val="32"/>
          <w:szCs w:val="32"/>
        </w:rPr>
        <w:t>L’attività consultiva sulla normazione</w:t>
      </w:r>
      <w:r w:rsidRPr="00B749C8">
        <w:rPr>
          <w:rFonts w:ascii="Times New Roman" w:hAnsi="Times New Roman" w:cs="Times New Roman"/>
          <w:sz w:val="32"/>
          <w:szCs w:val="32"/>
        </w:rPr>
        <w:t xml:space="preserve"> oggi è prev</w:t>
      </w:r>
      <w:r w:rsidR="00B450FC">
        <w:rPr>
          <w:rFonts w:ascii="Times New Roman" w:hAnsi="Times New Roman" w:cs="Times New Roman"/>
          <w:sz w:val="32"/>
          <w:szCs w:val="32"/>
        </w:rPr>
        <w:t>ista, obbligatoriamente, dalla l</w:t>
      </w:r>
      <w:r w:rsidRPr="00B749C8">
        <w:rPr>
          <w:rFonts w:ascii="Times New Roman" w:hAnsi="Times New Roman" w:cs="Times New Roman"/>
          <w:sz w:val="32"/>
          <w:szCs w:val="32"/>
        </w:rPr>
        <w:t xml:space="preserve">egge </w:t>
      </w:r>
      <w:r w:rsidR="00B450FC">
        <w:rPr>
          <w:rFonts w:ascii="Times New Roman" w:hAnsi="Times New Roman" w:cs="Times New Roman"/>
          <w:sz w:val="32"/>
          <w:szCs w:val="32"/>
        </w:rPr>
        <w:t>n.</w:t>
      </w:r>
      <w:r w:rsidRPr="00B749C8">
        <w:rPr>
          <w:rFonts w:ascii="Times New Roman" w:hAnsi="Times New Roman" w:cs="Times New Roman"/>
          <w:sz w:val="32"/>
          <w:szCs w:val="32"/>
        </w:rPr>
        <w:t>400 del 1988 su tutta la normazione secondaria (cioè i regolamenti del Governo), anche se ogni tanto si registra qualche “fuga” da questo si</w:t>
      </w:r>
      <w:r w:rsidR="00B450FC">
        <w:rPr>
          <w:rFonts w:ascii="Times New Roman" w:hAnsi="Times New Roman" w:cs="Times New Roman"/>
          <w:sz w:val="32"/>
          <w:szCs w:val="32"/>
        </w:rPr>
        <w:t>stema di garanzia: talvolta la l</w:t>
      </w:r>
      <w:r w:rsidRPr="00B749C8">
        <w:rPr>
          <w:rFonts w:ascii="Times New Roman" w:hAnsi="Times New Roman" w:cs="Times New Roman"/>
          <w:sz w:val="32"/>
          <w:szCs w:val="32"/>
        </w:rPr>
        <w:t xml:space="preserve">egge qualifica “non regolamentari” decreti attuativi di </w:t>
      </w:r>
      <w:r w:rsidR="00B450FC">
        <w:rPr>
          <w:rFonts w:ascii="Times New Roman" w:hAnsi="Times New Roman" w:cs="Times New Roman"/>
          <w:sz w:val="32"/>
          <w:szCs w:val="32"/>
        </w:rPr>
        <w:t>l</w:t>
      </w:r>
      <w:r w:rsidRPr="00B749C8">
        <w:rPr>
          <w:rFonts w:ascii="Times New Roman" w:hAnsi="Times New Roman" w:cs="Times New Roman"/>
          <w:sz w:val="32"/>
          <w:szCs w:val="32"/>
        </w:rPr>
        <w:t>eggi (peraltro inutilmente perché la qualificazione giuridica dell’atto spetta comunque ai giudici); altre volte abbiamo interventi specifici che sottraggono regolamenti singoli</w:t>
      </w:r>
      <w:r w:rsidR="00B450FC">
        <w:rPr>
          <w:rFonts w:ascii="Times New Roman" w:hAnsi="Times New Roman" w:cs="Times New Roman"/>
          <w:sz w:val="32"/>
          <w:szCs w:val="32"/>
        </w:rPr>
        <w:t xml:space="preserve"> alla procedura prevista dalla l</w:t>
      </w:r>
      <w:r w:rsidRPr="00B749C8">
        <w:rPr>
          <w:rFonts w:ascii="Times New Roman" w:hAnsi="Times New Roman" w:cs="Times New Roman"/>
          <w:sz w:val="32"/>
          <w:szCs w:val="32"/>
        </w:rPr>
        <w:t>egge 400 (per esempio, art. 4bis, dl 12 luglio 2018, n. 86 su alcuni regolamenti di organizzazione).</w:t>
      </w:r>
    </w:p>
    <w:p w:rsidR="00B749C8" w:rsidRPr="00B749C8" w:rsidRDefault="00B749C8" w:rsidP="00B749C8">
      <w:pPr>
        <w:spacing w:line="360" w:lineRule="auto"/>
        <w:jc w:val="both"/>
        <w:rPr>
          <w:rFonts w:ascii="Times New Roman" w:hAnsi="Times New Roman" w:cs="Times New Roman"/>
          <w:sz w:val="32"/>
          <w:szCs w:val="32"/>
        </w:rPr>
      </w:pPr>
      <w:r w:rsidRPr="00B749C8">
        <w:rPr>
          <w:rFonts w:ascii="Times New Roman" w:hAnsi="Times New Roman" w:cs="Times New Roman"/>
          <w:sz w:val="32"/>
          <w:szCs w:val="32"/>
        </w:rPr>
        <w:t xml:space="preserve">In tale contesto </w:t>
      </w:r>
      <w:r w:rsidR="00FA4227">
        <w:rPr>
          <w:rFonts w:ascii="Times New Roman" w:hAnsi="Times New Roman" w:cs="Times New Roman"/>
          <w:sz w:val="32"/>
          <w:szCs w:val="32"/>
        </w:rPr>
        <w:t>si potrebbero valutare i seguenti interventi</w:t>
      </w:r>
      <w:r w:rsidRPr="00B749C8">
        <w:rPr>
          <w:rFonts w:ascii="Times New Roman" w:hAnsi="Times New Roman" w:cs="Times New Roman"/>
          <w:sz w:val="32"/>
          <w:szCs w:val="32"/>
        </w:rPr>
        <w:t>:</w:t>
      </w:r>
    </w:p>
    <w:p w:rsidR="00B749C8" w:rsidRPr="00B749C8" w:rsidRDefault="00B749C8" w:rsidP="00B749C8">
      <w:pPr>
        <w:numPr>
          <w:ilvl w:val="0"/>
          <w:numId w:val="8"/>
        </w:numPr>
        <w:spacing w:line="360" w:lineRule="auto"/>
        <w:jc w:val="both"/>
        <w:rPr>
          <w:rFonts w:ascii="Times New Roman" w:hAnsi="Times New Roman" w:cs="Times New Roman"/>
          <w:sz w:val="32"/>
          <w:szCs w:val="32"/>
        </w:rPr>
      </w:pPr>
      <w:r w:rsidRPr="00B749C8">
        <w:rPr>
          <w:rFonts w:ascii="Times New Roman" w:hAnsi="Times New Roman" w:cs="Times New Roman"/>
          <w:sz w:val="32"/>
          <w:szCs w:val="32"/>
        </w:rPr>
        <w:t>Possibilità che una C</w:t>
      </w:r>
      <w:r w:rsidR="00FA4227">
        <w:rPr>
          <w:rFonts w:ascii="Times New Roman" w:hAnsi="Times New Roman" w:cs="Times New Roman"/>
          <w:sz w:val="32"/>
          <w:szCs w:val="32"/>
        </w:rPr>
        <w:t>amera richieda il parere del Consiglio di Stato su un disegno di legge</w:t>
      </w:r>
      <w:r w:rsidRPr="00B749C8">
        <w:rPr>
          <w:rFonts w:ascii="Times New Roman" w:hAnsi="Times New Roman" w:cs="Times New Roman"/>
          <w:sz w:val="32"/>
          <w:szCs w:val="32"/>
        </w:rPr>
        <w:t>, su</w:t>
      </w:r>
      <w:r w:rsidR="00FA4227">
        <w:rPr>
          <w:rFonts w:ascii="Times New Roman" w:hAnsi="Times New Roman" w:cs="Times New Roman"/>
          <w:sz w:val="32"/>
          <w:szCs w:val="32"/>
        </w:rPr>
        <w:t>ll’intero</w:t>
      </w:r>
      <w:r w:rsidRPr="00B749C8">
        <w:rPr>
          <w:rFonts w:ascii="Times New Roman" w:hAnsi="Times New Roman" w:cs="Times New Roman"/>
          <w:sz w:val="32"/>
          <w:szCs w:val="32"/>
        </w:rPr>
        <w:t xml:space="preserve"> testo o su parte di esso</w:t>
      </w:r>
    </w:p>
    <w:p w:rsidR="00B749C8" w:rsidRDefault="00B749C8" w:rsidP="00B749C8">
      <w:pPr>
        <w:numPr>
          <w:ilvl w:val="0"/>
          <w:numId w:val="8"/>
        </w:numPr>
        <w:spacing w:line="360" w:lineRule="auto"/>
        <w:jc w:val="both"/>
        <w:rPr>
          <w:rFonts w:ascii="Times New Roman" w:hAnsi="Times New Roman" w:cs="Times New Roman"/>
          <w:sz w:val="32"/>
          <w:szCs w:val="32"/>
        </w:rPr>
      </w:pPr>
      <w:r w:rsidRPr="00B749C8">
        <w:rPr>
          <w:rFonts w:ascii="Times New Roman" w:hAnsi="Times New Roman" w:cs="Times New Roman"/>
          <w:sz w:val="32"/>
          <w:szCs w:val="32"/>
        </w:rPr>
        <w:lastRenderedPageBreak/>
        <w:t>Conferma ed este</w:t>
      </w:r>
      <w:r w:rsidR="00FA4227">
        <w:rPr>
          <w:rFonts w:ascii="Times New Roman" w:hAnsi="Times New Roman" w:cs="Times New Roman"/>
          <w:sz w:val="32"/>
          <w:szCs w:val="32"/>
        </w:rPr>
        <w:t>nsione della tendenza, già contenuta</w:t>
      </w:r>
      <w:r w:rsidRPr="00B749C8">
        <w:rPr>
          <w:rFonts w:ascii="Times New Roman" w:hAnsi="Times New Roman" w:cs="Times New Roman"/>
          <w:sz w:val="32"/>
          <w:szCs w:val="32"/>
        </w:rPr>
        <w:t xml:space="preserve"> in alcune leggi di delega</w:t>
      </w:r>
      <w:r w:rsidR="00FA4227">
        <w:rPr>
          <w:rFonts w:ascii="Times New Roman" w:hAnsi="Times New Roman" w:cs="Times New Roman"/>
          <w:sz w:val="32"/>
          <w:szCs w:val="32"/>
        </w:rPr>
        <w:t>, di prevedere il parere del Consiglio di Stato sullo schema di decreto legislativo, prima che questo sia sottoposto alle</w:t>
      </w:r>
      <w:r w:rsidRPr="00B749C8">
        <w:rPr>
          <w:rFonts w:ascii="Times New Roman" w:hAnsi="Times New Roman" w:cs="Times New Roman"/>
          <w:sz w:val="32"/>
          <w:szCs w:val="32"/>
        </w:rPr>
        <w:t xml:space="preserve"> Commissioni parlamentari competenti</w:t>
      </w:r>
      <w:r w:rsidR="00281C3B">
        <w:rPr>
          <w:rFonts w:ascii="Times New Roman" w:hAnsi="Times New Roman" w:cs="Times New Roman"/>
          <w:sz w:val="32"/>
          <w:szCs w:val="32"/>
        </w:rPr>
        <w:t>, per fornire</w:t>
      </w:r>
      <w:r w:rsidR="00FA4227">
        <w:rPr>
          <w:rFonts w:ascii="Times New Roman" w:hAnsi="Times New Roman" w:cs="Times New Roman"/>
          <w:sz w:val="32"/>
          <w:szCs w:val="32"/>
        </w:rPr>
        <w:t xml:space="preserve"> un supporto tecnico quanto a: b1) legittimità (specialmente</w:t>
      </w:r>
      <w:r w:rsidRPr="00B749C8">
        <w:rPr>
          <w:rFonts w:ascii="Times New Roman" w:hAnsi="Times New Roman" w:cs="Times New Roman"/>
          <w:sz w:val="32"/>
          <w:szCs w:val="32"/>
        </w:rPr>
        <w:t xml:space="preserve"> costituzionale </w:t>
      </w:r>
      <w:r w:rsidR="00FA4227">
        <w:rPr>
          <w:rFonts w:ascii="Times New Roman" w:hAnsi="Times New Roman" w:cs="Times New Roman"/>
          <w:sz w:val="32"/>
          <w:szCs w:val="32"/>
        </w:rPr>
        <w:t xml:space="preserve">e </w:t>
      </w:r>
      <w:r w:rsidRPr="00B749C8">
        <w:rPr>
          <w:rFonts w:ascii="Times New Roman" w:hAnsi="Times New Roman" w:cs="Times New Roman"/>
          <w:sz w:val="32"/>
          <w:szCs w:val="32"/>
        </w:rPr>
        <w:t>comunit</w:t>
      </w:r>
      <w:r w:rsidR="00FA4227">
        <w:rPr>
          <w:rFonts w:ascii="Times New Roman" w:hAnsi="Times New Roman" w:cs="Times New Roman"/>
          <w:sz w:val="32"/>
          <w:szCs w:val="32"/>
        </w:rPr>
        <w:t>aria) del decreto legislativo; b</w:t>
      </w:r>
      <w:r w:rsidRPr="00B749C8">
        <w:rPr>
          <w:rFonts w:ascii="Times New Roman" w:hAnsi="Times New Roman" w:cs="Times New Roman"/>
          <w:sz w:val="32"/>
          <w:szCs w:val="32"/>
        </w:rPr>
        <w:t>2) conformità del decreto legislativo all’oggetto, ai criteri e ai limiti contenuti sulla legge delega.</w:t>
      </w:r>
    </w:p>
    <w:p w:rsidR="00CD098D" w:rsidRDefault="00CD098D" w:rsidP="00CD098D">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Ritengo opportuno sottolineare al riguardo che, nella più recente prassi della funzione consultiva, il Consiglio di Stato ha utilizzato gli strumenti tipici della qualità della regolazione, sia direttamente (procedendo per esempio all’audizione delle amministrazioni interessate o svolgendo audizioni dei cd. </w:t>
      </w:r>
      <w:r w:rsidR="000C15F9">
        <w:rPr>
          <w:rFonts w:ascii="Times New Roman" w:hAnsi="Times New Roman" w:cs="Times New Roman"/>
          <w:sz w:val="32"/>
          <w:szCs w:val="32"/>
        </w:rPr>
        <w:t>portatori di interessi coinvolti), vuoi indirettamente, stimolando il governo a procedere a una corretta analisi di impatto, sul duplice versante economico e ordinamentale, o a prevedere misure volte ad assicurare l’attuazione delle disposizioni e il monitoraggio nella fase della realizzazione: contribuendo così a una corretta istruttoria normativa.</w:t>
      </w:r>
    </w:p>
    <w:p w:rsidR="00FA4227" w:rsidRPr="000C15F9" w:rsidRDefault="00FA4227" w:rsidP="00FA4227">
      <w:pPr>
        <w:spacing w:line="360" w:lineRule="auto"/>
        <w:jc w:val="both"/>
        <w:rPr>
          <w:rFonts w:ascii="Times New Roman" w:hAnsi="Times New Roman" w:cs="Times New Roman"/>
          <w:b/>
          <w:sz w:val="32"/>
          <w:szCs w:val="32"/>
          <w:u w:val="single"/>
        </w:rPr>
      </w:pPr>
      <w:r w:rsidRPr="000C15F9">
        <w:rPr>
          <w:rFonts w:ascii="Times New Roman" w:hAnsi="Times New Roman" w:cs="Times New Roman"/>
          <w:b/>
          <w:sz w:val="32"/>
          <w:szCs w:val="32"/>
          <w:u w:val="single"/>
        </w:rPr>
        <w:t>Conclusioni</w:t>
      </w:r>
    </w:p>
    <w:p w:rsidR="00FA4227" w:rsidRDefault="00FA4227" w:rsidP="00FA4227">
      <w:pPr>
        <w:spacing w:line="360" w:lineRule="auto"/>
        <w:jc w:val="both"/>
        <w:rPr>
          <w:rFonts w:ascii="Times New Roman" w:hAnsi="Times New Roman" w:cs="Times New Roman"/>
          <w:sz w:val="32"/>
          <w:szCs w:val="32"/>
        </w:rPr>
      </w:pPr>
      <w:r>
        <w:rPr>
          <w:rFonts w:ascii="Times New Roman" w:hAnsi="Times New Roman" w:cs="Times New Roman"/>
          <w:sz w:val="32"/>
          <w:szCs w:val="32"/>
        </w:rPr>
        <w:t>Mi sembra di poter concludere con le seguenti considerazioni riassuntive.</w:t>
      </w:r>
    </w:p>
    <w:p w:rsidR="00FA4227" w:rsidRDefault="00FA4227" w:rsidP="00FA4227">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La qualità della normazione è un fatto, prima che di diritto positivo, di ordine culturale. Riprova di ciò è il considerevole numero di disposizioni, di rango primario e secondario, puntualmente </w:t>
      </w:r>
      <w:r w:rsidR="00EF366A">
        <w:rPr>
          <w:rFonts w:ascii="Times New Roman" w:hAnsi="Times New Roman" w:cs="Times New Roman"/>
          <w:sz w:val="32"/>
          <w:szCs w:val="32"/>
        </w:rPr>
        <w:t>non attuate</w:t>
      </w:r>
      <w:r>
        <w:rPr>
          <w:rFonts w:ascii="Times New Roman" w:hAnsi="Times New Roman" w:cs="Times New Roman"/>
          <w:sz w:val="32"/>
          <w:szCs w:val="32"/>
        </w:rPr>
        <w:t xml:space="preserve">. </w:t>
      </w:r>
    </w:p>
    <w:p w:rsidR="00FA4227" w:rsidRDefault="00FA4227" w:rsidP="00FA4227">
      <w:pPr>
        <w:spacing w:line="360" w:lineRule="auto"/>
        <w:jc w:val="both"/>
        <w:rPr>
          <w:rFonts w:ascii="Times New Roman" w:hAnsi="Times New Roman" w:cs="Times New Roman"/>
          <w:sz w:val="32"/>
          <w:szCs w:val="32"/>
        </w:rPr>
      </w:pPr>
      <w:r>
        <w:rPr>
          <w:rFonts w:ascii="Times New Roman" w:hAnsi="Times New Roman" w:cs="Times New Roman"/>
          <w:sz w:val="32"/>
          <w:szCs w:val="32"/>
        </w:rPr>
        <w:lastRenderedPageBreak/>
        <w:t>E’ chiaro che la qualità della normazione rallenta il processo decisionale di governo e parlamento, Ma dovrebbero essere altresì chiari gli effetti negativi, se non perversi, di una legislazione di scarsa qualità.</w:t>
      </w:r>
    </w:p>
    <w:p w:rsidR="00704519" w:rsidRPr="00704519" w:rsidRDefault="00FA4227" w:rsidP="00704519">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L’applicazione della normativa esistente sarebbe un gran bel passo avanti. Penso in particolare alla complessa disciplina degli strumenti di regolazione. </w:t>
      </w:r>
      <w:r w:rsidR="003C17F5">
        <w:rPr>
          <w:rFonts w:ascii="Times New Roman" w:hAnsi="Times New Roman" w:cs="Times New Roman"/>
          <w:sz w:val="32"/>
          <w:szCs w:val="32"/>
        </w:rPr>
        <w:t xml:space="preserve">Del resto, </w:t>
      </w:r>
      <w:r w:rsidR="00704519" w:rsidRPr="00704519">
        <w:rPr>
          <w:rFonts w:ascii="Times New Roman" w:hAnsi="Times New Roman" w:cs="Times New Roman"/>
          <w:sz w:val="32"/>
          <w:szCs w:val="32"/>
        </w:rPr>
        <w:t>nella direttiva del Presidente del Consiglio dei ministri del 26 febbraio 2009, dedicata all’istruttoria degli atti normativi del Governo, si legge che la “qualità della regolazione è termine usuale per indicare</w:t>
      </w:r>
      <w:r w:rsidR="000C15F9">
        <w:rPr>
          <w:rFonts w:ascii="Times New Roman" w:hAnsi="Times New Roman" w:cs="Times New Roman"/>
          <w:sz w:val="32"/>
          <w:szCs w:val="32"/>
        </w:rPr>
        <w:t xml:space="preserve"> che</w:t>
      </w:r>
      <w:r w:rsidR="00704519" w:rsidRPr="00704519">
        <w:rPr>
          <w:rFonts w:ascii="Times New Roman" w:hAnsi="Times New Roman" w:cs="Times New Roman"/>
          <w:sz w:val="32"/>
          <w:szCs w:val="32"/>
        </w:rPr>
        <w:t xml:space="preserve"> una normazione</w:t>
      </w:r>
      <w:r w:rsidR="000C15F9">
        <w:rPr>
          <w:rFonts w:ascii="Times New Roman" w:hAnsi="Times New Roman" w:cs="Times New Roman"/>
          <w:sz w:val="32"/>
          <w:szCs w:val="32"/>
        </w:rPr>
        <w:t xml:space="preserve"> </w:t>
      </w:r>
      <w:r w:rsidR="00704519" w:rsidRPr="00704519">
        <w:rPr>
          <w:rFonts w:ascii="Times New Roman" w:hAnsi="Times New Roman" w:cs="Times New Roman"/>
          <w:sz w:val="32"/>
          <w:szCs w:val="32"/>
        </w:rPr>
        <w:t>sia aderente a canoni formali</w:t>
      </w:r>
      <w:r w:rsidR="000C15F9">
        <w:rPr>
          <w:rFonts w:ascii="Times New Roman" w:hAnsi="Times New Roman" w:cs="Times New Roman"/>
          <w:sz w:val="32"/>
          <w:szCs w:val="32"/>
        </w:rPr>
        <w:t>,</w:t>
      </w:r>
      <w:r w:rsidR="00704519" w:rsidRPr="00704519">
        <w:rPr>
          <w:rFonts w:ascii="Times New Roman" w:hAnsi="Times New Roman" w:cs="Times New Roman"/>
          <w:sz w:val="32"/>
          <w:szCs w:val="32"/>
        </w:rPr>
        <w:t xml:space="preserve"> sia contenutisticamente adeguata, coerente con i parametri costituzionali e sistematici e, infine, realmente idonea a perseguire gli obiettivi politici governativi”.</w:t>
      </w:r>
    </w:p>
    <w:p w:rsidR="003C17F5" w:rsidRDefault="003C17F5" w:rsidP="00704519">
      <w:pPr>
        <w:spacing w:line="360" w:lineRule="auto"/>
        <w:jc w:val="both"/>
        <w:rPr>
          <w:rFonts w:ascii="Times New Roman" w:hAnsi="Times New Roman" w:cs="Times New Roman"/>
          <w:sz w:val="32"/>
          <w:szCs w:val="32"/>
        </w:rPr>
      </w:pPr>
      <w:r>
        <w:rPr>
          <w:rFonts w:ascii="Times New Roman" w:hAnsi="Times New Roman" w:cs="Times New Roman"/>
          <w:sz w:val="32"/>
          <w:szCs w:val="32"/>
        </w:rPr>
        <w:t>Per fare ciò, occorrerebbe accentuare la posizione e il ruolo di coordinamento del DAGL. Questo no</w:t>
      </w:r>
      <w:r w:rsidR="00704519" w:rsidRPr="00704519">
        <w:rPr>
          <w:rFonts w:ascii="Times New Roman" w:hAnsi="Times New Roman" w:cs="Times New Roman"/>
          <w:sz w:val="32"/>
          <w:szCs w:val="32"/>
        </w:rPr>
        <w:t>n è un soggetto terzo e indipendente.</w:t>
      </w:r>
      <w:r>
        <w:rPr>
          <w:rFonts w:ascii="Times New Roman" w:hAnsi="Times New Roman" w:cs="Times New Roman"/>
          <w:sz w:val="32"/>
          <w:szCs w:val="32"/>
        </w:rPr>
        <w:t xml:space="preserve"> E non avrebbe senso che lo fosse, dato che il DAGL è l’ufficio cui è demandata l’attuazione della politica del governo sul piano normativo.</w:t>
      </w:r>
    </w:p>
    <w:p w:rsidR="00704519" w:rsidRPr="00704519" w:rsidRDefault="00704519" w:rsidP="00704519">
      <w:pPr>
        <w:spacing w:line="360" w:lineRule="auto"/>
        <w:jc w:val="both"/>
        <w:rPr>
          <w:rFonts w:ascii="Times New Roman" w:hAnsi="Times New Roman" w:cs="Times New Roman"/>
          <w:sz w:val="32"/>
          <w:szCs w:val="32"/>
        </w:rPr>
      </w:pPr>
      <w:r w:rsidRPr="00704519">
        <w:rPr>
          <w:rFonts w:ascii="Times New Roman" w:hAnsi="Times New Roman" w:cs="Times New Roman"/>
          <w:sz w:val="32"/>
          <w:szCs w:val="32"/>
        </w:rPr>
        <w:t>Di recente lo stess</w:t>
      </w:r>
      <w:r w:rsidR="003C17F5">
        <w:rPr>
          <w:rFonts w:ascii="Times New Roman" w:hAnsi="Times New Roman" w:cs="Times New Roman"/>
          <w:sz w:val="32"/>
          <w:szCs w:val="32"/>
        </w:rPr>
        <w:t>o Consiglio di Stato, nel</w:t>
      </w:r>
      <w:r w:rsidRPr="00704519">
        <w:rPr>
          <w:rFonts w:ascii="Times New Roman" w:hAnsi="Times New Roman" w:cs="Times New Roman"/>
          <w:sz w:val="32"/>
          <w:szCs w:val="32"/>
        </w:rPr>
        <w:t xml:space="preserve"> parere sul DPCM n. 169/2017</w:t>
      </w:r>
      <w:r w:rsidR="003C17F5">
        <w:rPr>
          <w:rFonts w:ascii="Times New Roman" w:hAnsi="Times New Roman" w:cs="Times New Roman"/>
          <w:sz w:val="32"/>
          <w:szCs w:val="32"/>
        </w:rPr>
        <w:t>, recante la disciplina dell’AIR</w:t>
      </w:r>
      <w:r w:rsidRPr="00704519">
        <w:rPr>
          <w:rFonts w:ascii="Times New Roman" w:hAnsi="Times New Roman" w:cs="Times New Roman"/>
          <w:sz w:val="32"/>
          <w:szCs w:val="32"/>
        </w:rPr>
        <w:t xml:space="preserve"> (Sezione consultiva, Adunanza del 7 giugno 2017), dopo aver sottolineato che le criticità mostrate fino ad oggi dall’AIR “non sono da ricercare nell’impostazione teorica della sua disciplina, ma nelle carenze della sua attuazione pratica, soprattutto a causa delle difficoltà degli uffici legislativi di compiere un’istruttoria che si spinga oltre il solo dato giuridico-formale e che permetta al decisore pubblico di potersi prefigurare un attendibile scenario del futuro funzionamento delle regole, sulla base dell’analisi dei dati disponibili al </w:t>
      </w:r>
      <w:r w:rsidR="000C15F9">
        <w:rPr>
          <w:rFonts w:ascii="Times New Roman" w:hAnsi="Times New Roman" w:cs="Times New Roman"/>
          <w:sz w:val="32"/>
          <w:szCs w:val="32"/>
        </w:rPr>
        <w:t>momento della loro costruzione”,</w:t>
      </w:r>
      <w:r w:rsidRPr="00704519">
        <w:rPr>
          <w:rFonts w:ascii="Times New Roman" w:hAnsi="Times New Roman" w:cs="Times New Roman"/>
          <w:sz w:val="32"/>
          <w:szCs w:val="32"/>
        </w:rPr>
        <w:t xml:space="preserve"> ha evidenziato che “l’intensità dell’intervento del DAGL </w:t>
      </w:r>
      <w:r w:rsidRPr="00704519">
        <w:rPr>
          <w:rFonts w:ascii="Times New Roman" w:hAnsi="Times New Roman" w:cs="Times New Roman"/>
          <w:sz w:val="32"/>
          <w:szCs w:val="32"/>
        </w:rPr>
        <w:lastRenderedPageBreak/>
        <w:t xml:space="preserve">dovrebbe essere incrementata quantitativamente e, soprattutto, qualitativamente: ed invero, il DAGL dovrebbe, da un lato, agire in piena autonomia rispetto alle amministrazioni di settore, e da una posizione di particolare autorevolezza, riconosciuta normativamente e riaffermata nella pratica (secondo le </w:t>
      </w:r>
      <w:r w:rsidRPr="00704519">
        <w:rPr>
          <w:rFonts w:ascii="Times New Roman" w:hAnsi="Times New Roman" w:cs="Times New Roman"/>
          <w:i/>
          <w:iCs/>
          <w:sz w:val="32"/>
          <w:szCs w:val="32"/>
        </w:rPr>
        <w:t xml:space="preserve">best practice </w:t>
      </w:r>
      <w:r w:rsidRPr="00704519">
        <w:rPr>
          <w:rFonts w:ascii="Times New Roman" w:hAnsi="Times New Roman" w:cs="Times New Roman"/>
          <w:sz w:val="32"/>
          <w:szCs w:val="32"/>
        </w:rPr>
        <w:t xml:space="preserve">internazionali delle </w:t>
      </w:r>
      <w:r w:rsidRPr="00704519">
        <w:rPr>
          <w:rFonts w:ascii="Times New Roman" w:hAnsi="Times New Roman" w:cs="Times New Roman"/>
          <w:i/>
          <w:iCs/>
          <w:sz w:val="32"/>
          <w:szCs w:val="32"/>
        </w:rPr>
        <w:t xml:space="preserve">Better Regulation Units </w:t>
      </w:r>
      <w:r w:rsidRPr="00704519">
        <w:rPr>
          <w:rFonts w:ascii="Times New Roman" w:hAnsi="Times New Roman" w:cs="Times New Roman"/>
          <w:sz w:val="32"/>
          <w:szCs w:val="32"/>
        </w:rPr>
        <w:t xml:space="preserve">europee e sul modello dell’OIRA – </w:t>
      </w:r>
      <w:r w:rsidRPr="00704519">
        <w:rPr>
          <w:rFonts w:ascii="Times New Roman" w:hAnsi="Times New Roman" w:cs="Times New Roman"/>
          <w:i/>
          <w:iCs/>
          <w:sz w:val="32"/>
          <w:szCs w:val="32"/>
        </w:rPr>
        <w:t xml:space="preserve">Office of Information and Regulatory Affairs </w:t>
      </w:r>
      <w:r w:rsidRPr="00704519">
        <w:rPr>
          <w:rFonts w:ascii="Times New Roman" w:hAnsi="Times New Roman" w:cs="Times New Roman"/>
          <w:sz w:val="32"/>
          <w:szCs w:val="32"/>
        </w:rPr>
        <w:t xml:space="preserve">– </w:t>
      </w:r>
      <w:r w:rsidR="003C17F5">
        <w:rPr>
          <w:rFonts w:ascii="Times New Roman" w:hAnsi="Times New Roman" w:cs="Times New Roman"/>
          <w:sz w:val="32"/>
          <w:szCs w:val="32"/>
        </w:rPr>
        <w:t>degli Stati Uniti) e dall’altro</w:t>
      </w:r>
      <w:r w:rsidRPr="00704519">
        <w:rPr>
          <w:rFonts w:ascii="Times New Roman" w:hAnsi="Times New Roman" w:cs="Times New Roman"/>
          <w:sz w:val="32"/>
          <w:szCs w:val="32"/>
        </w:rPr>
        <w:t xml:space="preserve"> (soprattutto nella fase iniziale) dovrebbe poter accompagnare, quasi a mo’ di un tutoraggio istituzionale, i procedimenti di analisi condotti dalle singole amministrazioni proponenti, segnalando in corso d’opera le eventuali lacu</w:t>
      </w:r>
      <w:r w:rsidR="003C17F5">
        <w:rPr>
          <w:rFonts w:ascii="Times New Roman" w:hAnsi="Times New Roman" w:cs="Times New Roman"/>
          <w:sz w:val="32"/>
          <w:szCs w:val="32"/>
        </w:rPr>
        <w:t>ne o i possibili miglioramenti”.</w:t>
      </w:r>
      <w:r w:rsidRPr="00704519">
        <w:rPr>
          <w:rFonts w:ascii="Times New Roman" w:hAnsi="Times New Roman" w:cs="Times New Roman"/>
          <w:sz w:val="32"/>
          <w:szCs w:val="32"/>
        </w:rPr>
        <w:t xml:space="preserve"> </w:t>
      </w:r>
    </w:p>
    <w:p w:rsidR="003C17F5" w:rsidRDefault="003C17F5" w:rsidP="003C17F5">
      <w:pPr>
        <w:spacing w:line="360" w:lineRule="auto"/>
        <w:jc w:val="both"/>
        <w:rPr>
          <w:rFonts w:ascii="Times New Roman" w:hAnsi="Times New Roman" w:cs="Times New Roman"/>
          <w:sz w:val="32"/>
          <w:szCs w:val="32"/>
        </w:rPr>
      </w:pPr>
      <w:r>
        <w:rPr>
          <w:rFonts w:ascii="Times New Roman" w:hAnsi="Times New Roman" w:cs="Times New Roman"/>
          <w:sz w:val="32"/>
          <w:szCs w:val="32"/>
        </w:rPr>
        <w:t>Accanto all’incremento della posizione del DAGL nel processo di produzione normativa</w:t>
      </w:r>
      <w:r w:rsidR="00A121CF">
        <w:rPr>
          <w:rFonts w:ascii="Times New Roman" w:hAnsi="Times New Roman" w:cs="Times New Roman"/>
          <w:sz w:val="32"/>
          <w:szCs w:val="32"/>
        </w:rPr>
        <w:t xml:space="preserve">, occorrerebbe –come si diceva all’inizio- rafforzare i legami di cooperazione sul piano prativo tra sedi governative e parlamentari, perché la produzione di una legge o di un regolamento resta un fatto demandato all’autorità politica, che però deve potere e volere la piena consapevolezza delle scelte che va a fare. </w:t>
      </w:r>
    </w:p>
    <w:p w:rsidR="003C17F5" w:rsidRDefault="003C17F5" w:rsidP="003C17F5">
      <w:pPr>
        <w:spacing w:line="360" w:lineRule="auto"/>
        <w:jc w:val="both"/>
        <w:rPr>
          <w:rFonts w:ascii="Times New Roman" w:hAnsi="Times New Roman" w:cs="Times New Roman"/>
          <w:sz w:val="32"/>
          <w:szCs w:val="32"/>
        </w:rPr>
      </w:pPr>
    </w:p>
    <w:p w:rsidR="007D6983" w:rsidRPr="00704519" w:rsidRDefault="007D6983" w:rsidP="00704519">
      <w:pPr>
        <w:spacing w:line="360" w:lineRule="auto"/>
        <w:jc w:val="both"/>
        <w:rPr>
          <w:rFonts w:ascii="Times New Roman" w:hAnsi="Times New Roman" w:cs="Times New Roman"/>
          <w:sz w:val="32"/>
          <w:szCs w:val="32"/>
        </w:rPr>
      </w:pPr>
    </w:p>
    <w:p w:rsidR="007D6983" w:rsidRPr="00704519" w:rsidRDefault="007D6983" w:rsidP="00704519">
      <w:pPr>
        <w:spacing w:line="360" w:lineRule="auto"/>
        <w:jc w:val="both"/>
        <w:rPr>
          <w:rFonts w:ascii="Times New Roman" w:hAnsi="Times New Roman" w:cs="Times New Roman"/>
          <w:sz w:val="32"/>
          <w:szCs w:val="32"/>
        </w:rPr>
      </w:pPr>
    </w:p>
    <w:p w:rsidR="007D6983" w:rsidRPr="00704519" w:rsidRDefault="007D6983" w:rsidP="00704519">
      <w:pPr>
        <w:spacing w:line="360" w:lineRule="auto"/>
        <w:jc w:val="both"/>
        <w:rPr>
          <w:rFonts w:ascii="Times New Roman" w:hAnsi="Times New Roman" w:cs="Times New Roman"/>
          <w:sz w:val="32"/>
          <w:szCs w:val="32"/>
        </w:rPr>
      </w:pPr>
    </w:p>
    <w:sectPr w:rsidR="007D6983" w:rsidRPr="00704519">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440" w:rsidRDefault="00BC4440" w:rsidP="00704519">
      <w:pPr>
        <w:spacing w:after="0" w:line="240" w:lineRule="auto"/>
      </w:pPr>
      <w:r>
        <w:separator/>
      </w:r>
    </w:p>
  </w:endnote>
  <w:endnote w:type="continuationSeparator" w:id="0">
    <w:p w:rsidR="00BC4440" w:rsidRDefault="00BC4440" w:rsidP="0070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34271"/>
      <w:docPartObj>
        <w:docPartGallery w:val="Page Numbers (Bottom of Page)"/>
        <w:docPartUnique/>
      </w:docPartObj>
    </w:sdtPr>
    <w:sdtEndPr/>
    <w:sdtContent>
      <w:p w:rsidR="00704519" w:rsidRDefault="00704519">
        <w:pPr>
          <w:pStyle w:val="Pidipagina"/>
          <w:jc w:val="right"/>
        </w:pPr>
        <w:r>
          <w:fldChar w:fldCharType="begin"/>
        </w:r>
        <w:r>
          <w:instrText>PAGE   \* MERGEFORMAT</w:instrText>
        </w:r>
        <w:r>
          <w:fldChar w:fldCharType="separate"/>
        </w:r>
        <w:r w:rsidR="00DE5388">
          <w:rPr>
            <w:noProof/>
          </w:rPr>
          <w:t>1</w:t>
        </w:r>
        <w:r>
          <w:fldChar w:fldCharType="end"/>
        </w:r>
      </w:p>
    </w:sdtContent>
  </w:sdt>
  <w:p w:rsidR="00704519" w:rsidRDefault="0070451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440" w:rsidRDefault="00BC4440" w:rsidP="00704519">
      <w:pPr>
        <w:spacing w:after="0" w:line="240" w:lineRule="auto"/>
      </w:pPr>
      <w:r>
        <w:separator/>
      </w:r>
    </w:p>
  </w:footnote>
  <w:footnote w:type="continuationSeparator" w:id="0">
    <w:p w:rsidR="00BC4440" w:rsidRDefault="00BC4440" w:rsidP="007045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5A4C"/>
    <w:multiLevelType w:val="hybridMultilevel"/>
    <w:tmpl w:val="923CB4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1348D6"/>
    <w:multiLevelType w:val="hybridMultilevel"/>
    <w:tmpl w:val="1A9E888E"/>
    <w:lvl w:ilvl="0" w:tplc="29BC86E4">
      <w:start w:val="3"/>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0348B6"/>
    <w:multiLevelType w:val="hybridMultilevel"/>
    <w:tmpl w:val="A67448B2"/>
    <w:lvl w:ilvl="0" w:tplc="2588140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80B6FFB"/>
    <w:multiLevelType w:val="hybridMultilevel"/>
    <w:tmpl w:val="DFEABC9C"/>
    <w:lvl w:ilvl="0" w:tplc="1A5E01B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3848ED"/>
    <w:multiLevelType w:val="hybridMultilevel"/>
    <w:tmpl w:val="038084EC"/>
    <w:lvl w:ilvl="0" w:tplc="04100017">
      <w:start w:val="1"/>
      <w:numFmt w:val="lowerLetter"/>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4DF420C"/>
    <w:multiLevelType w:val="hybridMultilevel"/>
    <w:tmpl w:val="832CCBE6"/>
    <w:lvl w:ilvl="0" w:tplc="46DE34B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6177560A"/>
    <w:multiLevelType w:val="hybridMultilevel"/>
    <w:tmpl w:val="621419F2"/>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62CF7358"/>
    <w:multiLevelType w:val="hybridMultilevel"/>
    <w:tmpl w:val="F4920F6C"/>
    <w:lvl w:ilvl="0" w:tplc="1A9A05AC">
      <w:start w:val="1"/>
      <w:numFmt w:val="lowerLetter"/>
      <w:lvlText w:val="%1)"/>
      <w:lvlJc w:val="left"/>
      <w:pPr>
        <w:ind w:left="360" w:hanging="360"/>
      </w:pPr>
      <w:rPr>
        <w:rFonts w:ascii="Times New Roman" w:eastAsiaTheme="minorHAnsi" w:hAnsi="Times New Roman" w:cs="Times New Roman"/>
      </w:rPr>
    </w:lvl>
    <w:lvl w:ilvl="1" w:tplc="04100019" w:tentative="1">
      <w:start w:val="1"/>
      <w:numFmt w:val="lowerLetter"/>
      <w:lvlText w:val="%2."/>
      <w:lvlJc w:val="left"/>
      <w:pPr>
        <w:ind w:left="1232" w:hanging="360"/>
      </w:pPr>
    </w:lvl>
    <w:lvl w:ilvl="2" w:tplc="0410001B" w:tentative="1">
      <w:start w:val="1"/>
      <w:numFmt w:val="lowerRoman"/>
      <w:lvlText w:val="%3."/>
      <w:lvlJc w:val="right"/>
      <w:pPr>
        <w:ind w:left="1952" w:hanging="180"/>
      </w:pPr>
    </w:lvl>
    <w:lvl w:ilvl="3" w:tplc="0410000F" w:tentative="1">
      <w:start w:val="1"/>
      <w:numFmt w:val="decimal"/>
      <w:lvlText w:val="%4."/>
      <w:lvlJc w:val="left"/>
      <w:pPr>
        <w:ind w:left="2672" w:hanging="360"/>
      </w:pPr>
    </w:lvl>
    <w:lvl w:ilvl="4" w:tplc="04100019" w:tentative="1">
      <w:start w:val="1"/>
      <w:numFmt w:val="lowerLetter"/>
      <w:lvlText w:val="%5."/>
      <w:lvlJc w:val="left"/>
      <w:pPr>
        <w:ind w:left="3392" w:hanging="360"/>
      </w:pPr>
    </w:lvl>
    <w:lvl w:ilvl="5" w:tplc="0410001B" w:tentative="1">
      <w:start w:val="1"/>
      <w:numFmt w:val="lowerRoman"/>
      <w:lvlText w:val="%6."/>
      <w:lvlJc w:val="right"/>
      <w:pPr>
        <w:ind w:left="4112" w:hanging="180"/>
      </w:pPr>
    </w:lvl>
    <w:lvl w:ilvl="6" w:tplc="0410000F" w:tentative="1">
      <w:start w:val="1"/>
      <w:numFmt w:val="decimal"/>
      <w:lvlText w:val="%7."/>
      <w:lvlJc w:val="left"/>
      <w:pPr>
        <w:ind w:left="4832" w:hanging="360"/>
      </w:pPr>
    </w:lvl>
    <w:lvl w:ilvl="7" w:tplc="04100019" w:tentative="1">
      <w:start w:val="1"/>
      <w:numFmt w:val="lowerLetter"/>
      <w:lvlText w:val="%8."/>
      <w:lvlJc w:val="left"/>
      <w:pPr>
        <w:ind w:left="5552" w:hanging="360"/>
      </w:pPr>
    </w:lvl>
    <w:lvl w:ilvl="8" w:tplc="0410001B" w:tentative="1">
      <w:start w:val="1"/>
      <w:numFmt w:val="lowerRoman"/>
      <w:lvlText w:val="%9."/>
      <w:lvlJc w:val="right"/>
      <w:pPr>
        <w:ind w:left="6272" w:hanging="180"/>
      </w:pPr>
    </w:lvl>
  </w:abstractNum>
  <w:abstractNum w:abstractNumId="8" w15:restartNumberingAfterBreak="0">
    <w:nsid w:val="64857CF1"/>
    <w:multiLevelType w:val="hybridMultilevel"/>
    <w:tmpl w:val="F8C2DA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94D01D0"/>
    <w:multiLevelType w:val="hybridMultilevel"/>
    <w:tmpl w:val="9E5A7F80"/>
    <w:lvl w:ilvl="0" w:tplc="CA58358A">
      <w:start w:val="1"/>
      <w:numFmt w:val="lowerLetter"/>
      <w:lvlText w:val="%1)"/>
      <w:lvlJc w:val="left"/>
      <w:pPr>
        <w:ind w:left="928" w:hanging="360"/>
      </w:pPr>
      <w:rPr>
        <w:rFonts w:ascii="Times New Roman" w:eastAsiaTheme="minorHAnsi" w:hAnsi="Times New Roman" w:cs="Times New Roman"/>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8"/>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9"/>
  </w:num>
  <w:num w:numId="8">
    <w:abstractNumId w:val="5"/>
  </w:num>
  <w:num w:numId="9">
    <w:abstractNumId w:val="2"/>
  </w:num>
  <w:num w:numId="10">
    <w:abstractNumId w:val="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3DC"/>
    <w:rsid w:val="00006FEF"/>
    <w:rsid w:val="00052CC6"/>
    <w:rsid w:val="000C15F9"/>
    <w:rsid w:val="001D73B2"/>
    <w:rsid w:val="002223DC"/>
    <w:rsid w:val="00257B45"/>
    <w:rsid w:val="00281C3B"/>
    <w:rsid w:val="00300F71"/>
    <w:rsid w:val="00357201"/>
    <w:rsid w:val="003C17F5"/>
    <w:rsid w:val="004162E8"/>
    <w:rsid w:val="006215F1"/>
    <w:rsid w:val="006943DA"/>
    <w:rsid w:val="00704519"/>
    <w:rsid w:val="007D6983"/>
    <w:rsid w:val="00994666"/>
    <w:rsid w:val="00A121CF"/>
    <w:rsid w:val="00B450FC"/>
    <w:rsid w:val="00B749C8"/>
    <w:rsid w:val="00BC4440"/>
    <w:rsid w:val="00CD098D"/>
    <w:rsid w:val="00DE5388"/>
    <w:rsid w:val="00E14E07"/>
    <w:rsid w:val="00EB3A1C"/>
    <w:rsid w:val="00EF366A"/>
    <w:rsid w:val="00F5392F"/>
    <w:rsid w:val="00FA4227"/>
    <w:rsid w:val="00FF33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A5DDA-E2D1-4134-9AE0-E79CB14B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045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04519"/>
  </w:style>
  <w:style w:type="paragraph" w:styleId="Pidipagina">
    <w:name w:val="footer"/>
    <w:basedOn w:val="Normale"/>
    <w:link w:val="PidipaginaCarattere"/>
    <w:uiPriority w:val="99"/>
    <w:unhideWhenUsed/>
    <w:rsid w:val="007045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04519"/>
  </w:style>
  <w:style w:type="paragraph" w:styleId="Paragrafoelenco">
    <w:name w:val="List Paragraph"/>
    <w:basedOn w:val="Normale"/>
    <w:uiPriority w:val="34"/>
    <w:qFormat/>
    <w:rsid w:val="007045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39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61B90-DA91-4878-A076-04A299C11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3282</Words>
  <Characters>18714</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PATRONI GRIFFI Filippo</dc:creator>
  <cp:keywords/>
  <dc:description/>
  <cp:lastModifiedBy>Gianluca Ricci</cp:lastModifiedBy>
  <cp:revision>2</cp:revision>
  <dcterms:created xsi:type="dcterms:W3CDTF">2019-12-12T10:35:00Z</dcterms:created>
  <dcterms:modified xsi:type="dcterms:W3CDTF">2019-12-12T10:35:00Z</dcterms:modified>
</cp:coreProperties>
</file>