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2C" w:rsidRDefault="0059462C" w:rsidP="0059462C">
      <w:pPr>
        <w:spacing w:after="0" w:line="240" w:lineRule="auto"/>
        <w:ind w:left="360"/>
        <w:jc w:val="center"/>
        <w:rPr>
          <w:rFonts w:ascii="Arial" w:hAnsi="Arial" w:cs="Arial"/>
          <w:i/>
          <w:lang w:eastAsia="it-IT"/>
        </w:rPr>
      </w:pPr>
      <w:r>
        <w:rPr>
          <w:rFonts w:ascii="Arial" w:hAnsi="Arial" w:cs="Arial"/>
          <w:i/>
          <w:lang w:eastAsia="it-IT"/>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14600386" r:id="rId5">
            <o:FieldCodes>\s \* unisciformato</o:FieldCodes>
          </o:OLEObject>
        </w:object>
      </w:r>
    </w:p>
    <w:p w:rsidR="0059462C" w:rsidRDefault="0059462C" w:rsidP="0059462C">
      <w:pPr>
        <w:spacing w:after="0" w:line="240" w:lineRule="auto"/>
        <w:ind w:left="360"/>
        <w:jc w:val="center"/>
        <w:rPr>
          <w:rFonts w:ascii="Arial" w:hAnsi="Arial" w:cs="Arial"/>
          <w:i/>
          <w:lang w:eastAsia="it-IT"/>
        </w:rPr>
      </w:pPr>
    </w:p>
    <w:p w:rsidR="0059462C" w:rsidRDefault="0059462C" w:rsidP="0059462C">
      <w:pPr>
        <w:spacing w:after="0" w:line="240" w:lineRule="auto"/>
        <w:ind w:left="360"/>
        <w:jc w:val="center"/>
        <w:rPr>
          <w:rFonts w:ascii="Arial" w:hAnsi="Arial" w:cs="Arial"/>
          <w:i/>
          <w:sz w:val="36"/>
          <w:szCs w:val="36"/>
          <w:lang w:eastAsia="it-IT"/>
        </w:rPr>
      </w:pPr>
    </w:p>
    <w:p w:rsidR="0059462C" w:rsidRDefault="0059462C" w:rsidP="0059462C">
      <w:pPr>
        <w:spacing w:after="0" w:line="240" w:lineRule="auto"/>
        <w:ind w:left="360"/>
        <w:jc w:val="center"/>
        <w:rPr>
          <w:rFonts w:ascii="Times New Roman" w:hAnsi="Times New Roman"/>
          <w:i/>
          <w:sz w:val="36"/>
          <w:szCs w:val="36"/>
          <w:lang w:eastAsia="it-IT"/>
        </w:rPr>
      </w:pPr>
      <w:r>
        <w:rPr>
          <w:rFonts w:ascii="Arial" w:hAnsi="Arial" w:cs="Arial"/>
          <w:b/>
          <w:i/>
          <w:sz w:val="36"/>
          <w:szCs w:val="36"/>
          <w:lang w:eastAsia="it-IT"/>
        </w:rPr>
        <w:t xml:space="preserve">  </w:t>
      </w:r>
      <w:r>
        <w:rPr>
          <w:rFonts w:ascii="Times New Roman" w:hAnsi="Times New Roman"/>
          <w:i/>
          <w:sz w:val="36"/>
          <w:szCs w:val="36"/>
          <w:lang w:eastAsia="it-IT"/>
        </w:rPr>
        <w:t>GIUSTIZIA   AMMINISTRATIVA</w:t>
      </w:r>
    </w:p>
    <w:p w:rsidR="0059462C" w:rsidRDefault="0059462C" w:rsidP="0059462C">
      <w:pPr>
        <w:spacing w:after="0" w:line="240" w:lineRule="auto"/>
        <w:ind w:left="360"/>
        <w:jc w:val="center"/>
        <w:rPr>
          <w:rFonts w:ascii="Times New Roman" w:hAnsi="Times New Roman"/>
          <w:i/>
          <w:sz w:val="36"/>
          <w:szCs w:val="36"/>
          <w:lang w:eastAsia="it-IT"/>
        </w:rPr>
      </w:pPr>
    </w:p>
    <w:p w:rsidR="0059462C" w:rsidRDefault="0059462C" w:rsidP="0059462C">
      <w:pPr>
        <w:spacing w:after="0" w:line="240" w:lineRule="auto"/>
        <w:ind w:left="360"/>
        <w:jc w:val="center"/>
        <w:rPr>
          <w:rFonts w:ascii="Times New Roman" w:hAnsi="Times New Roman"/>
          <w:b/>
          <w:i/>
          <w:sz w:val="36"/>
          <w:szCs w:val="36"/>
          <w:lang w:eastAsia="it-IT"/>
        </w:rPr>
      </w:pPr>
      <w:r>
        <w:rPr>
          <w:rFonts w:ascii="Times New Roman" w:hAnsi="Times New Roman"/>
          <w:b/>
          <w:i/>
          <w:sz w:val="36"/>
          <w:szCs w:val="36"/>
          <w:lang w:eastAsia="it-IT"/>
        </w:rPr>
        <w:t>CONSIGLIO DI STATO</w:t>
      </w:r>
    </w:p>
    <w:p w:rsidR="0059462C" w:rsidRDefault="0059462C" w:rsidP="0059462C">
      <w:pPr>
        <w:spacing w:after="0" w:line="240" w:lineRule="auto"/>
        <w:ind w:left="360"/>
        <w:jc w:val="center"/>
        <w:rPr>
          <w:rFonts w:ascii="Times New Roman" w:hAnsi="Times New Roman"/>
          <w:i/>
          <w:sz w:val="36"/>
          <w:szCs w:val="36"/>
          <w:lang w:eastAsia="it-IT"/>
        </w:rPr>
      </w:pPr>
    </w:p>
    <w:p w:rsidR="0059462C" w:rsidRDefault="0059462C" w:rsidP="0059462C">
      <w:pPr>
        <w:spacing w:after="0" w:line="240" w:lineRule="auto"/>
        <w:ind w:left="360"/>
        <w:jc w:val="center"/>
        <w:rPr>
          <w:rFonts w:ascii="Times New Roman" w:hAnsi="Times New Roman"/>
          <w:i/>
          <w:sz w:val="36"/>
          <w:szCs w:val="36"/>
          <w:lang w:eastAsia="it-IT"/>
        </w:rPr>
      </w:pPr>
      <w:r>
        <w:rPr>
          <w:rFonts w:ascii="Times New Roman" w:hAnsi="Times New Roman"/>
          <w:i/>
          <w:sz w:val="36"/>
          <w:szCs w:val="36"/>
          <w:lang w:eastAsia="it-IT"/>
        </w:rPr>
        <w:t xml:space="preserve"> UFFICIO STAMPA E COMUNICAZIONE ISTITUZIONALE</w:t>
      </w:r>
    </w:p>
    <w:p w:rsidR="0059462C" w:rsidRDefault="0059462C" w:rsidP="0059462C">
      <w:pPr>
        <w:spacing w:after="0" w:line="240" w:lineRule="auto"/>
        <w:ind w:left="360"/>
        <w:jc w:val="center"/>
        <w:rPr>
          <w:rFonts w:ascii="Times New Roman" w:hAnsi="Times New Roman"/>
          <w:sz w:val="36"/>
          <w:szCs w:val="36"/>
          <w:lang w:eastAsia="it-IT"/>
        </w:rPr>
      </w:pPr>
    </w:p>
    <w:p w:rsidR="0059462C" w:rsidRDefault="0059462C" w:rsidP="0059462C">
      <w:pPr>
        <w:spacing w:after="0" w:line="240" w:lineRule="auto"/>
        <w:ind w:left="360"/>
        <w:jc w:val="center"/>
        <w:rPr>
          <w:rFonts w:ascii="Times New Roman" w:hAnsi="Times New Roman"/>
          <w:b/>
          <w:i/>
          <w:sz w:val="36"/>
          <w:szCs w:val="36"/>
          <w:lang w:eastAsia="it-IT"/>
        </w:rPr>
      </w:pPr>
      <w:r>
        <w:rPr>
          <w:rFonts w:ascii="Times New Roman" w:hAnsi="Times New Roman"/>
          <w:b/>
          <w:i/>
          <w:sz w:val="36"/>
          <w:szCs w:val="36"/>
          <w:lang w:eastAsia="it-IT"/>
        </w:rPr>
        <w:t>COMUNICATO STAMPA</w:t>
      </w:r>
    </w:p>
    <w:p w:rsidR="0059462C" w:rsidRDefault="0059462C" w:rsidP="0059462C">
      <w:pPr>
        <w:spacing w:after="0" w:line="240" w:lineRule="auto"/>
        <w:ind w:left="360"/>
        <w:jc w:val="center"/>
        <w:rPr>
          <w:rFonts w:ascii="Times New Roman" w:hAnsi="Times New Roman"/>
          <w:i/>
          <w:sz w:val="36"/>
          <w:szCs w:val="36"/>
          <w:lang w:eastAsia="it-IT"/>
        </w:rPr>
      </w:pPr>
    </w:p>
    <w:p w:rsidR="0059462C" w:rsidRDefault="0059462C" w:rsidP="0059462C">
      <w:pPr>
        <w:pStyle w:val="xmsonormal"/>
        <w:shd w:val="clear" w:color="auto" w:fill="FFFFFF"/>
        <w:spacing w:before="0" w:beforeAutospacing="0" w:after="0" w:afterAutospacing="0"/>
        <w:rPr>
          <w:b/>
          <w:color w:val="212121"/>
          <w:sz w:val="28"/>
          <w:szCs w:val="28"/>
        </w:rPr>
      </w:pPr>
    </w:p>
    <w:p w:rsidR="0059462C" w:rsidRDefault="0059462C" w:rsidP="0059462C">
      <w:pPr>
        <w:pStyle w:val="xmsonormal"/>
        <w:shd w:val="clear" w:color="auto" w:fill="FFFFFF"/>
        <w:spacing w:before="0" w:beforeAutospacing="0" w:after="0" w:afterAutospacing="0"/>
        <w:rPr>
          <w:b/>
          <w:color w:val="212121"/>
          <w:sz w:val="28"/>
          <w:szCs w:val="28"/>
        </w:rPr>
      </w:pPr>
      <w:r>
        <w:rPr>
          <w:b/>
          <w:color w:val="212121"/>
          <w:sz w:val="28"/>
          <w:szCs w:val="28"/>
        </w:rPr>
        <w:t>BOLLETTE A 28 GIORNI, CONSIGLIO DI STATO: “NO A DECISIONI SINGOLE”</w:t>
      </w:r>
    </w:p>
    <w:p w:rsidR="0059462C" w:rsidRDefault="0059462C" w:rsidP="0059462C">
      <w:pPr>
        <w:pStyle w:val="xmsonormal"/>
        <w:shd w:val="clear" w:color="auto" w:fill="FFFFFF"/>
        <w:spacing w:before="0" w:beforeAutospacing="0" w:after="0" w:afterAutospacing="0"/>
        <w:jc w:val="center"/>
        <w:rPr>
          <w:b/>
          <w:color w:val="212121"/>
          <w:sz w:val="28"/>
          <w:szCs w:val="28"/>
        </w:rPr>
      </w:pPr>
      <w:r>
        <w:rPr>
          <w:b/>
          <w:color w:val="212121"/>
          <w:sz w:val="28"/>
          <w:szCs w:val="28"/>
        </w:rPr>
        <w:t>21 MAGGIO DECISIONE PER TUTTI I GESTORI</w:t>
      </w:r>
    </w:p>
    <w:p w:rsidR="0059462C" w:rsidRDefault="0059462C" w:rsidP="0059462C">
      <w:pPr>
        <w:pStyle w:val="xmsonormal"/>
        <w:shd w:val="clear" w:color="auto" w:fill="FFFFFF"/>
        <w:spacing w:before="0" w:beforeAutospacing="0" w:after="0" w:afterAutospacing="0"/>
        <w:rPr>
          <w:color w:val="212121"/>
          <w:sz w:val="28"/>
          <w:szCs w:val="28"/>
        </w:rPr>
      </w:pPr>
      <w:r>
        <w:rPr>
          <w:color w:val="212121"/>
          <w:sz w:val="28"/>
          <w:szCs w:val="28"/>
        </w:rPr>
        <w:t> </w:t>
      </w:r>
    </w:p>
    <w:p w:rsidR="0059462C" w:rsidRDefault="0059462C" w:rsidP="0059462C">
      <w:pPr>
        <w:pStyle w:val="xmsonormal"/>
        <w:shd w:val="clear" w:color="auto" w:fill="FFFFFF"/>
        <w:spacing w:before="0" w:beforeAutospacing="0" w:after="0" w:afterAutospacing="0"/>
        <w:rPr>
          <w:color w:val="212121"/>
          <w:sz w:val="28"/>
          <w:szCs w:val="28"/>
        </w:rPr>
      </w:pPr>
      <w:r>
        <w:rPr>
          <w:color w:val="212121"/>
          <w:sz w:val="28"/>
          <w:szCs w:val="28"/>
        </w:rPr>
        <w:t>Sono state depo</w:t>
      </w:r>
      <w:r>
        <w:rPr>
          <w:color w:val="212121"/>
          <w:sz w:val="28"/>
          <w:szCs w:val="28"/>
        </w:rPr>
        <w:t xml:space="preserve">sitate oggi le quattro ordinanze </w:t>
      </w:r>
      <w:r>
        <w:rPr>
          <w:color w:val="212121"/>
          <w:sz w:val="28"/>
          <w:szCs w:val="28"/>
        </w:rPr>
        <w:t>con le quali la VI Sezione del Consiglio di Stato ha deciso sul contenzioso proposto da Telecom, Vodafone, Wind e Fastweb.</w:t>
      </w:r>
    </w:p>
    <w:p w:rsidR="0059462C" w:rsidRDefault="0059462C" w:rsidP="0059462C">
      <w:pPr>
        <w:pStyle w:val="xmsonormal"/>
        <w:shd w:val="clear" w:color="auto" w:fill="FFFFFF"/>
        <w:spacing w:before="0" w:beforeAutospacing="0" w:after="0" w:afterAutospacing="0"/>
        <w:rPr>
          <w:color w:val="212121"/>
          <w:sz w:val="28"/>
          <w:szCs w:val="28"/>
        </w:rPr>
      </w:pPr>
      <w:r>
        <w:rPr>
          <w:color w:val="212121"/>
          <w:sz w:val="28"/>
          <w:szCs w:val="28"/>
        </w:rPr>
        <w:t>Il giudizio d’appello è stato inizialmente proposto dai gestori telefonici avverso il “dispositivo” del TAR Lazio, ossia una decisione, pubblicata nell’immediatezza dell’udienza, ancora mancante della motivazione, sicché, in prima battuta, lo scorso dicembre, la Sesta Sezione ha ritenuto opportuno sospenderne gli effetti sino al 31 marzo 2019, termine entro il quale si prevedeva il deposito delle motivazioni da parte del TAR Lazio.</w:t>
      </w:r>
    </w:p>
    <w:p w:rsidR="0059462C" w:rsidRDefault="0059462C" w:rsidP="0059462C">
      <w:pPr>
        <w:pStyle w:val="xmsonormal"/>
        <w:shd w:val="clear" w:color="auto" w:fill="FFFFFF"/>
        <w:spacing w:before="0" w:beforeAutospacing="0" w:after="0" w:afterAutospacing="0"/>
        <w:rPr>
          <w:strike/>
          <w:color w:val="212121"/>
          <w:sz w:val="28"/>
          <w:szCs w:val="28"/>
        </w:rPr>
      </w:pPr>
      <w:r>
        <w:rPr>
          <w:color w:val="212121"/>
          <w:sz w:val="28"/>
          <w:szCs w:val="28"/>
        </w:rPr>
        <w:t xml:space="preserve">All’udienza di ieri a Palazzo Spada, la Sezione, constatato che per Telecom le motivazioni non erano state ancora rese pubbliche, previo avviso e in mancanza di opposizione delle parti, ha deciso un breve rinvio per adottare una decisione cautelare contestuale valida per tutti i gestori telefonici. </w:t>
      </w:r>
    </w:p>
    <w:p w:rsidR="0059462C" w:rsidRDefault="0059462C" w:rsidP="0059462C">
      <w:pPr>
        <w:pStyle w:val="xmsonormal"/>
        <w:shd w:val="clear" w:color="auto" w:fill="FFFFFF"/>
        <w:spacing w:before="0" w:beforeAutospacing="0" w:after="0" w:afterAutospacing="0"/>
        <w:rPr>
          <w:color w:val="212121"/>
          <w:sz w:val="28"/>
          <w:szCs w:val="28"/>
        </w:rPr>
      </w:pPr>
      <w:r>
        <w:rPr>
          <w:color w:val="212121"/>
          <w:sz w:val="28"/>
          <w:szCs w:val="28"/>
        </w:rPr>
        <w:t>L’udienza è già fissata al 21 maggio 2019.</w:t>
      </w:r>
    </w:p>
    <w:p w:rsidR="0059462C" w:rsidRDefault="0059462C" w:rsidP="0059462C">
      <w:pPr>
        <w:pStyle w:val="xmsonormal"/>
        <w:shd w:val="clear" w:color="auto" w:fill="FFFFFF"/>
        <w:spacing w:before="0" w:beforeAutospacing="0" w:after="0" w:afterAutospacing="0"/>
        <w:rPr>
          <w:color w:val="212121"/>
          <w:sz w:val="28"/>
          <w:szCs w:val="28"/>
        </w:rPr>
      </w:pPr>
    </w:p>
    <w:p w:rsidR="009C40AB" w:rsidRPr="00586889" w:rsidRDefault="0059462C" w:rsidP="00586889">
      <w:pPr>
        <w:pStyle w:val="xmsonormal"/>
        <w:shd w:val="clear" w:color="auto" w:fill="FFFFFF"/>
        <w:spacing w:before="0" w:beforeAutospacing="0" w:after="0" w:afterAutospacing="0"/>
        <w:rPr>
          <w:color w:val="212121"/>
          <w:sz w:val="28"/>
          <w:szCs w:val="28"/>
        </w:rPr>
      </w:pPr>
      <w:r>
        <w:rPr>
          <w:color w:val="212121"/>
          <w:sz w:val="28"/>
          <w:szCs w:val="28"/>
        </w:rPr>
        <w:t>Roma, 20 marzo 2019</w:t>
      </w:r>
      <w:bookmarkStart w:id="0" w:name="_GoBack"/>
      <w:bookmarkEnd w:id="0"/>
    </w:p>
    <w:sectPr w:rsidR="009C40AB" w:rsidRPr="005868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38"/>
    <w:rsid w:val="00586889"/>
    <w:rsid w:val="0059462C"/>
    <w:rsid w:val="009C40AB"/>
    <w:rsid w:val="00F00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3446A-6FC3-4368-AF0B-D478EFF4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462C"/>
    <w:pPr>
      <w:spacing w:after="200" w:line="276" w:lineRule="auto"/>
      <w:jc w:val="both"/>
    </w:pPr>
    <w:rPr>
      <w:rFonts w:ascii="Calibri" w:eastAsia="Times New Roman" w:hAnsi="Calibri"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59462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Tiziana TOMASSINI</cp:lastModifiedBy>
  <cp:revision>3</cp:revision>
  <dcterms:created xsi:type="dcterms:W3CDTF">2019-03-20T14:20:00Z</dcterms:created>
  <dcterms:modified xsi:type="dcterms:W3CDTF">2019-03-20T14:20:00Z</dcterms:modified>
</cp:coreProperties>
</file>