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44" w:rsidRPr="009C2243" w:rsidRDefault="009C2243" w:rsidP="00E17CC2">
      <w:pPr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b/>
          <w:color w:val="333333"/>
          <w:sz w:val="36"/>
          <w:szCs w:val="36"/>
        </w:rPr>
      </w:pPr>
      <w:bookmarkStart w:id="0" w:name="_GoBack"/>
      <w:r w:rsidRPr="009C2243">
        <w:rPr>
          <w:rFonts w:ascii="Times New Roman" w:hAnsi="Times New Roman" w:cs="Times New Roman"/>
          <w:b/>
          <w:color w:val="333333"/>
          <w:sz w:val="36"/>
          <w:szCs w:val="36"/>
        </w:rPr>
        <w:t>Scelte urbanistiche ed effetti perequativi</w:t>
      </w:r>
    </w:p>
    <w:bookmarkEnd w:id="0"/>
    <w:p w:rsidR="00423846" w:rsidRPr="00A40540" w:rsidRDefault="00823FB0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Col termine “perequazione urbanistica” s’intende 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tutta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una serie di misure amministrative, adottate </w:t>
      </w:r>
      <w:r w:rsidR="0054220C" w:rsidRPr="00A40540">
        <w:rPr>
          <w:rFonts w:ascii="Times New Roman" w:hAnsi="Times New Roman" w:cs="Times New Roman"/>
          <w:color w:val="333333"/>
          <w:sz w:val="28"/>
          <w:szCs w:val="28"/>
        </w:rPr>
        <w:t>al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lo scopo </w:t>
      </w:r>
      <w:r w:rsidR="0042384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 </w:t>
      </w:r>
      <w:r w:rsidR="00BE0E1E" w:rsidRPr="00A40540">
        <w:rPr>
          <w:rFonts w:ascii="Times New Roman" w:hAnsi="Times New Roman" w:cs="Times New Roman"/>
          <w:color w:val="333333"/>
          <w:sz w:val="28"/>
          <w:szCs w:val="28"/>
        </w:rPr>
        <w:t>r</w:t>
      </w:r>
      <w:r w:rsidR="0054220C" w:rsidRPr="00A40540">
        <w:rPr>
          <w:rFonts w:ascii="Times New Roman" w:hAnsi="Times New Roman" w:cs="Times New Roman"/>
          <w:color w:val="333333"/>
          <w:sz w:val="28"/>
          <w:szCs w:val="28"/>
        </w:rPr>
        <w:t>iequilibra</w:t>
      </w:r>
      <w:r w:rsidR="007B0105" w:rsidRPr="00A40540">
        <w:rPr>
          <w:rFonts w:ascii="Times New Roman" w:hAnsi="Times New Roman" w:cs="Times New Roman"/>
          <w:color w:val="333333"/>
          <w:sz w:val="28"/>
          <w:szCs w:val="28"/>
        </w:rPr>
        <w:t>re</w:t>
      </w:r>
      <w:r w:rsidR="0054220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D3A56" w:rsidRPr="00A40540">
        <w:rPr>
          <w:rFonts w:ascii="Times New Roman" w:hAnsi="Times New Roman" w:cs="Times New Roman"/>
          <w:color w:val="333333"/>
          <w:sz w:val="28"/>
          <w:szCs w:val="28"/>
        </w:rPr>
        <w:t>tra i consociati</w:t>
      </w:r>
      <w:r w:rsidR="0054220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 </w:t>
      </w:r>
      <w:r w:rsidR="0042384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vantaggi </w:t>
      </w:r>
      <w:r w:rsidR="0054220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 gli </w:t>
      </w:r>
      <w:r w:rsidR="0042384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svantaggi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patrimonial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23846" w:rsidRPr="00A40540">
        <w:rPr>
          <w:rFonts w:ascii="Times New Roman" w:hAnsi="Times New Roman" w:cs="Times New Roman"/>
          <w:color w:val="333333"/>
          <w:sz w:val="28"/>
          <w:szCs w:val="28"/>
        </w:rPr>
        <w:t>derivanti dall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42384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pianificazione urbanistica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76D5A" w:rsidRPr="00A40540" w:rsidRDefault="00292EFB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C76D5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 pianificazione urbanistica 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è 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attività di per sé discriminatoria, </w:t>
      </w:r>
      <w:r w:rsidR="00A243B4" w:rsidRPr="00A40540">
        <w:rPr>
          <w:rFonts w:ascii="Times New Roman" w:hAnsi="Times New Roman" w:cs="Times New Roman"/>
          <w:color w:val="333333"/>
          <w:sz w:val="28"/>
          <w:szCs w:val="28"/>
        </w:rPr>
        <w:t>in quanto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ripartisce sul territorio 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54220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capacità di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sfruttamento edilizio</w:t>
      </w:r>
      <w:r w:rsidR="00A243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– </w:t>
      </w:r>
      <w:r w:rsidR="00164717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id est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ricchezza 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fondiaria </w:t>
      </w:r>
      <w:r w:rsidR="00B94FC8" w:rsidRPr="00A40540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mediante 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>scelte autoritative che finiscono per privilegiare determinate aree, piuttosto che (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>se n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>n:</w:t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 discapito di) altre</w:t>
      </w:r>
      <w:r w:rsidR="00277972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1"/>
      </w:r>
      <w:r w:rsidR="00277972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8C7BE6" w:rsidRPr="00A40540" w:rsidRDefault="00A243B4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Tale gestione del territorio</w:t>
      </w:r>
      <w:r w:rsidR="0063117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è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espressione del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generale 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potere conformativo dell’amministrazione, che si esercita assoggettando i beni immobili ad un determinato regime giuridico</w:t>
      </w:r>
      <w:r w:rsidR="004A1F59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A1F59" w:rsidRPr="00A40540">
        <w:rPr>
          <w:rFonts w:ascii="Times New Roman" w:hAnsi="Times New Roman" w:cs="Times New Roman"/>
          <w:color w:val="333333"/>
          <w:sz w:val="28"/>
          <w:szCs w:val="28"/>
        </w:rPr>
        <w:t>in ra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gione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de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lla 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loro 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ricomprensione </w:t>
      </w:r>
      <w:r w:rsidR="004A1F59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>ll</w:t>
      </w:r>
      <w:r w:rsidR="004A1F59" w:rsidRPr="00A40540">
        <w:rPr>
          <w:rFonts w:ascii="Times New Roman" w:hAnsi="Times New Roman" w:cs="Times New Roman"/>
          <w:color w:val="333333"/>
          <w:sz w:val="28"/>
          <w:szCs w:val="28"/>
        </w:rPr>
        <w:t>’int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4A1F59" w:rsidRPr="00A40540">
        <w:rPr>
          <w:rFonts w:ascii="Times New Roman" w:hAnsi="Times New Roman" w:cs="Times New Roman"/>
          <w:color w:val="333333"/>
          <w:sz w:val="28"/>
          <w:szCs w:val="28"/>
        </w:rPr>
        <w:t>rno di</w:t>
      </w:r>
      <w:r w:rsidR="0016471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zone omogenee</w:t>
      </w:r>
      <w:r w:rsidR="004A1F59" w:rsidRPr="00A40540">
        <w:rPr>
          <w:rFonts w:ascii="Times New Roman" w:hAnsi="Times New Roman" w:cs="Times New Roman"/>
          <w:color w:val="333333"/>
          <w:sz w:val="28"/>
          <w:szCs w:val="28"/>
        </w:rPr>
        <w:t>, circoscritte dagli strumenti pianificatori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07698" w:rsidRPr="00A40540" w:rsidRDefault="00292EFB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Il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potere trova fondamento nel</w:t>
      </w:r>
      <w:r w:rsidR="000063E3" w:rsidRPr="00A40540">
        <w:rPr>
          <w:rFonts w:ascii="Times New Roman" w:hAnsi="Times New Roman" w:cs="Times New Roman"/>
          <w:color w:val="333333"/>
          <w:sz w:val="28"/>
          <w:szCs w:val="28"/>
        </w:rPr>
        <w:t>l’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art. 42, comma 2, </w:t>
      </w:r>
      <w:proofErr w:type="spellStart"/>
      <w:proofErr w:type="gramStart"/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>Cost</w:t>
      </w:r>
      <w:proofErr w:type="spellEnd"/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>.,</w:t>
      </w:r>
      <w:proofErr w:type="gramEnd"/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che demanda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alla legge il compito di determinare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“i modi di acquisto, di godimento e i limiti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[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>del diritto di proprietà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]</w:t>
      </w:r>
      <w:r w:rsidR="0061647C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>allo scopo di assicurarne la funzione sociale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 di renderla accessibile a tutti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>”.</w:t>
      </w:r>
    </w:p>
    <w:p w:rsidR="00CA2CE1" w:rsidRPr="00A40540" w:rsidRDefault="002B2C33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Il diritto 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 proprietà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è 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quindi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riconosciut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dalla Costituzione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come 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già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funzionalizzat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ll’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interess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general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207698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2"/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A63C7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92EFB" w:rsidRPr="00A40540">
        <w:rPr>
          <w:rFonts w:ascii="Times New Roman" w:hAnsi="Times New Roman" w:cs="Times New Roman"/>
          <w:color w:val="333333"/>
          <w:sz w:val="28"/>
          <w:szCs w:val="28"/>
        </w:rPr>
        <w:t>spettando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alla legge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ordinaria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il compito di </w:t>
      </w:r>
      <w:r w:rsidR="003A54DB" w:rsidRPr="00A40540">
        <w:rPr>
          <w:rFonts w:ascii="Times New Roman" w:hAnsi="Times New Roman" w:cs="Times New Roman"/>
          <w:color w:val="333333"/>
          <w:sz w:val="28"/>
          <w:szCs w:val="28"/>
        </w:rPr>
        <w:t>stabili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r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 </w:t>
      </w:r>
      <w:r w:rsidR="003A54DB" w:rsidRPr="00A40540">
        <w:rPr>
          <w:rFonts w:ascii="Times New Roman" w:hAnsi="Times New Roman" w:cs="Times New Roman"/>
          <w:color w:val="333333"/>
          <w:sz w:val="28"/>
          <w:szCs w:val="28"/>
        </w:rPr>
        <w:t>il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punto di equilibrio fra gli </w:t>
      </w:r>
      <w:hyperlink r:id="rId8" w:history="1">
        <w:r w:rsidR="00CA2CE1" w:rsidRPr="00A40540">
          <w:rPr>
            <w:rFonts w:ascii="Times New Roman" w:hAnsi="Times New Roman" w:cs="Times New Roman"/>
            <w:color w:val="333333"/>
            <w:sz w:val="28"/>
            <w:szCs w:val="28"/>
          </w:rPr>
          <w:t>interessi</w:t>
        </w:r>
      </w:hyperlink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dei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propriet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ari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ed i bisogni della collettività</w:t>
      </w:r>
      <w:r w:rsidR="0063117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in modo </w:t>
      </w:r>
      <w:r w:rsidR="005E3CB0" w:rsidRPr="00A40540">
        <w:rPr>
          <w:rFonts w:ascii="Times New Roman" w:hAnsi="Times New Roman" w:cs="Times New Roman"/>
          <w:color w:val="333333"/>
          <w:sz w:val="28"/>
          <w:szCs w:val="28"/>
        </w:rPr>
        <w:t>che la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9" w:history="1">
        <w:r w:rsidR="00CA2CE1" w:rsidRPr="00A40540">
          <w:rPr>
            <w:rFonts w:ascii="Times New Roman" w:hAnsi="Times New Roman" w:cs="Times New Roman"/>
            <w:color w:val="333333"/>
            <w:sz w:val="28"/>
            <w:szCs w:val="28"/>
          </w:rPr>
          <w:t>ricchezza</w:t>
        </w:r>
      </w:hyperlink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immobiliare e mobiliare, anche </w:t>
      </w:r>
      <w:r w:rsidR="005E3CB0" w:rsidRPr="00A40540">
        <w:rPr>
          <w:rFonts w:ascii="Times New Roman" w:hAnsi="Times New Roman" w:cs="Times New Roman"/>
          <w:color w:val="333333"/>
          <w:sz w:val="28"/>
          <w:szCs w:val="28"/>
        </w:rPr>
        <w:t>quando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si trova </w:t>
      </w:r>
      <w:proofErr w:type="gramStart"/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>in</w:t>
      </w:r>
      <w:proofErr w:type="gramEnd"/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man</w:t>
      </w:r>
      <w:r w:rsidR="00D17BA4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privat</w:t>
      </w:r>
      <w:r w:rsidR="00D17BA4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631175" w:rsidRPr="00A40540">
        <w:rPr>
          <w:rFonts w:ascii="Times New Roman" w:hAnsi="Times New Roman" w:cs="Times New Roman"/>
          <w:color w:val="333333"/>
          <w:sz w:val="28"/>
          <w:szCs w:val="28"/>
        </w:rPr>
        <w:t>, sia destinata a vantaggio di tutti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23439" w:rsidRPr="00A40540" w:rsidRDefault="00A63C79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Pertanto, 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tra </w:t>
      </w:r>
      <w:r w:rsidR="00292EFB" w:rsidRPr="00A40540">
        <w:rPr>
          <w:rFonts w:ascii="Times New Roman" w:hAnsi="Times New Roman" w:cs="Times New Roman"/>
          <w:color w:val="333333"/>
          <w:sz w:val="28"/>
          <w:szCs w:val="28"/>
        </w:rPr>
        <w:t>i fini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017D7E" w:rsidRPr="00A40540">
        <w:rPr>
          <w:rFonts w:ascii="Times New Roman" w:hAnsi="Times New Roman" w:cs="Times New Roman"/>
          <w:color w:val="333333"/>
          <w:sz w:val="28"/>
          <w:szCs w:val="28"/>
        </w:rPr>
        <w:t>la normativa urbanistica</w:t>
      </w:r>
      <w:r w:rsidR="00BB50D6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CA2CE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non può non rientrare </w:t>
      </w:r>
      <w:r w:rsidR="00292EFB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persegui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m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nto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 una 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>giustizia distributiva</w:t>
      </w:r>
      <w:r w:rsidR="00DC65B6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3"/>
      </w:r>
      <w:r w:rsidR="00D02BA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>da attuarsi</w:t>
      </w:r>
      <w:r w:rsidR="00631175" w:rsidRPr="00A40540">
        <w:rPr>
          <w:rFonts w:ascii="Times New Roman" w:hAnsi="Times New Roman" w:cs="Times New Roman"/>
          <w:color w:val="333333"/>
          <w:sz w:val="28"/>
          <w:szCs w:val="28"/>
        </w:rPr>
        <w:t>, per l’appunto,</w:t>
      </w:r>
      <w:r w:rsidR="00AE579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02BAC" w:rsidRPr="00A40540">
        <w:rPr>
          <w:rFonts w:ascii="Times New Roman" w:hAnsi="Times New Roman" w:cs="Times New Roman"/>
          <w:color w:val="333333"/>
          <w:sz w:val="28"/>
          <w:szCs w:val="28"/>
        </w:rPr>
        <w:t>ri</w:t>
      </w:r>
      <w:r w:rsidR="000063E3" w:rsidRPr="00A40540">
        <w:rPr>
          <w:rFonts w:ascii="Times New Roman" w:hAnsi="Times New Roman" w:cs="Times New Roman"/>
          <w:color w:val="333333"/>
          <w:sz w:val="28"/>
          <w:szCs w:val="28"/>
        </w:rPr>
        <w:t>equilibra</w:t>
      </w:r>
      <w:r w:rsidR="00D02BAC" w:rsidRPr="00A40540">
        <w:rPr>
          <w:rFonts w:ascii="Times New Roman" w:hAnsi="Times New Roman" w:cs="Times New Roman"/>
          <w:color w:val="333333"/>
          <w:sz w:val="28"/>
          <w:szCs w:val="28"/>
        </w:rPr>
        <w:t>nd</w:t>
      </w:r>
      <w:r w:rsidR="000063E3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0063E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>con misure perequative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la 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maggiore o minore 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rendita 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scature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>nte dall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’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zione di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classificazione d</w:t>
      </w:r>
      <w:r w:rsidR="0061647C" w:rsidRPr="00A40540">
        <w:rPr>
          <w:rFonts w:ascii="Times New Roman" w:hAnsi="Times New Roman" w:cs="Times New Roman"/>
          <w:color w:val="333333"/>
          <w:sz w:val="28"/>
          <w:szCs w:val="28"/>
        </w:rPr>
        <w:t>el territorio</w:t>
      </w:r>
      <w:r w:rsidR="00823439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C65B6" w:rsidRPr="00A40540" w:rsidRDefault="00D80180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P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otere conformativo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perequazione urbanistica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sono, dunque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un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cosa sola, posto che quest’ultima </w:t>
      </w:r>
      <w:r w:rsidR="00B94FC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si identifica come 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>un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degli 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>interess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>pubblic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che l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’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zione conformativa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deve tenere in considerazione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804BA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l’interesse </w:t>
      </w:r>
      <w:r w:rsidR="00B94FC8" w:rsidRPr="00A40540">
        <w:rPr>
          <w:rFonts w:ascii="Times New Roman" w:hAnsi="Times New Roman" w:cs="Times New Roman"/>
          <w:color w:val="333333"/>
          <w:sz w:val="28"/>
          <w:szCs w:val="28"/>
        </w:rPr>
        <w:t>all’equità sociale</w:t>
      </w:r>
      <w:r w:rsidR="00DC65B6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2049A" w:rsidRPr="00A40540" w:rsidRDefault="0032049A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lastRenderedPageBreak/>
        <w:t>Donde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la condivisibile affermazione secondo cui “</w:t>
      </w:r>
      <w:r w:rsidRPr="00A40540">
        <w:rPr>
          <w:rFonts w:ascii="Times New Roman" w:hAnsi="Times New Roman" w:cs="Times New Roman"/>
          <w:i/>
          <w:color w:val="333333"/>
          <w:sz w:val="28"/>
          <w:szCs w:val="28"/>
        </w:rPr>
        <w:t>con la pianificazione urbanistica perequativa non si pianifica per perequare, ma si pianifica perequando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4"/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70B4" w:rsidRPr="00A40540" w:rsidRDefault="00292EFB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Int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>eso ciò, è evidente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, per un verso,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om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 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la competenza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>, legislativ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ed amministrativ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a 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disciplinare le forme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 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perequazione 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segu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 livello di governo cui </w:t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spetta l’esercizio del potere conformativo nella fattispecie data e, quindi, essenzialmente, a Regioni e Comuni</w:t>
      </w:r>
      <w:r w:rsidR="009D1E3F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5"/>
      </w:r>
      <w:r w:rsidR="009D1E3F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66999" w:rsidRPr="00A40540" w:rsidRDefault="009D1E3F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 altro verso, come le dette misure 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>non contrast</w:t>
      </w:r>
      <w:r w:rsidR="003A54DB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no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con il principio di tipicità degli atti amministrativi di natura urbanistico-edilizia</w:t>
      </w:r>
      <w:r w:rsidR="00E21B6B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6"/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292EFB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proprio 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perché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la perequazione 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>si pone sul piano degli effetti dell’atto e degli interessi che l’atto deve salvaguardare, senza incidere sulla sua struttura</w:t>
      </w:r>
      <w:r w:rsidR="0060137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legale</w:t>
      </w:r>
      <w:r w:rsidR="00566999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80180" w:rsidRPr="00A40540" w:rsidRDefault="00292EFB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Q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uest</w:t>
      </w:r>
      <w:r w:rsidR="0060137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effetti e questi 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interess</w:t>
      </w:r>
      <w:r w:rsidR="00601370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, a loro volta,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ven</w:t>
      </w:r>
      <w:r w:rsidR="00601370" w:rsidRPr="00A40540">
        <w:rPr>
          <w:rFonts w:ascii="Times New Roman" w:hAnsi="Times New Roman" w:cs="Times New Roman"/>
          <w:color w:val="333333"/>
          <w:sz w:val="28"/>
          <w:szCs w:val="28"/>
        </w:rPr>
        <w:t>gono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perseguit</w:t>
      </w:r>
      <w:r w:rsidR="00601370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mediante i due moduli tipici </w:t>
      </w:r>
      <w:r w:rsidR="000849CF" w:rsidRPr="00A40540">
        <w:rPr>
          <w:rFonts w:ascii="Times New Roman" w:hAnsi="Times New Roman" w:cs="Times New Roman"/>
          <w:color w:val="333333"/>
          <w:sz w:val="28"/>
          <w:szCs w:val="28"/>
        </w:rPr>
        <w:t>stabili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ti dall’ordinamento: il 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provvediment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mministrativo </w:t>
      </w:r>
      <w:r w:rsidR="00601370"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l’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accord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tra amministrazione e privat</w:t>
      </w:r>
      <w:r w:rsidR="003636BE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63C79" w:rsidRPr="00A40540" w:rsidRDefault="00A63C79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Certamente, la massima capacità espansiva della perequazione si </w:t>
      </w:r>
      <w:r w:rsidR="003636BE" w:rsidRPr="00A40540">
        <w:rPr>
          <w:rFonts w:ascii="Times New Roman" w:hAnsi="Times New Roman" w:cs="Times New Roman"/>
          <w:color w:val="333333"/>
          <w:sz w:val="28"/>
          <w:szCs w:val="28"/>
        </w:rPr>
        <w:t>manifest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 quando, a valle della pianificazione generale, </w:t>
      </w:r>
      <w:r w:rsidR="00A125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si consente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alla parte privata di negoziare il 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>successivo livello attuativo, da definirsi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>attraverso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accordi 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procedimentali o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sostitutivi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del provvedimento finale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80180" w:rsidRPr="00A40540" w:rsidRDefault="00D80180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 tale ragione, </w:t>
      </w:r>
      <w:r w:rsidR="00A63C79" w:rsidRPr="00A40540">
        <w:rPr>
          <w:rFonts w:ascii="Times New Roman" w:hAnsi="Times New Roman" w:cs="Times New Roman"/>
          <w:color w:val="333333"/>
          <w:sz w:val="28"/>
          <w:szCs w:val="28"/>
        </w:rPr>
        <w:t>la perequazione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è 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stata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ta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>lor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a inquadrata nell’alveo della sussidiarietà orizzontale, “</w:t>
      </w:r>
      <w:r w:rsidRPr="00A40540">
        <w:rPr>
          <w:rFonts w:ascii="Times New Roman" w:hAnsi="Times New Roman" w:cs="Times New Roman"/>
          <w:i/>
          <w:color w:val="333333"/>
          <w:sz w:val="28"/>
          <w:szCs w:val="28"/>
        </w:rPr>
        <w:t>che comporta l’attribuzione ai privati di una sorta di ruolo di supplenza (la c</w:t>
      </w:r>
      <w:r w:rsidR="00AE579C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A40540">
        <w:rPr>
          <w:rFonts w:ascii="Times New Roman" w:hAnsi="Times New Roman" w:cs="Times New Roman"/>
          <w:i/>
          <w:color w:val="333333"/>
          <w:sz w:val="28"/>
          <w:szCs w:val="28"/>
        </w:rPr>
        <w:t>d. auto-amministrazione), essendo richiesto loro, nel quadro di un rapporto collaborativo con il Comune, di assumere il ruolo di veri protagonisti del teatro urbanistico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7"/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30DB8" w:rsidRPr="00A40540" w:rsidRDefault="00881A36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In quest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’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ttica, si segnala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il caso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>de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 P.R.G.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 Roma 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>che</w:t>
      </w:r>
      <w:r w:rsidR="00A63C79" w:rsidRPr="00A40540">
        <w:rPr>
          <w:rFonts w:ascii="Times New Roman" w:hAnsi="Times New Roman" w:cs="Times New Roman"/>
          <w:color w:val="333333"/>
          <w:sz w:val="28"/>
          <w:szCs w:val="28"/>
        </w:rPr>
        <w:t>, con disposizioni ritenute legittime dal giudice amministrativo,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ha 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>prev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isto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a possibilità di assegnare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maggi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>ori quote di edificabilità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proprietari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che stipul</w:t>
      </w:r>
      <w:r w:rsidR="00D80180" w:rsidRPr="00A40540">
        <w:rPr>
          <w:rFonts w:ascii="Times New Roman" w:hAnsi="Times New Roman" w:cs="Times New Roman"/>
          <w:color w:val="333333"/>
          <w:sz w:val="28"/>
          <w:szCs w:val="28"/>
        </w:rPr>
        <w:t>in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o 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accordi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finalizzati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al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la cessione di opere pubbliche 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>d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314EC5" w:rsidRPr="00A40540">
        <w:rPr>
          <w:rFonts w:ascii="Times New Roman" w:hAnsi="Times New Roman" w:cs="Times New Roman"/>
          <w:color w:val="333333"/>
          <w:sz w:val="28"/>
          <w:szCs w:val="28"/>
        </w:rPr>
        <w:t>l versamento d</w:t>
      </w:r>
      <w:r w:rsidR="00A30DB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un contributo straordinario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in denaro</w:t>
      </w:r>
      <w:r w:rsidR="00A07D98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8"/>
      </w:r>
      <w:r w:rsidR="00A07D98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A21EC" w:rsidRPr="00A40540" w:rsidRDefault="00D80180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Ancor p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iù di recente,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un provvedimento legislativo </w:t>
      </w:r>
      <w:r w:rsidRPr="00A40540">
        <w:rPr>
          <w:rFonts w:ascii="Times New Roman" w:hAnsi="Times New Roman" w:cs="Times New Roman"/>
          <w:i/>
          <w:color w:val="333333"/>
          <w:sz w:val="28"/>
          <w:szCs w:val="28"/>
        </w:rPr>
        <w:t>ad hoc</w:t>
      </w:r>
      <w:r w:rsidR="00DD3FB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ha autorizza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to </w:t>
      </w:r>
      <w:r w:rsidR="00DD3FB3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Comune di Roma </w:t>
      </w:r>
      <w:r w:rsidR="00DD3FB3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prevedere forme di contribuzione straordinaria, volte 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perequare vantaggi </w:t>
      </w:r>
      <w:r w:rsidR="00DD3FB3" w:rsidRPr="00A40540">
        <w:rPr>
          <w:rFonts w:ascii="Times New Roman" w:hAnsi="Times New Roman" w:cs="Times New Roman"/>
          <w:color w:val="333333"/>
          <w:sz w:val="28"/>
          <w:szCs w:val="28"/>
        </w:rPr>
        <w:t>urbanistici</w:t>
      </w:r>
      <w:r w:rsidR="003A21EC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9"/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A21EC" w:rsidRPr="00A40540" w:rsidRDefault="003B3511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Ciò nondimeno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l’esplicito riferimento </w:t>
      </w:r>
      <w:r w:rsidR="00DD3FB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della norma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ad un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solo Comune e la clausola di salvezza degli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accord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già 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conclus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ivi contenuta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sembra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>no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esprimere la necessità che, in forza del principio di legalità di cui all’art. 23 </w:t>
      </w:r>
      <w:proofErr w:type="spellStart"/>
      <w:proofErr w:type="gramStart"/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>Cost</w:t>
      </w:r>
      <w:proofErr w:type="spellEnd"/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>.,</w:t>
      </w:r>
      <w:proofErr w:type="gramEnd"/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simili prestazioni debbano trovare una necessaria copertura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legislativa</w:t>
      </w:r>
      <w:r w:rsidR="003A21EC" w:rsidRPr="00A40540">
        <w:rPr>
          <w:rFonts w:ascii="Times New Roman" w:hAnsi="Times New Roman" w:cs="Times New Roman"/>
          <w:color w:val="333333"/>
          <w:sz w:val="28"/>
          <w:szCs w:val="28"/>
        </w:rPr>
        <w:t>, a rischio di nullità degli stessi patti pubblico-privati che dovessero eventualmente contemplarle.</w:t>
      </w:r>
    </w:p>
    <w:p w:rsidR="008C7BE6" w:rsidRPr="00A40540" w:rsidRDefault="001E29AB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 misura perequativa maggiormente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utilizza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ta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nel nostro ordinamento 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>consiste nell’obblig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o,</w:t>
      </w:r>
      <w:r w:rsidR="00DD42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849CF" w:rsidRPr="00A40540">
        <w:rPr>
          <w:rFonts w:ascii="Times New Roman" w:hAnsi="Times New Roman" w:cs="Times New Roman"/>
          <w:color w:val="333333"/>
          <w:sz w:val="28"/>
          <w:szCs w:val="28"/>
        </w:rPr>
        <w:t>posto in capo al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849CF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privato 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>costruttore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di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realizzare e successivamente cedere gratuitamente talune opere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che può </w:t>
      </w:r>
      <w:r w:rsidR="00BB50D6" w:rsidRPr="00A40540">
        <w:rPr>
          <w:rFonts w:ascii="Times New Roman" w:hAnsi="Times New Roman" w:cs="Times New Roman"/>
          <w:color w:val="333333"/>
          <w:sz w:val="28"/>
          <w:szCs w:val="28"/>
        </w:rPr>
        <w:t>discendere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>dalla legge o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>d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81A3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essere previsto 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>da accordi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83531" w:rsidRPr="00A40540" w:rsidRDefault="00207698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>’</w:t>
      </w:r>
      <w:bookmarkStart w:id="1" w:name="8"/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"http://www.legislazionetecnica.it/lt_link/normativa/TDExNTAxOTQyI0EyOA==" </w:instrTex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>art. 28, comma 5, della legge urbanistica n. 1150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fldChar w:fldCharType="end"/>
      </w:r>
      <w:bookmarkEnd w:id="1"/>
      <w:r w:rsidR="007916B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/1942 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>subordina l’a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pprov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azione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de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>lla lottizzazione alla stipula di una convenzione che preveda, tra l’altro, “</w:t>
      </w:r>
      <w:r w:rsidR="00B83531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l’assunzione, a carico del proprietario, degli oneri relativi alle opere di urbanizzazione primaria e di una quota parte delle opere di urbanizzazione secondaria relative alla lottizzazione o di quelle opere che siano necessarie per allacciare la zona ai pubblici servizi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>”.</w:t>
      </w:r>
    </w:p>
    <w:p w:rsidR="00B74684" w:rsidRPr="00A40540" w:rsidRDefault="00B74684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Trattasi, all’evidenza, di una misura che mira a perequare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le utilità economiche derivanti dalla lottizzazione</w:t>
      </w:r>
      <w:r w:rsidR="00BB50D6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A1257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con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una prestazione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imposta</w:t>
      </w:r>
      <w:r w:rsidR="000849CF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 carico del beneficiario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74684" w:rsidRPr="00A40540" w:rsidRDefault="00E87BB4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Ma i</w:t>
      </w:r>
      <w:r w:rsidR="00B7468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meccanismo</w:t>
      </w:r>
      <w:r w:rsidR="00B7468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della realizzazione e cessione delle opere di urbanizzazione può essere utilizzato anche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 </w:t>
      </w:r>
      <w:r w:rsidR="00B74684" w:rsidRPr="00A40540">
        <w:rPr>
          <w:rFonts w:ascii="Times New Roman" w:hAnsi="Times New Roman" w:cs="Times New Roman"/>
          <w:color w:val="333333"/>
          <w:sz w:val="28"/>
          <w:szCs w:val="28"/>
        </w:rPr>
        <w:t>perequa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>r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B7468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uno svantaggio </w:t>
      </w:r>
      <w:r w:rsidR="0071152F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in 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danno </w:t>
      </w:r>
      <w:r w:rsidR="00B7468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del </w:t>
      </w:r>
      <w:r w:rsidR="00BB50D6" w:rsidRPr="00A40540">
        <w:rPr>
          <w:rFonts w:ascii="Times New Roman" w:hAnsi="Times New Roman" w:cs="Times New Roman"/>
          <w:color w:val="333333"/>
          <w:sz w:val="28"/>
          <w:szCs w:val="28"/>
        </w:rPr>
        <w:t>costruttore</w:t>
      </w:r>
      <w:r w:rsidR="00B74684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C7BE6" w:rsidRPr="00A40540" w:rsidRDefault="00D12487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L’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art. 16, comma 2, </w:t>
      </w:r>
      <w:r w:rsidR="007916B3" w:rsidRPr="00A40540">
        <w:rPr>
          <w:rFonts w:ascii="Times New Roman" w:hAnsi="Times New Roman" w:cs="Times New Roman"/>
          <w:color w:val="333333"/>
          <w:sz w:val="28"/>
          <w:szCs w:val="28"/>
        </w:rPr>
        <w:t>del T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7916B3" w:rsidRPr="00A40540">
        <w:rPr>
          <w:rFonts w:ascii="Times New Roman" w:hAnsi="Times New Roman" w:cs="Times New Roman"/>
          <w:color w:val="333333"/>
          <w:sz w:val="28"/>
          <w:szCs w:val="28"/>
        </w:rPr>
        <w:t>U. n.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380/2001, in tema di contributo di costruzione, dispone in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fatti</w:t>
      </w:r>
      <w:r w:rsidR="00B8353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che “</w:t>
      </w:r>
      <w:r w:rsidR="00B83531" w:rsidRPr="00A40540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a scomputo totale o </w:t>
      </w:r>
      <w:r w:rsidR="008C7BE6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parziale della quota dovuta, il titolare del permesso può obbligarsi a realizzare direttame</w:t>
      </w:r>
      <w:r w:rsidR="00B83531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nte le opere di urbanizzazione…</w:t>
      </w:r>
      <w:r w:rsidR="008C7BE6" w:rsidRPr="00A40540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con le modalità e le garanzie stabilite dal </w:t>
      </w:r>
      <w:r w:rsidR="00B83531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C</w:t>
      </w:r>
      <w:r w:rsidR="008C7BE6" w:rsidRPr="00A40540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omune, con conseguente acquisizione delle opere realizzate al patrimonio indisponibile del </w:t>
      </w:r>
      <w:r w:rsidR="00B83531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C</w:t>
      </w:r>
      <w:r w:rsidR="008C7BE6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omune</w:t>
      </w:r>
      <w:r w:rsidR="008C7BE6" w:rsidRPr="00A40540">
        <w:rPr>
          <w:rFonts w:ascii="Times New Roman" w:hAnsi="Times New Roman" w:cs="Times New Roman"/>
          <w:color w:val="333333"/>
          <w:sz w:val="28"/>
          <w:szCs w:val="28"/>
        </w:rPr>
        <w:t>”.</w:t>
      </w:r>
    </w:p>
    <w:p w:rsidR="008C7BE6" w:rsidRPr="00A40540" w:rsidRDefault="00D12487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Ciò significa che il </w:t>
      </w:r>
      <w:r w:rsidR="00BB50D6" w:rsidRPr="00A40540">
        <w:rPr>
          <w:rFonts w:ascii="Times New Roman" w:hAnsi="Times New Roman" w:cs="Times New Roman"/>
          <w:color w:val="333333"/>
          <w:sz w:val="28"/>
          <w:szCs w:val="28"/>
        </w:rPr>
        <w:t>privato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può 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essere ammesso ad 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>estinguere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>con una prestazione in natura, un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>debi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to pecuniario </w:t>
      </w:r>
      <w:r w:rsidR="0020769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ritenuto particolarmente oneroso,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beneficiando dei risparmi 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>derivanti, ad esempio,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dal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non dover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>ricorre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re 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l credito</w:t>
      </w:r>
      <w:r w:rsidR="00E41C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bancario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33431" w:rsidRPr="00A40540" w:rsidRDefault="00A33431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Finalità perequative sono insite nell’istituto del comparto edilizio, di cui all’art. 870 c.c. ed all’art. 23 della legge n. 1150/1942.</w:t>
      </w:r>
    </w:p>
    <w:p w:rsidR="00A33431" w:rsidRPr="00A40540" w:rsidRDefault="003B3511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="00A3343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nfatti, quando è prevista la formazione di un comparto, i proprietari degli immobili in esso compresi sono tenuti a regolare i loro reciproci rapporti, in modo da rendere possibile l’attuazione del piano, riunendosi in un consorzio </w:t>
      </w:r>
      <w:r w:rsidR="00C33E47"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A33431" w:rsidRPr="00A40540">
        <w:rPr>
          <w:rFonts w:ascii="Times New Roman" w:hAnsi="Times New Roman" w:cs="Times New Roman"/>
          <w:color w:val="333333"/>
          <w:sz w:val="28"/>
          <w:szCs w:val="28"/>
        </w:rPr>
        <w:t>d accordandosi sull’ubicazione delle volumetrie da realizzare.</w:t>
      </w:r>
    </w:p>
    <w:p w:rsidR="00A33431" w:rsidRPr="00A40540" w:rsidRDefault="00A33431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Talché, pur rimanendo i beni in proprietà dei singoli consorziati, si determinano su di essi vincoli in favore di tutti, in funzione dell’edificazione e della trasformazione dell’intera zona</w:t>
      </w:r>
      <w:r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10"/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33431" w:rsidRPr="00A40540" w:rsidRDefault="008974D4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Funzioni </w:t>
      </w:r>
      <w:r w:rsidR="00E57A6F" w:rsidRPr="00A40540">
        <w:rPr>
          <w:rFonts w:ascii="Times New Roman" w:hAnsi="Times New Roman" w:cs="Times New Roman"/>
          <w:color w:val="333333"/>
          <w:sz w:val="28"/>
          <w:szCs w:val="28"/>
        </w:rPr>
        <w:t>perequa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>tiv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e</w:t>
      </w:r>
      <w:r w:rsidR="00E57A6F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possono avere talune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misure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edilizie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>incentivanti</w:t>
      </w:r>
      <w:r w:rsidR="00C070B4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11"/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come 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le </w:t>
      </w:r>
      <w:proofErr w:type="spellStart"/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premialità</w:t>
      </w:r>
      <w:proofErr w:type="spellEnd"/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o</w:t>
      </w:r>
      <w:r w:rsidR="003B351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le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altre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agevolazioni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se disposte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>in favore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dei 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proprietari di immobili degradati o da riqualificare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e, quindi, di soggetti svantaggiati sotto il profilo della rendita fondiaria</w:t>
      </w:r>
      <w:r w:rsidR="003B3511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12"/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; e ciò a differenza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di quando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la misura incentivante riguardi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, viceversa,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soggetti non svantaggiati, ma ritenuti meritevoli 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di un </w:t>
      </w:r>
      <w:r w:rsidR="00C33E47" w:rsidRPr="00A40540">
        <w:rPr>
          <w:rFonts w:ascii="Times New Roman" w:hAnsi="Times New Roman" w:cs="Times New Roman"/>
          <w:color w:val="333333"/>
          <w:sz w:val="28"/>
          <w:szCs w:val="28"/>
        </w:rPr>
        <w:t>beneficio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C070B4" w:rsidRPr="00A40540">
        <w:rPr>
          <w:rFonts w:ascii="Times New Roman" w:hAnsi="Times New Roman" w:cs="Times New Roman"/>
          <w:color w:val="333333"/>
          <w:sz w:val="28"/>
          <w:szCs w:val="28"/>
        </w:rPr>
        <w:t>per avere effettuato interventi di pubblico interesse</w:t>
      </w:r>
      <w:r w:rsidR="00E0149A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30535" w:rsidRPr="00A40540" w:rsidRDefault="00E87BB4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Effetti 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>perequa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tivi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si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possono verificare </w:t>
      </w:r>
      <w:r w:rsidR="008974D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attraverso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la </w:t>
      </w:r>
      <w:r w:rsidR="00C33E4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pratica della 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>“compensazione edificatoria”</w:t>
      </w:r>
      <w:r w:rsidR="00924858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13"/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abbondantemente utilizzata </w:t>
      </w:r>
      <w:r w:rsidR="006B306F" w:rsidRPr="00A40540">
        <w:rPr>
          <w:rFonts w:ascii="Times New Roman" w:hAnsi="Times New Roman" w:cs="Times New Roman"/>
          <w:color w:val="333333"/>
          <w:sz w:val="28"/>
          <w:szCs w:val="28"/>
        </w:rPr>
        <w:t>a fine ‘800/inizi ‘900 per la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riqualificazione 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>ed il risanamento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centri storici 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>citt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>adini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>che postula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 </w:t>
      </w:r>
      <w:r w:rsidR="00025A5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ristoro del 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proprietario </w:t>
      </w:r>
      <w:proofErr w:type="spellStart"/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>ablato</w:t>
      </w:r>
      <w:proofErr w:type="spellEnd"/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da un esproprio</w:t>
      </w:r>
      <w:r w:rsidR="00061A8B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con la concessione di un credito volumetrico, al posto od in aggiunta all’indennizzo pecuniario.</w:t>
      </w:r>
    </w:p>
    <w:p w:rsidR="00397747" w:rsidRPr="00A40540" w:rsidRDefault="00530535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Si tratta di uno strumento </w:t>
      </w:r>
      <w:r w:rsidR="004D728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apertamente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inteso a realizzare economie nella spesa d</w:t>
      </w:r>
      <w:r w:rsidR="00924858" w:rsidRPr="00A40540">
        <w:rPr>
          <w:rFonts w:ascii="Times New Roman" w:hAnsi="Times New Roman" w:cs="Times New Roman"/>
          <w:color w:val="333333"/>
          <w:sz w:val="28"/>
          <w:szCs w:val="28"/>
        </w:rPr>
        <w:t>ell’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esproprio</w:t>
      </w:r>
      <w:r w:rsidR="00A63C7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ma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che </w:t>
      </w:r>
      <w:r w:rsidR="00A63C79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ben </w:t>
      </w:r>
      <w:r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>si presta a</w:t>
      </w:r>
      <w:r w:rsidR="00E87BB4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>d evita</w:t>
      </w:r>
      <w:r w:rsidR="00DD427C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>re</w:t>
      </w:r>
      <w:r w:rsidR="00E87BB4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che il</w:t>
      </w:r>
      <w:r w:rsidR="00397747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privato</w:t>
      </w:r>
      <w:r w:rsidR="00E87BB4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subisca un</w:t>
      </w:r>
      <w:r w:rsidR="00397747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sacrifici</w:t>
      </w:r>
      <w:r w:rsidR="00E87BB4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>o</w:t>
      </w:r>
      <w:r w:rsidR="00397747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solo apparentemente ristorabil</w:t>
      </w:r>
      <w:r w:rsidR="00E87BB4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>e</w:t>
      </w:r>
      <w:r w:rsidR="00397747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con l’attribuzione di una somma di denaro</w:t>
      </w:r>
      <w:r w:rsidR="00D06E83" w:rsidRPr="00A40540">
        <w:rPr>
          <w:rStyle w:val="Rimandonotaapidipagina"/>
          <w:rFonts w:ascii="Times New Roman" w:hAnsi="Times New Roman" w:cs="Times New Roman"/>
          <w:iCs/>
          <w:color w:val="333333"/>
          <w:sz w:val="28"/>
          <w:szCs w:val="28"/>
        </w:rPr>
        <w:footnoteReference w:id="14"/>
      </w:r>
      <w:r w:rsidR="00397747" w:rsidRPr="00A40540">
        <w:rPr>
          <w:rFonts w:ascii="Times New Roman" w:hAnsi="Times New Roman" w:cs="Times New Roman"/>
          <w:iCs/>
          <w:color w:val="333333"/>
          <w:sz w:val="28"/>
          <w:szCs w:val="28"/>
        </w:rPr>
        <w:t>.</w:t>
      </w:r>
    </w:p>
    <w:p w:rsidR="00E85C3A" w:rsidRPr="00A40540" w:rsidRDefault="00924858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Da allora,</w:t>
      </w:r>
      <w:r w:rsidR="00473B0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</w:t>
      </w:r>
      <w:r w:rsidR="00AB081D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 meccanismo 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del trasferimento dei diritti edificatori</w:t>
      </w:r>
      <w:r w:rsidR="00EB528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si è progressivamente sganciato dalla materia espropriativa,</w:t>
      </w:r>
      <w:r w:rsidR="00AB081D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divenendo oggetto di negoziazione</w:t>
      </w:r>
      <w:r w:rsidR="00061A8B" w:rsidRPr="00A40540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sia tra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93625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utorità 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pubblica e parte privata (si pensi all’</w:t>
      </w:r>
      <w:r w:rsidR="00AB081D" w:rsidRPr="00A40540">
        <w:rPr>
          <w:rFonts w:ascii="Times New Roman" w:hAnsi="Times New Roman" w:cs="Times New Roman"/>
          <w:color w:val="333333"/>
          <w:sz w:val="28"/>
          <w:szCs w:val="28"/>
        </w:rPr>
        <w:t>accord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2106B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di programma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AB081D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</w:t>
      </w:r>
      <w:r w:rsidR="002B2C3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cui </w:t>
      </w:r>
      <w:r w:rsidR="00AB081D" w:rsidRPr="00A40540">
        <w:rPr>
          <w:rFonts w:ascii="Times New Roman" w:hAnsi="Times New Roman" w:cs="Times New Roman"/>
          <w:color w:val="333333"/>
          <w:sz w:val="28"/>
          <w:szCs w:val="28"/>
        </w:rPr>
        <w:t>all’art. 34 del D.lgs. n. 267/2000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2B2C3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che</w:t>
      </w:r>
      <w:r w:rsidR="002B2C3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p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uò</w:t>
      </w:r>
      <w:r w:rsidR="002B2C3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intervenire in </w:t>
      </w:r>
      <w:r w:rsidR="002B2C33" w:rsidRPr="00A40540">
        <w:rPr>
          <w:rFonts w:ascii="Times New Roman" w:hAnsi="Times New Roman" w:cs="Times New Roman"/>
          <w:color w:val="333333"/>
          <w:sz w:val="28"/>
          <w:szCs w:val="28"/>
        </w:rPr>
        <w:t>variazione dello strumento urbanistico</w:t>
      </w:r>
      <w:r w:rsidR="00E85C3A" w:rsidRPr="00A40540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061A8B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sia tra privati,</w:t>
      </w:r>
      <w:r w:rsidR="00EB528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con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la stipula d</w:t>
      </w:r>
      <w:r w:rsidR="00530535" w:rsidRPr="00A40540">
        <w:rPr>
          <w:rFonts w:ascii="Times New Roman" w:hAnsi="Times New Roman" w:cs="Times New Roman"/>
          <w:sz w:val="28"/>
          <w:szCs w:val="28"/>
        </w:rPr>
        <w:t xml:space="preserve">i contratti di circolazione dei diritti edificatori, </w:t>
      </w:r>
      <w:r w:rsidR="006A1BD5" w:rsidRPr="00A40540">
        <w:rPr>
          <w:rFonts w:ascii="Times New Roman" w:hAnsi="Times New Roman" w:cs="Times New Roman"/>
          <w:sz w:val="28"/>
          <w:szCs w:val="28"/>
        </w:rPr>
        <w:t xml:space="preserve">i quali, </w:t>
      </w:r>
      <w:r w:rsidR="00530535" w:rsidRPr="00A40540">
        <w:rPr>
          <w:rFonts w:ascii="Times New Roman" w:hAnsi="Times New Roman" w:cs="Times New Roman"/>
          <w:sz w:val="28"/>
          <w:szCs w:val="28"/>
        </w:rPr>
        <w:t xml:space="preserve">resi trascrivibili dall’art. 2643, n. 2 </w:t>
      </w:r>
      <w:r w:rsidR="00530535" w:rsidRPr="00A40540">
        <w:rPr>
          <w:rFonts w:ascii="Times New Roman" w:hAnsi="Times New Roman" w:cs="Times New Roman"/>
          <w:i/>
          <w:sz w:val="28"/>
          <w:szCs w:val="28"/>
        </w:rPr>
        <w:t>bis</w:t>
      </w:r>
      <w:r w:rsidR="00530535" w:rsidRPr="00A40540">
        <w:rPr>
          <w:rFonts w:ascii="Times New Roman" w:hAnsi="Times New Roman" w:cs="Times New Roman"/>
          <w:sz w:val="28"/>
          <w:szCs w:val="28"/>
        </w:rPr>
        <w:t xml:space="preserve">), c.c., </w:t>
      </w:r>
      <w:r w:rsidR="0093625E" w:rsidRPr="00A40540">
        <w:rPr>
          <w:rFonts w:ascii="Times New Roman" w:hAnsi="Times New Roman" w:cs="Times New Roman"/>
          <w:sz w:val="28"/>
          <w:szCs w:val="28"/>
        </w:rPr>
        <w:t>produco</w:t>
      </w:r>
      <w:r w:rsidR="00530535" w:rsidRPr="00A40540">
        <w:rPr>
          <w:rFonts w:ascii="Times New Roman" w:hAnsi="Times New Roman" w:cs="Times New Roman"/>
          <w:sz w:val="28"/>
          <w:szCs w:val="28"/>
        </w:rPr>
        <w:t xml:space="preserve">no </w:t>
      </w:r>
      <w:r w:rsidR="0093625E" w:rsidRPr="00A40540">
        <w:rPr>
          <w:rFonts w:ascii="Times New Roman" w:hAnsi="Times New Roman" w:cs="Times New Roman"/>
          <w:sz w:val="28"/>
          <w:szCs w:val="28"/>
        </w:rPr>
        <w:t>l’effetto</w:t>
      </w:r>
      <w:r w:rsidR="0053053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3625E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(reale) </w:t>
      </w:r>
      <w:r w:rsidR="00EB528E" w:rsidRPr="00A40540">
        <w:rPr>
          <w:rFonts w:ascii="Times New Roman" w:hAnsi="Times New Roman" w:cs="Times New Roman"/>
          <w:color w:val="333333"/>
          <w:sz w:val="28"/>
          <w:szCs w:val="28"/>
        </w:rPr>
        <w:t>d</w:t>
      </w:r>
      <w:r w:rsidR="002106B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i </w:t>
      </w:r>
      <w:r w:rsidR="00530535" w:rsidRPr="00A40540">
        <w:rPr>
          <w:rFonts w:ascii="Times New Roman" w:hAnsi="Times New Roman" w:cs="Times New Roman"/>
          <w:sz w:val="28"/>
          <w:szCs w:val="28"/>
        </w:rPr>
        <w:t>trasla</w:t>
      </w:r>
      <w:r w:rsidR="002106B5" w:rsidRPr="00A40540">
        <w:rPr>
          <w:rFonts w:ascii="Times New Roman" w:hAnsi="Times New Roman" w:cs="Times New Roman"/>
          <w:sz w:val="28"/>
          <w:szCs w:val="28"/>
        </w:rPr>
        <w:t>re la capacità edificatoria d</w:t>
      </w:r>
      <w:r w:rsidR="00530535" w:rsidRPr="00A40540">
        <w:rPr>
          <w:rFonts w:ascii="Times New Roman" w:hAnsi="Times New Roman" w:cs="Times New Roman"/>
          <w:sz w:val="28"/>
          <w:szCs w:val="28"/>
        </w:rPr>
        <w:t>a</w:t>
      </w:r>
      <w:r w:rsidR="002106B5" w:rsidRPr="00A40540">
        <w:rPr>
          <w:rFonts w:ascii="Times New Roman" w:hAnsi="Times New Roman" w:cs="Times New Roman"/>
          <w:sz w:val="28"/>
          <w:szCs w:val="28"/>
        </w:rPr>
        <w:t xml:space="preserve"> un lotto</w:t>
      </w:r>
      <w:r w:rsidR="00530535" w:rsidRPr="00A40540">
        <w:rPr>
          <w:rFonts w:ascii="Times New Roman" w:hAnsi="Times New Roman" w:cs="Times New Roman"/>
          <w:sz w:val="28"/>
          <w:szCs w:val="28"/>
        </w:rPr>
        <w:t xml:space="preserve"> all’altro</w:t>
      </w:r>
      <w:r w:rsidR="00E85C3A" w:rsidRPr="00A40540">
        <w:rPr>
          <w:rStyle w:val="Rimandonotaapidipagina"/>
          <w:rFonts w:ascii="Times New Roman" w:hAnsi="Times New Roman" w:cs="Times New Roman"/>
          <w:sz w:val="28"/>
          <w:szCs w:val="28"/>
        </w:rPr>
        <w:footnoteReference w:id="15"/>
      </w:r>
      <w:r w:rsidR="00530535" w:rsidRPr="00A40540">
        <w:rPr>
          <w:rFonts w:ascii="Times New Roman" w:hAnsi="Times New Roman" w:cs="Times New Roman"/>
          <w:sz w:val="28"/>
          <w:szCs w:val="28"/>
        </w:rPr>
        <w:t>.</w:t>
      </w:r>
    </w:p>
    <w:p w:rsidR="006A1BD5" w:rsidRPr="00A40540" w:rsidRDefault="00EB528E" w:rsidP="00E17CC2">
      <w:pPr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Esistono, </w:t>
      </w:r>
      <w:r w:rsidR="00061A8B" w:rsidRPr="00A40540">
        <w:rPr>
          <w:rFonts w:ascii="Times New Roman" w:hAnsi="Times New Roman" w:cs="Times New Roman"/>
          <w:color w:val="333333"/>
          <w:sz w:val="28"/>
          <w:szCs w:val="28"/>
        </w:rPr>
        <w:t>comunque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, precisi limiti 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ai trasferimenti</w:t>
      </w:r>
      <w:r w:rsidR="002106B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edificatori</w:t>
      </w:r>
      <w:r w:rsidR="006A1BD5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D7C99" w:rsidRPr="00A40540" w:rsidRDefault="006A1BD5" w:rsidP="00E17CC2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Pr="00A40540">
        <w:rPr>
          <w:rFonts w:ascii="Times New Roman" w:hAnsi="Times New Roman" w:cs="Times New Roman"/>
          <w:sz w:val="28"/>
          <w:szCs w:val="28"/>
        </w:rPr>
        <w:t>a circolazione tra privati</w:t>
      </w:r>
      <w:r w:rsidR="00EB528E" w:rsidRPr="00A40540">
        <w:rPr>
          <w:rFonts w:ascii="Times New Roman" w:hAnsi="Times New Roman" w:cs="Times New Roman"/>
          <w:sz w:val="28"/>
          <w:szCs w:val="28"/>
        </w:rPr>
        <w:t xml:space="preserve"> è </w:t>
      </w:r>
      <w:r w:rsidRPr="00A40540">
        <w:rPr>
          <w:rFonts w:ascii="Times New Roman" w:hAnsi="Times New Roman" w:cs="Times New Roman"/>
          <w:sz w:val="28"/>
          <w:szCs w:val="28"/>
        </w:rPr>
        <w:t xml:space="preserve">infatti </w:t>
      </w:r>
      <w:r w:rsidR="00EB528E" w:rsidRPr="00A40540">
        <w:rPr>
          <w:rFonts w:ascii="Times New Roman" w:hAnsi="Times New Roman" w:cs="Times New Roman"/>
          <w:sz w:val="28"/>
          <w:szCs w:val="28"/>
        </w:rPr>
        <w:t xml:space="preserve">consentita solo </w:t>
      </w:r>
      <w:r w:rsidR="002106B5" w:rsidRPr="00A40540">
        <w:rPr>
          <w:rFonts w:ascii="Times New Roman" w:hAnsi="Times New Roman" w:cs="Times New Roman"/>
          <w:sz w:val="28"/>
          <w:szCs w:val="28"/>
        </w:rPr>
        <w:t>“</w:t>
      </w:r>
      <w:r w:rsidR="00EB528E" w:rsidRPr="00A40540">
        <w:rPr>
          <w:rFonts w:ascii="Times New Roman" w:hAnsi="Times New Roman" w:cs="Times New Roman"/>
          <w:i/>
          <w:sz w:val="28"/>
          <w:szCs w:val="28"/>
        </w:rPr>
        <w:t>con riferimento ad aree aventi una medesima destinazione urbanistica, posto che, diversamente, si verificherebbe un’evidente alterazione delle caratteristiche tipologiche della zona tutelate dalle norme urbanistiche</w:t>
      </w:r>
      <w:r w:rsidR="002106B5" w:rsidRPr="00A40540">
        <w:rPr>
          <w:rFonts w:ascii="Times New Roman" w:hAnsi="Times New Roman" w:cs="Times New Roman"/>
          <w:sz w:val="28"/>
          <w:szCs w:val="28"/>
        </w:rPr>
        <w:t>”</w:t>
      </w:r>
      <w:r w:rsidR="00EB528E" w:rsidRPr="00A40540">
        <w:rPr>
          <w:rStyle w:val="Rimandonotaapidipagina"/>
          <w:rFonts w:ascii="Times New Roman" w:hAnsi="Times New Roman" w:cs="Times New Roman"/>
          <w:sz w:val="28"/>
          <w:szCs w:val="28"/>
        </w:rPr>
        <w:footnoteReference w:id="16"/>
      </w:r>
      <w:r w:rsidR="00867795" w:rsidRPr="00A40540">
        <w:rPr>
          <w:rFonts w:ascii="Times New Roman" w:hAnsi="Times New Roman" w:cs="Times New Roman"/>
          <w:sz w:val="28"/>
          <w:szCs w:val="28"/>
        </w:rPr>
        <w:t>, o</w:t>
      </w:r>
      <w:r w:rsidR="00426A61" w:rsidRPr="00A40540">
        <w:rPr>
          <w:rFonts w:ascii="Times New Roman" w:hAnsi="Times New Roman" w:cs="Times New Roman"/>
          <w:sz w:val="28"/>
          <w:szCs w:val="28"/>
        </w:rPr>
        <w:t>l</w:t>
      </w:r>
      <w:r w:rsidR="00867795" w:rsidRPr="00A40540">
        <w:rPr>
          <w:rFonts w:ascii="Times New Roman" w:hAnsi="Times New Roman" w:cs="Times New Roman"/>
          <w:sz w:val="28"/>
          <w:szCs w:val="28"/>
        </w:rPr>
        <w:t>tre che nel</w:t>
      </w:r>
      <w:r w:rsidR="00426A61" w:rsidRPr="00A40540">
        <w:rPr>
          <w:rFonts w:ascii="Times New Roman" w:hAnsi="Times New Roman" w:cs="Times New Roman"/>
          <w:sz w:val="28"/>
          <w:szCs w:val="28"/>
        </w:rPr>
        <w:t xml:space="preserve"> </w:t>
      </w:r>
      <w:r w:rsidR="002106B5" w:rsidRPr="00A40540">
        <w:rPr>
          <w:rFonts w:ascii="Times New Roman" w:hAnsi="Times New Roman" w:cs="Times New Roman"/>
          <w:sz w:val="28"/>
          <w:szCs w:val="28"/>
        </w:rPr>
        <w:t>rispetto dell’indice territoriale dell’intera zona</w:t>
      </w:r>
      <w:r w:rsidR="00983CB6" w:rsidRPr="00A40540">
        <w:rPr>
          <w:rFonts w:ascii="Times New Roman" w:hAnsi="Times New Roman" w:cs="Times New Roman"/>
          <w:sz w:val="28"/>
          <w:szCs w:val="28"/>
        </w:rPr>
        <w:t xml:space="preserve"> </w:t>
      </w:r>
      <w:r w:rsidR="002106B5" w:rsidRPr="00A40540">
        <w:rPr>
          <w:rFonts w:ascii="Times New Roman" w:hAnsi="Times New Roman" w:cs="Times New Roman"/>
          <w:sz w:val="28"/>
          <w:szCs w:val="28"/>
        </w:rPr>
        <w:t>e del complessivo carico urbanistico</w:t>
      </w:r>
      <w:r w:rsidR="00621977" w:rsidRPr="00A40540">
        <w:rPr>
          <w:rStyle w:val="Rimandonotaapidipagina"/>
          <w:rFonts w:ascii="Times New Roman" w:hAnsi="Times New Roman" w:cs="Times New Roman"/>
          <w:sz w:val="28"/>
          <w:szCs w:val="28"/>
        </w:rPr>
        <w:footnoteReference w:id="17"/>
      </w:r>
      <w:r w:rsidR="002106B5" w:rsidRPr="00A40540">
        <w:rPr>
          <w:rFonts w:ascii="Times New Roman" w:hAnsi="Times New Roman" w:cs="Times New Roman"/>
          <w:sz w:val="28"/>
          <w:szCs w:val="28"/>
        </w:rPr>
        <w:t>.</w:t>
      </w:r>
    </w:p>
    <w:p w:rsidR="003C20E3" w:rsidRPr="00A40540" w:rsidRDefault="006A1BD5" w:rsidP="00E17CC2">
      <w:pPr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sz w:val="28"/>
          <w:szCs w:val="28"/>
        </w:rPr>
        <w:t xml:space="preserve">Quanto, </w:t>
      </w:r>
      <w:r w:rsidR="0093625E" w:rsidRPr="00A40540">
        <w:rPr>
          <w:rFonts w:ascii="Times New Roman" w:hAnsi="Times New Roman" w:cs="Times New Roman"/>
          <w:sz w:val="28"/>
          <w:szCs w:val="28"/>
        </w:rPr>
        <w:t>po</w:t>
      </w:r>
      <w:r w:rsidR="00E87BB4" w:rsidRPr="00A40540">
        <w:rPr>
          <w:rFonts w:ascii="Times New Roman" w:hAnsi="Times New Roman" w:cs="Times New Roman"/>
          <w:sz w:val="28"/>
          <w:szCs w:val="28"/>
        </w:rPr>
        <w:t>i</w:t>
      </w:r>
      <w:r w:rsidR="00867795" w:rsidRPr="00A40540">
        <w:rPr>
          <w:rFonts w:ascii="Times New Roman" w:hAnsi="Times New Roman" w:cs="Times New Roman"/>
          <w:sz w:val="28"/>
          <w:szCs w:val="28"/>
        </w:rPr>
        <w:t>,</w:t>
      </w:r>
      <w:r w:rsidRPr="00A40540">
        <w:rPr>
          <w:rFonts w:ascii="Times New Roman" w:hAnsi="Times New Roman" w:cs="Times New Roman"/>
          <w:sz w:val="28"/>
          <w:szCs w:val="28"/>
        </w:rPr>
        <w:t xml:space="preserve"> alle operazioni </w:t>
      </w:r>
      <w:r w:rsidR="00E87BB4" w:rsidRPr="00A40540">
        <w:rPr>
          <w:rFonts w:ascii="Times New Roman" w:hAnsi="Times New Roman" w:cs="Times New Roman"/>
          <w:sz w:val="28"/>
          <w:szCs w:val="28"/>
        </w:rPr>
        <w:t xml:space="preserve">tra </w:t>
      </w:r>
      <w:r w:rsidRPr="00A40540">
        <w:rPr>
          <w:rFonts w:ascii="Times New Roman" w:hAnsi="Times New Roman" w:cs="Times New Roman"/>
          <w:sz w:val="28"/>
          <w:szCs w:val="28"/>
        </w:rPr>
        <w:t>pubblico</w:t>
      </w:r>
      <w:r w:rsidR="00E87BB4" w:rsidRPr="00A40540">
        <w:rPr>
          <w:rFonts w:ascii="Times New Roman" w:hAnsi="Times New Roman" w:cs="Times New Roman"/>
          <w:sz w:val="28"/>
          <w:szCs w:val="28"/>
        </w:rPr>
        <w:t xml:space="preserve"> e </w:t>
      </w:r>
      <w:r w:rsidRPr="00A40540">
        <w:rPr>
          <w:rFonts w:ascii="Times New Roman" w:hAnsi="Times New Roman" w:cs="Times New Roman"/>
          <w:sz w:val="28"/>
          <w:szCs w:val="28"/>
        </w:rPr>
        <w:t>privat</w:t>
      </w:r>
      <w:r w:rsidR="00867795" w:rsidRPr="00A40540">
        <w:rPr>
          <w:rFonts w:ascii="Times New Roman" w:hAnsi="Times New Roman" w:cs="Times New Roman"/>
          <w:sz w:val="28"/>
          <w:szCs w:val="28"/>
        </w:rPr>
        <w:t>o</w:t>
      </w:r>
      <w:r w:rsidR="00426A61" w:rsidRPr="00A40540">
        <w:rPr>
          <w:rFonts w:ascii="Times New Roman" w:hAnsi="Times New Roman" w:cs="Times New Roman"/>
          <w:sz w:val="28"/>
          <w:szCs w:val="28"/>
        </w:rPr>
        <w:t xml:space="preserve">, </w:t>
      </w:r>
      <w:r w:rsidRPr="00A40540">
        <w:rPr>
          <w:rFonts w:ascii="Times New Roman" w:hAnsi="Times New Roman" w:cs="Times New Roman"/>
          <w:sz w:val="28"/>
          <w:szCs w:val="28"/>
        </w:rPr>
        <w:t>esse</w:t>
      </w:r>
      <w:r w:rsidR="00426A61" w:rsidRPr="00A40540">
        <w:rPr>
          <w:rFonts w:ascii="Times New Roman" w:hAnsi="Times New Roman" w:cs="Times New Roman"/>
          <w:sz w:val="28"/>
          <w:szCs w:val="28"/>
        </w:rPr>
        <w:t xml:space="preserve"> non </w:t>
      </w:r>
      <w:r w:rsidR="00983CB6" w:rsidRPr="00A40540">
        <w:rPr>
          <w:rFonts w:ascii="Times New Roman" w:hAnsi="Times New Roman" w:cs="Times New Roman"/>
          <w:sz w:val="28"/>
          <w:szCs w:val="28"/>
        </w:rPr>
        <w:t>poss</w:t>
      </w:r>
      <w:r w:rsidRPr="00A40540">
        <w:rPr>
          <w:rFonts w:ascii="Times New Roman" w:hAnsi="Times New Roman" w:cs="Times New Roman"/>
          <w:sz w:val="28"/>
          <w:szCs w:val="28"/>
        </w:rPr>
        <w:t>ono</w:t>
      </w:r>
      <w:r w:rsidR="002106B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viol</w:t>
      </w:r>
      <w:r w:rsidR="00426A6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are 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gli standard urbanistici, “</w:t>
      </w:r>
      <w:r w:rsidR="003C20E3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intesi come indicatori minimi della qualità edificatoria (e così riferiti ai limiti inderogabili di densità edilizia, di rapporti spaziali tra le costruzioni e di disponibilità di aree destinate alla fruizione collettiva) e come tali destinati a connettersi direttamente con le aspettative dei fruitori dell’area interessata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”.</w:t>
      </w:r>
    </w:p>
    <w:p w:rsidR="003C20E3" w:rsidRPr="00A40540" w:rsidRDefault="003C20E3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>Lo standard, in</w:t>
      </w:r>
      <w:r w:rsidR="00503923" w:rsidRPr="00A40540">
        <w:rPr>
          <w:rFonts w:ascii="Times New Roman" w:hAnsi="Times New Roman" w:cs="Times New Roman"/>
          <w:color w:val="333333"/>
          <w:sz w:val="28"/>
          <w:szCs w:val="28"/>
        </w:rPr>
        <w:t>fatti</w:t>
      </w:r>
      <w:r w:rsidR="0093625E" w:rsidRPr="00A40540">
        <w:rPr>
          <w:rFonts w:ascii="Times New Roman" w:hAnsi="Times New Roman" w:cs="Times New Roman"/>
          <w:color w:val="333333"/>
          <w:sz w:val="28"/>
          <w:szCs w:val="28"/>
        </w:rPr>
        <w:t>, dev’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essere </w:t>
      </w:r>
      <w:r w:rsidR="00EA4F6A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sempre 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>funzionale a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ll’intervento edilizio, </w:t>
      </w:r>
      <w:r w:rsidR="00766FFC" w:rsidRPr="00A40540">
        <w:rPr>
          <w:rFonts w:ascii="Times New Roman" w:hAnsi="Times New Roman" w:cs="Times New Roman"/>
          <w:color w:val="333333"/>
          <w:sz w:val="28"/>
          <w:szCs w:val="28"/>
        </w:rPr>
        <w:t>risulta</w:t>
      </w:r>
      <w:r w:rsidR="00444986" w:rsidRPr="00A40540">
        <w:rPr>
          <w:rFonts w:ascii="Times New Roman" w:hAnsi="Times New Roman" w:cs="Times New Roman"/>
          <w:color w:val="333333"/>
          <w:sz w:val="28"/>
          <w:szCs w:val="28"/>
        </w:rPr>
        <w:t>ndo</w:t>
      </w:r>
      <w:r w:rsidR="00766FF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viceversa</w:t>
      </w:r>
      <w:r w:rsidR="0044498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E1CFC" w:rsidRPr="00A40540">
        <w:rPr>
          <w:rFonts w:ascii="Times New Roman" w:hAnsi="Times New Roman" w:cs="Times New Roman"/>
          <w:color w:val="333333"/>
          <w:sz w:val="28"/>
          <w:szCs w:val="28"/>
        </w:rPr>
        <w:t>“</w:t>
      </w:r>
      <w:r w:rsidR="00444986" w:rsidRPr="00A40540">
        <w:rPr>
          <w:rFonts w:ascii="Times New Roman" w:hAnsi="Times New Roman" w:cs="Times New Roman"/>
          <w:i/>
          <w:color w:val="333333"/>
          <w:sz w:val="28"/>
          <w:szCs w:val="28"/>
        </w:rPr>
        <w:t>paradossale</w:t>
      </w:r>
      <w:r w:rsidR="009E1CFC" w:rsidRPr="00A40540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="0044498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ogni tentativo di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>smaterializzazione</w:t>
      </w:r>
      <w:r w:rsidR="0093625E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66FFC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o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di </w:t>
      </w:r>
      <w:r w:rsidR="00444986" w:rsidRPr="00A40540">
        <w:rPr>
          <w:rFonts w:ascii="Times New Roman" w:hAnsi="Times New Roman" w:cs="Times New Roman"/>
          <w:color w:val="333333"/>
          <w:sz w:val="28"/>
          <w:szCs w:val="28"/>
        </w:rPr>
        <w:t>separa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>zion</w:t>
      </w:r>
      <w:r w:rsidR="0044498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e 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>de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>i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40540">
        <w:rPr>
          <w:rFonts w:ascii="Times New Roman" w:hAnsi="Times New Roman" w:cs="Times New Roman"/>
          <w:i/>
          <w:color w:val="333333"/>
          <w:sz w:val="28"/>
          <w:szCs w:val="28"/>
        </w:rPr>
        <w:t>commoda</w:t>
      </w:r>
      <w:proofErr w:type="spellEnd"/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(sotto forma di entrata patrimoniale per il Comune) </w:t>
      </w:r>
      <w:r w:rsidR="00983CB6" w:rsidRPr="00A40540">
        <w:rPr>
          <w:rFonts w:ascii="Times New Roman" w:hAnsi="Times New Roman" w:cs="Times New Roman"/>
          <w:color w:val="333333"/>
          <w:sz w:val="28"/>
          <w:szCs w:val="28"/>
        </w:rPr>
        <w:t>da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gli </w:t>
      </w:r>
      <w:proofErr w:type="spellStart"/>
      <w:r w:rsidRPr="00A40540">
        <w:rPr>
          <w:rFonts w:ascii="Times New Roman" w:hAnsi="Times New Roman" w:cs="Times New Roman"/>
          <w:i/>
          <w:color w:val="333333"/>
          <w:sz w:val="28"/>
          <w:szCs w:val="28"/>
        </w:rPr>
        <w:t>incommoda</w:t>
      </w:r>
      <w:proofErr w:type="spellEnd"/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(sotto forma del peggioramento della qualità di vita degli appellanti)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della modificazione sul territorio.</w:t>
      </w:r>
    </w:p>
    <w:p w:rsidR="005B2048" w:rsidRPr="00A40540" w:rsidRDefault="00983CB6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Pertanto, sotto tale </w:t>
      </w:r>
      <w:r w:rsidR="00F15B21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assorbente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profilo</w:t>
      </w:r>
      <w:r w:rsidR="00C33E47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è</w:t>
      </w:r>
      <w:r w:rsidR="00C33E4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stato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riten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uto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illegittim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68259B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l’</w:t>
      </w:r>
      <w:r w:rsidR="0068259B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accordo </w:t>
      </w:r>
      <w:r w:rsidR="001466D5" w:rsidRPr="00A40540">
        <w:rPr>
          <w:rFonts w:ascii="Times New Roman" w:hAnsi="Times New Roman" w:cs="Times New Roman"/>
          <w:color w:val="333333"/>
          <w:sz w:val="28"/>
          <w:szCs w:val="28"/>
        </w:rPr>
        <w:t>in base al quale</w:t>
      </w:r>
      <w:r w:rsidR="005136D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il privato costruttore</w:t>
      </w:r>
      <w:r w:rsidR="00317E80" w:rsidRPr="00A40540">
        <w:rPr>
          <w:rFonts w:ascii="Times New Roman" w:hAnsi="Times New Roman" w:cs="Times New Roman"/>
          <w:color w:val="333333"/>
          <w:sz w:val="28"/>
          <w:szCs w:val="28"/>
        </w:rPr>
        <w:t>, in cambio della variazione della destinazione urbanistica di un’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>immobile</w:t>
      </w:r>
      <w:r w:rsidR="00317E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carente</w:t>
      </w:r>
      <w:r w:rsidR="00317E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dei necessari standard,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assuma l’obbligo</w:t>
      </w:r>
      <w:r w:rsidR="00317E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di</w:t>
      </w:r>
      <w:r w:rsidR="00317E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realizzare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317E80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a proprie spese, gli interventi di risistemazione di un’area pubblica</w:t>
      </w:r>
      <w:r w:rsidR="001466D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5136D7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nella fattispecie, </w:t>
      </w:r>
      <w:r w:rsidR="001466D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una </w:t>
      </w:r>
      <w:r w:rsidR="00E87BB4" w:rsidRPr="00A40540">
        <w:rPr>
          <w:rFonts w:ascii="Times New Roman" w:hAnsi="Times New Roman" w:cs="Times New Roman"/>
          <w:color w:val="333333"/>
          <w:sz w:val="28"/>
          <w:szCs w:val="28"/>
        </w:rPr>
        <w:t>piazza)</w:t>
      </w:r>
      <w:r w:rsidR="001466D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ubicata 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in una</w:t>
      </w:r>
      <w:r w:rsidR="00041299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zona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n</w:t>
      </w:r>
      <w:r w:rsidRPr="00A40540">
        <w:rPr>
          <w:rFonts w:ascii="Times New Roman" w:hAnsi="Times New Roman" w:cs="Times New Roman"/>
          <w:color w:val="333333"/>
          <w:sz w:val="28"/>
          <w:szCs w:val="28"/>
        </w:rPr>
        <w:t>é</w:t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contigua, né funzionalmente collegata con quella d</w:t>
      </w:r>
      <w:r w:rsidR="0068259B" w:rsidRPr="00A40540">
        <w:rPr>
          <w:rFonts w:ascii="Times New Roman" w:hAnsi="Times New Roman" w:cs="Times New Roman"/>
          <w:color w:val="333333"/>
          <w:sz w:val="28"/>
          <w:szCs w:val="28"/>
        </w:rPr>
        <w:t>ell’intervento</w:t>
      </w:r>
      <w:r w:rsidR="001466D5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edilizio assentito in variante</w:t>
      </w:r>
      <w:r w:rsidR="00766FFC" w:rsidRPr="00A40540">
        <w:rPr>
          <w:rStyle w:val="Rimandonotaapidipagina"/>
          <w:rFonts w:ascii="Times New Roman" w:hAnsi="Times New Roman" w:cs="Times New Roman"/>
          <w:color w:val="333333"/>
          <w:sz w:val="28"/>
          <w:szCs w:val="28"/>
        </w:rPr>
        <w:footnoteReference w:id="18"/>
      </w:r>
      <w:r w:rsidR="003C20E3" w:rsidRPr="00A405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61A8B" w:rsidRPr="00A40540" w:rsidRDefault="00061A8B" w:rsidP="00E17C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22475" w:rsidRPr="00A40540" w:rsidRDefault="00122475" w:rsidP="00E17CC2">
      <w:pPr>
        <w:pStyle w:val="Nessunaspaziatura"/>
        <w:ind w:left="5948" w:firstLine="424"/>
        <w:rPr>
          <w:rFonts w:ascii="Times New Roman" w:hAnsi="Times New Roman" w:cs="Times New Roman"/>
          <w:sz w:val="28"/>
          <w:szCs w:val="28"/>
        </w:rPr>
      </w:pPr>
      <w:r w:rsidRPr="00A40540">
        <w:rPr>
          <w:rFonts w:ascii="Times New Roman" w:hAnsi="Times New Roman" w:cs="Times New Roman"/>
          <w:sz w:val="28"/>
          <w:szCs w:val="28"/>
        </w:rPr>
        <w:t>Nicola Durante</w:t>
      </w:r>
    </w:p>
    <w:p w:rsidR="00122475" w:rsidRPr="00A40540" w:rsidRDefault="007B1E56" w:rsidP="00E17CC2">
      <w:pPr>
        <w:pStyle w:val="Nessunaspaziatura"/>
        <w:ind w:left="284"/>
        <w:rPr>
          <w:rFonts w:ascii="Times New Roman" w:hAnsi="Times New Roman" w:cs="Times New Roman"/>
          <w:sz w:val="28"/>
          <w:szCs w:val="28"/>
        </w:rPr>
      </w:pPr>
      <w:r w:rsidRPr="00A40540">
        <w:rPr>
          <w:rFonts w:ascii="Times New Roman" w:hAnsi="Times New Roman" w:cs="Times New Roman"/>
          <w:sz w:val="28"/>
          <w:szCs w:val="28"/>
        </w:rPr>
        <w:t xml:space="preserve"> </w:t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="00E17CC2" w:rsidRPr="00A40540">
        <w:rPr>
          <w:rFonts w:ascii="Times New Roman" w:hAnsi="Times New Roman" w:cs="Times New Roman"/>
          <w:sz w:val="28"/>
          <w:szCs w:val="28"/>
        </w:rPr>
        <w:tab/>
      </w:r>
      <w:r w:rsidRPr="00A405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2475" w:rsidRPr="00A40540">
        <w:rPr>
          <w:rFonts w:ascii="Times New Roman" w:hAnsi="Times New Roman" w:cs="Times New Roman"/>
          <w:sz w:val="28"/>
          <w:szCs w:val="28"/>
        </w:rPr>
        <w:t>Pres</w:t>
      </w:r>
      <w:proofErr w:type="spellEnd"/>
      <w:r w:rsidR="00122475" w:rsidRPr="00A40540">
        <w:rPr>
          <w:rFonts w:ascii="Times New Roman" w:hAnsi="Times New Roman" w:cs="Times New Roman"/>
          <w:sz w:val="28"/>
          <w:szCs w:val="28"/>
        </w:rPr>
        <w:t>. Sez. T.A.R. Catanzaro</w:t>
      </w:r>
    </w:p>
    <w:p w:rsidR="008B4452" w:rsidRDefault="008B4452" w:rsidP="00E17CC2">
      <w:pPr>
        <w:pStyle w:val="Nessunaspaziatura"/>
        <w:ind w:left="284"/>
        <w:rPr>
          <w:rFonts w:ascii="Times New Roman" w:hAnsi="Times New Roman" w:cs="Times New Roman"/>
          <w:sz w:val="28"/>
          <w:szCs w:val="28"/>
        </w:rPr>
      </w:pPr>
    </w:p>
    <w:p w:rsidR="006F70F6" w:rsidRPr="00A40540" w:rsidRDefault="006F70F6" w:rsidP="006F70F6">
      <w:pPr>
        <w:pStyle w:val="Nessunaspaziatura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Pubblicato 13 maggio 2019</w:t>
      </w:r>
    </w:p>
    <w:p w:rsidR="008B4452" w:rsidRPr="00A40540" w:rsidRDefault="008B4452" w:rsidP="00E17CC2">
      <w:pPr>
        <w:pStyle w:val="Nessunaspaziatur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17CC2" w:rsidRPr="00A40540" w:rsidRDefault="00E17CC2" w:rsidP="00E17CC2">
      <w:pPr>
        <w:pStyle w:val="Nessunaspaziatur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B4452" w:rsidRPr="00A40540" w:rsidRDefault="008B4452" w:rsidP="00E17CC2">
      <w:pPr>
        <w:pStyle w:val="Nessunaspaziatura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40">
        <w:rPr>
          <w:rFonts w:ascii="Times New Roman" w:hAnsi="Times New Roman" w:cs="Times New Roman"/>
          <w:sz w:val="28"/>
          <w:szCs w:val="28"/>
        </w:rPr>
        <w:t>(*) Intervento al convegno dell’Associazione italo-argentina dei Professori di diritto amministrativo</w:t>
      </w:r>
      <w:r w:rsidR="006B4166" w:rsidRPr="00A40540">
        <w:rPr>
          <w:rFonts w:ascii="Times New Roman" w:hAnsi="Times New Roman" w:cs="Times New Roman"/>
          <w:sz w:val="28"/>
          <w:szCs w:val="28"/>
        </w:rPr>
        <w:t>, sul tema “Politiche di sviluppo</w:t>
      </w:r>
      <w:r w:rsidR="006B4166" w:rsidRPr="00A40540">
        <w:rPr>
          <w:rFonts w:ascii="Times New Roman" w:hAnsi="Times New Roman" w:cs="Times New Roman"/>
          <w:color w:val="333333"/>
          <w:sz w:val="28"/>
          <w:szCs w:val="28"/>
        </w:rPr>
        <w:t xml:space="preserve"> urbano”</w:t>
      </w:r>
      <w:r w:rsidRPr="00A40540">
        <w:rPr>
          <w:rFonts w:ascii="Times New Roman" w:hAnsi="Times New Roman" w:cs="Times New Roman"/>
          <w:sz w:val="28"/>
          <w:szCs w:val="28"/>
        </w:rPr>
        <w:t>, organizzato a Lecce il 10 ed 11 maggio 2019</w:t>
      </w:r>
    </w:p>
    <w:sectPr w:rsidR="008B4452" w:rsidRPr="00A40540" w:rsidSect="00E17CC2">
      <w:footerReference w:type="default" r:id="rId10"/>
      <w:pgSz w:w="11906" w:h="16838"/>
      <w:pgMar w:top="1417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EF" w:rsidRDefault="00B438EF" w:rsidP="005B2048">
      <w:pPr>
        <w:spacing w:after="0" w:line="240" w:lineRule="auto"/>
      </w:pPr>
      <w:r>
        <w:separator/>
      </w:r>
    </w:p>
  </w:endnote>
  <w:endnote w:type="continuationSeparator" w:id="0">
    <w:p w:rsidR="00B438EF" w:rsidRDefault="00B438EF" w:rsidP="005B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ord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268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73B04" w:rsidRPr="00CC618D" w:rsidRDefault="00473B04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C61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C61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C61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224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C618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73B04" w:rsidRDefault="00473B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EF" w:rsidRDefault="00B438EF" w:rsidP="005B2048">
      <w:pPr>
        <w:spacing w:after="0" w:line="240" w:lineRule="auto"/>
      </w:pPr>
      <w:r>
        <w:separator/>
      </w:r>
    </w:p>
  </w:footnote>
  <w:footnote w:type="continuationSeparator" w:id="0">
    <w:p w:rsidR="00B438EF" w:rsidRDefault="00B438EF" w:rsidP="005B2048">
      <w:pPr>
        <w:spacing w:after="0" w:line="240" w:lineRule="auto"/>
      </w:pPr>
      <w:r>
        <w:continuationSeparator/>
      </w:r>
    </w:p>
  </w:footnote>
  <w:footnote w:id="1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SALVIA-TERESI, </w:t>
      </w:r>
      <w:r w:rsidRPr="00A40540">
        <w:rPr>
          <w:rFonts w:ascii="Times New Roman" w:hAnsi="Times New Roman" w:cs="Times New Roman"/>
          <w:i/>
          <w:sz w:val="24"/>
          <w:szCs w:val="24"/>
        </w:rPr>
        <w:t>Diritto urbanistico</w:t>
      </w:r>
      <w:r w:rsidRPr="00A40540">
        <w:rPr>
          <w:rFonts w:ascii="Times New Roman" w:hAnsi="Times New Roman" w:cs="Times New Roman"/>
          <w:sz w:val="24"/>
          <w:szCs w:val="24"/>
        </w:rPr>
        <w:t>, Padova 2002, 14.</w:t>
      </w:r>
    </w:p>
  </w:footnote>
  <w:footnote w:id="2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COMPORTI, </w:t>
      </w:r>
      <w:r w:rsidRPr="00A40540">
        <w:rPr>
          <w:rFonts w:ascii="Times New Roman" w:hAnsi="Times New Roman" w:cs="Times New Roman"/>
          <w:i/>
          <w:sz w:val="24"/>
          <w:szCs w:val="24"/>
        </w:rPr>
        <w:t>La proprietà nel codice civile e nella Costituzione</w:t>
      </w:r>
      <w:r w:rsidRPr="00A40540">
        <w:rPr>
          <w:rFonts w:ascii="Times New Roman" w:hAnsi="Times New Roman" w:cs="Times New Roman"/>
          <w:sz w:val="24"/>
          <w:szCs w:val="24"/>
        </w:rPr>
        <w:t xml:space="preserve">, in </w:t>
      </w:r>
      <w:r w:rsidRPr="00A40540">
        <w:rPr>
          <w:rFonts w:ascii="Times New Roman" w:hAnsi="Times New Roman" w:cs="Times New Roman"/>
          <w:i/>
          <w:sz w:val="24"/>
          <w:szCs w:val="24"/>
        </w:rPr>
        <w:t>Istituzioni di diritto privato</w:t>
      </w:r>
      <w:r w:rsidRPr="00A40540">
        <w:rPr>
          <w:rFonts w:ascii="Times New Roman" w:hAnsi="Times New Roman" w:cs="Times New Roman"/>
          <w:sz w:val="24"/>
          <w:szCs w:val="24"/>
        </w:rPr>
        <w:t xml:space="preserve"> (a cura di BESSONE), Torino 1994, 313.</w:t>
      </w:r>
    </w:p>
  </w:footnote>
  <w:footnote w:id="3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URBANI, </w:t>
      </w:r>
      <w:r w:rsidRPr="00A40540">
        <w:rPr>
          <w:rFonts w:ascii="Times New Roman" w:hAnsi="Times New Roman" w:cs="Times New Roman"/>
          <w:i/>
          <w:sz w:val="24"/>
          <w:szCs w:val="24"/>
        </w:rPr>
        <w:t>Aspetti giuridici della perequazione</w:t>
      </w:r>
      <w:r w:rsidRPr="00A40540">
        <w:rPr>
          <w:rFonts w:ascii="Times New Roman" w:hAnsi="Times New Roman" w:cs="Times New Roman"/>
          <w:sz w:val="24"/>
          <w:szCs w:val="24"/>
        </w:rPr>
        <w:t xml:space="preserve">, in </w:t>
      </w:r>
      <w:r w:rsidRPr="00A40540">
        <w:rPr>
          <w:rFonts w:ascii="Times New Roman" w:hAnsi="Times New Roman" w:cs="Times New Roman"/>
          <w:i/>
          <w:sz w:val="24"/>
          <w:szCs w:val="24"/>
        </w:rPr>
        <w:t>Urbanistica informazion</w:t>
      </w:r>
      <w:r w:rsidR="00C33E47" w:rsidRPr="00A40540">
        <w:rPr>
          <w:rFonts w:ascii="Times New Roman" w:hAnsi="Times New Roman" w:cs="Times New Roman"/>
          <w:i/>
          <w:sz w:val="24"/>
          <w:szCs w:val="24"/>
        </w:rPr>
        <w:t>i</w:t>
      </w:r>
      <w:r w:rsidRPr="00A40540">
        <w:rPr>
          <w:rFonts w:ascii="Times New Roman" w:hAnsi="Times New Roman" w:cs="Times New Roman"/>
          <w:sz w:val="24"/>
          <w:szCs w:val="24"/>
        </w:rPr>
        <w:t>, 2002, 90.</w:t>
      </w:r>
    </w:p>
  </w:footnote>
  <w:footnote w:id="4">
    <w:p w:rsidR="0032049A" w:rsidRPr="00A40540" w:rsidRDefault="0032049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PERONGINI, </w:t>
      </w:r>
      <w:r w:rsidRPr="00A40540">
        <w:rPr>
          <w:rFonts w:ascii="Times New Roman" w:hAnsi="Times New Roman" w:cs="Times New Roman"/>
          <w:i/>
          <w:sz w:val="24"/>
          <w:szCs w:val="24"/>
        </w:rPr>
        <w:t>Profili giuridici della pianificazione urbanistica perequativa</w:t>
      </w:r>
      <w:r w:rsidRPr="00A40540">
        <w:rPr>
          <w:rFonts w:ascii="Times New Roman" w:hAnsi="Times New Roman" w:cs="Times New Roman"/>
          <w:sz w:val="24"/>
          <w:szCs w:val="24"/>
        </w:rPr>
        <w:t>, Milano, 2005, 176.</w:t>
      </w:r>
    </w:p>
  </w:footnote>
  <w:footnote w:id="5">
    <w:p w:rsidR="009D1E3F" w:rsidRPr="00A40540" w:rsidRDefault="009D1E3F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="00A40540" w:rsidRPr="00A40540">
        <w:rPr>
          <w:rFonts w:ascii="Times New Roman" w:hAnsi="Times New Roman" w:cs="Times New Roman"/>
          <w:sz w:val="24"/>
          <w:szCs w:val="24"/>
        </w:rPr>
        <w:t xml:space="preserve"> Secondo Corte </w:t>
      </w:r>
      <w:proofErr w:type="spellStart"/>
      <w:r w:rsidR="00A40540" w:rsidRPr="00A40540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A40540" w:rsidRPr="00A40540">
        <w:rPr>
          <w:rFonts w:ascii="Times New Roman" w:hAnsi="Times New Roman" w:cs="Times New Roman"/>
          <w:sz w:val="24"/>
          <w:szCs w:val="24"/>
        </w:rPr>
        <w:t>.</w:t>
      </w:r>
      <w:r w:rsidRPr="00A40540">
        <w:rPr>
          <w:rFonts w:ascii="Times New Roman" w:hAnsi="Times New Roman" w:cs="Times New Roman"/>
          <w:sz w:val="24"/>
          <w:szCs w:val="24"/>
        </w:rPr>
        <w:t xml:space="preserve"> 11 luglio 1989 n. 391, “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per quanto attiene alla normativa conformativa del contenuto dei diritti di proprietà allo scopo di assicurarne la funzione sociale la riserva di legge stabilita dall’art. 42 </w:t>
      </w:r>
      <w:proofErr w:type="spellStart"/>
      <w:r w:rsidRPr="00A40540">
        <w:rPr>
          <w:rFonts w:ascii="Times New Roman" w:hAnsi="Times New Roman" w:cs="Times New Roman"/>
          <w:i/>
          <w:sz w:val="24"/>
          <w:szCs w:val="24"/>
        </w:rPr>
        <w:t>Cost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40540">
        <w:rPr>
          <w:rFonts w:ascii="Times New Roman" w:hAnsi="Times New Roman" w:cs="Times New Roman"/>
          <w:i/>
          <w:sz w:val="24"/>
          <w:szCs w:val="24"/>
        </w:rPr>
        <w:t>può</w:t>
      </w:r>
      <w:proofErr w:type="gram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 trovare attuazione anche in leggi regionali, nell</w:t>
      </w:r>
      <w:r w:rsidR="00C33E47" w:rsidRPr="00A40540">
        <w:rPr>
          <w:rFonts w:ascii="Times New Roman" w:hAnsi="Times New Roman" w:cs="Times New Roman"/>
          <w:i/>
          <w:sz w:val="24"/>
          <w:szCs w:val="24"/>
        </w:rPr>
        <w:t>’</w:t>
      </w:r>
      <w:r w:rsidRPr="00A40540">
        <w:rPr>
          <w:rFonts w:ascii="Times New Roman" w:hAnsi="Times New Roman" w:cs="Times New Roman"/>
          <w:i/>
          <w:sz w:val="24"/>
          <w:szCs w:val="24"/>
        </w:rPr>
        <w:t>ambito, s</w:t>
      </w:r>
      <w:r w:rsidR="00C33E47" w:rsidRPr="00A40540">
        <w:rPr>
          <w:rFonts w:ascii="Times New Roman" w:hAnsi="Times New Roman" w:cs="Times New Roman"/>
          <w:i/>
          <w:sz w:val="24"/>
          <w:szCs w:val="24"/>
        </w:rPr>
        <w:t>’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intende, delle materie indicate dall’art. 117 </w:t>
      </w:r>
      <w:proofErr w:type="spellStart"/>
      <w:r w:rsidRPr="00A40540">
        <w:rPr>
          <w:rFonts w:ascii="Times New Roman" w:hAnsi="Times New Roman" w:cs="Times New Roman"/>
          <w:i/>
          <w:sz w:val="24"/>
          <w:szCs w:val="24"/>
        </w:rPr>
        <w:t>Cost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>.</w:t>
      </w:r>
      <w:r w:rsidRPr="00A40540">
        <w:rPr>
          <w:rFonts w:ascii="Times New Roman" w:hAnsi="Times New Roman" w:cs="Times New Roman"/>
          <w:sz w:val="24"/>
          <w:szCs w:val="24"/>
        </w:rPr>
        <w:t>”.</w:t>
      </w:r>
    </w:p>
  </w:footnote>
  <w:footnote w:id="6">
    <w:p w:rsidR="00E21B6B" w:rsidRPr="00A40540" w:rsidRDefault="00E21B6B" w:rsidP="00E17CC2">
      <w:pPr>
        <w:pStyle w:val="Testonotaapidipagina"/>
        <w:ind w:left="284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QUAGLIA, </w:t>
      </w:r>
      <w:r w:rsidRPr="00A40540">
        <w:rPr>
          <w:rFonts w:ascii="Times New Roman" w:hAnsi="Times New Roman" w:cs="Times New Roman"/>
          <w:i/>
          <w:sz w:val="24"/>
          <w:szCs w:val="24"/>
        </w:rPr>
        <w:t>La pianificazione urbanistica e perequazione</w:t>
      </w:r>
      <w:r w:rsidRPr="00A40540">
        <w:rPr>
          <w:rFonts w:ascii="Times New Roman" w:hAnsi="Times New Roman" w:cs="Times New Roman"/>
          <w:sz w:val="24"/>
          <w:szCs w:val="24"/>
        </w:rPr>
        <w:t>, Torino, 2000</w:t>
      </w:r>
      <w:r w:rsidR="00A1257C" w:rsidRPr="00A40540">
        <w:rPr>
          <w:rFonts w:ascii="Times New Roman" w:hAnsi="Times New Roman" w:cs="Times New Roman"/>
          <w:sz w:val="24"/>
          <w:szCs w:val="24"/>
        </w:rPr>
        <w:t>, 14</w:t>
      </w:r>
      <w:r w:rsidRPr="00A40540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SABBATO, </w:t>
      </w:r>
      <w:r w:rsidRPr="00A40540">
        <w:rPr>
          <w:rFonts w:ascii="Times New Roman" w:hAnsi="Times New Roman" w:cs="Times New Roman"/>
          <w:i/>
          <w:sz w:val="24"/>
          <w:szCs w:val="24"/>
        </w:rPr>
        <w:t>La perequazione urbanistica</w:t>
      </w:r>
      <w:r w:rsidRPr="00A40540">
        <w:rPr>
          <w:rFonts w:ascii="Times New Roman" w:hAnsi="Times New Roman" w:cs="Times New Roman"/>
          <w:sz w:val="24"/>
          <w:szCs w:val="24"/>
        </w:rPr>
        <w:t xml:space="preserve">, in </w:t>
      </w:r>
      <w:hyperlink r:id="rId1" w:history="1">
        <w:r w:rsidRPr="00A40540">
          <w:rPr>
            <w:rFonts w:ascii="Times New Roman" w:hAnsi="Times New Roman" w:cs="Times New Roman"/>
            <w:i/>
            <w:sz w:val="24"/>
            <w:szCs w:val="24"/>
          </w:rPr>
          <w:t>www.giustizia-amministrativa.it</w:t>
        </w:r>
      </w:hyperlink>
      <w:r w:rsidRPr="00A40540">
        <w:rPr>
          <w:rFonts w:ascii="Times New Roman" w:hAnsi="Times New Roman" w:cs="Times New Roman"/>
          <w:sz w:val="24"/>
          <w:szCs w:val="24"/>
        </w:rPr>
        <w:t>, 2010.</w:t>
      </w:r>
    </w:p>
  </w:footnote>
  <w:footnote w:id="8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40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>. Stato, Sez. IV, 13 luglio 2010 n. 4545.</w:t>
      </w:r>
    </w:p>
  </w:footnote>
  <w:footnote w:id="9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L’art. 14, </w:t>
      </w:r>
      <w:proofErr w:type="spellStart"/>
      <w:r w:rsidRPr="00A40540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 xml:space="preserve">. f), del </w:t>
      </w:r>
      <w:proofErr w:type="spellStart"/>
      <w:r w:rsidRPr="00A40540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 xml:space="preserve"> n. 78/2010, prevede un “</w:t>
      </w:r>
      <w:r w:rsidRPr="00A40540">
        <w:rPr>
          <w:rFonts w:ascii="Times New Roman" w:hAnsi="Times New Roman" w:cs="Times New Roman"/>
          <w:i/>
          <w:sz w:val="24"/>
          <w:szCs w:val="24"/>
        </w:rPr>
        <w:t>contributo straordinario nella misura massima del 66 per cento del maggior valore immobiliare conseguibile, a fronte di rilevanti valorizzazioni immobiliari generate dallo strumento urbanistico generale, in via diretta o indiretta, rispetto alla disciplina previgente per la realizzazione di finalità pubbliche o di interesse generale, ivi comprese quelle di riqualificazione urbana, di tutela ambientale, edilizia e sociale. Detto contributo deve essere destinato alla realizzazione di opere pubbliche o di interesse generale ricadenti nell’ambito di intervento cui accede, e può essere in parte volto anche a finanziare la spesa corrente, da destinare a progettazioni ed esecuzioni di opere di interesse generale, nonché alle attività urbanistiche e servizio del territorio. Sono fatti salvi, in ogni caso, gli impegni di corresponsione di contributo straordinario già assunti dal privato operatore in sede di accordo o di atto d’obbligo a far data dall’entrata in vigore dello strumento urbanistico generale vigente</w:t>
      </w:r>
      <w:r w:rsidRPr="00A40540">
        <w:rPr>
          <w:rFonts w:ascii="Times New Roman" w:hAnsi="Times New Roman" w:cs="Times New Roman"/>
          <w:sz w:val="24"/>
          <w:szCs w:val="24"/>
        </w:rPr>
        <w:t>”.</w:t>
      </w:r>
    </w:p>
  </w:footnote>
  <w:footnote w:id="10">
    <w:p w:rsidR="00A33431" w:rsidRPr="00A40540" w:rsidRDefault="00A33431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</w:t>
      </w:r>
      <w:r w:rsidR="002E110A" w:rsidRPr="00A40540">
        <w:rPr>
          <w:rFonts w:ascii="Times New Roman" w:hAnsi="Times New Roman" w:cs="Times New Roman"/>
          <w:sz w:val="24"/>
          <w:szCs w:val="24"/>
        </w:rPr>
        <w:t xml:space="preserve">MAZZARELLI, </w:t>
      </w:r>
      <w:r w:rsidR="002E110A" w:rsidRPr="00A40540">
        <w:rPr>
          <w:rFonts w:ascii="Times New Roman" w:hAnsi="Times New Roman" w:cs="Times New Roman"/>
          <w:i/>
          <w:sz w:val="24"/>
          <w:szCs w:val="24"/>
        </w:rPr>
        <w:t>Comparto edificatorio</w:t>
      </w:r>
      <w:r w:rsidR="002E110A" w:rsidRPr="00A4054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2E110A" w:rsidRPr="00A40540">
        <w:rPr>
          <w:rFonts w:ascii="Times New Roman" w:hAnsi="Times New Roman" w:cs="Times New Roman"/>
          <w:i/>
          <w:sz w:val="24"/>
          <w:szCs w:val="24"/>
        </w:rPr>
        <w:t>Enc</w:t>
      </w:r>
      <w:proofErr w:type="spellEnd"/>
      <w:r w:rsidR="002E110A" w:rsidRPr="00A405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2E110A" w:rsidRPr="00A40540">
        <w:rPr>
          <w:rFonts w:ascii="Times New Roman" w:hAnsi="Times New Roman" w:cs="Times New Roman"/>
          <w:i/>
          <w:sz w:val="24"/>
          <w:szCs w:val="24"/>
        </w:rPr>
        <w:t>giur</w:t>
      </w:r>
      <w:proofErr w:type="gramEnd"/>
      <w:r w:rsidR="002E110A" w:rsidRPr="00A40540">
        <w:rPr>
          <w:rFonts w:ascii="Times New Roman" w:hAnsi="Times New Roman" w:cs="Times New Roman"/>
          <w:i/>
          <w:sz w:val="24"/>
          <w:szCs w:val="24"/>
        </w:rPr>
        <w:t>. Treccani</w:t>
      </w:r>
      <w:r w:rsidR="002E110A" w:rsidRPr="00A40540">
        <w:rPr>
          <w:rFonts w:ascii="Times New Roman" w:hAnsi="Times New Roman" w:cs="Times New Roman"/>
          <w:sz w:val="24"/>
          <w:szCs w:val="24"/>
        </w:rPr>
        <w:t>, 1988, II, 1.</w:t>
      </w:r>
    </w:p>
  </w:footnote>
  <w:footnote w:id="11">
    <w:p w:rsidR="00C070B4" w:rsidRPr="00A40540" w:rsidRDefault="00C070B4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BARTOLINI, 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I diritti edificatori in funzione premiale (le c.d. </w:t>
      </w:r>
      <w:proofErr w:type="spellStart"/>
      <w:r w:rsidRPr="00A40540">
        <w:rPr>
          <w:rFonts w:ascii="Times New Roman" w:hAnsi="Times New Roman" w:cs="Times New Roman"/>
          <w:i/>
          <w:sz w:val="24"/>
          <w:szCs w:val="24"/>
        </w:rPr>
        <w:t>premialità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 edilizie)</w:t>
      </w:r>
      <w:r w:rsidRPr="00A4054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40540">
        <w:rPr>
          <w:rFonts w:ascii="Times New Roman" w:hAnsi="Times New Roman" w:cs="Times New Roman"/>
          <w:i/>
          <w:sz w:val="24"/>
          <w:szCs w:val="24"/>
        </w:rPr>
        <w:t>Riv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40540">
        <w:rPr>
          <w:rFonts w:ascii="Times New Roman" w:hAnsi="Times New Roman" w:cs="Times New Roman"/>
          <w:i/>
          <w:sz w:val="24"/>
          <w:szCs w:val="24"/>
        </w:rPr>
        <w:t>giur</w:t>
      </w:r>
      <w:proofErr w:type="gram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A40540">
        <w:rPr>
          <w:rFonts w:ascii="Times New Roman" w:hAnsi="Times New Roman" w:cs="Times New Roman"/>
          <w:i/>
          <w:sz w:val="24"/>
          <w:szCs w:val="24"/>
        </w:rPr>
        <w:t>urb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>.</w:t>
      </w:r>
      <w:r w:rsidRPr="00A405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540">
        <w:rPr>
          <w:rFonts w:ascii="Times New Roman" w:hAnsi="Times New Roman" w:cs="Times New Roman"/>
          <w:sz w:val="24"/>
          <w:szCs w:val="24"/>
        </w:rPr>
        <w:t xml:space="preserve"> 2008, 429.</w:t>
      </w:r>
    </w:p>
  </w:footnote>
  <w:footnote w:id="12">
    <w:p w:rsidR="003B3511" w:rsidRPr="00A40540" w:rsidRDefault="003B3511" w:rsidP="003B3511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A tal proposito, l’art. 5, comma 9, del </w:t>
      </w:r>
      <w:proofErr w:type="spellStart"/>
      <w:r w:rsidRPr="00A40540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 xml:space="preserve"> n. 70/2011 ha previsto che “</w:t>
      </w:r>
      <w:r w:rsidRPr="00A40540">
        <w:rPr>
          <w:rFonts w:ascii="Times New Roman" w:hAnsi="Times New Roman" w:cs="Times New Roman"/>
          <w:i/>
          <w:sz w:val="24"/>
          <w:szCs w:val="24"/>
        </w:rPr>
        <w:t>al fine di incentivare la razionalizzazione del patrimonio edilizio esistente, nonché di promuovere e agevolare la riqualificazione di aree urbane degradate con presenza di funzioni eterogenee e tessuti edilizi disorganici o incompiuti nonché di edifici a destinazione non residenziale dismessi o in via di dismissione ovvero da rilocalizzare, tenuto conto anche della necessità di favorire lo sviluppo dell’efficienza energetica e delle fonti rinnovabili, le Regioni approvano entro sessanta</w:t>
      </w:r>
      <w:r w:rsidRPr="00A40540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giorni dalla data di entrata in vigore della legge di conversione del presente decreto specifiche leggi per incentivare tali azioni anche con interventi di demolizione e ricostruzione che prevedano: a) il riconoscimento di una volumetria aggiuntiva rispetto a quella preesistente come misura premiale; b) la delocalizzazione delle relative volumetrie in area o aree diverse; c) l’ammissibilità delle modifiche di destinazione d’uso, purché si tratti di destinazioni tra loro compatibili o complementari; d) le modifiche della sagoma necessarie per l’armonizzazione architettonica con gli organismi edilizi esistenti</w:t>
      </w:r>
      <w:r w:rsidRPr="00A40540">
        <w:rPr>
          <w:rFonts w:ascii="Times New Roman" w:hAnsi="Times New Roman" w:cs="Times New Roman"/>
          <w:color w:val="333333"/>
          <w:sz w:val="24"/>
          <w:szCs w:val="24"/>
        </w:rPr>
        <w:t>”.</w:t>
      </w:r>
    </w:p>
  </w:footnote>
  <w:footnote w:id="13">
    <w:p w:rsidR="00924858" w:rsidRPr="00A40540" w:rsidRDefault="00924858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  <w:r w:rsidRPr="00A40540">
        <w:rPr>
          <w:rFonts w:ascii="Times New Roman" w:hAnsi="Times New Roman" w:cs="Times New Roman"/>
          <w:sz w:val="24"/>
          <w:szCs w:val="24"/>
        </w:rPr>
        <w:t xml:space="preserve">BOSCOLO, </w:t>
      </w:r>
      <w:r w:rsidRPr="00A40540">
        <w:rPr>
          <w:rFonts w:ascii="Times New Roman" w:hAnsi="Times New Roman" w:cs="Times New Roman"/>
          <w:i/>
          <w:sz w:val="24"/>
          <w:szCs w:val="24"/>
        </w:rPr>
        <w:t>Le perequazioni e le compensazioni</w:t>
      </w:r>
      <w:r w:rsidRPr="00A4054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40540">
        <w:rPr>
          <w:rFonts w:ascii="Times New Roman" w:hAnsi="Times New Roman" w:cs="Times New Roman"/>
          <w:i/>
          <w:sz w:val="24"/>
          <w:szCs w:val="24"/>
        </w:rPr>
        <w:t>Riv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40540">
        <w:rPr>
          <w:rFonts w:ascii="Times New Roman" w:hAnsi="Times New Roman" w:cs="Times New Roman"/>
          <w:i/>
          <w:sz w:val="24"/>
          <w:szCs w:val="24"/>
        </w:rPr>
        <w:t>giur</w:t>
      </w:r>
      <w:proofErr w:type="gramEnd"/>
      <w:r w:rsidRPr="00A405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A40540">
        <w:rPr>
          <w:rFonts w:ascii="Times New Roman" w:hAnsi="Times New Roman" w:cs="Times New Roman"/>
          <w:i/>
          <w:sz w:val="24"/>
          <w:szCs w:val="24"/>
        </w:rPr>
        <w:t>urb</w:t>
      </w:r>
      <w:proofErr w:type="spellEnd"/>
      <w:r w:rsidRPr="00A40540">
        <w:rPr>
          <w:rFonts w:ascii="Times New Roman" w:hAnsi="Times New Roman" w:cs="Times New Roman"/>
          <w:i/>
          <w:sz w:val="24"/>
          <w:szCs w:val="24"/>
        </w:rPr>
        <w:t>.</w:t>
      </w:r>
      <w:r w:rsidRPr="00A405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540">
        <w:rPr>
          <w:rFonts w:ascii="Times New Roman" w:hAnsi="Times New Roman" w:cs="Times New Roman"/>
          <w:sz w:val="24"/>
          <w:szCs w:val="24"/>
        </w:rPr>
        <w:t xml:space="preserve"> 2010, 104.</w:t>
      </w:r>
    </w:p>
  </w:footnote>
  <w:footnote w:id="14">
    <w:p w:rsidR="00D06E83" w:rsidRPr="00A40540" w:rsidRDefault="00D06E83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Sec</w:t>
      </w:r>
      <w:r w:rsidR="00C33E47" w:rsidRPr="00A40540">
        <w:rPr>
          <w:rFonts w:ascii="Times New Roman" w:hAnsi="Times New Roman" w:cs="Times New Roman"/>
          <w:sz w:val="24"/>
          <w:szCs w:val="24"/>
        </w:rPr>
        <w:t xml:space="preserve">ondo Corte </w:t>
      </w:r>
      <w:proofErr w:type="spellStart"/>
      <w:r w:rsidR="00C33E47" w:rsidRPr="00A40540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C33E47" w:rsidRPr="00A40540">
        <w:rPr>
          <w:rFonts w:ascii="Times New Roman" w:hAnsi="Times New Roman" w:cs="Times New Roman"/>
          <w:sz w:val="24"/>
          <w:szCs w:val="24"/>
        </w:rPr>
        <w:t>. 20 maggio 1999</w:t>
      </w:r>
      <w:r w:rsidRPr="00A40540">
        <w:rPr>
          <w:rFonts w:ascii="Times New Roman" w:hAnsi="Times New Roman" w:cs="Times New Roman"/>
          <w:sz w:val="24"/>
          <w:szCs w:val="24"/>
        </w:rPr>
        <w:t xml:space="preserve"> n. 179, poiché “</w:t>
      </w:r>
      <w:r w:rsidRPr="00A40540">
        <w:rPr>
          <w:rFonts w:ascii="Times New Roman" w:hAnsi="Times New Roman" w:cs="Times New Roman"/>
          <w:i/>
          <w:sz w:val="24"/>
          <w:szCs w:val="24"/>
        </w:rPr>
        <w:t>per la determinazione concreta dell’indennizzo in conseguenza della reiterazione di vincoli urbanistici esistono molteplici variabili</w:t>
      </w:r>
      <w:r w:rsidRPr="00A40540">
        <w:rPr>
          <w:rFonts w:ascii="Times New Roman" w:hAnsi="Times New Roman" w:cs="Times New Roman"/>
          <w:sz w:val="24"/>
          <w:szCs w:val="24"/>
        </w:rPr>
        <w:t>”, è consentito al legislatore “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esercitare scelte tra misure risarcitorie, indennitarie, e anche, in taluni casi, tra misure alternative riparatorie anche in forma specifica </w:t>
      </w:r>
      <w:r w:rsidR="00A01F90" w:rsidRPr="00A40540">
        <w:rPr>
          <w:rFonts w:ascii="Times New Roman" w:hAnsi="Times New Roman" w:cs="Times New Roman"/>
          <w:i/>
          <w:sz w:val="24"/>
          <w:szCs w:val="24"/>
        </w:rPr>
        <w:t>…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 mediante altri sistemi compensativi</w:t>
      </w:r>
      <w:r w:rsidR="008B4452" w:rsidRPr="00A40540">
        <w:rPr>
          <w:rFonts w:ascii="Times New Roman" w:hAnsi="Times New Roman" w:cs="Times New Roman"/>
          <w:i/>
          <w:sz w:val="24"/>
          <w:szCs w:val="24"/>
        </w:rPr>
        <w:t>,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 che non penalizzano i soggetti interessati dalle scelte urbanistiche che incidono su beni determinat</w:t>
      </w:r>
      <w:r w:rsidRPr="00A40540">
        <w:rPr>
          <w:rFonts w:ascii="Times New Roman" w:hAnsi="Times New Roman" w:cs="Times New Roman"/>
          <w:sz w:val="24"/>
          <w:szCs w:val="24"/>
        </w:rPr>
        <w:t>i”.</w:t>
      </w:r>
    </w:p>
  </w:footnote>
  <w:footnote w:id="15">
    <w:p w:rsidR="00E85C3A" w:rsidRPr="00A40540" w:rsidRDefault="00E85C3A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CIRILLO, </w:t>
      </w:r>
      <w:r w:rsidRPr="00A40540">
        <w:rPr>
          <w:rFonts w:ascii="Times New Roman" w:hAnsi="Times New Roman" w:cs="Times New Roman"/>
          <w:i/>
          <w:sz w:val="24"/>
          <w:szCs w:val="24"/>
        </w:rPr>
        <w:t>L</w:t>
      </w:r>
      <w:r w:rsidR="00CE5806" w:rsidRPr="00A40540">
        <w:rPr>
          <w:rFonts w:ascii="Times New Roman" w:hAnsi="Times New Roman" w:cs="Times New Roman"/>
          <w:i/>
          <w:sz w:val="24"/>
          <w:szCs w:val="24"/>
        </w:rPr>
        <w:t>a trascrizione dei ‘diritti edificatori’ e la circolazione degli interessi legittimi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0540">
        <w:rPr>
          <w:rFonts w:ascii="Times New Roman" w:hAnsi="Times New Roman" w:cs="Times New Roman"/>
          <w:sz w:val="24"/>
          <w:szCs w:val="24"/>
        </w:rPr>
        <w:t>in</w:t>
      </w:r>
      <w:r w:rsidRPr="00A4054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2" w:history="1">
        <w:r w:rsidRPr="00A40540">
          <w:rPr>
            <w:rFonts w:ascii="Times New Roman" w:hAnsi="Times New Roman" w:cs="Times New Roman"/>
            <w:i/>
            <w:sz w:val="24"/>
            <w:szCs w:val="24"/>
          </w:rPr>
          <w:t>www.giustizia-amministrativa.it</w:t>
        </w:r>
      </w:hyperlink>
      <w:r w:rsidRPr="00A40540">
        <w:rPr>
          <w:rFonts w:ascii="Times New Roman" w:hAnsi="Times New Roman" w:cs="Times New Roman"/>
          <w:sz w:val="24"/>
          <w:szCs w:val="24"/>
        </w:rPr>
        <w:t>, 2013.</w:t>
      </w:r>
    </w:p>
  </w:footnote>
  <w:footnote w:id="16">
    <w:p w:rsidR="00EB528E" w:rsidRPr="00A40540" w:rsidRDefault="00EB528E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40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>. Stato, Sez. VI, 21 novembre 2016 n. 4861.</w:t>
      </w:r>
    </w:p>
  </w:footnote>
  <w:footnote w:id="17">
    <w:p w:rsidR="00621977" w:rsidRPr="00A40540" w:rsidRDefault="00621977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="0008060A" w:rsidRPr="00A40540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  <w:r w:rsidR="0008060A" w:rsidRPr="00A40540">
        <w:rPr>
          <w:rFonts w:ascii="Times New Roman" w:hAnsi="Times New Roman" w:cs="Times New Roman"/>
          <w:sz w:val="24"/>
          <w:szCs w:val="24"/>
        </w:rPr>
        <w:t xml:space="preserve">Secondo </w:t>
      </w:r>
      <w:proofErr w:type="spellStart"/>
      <w:r w:rsidR="0008060A" w:rsidRPr="00A40540">
        <w:rPr>
          <w:rFonts w:ascii="Times New Roman" w:hAnsi="Times New Roman" w:cs="Times New Roman"/>
          <w:sz w:val="24"/>
          <w:szCs w:val="24"/>
        </w:rPr>
        <w:t>C</w:t>
      </w:r>
      <w:r w:rsidRPr="00A40540">
        <w:rPr>
          <w:rFonts w:ascii="Times New Roman" w:hAnsi="Times New Roman" w:cs="Times New Roman"/>
          <w:sz w:val="24"/>
          <w:szCs w:val="24"/>
        </w:rPr>
        <w:t>ons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>. Stato, Sez. VI, 8 aprile 2016 n. 1398</w:t>
      </w:r>
      <w:r w:rsidR="00423E5E" w:rsidRPr="00A405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23E5E" w:rsidRPr="00A40540">
        <w:rPr>
          <w:rFonts w:ascii="Times New Roman" w:hAnsi="Times New Roman" w:cs="Times New Roman"/>
          <w:color w:val="333333"/>
          <w:sz w:val="24"/>
          <w:szCs w:val="24"/>
        </w:rPr>
        <w:t>Cons</w:t>
      </w:r>
      <w:proofErr w:type="spellEnd"/>
      <w:r w:rsidR="00423E5E" w:rsidRPr="00A40540">
        <w:rPr>
          <w:rFonts w:ascii="Times New Roman" w:hAnsi="Times New Roman" w:cs="Times New Roman"/>
          <w:color w:val="333333"/>
          <w:sz w:val="24"/>
          <w:szCs w:val="24"/>
        </w:rPr>
        <w:t>. Stato, Sez. V, 19 aprile 2013 n. 2220</w:t>
      </w:r>
      <w:r w:rsidR="00426A61" w:rsidRPr="00A40540">
        <w:rPr>
          <w:rFonts w:ascii="Times New Roman" w:hAnsi="Times New Roman" w:cs="Times New Roman"/>
          <w:sz w:val="24"/>
          <w:szCs w:val="24"/>
        </w:rPr>
        <w:t xml:space="preserve">, </w:t>
      </w:r>
      <w:r w:rsidR="0008060A" w:rsidRPr="00A40540">
        <w:rPr>
          <w:rFonts w:ascii="Times New Roman" w:hAnsi="Times New Roman" w:cs="Times New Roman"/>
          <w:sz w:val="24"/>
          <w:szCs w:val="24"/>
        </w:rPr>
        <w:t>va</w:t>
      </w:r>
      <w:r w:rsidR="00426A61" w:rsidRPr="00A40540">
        <w:rPr>
          <w:rFonts w:ascii="Times New Roman" w:hAnsi="Times New Roman" w:cs="Times New Roman"/>
          <w:sz w:val="24"/>
          <w:szCs w:val="24"/>
        </w:rPr>
        <w:t xml:space="preserve"> esclus</w:t>
      </w:r>
      <w:r w:rsidR="0008060A" w:rsidRPr="00A40540">
        <w:rPr>
          <w:rFonts w:ascii="Times New Roman" w:hAnsi="Times New Roman" w:cs="Times New Roman"/>
          <w:sz w:val="24"/>
          <w:szCs w:val="24"/>
        </w:rPr>
        <w:t>a</w:t>
      </w:r>
      <w:r w:rsidR="00426A61" w:rsidRPr="00A40540">
        <w:rPr>
          <w:rFonts w:ascii="Times New Roman" w:hAnsi="Times New Roman" w:cs="Times New Roman"/>
          <w:sz w:val="24"/>
          <w:szCs w:val="24"/>
        </w:rPr>
        <w:t xml:space="preserve"> la trasposizione d</w:t>
      </w:r>
      <w:r w:rsidR="0008060A" w:rsidRPr="00A40540">
        <w:rPr>
          <w:rFonts w:ascii="Times New Roman" w:hAnsi="Times New Roman" w:cs="Times New Roman"/>
          <w:sz w:val="24"/>
          <w:szCs w:val="24"/>
        </w:rPr>
        <w:t>i</w:t>
      </w:r>
      <w:r w:rsidR="00426A61" w:rsidRPr="00A40540">
        <w:rPr>
          <w:rFonts w:ascii="Times New Roman" w:hAnsi="Times New Roman" w:cs="Times New Roman"/>
          <w:sz w:val="24"/>
          <w:szCs w:val="24"/>
        </w:rPr>
        <w:t xml:space="preserve"> cubatura tra zone aventi indici </w:t>
      </w:r>
      <w:r w:rsidR="00867795" w:rsidRPr="00A40540">
        <w:rPr>
          <w:rFonts w:ascii="Times New Roman" w:hAnsi="Times New Roman" w:cs="Times New Roman"/>
          <w:sz w:val="24"/>
          <w:szCs w:val="24"/>
        </w:rPr>
        <w:t xml:space="preserve">diversi </w:t>
      </w:r>
      <w:r w:rsidR="00426A61" w:rsidRPr="00A40540">
        <w:rPr>
          <w:rFonts w:ascii="Times New Roman" w:hAnsi="Times New Roman" w:cs="Times New Roman"/>
          <w:sz w:val="24"/>
          <w:szCs w:val="24"/>
        </w:rPr>
        <w:t>di edificabilità.</w:t>
      </w:r>
    </w:p>
  </w:footnote>
  <w:footnote w:id="18">
    <w:p w:rsidR="00766FFC" w:rsidRPr="00A40540" w:rsidRDefault="00766FFC" w:rsidP="00E17CC2">
      <w:pPr>
        <w:pStyle w:val="Testonotaapidipagin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540">
        <w:rPr>
          <w:rStyle w:val="Rimandonotaapidipagina"/>
          <w:rFonts w:ascii="Times New Roman" w:hAnsi="Times New Roman" w:cs="Times New Roman"/>
          <w:sz w:val="24"/>
          <w:szCs w:val="24"/>
        </w:rPr>
        <w:footnoteRef/>
      </w:r>
      <w:r w:rsidRPr="00A4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40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A40540">
        <w:rPr>
          <w:rFonts w:ascii="Times New Roman" w:hAnsi="Times New Roman" w:cs="Times New Roman"/>
          <w:sz w:val="24"/>
          <w:szCs w:val="24"/>
        </w:rPr>
        <w:t>. Stato, Sez. IV, 10 febbraio 2014 n. 616.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169"/>
    <w:multiLevelType w:val="multilevel"/>
    <w:tmpl w:val="191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A060D"/>
    <w:multiLevelType w:val="multilevel"/>
    <w:tmpl w:val="B188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48"/>
    <w:rsid w:val="000063E3"/>
    <w:rsid w:val="00017D7E"/>
    <w:rsid w:val="00025A57"/>
    <w:rsid w:val="00041299"/>
    <w:rsid w:val="00061A8B"/>
    <w:rsid w:val="0008060A"/>
    <w:rsid w:val="000849CF"/>
    <w:rsid w:val="000F2EDC"/>
    <w:rsid w:val="00122475"/>
    <w:rsid w:val="001466D5"/>
    <w:rsid w:val="00163C35"/>
    <w:rsid w:val="00164717"/>
    <w:rsid w:val="001A65BA"/>
    <w:rsid w:val="001C327C"/>
    <w:rsid w:val="001D1E16"/>
    <w:rsid w:val="001D3223"/>
    <w:rsid w:val="001D496D"/>
    <w:rsid w:val="001E29AB"/>
    <w:rsid w:val="00207698"/>
    <w:rsid w:val="002106B5"/>
    <w:rsid w:val="0024430C"/>
    <w:rsid w:val="002667C6"/>
    <w:rsid w:val="00273FE2"/>
    <w:rsid w:val="00277972"/>
    <w:rsid w:val="0028665B"/>
    <w:rsid w:val="00292EFB"/>
    <w:rsid w:val="002A1E07"/>
    <w:rsid w:val="002B2C33"/>
    <w:rsid w:val="002E110A"/>
    <w:rsid w:val="003101F6"/>
    <w:rsid w:val="00314EC5"/>
    <w:rsid w:val="00317E80"/>
    <w:rsid w:val="0032049A"/>
    <w:rsid w:val="00327B7D"/>
    <w:rsid w:val="003636BE"/>
    <w:rsid w:val="00381C15"/>
    <w:rsid w:val="00397747"/>
    <w:rsid w:val="003A21EC"/>
    <w:rsid w:val="003A33D5"/>
    <w:rsid w:val="003A54DB"/>
    <w:rsid w:val="003B3511"/>
    <w:rsid w:val="003C20E3"/>
    <w:rsid w:val="00423846"/>
    <w:rsid w:val="00423E5E"/>
    <w:rsid w:val="00426A61"/>
    <w:rsid w:val="00444986"/>
    <w:rsid w:val="00473B04"/>
    <w:rsid w:val="004A1F59"/>
    <w:rsid w:val="004B6807"/>
    <w:rsid w:val="004D7287"/>
    <w:rsid w:val="00503923"/>
    <w:rsid w:val="005136D7"/>
    <w:rsid w:val="00530535"/>
    <w:rsid w:val="0054220C"/>
    <w:rsid w:val="0055726D"/>
    <w:rsid w:val="00566999"/>
    <w:rsid w:val="005B2048"/>
    <w:rsid w:val="005E321B"/>
    <w:rsid w:val="005E3CB0"/>
    <w:rsid w:val="00601370"/>
    <w:rsid w:val="0061647C"/>
    <w:rsid w:val="00621977"/>
    <w:rsid w:val="00631175"/>
    <w:rsid w:val="006513CA"/>
    <w:rsid w:val="00660BEE"/>
    <w:rsid w:val="0068259B"/>
    <w:rsid w:val="00694461"/>
    <w:rsid w:val="006A1BD5"/>
    <w:rsid w:val="006A6005"/>
    <w:rsid w:val="006B306F"/>
    <w:rsid w:val="006B4166"/>
    <w:rsid w:val="006D40A8"/>
    <w:rsid w:val="006D7C99"/>
    <w:rsid w:val="006E2834"/>
    <w:rsid w:val="006F4ED0"/>
    <w:rsid w:val="006F6522"/>
    <w:rsid w:val="006F70F6"/>
    <w:rsid w:val="0071152F"/>
    <w:rsid w:val="00730DC8"/>
    <w:rsid w:val="00766FFC"/>
    <w:rsid w:val="007916B3"/>
    <w:rsid w:val="007B0105"/>
    <w:rsid w:val="007B1E56"/>
    <w:rsid w:val="00804BA3"/>
    <w:rsid w:val="008152B1"/>
    <w:rsid w:val="00823439"/>
    <w:rsid w:val="00823FB0"/>
    <w:rsid w:val="00836008"/>
    <w:rsid w:val="00863722"/>
    <w:rsid w:val="00867795"/>
    <w:rsid w:val="00881A36"/>
    <w:rsid w:val="00883FB2"/>
    <w:rsid w:val="008974D4"/>
    <w:rsid w:val="008B4452"/>
    <w:rsid w:val="008C7BE6"/>
    <w:rsid w:val="00924858"/>
    <w:rsid w:val="0093625E"/>
    <w:rsid w:val="009741AF"/>
    <w:rsid w:val="00983CB6"/>
    <w:rsid w:val="009C2243"/>
    <w:rsid w:val="009D1E3F"/>
    <w:rsid w:val="009E1CFC"/>
    <w:rsid w:val="00A01F90"/>
    <w:rsid w:val="00A07D98"/>
    <w:rsid w:val="00A1257C"/>
    <w:rsid w:val="00A243B4"/>
    <w:rsid w:val="00A26D0D"/>
    <w:rsid w:val="00A30DB8"/>
    <w:rsid w:val="00A33431"/>
    <w:rsid w:val="00A40540"/>
    <w:rsid w:val="00A63C79"/>
    <w:rsid w:val="00A71F2B"/>
    <w:rsid w:val="00A75C44"/>
    <w:rsid w:val="00AB081D"/>
    <w:rsid w:val="00AE579C"/>
    <w:rsid w:val="00AF6DEB"/>
    <w:rsid w:val="00B438EF"/>
    <w:rsid w:val="00B70356"/>
    <w:rsid w:val="00B74684"/>
    <w:rsid w:val="00B83531"/>
    <w:rsid w:val="00B94FC8"/>
    <w:rsid w:val="00BA1876"/>
    <w:rsid w:val="00BA3C3D"/>
    <w:rsid w:val="00BB50D6"/>
    <w:rsid w:val="00BD3A56"/>
    <w:rsid w:val="00BE0E1E"/>
    <w:rsid w:val="00C070B4"/>
    <w:rsid w:val="00C33E47"/>
    <w:rsid w:val="00C76D5A"/>
    <w:rsid w:val="00CA2CE1"/>
    <w:rsid w:val="00CC618D"/>
    <w:rsid w:val="00CE5806"/>
    <w:rsid w:val="00D02BAC"/>
    <w:rsid w:val="00D06E83"/>
    <w:rsid w:val="00D1139B"/>
    <w:rsid w:val="00D12487"/>
    <w:rsid w:val="00D12F65"/>
    <w:rsid w:val="00D17BA4"/>
    <w:rsid w:val="00D71E41"/>
    <w:rsid w:val="00D80180"/>
    <w:rsid w:val="00DB2876"/>
    <w:rsid w:val="00DB4107"/>
    <w:rsid w:val="00DC65B6"/>
    <w:rsid w:val="00DD3FB3"/>
    <w:rsid w:val="00DD427C"/>
    <w:rsid w:val="00DF17D8"/>
    <w:rsid w:val="00E0149A"/>
    <w:rsid w:val="00E01F9D"/>
    <w:rsid w:val="00E17CC2"/>
    <w:rsid w:val="00E21B6B"/>
    <w:rsid w:val="00E332FD"/>
    <w:rsid w:val="00E41C99"/>
    <w:rsid w:val="00E52C91"/>
    <w:rsid w:val="00E57A6F"/>
    <w:rsid w:val="00E650BE"/>
    <w:rsid w:val="00E85C3A"/>
    <w:rsid w:val="00E87BB4"/>
    <w:rsid w:val="00EA4F6A"/>
    <w:rsid w:val="00EB528E"/>
    <w:rsid w:val="00ED50E6"/>
    <w:rsid w:val="00F15B21"/>
    <w:rsid w:val="00F6045A"/>
    <w:rsid w:val="00F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E5DC7-1A9C-491F-B8BE-9D574A89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B2048"/>
    <w:rPr>
      <w:b/>
      <w:bCs/>
    </w:rPr>
  </w:style>
  <w:style w:type="paragraph" w:customStyle="1" w:styleId="popolo">
    <w:name w:val="popolo"/>
    <w:basedOn w:val="Normale"/>
    <w:rsid w:val="005B204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2048"/>
    <w:rPr>
      <w:color w:val="000080"/>
      <w:u w:val="singl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B2048"/>
  </w:style>
  <w:style w:type="character" w:customStyle="1" w:styleId="news-font1">
    <w:name w:val="news-font1"/>
    <w:basedOn w:val="Carpredefinitoparagrafo"/>
    <w:rsid w:val="005B204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B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B20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B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g-binding">
    <w:name w:val="ng-binding"/>
    <w:basedOn w:val="Carpredefinitoparagrafo"/>
    <w:rsid w:val="00E52C91"/>
  </w:style>
  <w:style w:type="paragraph" w:customStyle="1" w:styleId="registri">
    <w:name w:val="registri"/>
    <w:basedOn w:val="Normale"/>
    <w:rsid w:val="00423846"/>
    <w:pPr>
      <w:spacing w:before="100" w:beforeAutospacing="1" w:after="100" w:afterAutospacing="1" w:line="0" w:lineRule="atLeast"/>
      <w:jc w:val="right"/>
    </w:pPr>
    <w:rPr>
      <w:rFonts w:ascii="Times Nordic" w:eastAsia="Times New Roman" w:hAnsi="Times Nordic" w:cs="Times New Roman"/>
      <w:b/>
      <w:bCs/>
      <w:lang w:eastAsia="it-IT"/>
    </w:rPr>
  </w:style>
  <w:style w:type="character" w:styleId="Enfasicorsivo">
    <w:name w:val="Emphasis"/>
    <w:basedOn w:val="Carpredefinitoparagrafo"/>
    <w:uiPriority w:val="20"/>
    <w:qFormat/>
    <w:rsid w:val="00423846"/>
    <w:rPr>
      <w:i/>
      <w:iCs/>
    </w:rPr>
  </w:style>
  <w:style w:type="paragraph" w:customStyle="1" w:styleId="western">
    <w:name w:val="western"/>
    <w:basedOn w:val="Normale"/>
    <w:rsid w:val="008C7BE6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6D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6D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6D5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73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B04"/>
  </w:style>
  <w:style w:type="paragraph" w:styleId="Pidipagina">
    <w:name w:val="footer"/>
    <w:basedOn w:val="Normale"/>
    <w:link w:val="PidipaginaCarattere"/>
    <w:uiPriority w:val="99"/>
    <w:unhideWhenUsed/>
    <w:rsid w:val="00473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B04"/>
  </w:style>
  <w:style w:type="paragraph" w:styleId="Nessunaspaziatura">
    <w:name w:val="No Spacing"/>
    <w:uiPriority w:val="1"/>
    <w:qFormat/>
    <w:rsid w:val="007B1E56"/>
    <w:pPr>
      <w:spacing w:after="0" w:line="240" w:lineRule="auto"/>
    </w:pPr>
  </w:style>
  <w:style w:type="character" w:customStyle="1" w:styleId="grame">
    <w:name w:val="grame"/>
    <w:basedOn w:val="Carpredefinitoparagrafo"/>
    <w:rsid w:val="00D0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376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673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9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0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8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65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36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38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7923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iclopedia-juridica.biz14.com/it/d/interessi/interess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ciclopedia-juridica.biz14.com/it/d/ricchezza/ricchezza.ht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ustizia-amministrativa.it" TargetMode="External"/><Relationship Id="rId1" Type="http://schemas.openxmlformats.org/officeDocument/2006/relationships/hyperlink" Target="http://www.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77E6-C22E-4DF5-97F9-51523E82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FERRARI Giulia</cp:lastModifiedBy>
  <cp:revision>3</cp:revision>
  <dcterms:created xsi:type="dcterms:W3CDTF">2019-05-12T21:42:00Z</dcterms:created>
  <dcterms:modified xsi:type="dcterms:W3CDTF">2019-05-12T21:42:00Z</dcterms:modified>
</cp:coreProperties>
</file>