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7A" w:rsidRPr="0065670F" w:rsidRDefault="00D6487A" w:rsidP="00505D5D">
      <w:pPr>
        <w:ind w:firstLine="567"/>
        <w:jc w:val="both"/>
        <w:rPr>
          <w:rFonts w:ascii="Palatino Linotype" w:hAnsi="Palatino Linotype" w:cs="Times New Roman"/>
          <w:b/>
          <w:sz w:val="24"/>
          <w:szCs w:val="24"/>
        </w:rPr>
      </w:pPr>
      <w:r w:rsidRPr="0065670F">
        <w:rPr>
          <w:rFonts w:ascii="Palatino Linotype" w:hAnsi="Palatino Linotype" w:cs="Times New Roman"/>
          <w:b/>
          <w:sz w:val="24"/>
          <w:szCs w:val="24"/>
        </w:rPr>
        <w:t xml:space="preserve">Società in </w:t>
      </w:r>
      <w:proofErr w:type="spellStart"/>
      <w:r w:rsidRPr="0065670F">
        <w:rPr>
          <w:rFonts w:ascii="Palatino Linotype" w:hAnsi="Palatino Linotype" w:cs="Times New Roman"/>
          <w:b/>
          <w:sz w:val="24"/>
          <w:szCs w:val="24"/>
        </w:rPr>
        <w:t>house</w:t>
      </w:r>
      <w:proofErr w:type="spellEnd"/>
      <w:r w:rsidRPr="0065670F">
        <w:rPr>
          <w:rFonts w:ascii="Palatino Linotype" w:hAnsi="Palatino Linotype" w:cs="Times New Roman"/>
          <w:b/>
          <w:sz w:val="24"/>
          <w:szCs w:val="24"/>
        </w:rPr>
        <w:t xml:space="preserve">: affidamento, prevalenza dell’attività e scioglimento – I diversi modelli di in </w:t>
      </w:r>
      <w:proofErr w:type="spellStart"/>
      <w:r w:rsidRPr="0065670F">
        <w:rPr>
          <w:rFonts w:ascii="Palatino Linotype" w:hAnsi="Palatino Linotype" w:cs="Times New Roman"/>
          <w:b/>
          <w:sz w:val="24"/>
          <w:szCs w:val="24"/>
        </w:rPr>
        <w:t>house</w:t>
      </w:r>
      <w:proofErr w:type="spellEnd"/>
      <w:r w:rsidRPr="0065670F">
        <w:rPr>
          <w:rFonts w:ascii="Palatino Linotype" w:hAnsi="Palatino Linotype" w:cs="Times New Roman"/>
          <w:b/>
          <w:sz w:val="24"/>
          <w:szCs w:val="24"/>
        </w:rPr>
        <w:t xml:space="preserve"> nel codice dei contratti e nel T.U. delle società partecipate</w:t>
      </w:r>
      <w:r w:rsidR="009562DF" w:rsidRPr="0065670F">
        <w:rPr>
          <w:rFonts w:ascii="Palatino Linotype" w:hAnsi="Palatino Linotype" w:cs="Times New Roman"/>
          <w:b/>
          <w:sz w:val="24"/>
          <w:szCs w:val="24"/>
        </w:rPr>
        <w:t xml:space="preserve"> *.</w:t>
      </w:r>
    </w:p>
    <w:p w:rsidR="0065670F" w:rsidRPr="0065670F" w:rsidRDefault="0065670F" w:rsidP="00505D5D">
      <w:pPr>
        <w:ind w:firstLine="567"/>
        <w:jc w:val="both"/>
        <w:rPr>
          <w:rFonts w:ascii="Palatino Linotype" w:hAnsi="Palatino Linotype" w:cs="Times New Roman"/>
          <w:i/>
          <w:sz w:val="24"/>
          <w:szCs w:val="24"/>
        </w:rPr>
      </w:pPr>
      <w:r w:rsidRPr="0065670F">
        <w:rPr>
          <w:rFonts w:ascii="Palatino Linotype" w:hAnsi="Palatino Linotype" w:cs="Times New Roman"/>
          <w:i/>
          <w:sz w:val="24"/>
          <w:szCs w:val="24"/>
        </w:rPr>
        <w:t>Intervento nell’ambito Corso di formazione su "Le società a partecipazione pubblica, nel Testo unico 19 agosto 2016, n. 175”, organizzato dall’Ufficio studi massimario e formazione della giustizia amministrativa, tenutosi in data 13 – 14 dicembre 2018 presso il TAR per il Lazio.</w:t>
      </w:r>
    </w:p>
    <w:p w:rsidR="009562DF" w:rsidRDefault="009562DF" w:rsidP="00505D5D">
      <w:pPr>
        <w:ind w:firstLine="567"/>
        <w:jc w:val="both"/>
        <w:rPr>
          <w:rFonts w:ascii="Palatino Linotype" w:hAnsi="Palatino Linotype" w:cs="Times New Roman"/>
          <w:sz w:val="24"/>
          <w:szCs w:val="24"/>
        </w:rPr>
      </w:pPr>
    </w:p>
    <w:p w:rsidR="00AB5489"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 xml:space="preserve">1 </w:t>
      </w:r>
      <w:r w:rsidR="00AB5489" w:rsidRPr="002C78F1">
        <w:rPr>
          <w:rFonts w:ascii="Palatino Linotype" w:hAnsi="Palatino Linotype" w:cs="Times New Roman"/>
          <w:b/>
          <w:sz w:val="24"/>
          <w:szCs w:val="24"/>
        </w:rPr>
        <w:t xml:space="preserve">L’evoluzione </w:t>
      </w:r>
      <w:proofErr w:type="spellStart"/>
      <w:r w:rsidR="00AB5489" w:rsidRPr="002C78F1">
        <w:rPr>
          <w:rFonts w:ascii="Palatino Linotype" w:hAnsi="Palatino Linotype" w:cs="Times New Roman"/>
          <w:b/>
          <w:sz w:val="24"/>
          <w:szCs w:val="24"/>
        </w:rPr>
        <w:t>dell’in</w:t>
      </w:r>
      <w:proofErr w:type="spellEnd"/>
      <w:r w:rsidR="00AB5489" w:rsidRPr="002C78F1">
        <w:rPr>
          <w:rFonts w:ascii="Palatino Linotype" w:hAnsi="Palatino Linotype" w:cs="Times New Roman"/>
          <w:b/>
          <w:sz w:val="24"/>
          <w:szCs w:val="24"/>
        </w:rPr>
        <w:t xml:space="preserve"> </w:t>
      </w:r>
      <w:proofErr w:type="spellStart"/>
      <w:r w:rsidR="00AB5489" w:rsidRPr="002C78F1">
        <w:rPr>
          <w:rFonts w:ascii="Palatino Linotype" w:hAnsi="Palatino Linotype" w:cs="Times New Roman"/>
          <w:b/>
          <w:sz w:val="24"/>
          <w:szCs w:val="24"/>
        </w:rPr>
        <w:t>house</w:t>
      </w:r>
      <w:proofErr w:type="spellEnd"/>
      <w:r w:rsidR="00AB5489" w:rsidRPr="002C78F1">
        <w:rPr>
          <w:rFonts w:ascii="Palatino Linotype" w:hAnsi="Palatino Linotype" w:cs="Times New Roman"/>
          <w:b/>
          <w:sz w:val="24"/>
          <w:szCs w:val="24"/>
        </w:rPr>
        <w:t xml:space="preserve">. </w:t>
      </w:r>
    </w:p>
    <w:p w:rsidR="00AB5489" w:rsidRPr="00ED7125" w:rsidRDefault="00AB5489" w:rsidP="00505D5D">
      <w:pPr>
        <w:ind w:firstLine="567"/>
        <w:jc w:val="both"/>
        <w:rPr>
          <w:rFonts w:ascii="Palatino Linotype" w:hAnsi="Palatino Linotype" w:cs="Times New Roman"/>
          <w:sz w:val="24"/>
          <w:szCs w:val="24"/>
        </w:rPr>
      </w:pP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Se la materia degli appalti coinvolge una fetta rilevante e peculiare del contenzioso amministrativo, anche a cagione del rito processuale particolarmente accelerato, il tema degli affidamenti cc.dd. </w:t>
      </w:r>
      <w:proofErr w:type="gramStart"/>
      <w:r w:rsidRPr="00ED7125">
        <w:rPr>
          <w:rFonts w:ascii="Palatino Linotype" w:hAnsi="Palatino Linotype" w:cs="Times New Roman"/>
          <w:sz w:val="24"/>
          <w:szCs w:val="24"/>
        </w:rPr>
        <w:t>in</w:t>
      </w:r>
      <w:proofErr w:type="gramEnd"/>
      <w:r w:rsidRPr="00ED7125">
        <w:rPr>
          <w:rFonts w:ascii="Palatino Linotype" w:hAnsi="Palatino Linotype" w:cs="Times New Roman"/>
          <w:sz w:val="24"/>
          <w:szCs w:val="24"/>
        </w:rPr>
        <w:t xml:space="preserve"> </w:t>
      </w:r>
      <w:proofErr w:type="spellStart"/>
      <w:r w:rsidRPr="00ED7125">
        <w:rPr>
          <w:rFonts w:ascii="Palatino Linotype" w:hAnsi="Palatino Linotype" w:cs="Times New Roman"/>
          <w:sz w:val="24"/>
          <w:szCs w:val="24"/>
        </w:rPr>
        <w:t>house</w:t>
      </w:r>
      <w:proofErr w:type="spellEnd"/>
      <w:r w:rsidRPr="00ED7125">
        <w:rPr>
          <w:rFonts w:ascii="Palatino Linotype" w:hAnsi="Palatino Linotype" w:cs="Times New Roman"/>
          <w:sz w:val="24"/>
          <w:szCs w:val="24"/>
        </w:rPr>
        <w:t xml:space="preserve"> ha interessato negli ultimi lustri non solo la giurisprudenza – europea e nazionale – ma anche la dottrina, impegnata a trovare una definitiva dimensione ad uno strumento che pareva mal visto a livello sovranazionale.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La prevenzione derivava dalla necessità di garantire il consolidamento dei principi in tema di obbligo di gara, connessi agli obiettivi di fondo nell’ottica europea, di tutela della concorrenza e di massima apertura del mercato.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Le controspinte, accusate di partire da logiche tradizionali e protezionistiche, hanno trovato involontario sostegno nella crisi della finanza pubblica che, a fronte dei costi sempre più alti derivanti dall’esternalizzazione, hanno spinto a cercare una via di ritorno al controllo pubblico delle risorse impiegate.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Ciò ha consentito un esame più sereno anche dal punto di vista giuridico, dove il </w:t>
      </w:r>
      <w:r w:rsidRPr="00841BB3">
        <w:rPr>
          <w:rFonts w:ascii="Palatino Linotype" w:hAnsi="Palatino Linotype" w:cs="Times New Roman"/>
          <w:i/>
          <w:sz w:val="24"/>
          <w:szCs w:val="24"/>
        </w:rPr>
        <w:t>totem</w:t>
      </w:r>
      <w:r w:rsidRPr="00ED7125">
        <w:rPr>
          <w:rFonts w:ascii="Palatino Linotype" w:hAnsi="Palatino Linotype" w:cs="Times New Roman"/>
          <w:sz w:val="24"/>
          <w:szCs w:val="24"/>
        </w:rPr>
        <w:t xml:space="preserve"> dell’obbligo di gara è venuto ad essere bilanciato dal riconoscimento di una maggior autonomia a monte, in capo alla p.a. titolare delle risorse da impiegare e della responsabilità dell’oggetto di affidamento, in merito allo strumento da utilizzare.</w:t>
      </w:r>
    </w:p>
    <w:p w:rsidR="00AB5489"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 xml:space="preserve">2. </w:t>
      </w:r>
      <w:r w:rsidR="002220B5" w:rsidRPr="002C78F1">
        <w:rPr>
          <w:rFonts w:ascii="Palatino Linotype" w:hAnsi="Palatino Linotype" w:cs="Times New Roman"/>
          <w:b/>
          <w:sz w:val="24"/>
          <w:szCs w:val="24"/>
        </w:rPr>
        <w:t>I</w:t>
      </w:r>
      <w:r w:rsidR="00AB5489" w:rsidRPr="002C78F1">
        <w:rPr>
          <w:rFonts w:ascii="Palatino Linotype" w:hAnsi="Palatino Linotype" w:cs="Times New Roman"/>
          <w:b/>
          <w:sz w:val="24"/>
          <w:szCs w:val="24"/>
        </w:rPr>
        <w:t>l ruolo del</w:t>
      </w:r>
      <w:r w:rsidR="002220B5" w:rsidRPr="002C78F1">
        <w:rPr>
          <w:rFonts w:ascii="Palatino Linotype" w:hAnsi="Palatino Linotype" w:cs="Times New Roman"/>
          <w:b/>
          <w:sz w:val="24"/>
          <w:szCs w:val="24"/>
        </w:rPr>
        <w:t>la giustizia amministrativa</w:t>
      </w:r>
      <w:r w:rsidR="00AB5489" w:rsidRPr="002C78F1">
        <w:rPr>
          <w:rFonts w:ascii="Palatino Linotype" w:hAnsi="Palatino Linotype" w:cs="Times New Roman"/>
          <w:b/>
          <w:sz w:val="24"/>
          <w:szCs w:val="24"/>
        </w:rPr>
        <w:t xml:space="preserve">.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Nel contesto di questa evoluzione</w:t>
      </w:r>
      <w:r w:rsidR="002C78F1">
        <w:rPr>
          <w:rFonts w:ascii="Palatino Linotype" w:hAnsi="Palatino Linotype" w:cs="Times New Roman"/>
          <w:sz w:val="24"/>
          <w:szCs w:val="24"/>
        </w:rPr>
        <w:t>,</w:t>
      </w:r>
      <w:r w:rsidRPr="00ED7125">
        <w:rPr>
          <w:rFonts w:ascii="Palatino Linotype" w:hAnsi="Palatino Linotype" w:cs="Times New Roman"/>
          <w:sz w:val="24"/>
          <w:szCs w:val="24"/>
        </w:rPr>
        <w:t xml:space="preserve"> conosciuta dal dibattito sull’in </w:t>
      </w:r>
      <w:proofErr w:type="spellStart"/>
      <w:r w:rsidRPr="00ED7125">
        <w:rPr>
          <w:rFonts w:ascii="Palatino Linotype" w:hAnsi="Palatino Linotype" w:cs="Times New Roman"/>
          <w:sz w:val="24"/>
          <w:szCs w:val="24"/>
        </w:rPr>
        <w:t>house</w:t>
      </w:r>
      <w:proofErr w:type="spellEnd"/>
      <w:r w:rsidR="002C78F1">
        <w:rPr>
          <w:rFonts w:ascii="Palatino Linotype" w:hAnsi="Palatino Linotype" w:cs="Times New Roman"/>
          <w:sz w:val="24"/>
          <w:szCs w:val="24"/>
        </w:rPr>
        <w:t>,</w:t>
      </w:r>
      <w:r w:rsidRPr="00ED7125">
        <w:rPr>
          <w:rFonts w:ascii="Palatino Linotype" w:hAnsi="Palatino Linotype" w:cs="Times New Roman"/>
          <w:sz w:val="24"/>
          <w:szCs w:val="24"/>
        </w:rPr>
        <w:t xml:space="preserve"> si inserisc</w:t>
      </w:r>
      <w:r w:rsidR="002220B5" w:rsidRPr="00ED7125">
        <w:rPr>
          <w:rFonts w:ascii="Palatino Linotype" w:hAnsi="Palatino Linotype" w:cs="Times New Roman"/>
          <w:sz w:val="24"/>
          <w:szCs w:val="24"/>
        </w:rPr>
        <w:t xml:space="preserve">e il rilevante ruolo svolto dalla </w:t>
      </w:r>
      <w:r w:rsidRPr="00ED7125">
        <w:rPr>
          <w:rFonts w:ascii="Palatino Linotype" w:hAnsi="Palatino Linotype" w:cs="Times New Roman"/>
          <w:sz w:val="24"/>
          <w:szCs w:val="24"/>
        </w:rPr>
        <w:t>giustizia amministrativa. In proposito, l</w:t>
      </w:r>
      <w:r w:rsidR="002220B5" w:rsidRPr="00ED7125">
        <w:rPr>
          <w:rFonts w:ascii="Palatino Linotype" w:hAnsi="Palatino Linotype" w:cs="Times New Roman"/>
          <w:sz w:val="24"/>
          <w:szCs w:val="24"/>
        </w:rPr>
        <w:t xml:space="preserve">e sentenze amministrative hanno fornito più di </w:t>
      </w:r>
      <w:r w:rsidRPr="00ED7125">
        <w:rPr>
          <w:rFonts w:ascii="Palatino Linotype" w:hAnsi="Palatino Linotype" w:cs="Times New Roman"/>
          <w:sz w:val="24"/>
          <w:szCs w:val="24"/>
        </w:rPr>
        <w:t xml:space="preserve">un’interessante ipotesi applicativa della nuova visione dell’affidamento diretto quale modalità ordinaria alternativa all’esternalizzazione, non eccezionale.  </w:t>
      </w:r>
    </w:p>
    <w:p w:rsidR="00AB5489" w:rsidRPr="00ED7125" w:rsidRDefault="002220B5"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Invero</w:t>
      </w:r>
      <w:r w:rsidR="00AB5489" w:rsidRPr="00ED7125">
        <w:rPr>
          <w:rFonts w:ascii="Palatino Linotype" w:hAnsi="Palatino Linotype" w:cs="Times New Roman"/>
          <w:sz w:val="24"/>
          <w:szCs w:val="24"/>
        </w:rPr>
        <w:t xml:space="preserve">, in sede di parere reso sui testi di riforma della disciplina in tema di società partecipate e del nuovo codice appalti, dalle stesse aule di Palazzo Spada (seppur nelle diverse vesti consultive) erano emerse indicazioni secondo cui l’opzione di fondo dovrebbe essere nel senso che la decisione di non esternalizzare l’attività deve costituire oggetto di una rigorosa motivazione tesa a dimostrare che la scelta organizzativa interna si risolve in </w:t>
      </w:r>
      <w:r w:rsidR="00AB5489" w:rsidRPr="00ED7125">
        <w:rPr>
          <w:rFonts w:ascii="Palatino Linotype" w:hAnsi="Palatino Linotype" w:cs="Times New Roman"/>
          <w:sz w:val="24"/>
          <w:szCs w:val="24"/>
        </w:rPr>
        <w:lastRenderedPageBreak/>
        <w:t xml:space="preserve">un maggiore vantaggio per i cittadini; secondo il parere, in specie nel settore dei servizi di interesse economico generale, il ricorso al mercato e non all’in </w:t>
      </w:r>
      <w:proofErr w:type="spellStart"/>
      <w:r w:rsidR="00AB5489" w:rsidRPr="00ED7125">
        <w:rPr>
          <w:rFonts w:ascii="Palatino Linotype" w:hAnsi="Palatino Linotype" w:cs="Times New Roman"/>
          <w:sz w:val="24"/>
          <w:szCs w:val="24"/>
        </w:rPr>
        <w:t>house</w:t>
      </w:r>
      <w:proofErr w:type="spellEnd"/>
      <w:r w:rsidR="00AB5489" w:rsidRPr="00ED7125">
        <w:rPr>
          <w:rFonts w:ascii="Palatino Linotype" w:hAnsi="Palatino Linotype" w:cs="Times New Roman"/>
          <w:sz w:val="24"/>
          <w:szCs w:val="24"/>
        </w:rPr>
        <w:t xml:space="preserve"> può, infatti, costituire esso stesso, permettendo l’accesso di nuovi operatori, un utile strumento di liberalizzazione economica. </w:t>
      </w:r>
    </w:p>
    <w:p w:rsidR="00AB5489" w:rsidRPr="00ED7125" w:rsidRDefault="002220B5"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Successivamente, la giurisprudenza prevalente (cfr. ad es. Consiglio di Stato </w:t>
      </w:r>
      <w:proofErr w:type="spellStart"/>
      <w:r w:rsidRPr="00ED7125">
        <w:rPr>
          <w:rFonts w:ascii="Palatino Linotype" w:hAnsi="Palatino Linotype" w:cs="Times New Roman"/>
          <w:sz w:val="24"/>
          <w:szCs w:val="24"/>
        </w:rPr>
        <w:t>sez</w:t>
      </w:r>
      <w:proofErr w:type="spellEnd"/>
      <w:r w:rsidRPr="00ED7125">
        <w:rPr>
          <w:rFonts w:ascii="Palatino Linotype" w:hAnsi="Palatino Linotype" w:cs="Times New Roman"/>
          <w:sz w:val="24"/>
          <w:szCs w:val="24"/>
        </w:rPr>
        <w:t xml:space="preserve"> V 18 luglio 2017 n. 3554) sembra aver ricondotto l</w:t>
      </w:r>
      <w:r w:rsidR="00AB5489" w:rsidRPr="00ED7125">
        <w:rPr>
          <w:rFonts w:ascii="Palatino Linotype" w:hAnsi="Palatino Linotype" w:cs="Times New Roman"/>
          <w:sz w:val="24"/>
          <w:szCs w:val="24"/>
        </w:rPr>
        <w:t>’obbligo di motivazione</w:t>
      </w:r>
      <w:r w:rsidRPr="00ED7125">
        <w:rPr>
          <w:rFonts w:ascii="Palatino Linotype" w:hAnsi="Palatino Linotype" w:cs="Times New Roman"/>
          <w:sz w:val="24"/>
          <w:szCs w:val="24"/>
        </w:rPr>
        <w:t xml:space="preserve"> in tema di in </w:t>
      </w:r>
      <w:proofErr w:type="spellStart"/>
      <w:r w:rsidRPr="00ED7125">
        <w:rPr>
          <w:rFonts w:ascii="Palatino Linotype" w:hAnsi="Palatino Linotype" w:cs="Times New Roman"/>
          <w:sz w:val="24"/>
          <w:szCs w:val="24"/>
        </w:rPr>
        <w:t>house</w:t>
      </w:r>
      <w:proofErr w:type="spellEnd"/>
      <w:r w:rsidR="00AB5489" w:rsidRPr="00ED7125">
        <w:rPr>
          <w:rFonts w:ascii="Palatino Linotype" w:hAnsi="Palatino Linotype" w:cs="Times New Roman"/>
          <w:sz w:val="24"/>
          <w:szCs w:val="24"/>
        </w:rPr>
        <w:t xml:space="preserve"> al potere ordinario della p.a., secondo il principio generale e consolidato </w:t>
      </w:r>
      <w:r w:rsidRPr="00ED7125">
        <w:rPr>
          <w:rFonts w:ascii="Palatino Linotype" w:hAnsi="Palatino Linotype" w:cs="Times New Roman"/>
          <w:sz w:val="24"/>
          <w:szCs w:val="24"/>
        </w:rPr>
        <w:t xml:space="preserve">a mente del quale </w:t>
      </w:r>
      <w:r w:rsidR="00AB5489" w:rsidRPr="00ED7125">
        <w:rPr>
          <w:rFonts w:ascii="Palatino Linotype" w:hAnsi="Palatino Linotype" w:cs="Times New Roman"/>
          <w:sz w:val="24"/>
          <w:szCs w:val="24"/>
        </w:rPr>
        <w:t xml:space="preserve">ogni determina della p.a. va motivata: la scelta </w:t>
      </w:r>
      <w:proofErr w:type="spellStart"/>
      <w:r w:rsidR="00AB5489" w:rsidRPr="00ED7125">
        <w:rPr>
          <w:rFonts w:ascii="Palatino Linotype" w:hAnsi="Palatino Linotype" w:cs="Times New Roman"/>
          <w:sz w:val="24"/>
          <w:szCs w:val="24"/>
        </w:rPr>
        <w:t>dell’in</w:t>
      </w:r>
      <w:proofErr w:type="spellEnd"/>
      <w:r w:rsidR="00AB5489" w:rsidRPr="00ED7125">
        <w:rPr>
          <w:rFonts w:ascii="Palatino Linotype" w:hAnsi="Palatino Linotype" w:cs="Times New Roman"/>
          <w:sz w:val="24"/>
          <w:szCs w:val="24"/>
        </w:rPr>
        <w:t xml:space="preserve"> </w:t>
      </w:r>
      <w:proofErr w:type="spellStart"/>
      <w:r w:rsidR="00AB5489" w:rsidRPr="00ED7125">
        <w:rPr>
          <w:rFonts w:ascii="Palatino Linotype" w:hAnsi="Palatino Linotype" w:cs="Times New Roman"/>
          <w:sz w:val="24"/>
          <w:szCs w:val="24"/>
        </w:rPr>
        <w:t>house</w:t>
      </w:r>
      <w:proofErr w:type="spellEnd"/>
      <w:r w:rsidR="00AB5489" w:rsidRPr="00ED7125">
        <w:rPr>
          <w:rFonts w:ascii="Palatino Linotype" w:hAnsi="Palatino Linotype" w:cs="Times New Roman"/>
          <w:sz w:val="24"/>
          <w:szCs w:val="24"/>
        </w:rPr>
        <w:t xml:space="preserve"> va motivata, ma costituisce un percorso ordinario alternativo rispetto all’esternalizzazione.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Incidentalmente ciò pare segnare un interessante ritorno alla qualificazione autoritativa delle scelte effettuate a monte dalle </w:t>
      </w:r>
      <w:proofErr w:type="spellStart"/>
      <w:r w:rsidRPr="00ED7125">
        <w:rPr>
          <w:rFonts w:ascii="Palatino Linotype" w:hAnsi="Palatino Linotype" w:cs="Times New Roman"/>
          <w:sz w:val="24"/>
          <w:szCs w:val="24"/>
        </w:rPr>
        <w:t>pp.aa</w:t>
      </w:r>
      <w:proofErr w:type="spellEnd"/>
      <w:r w:rsidRPr="00ED7125">
        <w:rPr>
          <w:rFonts w:ascii="Palatino Linotype" w:hAnsi="Palatino Linotype" w:cs="Times New Roman"/>
          <w:sz w:val="24"/>
          <w:szCs w:val="24"/>
        </w:rPr>
        <w:t xml:space="preserve">. </w:t>
      </w:r>
      <w:proofErr w:type="gramStart"/>
      <w:r w:rsidRPr="00ED7125">
        <w:rPr>
          <w:rFonts w:ascii="Palatino Linotype" w:hAnsi="Palatino Linotype" w:cs="Times New Roman"/>
          <w:sz w:val="24"/>
          <w:szCs w:val="24"/>
        </w:rPr>
        <w:t>anche</w:t>
      </w:r>
      <w:proofErr w:type="gramEnd"/>
      <w:r w:rsidRPr="00ED7125">
        <w:rPr>
          <w:rFonts w:ascii="Palatino Linotype" w:hAnsi="Palatino Linotype" w:cs="Times New Roman"/>
          <w:sz w:val="24"/>
          <w:szCs w:val="24"/>
        </w:rPr>
        <w:t xml:space="preserve"> in materia di affidamenti: l’impiego di risorse pubbliche impone l’adozione di determinazioni autoritative e motivate. </w:t>
      </w:r>
    </w:p>
    <w:p w:rsidR="00AB5489" w:rsidRPr="00ED7125" w:rsidRDefault="00AB5489"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All’evidenza, sul versante giuridico la questione si sposta sulla necessaria verifica della sussistenza, nel caso di specie, dei presupposti necessari per motivare l’affidamento diretto. Altrimenti, infatti, sotto le vesti </w:t>
      </w:r>
      <w:proofErr w:type="spellStart"/>
      <w:r w:rsidRPr="00ED7125">
        <w:rPr>
          <w:rFonts w:ascii="Palatino Linotype" w:hAnsi="Palatino Linotype" w:cs="Times New Roman"/>
          <w:sz w:val="24"/>
          <w:szCs w:val="24"/>
        </w:rPr>
        <w:t>dell’in</w:t>
      </w:r>
      <w:proofErr w:type="spellEnd"/>
      <w:r w:rsidRPr="00ED7125">
        <w:rPr>
          <w:rFonts w:ascii="Palatino Linotype" w:hAnsi="Palatino Linotype" w:cs="Times New Roman"/>
          <w:sz w:val="24"/>
          <w:szCs w:val="24"/>
        </w:rPr>
        <w:t xml:space="preserve"> </w:t>
      </w:r>
      <w:proofErr w:type="spellStart"/>
      <w:r w:rsidRPr="00ED7125">
        <w:rPr>
          <w:rFonts w:ascii="Palatino Linotype" w:hAnsi="Palatino Linotype" w:cs="Times New Roman"/>
          <w:sz w:val="24"/>
          <w:szCs w:val="24"/>
        </w:rPr>
        <w:t>house</w:t>
      </w:r>
      <w:proofErr w:type="spellEnd"/>
      <w:r w:rsidRPr="00ED7125">
        <w:rPr>
          <w:rFonts w:ascii="Palatino Linotype" w:hAnsi="Palatino Linotype" w:cs="Times New Roman"/>
          <w:sz w:val="24"/>
          <w:szCs w:val="24"/>
        </w:rPr>
        <w:t xml:space="preserve"> rischia di celarsi un’esternalizzazione pilotata. </w:t>
      </w:r>
    </w:p>
    <w:p w:rsidR="00AB5489" w:rsidRPr="00ED7125" w:rsidRDefault="002220B5"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In termini pratici, emerge altresì l’impressione dello sforzo derivante </w:t>
      </w:r>
      <w:r w:rsidR="00AB5489" w:rsidRPr="00ED7125">
        <w:rPr>
          <w:rFonts w:ascii="Palatino Linotype" w:hAnsi="Palatino Linotype" w:cs="Times New Roman"/>
          <w:sz w:val="24"/>
          <w:szCs w:val="24"/>
        </w:rPr>
        <w:t>d</w:t>
      </w:r>
      <w:r w:rsidRPr="00ED7125">
        <w:rPr>
          <w:rFonts w:ascii="Palatino Linotype" w:hAnsi="Palatino Linotype" w:cs="Times New Roman"/>
          <w:sz w:val="24"/>
          <w:szCs w:val="24"/>
        </w:rPr>
        <w:t>a</w:t>
      </w:r>
      <w:r w:rsidR="00AB5489" w:rsidRPr="00ED7125">
        <w:rPr>
          <w:rFonts w:ascii="Palatino Linotype" w:hAnsi="Palatino Linotype" w:cs="Times New Roman"/>
          <w:sz w:val="24"/>
          <w:szCs w:val="24"/>
        </w:rPr>
        <w:t>lle difficoltà</w:t>
      </w:r>
      <w:r w:rsidRPr="00ED7125">
        <w:rPr>
          <w:rFonts w:ascii="Palatino Linotype" w:hAnsi="Palatino Linotype" w:cs="Times New Roman"/>
          <w:sz w:val="24"/>
          <w:szCs w:val="24"/>
        </w:rPr>
        <w:t xml:space="preserve"> di </w:t>
      </w:r>
      <w:r w:rsidR="00AB5489" w:rsidRPr="00ED7125">
        <w:rPr>
          <w:rFonts w:ascii="Palatino Linotype" w:hAnsi="Palatino Linotype" w:cs="Times New Roman"/>
          <w:sz w:val="24"/>
          <w:szCs w:val="24"/>
        </w:rPr>
        <w:t>conciliare l’esame di questioni di tale rilevanza nel contesto di sentenze brevi o semplificate che dir si voglia, all’esito di processi particolarmente accelerati rispetto alla media dei tempi di giudizio. Ciò peraltro costituisce frutto dei tempi, dove il fastidio per i controlli giurisdizionali si accompagna ad una richiesta di sempre maggior rapidità nelle decisioni, cui gli operatori del diritto amministrativo (avvocati e giudici compresi) stanno dedicando uno sforzo non sempre compreso a livello di comunicazione generale. Invero, forse solo la crisi economica, causa principale del calo del contenzioso, rende possibile il fragile mantenimento di riti così accelerati in una materia particolarmente complessa, a fronte della carenza di risorse anche umane (basti pensare alle carenze di organico della magistratura amministrativa).</w:t>
      </w:r>
    </w:p>
    <w:p w:rsidR="00AB5489"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3 il contesto normativo.</w:t>
      </w:r>
    </w:p>
    <w:p w:rsidR="00D6487A" w:rsidRPr="00ED7125" w:rsidRDefault="008C6B4D"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In generale occorre prendere sempre le mosse da ciò che costituisce il “</w:t>
      </w:r>
      <w:proofErr w:type="spellStart"/>
      <w:r w:rsidR="00D6487A" w:rsidRPr="00ED7125">
        <w:rPr>
          <w:rFonts w:ascii="Palatino Linotype" w:hAnsi="Palatino Linotype" w:cs="Times New Roman"/>
          <w:sz w:val="24"/>
          <w:szCs w:val="24"/>
        </w:rPr>
        <w:t>proprium</w:t>
      </w:r>
      <w:proofErr w:type="spellEnd"/>
      <w:r w:rsidRPr="00ED7125">
        <w:rPr>
          <w:rFonts w:ascii="Palatino Linotype" w:hAnsi="Palatino Linotype" w:cs="Times New Roman"/>
          <w:sz w:val="24"/>
          <w:szCs w:val="24"/>
        </w:rPr>
        <w:t>”</w:t>
      </w:r>
      <w:r w:rsidR="00D6487A" w:rsidRPr="00ED7125">
        <w:rPr>
          <w:rFonts w:ascii="Palatino Linotype" w:hAnsi="Palatino Linotype" w:cs="Times New Roman"/>
          <w:sz w:val="24"/>
          <w:szCs w:val="24"/>
        </w:rPr>
        <w:t xml:space="preserve"> dell’attività del </w:t>
      </w:r>
      <w:proofErr w:type="spellStart"/>
      <w:r w:rsidR="00D6487A" w:rsidRPr="00ED7125">
        <w:rPr>
          <w:rFonts w:ascii="Palatino Linotype" w:hAnsi="Palatino Linotype" w:cs="Times New Roman"/>
          <w:sz w:val="24"/>
          <w:szCs w:val="24"/>
        </w:rPr>
        <w:t>g</w:t>
      </w:r>
      <w:r w:rsidRPr="00ED7125">
        <w:rPr>
          <w:rFonts w:ascii="Palatino Linotype" w:hAnsi="Palatino Linotype" w:cs="Times New Roman"/>
          <w:sz w:val="24"/>
          <w:szCs w:val="24"/>
        </w:rPr>
        <w:t>.</w:t>
      </w:r>
      <w:r w:rsidR="00D6487A" w:rsidRPr="00ED7125">
        <w:rPr>
          <w:rFonts w:ascii="Palatino Linotype" w:hAnsi="Palatino Linotype" w:cs="Times New Roman"/>
          <w:sz w:val="24"/>
          <w:szCs w:val="24"/>
        </w:rPr>
        <w:t>a</w:t>
      </w:r>
      <w:proofErr w:type="spellEnd"/>
      <w:r w:rsidRPr="00ED7125">
        <w:rPr>
          <w:rFonts w:ascii="Palatino Linotype" w:hAnsi="Palatino Linotype" w:cs="Times New Roman"/>
          <w:sz w:val="24"/>
          <w:szCs w:val="24"/>
        </w:rPr>
        <w:t>.</w:t>
      </w:r>
      <w:r w:rsidR="00D6487A" w:rsidRPr="00ED7125">
        <w:rPr>
          <w:rFonts w:ascii="Palatino Linotype" w:hAnsi="Palatino Linotype" w:cs="Times New Roman"/>
          <w:sz w:val="24"/>
          <w:szCs w:val="24"/>
        </w:rPr>
        <w:t>, ordinariamente</w:t>
      </w:r>
      <w:r w:rsidRPr="00ED7125">
        <w:rPr>
          <w:rFonts w:ascii="Palatino Linotype" w:hAnsi="Palatino Linotype" w:cs="Times New Roman"/>
          <w:sz w:val="24"/>
          <w:szCs w:val="24"/>
        </w:rPr>
        <w:t xml:space="preserve"> chiamato a svolgere un giudizio </w:t>
      </w:r>
      <w:r w:rsidR="00D6487A" w:rsidRPr="00ED7125">
        <w:rPr>
          <w:rFonts w:ascii="Palatino Linotype" w:hAnsi="Palatino Linotype" w:cs="Times New Roman"/>
          <w:sz w:val="24"/>
          <w:szCs w:val="24"/>
        </w:rPr>
        <w:t>di legittimità, inizia</w:t>
      </w:r>
      <w:r w:rsidRPr="00ED7125">
        <w:rPr>
          <w:rFonts w:ascii="Palatino Linotype" w:hAnsi="Palatino Linotype" w:cs="Times New Roman"/>
          <w:sz w:val="24"/>
          <w:szCs w:val="24"/>
        </w:rPr>
        <w:t xml:space="preserve">ndo quindi dalle </w:t>
      </w:r>
      <w:r w:rsidR="00D6487A" w:rsidRPr="00ED7125">
        <w:rPr>
          <w:rFonts w:ascii="Palatino Linotype" w:hAnsi="Palatino Linotype" w:cs="Times New Roman"/>
          <w:sz w:val="24"/>
          <w:szCs w:val="24"/>
        </w:rPr>
        <w:t>norme</w:t>
      </w:r>
      <w:r w:rsidRPr="00ED7125">
        <w:rPr>
          <w:rFonts w:ascii="Palatino Linotype" w:hAnsi="Palatino Linotype" w:cs="Times New Roman"/>
          <w:sz w:val="24"/>
          <w:szCs w:val="24"/>
        </w:rPr>
        <w:t xml:space="preserve"> rilevanti nella </w:t>
      </w:r>
      <w:proofErr w:type="gramStart"/>
      <w:r w:rsidRPr="00ED7125">
        <w:rPr>
          <w:rFonts w:ascii="Palatino Linotype" w:hAnsi="Palatino Linotype" w:cs="Times New Roman"/>
          <w:sz w:val="24"/>
          <w:szCs w:val="24"/>
        </w:rPr>
        <w:t xml:space="preserve">specie </w:t>
      </w:r>
      <w:r w:rsidRPr="00ED7125">
        <w:rPr>
          <w:rStyle w:val="Rimandonotaapidipagina"/>
          <w:rFonts w:ascii="Palatino Linotype" w:hAnsi="Palatino Linotype" w:cs="Times New Roman"/>
          <w:sz w:val="24"/>
          <w:szCs w:val="24"/>
        </w:rPr>
        <w:footnoteReference w:id="1"/>
      </w:r>
      <w:r w:rsidRPr="00ED7125">
        <w:rPr>
          <w:rFonts w:ascii="Palatino Linotype" w:hAnsi="Palatino Linotype" w:cs="Times New Roman"/>
          <w:sz w:val="24"/>
          <w:szCs w:val="24"/>
        </w:rPr>
        <w:t>.</w:t>
      </w:r>
      <w:proofErr w:type="gramEnd"/>
      <w:r w:rsidR="00D6487A" w:rsidRPr="00ED7125">
        <w:rPr>
          <w:rFonts w:ascii="Palatino Linotype" w:hAnsi="Palatino Linotype" w:cs="Times New Roman"/>
          <w:sz w:val="24"/>
          <w:szCs w:val="24"/>
        </w:rPr>
        <w:t xml:space="preserve"> </w:t>
      </w:r>
    </w:p>
    <w:p w:rsidR="00D6487A" w:rsidRPr="00D6487A" w:rsidRDefault="00D6487A" w:rsidP="00505D5D">
      <w:pPr>
        <w:ind w:firstLine="567"/>
        <w:jc w:val="both"/>
        <w:rPr>
          <w:rFonts w:ascii="Times New Roman" w:hAnsi="Times New Roman" w:cs="Times New Roman"/>
          <w:sz w:val="24"/>
          <w:szCs w:val="24"/>
        </w:rPr>
      </w:pPr>
    </w:p>
    <w:p w:rsidR="008C6B4D" w:rsidRDefault="008C6B4D" w:rsidP="00505D5D">
      <w:pPr>
        <w:ind w:firstLine="567"/>
        <w:jc w:val="both"/>
        <w:rPr>
          <w:rFonts w:ascii="Palatino Linotype" w:hAnsi="Palatino Linotype"/>
          <w:sz w:val="24"/>
          <w:szCs w:val="24"/>
        </w:rPr>
      </w:pPr>
      <w:r>
        <w:rPr>
          <w:rFonts w:ascii="Palatino Linotype" w:hAnsi="Palatino Linotype"/>
          <w:sz w:val="24"/>
          <w:szCs w:val="24"/>
        </w:rPr>
        <w:t xml:space="preserve">Le norme nazionali vanno peraltro contestualizzate all’interno del </w:t>
      </w:r>
      <w:r w:rsidR="00D73899" w:rsidRPr="00D73899">
        <w:rPr>
          <w:rFonts w:ascii="Palatino Linotype" w:hAnsi="Palatino Linotype"/>
          <w:sz w:val="24"/>
          <w:szCs w:val="24"/>
        </w:rPr>
        <w:t>nuovo</w:t>
      </w:r>
      <w:r>
        <w:rPr>
          <w:rFonts w:ascii="Palatino Linotype" w:hAnsi="Palatino Linotype"/>
          <w:sz w:val="24"/>
          <w:szCs w:val="24"/>
        </w:rPr>
        <w:t xml:space="preserve"> più ampio</w:t>
      </w:r>
      <w:r w:rsidR="00D73899" w:rsidRPr="00D73899">
        <w:rPr>
          <w:rFonts w:ascii="Palatino Linotype" w:hAnsi="Palatino Linotype"/>
          <w:sz w:val="24"/>
          <w:szCs w:val="24"/>
        </w:rPr>
        <w:t xml:space="preserve"> </w:t>
      </w:r>
      <w:r>
        <w:rPr>
          <w:rFonts w:ascii="Palatino Linotype" w:hAnsi="Palatino Linotype"/>
          <w:sz w:val="24"/>
          <w:szCs w:val="24"/>
        </w:rPr>
        <w:t xml:space="preserve">c.d. </w:t>
      </w:r>
      <w:r w:rsidR="00D73899" w:rsidRPr="00D73899">
        <w:rPr>
          <w:rFonts w:ascii="Palatino Linotype" w:hAnsi="Palatino Linotype"/>
          <w:sz w:val="24"/>
          <w:szCs w:val="24"/>
        </w:rPr>
        <w:t xml:space="preserve">statuto </w:t>
      </w:r>
      <w:proofErr w:type="spellStart"/>
      <w:r w:rsidR="00D73899" w:rsidRPr="00D73899">
        <w:rPr>
          <w:rFonts w:ascii="Palatino Linotype" w:hAnsi="Palatino Linotype"/>
          <w:sz w:val="24"/>
          <w:szCs w:val="24"/>
        </w:rPr>
        <w:t>dell'in</w:t>
      </w:r>
      <w:proofErr w:type="spellEnd"/>
      <w:r w:rsidR="00D73899" w:rsidRPr="00D73899">
        <w:rPr>
          <w:rFonts w:ascii="Palatino Linotype" w:hAnsi="Palatino Linotype"/>
          <w:sz w:val="24"/>
          <w:szCs w:val="24"/>
        </w:rPr>
        <w:t xml:space="preserve"> </w:t>
      </w:r>
      <w:proofErr w:type="spellStart"/>
      <w:r w:rsidR="00D73899" w:rsidRPr="00D73899">
        <w:rPr>
          <w:rFonts w:ascii="Palatino Linotype" w:hAnsi="Palatino Linotype"/>
          <w:sz w:val="24"/>
          <w:szCs w:val="24"/>
        </w:rPr>
        <w:t>house</w:t>
      </w:r>
      <w:proofErr w:type="spellEnd"/>
      <w:r w:rsidR="00D73899" w:rsidRPr="00D73899">
        <w:rPr>
          <w:rFonts w:ascii="Palatino Linotype" w:hAnsi="Palatino Linotype"/>
          <w:sz w:val="24"/>
          <w:szCs w:val="24"/>
        </w:rPr>
        <w:t xml:space="preserve">, così come risultante dalla codificazione </w:t>
      </w:r>
      <w:proofErr w:type="spellStart"/>
      <w:r w:rsidR="00D73899" w:rsidRPr="00D73899">
        <w:rPr>
          <w:rFonts w:ascii="Palatino Linotype" w:hAnsi="Palatino Linotype"/>
          <w:sz w:val="24"/>
          <w:szCs w:val="24"/>
        </w:rPr>
        <w:t>eurounitaria</w:t>
      </w:r>
      <w:proofErr w:type="spellEnd"/>
      <w:r w:rsidR="00D73899" w:rsidRPr="00D73899">
        <w:rPr>
          <w:rFonts w:ascii="Palatino Linotype" w:hAnsi="Palatino Linotype"/>
          <w:sz w:val="24"/>
          <w:szCs w:val="24"/>
        </w:rPr>
        <w:t xml:space="preserve"> e nazionale.</w:t>
      </w:r>
    </w:p>
    <w:p w:rsidR="00D73899" w:rsidRPr="00D73899" w:rsidRDefault="008C6B4D" w:rsidP="00505D5D">
      <w:pPr>
        <w:ind w:firstLine="567"/>
        <w:jc w:val="both"/>
        <w:rPr>
          <w:rFonts w:ascii="Palatino Linotype" w:hAnsi="Palatino Linotype"/>
          <w:sz w:val="24"/>
          <w:szCs w:val="24"/>
        </w:rPr>
      </w:pPr>
      <w:r>
        <w:rPr>
          <w:rFonts w:ascii="Palatino Linotype" w:hAnsi="Palatino Linotype"/>
          <w:sz w:val="24"/>
          <w:szCs w:val="24"/>
        </w:rPr>
        <w:t xml:space="preserve">Infatti, </w:t>
      </w:r>
      <w:r w:rsidR="00D73899" w:rsidRPr="00D73899">
        <w:rPr>
          <w:rFonts w:ascii="Palatino Linotype" w:hAnsi="Palatino Linotype"/>
          <w:sz w:val="24"/>
          <w:szCs w:val="24"/>
        </w:rPr>
        <w:t xml:space="preserve">dopo una lunga elaborazione giurisprudenziale, </w:t>
      </w:r>
      <w:proofErr w:type="spellStart"/>
      <w:r w:rsidR="00D73899" w:rsidRPr="00D73899">
        <w:rPr>
          <w:rFonts w:ascii="Palatino Linotype" w:hAnsi="Palatino Linotype"/>
          <w:sz w:val="24"/>
          <w:szCs w:val="24"/>
        </w:rPr>
        <w:t>l'in</w:t>
      </w:r>
      <w:proofErr w:type="spellEnd"/>
      <w:r w:rsidR="00D73899" w:rsidRPr="00D73899">
        <w:rPr>
          <w:rFonts w:ascii="Palatino Linotype" w:hAnsi="Palatino Linotype"/>
          <w:sz w:val="24"/>
          <w:szCs w:val="24"/>
        </w:rPr>
        <w:t xml:space="preserve"> </w:t>
      </w:r>
      <w:proofErr w:type="spellStart"/>
      <w:r w:rsidR="00D73899" w:rsidRPr="00D73899">
        <w:rPr>
          <w:rFonts w:ascii="Palatino Linotype" w:hAnsi="Palatino Linotype"/>
          <w:sz w:val="24"/>
          <w:szCs w:val="24"/>
        </w:rPr>
        <w:t>house</w:t>
      </w:r>
      <w:proofErr w:type="spellEnd"/>
      <w:r w:rsidR="00D73899" w:rsidRPr="00D73899">
        <w:rPr>
          <w:rFonts w:ascii="Palatino Linotype" w:hAnsi="Palatino Linotype"/>
          <w:sz w:val="24"/>
          <w:szCs w:val="24"/>
        </w:rPr>
        <w:t xml:space="preserve"> è giunto al traguardo della codificazione con una disciplina interna che, attualmente, ha una duplice articolazione</w:t>
      </w:r>
      <w:r>
        <w:rPr>
          <w:rFonts w:ascii="Palatino Linotype" w:hAnsi="Palatino Linotype"/>
          <w:sz w:val="24"/>
          <w:szCs w:val="24"/>
        </w:rPr>
        <w:t xml:space="preserve"> cui dovrebbe aggiungersi una terza componente; al codice degli appalti (d.lgs. 50 del 2016) ed al testo unico delle società partecipate (d.lgs. 175 del 2016), dovrebbe (il condizionale</w:t>
      </w:r>
      <w:r w:rsidR="00EB7FF7">
        <w:rPr>
          <w:rFonts w:ascii="Palatino Linotype" w:hAnsi="Palatino Linotype"/>
          <w:sz w:val="24"/>
          <w:szCs w:val="24"/>
        </w:rPr>
        <w:t xml:space="preserve"> </w:t>
      </w:r>
      <w:r>
        <w:rPr>
          <w:rFonts w:ascii="Palatino Linotype" w:hAnsi="Palatino Linotype"/>
          <w:sz w:val="24"/>
          <w:szCs w:val="24"/>
        </w:rPr>
        <w:t xml:space="preserve">è d’obbligo nel variegato panorama ordinamentale attuale) sommarsi </w:t>
      </w:r>
      <w:r w:rsidR="00D73899" w:rsidRPr="00D73899">
        <w:rPr>
          <w:rFonts w:ascii="Palatino Linotype" w:hAnsi="Palatino Linotype"/>
          <w:sz w:val="24"/>
          <w:szCs w:val="24"/>
        </w:rPr>
        <w:t>un nuovo testo unico sui servizi pubblici locali,</w:t>
      </w:r>
      <w:r>
        <w:rPr>
          <w:rFonts w:ascii="Palatino Linotype" w:hAnsi="Palatino Linotype"/>
          <w:sz w:val="24"/>
          <w:szCs w:val="24"/>
        </w:rPr>
        <w:t xml:space="preserve"> oggetto di un supplemento di riflessione alla luce dello stop derivante dalla sentenza n. 251\2016 della Consulta </w:t>
      </w:r>
      <w:r>
        <w:rPr>
          <w:rStyle w:val="Rimandonotaapidipagina"/>
          <w:rFonts w:ascii="Palatino Linotype" w:hAnsi="Palatino Linotype"/>
          <w:sz w:val="24"/>
          <w:szCs w:val="24"/>
        </w:rPr>
        <w:footnoteReference w:id="2"/>
      </w:r>
      <w:r w:rsidR="00D73899" w:rsidRPr="00D73899">
        <w:rPr>
          <w:rFonts w:ascii="Palatino Linotype" w:hAnsi="Palatino Linotype"/>
          <w:sz w:val="24"/>
          <w:szCs w:val="24"/>
        </w:rPr>
        <w:t xml:space="preserve">. </w:t>
      </w:r>
    </w:p>
    <w:p w:rsidR="00037839" w:rsidRDefault="00D73899" w:rsidP="00505D5D">
      <w:pPr>
        <w:ind w:firstLine="567"/>
        <w:jc w:val="both"/>
        <w:rPr>
          <w:rFonts w:ascii="Palatino Linotype" w:hAnsi="Palatino Linotype"/>
          <w:sz w:val="24"/>
          <w:szCs w:val="24"/>
        </w:rPr>
      </w:pPr>
      <w:r w:rsidRPr="00D73899">
        <w:rPr>
          <w:rFonts w:ascii="Palatino Linotype" w:hAnsi="Palatino Linotype"/>
          <w:sz w:val="24"/>
          <w:szCs w:val="24"/>
        </w:rPr>
        <w:t>Nonostante l'apparente linearità della successione delle leggi nel tempo, per cui le</w:t>
      </w:r>
      <w:r w:rsidR="00121ABC">
        <w:rPr>
          <w:rFonts w:ascii="Palatino Linotype" w:hAnsi="Palatino Linotype"/>
          <w:sz w:val="24"/>
          <w:szCs w:val="24"/>
        </w:rPr>
        <w:t xml:space="preserve"> nuove</w:t>
      </w:r>
      <w:r w:rsidRPr="00D73899">
        <w:rPr>
          <w:rFonts w:ascii="Palatino Linotype" w:hAnsi="Palatino Linotype"/>
          <w:sz w:val="24"/>
          <w:szCs w:val="24"/>
        </w:rPr>
        <w:t xml:space="preserve"> regole sull'in </w:t>
      </w:r>
      <w:proofErr w:type="spellStart"/>
      <w:r w:rsidRPr="00D73899">
        <w:rPr>
          <w:rFonts w:ascii="Palatino Linotype" w:hAnsi="Palatino Linotype"/>
          <w:sz w:val="24"/>
          <w:szCs w:val="24"/>
        </w:rPr>
        <w:t>house</w:t>
      </w:r>
      <w:proofErr w:type="spellEnd"/>
      <w:r w:rsidR="00121ABC">
        <w:rPr>
          <w:rFonts w:ascii="Palatino Linotype" w:hAnsi="Palatino Linotype"/>
          <w:sz w:val="24"/>
          <w:szCs w:val="24"/>
        </w:rPr>
        <w:t xml:space="preserve"> – in specie ai sensi del codice degli appalti -</w:t>
      </w:r>
      <w:r w:rsidRPr="00D73899">
        <w:rPr>
          <w:rFonts w:ascii="Palatino Linotype" w:hAnsi="Palatino Linotype"/>
          <w:sz w:val="24"/>
          <w:szCs w:val="24"/>
        </w:rPr>
        <w:t xml:space="preserve"> si applicano per gli affidamenti posteriori alla sua entrata in vigore, il quadro appare piuttosto complesso, per la rilevanza numerica dei soggetti in </w:t>
      </w:r>
      <w:proofErr w:type="spellStart"/>
      <w:r w:rsidRPr="00D73899">
        <w:rPr>
          <w:rFonts w:ascii="Palatino Linotype" w:hAnsi="Palatino Linotype"/>
          <w:sz w:val="24"/>
          <w:szCs w:val="24"/>
        </w:rPr>
        <w:t>house</w:t>
      </w:r>
      <w:proofErr w:type="spellEnd"/>
      <w:r w:rsidRPr="00D73899">
        <w:rPr>
          <w:rFonts w:ascii="Palatino Linotype" w:hAnsi="Palatino Linotype"/>
          <w:sz w:val="24"/>
          <w:szCs w:val="24"/>
        </w:rPr>
        <w:t xml:space="preserve"> "di vecchia generazione"</w:t>
      </w:r>
      <w:r w:rsidR="00121ABC">
        <w:rPr>
          <w:rFonts w:ascii="Palatino Linotype" w:hAnsi="Palatino Linotype"/>
          <w:sz w:val="24"/>
          <w:szCs w:val="24"/>
        </w:rPr>
        <w:t xml:space="preserve"> ancora attivi, con la segnalata </w:t>
      </w:r>
      <w:r w:rsidRPr="00D73899">
        <w:rPr>
          <w:rFonts w:ascii="Palatino Linotype" w:hAnsi="Palatino Linotype"/>
          <w:sz w:val="24"/>
          <w:szCs w:val="24"/>
        </w:rPr>
        <w:t xml:space="preserve">conseguente necessità di offrire soluzioni che siano in grado di conciliare le regole del diritto pretorio con le nuove e diverse indicazioni derivanti dal legislatore </w:t>
      </w:r>
      <w:proofErr w:type="spellStart"/>
      <w:r w:rsidRPr="00D73899">
        <w:rPr>
          <w:rFonts w:ascii="Palatino Linotype" w:hAnsi="Palatino Linotype"/>
          <w:sz w:val="24"/>
          <w:szCs w:val="24"/>
        </w:rPr>
        <w:t>eurounitario</w:t>
      </w:r>
      <w:proofErr w:type="spellEnd"/>
      <w:r w:rsidR="00121ABC">
        <w:rPr>
          <w:rFonts w:ascii="Palatino Linotype" w:hAnsi="Palatino Linotype"/>
          <w:sz w:val="24"/>
          <w:szCs w:val="24"/>
        </w:rPr>
        <w:t>.</w:t>
      </w:r>
    </w:p>
    <w:p w:rsidR="006F2D41" w:rsidRDefault="006F2D41" w:rsidP="00505D5D">
      <w:pPr>
        <w:ind w:firstLine="567"/>
        <w:jc w:val="both"/>
        <w:rPr>
          <w:rFonts w:ascii="Palatino Linotype" w:hAnsi="Palatino Linotype"/>
          <w:sz w:val="24"/>
          <w:szCs w:val="24"/>
        </w:rPr>
      </w:pPr>
      <w:r>
        <w:rPr>
          <w:rFonts w:ascii="Palatino Linotype" w:hAnsi="Palatino Linotype"/>
          <w:sz w:val="24"/>
          <w:szCs w:val="24"/>
        </w:rPr>
        <w:t>Invero, se per un verso le norme interne</w:t>
      </w:r>
      <w:r w:rsidR="001A00DB">
        <w:rPr>
          <w:rFonts w:ascii="Palatino Linotype" w:hAnsi="Palatino Linotype"/>
          <w:sz w:val="24"/>
          <w:szCs w:val="24"/>
        </w:rPr>
        <w:t xml:space="preserve"> han cercato </w:t>
      </w:r>
      <w:r>
        <w:rPr>
          <w:rFonts w:ascii="Palatino Linotype" w:hAnsi="Palatino Linotype"/>
          <w:sz w:val="24"/>
          <w:szCs w:val="24"/>
        </w:rPr>
        <w:t xml:space="preserve">comunque </w:t>
      </w:r>
      <w:r w:rsidR="001A00DB">
        <w:rPr>
          <w:rFonts w:ascii="Palatino Linotype" w:hAnsi="Palatino Linotype"/>
          <w:sz w:val="24"/>
          <w:szCs w:val="24"/>
        </w:rPr>
        <w:t>di coordinarsi</w:t>
      </w:r>
      <w:r>
        <w:rPr>
          <w:rFonts w:ascii="Palatino Linotype" w:hAnsi="Palatino Linotype"/>
          <w:sz w:val="24"/>
          <w:szCs w:val="24"/>
        </w:rPr>
        <w:t xml:space="preserve"> fra loro e</w:t>
      </w:r>
      <w:r w:rsidR="001A00DB">
        <w:rPr>
          <w:rFonts w:ascii="Palatino Linotype" w:hAnsi="Palatino Linotype"/>
          <w:sz w:val="24"/>
          <w:szCs w:val="24"/>
        </w:rPr>
        <w:t xml:space="preserve"> di attenersi alle direttive</w:t>
      </w:r>
      <w:r>
        <w:rPr>
          <w:rFonts w:ascii="Palatino Linotype" w:hAnsi="Palatino Linotype"/>
          <w:sz w:val="24"/>
          <w:szCs w:val="24"/>
        </w:rPr>
        <w:t>, per un altro verse le stesse dirett</w:t>
      </w:r>
      <w:r w:rsidR="001A00DB">
        <w:rPr>
          <w:rFonts w:ascii="Palatino Linotype" w:hAnsi="Palatino Linotype"/>
          <w:sz w:val="24"/>
          <w:szCs w:val="24"/>
        </w:rPr>
        <w:t>ive a propria volta si inseriscono in un ambito europeo i</w:t>
      </w:r>
      <w:r>
        <w:rPr>
          <w:rFonts w:ascii="Palatino Linotype" w:hAnsi="Palatino Linotype"/>
          <w:sz w:val="24"/>
          <w:szCs w:val="24"/>
        </w:rPr>
        <w:t>n cui il diritto vivente della Corte di giustizia assume un primario rilievo.</w:t>
      </w:r>
    </w:p>
    <w:p w:rsidR="006F2D41" w:rsidRPr="002C78F1" w:rsidRDefault="00EB7FF7" w:rsidP="00505D5D">
      <w:pPr>
        <w:ind w:firstLine="567"/>
        <w:jc w:val="both"/>
        <w:rPr>
          <w:rFonts w:ascii="Palatino Linotype" w:hAnsi="Palatino Linotype"/>
          <w:b/>
          <w:sz w:val="24"/>
          <w:szCs w:val="24"/>
        </w:rPr>
      </w:pPr>
      <w:r w:rsidRPr="002C78F1">
        <w:rPr>
          <w:rFonts w:ascii="Palatino Linotype" w:hAnsi="Palatino Linotype"/>
          <w:b/>
          <w:sz w:val="24"/>
          <w:szCs w:val="24"/>
        </w:rPr>
        <w:t>4 i possibili inquadramenti.</w:t>
      </w:r>
    </w:p>
    <w:p w:rsidR="006F2D41" w:rsidRDefault="006F2D41" w:rsidP="00505D5D">
      <w:pPr>
        <w:ind w:firstLine="567"/>
        <w:jc w:val="both"/>
        <w:rPr>
          <w:rFonts w:ascii="Palatino Linotype" w:hAnsi="Palatino Linotype"/>
          <w:sz w:val="24"/>
          <w:szCs w:val="24"/>
        </w:rPr>
      </w:pPr>
      <w:r>
        <w:rPr>
          <w:rFonts w:ascii="Palatino Linotype" w:hAnsi="Palatino Linotype"/>
          <w:sz w:val="24"/>
          <w:szCs w:val="24"/>
        </w:rPr>
        <w:t xml:space="preserve">Prima di riassumere la giurisprudenza della </w:t>
      </w:r>
      <w:proofErr w:type="spellStart"/>
      <w:r>
        <w:rPr>
          <w:rFonts w:ascii="Palatino Linotype" w:hAnsi="Palatino Linotype"/>
          <w:sz w:val="24"/>
          <w:szCs w:val="24"/>
        </w:rPr>
        <w:t>Cge</w:t>
      </w:r>
      <w:proofErr w:type="spellEnd"/>
      <w:r>
        <w:rPr>
          <w:rFonts w:ascii="Palatino Linotype" w:hAnsi="Palatino Linotype"/>
          <w:sz w:val="24"/>
          <w:szCs w:val="24"/>
        </w:rPr>
        <w:t xml:space="preserve"> e di analizzare un caso di peculiare interesse ai predetti fini, in quanto</w:t>
      </w:r>
      <w:r w:rsidR="002C78F1">
        <w:rPr>
          <w:rFonts w:ascii="Palatino Linotype" w:hAnsi="Palatino Linotype"/>
          <w:sz w:val="24"/>
          <w:szCs w:val="24"/>
        </w:rPr>
        <w:t xml:space="preserve"> reso</w:t>
      </w:r>
      <w:r>
        <w:rPr>
          <w:rFonts w:ascii="Palatino Linotype" w:hAnsi="Palatino Linotype"/>
          <w:sz w:val="24"/>
          <w:szCs w:val="24"/>
        </w:rPr>
        <w:t xml:space="preserve"> su rimessione di giudice amministrativo di italiano e relativo ad una fattispecie collocatasi a cavallo fra le vecchie e le nuove regole, occorre evidenziare i due possibili inquadramenti di principio, uno classico secondo le coordinate sovranazionali, uno più “sovranista”, basato sulla nostra Carta costituzionale.</w:t>
      </w:r>
    </w:p>
    <w:p w:rsidR="006F2D41" w:rsidRDefault="006F2D41" w:rsidP="00505D5D">
      <w:pPr>
        <w:ind w:firstLine="567"/>
        <w:jc w:val="both"/>
        <w:rPr>
          <w:rFonts w:ascii="Palatino Linotype" w:hAnsi="Palatino Linotype"/>
          <w:sz w:val="24"/>
          <w:szCs w:val="24"/>
        </w:rPr>
      </w:pPr>
    </w:p>
    <w:p w:rsidR="001A00DB" w:rsidRDefault="003E1934" w:rsidP="00505D5D">
      <w:pPr>
        <w:ind w:firstLine="567"/>
        <w:jc w:val="both"/>
        <w:rPr>
          <w:rFonts w:ascii="Palatino Linotype" w:hAnsi="Palatino Linotype"/>
          <w:sz w:val="24"/>
          <w:szCs w:val="24"/>
        </w:rPr>
      </w:pPr>
      <w:r>
        <w:rPr>
          <w:rFonts w:ascii="Palatino Linotype" w:hAnsi="Palatino Linotype"/>
          <w:sz w:val="24"/>
          <w:szCs w:val="24"/>
        </w:rPr>
        <w:lastRenderedPageBreak/>
        <w:t xml:space="preserve">In primo luogo, come ricorda la più autorevole dottrina in materia </w:t>
      </w:r>
      <w:r>
        <w:rPr>
          <w:rStyle w:val="Rimandonotaapidipagina"/>
          <w:rFonts w:ascii="Palatino Linotype" w:hAnsi="Palatino Linotype"/>
          <w:sz w:val="24"/>
          <w:szCs w:val="24"/>
        </w:rPr>
        <w:footnoteReference w:id="3"/>
      </w:r>
      <w:r>
        <w:rPr>
          <w:rFonts w:ascii="Palatino Linotype" w:hAnsi="Palatino Linotype"/>
          <w:sz w:val="24"/>
          <w:szCs w:val="24"/>
        </w:rPr>
        <w:t xml:space="preserve">, </w:t>
      </w:r>
      <w:r w:rsidR="00A33B07">
        <w:rPr>
          <w:rFonts w:ascii="Palatino Linotype" w:hAnsi="Palatino Linotype"/>
          <w:sz w:val="24"/>
          <w:szCs w:val="24"/>
        </w:rPr>
        <w:t>d</w:t>
      </w:r>
      <w:r w:rsidR="00A33B07" w:rsidRPr="00A33B07">
        <w:rPr>
          <w:rFonts w:ascii="Palatino Linotype" w:hAnsi="Palatino Linotype"/>
          <w:sz w:val="24"/>
          <w:szCs w:val="24"/>
        </w:rPr>
        <w:t>ue sono i principi fondam</w:t>
      </w:r>
      <w:r w:rsidR="00A33B07">
        <w:rPr>
          <w:rFonts w:ascii="Palatino Linotype" w:hAnsi="Palatino Linotype"/>
          <w:sz w:val="24"/>
          <w:szCs w:val="24"/>
        </w:rPr>
        <w:t>entali del diritto europeo in materia di appalti: u</w:t>
      </w:r>
      <w:r w:rsidR="00A33B07" w:rsidRPr="00A33B07">
        <w:rPr>
          <w:rFonts w:ascii="Palatino Linotype" w:hAnsi="Palatino Linotype"/>
          <w:sz w:val="24"/>
          <w:szCs w:val="24"/>
        </w:rPr>
        <w:t>no è il principio di libera amministr</w:t>
      </w:r>
      <w:r w:rsidR="00A33B07">
        <w:rPr>
          <w:rFonts w:ascii="Palatino Linotype" w:hAnsi="Palatino Linotype"/>
          <w:sz w:val="24"/>
          <w:szCs w:val="24"/>
        </w:rPr>
        <w:t>azione delle autorità pubbliche, nel senso</w:t>
      </w:r>
      <w:r w:rsidR="00A33B07" w:rsidRPr="00A33B07">
        <w:rPr>
          <w:rFonts w:ascii="Palatino Linotype" w:hAnsi="Palatino Linotype"/>
          <w:sz w:val="24"/>
          <w:szCs w:val="24"/>
        </w:rPr>
        <w:t xml:space="preserve"> </w:t>
      </w:r>
      <w:r w:rsidR="00A33B07">
        <w:rPr>
          <w:rFonts w:ascii="Palatino Linotype" w:hAnsi="Palatino Linotype"/>
          <w:sz w:val="24"/>
          <w:szCs w:val="24"/>
        </w:rPr>
        <w:t>della</w:t>
      </w:r>
      <w:r w:rsidR="00A33B07" w:rsidRPr="00A33B07">
        <w:rPr>
          <w:rFonts w:ascii="Palatino Linotype" w:hAnsi="Palatino Linotype"/>
          <w:sz w:val="24"/>
          <w:szCs w:val="24"/>
        </w:rPr>
        <w:t xml:space="preserve"> libertà per i soggetti pubblici di organizzare (</w:t>
      </w:r>
      <w:proofErr w:type="spellStart"/>
      <w:r w:rsidR="00A33B07" w:rsidRPr="00A33B07">
        <w:rPr>
          <w:rFonts w:ascii="Palatino Linotype" w:hAnsi="Palatino Linotype"/>
          <w:sz w:val="24"/>
          <w:szCs w:val="24"/>
        </w:rPr>
        <w:t>autorganizzare</w:t>
      </w:r>
      <w:proofErr w:type="spellEnd"/>
      <w:r w:rsidR="00A33B07" w:rsidRPr="00A33B07">
        <w:rPr>
          <w:rFonts w:ascii="Palatino Linotype" w:hAnsi="Palatino Linotype"/>
          <w:sz w:val="24"/>
          <w:szCs w:val="24"/>
        </w:rPr>
        <w:t>) come meglio</w:t>
      </w:r>
      <w:r w:rsidR="00A33B07">
        <w:rPr>
          <w:rFonts w:ascii="Palatino Linotype" w:hAnsi="Palatino Linotype"/>
          <w:sz w:val="24"/>
          <w:szCs w:val="24"/>
        </w:rPr>
        <w:t xml:space="preserve"> </w:t>
      </w:r>
      <w:r w:rsidR="00A33B07" w:rsidRPr="00A33B07">
        <w:rPr>
          <w:rFonts w:ascii="Palatino Linotype" w:hAnsi="Palatino Linotype"/>
          <w:sz w:val="24"/>
          <w:szCs w:val="24"/>
        </w:rPr>
        <w:t>ritengono le prestazioni dei servizi di rispettivo interesse; attraverso l’autoproduzione, la</w:t>
      </w:r>
      <w:r w:rsidR="00A33B07">
        <w:rPr>
          <w:rFonts w:ascii="Palatino Linotype" w:hAnsi="Palatino Linotype"/>
          <w:sz w:val="24"/>
          <w:szCs w:val="24"/>
        </w:rPr>
        <w:t xml:space="preserve"> </w:t>
      </w:r>
      <w:r w:rsidR="00A33B07" w:rsidRPr="00A33B07">
        <w:rPr>
          <w:rFonts w:ascii="Palatino Linotype" w:hAnsi="Palatino Linotype"/>
          <w:sz w:val="24"/>
          <w:szCs w:val="24"/>
        </w:rPr>
        <w:t>cooperazione e l’esternalizzazione</w:t>
      </w:r>
      <w:r w:rsidR="00A33B07">
        <w:rPr>
          <w:rFonts w:ascii="Palatino Linotype" w:hAnsi="Palatino Linotype"/>
          <w:sz w:val="24"/>
          <w:szCs w:val="24"/>
        </w:rPr>
        <w:t>; l</w:t>
      </w:r>
      <w:r w:rsidR="00A33B07" w:rsidRPr="00A33B07">
        <w:rPr>
          <w:rFonts w:ascii="Palatino Linotype" w:hAnsi="Palatino Linotype"/>
          <w:sz w:val="24"/>
          <w:szCs w:val="24"/>
        </w:rPr>
        <w:t>’altro è il principio di tutela della concorrenza, che ha come finalità la piena apertura dei</w:t>
      </w:r>
      <w:r w:rsidR="00A33B07">
        <w:rPr>
          <w:rFonts w:ascii="Palatino Linotype" w:hAnsi="Palatino Linotype"/>
          <w:sz w:val="24"/>
          <w:szCs w:val="24"/>
        </w:rPr>
        <w:t xml:space="preserve"> </w:t>
      </w:r>
      <w:r w:rsidR="00A33B07" w:rsidRPr="00A33B07">
        <w:rPr>
          <w:rFonts w:ascii="Palatino Linotype" w:hAnsi="Palatino Linotype"/>
          <w:sz w:val="24"/>
          <w:szCs w:val="24"/>
        </w:rPr>
        <w:t>mercati</w:t>
      </w:r>
      <w:r w:rsidR="00A33B07">
        <w:rPr>
          <w:rFonts w:ascii="Palatino Linotype" w:hAnsi="Palatino Linotype"/>
          <w:sz w:val="24"/>
          <w:szCs w:val="24"/>
        </w:rPr>
        <w:t>.</w:t>
      </w:r>
    </w:p>
    <w:p w:rsidR="00A33B07" w:rsidRDefault="00A33B07" w:rsidP="00505D5D">
      <w:pPr>
        <w:ind w:firstLine="567"/>
        <w:jc w:val="both"/>
        <w:rPr>
          <w:rFonts w:ascii="Palatino Linotype" w:hAnsi="Palatino Linotype"/>
          <w:sz w:val="24"/>
          <w:szCs w:val="24"/>
        </w:rPr>
      </w:pPr>
      <w:r>
        <w:rPr>
          <w:rFonts w:ascii="Palatino Linotype" w:hAnsi="Palatino Linotype"/>
          <w:sz w:val="24"/>
          <w:szCs w:val="24"/>
        </w:rPr>
        <w:t>Nella libertà della p.a. in materia</w:t>
      </w:r>
      <w:r w:rsidR="00734383">
        <w:rPr>
          <w:rFonts w:ascii="Palatino Linotype" w:hAnsi="Palatino Linotype"/>
          <w:sz w:val="24"/>
          <w:szCs w:val="24"/>
        </w:rPr>
        <w:t xml:space="preserve">, secondo </w:t>
      </w:r>
      <w:r w:rsidRPr="00A33B07">
        <w:rPr>
          <w:rFonts w:ascii="Palatino Linotype" w:hAnsi="Palatino Linotype"/>
          <w:sz w:val="24"/>
          <w:szCs w:val="24"/>
        </w:rPr>
        <w:t>l’art. 2, paragrafo 1</w:t>
      </w:r>
      <w:r w:rsidR="00734383">
        <w:rPr>
          <w:rFonts w:ascii="Palatino Linotype" w:hAnsi="Palatino Linotype"/>
          <w:sz w:val="24"/>
          <w:szCs w:val="24"/>
        </w:rPr>
        <w:t xml:space="preserve"> della direttiva 23\2014, </w:t>
      </w:r>
      <w:r>
        <w:rPr>
          <w:rFonts w:ascii="Palatino Linotype" w:hAnsi="Palatino Linotype"/>
          <w:sz w:val="24"/>
          <w:szCs w:val="24"/>
        </w:rPr>
        <w:t xml:space="preserve">rientrano </w:t>
      </w:r>
      <w:r w:rsidR="00734383" w:rsidRPr="00734383">
        <w:rPr>
          <w:rFonts w:ascii="Palatino Linotype" w:hAnsi="Palatino Linotype"/>
          <w:sz w:val="24"/>
          <w:szCs w:val="24"/>
        </w:rPr>
        <w:t xml:space="preserve">tre modelli </w:t>
      </w:r>
      <w:proofErr w:type="spellStart"/>
      <w:r w:rsidR="00734383" w:rsidRPr="00734383">
        <w:rPr>
          <w:rFonts w:ascii="Palatino Linotype" w:hAnsi="Palatino Linotype"/>
          <w:sz w:val="24"/>
          <w:szCs w:val="24"/>
        </w:rPr>
        <w:t>equiordina</w:t>
      </w:r>
      <w:r w:rsidR="00734383">
        <w:rPr>
          <w:rFonts w:ascii="Palatino Linotype" w:hAnsi="Palatino Linotype"/>
          <w:sz w:val="24"/>
          <w:szCs w:val="24"/>
        </w:rPr>
        <w:t>ti</w:t>
      </w:r>
      <w:proofErr w:type="spellEnd"/>
      <w:r w:rsidR="002C78F1">
        <w:rPr>
          <w:rFonts w:ascii="Palatino Linotype" w:hAnsi="Palatino Linotype"/>
          <w:sz w:val="24"/>
          <w:szCs w:val="24"/>
        </w:rPr>
        <w:t>:</w:t>
      </w:r>
      <w:r w:rsidR="00734383" w:rsidRPr="00734383">
        <w:rPr>
          <w:rFonts w:ascii="Palatino Linotype" w:hAnsi="Palatino Linotype"/>
          <w:sz w:val="24"/>
          <w:szCs w:val="24"/>
        </w:rPr>
        <w:t xml:space="preserve"> autoproduzione (in</w:t>
      </w:r>
      <w:r w:rsidR="00734383">
        <w:rPr>
          <w:rFonts w:ascii="Palatino Linotype" w:hAnsi="Palatino Linotype"/>
          <w:sz w:val="24"/>
          <w:szCs w:val="24"/>
        </w:rPr>
        <w:t xml:space="preserve"> </w:t>
      </w:r>
      <w:proofErr w:type="spellStart"/>
      <w:r w:rsidR="00734383" w:rsidRPr="00734383">
        <w:rPr>
          <w:rFonts w:ascii="Palatino Linotype" w:hAnsi="Palatino Linotype"/>
          <w:sz w:val="24"/>
          <w:szCs w:val="24"/>
        </w:rPr>
        <w:t>house</w:t>
      </w:r>
      <w:proofErr w:type="spellEnd"/>
      <w:r w:rsidR="00734383" w:rsidRPr="00734383">
        <w:rPr>
          <w:rFonts w:ascii="Palatino Linotype" w:hAnsi="Palatino Linotype"/>
          <w:sz w:val="24"/>
          <w:szCs w:val="24"/>
        </w:rPr>
        <w:t>), cooperazione tra amministrazioni ed esternalizzazione (gare).</w:t>
      </w:r>
    </w:p>
    <w:p w:rsidR="00517952" w:rsidRPr="00A368C4" w:rsidRDefault="00734383" w:rsidP="00505D5D">
      <w:pPr>
        <w:ind w:firstLine="567"/>
        <w:jc w:val="both"/>
        <w:rPr>
          <w:rFonts w:ascii="Palatino Linotype" w:hAnsi="Palatino Linotype"/>
          <w:sz w:val="24"/>
          <w:szCs w:val="24"/>
        </w:rPr>
      </w:pPr>
      <w:r>
        <w:rPr>
          <w:rFonts w:ascii="Palatino Linotype" w:hAnsi="Palatino Linotype"/>
          <w:sz w:val="24"/>
          <w:szCs w:val="24"/>
        </w:rPr>
        <w:t xml:space="preserve">Tuttavia, già in tale primario schema emergono alcuni rischi di fraintendimento. Infatti, </w:t>
      </w:r>
      <w:proofErr w:type="spellStart"/>
      <w:r>
        <w:rPr>
          <w:rFonts w:ascii="Palatino Linotype" w:hAnsi="Palatino Linotype"/>
          <w:sz w:val="24"/>
          <w:szCs w:val="24"/>
        </w:rPr>
        <w:t>l’in</w:t>
      </w:r>
      <w:proofErr w:type="spellEnd"/>
      <w:r>
        <w:rPr>
          <w:rFonts w:ascii="Palatino Linotype" w:hAnsi="Palatino Linotype"/>
          <w:sz w:val="24"/>
          <w:szCs w:val="24"/>
        </w:rPr>
        <w:t xml:space="preserve"> </w:t>
      </w:r>
      <w:proofErr w:type="spellStart"/>
      <w:r>
        <w:rPr>
          <w:rFonts w:ascii="Palatino Linotype" w:hAnsi="Palatino Linotype"/>
          <w:sz w:val="24"/>
          <w:szCs w:val="24"/>
        </w:rPr>
        <w:t>house</w:t>
      </w:r>
      <w:proofErr w:type="spellEnd"/>
      <w:r>
        <w:rPr>
          <w:rFonts w:ascii="Palatino Linotype" w:hAnsi="Palatino Linotype"/>
          <w:sz w:val="24"/>
          <w:szCs w:val="24"/>
        </w:rPr>
        <w:t xml:space="preserve">, sia nello schema disegnato dalla giurisprudenza europea che ora in quello tracciato dal legislatore sovranazionale, </w:t>
      </w:r>
      <w:r w:rsidR="00037839" w:rsidRPr="00734383">
        <w:rPr>
          <w:rFonts w:ascii="Palatino Linotype" w:hAnsi="Palatino Linotype"/>
          <w:sz w:val="24"/>
          <w:szCs w:val="24"/>
        </w:rPr>
        <w:t>può riguardare sia organi legati dirett</w:t>
      </w:r>
      <w:r>
        <w:rPr>
          <w:rFonts w:ascii="Palatino Linotype" w:hAnsi="Palatino Linotype"/>
          <w:sz w:val="24"/>
          <w:szCs w:val="24"/>
        </w:rPr>
        <w:t>amente</w:t>
      </w:r>
      <w:r w:rsidR="00037839" w:rsidRPr="00734383">
        <w:rPr>
          <w:rFonts w:ascii="Palatino Linotype" w:hAnsi="Palatino Linotype"/>
          <w:sz w:val="24"/>
          <w:szCs w:val="24"/>
        </w:rPr>
        <w:t xml:space="preserve"> alla p.a. e privi di </w:t>
      </w:r>
      <w:r w:rsidR="00517952" w:rsidRPr="00734383">
        <w:rPr>
          <w:rFonts w:ascii="Palatino Linotype" w:hAnsi="Palatino Linotype"/>
          <w:sz w:val="24"/>
          <w:szCs w:val="24"/>
        </w:rPr>
        <w:t>personalità giuridica (autoproduzione) sia enti controllati</w:t>
      </w:r>
      <w:r>
        <w:rPr>
          <w:rFonts w:ascii="Palatino Linotype" w:hAnsi="Palatino Linotype"/>
          <w:sz w:val="24"/>
          <w:szCs w:val="24"/>
        </w:rPr>
        <w:t xml:space="preserve"> sebbene</w:t>
      </w:r>
      <w:r w:rsidR="00517952" w:rsidRPr="00734383">
        <w:rPr>
          <w:rFonts w:ascii="Palatino Linotype" w:hAnsi="Palatino Linotype"/>
          <w:sz w:val="24"/>
          <w:szCs w:val="24"/>
        </w:rPr>
        <w:t xml:space="preserve"> dotati di personalità giuridica (in </w:t>
      </w:r>
      <w:proofErr w:type="spellStart"/>
      <w:r w:rsidR="00517952" w:rsidRPr="00734383">
        <w:rPr>
          <w:rFonts w:ascii="Palatino Linotype" w:hAnsi="Palatino Linotype"/>
          <w:sz w:val="24"/>
          <w:szCs w:val="24"/>
        </w:rPr>
        <w:t>house</w:t>
      </w:r>
      <w:proofErr w:type="spellEnd"/>
      <w:r w:rsidR="00517952" w:rsidRPr="00734383">
        <w:rPr>
          <w:rFonts w:ascii="Palatino Linotype" w:hAnsi="Palatino Linotype"/>
          <w:sz w:val="24"/>
          <w:szCs w:val="24"/>
        </w:rPr>
        <w:t xml:space="preserve"> in senso stretto). Quindi</w:t>
      </w:r>
      <w:r>
        <w:rPr>
          <w:rFonts w:ascii="Palatino Linotype" w:hAnsi="Palatino Linotype"/>
          <w:sz w:val="24"/>
          <w:szCs w:val="24"/>
        </w:rPr>
        <w:t>, al fine di rimanere nell’orbita de</w:t>
      </w:r>
      <w:r w:rsidR="00A368C4">
        <w:rPr>
          <w:rFonts w:ascii="Palatino Linotype" w:hAnsi="Palatino Linotype"/>
          <w:sz w:val="24"/>
          <w:szCs w:val="24"/>
        </w:rPr>
        <w:t>l principio occorre rimanere</w:t>
      </w:r>
      <w:r w:rsidR="00517952" w:rsidRPr="00734383">
        <w:rPr>
          <w:rFonts w:ascii="Palatino Linotype" w:hAnsi="Palatino Linotype"/>
          <w:sz w:val="24"/>
          <w:szCs w:val="24"/>
        </w:rPr>
        <w:t xml:space="preserve"> nella sfera di controllo diretto, altrimenti </w:t>
      </w:r>
      <w:r w:rsidR="00A368C4">
        <w:rPr>
          <w:rFonts w:ascii="Palatino Linotype" w:hAnsi="Palatino Linotype"/>
          <w:sz w:val="24"/>
          <w:szCs w:val="24"/>
        </w:rPr>
        <w:t xml:space="preserve">si finirebbe con il </w:t>
      </w:r>
      <w:r w:rsidR="00517952" w:rsidRPr="00734383">
        <w:rPr>
          <w:rFonts w:ascii="Palatino Linotype" w:hAnsi="Palatino Linotype"/>
          <w:sz w:val="24"/>
          <w:szCs w:val="24"/>
        </w:rPr>
        <w:t>viola</w:t>
      </w:r>
      <w:r w:rsidR="00A368C4">
        <w:rPr>
          <w:rFonts w:ascii="Palatino Linotype" w:hAnsi="Palatino Linotype"/>
          <w:sz w:val="24"/>
          <w:szCs w:val="24"/>
        </w:rPr>
        <w:t>re</w:t>
      </w:r>
      <w:r w:rsidR="00517952" w:rsidRPr="00734383">
        <w:rPr>
          <w:rFonts w:ascii="Palatino Linotype" w:hAnsi="Palatino Linotype"/>
          <w:sz w:val="24"/>
          <w:szCs w:val="24"/>
        </w:rPr>
        <w:t xml:space="preserve"> il secondo principio</w:t>
      </w:r>
      <w:r w:rsidR="00A368C4">
        <w:rPr>
          <w:rFonts w:ascii="Palatino Linotype" w:hAnsi="Palatino Linotype"/>
          <w:sz w:val="24"/>
          <w:szCs w:val="24"/>
        </w:rPr>
        <w:t xml:space="preserve">, quello di </w:t>
      </w:r>
      <w:r w:rsidR="00517952" w:rsidRPr="00734383">
        <w:rPr>
          <w:rFonts w:ascii="Palatino Linotype" w:hAnsi="Palatino Linotype"/>
          <w:sz w:val="24"/>
          <w:szCs w:val="24"/>
        </w:rPr>
        <w:t>tutela della conco</w:t>
      </w:r>
      <w:r w:rsidR="00A43A05" w:rsidRPr="00734383">
        <w:rPr>
          <w:rFonts w:ascii="Palatino Linotype" w:hAnsi="Palatino Linotype"/>
          <w:sz w:val="24"/>
          <w:szCs w:val="24"/>
        </w:rPr>
        <w:t>r</w:t>
      </w:r>
      <w:r w:rsidR="00517952" w:rsidRPr="00734383">
        <w:rPr>
          <w:rFonts w:ascii="Palatino Linotype" w:hAnsi="Palatino Linotype"/>
          <w:sz w:val="24"/>
          <w:szCs w:val="24"/>
        </w:rPr>
        <w:t>renza.</w:t>
      </w:r>
      <w:r w:rsidR="00A368C4">
        <w:rPr>
          <w:rFonts w:ascii="Palatino Linotype" w:hAnsi="Palatino Linotype"/>
          <w:sz w:val="24"/>
          <w:szCs w:val="24"/>
        </w:rPr>
        <w:t xml:space="preserve"> Ciò impone </w:t>
      </w:r>
      <w:r w:rsidR="00517952" w:rsidRPr="00734383">
        <w:rPr>
          <w:rFonts w:ascii="Palatino Linotype" w:hAnsi="Palatino Linotype"/>
          <w:sz w:val="24"/>
          <w:szCs w:val="24"/>
        </w:rPr>
        <w:t xml:space="preserve">attenzione e rigore al fine di evitare che </w:t>
      </w:r>
      <w:proofErr w:type="spellStart"/>
      <w:r w:rsidR="00517952" w:rsidRPr="00734383">
        <w:rPr>
          <w:rFonts w:ascii="Palatino Linotype" w:hAnsi="Palatino Linotype"/>
          <w:sz w:val="24"/>
          <w:szCs w:val="24"/>
        </w:rPr>
        <w:t>l’in</w:t>
      </w:r>
      <w:proofErr w:type="spellEnd"/>
      <w:r w:rsidR="00517952" w:rsidRPr="00734383">
        <w:rPr>
          <w:rFonts w:ascii="Palatino Linotype" w:hAnsi="Palatino Linotype"/>
          <w:sz w:val="24"/>
          <w:szCs w:val="24"/>
        </w:rPr>
        <w:t xml:space="preserve"> </w:t>
      </w:r>
      <w:proofErr w:type="spellStart"/>
      <w:r w:rsidR="00517952" w:rsidRPr="00734383">
        <w:rPr>
          <w:rFonts w:ascii="Palatino Linotype" w:hAnsi="Palatino Linotype"/>
          <w:sz w:val="24"/>
          <w:szCs w:val="24"/>
        </w:rPr>
        <w:t>house</w:t>
      </w:r>
      <w:proofErr w:type="spellEnd"/>
      <w:r w:rsidR="00A368C4">
        <w:rPr>
          <w:rFonts w:ascii="Palatino Linotype" w:hAnsi="Palatino Linotype"/>
          <w:sz w:val="24"/>
          <w:szCs w:val="24"/>
        </w:rPr>
        <w:t>, possa costituire uno</w:t>
      </w:r>
      <w:r w:rsidR="00517952" w:rsidRPr="00734383">
        <w:rPr>
          <w:rFonts w:ascii="Palatino Linotype" w:hAnsi="Palatino Linotype"/>
          <w:sz w:val="24"/>
          <w:szCs w:val="24"/>
        </w:rPr>
        <w:t xml:space="preserve"> st</w:t>
      </w:r>
      <w:r w:rsidR="00AD5134" w:rsidRPr="00734383">
        <w:rPr>
          <w:rFonts w:ascii="Palatino Linotype" w:hAnsi="Palatino Linotype"/>
          <w:sz w:val="24"/>
          <w:szCs w:val="24"/>
        </w:rPr>
        <w:t>r</w:t>
      </w:r>
      <w:r w:rsidR="00517952" w:rsidRPr="00734383">
        <w:rPr>
          <w:rFonts w:ascii="Palatino Linotype" w:hAnsi="Palatino Linotype"/>
          <w:sz w:val="24"/>
          <w:szCs w:val="24"/>
        </w:rPr>
        <w:t xml:space="preserve">umento </w:t>
      </w:r>
      <w:r w:rsidR="00A368C4">
        <w:rPr>
          <w:rFonts w:ascii="Palatino Linotype" w:hAnsi="Palatino Linotype"/>
          <w:sz w:val="24"/>
          <w:szCs w:val="24"/>
        </w:rPr>
        <w:t xml:space="preserve">capace di </w:t>
      </w:r>
      <w:r w:rsidR="00517952" w:rsidRPr="00734383">
        <w:rPr>
          <w:rFonts w:ascii="Palatino Linotype" w:hAnsi="Palatino Linotype"/>
          <w:sz w:val="24"/>
          <w:szCs w:val="24"/>
        </w:rPr>
        <w:t>eludere entrambi i principi</w:t>
      </w:r>
      <w:r w:rsidR="00220097">
        <w:rPr>
          <w:rFonts w:ascii="Times New Roman" w:hAnsi="Times New Roman" w:cs="Times New Roman"/>
          <w:sz w:val="24"/>
          <w:szCs w:val="24"/>
        </w:rPr>
        <w:t>; a</w:t>
      </w:r>
      <w:r w:rsidR="00517952" w:rsidRPr="00A368C4">
        <w:rPr>
          <w:rFonts w:ascii="Palatino Linotype" w:hAnsi="Palatino Linotype"/>
          <w:sz w:val="24"/>
          <w:szCs w:val="24"/>
        </w:rPr>
        <w:t>nche perché</w:t>
      </w:r>
      <w:r w:rsidR="00220097">
        <w:rPr>
          <w:rFonts w:ascii="Palatino Linotype" w:hAnsi="Palatino Linotype"/>
          <w:sz w:val="24"/>
          <w:szCs w:val="24"/>
        </w:rPr>
        <w:t>, come noto,</w:t>
      </w:r>
      <w:r w:rsidR="00517952" w:rsidRPr="00A368C4">
        <w:rPr>
          <w:rFonts w:ascii="Palatino Linotype" w:hAnsi="Palatino Linotype"/>
          <w:sz w:val="24"/>
          <w:szCs w:val="24"/>
        </w:rPr>
        <w:t xml:space="preserve"> la </w:t>
      </w:r>
      <w:r w:rsidR="00220097">
        <w:rPr>
          <w:rFonts w:ascii="Palatino Linotype" w:hAnsi="Palatino Linotype"/>
          <w:sz w:val="24"/>
          <w:szCs w:val="24"/>
        </w:rPr>
        <w:t>“</w:t>
      </w:r>
      <w:r w:rsidR="00517952" w:rsidRPr="00A368C4">
        <w:rPr>
          <w:rFonts w:ascii="Palatino Linotype" w:hAnsi="Palatino Linotype"/>
          <w:sz w:val="24"/>
          <w:szCs w:val="24"/>
        </w:rPr>
        <w:t>fuga dall’amministrazione</w:t>
      </w:r>
      <w:r w:rsidR="00220097">
        <w:rPr>
          <w:rFonts w:ascii="Palatino Linotype" w:hAnsi="Palatino Linotype"/>
          <w:sz w:val="24"/>
          <w:szCs w:val="24"/>
        </w:rPr>
        <w:t>”</w:t>
      </w:r>
      <w:r w:rsidR="00517952" w:rsidRPr="00A368C4">
        <w:rPr>
          <w:rFonts w:ascii="Palatino Linotype" w:hAnsi="Palatino Linotype"/>
          <w:sz w:val="24"/>
          <w:szCs w:val="24"/>
        </w:rPr>
        <w:t xml:space="preserve"> ha molti “vantaggi” per gli interessati, avendo la p.a. obblighi doveri e poteri ben diversi</w:t>
      </w:r>
      <w:r w:rsidR="00220097">
        <w:rPr>
          <w:rFonts w:ascii="Palatino Linotype" w:hAnsi="Palatino Linotype"/>
          <w:sz w:val="24"/>
          <w:szCs w:val="24"/>
        </w:rPr>
        <w:t xml:space="preserve"> rispetto ad</w:t>
      </w:r>
      <w:r w:rsidR="00517952" w:rsidRPr="00A368C4">
        <w:rPr>
          <w:rFonts w:ascii="Palatino Linotype" w:hAnsi="Palatino Linotype"/>
          <w:sz w:val="24"/>
          <w:szCs w:val="24"/>
        </w:rPr>
        <w:t xml:space="preserve"> un ente privato che agisc</w:t>
      </w:r>
      <w:r w:rsidR="00220097">
        <w:rPr>
          <w:rFonts w:ascii="Palatino Linotype" w:hAnsi="Palatino Linotype"/>
          <w:sz w:val="24"/>
          <w:szCs w:val="24"/>
        </w:rPr>
        <w:t>a</w:t>
      </w:r>
      <w:r w:rsidR="00517952" w:rsidRPr="00A368C4">
        <w:rPr>
          <w:rFonts w:ascii="Palatino Linotype" w:hAnsi="Palatino Linotype"/>
          <w:sz w:val="24"/>
          <w:szCs w:val="24"/>
        </w:rPr>
        <w:t xml:space="preserve"> liberamente o c</w:t>
      </w:r>
      <w:r w:rsidR="00220097">
        <w:rPr>
          <w:rFonts w:ascii="Palatino Linotype" w:hAnsi="Palatino Linotype"/>
          <w:sz w:val="24"/>
          <w:szCs w:val="24"/>
        </w:rPr>
        <w:t>o</w:t>
      </w:r>
      <w:r w:rsidR="00517952" w:rsidRPr="00A368C4">
        <w:rPr>
          <w:rFonts w:ascii="Palatino Linotype" w:hAnsi="Palatino Linotype"/>
          <w:sz w:val="24"/>
          <w:szCs w:val="24"/>
        </w:rPr>
        <w:t>m</w:t>
      </w:r>
      <w:r w:rsidR="00220097">
        <w:rPr>
          <w:rFonts w:ascii="Palatino Linotype" w:hAnsi="Palatino Linotype"/>
          <w:sz w:val="24"/>
          <w:szCs w:val="24"/>
        </w:rPr>
        <w:t>un</w:t>
      </w:r>
      <w:r w:rsidR="00517952" w:rsidRPr="00A368C4">
        <w:rPr>
          <w:rFonts w:ascii="Palatino Linotype" w:hAnsi="Palatino Linotype"/>
          <w:sz w:val="24"/>
          <w:szCs w:val="24"/>
        </w:rPr>
        <w:t>q</w:t>
      </w:r>
      <w:r w:rsidR="00220097">
        <w:rPr>
          <w:rFonts w:ascii="Palatino Linotype" w:hAnsi="Palatino Linotype"/>
          <w:sz w:val="24"/>
          <w:szCs w:val="24"/>
        </w:rPr>
        <w:t>ue</w:t>
      </w:r>
      <w:r w:rsidR="00517952" w:rsidRPr="00A368C4">
        <w:rPr>
          <w:rFonts w:ascii="Palatino Linotype" w:hAnsi="Palatino Linotype"/>
          <w:sz w:val="24"/>
          <w:szCs w:val="24"/>
        </w:rPr>
        <w:t xml:space="preserve"> all’interno d</w:t>
      </w:r>
      <w:r w:rsidR="00220097">
        <w:rPr>
          <w:rFonts w:ascii="Palatino Linotype" w:hAnsi="Palatino Linotype"/>
          <w:sz w:val="24"/>
          <w:szCs w:val="24"/>
        </w:rPr>
        <w:t>i regole dettate da un’autorità (indipendente o amministrativa tradizionale che sia</w:t>
      </w:r>
      <w:r w:rsidR="00C617B0" w:rsidRPr="00A368C4">
        <w:rPr>
          <w:rFonts w:ascii="Palatino Linotype" w:hAnsi="Palatino Linotype"/>
          <w:sz w:val="24"/>
          <w:szCs w:val="24"/>
        </w:rPr>
        <w:t>)</w:t>
      </w:r>
      <w:r w:rsidR="00220097">
        <w:rPr>
          <w:rFonts w:ascii="Palatino Linotype" w:hAnsi="Palatino Linotype"/>
          <w:sz w:val="24"/>
          <w:szCs w:val="24"/>
        </w:rPr>
        <w:t>.</w:t>
      </w:r>
    </w:p>
    <w:p w:rsidR="00C9302C" w:rsidRPr="00A368C4" w:rsidRDefault="00220097" w:rsidP="00505D5D">
      <w:pPr>
        <w:ind w:firstLine="567"/>
        <w:jc w:val="both"/>
        <w:rPr>
          <w:rFonts w:ascii="Palatino Linotype" w:hAnsi="Palatino Linotype"/>
          <w:sz w:val="24"/>
          <w:szCs w:val="24"/>
        </w:rPr>
      </w:pPr>
      <w:r>
        <w:rPr>
          <w:rFonts w:ascii="Palatino Linotype" w:hAnsi="Palatino Linotype"/>
          <w:sz w:val="24"/>
          <w:szCs w:val="24"/>
        </w:rPr>
        <w:t xml:space="preserve">In secondo luogo, si è affacciato un diverso inquadramento critico, basato su di una lettura strettamente legata alle norme </w:t>
      </w:r>
      <w:r w:rsidR="00A82FEE">
        <w:rPr>
          <w:rFonts w:ascii="Palatino Linotype" w:hAnsi="Palatino Linotype"/>
          <w:sz w:val="24"/>
          <w:szCs w:val="24"/>
        </w:rPr>
        <w:t>costituzionali.</w:t>
      </w:r>
    </w:p>
    <w:p w:rsidR="00A43A05" w:rsidRDefault="00C9302C" w:rsidP="00505D5D">
      <w:pPr>
        <w:ind w:firstLine="567"/>
        <w:jc w:val="both"/>
        <w:rPr>
          <w:rFonts w:ascii="Palatino Linotype" w:hAnsi="Palatino Linotype"/>
          <w:sz w:val="24"/>
          <w:szCs w:val="24"/>
        </w:rPr>
      </w:pPr>
      <w:r w:rsidRPr="00A368C4">
        <w:rPr>
          <w:rFonts w:ascii="Palatino Linotype" w:hAnsi="Palatino Linotype"/>
          <w:sz w:val="24"/>
          <w:szCs w:val="24"/>
        </w:rPr>
        <w:t>La</w:t>
      </w:r>
      <w:r w:rsidR="00A82FEE">
        <w:rPr>
          <w:rFonts w:ascii="Palatino Linotype" w:hAnsi="Palatino Linotype"/>
          <w:sz w:val="24"/>
          <w:szCs w:val="24"/>
        </w:rPr>
        <w:t xml:space="preserve"> nostra</w:t>
      </w:r>
      <w:r w:rsidRPr="00A368C4">
        <w:rPr>
          <w:rFonts w:ascii="Palatino Linotype" w:hAnsi="Palatino Linotype"/>
          <w:sz w:val="24"/>
          <w:szCs w:val="24"/>
        </w:rPr>
        <w:t xml:space="preserve"> Costituzione, infatti, con il suo riferimento generico all'iniziativa economica pubblica (art. 41) riconosce allo Stato ed in generale ai pubblici poteri il potere di svolgere attività a carattere imprenditoriale</w:t>
      </w:r>
      <w:r w:rsidR="00A82FEE">
        <w:rPr>
          <w:rFonts w:ascii="Palatino Linotype" w:hAnsi="Palatino Linotype"/>
          <w:sz w:val="24"/>
          <w:szCs w:val="24"/>
        </w:rPr>
        <w:t>: “</w:t>
      </w:r>
      <w:r w:rsidR="00A43A05" w:rsidRPr="00A368C4">
        <w:rPr>
          <w:rFonts w:ascii="Palatino Linotype" w:hAnsi="Palatino Linotype"/>
          <w:sz w:val="24"/>
          <w:szCs w:val="24"/>
        </w:rPr>
        <w:t>L'iniziativa economica privata è libera. Non può svolgersi in contrasto con l'utilità sociale o in modo da recare danno alla sicurezza, alla libertà, alla dignità umana. La legge determina i programmi e i controlli opportuni perché l'attività economica pubblica e privata possa essere indirizzata e coordinata a fini sociali</w:t>
      </w:r>
      <w:r w:rsidR="00A82FEE">
        <w:rPr>
          <w:rFonts w:ascii="Palatino Linotype" w:hAnsi="Palatino Linotype"/>
          <w:sz w:val="24"/>
          <w:szCs w:val="24"/>
        </w:rPr>
        <w:t>”.</w:t>
      </w:r>
    </w:p>
    <w:p w:rsidR="00A43A05" w:rsidRPr="00A368C4" w:rsidRDefault="00A82FEE" w:rsidP="00505D5D">
      <w:pPr>
        <w:ind w:firstLine="567"/>
        <w:jc w:val="both"/>
        <w:rPr>
          <w:rFonts w:ascii="Palatino Linotype" w:hAnsi="Palatino Linotype"/>
          <w:sz w:val="24"/>
          <w:szCs w:val="24"/>
        </w:rPr>
      </w:pPr>
      <w:r w:rsidRPr="00A368C4">
        <w:rPr>
          <w:rFonts w:ascii="Palatino Linotype" w:hAnsi="Palatino Linotype"/>
          <w:sz w:val="24"/>
          <w:szCs w:val="24"/>
        </w:rPr>
        <w:t>La portata di tale potere è assai più larga di qu</w:t>
      </w:r>
      <w:r>
        <w:rPr>
          <w:rFonts w:ascii="Palatino Linotype" w:hAnsi="Palatino Linotype"/>
          <w:sz w:val="24"/>
          <w:szCs w:val="24"/>
        </w:rPr>
        <w:t>ella indicata dall'art. 43 (“</w:t>
      </w:r>
      <w:r w:rsidR="00A43A05" w:rsidRPr="00A368C4">
        <w:rPr>
          <w:rFonts w:ascii="Palatino Linotype" w:hAnsi="Palatino Linotype"/>
          <w:sz w:val="24"/>
          <w:szCs w:val="24"/>
        </w:rPr>
        <w:t>A fini di utilità generale la legge può riservare originariamente o trasferire, mediante espropriazione e salvo indennizzo, allo Stato, ad enti pubblici o a comunità di lavoratori o di utenti determinate imprese o categorie di imprese, che si riferiscano a servizi pubblici essenziali o a fonti di energia o a situazioni di monopolio ed abbiano carattere di preminente interesse generale</w:t>
      </w:r>
      <w:r>
        <w:rPr>
          <w:rFonts w:ascii="Palatino Linotype" w:hAnsi="Palatino Linotype"/>
          <w:sz w:val="24"/>
          <w:szCs w:val="24"/>
        </w:rPr>
        <w:t>”)</w:t>
      </w:r>
      <w:r w:rsidR="00A43A05" w:rsidRPr="00A368C4">
        <w:rPr>
          <w:rFonts w:ascii="Palatino Linotype" w:hAnsi="Palatino Linotype"/>
          <w:sz w:val="24"/>
          <w:szCs w:val="24"/>
        </w:rPr>
        <w:t>.</w:t>
      </w:r>
      <w:r>
        <w:rPr>
          <w:rFonts w:ascii="Palatino Linotype" w:hAnsi="Palatino Linotype"/>
          <w:sz w:val="24"/>
          <w:szCs w:val="24"/>
        </w:rPr>
        <w:t xml:space="preserve"> </w:t>
      </w:r>
    </w:p>
    <w:p w:rsidR="00C9302C" w:rsidRPr="00A368C4" w:rsidRDefault="00C9302C" w:rsidP="00505D5D">
      <w:pPr>
        <w:ind w:firstLine="567"/>
        <w:jc w:val="both"/>
        <w:rPr>
          <w:rFonts w:ascii="Palatino Linotype" w:hAnsi="Palatino Linotype"/>
          <w:sz w:val="24"/>
          <w:szCs w:val="24"/>
        </w:rPr>
      </w:pPr>
      <w:r w:rsidRPr="00A368C4">
        <w:rPr>
          <w:rFonts w:ascii="Palatino Linotype" w:hAnsi="Palatino Linotype"/>
          <w:sz w:val="24"/>
          <w:szCs w:val="24"/>
        </w:rPr>
        <w:lastRenderedPageBreak/>
        <w:t>Infatti non vi sono limiti nella tipologia delle attività assumibili, sicché non si dovrà trattare necessariamente di servizi pubblici, fonti di energia o monopoli. La materia, inoltre, non è soggetta a riserva di legge</w:t>
      </w:r>
      <w:r w:rsidR="00A43A05" w:rsidRPr="00A368C4">
        <w:rPr>
          <w:rFonts w:ascii="Palatino Linotype" w:hAnsi="Palatino Linotype"/>
          <w:sz w:val="24"/>
          <w:szCs w:val="24"/>
        </w:rPr>
        <w:t xml:space="preserve"> (se non nei programmi e nei controlli)</w:t>
      </w:r>
      <w:r w:rsidRPr="00A368C4">
        <w:rPr>
          <w:rFonts w:ascii="Palatino Linotype" w:hAnsi="Palatino Linotype"/>
          <w:sz w:val="24"/>
          <w:szCs w:val="24"/>
        </w:rPr>
        <w:t>, per cui vi si può provvedere in via amministrativa. In tal caso, occorre solo che l'assunzione sia giustificabile per un qualche interesse pubblico, alla pari di ogni altra azione amministrativa (anche se in concreto questa condizione è stata spesso superata autorizzando le assunzioni singolari direttamente con leggi).</w:t>
      </w:r>
    </w:p>
    <w:p w:rsidR="00C9302C" w:rsidRPr="00A368C4" w:rsidRDefault="00C9302C" w:rsidP="00505D5D">
      <w:pPr>
        <w:ind w:firstLine="567"/>
        <w:jc w:val="both"/>
        <w:rPr>
          <w:rFonts w:ascii="Palatino Linotype" w:hAnsi="Palatino Linotype"/>
          <w:sz w:val="24"/>
          <w:szCs w:val="24"/>
        </w:rPr>
      </w:pPr>
      <w:r w:rsidRPr="00A368C4">
        <w:rPr>
          <w:rFonts w:ascii="Palatino Linotype" w:hAnsi="Palatino Linotype"/>
          <w:sz w:val="24"/>
          <w:szCs w:val="24"/>
        </w:rPr>
        <w:t xml:space="preserve">Questo stato di cose (utilizzato in maniera </w:t>
      </w:r>
      <w:r w:rsidR="00A82FEE">
        <w:rPr>
          <w:rFonts w:ascii="Palatino Linotype" w:hAnsi="Palatino Linotype"/>
          <w:sz w:val="24"/>
          <w:szCs w:val="24"/>
        </w:rPr>
        <w:t>non sempre lineare</w:t>
      </w:r>
      <w:r w:rsidRPr="00A368C4">
        <w:rPr>
          <w:rFonts w:ascii="Palatino Linotype" w:hAnsi="Palatino Linotype"/>
          <w:sz w:val="24"/>
          <w:szCs w:val="24"/>
        </w:rPr>
        <w:t xml:space="preserve"> dal sistema politico italiano)  insieme ai condizionamenti e alle forzate</w:t>
      </w:r>
      <w:r w:rsidR="00A82FEE">
        <w:rPr>
          <w:rFonts w:ascii="Palatino Linotype" w:hAnsi="Palatino Linotype"/>
          <w:sz w:val="24"/>
          <w:szCs w:val="24"/>
        </w:rPr>
        <w:t xml:space="preserve"> indicazioni</w:t>
      </w:r>
      <w:r w:rsidRPr="00A368C4">
        <w:rPr>
          <w:rFonts w:ascii="Palatino Linotype" w:hAnsi="Palatino Linotype"/>
          <w:sz w:val="24"/>
          <w:szCs w:val="24"/>
        </w:rPr>
        <w:t xml:space="preserve"> comunitarie, ha portato ad un progressivo cambiamento della forma giuridica dell'impresa pubblica verso assetti più flessibili ed adeguati all'esercizio di attività imprenditoriali ed, in particolare, la trasformazione delle aziende autonome e degli enti di diritto pubblico in società di diritto privato con risultati disastrosi per l’economia nazionale, di cui si forniscono solo alcuni dati e spunti di riflessione.</w:t>
      </w:r>
    </w:p>
    <w:p w:rsidR="00C9302C" w:rsidRPr="00A368C4" w:rsidRDefault="00A82FEE" w:rsidP="00505D5D">
      <w:pPr>
        <w:ind w:firstLine="567"/>
        <w:jc w:val="both"/>
        <w:rPr>
          <w:rFonts w:ascii="Palatino Linotype" w:hAnsi="Palatino Linotype"/>
          <w:sz w:val="24"/>
          <w:szCs w:val="24"/>
        </w:rPr>
      </w:pPr>
      <w:r>
        <w:rPr>
          <w:rFonts w:ascii="Palatino Linotype" w:hAnsi="Palatino Linotype"/>
          <w:sz w:val="24"/>
          <w:szCs w:val="24"/>
        </w:rPr>
        <w:t>In tale ottica l</w:t>
      </w:r>
      <w:r w:rsidR="00C9302C" w:rsidRPr="00A368C4">
        <w:rPr>
          <w:rFonts w:ascii="Palatino Linotype" w:hAnsi="Palatino Linotype"/>
          <w:sz w:val="24"/>
          <w:szCs w:val="24"/>
        </w:rPr>
        <w:t>e società pubbliche sono uno strumento utilizzato dalle amministrazioni, generalmente, per svolgere compiti istituzionali ad esse affidati per legge e allo scopo dichiarato di:</w:t>
      </w:r>
      <w:r>
        <w:rPr>
          <w:rFonts w:ascii="Palatino Linotype" w:hAnsi="Palatino Linotype"/>
          <w:sz w:val="24"/>
          <w:szCs w:val="24"/>
        </w:rPr>
        <w:t xml:space="preserve"> </w:t>
      </w:r>
      <w:r w:rsidR="00C9302C" w:rsidRPr="00A368C4">
        <w:rPr>
          <w:rFonts w:ascii="Palatino Linotype" w:hAnsi="Palatino Linotype"/>
          <w:sz w:val="24"/>
          <w:szCs w:val="24"/>
        </w:rPr>
        <w:t>perseguire una maggior efficienza economica nella gestione di servizi pubblici;</w:t>
      </w:r>
      <w:r>
        <w:rPr>
          <w:rFonts w:ascii="Palatino Linotype" w:hAnsi="Palatino Linotype"/>
          <w:sz w:val="24"/>
          <w:szCs w:val="24"/>
        </w:rPr>
        <w:t xml:space="preserve"> </w:t>
      </w:r>
      <w:r w:rsidR="00C9302C" w:rsidRPr="00A368C4">
        <w:rPr>
          <w:rFonts w:ascii="Palatino Linotype" w:hAnsi="Palatino Linotype"/>
          <w:sz w:val="24"/>
          <w:szCs w:val="24"/>
        </w:rPr>
        <w:t>realizzare opere attraverso l’utilizzo di strumenti privatistici; sostenere l’attività di impresa e l’occupazione.</w:t>
      </w:r>
    </w:p>
    <w:p w:rsidR="00517952" w:rsidRDefault="00C9302C" w:rsidP="00505D5D">
      <w:pPr>
        <w:ind w:firstLine="567"/>
        <w:jc w:val="both"/>
        <w:rPr>
          <w:rFonts w:ascii="Palatino Linotype" w:hAnsi="Palatino Linotype"/>
          <w:sz w:val="24"/>
          <w:szCs w:val="24"/>
        </w:rPr>
      </w:pPr>
      <w:r w:rsidRPr="00A368C4">
        <w:rPr>
          <w:rFonts w:ascii="Palatino Linotype" w:hAnsi="Palatino Linotype"/>
          <w:sz w:val="24"/>
          <w:szCs w:val="24"/>
        </w:rPr>
        <w:t xml:space="preserve"> A fronte di tali scopi, senz’altro pregevoli, ciò a cui si è assistito è stato una crescita esponenziale di soggetti di natura privatistica, che difficilmente è avvenuta sulla base di idonei studi preliminari di convenienza economica e di analisi del mercato nel settore di riferimento. Al contrario, senza alcuna indagine preventiva di necessità e opportunità, si è assistito alla costituzione di società o comunque di figure soggettive alternative agli ordinari uffici ed organi dell’ente, per ogni compito amministrativo.</w:t>
      </w:r>
    </w:p>
    <w:p w:rsidR="007D0B9E" w:rsidRPr="00A368C4" w:rsidRDefault="00A82FEE" w:rsidP="00505D5D">
      <w:pPr>
        <w:ind w:firstLine="567"/>
        <w:jc w:val="both"/>
        <w:rPr>
          <w:rFonts w:ascii="Palatino Linotype" w:hAnsi="Palatino Linotype"/>
          <w:sz w:val="24"/>
          <w:szCs w:val="24"/>
        </w:rPr>
      </w:pPr>
      <w:r>
        <w:rPr>
          <w:rFonts w:ascii="Palatino Linotype" w:hAnsi="Palatino Linotype"/>
          <w:sz w:val="24"/>
          <w:szCs w:val="24"/>
        </w:rPr>
        <w:t xml:space="preserve">Nella medesima visione critica si inseriscono alcune considerazioni tratte da alcune relazioni di inaugurazione dell’anno giudiziario presso sedi regionali della </w:t>
      </w:r>
      <w:r w:rsidR="00AD5134" w:rsidRPr="00A368C4">
        <w:rPr>
          <w:rFonts w:ascii="Palatino Linotype" w:hAnsi="Palatino Linotype"/>
          <w:sz w:val="24"/>
          <w:szCs w:val="24"/>
        </w:rPr>
        <w:t>Corte dei conti</w:t>
      </w:r>
      <w:r>
        <w:rPr>
          <w:rFonts w:ascii="Palatino Linotype" w:hAnsi="Palatino Linotype"/>
          <w:sz w:val="24"/>
          <w:szCs w:val="24"/>
        </w:rPr>
        <w:t xml:space="preserve">, dove si è rilevato come </w:t>
      </w:r>
      <w:r w:rsidR="007D0B9E" w:rsidRPr="00A368C4">
        <w:rPr>
          <w:rFonts w:ascii="Palatino Linotype" w:hAnsi="Palatino Linotype"/>
          <w:sz w:val="24"/>
          <w:szCs w:val="24"/>
        </w:rPr>
        <w:t xml:space="preserve">una delle più importanti anomalie del </w:t>
      </w:r>
      <w:r>
        <w:rPr>
          <w:rFonts w:ascii="Palatino Linotype" w:hAnsi="Palatino Linotype"/>
          <w:sz w:val="24"/>
          <w:szCs w:val="24"/>
        </w:rPr>
        <w:t xml:space="preserve">sistema delle società pubbliche il fatto che </w:t>
      </w:r>
      <w:r w:rsidR="007D0B9E" w:rsidRPr="00A368C4">
        <w:rPr>
          <w:rFonts w:ascii="Palatino Linotype" w:hAnsi="Palatino Linotype"/>
          <w:sz w:val="24"/>
          <w:szCs w:val="24"/>
        </w:rPr>
        <w:t>“</w:t>
      </w:r>
      <w:r>
        <w:rPr>
          <w:rFonts w:ascii="Palatino Linotype" w:hAnsi="Palatino Linotype"/>
          <w:sz w:val="24"/>
          <w:szCs w:val="24"/>
        </w:rPr>
        <w:t>l</w:t>
      </w:r>
      <w:r w:rsidR="007D0B9E" w:rsidRPr="00A368C4">
        <w:rPr>
          <w:rFonts w:ascii="Palatino Linotype" w:hAnsi="Palatino Linotype"/>
          <w:sz w:val="24"/>
          <w:szCs w:val="24"/>
        </w:rPr>
        <w:t>o strumento societario, che è previsto nel diritto civile come naturalmente preordinato a finalità di lucro, e che come tale risulta non sempre perfettamente aderente alle esigenze del sistema pubblicistico, comporta, laddove finanziato con capitale pubblico, l’ulteriore anomalia della non coincidenza della figura del socio finanziatore (i contribuenti) con quella del socio titolare dei diritti di partecipazione sociale (la pubblica amministrazione partecipante). In buona sostanza mentre nel caso del privato investitore la decisione di assumere il “rischio” di una partecipazione è diretta, nel caso delle partecipazioni pubbliche il contribuente finanziatore paga i tributi per avere servizi, scontando poi le conseguenze di decisioni di partecipazione societaria assunte, talvolta avventatamente, dai singoli enti”.</w:t>
      </w:r>
    </w:p>
    <w:p w:rsidR="00C9302C"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lastRenderedPageBreak/>
        <w:t>5. la motivazione delle determinazioni in materia.</w:t>
      </w:r>
    </w:p>
    <w:p w:rsidR="00ED7125" w:rsidRPr="00ED7125" w:rsidRDefault="00ED7125"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A fronte delle considerazioni </w:t>
      </w:r>
      <w:r w:rsidR="00315C71">
        <w:rPr>
          <w:rFonts w:ascii="Palatino Linotype" w:hAnsi="Palatino Linotype" w:cs="Times New Roman"/>
          <w:sz w:val="24"/>
          <w:szCs w:val="24"/>
        </w:rPr>
        <w:t>di</w:t>
      </w:r>
      <w:r w:rsidRPr="00ED7125">
        <w:rPr>
          <w:rFonts w:ascii="Palatino Linotype" w:hAnsi="Palatino Linotype" w:cs="Times New Roman"/>
          <w:sz w:val="24"/>
          <w:szCs w:val="24"/>
        </w:rPr>
        <w:t xml:space="preserve"> inquadramento sin qui svolte, non appare del tutto casuale che in tema di </w:t>
      </w:r>
      <w:r w:rsidR="00C617B0" w:rsidRPr="00ED7125">
        <w:rPr>
          <w:rFonts w:ascii="Palatino Linotype" w:hAnsi="Palatino Linotype" w:cs="Times New Roman"/>
          <w:sz w:val="24"/>
          <w:szCs w:val="24"/>
        </w:rPr>
        <w:t xml:space="preserve">generalità </w:t>
      </w:r>
      <w:proofErr w:type="spellStart"/>
      <w:r w:rsidR="00C617B0" w:rsidRPr="00ED7125">
        <w:rPr>
          <w:rFonts w:ascii="Palatino Linotype" w:hAnsi="Palatino Linotype" w:cs="Times New Roman"/>
          <w:sz w:val="24"/>
          <w:szCs w:val="24"/>
        </w:rPr>
        <w:t>dell’in</w:t>
      </w:r>
      <w:proofErr w:type="spellEnd"/>
      <w:r w:rsidR="00C617B0" w:rsidRPr="00ED7125">
        <w:rPr>
          <w:rFonts w:ascii="Palatino Linotype" w:hAnsi="Palatino Linotype" w:cs="Times New Roman"/>
          <w:sz w:val="24"/>
          <w:szCs w:val="24"/>
        </w:rPr>
        <w:t xml:space="preserve"> </w:t>
      </w:r>
      <w:proofErr w:type="spellStart"/>
      <w:r w:rsidR="00C617B0" w:rsidRPr="00ED7125">
        <w:rPr>
          <w:rFonts w:ascii="Palatino Linotype" w:hAnsi="Palatino Linotype" w:cs="Times New Roman"/>
          <w:sz w:val="24"/>
          <w:szCs w:val="24"/>
        </w:rPr>
        <w:t>house</w:t>
      </w:r>
      <w:proofErr w:type="spellEnd"/>
      <w:r w:rsidRPr="00ED7125">
        <w:rPr>
          <w:rFonts w:ascii="Palatino Linotype" w:hAnsi="Palatino Linotype" w:cs="Times New Roman"/>
          <w:sz w:val="24"/>
          <w:szCs w:val="24"/>
        </w:rPr>
        <w:t>,</w:t>
      </w:r>
      <w:r w:rsidR="00C617B0" w:rsidRPr="00ED7125">
        <w:rPr>
          <w:rFonts w:ascii="Palatino Linotype" w:hAnsi="Palatino Linotype" w:cs="Times New Roman"/>
          <w:sz w:val="24"/>
          <w:szCs w:val="24"/>
        </w:rPr>
        <w:t xml:space="preserve"> quale forma di libertà </w:t>
      </w:r>
      <w:r w:rsidRPr="00ED7125">
        <w:rPr>
          <w:rFonts w:ascii="Palatino Linotype" w:hAnsi="Palatino Linotype" w:cs="Times New Roman"/>
          <w:sz w:val="24"/>
          <w:szCs w:val="24"/>
        </w:rPr>
        <w:t>della p.a.</w:t>
      </w:r>
      <w:r w:rsidR="00AD5134" w:rsidRPr="00ED7125">
        <w:rPr>
          <w:rFonts w:ascii="Palatino Linotype" w:hAnsi="Palatino Linotype" w:cs="Times New Roman"/>
          <w:sz w:val="24"/>
          <w:szCs w:val="24"/>
        </w:rPr>
        <w:t>,</w:t>
      </w:r>
      <w:r w:rsidR="00C617B0" w:rsidRPr="00ED7125">
        <w:rPr>
          <w:rFonts w:ascii="Palatino Linotype" w:hAnsi="Palatino Linotype" w:cs="Times New Roman"/>
          <w:sz w:val="24"/>
          <w:szCs w:val="24"/>
        </w:rPr>
        <w:t xml:space="preserve"> p</w:t>
      </w:r>
      <w:r w:rsidRPr="00ED7125">
        <w:rPr>
          <w:rFonts w:ascii="Palatino Linotype" w:hAnsi="Palatino Linotype" w:cs="Times New Roman"/>
          <w:sz w:val="24"/>
          <w:szCs w:val="24"/>
        </w:rPr>
        <w:t>ossa</w:t>
      </w:r>
      <w:r w:rsidR="00C617B0" w:rsidRPr="00ED7125">
        <w:rPr>
          <w:rFonts w:ascii="Palatino Linotype" w:hAnsi="Palatino Linotype" w:cs="Times New Roman"/>
          <w:sz w:val="24"/>
          <w:szCs w:val="24"/>
        </w:rPr>
        <w:t xml:space="preserve"> sorgere qualche dubbio</w:t>
      </w:r>
      <w:r w:rsidRPr="00ED7125">
        <w:rPr>
          <w:rFonts w:ascii="Palatino Linotype" w:hAnsi="Palatino Linotype" w:cs="Times New Roman"/>
          <w:sz w:val="24"/>
          <w:szCs w:val="24"/>
        </w:rPr>
        <w:t xml:space="preserve">, anche </w:t>
      </w:r>
      <w:r w:rsidR="00C617B0" w:rsidRPr="00ED7125">
        <w:rPr>
          <w:rFonts w:ascii="Palatino Linotype" w:hAnsi="Palatino Linotype" w:cs="Times New Roman"/>
          <w:sz w:val="24"/>
          <w:szCs w:val="24"/>
        </w:rPr>
        <w:t>in base alla motivazione rafforzata imposta dall’art. 192</w:t>
      </w:r>
      <w:r w:rsidRPr="00ED7125">
        <w:rPr>
          <w:rFonts w:ascii="Palatino Linotype" w:hAnsi="Palatino Linotype" w:cs="Times New Roman"/>
          <w:sz w:val="24"/>
          <w:szCs w:val="24"/>
        </w:rPr>
        <w:t xml:space="preserve"> del codice appalti</w:t>
      </w:r>
      <w:r w:rsidR="00C617B0" w:rsidRPr="00ED7125">
        <w:rPr>
          <w:rFonts w:ascii="Palatino Linotype" w:hAnsi="Palatino Linotype" w:cs="Times New Roman"/>
          <w:sz w:val="24"/>
          <w:szCs w:val="24"/>
        </w:rPr>
        <w:t>.</w:t>
      </w:r>
    </w:p>
    <w:p w:rsidR="00264556" w:rsidRPr="00ED7125" w:rsidRDefault="00ED7125" w:rsidP="00505D5D">
      <w:pPr>
        <w:ind w:firstLine="567"/>
        <w:jc w:val="both"/>
        <w:rPr>
          <w:rFonts w:ascii="Palatino Linotype" w:hAnsi="Palatino Linotype" w:cs="Times New Roman"/>
          <w:sz w:val="24"/>
          <w:szCs w:val="24"/>
        </w:rPr>
      </w:pPr>
      <w:r w:rsidRPr="00ED7125">
        <w:rPr>
          <w:rFonts w:ascii="Palatino Linotype" w:hAnsi="Palatino Linotype" w:cs="Times New Roman"/>
          <w:sz w:val="24"/>
          <w:szCs w:val="24"/>
        </w:rPr>
        <w:t xml:space="preserve">Se la stretta attualità della norma si ricollega al duplice ordine di perplessità sollevate in sede applicativa (dinanzi alla Consulta dal Tar Liguria per un presunto eccesso di delega, dinanzi alla </w:t>
      </w:r>
      <w:proofErr w:type="spellStart"/>
      <w:r w:rsidRPr="00ED7125">
        <w:rPr>
          <w:rFonts w:ascii="Palatino Linotype" w:hAnsi="Palatino Linotype" w:cs="Times New Roman"/>
          <w:sz w:val="24"/>
          <w:szCs w:val="24"/>
        </w:rPr>
        <w:t>Cge</w:t>
      </w:r>
      <w:proofErr w:type="spellEnd"/>
      <w:r w:rsidRPr="00ED7125">
        <w:rPr>
          <w:rFonts w:ascii="Palatino Linotype" w:hAnsi="Palatino Linotype" w:cs="Times New Roman"/>
          <w:sz w:val="24"/>
          <w:szCs w:val="24"/>
        </w:rPr>
        <w:t xml:space="preserve"> dal Consiglio di Stato per la verifica della conformità alle direttive), la giurisprudenza si è trovata spesso ad affrontare il </w:t>
      </w:r>
      <w:r w:rsidR="00AD5134" w:rsidRPr="00ED7125">
        <w:rPr>
          <w:rFonts w:ascii="Palatino Linotype" w:hAnsi="Palatino Linotype" w:cs="Times New Roman"/>
          <w:sz w:val="24"/>
          <w:szCs w:val="24"/>
        </w:rPr>
        <w:t>p</w:t>
      </w:r>
      <w:r w:rsidR="00C617B0" w:rsidRPr="00ED7125">
        <w:rPr>
          <w:rFonts w:ascii="Palatino Linotype" w:hAnsi="Palatino Linotype" w:cs="Times New Roman"/>
          <w:sz w:val="24"/>
          <w:szCs w:val="24"/>
        </w:rPr>
        <w:t>roblema</w:t>
      </w:r>
      <w:r w:rsidR="00AD5134" w:rsidRPr="00ED7125">
        <w:rPr>
          <w:rFonts w:ascii="Palatino Linotype" w:hAnsi="Palatino Linotype" w:cs="Times New Roman"/>
          <w:sz w:val="24"/>
          <w:szCs w:val="24"/>
        </w:rPr>
        <w:t xml:space="preserve"> del</w:t>
      </w:r>
      <w:r w:rsidRPr="00ED7125">
        <w:rPr>
          <w:rFonts w:ascii="Palatino Linotype" w:hAnsi="Palatino Linotype" w:cs="Times New Roman"/>
          <w:sz w:val="24"/>
          <w:szCs w:val="24"/>
        </w:rPr>
        <w:t xml:space="preserve"> sindacato giurisdizionale sulle relative determinazioni.</w:t>
      </w:r>
    </w:p>
    <w:p w:rsidR="00ED7125" w:rsidRPr="009109C2" w:rsidRDefault="009109C2" w:rsidP="00505D5D">
      <w:pPr>
        <w:ind w:firstLine="567"/>
        <w:jc w:val="both"/>
        <w:rPr>
          <w:rFonts w:ascii="Palatino Linotype" w:hAnsi="Palatino Linotype" w:cs="Times New Roman"/>
          <w:sz w:val="24"/>
          <w:szCs w:val="24"/>
        </w:rPr>
      </w:pPr>
      <w:r w:rsidRPr="009109C2">
        <w:rPr>
          <w:rFonts w:ascii="Palatino Linotype" w:hAnsi="Palatino Linotype" w:cs="Times New Roman"/>
          <w:sz w:val="24"/>
          <w:szCs w:val="24"/>
        </w:rPr>
        <w:t xml:space="preserve">A titolo esemplificativo, si è ritenuto che il comma 2 dell’art. 192 cit. - sulle modalità procedimentali per l'affidamento in </w:t>
      </w:r>
      <w:proofErr w:type="spellStart"/>
      <w:r w:rsidRPr="009109C2">
        <w:rPr>
          <w:rFonts w:ascii="Palatino Linotype" w:hAnsi="Palatino Linotype" w:cs="Times New Roman"/>
          <w:sz w:val="24"/>
          <w:szCs w:val="24"/>
        </w:rPr>
        <w:t>house</w:t>
      </w:r>
      <w:proofErr w:type="spellEnd"/>
      <w:r w:rsidRPr="009109C2">
        <w:rPr>
          <w:rFonts w:ascii="Palatino Linotype" w:hAnsi="Palatino Linotype" w:cs="Times New Roman"/>
          <w:sz w:val="24"/>
          <w:szCs w:val="24"/>
        </w:rPr>
        <w:t xml:space="preserve"> — nella parte in cui impone alle stazioni appaltanti di effettuare una preventiva valutazione economica della congruità dell'offerta dei soggetti in </w:t>
      </w:r>
      <w:proofErr w:type="spellStart"/>
      <w:r w:rsidRPr="009109C2">
        <w:rPr>
          <w:rFonts w:ascii="Palatino Linotype" w:hAnsi="Palatino Linotype" w:cs="Times New Roman"/>
          <w:sz w:val="24"/>
          <w:szCs w:val="24"/>
        </w:rPr>
        <w:t>house</w:t>
      </w:r>
      <w:proofErr w:type="spellEnd"/>
      <w:r w:rsidRPr="009109C2">
        <w:rPr>
          <w:rFonts w:ascii="Palatino Linotype" w:hAnsi="Palatino Linotype" w:cs="Times New Roman"/>
          <w:sz w:val="24"/>
          <w:szCs w:val="24"/>
        </w:rPr>
        <w:t xml:space="preserve">, non impone alcuna gara, neppure informale, fra operatori del mercato, quindi la valutazione delle congruità delle offerte dei soggetti in </w:t>
      </w:r>
      <w:proofErr w:type="spellStart"/>
      <w:r w:rsidRPr="009109C2">
        <w:rPr>
          <w:rFonts w:ascii="Palatino Linotype" w:hAnsi="Palatino Linotype" w:cs="Times New Roman"/>
          <w:sz w:val="24"/>
          <w:szCs w:val="24"/>
        </w:rPr>
        <w:t>house</w:t>
      </w:r>
      <w:proofErr w:type="spellEnd"/>
      <w:r w:rsidRPr="009109C2">
        <w:rPr>
          <w:rFonts w:ascii="Palatino Linotype" w:hAnsi="Palatino Linotype" w:cs="Times New Roman"/>
          <w:sz w:val="24"/>
          <w:szCs w:val="24"/>
        </w:rPr>
        <w:t xml:space="preserve"> prevista dal nuovo codice dei contratti pubblici non può essere confusa con una sorta di gara, alla quale l'ente affidante dovrebbe invitare le imprese del settore, fra le quali il gestore uscente del servizio </w:t>
      </w:r>
      <w:r w:rsidRPr="009109C2">
        <w:rPr>
          <w:rFonts w:ascii="Palatino Linotype" w:hAnsi="Palatino Linotype"/>
        </w:rPr>
        <w:footnoteReference w:id="4"/>
      </w:r>
      <w:r w:rsidRPr="009109C2">
        <w:rPr>
          <w:rFonts w:ascii="Palatino Linotype" w:hAnsi="Palatino Linotype" w:cs="Times New Roman"/>
          <w:sz w:val="24"/>
          <w:szCs w:val="24"/>
        </w:rPr>
        <w:t>.</w:t>
      </w:r>
    </w:p>
    <w:p w:rsidR="00264556" w:rsidRPr="009109C2" w:rsidRDefault="009109C2" w:rsidP="00505D5D">
      <w:pPr>
        <w:ind w:firstLine="567"/>
        <w:jc w:val="both"/>
        <w:rPr>
          <w:rFonts w:ascii="Palatino Linotype" w:hAnsi="Palatino Linotype" w:cs="Times New Roman"/>
          <w:sz w:val="24"/>
          <w:szCs w:val="24"/>
        </w:rPr>
      </w:pPr>
      <w:r w:rsidRPr="009109C2">
        <w:rPr>
          <w:rFonts w:ascii="Palatino Linotype" w:hAnsi="Palatino Linotype" w:cs="Times New Roman"/>
          <w:sz w:val="24"/>
          <w:szCs w:val="24"/>
        </w:rPr>
        <w:t xml:space="preserve">In termini più generali, derivanti dal contesto consultivo – normativo coinvolto, il </w:t>
      </w:r>
      <w:r w:rsidR="00264556" w:rsidRPr="009109C2">
        <w:rPr>
          <w:rFonts w:ascii="Palatino Linotype" w:hAnsi="Palatino Linotype" w:cs="Times New Roman"/>
          <w:sz w:val="24"/>
          <w:szCs w:val="24"/>
        </w:rPr>
        <w:t>Consiglio di Stato</w:t>
      </w:r>
      <w:r w:rsidRPr="009109C2">
        <w:rPr>
          <w:rFonts w:ascii="Palatino Linotype" w:hAnsi="Palatino Linotype" w:cs="Times New Roman"/>
          <w:sz w:val="24"/>
          <w:szCs w:val="24"/>
        </w:rPr>
        <w:t xml:space="preserve">, in sede di commissione speciale (cfr. parere </w:t>
      </w:r>
      <w:r w:rsidR="00264556" w:rsidRPr="009109C2">
        <w:rPr>
          <w:rFonts w:ascii="Palatino Linotype" w:hAnsi="Palatino Linotype" w:cs="Times New Roman"/>
          <w:sz w:val="24"/>
          <w:szCs w:val="24"/>
        </w:rPr>
        <w:t>1 febbraio 2017 n. 282</w:t>
      </w:r>
      <w:r w:rsidRPr="009109C2">
        <w:rPr>
          <w:rFonts w:ascii="Palatino Linotype" w:hAnsi="Palatino Linotype" w:cs="Times New Roman"/>
          <w:sz w:val="24"/>
          <w:szCs w:val="24"/>
        </w:rPr>
        <w:t>), i</w:t>
      </w:r>
      <w:r w:rsidR="00264556" w:rsidRPr="009109C2">
        <w:rPr>
          <w:rFonts w:ascii="Palatino Linotype" w:hAnsi="Palatino Linotype" w:cs="Times New Roman"/>
          <w:sz w:val="24"/>
          <w:szCs w:val="24"/>
        </w:rPr>
        <w:t xml:space="preserve">n tema di linee guida per l'iscrizione nell'elenco delle amministrazioni aggiudicatrici e degli enti aggiudicatori che operano mediante affidamenti diretti nei confronti di proprie società in </w:t>
      </w:r>
      <w:proofErr w:type="spellStart"/>
      <w:r w:rsidR="00264556" w:rsidRPr="009109C2">
        <w:rPr>
          <w:rFonts w:ascii="Palatino Linotype" w:hAnsi="Palatino Linotype" w:cs="Times New Roman"/>
          <w:sz w:val="24"/>
          <w:szCs w:val="24"/>
        </w:rPr>
        <w:t>house</w:t>
      </w:r>
      <w:proofErr w:type="spellEnd"/>
      <w:r w:rsidR="00264556" w:rsidRPr="009109C2">
        <w:rPr>
          <w:rFonts w:ascii="Palatino Linotype" w:hAnsi="Palatino Linotype" w:cs="Times New Roman"/>
          <w:sz w:val="24"/>
          <w:szCs w:val="24"/>
        </w:rPr>
        <w:t xml:space="preserve"> previsto dall'art. 192 </w:t>
      </w:r>
      <w:r w:rsidRPr="009109C2">
        <w:rPr>
          <w:rFonts w:ascii="Palatino Linotype" w:hAnsi="Palatino Linotype" w:cs="Times New Roman"/>
          <w:sz w:val="24"/>
          <w:szCs w:val="24"/>
        </w:rPr>
        <w:t xml:space="preserve">stesso, ha evidenziato come </w:t>
      </w:r>
      <w:r w:rsidR="00264556" w:rsidRPr="009109C2">
        <w:rPr>
          <w:rFonts w:ascii="Palatino Linotype" w:hAnsi="Palatino Linotype" w:cs="Times New Roman"/>
          <w:sz w:val="24"/>
          <w:szCs w:val="24"/>
        </w:rPr>
        <w:t>la domanda di iscrizione nell'elenco delle amministrazioni aggiudicatr</w:t>
      </w:r>
      <w:r w:rsidRPr="009109C2">
        <w:rPr>
          <w:rFonts w:ascii="Palatino Linotype" w:hAnsi="Palatino Linotype" w:cs="Times New Roman"/>
          <w:sz w:val="24"/>
          <w:szCs w:val="24"/>
        </w:rPr>
        <w:t>ici e degli enti aggiudicatori</w:t>
      </w:r>
      <w:r w:rsidR="00264556" w:rsidRPr="009109C2">
        <w:rPr>
          <w:rFonts w:ascii="Palatino Linotype" w:hAnsi="Palatino Linotype" w:cs="Times New Roman"/>
          <w:sz w:val="24"/>
          <w:szCs w:val="24"/>
        </w:rPr>
        <w:t xml:space="preserve"> non costituisc</w:t>
      </w:r>
      <w:r w:rsidRPr="009109C2">
        <w:rPr>
          <w:rFonts w:ascii="Palatino Linotype" w:hAnsi="Palatino Linotype" w:cs="Times New Roman"/>
          <w:sz w:val="24"/>
          <w:szCs w:val="24"/>
        </w:rPr>
        <w:t>a</w:t>
      </w:r>
      <w:r w:rsidR="00264556" w:rsidRPr="009109C2">
        <w:rPr>
          <w:rFonts w:ascii="Palatino Linotype" w:hAnsi="Palatino Linotype" w:cs="Times New Roman"/>
          <w:sz w:val="24"/>
          <w:szCs w:val="24"/>
        </w:rPr>
        <w:t xml:space="preserve"> un atto di iniziativa procedimentale diretto ad assegnare all'amministrazione aggiudicatric</w:t>
      </w:r>
      <w:r w:rsidRPr="009109C2">
        <w:rPr>
          <w:rFonts w:ascii="Palatino Linotype" w:hAnsi="Palatino Linotype" w:cs="Times New Roman"/>
          <w:sz w:val="24"/>
          <w:szCs w:val="24"/>
        </w:rPr>
        <w:t>e o all'ente aggiudicatore un «</w:t>
      </w:r>
      <w:r w:rsidR="00264556" w:rsidRPr="009109C2">
        <w:rPr>
          <w:rFonts w:ascii="Palatino Linotype" w:hAnsi="Palatino Linotype" w:cs="Times New Roman"/>
          <w:sz w:val="24"/>
          <w:szCs w:val="24"/>
        </w:rPr>
        <w:t xml:space="preserve">titolo» abilitativo necessario per procedere ad affidamenti diretti. Essa ha, piuttosto, una duplice rilevanza: da un lato, consente ex se di procedere all'affidamento senza gara, rendendo operativa in termini di attualità concreta, senza bisogno dell'intermediazione di un'attività </w:t>
      </w:r>
      <w:proofErr w:type="spellStart"/>
      <w:r w:rsidR="00264556" w:rsidRPr="009109C2">
        <w:rPr>
          <w:rFonts w:ascii="Palatino Linotype" w:hAnsi="Palatino Linotype" w:cs="Times New Roman"/>
          <w:sz w:val="24"/>
          <w:szCs w:val="24"/>
        </w:rPr>
        <w:t>provvedimentale</w:t>
      </w:r>
      <w:proofErr w:type="spellEnd"/>
      <w:r w:rsidR="00264556" w:rsidRPr="009109C2">
        <w:rPr>
          <w:rFonts w:ascii="Palatino Linotype" w:hAnsi="Palatino Linotype" w:cs="Times New Roman"/>
          <w:sz w:val="24"/>
          <w:szCs w:val="24"/>
        </w:rPr>
        <w:t xml:space="preserve"> preventiva, la legittimazione astratta riconosciuta dal legislatore; dall'altro, detta domanda innesca una fase di controllo dell'ANAC tesa a verificare la sussistenza dei presupposti soggettivi ai quali la normativa, comunitaria e nazionale, subordina la sottrazione alle regole della competizione e del mercato.</w:t>
      </w:r>
    </w:p>
    <w:p w:rsidR="00AD5134" w:rsidRPr="009109C2" w:rsidRDefault="009109C2" w:rsidP="00505D5D">
      <w:pPr>
        <w:ind w:firstLine="567"/>
        <w:jc w:val="both"/>
        <w:rPr>
          <w:rFonts w:ascii="Palatino Linotype" w:hAnsi="Palatino Linotype" w:cs="Times New Roman"/>
          <w:sz w:val="24"/>
          <w:szCs w:val="24"/>
        </w:rPr>
      </w:pPr>
      <w:r w:rsidRPr="009109C2">
        <w:rPr>
          <w:rFonts w:ascii="Palatino Linotype" w:hAnsi="Palatino Linotype" w:cs="Times New Roman"/>
          <w:sz w:val="24"/>
          <w:szCs w:val="24"/>
        </w:rPr>
        <w:t xml:space="preserve">In tale ottica </w:t>
      </w:r>
      <w:r w:rsidR="00AD5134" w:rsidRPr="009109C2">
        <w:rPr>
          <w:rFonts w:ascii="Palatino Linotype" w:hAnsi="Palatino Linotype" w:cs="Times New Roman"/>
          <w:sz w:val="24"/>
          <w:szCs w:val="24"/>
        </w:rPr>
        <w:t xml:space="preserve">l’esclusione del carattere </w:t>
      </w:r>
      <w:proofErr w:type="spellStart"/>
      <w:r w:rsidR="00AD5134" w:rsidRPr="009109C2">
        <w:rPr>
          <w:rFonts w:ascii="Palatino Linotype" w:hAnsi="Palatino Linotype" w:cs="Times New Roman"/>
          <w:sz w:val="24"/>
          <w:szCs w:val="24"/>
        </w:rPr>
        <w:t>provvedimentale</w:t>
      </w:r>
      <w:proofErr w:type="spellEnd"/>
      <w:r w:rsidRPr="009109C2">
        <w:rPr>
          <w:rFonts w:ascii="Palatino Linotype" w:hAnsi="Palatino Linotype" w:cs="Times New Roman"/>
          <w:sz w:val="24"/>
          <w:szCs w:val="24"/>
        </w:rPr>
        <w:t xml:space="preserve"> finisce con il limitare ovvero</w:t>
      </w:r>
      <w:r w:rsidR="00AD5134" w:rsidRPr="009109C2">
        <w:rPr>
          <w:rFonts w:ascii="Palatino Linotype" w:hAnsi="Palatino Linotype" w:cs="Times New Roman"/>
          <w:sz w:val="24"/>
          <w:szCs w:val="24"/>
        </w:rPr>
        <w:t xml:space="preserve"> allontana</w:t>
      </w:r>
      <w:r w:rsidRPr="009109C2">
        <w:rPr>
          <w:rFonts w:ascii="Palatino Linotype" w:hAnsi="Palatino Linotype" w:cs="Times New Roman"/>
          <w:sz w:val="24"/>
          <w:szCs w:val="24"/>
        </w:rPr>
        <w:t xml:space="preserve">re lo “spettro” del </w:t>
      </w:r>
      <w:r w:rsidR="00AD5134" w:rsidRPr="009109C2">
        <w:rPr>
          <w:rFonts w:ascii="Palatino Linotype" w:hAnsi="Palatino Linotype" w:cs="Times New Roman"/>
          <w:sz w:val="24"/>
          <w:szCs w:val="24"/>
        </w:rPr>
        <w:t>controllo giurisdizionale.</w:t>
      </w:r>
    </w:p>
    <w:p w:rsidR="00EB7FF7"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6 la motivazione rafforzata ed i dubbi di compatibilità, europea e costituzionale.</w:t>
      </w:r>
    </w:p>
    <w:p w:rsidR="00EB7FF7" w:rsidRDefault="00EB7FF7" w:rsidP="00505D5D">
      <w:pPr>
        <w:ind w:firstLine="567"/>
        <w:jc w:val="both"/>
        <w:rPr>
          <w:rFonts w:ascii="Palatino Linotype" w:hAnsi="Palatino Linotype" w:cs="Times New Roman"/>
          <w:sz w:val="24"/>
          <w:szCs w:val="24"/>
        </w:rPr>
      </w:pPr>
    </w:p>
    <w:p w:rsidR="00517952" w:rsidRPr="00E54995" w:rsidRDefault="00727D60" w:rsidP="00505D5D">
      <w:pPr>
        <w:ind w:firstLine="567"/>
        <w:jc w:val="both"/>
        <w:rPr>
          <w:rFonts w:ascii="Palatino Linotype" w:hAnsi="Palatino Linotype" w:cs="Times New Roman"/>
          <w:sz w:val="24"/>
          <w:szCs w:val="24"/>
        </w:rPr>
      </w:pPr>
      <w:r w:rsidRPr="00E54995">
        <w:rPr>
          <w:rFonts w:ascii="Palatino Linotype" w:hAnsi="Palatino Linotype" w:cs="Times New Roman"/>
          <w:sz w:val="24"/>
          <w:szCs w:val="24"/>
        </w:rPr>
        <w:t>Peraltro, come già evidenziato, le pur frequenti questioni che la giurisprudenza si trova ad affrontare in sede applicativa della norma in questione, dovranno fare i conti con gli esiti del duplice canale aperto sulla legittimità e conformità dello stesso art. 192 comma 2.</w:t>
      </w:r>
    </w:p>
    <w:p w:rsidR="00727D60" w:rsidRPr="00E54995" w:rsidRDefault="00727D60" w:rsidP="00505D5D">
      <w:pPr>
        <w:ind w:firstLine="567"/>
        <w:jc w:val="both"/>
        <w:rPr>
          <w:rFonts w:ascii="Palatino Linotype" w:hAnsi="Palatino Linotype" w:cs="Times New Roman"/>
          <w:sz w:val="24"/>
          <w:szCs w:val="24"/>
        </w:rPr>
      </w:pPr>
      <w:r w:rsidRPr="00E54995">
        <w:rPr>
          <w:rFonts w:ascii="Palatino Linotype" w:hAnsi="Palatino Linotype" w:cs="Times New Roman"/>
          <w:sz w:val="24"/>
          <w:szCs w:val="24"/>
        </w:rPr>
        <w:t>Per un verso,</w:t>
      </w:r>
      <w:r w:rsidR="00E54995" w:rsidRPr="00E54995">
        <w:rPr>
          <w:rFonts w:ascii="Palatino Linotype" w:hAnsi="Palatino Linotype" w:cs="Times New Roman"/>
          <w:sz w:val="24"/>
          <w:szCs w:val="24"/>
        </w:rPr>
        <w:t xml:space="preserve"> il</w:t>
      </w:r>
      <w:r w:rsidRPr="00E54995">
        <w:rPr>
          <w:rFonts w:ascii="Palatino Linotype" w:hAnsi="Palatino Linotype" w:cs="Times New Roman"/>
          <w:sz w:val="24"/>
          <w:szCs w:val="24"/>
        </w:rPr>
        <w:t xml:space="preserve"> </w:t>
      </w:r>
      <w:proofErr w:type="spellStart"/>
      <w:r w:rsidR="00E54995" w:rsidRPr="00E54995">
        <w:rPr>
          <w:rFonts w:ascii="Palatino Linotype" w:hAnsi="Palatino Linotype" w:cs="Times New Roman"/>
          <w:sz w:val="24"/>
          <w:szCs w:val="24"/>
        </w:rPr>
        <w:t>T.a.r</w:t>
      </w:r>
      <w:proofErr w:type="spellEnd"/>
      <w:r w:rsidR="00E54995" w:rsidRPr="00E54995">
        <w:rPr>
          <w:rFonts w:ascii="Palatino Linotype" w:hAnsi="Palatino Linotype" w:cs="Times New Roman"/>
          <w:sz w:val="24"/>
          <w:szCs w:val="24"/>
        </w:rPr>
        <w:t xml:space="preserve">. per la Liguria (ordinanza 15 novembre 2018, n. 886) ha reputato rilevante e non manifestamente infondata la questione di legittimità costituzionale dell’art. 192, comma 2 cit. “nella parte in cui prevede che le stazioni appaltanti diano conto, nella motivazione del provvedimento di affidamento in </w:t>
      </w:r>
      <w:proofErr w:type="spellStart"/>
      <w:r w:rsidR="00E54995" w:rsidRPr="00E54995">
        <w:rPr>
          <w:rFonts w:ascii="Palatino Linotype" w:hAnsi="Palatino Linotype" w:cs="Times New Roman"/>
          <w:sz w:val="24"/>
          <w:szCs w:val="24"/>
        </w:rPr>
        <w:t>house</w:t>
      </w:r>
      <w:proofErr w:type="spellEnd"/>
      <w:r w:rsidR="00E54995" w:rsidRPr="00E54995">
        <w:rPr>
          <w:rFonts w:ascii="Palatino Linotype" w:hAnsi="Palatino Linotype" w:cs="Times New Roman"/>
          <w:sz w:val="24"/>
          <w:szCs w:val="24"/>
        </w:rPr>
        <w:t xml:space="preserve">, “delle ragioni del mancato ricorso al mercato”, per contrasto con l’art. 76 della Costituzione, in relazione all’art. 1, lettere a) ed </w:t>
      </w:r>
      <w:proofErr w:type="spellStart"/>
      <w:r w:rsidR="00E54995" w:rsidRPr="00E54995">
        <w:rPr>
          <w:rFonts w:ascii="Palatino Linotype" w:hAnsi="Palatino Linotype" w:cs="Times New Roman"/>
          <w:sz w:val="24"/>
          <w:szCs w:val="24"/>
        </w:rPr>
        <w:t>eee</w:t>
      </w:r>
      <w:proofErr w:type="spellEnd"/>
      <w:r w:rsidR="00E54995" w:rsidRPr="00E54995">
        <w:rPr>
          <w:rFonts w:ascii="Palatino Linotype" w:hAnsi="Palatino Linotype" w:cs="Times New Roman"/>
          <w:sz w:val="24"/>
          <w:szCs w:val="24"/>
        </w:rPr>
        <w:t>) della legge di delegazione n. 11 del 2016 (recante deleghe al Governo per l'attuazione delle direttive 2014/23/UE, 2014/24/UE e 2014/25/UE del Parlamento europeo e del Consiglio, del 26 febbraio 2014)”.</w:t>
      </w:r>
    </w:p>
    <w:p w:rsidR="00E54995" w:rsidRDefault="00E54995" w:rsidP="00505D5D">
      <w:pPr>
        <w:ind w:firstLine="567"/>
        <w:jc w:val="both"/>
        <w:rPr>
          <w:rFonts w:ascii="Palatino Linotype" w:hAnsi="Palatino Linotype" w:cs="Times New Roman"/>
          <w:sz w:val="24"/>
          <w:szCs w:val="24"/>
        </w:rPr>
      </w:pPr>
      <w:r w:rsidRPr="00E54995">
        <w:rPr>
          <w:rFonts w:ascii="Palatino Linotype" w:hAnsi="Palatino Linotype" w:cs="Times New Roman"/>
          <w:sz w:val="24"/>
          <w:szCs w:val="24"/>
        </w:rPr>
        <w:t xml:space="preserve">Il </w:t>
      </w:r>
      <w:proofErr w:type="spellStart"/>
      <w:r w:rsidRPr="00E54995">
        <w:rPr>
          <w:rFonts w:ascii="Palatino Linotype" w:hAnsi="Palatino Linotype" w:cs="Times New Roman"/>
          <w:sz w:val="24"/>
          <w:szCs w:val="24"/>
        </w:rPr>
        <w:t>T.a.r</w:t>
      </w:r>
      <w:proofErr w:type="spellEnd"/>
      <w:r w:rsidRPr="00E54995">
        <w:rPr>
          <w:rFonts w:ascii="Palatino Linotype" w:hAnsi="Palatino Linotype" w:cs="Times New Roman"/>
          <w:sz w:val="24"/>
          <w:szCs w:val="24"/>
        </w:rPr>
        <w:t>. ha così motivato</w:t>
      </w:r>
      <w:r>
        <w:rPr>
          <w:rFonts w:ascii="Palatino Linotype" w:hAnsi="Palatino Linotype" w:cs="Times New Roman"/>
          <w:sz w:val="24"/>
          <w:szCs w:val="24"/>
        </w:rPr>
        <w:t>,</w:t>
      </w:r>
      <w:r w:rsidRPr="00E54995">
        <w:rPr>
          <w:rFonts w:ascii="Palatino Linotype" w:hAnsi="Palatino Linotype" w:cs="Times New Roman"/>
          <w:sz w:val="24"/>
          <w:szCs w:val="24"/>
        </w:rPr>
        <w:t xml:space="preserve"> in punt</w:t>
      </w:r>
      <w:r>
        <w:rPr>
          <w:rFonts w:ascii="Palatino Linotype" w:hAnsi="Palatino Linotype" w:cs="Times New Roman"/>
          <w:sz w:val="24"/>
          <w:szCs w:val="24"/>
        </w:rPr>
        <w:t>o di non manifesta infondatezza</w:t>
      </w:r>
      <w:r w:rsidR="00EC0C24">
        <w:rPr>
          <w:rFonts w:ascii="Palatino Linotype" w:hAnsi="Palatino Linotype" w:cs="Times New Roman"/>
          <w:sz w:val="24"/>
          <w:szCs w:val="24"/>
        </w:rPr>
        <w:t xml:space="preserve">: </w:t>
      </w:r>
      <w:r w:rsidR="0083489A">
        <w:rPr>
          <w:rFonts w:ascii="Palatino Linotype" w:hAnsi="Palatino Linotype" w:cs="Times New Roman"/>
          <w:sz w:val="24"/>
          <w:szCs w:val="24"/>
        </w:rPr>
        <w:t xml:space="preserve">a) </w:t>
      </w:r>
      <w:proofErr w:type="spellStart"/>
      <w:r w:rsidR="00EC0C24">
        <w:rPr>
          <w:rFonts w:ascii="Palatino Linotype" w:hAnsi="Palatino Linotype" w:cs="Times New Roman"/>
          <w:sz w:val="24"/>
          <w:szCs w:val="24"/>
        </w:rPr>
        <w:t>l</w:t>
      </w:r>
      <w:r w:rsidR="0083489A">
        <w:rPr>
          <w:rFonts w:ascii="Palatino Linotype" w:hAnsi="Palatino Linotype" w:cs="Times New Roman"/>
          <w:sz w:val="24"/>
          <w:szCs w:val="24"/>
        </w:rPr>
        <w:t>’in</w:t>
      </w:r>
      <w:proofErr w:type="spellEnd"/>
      <w:r w:rsidR="0083489A">
        <w:rPr>
          <w:rFonts w:ascii="Palatino Linotype" w:hAnsi="Palatino Linotype" w:cs="Times New Roman"/>
          <w:sz w:val="24"/>
          <w:szCs w:val="24"/>
        </w:rPr>
        <w:t xml:space="preserve"> </w:t>
      </w:r>
      <w:proofErr w:type="spellStart"/>
      <w:r w:rsidR="0083489A">
        <w:rPr>
          <w:rFonts w:ascii="Palatino Linotype" w:hAnsi="Palatino Linotype" w:cs="Times New Roman"/>
          <w:sz w:val="24"/>
          <w:szCs w:val="24"/>
        </w:rPr>
        <w:t>house</w:t>
      </w:r>
      <w:proofErr w:type="spellEnd"/>
      <w:r w:rsidR="0083489A">
        <w:rPr>
          <w:rFonts w:ascii="Palatino Linotype" w:hAnsi="Palatino Linotype" w:cs="Times New Roman"/>
          <w:sz w:val="24"/>
          <w:szCs w:val="24"/>
        </w:rPr>
        <w:t xml:space="preserve"> </w:t>
      </w:r>
      <w:proofErr w:type="spellStart"/>
      <w:r w:rsidR="0083489A">
        <w:rPr>
          <w:rFonts w:ascii="Palatino Linotype" w:hAnsi="Palatino Linotype" w:cs="Times New Roman"/>
          <w:sz w:val="24"/>
          <w:szCs w:val="24"/>
        </w:rPr>
        <w:t>providing</w:t>
      </w:r>
      <w:proofErr w:type="spellEnd"/>
      <w:r w:rsidRPr="00E54995">
        <w:rPr>
          <w:rFonts w:ascii="Palatino Linotype" w:hAnsi="Palatino Linotype" w:cs="Times New Roman"/>
          <w:sz w:val="24"/>
          <w:szCs w:val="24"/>
        </w:rPr>
        <w:t xml:space="preserve"> costituisce una specifica applicazione del principio di autorganizzazione o di libera amministr</w:t>
      </w:r>
      <w:r w:rsidR="0083489A">
        <w:rPr>
          <w:rFonts w:ascii="Palatino Linotype" w:hAnsi="Palatino Linotype" w:cs="Times New Roman"/>
          <w:sz w:val="24"/>
          <w:szCs w:val="24"/>
        </w:rPr>
        <w:t xml:space="preserve">azione delle autorità pubbliche; </w:t>
      </w:r>
      <w:r w:rsidRPr="00E54995">
        <w:rPr>
          <w:rFonts w:ascii="Palatino Linotype" w:hAnsi="Palatino Linotype" w:cs="Times New Roman"/>
          <w:sz w:val="24"/>
          <w:szCs w:val="24"/>
        </w:rPr>
        <w:t xml:space="preserve">b) deve quindi ritenersi ormai definitivamente acquisito – quantomeno in ambito europeo – il principio che </w:t>
      </w:r>
      <w:proofErr w:type="spellStart"/>
      <w:r w:rsidRPr="00E54995">
        <w:rPr>
          <w:rFonts w:ascii="Palatino Linotype" w:hAnsi="Palatino Linotype" w:cs="Times New Roman"/>
          <w:sz w:val="24"/>
          <w:szCs w:val="24"/>
        </w:rPr>
        <w:t>l’in</w:t>
      </w:r>
      <w:proofErr w:type="spellEnd"/>
      <w:r w:rsidRPr="00E54995">
        <w:rPr>
          <w:rFonts w:ascii="Palatino Linotype" w:hAnsi="Palatino Linotype" w:cs="Times New Roman"/>
          <w:sz w:val="24"/>
          <w:szCs w:val="24"/>
        </w:rPr>
        <w:t xml:space="preserve"> </w:t>
      </w:r>
      <w:proofErr w:type="spellStart"/>
      <w:r w:rsidRPr="00E54995">
        <w:rPr>
          <w:rFonts w:ascii="Palatino Linotype" w:hAnsi="Palatino Linotype" w:cs="Times New Roman"/>
          <w:sz w:val="24"/>
          <w:szCs w:val="24"/>
        </w:rPr>
        <w:t>house</w:t>
      </w:r>
      <w:proofErr w:type="spellEnd"/>
      <w:r w:rsidRPr="00E54995">
        <w:rPr>
          <w:rFonts w:ascii="Palatino Linotype" w:hAnsi="Palatino Linotype" w:cs="Times New Roman"/>
          <w:sz w:val="24"/>
          <w:szCs w:val="24"/>
        </w:rPr>
        <w:t xml:space="preserve"> </w:t>
      </w:r>
      <w:proofErr w:type="spellStart"/>
      <w:r w:rsidRPr="00E54995">
        <w:rPr>
          <w:rFonts w:ascii="Palatino Linotype" w:hAnsi="Palatino Linotype" w:cs="Times New Roman"/>
          <w:sz w:val="24"/>
          <w:szCs w:val="24"/>
        </w:rPr>
        <w:t>providing</w:t>
      </w:r>
      <w:proofErr w:type="spellEnd"/>
      <w:r w:rsidRPr="00E54995">
        <w:rPr>
          <w:rFonts w:ascii="Palatino Linotype" w:hAnsi="Palatino Linotype" w:cs="Times New Roman"/>
          <w:sz w:val="24"/>
          <w:szCs w:val="24"/>
        </w:rPr>
        <w:t xml:space="preserve"> non configura affatto un’ipotesi eccezionale e derogatoria di gestione dei servizi pubblici rispetto all’ordinario espletamento di una procedura di evidenza pubblica, ma costituisce una delle ordinarie forme organizzative di conferimento della titolarità del servizio, la cui individuazione in concreto è rimessa alle amministrazioni, sulla base di un mero giudizio di opportunità e convenienza economica;</w:t>
      </w:r>
      <w:r w:rsidR="0083489A">
        <w:rPr>
          <w:rFonts w:ascii="Palatino Linotype" w:hAnsi="Palatino Linotype" w:cs="Times New Roman"/>
          <w:sz w:val="24"/>
          <w:szCs w:val="24"/>
        </w:rPr>
        <w:t xml:space="preserve"> c</w:t>
      </w:r>
      <w:r w:rsidRPr="00E54995">
        <w:rPr>
          <w:rFonts w:ascii="Palatino Linotype" w:hAnsi="Palatino Linotype" w:cs="Times New Roman"/>
          <w:sz w:val="24"/>
          <w:szCs w:val="24"/>
        </w:rPr>
        <w:t xml:space="preserve">) tale principio può anzi ritenersi operante anche nell’ordinamento interno, come riconosciuto da diversi arresti del Consiglio di Stato (vengono citate: Consiglio di Stato, sezione V, 15 marzo 2016, n. 1034, in </w:t>
      </w:r>
      <w:proofErr w:type="spellStart"/>
      <w:r w:rsidRPr="00E54995">
        <w:rPr>
          <w:rFonts w:ascii="Palatino Linotype" w:hAnsi="Palatino Linotype" w:cs="Times New Roman"/>
          <w:sz w:val="24"/>
          <w:szCs w:val="24"/>
        </w:rPr>
        <w:t>Riv</w:t>
      </w:r>
      <w:proofErr w:type="spellEnd"/>
      <w:r w:rsidRPr="00E54995">
        <w:rPr>
          <w:rFonts w:ascii="Palatino Linotype" w:hAnsi="Palatino Linotype" w:cs="Times New Roman"/>
          <w:sz w:val="24"/>
          <w:szCs w:val="24"/>
        </w:rPr>
        <w:t xml:space="preserve">. </w:t>
      </w:r>
      <w:proofErr w:type="gramStart"/>
      <w:r w:rsidRPr="00E54995">
        <w:rPr>
          <w:rFonts w:ascii="Palatino Linotype" w:hAnsi="Palatino Linotype" w:cs="Times New Roman"/>
          <w:sz w:val="24"/>
          <w:szCs w:val="24"/>
        </w:rPr>
        <w:t>giur</w:t>
      </w:r>
      <w:proofErr w:type="gramEnd"/>
      <w:r w:rsidRPr="00E54995">
        <w:rPr>
          <w:rFonts w:ascii="Palatino Linotype" w:hAnsi="Palatino Linotype" w:cs="Times New Roman"/>
          <w:sz w:val="24"/>
          <w:szCs w:val="24"/>
        </w:rPr>
        <w:t xml:space="preserve">. servizi </w:t>
      </w:r>
      <w:proofErr w:type="spellStart"/>
      <w:r w:rsidRPr="00E54995">
        <w:rPr>
          <w:rFonts w:ascii="Palatino Linotype" w:hAnsi="Palatino Linotype" w:cs="Times New Roman"/>
          <w:sz w:val="24"/>
          <w:szCs w:val="24"/>
        </w:rPr>
        <w:t>pubbl</w:t>
      </w:r>
      <w:proofErr w:type="spellEnd"/>
      <w:r w:rsidRPr="00E54995">
        <w:rPr>
          <w:rFonts w:ascii="Palatino Linotype" w:hAnsi="Palatino Linotype" w:cs="Times New Roman"/>
          <w:sz w:val="24"/>
          <w:szCs w:val="24"/>
        </w:rPr>
        <w:t>., 2016, 489, con nota di SORRENTINO; Consiglio di Stato, sezione V, 18 luglio 2017, n. 3554, in Guida al dir., 2017, 34, 62, con nota di D. PONTE), dovendosi valorizzare il disposto dell’art. 34, comma 20, del decreto-legge n. 179 del 2012, conv</w:t>
      </w:r>
      <w:r w:rsidR="0083489A">
        <w:rPr>
          <w:rFonts w:ascii="Palatino Linotype" w:hAnsi="Palatino Linotype" w:cs="Times New Roman"/>
          <w:sz w:val="24"/>
          <w:szCs w:val="24"/>
        </w:rPr>
        <w:t>ertito in legge n. 221 del 2012</w:t>
      </w:r>
      <w:r w:rsidRPr="00E54995">
        <w:rPr>
          <w:rFonts w:ascii="Palatino Linotype" w:hAnsi="Palatino Linotype" w:cs="Times New Roman"/>
          <w:sz w:val="24"/>
          <w:szCs w:val="24"/>
        </w:rPr>
        <w:t>;</w:t>
      </w:r>
      <w:r w:rsidR="0083489A">
        <w:rPr>
          <w:rFonts w:ascii="Palatino Linotype" w:hAnsi="Palatino Linotype" w:cs="Times New Roman"/>
          <w:sz w:val="24"/>
          <w:szCs w:val="24"/>
        </w:rPr>
        <w:t xml:space="preserve"> d</w:t>
      </w:r>
      <w:r w:rsidRPr="00E54995">
        <w:rPr>
          <w:rFonts w:ascii="Palatino Linotype" w:hAnsi="Palatino Linotype" w:cs="Times New Roman"/>
          <w:sz w:val="24"/>
          <w:szCs w:val="24"/>
        </w:rPr>
        <w:t xml:space="preserve">) tale norma, specificamente dettata per i servizi pubblici locali di rilevanza economica, “non contiene alcun riferimento alle ragioni del mancato ricorso prioritario al mercato, che sono ultronee rispetto all’istituto </w:t>
      </w:r>
      <w:proofErr w:type="spellStart"/>
      <w:r w:rsidRPr="00E54995">
        <w:rPr>
          <w:rFonts w:ascii="Palatino Linotype" w:hAnsi="Palatino Linotype" w:cs="Times New Roman"/>
          <w:sz w:val="24"/>
          <w:szCs w:val="24"/>
        </w:rPr>
        <w:t>dell’in</w:t>
      </w:r>
      <w:proofErr w:type="spellEnd"/>
      <w:r w:rsidRPr="00E54995">
        <w:rPr>
          <w:rFonts w:ascii="Palatino Linotype" w:hAnsi="Palatino Linotype" w:cs="Times New Roman"/>
          <w:sz w:val="24"/>
          <w:szCs w:val="24"/>
        </w:rPr>
        <w:t xml:space="preserve"> </w:t>
      </w:r>
      <w:proofErr w:type="spellStart"/>
      <w:r w:rsidRPr="00E54995">
        <w:rPr>
          <w:rFonts w:ascii="Palatino Linotype" w:hAnsi="Palatino Linotype" w:cs="Times New Roman"/>
          <w:sz w:val="24"/>
          <w:szCs w:val="24"/>
        </w:rPr>
        <w:t>house</w:t>
      </w:r>
      <w:proofErr w:type="spellEnd"/>
      <w:r w:rsidRPr="00E54995">
        <w:rPr>
          <w:rFonts w:ascii="Palatino Linotype" w:hAnsi="Palatino Linotype" w:cs="Times New Roman"/>
          <w:sz w:val="24"/>
          <w:szCs w:val="24"/>
        </w:rPr>
        <w:t>”</w:t>
      </w:r>
      <w:r w:rsidR="0083489A">
        <w:rPr>
          <w:rFonts w:ascii="Palatino Linotype" w:hAnsi="Palatino Linotype" w:cs="Times New Roman"/>
          <w:sz w:val="24"/>
          <w:szCs w:val="24"/>
        </w:rPr>
        <w:t xml:space="preserve">, </w:t>
      </w:r>
      <w:r w:rsidRPr="00E54995">
        <w:rPr>
          <w:rFonts w:ascii="Palatino Linotype" w:hAnsi="Palatino Linotype" w:cs="Times New Roman"/>
          <w:sz w:val="24"/>
          <w:szCs w:val="24"/>
        </w:rPr>
        <w:t>diversamente dall’art. 192, comma 2, del codice appalti, il quale, nell’imporre un onere motivazionale supplementare relativamente alle “ragioni del mancato ricorso al mercato”, finisce con l’eccedere rispetto ai principi ed ai criteri direttivi contenuti nella</w:t>
      </w:r>
      <w:r w:rsidR="0083489A">
        <w:rPr>
          <w:rFonts w:ascii="Palatino Linotype" w:hAnsi="Palatino Linotype" w:cs="Times New Roman"/>
          <w:sz w:val="24"/>
          <w:szCs w:val="24"/>
        </w:rPr>
        <w:t xml:space="preserve"> legge di delega n. 11 del 2016</w:t>
      </w:r>
      <w:r w:rsidR="006E7532">
        <w:rPr>
          <w:rFonts w:ascii="Palatino Linotype" w:hAnsi="Palatino Linotype" w:cs="Times New Roman"/>
          <w:sz w:val="24"/>
          <w:szCs w:val="24"/>
        </w:rPr>
        <w:t>.</w:t>
      </w:r>
    </w:p>
    <w:p w:rsidR="00EC0C24" w:rsidRDefault="00EC0C24"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Per un altro verso la quinta sezione del Consiglio di Stato ha disposto un duplice rinvio alla Corte di giustizia.</w:t>
      </w:r>
    </w:p>
    <w:p w:rsidR="00EC0C24" w:rsidRPr="00EC0C24" w:rsidRDefault="00EC0C24"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Con una prima </w:t>
      </w:r>
      <w:proofErr w:type="gramStart"/>
      <w:r>
        <w:rPr>
          <w:rFonts w:ascii="Palatino Linotype" w:hAnsi="Palatino Linotype" w:cs="Times New Roman"/>
          <w:sz w:val="24"/>
          <w:szCs w:val="24"/>
        </w:rPr>
        <w:t xml:space="preserve">ordinanza </w:t>
      </w:r>
      <w:r w:rsidR="00EB7FF7">
        <w:rPr>
          <w:rStyle w:val="Rimandonotaapidipagina"/>
          <w:rFonts w:ascii="Palatino Linotype" w:hAnsi="Palatino Linotype" w:cs="Times New Roman"/>
          <w:sz w:val="24"/>
          <w:szCs w:val="24"/>
        </w:rPr>
        <w:footnoteReference w:id="5"/>
      </w:r>
      <w:r>
        <w:rPr>
          <w:rFonts w:ascii="Palatino Linotype" w:hAnsi="Palatino Linotype" w:cs="Times New Roman"/>
          <w:sz w:val="24"/>
          <w:szCs w:val="24"/>
        </w:rPr>
        <w:t xml:space="preserve"> </w:t>
      </w:r>
      <w:r w:rsidRPr="00EC0C24">
        <w:rPr>
          <w:rFonts w:ascii="Palatino Linotype" w:hAnsi="Palatino Linotype" w:cs="Times New Roman"/>
          <w:sz w:val="24"/>
          <w:szCs w:val="24"/>
        </w:rPr>
        <w:t>ha</w:t>
      </w:r>
      <w:proofErr w:type="gramEnd"/>
      <w:r w:rsidRPr="00EC0C24">
        <w:rPr>
          <w:rFonts w:ascii="Palatino Linotype" w:hAnsi="Palatino Linotype" w:cs="Times New Roman"/>
          <w:sz w:val="24"/>
          <w:szCs w:val="24"/>
        </w:rPr>
        <w:t xml:space="preserve"> posto alla Corte di giustizia UE due quesiti interpretativi in tema di affidamento in </w:t>
      </w:r>
      <w:proofErr w:type="spellStart"/>
      <w:r w:rsidRPr="00EC0C24">
        <w:rPr>
          <w:rFonts w:ascii="Palatino Linotype" w:hAnsi="Palatino Linotype" w:cs="Times New Roman"/>
          <w:sz w:val="24"/>
          <w:szCs w:val="24"/>
        </w:rPr>
        <w:t>house</w:t>
      </w:r>
      <w:proofErr w:type="spellEnd"/>
      <w:r w:rsidRPr="00EC0C24">
        <w:rPr>
          <w:rFonts w:ascii="Palatino Linotype" w:hAnsi="Palatino Linotype" w:cs="Times New Roman"/>
          <w:sz w:val="24"/>
          <w:szCs w:val="24"/>
        </w:rPr>
        <w:t xml:space="preserve">, chiedendo in particolare se il diritto europeo osti a una </w:t>
      </w:r>
      <w:r w:rsidRPr="00EC0C24">
        <w:rPr>
          <w:rFonts w:ascii="Palatino Linotype" w:hAnsi="Palatino Linotype" w:cs="Times New Roman"/>
          <w:sz w:val="24"/>
          <w:szCs w:val="24"/>
        </w:rPr>
        <w:lastRenderedPageBreak/>
        <w:t xml:space="preserve">disciplina nazionale che colloca gli affidamenti in </w:t>
      </w:r>
      <w:proofErr w:type="spellStart"/>
      <w:r w:rsidRPr="00EC0C24">
        <w:rPr>
          <w:rFonts w:ascii="Palatino Linotype" w:hAnsi="Palatino Linotype" w:cs="Times New Roman"/>
          <w:sz w:val="24"/>
          <w:szCs w:val="24"/>
        </w:rPr>
        <w:t>house</w:t>
      </w:r>
      <w:proofErr w:type="spellEnd"/>
      <w:r w:rsidRPr="00EC0C24">
        <w:rPr>
          <w:rFonts w:ascii="Palatino Linotype" w:hAnsi="Palatino Linotype" w:cs="Times New Roman"/>
          <w:sz w:val="24"/>
          <w:szCs w:val="24"/>
        </w:rPr>
        <w:t xml:space="preserve"> su un piano subordinato ed eccezionale rispetto agli affidamenti tramite gara di appalto e impedisce, in talune circostanze, ad una pubblica amministrazione di acquisire una quota di partecipazione in un organismo </w:t>
      </w:r>
      <w:proofErr w:type="spellStart"/>
      <w:r w:rsidRPr="00EC0C24">
        <w:rPr>
          <w:rFonts w:ascii="Palatino Linotype" w:hAnsi="Palatino Linotype" w:cs="Times New Roman"/>
          <w:sz w:val="24"/>
          <w:szCs w:val="24"/>
        </w:rPr>
        <w:t>pluripartecipato</w:t>
      </w:r>
      <w:proofErr w:type="spellEnd"/>
      <w:r w:rsidRPr="00EC0C24">
        <w:rPr>
          <w:rFonts w:ascii="Palatino Linotype" w:hAnsi="Palatino Linotype" w:cs="Times New Roman"/>
          <w:sz w:val="24"/>
          <w:szCs w:val="24"/>
        </w:rPr>
        <w:t xml:space="preserve"> da altre amministrazioni.</w:t>
      </w:r>
    </w:p>
    <w:p w:rsidR="00EC0C24" w:rsidRPr="00EC0C24" w:rsidRDefault="004B21BA"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Con una seconda </w:t>
      </w:r>
      <w:proofErr w:type="gramStart"/>
      <w:r>
        <w:rPr>
          <w:rFonts w:ascii="Palatino Linotype" w:hAnsi="Palatino Linotype" w:cs="Times New Roman"/>
          <w:sz w:val="24"/>
          <w:szCs w:val="24"/>
        </w:rPr>
        <w:t>or</w:t>
      </w:r>
      <w:r w:rsidR="00EB7FF7">
        <w:rPr>
          <w:rFonts w:ascii="Palatino Linotype" w:hAnsi="Palatino Linotype" w:cs="Times New Roman"/>
          <w:sz w:val="24"/>
          <w:szCs w:val="24"/>
        </w:rPr>
        <w:t xml:space="preserve">dinanza </w:t>
      </w:r>
      <w:r w:rsidR="00EB7FF7">
        <w:rPr>
          <w:rStyle w:val="Rimandonotaapidipagina"/>
          <w:rFonts w:ascii="Palatino Linotype" w:hAnsi="Palatino Linotype" w:cs="Times New Roman"/>
          <w:sz w:val="24"/>
          <w:szCs w:val="24"/>
        </w:rPr>
        <w:footnoteReference w:id="6"/>
      </w:r>
      <w:r>
        <w:rPr>
          <w:rFonts w:ascii="Palatino Linotype" w:hAnsi="Palatino Linotype" w:cs="Times New Roman"/>
          <w:sz w:val="24"/>
          <w:szCs w:val="24"/>
        </w:rPr>
        <w:t>,</w:t>
      </w:r>
      <w:proofErr w:type="gramEnd"/>
      <w:r>
        <w:rPr>
          <w:rFonts w:ascii="Palatino Linotype" w:hAnsi="Palatino Linotype" w:cs="Times New Roman"/>
          <w:sz w:val="24"/>
          <w:szCs w:val="24"/>
        </w:rPr>
        <w:t xml:space="preserve"> la stessa sezione ha rimesso due analoghe questioni. Da un canto, </w:t>
      </w:r>
      <w:r w:rsidRPr="004B21BA">
        <w:rPr>
          <w:rFonts w:ascii="Palatino Linotype" w:hAnsi="Palatino Linotype" w:cs="Times New Roman"/>
          <w:sz w:val="24"/>
          <w:szCs w:val="24"/>
        </w:rPr>
        <w:t xml:space="preserve">se il diritto dell’Unione europea (e segnatamente il principio di libera amministrazione delle autorità pubbliche e i principio di sostanziale equivalenza fra le diverse modalità di affidamento e di gestione dei servizi di interesse delle amministrazioni pubbliche) osti a una normativa nazionale (come quella dell’art. 192, comma 2, del ‘Codice dei contratti pubblici, approvato con d.lgs. n. 50 del 2016) il quale colloca gli affidamenti in </w:t>
      </w:r>
      <w:proofErr w:type="spellStart"/>
      <w:r w:rsidRPr="004B21BA">
        <w:rPr>
          <w:rFonts w:ascii="Palatino Linotype" w:hAnsi="Palatino Linotype" w:cs="Times New Roman"/>
          <w:sz w:val="24"/>
          <w:szCs w:val="24"/>
        </w:rPr>
        <w:t>house</w:t>
      </w:r>
      <w:proofErr w:type="spellEnd"/>
      <w:r w:rsidRPr="004B21BA">
        <w:rPr>
          <w:rFonts w:ascii="Palatino Linotype" w:hAnsi="Palatino Linotype" w:cs="Times New Roman"/>
          <w:sz w:val="24"/>
          <w:szCs w:val="24"/>
        </w:rPr>
        <w:t xml:space="preserve"> su un piano subordinato ed eccezionale rispetto agli affidamenti tramite gara di appalto: i) consentendo tali affidamenti soltanto in caso di dimostrato fallimento del mercato rilevante, nonché ii) imponendo comunque all’amministrazione che intenda operare un affidamento in regìme di delegazione </w:t>
      </w:r>
      <w:proofErr w:type="spellStart"/>
      <w:r w:rsidRPr="004B21BA">
        <w:rPr>
          <w:rFonts w:ascii="Palatino Linotype" w:hAnsi="Palatino Linotype" w:cs="Times New Roman"/>
          <w:sz w:val="24"/>
          <w:szCs w:val="24"/>
        </w:rPr>
        <w:t>interorganica</w:t>
      </w:r>
      <w:proofErr w:type="spellEnd"/>
      <w:r w:rsidRPr="004B21BA">
        <w:rPr>
          <w:rFonts w:ascii="Palatino Linotype" w:hAnsi="Palatino Linotype" w:cs="Times New Roman"/>
          <w:sz w:val="24"/>
          <w:szCs w:val="24"/>
        </w:rPr>
        <w:t xml:space="preserve"> di fornire una specifica motivazione circa i benefìci per la collettività connessi a ta</w:t>
      </w:r>
      <w:r>
        <w:rPr>
          <w:rFonts w:ascii="Palatino Linotype" w:hAnsi="Palatino Linotype" w:cs="Times New Roman"/>
          <w:sz w:val="24"/>
          <w:szCs w:val="24"/>
        </w:rPr>
        <w:t>le forma di affidamento</w:t>
      </w:r>
      <w:r w:rsidRPr="004B21BA">
        <w:rPr>
          <w:rFonts w:ascii="Palatino Linotype" w:hAnsi="Palatino Linotype" w:cs="Times New Roman"/>
          <w:sz w:val="24"/>
          <w:szCs w:val="24"/>
        </w:rPr>
        <w:t>.</w:t>
      </w:r>
      <w:r>
        <w:rPr>
          <w:rFonts w:ascii="Palatino Linotype" w:hAnsi="Palatino Linotype" w:cs="Times New Roman"/>
          <w:sz w:val="24"/>
          <w:szCs w:val="24"/>
        </w:rPr>
        <w:t xml:space="preserve"> Dall’altro canto, </w:t>
      </w:r>
      <w:r w:rsidRPr="004B21BA">
        <w:rPr>
          <w:rFonts w:ascii="Palatino Linotype" w:hAnsi="Palatino Linotype" w:cs="Times New Roman"/>
          <w:sz w:val="24"/>
          <w:szCs w:val="24"/>
        </w:rPr>
        <w:t xml:space="preserve">se il diritto dell’Unione europea (e in particolare l’art. 12, paragrafo 3 della Direttiva 2014/24/UE in tema di affidamenti in </w:t>
      </w:r>
      <w:proofErr w:type="spellStart"/>
      <w:r w:rsidRPr="004B21BA">
        <w:rPr>
          <w:rFonts w:ascii="Palatino Linotype" w:hAnsi="Palatino Linotype" w:cs="Times New Roman"/>
          <w:sz w:val="24"/>
          <w:szCs w:val="24"/>
        </w:rPr>
        <w:t>house</w:t>
      </w:r>
      <w:proofErr w:type="spellEnd"/>
      <w:r w:rsidRPr="004B21BA">
        <w:rPr>
          <w:rFonts w:ascii="Palatino Linotype" w:hAnsi="Palatino Linotype" w:cs="Times New Roman"/>
          <w:sz w:val="24"/>
          <w:szCs w:val="24"/>
        </w:rPr>
        <w:t xml:space="preserve"> in regìme di controllo analogo congiunto fra più amministrazioni) osti a una disciplina nazionale (come quella dell’art. 4, comma 1, del Testo Unico delle società partecipate, approvato con d.lgs. n. 175 del 2016) che impedisce a un’amministrazione pubblica di acquisire in un organismo </w:t>
      </w:r>
      <w:proofErr w:type="spellStart"/>
      <w:r w:rsidRPr="004B21BA">
        <w:rPr>
          <w:rFonts w:ascii="Palatino Linotype" w:hAnsi="Palatino Linotype" w:cs="Times New Roman"/>
          <w:sz w:val="24"/>
          <w:szCs w:val="24"/>
        </w:rPr>
        <w:t>pluriparecipato</w:t>
      </w:r>
      <w:proofErr w:type="spellEnd"/>
      <w:r w:rsidRPr="004B21BA">
        <w:rPr>
          <w:rFonts w:ascii="Palatino Linotype" w:hAnsi="Palatino Linotype" w:cs="Times New Roman"/>
          <w:sz w:val="24"/>
          <w:szCs w:val="24"/>
        </w:rPr>
        <w:t xml:space="preserve"> da altre amministrazioni una quota di partecipazione (comunque inidonea a garantire controllo o potere di veto) laddove tale amministrazione intende comunque acquisire in futuro una posizione di controllo congiunto e quindi la possibilità di procedere ad affidamenti diretti in favore dell’Organismo </w:t>
      </w:r>
      <w:proofErr w:type="spellStart"/>
      <w:r w:rsidRPr="004B21BA">
        <w:rPr>
          <w:rFonts w:ascii="Palatino Linotype" w:hAnsi="Palatino Linotype" w:cs="Times New Roman"/>
          <w:sz w:val="24"/>
          <w:szCs w:val="24"/>
        </w:rPr>
        <w:t>pluripartecipate</w:t>
      </w:r>
      <w:proofErr w:type="spellEnd"/>
      <w:r>
        <w:rPr>
          <w:rFonts w:ascii="Palatino Linotype" w:hAnsi="Palatino Linotype" w:cs="Times New Roman"/>
          <w:sz w:val="24"/>
          <w:szCs w:val="24"/>
        </w:rPr>
        <w:t>.</w:t>
      </w:r>
    </w:p>
    <w:p w:rsidR="00EC0C24"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7 gli approfondimenti giurisprudenziali.</w:t>
      </w:r>
      <w:r w:rsidR="00EC0C24" w:rsidRPr="002C78F1">
        <w:rPr>
          <w:rFonts w:ascii="Palatino Linotype" w:hAnsi="Palatino Linotype" w:cs="Times New Roman"/>
          <w:b/>
          <w:sz w:val="24"/>
          <w:szCs w:val="24"/>
        </w:rPr>
        <w:t xml:space="preserve"> </w:t>
      </w:r>
    </w:p>
    <w:p w:rsidR="006E7532" w:rsidRDefault="00315C7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attesa della risposta che verrà fornita dalle Corti superiori, con particolare attenzione ai profili sostanziali sollevati dinanzi al Giudice europeo, </w:t>
      </w:r>
      <w:r w:rsidR="00657BE9">
        <w:rPr>
          <w:rFonts w:ascii="Palatino Linotype" w:hAnsi="Palatino Linotype" w:cs="Times New Roman"/>
          <w:sz w:val="24"/>
          <w:szCs w:val="24"/>
        </w:rPr>
        <w:t>anche al fine di inquadrare le future indicazioni, sono stati ricostruiti i più recenti passaggi</w:t>
      </w:r>
      <w:r w:rsidR="00EB7FF7">
        <w:rPr>
          <w:rFonts w:ascii="Palatino Linotype" w:hAnsi="Palatino Linotype" w:cs="Times New Roman"/>
          <w:sz w:val="24"/>
          <w:szCs w:val="24"/>
        </w:rPr>
        <w:t xml:space="preserve"> </w:t>
      </w:r>
      <w:proofErr w:type="gramStart"/>
      <w:r w:rsidR="00EB7FF7">
        <w:rPr>
          <w:rFonts w:ascii="Palatino Linotype" w:hAnsi="Palatino Linotype" w:cs="Times New Roman"/>
          <w:sz w:val="24"/>
          <w:szCs w:val="24"/>
        </w:rPr>
        <w:t>giurisprudenziali</w:t>
      </w:r>
      <w:r w:rsidR="00657BE9">
        <w:rPr>
          <w:rFonts w:ascii="Palatino Linotype" w:hAnsi="Palatino Linotype" w:cs="Times New Roman"/>
          <w:sz w:val="24"/>
          <w:szCs w:val="24"/>
        </w:rPr>
        <w:t xml:space="preserve"> </w:t>
      </w:r>
      <w:r w:rsidR="00657BE9">
        <w:rPr>
          <w:rStyle w:val="Rimandonotaapidipagina"/>
          <w:rFonts w:ascii="Palatino Linotype" w:hAnsi="Palatino Linotype" w:cs="Times New Roman"/>
          <w:sz w:val="24"/>
          <w:szCs w:val="24"/>
        </w:rPr>
        <w:footnoteReference w:id="7"/>
      </w:r>
      <w:r w:rsidR="00657BE9">
        <w:rPr>
          <w:rFonts w:ascii="Palatino Linotype" w:hAnsi="Palatino Linotype" w:cs="Times New Roman"/>
          <w:sz w:val="24"/>
          <w:szCs w:val="24"/>
        </w:rPr>
        <w:t>.</w:t>
      </w:r>
      <w:proofErr w:type="gramEnd"/>
      <w:r w:rsidR="00657BE9">
        <w:rPr>
          <w:rFonts w:ascii="Palatino Linotype" w:hAnsi="Palatino Linotype" w:cs="Times New Roman"/>
          <w:sz w:val="24"/>
          <w:szCs w:val="24"/>
        </w:rPr>
        <w:t xml:space="preserve"> </w:t>
      </w:r>
    </w:p>
    <w:p w:rsidR="00315C71" w:rsidRPr="00315C71" w:rsidRDefault="00657BE9"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I</w:t>
      </w:r>
      <w:r w:rsidR="00315C71" w:rsidRPr="00315C71">
        <w:rPr>
          <w:rFonts w:ascii="Palatino Linotype" w:hAnsi="Palatino Linotype" w:cs="Times New Roman"/>
          <w:sz w:val="24"/>
          <w:szCs w:val="24"/>
        </w:rPr>
        <w:t xml:space="preserve">n sede di parere sullo schema di decreto legislativo recante “Codice degli appalti pubblici e dei contratti di concessione”, ai sensi dell'articolo 1, comma 3, della legge n. 11 del 2016, il Consiglio di Stato, aveva osservato che l’onere di motivazione imposto da (quello che sarebbe diventato) l’art. 192, comma 2, secondo cui “Ai fini dell'affidamento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di un contratto avente ad oggetto servizi disponibili sul mercato in regime di concorrenza, le stazioni appaltanti effettuano preventivamente la valutazione sulla congruità economica dell'offerta dei soggetti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avuto riguardo all'oggetto e al valore della prestazione, </w:t>
      </w:r>
      <w:r w:rsidR="00315C71" w:rsidRPr="00315C71">
        <w:rPr>
          <w:rFonts w:ascii="Palatino Linotype" w:hAnsi="Palatino Linotype" w:cs="Times New Roman"/>
          <w:sz w:val="24"/>
          <w:szCs w:val="24"/>
        </w:rPr>
        <w:lastRenderedPageBreak/>
        <w:t>dando conto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 costituisce “un onere motivazionale rafforzato, il quale consente un penetrante controllo della scelta effettuata dall'Amministrazione, anzitutto sul piano dell'efficienza amministrativa e del razionale impiego delle risorse pubbliche” (comm. spec., parere 1° aprile 2016, n. 464, le cui massime sono rip</w:t>
      </w:r>
      <w:r>
        <w:rPr>
          <w:rFonts w:ascii="Palatino Linotype" w:hAnsi="Palatino Linotype" w:cs="Times New Roman"/>
          <w:sz w:val="24"/>
          <w:szCs w:val="24"/>
        </w:rPr>
        <w:t xml:space="preserve">ortate in Foro </w:t>
      </w:r>
      <w:proofErr w:type="spellStart"/>
      <w:r>
        <w:rPr>
          <w:rFonts w:ascii="Palatino Linotype" w:hAnsi="Palatino Linotype" w:cs="Times New Roman"/>
          <w:sz w:val="24"/>
          <w:szCs w:val="24"/>
        </w:rPr>
        <w:t>amm</w:t>
      </w:r>
      <w:proofErr w:type="spellEnd"/>
      <w:r>
        <w:rPr>
          <w:rFonts w:ascii="Palatino Linotype" w:hAnsi="Palatino Linotype" w:cs="Times New Roman"/>
          <w:sz w:val="24"/>
          <w:szCs w:val="24"/>
        </w:rPr>
        <w:t>., 2016, 824).</w:t>
      </w:r>
    </w:p>
    <w:p w:rsidR="00850CC1" w:rsidRDefault="00657BE9"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linea generale, </w:t>
      </w:r>
      <w:r w:rsidR="00315C71" w:rsidRPr="00315C71">
        <w:rPr>
          <w:rFonts w:ascii="Palatino Linotype" w:hAnsi="Palatino Linotype" w:cs="Times New Roman"/>
          <w:sz w:val="24"/>
          <w:szCs w:val="24"/>
        </w:rPr>
        <w:t xml:space="preserve">la giurisprudenza amministrativa, in sede di delibazione della “motivazione” resa dalla stazione appaltante sul “mancato ricorso al mercato”, si mostra al momento piuttosto rigorosa: </w:t>
      </w:r>
      <w:r>
        <w:rPr>
          <w:rFonts w:ascii="Palatino Linotype" w:hAnsi="Palatino Linotype" w:cs="Times New Roman"/>
          <w:sz w:val="24"/>
          <w:szCs w:val="24"/>
        </w:rPr>
        <w:t xml:space="preserve">ancora di recente la stessa sezione V del </w:t>
      </w:r>
      <w:r w:rsidR="00315C71" w:rsidRPr="00315C71">
        <w:rPr>
          <w:rFonts w:ascii="Palatino Linotype" w:hAnsi="Palatino Linotype" w:cs="Times New Roman"/>
          <w:sz w:val="24"/>
          <w:szCs w:val="24"/>
        </w:rPr>
        <w:t>Consiglio di Stato</w:t>
      </w:r>
      <w:r>
        <w:rPr>
          <w:rFonts w:ascii="Palatino Linotype" w:hAnsi="Palatino Linotype" w:cs="Times New Roman"/>
          <w:sz w:val="24"/>
          <w:szCs w:val="24"/>
        </w:rPr>
        <w:t xml:space="preserve"> (</w:t>
      </w:r>
      <w:r w:rsidR="00315C71" w:rsidRPr="00315C71">
        <w:rPr>
          <w:rFonts w:ascii="Palatino Linotype" w:hAnsi="Palatino Linotype" w:cs="Times New Roman"/>
          <w:sz w:val="24"/>
          <w:szCs w:val="24"/>
        </w:rPr>
        <w:t>sentenza 16 novembre 2018, n. 6456</w:t>
      </w:r>
      <w:r>
        <w:rPr>
          <w:rFonts w:ascii="Palatino Linotype" w:hAnsi="Palatino Linotype" w:cs="Times New Roman"/>
          <w:sz w:val="24"/>
          <w:szCs w:val="24"/>
        </w:rPr>
        <w:t xml:space="preserve">), </w:t>
      </w:r>
      <w:r w:rsidR="00315C71" w:rsidRPr="00315C71">
        <w:rPr>
          <w:rFonts w:ascii="Palatino Linotype" w:hAnsi="Palatino Linotype" w:cs="Times New Roman"/>
          <w:sz w:val="24"/>
          <w:szCs w:val="24"/>
        </w:rPr>
        <w:t xml:space="preserve">pronunciandosi sulla legittimità di un affidamento diretto,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del servizio di gestione dei rifiuti per un gruppo di Comuni ricompresi in un’Assemblea territoriale d’amb</w:t>
      </w:r>
      <w:r>
        <w:rPr>
          <w:rFonts w:ascii="Palatino Linotype" w:hAnsi="Palatino Linotype" w:cs="Times New Roman"/>
          <w:sz w:val="24"/>
          <w:szCs w:val="24"/>
        </w:rPr>
        <w:t>ito marchigiana (ATO 2 Ancona),</w:t>
      </w:r>
      <w:r w:rsidR="00315C71" w:rsidRPr="00315C71">
        <w:rPr>
          <w:rFonts w:ascii="Palatino Linotype" w:hAnsi="Palatino Linotype" w:cs="Times New Roman"/>
          <w:sz w:val="24"/>
          <w:szCs w:val="24"/>
        </w:rPr>
        <w:t xml:space="preserve"> ha ritenuto che tale onere motivazionale debba essere adempiuto mediante un “compiuto esame comparativo”, da parte dell’amministrazione, sui costi medi del servizio da affidarsi e sulle relative performances che, nel medesimo ambito territoriale, risultino già svolti sia da operatori privati sia da altre società ad integrale partecipazione pubblica, statuendosi per l’effetto che “è onere dell’autorità amministrativa affidante quello di rendere comunque comparabili i dati su cui il confronto viene svolto”, con necessaria allegazione di “dati di dettaglio” (nella fattispecie, posto che simili dati non erano stati forniti, si è quindi concluso nel senso di "un approfondimento insufficiente delle implicazioni derivanti dalla scelta del modello di gestione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del servizio relativo ai rifiuti”, con conseguente annullamento, in parte qua, della delibera che aveva affidato il servizio in via diretta)</w:t>
      </w:r>
      <w:r w:rsidR="00850CC1">
        <w:rPr>
          <w:rFonts w:ascii="Palatino Linotype" w:hAnsi="Palatino Linotype" w:cs="Times New Roman"/>
          <w:sz w:val="24"/>
          <w:szCs w:val="24"/>
        </w:rPr>
        <w:t>.</w:t>
      </w:r>
    </w:p>
    <w:p w:rsidR="00315C71" w:rsidRPr="00315C7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A</w:t>
      </w:r>
      <w:r w:rsidR="00315C71" w:rsidRPr="00315C71">
        <w:rPr>
          <w:rFonts w:ascii="Palatino Linotype" w:hAnsi="Palatino Linotype" w:cs="Times New Roman"/>
          <w:sz w:val="24"/>
          <w:szCs w:val="24"/>
        </w:rPr>
        <w:t xml:space="preserve">nalogamente il Consiglio di Stato, </w:t>
      </w:r>
      <w:r>
        <w:rPr>
          <w:rFonts w:ascii="Palatino Linotype" w:hAnsi="Palatino Linotype" w:cs="Times New Roman"/>
          <w:sz w:val="24"/>
          <w:szCs w:val="24"/>
        </w:rPr>
        <w:t>in</w:t>
      </w:r>
      <w:r w:rsidR="00315C71" w:rsidRPr="00315C71">
        <w:rPr>
          <w:rFonts w:ascii="Palatino Linotype" w:hAnsi="Palatino Linotype" w:cs="Times New Roman"/>
          <w:sz w:val="24"/>
          <w:szCs w:val="24"/>
        </w:rPr>
        <w:t xml:space="preserve"> sede consultiva, ha affermato che “L’opzione di fondo, secondo il Collegio, dovrebbe essere nel senso che, fermo restando specifiche prescrizioni imposte dal diritto europeo, la decisione di non esternalizzare l’attività deve essere rigorosamente motivata dimostrando che la scelta organizzativa interna si risolve in un maggiore vantaggio per i cittadini. La mancanza di una libera decisione da parte dell’amministrazione pubblica è maggiormente coerente con il principio generale di tutela della concorrenza...” (così il parere della Commissione speciale n. 968 del 21 aprile 2016, reso in sede di analisi dello schema di decreto legislativo recante Testo unico in materia di società a partecipazione pubblica, poi confluito nel d.lgs. n. 175 del 2016 il cui art. 5, comma 1, ha poi stabilito che “l’atto deliberativo di costituzione di una società a partecipazione pubblica, […] deve essere analiticamente motivato […] evidenziando, altresì, le ragioni e le finalità che giustificano tale scelta, anche sul piano della convenienza economica e della sostenibilità finanziaria, nonché di gestione diretta o esternalizzata del servizio affidato”). In altra occasione, ancora in sede consultiva, va ricordato che il Consiglio di Stato – nel rilasciare il parere sullo schema del regolamento di attuazione degli interventi di cui all’articolo 1, commi 648 e 649, della legge n. 208 del 2015 (si tratta dello schema poi confluito </w:t>
      </w:r>
      <w:r w:rsidR="00315C71" w:rsidRPr="00315C71">
        <w:rPr>
          <w:rFonts w:ascii="Palatino Linotype" w:hAnsi="Palatino Linotype" w:cs="Times New Roman"/>
          <w:sz w:val="24"/>
          <w:szCs w:val="24"/>
        </w:rPr>
        <w:lastRenderedPageBreak/>
        <w:t xml:space="preserve">nei dd.mm. </w:t>
      </w:r>
      <w:proofErr w:type="spellStart"/>
      <w:proofErr w:type="gramStart"/>
      <w:r w:rsidR="00315C71" w:rsidRPr="00315C71">
        <w:rPr>
          <w:rFonts w:ascii="Palatino Linotype" w:hAnsi="Palatino Linotype" w:cs="Times New Roman"/>
          <w:sz w:val="24"/>
          <w:szCs w:val="24"/>
        </w:rPr>
        <w:t>nn</w:t>
      </w:r>
      <w:proofErr w:type="spellEnd"/>
      <w:proofErr w:type="gramEnd"/>
      <w:r w:rsidR="00315C71" w:rsidRPr="00315C71">
        <w:rPr>
          <w:rFonts w:ascii="Palatino Linotype" w:hAnsi="Palatino Linotype" w:cs="Times New Roman"/>
          <w:sz w:val="24"/>
          <w:szCs w:val="24"/>
        </w:rPr>
        <w:t xml:space="preserve">. 125 e 126 del 2017, in tema di contributi per il decongestionamento della rete viaria e del trasporto marittimo e per i servizi di trasporto ferroviario intermodale) – ha affermato che l’affidamento ad una società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in via diretta, di molteplici attività di gestione (per come previsto all’art. 4 dello schema) non era assistito da un’adeguata motivazione, ricordando che, “ai sensi della vincolante disciplina sovranazionale, l’affidamento diretto di attività remunerate, da parte di pubbliche amministrazioni in favore di soggetti privati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non può giustificarsi solo in forza di una valutazione giuridico-formale, ma deve anche essere sorretto dalla dimostrazione della ragionevolezza economica della scelta compiuta”, con espresso richiamo proprio alla norma di cui all’art. 192 del d.lgs. n. 50 del 2016; così, in particolare, si legge nel parere: “Il Collegio dà per scontato che, anche nel caso di specie, tale valutazione di </w:t>
      </w:r>
      <w:proofErr w:type="spellStart"/>
      <w:r w:rsidR="00315C71" w:rsidRPr="00315C71">
        <w:rPr>
          <w:rFonts w:ascii="Palatino Linotype" w:hAnsi="Palatino Linotype" w:cs="Times New Roman"/>
          <w:sz w:val="24"/>
          <w:szCs w:val="24"/>
        </w:rPr>
        <w:t>meritevolezza</w:t>
      </w:r>
      <w:proofErr w:type="spellEnd"/>
      <w:r w:rsidR="00315C71" w:rsidRPr="00315C71">
        <w:rPr>
          <w:rFonts w:ascii="Palatino Linotype" w:hAnsi="Palatino Linotype" w:cs="Times New Roman"/>
          <w:sz w:val="24"/>
          <w:szCs w:val="24"/>
        </w:rPr>
        <w:t xml:space="preserve"> dell’affidamento alla RAM </w:t>
      </w:r>
      <w:proofErr w:type="spellStart"/>
      <w:r w:rsidR="00315C71" w:rsidRPr="00315C71">
        <w:rPr>
          <w:rFonts w:ascii="Palatino Linotype" w:hAnsi="Palatino Linotype" w:cs="Times New Roman"/>
          <w:sz w:val="24"/>
          <w:szCs w:val="24"/>
        </w:rPr>
        <w:t>s.p.a.</w:t>
      </w:r>
      <w:proofErr w:type="spellEnd"/>
      <w:r w:rsidR="00315C71" w:rsidRPr="00315C71">
        <w:rPr>
          <w:rFonts w:ascii="Palatino Linotype" w:hAnsi="Palatino Linotype" w:cs="Times New Roman"/>
          <w:sz w:val="24"/>
          <w:szCs w:val="24"/>
        </w:rPr>
        <w:t xml:space="preserve"> sia stata compiuta (giacché, diversamente, la scelta </w:t>
      </w:r>
      <w:proofErr w:type="spellStart"/>
      <w:r w:rsidR="00315C71" w:rsidRPr="00315C71">
        <w:rPr>
          <w:rFonts w:ascii="Palatino Linotype" w:hAnsi="Palatino Linotype" w:cs="Times New Roman"/>
          <w:sz w:val="24"/>
          <w:szCs w:val="24"/>
        </w:rPr>
        <w:t>regolatoria</w:t>
      </w:r>
      <w:proofErr w:type="spellEnd"/>
      <w:r w:rsidR="00315C71" w:rsidRPr="00315C71">
        <w:rPr>
          <w:rFonts w:ascii="Palatino Linotype" w:hAnsi="Palatino Linotype" w:cs="Times New Roman"/>
          <w:sz w:val="24"/>
          <w:szCs w:val="24"/>
        </w:rPr>
        <w:t xml:space="preserve"> sarebbe illegittima); sennonché, pure in questo caso, si deve purtroppo registrare un’assoluta laconicità sia della relazione tecnica sia di quella AIR (relazioni queste che, per i provvedimenti normativi, contengono, insieme all’ATN e alla relazione ministeriale, la “motivazione” degli intervento regolatori). Si impone, pertanto, la necessaria integrazione in parte qua della documentazione di supporto dello schema in esame” (Consiglio di Stato, sez. consultiva atti normativi, parere n. 774 del 29 marzo 2017, le cui massime si t</w:t>
      </w:r>
      <w:r>
        <w:rPr>
          <w:rFonts w:ascii="Palatino Linotype" w:hAnsi="Palatino Linotype" w:cs="Times New Roman"/>
          <w:sz w:val="24"/>
          <w:szCs w:val="24"/>
        </w:rPr>
        <w:t xml:space="preserve">rovano in Foro </w:t>
      </w:r>
      <w:proofErr w:type="spellStart"/>
      <w:r>
        <w:rPr>
          <w:rFonts w:ascii="Palatino Linotype" w:hAnsi="Palatino Linotype" w:cs="Times New Roman"/>
          <w:sz w:val="24"/>
          <w:szCs w:val="24"/>
        </w:rPr>
        <w:t>amm</w:t>
      </w:r>
      <w:proofErr w:type="spellEnd"/>
      <w:r>
        <w:rPr>
          <w:rFonts w:ascii="Palatino Linotype" w:hAnsi="Palatino Linotype" w:cs="Times New Roman"/>
          <w:sz w:val="24"/>
          <w:szCs w:val="24"/>
        </w:rPr>
        <w:t>., 2017, 610).</w:t>
      </w:r>
    </w:p>
    <w:p w:rsidR="00850CC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A</w:t>
      </w:r>
      <w:r w:rsidR="00315C71" w:rsidRPr="00315C71">
        <w:rPr>
          <w:rFonts w:ascii="Palatino Linotype" w:hAnsi="Palatino Linotype" w:cs="Times New Roman"/>
          <w:sz w:val="24"/>
          <w:szCs w:val="24"/>
        </w:rPr>
        <w:t>lcune oscillazioni, circa la maggiore o minore intensità dell’onere di motivazione ai sensi dell’art. 192, comma 2, del d.lgs. n. 50 del 2016, si rinvengono nella giurisprudenza di primo grado:</w:t>
      </w:r>
      <w:r>
        <w:rPr>
          <w:rFonts w:ascii="Palatino Linotype" w:hAnsi="Palatino Linotype" w:cs="Times New Roman"/>
          <w:sz w:val="24"/>
          <w:szCs w:val="24"/>
        </w:rPr>
        <w:t xml:space="preserve"> a titolo esemplificativo, il</w:t>
      </w:r>
      <w:r w:rsidR="00315C71" w:rsidRPr="00315C71">
        <w:rPr>
          <w:rFonts w:ascii="Palatino Linotype" w:hAnsi="Palatino Linotype" w:cs="Times New Roman"/>
          <w:sz w:val="24"/>
          <w:szCs w:val="24"/>
        </w:rPr>
        <w:t xml:space="preserve">  </w:t>
      </w:r>
      <w:proofErr w:type="spellStart"/>
      <w:r w:rsidR="00315C71" w:rsidRPr="00315C71">
        <w:rPr>
          <w:rFonts w:ascii="Palatino Linotype" w:hAnsi="Palatino Linotype" w:cs="Times New Roman"/>
          <w:sz w:val="24"/>
          <w:szCs w:val="24"/>
        </w:rPr>
        <w:t>T.a.r</w:t>
      </w:r>
      <w:proofErr w:type="spellEnd"/>
      <w:r w:rsidR="00315C71" w:rsidRPr="00315C71">
        <w:rPr>
          <w:rFonts w:ascii="Palatino Linotype" w:hAnsi="Palatino Linotype" w:cs="Times New Roman"/>
          <w:sz w:val="24"/>
          <w:szCs w:val="24"/>
        </w:rPr>
        <w:t xml:space="preserve">. per la Lombardia, sezione III, sentenza 3 ottobre 2016, n. 1781 (in Foro </w:t>
      </w:r>
      <w:proofErr w:type="spellStart"/>
      <w:r w:rsidR="00315C71" w:rsidRPr="00315C71">
        <w:rPr>
          <w:rFonts w:ascii="Palatino Linotype" w:hAnsi="Palatino Linotype" w:cs="Times New Roman"/>
          <w:sz w:val="24"/>
          <w:szCs w:val="24"/>
        </w:rPr>
        <w:t>amm</w:t>
      </w:r>
      <w:proofErr w:type="spellEnd"/>
      <w:r w:rsidR="00315C71" w:rsidRPr="00315C71">
        <w:rPr>
          <w:rFonts w:ascii="Palatino Linotype" w:hAnsi="Palatino Linotype" w:cs="Times New Roman"/>
          <w:sz w:val="24"/>
          <w:szCs w:val="24"/>
        </w:rPr>
        <w:t xml:space="preserve">., 2016, 2453), ha annullato un affidamento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(si trattava dell’affidamento del servizio idrico integrato per la Provincia di Varese) proprio per la “laconicità” della motivazione spesa dall’amministrazione: si è rilevato che la relazione all’uopo predisposta (ossia, la relazione predisposta ai sensi dell’art. 34, comma 20, del decreto-legge n. 179 del 2012, convertito in legge n. 221 del 2012, atto prodromico all’affidamento dei servizi pubblici locali di rilevanza economica) “non contiene alcuna valutazione di tipo concreto, riscontrabile, controllabile, intellegibile e pregnante sui profili della convenienza, anche non solo economica, della gestione prescelta, limitandosi ad apodittici riferimenti alla gestione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che, come tali, sono da ritenersi privi di quel livello di concreta pregnanza richiesto per soddisfare l’onere di motivazione aggravato e di istruttoria ai sensi del combinato disposto degli art. 3 l. n. 241 del 1990 e 34, comma 20, D.L. 18 ottobre 2012, n. 179. In altri termini nella relazione si dà per presupposta e scontata la scelta circa la forma di gestione del servizio senza che ne vengano illustrate le ragioni e gli elementi concreti su cui si fonda”, giungendosi pertanto alla conclusione che “la scelta e il conseguente affidamento diretto fondati su determinazioni che non forniscono alcuna ragione dell’opzione esercitata a monte, sono da ritenersi di per sé illegittimi...”)</w:t>
      </w:r>
      <w:r>
        <w:rPr>
          <w:rFonts w:ascii="Palatino Linotype" w:hAnsi="Palatino Linotype" w:cs="Times New Roman"/>
          <w:sz w:val="24"/>
          <w:szCs w:val="24"/>
        </w:rPr>
        <w:t>.</w:t>
      </w:r>
    </w:p>
    <w:p w:rsidR="00315C71" w:rsidRPr="00315C7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A fini di delimitazione, può richiamarsi, </w:t>
      </w:r>
      <w:r w:rsidR="00315C71" w:rsidRPr="00315C71">
        <w:rPr>
          <w:rFonts w:ascii="Palatino Linotype" w:hAnsi="Palatino Linotype" w:cs="Times New Roman"/>
          <w:sz w:val="24"/>
          <w:szCs w:val="24"/>
        </w:rPr>
        <w:t xml:space="preserve">con riferimento ad una commessa relativa all’affidamento del servizio di igiene urbana, </w:t>
      </w:r>
      <w:proofErr w:type="spellStart"/>
      <w:r w:rsidR="00315C71" w:rsidRPr="00315C71">
        <w:rPr>
          <w:rFonts w:ascii="Palatino Linotype" w:hAnsi="Palatino Linotype" w:cs="Times New Roman"/>
          <w:sz w:val="24"/>
          <w:szCs w:val="24"/>
        </w:rPr>
        <w:t>T.a.r</w:t>
      </w:r>
      <w:proofErr w:type="spellEnd"/>
      <w:r w:rsidR="00315C71" w:rsidRPr="00315C71">
        <w:rPr>
          <w:rFonts w:ascii="Palatino Linotype" w:hAnsi="Palatino Linotype" w:cs="Times New Roman"/>
          <w:sz w:val="24"/>
          <w:szCs w:val="24"/>
        </w:rPr>
        <w:t xml:space="preserve">. per la Sardegna, sezione I, sentenza 4 maggio 2018, n. 405 (in Foro </w:t>
      </w:r>
      <w:proofErr w:type="spellStart"/>
      <w:r w:rsidR="00315C71" w:rsidRPr="00315C71">
        <w:rPr>
          <w:rFonts w:ascii="Palatino Linotype" w:hAnsi="Palatino Linotype" w:cs="Times New Roman"/>
          <w:sz w:val="24"/>
          <w:szCs w:val="24"/>
        </w:rPr>
        <w:t>amm</w:t>
      </w:r>
      <w:proofErr w:type="spellEnd"/>
      <w:r w:rsidR="00315C71" w:rsidRPr="00315C71">
        <w:rPr>
          <w:rFonts w:ascii="Palatino Linotype" w:hAnsi="Palatino Linotype" w:cs="Times New Roman"/>
          <w:sz w:val="24"/>
          <w:szCs w:val="24"/>
        </w:rPr>
        <w:t xml:space="preserve">., 2018, 923), ha ritenuto che, in simile fattispecie, non </w:t>
      </w:r>
      <w:r w:rsidR="00315C71" w:rsidRPr="00315C71">
        <w:rPr>
          <w:rFonts w:ascii="Palatino Linotype" w:hAnsi="Palatino Linotype" w:cs="Times New Roman"/>
          <w:sz w:val="24"/>
          <w:szCs w:val="24"/>
        </w:rPr>
        <w:lastRenderedPageBreak/>
        <w:t xml:space="preserve">sarebbe in radice applicabile l’art. 192, comma 2, del d.lgs. n. 50 del 2016, con conseguente non necessità della motivazione in caso di affidamento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“ove si tenga conto del fatto che il servizio di igiene urbana non è riconducibile alla categoria dei servizi disponibili sul mercato in regime di concorrenza; e ciò per la semplice ragione che l’art. 198 del d.lgs. n. 152/2006 (norme in materia ambientale) riserva ai comuni «in regime di privativa» la «gestione dei rifiuti urbani e dei rifiuti assimilati avviati allo smaltimento», sottraendolo, perta</w:t>
      </w:r>
      <w:r>
        <w:rPr>
          <w:rFonts w:ascii="Palatino Linotype" w:hAnsi="Palatino Linotype" w:cs="Times New Roman"/>
          <w:sz w:val="24"/>
          <w:szCs w:val="24"/>
        </w:rPr>
        <w:t>nto, al mercato concorrenziale”.</w:t>
      </w:r>
    </w:p>
    <w:p w:rsidR="00850CC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A titolo esemplificativo di </w:t>
      </w:r>
      <w:r w:rsidR="00315C71" w:rsidRPr="00315C71">
        <w:rPr>
          <w:rFonts w:ascii="Palatino Linotype" w:hAnsi="Palatino Linotype" w:cs="Times New Roman"/>
          <w:sz w:val="24"/>
          <w:szCs w:val="24"/>
        </w:rPr>
        <w:t xml:space="preserve">un caso in cui il giudice amministrativo ha ritenuto “esaurientemente e convincentemente motivata, tanto nei suoi profili in fatto quanto in quelli in diritto”, la delibera con cui un’Azienda sanitaria aveva affidato il servizio di pulizia e sanificazione in favore di una propria società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w:t>
      </w:r>
      <w:r>
        <w:rPr>
          <w:rFonts w:ascii="Palatino Linotype" w:hAnsi="Palatino Linotype" w:cs="Times New Roman"/>
          <w:sz w:val="24"/>
          <w:szCs w:val="24"/>
        </w:rPr>
        <w:t>può richiamarsi il</w:t>
      </w:r>
      <w:r w:rsidR="00315C71" w:rsidRPr="00315C71">
        <w:rPr>
          <w:rFonts w:ascii="Palatino Linotype" w:hAnsi="Palatino Linotype" w:cs="Times New Roman"/>
          <w:sz w:val="24"/>
          <w:szCs w:val="24"/>
        </w:rPr>
        <w:t xml:space="preserve"> </w:t>
      </w:r>
      <w:proofErr w:type="spellStart"/>
      <w:r w:rsidR="00315C71" w:rsidRPr="00315C71">
        <w:rPr>
          <w:rFonts w:ascii="Palatino Linotype" w:hAnsi="Palatino Linotype" w:cs="Times New Roman"/>
          <w:sz w:val="24"/>
          <w:szCs w:val="24"/>
        </w:rPr>
        <w:t>T.a.r</w:t>
      </w:r>
      <w:proofErr w:type="spellEnd"/>
      <w:r w:rsidR="00315C71" w:rsidRPr="00315C71">
        <w:rPr>
          <w:rFonts w:ascii="Palatino Linotype" w:hAnsi="Palatino Linotype" w:cs="Times New Roman"/>
          <w:sz w:val="24"/>
          <w:szCs w:val="24"/>
        </w:rPr>
        <w:t>. per la Puglia – Lecce, sezione II</w:t>
      </w:r>
      <w:r>
        <w:rPr>
          <w:rFonts w:ascii="Palatino Linotype" w:hAnsi="Palatino Linotype" w:cs="Times New Roman"/>
          <w:sz w:val="24"/>
          <w:szCs w:val="24"/>
        </w:rPr>
        <w:t>, sentenza 5 marzo 2018, n. 383.</w:t>
      </w:r>
      <w:r w:rsidRPr="00850CC1">
        <w:rPr>
          <w:rFonts w:ascii="Palatino Linotype" w:hAnsi="Palatino Linotype" w:cs="Times New Roman"/>
          <w:sz w:val="24"/>
          <w:szCs w:val="24"/>
        </w:rPr>
        <w:t xml:space="preserve"> </w:t>
      </w:r>
    </w:p>
    <w:p w:rsidR="00850CC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termini più generali, sempre nella giurisprudenza di prime cure, si è chiarito, </w:t>
      </w:r>
      <w:r w:rsidRPr="00315C71">
        <w:rPr>
          <w:rFonts w:ascii="Palatino Linotype" w:hAnsi="Palatino Linotype" w:cs="Times New Roman"/>
          <w:sz w:val="24"/>
          <w:szCs w:val="24"/>
        </w:rPr>
        <w:t xml:space="preserve">sempre in occasione della applicazione dell’art. 192, comma 2, del d.lgs. n. 50 del 2016, che detta norma, nell’onerare le stazioni appaltanti di effettuare una preventiva valutazione economica della congruità dell'offerta dei soggetti in </w:t>
      </w:r>
      <w:proofErr w:type="spellStart"/>
      <w:r w:rsidRPr="00315C71">
        <w:rPr>
          <w:rFonts w:ascii="Palatino Linotype" w:hAnsi="Palatino Linotype" w:cs="Times New Roman"/>
          <w:sz w:val="24"/>
          <w:szCs w:val="24"/>
        </w:rPr>
        <w:t>house</w:t>
      </w:r>
      <w:proofErr w:type="spellEnd"/>
      <w:r w:rsidRPr="00315C71">
        <w:rPr>
          <w:rFonts w:ascii="Palatino Linotype" w:hAnsi="Palatino Linotype" w:cs="Times New Roman"/>
          <w:sz w:val="24"/>
          <w:szCs w:val="24"/>
        </w:rPr>
        <w:t xml:space="preserve">, tuttavia non impone alcuna gara, neppure informale, fra operatori del mercato: pertanto la valutazione delle congruità delle offerte dei soggetti in </w:t>
      </w:r>
      <w:proofErr w:type="spellStart"/>
      <w:r w:rsidRPr="00315C71">
        <w:rPr>
          <w:rFonts w:ascii="Palatino Linotype" w:hAnsi="Palatino Linotype" w:cs="Times New Roman"/>
          <w:sz w:val="24"/>
          <w:szCs w:val="24"/>
        </w:rPr>
        <w:t>house</w:t>
      </w:r>
      <w:proofErr w:type="spellEnd"/>
      <w:r w:rsidRPr="00315C71">
        <w:rPr>
          <w:rFonts w:ascii="Palatino Linotype" w:hAnsi="Palatino Linotype" w:cs="Times New Roman"/>
          <w:sz w:val="24"/>
          <w:szCs w:val="24"/>
        </w:rPr>
        <w:t xml:space="preserve"> prevista dal nuovo codice dei contratti pubblici non può essere confusa con una sorta di gara, alla quale l'ente affidante dovrebbe invitare le imprese del settore, fra le quali il gestore uscente del servizio (così </w:t>
      </w:r>
      <w:proofErr w:type="spellStart"/>
      <w:r w:rsidRPr="00315C71">
        <w:rPr>
          <w:rFonts w:ascii="Palatino Linotype" w:hAnsi="Palatino Linotype" w:cs="Times New Roman"/>
          <w:sz w:val="24"/>
          <w:szCs w:val="24"/>
        </w:rPr>
        <w:t>T.a.r</w:t>
      </w:r>
      <w:proofErr w:type="spellEnd"/>
      <w:r w:rsidRPr="00315C71">
        <w:rPr>
          <w:rFonts w:ascii="Palatino Linotype" w:hAnsi="Palatino Linotype" w:cs="Times New Roman"/>
          <w:sz w:val="24"/>
          <w:szCs w:val="24"/>
        </w:rPr>
        <w:t>. per la Lombardia, sezione IV, 22 marzo 2017, n</w:t>
      </w:r>
      <w:r>
        <w:rPr>
          <w:rFonts w:ascii="Palatino Linotype" w:hAnsi="Palatino Linotype" w:cs="Times New Roman"/>
          <w:sz w:val="24"/>
          <w:szCs w:val="24"/>
        </w:rPr>
        <w:t xml:space="preserve">. 694, in Foro </w:t>
      </w:r>
      <w:proofErr w:type="spellStart"/>
      <w:r>
        <w:rPr>
          <w:rFonts w:ascii="Palatino Linotype" w:hAnsi="Palatino Linotype" w:cs="Times New Roman"/>
          <w:sz w:val="24"/>
          <w:szCs w:val="24"/>
        </w:rPr>
        <w:t>amm</w:t>
      </w:r>
      <w:proofErr w:type="spellEnd"/>
      <w:r>
        <w:rPr>
          <w:rFonts w:ascii="Palatino Linotype" w:hAnsi="Palatino Linotype" w:cs="Times New Roman"/>
          <w:sz w:val="24"/>
          <w:szCs w:val="24"/>
        </w:rPr>
        <w:t xml:space="preserve">., 2017, 697). </w:t>
      </w:r>
    </w:p>
    <w:p w:rsidR="00315C71" w:rsidRPr="00315C7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Inoltre, </w:t>
      </w:r>
      <w:r w:rsidR="00315C71" w:rsidRPr="00315C71">
        <w:rPr>
          <w:rFonts w:ascii="Palatino Linotype" w:hAnsi="Palatino Linotype" w:cs="Times New Roman"/>
          <w:sz w:val="24"/>
          <w:szCs w:val="24"/>
        </w:rPr>
        <w:t xml:space="preserve">sui relativi limiti del sindacato del giudice amministrativo </w:t>
      </w:r>
      <w:r>
        <w:rPr>
          <w:rFonts w:ascii="Palatino Linotype" w:hAnsi="Palatino Linotype" w:cs="Times New Roman"/>
          <w:sz w:val="24"/>
          <w:szCs w:val="24"/>
        </w:rPr>
        <w:t>è stato altresì ritenuto (</w:t>
      </w:r>
      <w:proofErr w:type="spellStart"/>
      <w:r w:rsidR="00315C71" w:rsidRPr="00315C71">
        <w:rPr>
          <w:rFonts w:ascii="Palatino Linotype" w:hAnsi="Palatino Linotype" w:cs="Times New Roman"/>
          <w:sz w:val="24"/>
          <w:szCs w:val="24"/>
        </w:rPr>
        <w:t>T.a.r</w:t>
      </w:r>
      <w:proofErr w:type="spellEnd"/>
      <w:r w:rsidR="00315C71" w:rsidRPr="00315C71">
        <w:rPr>
          <w:rFonts w:ascii="Palatino Linotype" w:hAnsi="Palatino Linotype" w:cs="Times New Roman"/>
          <w:sz w:val="24"/>
          <w:szCs w:val="24"/>
        </w:rPr>
        <w:t>. per l’Abruzzo – Pescara, sentenza 29 gennaio 2018, n. 35</w:t>
      </w:r>
      <w:r>
        <w:rPr>
          <w:rFonts w:ascii="Palatino Linotype" w:hAnsi="Palatino Linotype" w:cs="Times New Roman"/>
          <w:sz w:val="24"/>
          <w:szCs w:val="24"/>
        </w:rPr>
        <w:t>) che</w:t>
      </w:r>
      <w:r w:rsidR="00315C71" w:rsidRPr="00315C71">
        <w:rPr>
          <w:rFonts w:ascii="Palatino Linotype" w:hAnsi="Palatino Linotype" w:cs="Times New Roman"/>
          <w:sz w:val="24"/>
          <w:szCs w:val="24"/>
        </w:rPr>
        <w:t xml:space="preserve"> “la scelta, espressa da un ente locale, nella specie da un Comune, nel senso di rendere un dato servizio alla cittadinanza con una certa modalità organizzativa piuttosto di un'altra, ovvero in questo caso di ricorrere allo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e non esternalizzare, è ampiamente discrezionale, e quindi, secondo giurisprudenza assolutamente costante e pacifica, è sindacabile nella presente sede giurisdizionale nei soli casi di illogicità manifesta ovvero di altrettanto ma</w:t>
      </w:r>
      <w:r>
        <w:rPr>
          <w:rFonts w:ascii="Palatino Linotype" w:hAnsi="Palatino Linotype" w:cs="Times New Roman"/>
          <w:sz w:val="24"/>
          <w:szCs w:val="24"/>
        </w:rPr>
        <w:t>nifesto travisamento dei fatti”.</w:t>
      </w:r>
    </w:p>
    <w:p w:rsidR="00315C71" w:rsidRDefault="00850CC1"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A fini di inquadramento della posizione che ha poi portato il Consiglio di Stato a sollevare le indicate questioni, va evidenziato come da tempo sia stata chiarita la </w:t>
      </w:r>
      <w:r w:rsidR="00315C71" w:rsidRPr="00315C71">
        <w:rPr>
          <w:rFonts w:ascii="Palatino Linotype" w:hAnsi="Palatino Linotype" w:cs="Times New Roman"/>
          <w:sz w:val="24"/>
          <w:szCs w:val="24"/>
        </w:rPr>
        <w:t xml:space="preserve">“non eccezionalità” del ricorso al modello </w:t>
      </w:r>
      <w:proofErr w:type="spellStart"/>
      <w:r w:rsidR="00315C71" w:rsidRPr="00315C71">
        <w:rPr>
          <w:rFonts w:ascii="Palatino Linotype" w:hAnsi="Palatino Linotype" w:cs="Times New Roman"/>
          <w:sz w:val="24"/>
          <w:szCs w:val="24"/>
        </w:rPr>
        <w:t>dell’in</w:t>
      </w:r>
      <w:proofErr w:type="spellEnd"/>
      <w:r w:rsidR="00315C71" w:rsidRPr="00315C71">
        <w:rPr>
          <w:rFonts w:ascii="Palatino Linotype" w:hAnsi="Palatino Linotype" w:cs="Times New Roman"/>
          <w:sz w:val="24"/>
          <w:szCs w:val="24"/>
        </w:rPr>
        <w:t xml:space="preserve">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w:t>
      </w:r>
      <w:r>
        <w:rPr>
          <w:rFonts w:ascii="Palatino Linotype" w:hAnsi="Palatino Linotype" w:cs="Times New Roman"/>
          <w:sz w:val="24"/>
          <w:szCs w:val="24"/>
        </w:rPr>
        <w:t>(</w:t>
      </w:r>
      <w:r w:rsidR="00315C71" w:rsidRPr="00315C71">
        <w:rPr>
          <w:rFonts w:ascii="Palatino Linotype" w:hAnsi="Palatino Linotype" w:cs="Times New Roman"/>
          <w:sz w:val="24"/>
          <w:szCs w:val="24"/>
        </w:rPr>
        <w:t>cfr.</w:t>
      </w:r>
      <w:r>
        <w:rPr>
          <w:rFonts w:ascii="Palatino Linotype" w:hAnsi="Palatino Linotype" w:cs="Times New Roman"/>
          <w:sz w:val="24"/>
          <w:szCs w:val="24"/>
        </w:rPr>
        <w:t xml:space="preserve"> ad es. </w:t>
      </w:r>
      <w:r w:rsidR="00315C71" w:rsidRPr="00315C71">
        <w:rPr>
          <w:rFonts w:ascii="Palatino Linotype" w:hAnsi="Palatino Linotype" w:cs="Times New Roman"/>
          <w:sz w:val="24"/>
          <w:szCs w:val="24"/>
        </w:rPr>
        <w:t>Consiglio di Stato, sezione III, sentenz</w:t>
      </w:r>
      <w:r>
        <w:rPr>
          <w:rFonts w:ascii="Palatino Linotype" w:hAnsi="Palatino Linotype" w:cs="Times New Roman"/>
          <w:sz w:val="24"/>
          <w:szCs w:val="24"/>
        </w:rPr>
        <w:t>a 24 ottobre 2017, n. 4902)</w:t>
      </w:r>
      <w:r w:rsidR="00315C71" w:rsidRPr="00315C71">
        <w:rPr>
          <w:rFonts w:ascii="Palatino Linotype" w:hAnsi="Palatino Linotype" w:cs="Times New Roman"/>
          <w:sz w:val="24"/>
          <w:szCs w:val="24"/>
        </w:rPr>
        <w:t xml:space="preserve">, che </w:t>
      </w:r>
      <w:r>
        <w:rPr>
          <w:rFonts w:ascii="Palatino Linotype" w:hAnsi="Palatino Linotype" w:cs="Times New Roman"/>
          <w:sz w:val="24"/>
          <w:szCs w:val="24"/>
        </w:rPr>
        <w:t xml:space="preserve">a propria volta </w:t>
      </w:r>
      <w:r w:rsidR="00315C71" w:rsidRPr="00315C71">
        <w:rPr>
          <w:rFonts w:ascii="Palatino Linotype" w:hAnsi="Palatino Linotype" w:cs="Times New Roman"/>
          <w:sz w:val="24"/>
          <w:szCs w:val="24"/>
        </w:rPr>
        <w:t>ha ribadito l</w:t>
      </w:r>
      <w:r>
        <w:rPr>
          <w:rFonts w:ascii="Palatino Linotype" w:hAnsi="Palatino Linotype" w:cs="Times New Roman"/>
          <w:sz w:val="24"/>
          <w:szCs w:val="24"/>
        </w:rPr>
        <w:t xml:space="preserve">a più recente giurisprudenza ricordando </w:t>
      </w:r>
      <w:r w:rsidR="00E55B2C">
        <w:rPr>
          <w:rFonts w:ascii="Palatino Linotype" w:hAnsi="Palatino Linotype" w:cs="Times New Roman"/>
          <w:sz w:val="24"/>
          <w:szCs w:val="24"/>
        </w:rPr>
        <w:t xml:space="preserve">come, </w:t>
      </w:r>
      <w:r w:rsidR="00315C71" w:rsidRPr="00315C71">
        <w:rPr>
          <w:rFonts w:ascii="Palatino Linotype" w:hAnsi="Palatino Linotype" w:cs="Times New Roman"/>
          <w:sz w:val="24"/>
          <w:szCs w:val="24"/>
        </w:rPr>
        <w:t xml:space="preserve"> stante l’abrogazione referendaria dell’art. 23-bis del decreto-legge n. 112 del 2008, convertito in legge n. 133 del 2008, e la declaratoria di incostituzionalità dell’art. 4 del decreto-legge n. 138 del 2011, convertito in legge n. 148 del 2011, </w:t>
      </w:r>
      <w:r w:rsidR="00E55B2C">
        <w:rPr>
          <w:rFonts w:ascii="Palatino Linotype" w:hAnsi="Palatino Linotype" w:cs="Times New Roman"/>
          <w:sz w:val="24"/>
          <w:szCs w:val="24"/>
        </w:rPr>
        <w:t xml:space="preserve">sia </w:t>
      </w:r>
      <w:r w:rsidR="00315C71" w:rsidRPr="00315C71">
        <w:rPr>
          <w:rFonts w:ascii="Palatino Linotype" w:hAnsi="Palatino Linotype" w:cs="Times New Roman"/>
          <w:sz w:val="24"/>
          <w:szCs w:val="24"/>
        </w:rPr>
        <w:t xml:space="preserve">“venuto meno il principio, con tali disposizioni perseguito, della eccezionalità del modello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per la gestione dei servizi pubblici locali di rilevanza economica; mentre, </w:t>
      </w:r>
      <w:r w:rsidR="00315C71" w:rsidRPr="00315C71">
        <w:rPr>
          <w:rFonts w:ascii="Palatino Linotype" w:hAnsi="Palatino Linotype" w:cs="Times New Roman"/>
          <w:sz w:val="24"/>
          <w:szCs w:val="24"/>
        </w:rPr>
        <w:lastRenderedPageBreak/>
        <w:t xml:space="preserve">con l’art. 34 del </w:t>
      </w:r>
      <w:proofErr w:type="spellStart"/>
      <w:r w:rsidR="00315C71" w:rsidRPr="00315C71">
        <w:rPr>
          <w:rFonts w:ascii="Palatino Linotype" w:hAnsi="Palatino Linotype" w:cs="Times New Roman"/>
          <w:sz w:val="24"/>
          <w:szCs w:val="24"/>
        </w:rPr>
        <w:t>d.l.</w:t>
      </w:r>
      <w:proofErr w:type="spellEnd"/>
      <w:r w:rsidR="00315C71" w:rsidRPr="00315C71">
        <w:rPr>
          <w:rFonts w:ascii="Palatino Linotype" w:hAnsi="Palatino Linotype" w:cs="Times New Roman"/>
          <w:sz w:val="24"/>
          <w:szCs w:val="24"/>
        </w:rPr>
        <w:t xml:space="preserve"> 18 ottobre 2012, n. 197, sono venute meno le ulteriori limitazioni all’affidamento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contenute nell’art. 4, comma 8 del predetto </w:t>
      </w:r>
      <w:proofErr w:type="spellStart"/>
      <w:r w:rsidR="00315C71" w:rsidRPr="00315C71">
        <w:rPr>
          <w:rFonts w:ascii="Palatino Linotype" w:hAnsi="Palatino Linotype" w:cs="Times New Roman"/>
          <w:sz w:val="24"/>
          <w:szCs w:val="24"/>
        </w:rPr>
        <w:t>d.l.</w:t>
      </w:r>
      <w:proofErr w:type="spellEnd"/>
      <w:r w:rsidR="00315C71" w:rsidRPr="00315C71">
        <w:rPr>
          <w:rFonts w:ascii="Palatino Linotype" w:hAnsi="Palatino Linotype" w:cs="Times New Roman"/>
          <w:sz w:val="24"/>
          <w:szCs w:val="24"/>
        </w:rPr>
        <w:t xml:space="preserve"> n. 238 del 2011” </w:t>
      </w:r>
      <w:r w:rsidR="00E55B2C">
        <w:rPr>
          <w:rStyle w:val="Rimandonotaapidipagina"/>
          <w:rFonts w:ascii="Palatino Linotype" w:hAnsi="Palatino Linotype" w:cs="Times New Roman"/>
          <w:sz w:val="24"/>
          <w:szCs w:val="24"/>
        </w:rPr>
        <w:footnoteReference w:id="8"/>
      </w:r>
      <w:r w:rsidR="00E55B2C">
        <w:rPr>
          <w:rFonts w:ascii="Palatino Linotype" w:hAnsi="Palatino Linotype" w:cs="Times New Roman"/>
          <w:sz w:val="24"/>
          <w:szCs w:val="24"/>
        </w:rPr>
        <w:t>.</w:t>
      </w:r>
    </w:p>
    <w:p w:rsidR="00315C71" w:rsidRDefault="00E55B2C"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La stessa s</w:t>
      </w:r>
      <w:r w:rsidR="00315C71" w:rsidRPr="00315C71">
        <w:rPr>
          <w:rFonts w:ascii="Palatino Linotype" w:hAnsi="Palatino Linotype" w:cs="Times New Roman"/>
          <w:sz w:val="24"/>
          <w:szCs w:val="24"/>
        </w:rPr>
        <w:t xml:space="preserve">ezione V (sentenza 22 gennaio 2015, n. 257, in Foro </w:t>
      </w:r>
      <w:proofErr w:type="spellStart"/>
      <w:r w:rsidR="00315C71" w:rsidRPr="00315C71">
        <w:rPr>
          <w:rFonts w:ascii="Palatino Linotype" w:hAnsi="Palatino Linotype" w:cs="Times New Roman"/>
          <w:sz w:val="24"/>
          <w:szCs w:val="24"/>
        </w:rPr>
        <w:t>amm</w:t>
      </w:r>
      <w:proofErr w:type="spellEnd"/>
      <w:r w:rsidR="00315C71" w:rsidRPr="00315C71">
        <w:rPr>
          <w:rFonts w:ascii="Palatino Linotype" w:hAnsi="Palatino Linotype" w:cs="Times New Roman"/>
          <w:sz w:val="24"/>
          <w:szCs w:val="24"/>
        </w:rPr>
        <w:t xml:space="preserve">., 2015, 76,) ha non solo ribadito la natura ordinaria e non eccezionale dell’affidamento in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ricorrendone i presupposti, ma ha pure rilevato come la relativa decisione dell’amministrazione, ove motivata, sfugge al sindacato di legittimità del giudice amministrativo, salva l’ipotesi di macroscopico travisamento dei </w:t>
      </w:r>
      <w:r>
        <w:rPr>
          <w:rFonts w:ascii="Palatino Linotype" w:hAnsi="Palatino Linotype" w:cs="Times New Roman"/>
          <w:sz w:val="24"/>
          <w:szCs w:val="24"/>
        </w:rPr>
        <w:t xml:space="preserve">fatti o di illogicità manifesta, richiamando altresì </w:t>
      </w:r>
      <w:r w:rsidR="00315C71" w:rsidRPr="00315C71">
        <w:rPr>
          <w:rFonts w:ascii="Palatino Linotype" w:hAnsi="Palatino Linotype" w:cs="Times New Roman"/>
          <w:sz w:val="24"/>
          <w:szCs w:val="24"/>
        </w:rPr>
        <w:t>(s</w:t>
      </w:r>
      <w:r>
        <w:rPr>
          <w:rFonts w:ascii="Palatino Linotype" w:hAnsi="Palatino Linotype" w:cs="Times New Roman"/>
          <w:sz w:val="24"/>
          <w:szCs w:val="24"/>
        </w:rPr>
        <w:t>entenza 18 luglio 2017, n. 3554</w:t>
      </w:r>
      <w:r w:rsidR="00315C71" w:rsidRPr="00315C71">
        <w:rPr>
          <w:rFonts w:ascii="Palatino Linotype" w:hAnsi="Palatino Linotype" w:cs="Times New Roman"/>
          <w:sz w:val="24"/>
          <w:szCs w:val="24"/>
        </w:rPr>
        <w:t xml:space="preserve">), in senso rafforzativo, la chiara dizione del quinto “considerando” della direttiva n. 2014/24/UE, laddove si ricorda che “nessuna disposizione della presente direttiva obbliga gli Stati membri ad affidare a terzi o a esternalizzare la prestazione di servizi che desiderano prestare essi stessi o organizzare con strumenti diversi dagli appalti pubblici ai </w:t>
      </w:r>
      <w:r>
        <w:rPr>
          <w:rFonts w:ascii="Palatino Linotype" w:hAnsi="Palatino Linotype" w:cs="Times New Roman"/>
          <w:sz w:val="24"/>
          <w:szCs w:val="24"/>
        </w:rPr>
        <w:t>sensi della presente direttiva”.</w:t>
      </w:r>
    </w:p>
    <w:p w:rsidR="00315C71" w:rsidRPr="00315C71" w:rsidRDefault="00E55B2C"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dottrina sono emerse diverse </w:t>
      </w:r>
      <w:proofErr w:type="gramStart"/>
      <w:r>
        <w:rPr>
          <w:rFonts w:ascii="Palatino Linotype" w:hAnsi="Palatino Linotype" w:cs="Times New Roman"/>
          <w:sz w:val="24"/>
          <w:szCs w:val="24"/>
        </w:rPr>
        <w:t xml:space="preserve">voci </w:t>
      </w:r>
      <w:r>
        <w:rPr>
          <w:rStyle w:val="Rimandonotaapidipagina"/>
          <w:rFonts w:ascii="Palatino Linotype" w:hAnsi="Palatino Linotype" w:cs="Times New Roman"/>
          <w:sz w:val="24"/>
          <w:szCs w:val="24"/>
        </w:rPr>
        <w:footnoteReference w:id="9"/>
      </w:r>
      <w:r>
        <w:rPr>
          <w:rFonts w:ascii="Palatino Linotype" w:hAnsi="Palatino Linotype" w:cs="Times New Roman"/>
          <w:sz w:val="24"/>
          <w:szCs w:val="24"/>
        </w:rPr>
        <w:t>,</w:t>
      </w:r>
      <w:proofErr w:type="gramEnd"/>
      <w:r>
        <w:rPr>
          <w:rFonts w:ascii="Palatino Linotype" w:hAnsi="Palatino Linotype" w:cs="Times New Roman"/>
          <w:sz w:val="24"/>
          <w:szCs w:val="24"/>
        </w:rPr>
        <w:t xml:space="preserve"> sia per quanto riguarda la coerenza coi criteri di delega </w:t>
      </w:r>
      <w:r>
        <w:rPr>
          <w:rStyle w:val="Rimandonotaapidipagina"/>
          <w:rFonts w:ascii="Palatino Linotype" w:hAnsi="Palatino Linotype" w:cs="Times New Roman"/>
          <w:sz w:val="24"/>
          <w:szCs w:val="24"/>
        </w:rPr>
        <w:footnoteReference w:id="10"/>
      </w:r>
      <w:r w:rsidR="00315C71" w:rsidRPr="00315C71">
        <w:rPr>
          <w:rFonts w:ascii="Palatino Linotype" w:hAnsi="Palatino Linotype" w:cs="Times New Roman"/>
          <w:sz w:val="24"/>
          <w:szCs w:val="24"/>
        </w:rPr>
        <w:t xml:space="preserve">, </w:t>
      </w:r>
      <w:r>
        <w:rPr>
          <w:rFonts w:ascii="Palatino Linotype" w:hAnsi="Palatino Linotype" w:cs="Times New Roman"/>
          <w:sz w:val="24"/>
          <w:szCs w:val="24"/>
        </w:rPr>
        <w:t xml:space="preserve">sia </w:t>
      </w:r>
      <w:r w:rsidR="00315C71" w:rsidRPr="00315C71">
        <w:rPr>
          <w:rFonts w:ascii="Palatino Linotype" w:hAnsi="Palatino Linotype" w:cs="Times New Roman"/>
          <w:sz w:val="24"/>
          <w:szCs w:val="24"/>
        </w:rPr>
        <w:t>nel senso che la norma del codice costitui</w:t>
      </w:r>
      <w:r>
        <w:rPr>
          <w:rFonts w:ascii="Palatino Linotype" w:hAnsi="Palatino Linotype" w:cs="Times New Roman"/>
          <w:sz w:val="24"/>
          <w:szCs w:val="24"/>
        </w:rPr>
        <w:t>rebbe</w:t>
      </w:r>
      <w:r w:rsidR="00315C71" w:rsidRPr="00315C71">
        <w:rPr>
          <w:rFonts w:ascii="Palatino Linotype" w:hAnsi="Palatino Linotype" w:cs="Times New Roman"/>
          <w:sz w:val="24"/>
          <w:szCs w:val="24"/>
        </w:rPr>
        <w:t xml:space="preserve"> una violazione del c.d. divieto di </w:t>
      </w:r>
      <w:proofErr w:type="spellStart"/>
      <w:r w:rsidR="00315C71" w:rsidRPr="00315C71">
        <w:rPr>
          <w:rFonts w:ascii="Palatino Linotype" w:hAnsi="Palatino Linotype" w:cs="Times New Roman"/>
          <w:sz w:val="24"/>
          <w:szCs w:val="24"/>
        </w:rPr>
        <w:t>gold</w:t>
      </w:r>
      <w:proofErr w:type="spellEnd"/>
      <w:r w:rsidR="00315C71" w:rsidRPr="00315C71">
        <w:rPr>
          <w:rFonts w:ascii="Palatino Linotype" w:hAnsi="Palatino Linotype" w:cs="Times New Roman"/>
          <w:sz w:val="24"/>
          <w:szCs w:val="24"/>
        </w:rPr>
        <w:t xml:space="preserve"> </w:t>
      </w:r>
      <w:proofErr w:type="spellStart"/>
      <w:r w:rsidR="00315C71" w:rsidRPr="00315C71">
        <w:rPr>
          <w:rFonts w:ascii="Palatino Linotype" w:hAnsi="Palatino Linotype" w:cs="Times New Roman"/>
          <w:sz w:val="24"/>
          <w:szCs w:val="24"/>
        </w:rPr>
        <w:t>plating</w:t>
      </w:r>
      <w:proofErr w:type="spellEnd"/>
      <w:r w:rsidR="00315C71" w:rsidRPr="00315C71">
        <w:rPr>
          <w:rFonts w:ascii="Palatino Linotype" w:hAnsi="Palatino Linotype" w:cs="Times New Roman"/>
          <w:sz w:val="24"/>
          <w:szCs w:val="24"/>
        </w:rPr>
        <w:t xml:space="preserve">, in quanto l’onere di motivazione circa la scelta </w:t>
      </w:r>
      <w:proofErr w:type="spellStart"/>
      <w:r w:rsidR="00315C71" w:rsidRPr="00315C71">
        <w:rPr>
          <w:rFonts w:ascii="Palatino Linotype" w:hAnsi="Palatino Linotype" w:cs="Times New Roman"/>
          <w:sz w:val="24"/>
          <w:szCs w:val="24"/>
        </w:rPr>
        <w:t>dell’in</w:t>
      </w:r>
      <w:proofErr w:type="spellEnd"/>
      <w:r w:rsidR="00315C71" w:rsidRPr="00315C71">
        <w:rPr>
          <w:rFonts w:ascii="Palatino Linotype" w:hAnsi="Palatino Linotype" w:cs="Times New Roman"/>
          <w:sz w:val="24"/>
          <w:szCs w:val="24"/>
        </w:rPr>
        <w:t xml:space="preserve"> </w:t>
      </w:r>
      <w:proofErr w:type="spellStart"/>
      <w:r w:rsidR="00315C71" w:rsidRPr="00315C71">
        <w:rPr>
          <w:rFonts w:ascii="Palatino Linotype" w:hAnsi="Palatino Linotype" w:cs="Times New Roman"/>
          <w:sz w:val="24"/>
          <w:szCs w:val="24"/>
        </w:rPr>
        <w:t>house</w:t>
      </w:r>
      <w:proofErr w:type="spellEnd"/>
      <w:r w:rsidR="00315C71" w:rsidRPr="00315C71">
        <w:rPr>
          <w:rFonts w:ascii="Palatino Linotype" w:hAnsi="Palatino Linotype" w:cs="Times New Roman"/>
          <w:sz w:val="24"/>
          <w:szCs w:val="24"/>
        </w:rPr>
        <w:t xml:space="preserve"> determina un livello di regolazione maggiore o più incisivo rispetto a quelli contenuti nelle disposizioni</w:t>
      </w:r>
      <w:r>
        <w:rPr>
          <w:rFonts w:ascii="Palatino Linotype" w:hAnsi="Palatino Linotype" w:cs="Times New Roman"/>
          <w:sz w:val="24"/>
          <w:szCs w:val="24"/>
        </w:rPr>
        <w:t xml:space="preserve"> della direttiva n. 2014/24/UE </w:t>
      </w:r>
      <w:r>
        <w:rPr>
          <w:rStyle w:val="Rimandonotaapidipagina"/>
          <w:rFonts w:ascii="Palatino Linotype" w:hAnsi="Palatino Linotype" w:cs="Times New Roman"/>
          <w:sz w:val="24"/>
          <w:szCs w:val="24"/>
        </w:rPr>
        <w:footnoteReference w:id="11"/>
      </w:r>
      <w:r>
        <w:rPr>
          <w:rFonts w:ascii="Palatino Linotype" w:hAnsi="Palatino Linotype" w:cs="Times New Roman"/>
          <w:sz w:val="24"/>
          <w:szCs w:val="24"/>
        </w:rPr>
        <w:t>.</w:t>
      </w:r>
    </w:p>
    <w:p w:rsidR="00315C71" w:rsidRDefault="00E55B2C"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ordine alla questione di rilievo maggiormente formale, sollevata con riferimento al presunto eccesso di delega, in linea generale, </w:t>
      </w:r>
      <w:r w:rsidR="00315C71" w:rsidRPr="00315C71">
        <w:rPr>
          <w:rFonts w:ascii="Palatino Linotype" w:hAnsi="Palatino Linotype" w:cs="Times New Roman"/>
          <w:sz w:val="24"/>
          <w:szCs w:val="24"/>
        </w:rPr>
        <w:t xml:space="preserve">sulla possibile estensione della delega legislativa, e sui limiti di esercizio della delega da parte del Governo, ai sensi dell’art. 76 </w:t>
      </w:r>
      <w:proofErr w:type="spellStart"/>
      <w:r w:rsidR="00315C71" w:rsidRPr="00315C71">
        <w:rPr>
          <w:rFonts w:ascii="Palatino Linotype" w:hAnsi="Palatino Linotype" w:cs="Times New Roman"/>
          <w:sz w:val="24"/>
          <w:szCs w:val="24"/>
        </w:rPr>
        <w:t>Cost</w:t>
      </w:r>
      <w:proofErr w:type="spellEnd"/>
      <w:r w:rsidR="00315C71" w:rsidRPr="00315C71">
        <w:rPr>
          <w:rFonts w:ascii="Palatino Linotype" w:hAnsi="Palatino Linotype" w:cs="Times New Roman"/>
          <w:sz w:val="24"/>
          <w:szCs w:val="24"/>
        </w:rPr>
        <w:t>.,</w:t>
      </w:r>
      <w:r>
        <w:rPr>
          <w:rFonts w:ascii="Palatino Linotype" w:hAnsi="Palatino Linotype" w:cs="Times New Roman"/>
          <w:sz w:val="24"/>
          <w:szCs w:val="24"/>
        </w:rPr>
        <w:t xml:space="preserve"> l’Ufficio studi ha </w:t>
      </w:r>
      <w:r w:rsidR="00315C71" w:rsidRPr="00315C71">
        <w:rPr>
          <w:rFonts w:ascii="Palatino Linotype" w:hAnsi="Palatino Linotype" w:cs="Times New Roman"/>
          <w:sz w:val="24"/>
          <w:szCs w:val="24"/>
        </w:rPr>
        <w:t>segnala</w:t>
      </w:r>
      <w:r>
        <w:rPr>
          <w:rFonts w:ascii="Palatino Linotype" w:hAnsi="Palatino Linotype" w:cs="Times New Roman"/>
          <w:sz w:val="24"/>
          <w:szCs w:val="24"/>
        </w:rPr>
        <w:t>to</w:t>
      </w:r>
      <w:r w:rsidR="00315C71" w:rsidRPr="00315C71">
        <w:rPr>
          <w:rFonts w:ascii="Palatino Linotype" w:hAnsi="Palatino Linotype" w:cs="Times New Roman"/>
          <w:sz w:val="24"/>
          <w:szCs w:val="24"/>
        </w:rPr>
        <w:t xml:space="preserve"> la sentenza n. 104 del 2</w:t>
      </w:r>
      <w:r w:rsidR="00BE128E">
        <w:rPr>
          <w:rFonts w:ascii="Palatino Linotype" w:hAnsi="Palatino Linotype" w:cs="Times New Roman"/>
          <w:sz w:val="24"/>
          <w:szCs w:val="24"/>
        </w:rPr>
        <w:t xml:space="preserve">017 della Corte costituzionale </w:t>
      </w:r>
      <w:r w:rsidR="00BE128E">
        <w:rPr>
          <w:rStyle w:val="Rimandonotaapidipagina"/>
          <w:rFonts w:ascii="Palatino Linotype" w:hAnsi="Palatino Linotype" w:cs="Times New Roman"/>
          <w:sz w:val="24"/>
          <w:szCs w:val="24"/>
        </w:rPr>
        <w:footnoteReference w:id="12"/>
      </w:r>
      <w:r w:rsidR="00315C71" w:rsidRPr="00315C71">
        <w:rPr>
          <w:rFonts w:ascii="Palatino Linotype" w:hAnsi="Palatino Linotype" w:cs="Times New Roman"/>
          <w:sz w:val="24"/>
          <w:szCs w:val="24"/>
        </w:rPr>
        <w:t xml:space="preserve">, in cui si è affermato che “il legislatore delegante, nel conferire al Governo l’esercizio di una porzione di funzione legislativa, è tenuto a circoscriverne adeguatamente l’ambito, predeterminandone i limiti di oggetto e di contenuto, oltre che di tempo. Di conseguenza la legge delega non deve contenere enunciazioni troppo generali o comunque inidonee ad indirizzare l’attività normativa del legislatore delegato, ma può essere abbastanza ampia da preservare un margine di discrezionalità al Governo, sì da poter agevolmente svolgere la propria attività di ‘riempimento’ normativo”. Più in generale, preme qui ricordare che, secondo la costante giurisprudenza costituzionale, la verifica di costituzionalità per eccesso di delega legislativa deve compiersi sulla base di “un confronto tra gli esiti di due processi ermeneutici paralleli: l’uno, relativo alle norme che determinano l’oggetto, i principi e i </w:t>
      </w:r>
      <w:r w:rsidR="00315C71" w:rsidRPr="00315C71">
        <w:rPr>
          <w:rFonts w:ascii="Palatino Linotype" w:hAnsi="Palatino Linotype" w:cs="Times New Roman"/>
          <w:sz w:val="24"/>
          <w:szCs w:val="24"/>
        </w:rPr>
        <w:lastRenderedPageBreak/>
        <w:t xml:space="preserve">criteri direttivi indicati dalla delega, da svolgere tenendo conto del complessivo contesto in cui esse si collocano ed individuando le ragioni e le finalità poste a fondamento della stessa; l’altro, relativo alle norme poste dal legislatore delegato, da interpretarsi nel significato compatibile con i principi e i criteri direttivi della delega”: al riguardo, al legislatore delegato spettano margini di discrezionalità nell’attuazione della delega, sempre che ne sia rispettata la ratio e che l’attività del delegato si inserisca in modo coerente nel complessivo quadro normativo di riferimento, dovendosi escludere che l’art. 76 </w:t>
      </w:r>
      <w:proofErr w:type="spellStart"/>
      <w:r w:rsidR="00315C71" w:rsidRPr="00315C71">
        <w:rPr>
          <w:rFonts w:ascii="Palatino Linotype" w:hAnsi="Palatino Linotype" w:cs="Times New Roman"/>
          <w:sz w:val="24"/>
          <w:szCs w:val="24"/>
        </w:rPr>
        <w:t>Cost</w:t>
      </w:r>
      <w:proofErr w:type="spellEnd"/>
      <w:r w:rsidR="00315C71" w:rsidRPr="00315C71">
        <w:rPr>
          <w:rFonts w:ascii="Palatino Linotype" w:hAnsi="Palatino Linotype" w:cs="Times New Roman"/>
          <w:sz w:val="24"/>
          <w:szCs w:val="24"/>
        </w:rPr>
        <w:t xml:space="preserve">. </w:t>
      </w:r>
      <w:proofErr w:type="gramStart"/>
      <w:r w:rsidR="00315C71" w:rsidRPr="00315C71">
        <w:rPr>
          <w:rFonts w:ascii="Palatino Linotype" w:hAnsi="Palatino Linotype" w:cs="Times New Roman"/>
          <w:sz w:val="24"/>
          <w:szCs w:val="24"/>
        </w:rPr>
        <w:t>riduca</w:t>
      </w:r>
      <w:proofErr w:type="gramEnd"/>
      <w:r w:rsidR="00315C71" w:rsidRPr="00315C71">
        <w:rPr>
          <w:rFonts w:ascii="Palatino Linotype" w:hAnsi="Palatino Linotype" w:cs="Times New Roman"/>
          <w:sz w:val="24"/>
          <w:szCs w:val="24"/>
        </w:rPr>
        <w:t xml:space="preserve"> la funzione del legislatore delegato ad una mera “scansione linguistica” delle previsioni stabilite dal legislatore delegante, e fermo comunque restando che l’ambito della discrezionalità lasciata al delegato muta a seconda della specificità dei criteri fissati nella legge delega</w:t>
      </w:r>
      <w:r w:rsidR="00BE128E">
        <w:rPr>
          <w:rFonts w:ascii="Palatino Linotype" w:hAnsi="Palatino Linotype" w:cs="Times New Roman"/>
          <w:sz w:val="24"/>
          <w:szCs w:val="24"/>
        </w:rPr>
        <w:t xml:space="preserve"> </w:t>
      </w:r>
      <w:r w:rsidR="00BE128E">
        <w:rPr>
          <w:rStyle w:val="Rimandonotaapidipagina"/>
          <w:rFonts w:ascii="Palatino Linotype" w:hAnsi="Palatino Linotype" w:cs="Times New Roman"/>
          <w:sz w:val="24"/>
          <w:szCs w:val="24"/>
        </w:rPr>
        <w:footnoteReference w:id="13"/>
      </w:r>
      <w:r w:rsidR="00315C71" w:rsidRPr="00315C71">
        <w:rPr>
          <w:rFonts w:ascii="Palatino Linotype" w:hAnsi="Palatino Linotype" w:cs="Times New Roman"/>
          <w:sz w:val="24"/>
          <w:szCs w:val="24"/>
        </w:rPr>
        <w:t>.</w:t>
      </w:r>
    </w:p>
    <w:p w:rsidR="00EB7FF7" w:rsidRPr="002C78F1" w:rsidRDefault="00EB7FF7"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 xml:space="preserve">8 le diverse questioni legate al modello </w:t>
      </w:r>
      <w:proofErr w:type="spellStart"/>
      <w:r w:rsidRPr="002C78F1">
        <w:rPr>
          <w:rFonts w:ascii="Palatino Linotype" w:hAnsi="Palatino Linotype" w:cs="Times New Roman"/>
          <w:b/>
          <w:sz w:val="24"/>
          <w:szCs w:val="24"/>
        </w:rPr>
        <w:t>dell’in</w:t>
      </w:r>
      <w:proofErr w:type="spellEnd"/>
      <w:r w:rsidRPr="002C78F1">
        <w:rPr>
          <w:rFonts w:ascii="Palatino Linotype" w:hAnsi="Palatino Linotype" w:cs="Times New Roman"/>
          <w:b/>
          <w:sz w:val="24"/>
          <w:szCs w:val="24"/>
        </w:rPr>
        <w:t xml:space="preserve"> </w:t>
      </w:r>
      <w:proofErr w:type="spellStart"/>
      <w:r w:rsidRPr="002C78F1">
        <w:rPr>
          <w:rFonts w:ascii="Palatino Linotype" w:hAnsi="Palatino Linotype" w:cs="Times New Roman"/>
          <w:b/>
          <w:sz w:val="24"/>
          <w:szCs w:val="24"/>
        </w:rPr>
        <w:t>house</w:t>
      </w:r>
      <w:proofErr w:type="spellEnd"/>
      <w:r w:rsidRPr="002C78F1">
        <w:rPr>
          <w:rFonts w:ascii="Palatino Linotype" w:hAnsi="Palatino Linotype" w:cs="Times New Roman"/>
          <w:b/>
          <w:sz w:val="24"/>
          <w:szCs w:val="24"/>
        </w:rPr>
        <w:t>.</w:t>
      </w:r>
    </w:p>
    <w:p w:rsidR="00BE128E" w:rsidRDefault="00BE128E" w:rsidP="00505D5D">
      <w:pPr>
        <w:ind w:firstLine="567"/>
        <w:jc w:val="both"/>
        <w:rPr>
          <w:rFonts w:ascii="Times New Roman" w:hAnsi="Times New Roman" w:cs="Times New Roman"/>
          <w:sz w:val="24"/>
          <w:szCs w:val="24"/>
        </w:rPr>
      </w:pPr>
      <w:r>
        <w:rPr>
          <w:rFonts w:ascii="Palatino Linotype" w:hAnsi="Palatino Linotype" w:cs="Times New Roman"/>
          <w:sz w:val="24"/>
          <w:szCs w:val="24"/>
        </w:rPr>
        <w:t xml:space="preserve">Tornando all’inquadramento della figura in esame, alcune perplessità circa la qualifica </w:t>
      </w:r>
      <w:proofErr w:type="spellStart"/>
      <w:r>
        <w:rPr>
          <w:rFonts w:ascii="Palatino Linotype" w:hAnsi="Palatino Linotype" w:cs="Times New Roman"/>
          <w:sz w:val="24"/>
          <w:szCs w:val="24"/>
        </w:rPr>
        <w:t>dell’in</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house</w:t>
      </w:r>
      <w:proofErr w:type="spellEnd"/>
      <w:r>
        <w:rPr>
          <w:rFonts w:ascii="Palatino Linotype" w:hAnsi="Palatino Linotype" w:cs="Times New Roman"/>
          <w:sz w:val="24"/>
          <w:szCs w:val="24"/>
        </w:rPr>
        <w:t xml:space="preserve"> in termini di vera e propria </w:t>
      </w:r>
      <w:r w:rsidR="00264556">
        <w:rPr>
          <w:rFonts w:ascii="Times New Roman" w:hAnsi="Times New Roman" w:cs="Times New Roman"/>
          <w:sz w:val="24"/>
          <w:szCs w:val="24"/>
        </w:rPr>
        <w:t xml:space="preserve">autoproduzione </w:t>
      </w:r>
      <w:r>
        <w:rPr>
          <w:rFonts w:ascii="Times New Roman" w:hAnsi="Times New Roman" w:cs="Times New Roman"/>
          <w:sz w:val="24"/>
          <w:szCs w:val="24"/>
        </w:rPr>
        <w:t xml:space="preserve">sono emerse in relazione alla acquisita fallibilità. </w:t>
      </w:r>
    </w:p>
    <w:p w:rsidR="00822B05" w:rsidRPr="00BE128E" w:rsidRDefault="00BE128E" w:rsidP="00505D5D">
      <w:pPr>
        <w:ind w:firstLine="567"/>
        <w:jc w:val="both"/>
        <w:rPr>
          <w:rFonts w:ascii="Palatino Linotype" w:hAnsi="Palatino Linotype" w:cs="Times New Roman"/>
          <w:sz w:val="24"/>
          <w:szCs w:val="24"/>
        </w:rPr>
      </w:pPr>
      <w:r w:rsidRPr="00BE128E">
        <w:rPr>
          <w:rFonts w:ascii="Palatino Linotype" w:hAnsi="Palatino Linotype" w:cs="Times New Roman"/>
          <w:sz w:val="24"/>
          <w:szCs w:val="24"/>
        </w:rPr>
        <w:t xml:space="preserve">Sul punto, se per un verso assume rilievo dirimente il tenore dell’art. 14 del </w:t>
      </w:r>
      <w:proofErr w:type="spellStart"/>
      <w:r w:rsidRPr="00BE128E">
        <w:rPr>
          <w:rFonts w:ascii="Palatino Linotype" w:hAnsi="Palatino Linotype" w:cs="Times New Roman"/>
          <w:sz w:val="24"/>
          <w:szCs w:val="24"/>
        </w:rPr>
        <w:t>d.lgs</w:t>
      </w:r>
      <w:proofErr w:type="spellEnd"/>
      <w:r w:rsidRPr="00BE128E">
        <w:rPr>
          <w:rFonts w:ascii="Palatino Linotype" w:hAnsi="Palatino Linotype" w:cs="Times New Roman"/>
          <w:sz w:val="24"/>
          <w:szCs w:val="24"/>
        </w:rPr>
        <w:t xml:space="preserve"> 175\2016 </w:t>
      </w:r>
      <w:proofErr w:type="gramStart"/>
      <w:r w:rsidRPr="00BE128E">
        <w:rPr>
          <w:rFonts w:ascii="Palatino Linotype" w:hAnsi="Palatino Linotype" w:cs="Times New Roman"/>
          <w:sz w:val="24"/>
          <w:szCs w:val="24"/>
        </w:rPr>
        <w:t>cit. ,</w:t>
      </w:r>
      <w:proofErr w:type="gramEnd"/>
      <w:r w:rsidRPr="00BE128E">
        <w:rPr>
          <w:rFonts w:ascii="Palatino Linotype" w:hAnsi="Palatino Linotype" w:cs="Times New Roman"/>
          <w:sz w:val="24"/>
          <w:szCs w:val="24"/>
        </w:rPr>
        <w:t xml:space="preserve"> nella stessa giurisprudenza di merito erano emersi elementi e considerazioni in proposito </w:t>
      </w:r>
      <w:r w:rsidRPr="00BE128E">
        <w:rPr>
          <w:rFonts w:ascii="Palatino Linotype" w:hAnsi="Palatino Linotype"/>
        </w:rPr>
        <w:footnoteReference w:id="14"/>
      </w:r>
      <w:r w:rsidR="00264556" w:rsidRPr="00BE128E">
        <w:rPr>
          <w:rFonts w:ascii="Palatino Linotype" w:hAnsi="Palatino Linotype" w:cs="Times New Roman"/>
          <w:sz w:val="24"/>
          <w:szCs w:val="24"/>
        </w:rPr>
        <w:t xml:space="preserve">. </w:t>
      </w:r>
      <w:r w:rsidRPr="00BE128E">
        <w:rPr>
          <w:rFonts w:ascii="Palatino Linotype" w:hAnsi="Palatino Linotype" w:cs="Times New Roman"/>
          <w:sz w:val="24"/>
          <w:szCs w:val="24"/>
        </w:rPr>
        <w:t>S</w:t>
      </w:r>
      <w:r w:rsidR="00822B05" w:rsidRPr="00BE128E">
        <w:rPr>
          <w:rFonts w:ascii="Palatino Linotype" w:hAnsi="Palatino Linotype" w:cs="Times New Roman"/>
          <w:sz w:val="24"/>
          <w:szCs w:val="24"/>
        </w:rPr>
        <w:t xml:space="preserve">ul punto </w:t>
      </w:r>
      <w:r w:rsidRPr="00BE128E">
        <w:rPr>
          <w:rFonts w:ascii="Palatino Linotype" w:hAnsi="Palatino Linotype" w:cs="Times New Roman"/>
          <w:sz w:val="24"/>
          <w:szCs w:val="24"/>
        </w:rPr>
        <w:t>meritano di essere richiamate le parole spese in sede consultiva (</w:t>
      </w:r>
      <w:r w:rsidR="00822B05" w:rsidRPr="00BE128E">
        <w:rPr>
          <w:rFonts w:ascii="Palatino Linotype" w:hAnsi="Palatino Linotype" w:cs="Times New Roman"/>
          <w:sz w:val="24"/>
          <w:szCs w:val="24"/>
        </w:rPr>
        <w:t>Consiglio di Stato comm. spec., 14/03/2017, n. 638</w:t>
      </w:r>
      <w:r w:rsidRPr="00BE128E">
        <w:rPr>
          <w:rFonts w:ascii="Palatino Linotype" w:hAnsi="Palatino Linotype" w:cs="Times New Roman"/>
          <w:sz w:val="24"/>
          <w:szCs w:val="24"/>
        </w:rPr>
        <w:t xml:space="preserve">) in tema di parere sullo </w:t>
      </w:r>
      <w:r w:rsidR="00822B05" w:rsidRPr="00BE128E">
        <w:rPr>
          <w:rFonts w:ascii="Palatino Linotype" w:hAnsi="Palatino Linotype" w:cs="Times New Roman"/>
          <w:sz w:val="24"/>
          <w:szCs w:val="24"/>
        </w:rPr>
        <w:t xml:space="preserve">di schema di decreto legislativo concernente </w:t>
      </w:r>
      <w:r w:rsidRPr="00BE128E">
        <w:rPr>
          <w:rFonts w:ascii="Palatino Linotype" w:hAnsi="Palatino Linotype" w:cs="Times New Roman"/>
          <w:sz w:val="24"/>
          <w:szCs w:val="24"/>
        </w:rPr>
        <w:t>d</w:t>
      </w:r>
      <w:r w:rsidR="00822B05" w:rsidRPr="00BE128E">
        <w:rPr>
          <w:rFonts w:ascii="Palatino Linotype" w:hAnsi="Palatino Linotype" w:cs="Times New Roman"/>
          <w:sz w:val="24"/>
          <w:szCs w:val="24"/>
        </w:rPr>
        <w:t>isposizioni integrative e correttive al decreto leg</w:t>
      </w:r>
      <w:r w:rsidRPr="00BE128E">
        <w:rPr>
          <w:rFonts w:ascii="Palatino Linotype" w:hAnsi="Palatino Linotype" w:cs="Times New Roman"/>
          <w:sz w:val="24"/>
          <w:szCs w:val="24"/>
        </w:rPr>
        <w:t>islativo 175 cit.: “</w:t>
      </w:r>
      <w:r w:rsidR="00822B05" w:rsidRPr="00BE128E">
        <w:rPr>
          <w:rFonts w:ascii="Palatino Linotype" w:hAnsi="Palatino Linotype" w:cs="Times New Roman"/>
          <w:sz w:val="24"/>
          <w:szCs w:val="24"/>
        </w:rPr>
        <w:t xml:space="preserve">la possibilità di fallire, prevista in modo sufficientemente chiaro dall'art. 14, deve essere coordinata con la disciplina dell'art. 21, comma 1, che impone alle pubbliche amministrazioni locali partecipanti di accantonare nel bilancio un importo pari al risultato negativo non immediatamente ripianato, in misura proporzionale alla quota di partecipazione. Da ciò deriva che, nel caso di società interamente partecipate dall'ente locale, qualora quest'ultimo non intenda dismettere la partecipazione o porre in liquidazione la società, sarà obbligato a ripianare le perdite, eventualità quest'ultima che negherebbe in radice la possibilità per le società in </w:t>
      </w:r>
      <w:proofErr w:type="spellStart"/>
      <w:r w:rsidR="00822B05" w:rsidRPr="00BE128E">
        <w:rPr>
          <w:rFonts w:ascii="Palatino Linotype" w:hAnsi="Palatino Linotype" w:cs="Times New Roman"/>
          <w:sz w:val="24"/>
          <w:szCs w:val="24"/>
        </w:rPr>
        <w:t>house</w:t>
      </w:r>
      <w:proofErr w:type="spellEnd"/>
      <w:r w:rsidR="00822B05" w:rsidRPr="00BE128E">
        <w:rPr>
          <w:rFonts w:ascii="Palatino Linotype" w:hAnsi="Palatino Linotype" w:cs="Times New Roman"/>
          <w:sz w:val="24"/>
          <w:szCs w:val="24"/>
        </w:rPr>
        <w:t xml:space="preserve"> di fallire. È, pertanto, necessario chiarire che dall'obbligo di accantonamento di cui al comma 1 dell'art 21, non deriva un obbligo di ripiano, potendo le pubbliche amministrazioni locali partecipanti decidere di non ripianare il bilancio delle società in </w:t>
      </w:r>
      <w:proofErr w:type="spellStart"/>
      <w:r w:rsidR="00822B05" w:rsidRPr="00BE128E">
        <w:rPr>
          <w:rFonts w:ascii="Palatino Linotype" w:hAnsi="Palatino Linotype" w:cs="Times New Roman"/>
          <w:sz w:val="24"/>
          <w:szCs w:val="24"/>
        </w:rPr>
        <w:t>house</w:t>
      </w:r>
      <w:proofErr w:type="spellEnd"/>
      <w:r w:rsidR="00822B05" w:rsidRPr="00BE128E">
        <w:rPr>
          <w:rFonts w:ascii="Palatino Linotype" w:hAnsi="Palatino Linotype" w:cs="Times New Roman"/>
          <w:sz w:val="24"/>
          <w:szCs w:val="24"/>
        </w:rPr>
        <w:t>, in considerazione della sperimentata necessità di rivolgersi al mercato</w:t>
      </w:r>
      <w:r w:rsidRPr="00BE128E">
        <w:rPr>
          <w:rFonts w:ascii="Palatino Linotype" w:hAnsi="Palatino Linotype" w:cs="Times New Roman"/>
          <w:sz w:val="24"/>
          <w:szCs w:val="24"/>
        </w:rPr>
        <w:t>”</w:t>
      </w:r>
      <w:r w:rsidR="00822B05" w:rsidRPr="00BE128E">
        <w:rPr>
          <w:rFonts w:ascii="Palatino Linotype" w:hAnsi="Palatino Linotype" w:cs="Times New Roman"/>
          <w:sz w:val="24"/>
          <w:szCs w:val="24"/>
        </w:rPr>
        <w:t>.</w:t>
      </w:r>
    </w:p>
    <w:p w:rsidR="00AD5134" w:rsidRPr="00BE128E" w:rsidRDefault="00BE128E" w:rsidP="00505D5D">
      <w:pPr>
        <w:ind w:firstLine="567"/>
        <w:jc w:val="both"/>
        <w:rPr>
          <w:rFonts w:ascii="Palatino Linotype" w:hAnsi="Palatino Linotype" w:cs="Times New Roman"/>
          <w:sz w:val="24"/>
          <w:szCs w:val="24"/>
        </w:rPr>
      </w:pPr>
      <w:r w:rsidRPr="00BE128E">
        <w:rPr>
          <w:rFonts w:ascii="Palatino Linotype" w:hAnsi="Palatino Linotype" w:cs="Times New Roman"/>
          <w:sz w:val="24"/>
          <w:szCs w:val="24"/>
        </w:rPr>
        <w:t xml:space="preserve">Analoghi elementi, in specie rispetto ai limiti dell’istituto, possono trarsi dalla presa di posizione delle Sezioni unite della Cassazione, che hanno escluso le finalità ideali, in tema di fondazioni: “e fondazioni di diritto privato non rientrano tra i soggetti in </w:t>
      </w:r>
      <w:proofErr w:type="spellStart"/>
      <w:proofErr w:type="gramStart"/>
      <w:r w:rsidRPr="00BE128E">
        <w:rPr>
          <w:rFonts w:ascii="Palatino Linotype" w:hAnsi="Palatino Linotype" w:cs="Times New Roman"/>
          <w:sz w:val="24"/>
          <w:szCs w:val="24"/>
        </w:rPr>
        <w:t>house</w:t>
      </w:r>
      <w:proofErr w:type="spellEnd"/>
      <w:r w:rsidRPr="00BE128E">
        <w:rPr>
          <w:rFonts w:ascii="Palatino Linotype" w:hAnsi="Palatino Linotype" w:cs="Times New Roman"/>
          <w:sz w:val="24"/>
          <w:szCs w:val="24"/>
        </w:rPr>
        <w:t xml:space="preserve"> ,</w:t>
      </w:r>
      <w:proofErr w:type="gramEnd"/>
      <w:r w:rsidRPr="00BE128E">
        <w:rPr>
          <w:rFonts w:ascii="Palatino Linotype" w:hAnsi="Palatino Linotype" w:cs="Times New Roman"/>
          <w:sz w:val="24"/>
          <w:szCs w:val="24"/>
        </w:rPr>
        <w:t xml:space="preserve"> in </w:t>
      </w:r>
      <w:r w:rsidRPr="00BE128E">
        <w:rPr>
          <w:rFonts w:ascii="Palatino Linotype" w:hAnsi="Palatino Linotype" w:cs="Times New Roman"/>
          <w:sz w:val="24"/>
          <w:szCs w:val="24"/>
        </w:rPr>
        <w:lastRenderedPageBreak/>
        <w:t xml:space="preserve">quanto enti caratterizzati dall'assenza di finalità di lucro. Infatti, la figura dell'affidamento in </w:t>
      </w:r>
      <w:proofErr w:type="spellStart"/>
      <w:r w:rsidRPr="00BE128E">
        <w:rPr>
          <w:rFonts w:ascii="Palatino Linotype" w:hAnsi="Palatino Linotype" w:cs="Times New Roman"/>
          <w:sz w:val="24"/>
          <w:szCs w:val="24"/>
        </w:rPr>
        <w:t>house</w:t>
      </w:r>
      <w:proofErr w:type="spellEnd"/>
      <w:r w:rsidRPr="00BE128E">
        <w:rPr>
          <w:rFonts w:ascii="Palatino Linotype" w:hAnsi="Palatino Linotype" w:cs="Times New Roman"/>
          <w:sz w:val="24"/>
          <w:szCs w:val="24"/>
        </w:rPr>
        <w:t xml:space="preserve"> trova la sua precipua collocazione nell'ambito di attività economiche svolte sul mercato con criteri imprenditoriali e secondo logiche </w:t>
      </w:r>
      <w:proofErr w:type="gramStart"/>
      <w:r w:rsidRPr="00BE128E">
        <w:rPr>
          <w:rFonts w:ascii="Palatino Linotype" w:hAnsi="Palatino Linotype" w:cs="Times New Roman"/>
          <w:sz w:val="24"/>
          <w:szCs w:val="24"/>
        </w:rPr>
        <w:t xml:space="preserve">concorrenziali </w:t>
      </w:r>
      <w:r w:rsidR="002C78F1">
        <w:rPr>
          <w:rStyle w:val="Rimandonotaapidipagina"/>
          <w:rFonts w:ascii="Palatino Linotype" w:hAnsi="Palatino Linotype" w:cs="Times New Roman"/>
          <w:sz w:val="24"/>
          <w:szCs w:val="24"/>
        </w:rPr>
        <w:footnoteReference w:id="15"/>
      </w:r>
      <w:r w:rsidR="00AD5134" w:rsidRPr="00BE128E">
        <w:rPr>
          <w:rFonts w:ascii="Palatino Linotype" w:hAnsi="Palatino Linotype" w:cs="Times New Roman"/>
          <w:sz w:val="24"/>
          <w:szCs w:val="24"/>
        </w:rPr>
        <w:t>.</w:t>
      </w:r>
      <w:proofErr w:type="gramEnd"/>
    </w:p>
    <w:p w:rsidR="0098283A" w:rsidRPr="00BE128E" w:rsidRDefault="00BE128E"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P</w:t>
      </w:r>
      <w:r w:rsidR="0098283A" w:rsidRPr="00BE128E">
        <w:rPr>
          <w:rFonts w:ascii="Palatino Linotype" w:hAnsi="Palatino Linotype" w:cs="Times New Roman"/>
          <w:sz w:val="24"/>
          <w:szCs w:val="24"/>
        </w:rPr>
        <w:t>er certi versi sulla stessa lunghezza d’onda</w:t>
      </w:r>
      <w:r>
        <w:rPr>
          <w:rFonts w:ascii="Palatino Linotype" w:hAnsi="Palatino Linotype" w:cs="Times New Roman"/>
          <w:sz w:val="24"/>
          <w:szCs w:val="24"/>
        </w:rPr>
        <w:t xml:space="preserve"> si è mossa una parte della giurisprudenza amministrativa </w:t>
      </w:r>
      <w:r>
        <w:rPr>
          <w:rStyle w:val="Rimandonotaapidipagina"/>
          <w:rFonts w:ascii="Palatino Linotype" w:hAnsi="Palatino Linotype" w:cs="Times New Roman"/>
          <w:sz w:val="24"/>
          <w:szCs w:val="24"/>
        </w:rPr>
        <w:footnoteReference w:id="16"/>
      </w:r>
      <w:r w:rsidR="0098283A" w:rsidRPr="00BE128E">
        <w:rPr>
          <w:rFonts w:ascii="Palatino Linotype" w:hAnsi="Palatino Linotype" w:cs="Times New Roman"/>
          <w:sz w:val="24"/>
          <w:szCs w:val="24"/>
        </w:rPr>
        <w:t>, secondo cui</w:t>
      </w:r>
      <w:r>
        <w:rPr>
          <w:rFonts w:ascii="Palatino Linotype" w:hAnsi="Palatino Linotype" w:cs="Times New Roman"/>
          <w:sz w:val="24"/>
          <w:szCs w:val="24"/>
        </w:rPr>
        <w:t>, q</w:t>
      </w:r>
      <w:r w:rsidR="0098283A" w:rsidRPr="00BE128E">
        <w:rPr>
          <w:rFonts w:ascii="Palatino Linotype" w:hAnsi="Palatino Linotype" w:cs="Times New Roman"/>
          <w:sz w:val="24"/>
          <w:szCs w:val="24"/>
        </w:rPr>
        <w:t xml:space="preserve">ualora l’aggiudicatario di un appalto pubblico sia un’associazione di pubblica utilità senza scopo di lucro che, al momento dell’affidamento di tale appalto, comprende tra i suoi membri non solo enti che fanno parte del settore pubblico, ma anche istituzioni caritative private che svolgono attività senza scopo di lucro, la condizione relativa al «controllo analogo», dettata dalla giurisprudenza della corte affinché l’affidamento di un appalto pubblico possa essere considerato come un’operazione in </w:t>
      </w:r>
      <w:proofErr w:type="spellStart"/>
      <w:r w:rsidR="0098283A" w:rsidRPr="00BE128E">
        <w:rPr>
          <w:rFonts w:ascii="Palatino Linotype" w:hAnsi="Palatino Linotype" w:cs="Times New Roman"/>
          <w:sz w:val="24"/>
          <w:szCs w:val="24"/>
        </w:rPr>
        <w:t>house</w:t>
      </w:r>
      <w:proofErr w:type="spellEnd"/>
      <w:r w:rsidR="0098283A" w:rsidRPr="00BE128E">
        <w:rPr>
          <w:rFonts w:ascii="Palatino Linotype" w:hAnsi="Palatino Linotype" w:cs="Times New Roman"/>
          <w:sz w:val="24"/>
          <w:szCs w:val="24"/>
        </w:rPr>
        <w:t xml:space="preserve"> non è soddisfatta e pertanto la direttiva 2004/18/Ce del Parlamento europeo e del Consiglio, del 31 marzo 2004, relativa al coordinamento delle procedure di aggiudicazione degli appalti pubblici di lavori, di fornitur</w:t>
      </w:r>
      <w:r>
        <w:rPr>
          <w:rFonts w:ascii="Palatino Linotype" w:hAnsi="Palatino Linotype" w:cs="Times New Roman"/>
          <w:sz w:val="24"/>
          <w:szCs w:val="24"/>
        </w:rPr>
        <w:t>e e di servizi, è applicabile.</w:t>
      </w:r>
    </w:p>
    <w:p w:rsidR="00E04583" w:rsidRPr="00EB7FF7" w:rsidRDefault="00EB7FF7"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Alcuni dubbi sono stati altresì sollevati in merito alla parziale e possibile </w:t>
      </w:r>
      <w:r w:rsidRPr="00EB7FF7">
        <w:rPr>
          <w:rFonts w:ascii="Palatino Linotype" w:hAnsi="Palatino Linotype" w:cs="Times New Roman"/>
          <w:sz w:val="24"/>
          <w:szCs w:val="24"/>
        </w:rPr>
        <w:t xml:space="preserve">esclusione dalla trasparenza. In sede consultiva </w:t>
      </w:r>
      <w:r w:rsidRPr="00EB7FF7">
        <w:rPr>
          <w:rFonts w:ascii="Palatino Linotype" w:hAnsi="Palatino Linotype"/>
        </w:rPr>
        <w:footnoteReference w:id="17"/>
      </w:r>
      <w:r w:rsidRPr="00EB7FF7">
        <w:rPr>
          <w:rFonts w:ascii="Palatino Linotype" w:hAnsi="Palatino Linotype" w:cs="Times New Roman"/>
          <w:sz w:val="24"/>
          <w:szCs w:val="24"/>
        </w:rPr>
        <w:t>, nel parere sullo</w:t>
      </w:r>
      <w:r w:rsidR="00E04583" w:rsidRPr="00EB7FF7">
        <w:rPr>
          <w:rFonts w:ascii="Palatino Linotype" w:hAnsi="Palatino Linotype" w:cs="Times New Roman"/>
          <w:sz w:val="24"/>
          <w:szCs w:val="24"/>
        </w:rPr>
        <w:t xml:space="preserve"> schema di Linee guida aventi ad oggetto « Aggiornamento delle Linee guida per l'attuazione della normativa in materia di prevenzione della corruzione e trasparenza da parte delle società e degli enti di diritto privato controllati e partecipati dalle pubbliche amministrazioni e degli enti pubblici economici », per quanto concerne le società quotate in borsa,</w:t>
      </w:r>
      <w:r w:rsidRPr="00EB7FF7">
        <w:rPr>
          <w:rFonts w:ascii="Palatino Linotype" w:hAnsi="Palatino Linotype" w:cs="Times New Roman"/>
          <w:sz w:val="24"/>
          <w:szCs w:val="24"/>
        </w:rPr>
        <w:t xml:space="preserve"> si è evidenziato come</w:t>
      </w:r>
      <w:r w:rsidR="00E04583" w:rsidRPr="00EB7FF7">
        <w:rPr>
          <w:rFonts w:ascii="Palatino Linotype" w:hAnsi="Palatino Linotype" w:cs="Times New Roman"/>
          <w:sz w:val="24"/>
          <w:szCs w:val="24"/>
        </w:rPr>
        <w:t xml:space="preserve"> lo</w:t>
      </w:r>
      <w:r w:rsidRPr="00EB7FF7">
        <w:rPr>
          <w:rFonts w:ascii="Palatino Linotype" w:hAnsi="Palatino Linotype" w:cs="Times New Roman"/>
          <w:sz w:val="24"/>
          <w:szCs w:val="24"/>
        </w:rPr>
        <w:t xml:space="preserve"> stesso</w:t>
      </w:r>
      <w:r w:rsidR="00E04583" w:rsidRPr="00EB7FF7">
        <w:rPr>
          <w:rFonts w:ascii="Palatino Linotype" w:hAnsi="Palatino Linotype" w:cs="Times New Roman"/>
          <w:sz w:val="24"/>
          <w:szCs w:val="24"/>
        </w:rPr>
        <w:t xml:space="preserve"> schema, dopo averle escluse dal secondo ambito di applicazione del </w:t>
      </w:r>
      <w:proofErr w:type="spellStart"/>
      <w:r w:rsidR="00E04583" w:rsidRPr="00EB7FF7">
        <w:rPr>
          <w:rFonts w:ascii="Palatino Linotype" w:hAnsi="Palatino Linotype" w:cs="Times New Roman"/>
          <w:sz w:val="24"/>
          <w:szCs w:val="24"/>
        </w:rPr>
        <w:t>d.lg.</w:t>
      </w:r>
      <w:proofErr w:type="spellEnd"/>
      <w:r w:rsidR="00E04583" w:rsidRPr="00EB7FF7">
        <w:rPr>
          <w:rFonts w:ascii="Palatino Linotype" w:hAnsi="Palatino Linotype" w:cs="Times New Roman"/>
          <w:sz w:val="24"/>
          <w:szCs w:val="24"/>
        </w:rPr>
        <w:t xml:space="preserve"> 33/2013, le ricomprende nel terzo ambito, al pari dei soggetti espressamente considerati al comma 3 dell'art. 2-bis del </w:t>
      </w:r>
      <w:proofErr w:type="spellStart"/>
      <w:r w:rsidR="00E04583" w:rsidRPr="00EB7FF7">
        <w:rPr>
          <w:rFonts w:ascii="Palatino Linotype" w:hAnsi="Palatino Linotype" w:cs="Times New Roman"/>
          <w:sz w:val="24"/>
          <w:szCs w:val="24"/>
        </w:rPr>
        <w:t>d.lg.</w:t>
      </w:r>
      <w:proofErr w:type="spellEnd"/>
      <w:r w:rsidR="00E04583" w:rsidRPr="00EB7FF7">
        <w:rPr>
          <w:rFonts w:ascii="Palatino Linotype" w:hAnsi="Palatino Linotype" w:cs="Times New Roman"/>
          <w:sz w:val="24"/>
          <w:szCs w:val="24"/>
        </w:rPr>
        <w:t xml:space="preserve"> 33/2013</w:t>
      </w:r>
      <w:r w:rsidRPr="00EB7FF7">
        <w:rPr>
          <w:rFonts w:ascii="Palatino Linotype" w:hAnsi="Palatino Linotype" w:cs="Times New Roman"/>
          <w:sz w:val="24"/>
          <w:szCs w:val="24"/>
        </w:rPr>
        <w:t>. Al riguardo, l</w:t>
      </w:r>
      <w:r w:rsidR="00E04583" w:rsidRPr="00EB7FF7">
        <w:rPr>
          <w:rFonts w:ascii="Palatino Linotype" w:hAnsi="Palatino Linotype" w:cs="Times New Roman"/>
          <w:sz w:val="24"/>
          <w:szCs w:val="24"/>
        </w:rPr>
        <w:t xml:space="preserve">a scelta di esonerare le società quotate dagli obblighi di trasparenza, se da un lato potrebbe essere giustificata dall'esigenza di contemperare gli interessi pubblici sottesi alla normativa anticorruzione e trasparenza con la tutela degli investitori e dei mercati finanziari, dall'altro non sarebbe giustificata se si considera la ratio dell'esonero. </w:t>
      </w:r>
      <w:r w:rsidRPr="00EB7FF7">
        <w:rPr>
          <w:rFonts w:ascii="Palatino Linotype" w:hAnsi="Palatino Linotype" w:cs="Times New Roman"/>
          <w:sz w:val="24"/>
          <w:szCs w:val="24"/>
        </w:rPr>
        <w:t>In materia</w:t>
      </w:r>
      <w:r w:rsidR="00E04583" w:rsidRPr="00EB7FF7">
        <w:rPr>
          <w:rFonts w:ascii="Palatino Linotype" w:hAnsi="Palatino Linotype" w:cs="Times New Roman"/>
          <w:sz w:val="24"/>
          <w:szCs w:val="24"/>
        </w:rPr>
        <w:t xml:space="preserve">, è stata fatta anche una segnalazione al Parlamento ed al Governo, sulla incongruità dell'esenzione dal regime del secondo ambito (oltre che per le società quotate in borsa, anche) per le società che emettono strumenti finanziari in mercati regolati — l'esenzione vigente, infatti, comprende quest'ultime, in ragione del rinvio all'accezione ampia di </w:t>
      </w:r>
      <w:proofErr w:type="gramStart"/>
      <w:r w:rsidR="00E04583" w:rsidRPr="00EB7FF7">
        <w:rPr>
          <w:rFonts w:ascii="Palatino Linotype" w:hAnsi="Palatino Linotype" w:cs="Times New Roman"/>
          <w:sz w:val="24"/>
          <w:szCs w:val="24"/>
        </w:rPr>
        <w:t>« società</w:t>
      </w:r>
      <w:proofErr w:type="gramEnd"/>
      <w:r w:rsidR="00E04583" w:rsidRPr="00EB7FF7">
        <w:rPr>
          <w:rFonts w:ascii="Palatino Linotype" w:hAnsi="Palatino Linotype" w:cs="Times New Roman"/>
          <w:sz w:val="24"/>
          <w:szCs w:val="24"/>
        </w:rPr>
        <w:t xml:space="preserve"> quotata » contenuta all'art. 18 del </w:t>
      </w:r>
      <w:proofErr w:type="spellStart"/>
      <w:r w:rsidR="00E04583" w:rsidRPr="00EB7FF7">
        <w:rPr>
          <w:rFonts w:ascii="Palatino Linotype" w:hAnsi="Palatino Linotype" w:cs="Times New Roman"/>
          <w:sz w:val="24"/>
          <w:szCs w:val="24"/>
        </w:rPr>
        <w:t>d.lg.</w:t>
      </w:r>
      <w:proofErr w:type="spellEnd"/>
      <w:r w:rsidR="00E04583" w:rsidRPr="00EB7FF7">
        <w:rPr>
          <w:rFonts w:ascii="Palatino Linotype" w:hAnsi="Palatino Linotype" w:cs="Times New Roman"/>
          <w:sz w:val="24"/>
          <w:szCs w:val="24"/>
        </w:rPr>
        <w:t xml:space="preserve"> 175/2016. L'opzione prescelta dalle linee guida richiede dunque</w:t>
      </w:r>
      <w:r w:rsidRPr="00EB7FF7">
        <w:rPr>
          <w:rFonts w:ascii="Palatino Linotype" w:hAnsi="Palatino Linotype" w:cs="Times New Roman"/>
          <w:sz w:val="24"/>
          <w:szCs w:val="24"/>
        </w:rPr>
        <w:t>, secondo il parere</w:t>
      </w:r>
      <w:r w:rsidR="00E04583" w:rsidRPr="00EB7FF7">
        <w:rPr>
          <w:rFonts w:ascii="Palatino Linotype" w:hAnsi="Palatino Linotype" w:cs="Times New Roman"/>
          <w:sz w:val="24"/>
          <w:szCs w:val="24"/>
        </w:rPr>
        <w:t>, quanto meno una motivazione più approfondita.</w:t>
      </w:r>
    </w:p>
    <w:p w:rsidR="00D6487A" w:rsidRPr="007C6899" w:rsidRDefault="007C6899" w:rsidP="00505D5D">
      <w:pPr>
        <w:ind w:firstLine="567"/>
        <w:jc w:val="both"/>
        <w:rPr>
          <w:rFonts w:ascii="Palatino Linotype" w:hAnsi="Palatino Linotype" w:cs="Times New Roman"/>
          <w:sz w:val="24"/>
          <w:szCs w:val="24"/>
        </w:rPr>
      </w:pPr>
      <w:r w:rsidRPr="007C6899">
        <w:rPr>
          <w:rFonts w:ascii="Palatino Linotype" w:hAnsi="Palatino Linotype" w:cs="Times New Roman"/>
          <w:sz w:val="24"/>
          <w:szCs w:val="24"/>
        </w:rPr>
        <w:t xml:space="preserve">Proseguendo nella rapida carrellata esemplificativa, </w:t>
      </w:r>
      <w:r w:rsidR="0012372F" w:rsidRPr="007C6899">
        <w:rPr>
          <w:rFonts w:ascii="Palatino Linotype" w:hAnsi="Palatino Linotype" w:cs="Times New Roman"/>
          <w:sz w:val="24"/>
          <w:szCs w:val="24"/>
        </w:rPr>
        <w:t>non</w:t>
      </w:r>
      <w:r w:rsidRPr="007C6899">
        <w:rPr>
          <w:rFonts w:ascii="Palatino Linotype" w:hAnsi="Palatino Linotype" w:cs="Times New Roman"/>
          <w:sz w:val="24"/>
          <w:szCs w:val="24"/>
        </w:rPr>
        <w:t xml:space="preserve"> potevano mancare diverse</w:t>
      </w:r>
      <w:r w:rsidR="0012372F" w:rsidRPr="007C6899">
        <w:rPr>
          <w:rFonts w:ascii="Palatino Linotype" w:hAnsi="Palatino Linotype" w:cs="Times New Roman"/>
          <w:sz w:val="24"/>
          <w:szCs w:val="24"/>
        </w:rPr>
        <w:t xml:space="preserve"> questio</w:t>
      </w:r>
      <w:r w:rsidRPr="007C6899">
        <w:rPr>
          <w:rFonts w:ascii="Palatino Linotype" w:hAnsi="Palatino Linotype" w:cs="Times New Roman"/>
          <w:sz w:val="24"/>
          <w:szCs w:val="24"/>
        </w:rPr>
        <w:t xml:space="preserve">ni sul riparto di giurisdizione. </w:t>
      </w:r>
    </w:p>
    <w:p w:rsidR="00D6487A" w:rsidRPr="007C6899" w:rsidRDefault="007C6899" w:rsidP="00505D5D">
      <w:pPr>
        <w:ind w:firstLine="567"/>
        <w:jc w:val="both"/>
        <w:rPr>
          <w:rFonts w:ascii="Palatino Linotype" w:hAnsi="Palatino Linotype" w:cs="Times New Roman"/>
          <w:sz w:val="24"/>
          <w:szCs w:val="24"/>
        </w:rPr>
      </w:pPr>
      <w:r w:rsidRPr="007C6899">
        <w:rPr>
          <w:rFonts w:ascii="Palatino Linotype" w:hAnsi="Palatino Linotype" w:cs="Times New Roman"/>
          <w:sz w:val="24"/>
          <w:szCs w:val="24"/>
        </w:rPr>
        <w:lastRenderedPageBreak/>
        <w:t xml:space="preserve">Sul versante della giurisdizione civile, in tema di società in </w:t>
      </w:r>
      <w:proofErr w:type="spellStart"/>
      <w:r w:rsidRPr="007C6899">
        <w:rPr>
          <w:rFonts w:ascii="Palatino Linotype" w:hAnsi="Palatino Linotype" w:cs="Times New Roman"/>
          <w:sz w:val="24"/>
          <w:szCs w:val="24"/>
        </w:rPr>
        <w:t>house</w:t>
      </w:r>
      <w:proofErr w:type="spellEnd"/>
      <w:r w:rsidRPr="007C6899">
        <w:rPr>
          <w:rFonts w:ascii="Palatino Linotype" w:hAnsi="Palatino Linotype" w:cs="Times New Roman"/>
          <w:sz w:val="24"/>
          <w:szCs w:val="24"/>
        </w:rPr>
        <w:t xml:space="preserve"> si è statuito che sussiste la giurisdizione del giudice ordinario per le azioni civili in caso di responsabilità dei componenti degli organi di amministrazione e controllo delle società partecipate; si configura, invece, la giurisdizione della Corte dei conti per il danno erariale causato da amministratori e dipendenti delle società in </w:t>
      </w:r>
      <w:proofErr w:type="spellStart"/>
      <w:r w:rsidRPr="007C6899">
        <w:rPr>
          <w:rFonts w:ascii="Palatino Linotype" w:hAnsi="Palatino Linotype" w:cs="Times New Roman"/>
          <w:sz w:val="24"/>
          <w:szCs w:val="24"/>
        </w:rPr>
        <w:t>house</w:t>
      </w:r>
      <w:proofErr w:type="spellEnd"/>
      <w:r w:rsidRPr="007C6899">
        <w:rPr>
          <w:rFonts w:ascii="Palatino Linotype" w:hAnsi="Palatino Linotype" w:cs="Times New Roman"/>
          <w:sz w:val="24"/>
          <w:szCs w:val="24"/>
        </w:rPr>
        <w:t xml:space="preserve">. A ribadire la regola di riparto di giurisdizione sono le Sezioni unite, che ricordano come a decidere sia il giudice ordinario, salvo l'ipotesi di concorso con la giurisdizione contabile, tutte le volte in cui emerge un danno </w:t>
      </w:r>
      <w:proofErr w:type="gramStart"/>
      <w:r w:rsidRPr="007C6899">
        <w:rPr>
          <w:rFonts w:ascii="Palatino Linotype" w:hAnsi="Palatino Linotype" w:cs="Times New Roman"/>
          <w:sz w:val="24"/>
          <w:szCs w:val="24"/>
        </w:rPr>
        <w:t xml:space="preserve">erariale </w:t>
      </w:r>
      <w:r w:rsidRPr="007C6899">
        <w:rPr>
          <w:rFonts w:ascii="Palatino Linotype" w:hAnsi="Palatino Linotype" w:cs="Times New Roman"/>
          <w:sz w:val="24"/>
          <w:szCs w:val="24"/>
        </w:rPr>
        <w:footnoteReference w:id="18"/>
      </w:r>
      <w:r w:rsidRPr="007C6899">
        <w:rPr>
          <w:rFonts w:ascii="Palatino Linotype" w:hAnsi="Palatino Linotype" w:cs="Times New Roman"/>
          <w:sz w:val="24"/>
          <w:szCs w:val="24"/>
        </w:rPr>
        <w:t>.</w:t>
      </w:r>
      <w:proofErr w:type="gramEnd"/>
    </w:p>
    <w:p w:rsidR="00F6475B" w:rsidRPr="007C6899" w:rsidRDefault="007C6899" w:rsidP="00505D5D">
      <w:pPr>
        <w:ind w:firstLine="567"/>
        <w:jc w:val="both"/>
        <w:rPr>
          <w:rFonts w:ascii="Palatino Linotype" w:hAnsi="Palatino Linotype" w:cs="Times New Roman"/>
          <w:sz w:val="24"/>
          <w:szCs w:val="24"/>
        </w:rPr>
      </w:pPr>
      <w:r w:rsidRPr="007C6899">
        <w:rPr>
          <w:rFonts w:ascii="Palatino Linotype" w:hAnsi="Palatino Linotype" w:cs="Times New Roman"/>
          <w:sz w:val="24"/>
          <w:szCs w:val="24"/>
        </w:rPr>
        <w:t xml:space="preserve">Analogamente, è stato affermato che </w:t>
      </w:r>
      <w:r w:rsidR="00F6475B" w:rsidRPr="007C6899">
        <w:rPr>
          <w:rFonts w:ascii="Palatino Linotype" w:hAnsi="Palatino Linotype" w:cs="Times New Roman"/>
          <w:sz w:val="24"/>
          <w:szCs w:val="24"/>
        </w:rPr>
        <w:t>il reclutamento del personale</w:t>
      </w:r>
      <w:r w:rsidRPr="007C6899">
        <w:rPr>
          <w:rFonts w:ascii="Palatino Linotype" w:hAnsi="Palatino Linotype" w:cs="Times New Roman"/>
          <w:sz w:val="24"/>
          <w:szCs w:val="24"/>
        </w:rPr>
        <w:t xml:space="preserve"> delle società in </w:t>
      </w:r>
      <w:proofErr w:type="spellStart"/>
      <w:r w:rsidRPr="007C6899">
        <w:rPr>
          <w:rFonts w:ascii="Palatino Linotype" w:hAnsi="Palatino Linotype" w:cs="Times New Roman"/>
          <w:sz w:val="24"/>
          <w:szCs w:val="24"/>
        </w:rPr>
        <w:t>house</w:t>
      </w:r>
      <w:proofErr w:type="spellEnd"/>
      <w:r w:rsidR="00F6475B" w:rsidRPr="007C6899">
        <w:rPr>
          <w:rFonts w:ascii="Palatino Linotype" w:hAnsi="Palatino Linotype" w:cs="Times New Roman"/>
          <w:sz w:val="24"/>
          <w:szCs w:val="24"/>
        </w:rPr>
        <w:t xml:space="preserve">, a seguito dell'entrata in vigore del </w:t>
      </w:r>
      <w:proofErr w:type="spellStart"/>
      <w:r w:rsidR="00F6475B" w:rsidRPr="007C6899">
        <w:rPr>
          <w:rFonts w:ascii="Palatino Linotype" w:hAnsi="Palatino Linotype" w:cs="Times New Roman"/>
          <w:sz w:val="24"/>
          <w:szCs w:val="24"/>
        </w:rPr>
        <w:t>d.l.</w:t>
      </w:r>
      <w:proofErr w:type="spellEnd"/>
      <w:r w:rsidR="00F6475B" w:rsidRPr="007C6899">
        <w:rPr>
          <w:rFonts w:ascii="Palatino Linotype" w:hAnsi="Palatino Linotype" w:cs="Times New Roman"/>
          <w:sz w:val="24"/>
          <w:szCs w:val="24"/>
        </w:rPr>
        <w:t xml:space="preserve"> n. 112 del </w:t>
      </w:r>
      <w:proofErr w:type="gramStart"/>
      <w:r w:rsidR="00F6475B" w:rsidRPr="007C6899">
        <w:rPr>
          <w:rFonts w:ascii="Palatino Linotype" w:hAnsi="Palatino Linotype" w:cs="Times New Roman"/>
          <w:sz w:val="24"/>
          <w:szCs w:val="24"/>
        </w:rPr>
        <w:t>2008 ,</w:t>
      </w:r>
      <w:proofErr w:type="gramEnd"/>
      <w:r w:rsidR="00F6475B" w:rsidRPr="007C6899">
        <w:rPr>
          <w:rFonts w:ascii="Palatino Linotype" w:hAnsi="Palatino Linotype" w:cs="Times New Roman"/>
          <w:sz w:val="24"/>
          <w:szCs w:val="24"/>
        </w:rPr>
        <w:t xml:space="preserve"> </w:t>
      </w:r>
      <w:proofErr w:type="spellStart"/>
      <w:r w:rsidR="00F6475B" w:rsidRPr="007C6899">
        <w:rPr>
          <w:rFonts w:ascii="Palatino Linotype" w:hAnsi="Palatino Linotype" w:cs="Times New Roman"/>
          <w:sz w:val="24"/>
          <w:szCs w:val="24"/>
        </w:rPr>
        <w:t>conv</w:t>
      </w:r>
      <w:proofErr w:type="spellEnd"/>
      <w:r w:rsidR="00F6475B" w:rsidRPr="007C6899">
        <w:rPr>
          <w:rFonts w:ascii="Palatino Linotype" w:hAnsi="Palatino Linotype" w:cs="Times New Roman"/>
          <w:sz w:val="24"/>
          <w:szCs w:val="24"/>
        </w:rPr>
        <w:t xml:space="preserve">. </w:t>
      </w:r>
      <w:proofErr w:type="gramStart"/>
      <w:r w:rsidR="00F6475B" w:rsidRPr="007C6899">
        <w:rPr>
          <w:rFonts w:ascii="Palatino Linotype" w:hAnsi="Palatino Linotype" w:cs="Times New Roman"/>
          <w:sz w:val="24"/>
          <w:szCs w:val="24"/>
        </w:rPr>
        <w:t>con</w:t>
      </w:r>
      <w:proofErr w:type="gramEnd"/>
      <w:r w:rsidR="00F6475B" w:rsidRPr="007C6899">
        <w:rPr>
          <w:rFonts w:ascii="Palatino Linotype" w:hAnsi="Palatino Linotype" w:cs="Times New Roman"/>
          <w:sz w:val="24"/>
          <w:szCs w:val="24"/>
        </w:rPr>
        <w:t xml:space="preserve"> </w:t>
      </w:r>
      <w:proofErr w:type="spellStart"/>
      <w:r w:rsidR="00F6475B" w:rsidRPr="007C6899">
        <w:rPr>
          <w:rFonts w:ascii="Palatino Linotype" w:hAnsi="Palatino Linotype" w:cs="Times New Roman"/>
          <w:sz w:val="24"/>
          <w:szCs w:val="24"/>
        </w:rPr>
        <w:t>modif</w:t>
      </w:r>
      <w:proofErr w:type="spellEnd"/>
      <w:r w:rsidR="00F6475B" w:rsidRPr="007C6899">
        <w:rPr>
          <w:rFonts w:ascii="Palatino Linotype" w:hAnsi="Palatino Linotype" w:cs="Times New Roman"/>
          <w:sz w:val="24"/>
          <w:szCs w:val="24"/>
        </w:rPr>
        <w:t xml:space="preserve">. </w:t>
      </w:r>
      <w:proofErr w:type="gramStart"/>
      <w:r w:rsidR="00F6475B" w:rsidRPr="007C6899">
        <w:rPr>
          <w:rFonts w:ascii="Palatino Linotype" w:hAnsi="Palatino Linotype" w:cs="Times New Roman"/>
          <w:sz w:val="24"/>
          <w:szCs w:val="24"/>
        </w:rPr>
        <w:t>in</w:t>
      </w:r>
      <w:proofErr w:type="gramEnd"/>
      <w:r w:rsidR="00F6475B" w:rsidRPr="007C6899">
        <w:rPr>
          <w:rFonts w:ascii="Palatino Linotype" w:hAnsi="Palatino Linotype" w:cs="Times New Roman"/>
          <w:sz w:val="24"/>
          <w:szCs w:val="24"/>
        </w:rPr>
        <w:t xml:space="preserve"> l. n. 133 del 2008 , nel testo risultante dalle modifiche apportate dalla l. n. 102 del 2009 di conversione del </w:t>
      </w:r>
      <w:proofErr w:type="spellStart"/>
      <w:r w:rsidR="00F6475B" w:rsidRPr="007C6899">
        <w:rPr>
          <w:rFonts w:ascii="Palatino Linotype" w:hAnsi="Palatino Linotype" w:cs="Times New Roman"/>
          <w:sz w:val="24"/>
          <w:szCs w:val="24"/>
        </w:rPr>
        <w:t>d.l.</w:t>
      </w:r>
      <w:proofErr w:type="spellEnd"/>
      <w:r w:rsidR="00F6475B" w:rsidRPr="007C6899">
        <w:rPr>
          <w:rFonts w:ascii="Palatino Linotype" w:hAnsi="Palatino Linotype" w:cs="Times New Roman"/>
          <w:sz w:val="24"/>
          <w:szCs w:val="24"/>
        </w:rPr>
        <w:t xml:space="preserve"> n. 78 del 2009 , avviene secondo i criteri stabiliti dall' art. 35 del d.lgs. n. 165 del 2001 , che impongono l'esperimento di procedure concorsuali o selettive, sicché la violazione di tali disposizioni, aventi carattere imperativo, impedisce la conversione dei rapporti di lavoro a tempo determinato in rapporti a tempo indeterminato</w:t>
      </w:r>
      <w:r w:rsidRPr="007C6899">
        <w:rPr>
          <w:rFonts w:ascii="Palatino Linotype" w:hAnsi="Palatino Linotype" w:cs="Times New Roman"/>
          <w:sz w:val="24"/>
          <w:szCs w:val="24"/>
        </w:rPr>
        <w:t xml:space="preserve"> </w:t>
      </w:r>
      <w:r w:rsidRPr="007C6899">
        <w:rPr>
          <w:rFonts w:ascii="Palatino Linotype" w:hAnsi="Palatino Linotype" w:cs="Times New Roman"/>
          <w:sz w:val="24"/>
          <w:szCs w:val="24"/>
        </w:rPr>
        <w:footnoteReference w:id="19"/>
      </w:r>
      <w:r w:rsidR="00F6475B" w:rsidRPr="007C6899">
        <w:rPr>
          <w:rFonts w:ascii="Palatino Linotype" w:hAnsi="Palatino Linotype" w:cs="Times New Roman"/>
          <w:sz w:val="24"/>
          <w:szCs w:val="24"/>
        </w:rPr>
        <w:t>.</w:t>
      </w:r>
    </w:p>
    <w:p w:rsidR="007C6899" w:rsidRPr="007C6899" w:rsidRDefault="007C6899" w:rsidP="00505D5D">
      <w:pPr>
        <w:ind w:firstLine="567"/>
        <w:jc w:val="both"/>
        <w:rPr>
          <w:rFonts w:ascii="Palatino Linotype" w:hAnsi="Palatino Linotype" w:cs="Times New Roman"/>
          <w:sz w:val="24"/>
          <w:szCs w:val="24"/>
        </w:rPr>
      </w:pPr>
      <w:r w:rsidRPr="007C6899">
        <w:rPr>
          <w:rFonts w:ascii="Palatino Linotype" w:hAnsi="Palatino Linotype" w:cs="Times New Roman"/>
          <w:sz w:val="24"/>
          <w:szCs w:val="24"/>
        </w:rPr>
        <w:t>A fini di certezza delle regole di ingaggio, la giurisprudenza anche amministrativa ha c</w:t>
      </w:r>
      <w:r w:rsidR="00A80ED4" w:rsidRPr="007C6899">
        <w:rPr>
          <w:rFonts w:ascii="Palatino Linotype" w:hAnsi="Palatino Linotype" w:cs="Times New Roman"/>
          <w:sz w:val="24"/>
          <w:szCs w:val="24"/>
        </w:rPr>
        <w:t xml:space="preserve">erca di mettere qualche paletto, </w:t>
      </w:r>
      <w:r w:rsidRPr="007C6899">
        <w:rPr>
          <w:rFonts w:ascii="Palatino Linotype" w:hAnsi="Palatino Linotype" w:cs="Times New Roman"/>
          <w:sz w:val="24"/>
          <w:szCs w:val="24"/>
        </w:rPr>
        <w:t xml:space="preserve">in specie in tema di </w:t>
      </w:r>
      <w:r w:rsidR="00A80ED4" w:rsidRPr="007C6899">
        <w:rPr>
          <w:rFonts w:ascii="Palatino Linotype" w:hAnsi="Palatino Linotype" w:cs="Times New Roman"/>
          <w:sz w:val="24"/>
          <w:szCs w:val="24"/>
        </w:rPr>
        <w:t>rito processuale</w:t>
      </w:r>
      <w:r w:rsidRPr="007C6899">
        <w:rPr>
          <w:rFonts w:ascii="Palatino Linotype" w:hAnsi="Palatino Linotype" w:cs="Times New Roman"/>
          <w:sz w:val="24"/>
          <w:szCs w:val="24"/>
        </w:rPr>
        <w:t xml:space="preserve"> appl</w:t>
      </w:r>
      <w:r w:rsidR="00B12155">
        <w:rPr>
          <w:rFonts w:ascii="Palatino Linotype" w:hAnsi="Palatino Linotype" w:cs="Times New Roman"/>
          <w:sz w:val="24"/>
          <w:szCs w:val="24"/>
        </w:rPr>
        <w:t>icabile, come laddove si è riten</w:t>
      </w:r>
      <w:r w:rsidRPr="007C6899">
        <w:rPr>
          <w:rFonts w:ascii="Palatino Linotype" w:hAnsi="Palatino Linotype" w:cs="Times New Roman"/>
          <w:sz w:val="24"/>
          <w:szCs w:val="24"/>
        </w:rPr>
        <w:t xml:space="preserve">uto che anche le impugnazioni di affidamenti in </w:t>
      </w:r>
      <w:proofErr w:type="spellStart"/>
      <w:r w:rsidRPr="007C6899">
        <w:rPr>
          <w:rFonts w:ascii="Palatino Linotype" w:hAnsi="Palatino Linotype" w:cs="Times New Roman"/>
          <w:sz w:val="24"/>
          <w:szCs w:val="24"/>
        </w:rPr>
        <w:t>house</w:t>
      </w:r>
      <w:proofErr w:type="spellEnd"/>
      <w:r w:rsidRPr="007C6899">
        <w:rPr>
          <w:rFonts w:ascii="Palatino Linotype" w:hAnsi="Palatino Linotype" w:cs="Times New Roman"/>
          <w:sz w:val="24"/>
          <w:szCs w:val="24"/>
        </w:rPr>
        <w:t xml:space="preserve"> di contratti pubblici di lavori servizi e forniture siano soggetti al rito </w:t>
      </w:r>
      <w:proofErr w:type="gramStart"/>
      <w:r w:rsidRPr="007C6899">
        <w:rPr>
          <w:rFonts w:ascii="Palatino Linotype" w:hAnsi="Palatino Linotype" w:cs="Times New Roman"/>
          <w:sz w:val="24"/>
          <w:szCs w:val="24"/>
        </w:rPr>
        <w:t xml:space="preserve">appalti </w:t>
      </w:r>
      <w:r w:rsidRPr="007C6899">
        <w:rPr>
          <w:rFonts w:ascii="Palatino Linotype" w:hAnsi="Palatino Linotype" w:cs="Times New Roman"/>
          <w:sz w:val="24"/>
          <w:szCs w:val="24"/>
        </w:rPr>
        <w:footnoteReference w:id="20"/>
      </w:r>
      <w:r w:rsidRPr="007C6899">
        <w:rPr>
          <w:rFonts w:ascii="Palatino Linotype" w:hAnsi="Palatino Linotype" w:cs="Times New Roman"/>
          <w:sz w:val="24"/>
          <w:szCs w:val="24"/>
        </w:rPr>
        <w:t>.</w:t>
      </w:r>
      <w:proofErr w:type="gramEnd"/>
    </w:p>
    <w:p w:rsidR="00A80ED4" w:rsidRPr="002C78F1" w:rsidRDefault="007C6899"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9 l’importanza della giurisprudenza europea.</w:t>
      </w:r>
    </w:p>
    <w:p w:rsidR="007C6899" w:rsidRPr="00B12155" w:rsidRDefault="007C6899" w:rsidP="00505D5D">
      <w:pPr>
        <w:ind w:firstLine="567"/>
        <w:jc w:val="both"/>
        <w:rPr>
          <w:rFonts w:ascii="Palatino Linotype" w:hAnsi="Palatino Linotype" w:cs="Times New Roman"/>
          <w:sz w:val="24"/>
          <w:szCs w:val="24"/>
        </w:rPr>
      </w:pPr>
      <w:r w:rsidRPr="00B12155">
        <w:rPr>
          <w:rFonts w:ascii="Palatino Linotype" w:hAnsi="Palatino Linotype" w:cs="Times New Roman"/>
          <w:sz w:val="24"/>
          <w:szCs w:val="24"/>
        </w:rPr>
        <w:t xml:space="preserve">Come già evidenziato, il modello attuale di ordinamento europeo comporta una primaria rilevanza, anche in materia, dei principi dettato dalla giurisprudenza sovranazionale. </w:t>
      </w:r>
    </w:p>
    <w:p w:rsidR="00F6475B" w:rsidRPr="00B12155" w:rsidRDefault="007C6899" w:rsidP="00505D5D">
      <w:pPr>
        <w:ind w:firstLine="567"/>
        <w:jc w:val="both"/>
        <w:rPr>
          <w:rFonts w:ascii="Palatino Linotype" w:hAnsi="Palatino Linotype" w:cs="Times New Roman"/>
          <w:sz w:val="24"/>
          <w:szCs w:val="24"/>
        </w:rPr>
      </w:pPr>
      <w:r w:rsidRPr="00B12155">
        <w:rPr>
          <w:rFonts w:ascii="Palatino Linotype" w:hAnsi="Palatino Linotype" w:cs="Times New Roman"/>
          <w:sz w:val="24"/>
          <w:szCs w:val="24"/>
        </w:rPr>
        <w:t xml:space="preserve">In tale contesto la giurisprudenza nazionale, anche laddove opti per la strada del sindacato debole, finisce spesso con l’invocare l’intervento della </w:t>
      </w:r>
      <w:proofErr w:type="gramStart"/>
      <w:r w:rsidRPr="00B12155">
        <w:rPr>
          <w:rFonts w:ascii="Palatino Linotype" w:hAnsi="Palatino Linotype" w:cs="Times New Roman"/>
          <w:sz w:val="24"/>
          <w:szCs w:val="24"/>
        </w:rPr>
        <w:t xml:space="preserve">CGE </w:t>
      </w:r>
      <w:r w:rsidRPr="00B12155">
        <w:rPr>
          <w:rFonts w:ascii="Palatino Linotype" w:hAnsi="Palatino Linotype" w:cs="Times New Roman"/>
          <w:sz w:val="24"/>
          <w:szCs w:val="24"/>
        </w:rPr>
        <w:footnoteReference w:id="21"/>
      </w:r>
      <w:r w:rsidRPr="00B12155">
        <w:rPr>
          <w:rFonts w:ascii="Palatino Linotype" w:hAnsi="Palatino Linotype" w:cs="Times New Roman"/>
          <w:sz w:val="24"/>
          <w:szCs w:val="24"/>
        </w:rPr>
        <w:t>.</w:t>
      </w:r>
      <w:proofErr w:type="gramEnd"/>
      <w:r w:rsidRPr="00B12155">
        <w:rPr>
          <w:rFonts w:ascii="Palatino Linotype" w:hAnsi="Palatino Linotype" w:cs="Times New Roman"/>
          <w:sz w:val="24"/>
          <w:szCs w:val="24"/>
        </w:rPr>
        <w:t xml:space="preserve"> Nella stessa ottica </w:t>
      </w:r>
      <w:r w:rsidRPr="00B12155">
        <w:rPr>
          <w:rFonts w:ascii="Palatino Linotype" w:hAnsi="Palatino Linotype" w:cs="Times New Roman"/>
          <w:sz w:val="24"/>
          <w:szCs w:val="24"/>
        </w:rPr>
        <w:lastRenderedPageBreak/>
        <w:t xml:space="preserve">anche il Consiglio di Stato, quale Giudice di ultima istanza, </w:t>
      </w:r>
      <w:r w:rsidR="00B12155" w:rsidRPr="00B12155">
        <w:rPr>
          <w:rFonts w:ascii="Palatino Linotype" w:hAnsi="Palatino Linotype" w:cs="Times New Roman"/>
          <w:sz w:val="24"/>
          <w:szCs w:val="24"/>
        </w:rPr>
        <w:t>sempre più di frequente chiede l’intervento definitivo della stessa Corte, come ad esempio in ordine ad</w:t>
      </w:r>
      <w:r w:rsidR="00F6475B" w:rsidRPr="00B12155">
        <w:rPr>
          <w:rFonts w:ascii="Palatino Linotype" w:hAnsi="Palatino Linotype" w:cs="Times New Roman"/>
          <w:sz w:val="24"/>
          <w:szCs w:val="24"/>
        </w:rPr>
        <w:t xml:space="preserve"> una questione interpretativa concernente l’affidamento diretto del servizio di trasporto pubblico locale, nelle ipotesi c.d. de </w:t>
      </w:r>
      <w:proofErr w:type="spellStart"/>
      <w:r w:rsidR="00F6475B" w:rsidRPr="00B12155">
        <w:rPr>
          <w:rFonts w:ascii="Palatino Linotype" w:hAnsi="Palatino Linotype" w:cs="Times New Roman"/>
          <w:sz w:val="24"/>
          <w:szCs w:val="24"/>
        </w:rPr>
        <w:t>minimis</w:t>
      </w:r>
      <w:proofErr w:type="spellEnd"/>
      <w:r w:rsidR="00F6475B" w:rsidRPr="00B12155">
        <w:rPr>
          <w:rFonts w:ascii="Palatino Linotype" w:hAnsi="Palatino Linotype" w:cs="Times New Roman"/>
          <w:sz w:val="24"/>
          <w:szCs w:val="24"/>
        </w:rPr>
        <w:t xml:space="preserve"> di cui all’art. 5, par. n. 4, del Regolamento CE 23 ottobre 2017, n. </w:t>
      </w:r>
      <w:proofErr w:type="gramStart"/>
      <w:r w:rsidR="00F6475B" w:rsidRPr="00B12155">
        <w:rPr>
          <w:rFonts w:ascii="Palatino Linotype" w:hAnsi="Palatino Linotype" w:cs="Times New Roman"/>
          <w:sz w:val="24"/>
          <w:szCs w:val="24"/>
        </w:rPr>
        <w:t>1370</w:t>
      </w:r>
      <w:r w:rsidR="00B12155" w:rsidRPr="00B12155">
        <w:rPr>
          <w:rFonts w:ascii="Palatino Linotype" w:hAnsi="Palatino Linotype" w:cs="Times New Roman"/>
          <w:sz w:val="24"/>
          <w:szCs w:val="24"/>
        </w:rPr>
        <w:t xml:space="preserve"> </w:t>
      </w:r>
      <w:r w:rsidR="00B12155" w:rsidRPr="00B12155">
        <w:rPr>
          <w:rFonts w:ascii="Palatino Linotype" w:hAnsi="Palatino Linotype" w:cs="Times New Roman"/>
          <w:sz w:val="24"/>
          <w:szCs w:val="24"/>
        </w:rPr>
        <w:footnoteReference w:id="22"/>
      </w:r>
      <w:r w:rsidR="00F6475B" w:rsidRPr="00B12155">
        <w:rPr>
          <w:rFonts w:ascii="Palatino Linotype" w:hAnsi="Palatino Linotype" w:cs="Times New Roman"/>
          <w:sz w:val="24"/>
          <w:szCs w:val="24"/>
        </w:rPr>
        <w:t>.</w:t>
      </w:r>
      <w:proofErr w:type="gramEnd"/>
    </w:p>
    <w:p w:rsidR="00D6487A" w:rsidRPr="00505D5D" w:rsidRDefault="00B12155"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Dal canto suo la Corte cerca di dare il proprio apporto, dopo gli anni di delimitazione dell’istituto, fornendo ad esempio ulteriori</w:t>
      </w:r>
      <w:r w:rsidR="00D6487A" w:rsidRPr="003F4677">
        <w:rPr>
          <w:rFonts w:ascii="Palatino Linotype" w:eastAsia="Times New Roman" w:hAnsi="Palatino Linotype" w:cs="Times New Roman"/>
          <w:b/>
          <w:bCs/>
          <w:sz w:val="24"/>
          <w:szCs w:val="24"/>
          <w:lang w:eastAsia="it-IT"/>
        </w:rPr>
        <w:t xml:space="preserve"> </w:t>
      </w:r>
      <w:r w:rsidR="00D6487A" w:rsidRPr="00B12155">
        <w:rPr>
          <w:rFonts w:ascii="Palatino Linotype" w:eastAsia="Times New Roman" w:hAnsi="Palatino Linotype" w:cs="Times New Roman"/>
          <w:bCs/>
          <w:sz w:val="24"/>
          <w:szCs w:val="24"/>
          <w:lang w:eastAsia="it-IT"/>
        </w:rPr>
        <w:t xml:space="preserve">chiarimenti circa il requisito della c.d. attività prevalente necessario per individuare un legittimo affidamento </w:t>
      </w:r>
      <w:r w:rsidR="00D6487A" w:rsidRPr="00B12155">
        <w:rPr>
          <w:rFonts w:ascii="Palatino Linotype" w:eastAsia="Times New Roman" w:hAnsi="Palatino Linotype" w:cs="Times New Roman"/>
          <w:bCs/>
          <w:iCs/>
          <w:sz w:val="24"/>
          <w:szCs w:val="24"/>
          <w:lang w:eastAsia="it-IT"/>
        </w:rPr>
        <w:t xml:space="preserve">in </w:t>
      </w:r>
      <w:proofErr w:type="spellStart"/>
      <w:r w:rsidR="00D6487A" w:rsidRPr="00B12155">
        <w:rPr>
          <w:rFonts w:ascii="Palatino Linotype" w:eastAsia="Times New Roman" w:hAnsi="Palatino Linotype" w:cs="Times New Roman"/>
          <w:bCs/>
          <w:iCs/>
          <w:sz w:val="24"/>
          <w:szCs w:val="24"/>
          <w:lang w:eastAsia="it-IT"/>
        </w:rPr>
        <w:t>house</w:t>
      </w:r>
      <w:proofErr w:type="spellEnd"/>
      <w:r w:rsidRPr="00B12155">
        <w:rPr>
          <w:rFonts w:ascii="Palatino Linotype" w:eastAsia="Times New Roman" w:hAnsi="Palatino Linotype" w:cs="Times New Roman"/>
          <w:bCs/>
          <w:iCs/>
          <w:sz w:val="24"/>
          <w:szCs w:val="24"/>
          <w:lang w:eastAsia="it-IT"/>
        </w:rPr>
        <w:t xml:space="preserve"> </w:t>
      </w:r>
      <w:r w:rsidRPr="00B12155">
        <w:rPr>
          <w:rFonts w:ascii="Palatino Linotype" w:eastAsia="Times New Roman" w:hAnsi="Palatino Linotype" w:cs="Times New Roman"/>
          <w:bCs/>
          <w:sz w:val="24"/>
          <w:szCs w:val="24"/>
          <w:lang w:eastAsia="it-IT"/>
        </w:rPr>
        <w:t xml:space="preserve">con la </w:t>
      </w:r>
      <w:proofErr w:type="gramStart"/>
      <w:r w:rsidRPr="00B12155">
        <w:rPr>
          <w:rFonts w:ascii="Palatino Linotype" w:eastAsia="Times New Roman" w:hAnsi="Palatino Linotype" w:cs="Times New Roman"/>
          <w:bCs/>
          <w:sz w:val="24"/>
          <w:szCs w:val="24"/>
          <w:lang w:eastAsia="it-IT"/>
        </w:rPr>
        <w:t xml:space="preserve">sentenza </w:t>
      </w:r>
      <w:r w:rsidRPr="00B12155">
        <w:rPr>
          <w:rStyle w:val="Rimandonotaapidipagina"/>
          <w:rFonts w:ascii="Palatino Linotype" w:eastAsia="Times New Roman" w:hAnsi="Palatino Linotype" w:cs="Times New Roman"/>
          <w:bCs/>
          <w:sz w:val="24"/>
          <w:szCs w:val="24"/>
          <w:lang w:eastAsia="it-IT"/>
        </w:rPr>
        <w:footnoteReference w:id="23"/>
      </w:r>
      <w:r w:rsidR="00452990">
        <w:rPr>
          <w:rFonts w:ascii="Palatino Linotype" w:eastAsia="Times New Roman" w:hAnsi="Palatino Linotype" w:cs="Times New Roman"/>
          <w:bCs/>
          <w:sz w:val="24"/>
          <w:szCs w:val="24"/>
          <w:lang w:eastAsia="it-IT"/>
        </w:rPr>
        <w:t xml:space="preserve"> </w:t>
      </w:r>
      <w:r w:rsidRPr="00B12155">
        <w:rPr>
          <w:rFonts w:ascii="Palatino Linotype" w:eastAsia="Times New Roman" w:hAnsi="Palatino Linotype" w:cs="Times New Roman"/>
          <w:bCs/>
          <w:sz w:val="24"/>
          <w:szCs w:val="24"/>
          <w:lang w:eastAsia="it-IT"/>
        </w:rPr>
        <w:t>resa</w:t>
      </w:r>
      <w:proofErr w:type="gramEnd"/>
      <w:r w:rsidRPr="00B12155">
        <w:rPr>
          <w:rFonts w:ascii="Palatino Linotype" w:eastAsia="Times New Roman" w:hAnsi="Palatino Linotype" w:cs="Times New Roman"/>
          <w:bCs/>
          <w:sz w:val="24"/>
          <w:szCs w:val="24"/>
          <w:lang w:eastAsia="it-IT"/>
        </w:rPr>
        <w:t xml:space="preserve"> in </w:t>
      </w:r>
      <w:r w:rsidRPr="00B12155">
        <w:rPr>
          <w:rFonts w:ascii="Palatino Linotype" w:eastAsia="Times New Roman" w:hAnsi="Palatino Linotype" w:cs="Times New Roman"/>
          <w:sz w:val="24"/>
          <w:szCs w:val="24"/>
          <w:lang w:eastAsia="it-IT"/>
        </w:rPr>
        <w:t xml:space="preserve">decisione di una questione rimessa dal Consiglio di Stato (ordinanza sez. V, 20 </w:t>
      </w:r>
      <w:r w:rsidRPr="00505D5D">
        <w:rPr>
          <w:rFonts w:ascii="Palatino Linotype" w:hAnsi="Palatino Linotype" w:cs="Times New Roman"/>
          <w:sz w:val="24"/>
          <w:szCs w:val="24"/>
        </w:rPr>
        <w:t>ottobre 2015 n. 4973)</w:t>
      </w:r>
      <w:r w:rsidR="00D6487A" w:rsidRPr="00505D5D">
        <w:rPr>
          <w:rFonts w:ascii="Palatino Linotype" w:hAnsi="Palatino Linotype" w:cs="Times New Roman"/>
          <w:sz w:val="24"/>
          <w:szCs w:val="24"/>
        </w:rPr>
        <w:t>.</w:t>
      </w:r>
    </w:p>
    <w:p w:rsidR="00452990" w:rsidRPr="00505D5D" w:rsidRDefault="00B12155"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Tale pronuncia è apparsa </w:t>
      </w:r>
      <w:r w:rsidR="00D6487A" w:rsidRPr="00505D5D">
        <w:rPr>
          <w:rFonts w:ascii="Palatino Linotype" w:hAnsi="Palatino Linotype" w:cs="Times New Roman"/>
          <w:sz w:val="24"/>
          <w:szCs w:val="24"/>
        </w:rPr>
        <w:t>particolarmente rilevante per l’ordinamento nazionale,</w:t>
      </w:r>
      <w:r w:rsidR="00452990" w:rsidRPr="00505D5D">
        <w:rPr>
          <w:rFonts w:ascii="Palatino Linotype" w:hAnsi="Palatino Linotype" w:cs="Times New Roman"/>
          <w:sz w:val="24"/>
          <w:szCs w:val="24"/>
        </w:rPr>
        <w:t xml:space="preserve"> in via formale,</w:t>
      </w:r>
      <w:r w:rsidR="00D6487A" w:rsidRPr="00505D5D">
        <w:rPr>
          <w:rFonts w:ascii="Palatino Linotype" w:hAnsi="Palatino Linotype" w:cs="Times New Roman"/>
          <w:sz w:val="24"/>
          <w:szCs w:val="24"/>
        </w:rPr>
        <w:t xml:space="preserve"> a fronte della sopravvenuta declaratoria di </w:t>
      </w:r>
      <w:proofErr w:type="gramStart"/>
      <w:r w:rsidR="00D6487A" w:rsidRPr="00505D5D">
        <w:rPr>
          <w:rFonts w:ascii="Palatino Linotype" w:hAnsi="Palatino Linotype" w:cs="Times New Roman"/>
          <w:sz w:val="24"/>
          <w:szCs w:val="24"/>
        </w:rPr>
        <w:t>incostituzionalità</w:t>
      </w:r>
      <w:r w:rsidRPr="00505D5D">
        <w:rPr>
          <w:rFonts w:ascii="Palatino Linotype" w:hAnsi="Palatino Linotype" w:cs="Times New Roman"/>
          <w:sz w:val="24"/>
          <w:szCs w:val="24"/>
        </w:rPr>
        <w:t xml:space="preserve"> </w:t>
      </w:r>
      <w:r w:rsidRPr="00505D5D">
        <w:footnoteReference w:id="24"/>
      </w:r>
      <w:r w:rsidR="00D6487A" w:rsidRPr="00505D5D">
        <w:rPr>
          <w:rFonts w:ascii="Palatino Linotype" w:hAnsi="Palatino Linotype" w:cs="Times New Roman"/>
          <w:sz w:val="24"/>
          <w:szCs w:val="24"/>
        </w:rPr>
        <w:t>,</w:t>
      </w:r>
      <w:proofErr w:type="gramEnd"/>
      <w:r w:rsidR="00D6487A" w:rsidRPr="00505D5D">
        <w:rPr>
          <w:rFonts w:ascii="Palatino Linotype" w:hAnsi="Palatino Linotype" w:cs="Times New Roman"/>
          <w:sz w:val="24"/>
          <w:szCs w:val="24"/>
        </w:rPr>
        <w:t xml:space="preserve"> per vizi de</w:t>
      </w:r>
      <w:r w:rsidRPr="00505D5D">
        <w:rPr>
          <w:rFonts w:ascii="Palatino Linotype" w:hAnsi="Palatino Linotype" w:cs="Times New Roman"/>
          <w:sz w:val="24"/>
          <w:szCs w:val="24"/>
        </w:rPr>
        <w:t xml:space="preserve">l procedimento di approvazione </w:t>
      </w:r>
      <w:r w:rsidR="00D6487A" w:rsidRPr="00505D5D">
        <w:rPr>
          <w:rFonts w:ascii="Palatino Linotype" w:hAnsi="Palatino Linotype" w:cs="Times New Roman"/>
          <w:sz w:val="24"/>
          <w:szCs w:val="24"/>
        </w:rPr>
        <w:t xml:space="preserve">della l. n. 124 del 2015 (c.d. legge delega Madia), attuata, </w:t>
      </w:r>
      <w:r w:rsidR="00D6487A" w:rsidRPr="00505D5D">
        <w:rPr>
          <w:rFonts w:ascii="Palatino Linotype" w:hAnsi="Palatino Linotype" w:cs="Times New Roman"/>
          <w:sz w:val="24"/>
          <w:szCs w:val="24"/>
        </w:rPr>
        <w:lastRenderedPageBreak/>
        <w:t xml:space="preserve">nella parte di interesse (disciplina della società pubbliche e, in particolare, </w:t>
      </w:r>
      <w:proofErr w:type="spellStart"/>
      <w:r w:rsidR="00D6487A" w:rsidRPr="00505D5D">
        <w:rPr>
          <w:rFonts w:ascii="Palatino Linotype" w:hAnsi="Palatino Linotype" w:cs="Times New Roman"/>
          <w:sz w:val="24"/>
          <w:szCs w:val="24"/>
        </w:rPr>
        <w:t>dell’in</w:t>
      </w:r>
      <w:proofErr w:type="spellEnd"/>
      <w:r w:rsidR="00D6487A" w:rsidRPr="00505D5D">
        <w:rPr>
          <w:rFonts w:ascii="Palatino Linotype" w:hAnsi="Palatino Linotype" w:cs="Times New Roman"/>
          <w:sz w:val="24"/>
          <w:szCs w:val="24"/>
        </w:rPr>
        <w:t xml:space="preserve"> </w:t>
      </w:r>
      <w:proofErr w:type="spellStart"/>
      <w:r w:rsidR="00D6487A" w:rsidRPr="00505D5D">
        <w:rPr>
          <w:rFonts w:ascii="Palatino Linotype" w:hAnsi="Palatino Linotype" w:cs="Times New Roman"/>
          <w:sz w:val="24"/>
          <w:szCs w:val="24"/>
        </w:rPr>
        <w:t>house</w:t>
      </w:r>
      <w:proofErr w:type="spellEnd"/>
      <w:r w:rsidR="00D6487A" w:rsidRPr="00505D5D">
        <w:rPr>
          <w:rFonts w:ascii="Palatino Linotype" w:hAnsi="Palatino Linotype" w:cs="Times New Roman"/>
          <w:sz w:val="24"/>
          <w:szCs w:val="24"/>
        </w:rPr>
        <w:t xml:space="preserve">), dagli artt. 2, co.1, </w:t>
      </w:r>
      <w:proofErr w:type="spellStart"/>
      <w:r w:rsidR="00D6487A" w:rsidRPr="00505D5D">
        <w:rPr>
          <w:rFonts w:ascii="Palatino Linotype" w:hAnsi="Palatino Linotype" w:cs="Times New Roman"/>
          <w:sz w:val="24"/>
          <w:szCs w:val="24"/>
        </w:rPr>
        <w:t>lett</w:t>
      </w:r>
      <w:proofErr w:type="spellEnd"/>
      <w:r w:rsidR="00D6487A" w:rsidRPr="00505D5D">
        <w:rPr>
          <w:rFonts w:ascii="Palatino Linotype" w:hAnsi="Palatino Linotype" w:cs="Times New Roman"/>
          <w:sz w:val="24"/>
          <w:szCs w:val="24"/>
        </w:rPr>
        <w:t>. o)</w:t>
      </w:r>
      <w:r w:rsidRPr="00505D5D">
        <w:rPr>
          <w:rFonts w:ascii="Palatino Linotype" w:hAnsi="Palatino Linotype" w:cs="Times New Roman"/>
          <w:sz w:val="24"/>
          <w:szCs w:val="24"/>
        </w:rPr>
        <w:t>, e 16, d.lgs. n. 175 del 2016</w:t>
      </w:r>
      <w:r w:rsidR="00D6487A" w:rsidRPr="00505D5D">
        <w:rPr>
          <w:rFonts w:ascii="Palatino Linotype" w:hAnsi="Palatino Linotype" w:cs="Times New Roman"/>
          <w:sz w:val="24"/>
          <w:szCs w:val="24"/>
        </w:rPr>
        <w:t xml:space="preserve">. </w:t>
      </w:r>
    </w:p>
    <w:p w:rsidR="00D6487A" w:rsidRPr="00505D5D" w:rsidRDefault="00452990"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In termini sostanziali, peraltro, l’interesse deriva dal fatto di trovarsi a cavallo fra vecchia e nuova disciplina, </w:t>
      </w:r>
      <w:proofErr w:type="spellStart"/>
      <w:r w:rsidRPr="00505D5D">
        <w:rPr>
          <w:rFonts w:ascii="Palatino Linotype" w:hAnsi="Palatino Linotype" w:cs="Times New Roman"/>
          <w:sz w:val="24"/>
          <w:szCs w:val="24"/>
        </w:rPr>
        <w:t>cosicchè</w:t>
      </w:r>
      <w:proofErr w:type="spellEnd"/>
      <w:r w:rsidRPr="00505D5D">
        <w:rPr>
          <w:rFonts w:ascii="Palatino Linotype" w:hAnsi="Palatino Linotype" w:cs="Times New Roman"/>
          <w:sz w:val="24"/>
          <w:szCs w:val="24"/>
        </w:rPr>
        <w:t xml:space="preserve"> la Corte, pur trovandosi ad applicare i propri precedenti principi, ha modo di procedere ad una prima verifica di confronto rispetto alle novità normative. Ciò appare di particolare interesse in quanto anche la CGE si trova ad affrontare quello che costituisce problematica costante per i giudici nazionali.</w:t>
      </w:r>
    </w:p>
    <w:p w:rsidR="00B12155" w:rsidRPr="00505D5D" w:rsidRDefault="00B12155"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In particolare, la fattispecie concreta rimessa alla Corte UE nasceva dall’impugnativa, da parte di un’impresa di settore, di una delibera comunale che, ritenendo sussistenti i presupposti per l'affidamento 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ad una società a partecipazione pubblica, assegnava alla stessa un appalto del servizio di gestione del ciclo integrato dei rifiuti urbani.</w:t>
      </w:r>
      <w:r w:rsidR="00DB397E" w:rsidRPr="00505D5D">
        <w:rPr>
          <w:rFonts w:ascii="Palatino Linotype" w:hAnsi="Palatino Linotype" w:cs="Times New Roman"/>
          <w:sz w:val="24"/>
          <w:szCs w:val="24"/>
        </w:rPr>
        <w:t xml:space="preserve"> </w:t>
      </w:r>
      <w:r w:rsidRPr="00505D5D">
        <w:rPr>
          <w:rFonts w:ascii="Palatino Linotype" w:hAnsi="Palatino Linotype" w:cs="Times New Roman"/>
          <w:sz w:val="24"/>
          <w:szCs w:val="24"/>
        </w:rPr>
        <w:t xml:space="preserve">L’ordinanza di rimessione dopo aver svolto un esame ricostruttivo del panorama normativo italiano e della giurisprudenza europea in tema di 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al fine di risolvere la controversia sottoponeva alla </w:t>
      </w:r>
      <w:proofErr w:type="spellStart"/>
      <w:r w:rsidRPr="00505D5D">
        <w:rPr>
          <w:rFonts w:ascii="Palatino Linotype" w:hAnsi="Palatino Linotype" w:cs="Times New Roman"/>
          <w:sz w:val="24"/>
          <w:szCs w:val="24"/>
        </w:rPr>
        <w:t>Cge</w:t>
      </w:r>
      <w:proofErr w:type="spellEnd"/>
      <w:r w:rsidRPr="00505D5D">
        <w:rPr>
          <w:rFonts w:ascii="Palatino Linotype" w:hAnsi="Palatino Linotype" w:cs="Times New Roman"/>
          <w:sz w:val="24"/>
          <w:szCs w:val="24"/>
        </w:rPr>
        <w:t xml:space="preserve"> i due seguenti quesiti: “se, nel computare l’attività prevalente svolta dall’ente controllato, debba farsi anche riferimento all’attività imposta da un’amministrazione pubblica non socia a favore di enti pubblici non soci”; “se, nel computare l’attività prevalente svolta dall’ente controllato, debba farsi anche riferimento agli affidamenti nei confronti degli enti pubblici soci prima che divenisse effettivo il requisito del cd. </w:t>
      </w:r>
      <w:proofErr w:type="gramStart"/>
      <w:r w:rsidRPr="00505D5D">
        <w:rPr>
          <w:rFonts w:ascii="Palatino Linotype" w:hAnsi="Palatino Linotype" w:cs="Times New Roman"/>
          <w:sz w:val="24"/>
          <w:szCs w:val="24"/>
        </w:rPr>
        <w:t>controllo</w:t>
      </w:r>
      <w:proofErr w:type="gramEnd"/>
      <w:r w:rsidRPr="00505D5D">
        <w:rPr>
          <w:rFonts w:ascii="Palatino Linotype" w:hAnsi="Palatino Linotype" w:cs="Times New Roman"/>
          <w:sz w:val="24"/>
          <w:szCs w:val="24"/>
        </w:rPr>
        <w:t xml:space="preserve"> analogo”.</w:t>
      </w:r>
    </w:p>
    <w:p w:rsidR="00B12155" w:rsidRPr="00505D5D" w:rsidRDefault="00B12155"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La Corte europea, nel formulare i principi formul</w:t>
      </w:r>
      <w:r w:rsidR="00DB397E" w:rsidRPr="00505D5D">
        <w:rPr>
          <w:rFonts w:ascii="Palatino Linotype" w:hAnsi="Palatino Linotype" w:cs="Times New Roman"/>
          <w:sz w:val="24"/>
          <w:szCs w:val="24"/>
        </w:rPr>
        <w:t>ati riassunti nelle due massime, riportate in nota</w:t>
      </w:r>
      <w:r w:rsidRPr="00505D5D">
        <w:rPr>
          <w:rFonts w:ascii="Palatino Linotype" w:hAnsi="Palatino Linotype" w:cs="Times New Roman"/>
          <w:sz w:val="24"/>
          <w:szCs w:val="24"/>
        </w:rPr>
        <w:t xml:space="preserve">, ha preso e le mosse dall’individuazione dell’obiettivo della disciplina in tema di 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w:t>
      </w:r>
      <w:r w:rsidR="00DB397E" w:rsidRPr="00505D5D">
        <w:rPr>
          <w:rFonts w:ascii="Palatino Linotype" w:hAnsi="Palatino Linotype" w:cs="Times New Roman"/>
          <w:sz w:val="24"/>
          <w:szCs w:val="24"/>
        </w:rPr>
        <w:t xml:space="preserve"> </w:t>
      </w:r>
    </w:p>
    <w:p w:rsidR="00B12155" w:rsidRPr="00505D5D" w:rsidRDefault="00B12155"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In proposito ha ribadito che il requisito soggettivo – ovvero che il soggetto cui attribuire l’affidamento diretto svolga l’attività prevalente con l’ente o con gli enti locali che lo controllano - è finalizzato a garantire che la direttiva 2004/18 trovi applicazione anche nel caso in cui un’impresa controllata da uno o più enti sia attiva sul mercato e possa pertanto entrare in concorrenza con altre imprese. </w:t>
      </w:r>
    </w:p>
    <w:p w:rsidR="00DB397E" w:rsidRPr="00505D5D" w:rsidRDefault="00B12155"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Da ciò ne consegue, secondo la Corte,</w:t>
      </w:r>
      <w:r w:rsidR="00DB397E" w:rsidRPr="00505D5D">
        <w:rPr>
          <w:rFonts w:ascii="Palatino Linotype" w:hAnsi="Palatino Linotype" w:cs="Times New Roman"/>
          <w:sz w:val="24"/>
          <w:szCs w:val="24"/>
        </w:rPr>
        <w:t xml:space="preserve"> una serie di corollari.</w:t>
      </w:r>
    </w:p>
    <w:p w:rsidR="00B12155"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In primo luogo, u</w:t>
      </w:r>
      <w:r w:rsidR="00B12155" w:rsidRPr="00505D5D">
        <w:rPr>
          <w:rFonts w:ascii="Palatino Linotype" w:hAnsi="Palatino Linotype" w:cs="Times New Roman"/>
          <w:sz w:val="24"/>
          <w:szCs w:val="24"/>
        </w:rPr>
        <w:t>n’impresa non sia necessariamente privata della libertà di azione per il mero fatto che le decisioni che la riguardano siano prese dall’ente o dagli enti locali che la controllano, se essa può svolgere ancora una parte importante della sua attività economica presso altri operatori; per contro, qualora le prestazioni di detta impresa siano sostanzialmente destinate in via esclusiva all’ente o agli enti locali in questione, appare giustificato che l’impresa di cui trattasi sia sottratta agli obblighi della direttiva 2004/18, i quali sono dettati dall’intento di tutelare una concorrenza che, in tal c</w:t>
      </w:r>
      <w:r w:rsidRPr="00505D5D">
        <w:rPr>
          <w:rFonts w:ascii="Palatino Linotype" w:hAnsi="Palatino Linotype" w:cs="Times New Roman"/>
          <w:sz w:val="24"/>
          <w:szCs w:val="24"/>
        </w:rPr>
        <w:t>aso, non ha più ragion d’essere.</w:t>
      </w:r>
    </w:p>
    <w:p w:rsidR="00B12155"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lastRenderedPageBreak/>
        <w:t>In secondo luogo, q</w:t>
      </w:r>
      <w:r w:rsidR="00B12155" w:rsidRPr="00505D5D">
        <w:rPr>
          <w:rFonts w:ascii="Palatino Linotype" w:hAnsi="Palatino Linotype" w:cs="Times New Roman"/>
          <w:sz w:val="24"/>
          <w:szCs w:val="24"/>
        </w:rPr>
        <w:t xml:space="preserve">ualsiasi attività dell’ente affidatario che sia rivolta a persone diverse da quelle che lo controllano (anche se </w:t>
      </w:r>
      <w:proofErr w:type="spellStart"/>
      <w:r w:rsidR="00B12155" w:rsidRPr="00505D5D">
        <w:rPr>
          <w:rFonts w:ascii="Palatino Linotype" w:hAnsi="Palatino Linotype" w:cs="Times New Roman"/>
          <w:sz w:val="24"/>
          <w:szCs w:val="24"/>
        </w:rPr>
        <w:t>pp.aa</w:t>
      </w:r>
      <w:proofErr w:type="spellEnd"/>
      <w:r w:rsidR="00B12155" w:rsidRPr="00505D5D">
        <w:rPr>
          <w:rFonts w:ascii="Palatino Linotype" w:hAnsi="Palatino Linotype" w:cs="Times New Roman"/>
          <w:sz w:val="24"/>
          <w:szCs w:val="24"/>
        </w:rPr>
        <w:t>.), deve essere considerata come svolta a favore di terzi</w:t>
      </w:r>
      <w:r w:rsidRPr="00505D5D">
        <w:rPr>
          <w:rFonts w:ascii="Palatino Linotype" w:hAnsi="Palatino Linotype" w:cs="Times New Roman"/>
          <w:sz w:val="24"/>
          <w:szCs w:val="24"/>
        </w:rPr>
        <w:t>.</w:t>
      </w:r>
    </w:p>
    <w:p w:rsidR="00B12155"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In terzo luogo, a</w:t>
      </w:r>
      <w:r w:rsidR="00B12155" w:rsidRPr="00505D5D">
        <w:rPr>
          <w:rFonts w:ascii="Palatino Linotype" w:hAnsi="Palatino Linotype" w:cs="Times New Roman"/>
          <w:sz w:val="24"/>
          <w:szCs w:val="24"/>
        </w:rPr>
        <w:t>l fine di stabilire se l’ente affidatario svolga l’attività prevalente per gli enti territoriali che siano suoi soci e che lo controllino, non si deve ricomprendere in tale attività quella imposta a detto ente da un’amministrazione pubblica, non sua socia, a favore di enti territoriali a loro volta non soci di detto ente e che non esercitino su di esso alcun controllo; tale ultima attività deve essere considerata come un’at</w:t>
      </w:r>
      <w:r w:rsidRPr="00505D5D">
        <w:rPr>
          <w:rFonts w:ascii="Palatino Linotype" w:hAnsi="Palatino Linotype" w:cs="Times New Roman"/>
          <w:sz w:val="24"/>
          <w:szCs w:val="24"/>
        </w:rPr>
        <w:t>tività svolta a favore di terzi.</w:t>
      </w:r>
    </w:p>
    <w:p w:rsidR="00B12155"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Infine,</w:t>
      </w:r>
      <w:r w:rsidR="00B12155" w:rsidRPr="00505D5D">
        <w:rPr>
          <w:rFonts w:ascii="Palatino Linotype" w:hAnsi="Palatino Linotype" w:cs="Times New Roman"/>
          <w:sz w:val="24"/>
          <w:szCs w:val="24"/>
        </w:rPr>
        <w:t xml:space="preserve"> per valutare il requisito dello svolgimento dell’attività prevalente, il giudice nazionale deve prendere in considerazione tutte le circostanze del caso di specie, sia qualitative sia </w:t>
      </w:r>
      <w:proofErr w:type="gramStart"/>
      <w:r w:rsidR="00B12155" w:rsidRPr="00505D5D">
        <w:rPr>
          <w:rFonts w:ascii="Palatino Linotype" w:hAnsi="Palatino Linotype" w:cs="Times New Roman"/>
          <w:sz w:val="24"/>
          <w:szCs w:val="24"/>
        </w:rPr>
        <w:t>quantitative</w:t>
      </w:r>
      <w:r w:rsidR="00452990" w:rsidRPr="00505D5D">
        <w:rPr>
          <w:rFonts w:ascii="Palatino Linotype" w:hAnsi="Palatino Linotype" w:cs="Times New Roman"/>
          <w:sz w:val="24"/>
          <w:szCs w:val="24"/>
        </w:rPr>
        <w:t xml:space="preserve"> </w:t>
      </w:r>
      <w:r w:rsidR="00452990" w:rsidRPr="00505D5D">
        <w:footnoteReference w:id="25"/>
      </w:r>
      <w:r w:rsidR="00B12155" w:rsidRPr="00505D5D">
        <w:rPr>
          <w:rFonts w:ascii="Palatino Linotype" w:hAnsi="Palatino Linotype" w:cs="Times New Roman"/>
          <w:sz w:val="24"/>
          <w:szCs w:val="24"/>
        </w:rPr>
        <w:t>.</w:t>
      </w:r>
      <w:proofErr w:type="gramEnd"/>
    </w:p>
    <w:p w:rsidR="00D6487A" w:rsidRPr="00505D5D" w:rsidRDefault="00D6487A"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Nell’ambito di una vasta casistica, nazionale e comunitario, sull’in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w:t>
      </w:r>
      <w:r w:rsidR="00DB397E" w:rsidRPr="00505D5D">
        <w:rPr>
          <w:rFonts w:ascii="Palatino Linotype" w:hAnsi="Palatino Linotype" w:cs="Times New Roman"/>
          <w:sz w:val="24"/>
          <w:szCs w:val="24"/>
        </w:rPr>
        <w:t>sono diverse le pronunce rese negli ultimi anni dalla Corte del Lussemburgo</w:t>
      </w:r>
      <w:r w:rsidR="00505D5D">
        <w:rPr>
          <w:rFonts w:ascii="Palatino Linotype" w:hAnsi="Palatino Linotype" w:cs="Times New Roman"/>
          <w:sz w:val="24"/>
          <w:szCs w:val="24"/>
        </w:rPr>
        <w:t>, oltre a quelle più note e richiamate da tutti gli approfondimenti in materia</w:t>
      </w:r>
      <w:r w:rsidR="00DB397E" w:rsidRPr="00505D5D">
        <w:rPr>
          <w:rFonts w:ascii="Palatino Linotype" w:hAnsi="Palatino Linotype" w:cs="Times New Roman"/>
          <w:sz w:val="24"/>
          <w:szCs w:val="24"/>
        </w:rPr>
        <w:t>.</w:t>
      </w:r>
    </w:p>
    <w:p w:rsidR="00DB397E"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A titolo esemplificativo la sentenza Sez. V, 19 giugno 2014, C-574/12, Centro </w:t>
      </w:r>
      <w:proofErr w:type="spellStart"/>
      <w:r w:rsidRPr="00505D5D">
        <w:rPr>
          <w:rFonts w:ascii="Palatino Linotype" w:hAnsi="Palatino Linotype" w:cs="Times New Roman"/>
          <w:sz w:val="24"/>
          <w:szCs w:val="24"/>
        </w:rPr>
        <w:t>Hospitalar</w:t>
      </w:r>
      <w:proofErr w:type="spellEnd"/>
      <w:r w:rsidRPr="00505D5D">
        <w:rPr>
          <w:rFonts w:ascii="Palatino Linotype" w:hAnsi="Palatino Linotype" w:cs="Times New Roman"/>
          <w:sz w:val="24"/>
          <w:szCs w:val="24"/>
        </w:rPr>
        <w:t xml:space="preserve"> </w:t>
      </w:r>
      <w:r w:rsidRPr="00505D5D">
        <w:footnoteReference w:id="26"/>
      </w:r>
      <w:r w:rsidRPr="00505D5D">
        <w:rPr>
          <w:rFonts w:ascii="Palatino Linotype" w:hAnsi="Palatino Linotype" w:cs="Times New Roman"/>
          <w:sz w:val="24"/>
          <w:szCs w:val="24"/>
        </w:rPr>
        <w:t xml:space="preserve">, secondo cui “qualora l’aggiudicatario di un appalto pubblico sia un’associazione di pubblica utilità senza scopo di lucro che, al momento dell’affidamento di tale appalto, comprende tra i suoi membri non solo enti che fanno parte del settore pubblico, ma anche istituzioni caritative private che svolgono attività senza scopo di lucro, la condizione relativa al «controllo analogo», dettata dalla giurisprudenza della corte affinché l’affidamento di un appalto pubblico possa essere considerato come un’operazione 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non è soddisfatta e pertanto la direttiva 2004/18/Ce del Parlamento europeo e del Consiglio, del 31 marzo 2004, relativa al coordinamento delle procedure di aggiudicazione degli appalti pubblici di lavori, di forniture e di servizi, è applicabile. </w:t>
      </w:r>
    </w:p>
    <w:p w:rsidR="00DB397E"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Sempre la Sez. V, con la sentenza 8 maggio C-15713, </w:t>
      </w:r>
      <w:proofErr w:type="spellStart"/>
      <w:r w:rsidRPr="00505D5D">
        <w:rPr>
          <w:rFonts w:ascii="Palatino Linotype" w:hAnsi="Palatino Linotype" w:cs="Times New Roman"/>
          <w:sz w:val="24"/>
          <w:szCs w:val="24"/>
        </w:rPr>
        <w:t>Technische</w:t>
      </w:r>
      <w:proofErr w:type="spellEnd"/>
      <w:r w:rsidRPr="00505D5D">
        <w:rPr>
          <w:rFonts w:ascii="Palatino Linotype" w:hAnsi="Palatino Linotype" w:cs="Times New Roman"/>
          <w:sz w:val="24"/>
          <w:szCs w:val="24"/>
        </w:rPr>
        <w:t xml:space="preserve"> </w:t>
      </w:r>
      <w:r w:rsidRPr="00505D5D">
        <w:footnoteReference w:id="27"/>
      </w:r>
      <w:r w:rsidRPr="00505D5D">
        <w:rPr>
          <w:rFonts w:ascii="Palatino Linotype" w:hAnsi="Palatino Linotype" w:cs="Times New Roman"/>
          <w:sz w:val="24"/>
          <w:szCs w:val="24"/>
        </w:rPr>
        <w:t xml:space="preserve">, che si è soffermata sulla disciplina del c.d. 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orizzontale, stabilendo che “l’art. 1, par. 2, </w:t>
      </w:r>
      <w:proofErr w:type="spellStart"/>
      <w:r w:rsidRPr="00505D5D">
        <w:rPr>
          <w:rFonts w:ascii="Palatino Linotype" w:hAnsi="Palatino Linotype" w:cs="Times New Roman"/>
          <w:sz w:val="24"/>
          <w:szCs w:val="24"/>
        </w:rPr>
        <w:t>lett</w:t>
      </w:r>
      <w:proofErr w:type="spellEnd"/>
      <w:r w:rsidRPr="00505D5D">
        <w:rPr>
          <w:rFonts w:ascii="Palatino Linotype" w:hAnsi="Palatino Linotype" w:cs="Times New Roman"/>
          <w:sz w:val="24"/>
          <w:szCs w:val="24"/>
        </w:rPr>
        <w:t xml:space="preserve">. a), direttiva 2004/18/Ce del Parlamento europeo e del Consiglio, del 31 marzo 2004, relativa al coordinamento delle procedure di aggiudicazione degli appalti pubblici di lavori, di forniture e di servizi, deve essere interpretato nel senso che un contratto avente ad oggetto la fornitura di prodotti, concluso tra, da un lato, un’università che è un’amministrazione aggiudicatrice ed è controllata nel settore delle sue acquisizioni di prodotti e servizi da uno stato federale tedesco e, dall’altro, un’impresa di diritto privato detenuta dallo stato federale </w:t>
      </w:r>
      <w:r w:rsidRPr="00505D5D">
        <w:rPr>
          <w:rFonts w:ascii="Palatino Linotype" w:hAnsi="Palatino Linotype" w:cs="Times New Roman"/>
          <w:sz w:val="24"/>
          <w:szCs w:val="24"/>
        </w:rPr>
        <w:lastRenderedPageBreak/>
        <w:t>e dagli sati federali tedeschi, compreso detto stato federale, costituisce un appalto pubblico ai sensi della medesima disposizione e, pertanto, deve essere assoggettato alle norme di aggiudicazione di appalti pubblici previste da detta direttiva”.</w:t>
      </w:r>
    </w:p>
    <w:p w:rsidR="00DB397E" w:rsidRPr="00505D5D" w:rsidRDefault="00DB397E"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Non perde di attualità l’interesse per la nota sentenza della Sez. III, 29 novembre 2012, C-182/ e C-183/11, </w:t>
      </w:r>
      <w:proofErr w:type="spellStart"/>
      <w:r w:rsidRPr="00505D5D">
        <w:rPr>
          <w:rFonts w:ascii="Palatino Linotype" w:hAnsi="Palatino Linotype" w:cs="Times New Roman"/>
          <w:sz w:val="24"/>
          <w:szCs w:val="24"/>
        </w:rPr>
        <w:t>Soc</w:t>
      </w:r>
      <w:proofErr w:type="spellEnd"/>
      <w:r w:rsidRPr="00505D5D">
        <w:rPr>
          <w:rFonts w:ascii="Palatino Linotype" w:hAnsi="Palatino Linotype" w:cs="Times New Roman"/>
          <w:sz w:val="24"/>
          <w:szCs w:val="24"/>
        </w:rPr>
        <w:t xml:space="preserve">. </w:t>
      </w:r>
      <w:proofErr w:type="spellStart"/>
      <w:r w:rsidRPr="00505D5D">
        <w:rPr>
          <w:rFonts w:ascii="Palatino Linotype" w:hAnsi="Palatino Linotype" w:cs="Times New Roman"/>
          <w:sz w:val="24"/>
          <w:szCs w:val="24"/>
        </w:rPr>
        <w:t>Econord</w:t>
      </w:r>
      <w:proofErr w:type="spellEnd"/>
      <w:r w:rsidRPr="00505D5D">
        <w:rPr>
          <w:rFonts w:ascii="Palatino Linotype" w:hAnsi="Palatino Linotype" w:cs="Times New Roman"/>
          <w:sz w:val="24"/>
          <w:szCs w:val="24"/>
        </w:rPr>
        <w:t xml:space="preserve"> </w:t>
      </w:r>
      <w:r w:rsidRPr="00505D5D">
        <w:footnoteReference w:id="28"/>
      </w:r>
      <w:r w:rsidRPr="00505D5D">
        <w:rPr>
          <w:rFonts w:ascii="Palatino Linotype" w:hAnsi="Palatino Linotype" w:cs="Times New Roman"/>
          <w:sz w:val="24"/>
          <w:szCs w:val="24"/>
        </w:rPr>
        <w:t>, che ha delineato in modo puntuale le caratteristiche del controllo analogo, chiarendo che tale condizione sussiste quando l’affidatario è assoggettato al controllo effettivo, strutturale e funzionale, dell’amministrazione aggiudicatrice, la quale deve essere in grado di influenzarne in maniera determinante sia gli obiettivi strategici, sia le decisioni maggiormente rilevanti; si è anche puntualizzato che, nell’eventualità in cui l’aggiudicatario sia un ente posseduto in comune da più autorità pubbliche, il controllo analogo può essere esercitato anche congiuntamente.</w:t>
      </w:r>
    </w:p>
    <w:p w:rsidR="00452990" w:rsidRPr="002C78F1" w:rsidRDefault="00505D5D" w:rsidP="00505D5D">
      <w:pPr>
        <w:ind w:firstLine="567"/>
        <w:jc w:val="both"/>
        <w:rPr>
          <w:rFonts w:ascii="Palatino Linotype" w:hAnsi="Palatino Linotype" w:cs="Times New Roman"/>
          <w:b/>
          <w:sz w:val="24"/>
          <w:szCs w:val="24"/>
        </w:rPr>
      </w:pPr>
      <w:r w:rsidRPr="002C78F1">
        <w:rPr>
          <w:rFonts w:ascii="Palatino Linotype" w:hAnsi="Palatino Linotype" w:cs="Times New Roman"/>
          <w:b/>
          <w:sz w:val="24"/>
          <w:szCs w:val="24"/>
        </w:rPr>
        <w:t>10 considerazioni prospettiche.</w:t>
      </w:r>
    </w:p>
    <w:p w:rsidR="00505D5D" w:rsidRPr="00505D5D" w:rsidRDefault="00505D5D"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tema di in </w:t>
      </w:r>
      <w:proofErr w:type="spellStart"/>
      <w:r>
        <w:rPr>
          <w:rFonts w:ascii="Palatino Linotype" w:hAnsi="Palatino Linotype" w:cs="Times New Roman"/>
          <w:sz w:val="24"/>
          <w:szCs w:val="24"/>
        </w:rPr>
        <w:t>house</w:t>
      </w:r>
      <w:proofErr w:type="spellEnd"/>
      <w:r>
        <w:rPr>
          <w:rFonts w:ascii="Palatino Linotype" w:hAnsi="Palatino Linotype" w:cs="Times New Roman"/>
          <w:sz w:val="24"/>
          <w:szCs w:val="24"/>
        </w:rPr>
        <w:t xml:space="preserve"> sarebbe illusorio svolgere qualsiasi considerazione conclusiva. Oltre ad una prassi sempre più complessa, la stessa evoluzione normativa impone di mantenere alta l’attenzione sull’evoluzione dell’istituto</w:t>
      </w:r>
      <w:r w:rsidR="002C78F1">
        <w:rPr>
          <w:rFonts w:ascii="Palatino Linotype" w:hAnsi="Palatino Linotype" w:cs="Times New Roman"/>
          <w:sz w:val="24"/>
          <w:szCs w:val="24"/>
        </w:rPr>
        <w:t xml:space="preserve"> e sulla stessa attualità del modello</w:t>
      </w:r>
      <w:r>
        <w:rPr>
          <w:rFonts w:ascii="Palatino Linotype" w:hAnsi="Palatino Linotype" w:cs="Times New Roman"/>
          <w:sz w:val="24"/>
          <w:szCs w:val="24"/>
        </w:rPr>
        <w:t>.</w:t>
      </w:r>
    </w:p>
    <w:p w:rsidR="00505D5D" w:rsidRDefault="00505D5D" w:rsidP="00505D5D">
      <w:pPr>
        <w:ind w:firstLine="567"/>
        <w:jc w:val="both"/>
        <w:rPr>
          <w:rFonts w:ascii="Palatino Linotype" w:hAnsi="Palatino Linotype" w:cs="Times New Roman"/>
          <w:sz w:val="24"/>
          <w:szCs w:val="24"/>
        </w:rPr>
      </w:pPr>
      <w:r>
        <w:rPr>
          <w:rFonts w:ascii="Palatino Linotype" w:hAnsi="Palatino Linotype" w:cs="Times New Roman"/>
          <w:sz w:val="24"/>
          <w:szCs w:val="24"/>
        </w:rPr>
        <w:t xml:space="preserve">In tale contesto, se per un verso le indicazioni che verranno all’esito dei più recenti rinvii alle Corti superiori assumeranno valore decisivo nel prosieguo dell’analisi </w:t>
      </w:r>
      <w:proofErr w:type="spellStart"/>
      <w:r>
        <w:rPr>
          <w:rFonts w:ascii="Palatino Linotype" w:hAnsi="Palatino Linotype" w:cs="Times New Roman"/>
          <w:sz w:val="24"/>
          <w:szCs w:val="24"/>
        </w:rPr>
        <w:t>dell’in</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house</w:t>
      </w:r>
      <w:proofErr w:type="spellEnd"/>
      <w:r>
        <w:rPr>
          <w:rFonts w:ascii="Palatino Linotype" w:hAnsi="Palatino Linotype" w:cs="Times New Roman"/>
          <w:sz w:val="24"/>
          <w:szCs w:val="24"/>
        </w:rPr>
        <w:t xml:space="preserve">, per un altro verso </w:t>
      </w:r>
      <w:r w:rsidR="00A80ED4" w:rsidRPr="00505D5D">
        <w:rPr>
          <w:rFonts w:ascii="Palatino Linotype" w:hAnsi="Palatino Linotype" w:cs="Times New Roman"/>
          <w:sz w:val="24"/>
          <w:szCs w:val="24"/>
        </w:rPr>
        <w:t>le</w:t>
      </w:r>
      <w:r>
        <w:rPr>
          <w:rFonts w:ascii="Palatino Linotype" w:hAnsi="Palatino Linotype" w:cs="Times New Roman"/>
          <w:sz w:val="24"/>
          <w:szCs w:val="24"/>
        </w:rPr>
        <w:t xml:space="preserve"> stesse </w:t>
      </w:r>
      <w:r w:rsidR="00A80ED4" w:rsidRPr="00505D5D">
        <w:rPr>
          <w:rFonts w:ascii="Palatino Linotype" w:hAnsi="Palatino Linotype" w:cs="Times New Roman"/>
          <w:sz w:val="24"/>
          <w:szCs w:val="24"/>
        </w:rPr>
        <w:t xml:space="preserve">rimessioni da ultimo intervenute costituiscono uno dei tanti aspetti ancora aperti. </w:t>
      </w:r>
    </w:p>
    <w:p w:rsidR="00A80ED4" w:rsidRPr="00505D5D" w:rsidRDefault="00A80ED4"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Oltre al tema dell’estensione della motivazione in ordine alla scelta dell’affidamento diretto e del relativo sindacato, ciò che impegnerà ancora per molto tempo gli operatori del diritto non potrà che essere la verifica nel caso di specie della sussistenza o meno dei necessari presupposti, fra i quali l’elasticità del controllo analogo, specie in caso di controllo frammentato o congiunto, resta il più complesso, al fine di evitare che un presunto controllo analogo a quello tenuto sugli uffici pubblici nasconda un affidamento diretto in violazione dei principi dell’evidenza pubblica. In tale ottica la giurisprudenza, in casi analoghi di nell'in </w:t>
      </w:r>
      <w:proofErr w:type="spellStart"/>
      <w:r w:rsidRPr="00505D5D">
        <w:rPr>
          <w:rFonts w:ascii="Palatino Linotype" w:hAnsi="Palatino Linotype" w:cs="Times New Roman"/>
          <w:sz w:val="24"/>
          <w:szCs w:val="24"/>
        </w:rPr>
        <w:t>house</w:t>
      </w:r>
      <w:proofErr w:type="spellEnd"/>
      <w:r w:rsidRPr="00505D5D">
        <w:rPr>
          <w:rFonts w:ascii="Palatino Linotype" w:hAnsi="Palatino Linotype" w:cs="Times New Roman"/>
          <w:sz w:val="24"/>
          <w:szCs w:val="24"/>
        </w:rPr>
        <w:t xml:space="preserve"> </w:t>
      </w:r>
      <w:proofErr w:type="spellStart"/>
      <w:r w:rsidRPr="00505D5D">
        <w:rPr>
          <w:rFonts w:ascii="Palatino Linotype" w:hAnsi="Palatino Linotype" w:cs="Times New Roman"/>
          <w:sz w:val="24"/>
          <w:szCs w:val="24"/>
        </w:rPr>
        <w:t>pluripartecipato</w:t>
      </w:r>
      <w:proofErr w:type="spellEnd"/>
      <w:r w:rsidRPr="00505D5D">
        <w:rPr>
          <w:rFonts w:ascii="Palatino Linotype" w:hAnsi="Palatino Linotype" w:cs="Times New Roman"/>
          <w:sz w:val="24"/>
          <w:szCs w:val="24"/>
        </w:rPr>
        <w:t xml:space="preserve">, ha evidenziato la necessità che anche le amministrazioni pubbliche, in possesso di partecipazioni di minoranza, debbano poter esercitare il controllo analogo in modo congiunto con le altre, a condizione che siano soddisfatte tutte le seguenti condizioni: a) gli organi decisionali dell'organismo controllato siano composti da rappresentanti di tutti i soci pubblici partecipanti, ovvero siano formati tra soggetti che possono rappresentare più o tutti i soci pubblici partecipanti; b) i soci pubblici siano in grado di esercitare congiuntamente un'influenza determinante sugli obiettivi strategici e sulle decisioni significative </w:t>
      </w:r>
      <w:r w:rsidR="00505D5D">
        <w:rPr>
          <w:rFonts w:ascii="Palatino Linotype" w:hAnsi="Palatino Linotype" w:cs="Times New Roman"/>
          <w:sz w:val="24"/>
          <w:szCs w:val="24"/>
        </w:rPr>
        <w:t xml:space="preserve"> </w:t>
      </w:r>
      <w:r w:rsidRPr="00505D5D">
        <w:rPr>
          <w:rFonts w:ascii="Palatino Linotype" w:hAnsi="Palatino Linotype" w:cs="Times New Roman"/>
          <w:sz w:val="24"/>
          <w:szCs w:val="24"/>
        </w:rPr>
        <w:t xml:space="preserve">dell'organismo controllato; c) l'organismo controllato non persegua interessi contrari a quelli di tutti i soci pubblici partecipanti. </w:t>
      </w:r>
    </w:p>
    <w:p w:rsidR="00A80ED4" w:rsidRPr="00505D5D" w:rsidRDefault="00A80ED4"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lastRenderedPageBreak/>
        <w:t>Un eccessivo allargamento delle maglie rischierebbe di far rientrare dalla finestra ciò che, ragionevolmente, è stato fatto uscire dalla porta: il mito dell’esternalizzazione ad ogni costo.</w:t>
      </w:r>
    </w:p>
    <w:p w:rsidR="00A80ED4" w:rsidRDefault="00A80ED4" w:rsidP="00505D5D">
      <w:pPr>
        <w:ind w:firstLine="567"/>
        <w:jc w:val="both"/>
        <w:rPr>
          <w:rFonts w:ascii="Palatino Linotype" w:hAnsi="Palatino Linotype" w:cs="Times New Roman"/>
          <w:sz w:val="24"/>
          <w:szCs w:val="24"/>
        </w:rPr>
      </w:pPr>
      <w:r w:rsidRPr="00505D5D">
        <w:rPr>
          <w:rFonts w:ascii="Palatino Linotype" w:hAnsi="Palatino Linotype" w:cs="Times New Roman"/>
          <w:sz w:val="24"/>
          <w:szCs w:val="24"/>
        </w:rPr>
        <w:t xml:space="preserve">D’altronde la delicatezza del concetto stesso di controllo è nota, anche oltre il diritto amministrativo dove invero negli ultimi lustri </w:t>
      </w:r>
      <w:r w:rsidR="00505D5D">
        <w:rPr>
          <w:rFonts w:ascii="Palatino Linotype" w:hAnsi="Palatino Linotype" w:cs="Times New Roman"/>
          <w:sz w:val="24"/>
          <w:szCs w:val="24"/>
        </w:rPr>
        <w:t>è parso un po’ affievolirsi, sotto costanti attacchi ordinamentali e non</w:t>
      </w:r>
      <w:r w:rsidRPr="00505D5D">
        <w:rPr>
          <w:rFonts w:ascii="Palatino Linotype" w:hAnsi="Palatino Linotype" w:cs="Times New Roman"/>
          <w:sz w:val="24"/>
          <w:szCs w:val="24"/>
        </w:rPr>
        <w:t>.</w:t>
      </w:r>
      <w:r w:rsidR="00505D5D">
        <w:rPr>
          <w:rFonts w:ascii="Palatino Linotype" w:hAnsi="Palatino Linotype" w:cs="Times New Roman"/>
          <w:sz w:val="24"/>
          <w:szCs w:val="24"/>
        </w:rPr>
        <w:t xml:space="preserve"> A mero titolo esemplificativo</w:t>
      </w:r>
      <w:r w:rsidR="00175996" w:rsidRPr="00505D5D">
        <w:rPr>
          <w:rFonts w:ascii="Palatino Linotype" w:hAnsi="Palatino Linotype" w:cs="Times New Roman"/>
          <w:sz w:val="24"/>
          <w:szCs w:val="24"/>
        </w:rPr>
        <w:t xml:space="preserve">, l’importanza del controllo </w:t>
      </w:r>
      <w:r w:rsidR="00494ADB">
        <w:rPr>
          <w:rFonts w:ascii="Palatino Linotype" w:hAnsi="Palatino Linotype" w:cs="Times New Roman"/>
          <w:sz w:val="24"/>
          <w:szCs w:val="24"/>
        </w:rPr>
        <w:t>è stata</w:t>
      </w:r>
      <w:r w:rsidR="00175996" w:rsidRPr="00505D5D">
        <w:rPr>
          <w:rFonts w:ascii="Palatino Linotype" w:hAnsi="Palatino Linotype" w:cs="Times New Roman"/>
          <w:sz w:val="24"/>
          <w:szCs w:val="24"/>
        </w:rPr>
        <w:t xml:space="preserve"> ricordata anche, seppur in termini critici, </w:t>
      </w:r>
      <w:r w:rsidR="00494ADB">
        <w:rPr>
          <w:rFonts w:ascii="Palatino Linotype" w:hAnsi="Palatino Linotype" w:cs="Times New Roman"/>
          <w:sz w:val="24"/>
          <w:szCs w:val="24"/>
        </w:rPr>
        <w:t>da alcune</w:t>
      </w:r>
      <w:r w:rsidR="00175996" w:rsidRPr="00505D5D">
        <w:rPr>
          <w:rFonts w:ascii="Palatino Linotype" w:hAnsi="Palatino Linotype" w:cs="Times New Roman"/>
          <w:sz w:val="24"/>
          <w:szCs w:val="24"/>
        </w:rPr>
        <w:t xml:space="preserve"> frasi celebri di “campioni” del rispettivo settore, come </w:t>
      </w:r>
      <w:proofErr w:type="spellStart"/>
      <w:r w:rsidR="00175996" w:rsidRPr="00505D5D">
        <w:rPr>
          <w:rFonts w:ascii="Palatino Linotype" w:hAnsi="Palatino Linotype" w:cs="Times New Roman"/>
          <w:sz w:val="24"/>
          <w:szCs w:val="24"/>
        </w:rPr>
        <w:t>Jim</w:t>
      </w:r>
      <w:proofErr w:type="spellEnd"/>
      <w:r w:rsidR="00175996" w:rsidRPr="00505D5D">
        <w:rPr>
          <w:rFonts w:ascii="Palatino Linotype" w:hAnsi="Palatino Linotype" w:cs="Times New Roman"/>
          <w:sz w:val="24"/>
          <w:szCs w:val="24"/>
        </w:rPr>
        <w:t xml:space="preserve"> Morrison (</w:t>
      </w:r>
      <w:r w:rsidR="00505D5D">
        <w:rPr>
          <w:rFonts w:ascii="Palatino Linotype" w:hAnsi="Palatino Linotype" w:cs="Times New Roman"/>
          <w:sz w:val="24"/>
          <w:szCs w:val="24"/>
        </w:rPr>
        <w:t>“</w:t>
      </w:r>
      <w:r w:rsidR="00175996" w:rsidRPr="00505D5D">
        <w:rPr>
          <w:rFonts w:ascii="Palatino Linotype" w:hAnsi="Palatino Linotype" w:cs="Times New Roman"/>
          <w:sz w:val="24"/>
          <w:szCs w:val="24"/>
        </w:rPr>
        <w:t xml:space="preserve">chiunque controlla i media controlla le menti”) e Mario Andretti (“se tutto è sotto controllo stai andando troppo piano”). </w:t>
      </w:r>
      <w:r w:rsidR="00494ADB">
        <w:rPr>
          <w:rFonts w:ascii="Palatino Linotype" w:hAnsi="Palatino Linotype" w:cs="Times New Roman"/>
          <w:sz w:val="24"/>
          <w:szCs w:val="24"/>
        </w:rPr>
        <w:t>Invero, forse</w:t>
      </w:r>
      <w:r w:rsidR="00175996" w:rsidRPr="00505D5D">
        <w:rPr>
          <w:rFonts w:ascii="Palatino Linotype" w:hAnsi="Palatino Linotype" w:cs="Times New Roman"/>
          <w:sz w:val="24"/>
          <w:szCs w:val="24"/>
        </w:rPr>
        <w:t xml:space="preserve"> più coerente ai principi di fondo di un ordinamento moderno </w:t>
      </w:r>
      <w:r w:rsidR="00505D5D">
        <w:rPr>
          <w:rFonts w:ascii="Palatino Linotype" w:hAnsi="Palatino Linotype" w:cs="Times New Roman"/>
          <w:sz w:val="24"/>
          <w:szCs w:val="24"/>
        </w:rPr>
        <w:t>sarebbe</w:t>
      </w:r>
      <w:r w:rsidR="00175996" w:rsidRPr="00505D5D">
        <w:rPr>
          <w:rFonts w:ascii="Palatino Linotype" w:hAnsi="Palatino Linotype" w:cs="Times New Roman"/>
          <w:sz w:val="24"/>
          <w:szCs w:val="24"/>
        </w:rPr>
        <w:t xml:space="preserve"> la citazione, seppure</w:t>
      </w:r>
      <w:r w:rsidR="00505D5D">
        <w:rPr>
          <w:rFonts w:ascii="Palatino Linotype" w:hAnsi="Palatino Linotype" w:cs="Times New Roman"/>
          <w:sz w:val="24"/>
          <w:szCs w:val="24"/>
        </w:rPr>
        <w:t xml:space="preserve"> profondamente</w:t>
      </w:r>
      <w:r w:rsidR="00175996" w:rsidRPr="00505D5D">
        <w:rPr>
          <w:rFonts w:ascii="Palatino Linotype" w:hAnsi="Palatino Linotype" w:cs="Times New Roman"/>
          <w:sz w:val="24"/>
          <w:szCs w:val="24"/>
        </w:rPr>
        <w:t xml:space="preserve"> amara</w:t>
      </w:r>
      <w:r w:rsidR="00494ADB">
        <w:rPr>
          <w:rFonts w:ascii="Palatino Linotype" w:hAnsi="Palatino Linotype" w:cs="Times New Roman"/>
          <w:sz w:val="24"/>
          <w:szCs w:val="24"/>
        </w:rPr>
        <w:t xml:space="preserve"> e di sapore prettamente critico</w:t>
      </w:r>
      <w:r w:rsidR="00175996" w:rsidRPr="00505D5D">
        <w:rPr>
          <w:rFonts w:ascii="Palatino Linotype" w:hAnsi="Palatino Linotype" w:cs="Times New Roman"/>
          <w:sz w:val="24"/>
          <w:szCs w:val="24"/>
        </w:rPr>
        <w:t xml:space="preserve">, di un premio </w:t>
      </w:r>
      <w:proofErr w:type="spellStart"/>
      <w:r w:rsidR="00175996" w:rsidRPr="00505D5D">
        <w:rPr>
          <w:rFonts w:ascii="Palatino Linotype" w:hAnsi="Palatino Linotype" w:cs="Times New Roman"/>
          <w:sz w:val="24"/>
          <w:szCs w:val="24"/>
        </w:rPr>
        <w:t>nobel</w:t>
      </w:r>
      <w:proofErr w:type="spellEnd"/>
      <w:r w:rsidR="00175996" w:rsidRPr="00505D5D">
        <w:rPr>
          <w:rFonts w:ascii="Palatino Linotype" w:hAnsi="Palatino Linotype" w:cs="Times New Roman"/>
          <w:sz w:val="24"/>
          <w:szCs w:val="24"/>
        </w:rPr>
        <w:t xml:space="preserve"> (Dario Fo): “Non dobbiamo permettere ai politici di agire senza controllo”.</w:t>
      </w:r>
    </w:p>
    <w:p w:rsidR="009562DF" w:rsidRDefault="009562DF" w:rsidP="00142C3A">
      <w:pPr>
        <w:ind w:firstLine="567"/>
        <w:jc w:val="right"/>
        <w:rPr>
          <w:rFonts w:ascii="Times New Roman" w:hAnsi="Times New Roman" w:cs="Times New Roman"/>
          <w:sz w:val="28"/>
          <w:szCs w:val="28"/>
        </w:rPr>
      </w:pPr>
    </w:p>
    <w:p w:rsidR="00142C3A" w:rsidRDefault="00142C3A" w:rsidP="00142C3A">
      <w:pPr>
        <w:ind w:firstLine="567"/>
        <w:jc w:val="right"/>
        <w:rPr>
          <w:rFonts w:ascii="Times New Roman" w:hAnsi="Times New Roman" w:cs="Times New Roman"/>
          <w:sz w:val="28"/>
          <w:szCs w:val="28"/>
        </w:rPr>
      </w:pPr>
    </w:p>
    <w:p w:rsidR="00142C3A" w:rsidRDefault="00142C3A" w:rsidP="00142C3A">
      <w:pPr>
        <w:ind w:firstLine="567"/>
        <w:jc w:val="right"/>
        <w:rPr>
          <w:rFonts w:ascii="Times New Roman" w:hAnsi="Times New Roman" w:cs="Times New Roman"/>
          <w:sz w:val="28"/>
          <w:szCs w:val="28"/>
        </w:rPr>
      </w:pPr>
      <w:r>
        <w:rPr>
          <w:rFonts w:ascii="Times New Roman" w:hAnsi="Times New Roman" w:cs="Times New Roman"/>
          <w:sz w:val="28"/>
          <w:szCs w:val="28"/>
        </w:rPr>
        <w:t>Davide Ponte</w:t>
      </w:r>
    </w:p>
    <w:p w:rsidR="00142C3A" w:rsidRDefault="00142C3A" w:rsidP="00142C3A">
      <w:pPr>
        <w:ind w:firstLine="567"/>
        <w:jc w:val="right"/>
        <w:rPr>
          <w:rFonts w:ascii="Times New Roman" w:hAnsi="Times New Roman" w:cs="Times New Roman"/>
          <w:sz w:val="28"/>
          <w:szCs w:val="28"/>
        </w:rPr>
      </w:pPr>
      <w:r>
        <w:rPr>
          <w:rFonts w:ascii="Times New Roman" w:hAnsi="Times New Roman" w:cs="Times New Roman"/>
          <w:sz w:val="28"/>
          <w:szCs w:val="28"/>
        </w:rPr>
        <w:t>Consigliere di Stato</w:t>
      </w:r>
    </w:p>
    <w:p w:rsidR="00142C3A" w:rsidRPr="00142C3A" w:rsidRDefault="00142C3A" w:rsidP="00142C3A">
      <w:pPr>
        <w:ind w:firstLine="567"/>
        <w:rPr>
          <w:rFonts w:ascii="Times New Roman" w:hAnsi="Times New Roman" w:cs="Times New Roman"/>
          <w:sz w:val="28"/>
          <w:szCs w:val="28"/>
        </w:rPr>
      </w:pPr>
      <w:r>
        <w:rPr>
          <w:rFonts w:ascii="Times New Roman" w:hAnsi="Times New Roman" w:cs="Times New Roman"/>
          <w:sz w:val="28"/>
          <w:szCs w:val="28"/>
        </w:rPr>
        <w:t>28 gennaio 2019</w:t>
      </w:r>
      <w:bookmarkStart w:id="0" w:name="_GoBack"/>
      <w:bookmarkEnd w:id="0"/>
    </w:p>
    <w:sectPr w:rsidR="00142C3A" w:rsidRPr="00142C3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444" w:rsidRDefault="00841444" w:rsidP="00F93510">
      <w:pPr>
        <w:spacing w:after="0" w:line="240" w:lineRule="auto"/>
      </w:pPr>
      <w:r>
        <w:separator/>
      </w:r>
    </w:p>
  </w:endnote>
  <w:endnote w:type="continuationSeparator" w:id="0">
    <w:p w:rsidR="00841444" w:rsidRDefault="00841444" w:rsidP="00F9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444" w:rsidRDefault="00841444" w:rsidP="00F93510">
      <w:pPr>
        <w:spacing w:after="0" w:line="240" w:lineRule="auto"/>
      </w:pPr>
      <w:r>
        <w:separator/>
      </w:r>
    </w:p>
  </w:footnote>
  <w:footnote w:type="continuationSeparator" w:id="0">
    <w:p w:rsidR="00841444" w:rsidRDefault="00841444" w:rsidP="00F93510">
      <w:pPr>
        <w:spacing w:after="0" w:line="240" w:lineRule="auto"/>
      </w:pPr>
      <w:r>
        <w:continuationSeparator/>
      </w:r>
    </w:p>
  </w:footnote>
  <w:footnote w:id="1">
    <w:p w:rsidR="00315C71" w:rsidRDefault="00315C71" w:rsidP="008C6B4D">
      <w:pPr>
        <w:pStyle w:val="Testonotaapidipagina"/>
      </w:pPr>
      <w:r>
        <w:rPr>
          <w:rStyle w:val="Rimandonotaapidipagina"/>
        </w:rPr>
        <w:footnoteRef/>
      </w:r>
      <w:r>
        <w:t xml:space="preserve"> </w:t>
      </w:r>
      <w:proofErr w:type="spellStart"/>
      <w:r>
        <w:t>D.Lgs.</w:t>
      </w:r>
      <w:proofErr w:type="spellEnd"/>
      <w:r>
        <w:t xml:space="preserve"> 18/04/2016, n. 50 </w:t>
      </w:r>
    </w:p>
    <w:p w:rsidR="00315C71" w:rsidRDefault="00315C71" w:rsidP="008C6B4D">
      <w:pPr>
        <w:pStyle w:val="Testonotaapidipagina"/>
      </w:pPr>
      <w:r>
        <w:t xml:space="preserve">Codice dei contratti pubblici. </w:t>
      </w:r>
    </w:p>
    <w:p w:rsidR="00315C71" w:rsidRDefault="00315C71" w:rsidP="008C6B4D">
      <w:pPr>
        <w:pStyle w:val="Testonotaapidipagina"/>
      </w:pPr>
      <w:r>
        <w:t xml:space="preserve">Pubblicato nella </w:t>
      </w:r>
      <w:proofErr w:type="spellStart"/>
      <w:r>
        <w:t>Gazz</w:t>
      </w:r>
      <w:proofErr w:type="spellEnd"/>
      <w:r>
        <w:t xml:space="preserve">. Uff. 19 aprile 2016, n. 91, S.O. </w:t>
      </w:r>
    </w:p>
    <w:p w:rsidR="00315C71" w:rsidRDefault="00315C71" w:rsidP="008C6B4D">
      <w:pPr>
        <w:pStyle w:val="Testonotaapidipagina"/>
      </w:pPr>
      <w:r>
        <w:t xml:space="preserve">Art. 5 Principi comuni in materia di esclusione per concessioni, appalti pubblici e accordi tra enti e amministrazioni aggiudicatrici nell'ambito del settore pubblico </w:t>
      </w:r>
    </w:p>
    <w:p w:rsidR="00315C71" w:rsidRDefault="00315C71" w:rsidP="008C6B4D">
      <w:pPr>
        <w:pStyle w:val="Testonotaapidipagina"/>
      </w:pPr>
      <w:r>
        <w:t>In vigore dal 20 maggio 2017</w:t>
      </w:r>
    </w:p>
    <w:p w:rsidR="00315C71" w:rsidRDefault="00315C71" w:rsidP="008C6B4D">
      <w:pPr>
        <w:pStyle w:val="Testonotaapidipagina"/>
      </w:pPr>
      <w:r>
        <w:t>1. Una concessione o un appalto pubblico, nei settori ordinari o speciali, aggiudicati da un'amministrazione aggiudicatrice o da un ente aggiudicatore a una persona giuridica di diritto pubblico o di diritto privato, non rientra nell'ambito di applicazione del presente codice quando sono soddisfatte tutte le seguenti condizioni:</w:t>
      </w:r>
    </w:p>
    <w:p w:rsidR="00315C71" w:rsidRDefault="00315C71" w:rsidP="008C6B4D">
      <w:pPr>
        <w:pStyle w:val="Testonotaapidipagina"/>
      </w:pPr>
      <w:r>
        <w:t xml:space="preserve">a) l'amministrazione aggiudicatrice o l'ente aggiudicatore esercita sulla persona giuridica di cui trattasi un controllo analogo a quello esercitato sui propri servizi; </w:t>
      </w:r>
    </w:p>
    <w:p w:rsidR="00315C71" w:rsidRDefault="00315C71" w:rsidP="008C6B4D">
      <w:pPr>
        <w:pStyle w:val="Testonotaapidipagina"/>
      </w:pPr>
      <w:r>
        <w:t xml:space="preserve">b) oltre l'80 per cento delle attività della persona giuridica controllata è effettuata nello svolgimento dei compiti ad essa affidati dall'amministrazione aggiudicatrice controllante o da altre persone giuridiche controllate dall'amministrazione aggiudicatrice o da un ente aggiudicatore di cui trattasi; </w:t>
      </w:r>
    </w:p>
    <w:p w:rsidR="00315C71" w:rsidRDefault="00315C71" w:rsidP="008C6B4D">
      <w:pPr>
        <w:pStyle w:val="Testonotaapidipagina"/>
      </w:pPr>
      <w:r>
        <w:t xml:space="preserve">c) nella persona giuridica controllata non vi è alcuna partecipazione diretta di capitali privati, ad eccezione di forme di partecipazione di capitali privati le quali non comportano controllo o potere di veto previste dalla legislazione nazionale, in conformità dei trattati, che non esercitano un'influenza determinante sulla persona giuridica controllata (19). </w:t>
      </w:r>
    </w:p>
    <w:p w:rsidR="00315C71" w:rsidRDefault="00315C71" w:rsidP="008C6B4D">
      <w:pPr>
        <w:pStyle w:val="Testonotaapidipagina"/>
      </w:pPr>
      <w:r>
        <w:t>2. Un'amministrazione aggiudicatrice o un ente aggiudicatore esercita su una persona giuridica un controllo analogo a quello esercitato sui propri servizi ai sensi del comma 1, lettera a), qualora essa eserciti un'influenza determinante sia sugli obiettivi strategici che sulle decisioni significative della persona giuridica controllata. Tale controllo può anche essere esercitato da una persona giuridica diversa, a sua volta controllata allo stesso modo dall'amministrazione aggiudicatrice o dall'ente aggiudicatore.</w:t>
      </w:r>
    </w:p>
    <w:p w:rsidR="00315C71" w:rsidRDefault="00315C71" w:rsidP="008C6B4D">
      <w:pPr>
        <w:pStyle w:val="Testonotaapidipagina"/>
      </w:pPr>
      <w:r>
        <w:t>3. Il presente codice non si applica anche quando una persona giuridica controllata che è un'amministrazione aggiudicatrice o un ente aggiudicatore, aggiudica un appalto o una concessione alla propria amministrazione aggiudicatrice o all'ente aggiudicatore controllante o ad un altro soggetto giuridico controllato dalla stessa amministrazione aggiudicatrice o ente aggiudicatore, a condizione che nella persona giuridica alla quale viene aggiudicato l'appalto pubblico non vi sia alcuna partecipazione diretta di capitali privati, ad eccezione di forme di partecipazione di capitali privati che non comportano controllo o potere di veto prescritte dalla legislazione nazionale, in conformità dei trattati, che non esercitano un'influenza determinante sulla persona giuridica controllata.</w:t>
      </w:r>
    </w:p>
    <w:p w:rsidR="00315C71" w:rsidRDefault="00315C71" w:rsidP="008C6B4D">
      <w:pPr>
        <w:pStyle w:val="Testonotaapidipagina"/>
      </w:pPr>
      <w:r>
        <w:t>4. Un'amministrazione aggiudicatrice o un ente aggiudicatore può aggiudicare un appalto pubblico o una concessione senza applicare il presente codice qualora ricorrano le condizioni di cui al comma 1, anche in caso di controllo congiunto.</w:t>
      </w:r>
    </w:p>
    <w:p w:rsidR="00315C71" w:rsidRDefault="00315C71" w:rsidP="008C6B4D">
      <w:pPr>
        <w:pStyle w:val="Testonotaapidipagina"/>
      </w:pPr>
      <w:r>
        <w:t>5. Le amministrazioni aggiudicatrici o gli enti aggiudicatori esercitano su una persona giuridica un controllo congiunto quando sono soddisfatte tutte le seguenti condizioni:</w:t>
      </w:r>
    </w:p>
    <w:p w:rsidR="00315C71" w:rsidRDefault="00315C71" w:rsidP="008C6B4D">
      <w:pPr>
        <w:pStyle w:val="Testonotaapidipagina"/>
      </w:pPr>
      <w:r>
        <w:t xml:space="preserve">a) gli organi decisionali della persona giuridica controllata sono composti da rappresentanti di tutte le amministrazioni aggiudicatrici o enti aggiudicatori partecipanti. Singoli rappresentanti possono rappresentare varie o tutte le amministrazioni aggiudicatrici o enti aggiudicatori partecipanti; </w:t>
      </w:r>
    </w:p>
    <w:p w:rsidR="00315C71" w:rsidRDefault="00315C71" w:rsidP="008C6B4D">
      <w:pPr>
        <w:pStyle w:val="Testonotaapidipagina"/>
      </w:pPr>
      <w:r>
        <w:t xml:space="preserve">b) tali amministrazioni aggiudicatrici o enti aggiudicatori sono in grado di esercitare congiuntamente un'influenza determinante sugli obiettivi strategici e sulle decisioni significative di detta persona giuridica; </w:t>
      </w:r>
    </w:p>
    <w:p w:rsidR="00315C71" w:rsidRDefault="00315C71" w:rsidP="008C6B4D">
      <w:pPr>
        <w:pStyle w:val="Testonotaapidipagina"/>
      </w:pPr>
      <w:r>
        <w:t xml:space="preserve">c) la persona giuridica controllata non persegue interessi contrari a quelli delle amministrazioni aggiudicatrici o degli enti aggiudicatori controllanti. </w:t>
      </w:r>
    </w:p>
    <w:p w:rsidR="00315C71" w:rsidRDefault="00315C71" w:rsidP="008C6B4D">
      <w:pPr>
        <w:pStyle w:val="Testonotaapidipagina"/>
      </w:pPr>
      <w:r>
        <w:t>6. Un accordo concluso esclusivamente tra due o più amministrazioni aggiudicatrici non rientra nell'ambito di applicazione del presente codice, quando sono soddisfatte tutte le seguenti condizioni:</w:t>
      </w:r>
    </w:p>
    <w:p w:rsidR="00315C71" w:rsidRDefault="00315C71" w:rsidP="008C6B4D">
      <w:pPr>
        <w:pStyle w:val="Testonotaapidipagina"/>
      </w:pPr>
      <w:r>
        <w:t xml:space="preserve">a) l'accordo stabilisce o realizza una cooperazione tra le amministrazioni aggiudicatrici o gli enti aggiudicatori partecipanti, finalizzata a garantire che i servizi pubblici che essi sono tenuti a svolgere siano prestati nell'ottica di conseguire gli obiettivi che essi hanno in comune; </w:t>
      </w:r>
    </w:p>
    <w:p w:rsidR="00315C71" w:rsidRDefault="00315C71" w:rsidP="008C6B4D">
      <w:pPr>
        <w:pStyle w:val="Testonotaapidipagina"/>
      </w:pPr>
      <w:r>
        <w:t xml:space="preserve">b) l'attuazione di tale cooperazione è retta esclusivamente da considerazioni inerenti all'interesse pubblico; </w:t>
      </w:r>
    </w:p>
    <w:p w:rsidR="00315C71" w:rsidRDefault="00315C71" w:rsidP="008C6B4D">
      <w:pPr>
        <w:pStyle w:val="Testonotaapidipagina"/>
      </w:pPr>
      <w:r>
        <w:t xml:space="preserve">c) le amministrazioni aggiudicatrici o gli enti aggiudicatori partecipanti svolgono sul mercato aperto meno del 20 per cento delle attività interessate dalla cooperazione. </w:t>
      </w:r>
    </w:p>
    <w:p w:rsidR="00315C71" w:rsidRDefault="00315C71" w:rsidP="008C6B4D">
      <w:pPr>
        <w:pStyle w:val="Testonotaapidipagina"/>
      </w:pPr>
      <w:r>
        <w:t>7. Per determinare la percentuale delle attività di cui al comma 1, lettera b), e al comma 6, lettera c), si prende in considerazione il fatturato totale medio, o una idonea misura alternativa basata sull'attività, quale i costi sostenuti dalla persona giuridica o amministrazione aggiudicatrice o l'ente aggiudicatore nei settori dei servizi, delle forniture e dei lavori per i tre anni precedenti l'aggiudicazione dell'appalto o della concessione.</w:t>
      </w:r>
    </w:p>
    <w:p w:rsidR="00315C71" w:rsidRDefault="00315C71" w:rsidP="008C6B4D">
      <w:pPr>
        <w:pStyle w:val="Testonotaapidipagina"/>
      </w:pPr>
      <w:r>
        <w:t>8. Se, a causa della data di costituzione o di inizio dell'attività della persona giuridica o amministrazione aggiudicatrice o ente aggiudicatore, ovvero a causa della riorganizzazione delle sue attività, il fatturato o la misura alternativa basata sull'attività, quali i costi, non è disponibile per i tre anni precedenti o non è più pertinente, è sufficiente dimostrare, segnatamente in base a proiezioni dell'attività, che la misura dell'attività è credibile.</w:t>
      </w:r>
    </w:p>
    <w:p w:rsidR="00315C71" w:rsidRDefault="00315C71" w:rsidP="008C6B4D">
      <w:pPr>
        <w:pStyle w:val="Testonotaapidipagina"/>
      </w:pPr>
      <w:r>
        <w:t>9. Nei casi in cui le norme vigenti consentono la costituzione di società miste per la realizzazione e gestione di un'opera pubblica o per l'organizzazione e la gestione di un servizio di interesse generale, la scelta del socio privato avviene con procedure di evidenza pubblica.</w:t>
      </w:r>
    </w:p>
    <w:p w:rsidR="00315C71" w:rsidRDefault="00315C71" w:rsidP="008C6B4D">
      <w:pPr>
        <w:pStyle w:val="Testonotaapidipagina"/>
      </w:pPr>
      <w:r>
        <w:t xml:space="preserve">(19) Lettera così modificata dall'art. 6, comma 1, </w:t>
      </w:r>
      <w:proofErr w:type="spellStart"/>
      <w:r>
        <w:t>D.Lgs.</w:t>
      </w:r>
      <w:proofErr w:type="spellEnd"/>
      <w:r>
        <w:t xml:space="preserve"> 19 aprile 2017, n. 56.</w:t>
      </w:r>
    </w:p>
    <w:p w:rsidR="00315C71" w:rsidRDefault="00315C71" w:rsidP="008C6B4D">
      <w:pPr>
        <w:pStyle w:val="Testonotaapidipagina"/>
      </w:pPr>
    </w:p>
    <w:p w:rsidR="00315C71" w:rsidRDefault="00315C71" w:rsidP="008C6B4D">
      <w:pPr>
        <w:pStyle w:val="Testonotaapidipagina"/>
      </w:pPr>
      <w:r>
        <w:t xml:space="preserve">Art. 192 Regime speciale degli affidamenti in </w:t>
      </w:r>
      <w:proofErr w:type="spellStart"/>
      <w:r>
        <w:t>house</w:t>
      </w:r>
      <w:proofErr w:type="spellEnd"/>
      <w:r>
        <w:t xml:space="preserve"> </w:t>
      </w:r>
    </w:p>
    <w:p w:rsidR="00315C71" w:rsidRDefault="00315C71" w:rsidP="008C6B4D">
      <w:pPr>
        <w:pStyle w:val="Testonotaapidipagina"/>
      </w:pPr>
      <w:r>
        <w:t>In vigore dal 20 maggio 2017</w:t>
      </w:r>
    </w:p>
    <w:p w:rsidR="00315C71" w:rsidRDefault="00315C71" w:rsidP="008C6B4D">
      <w:pPr>
        <w:pStyle w:val="Testonotaapidipagina"/>
      </w:pPr>
      <w:r>
        <w:t xml:space="preserve">1. E' istituito presso l'ANAC, anche al fine di garantire adeguati livelli di pubblicità e trasparenza nei contratti pubblici, l'elenco delle amministrazioni aggiudicatrici e degli enti aggiudicatori che operano mediante affidamenti diretti nei confronti di proprie società in </w:t>
      </w:r>
      <w:proofErr w:type="spellStart"/>
      <w:r>
        <w:t>house</w:t>
      </w:r>
      <w:proofErr w:type="spellEnd"/>
      <w:r>
        <w:t xml:space="preserve"> di cui all'articolo 5. L'iscrizione nell'elenco avviene a domanda, dopo che sia stata riscontrata l'esistenza dei requisiti, secondo le modalità e i criteri che l'Autorità definisce con proprio atto. L'Autorità per la raccolta delle informazioni e la verifica dei predetti requisiti opera mediante procedure informatiche, anche attraverso il collegamento, sulla base di apposite convenzioni, con i relativi sistemi in uso presso altre Amministrazioni pubbliche ed altri soggetti operanti nel settore dei contratti pubblici. La domanda di iscrizione consente alle amministrazioni aggiudicatrici e agli enti aggiudicatori sotto la propria responsabilità, di effettuare affidamenti diretti dei contratti all'ente strumentale. Resta fermo l'obbligo di pubblicazione degli atti connessi all'affidamento diretto medesimo secondo quanto previsto al comma 3. (469) (470)</w:t>
      </w:r>
    </w:p>
    <w:p w:rsidR="00315C71" w:rsidRDefault="00315C71" w:rsidP="008C6B4D">
      <w:pPr>
        <w:pStyle w:val="Testonotaapidipagina"/>
      </w:pPr>
      <w:r>
        <w:t xml:space="preserve">2. Ai fini dell'affidamento in </w:t>
      </w:r>
      <w:proofErr w:type="spellStart"/>
      <w:r>
        <w:t>house</w:t>
      </w:r>
      <w:proofErr w:type="spellEnd"/>
      <w:r>
        <w:t xml:space="preserve"> di un contratto avente ad oggetto servizi disponibili sul mercato in regime di concorrenza, le stazioni appaltanti effettuano preventivamente la valutazione sulla congruità economica dell'offerta dei soggetti in </w:t>
      </w:r>
      <w:proofErr w:type="spellStart"/>
      <w:r>
        <w:t>house</w:t>
      </w:r>
      <w:proofErr w:type="spellEnd"/>
      <w:r>
        <w:t>, avuto riguardo all'oggetto e al valore della prestazione, dando conto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p>
    <w:p w:rsidR="00315C71" w:rsidRDefault="00315C71" w:rsidP="008C6B4D">
      <w:pPr>
        <w:pStyle w:val="Testonotaapidipagina"/>
      </w:pPr>
      <w:r>
        <w:t>3. Sul profilo del committente nella sezione Amministrazione trasparente sono pubblicati e aggiornati, in conformità, alle, disposizioni di cui al decreto legislativo 14 marzo 2013, n. 33, in formato open-data, tutti gli atti connessi all'affidamento degli appalti pubblici e dei contratti di concessione tra enti nell'ambito del settore pubblico, ove non secretati ai sensi dell'articolo 162.</w:t>
      </w:r>
    </w:p>
    <w:p w:rsidR="00315C71" w:rsidRDefault="00315C71" w:rsidP="008C6B4D">
      <w:pPr>
        <w:pStyle w:val="Testonotaapidipagina"/>
      </w:pPr>
    </w:p>
    <w:p w:rsidR="00315C71" w:rsidRDefault="00315C71" w:rsidP="008C6B4D">
      <w:pPr>
        <w:pStyle w:val="Testonotaapidipagina"/>
      </w:pPr>
      <w:proofErr w:type="spellStart"/>
      <w:r>
        <w:t>D.Lgs.</w:t>
      </w:r>
      <w:proofErr w:type="spellEnd"/>
      <w:r>
        <w:t xml:space="preserve"> 19/08/2016, n. 175 </w:t>
      </w:r>
    </w:p>
    <w:p w:rsidR="00315C71" w:rsidRDefault="00315C71" w:rsidP="008C6B4D">
      <w:pPr>
        <w:pStyle w:val="Testonotaapidipagina"/>
      </w:pPr>
      <w:r>
        <w:t xml:space="preserve">Testo unico in materia di società a partecipazione pubblica. </w:t>
      </w:r>
    </w:p>
    <w:p w:rsidR="00315C71" w:rsidRDefault="00315C71" w:rsidP="008C6B4D">
      <w:pPr>
        <w:pStyle w:val="Testonotaapidipagina"/>
      </w:pPr>
      <w:r>
        <w:t xml:space="preserve">Pubblicato nella </w:t>
      </w:r>
      <w:proofErr w:type="spellStart"/>
      <w:r>
        <w:t>Gazz</w:t>
      </w:r>
      <w:proofErr w:type="spellEnd"/>
      <w:r>
        <w:t xml:space="preserve">. Uff. 8 settembre 2016, n. 210. </w:t>
      </w:r>
    </w:p>
    <w:p w:rsidR="00315C71" w:rsidRDefault="00315C71" w:rsidP="008C6B4D">
      <w:pPr>
        <w:pStyle w:val="Testonotaapidipagina"/>
      </w:pPr>
      <w:r>
        <w:t xml:space="preserve">Art. 2. Definizioni </w:t>
      </w:r>
    </w:p>
    <w:p w:rsidR="00315C71" w:rsidRDefault="00315C71" w:rsidP="008C6B4D">
      <w:pPr>
        <w:pStyle w:val="Testonotaapidipagina"/>
      </w:pPr>
      <w:r>
        <w:t>In vigore dal 27 giugno 2017</w:t>
      </w:r>
    </w:p>
    <w:p w:rsidR="00315C71" w:rsidRDefault="00315C71" w:rsidP="008C6B4D">
      <w:pPr>
        <w:pStyle w:val="Testonotaapidipagina"/>
      </w:pPr>
      <w:r>
        <w:t>1. Ai fini del presente decreto si intendono per:</w:t>
      </w:r>
    </w:p>
    <w:p w:rsidR="00315C71" w:rsidRDefault="00315C71" w:rsidP="008C6B4D">
      <w:pPr>
        <w:pStyle w:val="Testonotaapidipagina"/>
      </w:pPr>
      <w:r>
        <w:t>…</w:t>
      </w:r>
    </w:p>
    <w:p w:rsidR="00315C71" w:rsidRDefault="00315C71" w:rsidP="008C6B4D">
      <w:pPr>
        <w:pStyle w:val="Testonotaapidipagina"/>
      </w:pPr>
      <w:r>
        <w:t xml:space="preserve">c) «controllo analogo»: la situazione in cui l'amministrazione esercita su una società un controllo analogo a quello esercitato sui propri servizi, esercitando un'influenza determinante sia sugli obiettivi strategici che sulle decisioni significative della società controllata. Tale controllo può anche essere esercitato da una persona giuridica diversa, a sua volta controllata allo stesso modo dall'amministrazione partecipante; </w:t>
      </w:r>
    </w:p>
    <w:p w:rsidR="00315C71" w:rsidRDefault="00315C71" w:rsidP="008C6B4D">
      <w:pPr>
        <w:pStyle w:val="Testonotaapidipagina"/>
      </w:pPr>
      <w:r>
        <w:t xml:space="preserve">d) «controllo analogo congiunto»: la situazione in cui l'amministrazione esercita congiuntamente con altre amministrazioni su una società un controllo analogo a quello esercitato sui propri servizi. La suddetta situazione si verifica al ricorrere delle condizioni di cui all'articolo 5, comma 5, del decreto legislativo 18 aprile 2016, n. 50; </w:t>
      </w:r>
    </w:p>
    <w:p w:rsidR="00315C71" w:rsidRDefault="00315C71" w:rsidP="008C6B4D">
      <w:pPr>
        <w:pStyle w:val="Testonotaapidipagina"/>
      </w:pPr>
      <w:r>
        <w:t>…</w:t>
      </w:r>
    </w:p>
    <w:p w:rsidR="00315C71" w:rsidRDefault="00315C71" w:rsidP="008C6B4D">
      <w:pPr>
        <w:pStyle w:val="Testonotaapidipagina"/>
      </w:pPr>
      <w:r>
        <w:t xml:space="preserve">o) «società in </w:t>
      </w:r>
      <w:proofErr w:type="spellStart"/>
      <w:r>
        <w:t>house</w:t>
      </w:r>
      <w:proofErr w:type="spellEnd"/>
      <w:r>
        <w:t xml:space="preserve">»: le società sulle quali un'amministrazione esercita il controllo analogo o più amministrazioni esercitano il controllo analogo congiunto, nelle quali la partecipazione di capitali privati avviene nelle forme di cui all'articolo 16, comma 1, e che soddisfano il requisito dell'attività prevalente di cui all'articolo 16, comma 3; (6) </w:t>
      </w:r>
    </w:p>
    <w:p w:rsidR="00315C71" w:rsidRDefault="00315C71" w:rsidP="008C6B4D">
      <w:pPr>
        <w:pStyle w:val="Testonotaapidipagina"/>
      </w:pPr>
      <w:r>
        <w:t xml:space="preserve">(6) Lettera così modificata dall'art. 4, comma 1, </w:t>
      </w:r>
      <w:proofErr w:type="spellStart"/>
      <w:r>
        <w:t>lett</w:t>
      </w:r>
      <w:proofErr w:type="spellEnd"/>
      <w:r>
        <w:t xml:space="preserve">. c), </w:t>
      </w:r>
      <w:proofErr w:type="spellStart"/>
      <w:r>
        <w:t>D.Lgs.</w:t>
      </w:r>
      <w:proofErr w:type="spellEnd"/>
      <w:r>
        <w:t xml:space="preserve"> 16 giugno 2017, n. 100, a decorrere dal 27 giugno 2017, ai sensi di quanto disposto dall'art. 22, comma 1, del medesimo </w:t>
      </w:r>
      <w:proofErr w:type="spellStart"/>
      <w:r>
        <w:t>D.Lgs.</w:t>
      </w:r>
      <w:proofErr w:type="spellEnd"/>
      <w:r>
        <w:t xml:space="preserve"> n. 100/2017.</w:t>
      </w:r>
    </w:p>
    <w:p w:rsidR="00315C71" w:rsidRDefault="00315C71" w:rsidP="008C6B4D">
      <w:pPr>
        <w:pStyle w:val="Testonotaapidipagina"/>
      </w:pPr>
    </w:p>
    <w:p w:rsidR="00315C71" w:rsidRDefault="00315C71" w:rsidP="008C6B4D">
      <w:pPr>
        <w:pStyle w:val="Testonotaapidipagina"/>
      </w:pPr>
      <w:r>
        <w:t xml:space="preserve">Art. 4. Finalità perseguibili mediante l'acquisizione e la gestione di partecipazioni pubbliche </w:t>
      </w:r>
    </w:p>
    <w:p w:rsidR="00315C71" w:rsidRDefault="00315C71" w:rsidP="008C6B4D">
      <w:pPr>
        <w:pStyle w:val="Testonotaapidipagina"/>
      </w:pPr>
      <w:r>
        <w:t>In vigore dal 1 gennaio 2018</w:t>
      </w:r>
    </w:p>
    <w:p w:rsidR="00315C71" w:rsidRDefault="00315C71" w:rsidP="008C6B4D">
      <w:pPr>
        <w:pStyle w:val="Testonotaapidipagina"/>
      </w:pPr>
      <w:r>
        <w:t>1. Le amministrazioni pubbliche non possono, direttamente o indirettamente, costituire società aventi per oggetto attività di produzione di beni e servizi non strettamente necessarie per il perseguimento delle proprie finalità istituzionali, né acquisire o mantenere partecipazioni, anche di minoranza, in tali società.</w:t>
      </w:r>
    </w:p>
    <w:p w:rsidR="00315C71" w:rsidRDefault="00315C71" w:rsidP="008C6B4D">
      <w:pPr>
        <w:pStyle w:val="Testonotaapidipagina"/>
      </w:pPr>
      <w:r>
        <w:t>2. Nei limiti di cui al comma 1, le amministrazioni pubbliche possono, direttamente o indirettamente, costituire società e acquisire o mantenere partecipazioni in società esclusivamente per lo svolgimento delle attività sotto indicate:</w:t>
      </w:r>
    </w:p>
    <w:p w:rsidR="00315C71" w:rsidRDefault="00315C71" w:rsidP="008C6B4D">
      <w:pPr>
        <w:pStyle w:val="Testonotaapidipagina"/>
      </w:pPr>
      <w:r>
        <w:t xml:space="preserve">a) produzione di un servizio di interesse generale, ivi inclusa la realizzazione e la gestione delle reti e degli impianti funzionali ai servizi medesimi; </w:t>
      </w:r>
    </w:p>
    <w:p w:rsidR="00315C71" w:rsidRDefault="00315C71" w:rsidP="008C6B4D">
      <w:pPr>
        <w:pStyle w:val="Testonotaapidipagina"/>
      </w:pPr>
      <w:r>
        <w:t xml:space="preserve">b) progettazione e realizzazione di un'opera pubblica sulla base di un accordo di programma fra amministrazioni pubbliche, ai sensi dell'articolo 193 del decreto legislativo n. 50 del 2016; </w:t>
      </w:r>
    </w:p>
    <w:p w:rsidR="00315C71" w:rsidRDefault="00315C71" w:rsidP="008C6B4D">
      <w:pPr>
        <w:pStyle w:val="Testonotaapidipagina"/>
      </w:pPr>
      <w:r>
        <w:t xml:space="preserve">c) realizzazione e gestione di un'opera pubblica ovvero organizzazione e gestione di un servizio d'interesse generale attraverso un contratto di partenariato di cui all'articolo 180 del decreto legislativo n. 50 del 2016, con un imprenditore selezionato con le modalità di cui all'articolo 17, commi 1 e 2; </w:t>
      </w:r>
    </w:p>
    <w:p w:rsidR="00315C71" w:rsidRDefault="00315C71" w:rsidP="008C6B4D">
      <w:pPr>
        <w:pStyle w:val="Testonotaapidipagina"/>
      </w:pPr>
      <w:r>
        <w:t xml:space="preserve">d) autoproduzione di beni o servizi strumentali all'ente o agli enti pubblici partecipanti o allo svolgimento delle loro funzioni, nel rispetto delle condizioni stabilite dalle direttive europee in materia di contratti pubblici e della relativa disciplina nazionale di recepimento; e) servizi di committenza, ivi incluse le attività di committenza ausiliarie, apprestati a supporto di enti senza scopo di lucro e di amministrazioni aggiudicatrici di cui all'articolo 3, comma 1, lettera a), del decreto legislativo n. 50 del 2016. </w:t>
      </w:r>
    </w:p>
    <w:p w:rsidR="00315C71" w:rsidRDefault="00315C71" w:rsidP="008C6B4D">
      <w:pPr>
        <w:pStyle w:val="Testonotaapidipagina"/>
      </w:pPr>
      <w:r>
        <w:t>3. Al solo fine di ottimizzare e valorizzare l'utilizzo di beni immobili facenti parte del proprio patrimonio, le amministrazioni pubbliche possono, altresì, anche in deroga al comma 1, acquisire partecipazioni in società aventi per oggetto sociale esclusivo la valorizzazione del patrimonio delle amministrazioni stesse, tramite il conferimento di beni immobili allo scopo di realizzare un investimento secondo criteri propri di un qualsiasi operatore di mercato.</w:t>
      </w:r>
    </w:p>
    <w:p w:rsidR="00315C71" w:rsidRDefault="00315C71" w:rsidP="008C6B4D">
      <w:pPr>
        <w:pStyle w:val="Testonotaapidipagina"/>
      </w:pPr>
      <w:r>
        <w:t xml:space="preserve">4. Le società in </w:t>
      </w:r>
      <w:proofErr w:type="spellStart"/>
      <w:r>
        <w:t>house</w:t>
      </w:r>
      <w:proofErr w:type="spellEnd"/>
      <w:r>
        <w:t xml:space="preserve"> hanno come oggetto sociale esclusivo una o più delle attività di cui alle lettere a), b), d) ed e) del comma 2. Salvo quanto previsto dall'articolo 16, tali società operano in via prevalente con gli enti costituenti o partecipanti o affidanti.</w:t>
      </w:r>
    </w:p>
    <w:p w:rsidR="00315C71" w:rsidRDefault="00315C71" w:rsidP="008C6B4D">
      <w:pPr>
        <w:pStyle w:val="Testonotaapidipagina"/>
      </w:pPr>
    </w:p>
    <w:p w:rsidR="00315C71" w:rsidRDefault="00315C71" w:rsidP="008C6B4D">
      <w:pPr>
        <w:pStyle w:val="Testonotaapidipagina"/>
      </w:pPr>
      <w:r>
        <w:t>Articolo 11</w:t>
      </w:r>
    </w:p>
    <w:p w:rsidR="00315C71" w:rsidRDefault="00315C71" w:rsidP="008C6B4D">
      <w:pPr>
        <w:pStyle w:val="Testonotaapidipagina"/>
      </w:pPr>
      <w:r>
        <w:t xml:space="preserve">15. Agli organi di amministrazione e controllo delle società in </w:t>
      </w:r>
      <w:proofErr w:type="spellStart"/>
      <w:r>
        <w:t>house</w:t>
      </w:r>
      <w:proofErr w:type="spellEnd"/>
      <w:r>
        <w:t xml:space="preserve"> si applica il decreto-legge 16 maggio 1994, n. 293, convertito, con modificazioni, dalla legge 15 luglio 1994, n. 444.</w:t>
      </w:r>
    </w:p>
    <w:p w:rsidR="00315C71" w:rsidRDefault="00315C71" w:rsidP="008C6B4D">
      <w:pPr>
        <w:pStyle w:val="Testonotaapidipagina"/>
      </w:pPr>
    </w:p>
    <w:p w:rsidR="00315C71" w:rsidRDefault="00315C71" w:rsidP="008C6B4D">
      <w:pPr>
        <w:pStyle w:val="Testonotaapidipagina"/>
      </w:pPr>
      <w:r>
        <w:t xml:space="preserve">Art. 16. Società in </w:t>
      </w:r>
      <w:proofErr w:type="spellStart"/>
      <w:r>
        <w:t>house</w:t>
      </w:r>
      <w:proofErr w:type="spellEnd"/>
      <w:r>
        <w:t xml:space="preserve"> </w:t>
      </w:r>
    </w:p>
    <w:p w:rsidR="00315C71" w:rsidRDefault="00315C71" w:rsidP="008C6B4D">
      <w:pPr>
        <w:pStyle w:val="Testonotaapidipagina"/>
      </w:pPr>
      <w:r>
        <w:t>In vigore dal 27 giugno 2017</w:t>
      </w:r>
    </w:p>
    <w:p w:rsidR="00315C71" w:rsidRDefault="00315C71" w:rsidP="008C6B4D">
      <w:pPr>
        <w:pStyle w:val="Testonotaapidipagina"/>
      </w:pPr>
      <w:r>
        <w:t xml:space="preserve">1. Le società in </w:t>
      </w:r>
      <w:proofErr w:type="spellStart"/>
      <w:r>
        <w:t>house</w:t>
      </w:r>
      <w:proofErr w:type="spellEnd"/>
      <w:r>
        <w:t xml:space="preserve"> ricevono affidamenti diretti di contratti pubblici dalle amministrazioni che esercitano su di esse il controllo analogo o da ciascuna delle amministrazioni che esercitano su di esse il controllo analogo congiunto solo se non vi sia partecipazione di capitali privati, ad eccezione di quella prescritta da norme di legge e che avvenga in forme che non comportino controllo o potere di veto, né l'esercizio di un'influenza determinante sulla società controllata.</w:t>
      </w:r>
    </w:p>
    <w:p w:rsidR="00315C71" w:rsidRDefault="00315C71" w:rsidP="008C6B4D">
      <w:pPr>
        <w:pStyle w:val="Testonotaapidipagina"/>
      </w:pPr>
      <w:r>
        <w:t>2. Ai fini della realizzazione dell'assetto organizzativo di cui al comma 1:</w:t>
      </w:r>
    </w:p>
    <w:p w:rsidR="00315C71" w:rsidRDefault="00315C71" w:rsidP="008C6B4D">
      <w:pPr>
        <w:pStyle w:val="Testonotaapidipagina"/>
      </w:pPr>
      <w:r>
        <w:t xml:space="preserve">a) gli statuti delle società per azioni possono contenere clausole in deroga delle disposizioni dell'articolo 2380-bis e dell'articolo 2409-novies del codice civile; </w:t>
      </w:r>
    </w:p>
    <w:p w:rsidR="00315C71" w:rsidRDefault="00315C71" w:rsidP="008C6B4D">
      <w:pPr>
        <w:pStyle w:val="Testonotaapidipagina"/>
      </w:pPr>
      <w:r>
        <w:t xml:space="preserve">b) gli statuti delle società a responsabilità limitata possono prevedere l'attribuzione all'ente o agli enti pubblici soci di particolari diritti, ai sensi dell'articolo 2468, terzo comma, del codice civile; </w:t>
      </w:r>
    </w:p>
    <w:p w:rsidR="00315C71" w:rsidRDefault="00315C71" w:rsidP="008C6B4D">
      <w:pPr>
        <w:pStyle w:val="Testonotaapidipagina"/>
      </w:pPr>
      <w:r>
        <w:t xml:space="preserve">c) in ogni caso, i requisiti del controllo analogo possono essere acquisiti anche mediante la conclusione di appositi patti parasociali; tali patti possono avere durata superiore a cinque anni, in deroga all'articolo 2341-bis, primo comma, del codice civile. </w:t>
      </w:r>
    </w:p>
    <w:p w:rsidR="00315C71" w:rsidRDefault="00315C71" w:rsidP="008C6B4D">
      <w:pPr>
        <w:pStyle w:val="Testonotaapidipagina"/>
      </w:pPr>
      <w:r>
        <w:t>3. Gli statuti delle società di cui al presente articolo devono prevedere che oltre l'ottanta per cento del loro fatturato sia effettuato nello svolgimento dei compiti a esse affidati dall'ente pubblico o dagli enti pubblici soci. (27)</w:t>
      </w:r>
    </w:p>
    <w:p w:rsidR="00315C71" w:rsidRDefault="00315C71" w:rsidP="008C6B4D">
      <w:pPr>
        <w:pStyle w:val="Testonotaapidipagina"/>
      </w:pPr>
      <w:r>
        <w:t>3-bis. La produzione ulteriore rispetto al limite di fatturato di cui al comma 3, che può essere rivolta anche a finalità diverse, è consentita solo a condizione che la stessa permetta di conseguire economie di scala o altri recuperi di efficienza sul complesso dell'attività principale della società. (28)</w:t>
      </w:r>
    </w:p>
    <w:p w:rsidR="00315C71" w:rsidRDefault="00315C71" w:rsidP="008C6B4D">
      <w:pPr>
        <w:pStyle w:val="Testonotaapidipagina"/>
      </w:pPr>
      <w:r>
        <w:t>4. Il mancato rispetto del limite quantitativo di cui al comma 3 costituisce grave irregolarità ai sensi dell'articolo 2409 del codice civile e dell'articolo 15 del presente decreto.</w:t>
      </w:r>
    </w:p>
    <w:p w:rsidR="00315C71" w:rsidRDefault="00315C71" w:rsidP="008C6B4D">
      <w:pPr>
        <w:pStyle w:val="Testonotaapidipagina"/>
      </w:pPr>
      <w:r>
        <w:t>5. Nel caso di cui al comma 4, la società può sanare l'irregolarità se, entro tre mesi dalla data in cui la stessa si è manifestata, rinunci a una parte dei rapporti con soggetti terzi, sciogliendo i relativi rapporti contrattuali, ovvero rinunci agli affidamenti diretti da parte dell'ente o degli enti pubblici soci, sciogliendo i relativi rapporti. In quest'ultimo caso le attività precedentemente affidate alla società controllata devono essere riaffidate, dall'ente o dagli enti pubblici soci, mediante procedure competitive regolate dalla disciplina in materia di contratti pubblici, entro i sei mesi successivi allo scioglimento del rapporto contrattuale. Nelle more dello svolgimento delle procedure di gara i beni o servizi continueranno ad essere forniti dalla stessa società controllata. (29)</w:t>
      </w:r>
    </w:p>
    <w:p w:rsidR="00315C71" w:rsidRDefault="00315C71" w:rsidP="008C6B4D">
      <w:pPr>
        <w:pStyle w:val="Testonotaapidipagina"/>
      </w:pPr>
      <w:r>
        <w:t>6. Nel caso di rinuncia agli affidamenti diretti, di cui al comma 5, la società può continuare la propria attività se e in quanto sussistano i requisiti di cui all'articolo 4. A seguito della cessazione degli affidamenti diretti, perdono efficacia le clausole statutarie e i patti parasociali finalizzati a realizzare i requisiti del controllo analogo.</w:t>
      </w:r>
    </w:p>
    <w:p w:rsidR="00315C71" w:rsidRDefault="00315C71" w:rsidP="008C6B4D">
      <w:pPr>
        <w:pStyle w:val="Testonotaapidipagina"/>
      </w:pPr>
      <w:r>
        <w:t>7. Le società di cui al presente articolo sono tenute all'acquisto di lavori, beni e servizi secondo la disciplina di cui al decreto legislativo n. 50 del 2016. Resta fermo quanto previsto dagli articoli 5 e 192 del medesimo decreto legislativo n. 50 del 2016. (30)</w:t>
      </w:r>
    </w:p>
    <w:p w:rsidR="00315C71" w:rsidRDefault="00315C71" w:rsidP="008C6B4D">
      <w:pPr>
        <w:pStyle w:val="Testonotaapidipagina"/>
      </w:pPr>
      <w:r>
        <w:t xml:space="preserve">(27) Comma così modificato dall'art. 10, comma 1, </w:t>
      </w:r>
      <w:proofErr w:type="spellStart"/>
      <w:r>
        <w:t>lett</w:t>
      </w:r>
      <w:proofErr w:type="spellEnd"/>
      <w:r>
        <w:t xml:space="preserve">. a), </w:t>
      </w:r>
      <w:proofErr w:type="spellStart"/>
      <w:r>
        <w:t>D.Lgs.</w:t>
      </w:r>
      <w:proofErr w:type="spellEnd"/>
      <w:r>
        <w:t xml:space="preserve"> 16 giugno 2017, n. 100, a decorrere dal 27 giugno 2017, ai sensi di quanto disposto dall'art. 22, comma 1, del medesimo </w:t>
      </w:r>
      <w:proofErr w:type="spellStart"/>
      <w:r>
        <w:t>D.Lgs.</w:t>
      </w:r>
      <w:proofErr w:type="spellEnd"/>
      <w:r>
        <w:t xml:space="preserve"> n. 100/2017. </w:t>
      </w:r>
    </w:p>
    <w:p w:rsidR="00315C71" w:rsidRDefault="00315C71" w:rsidP="008C6B4D">
      <w:pPr>
        <w:pStyle w:val="Testonotaapidipagina"/>
      </w:pPr>
      <w:r>
        <w:t xml:space="preserve">(28) Comma inserito dall'art. 10, comma 1, </w:t>
      </w:r>
      <w:proofErr w:type="spellStart"/>
      <w:r>
        <w:t>lett</w:t>
      </w:r>
      <w:proofErr w:type="spellEnd"/>
      <w:r>
        <w:t xml:space="preserve">. b), </w:t>
      </w:r>
      <w:proofErr w:type="spellStart"/>
      <w:r>
        <w:t>D.Lgs.</w:t>
      </w:r>
      <w:proofErr w:type="spellEnd"/>
      <w:r>
        <w:t xml:space="preserve"> 16 giugno 2017, n. 100, a decorrere dal 27 giugno 2017, ai sensi di quanto disposto dall'art. 22, comma 1, del medesimo </w:t>
      </w:r>
      <w:proofErr w:type="spellStart"/>
      <w:r>
        <w:t>D.Lgs.</w:t>
      </w:r>
      <w:proofErr w:type="spellEnd"/>
      <w:r>
        <w:t xml:space="preserve"> n. 100/2017. </w:t>
      </w:r>
    </w:p>
    <w:p w:rsidR="00315C71" w:rsidRDefault="00315C71" w:rsidP="008C6B4D">
      <w:pPr>
        <w:pStyle w:val="Testonotaapidipagina"/>
      </w:pPr>
      <w:r>
        <w:t xml:space="preserve">(29) Comma così modificato dall'art. 10, comma 1, </w:t>
      </w:r>
      <w:proofErr w:type="spellStart"/>
      <w:r>
        <w:t>lett</w:t>
      </w:r>
      <w:proofErr w:type="spellEnd"/>
      <w:r>
        <w:t xml:space="preserve">. c), </w:t>
      </w:r>
      <w:proofErr w:type="spellStart"/>
      <w:r>
        <w:t>D.Lgs.</w:t>
      </w:r>
      <w:proofErr w:type="spellEnd"/>
      <w:r>
        <w:t xml:space="preserve"> 16 giugno 2017, n. 100, a decorrere dal 27 giugno 2017, ai sensi di quanto disposto dall'art. 22, comma 1, del medesimo </w:t>
      </w:r>
      <w:proofErr w:type="spellStart"/>
      <w:r>
        <w:t>D.Lgs.</w:t>
      </w:r>
      <w:proofErr w:type="spellEnd"/>
      <w:r>
        <w:t xml:space="preserve"> n. 100/2017. </w:t>
      </w:r>
    </w:p>
    <w:p w:rsidR="00315C71" w:rsidRDefault="00315C71" w:rsidP="008C6B4D">
      <w:pPr>
        <w:pStyle w:val="Testonotaapidipagina"/>
      </w:pPr>
      <w:r>
        <w:t xml:space="preserve">(30) Comma così modificato dall'art. 10, comma 1, </w:t>
      </w:r>
      <w:proofErr w:type="spellStart"/>
      <w:r>
        <w:t>lett</w:t>
      </w:r>
      <w:proofErr w:type="spellEnd"/>
      <w:r>
        <w:t xml:space="preserve">. d), </w:t>
      </w:r>
      <w:proofErr w:type="spellStart"/>
      <w:r>
        <w:t>D.Lgs.</w:t>
      </w:r>
      <w:proofErr w:type="spellEnd"/>
      <w:r>
        <w:t xml:space="preserve"> 16 giugno 2017, n. 100, a decorrere dal 27 giugno 2017, ai sensi di quanto disposto dall'art. 22, comma 1, del medesimo </w:t>
      </w:r>
      <w:proofErr w:type="spellStart"/>
      <w:r>
        <w:t>D.Lgs.</w:t>
      </w:r>
      <w:proofErr w:type="spellEnd"/>
      <w:r>
        <w:t xml:space="preserve"> n. 100/2017.</w:t>
      </w:r>
    </w:p>
  </w:footnote>
  <w:footnote w:id="2">
    <w:p w:rsidR="00315C71" w:rsidRDefault="00315C71" w:rsidP="002C78F1">
      <w:pPr>
        <w:pStyle w:val="Testonotaapidipagina"/>
        <w:jc w:val="both"/>
      </w:pPr>
      <w:r>
        <w:rPr>
          <w:rStyle w:val="Rimandonotaapidipagina"/>
        </w:rPr>
        <w:footnoteRef/>
      </w:r>
      <w:r>
        <w:t xml:space="preserve"> Corte </w:t>
      </w:r>
      <w:proofErr w:type="gramStart"/>
      <w:r>
        <w:t>Costituzionale ,</w:t>
      </w:r>
      <w:proofErr w:type="gramEnd"/>
      <w:r>
        <w:t xml:space="preserve"> 25/11/2016 , n. 251, in </w:t>
      </w:r>
      <w:r w:rsidRPr="00121ABC">
        <w:t xml:space="preserve">Foro </w:t>
      </w:r>
      <w:proofErr w:type="spellStart"/>
      <w:r w:rsidRPr="00121ABC">
        <w:t>it</w:t>
      </w:r>
      <w:proofErr w:type="spellEnd"/>
      <w:r w:rsidRPr="00121ABC">
        <w:t xml:space="preserve">. 2017, 2, </w:t>
      </w:r>
      <w:proofErr w:type="gramStart"/>
      <w:r w:rsidRPr="00121ABC">
        <w:t>I ,</w:t>
      </w:r>
      <w:proofErr w:type="gramEnd"/>
      <w:r w:rsidRPr="00121ABC">
        <w:t xml:space="preserve"> 451 </w:t>
      </w:r>
      <w:r>
        <w:t xml:space="preserve">con note di </w:t>
      </w:r>
      <w:r w:rsidRPr="00121ABC">
        <w:t>D'AURIA</w:t>
      </w:r>
      <w:r>
        <w:t xml:space="preserve"> e</w:t>
      </w:r>
      <w:r w:rsidRPr="00121ABC">
        <w:t xml:space="preserve"> AMOROSO</w:t>
      </w:r>
      <w:r>
        <w:t xml:space="preserve">: “ È costituzionalmente illegittimo l'art. 19, </w:t>
      </w:r>
      <w:proofErr w:type="spellStart"/>
      <w:r>
        <w:t>lett</w:t>
      </w:r>
      <w:proofErr w:type="spellEnd"/>
      <w:r>
        <w:t>. b), c), d), g), h), l), m), n), o), p), s), t) e u), l. 7 agosto 2015, n. 124, nella parte in cui, in combinato disposto con l'art. 16, commi 1 e 4, della medesima legge n. 124 del 2015, prevede che il Governo adotti i relativi decreti legislativi attuativi previo parere, anziché previa intesa, in sede di Conferenza unificata. Le disposizioni impugnate stabiliscono una serie di principi e criteri direttivi relativi alla delega al Governo per il riordino della disciplina dei servizi pubblici locali d'interesse economico generale, la cui attuazione è demandata a decreti legislativi del Governo da adottarsi previo parere in Conferenza unificata”.</w:t>
      </w:r>
    </w:p>
  </w:footnote>
  <w:footnote w:id="3">
    <w:p w:rsidR="00315C71" w:rsidRDefault="00315C71">
      <w:pPr>
        <w:pStyle w:val="Testonotaapidipagina"/>
      </w:pPr>
      <w:r>
        <w:rPr>
          <w:rStyle w:val="Rimandonotaapidipagina"/>
        </w:rPr>
        <w:footnoteRef/>
      </w:r>
      <w:r>
        <w:t xml:space="preserve"> C. Volpe, </w:t>
      </w:r>
      <w:r w:rsidRPr="003E1934">
        <w:t xml:space="preserve">Le nuove direttive sui contratti pubblici e </w:t>
      </w:r>
      <w:proofErr w:type="spellStart"/>
      <w:r w:rsidRPr="003E1934">
        <w:t>l'In</w:t>
      </w:r>
      <w:proofErr w:type="spellEnd"/>
      <w:r w:rsidRPr="003E1934">
        <w:t xml:space="preserve"> House </w:t>
      </w:r>
      <w:proofErr w:type="spellStart"/>
      <w:r w:rsidRPr="003E1934">
        <w:t>Providing</w:t>
      </w:r>
      <w:proofErr w:type="spellEnd"/>
      <w:r w:rsidRPr="003E1934">
        <w:t>: problemi vecchi e nuovi</w:t>
      </w:r>
      <w:r>
        <w:t xml:space="preserve">, 2015, in </w:t>
      </w:r>
      <w:hyperlink r:id="rId1" w:history="1">
        <w:r w:rsidRPr="008D13CD">
          <w:rPr>
            <w:rStyle w:val="Collegamentoipertestuale"/>
          </w:rPr>
          <w:t>www.giustizia-amministrativa.it</w:t>
        </w:r>
      </w:hyperlink>
      <w:r>
        <w:t>. Dottrina.</w:t>
      </w:r>
    </w:p>
  </w:footnote>
  <w:footnote w:id="4">
    <w:p w:rsidR="00315C71" w:rsidRDefault="00315C71">
      <w:pPr>
        <w:pStyle w:val="Testonotaapidipagina"/>
      </w:pPr>
      <w:r>
        <w:rPr>
          <w:rStyle w:val="Rimandonotaapidipagina"/>
        </w:rPr>
        <w:footnoteRef/>
      </w:r>
      <w:r>
        <w:t xml:space="preserve"> Cfr. ad es. </w:t>
      </w:r>
      <w:r>
        <w:rPr>
          <w:rFonts w:ascii="Times New Roman" w:hAnsi="Times New Roman" w:cs="Times New Roman"/>
          <w:sz w:val="24"/>
          <w:szCs w:val="24"/>
        </w:rPr>
        <w:t>T.A.R. Milano</w:t>
      </w:r>
      <w:r w:rsidRPr="00C617B0">
        <w:rPr>
          <w:rFonts w:ascii="Times New Roman" w:hAnsi="Times New Roman" w:cs="Times New Roman"/>
          <w:sz w:val="24"/>
          <w:szCs w:val="24"/>
        </w:rPr>
        <w:t xml:space="preserve"> s</w:t>
      </w:r>
      <w:r>
        <w:rPr>
          <w:rFonts w:ascii="Times New Roman" w:hAnsi="Times New Roman" w:cs="Times New Roman"/>
          <w:sz w:val="24"/>
          <w:szCs w:val="24"/>
        </w:rPr>
        <w:t>ez. IV  22 marzo 2017 n. 694.</w:t>
      </w:r>
    </w:p>
  </w:footnote>
  <w:footnote w:id="5">
    <w:p w:rsidR="00EB7FF7" w:rsidRPr="00EB7FF7" w:rsidRDefault="00EB7FF7">
      <w:pPr>
        <w:pStyle w:val="Testonotaapidipagina"/>
      </w:pPr>
      <w:r>
        <w:rPr>
          <w:rStyle w:val="Rimandonotaapidipagina"/>
        </w:rPr>
        <w:footnoteRef/>
      </w:r>
      <w:r w:rsidRPr="00EB7FF7">
        <w:t xml:space="preserve"> Ord.za 7 gennaio 2019, n. 138, cfr. news </w:t>
      </w:r>
      <w:proofErr w:type="spellStart"/>
      <w:r w:rsidRPr="00EB7FF7">
        <w:t>us</w:t>
      </w:r>
      <w:proofErr w:type="spellEnd"/>
      <w:r w:rsidRPr="00EB7FF7">
        <w:t xml:space="preserve"> in </w:t>
      </w:r>
      <w:hyperlink r:id="rId2" w:history="1">
        <w:r w:rsidRPr="00EB7FF7">
          <w:rPr>
            <w:rStyle w:val="Collegamentoipertestuale"/>
          </w:rPr>
          <w:t>www.giustizia-amministrativa.it</w:t>
        </w:r>
      </w:hyperlink>
      <w:r w:rsidRPr="00EB7FF7">
        <w:t>, ai cui approfondimenti si rinvia.</w:t>
      </w:r>
    </w:p>
  </w:footnote>
  <w:footnote w:id="6">
    <w:p w:rsidR="00EB7FF7" w:rsidRDefault="00EB7FF7">
      <w:pPr>
        <w:pStyle w:val="Testonotaapidipagina"/>
      </w:pPr>
      <w:r>
        <w:rPr>
          <w:rStyle w:val="Rimandonotaapidipagina"/>
        </w:rPr>
        <w:footnoteRef/>
      </w:r>
      <w:r>
        <w:t xml:space="preserve"> </w:t>
      </w:r>
      <w:r w:rsidRPr="00EB7FF7">
        <w:t>14 gennaio 2019, n. 293</w:t>
      </w:r>
      <w:r>
        <w:t xml:space="preserve">, su cui cfr. news </w:t>
      </w:r>
      <w:proofErr w:type="spellStart"/>
      <w:r>
        <w:t>us</w:t>
      </w:r>
      <w:proofErr w:type="spellEnd"/>
      <w:r>
        <w:t xml:space="preserve"> in </w:t>
      </w:r>
      <w:r w:rsidRPr="00EB7FF7">
        <w:t>www.giustizia-amministrativa.it, ai cui approfondimenti si rinvia</w:t>
      </w:r>
      <w:r>
        <w:t>.</w:t>
      </w:r>
    </w:p>
  </w:footnote>
  <w:footnote w:id="7">
    <w:p w:rsidR="00657BE9" w:rsidRDefault="00657BE9">
      <w:pPr>
        <w:pStyle w:val="Testonotaapidipagina"/>
      </w:pPr>
      <w:r>
        <w:rPr>
          <w:rStyle w:val="Rimandonotaapidipagina"/>
        </w:rPr>
        <w:footnoteRef/>
      </w:r>
      <w:r>
        <w:t xml:space="preserve"> Cfr. News ufficio studi 29 novembre 2018, in www.giustizia-amministrativa.it.</w:t>
      </w:r>
    </w:p>
  </w:footnote>
  <w:footnote w:id="8">
    <w:p w:rsidR="00E55B2C" w:rsidRDefault="00E55B2C">
      <w:pPr>
        <w:pStyle w:val="Testonotaapidipagina"/>
      </w:pPr>
      <w:r>
        <w:rPr>
          <w:rStyle w:val="Rimandonotaapidipagina"/>
        </w:rPr>
        <w:footnoteRef/>
      </w:r>
      <w:r>
        <w:t xml:space="preserve"> Cfr. Consiglio di Stato, </w:t>
      </w:r>
      <w:r w:rsidRPr="00E55B2C">
        <w:t xml:space="preserve">Sez. VI, 11 febbraio 2013, n. 762, in Dir. giur. </w:t>
      </w:r>
      <w:proofErr w:type="spellStart"/>
      <w:proofErr w:type="gramStart"/>
      <w:r w:rsidRPr="00E55B2C">
        <w:t>agr</w:t>
      </w:r>
      <w:proofErr w:type="spellEnd"/>
      <w:proofErr w:type="gramEnd"/>
      <w:r w:rsidRPr="00E55B2C">
        <w:t xml:space="preserve">. </w:t>
      </w:r>
      <w:proofErr w:type="gramStart"/>
      <w:r w:rsidRPr="00E55B2C">
        <w:t>ambiente</w:t>
      </w:r>
      <w:proofErr w:type="gramEnd"/>
      <w:r w:rsidRPr="00E55B2C">
        <w:t>, 2013, 328, con nota di PIEROBON</w:t>
      </w:r>
      <w:r>
        <w:t>.</w:t>
      </w:r>
    </w:p>
  </w:footnote>
  <w:footnote w:id="9">
    <w:p w:rsidR="00E55B2C" w:rsidRDefault="00E55B2C">
      <w:pPr>
        <w:pStyle w:val="Testonotaapidipagina"/>
      </w:pPr>
      <w:r>
        <w:rPr>
          <w:rStyle w:val="Rimandonotaapidipagina"/>
        </w:rPr>
        <w:footnoteRef/>
      </w:r>
      <w:r>
        <w:t xml:space="preserve"> </w:t>
      </w:r>
      <w:r w:rsidR="00A80ED4">
        <w:t xml:space="preserve">In generale, a fini di corretta ricostruzione, N. Durante, 30 settembre 2016 in studi e contributi </w:t>
      </w:r>
      <w:hyperlink r:id="rId3" w:history="1">
        <w:r w:rsidR="00A80ED4" w:rsidRPr="000F1E83">
          <w:rPr>
            <w:rStyle w:val="Collegamentoipertestuale"/>
          </w:rPr>
          <w:t>www.giustizia-amministrativa.it</w:t>
        </w:r>
      </w:hyperlink>
      <w:r w:rsidR="00A80ED4">
        <w:t xml:space="preserve">; </w:t>
      </w:r>
      <w:r w:rsidRPr="00E55B2C">
        <w:t xml:space="preserve">G. VELTRI, Il nuovo codice dei contratti pubblici - </w:t>
      </w:r>
      <w:proofErr w:type="spellStart"/>
      <w:r w:rsidRPr="00E55B2C">
        <w:t>L'in</w:t>
      </w:r>
      <w:proofErr w:type="spellEnd"/>
      <w:r w:rsidRPr="00E55B2C">
        <w:t xml:space="preserve"> </w:t>
      </w:r>
      <w:proofErr w:type="spellStart"/>
      <w:r w:rsidRPr="00E55B2C">
        <w:t>house</w:t>
      </w:r>
      <w:proofErr w:type="spellEnd"/>
      <w:r w:rsidRPr="00E55B2C">
        <w:t xml:space="preserve"> nel nuovo codice dei contratti pubblici, in </w:t>
      </w:r>
      <w:proofErr w:type="spellStart"/>
      <w:r w:rsidRPr="00E55B2C">
        <w:t>Giorn</w:t>
      </w:r>
      <w:proofErr w:type="spellEnd"/>
      <w:r w:rsidRPr="00E55B2C">
        <w:t xml:space="preserve">. </w:t>
      </w:r>
      <w:proofErr w:type="gramStart"/>
      <w:r w:rsidRPr="00E55B2C">
        <w:t>dir</w:t>
      </w:r>
      <w:proofErr w:type="gramEnd"/>
      <w:r w:rsidRPr="00E55B2C">
        <w:t xml:space="preserve">. </w:t>
      </w:r>
      <w:proofErr w:type="spellStart"/>
      <w:r w:rsidRPr="00E55B2C">
        <w:t>amm</w:t>
      </w:r>
      <w:proofErr w:type="spellEnd"/>
      <w:r w:rsidRPr="00E55B2C">
        <w:t>., 2016, 436</w:t>
      </w:r>
      <w:r>
        <w:t>.</w:t>
      </w:r>
    </w:p>
  </w:footnote>
  <w:footnote w:id="10">
    <w:p w:rsidR="00E55B2C" w:rsidRDefault="00E55B2C">
      <w:pPr>
        <w:pStyle w:val="Testonotaapidipagina"/>
      </w:pPr>
      <w:r>
        <w:rPr>
          <w:rStyle w:val="Rimandonotaapidipagina"/>
        </w:rPr>
        <w:footnoteRef/>
      </w:r>
      <w:r>
        <w:t xml:space="preserve"> </w:t>
      </w:r>
      <w:r w:rsidRPr="00E55B2C">
        <w:t>. DE NICTOLIS, I nuovi appalti pubblici, Bologna, 2017, 266 ss.</w:t>
      </w:r>
    </w:p>
  </w:footnote>
  <w:footnote w:id="11">
    <w:p w:rsidR="00E55B2C" w:rsidRDefault="00E55B2C">
      <w:pPr>
        <w:pStyle w:val="Testonotaapidipagina"/>
      </w:pPr>
      <w:r>
        <w:rPr>
          <w:rStyle w:val="Rimandonotaapidipagina"/>
        </w:rPr>
        <w:footnoteRef/>
      </w:r>
      <w:r>
        <w:t xml:space="preserve"> </w:t>
      </w:r>
      <w:r w:rsidRPr="00E55B2C">
        <w:t xml:space="preserve">F.E. RIZZI, La società in </w:t>
      </w:r>
      <w:proofErr w:type="spellStart"/>
      <w:r w:rsidRPr="00E55B2C">
        <w:t>house</w:t>
      </w:r>
      <w:proofErr w:type="spellEnd"/>
      <w:r w:rsidRPr="00E55B2C">
        <w:t>: dalla natura giuridica al riparto di giurisdi</w:t>
      </w:r>
      <w:r>
        <w:t>zione, in Società, 2018, 71 ss.</w:t>
      </w:r>
    </w:p>
  </w:footnote>
  <w:footnote w:id="12">
    <w:p w:rsidR="00BE128E" w:rsidRDefault="00BE128E" w:rsidP="00BE128E">
      <w:pPr>
        <w:pStyle w:val="Testonotaapidipagina"/>
        <w:jc w:val="both"/>
      </w:pPr>
      <w:r>
        <w:rPr>
          <w:rStyle w:val="Rimandonotaapidipagina"/>
        </w:rPr>
        <w:footnoteRef/>
      </w:r>
      <w:r>
        <w:t xml:space="preserve"> </w:t>
      </w:r>
      <w:proofErr w:type="gramStart"/>
      <w:r w:rsidRPr="00BE128E">
        <w:t>in</w:t>
      </w:r>
      <w:proofErr w:type="gramEnd"/>
      <w:r w:rsidRPr="00BE128E">
        <w:t xml:space="preserve"> Foro </w:t>
      </w:r>
      <w:proofErr w:type="spellStart"/>
      <w:r w:rsidRPr="00BE128E">
        <w:t>it</w:t>
      </w:r>
      <w:proofErr w:type="spellEnd"/>
      <w:r w:rsidRPr="00BE128E">
        <w:t xml:space="preserve">., 2017, I, 2540, con nota di G. PASCUZZI, Il fascino discreto degli indicatori: quale impatto sull’università?, ed in Giur. </w:t>
      </w:r>
      <w:proofErr w:type="spellStart"/>
      <w:proofErr w:type="gramStart"/>
      <w:r w:rsidRPr="00BE128E">
        <w:t>cost</w:t>
      </w:r>
      <w:proofErr w:type="spellEnd"/>
      <w:r w:rsidRPr="00BE128E">
        <w:t>.,</w:t>
      </w:r>
      <w:proofErr w:type="gramEnd"/>
      <w:r w:rsidRPr="00BE128E">
        <w:t xml:space="preserve"> 2017, 1063, con note di G. SERGES, Delegazione legislativa, legislazione regionale e ruolo del potere regolamentare, e di G. TARLI BARBIERI, L'“erompere” dell'attività normativa del governo alla luce della </w:t>
      </w:r>
      <w:proofErr w:type="spellStart"/>
      <w:r w:rsidRPr="00BE128E">
        <w:t>sent</w:t>
      </w:r>
      <w:proofErr w:type="spellEnd"/>
      <w:r w:rsidRPr="00BE128E">
        <w:t>. n. 104 del 2017: conferme e novità da un'importante pronuncia della corte costituzionale, nonché oggetto della</w:t>
      </w:r>
      <w:r>
        <w:t xml:space="preserve"> News US in data 16 maggio 2017, in www.giustizia-amministrativa.it.</w:t>
      </w:r>
    </w:p>
  </w:footnote>
  <w:footnote w:id="13">
    <w:p w:rsidR="00BE128E" w:rsidRDefault="00BE128E">
      <w:pPr>
        <w:pStyle w:val="Testonotaapidipagina"/>
      </w:pPr>
      <w:r>
        <w:rPr>
          <w:rStyle w:val="Rimandonotaapidipagina"/>
        </w:rPr>
        <w:footnoteRef/>
      </w:r>
      <w:r>
        <w:t xml:space="preserve"> </w:t>
      </w:r>
      <w:proofErr w:type="gramStart"/>
      <w:r w:rsidRPr="00BE128E">
        <w:t>così</w:t>
      </w:r>
      <w:proofErr w:type="gramEnd"/>
      <w:r w:rsidRPr="00BE128E">
        <w:t xml:space="preserve">, da ultimo, Corte </w:t>
      </w:r>
      <w:proofErr w:type="spellStart"/>
      <w:r w:rsidRPr="00BE128E">
        <w:t>cost</w:t>
      </w:r>
      <w:proofErr w:type="spellEnd"/>
      <w:r w:rsidRPr="00BE128E">
        <w:t xml:space="preserve">., sentenza n. 10 del 2018, in Foro </w:t>
      </w:r>
      <w:proofErr w:type="spellStart"/>
      <w:r w:rsidRPr="00BE128E">
        <w:t>it</w:t>
      </w:r>
      <w:proofErr w:type="spellEnd"/>
      <w:r w:rsidRPr="00BE128E">
        <w:t xml:space="preserve">., 2018, I, 1119, ed in Giur. </w:t>
      </w:r>
      <w:proofErr w:type="spellStart"/>
      <w:proofErr w:type="gramStart"/>
      <w:r w:rsidRPr="00BE128E">
        <w:t>cost</w:t>
      </w:r>
      <w:proofErr w:type="spellEnd"/>
      <w:r w:rsidRPr="00BE128E">
        <w:t>.,</w:t>
      </w:r>
      <w:proofErr w:type="gramEnd"/>
      <w:r w:rsidRPr="00BE128E">
        <w:t xml:space="preserve"> 2018, 137, con nota di G. TARLI BARBIERI, Storia di una delega “inutile”? Lo “strano caso” deciso dalla </w:t>
      </w:r>
      <w:proofErr w:type="spellStart"/>
      <w:r w:rsidRPr="00BE128E">
        <w:t>sent</w:t>
      </w:r>
      <w:proofErr w:type="spellEnd"/>
      <w:r w:rsidRPr="00BE128E">
        <w:t>. n. 10/2018 della Corte costituzionale, nonché oggetto della News US in data 31 gennaio 2018</w:t>
      </w:r>
      <w:r>
        <w:t>.</w:t>
      </w:r>
    </w:p>
  </w:footnote>
  <w:footnote w:id="14">
    <w:p w:rsidR="00BE128E" w:rsidRDefault="00BE128E">
      <w:pPr>
        <w:pStyle w:val="Testonotaapidipagina"/>
      </w:pPr>
      <w:r>
        <w:rPr>
          <w:rStyle w:val="Rimandonotaapidipagina"/>
        </w:rPr>
        <w:footnoteRef/>
      </w:r>
      <w:r>
        <w:t xml:space="preserve"> </w:t>
      </w:r>
      <w:r w:rsidRPr="00BE128E">
        <w:t xml:space="preserve">Corte appello Napoli, 27 ottobre 2015, sez. feriale, in Giurisprudenza Commerciale, fasc.1, 2017, pag. 130 con nota di </w:t>
      </w:r>
      <w:proofErr w:type="spellStart"/>
      <w:r w:rsidRPr="00BE128E">
        <w:t>Petitti</w:t>
      </w:r>
      <w:proofErr w:type="spellEnd"/>
      <w:r w:rsidRPr="00BE128E">
        <w:t xml:space="preserve">, Le società in </w:t>
      </w:r>
      <w:proofErr w:type="spellStart"/>
      <w:r w:rsidRPr="00BE128E">
        <w:t>house</w:t>
      </w:r>
      <w:proofErr w:type="spellEnd"/>
      <w:r w:rsidRPr="00BE128E">
        <w:t xml:space="preserve"> falliscono per il Testo Unico</w:t>
      </w:r>
      <w:r>
        <w:t>.</w:t>
      </w:r>
    </w:p>
  </w:footnote>
  <w:footnote w:id="15">
    <w:p w:rsidR="002C78F1" w:rsidRDefault="002C78F1">
      <w:pPr>
        <w:pStyle w:val="Testonotaapidipagina"/>
      </w:pPr>
      <w:r>
        <w:rPr>
          <w:rStyle w:val="Rimandonotaapidipagina"/>
        </w:rPr>
        <w:footnoteRef/>
      </w:r>
      <w:r>
        <w:t xml:space="preserve"> </w:t>
      </w:r>
      <w:r w:rsidRPr="002C78F1">
        <w:t>Cassazione civile sez. un.  02 febbraio 2018 n. 2584</w:t>
      </w:r>
      <w:r>
        <w:t>.</w:t>
      </w:r>
    </w:p>
  </w:footnote>
  <w:footnote w:id="16">
    <w:p w:rsidR="00BE128E" w:rsidRDefault="00BE128E">
      <w:pPr>
        <w:pStyle w:val="Testonotaapidipagina"/>
      </w:pPr>
      <w:r>
        <w:rPr>
          <w:rStyle w:val="Rimandonotaapidipagina"/>
        </w:rPr>
        <w:footnoteRef/>
      </w:r>
      <w:r>
        <w:t xml:space="preserve"> Consiglio di Stato </w:t>
      </w:r>
      <w:r w:rsidRPr="00BE128E">
        <w:t xml:space="preserve">Sez. V, 19 giugno 2014, C-574/12, Centro </w:t>
      </w:r>
      <w:proofErr w:type="spellStart"/>
      <w:r w:rsidRPr="00BE128E">
        <w:t>Hospitalar</w:t>
      </w:r>
      <w:proofErr w:type="spellEnd"/>
      <w:r w:rsidRPr="00BE128E">
        <w:t xml:space="preserve">, in Dir. </w:t>
      </w:r>
      <w:proofErr w:type="spellStart"/>
      <w:r w:rsidRPr="00BE128E">
        <w:t>pubbl</w:t>
      </w:r>
      <w:proofErr w:type="spellEnd"/>
      <w:r w:rsidRPr="00BE128E">
        <w:t xml:space="preserve">. </w:t>
      </w:r>
      <w:proofErr w:type="gramStart"/>
      <w:r w:rsidRPr="00BE128E">
        <w:t>comparato</w:t>
      </w:r>
      <w:proofErr w:type="gramEnd"/>
      <w:r w:rsidRPr="00BE128E">
        <w:t xml:space="preserve"> ed europeo, 2014, 1373, con nota di FERRARI</w:t>
      </w:r>
    </w:p>
  </w:footnote>
  <w:footnote w:id="17">
    <w:p w:rsidR="00EB7FF7" w:rsidRDefault="00EB7FF7">
      <w:pPr>
        <w:pStyle w:val="Testonotaapidipagina"/>
      </w:pPr>
      <w:r>
        <w:rPr>
          <w:rStyle w:val="Rimandonotaapidipagina"/>
        </w:rPr>
        <w:footnoteRef/>
      </w:r>
      <w:r>
        <w:t xml:space="preserve"> </w:t>
      </w:r>
      <w:r w:rsidRPr="00EB7FF7">
        <w:t>cfr. ad es. Consiglio di Stato comm. spec., 29</w:t>
      </w:r>
      <w:r>
        <w:t xml:space="preserve"> maggio </w:t>
      </w:r>
      <w:r w:rsidRPr="00EB7FF7">
        <w:t>2017, n. 1257</w:t>
      </w:r>
      <w:r>
        <w:t>.</w:t>
      </w:r>
    </w:p>
  </w:footnote>
  <w:footnote w:id="18">
    <w:p w:rsidR="007C6899" w:rsidRDefault="007C6899">
      <w:pPr>
        <w:pStyle w:val="Testonotaapidipagina"/>
      </w:pPr>
      <w:r>
        <w:rPr>
          <w:rStyle w:val="Rimandonotaapidipagina"/>
        </w:rPr>
        <w:footnoteRef/>
      </w:r>
      <w:r>
        <w:t xml:space="preserve"> Cassazione civile sez. un.  13 settembre 2018 n. 22406.</w:t>
      </w:r>
    </w:p>
  </w:footnote>
  <w:footnote w:id="19">
    <w:p w:rsidR="007C6899" w:rsidRDefault="007C6899">
      <w:pPr>
        <w:pStyle w:val="Testonotaapidipagina"/>
      </w:pPr>
      <w:r>
        <w:rPr>
          <w:rStyle w:val="Rimandonotaapidipagina"/>
        </w:rPr>
        <w:footnoteRef/>
      </w:r>
      <w:r>
        <w:t xml:space="preserve"> </w:t>
      </w:r>
      <w:r w:rsidRPr="007C6899">
        <w:t>Cassazione civile sez. lav.  29 agosto 2018 n. 21378</w:t>
      </w:r>
      <w:r>
        <w:t>.</w:t>
      </w:r>
    </w:p>
  </w:footnote>
  <w:footnote w:id="20">
    <w:p w:rsidR="007C6899" w:rsidRDefault="007C6899">
      <w:pPr>
        <w:pStyle w:val="Testonotaapidipagina"/>
      </w:pPr>
      <w:r>
        <w:rPr>
          <w:rStyle w:val="Rimandonotaapidipagina"/>
        </w:rPr>
        <w:footnoteRef/>
      </w:r>
      <w:r>
        <w:t xml:space="preserve"> </w:t>
      </w:r>
      <w:r w:rsidRPr="007C6899">
        <w:t>Consiglio di Stato, sez. V 29 maggio 2017, n.2533</w:t>
      </w:r>
      <w:r>
        <w:t>.</w:t>
      </w:r>
    </w:p>
  </w:footnote>
  <w:footnote w:id="21">
    <w:p w:rsidR="007C6899" w:rsidRDefault="007C6899" w:rsidP="007C6899">
      <w:pPr>
        <w:pStyle w:val="Testonotaapidipagina"/>
      </w:pPr>
      <w:r>
        <w:rPr>
          <w:rStyle w:val="Rimandonotaapidipagina"/>
        </w:rPr>
        <w:footnoteRef/>
      </w:r>
      <w:r>
        <w:t xml:space="preserve"> T.A.R. Latina (Lazio) sez. </w:t>
      </w:r>
      <w:proofErr w:type="gramStart"/>
      <w:r>
        <w:t>I  14</w:t>
      </w:r>
      <w:proofErr w:type="gramEnd"/>
      <w:r>
        <w:t xml:space="preserve"> maggio 2018 n. 255    </w:t>
      </w:r>
    </w:p>
    <w:p w:rsidR="007C6899" w:rsidRDefault="007C6899" w:rsidP="007C6899">
      <w:pPr>
        <w:pStyle w:val="Testonotaapidipagina"/>
        <w:jc w:val="both"/>
      </w:pPr>
      <w:r>
        <w:t xml:space="preserve">In materia di servizio di trasporto pubblico locale, vanno rimessi alla Corte di giustizia dell'Unione Europea i seguenti quattro quesiti interpretativi: 1) se l' articolo 5, par. 2 del regolamento CE n. 1370/2007 (in particolar modo per quanto concerne il divieto — di cui alle lettere «¿b¿» e «¿d¿» — per un operatore interno, di partecipare a gare extra </w:t>
      </w:r>
      <w:proofErr w:type="spellStart"/>
      <w:r>
        <w:t>moenia</w:t>
      </w:r>
      <w:proofErr w:type="spellEnd"/>
      <w:r>
        <w:t xml:space="preserve">), debba o meno trovare applicazione anche agli affidamenti aggiudicati in epoca precedente all'entrata in vigore del medesimo regolamento; 2) se sia astrattamente riconducibile alla qualifica di ‘operatore </w:t>
      </w:r>
      <w:proofErr w:type="spellStart"/>
      <w:r>
        <w:t>interno'</w:t>
      </w:r>
      <w:proofErr w:type="spellEnd"/>
      <w:r>
        <w:t xml:space="preserve"> — ai sensi del medesimo regolamento ed in eventuale analogia di ratio con la giurisprudenza formatasi sull'istituto </w:t>
      </w:r>
      <w:proofErr w:type="spellStart"/>
      <w:r>
        <w:t>dell'in</w:t>
      </w:r>
      <w:proofErr w:type="spellEnd"/>
      <w:r>
        <w:t xml:space="preserve"> </w:t>
      </w:r>
      <w:proofErr w:type="spellStart"/>
      <w:r>
        <w:t>house</w:t>
      </w:r>
      <w:proofErr w:type="spellEnd"/>
      <w:r>
        <w:t xml:space="preserve"> </w:t>
      </w:r>
      <w:proofErr w:type="spellStart"/>
      <w:r>
        <w:t>providing</w:t>
      </w:r>
      <w:proofErr w:type="spellEnd"/>
      <w:r>
        <w:t xml:space="preserve"> — una persona giuridica di diritto pubblico titolare di affidamento diretto del servizio di trasporto locale ad opera dell'Autorità statale, laddove la prima sia direttamente collegata alla seconda sotto il profilo organizzativo e di controllo ed il cui capitale sociale sia detenuto dallo Stato medesimo (integralmente o pro quota, in tal caso unitamente ad altri enti pubblici); 3) se sia o meno una circostanza idonea a sottrarre l'affidamento diretto di servizi ricadenti nell'ambito di disciplina del regolamento (CE) n. 1370/2007 il fatto che, successivamente all'affidamento, l'Autorità statale istituisca un ente pubblico amministrativo dotato di poteri organizzativi sui servizi in questione ma non esercitante alcun «¿controllo analogo¿» sull'affidatario diretto dei servizi (rimanendo peraltro in capo allo Stato l'esclusivo potere di disporre del titolo </w:t>
      </w:r>
      <w:proofErr w:type="spellStart"/>
      <w:r>
        <w:t>concessorio</w:t>
      </w:r>
      <w:proofErr w:type="spellEnd"/>
      <w:r>
        <w:t xml:space="preserve">); 4) se l'originaria scadenza di un affidamento diretto oltre il termine trentennale del 3 dicembre 2039 (termine decorrente dalla data di entrata in vigore del regolamento CE 1370/2007 ) comporti comunque la non conformità dell'affidamento ai principi di cui al combinato disposto degli articoli 5 ed 8, par. 3 del medesimo regolamento, ovvero se detta irregolarità debba considerarsi automaticamente sanata, ad ogni fine giuridico, per implicita riduzione ex </w:t>
      </w:r>
      <w:proofErr w:type="spellStart"/>
      <w:r>
        <w:t>lege</w:t>
      </w:r>
      <w:proofErr w:type="spellEnd"/>
      <w:r>
        <w:t xml:space="preserve"> (articolo 8, par. 3 </w:t>
      </w:r>
      <w:proofErr w:type="spellStart"/>
      <w:r>
        <w:t>cpv</w:t>
      </w:r>
      <w:proofErr w:type="spellEnd"/>
      <w:r>
        <w:t>) a tale termine trentennale</w:t>
      </w:r>
    </w:p>
  </w:footnote>
  <w:footnote w:id="22">
    <w:p w:rsidR="00B12155" w:rsidRDefault="00B12155" w:rsidP="00B12155">
      <w:pPr>
        <w:pStyle w:val="Testonotaapidipagina"/>
        <w:jc w:val="both"/>
      </w:pPr>
      <w:r>
        <w:rPr>
          <w:rStyle w:val="Rimandonotaapidipagina"/>
        </w:rPr>
        <w:footnoteRef/>
      </w:r>
      <w:r>
        <w:t xml:space="preserve"> </w:t>
      </w:r>
      <w:r w:rsidRPr="00B12155">
        <w:t>Consiglio di Stato, sezione V, ordinanza 16 luglio 2018, n. 4303: Va rimessa alla Corte di giustizia dell’Unione europea la questione se l’art. 5, comma 4, del Regolamento (CE) 23/10/2007 n. 1370/2007 deve essere interpretato nel senso che ricorre nella legislazione nazionale il divieto all’affidamento diretto del servizio di trasporto pubblico locale, preclusivo dell’affidamento diretto anche nei casi in cui sarebbe consentito dalla normativa euro-unitaria, quando è posta la regola generale della gara pubblica per l’affidamento del predetto servizio ovvero soltanto nel caso di divieto specifico di affidamento diretto anche in relazione alle ipotesi in cui è consentito dalla normativa euro-unitaria</w:t>
      </w:r>
      <w:r>
        <w:t>.</w:t>
      </w:r>
    </w:p>
    <w:p w:rsidR="00B12155" w:rsidRDefault="00B12155" w:rsidP="00B12155">
      <w:pPr>
        <w:pStyle w:val="Testonotaapidipagina"/>
        <w:jc w:val="both"/>
      </w:pPr>
      <w:r w:rsidRPr="00B12155">
        <w:t xml:space="preserve">Con l’ordinanza in rassegna il Consiglio di Stato ha chiesto alla Corte di giustizia UE di chiarire la nozione di “divieto posto dalla legislazione nazionale” contemplato dall’art. 5, par. n. 4, del Regolamento (CE) n. 1370 del 2007 per consentire agli Stati membri di prevedere l’obbligo della gara anche nelle ipotesi di affidamenti sotto soglia (c.d. ipotesi de </w:t>
      </w:r>
      <w:proofErr w:type="spellStart"/>
      <w:r w:rsidRPr="00B12155">
        <w:t>minimis</w:t>
      </w:r>
      <w:proofErr w:type="spellEnd"/>
      <w:r w:rsidRPr="00B12155">
        <w:t xml:space="preserve">). Come è noto, in materia di servizio di trasporto pubblico locale, la normativa euro-unitaria consente – in alcuni casi specificamente individuati in base alle soglie di rilevanza dell’appalto (c.d. de </w:t>
      </w:r>
      <w:proofErr w:type="spellStart"/>
      <w:r w:rsidRPr="00B12155">
        <w:t>minimis</w:t>
      </w:r>
      <w:proofErr w:type="spellEnd"/>
      <w:r w:rsidRPr="00B12155">
        <w:t>) – di derogare alla regola dell’affidamento con gara, ammettendo la facoltà dell’autorità amministrativa di aggiudicare il contratto in via diretta: ciò, tuttavia, “A meno che non sia vietato dalla legislazione nazionale” (così l’incipit del par. n. 4 dell’art. 5 cit.). Secondo il Consiglio di Stato, questa disposizione non chiarisce se il divieto di affidamento diretto, che discenda da una previsione nazionale, debba essere esplicito (debba, cioè, risultare da una specifica ed espressa clausola di divieto contenuta nella legge nazionale) oppure possa essere anche desunto, implicitamente, dalla circostanza che la legge nazionale, pur senza imporre a chiare lettere un simile divieto, si limiti a stabilire la regola generale della gara pubblica per l’affidamento del servizio</w:t>
      </w:r>
      <w:r>
        <w:t>.</w:t>
      </w:r>
    </w:p>
  </w:footnote>
  <w:footnote w:id="23">
    <w:p w:rsidR="00B12155" w:rsidRDefault="00B12155" w:rsidP="00B12155">
      <w:pPr>
        <w:pStyle w:val="Testonotaapidipagina"/>
        <w:jc w:val="both"/>
      </w:pPr>
      <w:r>
        <w:rPr>
          <w:rStyle w:val="Rimandonotaapidipagina"/>
        </w:rPr>
        <w:footnoteRef/>
      </w:r>
      <w:r>
        <w:t xml:space="preserve"> </w:t>
      </w:r>
      <w:r w:rsidRPr="00B12155">
        <w:t xml:space="preserve">Corte di giustizia dell’Unione europea, Sez. IV, 8 dicembre 2016, C-553/15, </w:t>
      </w:r>
      <w:proofErr w:type="spellStart"/>
      <w:r w:rsidRPr="00B12155">
        <w:t>Undis</w:t>
      </w:r>
      <w:proofErr w:type="spellEnd"/>
      <w:r>
        <w:t xml:space="preserve">: In materia di affidamenti diretti degli appalti pubblici, detti «in </w:t>
      </w:r>
      <w:proofErr w:type="spellStart"/>
      <w:r>
        <w:t>house</w:t>
      </w:r>
      <w:proofErr w:type="spellEnd"/>
      <w:r>
        <w:t xml:space="preserve">», al fine di stabilire se l’ente affidatario svolga l’attività prevalente per l’amministrazione aggiudicatrice e segnatamente per gli enti territoriali che siano suoi soci e che lo controllino, non si deve ricomprendere in tale attività quella imposta a detto ente da un’amministrazione pubblica, non sua socia, a favore di enti territoriali a loro volta non soci di detto ente e che non esercitino su di esso alcun controllo; tale ultima attività deve essere considerata come un’attività svolta a favore di terzi. In materia di affidamenti diretti degli appalti pubblici, detti «in </w:t>
      </w:r>
      <w:proofErr w:type="spellStart"/>
      <w:r>
        <w:t>house</w:t>
      </w:r>
      <w:proofErr w:type="spellEnd"/>
      <w:r>
        <w:t>», al fine di stabilire se l’ente affidatario svolga l’attività prevalente per gli enti territoriali che siano suoi soci e che esercitino su di esso, congiuntamente, un controllo analogo a quello esercitato sui loro stessi servizi, occorre tener conto di tutte le circostanze del caso di specie, tra le quali, all’occorrenza, l’attività che il medesimo ente affidatario abbia svolto per detti enti territoriali prima che divenisse effettivo tale controllo congiunto.</w:t>
      </w:r>
    </w:p>
  </w:footnote>
  <w:footnote w:id="24">
    <w:p w:rsidR="00B12155" w:rsidRDefault="00B12155">
      <w:pPr>
        <w:pStyle w:val="Testonotaapidipagina"/>
      </w:pPr>
      <w:r>
        <w:rPr>
          <w:rStyle w:val="Rimandonotaapidipagina"/>
        </w:rPr>
        <w:footnoteRef/>
      </w:r>
      <w:r>
        <w:t xml:space="preserve"> </w:t>
      </w:r>
      <w:r w:rsidRPr="00B12155">
        <w:t xml:space="preserve">cfr. Corte </w:t>
      </w:r>
      <w:proofErr w:type="spellStart"/>
      <w:r w:rsidRPr="00B12155">
        <w:t>cost</w:t>
      </w:r>
      <w:proofErr w:type="spellEnd"/>
      <w:r w:rsidRPr="00B12155">
        <w:t>. n. 251 del 2016 oggetto della News US del 1 dicembre 2016</w:t>
      </w:r>
      <w:r>
        <w:t xml:space="preserve">, in </w:t>
      </w:r>
      <w:hyperlink r:id="rId4" w:history="1">
        <w:r w:rsidRPr="002E4658">
          <w:rPr>
            <w:rStyle w:val="Collegamentoipertestuale"/>
          </w:rPr>
          <w:t>www.giustizia-amministrativa.it</w:t>
        </w:r>
      </w:hyperlink>
      <w:r>
        <w:t xml:space="preserve"> ai cui approfondimenti si rinvia.</w:t>
      </w:r>
    </w:p>
  </w:footnote>
  <w:footnote w:id="25">
    <w:p w:rsidR="00505D5D" w:rsidRDefault="00452990" w:rsidP="002C78F1">
      <w:pPr>
        <w:pStyle w:val="Testonotaapidipagina"/>
        <w:jc w:val="both"/>
      </w:pPr>
      <w:r>
        <w:rPr>
          <w:rStyle w:val="Rimandonotaapidipagina"/>
        </w:rPr>
        <w:footnoteRef/>
      </w:r>
      <w:r>
        <w:t xml:space="preserve"> Per una interessante e completa analisi</w:t>
      </w:r>
      <w:r w:rsidR="002C78F1">
        <w:t>,</w:t>
      </w:r>
      <w:r>
        <w:t xml:space="preserve"> sia della sentenza che dell’evol</w:t>
      </w:r>
      <w:r w:rsidR="00505D5D">
        <w:t xml:space="preserve">uzione della giurisprudenza, v. </w:t>
      </w:r>
      <w:proofErr w:type="spellStart"/>
      <w:r w:rsidR="00505D5D">
        <w:t>A.Giusti</w:t>
      </w:r>
      <w:proofErr w:type="spellEnd"/>
      <w:r w:rsidR="00505D5D">
        <w:t xml:space="preserve">, </w:t>
      </w:r>
    </w:p>
    <w:p w:rsidR="00452990" w:rsidRDefault="00505D5D" w:rsidP="00505D5D">
      <w:pPr>
        <w:pStyle w:val="Testonotaapidipagina"/>
      </w:pPr>
      <w:r>
        <w:t xml:space="preserve">I requisiti </w:t>
      </w:r>
      <w:proofErr w:type="spellStart"/>
      <w:r>
        <w:t>dell’in</w:t>
      </w:r>
      <w:proofErr w:type="spellEnd"/>
      <w:r>
        <w:t xml:space="preserve"> </w:t>
      </w:r>
      <w:proofErr w:type="spellStart"/>
      <w:r>
        <w:t>house</w:t>
      </w:r>
      <w:proofErr w:type="spellEnd"/>
      <w:r>
        <w:t xml:space="preserve"> fra principi giurisprudenziali e nuove regole codificate, in Giurisprudenza italiana, 2017, n. 2, UTET, p. 439.</w:t>
      </w:r>
    </w:p>
  </w:footnote>
  <w:footnote w:id="26">
    <w:p w:rsidR="00DB397E" w:rsidRDefault="00DB397E">
      <w:pPr>
        <w:pStyle w:val="Testonotaapidipagina"/>
      </w:pPr>
      <w:r>
        <w:rPr>
          <w:rStyle w:val="Rimandonotaapidipagina"/>
        </w:rPr>
        <w:footnoteRef/>
      </w:r>
      <w:r>
        <w:t xml:space="preserve"> </w:t>
      </w:r>
      <w:proofErr w:type="gramStart"/>
      <w:r w:rsidRPr="00DB397E">
        <w:t>in</w:t>
      </w:r>
      <w:proofErr w:type="gramEnd"/>
      <w:r w:rsidRPr="00DB397E">
        <w:t xml:space="preserve"> Dir. </w:t>
      </w:r>
      <w:proofErr w:type="spellStart"/>
      <w:r w:rsidRPr="00DB397E">
        <w:t>pubbl</w:t>
      </w:r>
      <w:proofErr w:type="spellEnd"/>
      <w:r w:rsidRPr="00DB397E">
        <w:t xml:space="preserve">. </w:t>
      </w:r>
      <w:proofErr w:type="gramStart"/>
      <w:r w:rsidRPr="00DB397E">
        <w:t>comparato</w:t>
      </w:r>
      <w:proofErr w:type="gramEnd"/>
      <w:r w:rsidRPr="00DB397E">
        <w:t xml:space="preserve"> ed europeo, 2014, 1373, con nota di FERRARI</w:t>
      </w:r>
      <w:r>
        <w:t>.</w:t>
      </w:r>
    </w:p>
  </w:footnote>
  <w:footnote w:id="27">
    <w:p w:rsidR="00DB397E" w:rsidRDefault="00DB397E">
      <w:pPr>
        <w:pStyle w:val="Testonotaapidipagina"/>
      </w:pPr>
      <w:r>
        <w:rPr>
          <w:rStyle w:val="Rimandonotaapidipagina"/>
        </w:rPr>
        <w:footnoteRef/>
      </w:r>
      <w:r>
        <w:t xml:space="preserve"> </w:t>
      </w:r>
      <w:proofErr w:type="gramStart"/>
      <w:r w:rsidRPr="00DB397E">
        <w:t>in</w:t>
      </w:r>
      <w:proofErr w:type="gramEnd"/>
      <w:r w:rsidRPr="00DB397E">
        <w:t xml:space="preserve"> Foro </w:t>
      </w:r>
      <w:proofErr w:type="spellStart"/>
      <w:r w:rsidRPr="00DB397E">
        <w:t>it</w:t>
      </w:r>
      <w:proofErr w:type="spellEnd"/>
      <w:r w:rsidRPr="00DB397E">
        <w:t>., 2015, IV, 40, con nota M. CASORIA, ivi ogni ulteriore riferimento di dottrina e giurisprudenza anche relativo alla nuove direttive del 2014</w:t>
      </w:r>
    </w:p>
  </w:footnote>
  <w:footnote w:id="28">
    <w:p w:rsidR="00DB397E" w:rsidRDefault="00DB397E">
      <w:pPr>
        <w:pStyle w:val="Testonotaapidipagina"/>
      </w:pPr>
      <w:r>
        <w:rPr>
          <w:rStyle w:val="Rimandonotaapidipagina"/>
        </w:rPr>
        <w:footnoteRef/>
      </w:r>
      <w:r>
        <w:t xml:space="preserve"> </w:t>
      </w:r>
      <w:proofErr w:type="gramStart"/>
      <w:r w:rsidRPr="00DB397E">
        <w:t>in</w:t>
      </w:r>
      <w:proofErr w:type="gramEnd"/>
      <w:r w:rsidRPr="00DB397E">
        <w:t xml:space="preserve"> Urbanistica e appalti, 2013, 307, con nota di F. LEGGIADRO</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7DA8"/>
    <w:multiLevelType w:val="hybridMultilevel"/>
    <w:tmpl w:val="F9B8AE2E"/>
    <w:lvl w:ilvl="0" w:tplc="0B1A396A">
      <w:start w:val="10"/>
      <w:numFmt w:val="bullet"/>
      <w:lvlText w:val=""/>
      <w:lvlJc w:val="left"/>
      <w:pPr>
        <w:ind w:left="1647" w:hanging="360"/>
      </w:pPr>
      <w:rPr>
        <w:rFonts w:ascii="Symbol" w:eastAsiaTheme="minorHAnsi" w:hAnsi="Symbol" w:cs="Times New Roman"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 w15:restartNumberingAfterBreak="0">
    <w:nsid w:val="2D0A1658"/>
    <w:multiLevelType w:val="hybridMultilevel"/>
    <w:tmpl w:val="D05E5936"/>
    <w:lvl w:ilvl="0" w:tplc="602AA09A">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2D5D0DE5"/>
    <w:multiLevelType w:val="hybridMultilevel"/>
    <w:tmpl w:val="C848F62E"/>
    <w:lvl w:ilvl="0" w:tplc="B9686518">
      <w:start w:val="1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AA2CA5"/>
    <w:multiLevelType w:val="hybridMultilevel"/>
    <w:tmpl w:val="158E2B9A"/>
    <w:lvl w:ilvl="0" w:tplc="1A126E8A">
      <w:start w:val="10"/>
      <w:numFmt w:val="bullet"/>
      <w:lvlText w:val=""/>
      <w:lvlJc w:val="left"/>
      <w:pPr>
        <w:ind w:left="927" w:hanging="360"/>
      </w:pPr>
      <w:rPr>
        <w:rFonts w:ascii="Symbol" w:eastAsiaTheme="minorHAnsi" w:hAnsi="Symbol"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48273AD9"/>
    <w:multiLevelType w:val="hybridMultilevel"/>
    <w:tmpl w:val="3298460E"/>
    <w:lvl w:ilvl="0" w:tplc="D8909928">
      <w:start w:val="1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C775C1"/>
    <w:multiLevelType w:val="hybridMultilevel"/>
    <w:tmpl w:val="ADD2FFAC"/>
    <w:lvl w:ilvl="0" w:tplc="B48E2F3E">
      <w:start w:val="10"/>
      <w:numFmt w:val="bullet"/>
      <w:lvlText w:val=""/>
      <w:lvlJc w:val="left"/>
      <w:pPr>
        <w:ind w:left="1287" w:hanging="360"/>
      </w:pPr>
      <w:rPr>
        <w:rFonts w:ascii="Symbol" w:eastAsiaTheme="minorHAnsi" w:hAnsi="Symbol"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5B"/>
    <w:rsid w:val="00037839"/>
    <w:rsid w:val="000B0044"/>
    <w:rsid w:val="000E54CA"/>
    <w:rsid w:val="00121ABC"/>
    <w:rsid w:val="0012372F"/>
    <w:rsid w:val="00137392"/>
    <w:rsid w:val="00142C3A"/>
    <w:rsid w:val="00175996"/>
    <w:rsid w:val="001A00DB"/>
    <w:rsid w:val="002153D9"/>
    <w:rsid w:val="00220097"/>
    <w:rsid w:val="002220B5"/>
    <w:rsid w:val="00264556"/>
    <w:rsid w:val="002C78F1"/>
    <w:rsid w:val="00315C71"/>
    <w:rsid w:val="00390724"/>
    <w:rsid w:val="003E1934"/>
    <w:rsid w:val="00452990"/>
    <w:rsid w:val="00494ADB"/>
    <w:rsid w:val="004B21BA"/>
    <w:rsid w:val="00505D5D"/>
    <w:rsid w:val="00517952"/>
    <w:rsid w:val="005D7E5A"/>
    <w:rsid w:val="0065670F"/>
    <w:rsid w:val="00657BE9"/>
    <w:rsid w:val="006A3C03"/>
    <w:rsid w:val="006C4F93"/>
    <w:rsid w:val="006E7532"/>
    <w:rsid w:val="006F2D41"/>
    <w:rsid w:val="006F560F"/>
    <w:rsid w:val="00727D60"/>
    <w:rsid w:val="00734383"/>
    <w:rsid w:val="00782514"/>
    <w:rsid w:val="007C6899"/>
    <w:rsid w:val="007D0B9E"/>
    <w:rsid w:val="00822B05"/>
    <w:rsid w:val="0082793C"/>
    <w:rsid w:val="0083489A"/>
    <w:rsid w:val="00841444"/>
    <w:rsid w:val="00841BB3"/>
    <w:rsid w:val="00850CC1"/>
    <w:rsid w:val="00851436"/>
    <w:rsid w:val="008C6B4D"/>
    <w:rsid w:val="009109C2"/>
    <w:rsid w:val="009562DF"/>
    <w:rsid w:val="0098283A"/>
    <w:rsid w:val="009B5595"/>
    <w:rsid w:val="009E2F28"/>
    <w:rsid w:val="00A33B07"/>
    <w:rsid w:val="00A368C4"/>
    <w:rsid w:val="00A43A05"/>
    <w:rsid w:val="00A80ED4"/>
    <w:rsid w:val="00A82FEE"/>
    <w:rsid w:val="00AB5489"/>
    <w:rsid w:val="00AD5134"/>
    <w:rsid w:val="00AE0938"/>
    <w:rsid w:val="00B12155"/>
    <w:rsid w:val="00B16039"/>
    <w:rsid w:val="00B96436"/>
    <w:rsid w:val="00BA3806"/>
    <w:rsid w:val="00BC11E2"/>
    <w:rsid w:val="00BE128E"/>
    <w:rsid w:val="00C617B0"/>
    <w:rsid w:val="00C9302C"/>
    <w:rsid w:val="00CA197C"/>
    <w:rsid w:val="00D038A9"/>
    <w:rsid w:val="00D574E5"/>
    <w:rsid w:val="00D6487A"/>
    <w:rsid w:val="00D73899"/>
    <w:rsid w:val="00D92B7F"/>
    <w:rsid w:val="00DB397E"/>
    <w:rsid w:val="00DC70BE"/>
    <w:rsid w:val="00E04583"/>
    <w:rsid w:val="00E200E4"/>
    <w:rsid w:val="00E43C72"/>
    <w:rsid w:val="00E54995"/>
    <w:rsid w:val="00E55B2C"/>
    <w:rsid w:val="00E9717A"/>
    <w:rsid w:val="00EB7FF7"/>
    <w:rsid w:val="00EC0C24"/>
    <w:rsid w:val="00ED7125"/>
    <w:rsid w:val="00F44E3F"/>
    <w:rsid w:val="00F6475B"/>
    <w:rsid w:val="00F93510"/>
    <w:rsid w:val="00FF2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F5514-F78D-4AD1-89B4-7C9F01E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F9351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it-IT"/>
    </w:rPr>
  </w:style>
  <w:style w:type="paragraph" w:customStyle="1" w:styleId="Default">
    <w:name w:val="Default"/>
    <w:rsid w:val="00F93510"/>
    <w:pPr>
      <w:autoSpaceDE w:val="0"/>
      <w:autoSpaceDN w:val="0"/>
      <w:adjustRightInd w:val="0"/>
      <w:spacing w:after="0" w:line="240" w:lineRule="auto"/>
    </w:pPr>
    <w:rPr>
      <w:rFonts w:ascii="EUAlbertina" w:hAnsi="EUAlbertina" w:cs="EUAlbertina"/>
      <w:color w:val="000000"/>
      <w:sz w:val="24"/>
      <w:szCs w:val="24"/>
    </w:rPr>
  </w:style>
  <w:style w:type="paragraph" w:styleId="Intestazione">
    <w:name w:val="header"/>
    <w:basedOn w:val="Normale"/>
    <w:link w:val="IntestazioneCarattere"/>
    <w:uiPriority w:val="99"/>
    <w:unhideWhenUsed/>
    <w:rsid w:val="00F935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3510"/>
  </w:style>
  <w:style w:type="paragraph" w:styleId="Pidipagina">
    <w:name w:val="footer"/>
    <w:basedOn w:val="Normale"/>
    <w:link w:val="PidipaginaCarattere"/>
    <w:uiPriority w:val="99"/>
    <w:unhideWhenUsed/>
    <w:rsid w:val="00F935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3510"/>
  </w:style>
  <w:style w:type="character" w:styleId="Collegamentoipertestuale">
    <w:name w:val="Hyperlink"/>
    <w:rsid w:val="00F93510"/>
    <w:rPr>
      <w:u w:val="single"/>
    </w:rPr>
  </w:style>
  <w:style w:type="paragraph" w:styleId="NormaleWeb">
    <w:name w:val="Normal (Web)"/>
    <w:basedOn w:val="Normale"/>
    <w:uiPriority w:val="99"/>
    <w:semiHidden/>
    <w:unhideWhenUsed/>
    <w:rsid w:val="00F935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rsid w:val="00F93510"/>
    <w:rPr>
      <w:lang w:val="it-IT" w:eastAsia="x-none"/>
    </w:rPr>
  </w:style>
  <w:style w:type="paragraph" w:styleId="Testonotaapidipagina">
    <w:name w:val="footnote text"/>
    <w:basedOn w:val="Normale"/>
    <w:link w:val="TestonotaapidipaginaCarattere"/>
    <w:uiPriority w:val="99"/>
    <w:semiHidden/>
    <w:unhideWhenUsed/>
    <w:rsid w:val="00F935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93510"/>
    <w:rPr>
      <w:sz w:val="20"/>
      <w:szCs w:val="20"/>
    </w:rPr>
  </w:style>
  <w:style w:type="character" w:styleId="Rimandonotaapidipagina">
    <w:name w:val="footnote reference"/>
    <w:basedOn w:val="Carpredefinitoparagrafo"/>
    <w:uiPriority w:val="99"/>
    <w:semiHidden/>
    <w:unhideWhenUsed/>
    <w:rsid w:val="00F93510"/>
    <w:rPr>
      <w:vertAlign w:val="superscript"/>
    </w:rPr>
  </w:style>
  <w:style w:type="paragraph" w:styleId="Nessunaspaziatura">
    <w:name w:val="No Spacing"/>
    <w:uiPriority w:val="1"/>
    <w:qFormat/>
    <w:rsid w:val="00F93510"/>
    <w:pPr>
      <w:spacing w:after="0" w:line="240" w:lineRule="auto"/>
    </w:pPr>
  </w:style>
  <w:style w:type="character" w:customStyle="1" w:styleId="bold1">
    <w:name w:val="bold1"/>
    <w:basedOn w:val="Carpredefinitoparagrafo"/>
    <w:rsid w:val="00782514"/>
    <w:rPr>
      <w:b/>
      <w:bCs/>
    </w:rPr>
  </w:style>
  <w:style w:type="paragraph" w:styleId="Testonotadichiusura">
    <w:name w:val="endnote text"/>
    <w:basedOn w:val="Normale"/>
    <w:link w:val="TestonotadichiusuraCarattere"/>
    <w:uiPriority w:val="99"/>
    <w:semiHidden/>
    <w:unhideWhenUsed/>
    <w:rsid w:val="008C6B4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C6B4D"/>
    <w:rPr>
      <w:sz w:val="20"/>
      <w:szCs w:val="20"/>
    </w:rPr>
  </w:style>
  <w:style w:type="character" w:styleId="Rimandonotadichiusura">
    <w:name w:val="endnote reference"/>
    <w:basedOn w:val="Carpredefinitoparagrafo"/>
    <w:uiPriority w:val="99"/>
    <w:semiHidden/>
    <w:unhideWhenUsed/>
    <w:rsid w:val="008C6B4D"/>
    <w:rPr>
      <w:vertAlign w:val="superscript"/>
    </w:rPr>
  </w:style>
  <w:style w:type="paragraph" w:styleId="Paragrafoelenco">
    <w:name w:val="List Paragraph"/>
    <w:basedOn w:val="Normale"/>
    <w:uiPriority w:val="34"/>
    <w:qFormat/>
    <w:rsid w:val="006E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8835">
      <w:bodyDiv w:val="1"/>
      <w:marLeft w:val="0"/>
      <w:marRight w:val="0"/>
      <w:marTop w:val="150"/>
      <w:marBottom w:val="0"/>
      <w:divBdr>
        <w:top w:val="none" w:sz="0" w:space="0" w:color="auto"/>
        <w:left w:val="none" w:sz="0" w:space="0" w:color="auto"/>
        <w:bottom w:val="none" w:sz="0" w:space="0" w:color="auto"/>
        <w:right w:val="none" w:sz="0" w:space="0" w:color="auto"/>
      </w:divBdr>
      <w:divsChild>
        <w:div w:id="1427921369">
          <w:marLeft w:val="0"/>
          <w:marRight w:val="0"/>
          <w:marTop w:val="0"/>
          <w:marBottom w:val="0"/>
          <w:divBdr>
            <w:top w:val="none" w:sz="0" w:space="0" w:color="auto"/>
            <w:left w:val="none" w:sz="0" w:space="0" w:color="auto"/>
            <w:bottom w:val="none" w:sz="0" w:space="0" w:color="auto"/>
            <w:right w:val="none" w:sz="0" w:space="0" w:color="auto"/>
          </w:divBdr>
          <w:divsChild>
            <w:div w:id="1961567744">
              <w:marLeft w:val="0"/>
              <w:marRight w:val="0"/>
              <w:marTop w:val="0"/>
              <w:marBottom w:val="0"/>
              <w:divBdr>
                <w:top w:val="none" w:sz="0" w:space="0" w:color="auto"/>
                <w:left w:val="none" w:sz="0" w:space="0" w:color="auto"/>
                <w:bottom w:val="none" w:sz="0" w:space="0" w:color="auto"/>
                <w:right w:val="none" w:sz="0" w:space="0" w:color="auto"/>
              </w:divBdr>
              <w:divsChild>
                <w:div w:id="990208627">
                  <w:marLeft w:val="0"/>
                  <w:marRight w:val="0"/>
                  <w:marTop w:val="0"/>
                  <w:marBottom w:val="0"/>
                  <w:divBdr>
                    <w:top w:val="none" w:sz="0" w:space="0" w:color="auto"/>
                    <w:left w:val="none" w:sz="0" w:space="0" w:color="auto"/>
                    <w:bottom w:val="none" w:sz="0" w:space="0" w:color="auto"/>
                    <w:right w:val="none" w:sz="0" w:space="0" w:color="auto"/>
                  </w:divBdr>
                  <w:divsChild>
                    <w:div w:id="672606362">
                      <w:marLeft w:val="0"/>
                      <w:marRight w:val="0"/>
                      <w:marTop w:val="0"/>
                      <w:marBottom w:val="0"/>
                      <w:divBdr>
                        <w:top w:val="none" w:sz="0" w:space="0" w:color="auto"/>
                        <w:left w:val="none" w:sz="0" w:space="0" w:color="auto"/>
                        <w:bottom w:val="none" w:sz="0" w:space="0" w:color="auto"/>
                        <w:right w:val="none" w:sz="0" w:space="0" w:color="auto"/>
                      </w:divBdr>
                      <w:divsChild>
                        <w:div w:id="54816610">
                          <w:marLeft w:val="375"/>
                          <w:marRight w:val="0"/>
                          <w:marTop w:val="0"/>
                          <w:marBottom w:val="0"/>
                          <w:divBdr>
                            <w:top w:val="none" w:sz="0" w:space="0" w:color="auto"/>
                            <w:left w:val="none" w:sz="0" w:space="0" w:color="auto"/>
                            <w:bottom w:val="none" w:sz="0" w:space="0" w:color="auto"/>
                            <w:right w:val="none" w:sz="0" w:space="0" w:color="auto"/>
                          </w:divBdr>
                          <w:divsChild>
                            <w:div w:id="478035929">
                              <w:marLeft w:val="0"/>
                              <w:marRight w:val="0"/>
                              <w:marTop w:val="0"/>
                              <w:marBottom w:val="300"/>
                              <w:divBdr>
                                <w:top w:val="none" w:sz="0" w:space="0" w:color="auto"/>
                                <w:left w:val="single" w:sz="6" w:space="0" w:color="EDEDED"/>
                                <w:bottom w:val="single" w:sz="6" w:space="26" w:color="EDEDED"/>
                                <w:right w:val="single" w:sz="6" w:space="0" w:color="EDEDED"/>
                              </w:divBdr>
                              <w:divsChild>
                                <w:div w:id="1192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77890">
      <w:bodyDiv w:val="1"/>
      <w:marLeft w:val="0"/>
      <w:marRight w:val="0"/>
      <w:marTop w:val="0"/>
      <w:marBottom w:val="0"/>
      <w:divBdr>
        <w:top w:val="none" w:sz="0" w:space="0" w:color="auto"/>
        <w:left w:val="none" w:sz="0" w:space="0" w:color="auto"/>
        <w:bottom w:val="none" w:sz="0" w:space="0" w:color="auto"/>
        <w:right w:val="none" w:sz="0" w:space="0" w:color="auto"/>
      </w:divBdr>
      <w:divsChild>
        <w:div w:id="1999310128">
          <w:marLeft w:val="0"/>
          <w:marRight w:val="0"/>
          <w:marTop w:val="0"/>
          <w:marBottom w:val="0"/>
          <w:divBdr>
            <w:top w:val="none" w:sz="0" w:space="0" w:color="auto"/>
            <w:left w:val="none" w:sz="0" w:space="0" w:color="auto"/>
            <w:bottom w:val="none" w:sz="0" w:space="0" w:color="auto"/>
            <w:right w:val="none" w:sz="0" w:space="0" w:color="auto"/>
          </w:divBdr>
          <w:divsChild>
            <w:div w:id="1889216331">
              <w:marLeft w:val="0"/>
              <w:marRight w:val="0"/>
              <w:marTop w:val="0"/>
              <w:marBottom w:val="0"/>
              <w:divBdr>
                <w:top w:val="none" w:sz="0" w:space="0" w:color="auto"/>
                <w:left w:val="none" w:sz="0" w:space="0" w:color="auto"/>
                <w:bottom w:val="none" w:sz="0" w:space="0" w:color="auto"/>
                <w:right w:val="none" w:sz="0" w:space="0" w:color="auto"/>
              </w:divBdr>
              <w:divsChild>
                <w:div w:id="50347269">
                  <w:marLeft w:val="0"/>
                  <w:marRight w:val="0"/>
                  <w:marTop w:val="0"/>
                  <w:marBottom w:val="0"/>
                  <w:divBdr>
                    <w:top w:val="none" w:sz="0" w:space="0" w:color="auto"/>
                    <w:left w:val="none" w:sz="0" w:space="0" w:color="auto"/>
                    <w:bottom w:val="none" w:sz="0" w:space="0" w:color="auto"/>
                    <w:right w:val="none" w:sz="0" w:space="0" w:color="auto"/>
                  </w:divBdr>
                  <w:divsChild>
                    <w:div w:id="1345088593">
                      <w:marLeft w:val="0"/>
                      <w:marRight w:val="2205"/>
                      <w:marTop w:val="0"/>
                      <w:marBottom w:val="0"/>
                      <w:divBdr>
                        <w:top w:val="none" w:sz="0" w:space="0" w:color="auto"/>
                        <w:left w:val="none" w:sz="0" w:space="0" w:color="auto"/>
                        <w:bottom w:val="none" w:sz="0" w:space="0" w:color="auto"/>
                        <w:right w:val="none" w:sz="0" w:space="0" w:color="auto"/>
                      </w:divBdr>
                      <w:divsChild>
                        <w:div w:id="1166942996">
                          <w:marLeft w:val="0"/>
                          <w:marRight w:val="0"/>
                          <w:marTop w:val="0"/>
                          <w:marBottom w:val="0"/>
                          <w:divBdr>
                            <w:top w:val="none" w:sz="0" w:space="0" w:color="auto"/>
                            <w:left w:val="none" w:sz="0" w:space="0" w:color="auto"/>
                            <w:bottom w:val="none" w:sz="0" w:space="0" w:color="auto"/>
                            <w:right w:val="none" w:sz="0" w:space="0" w:color="auto"/>
                          </w:divBdr>
                          <w:divsChild>
                            <w:div w:id="1918973807">
                              <w:marLeft w:val="0"/>
                              <w:marRight w:val="0"/>
                              <w:marTop w:val="0"/>
                              <w:marBottom w:val="0"/>
                              <w:divBdr>
                                <w:top w:val="none" w:sz="0" w:space="0" w:color="auto"/>
                                <w:left w:val="none" w:sz="0" w:space="0" w:color="auto"/>
                                <w:bottom w:val="none" w:sz="0" w:space="0" w:color="auto"/>
                                <w:right w:val="none" w:sz="0" w:space="0" w:color="auto"/>
                              </w:divBdr>
                              <w:divsChild>
                                <w:div w:id="2007442311">
                                  <w:marLeft w:val="0"/>
                                  <w:marRight w:val="0"/>
                                  <w:marTop w:val="0"/>
                                  <w:marBottom w:val="0"/>
                                  <w:divBdr>
                                    <w:top w:val="none" w:sz="0" w:space="0" w:color="auto"/>
                                    <w:left w:val="none" w:sz="0" w:space="0" w:color="auto"/>
                                    <w:bottom w:val="none" w:sz="0" w:space="0" w:color="auto"/>
                                    <w:right w:val="none" w:sz="0" w:space="0" w:color="auto"/>
                                  </w:divBdr>
                                  <w:divsChild>
                                    <w:div w:id="1067803281">
                                      <w:marLeft w:val="0"/>
                                      <w:marRight w:val="0"/>
                                      <w:marTop w:val="0"/>
                                      <w:marBottom w:val="0"/>
                                      <w:divBdr>
                                        <w:top w:val="none" w:sz="0" w:space="0" w:color="auto"/>
                                        <w:left w:val="none" w:sz="0" w:space="0" w:color="auto"/>
                                        <w:bottom w:val="none" w:sz="0" w:space="0" w:color="auto"/>
                                        <w:right w:val="none" w:sz="0" w:space="0" w:color="auto"/>
                                      </w:divBdr>
                                      <w:divsChild>
                                        <w:div w:id="1376006259">
                                          <w:marLeft w:val="0"/>
                                          <w:marRight w:val="0"/>
                                          <w:marTop w:val="0"/>
                                          <w:marBottom w:val="0"/>
                                          <w:divBdr>
                                            <w:top w:val="none" w:sz="0" w:space="0" w:color="auto"/>
                                            <w:left w:val="none" w:sz="0" w:space="0" w:color="auto"/>
                                            <w:bottom w:val="none" w:sz="0" w:space="0" w:color="auto"/>
                                            <w:right w:val="none" w:sz="0" w:space="0" w:color="auto"/>
                                          </w:divBdr>
                                        </w:div>
                                      </w:divsChild>
                                    </w:div>
                                    <w:div w:id="1851025740">
                                      <w:marLeft w:val="0"/>
                                      <w:marRight w:val="0"/>
                                      <w:marTop w:val="0"/>
                                      <w:marBottom w:val="0"/>
                                      <w:divBdr>
                                        <w:top w:val="none" w:sz="0" w:space="0" w:color="auto"/>
                                        <w:left w:val="none" w:sz="0" w:space="0" w:color="auto"/>
                                        <w:bottom w:val="none" w:sz="0" w:space="0" w:color="auto"/>
                                        <w:right w:val="none" w:sz="0" w:space="0" w:color="auto"/>
                                      </w:divBdr>
                                      <w:divsChild>
                                        <w:div w:id="1988852462">
                                          <w:marLeft w:val="0"/>
                                          <w:marRight w:val="0"/>
                                          <w:marTop w:val="0"/>
                                          <w:marBottom w:val="0"/>
                                          <w:divBdr>
                                            <w:top w:val="none" w:sz="0" w:space="0" w:color="auto"/>
                                            <w:left w:val="none" w:sz="0" w:space="0" w:color="auto"/>
                                            <w:bottom w:val="none" w:sz="0" w:space="0" w:color="auto"/>
                                            <w:right w:val="none" w:sz="0" w:space="0" w:color="auto"/>
                                          </w:divBdr>
                                        </w:div>
                                        <w:div w:id="931278937">
                                          <w:marLeft w:val="0"/>
                                          <w:marRight w:val="0"/>
                                          <w:marTop w:val="0"/>
                                          <w:marBottom w:val="0"/>
                                          <w:divBdr>
                                            <w:top w:val="none" w:sz="0" w:space="0" w:color="auto"/>
                                            <w:left w:val="none" w:sz="0" w:space="0" w:color="auto"/>
                                            <w:bottom w:val="none" w:sz="0" w:space="0" w:color="auto"/>
                                            <w:right w:val="none" w:sz="0" w:space="0" w:color="auto"/>
                                          </w:divBdr>
                                        </w:div>
                                      </w:divsChild>
                                    </w:div>
                                    <w:div w:id="924265201">
                                      <w:marLeft w:val="0"/>
                                      <w:marRight w:val="0"/>
                                      <w:marTop w:val="0"/>
                                      <w:marBottom w:val="0"/>
                                      <w:divBdr>
                                        <w:top w:val="none" w:sz="0" w:space="0" w:color="auto"/>
                                        <w:left w:val="none" w:sz="0" w:space="0" w:color="auto"/>
                                        <w:bottom w:val="none" w:sz="0" w:space="0" w:color="auto"/>
                                        <w:right w:val="none" w:sz="0" w:space="0" w:color="auto"/>
                                      </w:divBdr>
                                      <w:divsChild>
                                        <w:div w:id="972834025">
                                          <w:marLeft w:val="0"/>
                                          <w:marRight w:val="0"/>
                                          <w:marTop w:val="0"/>
                                          <w:marBottom w:val="0"/>
                                          <w:divBdr>
                                            <w:top w:val="none" w:sz="0" w:space="0" w:color="auto"/>
                                            <w:left w:val="none" w:sz="0" w:space="0" w:color="auto"/>
                                            <w:bottom w:val="none" w:sz="0" w:space="0" w:color="auto"/>
                                            <w:right w:val="none" w:sz="0" w:space="0" w:color="auto"/>
                                          </w:divBdr>
                                        </w:div>
                                        <w:div w:id="8592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B08DA-F7A9-4E23-93E4-BFD38B10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23</Pages>
  <Words>8075</Words>
  <Characters>46029</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VOLPE Nicola</cp:lastModifiedBy>
  <cp:revision>23</cp:revision>
  <dcterms:created xsi:type="dcterms:W3CDTF">2018-12-19T11:11:00Z</dcterms:created>
  <dcterms:modified xsi:type="dcterms:W3CDTF">2019-01-28T13:24:00Z</dcterms:modified>
</cp:coreProperties>
</file>