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BC0DF" w14:textId="77777777" w:rsidR="00D31A87" w:rsidRDefault="00D31A87" w:rsidP="00DA0987">
      <w:pPr>
        <w:pStyle w:val="NoSpacing"/>
        <w:spacing w:line="280" w:lineRule="exact"/>
        <w:ind w:firstLine="0"/>
        <w:jc w:val="center"/>
        <w:rPr>
          <w:rFonts w:ascii="Garamond" w:hAnsi="Garamond"/>
          <w:b/>
          <w:bCs/>
        </w:rPr>
      </w:pPr>
      <w:bookmarkStart w:id="0" w:name="_GoBack"/>
      <w:bookmarkEnd w:id="0"/>
      <w:r w:rsidRPr="00B311BA">
        <w:rPr>
          <w:rFonts w:ascii="Garamond" w:hAnsi="Garamond"/>
          <w:b/>
          <w:bCs/>
          <w:i/>
        </w:rPr>
        <w:t>Golden power</w:t>
      </w:r>
      <w:r>
        <w:rPr>
          <w:rFonts w:ascii="Garamond" w:hAnsi="Garamond"/>
          <w:b/>
          <w:bCs/>
        </w:rPr>
        <w:t xml:space="preserve"> e </w:t>
      </w:r>
      <w:r w:rsidR="00D421C3" w:rsidRPr="0060732B">
        <w:rPr>
          <w:rFonts w:ascii="Garamond" w:hAnsi="Garamond"/>
          <w:b/>
          <w:bCs/>
        </w:rPr>
        <w:t xml:space="preserve">controllo degli investimenti esteri: </w:t>
      </w:r>
    </w:p>
    <w:p w14:paraId="3747AD57" w14:textId="2673E894" w:rsidR="00D421C3" w:rsidRPr="0060732B" w:rsidRDefault="00D421C3" w:rsidP="00DA0987">
      <w:pPr>
        <w:pStyle w:val="NoSpacing"/>
        <w:spacing w:line="280" w:lineRule="exact"/>
        <w:ind w:firstLine="0"/>
        <w:jc w:val="center"/>
        <w:rPr>
          <w:rFonts w:ascii="Garamond" w:hAnsi="Garamond"/>
          <w:b/>
          <w:bCs/>
        </w:rPr>
      </w:pPr>
      <w:r w:rsidRPr="0060732B">
        <w:rPr>
          <w:rFonts w:ascii="Garamond" w:hAnsi="Garamond"/>
          <w:b/>
          <w:bCs/>
        </w:rPr>
        <w:t>natura dei poteri e adeguatezza delle strutture amministrative</w:t>
      </w:r>
    </w:p>
    <w:p w14:paraId="2CBC1B2E" w14:textId="77777777" w:rsidR="00D421C3" w:rsidRPr="0060732B" w:rsidRDefault="00D421C3" w:rsidP="00EC4849">
      <w:pPr>
        <w:pStyle w:val="NoSpacing"/>
        <w:spacing w:line="280" w:lineRule="exact"/>
        <w:ind w:firstLine="0"/>
        <w:jc w:val="both"/>
        <w:rPr>
          <w:rFonts w:ascii="Garamond" w:hAnsi="Garamond"/>
          <w:b/>
          <w:bCs/>
        </w:rPr>
      </w:pPr>
    </w:p>
    <w:p w14:paraId="1848FD37" w14:textId="35E05979" w:rsidR="00EC4849" w:rsidRPr="0060732B" w:rsidRDefault="00E2473C" w:rsidP="00EC4849">
      <w:pPr>
        <w:pStyle w:val="NoSpacing"/>
        <w:spacing w:line="280" w:lineRule="exact"/>
        <w:ind w:firstLine="0"/>
        <w:jc w:val="both"/>
        <w:rPr>
          <w:rFonts w:ascii="Garamond" w:hAnsi="Garamond"/>
        </w:rPr>
      </w:pPr>
      <w:r w:rsidRPr="0060732B">
        <w:rPr>
          <w:rFonts w:ascii="Garamond" w:hAnsi="Garamond"/>
          <w:b/>
          <w:bCs/>
        </w:rPr>
        <w:t xml:space="preserve">SOMMARIO 1. </w:t>
      </w:r>
      <w:r w:rsidRPr="0060732B">
        <w:rPr>
          <w:rFonts w:ascii="Garamond" w:hAnsi="Garamond"/>
        </w:rPr>
        <w:t>Considerazioni introduttive.</w:t>
      </w:r>
      <w:r w:rsidRPr="0060732B">
        <w:rPr>
          <w:rFonts w:ascii="Garamond" w:hAnsi="Garamond"/>
          <w:b/>
          <w:bCs/>
        </w:rPr>
        <w:t xml:space="preserve"> 2. </w:t>
      </w:r>
      <w:r w:rsidRPr="0060732B">
        <w:rPr>
          <w:rFonts w:ascii="Garamond" w:hAnsi="Garamond"/>
        </w:rPr>
        <w:t>Le coordinate normative e la relativa evoluzione.</w:t>
      </w:r>
      <w:r w:rsidRPr="0060732B">
        <w:rPr>
          <w:rFonts w:ascii="Garamond" w:hAnsi="Garamond"/>
          <w:b/>
          <w:bCs/>
        </w:rPr>
        <w:t xml:space="preserve"> </w:t>
      </w:r>
      <w:r w:rsidRPr="0060732B">
        <w:rPr>
          <w:rFonts w:ascii="Garamond" w:hAnsi="Garamond"/>
          <w:i/>
          <w:iCs/>
        </w:rPr>
        <w:t>2.1.</w:t>
      </w:r>
      <w:r w:rsidRPr="0060732B">
        <w:rPr>
          <w:rFonts w:ascii="Garamond" w:hAnsi="Garamond"/>
          <w:b/>
          <w:bCs/>
        </w:rPr>
        <w:t xml:space="preserve"> </w:t>
      </w:r>
      <w:r w:rsidRPr="0060732B">
        <w:rPr>
          <w:rFonts w:ascii="Garamond" w:hAnsi="Garamond" w:cstheme="minorHAnsi"/>
        </w:rPr>
        <w:t xml:space="preserve">Lo Stato </w:t>
      </w:r>
      <w:r w:rsidR="00A41106">
        <w:rPr>
          <w:rFonts w:ascii="Garamond" w:hAnsi="Garamond" w:cstheme="minorHAnsi"/>
        </w:rPr>
        <w:t>“</w:t>
      </w:r>
      <w:r w:rsidRPr="00A41106">
        <w:rPr>
          <w:rFonts w:ascii="Garamond" w:hAnsi="Garamond" w:cstheme="minorHAnsi"/>
        </w:rPr>
        <w:t>azionista</w:t>
      </w:r>
      <w:r w:rsidR="00A41106">
        <w:rPr>
          <w:rFonts w:ascii="Garamond" w:hAnsi="Garamond" w:cstheme="minorHAnsi"/>
        </w:rPr>
        <w:t>”</w:t>
      </w:r>
      <w:r w:rsidRPr="0060732B">
        <w:rPr>
          <w:rFonts w:ascii="Garamond" w:hAnsi="Garamond" w:cstheme="minorHAnsi"/>
        </w:rPr>
        <w:t xml:space="preserve">: la </w:t>
      </w:r>
      <w:r w:rsidRPr="0060732B">
        <w:rPr>
          <w:rFonts w:ascii="Garamond" w:hAnsi="Garamond" w:cstheme="minorHAnsi"/>
          <w:i/>
          <w:iCs/>
        </w:rPr>
        <w:t>golden share</w:t>
      </w:r>
      <w:r w:rsidRPr="0060732B">
        <w:rPr>
          <w:rFonts w:ascii="Garamond" w:hAnsi="Garamond" w:cstheme="minorHAnsi"/>
        </w:rPr>
        <w:t>.</w:t>
      </w:r>
      <w:r w:rsidRPr="0060732B">
        <w:rPr>
          <w:rFonts w:ascii="Garamond" w:hAnsi="Garamond" w:cstheme="minorHAnsi"/>
          <w:b/>
          <w:bCs/>
        </w:rPr>
        <w:t xml:space="preserve"> </w:t>
      </w:r>
      <w:r w:rsidRPr="0060732B">
        <w:rPr>
          <w:rFonts w:ascii="Garamond" w:hAnsi="Garamond" w:cstheme="minorHAnsi"/>
          <w:i/>
          <w:iCs/>
        </w:rPr>
        <w:t>2.2</w:t>
      </w:r>
      <w:r w:rsidRPr="0060732B">
        <w:rPr>
          <w:rFonts w:ascii="Garamond" w:hAnsi="Garamond" w:cstheme="minorHAnsi"/>
          <w:b/>
          <w:bCs/>
        </w:rPr>
        <w:t xml:space="preserve">. </w:t>
      </w:r>
      <w:r w:rsidRPr="0060732B">
        <w:rPr>
          <w:rFonts w:ascii="Garamond" w:hAnsi="Garamond"/>
          <w:bCs/>
        </w:rPr>
        <w:t>La posizione delle Istituzioni europee sul tema degli investimenti esteri diretti.</w:t>
      </w:r>
      <w:r w:rsidRPr="0060732B">
        <w:rPr>
          <w:rFonts w:ascii="Garamond" w:hAnsi="Garamond"/>
          <w:b/>
        </w:rPr>
        <w:t xml:space="preserve"> </w:t>
      </w:r>
      <w:r w:rsidRPr="0060732B">
        <w:rPr>
          <w:rFonts w:ascii="Garamond" w:hAnsi="Garamond"/>
          <w:bCs/>
          <w:i/>
          <w:iCs/>
        </w:rPr>
        <w:t>2.2.1.</w:t>
      </w:r>
      <w:r w:rsidRPr="0060732B">
        <w:rPr>
          <w:rFonts w:ascii="Garamond" w:hAnsi="Garamond"/>
          <w:b/>
        </w:rPr>
        <w:t xml:space="preserve"> </w:t>
      </w:r>
      <w:r w:rsidRPr="0060732B">
        <w:rPr>
          <w:rFonts w:ascii="Garamond" w:hAnsi="Garamond"/>
          <w:bCs/>
        </w:rPr>
        <w:t>Apertura non incondizionata della Commissione: le Comunicazioni del 2010 e del 2017</w:t>
      </w:r>
      <w:r w:rsidR="00537886" w:rsidRPr="0060732B">
        <w:rPr>
          <w:rFonts w:ascii="Garamond" w:hAnsi="Garamond"/>
          <w:bCs/>
        </w:rPr>
        <w:t xml:space="preserve"> e il Reg. UE</w:t>
      </w:r>
      <w:r w:rsidR="00537886" w:rsidRPr="0060732B">
        <w:rPr>
          <w:rFonts w:ascii="Garamond" w:hAnsi="Garamond"/>
          <w:bCs/>
          <w:shd w:val="clear" w:color="auto" w:fill="FFFFFF"/>
        </w:rPr>
        <w:t xml:space="preserve"> 19 marzo 2019, 452</w:t>
      </w:r>
      <w:r w:rsidRPr="0060732B">
        <w:rPr>
          <w:rFonts w:ascii="Garamond" w:hAnsi="Garamond"/>
          <w:bCs/>
        </w:rPr>
        <w:t>.</w:t>
      </w:r>
      <w:r w:rsidRPr="0060732B">
        <w:rPr>
          <w:rFonts w:ascii="Garamond" w:hAnsi="Garamond"/>
          <w:b/>
        </w:rPr>
        <w:t xml:space="preserve"> </w:t>
      </w:r>
      <w:r w:rsidRPr="0060732B">
        <w:rPr>
          <w:rFonts w:ascii="Garamond" w:hAnsi="Garamond"/>
          <w:bCs/>
          <w:i/>
          <w:iCs/>
        </w:rPr>
        <w:t>2.2.</w:t>
      </w:r>
      <w:r w:rsidR="00A41106">
        <w:rPr>
          <w:rFonts w:ascii="Garamond" w:hAnsi="Garamond"/>
          <w:bCs/>
          <w:i/>
          <w:iCs/>
        </w:rPr>
        <w:t>2</w:t>
      </w:r>
      <w:r w:rsidRPr="0060732B">
        <w:rPr>
          <w:rFonts w:ascii="Garamond" w:hAnsi="Garamond"/>
          <w:bCs/>
          <w:i/>
          <w:iCs/>
        </w:rPr>
        <w:t>.</w:t>
      </w:r>
      <w:r w:rsidRPr="0060732B">
        <w:rPr>
          <w:rFonts w:ascii="Garamond" w:hAnsi="Garamond"/>
          <w:b/>
        </w:rPr>
        <w:t xml:space="preserve"> </w:t>
      </w:r>
      <w:r w:rsidRPr="0060732B">
        <w:rPr>
          <w:rFonts w:ascii="Garamond" w:hAnsi="Garamond" w:cs="RotisSansSerifStd-Regular"/>
          <w:bCs/>
        </w:rPr>
        <w:t>La giurisprudenza della Corte di Giustizia.</w:t>
      </w:r>
      <w:r w:rsidRPr="0060732B">
        <w:rPr>
          <w:rFonts w:ascii="Garamond" w:hAnsi="Garamond" w:cs="RotisSansSerifStd-Regular"/>
          <w:b/>
        </w:rPr>
        <w:t xml:space="preserve"> </w:t>
      </w:r>
      <w:r w:rsidRPr="0060732B">
        <w:rPr>
          <w:rFonts w:ascii="Garamond" w:hAnsi="Garamond" w:cs="RotisSansSerifStd-Regular"/>
          <w:bCs/>
          <w:i/>
          <w:iCs/>
        </w:rPr>
        <w:t>2.3.</w:t>
      </w:r>
      <w:r w:rsidRPr="0060732B">
        <w:rPr>
          <w:rFonts w:ascii="Garamond" w:hAnsi="Garamond" w:cs="RotisSansSerifStd-Regular"/>
          <w:b/>
        </w:rPr>
        <w:t xml:space="preserve"> </w:t>
      </w:r>
      <w:r w:rsidRPr="0060732B">
        <w:rPr>
          <w:rFonts w:ascii="Garamond" w:hAnsi="Garamond" w:cs="RotisSansSerifStd-Regular"/>
          <w:bCs/>
        </w:rPr>
        <w:t>L</w:t>
      </w:r>
      <w:r w:rsidR="00A41106">
        <w:rPr>
          <w:rFonts w:ascii="Garamond" w:hAnsi="Garamond" w:cs="RotisSansSerifStd-Regular"/>
          <w:bCs/>
        </w:rPr>
        <w:t>o Stato “regolatore”: l</w:t>
      </w:r>
      <w:r w:rsidRPr="0060732B">
        <w:rPr>
          <w:rFonts w:ascii="Garamond" w:hAnsi="Garamond" w:cs="RotisSansSerifStd-Regular"/>
          <w:bCs/>
        </w:rPr>
        <w:t>a disciplina del 2012.</w:t>
      </w:r>
      <w:r w:rsidRPr="0060732B">
        <w:rPr>
          <w:rFonts w:ascii="Garamond" w:hAnsi="Garamond" w:cs="RotisSansSerifStd-Regular"/>
          <w:b/>
        </w:rPr>
        <w:t xml:space="preserve"> </w:t>
      </w:r>
      <w:r w:rsidRPr="0060732B">
        <w:rPr>
          <w:rFonts w:ascii="Garamond" w:hAnsi="Garamond" w:cs="RotisSansSerifStd-Regular"/>
          <w:bCs/>
          <w:i/>
          <w:iCs/>
        </w:rPr>
        <w:t>2.4.</w:t>
      </w:r>
      <w:r w:rsidRPr="0060732B">
        <w:rPr>
          <w:rFonts w:ascii="Garamond" w:hAnsi="Garamond" w:cs="RotisSansSerifStd-Regular"/>
          <w:b/>
        </w:rPr>
        <w:t xml:space="preserve"> </w:t>
      </w:r>
      <w:r w:rsidRPr="0060732B">
        <w:rPr>
          <w:rFonts w:ascii="Garamond" w:hAnsi="Garamond" w:cs="RotisSansSerifStd-Regular"/>
          <w:bCs/>
        </w:rPr>
        <w:t>L</w:t>
      </w:r>
      <w:r w:rsidR="00A41106">
        <w:rPr>
          <w:rFonts w:ascii="Garamond" w:hAnsi="Garamond" w:cs="RotisSansSerifStd-Regular"/>
          <w:bCs/>
        </w:rPr>
        <w:t>o Stato “stratega”: l</w:t>
      </w:r>
      <w:r w:rsidRPr="0060732B">
        <w:rPr>
          <w:rFonts w:ascii="Garamond" w:hAnsi="Garamond" w:cs="RotisSansSerifStd-Regular"/>
          <w:bCs/>
        </w:rPr>
        <w:t>e novità legislative del 2017 e del 2019.</w:t>
      </w:r>
      <w:r w:rsidRPr="0060732B">
        <w:rPr>
          <w:rFonts w:ascii="Garamond" w:hAnsi="Garamond" w:cs="RotisSansSerifStd-Regular"/>
          <w:b/>
        </w:rPr>
        <w:t xml:space="preserve"> 3. </w:t>
      </w:r>
      <w:r w:rsidRPr="0060732B">
        <w:rPr>
          <w:rFonts w:ascii="Garamond" w:hAnsi="Garamond" w:cs="RotisSansSerifStd-Regular"/>
          <w:bCs/>
        </w:rPr>
        <w:t>La natura dei poteri e la adeguatezza delle strutture preposte al relativo esercizio: il raffronto con l’esperienza statunitense.</w:t>
      </w:r>
      <w:r w:rsidRPr="0060732B">
        <w:rPr>
          <w:rFonts w:ascii="Garamond" w:hAnsi="Garamond" w:cs="RotisSansSerifStd-Regular"/>
          <w:b/>
        </w:rPr>
        <w:t xml:space="preserve"> </w:t>
      </w:r>
      <w:r w:rsidRPr="0060732B">
        <w:rPr>
          <w:rFonts w:ascii="Garamond" w:hAnsi="Garamond"/>
          <w:i/>
          <w:iCs/>
        </w:rPr>
        <w:t>3.1.</w:t>
      </w:r>
      <w:r w:rsidRPr="0060732B">
        <w:rPr>
          <w:rFonts w:ascii="Garamond" w:hAnsi="Garamond"/>
          <w:b/>
          <w:bCs/>
        </w:rPr>
        <w:t xml:space="preserve"> </w:t>
      </w:r>
      <w:r w:rsidRPr="0060732B">
        <w:rPr>
          <w:rFonts w:ascii="Garamond" w:hAnsi="Garamond"/>
        </w:rPr>
        <w:t xml:space="preserve">Il ruolo centrale del </w:t>
      </w:r>
      <w:r w:rsidRPr="0060732B">
        <w:rPr>
          <w:rFonts w:ascii="Garamond" w:hAnsi="Garamond" w:cs="RotisSansSerifStd-Regular"/>
          <w:i/>
        </w:rPr>
        <w:t>CFIUS</w:t>
      </w:r>
      <w:r w:rsidRPr="0060732B">
        <w:rPr>
          <w:rFonts w:ascii="Garamond" w:hAnsi="Garamond"/>
        </w:rPr>
        <w:t xml:space="preserve">. </w:t>
      </w:r>
      <w:r w:rsidRPr="0060732B">
        <w:rPr>
          <w:rFonts w:ascii="Garamond" w:hAnsi="Garamond"/>
          <w:i/>
          <w:iCs/>
        </w:rPr>
        <w:t>3.2</w:t>
      </w:r>
      <w:r w:rsidRPr="0060732B">
        <w:rPr>
          <w:rFonts w:ascii="Garamond" w:hAnsi="Garamond"/>
          <w:b/>
          <w:bCs/>
        </w:rPr>
        <w:t xml:space="preserve">. </w:t>
      </w:r>
      <w:r w:rsidRPr="0060732B">
        <w:rPr>
          <w:rFonts w:ascii="Garamond" w:hAnsi="Garamond"/>
        </w:rPr>
        <w:t>L’impronta politica, negli Stati uniti, dei poteri del Presidente.</w:t>
      </w:r>
      <w:r w:rsidRPr="0060732B">
        <w:rPr>
          <w:rFonts w:ascii="Garamond" w:hAnsi="Garamond"/>
          <w:b/>
          <w:bCs/>
        </w:rPr>
        <w:t xml:space="preserve"> </w:t>
      </w:r>
      <w:r w:rsidRPr="0060732B">
        <w:rPr>
          <w:rFonts w:ascii="Garamond" w:hAnsi="Garamond"/>
          <w:i/>
          <w:iCs/>
        </w:rPr>
        <w:t>3.3.</w:t>
      </w:r>
      <w:r w:rsidRPr="0060732B">
        <w:rPr>
          <w:rFonts w:ascii="Garamond" w:hAnsi="Garamond"/>
          <w:b/>
          <w:bCs/>
        </w:rPr>
        <w:t xml:space="preserve"> </w:t>
      </w:r>
      <w:r w:rsidR="00EC4849" w:rsidRPr="0060732B">
        <w:rPr>
          <w:rFonts w:ascii="Garamond" w:hAnsi="Garamond"/>
        </w:rPr>
        <w:t xml:space="preserve">Cosa accade in Italia? Competenze e adeguatezza strutturale del Gruppo di coordinamento. </w:t>
      </w:r>
      <w:r w:rsidR="00EC4849" w:rsidRPr="0060732B">
        <w:rPr>
          <w:rFonts w:ascii="Garamond" w:hAnsi="Garamond"/>
          <w:i/>
          <w:iCs/>
        </w:rPr>
        <w:t>3.3.1</w:t>
      </w:r>
      <w:r w:rsidR="00EC4849" w:rsidRPr="0060732B">
        <w:rPr>
          <w:rFonts w:ascii="Garamond" w:hAnsi="Garamond"/>
        </w:rPr>
        <w:t>. Natura dei poteri e sindacato giurisdizionale.</w:t>
      </w:r>
    </w:p>
    <w:p w14:paraId="18A8FC4C" w14:textId="4D037269" w:rsidR="00EC4849" w:rsidRPr="0060732B" w:rsidRDefault="00EC4849" w:rsidP="00EC4849">
      <w:pPr>
        <w:pStyle w:val="NoSpacing"/>
        <w:spacing w:line="280" w:lineRule="exact"/>
        <w:jc w:val="both"/>
        <w:rPr>
          <w:rFonts w:ascii="Garamond" w:hAnsi="Garamond"/>
        </w:rPr>
      </w:pPr>
    </w:p>
    <w:p w14:paraId="2741D7DA" w14:textId="1AB7CFBB" w:rsidR="00E2473C" w:rsidRPr="0060732B" w:rsidRDefault="00E2473C" w:rsidP="00EC4849">
      <w:pPr>
        <w:pStyle w:val="NoSpacing"/>
        <w:spacing w:line="280" w:lineRule="exact"/>
        <w:ind w:firstLine="0"/>
        <w:jc w:val="both"/>
        <w:rPr>
          <w:rFonts w:ascii="Garamond" w:hAnsi="Garamond"/>
          <w:b/>
          <w:bCs/>
        </w:rPr>
      </w:pPr>
    </w:p>
    <w:p w14:paraId="101F66EE" w14:textId="5D351646" w:rsidR="00E30527" w:rsidRPr="0060732B" w:rsidRDefault="00E30527" w:rsidP="007726A3">
      <w:pPr>
        <w:pStyle w:val="NoSpacing"/>
        <w:numPr>
          <w:ilvl w:val="0"/>
          <w:numId w:val="2"/>
        </w:numPr>
        <w:spacing w:line="280" w:lineRule="exact"/>
        <w:ind w:left="0" w:firstLine="0"/>
        <w:jc w:val="both"/>
        <w:rPr>
          <w:rFonts w:ascii="Garamond" w:hAnsi="Garamond"/>
          <w:b/>
          <w:bCs/>
        </w:rPr>
      </w:pPr>
      <w:r w:rsidRPr="0060732B">
        <w:rPr>
          <w:rFonts w:ascii="Garamond" w:hAnsi="Garamond"/>
          <w:b/>
          <w:bCs/>
        </w:rPr>
        <w:t>Considerazioni introduttive.</w:t>
      </w:r>
    </w:p>
    <w:p w14:paraId="63BD4DB9" w14:textId="040758C7" w:rsidR="003737B8" w:rsidRPr="0060732B" w:rsidRDefault="007A6239" w:rsidP="007726A3">
      <w:pPr>
        <w:pStyle w:val="NoSpacing"/>
        <w:spacing w:line="280" w:lineRule="exact"/>
        <w:ind w:firstLine="0"/>
        <w:jc w:val="both"/>
        <w:rPr>
          <w:rFonts w:ascii="Garamond" w:hAnsi="Garamond"/>
        </w:rPr>
      </w:pPr>
      <w:r w:rsidRPr="0060732B">
        <w:rPr>
          <w:rFonts w:ascii="Garamond" w:hAnsi="Garamond"/>
        </w:rPr>
        <w:t>La difficoltà di coniugare e conciliare l’interesse de</w:t>
      </w:r>
      <w:r w:rsidR="003737B8" w:rsidRPr="0060732B">
        <w:rPr>
          <w:rFonts w:ascii="Garamond" w:hAnsi="Garamond"/>
        </w:rPr>
        <w:t xml:space="preserve">gli Stati </w:t>
      </w:r>
      <w:r w:rsidRPr="0060732B">
        <w:rPr>
          <w:rFonts w:ascii="Garamond" w:hAnsi="Garamond"/>
        </w:rPr>
        <w:t>a promuovere investimenti esteri con quello a che gli stessi investimenti siano coerenti o compatibili con taluni rilevanti interessi nazionali</w:t>
      </w:r>
      <w:r w:rsidR="003737B8" w:rsidRPr="0060732B">
        <w:rPr>
          <w:rFonts w:ascii="Garamond" w:hAnsi="Garamond"/>
        </w:rPr>
        <w:t xml:space="preserve"> </w:t>
      </w:r>
      <w:r w:rsidRPr="0060732B">
        <w:rPr>
          <w:rFonts w:ascii="Garamond" w:hAnsi="Garamond"/>
        </w:rPr>
        <w:t xml:space="preserve">è comprovata </w:t>
      </w:r>
      <w:r w:rsidR="003737B8" w:rsidRPr="0060732B">
        <w:rPr>
          <w:rFonts w:ascii="Garamond" w:hAnsi="Garamond"/>
        </w:rPr>
        <w:t xml:space="preserve">dai numerosi cambi di impostazione che hanno caratterizzato l’evolversi non solo della disciplina </w:t>
      </w:r>
      <w:r w:rsidRPr="0060732B">
        <w:rPr>
          <w:rFonts w:ascii="Garamond" w:hAnsi="Garamond"/>
        </w:rPr>
        <w:t>italiana</w:t>
      </w:r>
      <w:r w:rsidR="003737B8" w:rsidRPr="0060732B">
        <w:rPr>
          <w:rFonts w:ascii="Garamond" w:hAnsi="Garamond"/>
        </w:rPr>
        <w:t>, ma anche di quelle degli altri Paesi.</w:t>
      </w:r>
    </w:p>
    <w:p w14:paraId="1B123E09" w14:textId="28E57B99" w:rsidR="00914090" w:rsidRPr="0060732B" w:rsidRDefault="003737B8" w:rsidP="007726A3">
      <w:pPr>
        <w:pStyle w:val="NoSpacing"/>
        <w:spacing w:line="280" w:lineRule="exact"/>
        <w:ind w:firstLine="0"/>
        <w:jc w:val="both"/>
        <w:rPr>
          <w:rFonts w:ascii="Garamond" w:hAnsi="Garamond"/>
        </w:rPr>
      </w:pPr>
      <w:r w:rsidRPr="0060732B">
        <w:rPr>
          <w:rFonts w:ascii="Garamond" w:hAnsi="Garamond"/>
        </w:rPr>
        <w:t xml:space="preserve">Quanto alla regolamentazione </w:t>
      </w:r>
      <w:r w:rsidR="007A6239" w:rsidRPr="0060732B">
        <w:rPr>
          <w:rFonts w:ascii="Garamond" w:hAnsi="Garamond"/>
        </w:rPr>
        <w:t xml:space="preserve">nazionale </w:t>
      </w:r>
      <w:r w:rsidRPr="0060732B">
        <w:rPr>
          <w:rFonts w:ascii="Garamond" w:hAnsi="Garamond"/>
        </w:rPr>
        <w:t>dei controlli statali sugli investimenti esteri</w:t>
      </w:r>
      <w:r w:rsidR="007A6239" w:rsidRPr="0060732B">
        <w:rPr>
          <w:rFonts w:ascii="Garamond" w:hAnsi="Garamond"/>
        </w:rPr>
        <w:t xml:space="preserve"> si è sostenuto</w:t>
      </w:r>
      <w:r w:rsidRPr="0060732B">
        <w:rPr>
          <w:rFonts w:ascii="Garamond" w:hAnsi="Garamond"/>
        </w:rPr>
        <w:t xml:space="preserve"> </w:t>
      </w:r>
      <w:r w:rsidR="007A6239" w:rsidRPr="0060732B">
        <w:rPr>
          <w:rFonts w:ascii="Garamond" w:hAnsi="Garamond"/>
        </w:rPr>
        <w:t>-</w:t>
      </w:r>
      <w:r w:rsidRPr="0060732B">
        <w:rPr>
          <w:rFonts w:ascii="Garamond" w:hAnsi="Garamond"/>
        </w:rPr>
        <w:t>n</w:t>
      </w:r>
      <w:r w:rsidR="00147999" w:rsidRPr="0060732B">
        <w:rPr>
          <w:rFonts w:ascii="Garamond" w:hAnsi="Garamond"/>
        </w:rPr>
        <w:t>el</w:t>
      </w:r>
      <w:r w:rsidR="00F45A23" w:rsidRPr="0060732B">
        <w:rPr>
          <w:rFonts w:ascii="Garamond" w:hAnsi="Garamond"/>
        </w:rPr>
        <w:t xml:space="preserve"> tentativo di cogliere </w:t>
      </w:r>
      <w:r w:rsidR="00876C8D" w:rsidRPr="0060732B">
        <w:rPr>
          <w:rFonts w:ascii="Garamond" w:hAnsi="Garamond"/>
        </w:rPr>
        <w:t>l</w:t>
      </w:r>
      <w:r w:rsidR="00F45A23" w:rsidRPr="0060732B">
        <w:rPr>
          <w:rFonts w:ascii="Garamond" w:hAnsi="Garamond"/>
        </w:rPr>
        <w:t xml:space="preserve">e implicazioni sostanziali conseguenti ai </w:t>
      </w:r>
      <w:r w:rsidR="00876C8D" w:rsidRPr="0060732B">
        <w:rPr>
          <w:rFonts w:ascii="Garamond" w:hAnsi="Garamond"/>
        </w:rPr>
        <w:t xml:space="preserve">passaggi salienti </w:t>
      </w:r>
      <w:r w:rsidR="00F45A23" w:rsidRPr="0060732B">
        <w:rPr>
          <w:rFonts w:ascii="Garamond" w:hAnsi="Garamond"/>
        </w:rPr>
        <w:t xml:space="preserve">lungo i quali </w:t>
      </w:r>
      <w:r w:rsidR="00B91158" w:rsidRPr="0060732B">
        <w:rPr>
          <w:rFonts w:ascii="Garamond" w:hAnsi="Garamond"/>
        </w:rPr>
        <w:t xml:space="preserve">la stessa </w:t>
      </w:r>
      <w:r w:rsidR="00F45A23" w:rsidRPr="0060732B">
        <w:rPr>
          <w:rFonts w:ascii="Garamond" w:hAnsi="Garamond"/>
        </w:rPr>
        <w:t xml:space="preserve">si è </w:t>
      </w:r>
      <w:r w:rsidR="00B91158" w:rsidRPr="0060732B">
        <w:rPr>
          <w:rFonts w:ascii="Garamond" w:hAnsi="Garamond"/>
        </w:rPr>
        <w:t>sviluppata</w:t>
      </w:r>
      <w:r w:rsidR="007A6239" w:rsidRPr="0060732B">
        <w:rPr>
          <w:rFonts w:ascii="Garamond" w:hAnsi="Garamond"/>
        </w:rPr>
        <w:t>-</w:t>
      </w:r>
      <w:r w:rsidR="00147999" w:rsidRPr="0060732B">
        <w:rPr>
          <w:rFonts w:ascii="Garamond" w:hAnsi="Garamond"/>
        </w:rPr>
        <w:t xml:space="preserve"> che </w:t>
      </w:r>
      <w:r w:rsidR="00876C8D" w:rsidRPr="0060732B">
        <w:rPr>
          <w:rFonts w:ascii="Garamond" w:hAnsi="Garamond"/>
        </w:rPr>
        <w:t xml:space="preserve">lo Stato ha via via assunto la veste di </w:t>
      </w:r>
      <w:r w:rsidR="00147999" w:rsidRPr="0060732B">
        <w:rPr>
          <w:rFonts w:ascii="Garamond" w:hAnsi="Garamond"/>
          <w:i/>
          <w:iCs/>
        </w:rPr>
        <w:t>azionista</w:t>
      </w:r>
      <w:r w:rsidR="00DE2CA7" w:rsidRPr="0060732B">
        <w:rPr>
          <w:rFonts w:ascii="Garamond" w:hAnsi="Garamond"/>
        </w:rPr>
        <w:t xml:space="preserve"> (</w:t>
      </w:r>
      <w:r w:rsidR="00F45A23" w:rsidRPr="0060732B">
        <w:rPr>
          <w:rFonts w:ascii="Garamond" w:hAnsi="Garamond"/>
        </w:rPr>
        <w:t xml:space="preserve">quando il sistema ruotava attorno </w:t>
      </w:r>
      <w:r w:rsidR="00DE2CA7" w:rsidRPr="0060732B">
        <w:rPr>
          <w:rFonts w:ascii="Garamond" w:hAnsi="Garamond"/>
        </w:rPr>
        <w:t xml:space="preserve">alla </w:t>
      </w:r>
      <w:r w:rsidR="00EC3627" w:rsidRPr="0060732B">
        <w:rPr>
          <w:rFonts w:ascii="Garamond" w:hAnsi="Garamond"/>
          <w:i/>
        </w:rPr>
        <w:t>g</w:t>
      </w:r>
      <w:r w:rsidR="00DE2CA7" w:rsidRPr="0060732B">
        <w:rPr>
          <w:rFonts w:ascii="Garamond" w:hAnsi="Garamond"/>
          <w:i/>
        </w:rPr>
        <w:t xml:space="preserve">olden </w:t>
      </w:r>
      <w:r w:rsidR="00EC3627" w:rsidRPr="0060732B">
        <w:rPr>
          <w:rFonts w:ascii="Garamond" w:hAnsi="Garamond"/>
          <w:i/>
        </w:rPr>
        <w:t>s</w:t>
      </w:r>
      <w:r w:rsidR="00DE2CA7" w:rsidRPr="0060732B">
        <w:rPr>
          <w:rFonts w:ascii="Garamond" w:hAnsi="Garamond"/>
          <w:i/>
        </w:rPr>
        <w:t>hare</w:t>
      </w:r>
      <w:r w:rsidR="00DE2CA7" w:rsidRPr="0060732B">
        <w:rPr>
          <w:rFonts w:ascii="Garamond" w:hAnsi="Garamond"/>
        </w:rPr>
        <w:t xml:space="preserve">), </w:t>
      </w:r>
      <w:r w:rsidR="00DE2CA7" w:rsidRPr="0060732B">
        <w:rPr>
          <w:rFonts w:ascii="Garamond" w:hAnsi="Garamond"/>
          <w:i/>
          <w:iCs/>
        </w:rPr>
        <w:t>regolatore</w:t>
      </w:r>
      <w:r w:rsidR="00EC3627" w:rsidRPr="0060732B">
        <w:rPr>
          <w:rFonts w:ascii="Garamond" w:hAnsi="Garamond"/>
          <w:i/>
          <w:iCs/>
        </w:rPr>
        <w:t xml:space="preserve"> </w:t>
      </w:r>
      <w:r w:rsidR="00EC3627" w:rsidRPr="0060732B">
        <w:rPr>
          <w:rFonts w:ascii="Garamond" w:hAnsi="Garamond"/>
        </w:rPr>
        <w:t xml:space="preserve">(con il </w:t>
      </w:r>
      <w:r w:rsidR="00EC3627" w:rsidRPr="0060732B">
        <w:rPr>
          <w:rFonts w:ascii="Garamond" w:hAnsi="Garamond" w:cstheme="minorHAnsi"/>
        </w:rPr>
        <w:t>d.l. 15 marzo 2012, n. 21</w:t>
      </w:r>
      <w:r w:rsidR="00EC3627" w:rsidRPr="0060732B">
        <w:rPr>
          <w:rFonts w:ascii="Garamond" w:hAnsi="Garamond"/>
        </w:rPr>
        <w:t xml:space="preserve">, e il passaggio al diverso sistema dei </w:t>
      </w:r>
      <w:r w:rsidR="00EC3627" w:rsidRPr="0060732B">
        <w:rPr>
          <w:rStyle w:val="corsivo"/>
          <w:rFonts w:ascii="Garamond" w:hAnsi="Garamond" w:cstheme="minorHAnsi"/>
        </w:rPr>
        <w:t>golden power</w:t>
      </w:r>
      <w:r w:rsidR="007A6239" w:rsidRPr="0060732B">
        <w:rPr>
          <w:rStyle w:val="corsivo"/>
          <w:rFonts w:ascii="Garamond" w:hAnsi="Garamond" w:cstheme="minorHAnsi"/>
        </w:rPr>
        <w:t>s</w:t>
      </w:r>
      <w:r w:rsidR="00EC3627" w:rsidRPr="0060732B">
        <w:rPr>
          <w:rStyle w:val="corsivo"/>
          <w:rFonts w:ascii="Garamond" w:hAnsi="Garamond" w:cstheme="minorHAnsi"/>
          <w:i w:val="0"/>
          <w:iCs w:val="0"/>
        </w:rPr>
        <w:t>)</w:t>
      </w:r>
      <w:r w:rsidR="00DE2CA7" w:rsidRPr="0060732B">
        <w:rPr>
          <w:rFonts w:ascii="Garamond" w:hAnsi="Garamond"/>
        </w:rPr>
        <w:t xml:space="preserve">, </w:t>
      </w:r>
      <w:r w:rsidR="00876C8D" w:rsidRPr="0060732B">
        <w:rPr>
          <w:rFonts w:ascii="Garamond" w:hAnsi="Garamond"/>
        </w:rPr>
        <w:t>fino ad atteggiarsi</w:t>
      </w:r>
      <w:r w:rsidR="00DE2CA7" w:rsidRPr="0060732B">
        <w:rPr>
          <w:rFonts w:ascii="Garamond" w:hAnsi="Garamond"/>
        </w:rPr>
        <w:t xml:space="preserve">, a </w:t>
      </w:r>
      <w:r w:rsidR="00DE2CA7" w:rsidRPr="0060732B">
        <w:rPr>
          <w:rFonts w:ascii="Garamond" w:hAnsi="Garamond"/>
          <w:i/>
          <w:iCs/>
        </w:rPr>
        <w:t>stratega</w:t>
      </w:r>
      <w:r w:rsidR="00392A1D" w:rsidRPr="0060732B">
        <w:rPr>
          <w:rFonts w:ascii="Garamond" w:hAnsi="Garamond"/>
        </w:rPr>
        <w:t>,</w:t>
      </w:r>
      <w:r w:rsidR="00DE2CA7" w:rsidRPr="0060732B">
        <w:rPr>
          <w:rFonts w:ascii="Garamond" w:hAnsi="Garamond"/>
        </w:rPr>
        <w:t xml:space="preserve"> </w:t>
      </w:r>
      <w:r w:rsidR="00914090" w:rsidRPr="0060732B">
        <w:rPr>
          <w:rFonts w:ascii="Garamond" w:hAnsi="Garamond"/>
        </w:rPr>
        <w:t>chiamato a</w:t>
      </w:r>
      <w:r w:rsidR="00DE2CA7" w:rsidRPr="0060732B">
        <w:rPr>
          <w:rFonts w:ascii="Garamond" w:hAnsi="Garamond"/>
        </w:rPr>
        <w:t xml:space="preserve"> perimetrar</w:t>
      </w:r>
      <w:r w:rsidR="00147999" w:rsidRPr="0060732B">
        <w:rPr>
          <w:rFonts w:ascii="Garamond" w:hAnsi="Garamond"/>
        </w:rPr>
        <w:t>e la nozione di sicurezza nazionale</w:t>
      </w:r>
      <w:r w:rsidR="00DE2CA7" w:rsidRPr="0060732B">
        <w:rPr>
          <w:rFonts w:ascii="Garamond" w:hAnsi="Garamond"/>
        </w:rPr>
        <w:t xml:space="preserve"> e</w:t>
      </w:r>
      <w:r w:rsidR="00147999" w:rsidRPr="0060732B">
        <w:rPr>
          <w:rFonts w:ascii="Garamond" w:hAnsi="Garamond"/>
        </w:rPr>
        <w:t xml:space="preserve"> </w:t>
      </w:r>
      <w:r w:rsidR="00914090" w:rsidRPr="0060732B">
        <w:rPr>
          <w:rFonts w:ascii="Garamond" w:hAnsi="Garamond"/>
        </w:rPr>
        <w:t>a</w:t>
      </w:r>
      <w:r w:rsidR="00147999" w:rsidRPr="0060732B">
        <w:rPr>
          <w:rFonts w:ascii="Garamond" w:hAnsi="Garamond"/>
        </w:rPr>
        <w:t xml:space="preserve"> verificarne la compromissione sulla base d</w:t>
      </w:r>
      <w:r w:rsidR="00DE2CA7" w:rsidRPr="0060732B">
        <w:rPr>
          <w:rFonts w:ascii="Garamond" w:hAnsi="Garamond"/>
        </w:rPr>
        <w:t>i una pluralità di valutazioni</w:t>
      </w:r>
      <w:r w:rsidR="00147999" w:rsidRPr="0060732B">
        <w:rPr>
          <w:rFonts w:ascii="Garamond" w:hAnsi="Garamond"/>
        </w:rPr>
        <w:t xml:space="preserve"> di tipo </w:t>
      </w:r>
      <w:r w:rsidR="00DE2CA7" w:rsidRPr="0060732B">
        <w:rPr>
          <w:rFonts w:ascii="Garamond" w:hAnsi="Garamond"/>
        </w:rPr>
        <w:t>geo</w:t>
      </w:r>
      <w:r w:rsidR="00A47050" w:rsidRPr="0060732B">
        <w:rPr>
          <w:rFonts w:ascii="Garamond" w:hAnsi="Garamond"/>
        </w:rPr>
        <w:t>-</w:t>
      </w:r>
      <w:r w:rsidR="00147999" w:rsidRPr="0060732B">
        <w:rPr>
          <w:rFonts w:ascii="Garamond" w:hAnsi="Garamond"/>
        </w:rPr>
        <w:t>economico e geo</w:t>
      </w:r>
      <w:r w:rsidR="00A47050" w:rsidRPr="0060732B">
        <w:rPr>
          <w:rFonts w:ascii="Garamond" w:hAnsi="Garamond"/>
        </w:rPr>
        <w:t>-</w:t>
      </w:r>
      <w:r w:rsidR="00147999" w:rsidRPr="0060732B">
        <w:rPr>
          <w:rFonts w:ascii="Garamond" w:hAnsi="Garamond"/>
        </w:rPr>
        <w:t xml:space="preserve">politico, per esempio quelle riguardanti la collocazione </w:t>
      </w:r>
      <w:r w:rsidR="00914090" w:rsidRPr="0060732B">
        <w:rPr>
          <w:rFonts w:ascii="Garamond" w:hAnsi="Garamond"/>
        </w:rPr>
        <w:t xml:space="preserve">(odierna e prospettica) </w:t>
      </w:r>
      <w:r w:rsidR="00147999" w:rsidRPr="0060732B">
        <w:rPr>
          <w:rFonts w:ascii="Garamond" w:hAnsi="Garamond"/>
        </w:rPr>
        <w:t>dell'Italia nelle relazioni tra Stati Uniti e Cina</w:t>
      </w:r>
      <w:r w:rsidR="00392A1D" w:rsidRPr="0060732B">
        <w:rPr>
          <w:rStyle w:val="FootnoteReference"/>
          <w:rFonts w:ascii="Garamond" w:hAnsi="Garamond"/>
        </w:rPr>
        <w:footnoteReference w:id="1"/>
      </w:r>
      <w:r w:rsidR="00DE2CA7" w:rsidRPr="0060732B">
        <w:rPr>
          <w:rFonts w:ascii="Garamond" w:hAnsi="Garamond"/>
        </w:rPr>
        <w:t xml:space="preserve">. </w:t>
      </w:r>
    </w:p>
    <w:p w14:paraId="60BEA64F" w14:textId="0B967A25" w:rsidR="00914090" w:rsidRPr="0060732B" w:rsidRDefault="00F45A23" w:rsidP="007726A3">
      <w:pPr>
        <w:pStyle w:val="NoSpacing"/>
        <w:spacing w:line="280" w:lineRule="exact"/>
        <w:ind w:firstLine="0"/>
        <w:jc w:val="both"/>
        <w:rPr>
          <w:rFonts w:ascii="Garamond" w:hAnsi="Garamond"/>
        </w:rPr>
      </w:pPr>
      <w:r w:rsidRPr="0060732B">
        <w:rPr>
          <w:rFonts w:ascii="Garamond" w:hAnsi="Garamond"/>
        </w:rPr>
        <w:t xml:space="preserve">A tale cambiamento del </w:t>
      </w:r>
      <w:r w:rsidRPr="0060732B">
        <w:rPr>
          <w:rFonts w:ascii="Garamond" w:hAnsi="Garamond"/>
          <w:i/>
          <w:iCs/>
        </w:rPr>
        <w:t>ruolo</w:t>
      </w:r>
      <w:r w:rsidRPr="0060732B">
        <w:rPr>
          <w:rFonts w:ascii="Garamond" w:hAnsi="Garamond"/>
        </w:rPr>
        <w:t xml:space="preserve"> stesso dello Stato si è affiancato un ampliamento dell’</w:t>
      </w:r>
      <w:r w:rsidR="00147999" w:rsidRPr="0060732B">
        <w:rPr>
          <w:rFonts w:ascii="Garamond" w:hAnsi="Garamond"/>
          <w:i/>
          <w:iCs/>
        </w:rPr>
        <w:t>ambit</w:t>
      </w:r>
      <w:r w:rsidRPr="0060732B">
        <w:rPr>
          <w:rFonts w:ascii="Garamond" w:hAnsi="Garamond"/>
          <w:i/>
          <w:iCs/>
        </w:rPr>
        <w:t>o</w:t>
      </w:r>
      <w:r w:rsidRPr="0060732B">
        <w:rPr>
          <w:rFonts w:ascii="Garamond" w:hAnsi="Garamond"/>
        </w:rPr>
        <w:t xml:space="preserve"> </w:t>
      </w:r>
      <w:r w:rsidRPr="0060732B">
        <w:rPr>
          <w:rFonts w:ascii="Garamond" w:hAnsi="Garamond"/>
          <w:i/>
          <w:iCs/>
        </w:rPr>
        <w:t>applicativo</w:t>
      </w:r>
      <w:r w:rsidRPr="0060732B">
        <w:rPr>
          <w:rFonts w:ascii="Garamond" w:hAnsi="Garamond"/>
        </w:rPr>
        <w:t xml:space="preserve"> della disciplina, </w:t>
      </w:r>
      <w:r w:rsidR="00147999" w:rsidRPr="0060732B">
        <w:rPr>
          <w:rFonts w:ascii="Garamond" w:hAnsi="Garamond"/>
        </w:rPr>
        <w:t xml:space="preserve">non più </w:t>
      </w:r>
      <w:r w:rsidRPr="0060732B">
        <w:rPr>
          <w:rFonts w:ascii="Garamond" w:hAnsi="Garamond"/>
        </w:rPr>
        <w:t xml:space="preserve">costituito dal solo settore della </w:t>
      </w:r>
      <w:r w:rsidR="00147999" w:rsidRPr="0060732B">
        <w:rPr>
          <w:rFonts w:ascii="Garamond" w:hAnsi="Garamond"/>
        </w:rPr>
        <w:t>difesa, ma</w:t>
      </w:r>
      <w:r w:rsidR="00D72AC0" w:rsidRPr="0060732B">
        <w:rPr>
          <w:rFonts w:ascii="Garamond" w:hAnsi="Garamond"/>
        </w:rPr>
        <w:t xml:space="preserve"> </w:t>
      </w:r>
      <w:r w:rsidRPr="0060732B">
        <w:rPr>
          <w:rFonts w:ascii="Garamond" w:hAnsi="Garamond"/>
        </w:rPr>
        <w:t>via via esteso</w:t>
      </w:r>
      <w:r w:rsidR="008621C7" w:rsidRPr="0060732B">
        <w:rPr>
          <w:rFonts w:ascii="Garamond" w:hAnsi="Garamond"/>
        </w:rPr>
        <w:t xml:space="preserve"> ad altri settori</w:t>
      </w:r>
      <w:r w:rsidR="003175A7" w:rsidRPr="0060732B">
        <w:rPr>
          <w:rFonts w:ascii="Garamond" w:hAnsi="Garamond"/>
        </w:rPr>
        <w:t>, come</w:t>
      </w:r>
      <w:r w:rsidR="00D72AC0" w:rsidRPr="0060732B">
        <w:rPr>
          <w:rFonts w:ascii="Garamond" w:hAnsi="Garamond"/>
        </w:rPr>
        <w:t xml:space="preserve"> accaduto</w:t>
      </w:r>
      <w:r w:rsidRPr="0060732B">
        <w:rPr>
          <w:rFonts w:ascii="Garamond" w:hAnsi="Garamond"/>
        </w:rPr>
        <w:t xml:space="preserve">, in particolare, </w:t>
      </w:r>
      <w:r w:rsidR="00147999" w:rsidRPr="0060732B">
        <w:rPr>
          <w:rFonts w:ascii="Garamond" w:hAnsi="Garamond"/>
        </w:rPr>
        <w:t>con i</w:t>
      </w:r>
      <w:r w:rsidR="00EC3627" w:rsidRPr="0060732B">
        <w:rPr>
          <w:rFonts w:ascii="Garamond" w:hAnsi="Garamond"/>
        </w:rPr>
        <w:t xml:space="preserve"> d.l. </w:t>
      </w:r>
      <w:r w:rsidR="009A3F4F" w:rsidRPr="0060732B">
        <w:rPr>
          <w:rFonts w:ascii="Garamond" w:hAnsi="Garamond" w:cs="RotisSansSerifStd-Regular"/>
        </w:rPr>
        <w:t>16 ottobre 2017, n. 148,</w:t>
      </w:r>
      <w:r w:rsidR="00EC3627" w:rsidRPr="0060732B">
        <w:rPr>
          <w:rFonts w:ascii="Garamond" w:hAnsi="Garamond" w:cs="RotisSansSerifStd-Regular"/>
        </w:rPr>
        <w:t xml:space="preserve"> e </w:t>
      </w:r>
      <w:r w:rsidR="00EC3627" w:rsidRPr="0060732B">
        <w:rPr>
          <w:rFonts w:ascii="Garamond" w:hAnsi="Garamond"/>
          <w:shd w:val="clear" w:color="auto" w:fill="FFFFFF"/>
        </w:rPr>
        <w:t>20 maggio 2019, </w:t>
      </w:r>
      <w:r w:rsidR="00EC3627" w:rsidRPr="0060732B">
        <w:rPr>
          <w:rStyle w:val="Emphasis"/>
          <w:rFonts w:ascii="Garamond" w:hAnsi="Garamond"/>
          <w:i w:val="0"/>
          <w:iCs w:val="0"/>
          <w:shd w:val="clear" w:color="auto" w:fill="FFFFFF"/>
        </w:rPr>
        <w:t>n</w:t>
      </w:r>
      <w:r w:rsidR="00EC3627" w:rsidRPr="0060732B">
        <w:rPr>
          <w:rFonts w:ascii="Garamond" w:hAnsi="Garamond"/>
          <w:shd w:val="clear" w:color="auto" w:fill="FFFFFF"/>
        </w:rPr>
        <w:t>. 41,</w:t>
      </w:r>
      <w:r w:rsidR="009A3F4F" w:rsidRPr="0060732B">
        <w:rPr>
          <w:rFonts w:ascii="Garamond" w:hAnsi="Garamond" w:cs="RotisSansSerifStd-Regular"/>
        </w:rPr>
        <w:t xml:space="preserve"> </w:t>
      </w:r>
      <w:r w:rsidR="00147999" w:rsidRPr="0060732B">
        <w:rPr>
          <w:rFonts w:ascii="Garamond" w:hAnsi="Garamond"/>
        </w:rPr>
        <w:t>che</w:t>
      </w:r>
      <w:r w:rsidR="00914090" w:rsidRPr="0060732B">
        <w:rPr>
          <w:rFonts w:ascii="Garamond" w:hAnsi="Garamond"/>
        </w:rPr>
        <w:t xml:space="preserve">, </w:t>
      </w:r>
      <w:r w:rsidR="00EC3627" w:rsidRPr="0060732B">
        <w:rPr>
          <w:rFonts w:ascii="Garamond" w:hAnsi="Garamond"/>
        </w:rPr>
        <w:t>integrando</w:t>
      </w:r>
      <w:r w:rsidR="00147999" w:rsidRPr="0060732B">
        <w:rPr>
          <w:rFonts w:ascii="Garamond" w:hAnsi="Garamond"/>
        </w:rPr>
        <w:t xml:space="preserve"> la terza tappa</w:t>
      </w:r>
      <w:r w:rsidRPr="0060732B">
        <w:rPr>
          <w:rFonts w:ascii="Garamond" w:hAnsi="Garamond"/>
        </w:rPr>
        <w:t xml:space="preserve"> </w:t>
      </w:r>
      <w:r w:rsidR="00147999" w:rsidRPr="0060732B">
        <w:rPr>
          <w:rFonts w:ascii="Garamond" w:hAnsi="Garamond"/>
        </w:rPr>
        <w:t>evolu</w:t>
      </w:r>
      <w:r w:rsidRPr="0060732B">
        <w:rPr>
          <w:rFonts w:ascii="Garamond" w:hAnsi="Garamond"/>
        </w:rPr>
        <w:t xml:space="preserve">tiva </w:t>
      </w:r>
      <w:r w:rsidR="00147999" w:rsidRPr="0060732B">
        <w:rPr>
          <w:rFonts w:ascii="Garamond" w:hAnsi="Garamond"/>
        </w:rPr>
        <w:t xml:space="preserve">del sistema nazionale di controllo degli investimenti </w:t>
      </w:r>
      <w:r w:rsidR="00A47050" w:rsidRPr="0060732B">
        <w:rPr>
          <w:rFonts w:ascii="Garamond" w:hAnsi="Garamond"/>
        </w:rPr>
        <w:t>esteri</w:t>
      </w:r>
      <w:r w:rsidR="00914090" w:rsidRPr="0060732B">
        <w:rPr>
          <w:rFonts w:ascii="Garamond" w:hAnsi="Garamond"/>
        </w:rPr>
        <w:t xml:space="preserve">, </w:t>
      </w:r>
      <w:r w:rsidR="00CD0C82" w:rsidRPr="0060732B">
        <w:rPr>
          <w:rFonts w:ascii="Garamond" w:hAnsi="Garamond"/>
        </w:rPr>
        <w:t>vi ha</w:t>
      </w:r>
      <w:r w:rsidR="00EC3627" w:rsidRPr="0060732B">
        <w:rPr>
          <w:rFonts w:ascii="Garamond" w:hAnsi="Garamond"/>
        </w:rPr>
        <w:t>nno</w:t>
      </w:r>
      <w:r w:rsidR="00CD0C82" w:rsidRPr="0060732B">
        <w:rPr>
          <w:rFonts w:ascii="Garamond" w:hAnsi="Garamond"/>
        </w:rPr>
        <w:t xml:space="preserve"> ricompreso </w:t>
      </w:r>
      <w:r w:rsidR="008621C7" w:rsidRPr="0060732B">
        <w:rPr>
          <w:rFonts w:ascii="Garamond" w:hAnsi="Garamond"/>
        </w:rPr>
        <w:t>quelli</w:t>
      </w:r>
      <w:r w:rsidR="00914090" w:rsidRPr="0060732B">
        <w:rPr>
          <w:rFonts w:ascii="Garamond" w:hAnsi="Garamond"/>
        </w:rPr>
        <w:t xml:space="preserve"> </w:t>
      </w:r>
      <w:r w:rsidR="00147999" w:rsidRPr="0060732B">
        <w:rPr>
          <w:rFonts w:ascii="Garamond" w:hAnsi="Garamond"/>
        </w:rPr>
        <w:t>delle reti</w:t>
      </w:r>
      <w:r w:rsidR="00A47050" w:rsidRPr="0060732B">
        <w:rPr>
          <w:rFonts w:ascii="Garamond" w:hAnsi="Garamond"/>
        </w:rPr>
        <w:t>,</w:t>
      </w:r>
      <w:r w:rsidR="00147999" w:rsidRPr="0060732B">
        <w:rPr>
          <w:rFonts w:ascii="Garamond" w:hAnsi="Garamond"/>
        </w:rPr>
        <w:t xml:space="preserve"> d</w:t>
      </w:r>
      <w:r w:rsidR="00914090" w:rsidRPr="0060732B">
        <w:rPr>
          <w:rFonts w:ascii="Garamond" w:hAnsi="Garamond"/>
        </w:rPr>
        <w:t>e</w:t>
      </w:r>
      <w:r w:rsidR="00147999" w:rsidRPr="0060732B">
        <w:rPr>
          <w:rFonts w:ascii="Garamond" w:hAnsi="Garamond"/>
        </w:rPr>
        <w:t xml:space="preserve">lle infrastrutture strategiche </w:t>
      </w:r>
      <w:r w:rsidR="00914090" w:rsidRPr="0060732B">
        <w:rPr>
          <w:rFonts w:ascii="Garamond" w:hAnsi="Garamond"/>
        </w:rPr>
        <w:t>e d</w:t>
      </w:r>
      <w:r w:rsidR="00147999" w:rsidRPr="0060732B">
        <w:rPr>
          <w:rFonts w:ascii="Garamond" w:hAnsi="Garamond"/>
        </w:rPr>
        <w:t>i telecomunicazioni</w:t>
      </w:r>
      <w:r w:rsidR="00914090" w:rsidRPr="0060732B">
        <w:rPr>
          <w:rFonts w:ascii="Garamond" w:hAnsi="Garamond"/>
        </w:rPr>
        <w:t>,</w:t>
      </w:r>
      <w:r w:rsidR="00A47050" w:rsidRPr="0060732B">
        <w:rPr>
          <w:rFonts w:ascii="Garamond" w:hAnsi="Garamond"/>
        </w:rPr>
        <w:t xml:space="preserve"> </w:t>
      </w:r>
      <w:r w:rsidR="00EC3627" w:rsidRPr="0060732B">
        <w:rPr>
          <w:rFonts w:ascii="Garamond" w:hAnsi="Garamond" w:cs="RotisSansSerifStd-Regular"/>
        </w:rPr>
        <w:t>i settori ad alta tecnologia</w:t>
      </w:r>
      <w:r w:rsidR="00EC3627" w:rsidRPr="0060732B">
        <w:rPr>
          <w:rFonts w:ascii="Garamond" w:hAnsi="Garamond" w:cs="RotisSansSerifStd-Regular"/>
          <w:i/>
          <w:iCs/>
        </w:rPr>
        <w:t xml:space="preserve"> </w:t>
      </w:r>
      <w:r w:rsidR="00A47050" w:rsidRPr="0060732B">
        <w:rPr>
          <w:rFonts w:ascii="Garamond" w:hAnsi="Garamond"/>
        </w:rPr>
        <w:t>fino</w:t>
      </w:r>
      <w:r w:rsidR="00147999" w:rsidRPr="0060732B">
        <w:rPr>
          <w:rFonts w:ascii="Garamond" w:hAnsi="Garamond"/>
        </w:rPr>
        <w:t xml:space="preserve"> all'ambito finanziario</w:t>
      </w:r>
      <w:r w:rsidR="00A47050" w:rsidRPr="0060732B">
        <w:rPr>
          <w:rFonts w:ascii="Garamond" w:hAnsi="Garamond"/>
        </w:rPr>
        <w:t>.</w:t>
      </w:r>
      <w:r w:rsidR="00147999" w:rsidRPr="0060732B">
        <w:rPr>
          <w:rFonts w:ascii="Garamond" w:hAnsi="Garamond"/>
        </w:rPr>
        <w:t xml:space="preserve"> </w:t>
      </w:r>
    </w:p>
    <w:p w14:paraId="33A8C369" w14:textId="10BCB2BF" w:rsidR="00392A1D" w:rsidRPr="0060732B" w:rsidRDefault="008621C7" w:rsidP="007726A3">
      <w:pPr>
        <w:pStyle w:val="NoSpacing"/>
        <w:spacing w:line="280" w:lineRule="exact"/>
        <w:ind w:firstLine="0"/>
        <w:jc w:val="both"/>
        <w:rPr>
          <w:rFonts w:ascii="Garamond" w:hAnsi="Garamond"/>
        </w:rPr>
      </w:pPr>
      <w:r w:rsidRPr="0060732B">
        <w:rPr>
          <w:rFonts w:ascii="Garamond" w:hAnsi="Garamond"/>
        </w:rPr>
        <w:t>Con l’intento di</w:t>
      </w:r>
      <w:r w:rsidR="00CD0C82" w:rsidRPr="0060732B">
        <w:rPr>
          <w:rFonts w:ascii="Garamond" w:hAnsi="Garamond"/>
        </w:rPr>
        <w:t xml:space="preserve"> esplicitare l’esposta impostazione che </w:t>
      </w:r>
      <w:r w:rsidR="00392A1D" w:rsidRPr="0060732B">
        <w:rPr>
          <w:rFonts w:ascii="Garamond" w:hAnsi="Garamond"/>
        </w:rPr>
        <w:t>assume</w:t>
      </w:r>
      <w:r w:rsidR="00A47050" w:rsidRPr="0060732B">
        <w:rPr>
          <w:rFonts w:ascii="Garamond" w:hAnsi="Garamond"/>
        </w:rPr>
        <w:t xml:space="preserve"> il passaggio</w:t>
      </w:r>
      <w:r w:rsidR="00147999" w:rsidRPr="0060732B">
        <w:rPr>
          <w:rFonts w:ascii="Garamond" w:hAnsi="Garamond"/>
        </w:rPr>
        <w:t xml:space="preserve"> dallo Stato azionista</w:t>
      </w:r>
      <w:r w:rsidR="00A47050" w:rsidRPr="0060732B">
        <w:rPr>
          <w:rFonts w:ascii="Garamond" w:hAnsi="Garamond"/>
        </w:rPr>
        <w:t>, al</w:t>
      </w:r>
      <w:r w:rsidR="00147999" w:rsidRPr="0060732B">
        <w:rPr>
          <w:rFonts w:ascii="Garamond" w:hAnsi="Garamond"/>
        </w:rPr>
        <w:t xml:space="preserve">lo </w:t>
      </w:r>
      <w:r w:rsidR="00A47050" w:rsidRPr="0060732B">
        <w:rPr>
          <w:rFonts w:ascii="Garamond" w:hAnsi="Garamond"/>
        </w:rPr>
        <w:t>S</w:t>
      </w:r>
      <w:r w:rsidR="00147999" w:rsidRPr="0060732B">
        <w:rPr>
          <w:rFonts w:ascii="Garamond" w:hAnsi="Garamond"/>
        </w:rPr>
        <w:t>tato regolatore</w:t>
      </w:r>
      <w:r w:rsidR="00A47050" w:rsidRPr="0060732B">
        <w:rPr>
          <w:rFonts w:ascii="Garamond" w:hAnsi="Garamond"/>
        </w:rPr>
        <w:t>, allo S</w:t>
      </w:r>
      <w:r w:rsidR="00147999" w:rsidRPr="0060732B">
        <w:rPr>
          <w:rFonts w:ascii="Garamond" w:hAnsi="Garamond"/>
        </w:rPr>
        <w:t>tato stratega</w:t>
      </w:r>
      <w:r w:rsidR="00A47050" w:rsidRPr="0060732B">
        <w:rPr>
          <w:rFonts w:ascii="Garamond" w:hAnsi="Garamond"/>
        </w:rPr>
        <w:t>,</w:t>
      </w:r>
      <w:r w:rsidR="00147999" w:rsidRPr="0060732B">
        <w:rPr>
          <w:rFonts w:ascii="Garamond" w:hAnsi="Garamond"/>
        </w:rPr>
        <w:t xml:space="preserve"> </w:t>
      </w:r>
      <w:r w:rsidRPr="0060732B">
        <w:rPr>
          <w:rFonts w:ascii="Garamond" w:hAnsi="Garamond"/>
        </w:rPr>
        <w:t xml:space="preserve">è utile ripercorrere sinteticamente le tappe rilevanti dell’indicato percorso evolutivo della disciplina nazionale </w:t>
      </w:r>
      <w:r w:rsidR="00147999" w:rsidRPr="0060732B">
        <w:rPr>
          <w:rFonts w:ascii="Garamond" w:hAnsi="Garamond"/>
        </w:rPr>
        <w:t xml:space="preserve">per poi </w:t>
      </w:r>
      <w:r w:rsidR="00A77C95" w:rsidRPr="0060732B">
        <w:rPr>
          <w:rFonts w:ascii="Garamond" w:hAnsi="Garamond"/>
        </w:rPr>
        <w:t>svolgere alcune brevi considerazioni</w:t>
      </w:r>
      <w:r w:rsidR="00CD0C82" w:rsidRPr="0060732B">
        <w:rPr>
          <w:rFonts w:ascii="Garamond" w:hAnsi="Garamond"/>
        </w:rPr>
        <w:t xml:space="preserve"> su talun</w:t>
      </w:r>
      <w:r w:rsidR="003737B8" w:rsidRPr="0060732B">
        <w:rPr>
          <w:rFonts w:ascii="Garamond" w:hAnsi="Garamond"/>
        </w:rPr>
        <w:t>i</w:t>
      </w:r>
      <w:r w:rsidR="00CD0C82" w:rsidRPr="0060732B">
        <w:rPr>
          <w:rFonts w:ascii="Garamond" w:hAnsi="Garamond"/>
        </w:rPr>
        <w:t xml:space="preserve"> profili problematici </w:t>
      </w:r>
      <w:r w:rsidR="00392A1D" w:rsidRPr="0060732B">
        <w:rPr>
          <w:rFonts w:ascii="Garamond" w:hAnsi="Garamond"/>
        </w:rPr>
        <w:t xml:space="preserve">che sin d’ora si </w:t>
      </w:r>
      <w:r w:rsidR="003737B8" w:rsidRPr="0060732B">
        <w:rPr>
          <w:rFonts w:ascii="Garamond" w:hAnsi="Garamond"/>
        </w:rPr>
        <w:t>indicano</w:t>
      </w:r>
      <w:r w:rsidR="00147999" w:rsidRPr="0060732B">
        <w:rPr>
          <w:rFonts w:ascii="Garamond" w:hAnsi="Garamond"/>
        </w:rPr>
        <w:t xml:space="preserve">: </w:t>
      </w:r>
    </w:p>
    <w:p w14:paraId="566FF9A0" w14:textId="42D80C74" w:rsidR="00392A1D" w:rsidRPr="0060732B" w:rsidRDefault="00147999" w:rsidP="007726A3">
      <w:pPr>
        <w:pStyle w:val="NoSpacing"/>
        <w:numPr>
          <w:ilvl w:val="0"/>
          <w:numId w:val="1"/>
        </w:numPr>
        <w:spacing w:line="280" w:lineRule="exact"/>
        <w:ind w:left="0" w:firstLine="0"/>
        <w:jc w:val="both"/>
        <w:rPr>
          <w:rFonts w:ascii="Garamond" w:hAnsi="Garamond"/>
        </w:rPr>
      </w:pPr>
      <w:r w:rsidRPr="0060732B">
        <w:rPr>
          <w:rFonts w:ascii="Garamond" w:hAnsi="Garamond"/>
        </w:rPr>
        <w:t xml:space="preserve">che </w:t>
      </w:r>
      <w:r w:rsidR="00392A1D" w:rsidRPr="0060732B">
        <w:rPr>
          <w:rFonts w:ascii="Garamond" w:hAnsi="Garamond"/>
          <w:i/>
          <w:iCs/>
        </w:rPr>
        <w:t>natura</w:t>
      </w:r>
      <w:r w:rsidR="00392A1D" w:rsidRPr="0060732B">
        <w:rPr>
          <w:rFonts w:ascii="Garamond" w:hAnsi="Garamond"/>
        </w:rPr>
        <w:t xml:space="preserve"> ha</w:t>
      </w:r>
      <w:r w:rsidR="00914090" w:rsidRPr="0060732B">
        <w:rPr>
          <w:rFonts w:ascii="Garamond" w:hAnsi="Garamond"/>
        </w:rPr>
        <w:t>nno</w:t>
      </w:r>
      <w:r w:rsidR="00392A1D" w:rsidRPr="0060732B">
        <w:rPr>
          <w:rFonts w:ascii="Garamond" w:hAnsi="Garamond"/>
        </w:rPr>
        <w:t xml:space="preserve"> i</w:t>
      </w:r>
      <w:r w:rsidRPr="0060732B">
        <w:rPr>
          <w:rFonts w:ascii="Garamond" w:hAnsi="Garamond"/>
        </w:rPr>
        <w:t xml:space="preserve"> poter</w:t>
      </w:r>
      <w:r w:rsidR="00914090" w:rsidRPr="0060732B">
        <w:rPr>
          <w:rFonts w:ascii="Garamond" w:hAnsi="Garamond"/>
        </w:rPr>
        <w:t>i</w:t>
      </w:r>
      <w:r w:rsidRPr="0060732B">
        <w:rPr>
          <w:rFonts w:ascii="Garamond" w:hAnsi="Garamond"/>
        </w:rPr>
        <w:t xml:space="preserve"> </w:t>
      </w:r>
      <w:r w:rsidR="00392A1D" w:rsidRPr="0060732B">
        <w:rPr>
          <w:rFonts w:ascii="Garamond" w:hAnsi="Garamond"/>
        </w:rPr>
        <w:t>assegnat</w:t>
      </w:r>
      <w:r w:rsidR="00914090" w:rsidRPr="0060732B">
        <w:rPr>
          <w:rFonts w:ascii="Garamond" w:hAnsi="Garamond"/>
        </w:rPr>
        <w:t>i</w:t>
      </w:r>
      <w:r w:rsidR="00392A1D" w:rsidRPr="0060732B">
        <w:rPr>
          <w:rFonts w:ascii="Garamond" w:hAnsi="Garamond"/>
        </w:rPr>
        <w:t xml:space="preserve"> allo Stato? </w:t>
      </w:r>
      <w:r w:rsidR="00A47050" w:rsidRPr="0060732B">
        <w:rPr>
          <w:rFonts w:ascii="Garamond" w:hAnsi="Garamond"/>
        </w:rPr>
        <w:t xml:space="preserve"> </w:t>
      </w:r>
    </w:p>
    <w:p w14:paraId="1F95E0F8" w14:textId="67205ED7" w:rsidR="001B067A" w:rsidRPr="0060732B" w:rsidRDefault="00392A1D" w:rsidP="007726A3">
      <w:pPr>
        <w:pStyle w:val="NoSpacing"/>
        <w:numPr>
          <w:ilvl w:val="0"/>
          <w:numId w:val="1"/>
        </w:numPr>
        <w:spacing w:line="280" w:lineRule="exact"/>
        <w:ind w:left="0" w:firstLine="0"/>
        <w:jc w:val="both"/>
        <w:rPr>
          <w:rFonts w:ascii="Garamond" w:hAnsi="Garamond"/>
        </w:rPr>
      </w:pPr>
      <w:r w:rsidRPr="0060732B">
        <w:rPr>
          <w:rFonts w:ascii="Garamond" w:hAnsi="Garamond"/>
        </w:rPr>
        <w:t xml:space="preserve">quali </w:t>
      </w:r>
      <w:r w:rsidRPr="0060732B">
        <w:rPr>
          <w:rFonts w:ascii="Garamond" w:hAnsi="Garamond"/>
          <w:i/>
          <w:iCs/>
        </w:rPr>
        <w:t>strutture amministrative</w:t>
      </w:r>
      <w:r w:rsidRPr="0060732B">
        <w:rPr>
          <w:rFonts w:ascii="Garamond" w:hAnsi="Garamond"/>
        </w:rPr>
        <w:t xml:space="preserve"> sono preposte all’esercizio delle competenze assegnate dalla legge e quale è il </w:t>
      </w:r>
      <w:r w:rsidRPr="0060732B">
        <w:rPr>
          <w:rFonts w:ascii="Garamond" w:hAnsi="Garamond"/>
          <w:i/>
          <w:iCs/>
        </w:rPr>
        <w:t>grado di adeguatezza</w:t>
      </w:r>
      <w:r w:rsidRPr="0060732B">
        <w:rPr>
          <w:rFonts w:ascii="Garamond" w:hAnsi="Garamond"/>
        </w:rPr>
        <w:t xml:space="preserve"> delle stesse</w:t>
      </w:r>
      <w:r w:rsidR="00A47050" w:rsidRPr="0060732B">
        <w:rPr>
          <w:rFonts w:ascii="Garamond" w:hAnsi="Garamond"/>
        </w:rPr>
        <w:t>?</w:t>
      </w:r>
      <w:r w:rsidR="00147999" w:rsidRPr="0060732B">
        <w:rPr>
          <w:rFonts w:ascii="Garamond" w:hAnsi="Garamond"/>
        </w:rPr>
        <w:t xml:space="preserve"> </w:t>
      </w:r>
    </w:p>
    <w:p w14:paraId="48E6148F" w14:textId="0D8BACCE" w:rsidR="00392A1D" w:rsidRPr="0060732B" w:rsidRDefault="00392A1D" w:rsidP="007726A3">
      <w:pPr>
        <w:pStyle w:val="NoSpacing"/>
        <w:spacing w:line="280" w:lineRule="exact"/>
        <w:ind w:firstLine="0"/>
        <w:jc w:val="both"/>
        <w:rPr>
          <w:rFonts w:ascii="Garamond" w:hAnsi="Garamond"/>
        </w:rPr>
      </w:pPr>
      <w:r w:rsidRPr="0060732B">
        <w:rPr>
          <w:rFonts w:ascii="Garamond" w:hAnsi="Garamond"/>
        </w:rPr>
        <w:t xml:space="preserve">Per meglio esplicitare e perimetrare l’oggetto dell’intervento, le </w:t>
      </w:r>
      <w:r w:rsidR="00147999" w:rsidRPr="0060732B">
        <w:rPr>
          <w:rFonts w:ascii="Garamond" w:hAnsi="Garamond"/>
        </w:rPr>
        <w:t>riflessioni</w:t>
      </w:r>
      <w:r w:rsidR="001B067A" w:rsidRPr="0060732B">
        <w:rPr>
          <w:rFonts w:ascii="Garamond" w:hAnsi="Garamond"/>
        </w:rPr>
        <w:t xml:space="preserve"> </w:t>
      </w:r>
      <w:r w:rsidRPr="0060732B">
        <w:rPr>
          <w:rFonts w:ascii="Garamond" w:hAnsi="Garamond"/>
        </w:rPr>
        <w:t>atterranno</w:t>
      </w:r>
      <w:r w:rsidR="00914090" w:rsidRPr="0060732B">
        <w:rPr>
          <w:rFonts w:ascii="Garamond" w:hAnsi="Garamond"/>
        </w:rPr>
        <w:t xml:space="preserve">, da un lato, </w:t>
      </w:r>
      <w:r w:rsidRPr="0060732B">
        <w:rPr>
          <w:rFonts w:ascii="Garamond" w:hAnsi="Garamond"/>
        </w:rPr>
        <w:t>a</w:t>
      </w:r>
      <w:r w:rsidR="001B067A" w:rsidRPr="0060732B">
        <w:rPr>
          <w:rFonts w:ascii="Garamond" w:hAnsi="Garamond"/>
        </w:rPr>
        <w:t>lla</w:t>
      </w:r>
      <w:r w:rsidR="00147999" w:rsidRPr="0060732B">
        <w:rPr>
          <w:rFonts w:ascii="Garamond" w:hAnsi="Garamond"/>
        </w:rPr>
        <w:t xml:space="preserve"> natura delle valutazioni e quindi del potere che </w:t>
      </w:r>
      <w:r w:rsidR="00914090" w:rsidRPr="0060732B">
        <w:rPr>
          <w:rFonts w:ascii="Garamond" w:hAnsi="Garamond"/>
        </w:rPr>
        <w:t>gli</w:t>
      </w:r>
      <w:r w:rsidR="00147999" w:rsidRPr="0060732B">
        <w:rPr>
          <w:rFonts w:ascii="Garamond" w:hAnsi="Garamond"/>
        </w:rPr>
        <w:t xml:space="preserve"> organism</w:t>
      </w:r>
      <w:r w:rsidR="00914090" w:rsidRPr="0060732B">
        <w:rPr>
          <w:rFonts w:ascii="Garamond" w:hAnsi="Garamond"/>
        </w:rPr>
        <w:t xml:space="preserve">i pubblici coinvolti </w:t>
      </w:r>
      <w:r w:rsidR="00147999" w:rsidRPr="0060732B">
        <w:rPr>
          <w:rFonts w:ascii="Garamond" w:hAnsi="Garamond"/>
        </w:rPr>
        <w:t>esercita</w:t>
      </w:r>
      <w:r w:rsidR="00914090" w:rsidRPr="0060732B">
        <w:rPr>
          <w:rFonts w:ascii="Garamond" w:hAnsi="Garamond"/>
        </w:rPr>
        <w:t xml:space="preserve">no e, </w:t>
      </w:r>
      <w:r w:rsidR="00147999" w:rsidRPr="0060732B">
        <w:rPr>
          <w:rFonts w:ascii="Garamond" w:hAnsi="Garamond"/>
        </w:rPr>
        <w:t>conseguentemente</w:t>
      </w:r>
      <w:r w:rsidR="00914090" w:rsidRPr="0060732B">
        <w:rPr>
          <w:rFonts w:ascii="Garamond" w:hAnsi="Garamond"/>
        </w:rPr>
        <w:t>,</w:t>
      </w:r>
      <w:r w:rsidR="00147999" w:rsidRPr="0060732B">
        <w:rPr>
          <w:rFonts w:ascii="Garamond" w:hAnsi="Garamond"/>
        </w:rPr>
        <w:t xml:space="preserve"> </w:t>
      </w:r>
      <w:r w:rsidRPr="0060732B">
        <w:rPr>
          <w:rFonts w:ascii="Garamond" w:hAnsi="Garamond"/>
        </w:rPr>
        <w:t>a</w:t>
      </w:r>
      <w:r w:rsidR="00147999" w:rsidRPr="0060732B">
        <w:rPr>
          <w:rFonts w:ascii="Garamond" w:hAnsi="Garamond"/>
        </w:rPr>
        <w:t xml:space="preserve">lla rimediabilità delle </w:t>
      </w:r>
      <w:r w:rsidR="00914090" w:rsidRPr="0060732B">
        <w:rPr>
          <w:rFonts w:ascii="Garamond" w:hAnsi="Garamond"/>
        </w:rPr>
        <w:t xml:space="preserve">relative </w:t>
      </w:r>
      <w:r w:rsidR="00147999" w:rsidRPr="0060732B">
        <w:rPr>
          <w:rFonts w:ascii="Garamond" w:hAnsi="Garamond"/>
        </w:rPr>
        <w:t xml:space="preserve">decisioni o </w:t>
      </w:r>
      <w:r w:rsidRPr="0060732B">
        <w:rPr>
          <w:rFonts w:ascii="Garamond" w:hAnsi="Garamond"/>
        </w:rPr>
        <w:t>a</w:t>
      </w:r>
      <w:r w:rsidR="00147999" w:rsidRPr="0060732B">
        <w:rPr>
          <w:rFonts w:ascii="Garamond" w:hAnsi="Garamond"/>
        </w:rPr>
        <w:t>l tasso di sindacabilità giurisdizionale delle stesse</w:t>
      </w:r>
      <w:r w:rsidR="00914090" w:rsidRPr="0060732B">
        <w:rPr>
          <w:rFonts w:ascii="Garamond" w:hAnsi="Garamond"/>
        </w:rPr>
        <w:t xml:space="preserve">, dall’altro, </w:t>
      </w:r>
      <w:r w:rsidR="007A6239" w:rsidRPr="0060732B">
        <w:rPr>
          <w:rFonts w:ascii="Garamond" w:hAnsi="Garamond"/>
        </w:rPr>
        <w:t>all’adeguatezza</w:t>
      </w:r>
      <w:r w:rsidR="00914090" w:rsidRPr="0060732B">
        <w:rPr>
          <w:rFonts w:ascii="Garamond" w:hAnsi="Garamond"/>
        </w:rPr>
        <w:t xml:space="preserve"> dell'organismo che in Italia presiede all'esercizio di questi poteri speciali.</w:t>
      </w:r>
    </w:p>
    <w:p w14:paraId="3A12C91D" w14:textId="6EECEB20" w:rsidR="001B067A" w:rsidRPr="0060732B" w:rsidRDefault="00392A1D" w:rsidP="007726A3">
      <w:pPr>
        <w:pStyle w:val="NoSpacing"/>
        <w:spacing w:line="280" w:lineRule="exact"/>
        <w:ind w:firstLine="0"/>
        <w:jc w:val="both"/>
        <w:rPr>
          <w:rFonts w:ascii="Garamond" w:hAnsi="Garamond"/>
        </w:rPr>
      </w:pPr>
      <w:r w:rsidRPr="0060732B">
        <w:rPr>
          <w:rFonts w:ascii="Garamond" w:hAnsi="Garamond"/>
        </w:rPr>
        <w:t>Sarà u</w:t>
      </w:r>
      <w:r w:rsidR="00147999" w:rsidRPr="0060732B">
        <w:rPr>
          <w:rFonts w:ascii="Garamond" w:hAnsi="Garamond"/>
        </w:rPr>
        <w:t>tile</w:t>
      </w:r>
      <w:r w:rsidRPr="0060732B">
        <w:rPr>
          <w:rFonts w:ascii="Garamond" w:hAnsi="Garamond"/>
        </w:rPr>
        <w:t>,</w:t>
      </w:r>
      <w:r w:rsidR="00147999" w:rsidRPr="0060732B">
        <w:rPr>
          <w:rFonts w:ascii="Garamond" w:hAnsi="Garamond"/>
        </w:rPr>
        <w:t xml:space="preserve"> nel</w:t>
      </w:r>
      <w:r w:rsidRPr="0060732B">
        <w:rPr>
          <w:rFonts w:ascii="Garamond" w:hAnsi="Garamond"/>
        </w:rPr>
        <w:t xml:space="preserve"> condurre l’analisi, </w:t>
      </w:r>
      <w:r w:rsidR="00147999" w:rsidRPr="0060732B">
        <w:rPr>
          <w:rFonts w:ascii="Garamond" w:hAnsi="Garamond"/>
        </w:rPr>
        <w:t xml:space="preserve">raffrontare l'esperienza italiana </w:t>
      </w:r>
      <w:r w:rsidR="00914090" w:rsidRPr="0060732B">
        <w:rPr>
          <w:rFonts w:ascii="Garamond" w:hAnsi="Garamond"/>
        </w:rPr>
        <w:t xml:space="preserve">con esperienze estere, prima fra tutte quella </w:t>
      </w:r>
      <w:r w:rsidR="001B067A" w:rsidRPr="0060732B">
        <w:rPr>
          <w:rFonts w:ascii="Garamond" w:hAnsi="Garamond"/>
        </w:rPr>
        <w:t>statunitense, il cui modello</w:t>
      </w:r>
      <w:r w:rsidR="00147999" w:rsidRPr="0060732B">
        <w:rPr>
          <w:rFonts w:ascii="Garamond" w:hAnsi="Garamond"/>
        </w:rPr>
        <w:t xml:space="preserve"> è stato </w:t>
      </w:r>
      <w:r w:rsidR="00914090" w:rsidRPr="0060732B">
        <w:rPr>
          <w:rFonts w:ascii="Garamond" w:hAnsi="Garamond"/>
        </w:rPr>
        <w:t xml:space="preserve">in larga parte </w:t>
      </w:r>
      <w:r w:rsidR="00147999" w:rsidRPr="0060732B">
        <w:rPr>
          <w:rFonts w:ascii="Garamond" w:hAnsi="Garamond"/>
        </w:rPr>
        <w:t xml:space="preserve">seguito dalla disciplina </w:t>
      </w:r>
      <w:r w:rsidR="003737B8" w:rsidRPr="0060732B">
        <w:rPr>
          <w:rFonts w:ascii="Garamond" w:hAnsi="Garamond"/>
        </w:rPr>
        <w:t>nazionale</w:t>
      </w:r>
      <w:r w:rsidR="00147999" w:rsidRPr="0060732B">
        <w:rPr>
          <w:rFonts w:ascii="Garamond" w:hAnsi="Garamond"/>
        </w:rPr>
        <w:t xml:space="preserve"> e anche da altre discipline europe</w:t>
      </w:r>
      <w:r w:rsidR="001B067A" w:rsidRPr="0060732B">
        <w:rPr>
          <w:rFonts w:ascii="Garamond" w:hAnsi="Garamond"/>
        </w:rPr>
        <w:t>e</w:t>
      </w:r>
      <w:r w:rsidR="00147999" w:rsidRPr="0060732B">
        <w:rPr>
          <w:rFonts w:ascii="Garamond" w:hAnsi="Garamond"/>
        </w:rPr>
        <w:t xml:space="preserve">. </w:t>
      </w:r>
    </w:p>
    <w:p w14:paraId="725DC67B" w14:textId="77777777" w:rsidR="00914090" w:rsidRPr="0060732B" w:rsidRDefault="00914090" w:rsidP="007726A3">
      <w:pPr>
        <w:pStyle w:val="NoSpacing"/>
        <w:spacing w:line="280" w:lineRule="exact"/>
        <w:ind w:firstLine="0"/>
        <w:jc w:val="both"/>
        <w:rPr>
          <w:rFonts w:ascii="Garamond" w:hAnsi="Garamond"/>
        </w:rPr>
      </w:pPr>
    </w:p>
    <w:p w14:paraId="2D07E843" w14:textId="5AC8D995" w:rsidR="00E30527" w:rsidRPr="0060732B" w:rsidRDefault="00E30527" w:rsidP="007726A3">
      <w:pPr>
        <w:pStyle w:val="NoSpacing"/>
        <w:numPr>
          <w:ilvl w:val="0"/>
          <w:numId w:val="2"/>
        </w:numPr>
        <w:spacing w:line="280" w:lineRule="exact"/>
        <w:ind w:left="0" w:firstLine="0"/>
        <w:jc w:val="both"/>
        <w:rPr>
          <w:rFonts w:ascii="Garamond" w:hAnsi="Garamond"/>
          <w:b/>
          <w:bCs/>
        </w:rPr>
      </w:pPr>
      <w:r w:rsidRPr="0060732B">
        <w:rPr>
          <w:rFonts w:ascii="Garamond" w:hAnsi="Garamond"/>
          <w:b/>
          <w:bCs/>
        </w:rPr>
        <w:t>Le coordinate normative e la relativa evoluzione.</w:t>
      </w:r>
    </w:p>
    <w:p w14:paraId="01E97033" w14:textId="0CE5BF89" w:rsidR="00876C8D" w:rsidRPr="0060732B" w:rsidRDefault="008621C7" w:rsidP="007726A3">
      <w:pPr>
        <w:pStyle w:val="NoSpacing"/>
        <w:spacing w:line="280" w:lineRule="exact"/>
        <w:ind w:firstLine="0"/>
        <w:jc w:val="both"/>
        <w:rPr>
          <w:rFonts w:ascii="Garamond" w:hAnsi="Garamond"/>
        </w:rPr>
      </w:pPr>
      <w:r w:rsidRPr="0060732B">
        <w:rPr>
          <w:rFonts w:ascii="Garamond" w:hAnsi="Garamond"/>
        </w:rPr>
        <w:t xml:space="preserve">Nel descrivere i </w:t>
      </w:r>
      <w:r w:rsidR="00876C8D" w:rsidRPr="0060732B">
        <w:rPr>
          <w:rFonts w:ascii="Garamond" w:hAnsi="Garamond"/>
        </w:rPr>
        <w:t xml:space="preserve">passaggi </w:t>
      </w:r>
      <w:r w:rsidRPr="0060732B">
        <w:rPr>
          <w:rFonts w:ascii="Garamond" w:hAnsi="Garamond"/>
        </w:rPr>
        <w:t xml:space="preserve">della </w:t>
      </w:r>
      <w:r w:rsidR="00876C8D" w:rsidRPr="0060732B">
        <w:rPr>
          <w:rFonts w:ascii="Garamond" w:hAnsi="Garamond"/>
        </w:rPr>
        <w:t>disciplin</w:t>
      </w:r>
      <w:r w:rsidRPr="0060732B">
        <w:rPr>
          <w:rFonts w:ascii="Garamond" w:hAnsi="Garamond"/>
        </w:rPr>
        <w:t xml:space="preserve">a nazionale </w:t>
      </w:r>
      <w:r w:rsidR="00876C8D" w:rsidRPr="0060732B">
        <w:rPr>
          <w:rFonts w:ascii="Garamond" w:hAnsi="Garamond"/>
        </w:rPr>
        <w:t xml:space="preserve">è </w:t>
      </w:r>
      <w:r w:rsidRPr="0060732B">
        <w:rPr>
          <w:rFonts w:ascii="Garamond" w:hAnsi="Garamond"/>
        </w:rPr>
        <w:t>inevitabile</w:t>
      </w:r>
      <w:r w:rsidR="00876C8D" w:rsidRPr="0060732B">
        <w:rPr>
          <w:rFonts w:ascii="Garamond" w:hAnsi="Garamond"/>
        </w:rPr>
        <w:t xml:space="preserve"> porre in risalto il ruolo decisivo che i principi unionali (e l</w:t>
      </w:r>
      <w:r w:rsidRPr="0060732B">
        <w:rPr>
          <w:rFonts w:ascii="Garamond" w:hAnsi="Garamond"/>
        </w:rPr>
        <w:t>’</w:t>
      </w:r>
      <w:r w:rsidR="00876C8D" w:rsidRPr="0060732B">
        <w:rPr>
          <w:rFonts w:ascii="Garamond" w:hAnsi="Garamond"/>
        </w:rPr>
        <w:t>interpretazione datane dalla Corte di Giustizia) hanno avuto nel condizionar</w:t>
      </w:r>
      <w:r w:rsidRPr="0060732B">
        <w:rPr>
          <w:rFonts w:ascii="Garamond" w:hAnsi="Garamond"/>
        </w:rPr>
        <w:t>n</w:t>
      </w:r>
      <w:r w:rsidR="00876C8D" w:rsidRPr="0060732B">
        <w:rPr>
          <w:rFonts w:ascii="Garamond" w:hAnsi="Garamond"/>
        </w:rPr>
        <w:t xml:space="preserve">e </w:t>
      </w:r>
      <w:r w:rsidRPr="0060732B">
        <w:rPr>
          <w:rFonts w:ascii="Garamond" w:hAnsi="Garamond"/>
        </w:rPr>
        <w:t>il percorso evolutivo</w:t>
      </w:r>
      <w:r w:rsidR="00876C8D" w:rsidRPr="0060732B">
        <w:rPr>
          <w:rFonts w:ascii="Garamond" w:hAnsi="Garamond"/>
        </w:rPr>
        <w:t>.</w:t>
      </w:r>
    </w:p>
    <w:p w14:paraId="4C129082" w14:textId="5D08731E" w:rsidR="00876C8D" w:rsidRPr="0060732B" w:rsidRDefault="00876C8D" w:rsidP="007726A3">
      <w:pPr>
        <w:pStyle w:val="NoSpacing"/>
        <w:spacing w:line="280" w:lineRule="exact"/>
        <w:ind w:firstLine="0"/>
        <w:jc w:val="both"/>
        <w:rPr>
          <w:rFonts w:ascii="Garamond" w:hAnsi="Garamond"/>
          <w:b/>
          <w:bCs/>
        </w:rPr>
      </w:pPr>
    </w:p>
    <w:p w14:paraId="4929C56A" w14:textId="75DA1FBE" w:rsidR="00876C8D" w:rsidRPr="0060732B" w:rsidRDefault="00941450" w:rsidP="007726A3">
      <w:pPr>
        <w:pStyle w:val="ListParagraph"/>
        <w:numPr>
          <w:ilvl w:val="1"/>
          <w:numId w:val="2"/>
        </w:numPr>
        <w:spacing w:after="0" w:line="280" w:lineRule="exact"/>
        <w:ind w:left="0" w:firstLine="0"/>
        <w:jc w:val="both"/>
        <w:rPr>
          <w:rFonts w:ascii="Garamond" w:hAnsi="Garamond" w:cstheme="minorHAnsi"/>
          <w:b/>
          <w:bCs/>
          <w:sz w:val="24"/>
          <w:szCs w:val="24"/>
        </w:rPr>
      </w:pPr>
      <w:r w:rsidRPr="0060732B">
        <w:rPr>
          <w:rFonts w:ascii="Garamond" w:hAnsi="Garamond" w:cstheme="minorHAnsi"/>
          <w:b/>
          <w:bCs/>
          <w:sz w:val="24"/>
          <w:szCs w:val="24"/>
        </w:rPr>
        <w:t xml:space="preserve">Lo Stato </w:t>
      </w:r>
      <w:r w:rsidR="00A41106">
        <w:rPr>
          <w:rFonts w:ascii="Garamond" w:hAnsi="Garamond" w:cstheme="minorHAnsi"/>
          <w:b/>
          <w:bCs/>
          <w:sz w:val="24"/>
          <w:szCs w:val="24"/>
        </w:rPr>
        <w:t>“</w:t>
      </w:r>
      <w:r w:rsidRPr="0060732B">
        <w:rPr>
          <w:rFonts w:ascii="Garamond" w:hAnsi="Garamond" w:cstheme="minorHAnsi"/>
          <w:b/>
          <w:bCs/>
          <w:sz w:val="24"/>
          <w:szCs w:val="24"/>
        </w:rPr>
        <w:t>azionista</w:t>
      </w:r>
      <w:r w:rsidR="00A41106">
        <w:rPr>
          <w:rFonts w:ascii="Garamond" w:hAnsi="Garamond" w:cstheme="minorHAnsi"/>
          <w:b/>
          <w:bCs/>
          <w:sz w:val="24"/>
          <w:szCs w:val="24"/>
        </w:rPr>
        <w:t>”</w:t>
      </w:r>
      <w:r w:rsidRPr="0060732B">
        <w:rPr>
          <w:rFonts w:ascii="Garamond" w:hAnsi="Garamond" w:cstheme="minorHAnsi"/>
          <w:b/>
          <w:bCs/>
          <w:sz w:val="24"/>
          <w:szCs w:val="24"/>
        </w:rPr>
        <w:t xml:space="preserve">: la </w:t>
      </w:r>
      <w:r w:rsidRPr="0060732B">
        <w:rPr>
          <w:rFonts w:ascii="Garamond" w:hAnsi="Garamond" w:cstheme="minorHAnsi"/>
          <w:b/>
          <w:bCs/>
          <w:i/>
          <w:iCs/>
          <w:sz w:val="24"/>
          <w:szCs w:val="24"/>
        </w:rPr>
        <w:t>golden share</w:t>
      </w:r>
      <w:r w:rsidRPr="0060732B">
        <w:rPr>
          <w:rFonts w:ascii="Garamond" w:hAnsi="Garamond" w:cstheme="minorHAnsi"/>
          <w:b/>
          <w:bCs/>
          <w:sz w:val="24"/>
          <w:szCs w:val="24"/>
        </w:rPr>
        <w:t>.</w:t>
      </w:r>
    </w:p>
    <w:p w14:paraId="4221E2CA" w14:textId="14FA6D25" w:rsidR="00876C8D" w:rsidRPr="0060732B" w:rsidRDefault="00876C8D" w:rsidP="007726A3">
      <w:pPr>
        <w:spacing w:line="280" w:lineRule="exact"/>
        <w:jc w:val="both"/>
        <w:rPr>
          <w:rFonts w:ascii="Garamond" w:hAnsi="Garamond" w:cstheme="minorHAnsi"/>
        </w:rPr>
      </w:pPr>
      <w:r w:rsidRPr="0060732B">
        <w:rPr>
          <w:rFonts w:ascii="Garamond" w:hAnsi="Garamond" w:cstheme="minorHAnsi"/>
        </w:rPr>
        <w:t>Come è noto, nel 2012, con il d.l. 15 marzo 2012, n. 21, convertito dalla l</w:t>
      </w:r>
      <w:r w:rsidR="00513020" w:rsidRPr="0060732B">
        <w:rPr>
          <w:rFonts w:ascii="Garamond" w:hAnsi="Garamond" w:cstheme="minorHAnsi"/>
        </w:rPr>
        <w:t xml:space="preserve">. </w:t>
      </w:r>
      <w:r w:rsidRPr="0060732B">
        <w:rPr>
          <w:rFonts w:ascii="Garamond" w:hAnsi="Garamond" w:cstheme="minorHAnsi"/>
        </w:rPr>
        <w:t xml:space="preserve">11 maggio 2012, n. 56, il Governo, tenendo conto delle censure sollevate dalla Commissione europea con la procedura d’infrazione n. 2009/2255 avviata con riguardo alla disciplina dettata dal d. l. 31 maggio 1994, n. 332, </w:t>
      </w:r>
      <w:r w:rsidR="00513020" w:rsidRPr="0060732B">
        <w:rPr>
          <w:rFonts w:ascii="Garamond" w:hAnsi="Garamond" w:cstheme="minorHAnsi"/>
        </w:rPr>
        <w:t xml:space="preserve">, convertito dalla l. 31 maggio 1994, n. 332, </w:t>
      </w:r>
      <w:r w:rsidRPr="0060732B">
        <w:rPr>
          <w:rFonts w:ascii="Garamond" w:hAnsi="Garamond" w:cstheme="minorHAnsi"/>
        </w:rPr>
        <w:t xml:space="preserve">in tema di </w:t>
      </w:r>
      <w:r w:rsidRPr="0060732B">
        <w:rPr>
          <w:rStyle w:val="corsivo"/>
          <w:rFonts w:ascii="Garamond" w:hAnsi="Garamond" w:cstheme="minorHAnsi"/>
        </w:rPr>
        <w:t>golden share</w:t>
      </w:r>
      <w:r w:rsidRPr="0060732B">
        <w:rPr>
          <w:rFonts w:ascii="Garamond" w:hAnsi="Garamond" w:cstheme="minorHAnsi"/>
        </w:rPr>
        <w:t xml:space="preserve">, ha introdotto un nuovo sistema normativo di tutela, ruotante attorno al riconoscimento di taluni poteri speciali (c.d. </w:t>
      </w:r>
      <w:r w:rsidRPr="0060732B">
        <w:rPr>
          <w:rStyle w:val="corsivo"/>
          <w:rFonts w:ascii="Garamond" w:hAnsi="Garamond" w:cstheme="minorHAnsi"/>
        </w:rPr>
        <w:t>golden power</w:t>
      </w:r>
      <w:r w:rsidRPr="0060732B">
        <w:rPr>
          <w:rFonts w:ascii="Garamond" w:hAnsi="Garamond" w:cstheme="minorHAnsi"/>
        </w:rPr>
        <w:t>) sulle attività e sugli assetti delle società attive in settori di particolare rilievo nazionale.</w:t>
      </w:r>
    </w:p>
    <w:p w14:paraId="64894028" w14:textId="77777777" w:rsidR="009C4A07" w:rsidRPr="0060732B" w:rsidRDefault="009C4A07" w:rsidP="007726A3">
      <w:pPr>
        <w:spacing w:line="280" w:lineRule="exact"/>
        <w:jc w:val="both"/>
        <w:rPr>
          <w:rFonts w:ascii="Garamond" w:hAnsi="Garamond" w:cstheme="minorHAnsi"/>
        </w:rPr>
      </w:pPr>
      <w:r w:rsidRPr="0060732B">
        <w:rPr>
          <w:rFonts w:ascii="Garamond" w:hAnsi="Garamond" w:cstheme="minorHAnsi"/>
        </w:rPr>
        <w:t xml:space="preserve">Si tratta di un passaggio evolutivo del sistema normativo (così ruotante </w:t>
      </w:r>
      <w:r w:rsidR="00876C8D" w:rsidRPr="0060732B">
        <w:rPr>
          <w:rFonts w:ascii="Garamond" w:hAnsi="Garamond" w:cstheme="minorHAnsi"/>
        </w:rPr>
        <w:t>sull’attribuzione a</w:t>
      </w:r>
      <w:r w:rsidRPr="0060732B">
        <w:rPr>
          <w:rFonts w:ascii="Garamond" w:hAnsi="Garamond" w:cstheme="minorHAnsi"/>
        </w:rPr>
        <w:t>l</w:t>
      </w:r>
      <w:r w:rsidR="00876C8D" w:rsidRPr="0060732B">
        <w:rPr>
          <w:rFonts w:ascii="Garamond" w:hAnsi="Garamond" w:cstheme="minorHAnsi"/>
        </w:rPr>
        <w:t xml:space="preserve"> Governi </w:t>
      </w:r>
      <w:r w:rsidRPr="0060732B">
        <w:rPr>
          <w:rFonts w:ascii="Garamond" w:hAnsi="Garamond" w:cstheme="minorHAnsi"/>
        </w:rPr>
        <w:t xml:space="preserve">non più </w:t>
      </w:r>
      <w:r w:rsidR="00876C8D" w:rsidRPr="0060732B">
        <w:rPr>
          <w:rFonts w:ascii="Garamond" w:hAnsi="Garamond" w:cstheme="minorHAnsi"/>
        </w:rPr>
        <w:t xml:space="preserve">di </w:t>
      </w:r>
      <w:r w:rsidR="00876C8D" w:rsidRPr="0060732B">
        <w:rPr>
          <w:rFonts w:ascii="Garamond" w:hAnsi="Garamond" w:cstheme="minorHAnsi"/>
          <w:i/>
          <w:iCs/>
        </w:rPr>
        <w:t>azioni speciali</w:t>
      </w:r>
      <w:r w:rsidR="00876C8D" w:rsidRPr="0060732B">
        <w:rPr>
          <w:rFonts w:ascii="Garamond" w:hAnsi="Garamond" w:cstheme="minorHAnsi"/>
        </w:rPr>
        <w:t xml:space="preserve"> </w:t>
      </w:r>
      <w:r w:rsidRPr="0060732B">
        <w:rPr>
          <w:rFonts w:ascii="Garamond" w:hAnsi="Garamond" w:cstheme="minorHAnsi"/>
        </w:rPr>
        <w:t>ma,</w:t>
      </w:r>
      <w:r w:rsidR="00876C8D" w:rsidRPr="0060732B">
        <w:rPr>
          <w:rFonts w:ascii="Garamond" w:hAnsi="Garamond" w:cstheme="minorHAnsi"/>
        </w:rPr>
        <w:t xml:space="preserve"> in certi ambiti e a certe condizioni, </w:t>
      </w:r>
      <w:r w:rsidRPr="0060732B">
        <w:rPr>
          <w:rFonts w:ascii="Garamond" w:hAnsi="Garamond" w:cstheme="minorHAnsi"/>
        </w:rPr>
        <w:t xml:space="preserve">di </w:t>
      </w:r>
      <w:r w:rsidR="00876C8D" w:rsidRPr="0060732B">
        <w:rPr>
          <w:rFonts w:ascii="Garamond" w:hAnsi="Garamond" w:cstheme="minorHAnsi"/>
        </w:rPr>
        <w:t xml:space="preserve">taluni </w:t>
      </w:r>
      <w:r w:rsidR="00876C8D" w:rsidRPr="0060732B">
        <w:rPr>
          <w:rFonts w:ascii="Garamond" w:hAnsi="Garamond" w:cstheme="minorHAnsi"/>
          <w:i/>
          <w:iCs/>
        </w:rPr>
        <w:t>poteri speciali</w:t>
      </w:r>
      <w:r w:rsidRPr="0060732B">
        <w:rPr>
          <w:rFonts w:ascii="Garamond" w:hAnsi="Garamond" w:cstheme="minorHAnsi"/>
        </w:rPr>
        <w:t xml:space="preserve">) che </w:t>
      </w:r>
      <w:r w:rsidR="00876C8D" w:rsidRPr="0060732B">
        <w:rPr>
          <w:rFonts w:ascii="Garamond" w:hAnsi="Garamond" w:cstheme="minorHAnsi"/>
        </w:rPr>
        <w:t xml:space="preserve">si è registrato, in un arco temporale tendenzialmente coincidente, in quasi tutti gli altri ordinamenti </w:t>
      </w:r>
      <w:r w:rsidRPr="0060732B">
        <w:rPr>
          <w:rFonts w:ascii="Garamond" w:hAnsi="Garamond" w:cstheme="minorHAnsi"/>
        </w:rPr>
        <w:t xml:space="preserve">degli Stati </w:t>
      </w:r>
      <w:r w:rsidR="00876C8D" w:rsidRPr="0060732B">
        <w:rPr>
          <w:rFonts w:ascii="Garamond" w:hAnsi="Garamond" w:cstheme="minorHAnsi"/>
        </w:rPr>
        <w:t>europei</w:t>
      </w:r>
      <w:r w:rsidRPr="0060732B">
        <w:rPr>
          <w:rFonts w:ascii="Garamond" w:hAnsi="Garamond" w:cstheme="minorHAnsi"/>
        </w:rPr>
        <w:t xml:space="preserve">; un passaggio, di cui è opportuno </w:t>
      </w:r>
      <w:r w:rsidR="00876C8D" w:rsidRPr="0060732B">
        <w:rPr>
          <w:rFonts w:ascii="Garamond" w:hAnsi="Garamond" w:cstheme="minorHAnsi"/>
        </w:rPr>
        <w:t>ri</w:t>
      </w:r>
      <w:r w:rsidRPr="0060732B">
        <w:rPr>
          <w:rFonts w:ascii="Garamond" w:hAnsi="Garamond" w:cstheme="minorHAnsi"/>
        </w:rPr>
        <w:t xml:space="preserve">assumere novità e </w:t>
      </w:r>
      <w:r w:rsidR="00876C8D" w:rsidRPr="0060732B">
        <w:rPr>
          <w:rFonts w:ascii="Garamond" w:hAnsi="Garamond" w:cstheme="minorHAnsi"/>
        </w:rPr>
        <w:t>ragioni</w:t>
      </w:r>
      <w:r w:rsidRPr="0060732B">
        <w:rPr>
          <w:rFonts w:ascii="Garamond" w:hAnsi="Garamond" w:cstheme="minorHAnsi"/>
        </w:rPr>
        <w:t>.</w:t>
      </w:r>
    </w:p>
    <w:p w14:paraId="3E9E2752" w14:textId="0D221586" w:rsidR="00876C8D" w:rsidRPr="0060732B" w:rsidRDefault="00876C8D" w:rsidP="007726A3">
      <w:pPr>
        <w:spacing w:line="280" w:lineRule="exact"/>
        <w:jc w:val="both"/>
        <w:rPr>
          <w:rFonts w:ascii="Garamond" w:hAnsi="Garamond" w:cstheme="minorHAnsi"/>
        </w:rPr>
      </w:pPr>
      <w:r w:rsidRPr="0060732B">
        <w:rPr>
          <w:rFonts w:ascii="Garamond" w:hAnsi="Garamond" w:cstheme="minorHAnsi"/>
        </w:rPr>
        <w:t xml:space="preserve">La </w:t>
      </w:r>
      <w:r w:rsidRPr="0060732B">
        <w:rPr>
          <w:rFonts w:ascii="Garamond" w:hAnsi="Garamond" w:cstheme="minorHAnsi"/>
          <w:i/>
        </w:rPr>
        <w:t>golden share</w:t>
      </w:r>
      <w:r w:rsidRPr="0060732B">
        <w:rPr>
          <w:rFonts w:ascii="Garamond" w:hAnsi="Garamond" w:cstheme="minorHAnsi"/>
        </w:rPr>
        <w:t xml:space="preserve"> nasce contestualmente all’avvio, nella maggior parte dei Paesi europei, di </w:t>
      </w:r>
      <w:r w:rsidRPr="0060732B">
        <w:rPr>
          <w:rFonts w:ascii="Garamond" w:hAnsi="Garamond" w:cstheme="minorHAnsi"/>
          <w:i/>
        </w:rPr>
        <w:t>processi di privatizzazione sostanziale</w:t>
      </w:r>
      <w:r w:rsidRPr="0060732B">
        <w:rPr>
          <w:rFonts w:ascii="Garamond" w:hAnsi="Garamond" w:cstheme="minorHAnsi"/>
        </w:rPr>
        <w:t xml:space="preserve"> di aziende pubbliche attive in settori di particolare interesse nazionale. Il meccanismo consisteva nell’obbligatoria introduzione, negli statuti delle società da dismettere, della previsione che prescriveva il mantenimento in mano pubblica di una quota azionaria speciale </w:t>
      </w:r>
      <w:r w:rsidR="009C4A07" w:rsidRPr="0060732B">
        <w:rPr>
          <w:rFonts w:ascii="Garamond" w:hAnsi="Garamond" w:cstheme="minorHAnsi"/>
        </w:rPr>
        <w:t xml:space="preserve">e </w:t>
      </w:r>
      <w:r w:rsidRPr="0060732B">
        <w:rPr>
          <w:rFonts w:ascii="Garamond" w:hAnsi="Garamond" w:cstheme="minorHAnsi"/>
        </w:rPr>
        <w:t>simbolic</w:t>
      </w:r>
      <w:r w:rsidR="009C4A07" w:rsidRPr="0060732B">
        <w:rPr>
          <w:rFonts w:ascii="Garamond" w:hAnsi="Garamond" w:cstheme="minorHAnsi"/>
        </w:rPr>
        <w:t>a</w:t>
      </w:r>
      <w:r w:rsidRPr="0060732B">
        <w:rPr>
          <w:rFonts w:ascii="Garamond" w:hAnsi="Garamond" w:cstheme="minorHAnsi"/>
        </w:rPr>
        <w:t xml:space="preserve"> </w:t>
      </w:r>
      <w:r w:rsidR="009C4A07" w:rsidRPr="0060732B">
        <w:rPr>
          <w:rFonts w:ascii="Garamond" w:hAnsi="Garamond" w:cstheme="minorHAnsi"/>
        </w:rPr>
        <w:t>c</w:t>
      </w:r>
      <w:r w:rsidRPr="0060732B">
        <w:rPr>
          <w:rFonts w:ascii="Garamond" w:hAnsi="Garamond" w:cstheme="minorHAnsi"/>
        </w:rPr>
        <w:t xml:space="preserve">ui ricollegare la titolarità di </w:t>
      </w:r>
      <w:r w:rsidR="009C4A07" w:rsidRPr="0060732B">
        <w:rPr>
          <w:rFonts w:ascii="Garamond" w:hAnsi="Garamond" w:cstheme="minorHAnsi"/>
        </w:rPr>
        <w:t>taluni rilevanti</w:t>
      </w:r>
      <w:r w:rsidRPr="0060732B">
        <w:rPr>
          <w:rFonts w:ascii="Garamond" w:hAnsi="Garamond" w:cstheme="minorHAnsi"/>
        </w:rPr>
        <w:t xml:space="preserve"> poteri.</w:t>
      </w:r>
    </w:p>
    <w:p w14:paraId="32879E26" w14:textId="23C21A60" w:rsidR="00876C8D" w:rsidRPr="0060732B" w:rsidRDefault="00876C8D" w:rsidP="007726A3">
      <w:pPr>
        <w:autoSpaceDE w:val="0"/>
        <w:autoSpaceDN w:val="0"/>
        <w:adjustRightInd w:val="0"/>
        <w:spacing w:line="280" w:lineRule="exact"/>
        <w:jc w:val="both"/>
        <w:rPr>
          <w:rFonts w:ascii="Garamond" w:hAnsi="Garamond" w:cstheme="minorHAnsi"/>
        </w:rPr>
      </w:pPr>
      <w:r w:rsidRPr="0060732B">
        <w:rPr>
          <w:rFonts w:ascii="Garamond" w:hAnsi="Garamond" w:cstheme="minorHAnsi"/>
        </w:rPr>
        <w:t>In Italia, la richiamata legge 474 del 1994 stabil</w:t>
      </w:r>
      <w:r w:rsidR="009C4A07" w:rsidRPr="0060732B">
        <w:rPr>
          <w:rFonts w:ascii="Garamond" w:hAnsi="Garamond" w:cstheme="minorHAnsi"/>
        </w:rPr>
        <w:t>ì</w:t>
      </w:r>
      <w:r w:rsidRPr="0060732B">
        <w:rPr>
          <w:rFonts w:ascii="Garamond" w:hAnsi="Garamond" w:cstheme="minorHAnsi"/>
        </w:rPr>
        <w:t xml:space="preserve"> che, prima del passaggio del controllo al mercato, le società privatizzate operanti nei settori della difesa, dei trasporti e delle telecomunicazioni, delle fonti di energia e degli altri pubblici servizi dovessero introdurre nei propri statuti clausole che attribuissero taluni poteri speciali al</w:t>
      </w:r>
      <w:r w:rsidR="00941450" w:rsidRPr="0060732B">
        <w:rPr>
          <w:rFonts w:ascii="Garamond" w:hAnsi="Garamond" w:cstheme="minorHAnsi"/>
        </w:rPr>
        <w:t>l’allora</w:t>
      </w:r>
      <w:r w:rsidRPr="0060732B">
        <w:rPr>
          <w:rFonts w:ascii="Garamond" w:hAnsi="Garamond" w:cstheme="minorHAnsi"/>
        </w:rPr>
        <w:t xml:space="preserve"> Ministero del Tesoro, d’intesa con quello del Bilancio e dell’Industria</w:t>
      </w:r>
      <w:r w:rsidRPr="0060732B">
        <w:rPr>
          <w:rStyle w:val="FootnoteReference"/>
          <w:rFonts w:ascii="Garamond" w:hAnsi="Garamond" w:cstheme="minorHAnsi"/>
        </w:rPr>
        <w:footnoteReference w:id="2"/>
      </w:r>
      <w:r w:rsidRPr="0060732B">
        <w:rPr>
          <w:rFonts w:ascii="Garamond" w:hAnsi="Garamond" w:cstheme="minorHAnsi"/>
        </w:rPr>
        <w:t>.</w:t>
      </w:r>
    </w:p>
    <w:p w14:paraId="44E3DBC8" w14:textId="5FF09D9B" w:rsidR="009C4A07" w:rsidRPr="0060732B" w:rsidRDefault="009C4A07" w:rsidP="007726A3">
      <w:pPr>
        <w:spacing w:line="280" w:lineRule="exact"/>
        <w:jc w:val="both"/>
        <w:rPr>
          <w:rFonts w:ascii="Garamond" w:hAnsi="Garamond" w:cstheme="minorHAnsi"/>
        </w:rPr>
      </w:pPr>
      <w:r w:rsidRPr="0060732B">
        <w:rPr>
          <w:rFonts w:ascii="Garamond" w:hAnsi="Garamond" w:cstheme="minorHAnsi"/>
        </w:rPr>
        <w:t>L’affermazione del modello si ha nel Regno Unito, ma si sviluppa in pressocché tutti i Paesi europei, ancorché con discipline non del tutto coincidenti e con terminologie distinte.</w:t>
      </w:r>
    </w:p>
    <w:p w14:paraId="4219EBB6" w14:textId="77777777" w:rsidR="00876C8D" w:rsidRPr="0060732B" w:rsidRDefault="00876C8D" w:rsidP="007726A3">
      <w:pPr>
        <w:pStyle w:val="ListParagraph"/>
        <w:autoSpaceDE w:val="0"/>
        <w:autoSpaceDN w:val="0"/>
        <w:adjustRightInd w:val="0"/>
        <w:spacing w:after="0" w:line="280" w:lineRule="exact"/>
        <w:ind w:left="0"/>
        <w:jc w:val="both"/>
        <w:rPr>
          <w:rFonts w:ascii="Garamond" w:hAnsi="Garamond" w:cs="RotisSansSerifStd-Regular"/>
          <w:sz w:val="24"/>
          <w:szCs w:val="24"/>
        </w:rPr>
      </w:pPr>
    </w:p>
    <w:p w14:paraId="77747AAF" w14:textId="4D552FAE" w:rsidR="00876C8D" w:rsidRPr="0060732B" w:rsidRDefault="00876C8D" w:rsidP="007726A3">
      <w:pPr>
        <w:pStyle w:val="ListParagraph"/>
        <w:numPr>
          <w:ilvl w:val="1"/>
          <w:numId w:val="2"/>
        </w:numPr>
        <w:autoSpaceDE w:val="0"/>
        <w:autoSpaceDN w:val="0"/>
        <w:adjustRightInd w:val="0"/>
        <w:spacing w:after="0" w:line="280" w:lineRule="exact"/>
        <w:ind w:left="0" w:firstLine="0"/>
        <w:jc w:val="both"/>
        <w:rPr>
          <w:rFonts w:ascii="Garamond" w:hAnsi="Garamond"/>
          <w:b/>
          <w:sz w:val="24"/>
          <w:szCs w:val="24"/>
        </w:rPr>
      </w:pPr>
      <w:r w:rsidRPr="0060732B">
        <w:rPr>
          <w:rFonts w:ascii="Garamond" w:hAnsi="Garamond"/>
          <w:b/>
          <w:sz w:val="24"/>
          <w:szCs w:val="24"/>
        </w:rPr>
        <w:t>La posizione delle Istituzioni europee sul tema degli investimenti esteri diretti.</w:t>
      </w:r>
    </w:p>
    <w:p w14:paraId="3D5A936C" w14:textId="54FB6432" w:rsidR="009C4A07" w:rsidRPr="0060732B" w:rsidRDefault="009C4A07"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Proprio con riferimento a tali discipline nazionali si sono consolidati indirizzi interpretativi della Corte di Giustizia, chiamata a verifica</w:t>
      </w:r>
      <w:r w:rsidR="00461DCC" w:rsidRPr="0060732B">
        <w:rPr>
          <w:rFonts w:ascii="Garamond" w:hAnsi="Garamond" w:cs="RotisSansSerifStd-Regular"/>
        </w:rPr>
        <w:t>rne l</w:t>
      </w:r>
      <w:r w:rsidRPr="0060732B">
        <w:rPr>
          <w:rFonts w:ascii="Garamond" w:hAnsi="Garamond" w:cs="RotisSansSerifStd-Regular"/>
        </w:rPr>
        <w:t>a coerenza con i principi fissati dal Trattato istitutivo della Unione europea.</w:t>
      </w:r>
    </w:p>
    <w:p w14:paraId="4A93760C" w14:textId="26D88E72" w:rsidR="00876C8D" w:rsidRPr="0060732B" w:rsidRDefault="00876C8D" w:rsidP="007726A3">
      <w:pPr>
        <w:autoSpaceDE w:val="0"/>
        <w:autoSpaceDN w:val="0"/>
        <w:adjustRightInd w:val="0"/>
        <w:spacing w:line="280" w:lineRule="exact"/>
        <w:jc w:val="both"/>
        <w:rPr>
          <w:rFonts w:ascii="Garamond" w:hAnsi="Garamond"/>
        </w:rPr>
      </w:pPr>
      <w:r w:rsidRPr="0060732B">
        <w:rPr>
          <w:rFonts w:ascii="Garamond" w:hAnsi="Garamond"/>
        </w:rPr>
        <w:t>E’ utile sinteticamente ricostruire l’approccio che le Istituzioni europee hanno seguito in tema di investimenti esteri diretti, condizionando l’evoluzione delle legislazioni nazionali, oltre che le modalità di doverosa applicazione delle stesse.</w:t>
      </w:r>
    </w:p>
    <w:p w14:paraId="1624888C" w14:textId="77777777" w:rsidR="00876C8D" w:rsidRPr="0060732B" w:rsidRDefault="00876C8D" w:rsidP="007726A3">
      <w:pPr>
        <w:autoSpaceDE w:val="0"/>
        <w:autoSpaceDN w:val="0"/>
        <w:adjustRightInd w:val="0"/>
        <w:spacing w:line="280" w:lineRule="exact"/>
        <w:jc w:val="both"/>
        <w:rPr>
          <w:rFonts w:ascii="Garamond" w:hAnsi="Garamond"/>
        </w:rPr>
      </w:pPr>
    </w:p>
    <w:p w14:paraId="129722B4" w14:textId="4FEFDCCB" w:rsidR="00876C8D" w:rsidRPr="0060732B" w:rsidRDefault="00876C8D" w:rsidP="007726A3">
      <w:pPr>
        <w:pStyle w:val="ListParagraph"/>
        <w:numPr>
          <w:ilvl w:val="2"/>
          <w:numId w:val="2"/>
        </w:numPr>
        <w:autoSpaceDE w:val="0"/>
        <w:autoSpaceDN w:val="0"/>
        <w:adjustRightInd w:val="0"/>
        <w:spacing w:after="0" w:line="280" w:lineRule="exact"/>
        <w:ind w:left="0" w:firstLine="0"/>
        <w:jc w:val="both"/>
        <w:rPr>
          <w:rFonts w:ascii="Garamond" w:hAnsi="Garamond"/>
          <w:b/>
          <w:sz w:val="24"/>
          <w:szCs w:val="24"/>
        </w:rPr>
      </w:pPr>
      <w:r w:rsidRPr="0060732B">
        <w:rPr>
          <w:rFonts w:ascii="Garamond" w:hAnsi="Garamond"/>
          <w:b/>
          <w:sz w:val="24"/>
          <w:szCs w:val="24"/>
        </w:rPr>
        <w:t>Apertura non incondizionata della Commissione: le Comunicazioni del 2010 e del 2017</w:t>
      </w:r>
      <w:r w:rsidR="008E183F" w:rsidRPr="0060732B">
        <w:rPr>
          <w:rFonts w:ascii="Garamond" w:hAnsi="Garamond"/>
          <w:b/>
          <w:sz w:val="24"/>
          <w:szCs w:val="24"/>
        </w:rPr>
        <w:t xml:space="preserve"> e il Reg. UE</w:t>
      </w:r>
      <w:r w:rsidR="008E183F" w:rsidRPr="0060732B">
        <w:rPr>
          <w:rFonts w:ascii="Garamond" w:hAnsi="Garamond" w:cs="Arial"/>
          <w:b/>
          <w:sz w:val="24"/>
          <w:szCs w:val="24"/>
          <w:shd w:val="clear" w:color="auto" w:fill="FFFFFF"/>
        </w:rPr>
        <w:t xml:space="preserve"> 19 marzo 2019, 452.</w:t>
      </w:r>
    </w:p>
    <w:p w14:paraId="4B1AFD93" w14:textId="77777777" w:rsidR="00876C8D" w:rsidRPr="0060732B" w:rsidRDefault="00876C8D" w:rsidP="007726A3">
      <w:pPr>
        <w:autoSpaceDE w:val="0"/>
        <w:autoSpaceDN w:val="0"/>
        <w:adjustRightInd w:val="0"/>
        <w:spacing w:line="280" w:lineRule="exact"/>
        <w:jc w:val="both"/>
        <w:rPr>
          <w:rFonts w:ascii="Garamond" w:hAnsi="Garamond"/>
        </w:rPr>
      </w:pPr>
      <w:r w:rsidRPr="0060732B">
        <w:rPr>
          <w:rFonts w:ascii="Garamond" w:hAnsi="Garamond"/>
        </w:rPr>
        <w:t>L’atteggiamento della Commissione si è evoluta nel tempo, come è consentito ricostruire richiamando due distinte Comunicazioni, risalenti al 2010 e al 2017.</w:t>
      </w:r>
    </w:p>
    <w:p w14:paraId="35FFEA2F" w14:textId="6E027BF2" w:rsidR="00876C8D" w:rsidRPr="0060732B" w:rsidRDefault="00876C8D" w:rsidP="00371D1D">
      <w:pPr>
        <w:autoSpaceDE w:val="0"/>
        <w:autoSpaceDN w:val="0"/>
        <w:adjustRightInd w:val="0"/>
        <w:spacing w:line="280" w:lineRule="exact"/>
        <w:jc w:val="both"/>
        <w:rPr>
          <w:rFonts w:ascii="Garamond" w:hAnsi="Garamond" w:cs="RotisSansSerifStd-Regular"/>
        </w:rPr>
      </w:pPr>
      <w:r w:rsidRPr="0060732B">
        <w:rPr>
          <w:rFonts w:ascii="Garamond" w:hAnsi="Garamond"/>
        </w:rPr>
        <w:t xml:space="preserve">In quella del luglio </w:t>
      </w:r>
      <w:r w:rsidRPr="0060732B">
        <w:rPr>
          <w:rFonts w:ascii="Garamond" w:hAnsi="Garamond"/>
          <w:bCs/>
        </w:rPr>
        <w:t>2010</w:t>
      </w:r>
      <w:r w:rsidRPr="0060732B">
        <w:rPr>
          <w:rStyle w:val="FootnoteReference"/>
          <w:rFonts w:ascii="Garamond" w:hAnsi="Garamond"/>
        </w:rPr>
        <w:footnoteReference w:id="3"/>
      </w:r>
      <w:r w:rsidRPr="0060732B">
        <w:rPr>
          <w:rFonts w:ascii="Garamond" w:hAnsi="Garamond"/>
        </w:rPr>
        <w:t xml:space="preserve"> la Commissione,   attesa </w:t>
      </w:r>
      <w:r w:rsidRPr="0060732B">
        <w:rPr>
          <w:rFonts w:ascii="Garamond" w:hAnsi="Garamond" w:cs="RotisSansSerifStd-Regular"/>
        </w:rPr>
        <w:t xml:space="preserve">la </w:t>
      </w:r>
      <w:r w:rsidRPr="0060732B">
        <w:rPr>
          <w:rFonts w:ascii="Garamond" w:hAnsi="Garamond" w:cs="RotisSansSerifStd-Regular"/>
          <w:i/>
        </w:rPr>
        <w:t>competenza esclusiva</w:t>
      </w:r>
      <w:r w:rsidRPr="0060732B">
        <w:rPr>
          <w:rFonts w:ascii="Garamond" w:hAnsi="Garamond" w:cs="RotisSansSerifStd-Regular"/>
        </w:rPr>
        <w:t xml:space="preserve"> attribuita all’Unione </w:t>
      </w:r>
      <w:r w:rsidR="008E7497" w:rsidRPr="0060732B">
        <w:rPr>
          <w:rFonts w:ascii="Garamond" w:hAnsi="Garamond" w:cs="RotisSansSerifStd-Regular"/>
        </w:rPr>
        <w:t>dal</w:t>
      </w:r>
      <w:r w:rsidRPr="0060732B">
        <w:rPr>
          <w:rFonts w:ascii="Garamond" w:hAnsi="Garamond" w:cs="RotisSansSerifStd-Regular"/>
        </w:rPr>
        <w:t xml:space="preserve">  TFUE in materia di investimenti esteri diretti, ha chiarito la sua linea d’azione sostenendo che</w:t>
      </w:r>
      <w:r w:rsidR="00371D1D" w:rsidRPr="0060732B">
        <w:rPr>
          <w:rFonts w:ascii="Garamond" w:hAnsi="Garamond" w:cs="RotisSansSerifStd-Regular"/>
        </w:rPr>
        <w:t xml:space="preserve"> </w:t>
      </w:r>
      <w:r w:rsidRPr="0060732B">
        <w:rPr>
          <w:rFonts w:ascii="Garamond" w:hAnsi="Garamond" w:cs="RotisSansSerifStd-Regular"/>
          <w:i/>
        </w:rPr>
        <w:t>l’investimento diretto in entrata</w:t>
      </w:r>
      <w:r w:rsidRPr="0060732B">
        <w:rPr>
          <w:rFonts w:ascii="Garamond" w:hAnsi="Garamond" w:cs="RotisSansSerifStd-Regular"/>
        </w:rPr>
        <w:t xml:space="preserve"> crea posti di lavoro, ottimizza l’allocazione di risorse, dà luogo a trasferimenti di tecnologia e di capacità tecnica, aumenta la concorrenza e gli scambi</w:t>
      </w:r>
      <w:r w:rsidR="00371D1D" w:rsidRPr="0060732B">
        <w:rPr>
          <w:rFonts w:ascii="Garamond" w:hAnsi="Garamond" w:cs="RotisSansSerifStd-Regular"/>
        </w:rPr>
        <w:t xml:space="preserve"> sicché </w:t>
      </w:r>
      <w:r w:rsidRPr="0060732B">
        <w:rPr>
          <w:rFonts w:ascii="Garamond" w:hAnsi="Garamond" w:cs="RotisSansSerifStd-Regular"/>
        </w:rPr>
        <w:t>l’Europa “</w:t>
      </w:r>
      <w:r w:rsidRPr="0060732B">
        <w:rPr>
          <w:rFonts w:ascii="Garamond" w:hAnsi="Garamond" w:cs="RotisSansSerifStd-Regular"/>
          <w:i/>
        </w:rPr>
        <w:t>trae beneficio della sua apertura al resto del mondo (…) e non può permettersi di prendere un posto secondario nella competizione globale per attrarre e promuovere investimenti da e verso ogni parte del mondo</w:t>
      </w:r>
      <w:r w:rsidRPr="0060732B">
        <w:rPr>
          <w:rFonts w:ascii="Garamond" w:hAnsi="Garamond" w:cs="RotisSansSerifStd-Regular"/>
        </w:rPr>
        <w:t>”.</w:t>
      </w:r>
    </w:p>
    <w:p w14:paraId="35C7F021" w14:textId="77777777"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Si tratta di approccio al tema che, nella sua apparentemente incondizionata apertura agli investimenti esteri diretti, risulta in qualche modo rivisitato sette anni dopo nel </w:t>
      </w:r>
      <w:r w:rsidRPr="0060732B">
        <w:rPr>
          <w:rFonts w:ascii="Garamond" w:hAnsi="Garamond" w:cs="RotisSansSerifStd-Regular"/>
          <w:bCs/>
        </w:rPr>
        <w:t>2017</w:t>
      </w:r>
      <w:r w:rsidRPr="0060732B">
        <w:rPr>
          <w:rFonts w:ascii="Garamond" w:hAnsi="Garamond" w:cs="RotisSansSerifStd-Regular"/>
        </w:rPr>
        <w:t xml:space="preserve">, quando la Commissione, consapevole dei </w:t>
      </w:r>
      <w:r w:rsidRPr="0060732B">
        <w:rPr>
          <w:rFonts w:ascii="Garamond" w:hAnsi="Garamond" w:cs="RotisSansSerifStd-Regular"/>
          <w:i/>
        </w:rPr>
        <w:t>potenziali risvolti politico-strategici</w:t>
      </w:r>
      <w:r w:rsidRPr="0060732B">
        <w:rPr>
          <w:rFonts w:ascii="Garamond" w:hAnsi="Garamond" w:cs="RotisSansSerifStd-Regular"/>
        </w:rPr>
        <w:t xml:space="preserve"> dovuti all’aumento degli investimenti esteri diretti in Europa, interviene con una nuova Comunicazione sul tema.</w:t>
      </w:r>
    </w:p>
    <w:p w14:paraId="525400C6" w14:textId="1BCA02ED"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In particolare, nella Comunicazione “</w:t>
      </w:r>
      <w:r w:rsidRPr="0060732B">
        <w:rPr>
          <w:rFonts w:ascii="Garamond" w:hAnsi="Garamond" w:cs="RotisSansSerifStd-Regular"/>
          <w:i/>
        </w:rPr>
        <w:t>Accogliere con favore gli investimenti esteri diretti tutelando al contempo gli interessi fondamentali</w:t>
      </w:r>
      <w:r w:rsidRPr="0060732B">
        <w:rPr>
          <w:rFonts w:ascii="Garamond" w:hAnsi="Garamond" w:cs="RotisSansSerifStd-Regular"/>
        </w:rPr>
        <w:t xml:space="preserve">”, la Commissione, pur confermando che l’apertura europea agli investimenti esteri diretti è un principio cardine dell’ordinamento europeo, rimarca la necessità  </w:t>
      </w:r>
      <w:r w:rsidR="00461DCC" w:rsidRPr="0060732B">
        <w:rPr>
          <w:rFonts w:ascii="Garamond" w:hAnsi="Garamond" w:cs="RotisSansSerifStd-Regular"/>
        </w:rPr>
        <w:t>di</w:t>
      </w:r>
      <w:r w:rsidRPr="0060732B">
        <w:rPr>
          <w:rFonts w:ascii="Garamond" w:hAnsi="Garamond" w:cs="RotisSansSerifStd-Regular"/>
        </w:rPr>
        <w:t xml:space="preserve"> </w:t>
      </w:r>
      <w:r w:rsidR="00461DCC" w:rsidRPr="0060732B">
        <w:rPr>
          <w:rFonts w:ascii="Garamond" w:hAnsi="Garamond" w:cs="RotisSansSerifStd-Regular"/>
        </w:rPr>
        <w:t>evitare che gli stessi minaccino interessi essenziali</w:t>
      </w:r>
      <w:r w:rsidRPr="0060732B">
        <w:rPr>
          <w:rFonts w:ascii="Garamond" w:hAnsi="Garamond" w:cs="RotisSansSerifStd-Regular"/>
        </w:rPr>
        <w:t>. Precisa, infatti, la Commissione che “</w:t>
      </w:r>
      <w:r w:rsidRPr="0060732B">
        <w:rPr>
          <w:rFonts w:ascii="Garamond" w:hAnsi="Garamond" w:cs="RotisSansSerifStd-Regular"/>
          <w:i/>
        </w:rPr>
        <w:t>sussiste il rischio che in singoli casi gli investitori stranieri possano cercare di acquisire il controllo o di esercitare influenza nelle imprese europee le cui attività hanno ripercussioni sulle tecnologie cruciali, sulle infrastrutture, sui fattori produttivi o sulle informazioni sensibili. Il rischio sorge anche e soprattutto quando gli investitori stranieri sono statali o controllati dallo Stato, anche mediante finanziamenti o altri mezzi</w:t>
      </w:r>
      <w:r w:rsidRPr="0060732B">
        <w:rPr>
          <w:rFonts w:ascii="Garamond" w:hAnsi="Garamond" w:cs="RotisSansSerifStd-Regular"/>
        </w:rPr>
        <w:t>”.</w:t>
      </w:r>
    </w:p>
    <w:p w14:paraId="7BAE7D26" w14:textId="43B1502A"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Sulla base di queste posizioni la Commissione riconosce la necessità che a</w:t>
      </w:r>
      <w:r w:rsidRPr="0060732B">
        <w:rPr>
          <w:rFonts w:ascii="Garamond" w:hAnsi="Garamond" w:cs="RotisSansSerifStd-Bold"/>
          <w:bCs/>
        </w:rPr>
        <w:t xml:space="preserve">i singoli Stati membri sia garantita la </w:t>
      </w:r>
      <w:r w:rsidRPr="0060732B">
        <w:rPr>
          <w:rFonts w:ascii="Garamond" w:hAnsi="Garamond" w:cs="RotisSansSerifStd-Bold"/>
          <w:bCs/>
          <w:i/>
        </w:rPr>
        <w:t>necessaria flessibilità in relazione al controllo degli investimenti esteri diretti</w:t>
      </w:r>
      <w:r w:rsidRPr="0060732B">
        <w:rPr>
          <w:rFonts w:ascii="Garamond" w:hAnsi="Garamond" w:cs="RotisSansSerifStd-Regular"/>
        </w:rPr>
        <w:t>, al contempo tuttavia proponendo una cooperazione e coordinamento più intensi, attesa la dimensione europea degli investimenti esteri diretti, come tali rientranti nell’ambito della politica commerciale dell’UE.</w:t>
      </w:r>
    </w:p>
    <w:p w14:paraId="7004171C" w14:textId="5D74E5BF"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Volendo riassumere, l’atteggiamento è </w:t>
      </w:r>
      <w:r w:rsidRPr="0060732B">
        <w:rPr>
          <w:rFonts w:ascii="Garamond" w:hAnsi="Garamond" w:cs="RotisSansSerifStd-Regular"/>
          <w:i/>
        </w:rPr>
        <w:t>di apertura si, ma non certo incondizionata</w:t>
      </w:r>
      <w:r w:rsidRPr="0060732B">
        <w:rPr>
          <w:rFonts w:ascii="Garamond" w:hAnsi="Garamond" w:cs="RotisSansSerifStd-Regular"/>
        </w:rPr>
        <w:t xml:space="preserve">, tanto più nelle più recenti determinazioni, non poco </w:t>
      </w:r>
      <w:r w:rsidR="00EC00F8" w:rsidRPr="0060732B">
        <w:rPr>
          <w:rFonts w:ascii="Garamond" w:hAnsi="Garamond" w:cs="RotisSansSerifStd-Regular"/>
        </w:rPr>
        <w:t>influenzate</w:t>
      </w:r>
      <w:r w:rsidRPr="0060732B">
        <w:rPr>
          <w:rFonts w:ascii="Garamond" w:hAnsi="Garamond" w:cs="RotisSansSerifStd-Regular"/>
        </w:rPr>
        <w:t xml:space="preserve"> dall</w:t>
      </w:r>
      <w:r w:rsidR="00461DCC" w:rsidRPr="0060732B">
        <w:rPr>
          <w:rFonts w:ascii="Garamond" w:hAnsi="Garamond" w:cs="RotisSansSerifStd-Regular"/>
        </w:rPr>
        <w:t xml:space="preserve">a </w:t>
      </w:r>
      <w:r w:rsidRPr="0060732B">
        <w:rPr>
          <w:rFonts w:ascii="Garamond" w:hAnsi="Garamond" w:cs="RotisSansSerifStd-Regular"/>
        </w:rPr>
        <w:t>preoccupazion</w:t>
      </w:r>
      <w:r w:rsidR="00461DCC" w:rsidRPr="0060732B">
        <w:rPr>
          <w:rFonts w:ascii="Garamond" w:hAnsi="Garamond" w:cs="RotisSansSerifStd-Regular"/>
        </w:rPr>
        <w:t>e</w:t>
      </w:r>
      <w:r w:rsidRPr="0060732B">
        <w:rPr>
          <w:rFonts w:ascii="Garamond" w:hAnsi="Garamond" w:cs="RotisSansSerifStd-Regular"/>
        </w:rPr>
        <w:t xml:space="preserve"> che taluni investimenti esteri diretti, in specie quelli dei Fondi Sovrani, non sempre perseguono obiettivi di natura esclusivamente economica o di semplice massimizzazione del valore, potendo essere viceversa finalizzati ad assicurar</w:t>
      </w:r>
      <w:r w:rsidR="008E7497" w:rsidRPr="0060732B">
        <w:rPr>
          <w:rFonts w:ascii="Garamond" w:hAnsi="Garamond" w:cs="RotisSansSerifStd-Regular"/>
        </w:rPr>
        <w:t>e</w:t>
      </w:r>
      <w:r w:rsidRPr="0060732B">
        <w:rPr>
          <w:rFonts w:ascii="Garamond" w:hAnsi="Garamond" w:cs="RotisSansSerifStd-Regular"/>
        </w:rPr>
        <w:t xml:space="preserve"> il possesso di tecnologie avanzate, a guadagnare l’accesso a risorse naturali o a migliorare la competitività delle imprese nazionali concorrenti di quelle partecipate</w:t>
      </w:r>
      <w:r w:rsidRPr="0060732B">
        <w:rPr>
          <w:rStyle w:val="FootnoteReference"/>
          <w:rFonts w:ascii="Garamond" w:hAnsi="Garamond" w:cs="RotisSansSerifStd-Regular"/>
        </w:rPr>
        <w:footnoteReference w:id="4"/>
      </w:r>
      <w:r w:rsidRPr="0060732B">
        <w:rPr>
          <w:rFonts w:ascii="Garamond" w:hAnsi="Garamond" w:cs="RotisSansSerifStd-Regular"/>
        </w:rPr>
        <w:t>.</w:t>
      </w:r>
    </w:p>
    <w:p w14:paraId="67F77432" w14:textId="49CA2D6F" w:rsidR="00876C8D" w:rsidRPr="0060732B" w:rsidRDefault="008E183F" w:rsidP="007726A3">
      <w:pPr>
        <w:autoSpaceDE w:val="0"/>
        <w:autoSpaceDN w:val="0"/>
        <w:adjustRightInd w:val="0"/>
        <w:spacing w:line="280" w:lineRule="exact"/>
        <w:jc w:val="both"/>
        <w:rPr>
          <w:rFonts w:ascii="Garamond" w:hAnsi="Garamond"/>
          <w:bCs/>
          <w:shd w:val="clear" w:color="auto" w:fill="FFFFFF"/>
        </w:rPr>
      </w:pPr>
      <w:r w:rsidRPr="0060732B">
        <w:rPr>
          <w:rFonts w:ascii="Garamond" w:hAnsi="Garamond" w:cs="RotisSansSerifStd-Regular"/>
        </w:rPr>
        <w:t xml:space="preserve">Lo stesso atteggiamento di apertura non incondizionata permea, infine, il recentissimo </w:t>
      </w:r>
      <w:r w:rsidRPr="0060732B">
        <w:rPr>
          <w:rFonts w:ascii="Garamond" w:hAnsi="Garamond"/>
          <w:bCs/>
        </w:rPr>
        <w:t xml:space="preserve">Reg. </w:t>
      </w:r>
      <w:r w:rsidRPr="0060732B">
        <w:rPr>
          <w:rFonts w:ascii="Garamond" w:hAnsi="Garamond"/>
          <w:bCs/>
          <w:i/>
          <w:iCs/>
        </w:rPr>
        <w:t>UE</w:t>
      </w:r>
      <w:r w:rsidRPr="0060732B">
        <w:rPr>
          <w:rFonts w:ascii="Garamond" w:hAnsi="Garamond"/>
          <w:bCs/>
          <w:i/>
          <w:iCs/>
          <w:shd w:val="clear" w:color="auto" w:fill="FFFFFF"/>
        </w:rPr>
        <w:t xml:space="preserve"> 19 marzo 2019, 452</w:t>
      </w:r>
      <w:r w:rsidRPr="0060732B">
        <w:rPr>
          <w:rFonts w:ascii="Garamond" w:hAnsi="Garamond"/>
          <w:bCs/>
          <w:shd w:val="clear" w:color="auto" w:fill="FFFFFF"/>
        </w:rPr>
        <w:t xml:space="preserve">, recante la disciplina di </w:t>
      </w:r>
      <w:r w:rsidRPr="0060732B">
        <w:rPr>
          <w:rFonts w:ascii="Garamond" w:hAnsi="Garamond"/>
          <w:shd w:val="clear" w:color="auto" w:fill="FFFFFF"/>
        </w:rPr>
        <w:t xml:space="preserve">un sistema comune di controllo degli investimenti esteri, volto ad assicurare la tutela delle attività strategiche e il monitoraggio delle operazioni con potenziale impatto su sicurezza e ordine pubblico in tutta Europa. Le nuove misure, in vigore da ottobre 2020, allargano il novero dei settori strategici (in particolare i settori energia, trasporti e comunicazione, ma anche finanza e aerospazio, </w:t>
      </w:r>
      <w:r w:rsidRPr="0060732B">
        <w:rPr>
          <w:rStyle w:val="Strong"/>
          <w:rFonts w:ascii="Garamond" w:hAnsi="Garamond"/>
          <w:b w:val="0"/>
          <w:bCs w:val="0"/>
          <w:bdr w:val="none" w:sz="0" w:space="0" w:color="auto" w:frame="1"/>
          <w:shd w:val="clear" w:color="auto" w:fill="FFFFFF"/>
        </w:rPr>
        <w:t>gestione dei dati</w:t>
      </w:r>
      <w:r w:rsidRPr="0060732B">
        <w:rPr>
          <w:rFonts w:ascii="Garamond" w:hAnsi="Garamond"/>
          <w:shd w:val="clear" w:color="auto" w:fill="FFFFFF"/>
        </w:rPr>
        <w:t xml:space="preserve"> e </w:t>
      </w:r>
      <w:r w:rsidRPr="0060732B">
        <w:rPr>
          <w:rStyle w:val="Strong"/>
          <w:rFonts w:ascii="Garamond" w:hAnsi="Garamond"/>
          <w:b w:val="0"/>
          <w:bCs w:val="0"/>
          <w:bdr w:val="none" w:sz="0" w:space="0" w:color="auto" w:frame="1"/>
          <w:shd w:val="clear" w:color="auto" w:fill="FFFFFF"/>
        </w:rPr>
        <w:t>tecnologia</w:t>
      </w:r>
      <w:r w:rsidRPr="0060732B">
        <w:rPr>
          <w:rFonts w:ascii="Garamond" w:hAnsi="Garamond"/>
          <w:shd w:val="clear" w:color="auto" w:fill="FFFFFF"/>
        </w:rPr>
        <w:t> in genere, come robotica, big data, semiconduttori e intelligenza artificiale) e delineano un meccanismo di collaborazione tra gli Stati e tra questi e la Commissione europea, ferma l’autonomia decisionale del singolo Paese coinvolto. </w:t>
      </w:r>
    </w:p>
    <w:p w14:paraId="5B3B532A" w14:textId="09208674" w:rsidR="008E183F" w:rsidRPr="0060732B" w:rsidRDefault="008E183F" w:rsidP="007726A3">
      <w:pPr>
        <w:autoSpaceDE w:val="0"/>
        <w:autoSpaceDN w:val="0"/>
        <w:adjustRightInd w:val="0"/>
        <w:spacing w:line="280" w:lineRule="exact"/>
        <w:jc w:val="both"/>
        <w:rPr>
          <w:rFonts w:ascii="Garamond" w:hAnsi="Garamond" w:cs="RotisSansSerifStd-Regular"/>
          <w:bCs/>
        </w:rPr>
      </w:pPr>
    </w:p>
    <w:p w14:paraId="1B319914" w14:textId="07A186B6" w:rsidR="00876C8D" w:rsidRPr="00A41106" w:rsidRDefault="00A41106" w:rsidP="00A41106">
      <w:pPr>
        <w:autoSpaceDE w:val="0"/>
        <w:autoSpaceDN w:val="0"/>
        <w:adjustRightInd w:val="0"/>
        <w:spacing w:line="280" w:lineRule="exact"/>
        <w:jc w:val="both"/>
        <w:rPr>
          <w:rFonts w:ascii="Garamond" w:hAnsi="Garamond" w:cs="RotisSansSerifStd-Regular"/>
          <w:b/>
        </w:rPr>
      </w:pPr>
      <w:r w:rsidRPr="00A41106">
        <w:rPr>
          <w:rFonts w:ascii="Garamond" w:hAnsi="Garamond" w:cs="RotisSansSerifStd-Regular"/>
          <w:bCs/>
          <w:i/>
          <w:iCs/>
        </w:rPr>
        <w:t>2.2.2</w:t>
      </w:r>
      <w:r>
        <w:rPr>
          <w:rFonts w:ascii="Garamond" w:hAnsi="Garamond" w:cs="RotisSansSerifStd-Regular"/>
          <w:b/>
        </w:rPr>
        <w:t xml:space="preserve">. </w:t>
      </w:r>
      <w:r w:rsidR="00876C8D" w:rsidRPr="00A41106">
        <w:rPr>
          <w:rFonts w:ascii="Garamond" w:hAnsi="Garamond" w:cs="RotisSansSerifStd-Regular"/>
          <w:b/>
        </w:rPr>
        <w:t>La giurisprudenza della Corte di Giustizia.</w:t>
      </w:r>
    </w:p>
    <w:p w14:paraId="58CA51DB" w14:textId="0081A611" w:rsidR="00876C8D" w:rsidRPr="0060732B" w:rsidRDefault="00371D1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Il descritto</w:t>
      </w:r>
      <w:r w:rsidR="00876C8D" w:rsidRPr="0060732B">
        <w:rPr>
          <w:rFonts w:ascii="Garamond" w:hAnsi="Garamond" w:cs="RotisSansSerifStd-Regular"/>
        </w:rPr>
        <w:t xml:space="preserve"> atteggiamento di </w:t>
      </w:r>
      <w:r w:rsidR="00876C8D" w:rsidRPr="0060732B">
        <w:rPr>
          <w:rFonts w:ascii="Garamond" w:hAnsi="Garamond" w:cs="RotisSansSerifStd-Regular"/>
          <w:i/>
        </w:rPr>
        <w:t>apertura non incondizionata</w:t>
      </w:r>
      <w:r w:rsidR="00876C8D" w:rsidRPr="0060732B">
        <w:rPr>
          <w:rFonts w:ascii="Garamond" w:hAnsi="Garamond" w:cs="RotisSansSerifStd-Regular"/>
        </w:rPr>
        <w:t xml:space="preserve"> dell’economia europea all’investimento diretto straniero ha trovato espressione in una giurisprudenza della Corte di Giustizia che ha fatto applicazione delle disposizioni del Trattato in tema di libera circolazione dei capitali e di libertà di stabilimento.</w:t>
      </w:r>
    </w:p>
    <w:p w14:paraId="61055DAF" w14:textId="08CC924D"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Quanto alla </w:t>
      </w:r>
      <w:r w:rsidRPr="0060732B">
        <w:rPr>
          <w:rFonts w:ascii="Garamond" w:hAnsi="Garamond" w:cs="RotisSansSerifStd-Regular"/>
          <w:i/>
        </w:rPr>
        <w:t>libertà di circolazione di capitali</w:t>
      </w:r>
      <w:r w:rsidRPr="0060732B">
        <w:rPr>
          <w:rFonts w:ascii="Garamond" w:hAnsi="Garamond" w:cs="RotisSansSerifStd-Regular"/>
        </w:rPr>
        <w:t xml:space="preserve">, alla stessa è stata riconosciuta, per vero già da tempo e a seguito della direttiva sui movimenti di capitale del 1988, da un lato, </w:t>
      </w:r>
      <w:r w:rsidRPr="0060732B">
        <w:rPr>
          <w:rFonts w:ascii="Garamond" w:hAnsi="Garamond" w:cs="RotisSansSerifStd-Regular"/>
          <w:i/>
        </w:rPr>
        <w:t>efficacia diretta</w:t>
      </w:r>
      <w:r w:rsidRPr="0060732B">
        <w:rPr>
          <w:rStyle w:val="FootnoteReference"/>
          <w:rFonts w:ascii="Garamond" w:hAnsi="Garamond" w:cs="RotisSansSerifStd-Regular"/>
        </w:rPr>
        <w:footnoteReference w:id="5"/>
      </w:r>
      <w:r w:rsidRPr="0060732B">
        <w:rPr>
          <w:rFonts w:ascii="Garamond" w:hAnsi="Garamond" w:cs="RotisSansSerifStd-Regular"/>
        </w:rPr>
        <w:t xml:space="preserve">, dall’altro, valore </w:t>
      </w:r>
      <w:r w:rsidRPr="0060732B">
        <w:rPr>
          <w:rFonts w:ascii="Garamond" w:hAnsi="Garamond" w:cs="RotisSansSerifStd-Italic"/>
          <w:i/>
          <w:iCs/>
        </w:rPr>
        <w:t>erga omnes</w:t>
      </w:r>
      <w:r w:rsidRPr="0060732B">
        <w:rPr>
          <w:rFonts w:ascii="Garamond" w:hAnsi="Garamond" w:cs="RotisSansSerifStd-Regular"/>
        </w:rPr>
        <w:t xml:space="preserve">, essendo considerata libertà fondamentale, come tale invocabile anche da investitori </w:t>
      </w:r>
      <w:r w:rsidRPr="0060732B">
        <w:rPr>
          <w:rFonts w:ascii="Garamond" w:hAnsi="Garamond" w:cs="RotisSansSerifStd-Regular"/>
          <w:i/>
        </w:rPr>
        <w:t>extra-UE</w:t>
      </w:r>
      <w:r w:rsidRPr="0060732B">
        <w:rPr>
          <w:rFonts w:ascii="Garamond" w:hAnsi="Garamond" w:cs="RotisSansSerifStd-Regular"/>
        </w:rPr>
        <w:t>.</w:t>
      </w:r>
      <w:r w:rsidR="00ED1CC1" w:rsidRPr="0060732B">
        <w:rPr>
          <w:rFonts w:ascii="Garamond" w:hAnsi="Garamond" w:cs="RotisSansSerifStd-Regular"/>
        </w:rPr>
        <w:t xml:space="preserve"> </w:t>
      </w:r>
      <w:r w:rsidRPr="0060732B">
        <w:rPr>
          <w:rFonts w:ascii="Garamond" w:hAnsi="Garamond" w:cs="RotisSansSerifStd-Regular"/>
        </w:rPr>
        <w:t>Il che non implica che si tratti di libertà assoluta, non assoggettata a limitazioni.</w:t>
      </w:r>
      <w:r w:rsidR="00ED1CC1" w:rsidRPr="0060732B">
        <w:rPr>
          <w:rFonts w:ascii="Garamond" w:hAnsi="Garamond" w:cs="RotisSansSerifStd-Regular"/>
        </w:rPr>
        <w:t xml:space="preserve"> Infatti, tale </w:t>
      </w:r>
      <w:r w:rsidRPr="0060732B">
        <w:rPr>
          <w:rFonts w:ascii="Garamond" w:hAnsi="Garamond" w:cs="RotisSansSerifStd-Regular"/>
        </w:rPr>
        <w:t>liber</w:t>
      </w:r>
      <w:r w:rsidR="00ED1CC1" w:rsidRPr="0060732B">
        <w:rPr>
          <w:rFonts w:ascii="Garamond" w:hAnsi="Garamond" w:cs="RotisSansSerifStd-Regular"/>
        </w:rPr>
        <w:t>tà</w:t>
      </w:r>
      <w:r w:rsidRPr="0060732B">
        <w:rPr>
          <w:rFonts w:ascii="Garamond" w:hAnsi="Garamond" w:cs="RotisSansSerifStd-Regular"/>
        </w:rPr>
        <w:t>, oltre ad andare incontro ai  limiti previsti dall’art. 65, comma 1, lett. b)</w:t>
      </w:r>
      <w:r w:rsidR="00ED1CC1" w:rsidRPr="0060732B">
        <w:rPr>
          <w:rFonts w:ascii="Garamond" w:hAnsi="Garamond" w:cs="RotisSansSerifStd-Regular"/>
        </w:rPr>
        <w:t>,</w:t>
      </w:r>
      <w:r w:rsidRPr="0060732B">
        <w:rPr>
          <w:rFonts w:ascii="Garamond" w:hAnsi="Garamond" w:cs="RotisSansSerifStd-Regular"/>
        </w:rPr>
        <w:t xml:space="preserve"> TFUE, rappresentati dalle </w:t>
      </w:r>
      <w:r w:rsidRPr="0060732B">
        <w:rPr>
          <w:rFonts w:ascii="Garamond" w:hAnsi="Garamond" w:cs="RotisSansSerifStd-Regular"/>
          <w:i/>
        </w:rPr>
        <w:t>esigenze di sicurezza e di ordine pubblico</w:t>
      </w:r>
      <w:r w:rsidRPr="0060732B">
        <w:rPr>
          <w:rFonts w:ascii="Garamond" w:hAnsi="Garamond" w:cs="RotisSansSerifStd-Regular"/>
        </w:rPr>
        <w:t xml:space="preserve">, può soffrire eccezioni quando richiesto da </w:t>
      </w:r>
      <w:r w:rsidRPr="0060732B">
        <w:rPr>
          <w:rFonts w:ascii="Garamond" w:hAnsi="Garamond" w:cs="RotisSansSerifStd-Regular"/>
          <w:i/>
        </w:rPr>
        <w:t>motivi imperativi di interesse generale</w:t>
      </w:r>
      <w:r w:rsidRPr="0060732B">
        <w:rPr>
          <w:rFonts w:ascii="Garamond" w:hAnsi="Garamond" w:cs="RotisSansSerifStd-Regular"/>
        </w:rPr>
        <w:t xml:space="preserve">, con la precisazione che </w:t>
      </w:r>
      <w:r w:rsidR="00ED1CC1" w:rsidRPr="0060732B">
        <w:rPr>
          <w:rFonts w:ascii="Garamond" w:hAnsi="Garamond" w:cs="RotisSansSerifStd-Regular"/>
        </w:rPr>
        <w:t xml:space="preserve">in tale nozione non rientrano </w:t>
      </w:r>
      <w:r w:rsidRPr="0060732B">
        <w:rPr>
          <w:rFonts w:ascii="Garamond" w:hAnsi="Garamond" w:cs="RotisSansSerifStd-Regular"/>
        </w:rPr>
        <w:t>motivi di “</w:t>
      </w:r>
      <w:r w:rsidRPr="0060732B">
        <w:rPr>
          <w:rFonts w:ascii="Garamond" w:hAnsi="Garamond" w:cs="RotisSansSerifStd-Regular"/>
          <w:i/>
        </w:rPr>
        <w:t>natura puramente economica</w:t>
      </w:r>
      <w:r w:rsidRPr="0060732B">
        <w:rPr>
          <w:rFonts w:ascii="Garamond" w:hAnsi="Garamond" w:cs="RotisSansSerifStd-Regular"/>
        </w:rPr>
        <w:t>”</w:t>
      </w:r>
      <w:r w:rsidRPr="0060732B">
        <w:rPr>
          <w:rStyle w:val="FootnoteReference"/>
          <w:rFonts w:ascii="Garamond" w:hAnsi="Garamond" w:cs="RotisSansSerifStd-Regular"/>
        </w:rPr>
        <w:footnoteReference w:id="6"/>
      </w:r>
      <w:r w:rsidRPr="0060732B">
        <w:rPr>
          <w:rFonts w:ascii="Garamond" w:hAnsi="Garamond" w:cs="RotisSansSerifStd-Regular"/>
        </w:rPr>
        <w:t>, diversamente da quelli “</w:t>
      </w:r>
      <w:r w:rsidRPr="0060732B">
        <w:rPr>
          <w:rFonts w:ascii="Garamond" w:hAnsi="Garamond" w:cs="RotisSansSerifStd-Regular"/>
          <w:i/>
        </w:rPr>
        <w:t>di ordine economico che perseguono un obiettivo di interesse generale</w:t>
      </w:r>
      <w:r w:rsidRPr="0060732B">
        <w:rPr>
          <w:rFonts w:ascii="Garamond" w:hAnsi="Garamond" w:cs="RotisSansSerifStd-Regular"/>
        </w:rPr>
        <w:t>”</w:t>
      </w:r>
      <w:r w:rsidRPr="0060732B">
        <w:rPr>
          <w:rStyle w:val="FootnoteReference"/>
          <w:rFonts w:ascii="Garamond" w:hAnsi="Garamond" w:cs="RotisSansSerifStd-Regular"/>
        </w:rPr>
        <w:footnoteReference w:id="7"/>
      </w:r>
      <w:r w:rsidRPr="0060732B">
        <w:rPr>
          <w:rFonts w:ascii="Garamond" w:hAnsi="Garamond" w:cs="RotisSansSerifStd-Regular"/>
        </w:rPr>
        <w:t>.</w:t>
      </w:r>
    </w:p>
    <w:p w14:paraId="25E7E5A2" w14:textId="77777777"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Ben diversa posizione è stata espressa dalla giurisprudenza europea a proposito della </w:t>
      </w:r>
      <w:r w:rsidRPr="0060732B">
        <w:rPr>
          <w:rFonts w:ascii="Garamond" w:hAnsi="Garamond" w:cs="RotisSansSerifStd-Regular"/>
          <w:i/>
        </w:rPr>
        <w:t>libertà di  stabilimento</w:t>
      </w:r>
      <w:r w:rsidRPr="0060732B">
        <w:rPr>
          <w:rFonts w:ascii="Garamond" w:hAnsi="Garamond" w:cs="RotisSansSerifStd-Regular"/>
        </w:rPr>
        <w:t xml:space="preserve"> di cui è anche necessario chiarire i rapporti con la libertà di circolazione dei capitali.</w:t>
      </w:r>
    </w:p>
    <w:p w14:paraId="4C613046" w14:textId="77777777"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Escluso che anche la libertà di stabilimento abbia valenza </w:t>
      </w:r>
      <w:r w:rsidRPr="0060732B">
        <w:rPr>
          <w:rFonts w:ascii="Garamond" w:hAnsi="Garamond" w:cs="RotisSansSerifStd-Italic"/>
          <w:i/>
          <w:iCs/>
        </w:rPr>
        <w:t>erga omnes</w:t>
      </w:r>
      <w:r w:rsidRPr="0060732B">
        <w:rPr>
          <w:rFonts w:ascii="Garamond" w:hAnsi="Garamond" w:cs="RotisSansSerifStd-Italic"/>
          <w:iCs/>
        </w:rPr>
        <w:t xml:space="preserve"> e che quindi possa essere invocata da investitore </w:t>
      </w:r>
      <w:r w:rsidRPr="0060732B">
        <w:rPr>
          <w:rFonts w:ascii="Garamond" w:hAnsi="Garamond" w:cs="RotisSansSerifStd-Regular"/>
          <w:i/>
        </w:rPr>
        <w:t>extra-UE</w:t>
      </w:r>
      <w:r w:rsidRPr="0060732B">
        <w:rPr>
          <w:rFonts w:ascii="Garamond" w:hAnsi="Garamond" w:cs="RotisSansSerifStd-Italic"/>
          <w:iCs/>
        </w:rPr>
        <w:t xml:space="preserve">, </w:t>
      </w:r>
      <w:r w:rsidRPr="0060732B">
        <w:rPr>
          <w:rFonts w:ascii="Garamond" w:hAnsi="Garamond" w:cs="RotisSansSerifStd-Regular"/>
        </w:rPr>
        <w:t xml:space="preserve">la Corte di giustizia ha da tempo chiarito -quanto all’ambito applicativo di questa seconda libertà- che è questa (e non, invece, quella di libera circolazione di capitali) a dover essere invocata da chi intenda effettuare un investimento diretto straniero che sia </w:t>
      </w:r>
      <w:r w:rsidRPr="0060732B">
        <w:rPr>
          <w:rFonts w:ascii="Garamond" w:hAnsi="Garamond" w:cs="RotisSansSerifStd-Regular"/>
          <w:i/>
        </w:rPr>
        <w:t>funzionale all’acquisizione del controllo o, comunque, di sicure prerogative di governo della società partecipata</w:t>
      </w:r>
      <w:r w:rsidRPr="0060732B">
        <w:rPr>
          <w:rFonts w:ascii="Garamond" w:hAnsi="Garamond" w:cs="RotisSansSerifStd-Regular"/>
        </w:rPr>
        <w:t xml:space="preserve">. </w:t>
      </w:r>
    </w:p>
    <w:p w14:paraId="70EFE29C" w14:textId="711EBCC1"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Consegue che la coerenza con il diritto unionale di misure nazionali che limitano o disciplinano l’investimento connotato da tale scopo va apprezzata avendo riguardo alla cogenza ed estensione non della libertà di circolazione di capitali (ad efficacia diretta ed </w:t>
      </w:r>
      <w:r w:rsidRPr="0060732B">
        <w:rPr>
          <w:rFonts w:ascii="Garamond" w:hAnsi="Garamond" w:cs="RotisSansSerifStd-Regular"/>
          <w:i/>
        </w:rPr>
        <w:t>erga omnes</w:t>
      </w:r>
      <w:r w:rsidRPr="0060732B">
        <w:rPr>
          <w:rFonts w:ascii="Garamond" w:hAnsi="Garamond" w:cs="RotisSansSerifStd-Regular"/>
        </w:rPr>
        <w:t xml:space="preserve">), ma della libertà di stabilimento, priva di valore </w:t>
      </w:r>
      <w:r w:rsidRPr="0060732B">
        <w:rPr>
          <w:rFonts w:ascii="Garamond" w:hAnsi="Garamond" w:cs="RotisSansSerifStd-Regular"/>
          <w:i/>
        </w:rPr>
        <w:t>erga omnes</w:t>
      </w:r>
      <w:r w:rsidRPr="0060732B">
        <w:rPr>
          <w:rFonts w:ascii="Garamond" w:hAnsi="Garamond" w:cs="RotisSansSerifStd-Regular"/>
        </w:rPr>
        <w:t xml:space="preserve"> e non invocabile dall’investitore del </w:t>
      </w:r>
      <w:r w:rsidR="00ED1CC1" w:rsidRPr="0060732B">
        <w:rPr>
          <w:rFonts w:ascii="Garamond" w:hAnsi="Garamond" w:cs="RotisSansSerifStd-Regular"/>
        </w:rPr>
        <w:t>P</w:t>
      </w:r>
      <w:r w:rsidRPr="0060732B">
        <w:rPr>
          <w:rFonts w:ascii="Garamond" w:hAnsi="Garamond" w:cs="RotisSansSerifStd-Regular"/>
        </w:rPr>
        <w:t>aese terzo</w:t>
      </w:r>
      <w:r w:rsidRPr="0060732B">
        <w:rPr>
          <w:rStyle w:val="FootnoteReference"/>
          <w:rFonts w:ascii="Garamond" w:hAnsi="Garamond" w:cs="RotisSansSerifStd-Regular"/>
        </w:rPr>
        <w:footnoteReference w:id="8"/>
      </w:r>
      <w:r w:rsidRPr="0060732B">
        <w:rPr>
          <w:rFonts w:ascii="Garamond" w:hAnsi="Garamond" w:cs="RotisSansSerifStd-Regular"/>
        </w:rPr>
        <w:t>.</w:t>
      </w:r>
    </w:p>
    <w:p w14:paraId="7A6B6B21" w14:textId="77777777" w:rsidR="006963E3" w:rsidRPr="0060732B" w:rsidRDefault="00ED1CC1"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Sulla base di tali coordinate la</w:t>
      </w:r>
      <w:r w:rsidR="00876C8D" w:rsidRPr="0060732B">
        <w:rPr>
          <w:rFonts w:ascii="Garamond" w:hAnsi="Garamond" w:cs="RotisSansSerifStd-Regular"/>
        </w:rPr>
        <w:t xml:space="preserve"> Corte di Giustizia ha vagliato la coerenza europea delle legislazioni nazionali in tema di </w:t>
      </w:r>
      <w:r w:rsidR="00876C8D" w:rsidRPr="0060732B">
        <w:rPr>
          <w:rFonts w:ascii="Garamond" w:hAnsi="Garamond" w:cs="RotisSansSerifStd-Regular"/>
          <w:i/>
        </w:rPr>
        <w:t>golden share</w:t>
      </w:r>
      <w:r w:rsidRPr="0060732B">
        <w:rPr>
          <w:rFonts w:ascii="Garamond" w:hAnsi="Garamond" w:cs="RotisSansSerifStd-Regular"/>
        </w:rPr>
        <w:t xml:space="preserve">, </w:t>
      </w:r>
      <w:r w:rsidR="00EF3AED" w:rsidRPr="0060732B">
        <w:rPr>
          <w:rFonts w:ascii="Garamond" w:hAnsi="Garamond" w:cs="RotisSansSerifStd-Regular"/>
        </w:rPr>
        <w:t>concludendo di frequente per l’incompatibilità</w:t>
      </w:r>
      <w:r w:rsidR="006963E3" w:rsidRPr="0060732B">
        <w:rPr>
          <w:rStyle w:val="FootnoteReference"/>
          <w:rFonts w:ascii="Garamond" w:hAnsi="Garamond"/>
        </w:rPr>
        <w:footnoteReference w:id="9"/>
      </w:r>
      <w:r w:rsidR="006963E3" w:rsidRPr="0060732B">
        <w:rPr>
          <w:rFonts w:ascii="Garamond" w:hAnsi="Garamond" w:cs="RotisSansSerifStd-Regular"/>
        </w:rPr>
        <w:t>.</w:t>
      </w:r>
    </w:p>
    <w:p w14:paraId="609DC156" w14:textId="2B154953" w:rsidR="00876C8D" w:rsidRPr="0060732B" w:rsidRDefault="006963E3" w:rsidP="007726A3">
      <w:pPr>
        <w:autoSpaceDE w:val="0"/>
        <w:autoSpaceDN w:val="0"/>
        <w:adjustRightInd w:val="0"/>
        <w:spacing w:line="280" w:lineRule="exact"/>
        <w:jc w:val="both"/>
        <w:rPr>
          <w:rFonts w:ascii="Garamond" w:hAnsi="Garamond"/>
        </w:rPr>
      </w:pPr>
      <w:r w:rsidRPr="0060732B">
        <w:rPr>
          <w:rFonts w:ascii="Garamond" w:hAnsi="Garamond" w:cs="RotisSansSerifStd-Regular"/>
        </w:rPr>
        <w:t>E</w:t>
      </w:r>
      <w:r w:rsidR="00EF3AED" w:rsidRPr="0060732B">
        <w:rPr>
          <w:rFonts w:ascii="Garamond" w:hAnsi="Garamond" w:cs="RotisSansSerifStd-Regular"/>
        </w:rPr>
        <w:t>sito al quale la Corte è pervenuta non già</w:t>
      </w:r>
      <w:r w:rsidR="00876C8D" w:rsidRPr="0060732B">
        <w:rPr>
          <w:rFonts w:ascii="Garamond" w:hAnsi="Garamond" w:cs="RotisSansSerifStd-Regular"/>
        </w:rPr>
        <w:t xml:space="preserve"> </w:t>
      </w:r>
      <w:r w:rsidR="00EF3AED" w:rsidRPr="0060732B">
        <w:rPr>
          <w:rFonts w:ascii="Garamond" w:hAnsi="Garamond" w:cs="RotisSansSerifStd-Regular"/>
        </w:rPr>
        <w:t>certo prendendo atto di</w:t>
      </w:r>
      <w:r w:rsidR="00876C8D" w:rsidRPr="0060732B">
        <w:rPr>
          <w:rFonts w:ascii="Garamond" w:hAnsi="Garamond" w:cs="RotisSansSerifStd-Regular"/>
        </w:rPr>
        <w:t xml:space="preserve"> una </w:t>
      </w:r>
      <w:r w:rsidR="00EF3AED" w:rsidRPr="0060732B">
        <w:rPr>
          <w:rFonts w:ascii="Garamond" w:hAnsi="Garamond" w:cs="RotisSansSerifStd-Regular"/>
        </w:rPr>
        <w:t xml:space="preserve">non sussistente </w:t>
      </w:r>
      <w:r w:rsidR="00876C8D" w:rsidRPr="0060732B">
        <w:rPr>
          <w:rFonts w:ascii="Garamond" w:hAnsi="Garamond"/>
        </w:rPr>
        <w:t>avversione del</w:t>
      </w:r>
      <w:r w:rsidR="00EF3AED" w:rsidRPr="0060732B">
        <w:rPr>
          <w:rFonts w:ascii="Garamond" w:hAnsi="Garamond"/>
        </w:rPr>
        <w:t xml:space="preserve"> diritto del</w:t>
      </w:r>
      <w:r w:rsidR="00876C8D" w:rsidRPr="0060732B">
        <w:rPr>
          <w:rFonts w:ascii="Garamond" w:hAnsi="Garamond"/>
        </w:rPr>
        <w:t xml:space="preserve">l'Unione Europea </w:t>
      </w:r>
      <w:r w:rsidR="00EF3AED" w:rsidRPr="0060732B">
        <w:rPr>
          <w:rFonts w:ascii="Garamond" w:hAnsi="Garamond"/>
        </w:rPr>
        <w:t xml:space="preserve">rispetto </w:t>
      </w:r>
      <w:r w:rsidR="00876C8D" w:rsidRPr="0060732B">
        <w:rPr>
          <w:rFonts w:ascii="Garamond" w:hAnsi="Garamond"/>
        </w:rPr>
        <w:t xml:space="preserve">all'intervento nazionale sui mutamenti degli assetti societari, quanto </w:t>
      </w:r>
      <w:r w:rsidR="00EF3AED" w:rsidRPr="0060732B">
        <w:rPr>
          <w:rFonts w:ascii="Garamond" w:hAnsi="Garamond"/>
        </w:rPr>
        <w:t xml:space="preserve">in considerazione della constatata </w:t>
      </w:r>
      <w:r w:rsidR="00876C8D" w:rsidRPr="0060732B">
        <w:rPr>
          <w:rFonts w:ascii="Garamond" w:hAnsi="Garamond"/>
        </w:rPr>
        <w:t>eccessiva indeterminatezza dei presupposti e dei criteri previsti dalle discipline dei singoli Paesi europei per l'esercizio dei poteri speciali.</w:t>
      </w:r>
    </w:p>
    <w:p w14:paraId="1F0EE16D" w14:textId="48A9D1FE" w:rsidR="00876C8D" w:rsidRPr="0060732B" w:rsidRDefault="00876C8D" w:rsidP="007726A3">
      <w:pPr>
        <w:autoSpaceDE w:val="0"/>
        <w:autoSpaceDN w:val="0"/>
        <w:adjustRightInd w:val="0"/>
        <w:spacing w:line="280" w:lineRule="exact"/>
        <w:jc w:val="both"/>
        <w:rPr>
          <w:rFonts w:ascii="Garamond" w:hAnsi="Garamond"/>
        </w:rPr>
      </w:pPr>
      <w:r w:rsidRPr="0060732B">
        <w:rPr>
          <w:rFonts w:ascii="Garamond" w:hAnsi="Garamond"/>
        </w:rPr>
        <w:t xml:space="preserve">La Corte, infatti, non ha mai condannato in radice la </w:t>
      </w:r>
      <w:r w:rsidRPr="0060732B">
        <w:rPr>
          <w:rStyle w:val="corsivo"/>
          <w:rFonts w:ascii="Garamond" w:hAnsi="Garamond"/>
        </w:rPr>
        <w:t>golden share</w:t>
      </w:r>
      <w:r w:rsidRPr="0060732B">
        <w:rPr>
          <w:rFonts w:ascii="Garamond" w:hAnsi="Garamond"/>
        </w:rPr>
        <w:t xml:space="preserve">, rimarcando </w:t>
      </w:r>
      <w:r w:rsidR="006963E3" w:rsidRPr="0060732B">
        <w:rPr>
          <w:rFonts w:ascii="Garamond" w:hAnsi="Garamond"/>
        </w:rPr>
        <w:t xml:space="preserve">piuttosto che </w:t>
      </w:r>
      <w:r w:rsidRPr="0060732B">
        <w:rPr>
          <w:rFonts w:ascii="Garamond" w:hAnsi="Garamond"/>
        </w:rPr>
        <w:t xml:space="preserve">l'esercizio dei </w:t>
      </w:r>
      <w:r w:rsidR="006963E3" w:rsidRPr="0060732B">
        <w:rPr>
          <w:rFonts w:ascii="Garamond" w:hAnsi="Garamond"/>
        </w:rPr>
        <w:t xml:space="preserve">connessi </w:t>
      </w:r>
      <w:r w:rsidRPr="0060732B">
        <w:rPr>
          <w:rFonts w:ascii="Garamond" w:hAnsi="Garamond"/>
        </w:rPr>
        <w:t xml:space="preserve">poteri </w:t>
      </w:r>
      <w:r w:rsidR="006963E3" w:rsidRPr="0060732B">
        <w:rPr>
          <w:rFonts w:ascii="Garamond" w:hAnsi="Garamond"/>
        </w:rPr>
        <w:t xml:space="preserve">è </w:t>
      </w:r>
      <w:r w:rsidRPr="0060732B">
        <w:rPr>
          <w:rFonts w:ascii="Garamond" w:hAnsi="Garamond"/>
        </w:rPr>
        <w:t xml:space="preserve">compatibile con la disciplina </w:t>
      </w:r>
      <w:r w:rsidR="006963E3" w:rsidRPr="0060732B">
        <w:rPr>
          <w:rFonts w:ascii="Garamond" w:hAnsi="Garamond"/>
        </w:rPr>
        <w:t>dell’Unione</w:t>
      </w:r>
      <w:r w:rsidRPr="0060732B">
        <w:rPr>
          <w:rFonts w:ascii="Garamond" w:hAnsi="Garamond"/>
        </w:rPr>
        <w:t xml:space="preserve"> a condizione che i conseguenti limiti alla libertà di circolazione dei capitali </w:t>
      </w:r>
      <w:r w:rsidR="006963E3" w:rsidRPr="0060732B">
        <w:rPr>
          <w:rFonts w:ascii="Garamond" w:hAnsi="Garamond"/>
        </w:rPr>
        <w:t>rispondano</w:t>
      </w:r>
      <w:r w:rsidRPr="0060732B">
        <w:rPr>
          <w:rFonts w:ascii="Garamond" w:hAnsi="Garamond"/>
        </w:rPr>
        <w:t xml:space="preserve"> </w:t>
      </w:r>
      <w:r w:rsidR="006963E3" w:rsidRPr="0060732B">
        <w:rPr>
          <w:rFonts w:ascii="Garamond" w:hAnsi="Garamond"/>
        </w:rPr>
        <w:t>ad</w:t>
      </w:r>
      <w:r w:rsidRPr="0060732B">
        <w:rPr>
          <w:rFonts w:ascii="Garamond" w:hAnsi="Garamond"/>
        </w:rPr>
        <w:t xml:space="preserve"> autentiche </w:t>
      </w:r>
      <w:r w:rsidRPr="0060732B">
        <w:rPr>
          <w:rFonts w:ascii="Garamond" w:hAnsi="Garamond" w:cs="RotisSansSerifStd-Regular"/>
        </w:rPr>
        <w:t xml:space="preserve">esigenze di sicurezza e di ordine pubblico o </w:t>
      </w:r>
      <w:r w:rsidR="006963E3" w:rsidRPr="0060732B">
        <w:rPr>
          <w:rFonts w:ascii="Garamond" w:hAnsi="Garamond" w:cs="RotisSansSerifStd-Regular"/>
        </w:rPr>
        <w:t xml:space="preserve">reali </w:t>
      </w:r>
      <w:r w:rsidRPr="0060732B">
        <w:rPr>
          <w:rFonts w:ascii="Garamond" w:hAnsi="Garamond" w:cs="RotisSansSerifStd-Regular"/>
        </w:rPr>
        <w:t>motivi imperativi di interesse generale</w:t>
      </w:r>
      <w:r w:rsidRPr="0060732B">
        <w:rPr>
          <w:rFonts w:ascii="Garamond" w:hAnsi="Garamond"/>
        </w:rPr>
        <w:t xml:space="preserve">. </w:t>
      </w:r>
    </w:p>
    <w:p w14:paraId="18EADCA1" w14:textId="37DA6F42"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Si tratta di un punto di fondamentale importanza, tanto più se si </w:t>
      </w:r>
      <w:r w:rsidR="00371D1D" w:rsidRPr="0060732B">
        <w:rPr>
          <w:rFonts w:ascii="Garamond" w:hAnsi="Garamond" w:cs="RotisSansSerifStd-Regular"/>
        </w:rPr>
        <w:t xml:space="preserve">intende </w:t>
      </w:r>
      <w:r w:rsidRPr="0060732B">
        <w:rPr>
          <w:rFonts w:ascii="Garamond" w:hAnsi="Garamond" w:cs="RotisSansSerifStd-Regular"/>
        </w:rPr>
        <w:t>raffront</w:t>
      </w:r>
      <w:r w:rsidR="00371D1D" w:rsidRPr="0060732B">
        <w:rPr>
          <w:rFonts w:ascii="Garamond" w:hAnsi="Garamond" w:cs="RotisSansSerifStd-Regular"/>
        </w:rPr>
        <w:t>are</w:t>
      </w:r>
      <w:r w:rsidRPr="0060732B">
        <w:rPr>
          <w:rFonts w:ascii="Garamond" w:hAnsi="Garamond" w:cs="RotisSansSerifStd-Regular"/>
        </w:rPr>
        <w:t xml:space="preserve"> il modello europeo e, in questo, il caso </w:t>
      </w:r>
      <w:r w:rsidR="005C41AC" w:rsidRPr="0060732B">
        <w:rPr>
          <w:rFonts w:ascii="Garamond" w:hAnsi="Garamond" w:cs="RotisSansSerifStd-Regular"/>
        </w:rPr>
        <w:t>i</w:t>
      </w:r>
      <w:r w:rsidRPr="0060732B">
        <w:rPr>
          <w:rFonts w:ascii="Garamond" w:hAnsi="Garamond" w:cs="RotisSansSerifStd-Regular"/>
        </w:rPr>
        <w:t>taliano, con quello statunitense al quale pure gli ordinamenti europei si s</w:t>
      </w:r>
      <w:r w:rsidR="00371D1D" w:rsidRPr="0060732B">
        <w:rPr>
          <w:rFonts w:ascii="Garamond" w:hAnsi="Garamond" w:cs="RotisSansSerifStd-Regular"/>
        </w:rPr>
        <w:t>o</w:t>
      </w:r>
      <w:r w:rsidRPr="0060732B">
        <w:rPr>
          <w:rFonts w:ascii="Garamond" w:hAnsi="Garamond" w:cs="RotisSansSerifStd-Regular"/>
        </w:rPr>
        <w:t xml:space="preserve">no in parte ispirati nel passaggio dalla </w:t>
      </w:r>
      <w:r w:rsidRPr="0060732B">
        <w:rPr>
          <w:rFonts w:ascii="Garamond" w:hAnsi="Garamond" w:cs="RotisSansSerifStd-Regular"/>
          <w:i/>
        </w:rPr>
        <w:t>golden share</w:t>
      </w:r>
      <w:r w:rsidRPr="0060732B">
        <w:rPr>
          <w:rFonts w:ascii="Garamond" w:hAnsi="Garamond" w:cs="RotisSansSerifStd-Regular"/>
        </w:rPr>
        <w:t xml:space="preserve"> a sistemi improntati </w:t>
      </w:r>
      <w:r w:rsidRPr="0060732B">
        <w:rPr>
          <w:rFonts w:ascii="Garamond" w:hAnsi="Garamond" w:cs="RotisSansSerifStd-Regular"/>
          <w:i/>
        </w:rPr>
        <w:t>al golden power</w:t>
      </w:r>
      <w:r w:rsidRPr="0060732B">
        <w:rPr>
          <w:rFonts w:ascii="Garamond" w:hAnsi="Garamond" w:cs="RotisSansSerifStd-Regular"/>
        </w:rPr>
        <w:t>.</w:t>
      </w:r>
    </w:p>
    <w:p w14:paraId="051ED1A7" w14:textId="163DCB1F" w:rsidR="00876C8D" w:rsidRPr="0060732B" w:rsidRDefault="00876C8D" w:rsidP="007726A3">
      <w:pPr>
        <w:autoSpaceDE w:val="0"/>
        <w:autoSpaceDN w:val="0"/>
        <w:adjustRightInd w:val="0"/>
        <w:spacing w:line="280" w:lineRule="exact"/>
        <w:jc w:val="both"/>
        <w:rPr>
          <w:rFonts w:ascii="Garamond" w:hAnsi="Garamond"/>
        </w:rPr>
      </w:pPr>
      <w:r w:rsidRPr="0060732B">
        <w:rPr>
          <w:rFonts w:ascii="Garamond" w:hAnsi="Garamond" w:cs="RotisSansSerifStd-Regular"/>
        </w:rPr>
        <w:t xml:space="preserve">Volendo anticipare alcune conclusioni, è utile osservare che, già intervenendo sulle discipline nazionali in tema di </w:t>
      </w:r>
      <w:r w:rsidRPr="0060732B">
        <w:rPr>
          <w:rFonts w:ascii="Garamond" w:hAnsi="Garamond" w:cs="RotisSansSerifStd-Regular"/>
          <w:i/>
        </w:rPr>
        <w:t>golden share</w:t>
      </w:r>
      <w:r w:rsidRPr="0060732B">
        <w:rPr>
          <w:rFonts w:ascii="Garamond" w:hAnsi="Garamond" w:cs="RotisSansSerifStd-Regular"/>
        </w:rPr>
        <w:t xml:space="preserve"> o </w:t>
      </w:r>
      <w:r w:rsidRPr="0060732B">
        <w:rPr>
          <w:rFonts w:ascii="Garamond" w:hAnsi="Garamond" w:cs="RotisSansSerifStd-Regular"/>
          <w:i/>
        </w:rPr>
        <w:t>action specifique</w:t>
      </w:r>
      <w:r w:rsidRPr="0060732B">
        <w:rPr>
          <w:rFonts w:ascii="Garamond" w:hAnsi="Garamond" w:cs="RotisSansSerifStd-Regular"/>
        </w:rPr>
        <w:t xml:space="preserve">, la </w:t>
      </w:r>
      <w:r w:rsidRPr="0060732B">
        <w:rPr>
          <w:rFonts w:ascii="Garamond" w:hAnsi="Garamond"/>
        </w:rPr>
        <w:t xml:space="preserve">Corte di giustizia ha iniziato a definire i confini per l'esercizio unionalmente legittimo dei poteri nazionali di intervento a protezione degli interessi nazionali, in specie le condizioni di compatibilità con le disposizioni del Trattato in tema di libertà di circolazione dei capitali </w:t>
      </w:r>
      <w:r w:rsidR="007726A3" w:rsidRPr="0060732B">
        <w:rPr>
          <w:rFonts w:ascii="Garamond" w:hAnsi="Garamond"/>
        </w:rPr>
        <w:t xml:space="preserve">e </w:t>
      </w:r>
      <w:r w:rsidRPr="0060732B">
        <w:rPr>
          <w:rFonts w:ascii="Garamond" w:hAnsi="Garamond"/>
        </w:rPr>
        <w:t>di stabilimento, incluse quelle di oggettività, proporzionalità e non discriminazione.</w:t>
      </w:r>
    </w:p>
    <w:p w14:paraId="0A5D99E3" w14:textId="4B76E0D5" w:rsidR="00876C8D" w:rsidRPr="0060732B" w:rsidRDefault="00876C8D" w:rsidP="007726A3">
      <w:pPr>
        <w:autoSpaceDE w:val="0"/>
        <w:autoSpaceDN w:val="0"/>
        <w:adjustRightInd w:val="0"/>
        <w:spacing w:line="280" w:lineRule="exact"/>
        <w:jc w:val="both"/>
        <w:rPr>
          <w:rFonts w:ascii="Garamond" w:hAnsi="Garamond"/>
        </w:rPr>
      </w:pPr>
      <w:r w:rsidRPr="0060732B">
        <w:rPr>
          <w:rFonts w:ascii="Garamond" w:hAnsi="Garamond" w:cs="RotisSansSerifStd-Regular"/>
        </w:rPr>
        <w:t>Emerge</w:t>
      </w:r>
      <w:r w:rsidR="007726A3" w:rsidRPr="0060732B">
        <w:rPr>
          <w:rFonts w:ascii="Garamond" w:hAnsi="Garamond" w:cs="RotisSansSerifStd-Regular"/>
        </w:rPr>
        <w:t>, quindi,</w:t>
      </w:r>
      <w:r w:rsidRPr="0060732B">
        <w:rPr>
          <w:rFonts w:ascii="Garamond" w:hAnsi="Garamond" w:cs="RotisSansSerifStd-Regular"/>
        </w:rPr>
        <w:t xml:space="preserve"> un’i</w:t>
      </w:r>
      <w:r w:rsidRPr="0060732B">
        <w:rPr>
          <w:rFonts w:ascii="Garamond" w:hAnsi="Garamond"/>
        </w:rPr>
        <w:t xml:space="preserve">mpronta giurisdizionale al sistema di controllo sugli investimenti esteri diretti che non trova conferma nel modello statunitense: è quanto, per l’appunto, dovuto al fatto che, in Europa, agli Stati è sì riconosciuta sovranità nell'adozione di normative in materia di investimenti stranieri, ma </w:t>
      </w:r>
      <w:r w:rsidR="007726A3" w:rsidRPr="0060732B">
        <w:rPr>
          <w:rFonts w:ascii="Garamond" w:hAnsi="Garamond"/>
        </w:rPr>
        <w:t xml:space="preserve">è </w:t>
      </w:r>
      <w:r w:rsidRPr="0060732B">
        <w:rPr>
          <w:rFonts w:ascii="Garamond" w:hAnsi="Garamond"/>
        </w:rPr>
        <w:t>al contempo imposto il rispetto delle libertà fondamentali nel mercato unico europeo, destinate ad atteggiarsi a veri e propri limiti.</w:t>
      </w:r>
    </w:p>
    <w:p w14:paraId="43E53F01" w14:textId="77777777" w:rsidR="00876C8D" w:rsidRPr="0060732B" w:rsidRDefault="00876C8D" w:rsidP="007726A3">
      <w:pPr>
        <w:autoSpaceDE w:val="0"/>
        <w:autoSpaceDN w:val="0"/>
        <w:adjustRightInd w:val="0"/>
        <w:spacing w:line="280" w:lineRule="exact"/>
        <w:jc w:val="both"/>
        <w:rPr>
          <w:rFonts w:ascii="Garamond" w:hAnsi="Garamond"/>
        </w:rPr>
      </w:pPr>
    </w:p>
    <w:p w14:paraId="321E125E" w14:textId="35501590" w:rsidR="00A41106" w:rsidRPr="00A41106" w:rsidRDefault="00A41106" w:rsidP="00A41106">
      <w:pPr>
        <w:pStyle w:val="ListParagraph"/>
        <w:numPr>
          <w:ilvl w:val="1"/>
          <w:numId w:val="2"/>
        </w:numPr>
        <w:autoSpaceDE w:val="0"/>
        <w:autoSpaceDN w:val="0"/>
        <w:adjustRightInd w:val="0"/>
        <w:spacing w:line="280" w:lineRule="exact"/>
        <w:jc w:val="both"/>
        <w:rPr>
          <w:rFonts w:ascii="Garamond" w:hAnsi="Garamond" w:cs="RotisSansSerifStd-Regular"/>
          <w:b/>
          <w:sz w:val="24"/>
          <w:szCs w:val="24"/>
        </w:rPr>
      </w:pPr>
      <w:r w:rsidRPr="00A41106">
        <w:rPr>
          <w:rFonts w:ascii="Garamond" w:hAnsi="Garamond" w:cs="RotisSansSerifStd-Regular"/>
          <w:b/>
          <w:sz w:val="24"/>
          <w:szCs w:val="24"/>
        </w:rPr>
        <w:t xml:space="preserve">Lo Stato </w:t>
      </w:r>
      <w:r>
        <w:rPr>
          <w:rFonts w:ascii="Garamond" w:hAnsi="Garamond" w:cs="RotisSansSerifStd-Regular"/>
          <w:b/>
          <w:sz w:val="24"/>
          <w:szCs w:val="24"/>
        </w:rPr>
        <w:t>“</w:t>
      </w:r>
      <w:r w:rsidRPr="00A41106">
        <w:rPr>
          <w:rFonts w:ascii="Garamond" w:hAnsi="Garamond" w:cs="RotisSansSerifStd-Regular"/>
          <w:b/>
          <w:sz w:val="24"/>
          <w:szCs w:val="24"/>
        </w:rPr>
        <w:t>regolatore</w:t>
      </w:r>
      <w:r>
        <w:rPr>
          <w:rFonts w:ascii="Garamond" w:hAnsi="Garamond" w:cs="RotisSansSerifStd-Regular"/>
          <w:b/>
          <w:sz w:val="24"/>
          <w:szCs w:val="24"/>
        </w:rPr>
        <w:t>”</w:t>
      </w:r>
      <w:r w:rsidRPr="00A41106">
        <w:rPr>
          <w:rFonts w:ascii="Garamond" w:hAnsi="Garamond" w:cs="RotisSansSerifStd-Regular"/>
          <w:b/>
          <w:sz w:val="24"/>
          <w:szCs w:val="24"/>
        </w:rPr>
        <w:t xml:space="preserve">: la disciplina del 2012. </w:t>
      </w:r>
    </w:p>
    <w:p w14:paraId="6C51F36E" w14:textId="1BCD6811" w:rsidR="00876C8D" w:rsidRPr="00A41106" w:rsidRDefault="00876C8D" w:rsidP="00A41106">
      <w:pPr>
        <w:autoSpaceDE w:val="0"/>
        <w:autoSpaceDN w:val="0"/>
        <w:adjustRightInd w:val="0"/>
        <w:spacing w:line="280" w:lineRule="exact"/>
        <w:ind w:left="360"/>
        <w:jc w:val="both"/>
        <w:rPr>
          <w:rFonts w:ascii="Garamond" w:hAnsi="Garamond" w:cs="RotisSansSerifStd-Regular"/>
        </w:rPr>
      </w:pPr>
      <w:r w:rsidRPr="00A41106">
        <w:rPr>
          <w:rFonts w:ascii="Garamond" w:hAnsi="Garamond" w:cs="RotisSansSerifStd-Regular"/>
        </w:rPr>
        <w:t>Passando, allora, alla disciplina nazionale, va preso in considerazione il d.l. 15 marzo 2012 n. 21, convertito, con modificazioni, nella legge 11 maggio 2012, n. 56, che ha sostituito la disciplina di cui alla l. 474/1994.</w:t>
      </w:r>
    </w:p>
    <w:p w14:paraId="1EF4BE98" w14:textId="77777777"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Sono due le novità apportate dal decreto. </w:t>
      </w:r>
    </w:p>
    <w:p w14:paraId="2E409BF8" w14:textId="13A1614B"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In primo luogo, i poteri speciali </w:t>
      </w:r>
      <w:r w:rsidRPr="0060732B">
        <w:rPr>
          <w:rFonts w:ascii="Garamond" w:hAnsi="Garamond" w:cs="RotisSansSerifStd-Regular"/>
          <w:i/>
          <w:iCs/>
        </w:rPr>
        <w:t xml:space="preserve">non </w:t>
      </w:r>
      <w:r w:rsidR="007726A3" w:rsidRPr="0060732B">
        <w:rPr>
          <w:rFonts w:ascii="Garamond" w:hAnsi="Garamond" w:cs="RotisSansSerifStd-Regular"/>
          <w:i/>
          <w:iCs/>
        </w:rPr>
        <w:t xml:space="preserve">hanno </w:t>
      </w:r>
      <w:r w:rsidRPr="0060732B">
        <w:rPr>
          <w:rFonts w:ascii="Garamond" w:hAnsi="Garamond" w:cs="RotisSansSerifStd-Regular"/>
          <w:i/>
          <w:iCs/>
        </w:rPr>
        <w:t xml:space="preserve">più </w:t>
      </w:r>
      <w:r w:rsidR="007726A3" w:rsidRPr="0060732B">
        <w:rPr>
          <w:rFonts w:ascii="Garamond" w:hAnsi="Garamond" w:cs="RotisSansSerifStd-Regular"/>
          <w:i/>
          <w:iCs/>
        </w:rPr>
        <w:t>un legame genetico con</w:t>
      </w:r>
      <w:r w:rsidRPr="0060732B">
        <w:rPr>
          <w:rFonts w:ascii="Garamond" w:hAnsi="Garamond" w:cs="RotisSansSerifStd-Regular"/>
          <w:i/>
          <w:iCs/>
        </w:rPr>
        <w:t xml:space="preserve"> operazioni di privatizzazione</w:t>
      </w:r>
      <w:r w:rsidR="007726A3" w:rsidRPr="0060732B">
        <w:rPr>
          <w:rFonts w:ascii="Garamond" w:hAnsi="Garamond" w:cs="RotisSansSerifStd-Regular"/>
        </w:rPr>
        <w:t xml:space="preserve">, il relativo ambito di esercizio non essendo più circoscritto alle sole </w:t>
      </w:r>
      <w:r w:rsidRPr="0060732B">
        <w:rPr>
          <w:rFonts w:ascii="Garamond" w:hAnsi="Garamond" w:cs="RotisSansSerifStd-Regular"/>
        </w:rPr>
        <w:t xml:space="preserve">imprese precedentemente in mano pubblica ma </w:t>
      </w:r>
      <w:r w:rsidR="007726A3" w:rsidRPr="0060732B">
        <w:rPr>
          <w:rFonts w:ascii="Garamond" w:hAnsi="Garamond" w:cs="RotisSansSerifStd-Regular"/>
        </w:rPr>
        <w:t xml:space="preserve">riguardando </w:t>
      </w:r>
      <w:r w:rsidRPr="0060732B">
        <w:rPr>
          <w:rFonts w:ascii="Garamond" w:hAnsi="Garamond" w:cs="RotisSansSerifStd-Regular"/>
        </w:rPr>
        <w:t xml:space="preserve">tutti gli attori di un determinato settore o in possesso di certi </w:t>
      </w:r>
      <w:r w:rsidRPr="0060732B">
        <w:rPr>
          <w:rFonts w:ascii="Garamond" w:hAnsi="Garamond" w:cs="RotisSansSerifStd-Regular"/>
          <w:i/>
        </w:rPr>
        <w:t>assets</w:t>
      </w:r>
      <w:r w:rsidRPr="0060732B">
        <w:rPr>
          <w:rFonts w:ascii="Garamond" w:hAnsi="Garamond" w:cs="RotisSansSerifStd-Regular"/>
        </w:rPr>
        <w:t xml:space="preserve">. </w:t>
      </w:r>
    </w:p>
    <w:p w14:paraId="7FAC4F42" w14:textId="778BE966" w:rsidR="00876C8D" w:rsidRPr="0060732B" w:rsidRDefault="007726A3"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C</w:t>
      </w:r>
      <w:r w:rsidR="00876C8D" w:rsidRPr="0060732B">
        <w:rPr>
          <w:rFonts w:ascii="Garamond" w:hAnsi="Garamond" w:cs="RotisSansSerifStd-Regular"/>
        </w:rPr>
        <w:t xml:space="preserve">onseguentemente, lo Stato non </w:t>
      </w:r>
      <w:r w:rsidRPr="0060732B">
        <w:rPr>
          <w:rFonts w:ascii="Garamond" w:hAnsi="Garamond" w:cs="RotisSansSerifStd-Regular"/>
        </w:rPr>
        <w:t xml:space="preserve">è più chiamato ad esercitare </w:t>
      </w:r>
      <w:r w:rsidR="00876C8D" w:rsidRPr="0060732B">
        <w:rPr>
          <w:rFonts w:ascii="Garamond" w:hAnsi="Garamond" w:cs="RotisSansSerifStd-Regular"/>
        </w:rPr>
        <w:t xml:space="preserve">le proprie prerogative per mantenere l’influenza su un </w:t>
      </w:r>
      <w:r w:rsidR="00876C8D" w:rsidRPr="0060732B">
        <w:rPr>
          <w:rFonts w:ascii="Garamond" w:hAnsi="Garamond" w:cs="RotisSansSerifStd-Regular"/>
          <w:i/>
        </w:rPr>
        <w:t>ex</w:t>
      </w:r>
      <w:r w:rsidR="00876C8D" w:rsidRPr="0060732B">
        <w:rPr>
          <w:rFonts w:ascii="Garamond" w:hAnsi="Garamond" w:cs="RotisSansSerifStd-Regular"/>
        </w:rPr>
        <w:t xml:space="preserve"> monopolista pubblico, opera</w:t>
      </w:r>
      <w:r w:rsidRPr="0060732B">
        <w:rPr>
          <w:rFonts w:ascii="Garamond" w:hAnsi="Garamond" w:cs="RotisSansSerifStd-Regular"/>
        </w:rPr>
        <w:t xml:space="preserve">ndo </w:t>
      </w:r>
      <w:r w:rsidR="00876C8D" w:rsidRPr="0060732B">
        <w:rPr>
          <w:rFonts w:ascii="Garamond" w:hAnsi="Garamond" w:cs="RotisSansSerifStd-Regular"/>
        </w:rPr>
        <w:t xml:space="preserve">come </w:t>
      </w:r>
      <w:r w:rsidR="00876C8D" w:rsidRPr="0060732B">
        <w:rPr>
          <w:rFonts w:ascii="Garamond" w:hAnsi="Garamond" w:cs="RotisSansSerifStd-Regular"/>
          <w:i/>
          <w:iCs/>
        </w:rPr>
        <w:t>organo di regolazione</w:t>
      </w:r>
      <w:r w:rsidR="00876C8D" w:rsidRPr="0060732B">
        <w:rPr>
          <w:rFonts w:ascii="Garamond" w:hAnsi="Garamond" w:cs="RotisSansSerifStd-Regular"/>
        </w:rPr>
        <w:t xml:space="preserve"> degli investimenti esteri. </w:t>
      </w:r>
    </w:p>
    <w:p w14:paraId="3D32D8F6" w14:textId="0A6A3718"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Si passa così da</w:t>
      </w:r>
      <w:r w:rsidR="00EC00F8" w:rsidRPr="0060732B">
        <w:rPr>
          <w:rFonts w:ascii="Garamond" w:hAnsi="Garamond" w:cs="RotisSansSerifStd-Regular"/>
        </w:rPr>
        <w:t>lla</w:t>
      </w:r>
      <w:r w:rsidRPr="0060732B">
        <w:rPr>
          <w:rFonts w:ascii="Garamond" w:hAnsi="Garamond" w:cs="RotisSansSerifStd-Regular"/>
        </w:rPr>
        <w:t xml:space="preserve"> </w:t>
      </w:r>
      <w:r w:rsidRPr="0060732B">
        <w:rPr>
          <w:rFonts w:ascii="Garamond" w:hAnsi="Garamond" w:cs="RotisSansSerifStd-Regular"/>
          <w:i/>
        </w:rPr>
        <w:t>golden share</w:t>
      </w:r>
      <w:r w:rsidRPr="0060732B">
        <w:rPr>
          <w:rFonts w:ascii="Garamond" w:hAnsi="Garamond" w:cs="RotisSansSerifStd-Regular"/>
        </w:rPr>
        <w:t xml:space="preserve"> a</w:t>
      </w:r>
      <w:r w:rsidR="00EC00F8" w:rsidRPr="0060732B">
        <w:rPr>
          <w:rFonts w:ascii="Garamond" w:hAnsi="Garamond" w:cs="RotisSansSerifStd-Regular"/>
        </w:rPr>
        <w:t>i</w:t>
      </w:r>
      <w:r w:rsidRPr="0060732B">
        <w:rPr>
          <w:rFonts w:ascii="Garamond" w:hAnsi="Garamond" w:cs="RotisSansSerifStd-Regular"/>
        </w:rPr>
        <w:t xml:space="preserve"> </w:t>
      </w:r>
      <w:r w:rsidRPr="0060732B">
        <w:rPr>
          <w:rFonts w:ascii="Garamond" w:hAnsi="Garamond" w:cs="RotisSansSerifStd-Regular"/>
          <w:i/>
        </w:rPr>
        <w:t>golden power</w:t>
      </w:r>
      <w:r w:rsidR="00EC00F8" w:rsidRPr="0060732B">
        <w:rPr>
          <w:rFonts w:ascii="Garamond" w:hAnsi="Garamond" w:cs="RotisSansSerifStd-Regular"/>
          <w:i/>
        </w:rPr>
        <w:t>s</w:t>
      </w:r>
      <w:r w:rsidRPr="0060732B">
        <w:rPr>
          <w:rFonts w:ascii="Garamond" w:hAnsi="Garamond" w:cs="RotisSansSerifStd-Regular"/>
        </w:rPr>
        <w:t>: non è più una clausola statutaria – o un’azione – a fondare i poteri speciali, bensì una normativa di carattere generale. Si esce così dall’ambito privatistico e si entra pienamente nel campo del diritto pubblico.</w:t>
      </w:r>
    </w:p>
    <w:p w14:paraId="28DC6163" w14:textId="2D471598" w:rsidR="00876C8D" w:rsidRPr="0060732B" w:rsidRDefault="00EC00F8"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Il citato</w:t>
      </w:r>
      <w:r w:rsidR="00876C8D" w:rsidRPr="0060732B">
        <w:rPr>
          <w:rFonts w:ascii="Garamond" w:hAnsi="Garamond" w:cs="RotisSansSerifStd-Regular"/>
        </w:rPr>
        <w:t xml:space="preserve"> decreto prevede l’esercizio dei poteri speciali in relazione alle attività di rilevanza strategica nei settori della difesa e della sicurezza nazionale (art. 1, l. 56/2012) e nel campo dei beni di rilevanza strategica nei settori dell’energia, dei trasporti e delle comunicazioni (art. 2, l. 56/2012).</w:t>
      </w:r>
    </w:p>
    <w:p w14:paraId="2990E5B0" w14:textId="77777777" w:rsidR="00876C8D" w:rsidRPr="0060732B" w:rsidRDefault="00876C8D" w:rsidP="007726A3">
      <w:pPr>
        <w:autoSpaceDE w:val="0"/>
        <w:autoSpaceDN w:val="0"/>
        <w:adjustRightInd w:val="0"/>
        <w:spacing w:line="280" w:lineRule="exact"/>
        <w:jc w:val="both"/>
        <w:rPr>
          <w:rFonts w:ascii="Garamond" w:hAnsi="Garamond"/>
        </w:rPr>
      </w:pPr>
      <w:r w:rsidRPr="0060732B">
        <w:rPr>
          <w:rFonts w:ascii="Garamond" w:hAnsi="Garamond" w:cs="RotisSansSerifStd-Regular"/>
        </w:rPr>
        <w:t xml:space="preserve">Quanto ai </w:t>
      </w:r>
      <w:r w:rsidRPr="0060732B">
        <w:rPr>
          <w:rFonts w:ascii="Garamond" w:hAnsi="Garamond" w:cs="RotisSansSerifStd-Regular"/>
          <w:i/>
        </w:rPr>
        <w:t>presupposti per l’esercizio dei poteri speciali</w:t>
      </w:r>
      <w:r w:rsidRPr="0060732B">
        <w:rPr>
          <w:rFonts w:ascii="Garamond" w:hAnsi="Garamond" w:cs="RotisSansSerifStd-Regular"/>
        </w:rPr>
        <w:t>, mentre nel settore della difesa e della sicurezza nazionale la legge richiede l’esistenza di una “</w:t>
      </w:r>
      <w:r w:rsidRPr="0060732B">
        <w:rPr>
          <w:rFonts w:ascii="Garamond" w:hAnsi="Garamond" w:cs="RotisSansSerifStd-Regular"/>
          <w:i/>
        </w:rPr>
        <w:t>minaccia di grave pregiudizio per gli interessi essenziali</w:t>
      </w:r>
      <w:r w:rsidRPr="0060732B">
        <w:rPr>
          <w:rFonts w:ascii="Garamond" w:hAnsi="Garamond" w:cs="RotisSansSerifStd-Regular"/>
        </w:rPr>
        <w:t>”, nei settori dell’energia, dei trasporti e delle comunicazioni è altresì necessario che l’operazione presa a riferimento possa dare luogo a “</w:t>
      </w:r>
      <w:r w:rsidRPr="0060732B">
        <w:rPr>
          <w:rFonts w:ascii="Garamond" w:hAnsi="Garamond" w:cs="RotisSansSerifStd-Regular"/>
          <w:i/>
        </w:rPr>
        <w:t>una situazione eccezionale, non disciplinata dalla normativa nazionale ed europea di settore</w:t>
      </w:r>
      <w:r w:rsidRPr="0060732B">
        <w:rPr>
          <w:rFonts w:ascii="Garamond" w:hAnsi="Garamond" w:cs="RotisSansSerifStd-Regular"/>
        </w:rPr>
        <w:t xml:space="preserve">” di </w:t>
      </w:r>
      <w:r w:rsidRPr="0060732B">
        <w:rPr>
          <w:rFonts w:ascii="Garamond" w:hAnsi="Garamond" w:cs="RotisSansSerifStd-Regular"/>
          <w:i/>
        </w:rPr>
        <w:t>minaccia di grave pregiudizio per gli interessi pubblici relativi alla sicurezza e al funzionamento delle reti e degli impianti e alla continuità degli approvvigionamenti</w:t>
      </w:r>
      <w:r w:rsidRPr="0060732B">
        <w:rPr>
          <w:rFonts w:ascii="Garamond" w:hAnsi="Garamond" w:cs="RotisSansSerifStd-Regular"/>
        </w:rPr>
        <w:t>.</w:t>
      </w:r>
    </w:p>
    <w:p w14:paraId="36C858CB" w14:textId="51EB17EF"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Quanto, invece, alla </w:t>
      </w:r>
      <w:r w:rsidRPr="0060732B">
        <w:rPr>
          <w:rFonts w:ascii="Garamond" w:hAnsi="Garamond" w:cs="RotisSansSerifStd-Regular"/>
          <w:i/>
        </w:rPr>
        <w:t>consistenza dei poteri</w:t>
      </w:r>
      <w:r w:rsidRPr="0060732B">
        <w:rPr>
          <w:rFonts w:ascii="Garamond" w:hAnsi="Garamond" w:cs="RotisSansSerifStd-Regular"/>
        </w:rPr>
        <w:t>, sono riconosciute potestà di tipo prescrittivo, interdittivo e oppositivo. Il governo può, infatti, (</w:t>
      </w:r>
      <w:r w:rsidR="00EC00F8" w:rsidRPr="0060732B">
        <w:rPr>
          <w:rFonts w:ascii="Garamond" w:hAnsi="Garamond" w:cs="RotisSansSerifStd-Regular"/>
        </w:rPr>
        <w:t>a</w:t>
      </w:r>
      <w:r w:rsidRPr="0060732B">
        <w:rPr>
          <w:rFonts w:ascii="Garamond" w:hAnsi="Garamond" w:cs="RotisSansSerifStd-Regular"/>
        </w:rPr>
        <w:t>) imporre specifiche condizioni relative alla sicurezza degli approvvigionamenti, alla sicurezza delle informazioni, ai trasferimenti tecnologici, (</w:t>
      </w:r>
      <w:r w:rsidR="00EC00F8" w:rsidRPr="0060732B">
        <w:rPr>
          <w:rFonts w:ascii="Garamond" w:hAnsi="Garamond" w:cs="RotisSansSerifStd-Regular"/>
        </w:rPr>
        <w:t>b</w:t>
      </w:r>
      <w:r w:rsidRPr="0060732B">
        <w:rPr>
          <w:rFonts w:ascii="Garamond" w:hAnsi="Garamond" w:cs="RotisSansSerifStd-Regular"/>
        </w:rPr>
        <w:t>) porre il veto all’adozione di delibere dell’assemblea, (</w:t>
      </w:r>
      <w:r w:rsidR="00EC00F8" w:rsidRPr="0060732B">
        <w:rPr>
          <w:rFonts w:ascii="Garamond" w:hAnsi="Garamond" w:cs="RotisSansSerifStd-Regular"/>
        </w:rPr>
        <w:t>c</w:t>
      </w:r>
      <w:r w:rsidRPr="0060732B">
        <w:rPr>
          <w:rFonts w:ascii="Garamond" w:hAnsi="Garamond" w:cs="RotisSansSerifStd-Regular"/>
        </w:rPr>
        <w:t>) opporsi all’acquisto, a qualsiasi titolo, di partecipazioni.</w:t>
      </w:r>
    </w:p>
    <w:p w14:paraId="3F034501" w14:textId="77777777" w:rsidR="00876C8D" w:rsidRPr="0060732B" w:rsidRDefault="00876C8D" w:rsidP="007726A3">
      <w:pPr>
        <w:autoSpaceDE w:val="0"/>
        <w:autoSpaceDN w:val="0"/>
        <w:adjustRightInd w:val="0"/>
        <w:spacing w:line="280" w:lineRule="exact"/>
        <w:jc w:val="both"/>
        <w:rPr>
          <w:rFonts w:ascii="Garamond" w:hAnsi="Garamond" w:cs="RotisSansSerifStd-Regular"/>
        </w:rPr>
      </w:pPr>
    </w:p>
    <w:p w14:paraId="7B7B085C" w14:textId="4378D728" w:rsidR="00876C8D" w:rsidRPr="0060732B" w:rsidRDefault="00876C8D" w:rsidP="007726A3">
      <w:pPr>
        <w:pStyle w:val="ListParagraph"/>
        <w:numPr>
          <w:ilvl w:val="1"/>
          <w:numId w:val="5"/>
        </w:numPr>
        <w:autoSpaceDE w:val="0"/>
        <w:autoSpaceDN w:val="0"/>
        <w:adjustRightInd w:val="0"/>
        <w:spacing w:after="0" w:line="280" w:lineRule="exact"/>
        <w:ind w:left="0" w:firstLine="0"/>
        <w:jc w:val="both"/>
        <w:rPr>
          <w:rFonts w:ascii="Garamond" w:hAnsi="Garamond" w:cs="RotisSansSerifStd-Regular"/>
          <w:b/>
          <w:sz w:val="24"/>
          <w:szCs w:val="24"/>
        </w:rPr>
      </w:pPr>
      <w:r w:rsidRPr="0060732B">
        <w:rPr>
          <w:rFonts w:ascii="Garamond" w:hAnsi="Garamond" w:cs="RotisSansSerifStd-Regular"/>
          <w:b/>
          <w:sz w:val="24"/>
          <w:szCs w:val="24"/>
        </w:rPr>
        <w:t>L</w:t>
      </w:r>
      <w:r w:rsidR="00A41106">
        <w:rPr>
          <w:rFonts w:ascii="Garamond" w:hAnsi="Garamond" w:cs="RotisSansSerifStd-Regular"/>
          <w:b/>
          <w:sz w:val="24"/>
          <w:szCs w:val="24"/>
        </w:rPr>
        <w:t>o Stato “stratega”: l</w:t>
      </w:r>
      <w:r w:rsidRPr="0060732B">
        <w:rPr>
          <w:rFonts w:ascii="Garamond" w:hAnsi="Garamond" w:cs="RotisSansSerifStd-Regular"/>
          <w:b/>
          <w:sz w:val="24"/>
          <w:szCs w:val="24"/>
        </w:rPr>
        <w:t>e novità legislative del 2017 e del 2019</w:t>
      </w:r>
    </w:p>
    <w:p w14:paraId="39FC98D3" w14:textId="54E10311"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Con legge 4 dicembre 2017, n. 172 (di conversione del </w:t>
      </w:r>
      <w:r w:rsidR="009A3F4F" w:rsidRPr="0060732B">
        <w:rPr>
          <w:rFonts w:ascii="Garamond" w:hAnsi="Garamond" w:cs="RotisSansSerifStd-Regular"/>
        </w:rPr>
        <w:t>d.l.</w:t>
      </w:r>
      <w:r w:rsidRPr="0060732B">
        <w:rPr>
          <w:rFonts w:ascii="Garamond" w:hAnsi="Garamond" w:cs="RotisSansSerifStd-Regular"/>
        </w:rPr>
        <w:t>. 16 ottobre 2017, n. 148), sono state introdotte rilevanti novità.</w:t>
      </w:r>
    </w:p>
    <w:p w14:paraId="2A7FA39B" w14:textId="77777777"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Le nuove regole hanno esteso l’ambito di applicazione dei poteri governativi ai cosiddetti “</w:t>
      </w:r>
      <w:r w:rsidRPr="0060732B">
        <w:rPr>
          <w:rFonts w:ascii="Garamond" w:hAnsi="Garamond" w:cs="RotisSansSerifStd-Regular"/>
          <w:i/>
          <w:iCs/>
        </w:rPr>
        <w:t>settori ad alta tecnologia</w:t>
      </w:r>
      <w:r w:rsidRPr="0060732B">
        <w:rPr>
          <w:rFonts w:ascii="Garamond" w:hAnsi="Garamond" w:cs="RotisSansSerifStd-Regular"/>
        </w:rPr>
        <w:t>”, fra cui “</w:t>
      </w:r>
      <w:r w:rsidRPr="0060732B">
        <w:rPr>
          <w:rFonts w:ascii="Garamond" w:hAnsi="Garamond" w:cs="RotisSansSerifStd-Regular"/>
          <w:i/>
        </w:rPr>
        <w:t>le infrastrutture critiche o sensibili</w:t>
      </w:r>
      <w:r w:rsidRPr="0060732B">
        <w:rPr>
          <w:rFonts w:ascii="Garamond" w:hAnsi="Garamond" w:cs="RotisSansSerifStd-Regular"/>
        </w:rPr>
        <w:t>” (es. quelle per l’immagazzinamento e gestione dei dati o quelle finanziarie), “</w:t>
      </w:r>
      <w:r w:rsidRPr="0060732B">
        <w:rPr>
          <w:rFonts w:ascii="Garamond" w:hAnsi="Garamond" w:cs="RotisSansSerifStd-Regular"/>
          <w:i/>
        </w:rPr>
        <w:t>le tecnologie critiche</w:t>
      </w:r>
      <w:r w:rsidRPr="0060732B">
        <w:rPr>
          <w:rFonts w:ascii="Garamond" w:hAnsi="Garamond" w:cs="RotisSansSerifStd-Regular"/>
        </w:rPr>
        <w:t xml:space="preserve">” (es. l’intelligenza artificiale, la robotica o i semiconduttori), demandando ad uno specifico decreto una puntuale definizione degli ambiti più esposti a pericoli per la sicurezza e l’ordine pubblico. </w:t>
      </w:r>
    </w:p>
    <w:p w14:paraId="7DB439B0" w14:textId="410ABDC7"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 xml:space="preserve">Inoltre, fra i criteri di valutazione delle operazioni di soggetti extra-europei attivi nel campo delle reti, oltre alla </w:t>
      </w:r>
      <w:r w:rsidRPr="0060732B">
        <w:rPr>
          <w:rFonts w:ascii="Garamond" w:hAnsi="Garamond" w:cs="RotisSansSerifStd-Regular"/>
          <w:i/>
          <w:iCs/>
        </w:rPr>
        <w:t>minaccia effettiva di grave pregiudizio per gli interessi pubblici</w:t>
      </w:r>
      <w:r w:rsidRPr="0060732B">
        <w:rPr>
          <w:rFonts w:ascii="Garamond" w:hAnsi="Garamond" w:cs="RotisSansSerifStd-Regular"/>
        </w:rPr>
        <w:t xml:space="preserve">, è stato aggiunto anche </w:t>
      </w:r>
      <w:r w:rsidR="001A339A" w:rsidRPr="0060732B">
        <w:rPr>
          <w:rFonts w:ascii="Garamond" w:hAnsi="Garamond" w:cs="RotisSansSerifStd-Regular"/>
        </w:rPr>
        <w:t>il</w:t>
      </w:r>
      <w:r w:rsidRPr="0060732B">
        <w:rPr>
          <w:rFonts w:ascii="Garamond" w:hAnsi="Garamond" w:cs="RotisSansSerifStd-Regular"/>
        </w:rPr>
        <w:t xml:space="preserve"> </w:t>
      </w:r>
      <w:r w:rsidRPr="0060732B">
        <w:rPr>
          <w:rFonts w:ascii="Garamond" w:hAnsi="Garamond" w:cs="RotisSansSerifStd-Regular"/>
          <w:i/>
          <w:iCs/>
        </w:rPr>
        <w:t>pericolo per la sicurezza e per l’ordine pubblico</w:t>
      </w:r>
      <w:r w:rsidRPr="0060732B">
        <w:rPr>
          <w:rFonts w:ascii="Garamond" w:hAnsi="Garamond" w:cs="RotisSansSerifStd-Regular"/>
        </w:rPr>
        <w:t xml:space="preserve">. </w:t>
      </w:r>
    </w:p>
    <w:p w14:paraId="5D4843F8" w14:textId="6F2582F6" w:rsidR="00876C8D" w:rsidRPr="0060732B" w:rsidRDefault="00876C8D" w:rsidP="007726A3">
      <w:pPr>
        <w:autoSpaceDE w:val="0"/>
        <w:autoSpaceDN w:val="0"/>
        <w:adjustRightInd w:val="0"/>
        <w:spacing w:line="280" w:lineRule="exact"/>
        <w:jc w:val="both"/>
        <w:rPr>
          <w:rFonts w:ascii="Garamond" w:hAnsi="Garamond" w:cs="RotisSansSerifStd-Regular"/>
        </w:rPr>
      </w:pPr>
      <w:r w:rsidRPr="0060732B">
        <w:rPr>
          <w:rFonts w:ascii="Garamond" w:hAnsi="Garamond" w:cs="RotisSansSerifStd-Regular"/>
        </w:rPr>
        <w:t>Da segnalare, altresì, che «</w:t>
      </w:r>
      <w:r w:rsidRPr="0060732B">
        <w:rPr>
          <w:rFonts w:ascii="Garamond" w:hAnsi="Garamond" w:cs="RotisSansSerifStd-Regular"/>
          <w:i/>
        </w:rPr>
        <w:t>al fine di un aggiornamento della normativa in materia di poteri speciali in conseguenza dell'evoluzione tecnologica intercorsa, con particolare riferimento alla tecnologia 5G e ai connessi rischi di un uso improprio dei dati con implicazioni sulla sicurezza nazionale</w:t>
      </w:r>
      <w:r w:rsidRPr="0060732B">
        <w:rPr>
          <w:rFonts w:ascii="Garamond" w:hAnsi="Garamond" w:cs="RotisSansSerifStd-Regular"/>
        </w:rPr>
        <w:t xml:space="preserve">», il d.l. 25 marzo 2019, n. 22, </w:t>
      </w:r>
      <w:r w:rsidR="00EC00F8" w:rsidRPr="0060732B">
        <w:rPr>
          <w:rFonts w:ascii="Garamond" w:hAnsi="Garamond" w:cs="RotisSansSerifStd-Regular"/>
        </w:rPr>
        <w:t xml:space="preserve">convertito dalla l. </w:t>
      </w:r>
      <w:r w:rsidR="00EC00F8" w:rsidRPr="0060732B">
        <w:rPr>
          <w:rFonts w:ascii="Garamond" w:hAnsi="Garamond"/>
          <w:shd w:val="clear" w:color="auto" w:fill="FFFFFF"/>
        </w:rPr>
        <w:t>20 maggio 2019, </w:t>
      </w:r>
      <w:r w:rsidR="00EC00F8" w:rsidRPr="0060732B">
        <w:rPr>
          <w:rStyle w:val="Emphasis"/>
          <w:rFonts w:ascii="Garamond" w:hAnsi="Garamond"/>
          <w:b/>
          <w:bCs/>
          <w:i w:val="0"/>
          <w:iCs w:val="0"/>
          <w:shd w:val="clear" w:color="auto" w:fill="FFFFFF"/>
        </w:rPr>
        <w:t>n</w:t>
      </w:r>
      <w:r w:rsidR="00EC00F8" w:rsidRPr="0060732B">
        <w:rPr>
          <w:rFonts w:ascii="Garamond" w:hAnsi="Garamond"/>
          <w:shd w:val="clear" w:color="auto" w:fill="FFFFFF"/>
        </w:rPr>
        <w:t xml:space="preserve">. 41, </w:t>
      </w:r>
      <w:r w:rsidRPr="0060732B">
        <w:rPr>
          <w:rFonts w:ascii="Garamond" w:hAnsi="Garamond" w:cs="RotisSansSerifStd-Regular"/>
        </w:rPr>
        <w:t>ha esteso l’ambito di applicazione dei poteri speciali del Governo, annoverando tra le attività di rilevanza strategica per la difesa e sicurezza nazionale, anche i servizi di comunicazione elettronica a banda larga basati su tecnologia 5G. Pertanto, sono stati sottoposti all’obbligo di notifica anche la stipula di contratti o accordi aventi ad oggetto l’acquisto di beni o servizi relativi alla </w:t>
      </w:r>
      <w:r w:rsidRPr="0060732B">
        <w:rPr>
          <w:rFonts w:ascii="Garamond" w:hAnsi="Garamond" w:cs="RotisSansSerifStd-Regular"/>
          <w:bCs/>
        </w:rPr>
        <w:t xml:space="preserve">progettazione, alla realizzazione, alla manutenzione e alla gestione delle reti </w:t>
      </w:r>
      <w:r w:rsidRPr="0060732B">
        <w:rPr>
          <w:rFonts w:ascii="Garamond" w:hAnsi="Garamond" w:cs="RotisSansSerifStd-Regular"/>
        </w:rPr>
        <w:t>inerenti a questi servizi, ovvero l’acquisizione di </w:t>
      </w:r>
      <w:r w:rsidRPr="0060732B">
        <w:rPr>
          <w:rFonts w:ascii="Garamond" w:hAnsi="Garamond" w:cs="RotisSansSerifStd-Regular"/>
          <w:bCs/>
        </w:rPr>
        <w:t>componenti ad alta intensità tecnologica</w:t>
      </w:r>
      <w:r w:rsidRPr="0060732B">
        <w:rPr>
          <w:rFonts w:ascii="Garamond" w:hAnsi="Garamond" w:cs="RotisSansSerifStd-Regular"/>
        </w:rPr>
        <w:t> funzionali alla predetta realizzazione o gestione, quando posti in essere con </w:t>
      </w:r>
      <w:r w:rsidRPr="0060732B">
        <w:rPr>
          <w:rFonts w:ascii="Garamond" w:hAnsi="Garamond" w:cs="RotisSansSerifStd-Regular"/>
          <w:bCs/>
        </w:rPr>
        <w:t>soggetti esterni all’Unione europea.</w:t>
      </w:r>
    </w:p>
    <w:p w14:paraId="373D757D" w14:textId="4B078C2B" w:rsidR="0007081A" w:rsidRPr="0060732B" w:rsidRDefault="001A339A" w:rsidP="0007081A">
      <w:pPr>
        <w:spacing w:line="280" w:lineRule="exact"/>
        <w:jc w:val="both"/>
        <w:rPr>
          <w:rFonts w:ascii="Garamond" w:eastAsia="Times New Roman" w:hAnsi="Garamond" w:cs="Times New Roman"/>
        </w:rPr>
      </w:pPr>
      <w:r w:rsidRPr="0060732B">
        <w:rPr>
          <w:rFonts w:ascii="Garamond" w:eastAsia="Times New Roman" w:hAnsi="Garamond" w:cs="Times New Roman"/>
        </w:rPr>
        <w:t>Per effetto delle riportate modifiche normative</w:t>
      </w:r>
      <w:r w:rsidR="0007081A" w:rsidRPr="0060732B">
        <w:rPr>
          <w:rFonts w:ascii="Garamond" w:eastAsia="Times New Roman" w:hAnsi="Garamond" w:cs="Times New Roman"/>
        </w:rPr>
        <w:t xml:space="preserve">, la casistica di </w:t>
      </w:r>
      <w:r w:rsidR="0007081A" w:rsidRPr="0060732B">
        <w:rPr>
          <w:rFonts w:ascii="Garamond" w:eastAsia="Times New Roman" w:hAnsi="Garamond" w:cs="Times New Roman"/>
          <w:i/>
          <w:iCs/>
        </w:rPr>
        <w:t>sicurezza nazionale</w:t>
      </w:r>
      <w:r w:rsidR="0007081A" w:rsidRPr="0060732B">
        <w:rPr>
          <w:rFonts w:ascii="Garamond" w:eastAsia="Times New Roman" w:hAnsi="Garamond" w:cs="Times New Roman"/>
        </w:rPr>
        <w:t xml:space="preserve"> è destinata a</w:t>
      </w:r>
      <w:r w:rsidRPr="0060732B">
        <w:rPr>
          <w:rFonts w:ascii="Garamond" w:eastAsia="Times New Roman" w:hAnsi="Garamond" w:cs="Times New Roman"/>
        </w:rPr>
        <w:t>d</w:t>
      </w:r>
      <w:r w:rsidR="0007081A" w:rsidRPr="0060732B">
        <w:rPr>
          <w:rFonts w:ascii="Garamond" w:eastAsia="Times New Roman" w:hAnsi="Garamond" w:cs="Times New Roman"/>
        </w:rPr>
        <w:t xml:space="preserve"> avere crescente importanza, principalmente per il cambio di paradigma tecnologico attuale, in cui sia le telecomunicazioni che le reti di trasmissione energetiche e di trasporto, acquistando maggiore profondità tecnologica con le nuove modalità di connessione, divengono allo stesso tempo più vulnerabili del passato.</w:t>
      </w:r>
    </w:p>
    <w:p w14:paraId="7FFE1314" w14:textId="6882AFEE" w:rsidR="001A339A" w:rsidRPr="0060732B" w:rsidRDefault="001A339A" w:rsidP="001A339A">
      <w:pPr>
        <w:autoSpaceDE w:val="0"/>
        <w:autoSpaceDN w:val="0"/>
        <w:adjustRightInd w:val="0"/>
        <w:jc w:val="both"/>
        <w:rPr>
          <w:rFonts w:ascii="Garamond" w:hAnsi="Garamond" w:cs="RotisSansSerifStd-Regular"/>
          <w:bCs/>
        </w:rPr>
      </w:pPr>
      <w:r w:rsidRPr="0060732B">
        <w:rPr>
          <w:rFonts w:ascii="Garamond" w:hAnsi="Garamond" w:cs="RotisSansSerifStd-Regular"/>
          <w:bCs/>
        </w:rPr>
        <w:t xml:space="preserve">Ecco, allora, che </w:t>
      </w:r>
      <w:r w:rsidR="005E083E" w:rsidRPr="0060732B">
        <w:rPr>
          <w:rFonts w:ascii="Garamond" w:hAnsi="Garamond" w:cs="RotisSansSerifStd-Regular"/>
          <w:bCs/>
        </w:rPr>
        <w:t xml:space="preserve">il ruolo dello Stato, nell’esercizio dei poteri indicati, è non più quello di semplice </w:t>
      </w:r>
      <w:r w:rsidR="005E083E" w:rsidRPr="0060732B">
        <w:rPr>
          <w:rFonts w:ascii="Garamond" w:hAnsi="Garamond" w:cs="RotisSansSerifStd-Regular"/>
          <w:bCs/>
          <w:i/>
          <w:iCs/>
        </w:rPr>
        <w:t>regolatore</w:t>
      </w:r>
      <w:r w:rsidR="005E083E" w:rsidRPr="0060732B">
        <w:rPr>
          <w:rFonts w:ascii="Garamond" w:hAnsi="Garamond" w:cs="RotisSansSerifStd-Regular"/>
          <w:bCs/>
        </w:rPr>
        <w:t xml:space="preserve">, non dovendo mancare nei decisori pubblici una </w:t>
      </w:r>
      <w:r w:rsidR="005E083E" w:rsidRPr="0060732B">
        <w:rPr>
          <w:rFonts w:ascii="Garamond" w:hAnsi="Garamond" w:cs="RotisSansSerifStd-Regular"/>
          <w:bCs/>
          <w:i/>
          <w:iCs/>
        </w:rPr>
        <w:t>capacità di analisi</w:t>
      </w:r>
      <w:r w:rsidR="005E083E" w:rsidRPr="0060732B">
        <w:rPr>
          <w:rFonts w:ascii="Garamond" w:hAnsi="Garamond" w:cs="RotisSansSerifStd-Regular"/>
          <w:bCs/>
        </w:rPr>
        <w:t xml:space="preserve"> </w:t>
      </w:r>
      <w:r w:rsidR="005E083E" w:rsidRPr="0060732B">
        <w:rPr>
          <w:rFonts w:ascii="Garamond" w:hAnsi="Garamond" w:cs="RotisSansSerifStd-Regular"/>
          <w:bCs/>
          <w:i/>
          <w:iCs/>
        </w:rPr>
        <w:t>strategica</w:t>
      </w:r>
      <w:r w:rsidR="005E083E" w:rsidRPr="0060732B">
        <w:rPr>
          <w:rFonts w:ascii="Garamond" w:hAnsi="Garamond" w:cs="RotisSansSerifStd-Regular"/>
          <w:bCs/>
        </w:rPr>
        <w:t xml:space="preserve"> di tipo anche geoeconomico e geopolitico, naturalmente saldamente poggiante su verifiche e valutazioni tecniche complesse.</w:t>
      </w:r>
    </w:p>
    <w:p w14:paraId="6667F2CF" w14:textId="77777777" w:rsidR="001A339A" w:rsidRPr="0060732B" w:rsidRDefault="001A339A" w:rsidP="001A339A">
      <w:pPr>
        <w:pStyle w:val="ListParagraph"/>
        <w:autoSpaceDE w:val="0"/>
        <w:autoSpaceDN w:val="0"/>
        <w:adjustRightInd w:val="0"/>
        <w:ind w:left="540"/>
        <w:jc w:val="both"/>
        <w:rPr>
          <w:rFonts w:ascii="Garamond" w:hAnsi="Garamond" w:cs="RotisSansSerifStd-Regular"/>
          <w:b/>
          <w:sz w:val="24"/>
          <w:szCs w:val="24"/>
        </w:rPr>
      </w:pPr>
    </w:p>
    <w:p w14:paraId="6E948D70" w14:textId="061C1FD6" w:rsidR="00EC00F8" w:rsidRPr="0060732B" w:rsidRDefault="00BC7163" w:rsidP="00EC00F8">
      <w:pPr>
        <w:pStyle w:val="ListParagraph"/>
        <w:numPr>
          <w:ilvl w:val="0"/>
          <w:numId w:val="5"/>
        </w:numPr>
        <w:autoSpaceDE w:val="0"/>
        <w:autoSpaceDN w:val="0"/>
        <w:adjustRightInd w:val="0"/>
        <w:jc w:val="both"/>
        <w:rPr>
          <w:rFonts w:ascii="Garamond" w:hAnsi="Garamond" w:cs="RotisSansSerifStd-Regular"/>
          <w:b/>
          <w:sz w:val="24"/>
          <w:szCs w:val="24"/>
        </w:rPr>
      </w:pPr>
      <w:r w:rsidRPr="0060732B">
        <w:rPr>
          <w:rFonts w:ascii="Garamond" w:hAnsi="Garamond" w:cs="RotisSansSerifStd-Regular"/>
          <w:b/>
          <w:sz w:val="24"/>
          <w:szCs w:val="24"/>
        </w:rPr>
        <w:t>La n</w:t>
      </w:r>
      <w:r w:rsidR="00EC00F8" w:rsidRPr="0060732B">
        <w:rPr>
          <w:rFonts w:ascii="Garamond" w:hAnsi="Garamond" w:cs="RotisSansSerifStd-Regular"/>
          <w:b/>
          <w:sz w:val="24"/>
          <w:szCs w:val="24"/>
        </w:rPr>
        <w:t>atura de</w:t>
      </w:r>
      <w:r w:rsidRPr="0060732B">
        <w:rPr>
          <w:rFonts w:ascii="Garamond" w:hAnsi="Garamond" w:cs="RotisSansSerifStd-Regular"/>
          <w:b/>
          <w:sz w:val="24"/>
          <w:szCs w:val="24"/>
        </w:rPr>
        <w:t>i poteri e la adeguatezza delle strutture preposte al relativo esercizio</w:t>
      </w:r>
      <w:r w:rsidR="00EC00F8" w:rsidRPr="0060732B">
        <w:rPr>
          <w:rFonts w:ascii="Garamond" w:hAnsi="Garamond" w:cs="RotisSansSerifStd-Regular"/>
          <w:b/>
          <w:sz w:val="24"/>
          <w:szCs w:val="24"/>
        </w:rPr>
        <w:t>: il raffronto con l’esperienza statunitense.</w:t>
      </w:r>
    </w:p>
    <w:p w14:paraId="30B869EB" w14:textId="77777777" w:rsidR="00BC7163" w:rsidRPr="0060732B" w:rsidRDefault="00EC00F8" w:rsidP="00EC00F8">
      <w:pPr>
        <w:autoSpaceDE w:val="0"/>
        <w:autoSpaceDN w:val="0"/>
        <w:adjustRightInd w:val="0"/>
        <w:jc w:val="both"/>
        <w:rPr>
          <w:rFonts w:ascii="Garamond" w:hAnsi="Garamond" w:cs="RotisSansSerifStd-Regular"/>
        </w:rPr>
      </w:pPr>
      <w:r w:rsidRPr="0060732B">
        <w:rPr>
          <w:rFonts w:ascii="Garamond" w:hAnsi="Garamond" w:cs="RotisSansSerifStd-Regular"/>
        </w:rPr>
        <w:t>Così illustrat</w:t>
      </w:r>
      <w:r w:rsidR="00A77C95" w:rsidRPr="0060732B">
        <w:rPr>
          <w:rFonts w:ascii="Garamond" w:hAnsi="Garamond" w:cs="RotisSansSerifStd-Regular"/>
        </w:rPr>
        <w:t>i</w:t>
      </w:r>
      <w:r w:rsidRPr="0060732B">
        <w:rPr>
          <w:rFonts w:ascii="Garamond" w:hAnsi="Garamond" w:cs="RotisSansSerifStd-Regular"/>
        </w:rPr>
        <w:t xml:space="preserve"> evoluzione e stato della disciplina, </w:t>
      </w:r>
      <w:r w:rsidR="00BC7163" w:rsidRPr="0060732B">
        <w:rPr>
          <w:rFonts w:ascii="Garamond" w:hAnsi="Garamond" w:cs="RotisSansSerifStd-Regular"/>
        </w:rPr>
        <w:t>alcuni brevi spunti relativi alla natura dei poteri descritti e alla consistenza delle strutture preposte al relativo esercizio.</w:t>
      </w:r>
    </w:p>
    <w:p w14:paraId="4522B9AB" w14:textId="276DB8AE" w:rsidR="00BC7163" w:rsidRPr="0060732B" w:rsidRDefault="00BC7163" w:rsidP="00BC7163">
      <w:pPr>
        <w:autoSpaceDE w:val="0"/>
        <w:autoSpaceDN w:val="0"/>
        <w:adjustRightInd w:val="0"/>
        <w:jc w:val="both"/>
        <w:rPr>
          <w:rFonts w:ascii="Garamond" w:hAnsi="Garamond"/>
        </w:rPr>
      </w:pPr>
      <w:r w:rsidRPr="0060732B">
        <w:rPr>
          <w:rFonts w:ascii="Garamond" w:hAnsi="Garamond" w:cs="RotisSansSerifStd-Regular"/>
        </w:rPr>
        <w:t>In tale prospettiva è molto utile un</w:t>
      </w:r>
      <w:r w:rsidR="00EC00F8" w:rsidRPr="0060732B">
        <w:rPr>
          <w:rFonts w:ascii="Garamond" w:hAnsi="Garamond" w:cs="RotisSansSerifStd-Regular"/>
        </w:rPr>
        <w:t xml:space="preserve"> raffronto con quanto accade nel Paese alla cui disciplina in un certo senso si </w:t>
      </w:r>
      <w:r w:rsidR="00371D1D" w:rsidRPr="0060732B">
        <w:rPr>
          <w:rFonts w:ascii="Garamond" w:hAnsi="Garamond" w:cs="RotisSansSerifStd-Regular"/>
        </w:rPr>
        <w:t xml:space="preserve">è ispirata </w:t>
      </w:r>
      <w:r w:rsidR="00EC00F8" w:rsidRPr="0060732B">
        <w:rPr>
          <w:rFonts w:ascii="Garamond" w:hAnsi="Garamond" w:cs="RotisSansSerifStd-Regular"/>
        </w:rPr>
        <w:t xml:space="preserve">quella nazionale sul </w:t>
      </w:r>
      <w:r w:rsidR="00EC00F8" w:rsidRPr="0060732B">
        <w:rPr>
          <w:rFonts w:ascii="Garamond" w:hAnsi="Garamond" w:cs="RotisSansSerifStd-Regular"/>
          <w:i/>
        </w:rPr>
        <w:t>golden power</w:t>
      </w:r>
      <w:r w:rsidR="00EC00F8" w:rsidRPr="0060732B">
        <w:rPr>
          <w:rFonts w:ascii="Garamond" w:hAnsi="Garamond" w:cs="RotisSansSerifStd-Regular"/>
        </w:rPr>
        <w:t xml:space="preserve">: </w:t>
      </w:r>
      <w:r w:rsidR="008E7497" w:rsidRPr="0060732B">
        <w:rPr>
          <w:rFonts w:ascii="Garamond" w:hAnsi="Garamond" w:cs="RotisSansSerifStd-Regular"/>
        </w:rPr>
        <w:t>il riferimento è a</w:t>
      </w:r>
      <w:r w:rsidR="00EC00F8" w:rsidRPr="0060732B">
        <w:rPr>
          <w:rFonts w:ascii="Garamond" w:hAnsi="Garamond" w:cs="RotisSansSerifStd-Regular"/>
        </w:rPr>
        <w:t>gli Stati Uniti</w:t>
      </w:r>
      <w:r w:rsidRPr="0060732B">
        <w:rPr>
          <w:rFonts w:ascii="Garamond" w:hAnsi="Garamond" w:cs="RotisSansSerifStd-Regular"/>
        </w:rPr>
        <w:t xml:space="preserve"> dove pure </w:t>
      </w:r>
      <w:r w:rsidRPr="0060732B">
        <w:rPr>
          <w:rFonts w:ascii="Garamond" w:hAnsi="Garamond"/>
        </w:rPr>
        <w:t xml:space="preserve">la disciplina si è molto evoluta, dal 1975 al 2018, con un’estensione settoriale e territoriale dell'ambito di esercizio dei poteri speciali e con un rafforzamento strutturale del Comitato per gli investimenti esteri. </w:t>
      </w:r>
    </w:p>
    <w:p w14:paraId="2266C91B" w14:textId="77777777" w:rsidR="00BC7163" w:rsidRPr="0060732B" w:rsidRDefault="00BC7163" w:rsidP="00BC7163">
      <w:pPr>
        <w:autoSpaceDE w:val="0"/>
        <w:autoSpaceDN w:val="0"/>
        <w:adjustRightInd w:val="0"/>
        <w:jc w:val="both"/>
        <w:rPr>
          <w:rFonts w:ascii="Garamond" w:hAnsi="Garamond"/>
        </w:rPr>
      </w:pPr>
    </w:p>
    <w:p w14:paraId="5608D594" w14:textId="77777777" w:rsidR="008246BA" w:rsidRPr="0060732B" w:rsidRDefault="008246BA" w:rsidP="00BC7163">
      <w:pPr>
        <w:autoSpaceDE w:val="0"/>
        <w:autoSpaceDN w:val="0"/>
        <w:adjustRightInd w:val="0"/>
        <w:jc w:val="both"/>
        <w:rPr>
          <w:rFonts w:ascii="Garamond" w:hAnsi="Garamond"/>
          <w:b/>
          <w:bCs/>
        </w:rPr>
      </w:pPr>
      <w:r w:rsidRPr="0060732B">
        <w:rPr>
          <w:rFonts w:ascii="Garamond" w:hAnsi="Garamond"/>
          <w:b/>
          <w:bCs/>
        </w:rPr>
        <w:t xml:space="preserve">3.1. Il ruolo centrale del </w:t>
      </w:r>
      <w:r w:rsidRPr="0060732B">
        <w:rPr>
          <w:rFonts w:ascii="Garamond" w:hAnsi="Garamond" w:cs="RotisSansSerifStd-Regular"/>
          <w:b/>
          <w:bCs/>
          <w:i/>
        </w:rPr>
        <w:t>CFIUS</w:t>
      </w:r>
      <w:r w:rsidRPr="0060732B">
        <w:rPr>
          <w:rFonts w:ascii="Garamond" w:hAnsi="Garamond"/>
          <w:b/>
          <w:bCs/>
        </w:rPr>
        <w:t>.</w:t>
      </w:r>
    </w:p>
    <w:p w14:paraId="6646D73C" w14:textId="3A75D8BE" w:rsidR="00BC7163" w:rsidRPr="0060732B" w:rsidRDefault="00BC7163" w:rsidP="00BC7163">
      <w:pPr>
        <w:autoSpaceDE w:val="0"/>
        <w:autoSpaceDN w:val="0"/>
        <w:adjustRightInd w:val="0"/>
        <w:jc w:val="both"/>
        <w:rPr>
          <w:rStyle w:val="corsivo"/>
          <w:rFonts w:ascii="Garamond" w:hAnsi="Garamond"/>
        </w:rPr>
      </w:pPr>
      <w:r w:rsidRPr="0060732B">
        <w:rPr>
          <w:rFonts w:ascii="Garamond" w:hAnsi="Garamond"/>
        </w:rPr>
        <w:t xml:space="preserve">Il sistema ruota attorno al </w:t>
      </w:r>
      <w:r w:rsidRPr="0060732B">
        <w:rPr>
          <w:rFonts w:ascii="Garamond" w:hAnsi="Garamond" w:cs="RotisSansSerifStd-Regular"/>
          <w:i/>
        </w:rPr>
        <w:t>CFIUS</w:t>
      </w:r>
      <w:r w:rsidRPr="0060732B">
        <w:rPr>
          <w:rFonts w:ascii="Garamond" w:hAnsi="Garamond" w:cs="RotisSansSerifStd-Regular"/>
        </w:rPr>
        <w:t>, Comitato interdipartimentale competente a svolgere funzioni istruttorie e di controllo sugli investimenti esteri, ma anche prescrittive, di pressione e condizionamento, oltre che di vera e propria raccomandazione al Presidente in merito all’esercizio del potere di veto, in presenza di un pericolo non altrimenti evitabile per la</w:t>
      </w:r>
      <w:r w:rsidRPr="0060732B">
        <w:rPr>
          <w:rFonts w:ascii="Garamond" w:hAnsi="Garamond"/>
        </w:rPr>
        <w:t xml:space="preserve"> </w:t>
      </w:r>
      <w:r w:rsidRPr="0060732B">
        <w:rPr>
          <w:rStyle w:val="corsivo"/>
          <w:rFonts w:ascii="Garamond" w:hAnsi="Garamond"/>
        </w:rPr>
        <w:t xml:space="preserve">national security. </w:t>
      </w:r>
    </w:p>
    <w:p w14:paraId="5F61147E" w14:textId="3752A116" w:rsidR="00BC7163" w:rsidRPr="0060732B" w:rsidRDefault="00BC7163" w:rsidP="00BC7163">
      <w:pPr>
        <w:autoSpaceDE w:val="0"/>
        <w:autoSpaceDN w:val="0"/>
        <w:adjustRightInd w:val="0"/>
        <w:jc w:val="both"/>
        <w:rPr>
          <w:rFonts w:ascii="Garamond" w:hAnsi="Garamond"/>
        </w:rPr>
      </w:pPr>
      <w:r w:rsidRPr="0060732B">
        <w:rPr>
          <w:rStyle w:val="corsivo"/>
          <w:rFonts w:ascii="Garamond" w:hAnsi="Garamond"/>
          <w:i w:val="0"/>
          <w:iCs w:val="0"/>
        </w:rPr>
        <w:t xml:space="preserve">Il </w:t>
      </w:r>
      <w:r w:rsidRPr="0060732B">
        <w:rPr>
          <w:rFonts w:ascii="Garamond" w:hAnsi="Garamond" w:cs="RotisSansSerifStd-Regular"/>
          <w:i/>
        </w:rPr>
        <w:t>CFIUS</w:t>
      </w:r>
      <w:r w:rsidRPr="0060732B">
        <w:rPr>
          <w:rFonts w:ascii="Garamond" w:hAnsi="Garamond"/>
        </w:rPr>
        <w:t xml:space="preserve">  (che sarebbe il corrispondente del Gruppo di coordinamento che opera in Italia) </w:t>
      </w:r>
      <w:r w:rsidRPr="0060732B">
        <w:rPr>
          <w:rStyle w:val="corsivo"/>
          <w:rFonts w:ascii="Garamond" w:hAnsi="Garamond"/>
          <w:i w:val="0"/>
          <w:iCs w:val="0"/>
        </w:rPr>
        <w:t xml:space="preserve"> </w:t>
      </w:r>
      <w:r w:rsidRPr="0060732B">
        <w:rPr>
          <w:rFonts w:ascii="Garamond" w:hAnsi="Garamond"/>
        </w:rPr>
        <w:t xml:space="preserve">ha visto irrobustire enormemente i suoi poteri. Infatti, nel 1975, quando è per la prima volta istituito e viene </w:t>
      </w:r>
      <w:r w:rsidR="00371D1D" w:rsidRPr="0060732B">
        <w:rPr>
          <w:rFonts w:ascii="Garamond" w:hAnsi="Garamond"/>
        </w:rPr>
        <w:t>introdotta</w:t>
      </w:r>
      <w:r w:rsidRPr="0060732B">
        <w:rPr>
          <w:rFonts w:ascii="Garamond" w:hAnsi="Garamond"/>
        </w:rPr>
        <w:t xml:space="preserve"> la disciplina dei poteri speciali, il Comitato era un soggetto preposto soltanto ad un'attività di monitoraggio</w:t>
      </w:r>
      <w:r w:rsidR="008E7497" w:rsidRPr="0060732B">
        <w:rPr>
          <w:rFonts w:ascii="Garamond" w:hAnsi="Garamond"/>
        </w:rPr>
        <w:t>,</w:t>
      </w:r>
      <w:r w:rsidRPr="0060732B">
        <w:rPr>
          <w:rFonts w:ascii="Garamond" w:hAnsi="Garamond"/>
        </w:rPr>
        <w:t xml:space="preserve"> acquisendo successivamente poteri ispettivi, di controllo, prescrittivi, di raccomandazione al Presidente per l'esercizio del potere di veto. </w:t>
      </w:r>
    </w:p>
    <w:p w14:paraId="67F66DDF" w14:textId="77FA9378" w:rsidR="00BC7163" w:rsidRPr="0060732B" w:rsidRDefault="00BC7163" w:rsidP="00BC7163">
      <w:pPr>
        <w:autoSpaceDE w:val="0"/>
        <w:autoSpaceDN w:val="0"/>
        <w:adjustRightInd w:val="0"/>
        <w:jc w:val="both"/>
        <w:rPr>
          <w:rFonts w:ascii="Garamond" w:hAnsi="Garamond"/>
        </w:rPr>
      </w:pPr>
      <w:r w:rsidRPr="0060732B">
        <w:rPr>
          <w:rFonts w:ascii="Garamond" w:hAnsi="Garamond"/>
        </w:rPr>
        <w:t xml:space="preserve">È un </w:t>
      </w:r>
      <w:r w:rsidR="009E2385" w:rsidRPr="0060732B">
        <w:rPr>
          <w:rFonts w:ascii="Garamond" w:hAnsi="Garamond"/>
        </w:rPr>
        <w:t>C</w:t>
      </w:r>
      <w:r w:rsidRPr="0060732B">
        <w:rPr>
          <w:rFonts w:ascii="Garamond" w:hAnsi="Garamond"/>
        </w:rPr>
        <w:t>omitato che spesso chiude la partita nella fase successiva alla notifica</w:t>
      </w:r>
      <w:r w:rsidR="008E7497" w:rsidRPr="0060732B">
        <w:rPr>
          <w:rFonts w:ascii="Garamond" w:hAnsi="Garamond"/>
        </w:rPr>
        <w:t>,</w:t>
      </w:r>
      <w:r w:rsidRPr="0060732B">
        <w:rPr>
          <w:rFonts w:ascii="Garamond" w:hAnsi="Garamond"/>
        </w:rPr>
        <w:t xml:space="preserve"> </w:t>
      </w:r>
      <w:r w:rsidR="009E2385" w:rsidRPr="0060732B">
        <w:rPr>
          <w:rFonts w:ascii="Garamond" w:hAnsi="Garamond"/>
        </w:rPr>
        <w:t>definendo</w:t>
      </w:r>
      <w:r w:rsidRPr="0060732B">
        <w:rPr>
          <w:rFonts w:ascii="Garamond" w:hAnsi="Garamond"/>
        </w:rPr>
        <w:t xml:space="preserve"> </w:t>
      </w:r>
      <w:r w:rsidR="009E2385" w:rsidRPr="0060732B">
        <w:rPr>
          <w:rFonts w:ascii="Garamond" w:hAnsi="Garamond"/>
        </w:rPr>
        <w:t xml:space="preserve">la vicenda </w:t>
      </w:r>
      <w:r w:rsidRPr="0060732B">
        <w:rPr>
          <w:rFonts w:ascii="Garamond" w:hAnsi="Garamond"/>
        </w:rPr>
        <w:t>con le sue misure di mitigazione</w:t>
      </w:r>
      <w:r w:rsidR="009E2385" w:rsidRPr="0060732B">
        <w:rPr>
          <w:rFonts w:ascii="Garamond" w:hAnsi="Garamond"/>
        </w:rPr>
        <w:t xml:space="preserve">, senza quindi il coinvolgimento </w:t>
      </w:r>
      <w:r w:rsidRPr="0060732B">
        <w:rPr>
          <w:rFonts w:ascii="Garamond" w:hAnsi="Garamond"/>
        </w:rPr>
        <w:t>del Presidente</w:t>
      </w:r>
      <w:r w:rsidR="009E2385" w:rsidRPr="0060732B">
        <w:rPr>
          <w:rFonts w:ascii="Garamond" w:hAnsi="Garamond"/>
        </w:rPr>
        <w:t>.</w:t>
      </w:r>
      <w:r w:rsidRPr="0060732B">
        <w:rPr>
          <w:rFonts w:ascii="Garamond" w:hAnsi="Garamond"/>
        </w:rPr>
        <w:t xml:space="preserve"> </w:t>
      </w:r>
    </w:p>
    <w:p w14:paraId="6F454D14" w14:textId="759ECC18" w:rsidR="008246BA" w:rsidRPr="0060732B" w:rsidRDefault="008246BA" w:rsidP="008246BA">
      <w:pPr>
        <w:autoSpaceDE w:val="0"/>
        <w:autoSpaceDN w:val="0"/>
        <w:adjustRightInd w:val="0"/>
        <w:jc w:val="both"/>
        <w:rPr>
          <w:rFonts w:ascii="Garamond" w:hAnsi="Garamond"/>
        </w:rPr>
      </w:pPr>
      <w:r w:rsidRPr="0060732B">
        <w:rPr>
          <w:rFonts w:ascii="Garamond" w:hAnsi="Garamond"/>
        </w:rPr>
        <w:t xml:space="preserve">Invero, </w:t>
      </w:r>
      <w:r w:rsidRPr="0060732B">
        <w:rPr>
          <w:rStyle w:val="corsivo"/>
          <w:rFonts w:ascii="Garamond" w:hAnsi="Garamond"/>
          <w:i w:val="0"/>
          <w:iCs w:val="0"/>
        </w:rPr>
        <w:t>dall’analisi casistica emerge</w:t>
      </w:r>
      <w:r w:rsidRPr="0060732B">
        <w:rPr>
          <w:rStyle w:val="corsivo"/>
          <w:rFonts w:ascii="Garamond" w:hAnsi="Garamond"/>
        </w:rPr>
        <w:t xml:space="preserve"> </w:t>
      </w:r>
      <w:r w:rsidRPr="0060732B">
        <w:rPr>
          <w:rFonts w:ascii="Garamond" w:hAnsi="Garamond"/>
        </w:rPr>
        <w:t xml:space="preserve">il ruolo fondamentale che esercita il </w:t>
      </w:r>
      <w:r w:rsidRPr="0060732B">
        <w:rPr>
          <w:rFonts w:ascii="Garamond" w:hAnsi="Garamond"/>
          <w:i/>
          <w:iCs/>
        </w:rPr>
        <w:t>CFIUS</w:t>
      </w:r>
      <w:r w:rsidRPr="0060732B">
        <w:rPr>
          <w:rFonts w:ascii="Garamond" w:hAnsi="Garamond"/>
        </w:rPr>
        <w:t xml:space="preserve"> tramite le </w:t>
      </w:r>
      <w:r w:rsidRPr="0060732B">
        <w:rPr>
          <w:rStyle w:val="corsivo"/>
          <w:rFonts w:ascii="Garamond" w:hAnsi="Garamond"/>
        </w:rPr>
        <w:t xml:space="preserve">mitigation measures, </w:t>
      </w:r>
      <w:r w:rsidRPr="0060732B">
        <w:rPr>
          <w:rFonts w:ascii="Garamond" w:hAnsi="Garamond"/>
        </w:rPr>
        <w:t xml:space="preserve">condizioni negoziate tra lo stesso Comitato e l'investitore straniero, trasposte generalmente in un accordo scritto o in un ordine dispositivo e consistenti: </w:t>
      </w:r>
    </w:p>
    <w:p w14:paraId="50AAE609" w14:textId="77777777" w:rsidR="008246BA" w:rsidRPr="0060732B" w:rsidRDefault="008246BA" w:rsidP="008246BA">
      <w:pPr>
        <w:pStyle w:val="ListParagraph"/>
        <w:numPr>
          <w:ilvl w:val="0"/>
          <w:numId w:val="8"/>
        </w:numPr>
        <w:autoSpaceDE w:val="0"/>
        <w:autoSpaceDN w:val="0"/>
        <w:adjustRightInd w:val="0"/>
        <w:spacing w:after="0" w:line="240" w:lineRule="auto"/>
        <w:jc w:val="both"/>
        <w:rPr>
          <w:rFonts w:ascii="Garamond" w:hAnsi="Garamond"/>
          <w:sz w:val="24"/>
          <w:szCs w:val="24"/>
        </w:rPr>
      </w:pPr>
      <w:r w:rsidRPr="0060732B">
        <w:rPr>
          <w:rFonts w:ascii="Garamond" w:hAnsi="Garamond"/>
          <w:sz w:val="24"/>
          <w:szCs w:val="24"/>
        </w:rPr>
        <w:t xml:space="preserve">nell’assicurare che solo persone appositamente autorizzate possano avere accesso alle tecnologie e alle informazioni aziendali; </w:t>
      </w:r>
    </w:p>
    <w:p w14:paraId="4747C528" w14:textId="77777777" w:rsidR="008246BA" w:rsidRPr="0060732B" w:rsidRDefault="008246BA" w:rsidP="008246BA">
      <w:pPr>
        <w:pStyle w:val="ListParagraph"/>
        <w:numPr>
          <w:ilvl w:val="0"/>
          <w:numId w:val="8"/>
        </w:numPr>
        <w:autoSpaceDE w:val="0"/>
        <w:autoSpaceDN w:val="0"/>
        <w:adjustRightInd w:val="0"/>
        <w:spacing w:after="0" w:line="240" w:lineRule="auto"/>
        <w:jc w:val="both"/>
        <w:rPr>
          <w:rFonts w:ascii="Garamond" w:hAnsi="Garamond"/>
          <w:sz w:val="24"/>
          <w:szCs w:val="24"/>
        </w:rPr>
      </w:pPr>
      <w:r w:rsidRPr="0060732B">
        <w:rPr>
          <w:rFonts w:ascii="Garamond" w:hAnsi="Garamond"/>
          <w:sz w:val="24"/>
          <w:szCs w:val="24"/>
        </w:rPr>
        <w:t xml:space="preserve">nel definire linee guida e condizioni per la gestione dei contratti in essere o futuri con il governo degli Stati Uniti, nonché delle informazioni commerciali e sensibili; </w:t>
      </w:r>
    </w:p>
    <w:p w14:paraId="276359DD" w14:textId="7C2CFE37" w:rsidR="008246BA" w:rsidRPr="0060732B" w:rsidRDefault="008246BA" w:rsidP="008246BA">
      <w:pPr>
        <w:pStyle w:val="ListParagraph"/>
        <w:numPr>
          <w:ilvl w:val="0"/>
          <w:numId w:val="8"/>
        </w:numPr>
        <w:autoSpaceDE w:val="0"/>
        <w:autoSpaceDN w:val="0"/>
        <w:adjustRightInd w:val="0"/>
        <w:spacing w:after="0" w:line="240" w:lineRule="auto"/>
        <w:jc w:val="both"/>
        <w:rPr>
          <w:rFonts w:ascii="Garamond" w:hAnsi="Garamond"/>
          <w:sz w:val="24"/>
          <w:szCs w:val="24"/>
        </w:rPr>
      </w:pPr>
      <w:r w:rsidRPr="0060732B">
        <w:rPr>
          <w:rFonts w:ascii="Garamond" w:hAnsi="Garamond"/>
          <w:sz w:val="24"/>
          <w:szCs w:val="24"/>
        </w:rPr>
        <w:t>nel garantire che solo i cittadini americani gestiscano determinati servizi e prodotti</w:t>
      </w:r>
      <w:r w:rsidR="00EC4849" w:rsidRPr="0060732B">
        <w:rPr>
          <w:rFonts w:ascii="Garamond" w:hAnsi="Garamond"/>
          <w:sz w:val="24"/>
          <w:szCs w:val="24"/>
        </w:rPr>
        <w:t xml:space="preserve"> o</w:t>
      </w:r>
      <w:r w:rsidRPr="0060732B">
        <w:rPr>
          <w:rFonts w:ascii="Garamond" w:hAnsi="Garamond"/>
          <w:sz w:val="24"/>
          <w:szCs w:val="24"/>
        </w:rPr>
        <w:t xml:space="preserve"> che le attività aziendali restino localizzate nel territorio degli Stati Uniti; </w:t>
      </w:r>
    </w:p>
    <w:p w14:paraId="297B2DF5" w14:textId="77777777" w:rsidR="008246BA" w:rsidRPr="0060732B" w:rsidRDefault="008246BA" w:rsidP="008246BA">
      <w:pPr>
        <w:pStyle w:val="ListParagraph"/>
        <w:numPr>
          <w:ilvl w:val="0"/>
          <w:numId w:val="8"/>
        </w:numPr>
        <w:autoSpaceDE w:val="0"/>
        <w:autoSpaceDN w:val="0"/>
        <w:adjustRightInd w:val="0"/>
        <w:spacing w:after="0" w:line="240" w:lineRule="auto"/>
        <w:jc w:val="both"/>
        <w:rPr>
          <w:rFonts w:ascii="Garamond" w:hAnsi="Garamond"/>
          <w:sz w:val="24"/>
          <w:szCs w:val="24"/>
        </w:rPr>
      </w:pPr>
      <w:r w:rsidRPr="0060732B">
        <w:rPr>
          <w:rFonts w:ascii="Garamond" w:hAnsi="Garamond"/>
          <w:sz w:val="24"/>
          <w:szCs w:val="24"/>
        </w:rPr>
        <w:t xml:space="preserve">nell’imporre l’istituzione di un comitato di sicurezza societario e altri meccanismi per assicurare la </w:t>
      </w:r>
      <w:r w:rsidRPr="0060732B">
        <w:rPr>
          <w:rStyle w:val="corsivo"/>
          <w:rFonts w:ascii="Garamond" w:hAnsi="Garamond"/>
          <w:sz w:val="24"/>
          <w:szCs w:val="24"/>
        </w:rPr>
        <w:t>compliance</w:t>
      </w:r>
      <w:r w:rsidRPr="0060732B">
        <w:rPr>
          <w:rFonts w:ascii="Garamond" w:hAnsi="Garamond"/>
          <w:sz w:val="24"/>
          <w:szCs w:val="24"/>
        </w:rPr>
        <w:t xml:space="preserve"> con le azioni richieste.</w:t>
      </w:r>
    </w:p>
    <w:p w14:paraId="08AB0C32" w14:textId="1638C6BA" w:rsidR="008246BA" w:rsidRPr="0060732B" w:rsidRDefault="008246BA" w:rsidP="008246BA">
      <w:pPr>
        <w:autoSpaceDE w:val="0"/>
        <w:autoSpaceDN w:val="0"/>
        <w:adjustRightInd w:val="0"/>
        <w:jc w:val="both"/>
        <w:rPr>
          <w:rFonts w:ascii="Garamond" w:hAnsi="Garamond"/>
        </w:rPr>
      </w:pPr>
      <w:r w:rsidRPr="0060732B">
        <w:rPr>
          <w:rFonts w:ascii="Garamond" w:hAnsi="Garamond"/>
        </w:rPr>
        <w:t>Il Comitato in quel sistema ha, dunque, una potestà decisionale autonoma. Nel 2018, di pari passo con il riconoscimento di accresciute sfere di competenza, il Comitato ha visto grandemente rafforzata la sua struttura burocratica, che fa ampio affidamento, del resto, sulle Agenzie e sul Dipartimento della difesa.</w:t>
      </w:r>
    </w:p>
    <w:p w14:paraId="4A1084DC" w14:textId="678EE071" w:rsidR="008246BA" w:rsidRPr="0060732B" w:rsidRDefault="008246BA" w:rsidP="00BC7163">
      <w:pPr>
        <w:autoSpaceDE w:val="0"/>
        <w:autoSpaceDN w:val="0"/>
        <w:adjustRightInd w:val="0"/>
        <w:jc w:val="both"/>
        <w:rPr>
          <w:rFonts w:ascii="Garamond" w:hAnsi="Garamond"/>
        </w:rPr>
      </w:pPr>
    </w:p>
    <w:p w14:paraId="1D462FBF" w14:textId="5777E54D" w:rsidR="008246BA" w:rsidRPr="0060732B" w:rsidRDefault="008246BA" w:rsidP="008246BA">
      <w:pPr>
        <w:pStyle w:val="ListParagraph"/>
        <w:numPr>
          <w:ilvl w:val="1"/>
          <w:numId w:val="5"/>
        </w:numPr>
        <w:autoSpaceDE w:val="0"/>
        <w:autoSpaceDN w:val="0"/>
        <w:adjustRightInd w:val="0"/>
        <w:jc w:val="both"/>
        <w:rPr>
          <w:rFonts w:ascii="Garamond" w:hAnsi="Garamond"/>
          <w:b/>
          <w:bCs/>
          <w:sz w:val="24"/>
          <w:szCs w:val="24"/>
        </w:rPr>
      </w:pPr>
      <w:r w:rsidRPr="0060732B">
        <w:rPr>
          <w:rFonts w:ascii="Garamond" w:hAnsi="Garamond"/>
          <w:b/>
          <w:bCs/>
          <w:sz w:val="24"/>
          <w:szCs w:val="24"/>
        </w:rPr>
        <w:t>L’impronta politica</w:t>
      </w:r>
      <w:r w:rsidR="009E2385" w:rsidRPr="0060732B">
        <w:rPr>
          <w:rFonts w:ascii="Garamond" w:hAnsi="Garamond"/>
          <w:b/>
          <w:bCs/>
          <w:sz w:val="24"/>
          <w:szCs w:val="24"/>
        </w:rPr>
        <w:t>, negli Stati uniti,</w:t>
      </w:r>
      <w:r w:rsidRPr="0060732B">
        <w:rPr>
          <w:rFonts w:ascii="Garamond" w:hAnsi="Garamond"/>
          <w:b/>
          <w:bCs/>
          <w:sz w:val="24"/>
          <w:szCs w:val="24"/>
        </w:rPr>
        <w:t xml:space="preserve"> dei poteri </w:t>
      </w:r>
      <w:r w:rsidR="009E2385" w:rsidRPr="0060732B">
        <w:rPr>
          <w:rFonts w:ascii="Garamond" w:hAnsi="Garamond"/>
          <w:b/>
          <w:bCs/>
          <w:sz w:val="24"/>
          <w:szCs w:val="24"/>
        </w:rPr>
        <w:t>del Presidente</w:t>
      </w:r>
      <w:r w:rsidRPr="0060732B">
        <w:rPr>
          <w:rFonts w:ascii="Garamond" w:hAnsi="Garamond"/>
          <w:b/>
          <w:bCs/>
          <w:sz w:val="24"/>
          <w:szCs w:val="24"/>
        </w:rPr>
        <w:t>.</w:t>
      </w:r>
    </w:p>
    <w:p w14:paraId="6319E723" w14:textId="77777777" w:rsidR="008246BA" w:rsidRPr="0060732B" w:rsidRDefault="00BC7163" w:rsidP="008246BA">
      <w:pPr>
        <w:autoSpaceDE w:val="0"/>
        <w:autoSpaceDN w:val="0"/>
        <w:adjustRightInd w:val="0"/>
        <w:jc w:val="both"/>
        <w:rPr>
          <w:rFonts w:ascii="Garamond" w:hAnsi="Garamond"/>
        </w:rPr>
      </w:pPr>
      <w:r w:rsidRPr="0060732B">
        <w:rPr>
          <w:rFonts w:ascii="Garamond" w:hAnsi="Garamond"/>
        </w:rPr>
        <w:t xml:space="preserve">Il secondo elemento </w:t>
      </w:r>
      <w:r w:rsidR="008246BA" w:rsidRPr="0060732B">
        <w:rPr>
          <w:rFonts w:ascii="Garamond" w:hAnsi="Garamond"/>
        </w:rPr>
        <w:t>che connota</w:t>
      </w:r>
      <w:r w:rsidRPr="0060732B">
        <w:rPr>
          <w:rFonts w:ascii="Garamond" w:hAnsi="Garamond"/>
        </w:rPr>
        <w:t xml:space="preserve"> </w:t>
      </w:r>
      <w:r w:rsidR="008246BA" w:rsidRPr="0060732B">
        <w:rPr>
          <w:rFonts w:ascii="Garamond" w:hAnsi="Garamond"/>
        </w:rPr>
        <w:t xml:space="preserve">il </w:t>
      </w:r>
      <w:r w:rsidRPr="0060732B">
        <w:rPr>
          <w:rFonts w:ascii="Garamond" w:hAnsi="Garamond"/>
        </w:rPr>
        <w:t xml:space="preserve">modello statunitense è </w:t>
      </w:r>
      <w:r w:rsidR="008246BA" w:rsidRPr="0060732B">
        <w:rPr>
          <w:rFonts w:ascii="Garamond" w:hAnsi="Garamond"/>
        </w:rPr>
        <w:t>dato da</w:t>
      </w:r>
      <w:r w:rsidRPr="0060732B">
        <w:rPr>
          <w:rFonts w:ascii="Garamond" w:hAnsi="Garamond"/>
        </w:rPr>
        <w:t xml:space="preserve">lla quasi illimitata discrezionalità presidenziale. </w:t>
      </w:r>
      <w:r w:rsidR="008246BA" w:rsidRPr="0060732B">
        <w:rPr>
          <w:rFonts w:ascii="Garamond" w:hAnsi="Garamond"/>
        </w:rPr>
        <w:t xml:space="preserve">E’ quanto </w:t>
      </w:r>
      <w:r w:rsidRPr="0060732B">
        <w:rPr>
          <w:rFonts w:ascii="Garamond" w:hAnsi="Garamond"/>
        </w:rPr>
        <w:t xml:space="preserve">emerge </w:t>
      </w:r>
      <w:r w:rsidR="008246BA" w:rsidRPr="0060732B">
        <w:rPr>
          <w:rFonts w:ascii="Garamond" w:hAnsi="Garamond"/>
        </w:rPr>
        <w:t xml:space="preserve">dall’analisi di taluni </w:t>
      </w:r>
      <w:r w:rsidRPr="0060732B">
        <w:rPr>
          <w:rFonts w:ascii="Garamond" w:hAnsi="Garamond"/>
        </w:rPr>
        <w:t>casi</w:t>
      </w:r>
      <w:r w:rsidR="008246BA" w:rsidRPr="0060732B">
        <w:rPr>
          <w:rFonts w:ascii="Garamond" w:hAnsi="Garamond"/>
        </w:rPr>
        <w:t xml:space="preserve"> di esercizio del potere in questione.</w:t>
      </w:r>
    </w:p>
    <w:p w14:paraId="0EEF5FFC" w14:textId="77777777" w:rsidR="008246BA" w:rsidRPr="0060732B" w:rsidRDefault="008246BA" w:rsidP="008246BA">
      <w:pPr>
        <w:pStyle w:val="NoSpacing"/>
        <w:spacing w:line="280" w:lineRule="exact"/>
        <w:ind w:firstLine="0"/>
        <w:jc w:val="both"/>
        <w:rPr>
          <w:rFonts w:ascii="Garamond" w:hAnsi="Garamond"/>
        </w:rPr>
      </w:pPr>
      <w:r w:rsidRPr="0060732B">
        <w:rPr>
          <w:rFonts w:ascii="Garamond" w:hAnsi="Garamond"/>
        </w:rPr>
        <w:t>Significativa, al riguardo, la decisione della Corte distrettuale della Columbia, chiamata a pronunciarsi in seguito all’impugnazione dell’</w:t>
      </w:r>
      <w:r w:rsidRPr="0060732B">
        <w:rPr>
          <w:rFonts w:ascii="Garamond" w:hAnsi="Garamond"/>
          <w:i/>
        </w:rPr>
        <w:t>executive order</w:t>
      </w:r>
      <w:r w:rsidRPr="0060732B">
        <w:rPr>
          <w:rFonts w:ascii="Garamond" w:hAnsi="Garamond"/>
        </w:rPr>
        <w:t xml:space="preserve"> con il quale il Presidente Obama bloccò l’investimento e l’acquisto delle partecipazioni in quattro aziende americane da parte della società cinese </w:t>
      </w:r>
      <w:r w:rsidRPr="0060732B">
        <w:rPr>
          <w:rFonts w:ascii="Garamond" w:hAnsi="Garamond"/>
          <w:i/>
        </w:rPr>
        <w:t>Ralss Corporation</w:t>
      </w:r>
      <w:r w:rsidRPr="0060732B">
        <w:rPr>
          <w:rFonts w:ascii="Garamond" w:hAnsi="Garamond"/>
        </w:rPr>
        <w:t xml:space="preserve">: </w:t>
      </w:r>
      <w:r w:rsidRPr="0060732B">
        <w:rPr>
          <w:rStyle w:val="corsivo"/>
          <w:rFonts w:ascii="Garamond" w:hAnsi="Garamond"/>
          <w:i w:val="0"/>
          <w:iCs w:val="0"/>
        </w:rPr>
        <w:t>il giudice</w:t>
      </w:r>
      <w:r w:rsidRPr="0060732B">
        <w:rPr>
          <w:rStyle w:val="corsivo"/>
          <w:rFonts w:ascii="Garamond" w:hAnsi="Garamond"/>
        </w:rPr>
        <w:t xml:space="preserve">, </w:t>
      </w:r>
      <w:r w:rsidRPr="0060732B">
        <w:rPr>
          <w:rFonts w:ascii="Garamond" w:hAnsi="Garamond"/>
        </w:rPr>
        <w:t xml:space="preserve">nel disattendere le domande, rimarca la sostanziale insindacabilità giurisdizionale delle decisioni presidenziali, non riconoscendo in capo alla </w:t>
      </w:r>
      <w:r w:rsidRPr="0060732B">
        <w:rPr>
          <w:rStyle w:val="corsivo"/>
          <w:rFonts w:ascii="Garamond" w:hAnsi="Garamond"/>
        </w:rPr>
        <w:t>Ralls</w:t>
      </w:r>
      <w:r w:rsidRPr="0060732B">
        <w:rPr>
          <w:rFonts w:ascii="Garamond" w:hAnsi="Garamond"/>
        </w:rPr>
        <w:t xml:space="preserve"> alcun interesse meritevole di protezione</w:t>
      </w:r>
      <w:r w:rsidRPr="0060732B">
        <w:rPr>
          <w:rStyle w:val="corsivo"/>
          <w:rFonts w:ascii="Garamond" w:hAnsi="Garamond"/>
        </w:rPr>
        <w:t xml:space="preserve">. </w:t>
      </w:r>
      <w:r w:rsidRPr="0060732B">
        <w:rPr>
          <w:rFonts w:ascii="Garamond" w:hAnsi="Garamond"/>
        </w:rPr>
        <w:t>Il principio enunciato è sostanzialmente quello per cui “</w:t>
      </w:r>
      <w:r w:rsidRPr="0060732B">
        <w:rPr>
          <w:rStyle w:val="corsivo"/>
          <w:rFonts w:ascii="Garamond" w:hAnsi="Garamond"/>
        </w:rPr>
        <w:t>no one can be said to have a vested right to carry on foreign commerce with the United States</w:t>
      </w:r>
      <w:r w:rsidRPr="0060732B">
        <w:rPr>
          <w:rFonts w:ascii="Garamond" w:hAnsi="Garamond"/>
        </w:rPr>
        <w:t xml:space="preserve">”: nessuna posizione soggettiva meritevole di protezione, se non sul piano della correttezza procedimentale, spetta nel settore in questione. </w:t>
      </w:r>
    </w:p>
    <w:p w14:paraId="6D7071CE" w14:textId="63B5E219" w:rsidR="008246BA" w:rsidRPr="0060732B" w:rsidRDefault="008246BA" w:rsidP="008246BA">
      <w:pPr>
        <w:autoSpaceDE w:val="0"/>
        <w:autoSpaceDN w:val="0"/>
        <w:adjustRightInd w:val="0"/>
        <w:jc w:val="both"/>
        <w:rPr>
          <w:rFonts w:ascii="Garamond" w:hAnsi="Garamond"/>
        </w:rPr>
      </w:pPr>
      <w:r w:rsidRPr="0060732B">
        <w:rPr>
          <w:rFonts w:ascii="Garamond" w:hAnsi="Garamond"/>
        </w:rPr>
        <w:t xml:space="preserve">Il sistema statunitense, nonostante la significativa evoluzione della disciplina </w:t>
      </w:r>
      <w:r w:rsidRPr="0060732B">
        <w:rPr>
          <w:rFonts w:ascii="Garamond" w:hAnsi="Garamond"/>
          <w:i/>
          <w:iCs/>
        </w:rPr>
        <w:t>CFIUS</w:t>
      </w:r>
      <w:r w:rsidRPr="0060732B">
        <w:rPr>
          <w:rFonts w:ascii="Garamond" w:hAnsi="Garamond"/>
        </w:rPr>
        <w:t>, appare</w:t>
      </w:r>
      <w:r w:rsidR="00EC4849" w:rsidRPr="0060732B">
        <w:rPr>
          <w:rFonts w:ascii="Garamond" w:hAnsi="Garamond"/>
        </w:rPr>
        <w:t xml:space="preserve"> quindi</w:t>
      </w:r>
      <w:r w:rsidRPr="0060732B">
        <w:rPr>
          <w:rFonts w:ascii="Garamond" w:hAnsi="Garamond"/>
        </w:rPr>
        <w:t xml:space="preserve"> ad impronta fortemente politica come emerge, del resto, considerando alcuni dati numerici. Dalla istituzione del </w:t>
      </w:r>
      <w:r w:rsidRPr="0060732B">
        <w:rPr>
          <w:rFonts w:ascii="Garamond" w:hAnsi="Garamond"/>
          <w:i/>
          <w:iCs/>
        </w:rPr>
        <w:t>CFIUS</w:t>
      </w:r>
      <w:r w:rsidRPr="0060732B">
        <w:rPr>
          <w:rFonts w:ascii="Garamond" w:hAnsi="Garamond"/>
        </w:rPr>
        <w:t xml:space="preserve"> e fino al 2018 il Presidente ha, infatti, bloccato solo cinque transazioni, di cui tre nel periodo 2016– 2018, di cui due ad opera del Presidente Trump. </w:t>
      </w:r>
    </w:p>
    <w:p w14:paraId="0DCAE3CD" w14:textId="37C1EFF6" w:rsidR="008246BA" w:rsidRPr="0060732B" w:rsidRDefault="008246BA" w:rsidP="008246BA">
      <w:pPr>
        <w:autoSpaceDE w:val="0"/>
        <w:autoSpaceDN w:val="0"/>
        <w:adjustRightInd w:val="0"/>
        <w:jc w:val="both"/>
        <w:rPr>
          <w:rFonts w:ascii="Garamond" w:hAnsi="Garamond"/>
        </w:rPr>
      </w:pPr>
      <w:r w:rsidRPr="0060732B">
        <w:rPr>
          <w:rFonts w:ascii="Garamond" w:hAnsi="Garamond"/>
        </w:rPr>
        <w:t xml:space="preserve">Questo aumento di decisioni negative è il precipitato, per l’appunto, di un vero e proprio cambio di paradigma politico. </w:t>
      </w:r>
    </w:p>
    <w:p w14:paraId="3B91DB9B" w14:textId="567042E7" w:rsidR="008246BA" w:rsidRPr="0060732B" w:rsidRDefault="008246BA" w:rsidP="008246BA">
      <w:pPr>
        <w:autoSpaceDE w:val="0"/>
        <w:autoSpaceDN w:val="0"/>
        <w:adjustRightInd w:val="0"/>
        <w:jc w:val="both"/>
        <w:rPr>
          <w:rFonts w:ascii="Garamond" w:hAnsi="Garamond"/>
        </w:rPr>
      </w:pPr>
      <w:r w:rsidRPr="0060732B">
        <w:rPr>
          <w:rFonts w:ascii="Garamond" w:hAnsi="Garamond"/>
        </w:rPr>
        <w:t xml:space="preserve">La crescita di conflittualità tra Stati Uniti e Cina sull’alta tecnologia segna, infatti, un corrispondente allargamento del </w:t>
      </w:r>
      <w:r w:rsidR="009E2385" w:rsidRPr="0060732B">
        <w:rPr>
          <w:rFonts w:ascii="Garamond" w:hAnsi="Garamond"/>
        </w:rPr>
        <w:t>perimetro</w:t>
      </w:r>
      <w:r w:rsidRPr="0060732B">
        <w:rPr>
          <w:rFonts w:ascii="Garamond" w:hAnsi="Garamond"/>
        </w:rPr>
        <w:t xml:space="preserve"> della “</w:t>
      </w:r>
      <w:r w:rsidRPr="0060732B">
        <w:rPr>
          <w:rFonts w:ascii="Garamond" w:hAnsi="Garamond"/>
          <w:i/>
          <w:iCs/>
        </w:rPr>
        <w:t>nazional security</w:t>
      </w:r>
      <w:r w:rsidRPr="0060732B">
        <w:rPr>
          <w:rFonts w:ascii="Garamond" w:hAnsi="Garamond"/>
        </w:rPr>
        <w:t xml:space="preserve">”: prova ne è la firma presidenziale del 13 agosto 2018 del </w:t>
      </w:r>
      <w:r w:rsidRPr="0060732B">
        <w:rPr>
          <w:rFonts w:ascii="Garamond" w:hAnsi="Garamond"/>
          <w:i/>
          <w:iCs/>
        </w:rPr>
        <w:t>Foreign Investment Risk Review Modernization Act</w:t>
      </w:r>
      <w:r w:rsidRPr="0060732B">
        <w:rPr>
          <w:rFonts w:ascii="Garamond" w:hAnsi="Garamond"/>
        </w:rPr>
        <w:t xml:space="preserve"> of 2018 (FIRRMA), con cui si espandono i poteri del </w:t>
      </w:r>
      <w:r w:rsidRPr="0060732B">
        <w:rPr>
          <w:rFonts w:ascii="Garamond" w:hAnsi="Garamond"/>
          <w:i/>
          <w:iCs/>
        </w:rPr>
        <w:t>CFIUS</w:t>
      </w:r>
      <w:r w:rsidRPr="0060732B">
        <w:rPr>
          <w:rFonts w:ascii="Garamond" w:hAnsi="Garamond"/>
        </w:rPr>
        <w:t xml:space="preserve"> a livello settoriale (ad es. relativamente ai veicoli finanziari) e territoriale (per es. in riferimento ai rapporti tra investimenti immobiliari e territori che gli Stati Uniti per ragioni militari indicano come relativi alla sicurezza nazionale), con contestuale potenziamento strutturale</w:t>
      </w:r>
      <w:r w:rsidR="00EC4849" w:rsidRPr="0060732B">
        <w:rPr>
          <w:rFonts w:ascii="Garamond" w:hAnsi="Garamond"/>
        </w:rPr>
        <w:t xml:space="preserve"> del </w:t>
      </w:r>
      <w:r w:rsidRPr="0060732B">
        <w:rPr>
          <w:rFonts w:ascii="Garamond" w:hAnsi="Garamond"/>
        </w:rPr>
        <w:t xml:space="preserve"> </w:t>
      </w:r>
      <w:r w:rsidRPr="0060732B">
        <w:rPr>
          <w:rFonts w:ascii="Garamond" w:hAnsi="Garamond"/>
          <w:i/>
          <w:iCs/>
        </w:rPr>
        <w:t>CFIUS</w:t>
      </w:r>
      <w:r w:rsidRPr="0060732B">
        <w:rPr>
          <w:rFonts w:ascii="Garamond" w:hAnsi="Garamond"/>
        </w:rPr>
        <w:t>, sia dal punto di vista del personale che delle risorse, per far fronte ai nuovi compiti.</w:t>
      </w:r>
    </w:p>
    <w:p w14:paraId="65A2A29F" w14:textId="77777777" w:rsidR="008246BA" w:rsidRPr="0060732B" w:rsidRDefault="008246BA" w:rsidP="008246BA">
      <w:pPr>
        <w:autoSpaceDE w:val="0"/>
        <w:autoSpaceDN w:val="0"/>
        <w:adjustRightInd w:val="0"/>
        <w:jc w:val="both"/>
        <w:rPr>
          <w:rFonts w:ascii="Garamond" w:hAnsi="Garamond"/>
        </w:rPr>
      </w:pPr>
    </w:p>
    <w:p w14:paraId="2230C8DB" w14:textId="449644F0" w:rsidR="008246BA" w:rsidRPr="0060732B" w:rsidRDefault="008246BA" w:rsidP="00BC7163">
      <w:pPr>
        <w:pStyle w:val="NoSpacing"/>
        <w:spacing w:line="280" w:lineRule="exact"/>
        <w:ind w:firstLine="0"/>
        <w:jc w:val="both"/>
        <w:rPr>
          <w:rFonts w:ascii="Garamond" w:hAnsi="Garamond"/>
        </w:rPr>
      </w:pPr>
    </w:p>
    <w:p w14:paraId="53DF7AAF" w14:textId="5C947F60" w:rsidR="008246BA" w:rsidRPr="0060732B" w:rsidRDefault="009E2385" w:rsidP="009E2385">
      <w:pPr>
        <w:pStyle w:val="NoSpacing"/>
        <w:numPr>
          <w:ilvl w:val="1"/>
          <w:numId w:val="5"/>
        </w:numPr>
        <w:spacing w:line="280" w:lineRule="exact"/>
        <w:jc w:val="both"/>
        <w:rPr>
          <w:rFonts w:ascii="Garamond" w:hAnsi="Garamond"/>
          <w:b/>
          <w:bCs/>
        </w:rPr>
      </w:pPr>
      <w:r w:rsidRPr="0060732B">
        <w:rPr>
          <w:rFonts w:ascii="Garamond" w:hAnsi="Garamond"/>
          <w:b/>
          <w:bCs/>
        </w:rPr>
        <w:t>Cosa accade in Italia?</w:t>
      </w:r>
      <w:r w:rsidR="00EC4849" w:rsidRPr="0060732B">
        <w:rPr>
          <w:rFonts w:ascii="Garamond" w:hAnsi="Garamond"/>
          <w:b/>
          <w:bCs/>
        </w:rPr>
        <w:t xml:space="preserve"> Competenze e adeguatezza strutturale del Gruppo di coordinamento.</w:t>
      </w:r>
    </w:p>
    <w:p w14:paraId="77C966D7" w14:textId="77777777" w:rsidR="003C63E9" w:rsidRPr="0060732B" w:rsidRDefault="009A3F4F" w:rsidP="00BC7163">
      <w:pPr>
        <w:pStyle w:val="NoSpacing"/>
        <w:spacing w:line="280" w:lineRule="exact"/>
        <w:ind w:firstLine="0"/>
        <w:jc w:val="both"/>
        <w:rPr>
          <w:rFonts w:ascii="Garamond" w:hAnsi="Garamond"/>
        </w:rPr>
      </w:pPr>
      <w:r w:rsidRPr="0060732B">
        <w:rPr>
          <w:rFonts w:ascii="Garamond" w:hAnsi="Garamond"/>
        </w:rPr>
        <w:t>I</w:t>
      </w:r>
      <w:r w:rsidR="00BC7163" w:rsidRPr="0060732B">
        <w:rPr>
          <w:rFonts w:ascii="Garamond" w:hAnsi="Garamond"/>
        </w:rPr>
        <w:t>n Italia</w:t>
      </w:r>
      <w:r w:rsidRPr="0060732B">
        <w:rPr>
          <w:rFonts w:ascii="Garamond" w:hAnsi="Garamond"/>
        </w:rPr>
        <w:t xml:space="preserve"> l’organo corrispondente al </w:t>
      </w:r>
      <w:r w:rsidRPr="0060732B">
        <w:rPr>
          <w:rFonts w:ascii="Garamond" w:hAnsi="Garamond" w:cs="RotisSansSerifStd-Regular"/>
          <w:i/>
        </w:rPr>
        <w:t xml:space="preserve">CFIUS </w:t>
      </w:r>
      <w:r w:rsidRPr="0060732B">
        <w:rPr>
          <w:rFonts w:ascii="Garamond" w:hAnsi="Garamond" w:cs="RotisSansSerifStd-Regular"/>
          <w:iCs/>
        </w:rPr>
        <w:t xml:space="preserve">statunitense è </w:t>
      </w:r>
      <w:r w:rsidR="00BC7163" w:rsidRPr="0060732B">
        <w:rPr>
          <w:rFonts w:ascii="Garamond" w:hAnsi="Garamond"/>
        </w:rPr>
        <w:t xml:space="preserve">il Gruppo di coordinamento che opera in Presidenza. </w:t>
      </w:r>
    </w:p>
    <w:p w14:paraId="120AF6B7" w14:textId="5B09BACD" w:rsidR="009A3F4F" w:rsidRPr="0060732B" w:rsidRDefault="00BC7163" w:rsidP="00BC7163">
      <w:pPr>
        <w:pStyle w:val="NoSpacing"/>
        <w:spacing w:line="280" w:lineRule="exact"/>
        <w:ind w:firstLine="0"/>
        <w:jc w:val="both"/>
        <w:rPr>
          <w:rFonts w:ascii="Garamond" w:hAnsi="Garamond"/>
        </w:rPr>
      </w:pPr>
      <w:r w:rsidRPr="0060732B">
        <w:rPr>
          <w:rFonts w:ascii="Garamond" w:hAnsi="Garamond"/>
        </w:rPr>
        <w:t xml:space="preserve">Dalla relazione </w:t>
      </w:r>
      <w:r w:rsidR="00456640" w:rsidRPr="0060732B">
        <w:rPr>
          <w:rFonts w:ascii="Garamond" w:eastAsia="Times New Roman" w:hAnsi="Garamond" w:cs="Times New Roman"/>
        </w:rPr>
        <w:t xml:space="preserve">depositata in Parlamento (luglio 2016-dicembre 2018) </w:t>
      </w:r>
      <w:r w:rsidRPr="0060732B">
        <w:rPr>
          <w:rFonts w:ascii="Garamond" w:hAnsi="Garamond"/>
        </w:rPr>
        <w:t xml:space="preserve">emerge che </w:t>
      </w:r>
      <w:r w:rsidR="009A3F4F" w:rsidRPr="0060732B">
        <w:rPr>
          <w:rFonts w:ascii="Garamond" w:hAnsi="Garamond"/>
        </w:rPr>
        <w:t xml:space="preserve">il </w:t>
      </w:r>
      <w:r w:rsidRPr="0060732B">
        <w:rPr>
          <w:rFonts w:ascii="Garamond" w:hAnsi="Garamond"/>
        </w:rPr>
        <w:t>Gruppo, quando ritiene che non ci siano i presupposti per l'esercizio dei poteri speciali, esercita altri poteri ado</w:t>
      </w:r>
      <w:r w:rsidR="009A3F4F" w:rsidRPr="0060732B">
        <w:rPr>
          <w:rFonts w:ascii="Garamond" w:hAnsi="Garamond"/>
        </w:rPr>
        <w:t xml:space="preserve">ttando </w:t>
      </w:r>
      <w:r w:rsidRPr="0060732B">
        <w:rPr>
          <w:rFonts w:ascii="Garamond" w:hAnsi="Garamond"/>
        </w:rPr>
        <w:t>raccomandazioni e defin</w:t>
      </w:r>
      <w:r w:rsidR="009A3F4F" w:rsidRPr="0060732B">
        <w:rPr>
          <w:rFonts w:ascii="Garamond" w:hAnsi="Garamond"/>
        </w:rPr>
        <w:t xml:space="preserve">endo </w:t>
      </w:r>
      <w:r w:rsidRPr="0060732B">
        <w:rPr>
          <w:rFonts w:ascii="Garamond" w:hAnsi="Garamond"/>
        </w:rPr>
        <w:t xml:space="preserve">principi. </w:t>
      </w:r>
    </w:p>
    <w:p w14:paraId="22D533D8" w14:textId="77777777" w:rsidR="003C63E9" w:rsidRPr="0060732B" w:rsidRDefault="003C63E9" w:rsidP="003C63E9">
      <w:pPr>
        <w:spacing w:line="280" w:lineRule="exact"/>
        <w:jc w:val="both"/>
        <w:rPr>
          <w:rStyle w:val="corsivo"/>
          <w:rFonts w:ascii="Garamond" w:hAnsi="Garamond"/>
          <w:i w:val="0"/>
          <w:iCs w:val="0"/>
        </w:rPr>
      </w:pPr>
      <w:r w:rsidRPr="0060732B">
        <w:rPr>
          <w:rFonts w:ascii="Garamond" w:eastAsia="Times New Roman" w:hAnsi="Garamond" w:cs="Times New Roman"/>
        </w:rPr>
        <w:t xml:space="preserve">Se, però, dal punto di vista sostanziale queste raccomandazioni o questi principi possono essere paragonati alle </w:t>
      </w:r>
      <w:r w:rsidRPr="0060732B">
        <w:rPr>
          <w:rStyle w:val="corsivo"/>
          <w:rFonts w:ascii="Garamond" w:hAnsi="Garamond"/>
        </w:rPr>
        <w:t xml:space="preserve">mitigation measures </w:t>
      </w:r>
      <w:r w:rsidRPr="0060732B">
        <w:rPr>
          <w:rStyle w:val="corsivo"/>
          <w:rFonts w:ascii="Garamond" w:hAnsi="Garamond"/>
          <w:i w:val="0"/>
          <w:iCs w:val="0"/>
        </w:rPr>
        <w:t>del</w:t>
      </w:r>
      <w:r w:rsidRPr="0060732B">
        <w:rPr>
          <w:rStyle w:val="corsivo"/>
          <w:rFonts w:ascii="Garamond" w:hAnsi="Garamond"/>
        </w:rPr>
        <w:t xml:space="preserve"> CFIUS, </w:t>
      </w:r>
      <w:r w:rsidRPr="0060732B">
        <w:rPr>
          <w:rStyle w:val="corsivo"/>
          <w:rFonts w:ascii="Garamond" w:hAnsi="Garamond"/>
          <w:i w:val="0"/>
          <w:iCs w:val="0"/>
        </w:rPr>
        <w:t xml:space="preserve">dal punto di vista strutturale e formale si registrano marcate differenze. </w:t>
      </w:r>
    </w:p>
    <w:p w14:paraId="6832A72E" w14:textId="41D66FE6" w:rsidR="003C63E9" w:rsidRPr="0060732B" w:rsidRDefault="00456640" w:rsidP="003C63E9">
      <w:pPr>
        <w:spacing w:line="280" w:lineRule="exact"/>
        <w:jc w:val="both"/>
        <w:rPr>
          <w:rFonts w:ascii="Garamond" w:eastAsia="Times New Roman" w:hAnsi="Garamond" w:cs="Times New Roman"/>
        </w:rPr>
      </w:pPr>
      <w:r w:rsidRPr="0060732B">
        <w:rPr>
          <w:rFonts w:ascii="Garamond" w:eastAsia="Times New Roman" w:hAnsi="Garamond" w:cs="Times New Roman"/>
        </w:rPr>
        <w:t>Come sopra rilevato, n</w:t>
      </w:r>
      <w:r w:rsidR="003C63E9" w:rsidRPr="0060732B">
        <w:rPr>
          <w:rFonts w:ascii="Garamond" w:eastAsia="Times New Roman" w:hAnsi="Garamond" w:cs="Times New Roman"/>
        </w:rPr>
        <w:t xml:space="preserve">el sistema statunitense le raccomandazioni </w:t>
      </w:r>
      <w:r w:rsidRPr="0060732B">
        <w:rPr>
          <w:rFonts w:ascii="Garamond" w:eastAsia="Times New Roman" w:hAnsi="Garamond" w:cs="Times New Roman"/>
        </w:rPr>
        <w:t>sono</w:t>
      </w:r>
      <w:r w:rsidR="003C63E9" w:rsidRPr="0060732B">
        <w:rPr>
          <w:rFonts w:ascii="Garamond" w:eastAsia="Times New Roman" w:hAnsi="Garamond" w:cs="Times New Roman"/>
        </w:rPr>
        <w:t xml:space="preserve"> molto stringenti</w:t>
      </w:r>
      <w:r w:rsidRPr="0060732B">
        <w:rPr>
          <w:rFonts w:ascii="Garamond" w:eastAsia="Times New Roman" w:hAnsi="Garamond" w:cs="Times New Roman"/>
        </w:rPr>
        <w:t xml:space="preserve"> e l</w:t>
      </w:r>
      <w:r w:rsidR="003C63E9" w:rsidRPr="0060732B">
        <w:rPr>
          <w:rFonts w:ascii="Garamond" w:eastAsia="Times New Roman" w:hAnsi="Garamond" w:cs="Times New Roman"/>
        </w:rPr>
        <w:t xml:space="preserve">a dialettica tra il </w:t>
      </w:r>
      <w:r w:rsidR="003C63E9" w:rsidRPr="0060732B">
        <w:rPr>
          <w:rFonts w:ascii="Garamond" w:eastAsia="Times New Roman" w:hAnsi="Garamond" w:cs="Times New Roman"/>
          <w:i/>
          <w:iCs/>
        </w:rPr>
        <w:t>CFIUS</w:t>
      </w:r>
      <w:r w:rsidR="003C63E9" w:rsidRPr="0060732B">
        <w:rPr>
          <w:rFonts w:ascii="Garamond" w:eastAsia="Times New Roman" w:hAnsi="Garamond" w:cs="Times New Roman"/>
        </w:rPr>
        <w:t xml:space="preserve"> e l’attore </w:t>
      </w:r>
      <w:r w:rsidRPr="0060732B">
        <w:rPr>
          <w:rFonts w:ascii="Garamond" w:eastAsia="Times New Roman" w:hAnsi="Garamond" w:cs="Times New Roman"/>
        </w:rPr>
        <w:t>determina di frequente</w:t>
      </w:r>
      <w:r w:rsidR="003C63E9" w:rsidRPr="0060732B">
        <w:rPr>
          <w:rFonts w:ascii="Garamond" w:eastAsia="Times New Roman" w:hAnsi="Garamond" w:cs="Times New Roman"/>
        </w:rPr>
        <w:t>, prima del passaggio alla decisione presidenziale, l’abbandono della transazione.</w:t>
      </w:r>
    </w:p>
    <w:p w14:paraId="2226DC2A" w14:textId="77777777" w:rsidR="00456640" w:rsidRPr="0060732B" w:rsidRDefault="003C63E9" w:rsidP="003C63E9">
      <w:pPr>
        <w:spacing w:line="280" w:lineRule="exact"/>
        <w:jc w:val="both"/>
        <w:rPr>
          <w:rStyle w:val="corsivo"/>
          <w:rFonts w:ascii="Garamond" w:hAnsi="Garamond"/>
          <w:i w:val="0"/>
          <w:iCs w:val="0"/>
        </w:rPr>
      </w:pPr>
      <w:r w:rsidRPr="0060732B">
        <w:rPr>
          <w:rFonts w:ascii="Garamond" w:eastAsia="Times New Roman" w:hAnsi="Garamond" w:cs="Times New Roman"/>
        </w:rPr>
        <w:t xml:space="preserve">Nel sistema italiano, invece, </w:t>
      </w:r>
      <w:r w:rsidR="00456640" w:rsidRPr="0060732B">
        <w:rPr>
          <w:rFonts w:ascii="Garamond" w:eastAsia="Times New Roman" w:hAnsi="Garamond" w:cs="Times New Roman"/>
        </w:rPr>
        <w:t>l</w:t>
      </w:r>
      <w:r w:rsidRPr="0060732B">
        <w:rPr>
          <w:rFonts w:ascii="Garamond" w:eastAsia="Times New Roman" w:hAnsi="Garamond" w:cs="Times New Roman"/>
        </w:rPr>
        <w:t xml:space="preserve">e </w:t>
      </w:r>
      <w:r w:rsidRPr="0060732B">
        <w:rPr>
          <w:rStyle w:val="corsivo"/>
          <w:rFonts w:ascii="Garamond" w:hAnsi="Garamond"/>
          <w:i w:val="0"/>
          <w:iCs w:val="0"/>
        </w:rPr>
        <w:t>valutazioni svolte dal Gruppo di coordinamento</w:t>
      </w:r>
      <w:r w:rsidR="00456640" w:rsidRPr="0060732B">
        <w:rPr>
          <w:rStyle w:val="corsivo"/>
          <w:rFonts w:ascii="Garamond" w:hAnsi="Garamond"/>
          <w:i w:val="0"/>
          <w:iCs w:val="0"/>
        </w:rPr>
        <w:t xml:space="preserve"> sono comunque</w:t>
      </w:r>
      <w:r w:rsidRPr="0060732B">
        <w:rPr>
          <w:rStyle w:val="corsivo"/>
          <w:rFonts w:ascii="Garamond" w:hAnsi="Garamond"/>
          <w:i w:val="0"/>
          <w:iCs w:val="0"/>
        </w:rPr>
        <w:t xml:space="preserve"> oggetto di una delibera da parte del Consiglio dei Ministri, anche nei casi in cui si ritenga che non vi siano gli estremi per l’esercizio dei poteri speciali. </w:t>
      </w:r>
    </w:p>
    <w:p w14:paraId="6210929D" w14:textId="73404AC7" w:rsidR="009A3F4F" w:rsidRPr="0060732B" w:rsidRDefault="00BC7163" w:rsidP="00BC7163">
      <w:pPr>
        <w:pStyle w:val="NoSpacing"/>
        <w:spacing w:line="280" w:lineRule="exact"/>
        <w:ind w:firstLine="0"/>
        <w:jc w:val="both"/>
        <w:rPr>
          <w:rFonts w:ascii="Garamond" w:hAnsi="Garamond"/>
        </w:rPr>
      </w:pPr>
      <w:r w:rsidRPr="0060732B">
        <w:rPr>
          <w:rFonts w:ascii="Garamond" w:hAnsi="Garamond"/>
        </w:rPr>
        <w:t>La prima differenza</w:t>
      </w:r>
      <w:r w:rsidR="00EC4849" w:rsidRPr="0060732B">
        <w:rPr>
          <w:rFonts w:ascii="Garamond" w:hAnsi="Garamond"/>
        </w:rPr>
        <w:t>, quindi,</w:t>
      </w:r>
      <w:r w:rsidRPr="0060732B">
        <w:rPr>
          <w:rFonts w:ascii="Garamond" w:hAnsi="Garamond"/>
        </w:rPr>
        <w:t xml:space="preserve"> è che il Gruppo di coordinamento </w:t>
      </w:r>
      <w:r w:rsidRPr="0060732B">
        <w:rPr>
          <w:rFonts w:ascii="Garamond" w:hAnsi="Garamond"/>
          <w:i/>
          <w:iCs/>
        </w:rPr>
        <w:t>non esercita questi poteri in autonomia</w:t>
      </w:r>
      <w:r w:rsidRPr="0060732B">
        <w:rPr>
          <w:rFonts w:ascii="Garamond" w:hAnsi="Garamond"/>
        </w:rPr>
        <w:t xml:space="preserve"> perché gli stessi confluiscono sempre in un Decreto del Presidente. </w:t>
      </w:r>
    </w:p>
    <w:p w14:paraId="2604EF2F" w14:textId="77777777" w:rsidR="009A3F4F" w:rsidRPr="0060732B" w:rsidRDefault="00BC7163" w:rsidP="00BC7163">
      <w:pPr>
        <w:pStyle w:val="NoSpacing"/>
        <w:spacing w:line="280" w:lineRule="exact"/>
        <w:ind w:firstLine="0"/>
        <w:jc w:val="both"/>
        <w:rPr>
          <w:rFonts w:ascii="Garamond" w:hAnsi="Garamond"/>
        </w:rPr>
      </w:pPr>
      <w:r w:rsidRPr="0060732B">
        <w:rPr>
          <w:rFonts w:ascii="Garamond" w:hAnsi="Garamond"/>
        </w:rPr>
        <w:t xml:space="preserve">La seconda differenza consiste nel fatto che questo Gruppo di coordinamento </w:t>
      </w:r>
      <w:r w:rsidR="009A3F4F" w:rsidRPr="0060732B">
        <w:rPr>
          <w:rFonts w:ascii="Garamond" w:hAnsi="Garamond"/>
        </w:rPr>
        <w:t xml:space="preserve">è </w:t>
      </w:r>
      <w:r w:rsidR="009A3F4F" w:rsidRPr="0060732B">
        <w:rPr>
          <w:rFonts w:ascii="Garamond" w:hAnsi="Garamond"/>
          <w:i/>
          <w:iCs/>
        </w:rPr>
        <w:t>privo di un proprio apparato burocratico</w:t>
      </w:r>
      <w:r w:rsidR="009A3F4F" w:rsidRPr="0060732B">
        <w:rPr>
          <w:rFonts w:ascii="Garamond" w:hAnsi="Garamond"/>
        </w:rPr>
        <w:t xml:space="preserve">, </w:t>
      </w:r>
      <w:r w:rsidRPr="0060732B">
        <w:rPr>
          <w:rFonts w:ascii="Garamond" w:hAnsi="Garamond"/>
          <w:i/>
          <w:iCs/>
        </w:rPr>
        <w:t>stabile e specializzat</w:t>
      </w:r>
      <w:r w:rsidR="009A3F4F" w:rsidRPr="0060732B">
        <w:rPr>
          <w:rFonts w:ascii="Garamond" w:hAnsi="Garamond"/>
          <w:i/>
          <w:iCs/>
        </w:rPr>
        <w:t>o</w:t>
      </w:r>
      <w:r w:rsidR="009A3F4F" w:rsidRPr="0060732B">
        <w:rPr>
          <w:rFonts w:ascii="Garamond" w:hAnsi="Garamond"/>
        </w:rPr>
        <w:t>, per l’appunto coordinando gli apporti forniti dai soggetti che ne fanno parte.</w:t>
      </w:r>
    </w:p>
    <w:p w14:paraId="18AD577A" w14:textId="52B2E4F6" w:rsidR="009A3F4F" w:rsidRPr="0060732B" w:rsidRDefault="00BC7163" w:rsidP="00BC7163">
      <w:pPr>
        <w:pStyle w:val="NoSpacing"/>
        <w:spacing w:line="280" w:lineRule="exact"/>
        <w:ind w:firstLine="0"/>
        <w:jc w:val="both"/>
        <w:rPr>
          <w:rFonts w:ascii="Garamond" w:hAnsi="Garamond"/>
        </w:rPr>
      </w:pPr>
      <w:r w:rsidRPr="0060732B">
        <w:rPr>
          <w:rFonts w:ascii="Garamond" w:hAnsi="Garamond"/>
        </w:rPr>
        <w:t xml:space="preserve">Non c'è dubbio </w:t>
      </w:r>
      <w:r w:rsidR="009A3F4F" w:rsidRPr="0060732B">
        <w:rPr>
          <w:rFonts w:ascii="Garamond" w:hAnsi="Garamond"/>
        </w:rPr>
        <w:t xml:space="preserve">tuttavia, </w:t>
      </w:r>
      <w:r w:rsidRPr="0060732B">
        <w:rPr>
          <w:rFonts w:ascii="Garamond" w:hAnsi="Garamond"/>
        </w:rPr>
        <w:t xml:space="preserve">soprattutto nel passaggio dal </w:t>
      </w:r>
      <w:r w:rsidR="00E14A04" w:rsidRPr="0060732B">
        <w:rPr>
          <w:rFonts w:ascii="Garamond" w:hAnsi="Garamond"/>
        </w:rPr>
        <w:t>d</w:t>
      </w:r>
      <w:r w:rsidR="009A3F4F" w:rsidRPr="0060732B">
        <w:rPr>
          <w:rFonts w:ascii="Garamond" w:hAnsi="Garamond" w:cs="RotisSansSerifStd-Regular"/>
        </w:rPr>
        <w:t xml:space="preserve">.l. 15 marzo 2012 n. 21, ai d.l. 16 ottobre 2017, n. 148, e 25 marzo 2019, n. 22, </w:t>
      </w:r>
      <w:r w:rsidR="00EC4849" w:rsidRPr="0060732B">
        <w:rPr>
          <w:rFonts w:ascii="Garamond" w:hAnsi="Garamond" w:cs="RotisSansSerifStd-Regular"/>
        </w:rPr>
        <w:t xml:space="preserve">e </w:t>
      </w:r>
      <w:r w:rsidRPr="0060732B">
        <w:rPr>
          <w:rFonts w:ascii="Garamond" w:hAnsi="Garamond"/>
        </w:rPr>
        <w:t xml:space="preserve">con l'ampliamento settoriale esteso alle reti, </w:t>
      </w:r>
      <w:r w:rsidR="00EC4849" w:rsidRPr="0060732B">
        <w:rPr>
          <w:rFonts w:ascii="Garamond" w:hAnsi="Garamond"/>
        </w:rPr>
        <w:t xml:space="preserve">che </w:t>
      </w:r>
      <w:r w:rsidRPr="0060732B">
        <w:rPr>
          <w:rFonts w:ascii="Garamond" w:hAnsi="Garamond"/>
        </w:rPr>
        <w:t xml:space="preserve">nella valutazione delle istanze sia necessaria una </w:t>
      </w:r>
      <w:r w:rsidRPr="0060732B">
        <w:rPr>
          <w:rFonts w:ascii="Garamond" w:hAnsi="Garamond"/>
          <w:i/>
          <w:iCs/>
        </w:rPr>
        <w:t>competenza tecnica elevatissima</w:t>
      </w:r>
      <w:r w:rsidRPr="0060732B">
        <w:rPr>
          <w:rFonts w:ascii="Garamond" w:hAnsi="Garamond"/>
        </w:rPr>
        <w:t xml:space="preserve"> che riguarda, per esempio, le reti, la connettività, la loro evoluzione e i conseguenti rischi anche per la sicurezza nazionale dovuti a certe operazioni; una competenza tecnica che arriva anche alla geo-economia e alla geo-politica, </w:t>
      </w:r>
      <w:r w:rsidR="009A3F4F" w:rsidRPr="0060732B">
        <w:rPr>
          <w:rFonts w:ascii="Garamond" w:hAnsi="Garamond"/>
        </w:rPr>
        <w:t>richiede</w:t>
      </w:r>
      <w:r w:rsidR="00E14A04" w:rsidRPr="0060732B">
        <w:rPr>
          <w:rFonts w:ascii="Garamond" w:hAnsi="Garamond"/>
        </w:rPr>
        <w:t>ndo</w:t>
      </w:r>
      <w:r w:rsidR="009A3F4F" w:rsidRPr="0060732B">
        <w:rPr>
          <w:rFonts w:ascii="Garamond" w:hAnsi="Garamond"/>
        </w:rPr>
        <w:t xml:space="preserve">, tanto più in considerazione degli interessi vitali presidiati, </w:t>
      </w:r>
      <w:r w:rsidRPr="0060732B">
        <w:rPr>
          <w:rFonts w:ascii="Garamond" w:hAnsi="Garamond"/>
        </w:rPr>
        <w:t>specializzazion</w:t>
      </w:r>
      <w:r w:rsidR="009A3F4F" w:rsidRPr="0060732B">
        <w:rPr>
          <w:rFonts w:ascii="Garamond" w:hAnsi="Garamond"/>
        </w:rPr>
        <w:t xml:space="preserve">i </w:t>
      </w:r>
      <w:r w:rsidRPr="0060732B">
        <w:rPr>
          <w:rFonts w:ascii="Garamond" w:hAnsi="Garamond"/>
        </w:rPr>
        <w:t xml:space="preserve"> elevatissim</w:t>
      </w:r>
      <w:r w:rsidR="009A3F4F" w:rsidRPr="0060732B">
        <w:rPr>
          <w:rFonts w:ascii="Garamond" w:hAnsi="Garamond"/>
        </w:rPr>
        <w:t>e</w:t>
      </w:r>
      <w:r w:rsidRPr="0060732B">
        <w:rPr>
          <w:rFonts w:ascii="Garamond" w:hAnsi="Garamond"/>
        </w:rPr>
        <w:t xml:space="preserve"> e variegat</w:t>
      </w:r>
      <w:r w:rsidR="009A3F4F" w:rsidRPr="0060732B">
        <w:rPr>
          <w:rFonts w:ascii="Garamond" w:hAnsi="Garamond"/>
        </w:rPr>
        <w:t>e.</w:t>
      </w:r>
    </w:p>
    <w:p w14:paraId="623197C9" w14:textId="77777777" w:rsidR="009A3F4F" w:rsidRPr="0060732B" w:rsidRDefault="009A3F4F" w:rsidP="00BC7163">
      <w:pPr>
        <w:pStyle w:val="NoSpacing"/>
        <w:spacing w:line="280" w:lineRule="exact"/>
        <w:ind w:firstLine="0"/>
        <w:jc w:val="both"/>
        <w:rPr>
          <w:rFonts w:ascii="Garamond" w:hAnsi="Garamond"/>
        </w:rPr>
      </w:pPr>
      <w:r w:rsidRPr="0060732B">
        <w:rPr>
          <w:rFonts w:ascii="Garamond" w:hAnsi="Garamond"/>
        </w:rPr>
        <w:t>E’ opportuno, allora, interrogarsi sulla adeguatezza di siffatta struttura rispetto ai compiti, via via crescenti, che la legge le ha riconosciuto.</w:t>
      </w:r>
    </w:p>
    <w:p w14:paraId="1D817C93" w14:textId="7A3699A8" w:rsidR="00456640" w:rsidRPr="0060732B" w:rsidRDefault="00456640" w:rsidP="00456640">
      <w:pPr>
        <w:spacing w:line="280" w:lineRule="exact"/>
        <w:jc w:val="both"/>
        <w:rPr>
          <w:rFonts w:ascii="Garamond" w:eastAsia="Times New Roman" w:hAnsi="Garamond" w:cs="Times New Roman"/>
          <w:b/>
          <w:i/>
          <w:iCs/>
        </w:rPr>
      </w:pPr>
      <w:r w:rsidRPr="0060732B">
        <w:rPr>
          <w:rFonts w:ascii="Garamond" w:eastAsia="Times New Roman" w:hAnsi="Garamond" w:cs="Times New Roman"/>
        </w:rPr>
        <w:t>Ad esclusione dell’</w:t>
      </w:r>
      <w:r w:rsidRPr="0060732B">
        <w:rPr>
          <w:rFonts w:ascii="Garamond" w:eastAsia="Times New Roman" w:hAnsi="Garamond" w:cs="Times New Roman"/>
          <w:i/>
          <w:iCs/>
        </w:rPr>
        <w:t>intelligence</w:t>
      </w:r>
      <w:r w:rsidRPr="0060732B">
        <w:rPr>
          <w:rFonts w:ascii="Garamond" w:eastAsia="Times New Roman" w:hAnsi="Garamond" w:cs="Times New Roman"/>
        </w:rPr>
        <w:t xml:space="preserve">, il Gruppo non pare dotato di una burocrazia stabile e specializzata in materia di </w:t>
      </w:r>
      <w:r w:rsidRPr="0060732B">
        <w:rPr>
          <w:rFonts w:ascii="Garamond" w:eastAsia="Times New Roman" w:hAnsi="Garamond" w:cs="Times New Roman"/>
          <w:i/>
          <w:iCs/>
        </w:rPr>
        <w:t xml:space="preserve">national security. </w:t>
      </w:r>
      <w:r w:rsidRPr="0060732B">
        <w:rPr>
          <w:rFonts w:ascii="Garamond" w:eastAsia="Times New Roman" w:hAnsi="Garamond" w:cs="Times New Roman"/>
        </w:rPr>
        <w:t>D’altra parte, attesa</w:t>
      </w:r>
      <w:r w:rsidRPr="0060732B">
        <w:rPr>
          <w:rFonts w:ascii="Garamond" w:eastAsia="Times New Roman" w:hAnsi="Garamond" w:cs="Times New Roman"/>
          <w:i/>
          <w:iCs/>
        </w:rPr>
        <w:t xml:space="preserve"> </w:t>
      </w:r>
      <w:r w:rsidRPr="0060732B">
        <w:rPr>
          <w:rStyle w:val="corsivo"/>
          <w:rFonts w:ascii="Garamond" w:hAnsi="Garamond"/>
          <w:i w:val="0"/>
          <w:iCs w:val="0"/>
        </w:rPr>
        <w:t>l’espansione del campo di applicazione della disciplina sui poteri speciali, è senz’altro importante che il sistema sia in grado di dare risposte chiare e certe agli attori</w:t>
      </w:r>
      <w:r w:rsidR="005C41AC" w:rsidRPr="0060732B">
        <w:rPr>
          <w:rStyle w:val="corsivo"/>
          <w:rFonts w:ascii="Garamond" w:hAnsi="Garamond"/>
          <w:i w:val="0"/>
          <w:iCs w:val="0"/>
        </w:rPr>
        <w:t>,</w:t>
      </w:r>
      <w:r w:rsidRPr="0060732B">
        <w:rPr>
          <w:rStyle w:val="corsivo"/>
          <w:rFonts w:ascii="Garamond" w:hAnsi="Garamond"/>
          <w:i w:val="0"/>
          <w:iCs w:val="0"/>
        </w:rPr>
        <w:t xml:space="preserve"> senza divenire un ostacolo agli investimenti. </w:t>
      </w:r>
    </w:p>
    <w:p w14:paraId="6E6D4E27" w14:textId="57100AF7" w:rsidR="009A3F4F" w:rsidRPr="0060732B" w:rsidRDefault="009A3F4F" w:rsidP="00BC7163">
      <w:pPr>
        <w:pStyle w:val="NoSpacing"/>
        <w:spacing w:line="280" w:lineRule="exact"/>
        <w:ind w:firstLine="0"/>
        <w:jc w:val="both"/>
        <w:rPr>
          <w:rFonts w:ascii="Garamond" w:hAnsi="Garamond"/>
        </w:rPr>
      </w:pPr>
    </w:p>
    <w:p w14:paraId="2AA66123" w14:textId="7A680D51" w:rsidR="00EC4849" w:rsidRPr="0060732B" w:rsidRDefault="00EC4849" w:rsidP="00BC7163">
      <w:pPr>
        <w:pStyle w:val="NoSpacing"/>
        <w:spacing w:line="280" w:lineRule="exact"/>
        <w:ind w:firstLine="0"/>
        <w:jc w:val="both"/>
        <w:rPr>
          <w:rFonts w:ascii="Garamond" w:hAnsi="Garamond"/>
          <w:b/>
          <w:bCs/>
        </w:rPr>
      </w:pPr>
      <w:r w:rsidRPr="0060732B">
        <w:rPr>
          <w:rFonts w:ascii="Garamond" w:hAnsi="Garamond"/>
          <w:b/>
          <w:bCs/>
        </w:rPr>
        <w:t>3.3.1. Natura dei poteri e sindacato giurisdizionale.</w:t>
      </w:r>
    </w:p>
    <w:p w14:paraId="288A492B" w14:textId="25E3AE67" w:rsidR="009A3F4F" w:rsidRPr="0060732B" w:rsidRDefault="009A3F4F" w:rsidP="00BC7163">
      <w:pPr>
        <w:pStyle w:val="NoSpacing"/>
        <w:spacing w:line="280" w:lineRule="exact"/>
        <w:ind w:firstLine="0"/>
        <w:jc w:val="both"/>
        <w:rPr>
          <w:rFonts w:ascii="Garamond" w:hAnsi="Garamond"/>
        </w:rPr>
      </w:pPr>
      <w:r w:rsidRPr="0060732B">
        <w:rPr>
          <w:rFonts w:ascii="Garamond" w:hAnsi="Garamond"/>
        </w:rPr>
        <w:t>Quanto alla natura dei poteri esercitati da</w:t>
      </w:r>
      <w:r w:rsidR="00BC7163" w:rsidRPr="0060732B">
        <w:rPr>
          <w:rFonts w:ascii="Garamond" w:hAnsi="Garamond"/>
        </w:rPr>
        <w:t>l Gruppo di coordinamento e</w:t>
      </w:r>
      <w:r w:rsidRPr="0060732B">
        <w:rPr>
          <w:rFonts w:ascii="Garamond" w:hAnsi="Garamond"/>
        </w:rPr>
        <w:t>, quindi, da</w:t>
      </w:r>
      <w:r w:rsidR="00BC7163" w:rsidRPr="0060732B">
        <w:rPr>
          <w:rFonts w:ascii="Garamond" w:hAnsi="Garamond"/>
        </w:rPr>
        <w:t>l Presidente del Consiglio dei Ministri nell’adozione dei suoi DPCM</w:t>
      </w:r>
      <w:r w:rsidRPr="0060732B">
        <w:rPr>
          <w:rFonts w:ascii="Garamond" w:hAnsi="Garamond"/>
        </w:rPr>
        <w:t xml:space="preserve">, non si tratta certo di </w:t>
      </w:r>
      <w:r w:rsidR="00BC7163" w:rsidRPr="0060732B">
        <w:rPr>
          <w:rFonts w:ascii="Garamond" w:hAnsi="Garamond"/>
        </w:rPr>
        <w:t xml:space="preserve">attività politica </w:t>
      </w:r>
      <w:r w:rsidRPr="0060732B">
        <w:rPr>
          <w:rFonts w:ascii="Garamond" w:hAnsi="Garamond"/>
        </w:rPr>
        <w:t>in senso tecnico, ossia di attiv</w:t>
      </w:r>
      <w:r w:rsidR="00BC7163" w:rsidRPr="0060732B">
        <w:rPr>
          <w:rFonts w:ascii="Garamond" w:hAnsi="Garamond"/>
        </w:rPr>
        <w:t>ità libera ne</w:t>
      </w:r>
      <w:r w:rsidR="00414938" w:rsidRPr="0060732B">
        <w:rPr>
          <w:rFonts w:ascii="Garamond" w:hAnsi="Garamond"/>
        </w:rPr>
        <w:t>lla scelta dei</w:t>
      </w:r>
      <w:r w:rsidR="00BC7163" w:rsidRPr="0060732B">
        <w:rPr>
          <w:rFonts w:ascii="Garamond" w:hAnsi="Garamond"/>
        </w:rPr>
        <w:t xml:space="preserve"> fini. </w:t>
      </w:r>
    </w:p>
    <w:p w14:paraId="6BCA4425" w14:textId="17A52906" w:rsidR="00901143" w:rsidRPr="0060732B" w:rsidRDefault="00414938" w:rsidP="00BC7163">
      <w:pPr>
        <w:pStyle w:val="NoSpacing"/>
        <w:spacing w:line="280" w:lineRule="exact"/>
        <w:ind w:firstLine="0"/>
        <w:jc w:val="both"/>
        <w:rPr>
          <w:rFonts w:ascii="Garamond" w:hAnsi="Garamond"/>
        </w:rPr>
      </w:pPr>
      <w:r w:rsidRPr="0060732B">
        <w:rPr>
          <w:rFonts w:ascii="Garamond" w:hAnsi="Garamond"/>
        </w:rPr>
        <w:t>L</w:t>
      </w:r>
      <w:r w:rsidR="00901143" w:rsidRPr="0060732B">
        <w:rPr>
          <w:rFonts w:ascii="Garamond" w:hAnsi="Garamond"/>
        </w:rPr>
        <w:t>a</w:t>
      </w:r>
      <w:r w:rsidR="00BC7163" w:rsidRPr="0060732B">
        <w:rPr>
          <w:rFonts w:ascii="Garamond" w:hAnsi="Garamond"/>
        </w:rPr>
        <w:t xml:space="preserve"> legge </w:t>
      </w:r>
      <w:r w:rsidR="00901143" w:rsidRPr="0060732B">
        <w:rPr>
          <w:rFonts w:ascii="Garamond" w:hAnsi="Garamond"/>
        </w:rPr>
        <w:t xml:space="preserve">indica, invero, i presupposti </w:t>
      </w:r>
      <w:r w:rsidR="00BC7163" w:rsidRPr="0060732B">
        <w:rPr>
          <w:rFonts w:ascii="Garamond" w:hAnsi="Garamond"/>
        </w:rPr>
        <w:t xml:space="preserve">di esercizio del potere; </w:t>
      </w:r>
      <w:r w:rsidR="00901143" w:rsidRPr="0060732B">
        <w:rPr>
          <w:rFonts w:ascii="Garamond" w:hAnsi="Garamond"/>
        </w:rPr>
        <w:t xml:space="preserve">si tratta, peraltro, come prima indicato, di </w:t>
      </w:r>
      <w:r w:rsidR="00BC7163" w:rsidRPr="0060732B">
        <w:rPr>
          <w:rFonts w:ascii="Garamond" w:hAnsi="Garamond"/>
        </w:rPr>
        <w:t xml:space="preserve">un'attività </w:t>
      </w:r>
      <w:r w:rsidR="00BC7163" w:rsidRPr="0060732B">
        <w:rPr>
          <w:rFonts w:ascii="Garamond" w:hAnsi="Garamond"/>
          <w:i/>
          <w:iCs/>
        </w:rPr>
        <w:t>amministrativa</w:t>
      </w:r>
      <w:r w:rsidR="00BC7163" w:rsidRPr="0060732B">
        <w:rPr>
          <w:rFonts w:ascii="Garamond" w:hAnsi="Garamond"/>
        </w:rPr>
        <w:t xml:space="preserve"> che </w:t>
      </w:r>
      <w:r w:rsidR="00901143" w:rsidRPr="0060732B">
        <w:rPr>
          <w:rFonts w:ascii="Garamond" w:hAnsi="Garamond"/>
        </w:rPr>
        <w:t>soggiace</w:t>
      </w:r>
      <w:r w:rsidR="00C23B22" w:rsidRPr="0060732B">
        <w:rPr>
          <w:rFonts w:ascii="Garamond" w:hAnsi="Garamond"/>
        </w:rPr>
        <w:t xml:space="preserve"> peraltro</w:t>
      </w:r>
      <w:r w:rsidR="00BC7163" w:rsidRPr="0060732B">
        <w:rPr>
          <w:rFonts w:ascii="Garamond" w:hAnsi="Garamond"/>
        </w:rPr>
        <w:t>, quale limite e condizione del suo esercizio</w:t>
      </w:r>
      <w:r w:rsidR="00901143" w:rsidRPr="0060732B">
        <w:rPr>
          <w:rFonts w:ascii="Garamond" w:hAnsi="Garamond"/>
        </w:rPr>
        <w:t>,</w:t>
      </w:r>
      <w:r w:rsidR="00BC7163" w:rsidRPr="0060732B">
        <w:rPr>
          <w:rFonts w:ascii="Garamond" w:hAnsi="Garamond"/>
        </w:rPr>
        <w:t xml:space="preserve"> </w:t>
      </w:r>
      <w:r w:rsidR="00901143" w:rsidRPr="0060732B">
        <w:rPr>
          <w:rFonts w:ascii="Garamond" w:hAnsi="Garamond"/>
        </w:rPr>
        <w:t>al</w:t>
      </w:r>
      <w:r w:rsidR="00BC7163" w:rsidRPr="0060732B">
        <w:rPr>
          <w:rFonts w:ascii="Garamond" w:hAnsi="Garamond"/>
        </w:rPr>
        <w:t xml:space="preserve"> principio di proporzionalità fissato dalla </w:t>
      </w:r>
      <w:r w:rsidR="00C23B22" w:rsidRPr="0060732B">
        <w:rPr>
          <w:rFonts w:ascii="Garamond" w:hAnsi="Garamond"/>
        </w:rPr>
        <w:t xml:space="preserve">richiamata </w:t>
      </w:r>
      <w:r w:rsidR="00BC7163" w:rsidRPr="0060732B">
        <w:rPr>
          <w:rFonts w:ascii="Garamond" w:hAnsi="Garamond"/>
        </w:rPr>
        <w:t xml:space="preserve">giurisprudenza della Corte di Giustizia. </w:t>
      </w:r>
    </w:p>
    <w:p w14:paraId="3EE33042" w14:textId="0D092A53" w:rsidR="00BC7163" w:rsidRPr="0060732B" w:rsidRDefault="00901143" w:rsidP="00BC7163">
      <w:pPr>
        <w:pStyle w:val="NoSpacing"/>
        <w:spacing w:line="280" w:lineRule="exact"/>
        <w:ind w:firstLine="0"/>
        <w:jc w:val="both"/>
        <w:rPr>
          <w:rFonts w:ascii="Garamond" w:hAnsi="Garamond"/>
        </w:rPr>
      </w:pPr>
      <w:r w:rsidRPr="0060732B">
        <w:rPr>
          <w:rFonts w:ascii="Garamond" w:hAnsi="Garamond"/>
        </w:rPr>
        <w:t xml:space="preserve">Si tratta, tuttavia, di </w:t>
      </w:r>
      <w:r w:rsidR="00BC7163" w:rsidRPr="0060732B">
        <w:rPr>
          <w:rFonts w:ascii="Garamond" w:hAnsi="Garamond"/>
        </w:rPr>
        <w:t xml:space="preserve">un'attività </w:t>
      </w:r>
      <w:r w:rsidR="0013230F" w:rsidRPr="0060732B">
        <w:rPr>
          <w:rFonts w:ascii="Garamond" w:hAnsi="Garamond"/>
        </w:rPr>
        <w:t xml:space="preserve">ad elevato tasso di discrezionalità, </w:t>
      </w:r>
      <w:r w:rsidRPr="0060732B">
        <w:rPr>
          <w:rFonts w:ascii="Garamond" w:hAnsi="Garamond"/>
        </w:rPr>
        <w:t xml:space="preserve">disciplinata da una regolamentazione che la assoggetta </w:t>
      </w:r>
      <w:r w:rsidR="00BC7163" w:rsidRPr="0060732B">
        <w:rPr>
          <w:rFonts w:ascii="Garamond" w:hAnsi="Garamond"/>
        </w:rPr>
        <w:t xml:space="preserve">a concetti </w:t>
      </w:r>
      <w:r w:rsidRPr="0060732B">
        <w:rPr>
          <w:rFonts w:ascii="Garamond" w:hAnsi="Garamond"/>
        </w:rPr>
        <w:t>(</w:t>
      </w:r>
      <w:r w:rsidRPr="0060732B">
        <w:rPr>
          <w:rFonts w:ascii="Garamond" w:hAnsi="Garamond" w:cs="RotisSansSerifStd-Regular"/>
          <w:i/>
        </w:rPr>
        <w:t>minaccia di grave pregiudizio per gli interessi essenziali</w:t>
      </w:r>
      <w:r w:rsidRPr="0060732B">
        <w:rPr>
          <w:rFonts w:ascii="Garamond" w:hAnsi="Garamond"/>
        </w:rPr>
        <w:t xml:space="preserve">) </w:t>
      </w:r>
      <w:r w:rsidR="00BC7163" w:rsidRPr="0060732B">
        <w:rPr>
          <w:rFonts w:ascii="Garamond" w:hAnsi="Garamond"/>
        </w:rPr>
        <w:t>ancor più indeterminati di quelli che governano altri settori (per esempio, il settore dell'</w:t>
      </w:r>
      <w:r w:rsidR="00BC7163" w:rsidRPr="0060732B">
        <w:rPr>
          <w:rFonts w:ascii="Garamond" w:hAnsi="Garamond"/>
          <w:i/>
          <w:iCs/>
        </w:rPr>
        <w:t>antitrust</w:t>
      </w:r>
      <w:r w:rsidR="00BC7163" w:rsidRPr="0060732B">
        <w:rPr>
          <w:rFonts w:ascii="Garamond" w:hAnsi="Garamond"/>
        </w:rPr>
        <w:t>)</w:t>
      </w:r>
      <w:r w:rsidRPr="0060732B">
        <w:rPr>
          <w:rFonts w:ascii="Garamond" w:hAnsi="Garamond"/>
        </w:rPr>
        <w:t xml:space="preserve">, da esercitare, quindi, </w:t>
      </w:r>
      <w:r w:rsidR="00BC7163" w:rsidRPr="0060732B">
        <w:rPr>
          <w:rFonts w:ascii="Garamond" w:hAnsi="Garamond"/>
        </w:rPr>
        <w:t>effettuando valutazioni che non sono il frutto di una discrezionalità solo tecnica, ma anche amministrativa nel senso classico del termine</w:t>
      </w:r>
      <w:r w:rsidRPr="0060732B">
        <w:rPr>
          <w:rFonts w:ascii="Garamond" w:hAnsi="Garamond"/>
        </w:rPr>
        <w:t>, coinvolgenti peraltro gl</w:t>
      </w:r>
      <w:r w:rsidR="00BC7163" w:rsidRPr="0060732B">
        <w:rPr>
          <w:rFonts w:ascii="Garamond" w:hAnsi="Garamond"/>
        </w:rPr>
        <w:t>i interessi preminenti dello Stato.</w:t>
      </w:r>
    </w:p>
    <w:p w14:paraId="4A206794" w14:textId="77777777" w:rsidR="00901143" w:rsidRPr="0060732B" w:rsidRDefault="00901143" w:rsidP="00BC7163">
      <w:pPr>
        <w:pStyle w:val="NoSpacing"/>
        <w:spacing w:line="280" w:lineRule="exact"/>
        <w:ind w:firstLine="0"/>
        <w:jc w:val="both"/>
        <w:rPr>
          <w:rFonts w:ascii="Garamond" w:hAnsi="Garamond"/>
        </w:rPr>
      </w:pPr>
      <w:r w:rsidRPr="0060732B">
        <w:rPr>
          <w:rFonts w:ascii="Garamond" w:hAnsi="Garamond"/>
        </w:rPr>
        <w:t>Il che si riflette sul tema degli spazi di effettiva sindacabilità delle decisioni.</w:t>
      </w:r>
    </w:p>
    <w:p w14:paraId="0B26B9E3" w14:textId="44F947C7" w:rsidR="00E2473C" w:rsidRPr="0060732B" w:rsidRDefault="00BC7163" w:rsidP="00456640">
      <w:pPr>
        <w:spacing w:line="280" w:lineRule="exact"/>
        <w:jc w:val="both"/>
        <w:rPr>
          <w:rFonts w:ascii="Garamond" w:hAnsi="Garamond" w:cs="RotisSansSerifStd-Regular"/>
        </w:rPr>
      </w:pPr>
      <w:r w:rsidRPr="0060732B">
        <w:rPr>
          <w:rFonts w:ascii="Garamond" w:hAnsi="Garamond"/>
        </w:rPr>
        <w:t xml:space="preserve">La </w:t>
      </w:r>
      <w:r w:rsidR="00901143" w:rsidRPr="0060732B">
        <w:rPr>
          <w:rFonts w:ascii="Garamond" w:hAnsi="Garamond"/>
        </w:rPr>
        <w:t xml:space="preserve">relativa </w:t>
      </w:r>
      <w:r w:rsidRPr="0060732B">
        <w:rPr>
          <w:rFonts w:ascii="Garamond" w:hAnsi="Garamond"/>
        </w:rPr>
        <w:t>rimediabilità è fuori discussione e in questo l’Italia è diversa dagli Stati Uniti, come divers</w:t>
      </w:r>
      <w:r w:rsidR="00901143" w:rsidRPr="0060732B">
        <w:rPr>
          <w:rFonts w:ascii="Garamond" w:hAnsi="Garamond"/>
        </w:rPr>
        <w:t xml:space="preserve">e sono </w:t>
      </w:r>
      <w:r w:rsidRPr="0060732B">
        <w:rPr>
          <w:rFonts w:ascii="Garamond" w:hAnsi="Garamond"/>
        </w:rPr>
        <w:t xml:space="preserve">la Francia </w:t>
      </w:r>
      <w:r w:rsidR="00901143" w:rsidRPr="0060732B">
        <w:rPr>
          <w:rFonts w:ascii="Garamond" w:hAnsi="Garamond"/>
        </w:rPr>
        <w:t>(</w:t>
      </w:r>
      <w:r w:rsidRPr="0060732B">
        <w:rPr>
          <w:rFonts w:ascii="Garamond" w:hAnsi="Garamond"/>
        </w:rPr>
        <w:t xml:space="preserve">in cui l'esercizio del </w:t>
      </w:r>
      <w:r w:rsidRPr="0060732B">
        <w:rPr>
          <w:rFonts w:ascii="Garamond" w:hAnsi="Garamond"/>
          <w:i/>
        </w:rPr>
        <w:t>Golden Power</w:t>
      </w:r>
      <w:r w:rsidRPr="0060732B">
        <w:rPr>
          <w:rFonts w:ascii="Garamond" w:hAnsi="Garamond"/>
        </w:rPr>
        <w:t xml:space="preserve"> è assoggettato alla giurisdizione del giudice amministrativo estesa al merito</w:t>
      </w:r>
      <w:r w:rsidR="00901143" w:rsidRPr="0060732B">
        <w:rPr>
          <w:rFonts w:ascii="Garamond" w:hAnsi="Garamond"/>
        </w:rPr>
        <w:t>) e la</w:t>
      </w:r>
      <w:r w:rsidRPr="0060732B">
        <w:rPr>
          <w:rFonts w:ascii="Garamond" w:hAnsi="Garamond"/>
        </w:rPr>
        <w:t xml:space="preserve"> Germania </w:t>
      </w:r>
      <w:r w:rsidR="00901143" w:rsidRPr="0060732B">
        <w:rPr>
          <w:rFonts w:ascii="Garamond" w:hAnsi="Garamond"/>
        </w:rPr>
        <w:t xml:space="preserve">(dove, parimenti, </w:t>
      </w:r>
      <w:r w:rsidRPr="0060732B">
        <w:rPr>
          <w:rFonts w:ascii="Garamond" w:hAnsi="Garamond"/>
        </w:rPr>
        <w:t xml:space="preserve">l’esercizio del </w:t>
      </w:r>
      <w:r w:rsidRPr="0060732B">
        <w:rPr>
          <w:rFonts w:ascii="Garamond" w:hAnsi="Garamond"/>
          <w:i/>
        </w:rPr>
        <w:t>Golden Power</w:t>
      </w:r>
      <w:r w:rsidRPr="0060732B">
        <w:rPr>
          <w:rFonts w:ascii="Garamond" w:hAnsi="Garamond"/>
        </w:rPr>
        <w:t xml:space="preserve"> è assoggettato alla giurisdizione del giudice amministrativo</w:t>
      </w:r>
      <w:r w:rsidR="00901143" w:rsidRPr="0060732B">
        <w:rPr>
          <w:rFonts w:ascii="Garamond" w:hAnsi="Garamond"/>
        </w:rPr>
        <w:t>)</w:t>
      </w:r>
      <w:r w:rsidR="00456640" w:rsidRPr="0060732B">
        <w:rPr>
          <w:rFonts w:ascii="Garamond" w:hAnsi="Garamond"/>
        </w:rPr>
        <w:t xml:space="preserve">: le </w:t>
      </w:r>
      <w:r w:rsidR="00456640" w:rsidRPr="0060732B">
        <w:rPr>
          <w:rFonts w:ascii="Garamond" w:hAnsi="Garamond" w:cs="RotisSansSerifStd-Regular"/>
        </w:rPr>
        <w:t>determinazioni del Consiglio dei Ministri sono</w:t>
      </w:r>
      <w:r w:rsidR="00456640" w:rsidRPr="0060732B">
        <w:rPr>
          <w:rFonts w:ascii="Garamond" w:hAnsi="Garamond"/>
        </w:rPr>
        <w:t xml:space="preserve">, quindi, senza alcun dubbio </w:t>
      </w:r>
      <w:r w:rsidR="00456640" w:rsidRPr="0060732B">
        <w:rPr>
          <w:rFonts w:ascii="Garamond" w:hAnsi="Garamond" w:cs="RotisSansSerifStd-Regular"/>
        </w:rPr>
        <w:t xml:space="preserve">contestabili  dinanzi alla giustizia amministrativa </w:t>
      </w:r>
      <w:r w:rsidR="00414938" w:rsidRPr="0060732B">
        <w:rPr>
          <w:rFonts w:ascii="Garamond" w:hAnsi="Garamond" w:cs="RotisSansSerifStd-Regular"/>
        </w:rPr>
        <w:t>anche</w:t>
      </w:r>
      <w:r w:rsidR="00456640" w:rsidRPr="0060732B">
        <w:rPr>
          <w:rFonts w:ascii="Garamond" w:hAnsi="Garamond" w:cs="RotisSansSerifStd-Regular"/>
        </w:rPr>
        <w:t xml:space="preserve"> per quel che attiene al rispetto dei canoni di proporzionalità ed obiettività </w:t>
      </w:r>
      <w:r w:rsidR="00E2473C" w:rsidRPr="0060732B">
        <w:rPr>
          <w:rFonts w:ascii="Garamond" w:hAnsi="Garamond" w:cs="RotisSansSerifStd-Regular"/>
        </w:rPr>
        <w:t xml:space="preserve">rispetto ai principi del </w:t>
      </w:r>
      <w:r w:rsidR="00414938" w:rsidRPr="0060732B">
        <w:rPr>
          <w:rFonts w:ascii="Garamond" w:hAnsi="Garamond" w:cs="RotisSansSerifStd-Regular"/>
        </w:rPr>
        <w:t>T</w:t>
      </w:r>
      <w:r w:rsidR="00E2473C" w:rsidRPr="0060732B">
        <w:rPr>
          <w:rFonts w:ascii="Garamond" w:hAnsi="Garamond" w:cs="RotisSansSerifStd-Regular"/>
        </w:rPr>
        <w:t>rattato</w:t>
      </w:r>
      <w:r w:rsidR="00414938" w:rsidRPr="0060732B">
        <w:rPr>
          <w:rFonts w:ascii="Garamond" w:hAnsi="Garamond" w:cs="RotisSansSerifStd-Regular"/>
        </w:rPr>
        <w:t xml:space="preserve"> europeo</w:t>
      </w:r>
      <w:r w:rsidR="00E2473C" w:rsidRPr="0060732B">
        <w:rPr>
          <w:rFonts w:ascii="Garamond" w:hAnsi="Garamond" w:cs="RotisSansSerifStd-Regular"/>
        </w:rPr>
        <w:t>, in specie laddove sancisce le due note libertà di circolazione dei capitali e di stabilimento.</w:t>
      </w:r>
    </w:p>
    <w:p w14:paraId="04FC3A92" w14:textId="7DAD74E4" w:rsidR="00901143" w:rsidRPr="0060732B" w:rsidRDefault="00BC7163" w:rsidP="00BC7163">
      <w:pPr>
        <w:pStyle w:val="NoSpacing"/>
        <w:spacing w:line="280" w:lineRule="exact"/>
        <w:ind w:firstLine="0"/>
        <w:jc w:val="both"/>
        <w:rPr>
          <w:rFonts w:ascii="Garamond" w:hAnsi="Garamond"/>
        </w:rPr>
      </w:pPr>
      <w:r w:rsidRPr="0060732B">
        <w:rPr>
          <w:rFonts w:ascii="Garamond" w:hAnsi="Garamond"/>
        </w:rPr>
        <w:t>Si tratta</w:t>
      </w:r>
      <w:r w:rsidR="00901143" w:rsidRPr="0060732B">
        <w:rPr>
          <w:rFonts w:ascii="Garamond" w:hAnsi="Garamond"/>
        </w:rPr>
        <w:t>, piuttosto,</w:t>
      </w:r>
      <w:r w:rsidRPr="0060732B">
        <w:rPr>
          <w:rFonts w:ascii="Garamond" w:hAnsi="Garamond"/>
        </w:rPr>
        <w:t xml:space="preserve"> di verificare quale intensità il giudice amministrativo dovrà assicurare al suo sindacato. </w:t>
      </w:r>
    </w:p>
    <w:p w14:paraId="6799C4FF" w14:textId="4731487F" w:rsidR="0013230F" w:rsidRPr="0060732B" w:rsidRDefault="00EC4849" w:rsidP="00EC4849">
      <w:pPr>
        <w:widowControl w:val="0"/>
        <w:jc w:val="both"/>
        <w:rPr>
          <w:rFonts w:ascii="Garamond" w:hAnsi="Garamond"/>
        </w:rPr>
      </w:pPr>
      <w:r w:rsidRPr="0060732B">
        <w:rPr>
          <w:rFonts w:ascii="Garamond" w:hAnsi="Garamond"/>
        </w:rPr>
        <w:t>C</w:t>
      </w:r>
      <w:r w:rsidR="0013230F" w:rsidRPr="0060732B">
        <w:rPr>
          <w:rFonts w:ascii="Garamond" w:hAnsi="Garamond"/>
        </w:rPr>
        <w:t>ome osservato</w:t>
      </w:r>
      <w:r w:rsidRPr="0060732B">
        <w:rPr>
          <w:rFonts w:ascii="Garamond" w:hAnsi="Garamond"/>
        </w:rPr>
        <w:t xml:space="preserve">, vengono in considerazione </w:t>
      </w:r>
      <w:r w:rsidR="0013230F" w:rsidRPr="0060732B">
        <w:rPr>
          <w:rFonts w:ascii="Garamond" w:hAnsi="Garamond"/>
        </w:rPr>
        <w:t xml:space="preserve">provvedimenti </w:t>
      </w:r>
      <w:r w:rsidR="00414938" w:rsidRPr="0060732B">
        <w:rPr>
          <w:rFonts w:ascii="Garamond" w:hAnsi="Garamond"/>
        </w:rPr>
        <w:t>connotati da un elevato tasso di discrezionalità</w:t>
      </w:r>
      <w:r w:rsidR="00B06652">
        <w:rPr>
          <w:rFonts w:ascii="Garamond" w:hAnsi="Garamond"/>
        </w:rPr>
        <w:t>, tecnica e amministrativa</w:t>
      </w:r>
      <w:r w:rsidR="0013230F" w:rsidRPr="0060732B">
        <w:rPr>
          <w:rFonts w:ascii="Garamond" w:hAnsi="Garamond"/>
        </w:rPr>
        <w:t>; il che se certo non vale a sottrarli al sindacato giurisdizionale, comporta tuttavia che lo stess</w:t>
      </w:r>
      <w:r w:rsidRPr="0060732B">
        <w:rPr>
          <w:rFonts w:ascii="Garamond" w:hAnsi="Garamond"/>
        </w:rPr>
        <w:t>o</w:t>
      </w:r>
      <w:r w:rsidR="0013230F" w:rsidRPr="0060732B">
        <w:rPr>
          <w:rFonts w:ascii="Garamond" w:hAnsi="Garamond"/>
        </w:rPr>
        <w:t xml:space="preserve"> </w:t>
      </w:r>
      <w:r w:rsidR="00B06652">
        <w:rPr>
          <w:rFonts w:ascii="Garamond" w:hAnsi="Garamond"/>
        </w:rPr>
        <w:t>-ferme le acquisizioni giurisprudenziali sull’incisività del controllo giurisdizionale della discrezionalità tecnica</w:t>
      </w:r>
      <w:r w:rsidR="006960D6">
        <w:rPr>
          <w:rStyle w:val="FootnoteReference"/>
          <w:rFonts w:ascii="Garamond" w:hAnsi="Garamond"/>
        </w:rPr>
        <w:footnoteReference w:id="10"/>
      </w:r>
      <w:r w:rsidR="00B06652">
        <w:rPr>
          <w:rFonts w:ascii="Garamond" w:hAnsi="Garamond"/>
        </w:rPr>
        <w:t xml:space="preserve">-  </w:t>
      </w:r>
      <w:r w:rsidR="0013230F" w:rsidRPr="0060732B">
        <w:rPr>
          <w:rFonts w:ascii="Garamond" w:hAnsi="Garamond"/>
        </w:rPr>
        <w:t>deve essere finalizzato</w:t>
      </w:r>
      <w:r w:rsidR="00B06652">
        <w:rPr>
          <w:rFonts w:ascii="Garamond" w:hAnsi="Garamond"/>
        </w:rPr>
        <w:t xml:space="preserve">, quanto alla componente amministrativa pura della discrezionalità esercitata, </w:t>
      </w:r>
      <w:r w:rsidR="0013230F" w:rsidRPr="0060732B">
        <w:rPr>
          <w:rFonts w:ascii="Garamond" w:hAnsi="Garamond"/>
        </w:rPr>
        <w:t xml:space="preserve">alla verifica delle compatibilità della scelta adottata </w:t>
      </w:r>
      <w:r w:rsidR="0013230F" w:rsidRPr="0060732B">
        <w:rPr>
          <w:rFonts w:ascii="Garamond" w:hAnsi="Garamond"/>
          <w:iCs/>
        </w:rPr>
        <w:t>con il corretto esercizio del potere discrezionale in riferimento ai canoni della legittimità procedimentale, oltre che della ragionevolezza, coerenza ed adeguatezza</w:t>
      </w:r>
      <w:r w:rsidRPr="0060732B">
        <w:rPr>
          <w:rFonts w:ascii="Garamond" w:hAnsi="Garamond"/>
          <w:iCs/>
        </w:rPr>
        <w:t xml:space="preserve">, come noto </w:t>
      </w:r>
      <w:r w:rsidR="0013230F" w:rsidRPr="0060732B">
        <w:rPr>
          <w:rFonts w:ascii="Garamond" w:hAnsi="Garamond"/>
          <w:iCs/>
        </w:rPr>
        <w:t>alla base di qualsiasi attività amministrativa.</w:t>
      </w:r>
    </w:p>
    <w:p w14:paraId="1D704562" w14:textId="77777777" w:rsidR="0013230F" w:rsidRPr="0060732B" w:rsidRDefault="0013230F" w:rsidP="00EC4849">
      <w:pPr>
        <w:widowControl w:val="0"/>
        <w:jc w:val="both"/>
        <w:rPr>
          <w:rFonts w:ascii="Garamond" w:hAnsi="Garamond"/>
        </w:rPr>
      </w:pPr>
      <w:r w:rsidRPr="0060732B">
        <w:rPr>
          <w:rFonts w:ascii="Garamond" w:hAnsi="Garamond"/>
        </w:rPr>
        <w:t>E’ quanto sostenuto anche di recente in giurisprudenza con riguardo ai limiti di giustiziabilità di quegli atti che, connotati da elevatissima discrezionalità, sono detti di alta amministrazione, per contrapporli agli atti politici.</w:t>
      </w:r>
    </w:p>
    <w:p w14:paraId="2F1DF895" w14:textId="4D471404" w:rsidR="0013230F" w:rsidRPr="0060732B" w:rsidRDefault="0013230F" w:rsidP="00EC4849">
      <w:pPr>
        <w:widowControl w:val="0"/>
        <w:jc w:val="both"/>
        <w:rPr>
          <w:rFonts w:ascii="Garamond" w:hAnsi="Garamond"/>
        </w:rPr>
      </w:pPr>
      <w:r w:rsidRPr="0060732B">
        <w:rPr>
          <w:rFonts w:ascii="Garamond" w:hAnsi="Garamond"/>
        </w:rPr>
        <w:t xml:space="preserve">E’ stato sostenuto che </w:t>
      </w:r>
      <w:r w:rsidRPr="0060732B">
        <w:rPr>
          <w:rFonts w:ascii="Garamond" w:hAnsi="Garamond"/>
          <w:iCs/>
        </w:rPr>
        <w:t>gli stessi  mantengono la caratteristica tipica degli atti amministrativi, e cioè la finalità di cura di interessi pubblici nel caso concreto; infatti, per quanto ampia possa presentarsi negli atti in esame la discrezionalità amministrativa, quest'ultima rimane sempre vincolata dal necessario perseguimento delle finalità pubbliche e dal fondamento sostanziale del potere amministrativo, consistente nell'impossibilità di utilizzare lo stesso per fini diversi da quelli che ne giustificano l'attribuzione</w:t>
      </w:r>
      <w:r w:rsidRPr="0060732B">
        <w:rPr>
          <w:rStyle w:val="FootnoteReference"/>
          <w:rFonts w:ascii="Garamond" w:hAnsi="Garamond"/>
          <w:iCs/>
        </w:rPr>
        <w:footnoteReference w:id="11"/>
      </w:r>
      <w:r w:rsidRPr="0060732B">
        <w:rPr>
          <w:rFonts w:ascii="Garamond" w:hAnsi="Garamond"/>
        </w:rPr>
        <w:t>.</w:t>
      </w:r>
    </w:p>
    <w:p w14:paraId="026A4345" w14:textId="438BDC93" w:rsidR="002542FF" w:rsidRPr="0060732B" w:rsidRDefault="002542FF" w:rsidP="00EC4849">
      <w:pPr>
        <w:pStyle w:val="NoSpacing"/>
        <w:spacing w:line="280" w:lineRule="exact"/>
        <w:ind w:firstLine="0"/>
        <w:jc w:val="both"/>
        <w:rPr>
          <w:rFonts w:ascii="Garamond" w:hAnsi="Garamond"/>
        </w:rPr>
      </w:pPr>
    </w:p>
    <w:p w14:paraId="37FC774B" w14:textId="77777777" w:rsidR="00BC7163" w:rsidRPr="0060732B" w:rsidRDefault="00BC7163" w:rsidP="00EC00F8">
      <w:pPr>
        <w:autoSpaceDE w:val="0"/>
        <w:autoSpaceDN w:val="0"/>
        <w:adjustRightInd w:val="0"/>
        <w:jc w:val="both"/>
        <w:rPr>
          <w:rFonts w:ascii="Garamond" w:hAnsi="Garamond" w:cs="RotisSansSerifStd-Regular"/>
        </w:rPr>
      </w:pPr>
    </w:p>
    <w:p w14:paraId="12886603" w14:textId="77777777" w:rsidR="00EC00F8" w:rsidRPr="0060732B" w:rsidRDefault="00EC00F8" w:rsidP="00EC00F8">
      <w:pPr>
        <w:spacing w:line="280" w:lineRule="exact"/>
        <w:jc w:val="both"/>
        <w:rPr>
          <w:rFonts w:ascii="Garamond" w:eastAsia="Times New Roman" w:hAnsi="Garamond" w:cs="Times New Roman"/>
        </w:rPr>
      </w:pPr>
    </w:p>
    <w:p w14:paraId="47AE38FA" w14:textId="5811D35F" w:rsidR="00B311BA" w:rsidRPr="0060732B" w:rsidRDefault="00B311BA" w:rsidP="00B311BA">
      <w:pPr>
        <w:pStyle w:val="NoSpacing"/>
        <w:spacing w:line="280" w:lineRule="exact"/>
        <w:ind w:firstLine="0"/>
        <w:jc w:val="right"/>
        <w:rPr>
          <w:rFonts w:ascii="Garamond" w:hAnsi="Garamond"/>
          <w:b/>
          <w:bCs/>
        </w:rPr>
      </w:pPr>
      <w:r w:rsidRPr="0060732B">
        <w:rPr>
          <w:rFonts w:ascii="Garamond" w:hAnsi="Garamond"/>
          <w:b/>
          <w:bCs/>
        </w:rPr>
        <w:t>Roberto Garofoli</w:t>
      </w:r>
    </w:p>
    <w:p w14:paraId="44FA9E95" w14:textId="7D90F81A" w:rsidR="00876C8D" w:rsidRDefault="00B311BA" w:rsidP="00B311BA">
      <w:pPr>
        <w:pStyle w:val="NoSpacing"/>
        <w:spacing w:line="280" w:lineRule="exact"/>
        <w:ind w:firstLine="0"/>
        <w:jc w:val="right"/>
        <w:rPr>
          <w:rFonts w:ascii="Garamond" w:hAnsi="Garamond"/>
        </w:rPr>
      </w:pPr>
      <w:r>
        <w:rPr>
          <w:rFonts w:ascii="Garamond" w:hAnsi="Garamond"/>
        </w:rPr>
        <w:t>Presidente di Sezione del Consiglio di Stato</w:t>
      </w:r>
    </w:p>
    <w:p w14:paraId="01CCA60A" w14:textId="77777777" w:rsidR="00B311BA" w:rsidRDefault="00B311BA" w:rsidP="00B311BA">
      <w:pPr>
        <w:pStyle w:val="NoSpacing"/>
        <w:spacing w:line="280" w:lineRule="exact"/>
        <w:ind w:firstLine="0"/>
        <w:jc w:val="right"/>
        <w:rPr>
          <w:rFonts w:ascii="Garamond" w:hAnsi="Garamond"/>
        </w:rPr>
      </w:pPr>
    </w:p>
    <w:p w14:paraId="67804464" w14:textId="59D90CF1" w:rsidR="00B311BA" w:rsidRPr="0060732B" w:rsidRDefault="00B311BA" w:rsidP="00B311BA">
      <w:pPr>
        <w:pStyle w:val="NoSpacing"/>
        <w:spacing w:line="280" w:lineRule="exact"/>
        <w:ind w:firstLine="0"/>
        <w:jc w:val="right"/>
        <w:rPr>
          <w:rFonts w:ascii="Garamond" w:hAnsi="Garamond"/>
        </w:rPr>
      </w:pPr>
      <w:r>
        <w:rPr>
          <w:rFonts w:ascii="Garamond" w:hAnsi="Garamond"/>
        </w:rPr>
        <w:t>Pubblicato il 20 settembre 2019</w:t>
      </w:r>
    </w:p>
    <w:sectPr w:rsidR="00B311BA" w:rsidRPr="0060732B">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DDCFE" w14:textId="77777777" w:rsidR="0036037C" w:rsidRDefault="0036037C" w:rsidP="00392A1D">
      <w:r>
        <w:separator/>
      </w:r>
    </w:p>
  </w:endnote>
  <w:endnote w:type="continuationSeparator" w:id="0">
    <w:p w14:paraId="2C3EDAB4" w14:textId="77777777" w:rsidR="0036037C" w:rsidRDefault="0036037C" w:rsidP="0039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tisSansSerifStd-Regular">
    <w:panose1 w:val="00000000000000000000"/>
    <w:charset w:val="00"/>
    <w:family w:val="swiss"/>
    <w:notTrueType/>
    <w:pitch w:val="default"/>
    <w:sig w:usb0="00000003" w:usb1="00000000" w:usb2="00000000" w:usb3="00000000" w:csb0="00000001" w:csb1="00000000"/>
  </w:font>
  <w:font w:name="RotisSansSerifStd-Light">
    <w:altName w:val="Times New Roman"/>
    <w:panose1 w:val="00000000000000000000"/>
    <w:charset w:val="00"/>
    <w:family w:val="swiss"/>
    <w:notTrueType/>
    <w:pitch w:val="default"/>
    <w:sig w:usb0="00000003" w:usb1="00000000" w:usb2="00000000" w:usb3="00000000" w:csb0="00000001" w:csb1="00000000"/>
  </w:font>
  <w:font w:name="RotisSansSerifStd-LightItalic">
    <w:altName w:val="Times New Roman"/>
    <w:panose1 w:val="00000000000000000000"/>
    <w:charset w:val="00"/>
    <w:family w:val="swiss"/>
    <w:notTrueType/>
    <w:pitch w:val="default"/>
    <w:sig w:usb0="00000003" w:usb1="00000000" w:usb2="00000000" w:usb3="00000000" w:csb0="00000001" w:csb1="00000000"/>
  </w:font>
  <w:font w:name="RotisSansSerifStd-Bold">
    <w:panose1 w:val="00000000000000000000"/>
    <w:charset w:val="00"/>
    <w:family w:val="swiss"/>
    <w:notTrueType/>
    <w:pitch w:val="default"/>
    <w:sig w:usb0="00000003" w:usb1="00000000" w:usb2="00000000" w:usb3="00000000" w:csb0="00000001" w:csb1="00000000"/>
  </w:font>
  <w:font w:name="RotisSansSerifStd-Italic">
    <w:panose1 w:val="00000000000000000000"/>
    <w:charset w:val="00"/>
    <w:family w:val="swiss"/>
    <w:notTrueType/>
    <w:pitch w:val="default"/>
    <w:sig w:usb0="00000003" w:usb1="00000000" w:usb2="00000000" w:usb3="00000000" w:csb0="00000001" w:csb1="00000000"/>
  </w:font>
  <w:font w:name="TimesNewRomanPSM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03D04" w14:textId="77777777" w:rsidR="0036037C" w:rsidRDefault="0036037C" w:rsidP="00392A1D">
      <w:r>
        <w:separator/>
      </w:r>
    </w:p>
  </w:footnote>
  <w:footnote w:type="continuationSeparator" w:id="0">
    <w:p w14:paraId="68E927B8" w14:textId="77777777" w:rsidR="0036037C" w:rsidRDefault="0036037C" w:rsidP="00392A1D">
      <w:r>
        <w:continuationSeparator/>
      </w:r>
    </w:p>
  </w:footnote>
  <w:footnote w:id="1">
    <w:p w14:paraId="42CA692C" w14:textId="77777777" w:rsidR="00B311BA" w:rsidRDefault="00DA0987" w:rsidP="00317650">
      <w:pPr>
        <w:pStyle w:val="NoSpacing"/>
        <w:spacing w:line="280" w:lineRule="exact"/>
        <w:ind w:firstLine="0"/>
        <w:jc w:val="both"/>
        <w:rPr>
          <w:rFonts w:ascii="Garamond" w:hAnsi="Garamond"/>
          <w:sz w:val="20"/>
          <w:szCs w:val="20"/>
        </w:rPr>
      </w:pPr>
      <w:r w:rsidRPr="00D27E46">
        <w:rPr>
          <w:rFonts w:ascii="Garamond" w:hAnsi="Garamond"/>
          <w:sz w:val="20"/>
          <w:szCs w:val="20"/>
        </w:rPr>
        <w:t xml:space="preserve">* </w:t>
      </w:r>
      <w:r w:rsidR="00B311BA">
        <w:rPr>
          <w:rFonts w:ascii="Garamond" w:hAnsi="Garamond"/>
          <w:sz w:val="20"/>
          <w:szCs w:val="20"/>
        </w:rPr>
        <w:t xml:space="preserve">Già pubblicato </w:t>
      </w:r>
      <w:r w:rsidR="00B311BA" w:rsidRPr="00B311BA">
        <w:rPr>
          <w:rFonts w:ascii="Garamond" w:hAnsi="Garamond"/>
          <w:sz w:val="20"/>
          <w:szCs w:val="20"/>
        </w:rPr>
        <w:t>su</w:t>
      </w:r>
      <w:r w:rsidR="00B311BA" w:rsidRPr="00B311BA">
        <w:rPr>
          <w:rFonts w:ascii="Garamond" w:hAnsi="Garamond"/>
          <w:i/>
          <w:sz w:val="20"/>
          <w:szCs w:val="20"/>
        </w:rPr>
        <w:t xml:space="preserve"> www.federalismi.it</w:t>
      </w:r>
      <w:r w:rsidR="00B311BA" w:rsidRPr="00B311BA">
        <w:rPr>
          <w:rFonts w:ascii="Garamond" w:hAnsi="Garamond"/>
          <w:sz w:val="20"/>
          <w:szCs w:val="20"/>
        </w:rPr>
        <w:t xml:space="preserve"> </w:t>
      </w:r>
      <w:r w:rsidR="00B311BA">
        <w:rPr>
          <w:rFonts w:ascii="Garamond" w:hAnsi="Garamond"/>
          <w:sz w:val="20"/>
          <w:szCs w:val="20"/>
        </w:rPr>
        <w:t xml:space="preserve"> </w:t>
      </w:r>
      <w:r w:rsidR="00B311BA" w:rsidRPr="00B311BA">
        <w:rPr>
          <w:rFonts w:ascii="Garamond" w:hAnsi="Garamond"/>
          <w:sz w:val="20"/>
          <w:szCs w:val="20"/>
        </w:rPr>
        <w:t>il 18 settembre 2019</w:t>
      </w:r>
      <w:r w:rsidR="00B311BA">
        <w:rPr>
          <w:rFonts w:ascii="Garamond" w:hAnsi="Garamond"/>
          <w:sz w:val="20"/>
          <w:szCs w:val="20"/>
        </w:rPr>
        <w:t>.</w:t>
      </w:r>
    </w:p>
    <w:p w14:paraId="64426F14" w14:textId="6A31A4D5" w:rsidR="00DA0987" w:rsidRPr="00D27E46" w:rsidRDefault="00DA0987" w:rsidP="00317650">
      <w:pPr>
        <w:pStyle w:val="NoSpacing"/>
        <w:spacing w:line="280" w:lineRule="exact"/>
        <w:ind w:firstLine="0"/>
        <w:jc w:val="both"/>
        <w:rPr>
          <w:rFonts w:ascii="Garamond" w:hAnsi="Garamond"/>
          <w:sz w:val="20"/>
          <w:szCs w:val="20"/>
        </w:rPr>
      </w:pPr>
      <w:r w:rsidRPr="00D27E46">
        <w:rPr>
          <w:rFonts w:ascii="Garamond" w:hAnsi="Garamond"/>
          <w:sz w:val="20"/>
          <w:szCs w:val="20"/>
        </w:rPr>
        <w:t xml:space="preserve">Il testo riproduce, con integrazioni, la </w:t>
      </w:r>
      <w:r w:rsidRPr="00D27E46">
        <w:rPr>
          <w:rFonts w:ascii="Garamond" w:hAnsi="Garamond"/>
          <w:i/>
          <w:iCs/>
          <w:sz w:val="20"/>
          <w:szCs w:val="20"/>
        </w:rPr>
        <w:t>Relazione</w:t>
      </w:r>
      <w:r w:rsidRPr="00D27E46">
        <w:rPr>
          <w:rFonts w:ascii="Garamond" w:hAnsi="Garamond"/>
          <w:sz w:val="20"/>
          <w:szCs w:val="20"/>
        </w:rPr>
        <w:t xml:space="preserve"> tenuta al Convegno </w:t>
      </w:r>
      <w:r w:rsidRPr="00D27E46">
        <w:rPr>
          <w:rFonts w:ascii="Garamond" w:hAnsi="Garamond"/>
          <w:i/>
          <w:iCs/>
          <w:sz w:val="20"/>
          <w:szCs w:val="20"/>
        </w:rPr>
        <w:t>Foreign direct investment screening</w:t>
      </w:r>
      <w:r w:rsidRPr="00D27E46">
        <w:rPr>
          <w:rFonts w:ascii="Garamond" w:hAnsi="Garamond"/>
          <w:sz w:val="20"/>
          <w:szCs w:val="20"/>
        </w:rPr>
        <w:t>, Università Rome Tre, 10 maggio 2019</w:t>
      </w:r>
      <w:r w:rsidR="00D31A87" w:rsidRPr="00D27E46">
        <w:rPr>
          <w:rFonts w:ascii="Garamond" w:hAnsi="Garamond"/>
          <w:sz w:val="20"/>
          <w:szCs w:val="20"/>
        </w:rPr>
        <w:t xml:space="preserve">. In corso di pubblicazione in </w:t>
      </w:r>
      <w:r w:rsidR="00D31A87" w:rsidRPr="00D27E46">
        <w:rPr>
          <w:rFonts w:ascii="Garamond" w:hAnsi="Garamond"/>
          <w:i/>
          <w:iCs/>
          <w:sz w:val="20"/>
          <w:szCs w:val="20"/>
        </w:rPr>
        <w:t xml:space="preserve">Foreign Direct Investment Screening. Il controllo sugli investimenti esteri diretti, </w:t>
      </w:r>
      <w:r w:rsidR="00D31A87" w:rsidRPr="00D27E46">
        <w:rPr>
          <w:rFonts w:ascii="Garamond" w:hAnsi="Garamond"/>
          <w:sz w:val="20"/>
          <w:szCs w:val="20"/>
        </w:rPr>
        <w:t xml:space="preserve">a cura di G. NAPOLITANO, il Mulino, 2019. </w:t>
      </w:r>
    </w:p>
    <w:p w14:paraId="0320CA79" w14:textId="06E397C7" w:rsidR="00DA0987" w:rsidRPr="00D27E46" w:rsidRDefault="00DA0987">
      <w:pPr>
        <w:pStyle w:val="FootnoteText"/>
        <w:rPr>
          <w:rFonts w:ascii="Garamond" w:hAnsi="Garamond"/>
        </w:rPr>
      </w:pPr>
    </w:p>
    <w:p w14:paraId="61FD301F" w14:textId="1C043FD4" w:rsidR="009A3F4F" w:rsidRPr="00D27E46" w:rsidRDefault="009A3F4F">
      <w:pPr>
        <w:pStyle w:val="FootnoteText"/>
        <w:rPr>
          <w:rFonts w:ascii="Garamond" w:hAnsi="Garamond"/>
        </w:rPr>
      </w:pPr>
      <w:r w:rsidRPr="00D27E46">
        <w:rPr>
          <w:rStyle w:val="FootnoteReference"/>
          <w:rFonts w:ascii="Garamond" w:hAnsi="Garamond"/>
        </w:rPr>
        <w:footnoteRef/>
      </w:r>
      <w:r w:rsidRPr="00D27E46">
        <w:rPr>
          <w:rFonts w:ascii="Garamond" w:hAnsi="Garamond"/>
        </w:rPr>
        <w:t xml:space="preserve"> A. ARESU, L. GORI, </w:t>
      </w:r>
      <w:r w:rsidRPr="00D27E46">
        <w:rPr>
          <w:rFonts w:ascii="Garamond" w:hAnsi="Garamond"/>
          <w:i/>
          <w:iCs/>
        </w:rPr>
        <w:t>L’interesse nazionale: la bussola dell’Italia</w:t>
      </w:r>
      <w:r w:rsidRPr="00D27E46">
        <w:rPr>
          <w:rFonts w:ascii="Garamond" w:hAnsi="Garamond"/>
        </w:rPr>
        <w:t xml:space="preserve">, Bologna, 2018, </w:t>
      </w:r>
    </w:p>
  </w:footnote>
  <w:footnote w:id="2">
    <w:p w14:paraId="7C82DA2F" w14:textId="77777777" w:rsidR="009A3F4F" w:rsidRPr="00D27E46" w:rsidRDefault="009A3F4F" w:rsidP="00876C8D">
      <w:pPr>
        <w:autoSpaceDE w:val="0"/>
        <w:autoSpaceDN w:val="0"/>
        <w:adjustRightInd w:val="0"/>
        <w:jc w:val="both"/>
        <w:rPr>
          <w:rFonts w:ascii="Garamond" w:hAnsi="Garamond"/>
          <w:sz w:val="20"/>
          <w:szCs w:val="20"/>
        </w:rPr>
      </w:pPr>
      <w:r w:rsidRPr="00D27E46">
        <w:rPr>
          <w:rStyle w:val="FootnoteReference"/>
          <w:rFonts w:ascii="Garamond" w:hAnsi="Garamond"/>
          <w:sz w:val="20"/>
          <w:szCs w:val="20"/>
        </w:rPr>
        <w:footnoteRef/>
      </w:r>
      <w:r w:rsidRPr="00D27E46">
        <w:rPr>
          <w:rFonts w:ascii="Garamond" w:hAnsi="Garamond"/>
          <w:sz w:val="20"/>
          <w:szCs w:val="20"/>
        </w:rPr>
        <w:t xml:space="preserve"> </w:t>
      </w:r>
      <w:r w:rsidRPr="00D27E46">
        <w:rPr>
          <w:rFonts w:ascii="Garamond" w:hAnsi="Garamond" w:cs="RotisSansSerifStd-Light"/>
          <w:sz w:val="20"/>
          <w:szCs w:val="20"/>
        </w:rPr>
        <w:t>Si tratta dei poteri di: a) gradimento all’assunzione di partecipazioni rilevanti (superiori alla ventesima parte del capitale sociale) con divieto di esercizio del voto in attesa del gradimento; b) gradimento alla costituzione di patti parasociali in cui venga rappresentata almeno la ventesima parte del capitale sociale, c) veto all’adozione di delibera di scioglimento della società, di trasferimento dell’azienda, di fusione, di scissione, di trasferimento della sede sociale all’estero, ecc.</w:t>
      </w:r>
    </w:p>
  </w:footnote>
  <w:footnote w:id="3">
    <w:p w14:paraId="42F93256" w14:textId="77777777" w:rsidR="009A3F4F" w:rsidRPr="00D27E46" w:rsidRDefault="009A3F4F" w:rsidP="00876C8D">
      <w:pPr>
        <w:autoSpaceDE w:val="0"/>
        <w:autoSpaceDN w:val="0"/>
        <w:adjustRightInd w:val="0"/>
        <w:jc w:val="both"/>
        <w:rPr>
          <w:rFonts w:ascii="Garamond" w:hAnsi="Garamond"/>
          <w:sz w:val="20"/>
          <w:szCs w:val="20"/>
        </w:rPr>
      </w:pPr>
      <w:r w:rsidRPr="00D27E46">
        <w:rPr>
          <w:rStyle w:val="FootnoteReference"/>
          <w:rFonts w:ascii="Garamond" w:hAnsi="Garamond"/>
          <w:sz w:val="20"/>
          <w:szCs w:val="20"/>
        </w:rPr>
        <w:footnoteRef/>
      </w:r>
      <w:r w:rsidRPr="00D27E46">
        <w:rPr>
          <w:rFonts w:ascii="Garamond" w:hAnsi="Garamond"/>
          <w:sz w:val="20"/>
          <w:szCs w:val="20"/>
        </w:rPr>
        <w:t xml:space="preserve"> </w:t>
      </w:r>
      <w:r w:rsidRPr="00D27E46">
        <w:rPr>
          <w:rFonts w:ascii="Garamond" w:hAnsi="Garamond" w:cs="RotisSansSerifStd-Light"/>
          <w:sz w:val="20"/>
          <w:szCs w:val="20"/>
        </w:rPr>
        <w:t xml:space="preserve">Comunicazione della Commissione, </w:t>
      </w:r>
      <w:r w:rsidRPr="00D27E46">
        <w:rPr>
          <w:rFonts w:ascii="Garamond" w:hAnsi="Garamond" w:cs="RotisSansSerifStd-LightItalic"/>
          <w:i/>
          <w:iCs/>
          <w:sz w:val="20"/>
          <w:szCs w:val="20"/>
        </w:rPr>
        <w:t>Towards a comprehensive European international investment policy</w:t>
      </w:r>
      <w:r w:rsidRPr="00D27E46">
        <w:rPr>
          <w:rFonts w:ascii="Garamond" w:hAnsi="Garamond" w:cs="RotisSansSerifStd-Light"/>
          <w:sz w:val="20"/>
          <w:szCs w:val="20"/>
        </w:rPr>
        <w:t>, COM(2010)343 final, Bruxelles, 7 luglio 2010.</w:t>
      </w:r>
    </w:p>
  </w:footnote>
  <w:footnote w:id="4">
    <w:p w14:paraId="24969075" w14:textId="77777777" w:rsidR="009A3F4F" w:rsidRPr="00D27E46" w:rsidRDefault="009A3F4F" w:rsidP="00876C8D">
      <w:pPr>
        <w:autoSpaceDE w:val="0"/>
        <w:autoSpaceDN w:val="0"/>
        <w:adjustRightInd w:val="0"/>
        <w:jc w:val="both"/>
        <w:rPr>
          <w:rFonts w:ascii="Garamond" w:hAnsi="Garamond"/>
          <w:sz w:val="20"/>
          <w:szCs w:val="20"/>
        </w:rPr>
      </w:pPr>
      <w:r w:rsidRPr="00D27E46">
        <w:rPr>
          <w:rStyle w:val="FootnoteReference"/>
          <w:rFonts w:ascii="Garamond" w:hAnsi="Garamond"/>
          <w:sz w:val="20"/>
          <w:szCs w:val="20"/>
        </w:rPr>
        <w:footnoteRef/>
      </w:r>
      <w:r w:rsidRPr="00D27E46">
        <w:rPr>
          <w:rFonts w:ascii="Garamond" w:hAnsi="Garamond"/>
          <w:sz w:val="20"/>
          <w:szCs w:val="20"/>
        </w:rPr>
        <w:t xml:space="preserve"> </w:t>
      </w:r>
      <w:r w:rsidRPr="00D27E46">
        <w:rPr>
          <w:rFonts w:ascii="Garamond" w:hAnsi="Garamond" w:cs="RotisSansSerifStd-Regular"/>
          <w:sz w:val="20"/>
          <w:szCs w:val="20"/>
        </w:rPr>
        <w:t xml:space="preserve">Preoccupazioni per vero già manifestate nove anni prima dalla stessa Commissione nella Comunicazione del 27 febbraio </w:t>
      </w:r>
      <w:r w:rsidRPr="00D27E46">
        <w:rPr>
          <w:rFonts w:ascii="Garamond" w:hAnsi="Garamond" w:cs="RotisSansSerifStd-Regular"/>
          <w:bCs/>
          <w:sz w:val="20"/>
          <w:szCs w:val="20"/>
        </w:rPr>
        <w:t>2008</w:t>
      </w:r>
      <w:r w:rsidRPr="00D27E46">
        <w:rPr>
          <w:rFonts w:ascii="Garamond" w:hAnsi="Garamond" w:cs="RotisSansSerifStd-Regular"/>
          <w:sz w:val="20"/>
          <w:szCs w:val="20"/>
        </w:rPr>
        <w:t>, intitolata “</w:t>
      </w:r>
      <w:r w:rsidRPr="00D27E46">
        <w:rPr>
          <w:rFonts w:ascii="Garamond" w:hAnsi="Garamond" w:cs="RotisSansSerifStd-Italic"/>
          <w:i/>
          <w:iCs/>
          <w:sz w:val="20"/>
          <w:szCs w:val="20"/>
        </w:rPr>
        <w:t>Un approccio comune ai Fondi Sovrani</w:t>
      </w:r>
      <w:r w:rsidRPr="00D27E46">
        <w:rPr>
          <w:rFonts w:ascii="Garamond" w:hAnsi="Garamond" w:cs="RotisSansSerifStd-Regular"/>
          <w:sz w:val="20"/>
          <w:szCs w:val="20"/>
        </w:rPr>
        <w:t>”, nella quale si indicò espressamente come motivo di preoccupazione suscitato dagli investimenti azionari dei fondi sovrani “</w:t>
      </w:r>
      <w:r w:rsidRPr="00D27E46">
        <w:rPr>
          <w:rFonts w:ascii="Garamond" w:hAnsi="Garamond" w:cs="RotisSansSerifStd-Regular"/>
          <w:i/>
          <w:sz w:val="20"/>
          <w:szCs w:val="20"/>
        </w:rPr>
        <w:t>è il modo opaco in cui alcuni di essi funzionano e il loro possibile uso come strumenti per acquisire un controllo strategico. Questi aspetti marcano la differenza tra i fondi sovrani e altri tipi di fondi di investimento. Più specificamente suscita apprensione il fatto che – quali che fossero le motivazioni originarie – gli investimenti dei fondi sovrani in determinati settori possano essere utilizzati per fini diversi da quelli di massimizzare il rendimento economico. Ad esempio le scelte di investimento possono riflettere l'obiettivo di ottenere tecnologia e competenze a beneficio degli interessi strategici nazionali, anziché essere motivati da normali interessi di natura commerciale verso nuovi prodotti e mercati. Analogamente i fondi sovrani potrebbero influenzare le decisioni di società che operano in settori di interesse strategico o gestiscono canali di distribuzione che presentano un interesse per i paesi finanziatori dei fondi. Più in generale le decisioni economiche e di investimento potrebbero essere influenzate dall'interesse politico dei paesi possessori di fondi sovrani</w:t>
      </w:r>
      <w:r w:rsidRPr="00D27E46">
        <w:rPr>
          <w:rFonts w:ascii="Garamond" w:hAnsi="Garamond" w:cs="RotisSansSerifStd-Regular"/>
          <w:sz w:val="20"/>
          <w:szCs w:val="20"/>
        </w:rPr>
        <w:t>”.</w:t>
      </w:r>
    </w:p>
  </w:footnote>
  <w:footnote w:id="5">
    <w:p w14:paraId="3F309246" w14:textId="77777777" w:rsidR="009A3F4F" w:rsidRPr="00D27E46" w:rsidRDefault="009A3F4F" w:rsidP="00876C8D">
      <w:pPr>
        <w:autoSpaceDE w:val="0"/>
        <w:autoSpaceDN w:val="0"/>
        <w:adjustRightInd w:val="0"/>
        <w:jc w:val="both"/>
        <w:rPr>
          <w:rFonts w:ascii="Garamond" w:hAnsi="Garamond"/>
          <w:sz w:val="20"/>
          <w:szCs w:val="20"/>
        </w:rPr>
      </w:pPr>
      <w:r w:rsidRPr="00D27E46">
        <w:rPr>
          <w:rStyle w:val="FootnoteReference"/>
          <w:rFonts w:ascii="Garamond" w:hAnsi="Garamond"/>
          <w:sz w:val="20"/>
          <w:szCs w:val="20"/>
        </w:rPr>
        <w:footnoteRef/>
      </w:r>
      <w:r w:rsidRPr="00D27E46">
        <w:rPr>
          <w:rFonts w:ascii="Garamond" w:hAnsi="Garamond"/>
          <w:sz w:val="20"/>
          <w:szCs w:val="20"/>
        </w:rPr>
        <w:t xml:space="preserve"> </w:t>
      </w:r>
      <w:r w:rsidRPr="00D27E46">
        <w:rPr>
          <w:rFonts w:ascii="Garamond" w:hAnsi="Garamond" w:cs="RotisSansSerifStd-Light"/>
          <w:sz w:val="20"/>
          <w:szCs w:val="20"/>
        </w:rPr>
        <w:t xml:space="preserve">Corte di Giustizia, del 23 febbraio 1995, casi riuniti C-358/93 e C-416/93, </w:t>
      </w:r>
      <w:r w:rsidRPr="00D27E46">
        <w:rPr>
          <w:rFonts w:ascii="Garamond" w:hAnsi="Garamond" w:cs="RotisSansSerifStd-Regular"/>
          <w:sz w:val="20"/>
          <w:szCs w:val="20"/>
        </w:rPr>
        <w:t xml:space="preserve">caso </w:t>
      </w:r>
      <w:r w:rsidRPr="00D27E46">
        <w:rPr>
          <w:rFonts w:ascii="Garamond" w:hAnsi="Garamond" w:cs="RotisSansSerifStd-Italic"/>
          <w:i/>
          <w:iCs/>
          <w:sz w:val="20"/>
          <w:szCs w:val="20"/>
        </w:rPr>
        <w:t>Bordessa</w:t>
      </w:r>
      <w:r w:rsidRPr="00D27E46">
        <w:rPr>
          <w:rFonts w:ascii="Garamond" w:hAnsi="Garamond" w:cs="TimesNewRomanPSMT"/>
          <w:sz w:val="20"/>
          <w:szCs w:val="20"/>
        </w:rPr>
        <w:t>.</w:t>
      </w:r>
    </w:p>
  </w:footnote>
  <w:footnote w:id="6">
    <w:p w14:paraId="456862FE" w14:textId="77777777" w:rsidR="009A3F4F" w:rsidRPr="00D27E46" w:rsidRDefault="009A3F4F" w:rsidP="00876C8D">
      <w:pPr>
        <w:autoSpaceDE w:val="0"/>
        <w:autoSpaceDN w:val="0"/>
        <w:adjustRightInd w:val="0"/>
        <w:jc w:val="both"/>
        <w:rPr>
          <w:rFonts w:ascii="Garamond" w:hAnsi="Garamond"/>
          <w:sz w:val="20"/>
          <w:szCs w:val="20"/>
        </w:rPr>
      </w:pPr>
      <w:r w:rsidRPr="00D27E46">
        <w:rPr>
          <w:rStyle w:val="FootnoteReference"/>
          <w:rFonts w:ascii="Garamond" w:hAnsi="Garamond"/>
          <w:sz w:val="20"/>
          <w:szCs w:val="20"/>
        </w:rPr>
        <w:footnoteRef/>
      </w:r>
      <w:r w:rsidRPr="00D27E46">
        <w:rPr>
          <w:rFonts w:ascii="Garamond" w:hAnsi="Garamond"/>
          <w:sz w:val="20"/>
          <w:szCs w:val="20"/>
        </w:rPr>
        <w:t xml:space="preserve"> </w:t>
      </w:r>
      <w:r w:rsidRPr="00D27E46">
        <w:rPr>
          <w:rFonts w:ascii="Garamond" w:hAnsi="Garamond" w:cs="RotisSansSerifStd-Light"/>
          <w:sz w:val="20"/>
          <w:szCs w:val="20"/>
        </w:rPr>
        <w:t>Corte di Giustizia,</w:t>
      </w:r>
      <w:r w:rsidRPr="00D27E46">
        <w:rPr>
          <w:rFonts w:ascii="Garamond" w:hAnsi="Garamond" w:cs="RotisSansSerifStd-Regular"/>
          <w:sz w:val="20"/>
          <w:szCs w:val="20"/>
        </w:rPr>
        <w:t xml:space="preserve"> 16 gennaio 2003, in causa C-388/01, Commissione/Italia, punto 22 e 17 marzo 2005, in causa C-109/04, </w:t>
      </w:r>
      <w:r w:rsidRPr="00D27E46">
        <w:rPr>
          <w:rFonts w:ascii="Garamond" w:hAnsi="Garamond" w:cs="RotisSansSerifStd-Regular"/>
          <w:i/>
          <w:iCs/>
          <w:sz w:val="20"/>
          <w:szCs w:val="20"/>
        </w:rPr>
        <w:t>Kranemann</w:t>
      </w:r>
      <w:r w:rsidRPr="00D27E46">
        <w:rPr>
          <w:rFonts w:ascii="Garamond" w:hAnsi="Garamond" w:cs="RotisSansSerifStd-Regular"/>
          <w:sz w:val="20"/>
          <w:szCs w:val="20"/>
        </w:rPr>
        <w:t>, punto 34.</w:t>
      </w:r>
    </w:p>
  </w:footnote>
  <w:footnote w:id="7">
    <w:p w14:paraId="50AA82C3" w14:textId="77777777" w:rsidR="009A3F4F" w:rsidRPr="00D27E46" w:rsidRDefault="009A3F4F" w:rsidP="00876C8D">
      <w:pPr>
        <w:autoSpaceDE w:val="0"/>
        <w:autoSpaceDN w:val="0"/>
        <w:adjustRightInd w:val="0"/>
        <w:jc w:val="both"/>
        <w:rPr>
          <w:rFonts w:ascii="Garamond" w:hAnsi="Garamond"/>
          <w:sz w:val="20"/>
          <w:szCs w:val="20"/>
        </w:rPr>
      </w:pPr>
      <w:r w:rsidRPr="00D27E46">
        <w:rPr>
          <w:rStyle w:val="FootnoteReference"/>
          <w:rFonts w:ascii="Garamond" w:hAnsi="Garamond"/>
          <w:sz w:val="20"/>
          <w:szCs w:val="20"/>
        </w:rPr>
        <w:footnoteRef/>
      </w:r>
      <w:r w:rsidRPr="00D27E46">
        <w:rPr>
          <w:rFonts w:ascii="Garamond" w:hAnsi="Garamond"/>
          <w:sz w:val="20"/>
          <w:szCs w:val="20"/>
        </w:rPr>
        <w:t xml:space="preserve"> </w:t>
      </w:r>
      <w:r w:rsidRPr="00D27E46">
        <w:rPr>
          <w:rFonts w:ascii="Garamond" w:hAnsi="Garamond" w:cs="RotisSansSerifStd-Light"/>
          <w:sz w:val="20"/>
          <w:szCs w:val="20"/>
        </w:rPr>
        <w:t>Corte di Giustizia,</w:t>
      </w:r>
      <w:r w:rsidRPr="00D27E46">
        <w:rPr>
          <w:rFonts w:ascii="Garamond" w:hAnsi="Garamond" w:cs="RotisSansSerifStd-Regular"/>
          <w:sz w:val="20"/>
          <w:szCs w:val="20"/>
        </w:rPr>
        <w:t xml:space="preserve"> 11 settembre 2008, in causa C- 141/07, </w:t>
      </w:r>
      <w:r w:rsidRPr="00D27E46">
        <w:rPr>
          <w:rFonts w:ascii="Garamond" w:hAnsi="Garamond" w:cs="RotisSansSerifStd-Regular"/>
          <w:i/>
          <w:iCs/>
          <w:sz w:val="20"/>
          <w:szCs w:val="20"/>
        </w:rPr>
        <w:t>Commissione/Germania</w:t>
      </w:r>
      <w:r w:rsidRPr="00D27E46">
        <w:rPr>
          <w:rFonts w:ascii="Garamond" w:hAnsi="Garamond" w:cs="RotisSansSerifStd-Regular"/>
          <w:sz w:val="20"/>
          <w:szCs w:val="20"/>
        </w:rPr>
        <w:t>, punto 60.</w:t>
      </w:r>
    </w:p>
  </w:footnote>
  <w:footnote w:id="8">
    <w:p w14:paraId="70EF3E9C" w14:textId="32496783" w:rsidR="009A3F4F" w:rsidRPr="00D27E46" w:rsidRDefault="009A3F4F" w:rsidP="00EC4849">
      <w:pPr>
        <w:autoSpaceDE w:val="0"/>
        <w:autoSpaceDN w:val="0"/>
        <w:adjustRightInd w:val="0"/>
        <w:jc w:val="both"/>
        <w:rPr>
          <w:rFonts w:ascii="Garamond" w:hAnsi="Garamond"/>
        </w:rPr>
      </w:pPr>
      <w:r w:rsidRPr="00D27E46">
        <w:rPr>
          <w:rStyle w:val="FootnoteReference"/>
          <w:rFonts w:ascii="Garamond" w:hAnsi="Garamond"/>
          <w:sz w:val="20"/>
          <w:szCs w:val="20"/>
        </w:rPr>
        <w:footnoteRef/>
      </w:r>
      <w:r w:rsidRPr="00D27E46">
        <w:rPr>
          <w:rFonts w:ascii="Garamond" w:hAnsi="Garamond"/>
          <w:sz w:val="20"/>
          <w:szCs w:val="20"/>
        </w:rPr>
        <w:t xml:space="preserve"> </w:t>
      </w:r>
      <w:r w:rsidRPr="00D27E46">
        <w:rPr>
          <w:rFonts w:ascii="Garamond" w:hAnsi="Garamond"/>
          <w:i/>
          <w:sz w:val="20"/>
          <w:szCs w:val="20"/>
        </w:rPr>
        <w:t>Ex plurimis</w:t>
      </w:r>
      <w:r w:rsidRPr="00D27E46">
        <w:rPr>
          <w:rFonts w:ascii="Garamond" w:hAnsi="Garamond"/>
          <w:sz w:val="20"/>
          <w:szCs w:val="20"/>
        </w:rPr>
        <w:t xml:space="preserve">, Corte di Giustizia, </w:t>
      </w:r>
      <w:r w:rsidRPr="00D27E46">
        <w:rPr>
          <w:rFonts w:ascii="Garamond" w:hAnsi="Garamond" w:cs="RotisSansSerifStd-Regular"/>
          <w:sz w:val="20"/>
          <w:szCs w:val="20"/>
        </w:rPr>
        <w:t xml:space="preserve">26 marzo 2009, in causa C-327/07 </w:t>
      </w:r>
      <w:r w:rsidRPr="00D27E46">
        <w:rPr>
          <w:rFonts w:ascii="Garamond" w:hAnsi="Garamond" w:cs="RotisSansSerifStd-Italic"/>
          <w:i/>
          <w:iCs/>
          <w:sz w:val="20"/>
          <w:szCs w:val="20"/>
        </w:rPr>
        <w:t>Commissione c. Repubblica Italiana</w:t>
      </w:r>
      <w:r w:rsidRPr="00D27E46">
        <w:rPr>
          <w:rFonts w:ascii="Garamond" w:hAnsi="Garamond" w:cs="RotisSansSerifStd-Regular"/>
          <w:sz w:val="20"/>
          <w:szCs w:val="20"/>
        </w:rPr>
        <w:t>, dove la Corte ha sostenuto che gli investimenti diretti stranieri che si sostanziano nell’assunzione di una partecipazione in una società stabilita in uno Stato membro “</w:t>
      </w:r>
      <w:r w:rsidRPr="00D27E46">
        <w:rPr>
          <w:rFonts w:ascii="Garamond" w:hAnsi="Garamond" w:cs="RotisSansSerifStd-Regular"/>
          <w:i/>
          <w:iCs/>
          <w:sz w:val="20"/>
          <w:szCs w:val="20"/>
        </w:rPr>
        <w:t>tale da consentire all’investitore straniero una sicura influenza sulle decisioni di tale società e da consentirgli di indirizzarne le attività</w:t>
      </w:r>
      <w:r w:rsidRPr="00D27E46">
        <w:rPr>
          <w:rFonts w:ascii="Garamond" w:hAnsi="Garamond" w:cs="RotisSansSerifStd-Regular"/>
          <w:sz w:val="20"/>
          <w:szCs w:val="20"/>
        </w:rPr>
        <w:t>” ricadono “</w:t>
      </w:r>
      <w:r w:rsidRPr="00D27E46">
        <w:rPr>
          <w:rFonts w:ascii="Garamond" w:hAnsi="Garamond" w:cs="RotisSansSerifStd-Regular"/>
          <w:i/>
          <w:iCs/>
          <w:sz w:val="20"/>
          <w:szCs w:val="20"/>
        </w:rPr>
        <w:t xml:space="preserve">nell’ambito di applicazione </w:t>
      </w:r>
      <w:r w:rsidRPr="00D27E46">
        <w:rPr>
          <w:rFonts w:ascii="Garamond" w:hAnsi="Garamond" w:cs="RotisSansSerifStd-Italic"/>
          <w:i/>
          <w:iCs/>
          <w:sz w:val="20"/>
          <w:szCs w:val="20"/>
        </w:rPr>
        <w:t xml:space="preserve">ratione materiae </w:t>
      </w:r>
      <w:r w:rsidRPr="00D27E46">
        <w:rPr>
          <w:rFonts w:ascii="Garamond" w:hAnsi="Garamond" w:cs="RotisSansSerifStd-Regular"/>
          <w:i/>
          <w:iCs/>
          <w:sz w:val="20"/>
          <w:szCs w:val="20"/>
        </w:rPr>
        <w:t>delle disposizioni del Trattato relative alla libertà di stabilimento</w:t>
      </w:r>
      <w:r w:rsidRPr="00D27E46">
        <w:rPr>
          <w:rFonts w:ascii="Garamond" w:hAnsi="Garamond" w:cs="RotisSansSerifStd-Regular"/>
          <w:sz w:val="20"/>
          <w:szCs w:val="20"/>
        </w:rPr>
        <w:t>”. Sono, viceversa da valutare alla luce delle disposizioni del Trattato relative alla libera circolazione dei capitali le misure che attengono a investimenti aventi lo scopo di stabilire o mantenere legami durevoli e diretti tra il finanziatore e l’impresa cui tali fondi sono destinati per l’esercizio di un’attività economica.</w:t>
      </w:r>
    </w:p>
  </w:footnote>
  <w:footnote w:id="9">
    <w:p w14:paraId="7E0E4145" w14:textId="77777777" w:rsidR="009A3F4F" w:rsidRPr="00D27E46" w:rsidRDefault="009A3F4F" w:rsidP="006963E3">
      <w:pPr>
        <w:autoSpaceDE w:val="0"/>
        <w:autoSpaceDN w:val="0"/>
        <w:adjustRightInd w:val="0"/>
        <w:jc w:val="both"/>
        <w:rPr>
          <w:rFonts w:ascii="Garamond" w:hAnsi="Garamond"/>
          <w:sz w:val="20"/>
          <w:szCs w:val="20"/>
        </w:rPr>
      </w:pPr>
      <w:r w:rsidRPr="00D27E46">
        <w:rPr>
          <w:rStyle w:val="FootnoteReference"/>
          <w:rFonts w:ascii="Garamond" w:hAnsi="Garamond"/>
          <w:sz w:val="20"/>
          <w:szCs w:val="20"/>
        </w:rPr>
        <w:footnoteRef/>
      </w:r>
      <w:r w:rsidRPr="00D27E46">
        <w:rPr>
          <w:rFonts w:ascii="Garamond" w:hAnsi="Garamond"/>
          <w:sz w:val="20"/>
          <w:szCs w:val="20"/>
        </w:rPr>
        <w:t xml:space="preserve"> </w:t>
      </w:r>
      <w:r w:rsidRPr="00D27E46">
        <w:rPr>
          <w:rFonts w:ascii="Garamond" w:hAnsi="Garamond" w:cs="RotisSansSerifStd-Light"/>
          <w:sz w:val="20"/>
          <w:szCs w:val="20"/>
        </w:rPr>
        <w:t xml:space="preserve">Dal 2002 in poi ben 8 Stati Membri (tra cui Francia, Germania, Regno Unito e Spagna), invocando la tutela delle proprie imprese strategiche, hanno introdotto normative a tutela della strategicità delle imprese nazionali con la previsione e la regolamentazione di poteri speciali, </w:t>
      </w:r>
      <w:r w:rsidRPr="00D27E46">
        <w:rPr>
          <w:rFonts w:ascii="Garamond" w:hAnsi="Garamond" w:cs="RotisSansSerifStd-LightItalic"/>
          <w:i/>
          <w:iCs/>
          <w:sz w:val="20"/>
          <w:szCs w:val="20"/>
        </w:rPr>
        <w:t xml:space="preserve">golden shares </w:t>
      </w:r>
      <w:r w:rsidRPr="00D27E46">
        <w:rPr>
          <w:rFonts w:ascii="Garamond" w:hAnsi="Garamond" w:cs="RotisSansSerifStd-Light"/>
          <w:sz w:val="20"/>
          <w:szCs w:val="20"/>
        </w:rPr>
        <w:t xml:space="preserve">o </w:t>
      </w:r>
      <w:r w:rsidRPr="00D27E46">
        <w:rPr>
          <w:rFonts w:ascii="Garamond" w:hAnsi="Garamond" w:cs="RotisSansSerifStd-LightItalic"/>
          <w:i/>
          <w:iCs/>
          <w:sz w:val="20"/>
          <w:szCs w:val="20"/>
        </w:rPr>
        <w:t>action specifique</w:t>
      </w:r>
      <w:r w:rsidRPr="00D27E46">
        <w:rPr>
          <w:rFonts w:ascii="Garamond" w:hAnsi="Garamond" w:cs="RotisSansSerifStd-Light"/>
          <w:sz w:val="20"/>
          <w:szCs w:val="20"/>
        </w:rPr>
        <w:t xml:space="preserve">; di queste normative, soltanto quella belga, ha superato il vaglio della Corte di Giustizia. </w:t>
      </w:r>
    </w:p>
    <w:p w14:paraId="03EAF16D" w14:textId="77777777" w:rsidR="009A3F4F" w:rsidRPr="00D27E46" w:rsidRDefault="009A3F4F" w:rsidP="006963E3">
      <w:pPr>
        <w:autoSpaceDE w:val="0"/>
        <w:autoSpaceDN w:val="0"/>
        <w:adjustRightInd w:val="0"/>
        <w:jc w:val="both"/>
        <w:rPr>
          <w:rFonts w:ascii="Garamond" w:hAnsi="Garamond"/>
          <w:sz w:val="20"/>
          <w:szCs w:val="20"/>
        </w:rPr>
      </w:pPr>
      <w:r w:rsidRPr="00D27E46">
        <w:rPr>
          <w:rFonts w:ascii="Garamond" w:hAnsi="Garamond" w:cs="RotisSansSerifStd-Light"/>
          <w:sz w:val="20"/>
          <w:szCs w:val="20"/>
        </w:rPr>
        <w:t xml:space="preserve"> </w:t>
      </w:r>
    </w:p>
  </w:footnote>
  <w:footnote w:id="10">
    <w:p w14:paraId="48B709E7" w14:textId="6EE123AA" w:rsidR="006960D6" w:rsidRPr="00D27E46" w:rsidRDefault="006960D6" w:rsidP="006960D6">
      <w:pPr>
        <w:pStyle w:val="FootnoteText"/>
        <w:widowControl w:val="0"/>
        <w:jc w:val="both"/>
        <w:rPr>
          <w:rFonts w:ascii="Garamond" w:hAnsi="Garamond"/>
        </w:rPr>
      </w:pPr>
      <w:r w:rsidRPr="00D27E46">
        <w:rPr>
          <w:rStyle w:val="FootnoteReference"/>
          <w:rFonts w:ascii="Garamond" w:hAnsi="Garamond"/>
        </w:rPr>
        <w:footnoteRef/>
      </w:r>
      <w:r w:rsidRPr="00D27E46">
        <w:rPr>
          <w:rFonts w:ascii="Garamond" w:hAnsi="Garamond"/>
        </w:rPr>
        <w:t xml:space="preserve"> Per l’esame del tema, in specie come sviluppatosi con riguardo agli atti delle Autorità indipendenti, si rinvia a </w:t>
      </w:r>
      <w:r w:rsidR="00D27E46" w:rsidRPr="00D27E46">
        <w:rPr>
          <w:rFonts w:ascii="Garamond" w:hAnsi="Garamond"/>
        </w:rPr>
        <w:t xml:space="preserve">M. </w:t>
      </w:r>
      <w:r w:rsidRPr="00D27E46">
        <w:rPr>
          <w:rFonts w:ascii="Garamond" w:hAnsi="Garamond"/>
          <w:smallCaps/>
        </w:rPr>
        <w:t>Lipari</w:t>
      </w:r>
      <w:r w:rsidRPr="00D27E46">
        <w:rPr>
          <w:rFonts w:ascii="Garamond" w:hAnsi="Garamond"/>
        </w:rPr>
        <w:t xml:space="preserve">, </w:t>
      </w:r>
      <w:r w:rsidRPr="00D27E46">
        <w:rPr>
          <w:rFonts w:ascii="Garamond" w:hAnsi="Garamond"/>
          <w:i/>
        </w:rPr>
        <w:t xml:space="preserve">Il sindacato pieno del giudice amministrativo sulle sanzioni secondo i principi della CEDU e del diritto UE. Il recepimento della direttiva n. 2014/104/EU sul </w:t>
      </w:r>
      <w:r w:rsidRPr="00D27E46">
        <w:rPr>
          <w:rFonts w:ascii="Garamond" w:hAnsi="Garamond"/>
        </w:rPr>
        <w:t>private enforcement</w:t>
      </w:r>
      <w:r w:rsidRPr="00D27E46">
        <w:rPr>
          <w:rFonts w:ascii="Garamond" w:hAnsi="Garamond"/>
          <w:i/>
        </w:rPr>
        <w:t xml:space="preserve"> (decreto legislativo n. 3/2017): le valutazioni tecniche opinabili riservate all’AGCM</w:t>
      </w:r>
      <w:r w:rsidRPr="00D27E46">
        <w:rPr>
          <w:rFonts w:ascii="Garamond" w:hAnsi="Garamond"/>
        </w:rPr>
        <w:t xml:space="preserve">, in </w:t>
      </w:r>
      <w:hyperlink r:id="rId1" w:history="1">
        <w:r w:rsidRPr="00D27E46">
          <w:rPr>
            <w:rStyle w:val="Hyperlink"/>
            <w:rFonts w:ascii="Garamond" w:hAnsi="Garamond"/>
            <w:i/>
          </w:rPr>
          <w:t>www.federalismi.it</w:t>
        </w:r>
      </w:hyperlink>
      <w:r w:rsidRPr="00D27E46">
        <w:rPr>
          <w:rFonts w:ascii="Garamond" w:hAnsi="Garamond"/>
        </w:rPr>
        <w:t xml:space="preserve">, 2018, spec. 19-20. </w:t>
      </w:r>
    </w:p>
  </w:footnote>
  <w:footnote w:id="11">
    <w:p w14:paraId="3AD7CEAC" w14:textId="1E474440" w:rsidR="0013230F" w:rsidRPr="00D27E46" w:rsidRDefault="0013230F">
      <w:pPr>
        <w:pStyle w:val="FootnoteText"/>
        <w:rPr>
          <w:rFonts w:ascii="Garamond" w:hAnsi="Garamond"/>
        </w:rPr>
      </w:pPr>
      <w:r w:rsidRPr="00D27E46">
        <w:rPr>
          <w:rStyle w:val="FootnoteReference"/>
          <w:rFonts w:ascii="Garamond" w:hAnsi="Garamond"/>
        </w:rPr>
        <w:footnoteRef/>
      </w:r>
      <w:r w:rsidRPr="00D27E46">
        <w:rPr>
          <w:rFonts w:ascii="Garamond" w:hAnsi="Garamond"/>
        </w:rPr>
        <w:t xml:space="preserve"> Cons. St., Sez. V, 2 agosto 2017, n. 3871.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F37"/>
    <w:multiLevelType w:val="hybridMultilevel"/>
    <w:tmpl w:val="A8E86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7B1FB0"/>
    <w:multiLevelType w:val="hybridMultilevel"/>
    <w:tmpl w:val="C9BA80C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45544A"/>
    <w:multiLevelType w:val="hybridMultilevel"/>
    <w:tmpl w:val="747C59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8330C1"/>
    <w:multiLevelType w:val="multilevel"/>
    <w:tmpl w:val="D3CE3B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iCs/>
      </w:rPr>
    </w:lvl>
    <w:lvl w:ilvl="2">
      <w:start w:val="1"/>
      <w:numFmt w:val="decimal"/>
      <w:isLgl/>
      <w:lvlText w:val="%1.%2.%3."/>
      <w:lvlJc w:val="left"/>
      <w:pPr>
        <w:ind w:left="1004" w:hanging="720"/>
      </w:pPr>
      <w:rPr>
        <w:rFonts w:hint="default"/>
        <w:b w:val="0"/>
        <w:bCs/>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E632738"/>
    <w:multiLevelType w:val="multilevel"/>
    <w:tmpl w:val="895C262E"/>
    <w:lvl w:ilvl="0">
      <w:start w:val="2"/>
      <w:numFmt w:val="decimal"/>
      <w:lvlText w:val="%1."/>
      <w:lvlJc w:val="left"/>
      <w:pPr>
        <w:ind w:left="540" w:hanging="540"/>
      </w:pPr>
      <w:rPr>
        <w:rFonts w:hint="default"/>
      </w:rPr>
    </w:lvl>
    <w:lvl w:ilvl="1">
      <w:start w:val="2"/>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47C938C3"/>
    <w:multiLevelType w:val="hybridMultilevel"/>
    <w:tmpl w:val="BAFAA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D2167D"/>
    <w:multiLevelType w:val="hybridMultilevel"/>
    <w:tmpl w:val="7C98452C"/>
    <w:lvl w:ilvl="0" w:tplc="553AE34C">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6A77F0F"/>
    <w:multiLevelType w:val="hybridMultilevel"/>
    <w:tmpl w:val="4796B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681120"/>
    <w:multiLevelType w:val="multilevel"/>
    <w:tmpl w:val="465EE4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AB027E1"/>
    <w:multiLevelType w:val="hybridMultilevel"/>
    <w:tmpl w:val="333CD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8"/>
  </w:num>
  <w:num w:numId="5">
    <w:abstractNumId w:val="4"/>
  </w:num>
  <w:num w:numId="6">
    <w:abstractNumId w:val="7"/>
  </w:num>
  <w:num w:numId="7">
    <w:abstractNumId w:val="1"/>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D9"/>
    <w:rsid w:val="0007081A"/>
    <w:rsid w:val="00077497"/>
    <w:rsid w:val="000D05DD"/>
    <w:rsid w:val="0013230F"/>
    <w:rsid w:val="00147999"/>
    <w:rsid w:val="001A339A"/>
    <w:rsid w:val="001B067A"/>
    <w:rsid w:val="002542FF"/>
    <w:rsid w:val="002C0213"/>
    <w:rsid w:val="00312C51"/>
    <w:rsid w:val="003175A7"/>
    <w:rsid w:val="00317650"/>
    <w:rsid w:val="0036037C"/>
    <w:rsid w:val="00371D1D"/>
    <w:rsid w:val="003737B8"/>
    <w:rsid w:val="00392A1D"/>
    <w:rsid w:val="003C63E9"/>
    <w:rsid w:val="0040497B"/>
    <w:rsid w:val="00414938"/>
    <w:rsid w:val="0044659B"/>
    <w:rsid w:val="00456640"/>
    <w:rsid w:val="00461DCC"/>
    <w:rsid w:val="004872EB"/>
    <w:rsid w:val="004E11AD"/>
    <w:rsid w:val="00513020"/>
    <w:rsid w:val="00537886"/>
    <w:rsid w:val="00562113"/>
    <w:rsid w:val="005C41AC"/>
    <w:rsid w:val="005E083E"/>
    <w:rsid w:val="0060732B"/>
    <w:rsid w:val="00686865"/>
    <w:rsid w:val="006960D6"/>
    <w:rsid w:val="006963E3"/>
    <w:rsid w:val="006F1112"/>
    <w:rsid w:val="00731A8D"/>
    <w:rsid w:val="007726A3"/>
    <w:rsid w:val="00781AB8"/>
    <w:rsid w:val="007A6239"/>
    <w:rsid w:val="008011D2"/>
    <w:rsid w:val="008246BA"/>
    <w:rsid w:val="00835675"/>
    <w:rsid w:val="008621C7"/>
    <w:rsid w:val="00876C8D"/>
    <w:rsid w:val="008C51A2"/>
    <w:rsid w:val="008D4C26"/>
    <w:rsid w:val="008E183F"/>
    <w:rsid w:val="008E7497"/>
    <w:rsid w:val="00901143"/>
    <w:rsid w:val="00914090"/>
    <w:rsid w:val="00941450"/>
    <w:rsid w:val="009A0A36"/>
    <w:rsid w:val="009A1CF0"/>
    <w:rsid w:val="009A3F4F"/>
    <w:rsid w:val="009C4A07"/>
    <w:rsid w:val="009E2385"/>
    <w:rsid w:val="00A2468F"/>
    <w:rsid w:val="00A41106"/>
    <w:rsid w:val="00A47050"/>
    <w:rsid w:val="00A64203"/>
    <w:rsid w:val="00A77C95"/>
    <w:rsid w:val="00B06652"/>
    <w:rsid w:val="00B311BA"/>
    <w:rsid w:val="00B91158"/>
    <w:rsid w:val="00BB2359"/>
    <w:rsid w:val="00BC7163"/>
    <w:rsid w:val="00BF7D9E"/>
    <w:rsid w:val="00C23B22"/>
    <w:rsid w:val="00C320EA"/>
    <w:rsid w:val="00C81551"/>
    <w:rsid w:val="00CD0C82"/>
    <w:rsid w:val="00CD355D"/>
    <w:rsid w:val="00CE056C"/>
    <w:rsid w:val="00D27E46"/>
    <w:rsid w:val="00D31A87"/>
    <w:rsid w:val="00D421C3"/>
    <w:rsid w:val="00D72AC0"/>
    <w:rsid w:val="00DA0987"/>
    <w:rsid w:val="00DC5F8B"/>
    <w:rsid w:val="00DE2CA7"/>
    <w:rsid w:val="00E14A04"/>
    <w:rsid w:val="00E2473C"/>
    <w:rsid w:val="00E30527"/>
    <w:rsid w:val="00E86798"/>
    <w:rsid w:val="00EC00F8"/>
    <w:rsid w:val="00EC3627"/>
    <w:rsid w:val="00EC4849"/>
    <w:rsid w:val="00ED1CC1"/>
    <w:rsid w:val="00EF3AED"/>
    <w:rsid w:val="00F2643E"/>
    <w:rsid w:val="00F45A23"/>
    <w:rsid w:val="00FC7B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0369"/>
  <w15:docId w15:val="{37CC9414-4163-4EDF-8F74-283F272A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7999"/>
    <w:pPr>
      <w:spacing w:after="0" w:line="240" w:lineRule="auto"/>
    </w:pPr>
    <w:rPr>
      <w:rFonts w:ascii="Arial" w:eastAsia="Arial" w:hAnsi="Arial" w:cs="Arial"/>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59B"/>
    <w:pPr>
      <w:spacing w:after="0" w:line="240" w:lineRule="auto"/>
      <w:ind w:firstLine="567"/>
    </w:pPr>
    <w:rPr>
      <w:rFonts w:ascii="Times New Roman" w:eastAsia="Arial" w:hAnsi="Times New Roman" w:cs="Arial"/>
      <w:sz w:val="24"/>
      <w:szCs w:val="24"/>
      <w:lang w:eastAsia="it-IT"/>
    </w:rPr>
  </w:style>
  <w:style w:type="paragraph" w:styleId="FootnoteText">
    <w:name w:val="footnote text"/>
    <w:aliases w:val="Testo nota a piè di pagina Carattere1,Testo nota a piè di pagina Carattere Carattere,Testo nota a piè di pagina Carattere2 Carattere Carattere,Testo nota a piè di pagina Carattere Carattere1 Carattere Carattere,stile 1"/>
    <w:basedOn w:val="Normal"/>
    <w:link w:val="FootnoteTextChar"/>
    <w:uiPriority w:val="99"/>
    <w:unhideWhenUsed/>
    <w:qFormat/>
    <w:rsid w:val="00392A1D"/>
    <w:rPr>
      <w:sz w:val="20"/>
      <w:szCs w:val="20"/>
    </w:rPr>
  </w:style>
  <w:style w:type="character" w:customStyle="1" w:styleId="FootnoteTextChar">
    <w:name w:val="Footnote Text Char"/>
    <w:aliases w:val="Testo nota a piè di pagina Carattere1 Char,Testo nota a piè di pagina Carattere Carattere Char,Testo nota a piè di pagina Carattere2 Carattere Carattere Char,Testo nota a piè di pagina Carattere Carattere1 Carattere Carattere Char"/>
    <w:basedOn w:val="DefaultParagraphFont"/>
    <w:link w:val="FootnoteText"/>
    <w:uiPriority w:val="99"/>
    <w:rsid w:val="00392A1D"/>
    <w:rPr>
      <w:rFonts w:ascii="Arial" w:eastAsia="Arial" w:hAnsi="Arial" w:cs="Arial"/>
      <w:sz w:val="20"/>
      <w:szCs w:val="20"/>
      <w:lang w:eastAsia="it-IT"/>
    </w:rPr>
  </w:style>
  <w:style w:type="character" w:styleId="FootnoteReference">
    <w:name w:val="footnote reference"/>
    <w:basedOn w:val="DefaultParagraphFont"/>
    <w:uiPriority w:val="99"/>
    <w:semiHidden/>
    <w:unhideWhenUsed/>
    <w:rsid w:val="00392A1D"/>
    <w:rPr>
      <w:vertAlign w:val="superscript"/>
    </w:rPr>
  </w:style>
  <w:style w:type="character" w:customStyle="1" w:styleId="corsivo">
    <w:name w:val="corsivo"/>
    <w:basedOn w:val="DefaultParagraphFont"/>
    <w:rsid w:val="00876C8D"/>
    <w:rPr>
      <w:i/>
      <w:iCs/>
    </w:rPr>
  </w:style>
  <w:style w:type="paragraph" w:styleId="ListParagraph">
    <w:name w:val="List Paragraph"/>
    <w:basedOn w:val="Normal"/>
    <w:uiPriority w:val="34"/>
    <w:qFormat/>
    <w:rsid w:val="00876C8D"/>
    <w:pPr>
      <w:spacing w:after="200" w:line="276" w:lineRule="auto"/>
      <w:ind w:left="720"/>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EC00F8"/>
    <w:rPr>
      <w:i/>
      <w:iCs/>
    </w:rPr>
  </w:style>
  <w:style w:type="character" w:styleId="Hyperlink">
    <w:name w:val="Hyperlink"/>
    <w:basedOn w:val="DefaultParagraphFont"/>
    <w:uiPriority w:val="99"/>
    <w:unhideWhenUsed/>
    <w:rsid w:val="008E183F"/>
    <w:rPr>
      <w:color w:val="0000FF"/>
      <w:u w:val="single"/>
    </w:rPr>
  </w:style>
  <w:style w:type="character" w:styleId="Strong">
    <w:name w:val="Strong"/>
    <w:basedOn w:val="DefaultParagraphFont"/>
    <w:uiPriority w:val="22"/>
    <w:qFormat/>
    <w:rsid w:val="008E1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8493">
      <w:bodyDiv w:val="1"/>
      <w:marLeft w:val="0"/>
      <w:marRight w:val="0"/>
      <w:marTop w:val="0"/>
      <w:marBottom w:val="0"/>
      <w:divBdr>
        <w:top w:val="none" w:sz="0" w:space="0" w:color="auto"/>
        <w:left w:val="none" w:sz="0" w:space="0" w:color="auto"/>
        <w:bottom w:val="none" w:sz="0" w:space="0" w:color="auto"/>
        <w:right w:val="none" w:sz="0" w:space="0" w:color="auto"/>
      </w:divBdr>
      <w:divsChild>
        <w:div w:id="965083461">
          <w:marLeft w:val="0"/>
          <w:marRight w:val="0"/>
          <w:marTop w:val="0"/>
          <w:marBottom w:val="0"/>
          <w:divBdr>
            <w:top w:val="none" w:sz="0" w:space="0" w:color="auto"/>
            <w:left w:val="none" w:sz="0" w:space="0" w:color="auto"/>
            <w:bottom w:val="none" w:sz="0" w:space="0" w:color="auto"/>
            <w:right w:val="none" w:sz="0" w:space="0" w:color="auto"/>
          </w:divBdr>
          <w:divsChild>
            <w:div w:id="1199660664">
              <w:marLeft w:val="0"/>
              <w:marRight w:val="0"/>
              <w:marTop w:val="0"/>
              <w:marBottom w:val="0"/>
              <w:divBdr>
                <w:top w:val="none" w:sz="0" w:space="0" w:color="auto"/>
                <w:left w:val="none" w:sz="0" w:space="0" w:color="auto"/>
                <w:bottom w:val="none" w:sz="0" w:space="0" w:color="auto"/>
                <w:right w:val="none" w:sz="0" w:space="0" w:color="auto"/>
              </w:divBdr>
              <w:divsChild>
                <w:div w:id="902640966">
                  <w:marLeft w:val="0"/>
                  <w:marRight w:val="0"/>
                  <w:marTop w:val="0"/>
                  <w:marBottom w:val="0"/>
                  <w:divBdr>
                    <w:top w:val="none" w:sz="0" w:space="0" w:color="auto"/>
                    <w:left w:val="none" w:sz="0" w:space="0" w:color="auto"/>
                    <w:bottom w:val="none" w:sz="0" w:space="0" w:color="auto"/>
                    <w:right w:val="none" w:sz="0" w:space="0" w:color="auto"/>
                  </w:divBdr>
                  <w:divsChild>
                    <w:div w:id="184179810">
                      <w:marLeft w:val="0"/>
                      <w:marRight w:val="0"/>
                      <w:marTop w:val="0"/>
                      <w:marBottom w:val="0"/>
                      <w:divBdr>
                        <w:top w:val="none" w:sz="0" w:space="0" w:color="auto"/>
                        <w:left w:val="none" w:sz="0" w:space="0" w:color="auto"/>
                        <w:bottom w:val="none" w:sz="0" w:space="0" w:color="auto"/>
                        <w:right w:val="none" w:sz="0" w:space="0" w:color="auto"/>
                      </w:divBdr>
                      <w:divsChild>
                        <w:div w:id="781387166">
                          <w:marLeft w:val="0"/>
                          <w:marRight w:val="0"/>
                          <w:marTop w:val="0"/>
                          <w:marBottom w:val="0"/>
                          <w:divBdr>
                            <w:top w:val="none" w:sz="0" w:space="0" w:color="auto"/>
                            <w:left w:val="none" w:sz="0" w:space="0" w:color="auto"/>
                            <w:bottom w:val="none" w:sz="0" w:space="0" w:color="auto"/>
                            <w:right w:val="none" w:sz="0" w:space="0" w:color="auto"/>
                          </w:divBdr>
                          <w:divsChild>
                            <w:div w:id="240987697">
                              <w:marLeft w:val="0"/>
                              <w:marRight w:val="0"/>
                              <w:marTop w:val="0"/>
                              <w:marBottom w:val="0"/>
                              <w:divBdr>
                                <w:top w:val="none" w:sz="0" w:space="0" w:color="auto"/>
                                <w:left w:val="none" w:sz="0" w:space="0" w:color="auto"/>
                                <w:bottom w:val="none" w:sz="0" w:space="0" w:color="auto"/>
                                <w:right w:val="none" w:sz="0" w:space="0" w:color="auto"/>
                              </w:divBdr>
                              <w:divsChild>
                                <w:div w:id="986977438">
                                  <w:marLeft w:val="0"/>
                                  <w:marRight w:val="0"/>
                                  <w:marTop w:val="0"/>
                                  <w:marBottom w:val="0"/>
                                  <w:divBdr>
                                    <w:top w:val="none" w:sz="0" w:space="0" w:color="auto"/>
                                    <w:left w:val="none" w:sz="0" w:space="0" w:color="auto"/>
                                    <w:bottom w:val="none" w:sz="0" w:space="0" w:color="auto"/>
                                    <w:right w:val="none" w:sz="0" w:space="0" w:color="auto"/>
                                  </w:divBdr>
                                  <w:divsChild>
                                    <w:div w:id="1716731459">
                                      <w:marLeft w:val="0"/>
                                      <w:marRight w:val="0"/>
                                      <w:marTop w:val="0"/>
                                      <w:marBottom w:val="0"/>
                                      <w:divBdr>
                                        <w:top w:val="none" w:sz="0" w:space="0" w:color="auto"/>
                                        <w:left w:val="none" w:sz="0" w:space="0" w:color="auto"/>
                                        <w:bottom w:val="none" w:sz="0" w:space="0" w:color="auto"/>
                                        <w:right w:val="none" w:sz="0" w:space="0" w:color="auto"/>
                                      </w:divBdr>
                                      <w:divsChild>
                                        <w:div w:id="1737390334">
                                          <w:marLeft w:val="0"/>
                                          <w:marRight w:val="0"/>
                                          <w:marTop w:val="0"/>
                                          <w:marBottom w:val="0"/>
                                          <w:divBdr>
                                            <w:top w:val="none" w:sz="0" w:space="0" w:color="auto"/>
                                            <w:left w:val="none" w:sz="0" w:space="0" w:color="auto"/>
                                            <w:bottom w:val="none" w:sz="0" w:space="0" w:color="auto"/>
                                            <w:right w:val="none" w:sz="0" w:space="0" w:color="auto"/>
                                          </w:divBdr>
                                          <w:divsChild>
                                            <w:div w:id="1524318912">
                                              <w:marLeft w:val="0"/>
                                              <w:marRight w:val="0"/>
                                              <w:marTop w:val="0"/>
                                              <w:marBottom w:val="0"/>
                                              <w:divBdr>
                                                <w:top w:val="none" w:sz="0" w:space="0" w:color="auto"/>
                                                <w:left w:val="none" w:sz="0" w:space="0" w:color="auto"/>
                                                <w:bottom w:val="none" w:sz="0" w:space="0" w:color="auto"/>
                                                <w:right w:val="none" w:sz="0" w:space="0" w:color="auto"/>
                                              </w:divBdr>
                                              <w:divsChild>
                                                <w:div w:id="893352824">
                                                  <w:marLeft w:val="0"/>
                                                  <w:marRight w:val="0"/>
                                                  <w:marTop w:val="0"/>
                                                  <w:marBottom w:val="0"/>
                                                  <w:divBdr>
                                                    <w:top w:val="none" w:sz="0" w:space="0" w:color="auto"/>
                                                    <w:left w:val="none" w:sz="0" w:space="0" w:color="auto"/>
                                                    <w:bottom w:val="none" w:sz="0" w:space="0" w:color="auto"/>
                                                    <w:right w:val="none" w:sz="0" w:space="0" w:color="auto"/>
                                                  </w:divBdr>
                                                  <w:divsChild>
                                                    <w:div w:id="953942561">
                                                      <w:marLeft w:val="0"/>
                                                      <w:marRight w:val="0"/>
                                                      <w:marTop w:val="0"/>
                                                      <w:marBottom w:val="0"/>
                                                      <w:divBdr>
                                                        <w:top w:val="none" w:sz="0" w:space="0" w:color="auto"/>
                                                        <w:left w:val="none" w:sz="0" w:space="0" w:color="auto"/>
                                                        <w:bottom w:val="none" w:sz="0" w:space="0" w:color="auto"/>
                                                        <w:right w:val="none" w:sz="0" w:space="0" w:color="auto"/>
                                                      </w:divBdr>
                                                      <w:divsChild>
                                                        <w:div w:id="131993122">
                                                          <w:marLeft w:val="0"/>
                                                          <w:marRight w:val="0"/>
                                                          <w:marTop w:val="0"/>
                                                          <w:marBottom w:val="0"/>
                                                          <w:divBdr>
                                                            <w:top w:val="none" w:sz="0" w:space="0" w:color="auto"/>
                                                            <w:left w:val="none" w:sz="0" w:space="0" w:color="auto"/>
                                                            <w:bottom w:val="none" w:sz="0" w:space="0" w:color="auto"/>
                                                            <w:right w:val="none" w:sz="0" w:space="0" w:color="auto"/>
                                                          </w:divBdr>
                                                          <w:divsChild>
                                                            <w:div w:id="421337387">
                                                              <w:marLeft w:val="0"/>
                                                              <w:marRight w:val="0"/>
                                                              <w:marTop w:val="0"/>
                                                              <w:marBottom w:val="0"/>
                                                              <w:divBdr>
                                                                <w:top w:val="none" w:sz="0" w:space="0" w:color="auto"/>
                                                                <w:left w:val="none" w:sz="0" w:space="0" w:color="auto"/>
                                                                <w:bottom w:val="none" w:sz="0" w:space="0" w:color="auto"/>
                                                                <w:right w:val="none" w:sz="0" w:space="0" w:color="auto"/>
                                                              </w:divBdr>
                                                              <w:divsChild>
                                                                <w:div w:id="987634760">
                                                                  <w:marLeft w:val="0"/>
                                                                  <w:marRight w:val="0"/>
                                                                  <w:marTop w:val="0"/>
                                                                  <w:marBottom w:val="0"/>
                                                                  <w:divBdr>
                                                                    <w:top w:val="none" w:sz="0" w:space="0" w:color="auto"/>
                                                                    <w:left w:val="none" w:sz="0" w:space="0" w:color="auto"/>
                                                                    <w:bottom w:val="none" w:sz="0" w:space="0" w:color="auto"/>
                                                                    <w:right w:val="none" w:sz="0" w:space="0" w:color="auto"/>
                                                                  </w:divBdr>
                                                                  <w:divsChild>
                                                                    <w:div w:id="1390491740">
                                                                      <w:marLeft w:val="0"/>
                                                                      <w:marRight w:val="0"/>
                                                                      <w:marTop w:val="0"/>
                                                                      <w:marBottom w:val="0"/>
                                                                      <w:divBdr>
                                                                        <w:top w:val="none" w:sz="0" w:space="0" w:color="auto"/>
                                                                        <w:left w:val="none" w:sz="0" w:space="0" w:color="auto"/>
                                                                        <w:bottom w:val="none" w:sz="0" w:space="0" w:color="auto"/>
                                                                        <w:right w:val="none" w:sz="0" w:space="0" w:color="auto"/>
                                                                      </w:divBdr>
                                                                      <w:divsChild>
                                                                        <w:div w:id="303505459">
                                                                          <w:marLeft w:val="0"/>
                                                                          <w:marRight w:val="0"/>
                                                                          <w:marTop w:val="0"/>
                                                                          <w:marBottom w:val="0"/>
                                                                          <w:divBdr>
                                                                            <w:top w:val="none" w:sz="0" w:space="0" w:color="auto"/>
                                                                            <w:left w:val="none" w:sz="0" w:space="0" w:color="auto"/>
                                                                            <w:bottom w:val="none" w:sz="0" w:space="0" w:color="auto"/>
                                                                            <w:right w:val="none" w:sz="0" w:space="0" w:color="auto"/>
                                                                          </w:divBdr>
                                                                          <w:divsChild>
                                                                            <w:div w:id="1707636998">
                                                                              <w:marLeft w:val="0"/>
                                                                              <w:marRight w:val="0"/>
                                                                              <w:marTop w:val="0"/>
                                                                              <w:marBottom w:val="0"/>
                                                                              <w:divBdr>
                                                                                <w:top w:val="none" w:sz="0" w:space="0" w:color="auto"/>
                                                                                <w:left w:val="none" w:sz="0" w:space="0" w:color="auto"/>
                                                                                <w:bottom w:val="none" w:sz="0" w:space="0" w:color="auto"/>
                                                                                <w:right w:val="none" w:sz="0" w:space="0" w:color="auto"/>
                                                                              </w:divBdr>
                                                                              <w:divsChild>
                                                                                <w:div w:id="1427119295">
                                                                                  <w:marLeft w:val="0"/>
                                                                                  <w:marRight w:val="0"/>
                                                                                  <w:marTop w:val="0"/>
                                                                                  <w:marBottom w:val="0"/>
                                                                                  <w:divBdr>
                                                                                    <w:top w:val="none" w:sz="0" w:space="0" w:color="auto"/>
                                                                                    <w:left w:val="none" w:sz="0" w:space="0" w:color="auto"/>
                                                                                    <w:bottom w:val="none" w:sz="0" w:space="0" w:color="auto"/>
                                                                                    <w:right w:val="none" w:sz="0" w:space="0" w:color="auto"/>
                                                                                  </w:divBdr>
                                                                                  <w:divsChild>
                                                                                    <w:div w:id="597297995">
                                                                                      <w:marLeft w:val="0"/>
                                                                                      <w:marRight w:val="0"/>
                                                                                      <w:marTop w:val="0"/>
                                                                                      <w:marBottom w:val="0"/>
                                                                                      <w:divBdr>
                                                                                        <w:top w:val="none" w:sz="0" w:space="0" w:color="auto"/>
                                                                                        <w:left w:val="none" w:sz="0" w:space="0" w:color="auto"/>
                                                                                        <w:bottom w:val="none" w:sz="0" w:space="0" w:color="auto"/>
                                                                                        <w:right w:val="none" w:sz="0" w:space="0" w:color="auto"/>
                                                                                      </w:divBdr>
                                                                                      <w:divsChild>
                                                                                        <w:div w:id="756681963">
                                                                                          <w:marLeft w:val="0"/>
                                                                                          <w:marRight w:val="0"/>
                                                                                          <w:marTop w:val="0"/>
                                                                                          <w:marBottom w:val="0"/>
                                                                                          <w:divBdr>
                                                                                            <w:top w:val="none" w:sz="0" w:space="0" w:color="auto"/>
                                                                                            <w:left w:val="none" w:sz="0" w:space="0" w:color="auto"/>
                                                                                            <w:bottom w:val="none" w:sz="0" w:space="0" w:color="auto"/>
                                                                                            <w:right w:val="none" w:sz="0" w:space="0" w:color="auto"/>
                                                                                          </w:divBdr>
                                                                                          <w:divsChild>
                                                                                            <w:div w:id="14287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47143">
      <w:bodyDiv w:val="1"/>
      <w:marLeft w:val="0"/>
      <w:marRight w:val="0"/>
      <w:marTop w:val="0"/>
      <w:marBottom w:val="0"/>
      <w:divBdr>
        <w:top w:val="none" w:sz="0" w:space="0" w:color="auto"/>
        <w:left w:val="none" w:sz="0" w:space="0" w:color="auto"/>
        <w:bottom w:val="none" w:sz="0" w:space="0" w:color="auto"/>
        <w:right w:val="none" w:sz="0" w:space="0" w:color="auto"/>
      </w:divBdr>
      <w:divsChild>
        <w:div w:id="307905145">
          <w:marLeft w:val="0"/>
          <w:marRight w:val="0"/>
          <w:marTop w:val="0"/>
          <w:marBottom w:val="0"/>
          <w:divBdr>
            <w:top w:val="none" w:sz="0" w:space="0" w:color="auto"/>
            <w:left w:val="none" w:sz="0" w:space="0" w:color="auto"/>
            <w:bottom w:val="none" w:sz="0" w:space="0" w:color="auto"/>
            <w:right w:val="none" w:sz="0" w:space="0" w:color="auto"/>
          </w:divBdr>
          <w:divsChild>
            <w:div w:id="953900596">
              <w:marLeft w:val="0"/>
              <w:marRight w:val="0"/>
              <w:marTop w:val="0"/>
              <w:marBottom w:val="0"/>
              <w:divBdr>
                <w:top w:val="none" w:sz="0" w:space="0" w:color="auto"/>
                <w:left w:val="none" w:sz="0" w:space="0" w:color="auto"/>
                <w:bottom w:val="none" w:sz="0" w:space="0" w:color="auto"/>
                <w:right w:val="none" w:sz="0" w:space="0" w:color="auto"/>
              </w:divBdr>
              <w:divsChild>
                <w:div w:id="534469536">
                  <w:marLeft w:val="0"/>
                  <w:marRight w:val="0"/>
                  <w:marTop w:val="0"/>
                  <w:marBottom w:val="0"/>
                  <w:divBdr>
                    <w:top w:val="none" w:sz="0" w:space="0" w:color="auto"/>
                    <w:left w:val="none" w:sz="0" w:space="0" w:color="auto"/>
                    <w:bottom w:val="none" w:sz="0" w:space="0" w:color="auto"/>
                    <w:right w:val="none" w:sz="0" w:space="0" w:color="auto"/>
                  </w:divBdr>
                  <w:divsChild>
                    <w:div w:id="1885828392">
                      <w:marLeft w:val="0"/>
                      <w:marRight w:val="0"/>
                      <w:marTop w:val="0"/>
                      <w:marBottom w:val="0"/>
                      <w:divBdr>
                        <w:top w:val="none" w:sz="0" w:space="0" w:color="auto"/>
                        <w:left w:val="none" w:sz="0" w:space="0" w:color="auto"/>
                        <w:bottom w:val="none" w:sz="0" w:space="0" w:color="auto"/>
                        <w:right w:val="none" w:sz="0" w:space="0" w:color="auto"/>
                      </w:divBdr>
                      <w:divsChild>
                        <w:div w:id="2060474761">
                          <w:marLeft w:val="0"/>
                          <w:marRight w:val="0"/>
                          <w:marTop w:val="0"/>
                          <w:marBottom w:val="0"/>
                          <w:divBdr>
                            <w:top w:val="none" w:sz="0" w:space="0" w:color="auto"/>
                            <w:left w:val="none" w:sz="0" w:space="0" w:color="auto"/>
                            <w:bottom w:val="none" w:sz="0" w:space="0" w:color="auto"/>
                            <w:right w:val="none" w:sz="0" w:space="0" w:color="auto"/>
                          </w:divBdr>
                          <w:divsChild>
                            <w:div w:id="1542932918">
                              <w:marLeft w:val="0"/>
                              <w:marRight w:val="0"/>
                              <w:marTop w:val="0"/>
                              <w:marBottom w:val="0"/>
                              <w:divBdr>
                                <w:top w:val="none" w:sz="0" w:space="0" w:color="auto"/>
                                <w:left w:val="none" w:sz="0" w:space="0" w:color="auto"/>
                                <w:bottom w:val="none" w:sz="0" w:space="0" w:color="auto"/>
                                <w:right w:val="none" w:sz="0" w:space="0" w:color="auto"/>
                              </w:divBdr>
                              <w:divsChild>
                                <w:div w:id="2008358139">
                                  <w:marLeft w:val="0"/>
                                  <w:marRight w:val="0"/>
                                  <w:marTop w:val="0"/>
                                  <w:marBottom w:val="0"/>
                                  <w:divBdr>
                                    <w:top w:val="none" w:sz="0" w:space="0" w:color="auto"/>
                                    <w:left w:val="none" w:sz="0" w:space="0" w:color="auto"/>
                                    <w:bottom w:val="none" w:sz="0" w:space="0" w:color="auto"/>
                                    <w:right w:val="none" w:sz="0" w:space="0" w:color="auto"/>
                                  </w:divBdr>
                                  <w:divsChild>
                                    <w:div w:id="1270888105">
                                      <w:marLeft w:val="0"/>
                                      <w:marRight w:val="0"/>
                                      <w:marTop w:val="0"/>
                                      <w:marBottom w:val="0"/>
                                      <w:divBdr>
                                        <w:top w:val="none" w:sz="0" w:space="0" w:color="auto"/>
                                        <w:left w:val="none" w:sz="0" w:space="0" w:color="auto"/>
                                        <w:bottom w:val="none" w:sz="0" w:space="0" w:color="auto"/>
                                        <w:right w:val="none" w:sz="0" w:space="0" w:color="auto"/>
                                      </w:divBdr>
                                      <w:divsChild>
                                        <w:div w:id="1454669605">
                                          <w:marLeft w:val="0"/>
                                          <w:marRight w:val="0"/>
                                          <w:marTop w:val="0"/>
                                          <w:marBottom w:val="0"/>
                                          <w:divBdr>
                                            <w:top w:val="none" w:sz="0" w:space="0" w:color="auto"/>
                                            <w:left w:val="none" w:sz="0" w:space="0" w:color="auto"/>
                                            <w:bottom w:val="none" w:sz="0" w:space="0" w:color="auto"/>
                                            <w:right w:val="none" w:sz="0" w:space="0" w:color="auto"/>
                                          </w:divBdr>
                                          <w:divsChild>
                                            <w:div w:id="1375884620">
                                              <w:marLeft w:val="0"/>
                                              <w:marRight w:val="0"/>
                                              <w:marTop w:val="0"/>
                                              <w:marBottom w:val="0"/>
                                              <w:divBdr>
                                                <w:top w:val="none" w:sz="0" w:space="0" w:color="auto"/>
                                                <w:left w:val="none" w:sz="0" w:space="0" w:color="auto"/>
                                                <w:bottom w:val="none" w:sz="0" w:space="0" w:color="auto"/>
                                                <w:right w:val="none" w:sz="0" w:space="0" w:color="auto"/>
                                              </w:divBdr>
                                              <w:divsChild>
                                                <w:div w:id="2110655961">
                                                  <w:marLeft w:val="0"/>
                                                  <w:marRight w:val="0"/>
                                                  <w:marTop w:val="0"/>
                                                  <w:marBottom w:val="0"/>
                                                  <w:divBdr>
                                                    <w:top w:val="none" w:sz="0" w:space="0" w:color="auto"/>
                                                    <w:left w:val="none" w:sz="0" w:space="0" w:color="auto"/>
                                                    <w:bottom w:val="none" w:sz="0" w:space="0" w:color="auto"/>
                                                    <w:right w:val="none" w:sz="0" w:space="0" w:color="auto"/>
                                                  </w:divBdr>
                                                  <w:divsChild>
                                                    <w:div w:id="1134132192">
                                                      <w:marLeft w:val="0"/>
                                                      <w:marRight w:val="0"/>
                                                      <w:marTop w:val="0"/>
                                                      <w:marBottom w:val="0"/>
                                                      <w:divBdr>
                                                        <w:top w:val="none" w:sz="0" w:space="0" w:color="auto"/>
                                                        <w:left w:val="none" w:sz="0" w:space="0" w:color="auto"/>
                                                        <w:bottom w:val="none" w:sz="0" w:space="0" w:color="auto"/>
                                                        <w:right w:val="none" w:sz="0" w:space="0" w:color="auto"/>
                                                      </w:divBdr>
                                                      <w:divsChild>
                                                        <w:div w:id="213154626">
                                                          <w:marLeft w:val="0"/>
                                                          <w:marRight w:val="0"/>
                                                          <w:marTop w:val="0"/>
                                                          <w:marBottom w:val="0"/>
                                                          <w:divBdr>
                                                            <w:top w:val="none" w:sz="0" w:space="0" w:color="auto"/>
                                                            <w:left w:val="none" w:sz="0" w:space="0" w:color="auto"/>
                                                            <w:bottom w:val="none" w:sz="0" w:space="0" w:color="auto"/>
                                                            <w:right w:val="none" w:sz="0" w:space="0" w:color="auto"/>
                                                          </w:divBdr>
                                                          <w:divsChild>
                                                            <w:div w:id="64883006">
                                                              <w:marLeft w:val="0"/>
                                                              <w:marRight w:val="0"/>
                                                              <w:marTop w:val="0"/>
                                                              <w:marBottom w:val="0"/>
                                                              <w:divBdr>
                                                                <w:top w:val="none" w:sz="0" w:space="0" w:color="auto"/>
                                                                <w:left w:val="none" w:sz="0" w:space="0" w:color="auto"/>
                                                                <w:bottom w:val="none" w:sz="0" w:space="0" w:color="auto"/>
                                                                <w:right w:val="none" w:sz="0" w:space="0" w:color="auto"/>
                                                              </w:divBdr>
                                                              <w:divsChild>
                                                                <w:div w:id="932586595">
                                                                  <w:marLeft w:val="0"/>
                                                                  <w:marRight w:val="0"/>
                                                                  <w:marTop w:val="0"/>
                                                                  <w:marBottom w:val="0"/>
                                                                  <w:divBdr>
                                                                    <w:top w:val="none" w:sz="0" w:space="0" w:color="auto"/>
                                                                    <w:left w:val="none" w:sz="0" w:space="0" w:color="auto"/>
                                                                    <w:bottom w:val="none" w:sz="0" w:space="0" w:color="auto"/>
                                                                    <w:right w:val="none" w:sz="0" w:space="0" w:color="auto"/>
                                                                  </w:divBdr>
                                                                  <w:divsChild>
                                                                    <w:div w:id="1088501121">
                                                                      <w:marLeft w:val="0"/>
                                                                      <w:marRight w:val="0"/>
                                                                      <w:marTop w:val="0"/>
                                                                      <w:marBottom w:val="0"/>
                                                                      <w:divBdr>
                                                                        <w:top w:val="none" w:sz="0" w:space="0" w:color="auto"/>
                                                                        <w:left w:val="none" w:sz="0" w:space="0" w:color="auto"/>
                                                                        <w:bottom w:val="none" w:sz="0" w:space="0" w:color="auto"/>
                                                                        <w:right w:val="none" w:sz="0" w:space="0" w:color="auto"/>
                                                                      </w:divBdr>
                                                                      <w:divsChild>
                                                                        <w:div w:id="1980960681">
                                                                          <w:marLeft w:val="0"/>
                                                                          <w:marRight w:val="0"/>
                                                                          <w:marTop w:val="0"/>
                                                                          <w:marBottom w:val="0"/>
                                                                          <w:divBdr>
                                                                            <w:top w:val="none" w:sz="0" w:space="0" w:color="auto"/>
                                                                            <w:left w:val="none" w:sz="0" w:space="0" w:color="auto"/>
                                                                            <w:bottom w:val="none" w:sz="0" w:space="0" w:color="auto"/>
                                                                            <w:right w:val="none" w:sz="0" w:space="0" w:color="auto"/>
                                                                          </w:divBdr>
                                                                          <w:divsChild>
                                                                            <w:div w:id="239608877">
                                                                              <w:marLeft w:val="0"/>
                                                                              <w:marRight w:val="0"/>
                                                                              <w:marTop w:val="0"/>
                                                                              <w:marBottom w:val="0"/>
                                                                              <w:divBdr>
                                                                                <w:top w:val="none" w:sz="0" w:space="0" w:color="auto"/>
                                                                                <w:left w:val="none" w:sz="0" w:space="0" w:color="auto"/>
                                                                                <w:bottom w:val="none" w:sz="0" w:space="0" w:color="auto"/>
                                                                                <w:right w:val="none" w:sz="0" w:space="0" w:color="auto"/>
                                                                              </w:divBdr>
                                                                              <w:divsChild>
                                                                                <w:div w:id="1879388194">
                                                                                  <w:marLeft w:val="0"/>
                                                                                  <w:marRight w:val="0"/>
                                                                                  <w:marTop w:val="0"/>
                                                                                  <w:marBottom w:val="0"/>
                                                                                  <w:divBdr>
                                                                                    <w:top w:val="none" w:sz="0" w:space="0" w:color="auto"/>
                                                                                    <w:left w:val="none" w:sz="0" w:space="0" w:color="auto"/>
                                                                                    <w:bottom w:val="none" w:sz="0" w:space="0" w:color="auto"/>
                                                                                    <w:right w:val="none" w:sz="0" w:space="0" w:color="auto"/>
                                                                                  </w:divBdr>
                                                                                  <w:divsChild>
                                                                                    <w:div w:id="879171512">
                                                                                      <w:marLeft w:val="0"/>
                                                                                      <w:marRight w:val="0"/>
                                                                                      <w:marTop w:val="0"/>
                                                                                      <w:marBottom w:val="0"/>
                                                                                      <w:divBdr>
                                                                                        <w:top w:val="none" w:sz="0" w:space="0" w:color="auto"/>
                                                                                        <w:left w:val="none" w:sz="0" w:space="0" w:color="auto"/>
                                                                                        <w:bottom w:val="none" w:sz="0" w:space="0" w:color="auto"/>
                                                                                        <w:right w:val="none" w:sz="0" w:space="0" w:color="auto"/>
                                                                                      </w:divBdr>
                                                                                      <w:divsChild>
                                                                                        <w:div w:id="2083482906">
                                                                                          <w:marLeft w:val="0"/>
                                                                                          <w:marRight w:val="0"/>
                                                                                          <w:marTop w:val="0"/>
                                                                                          <w:marBottom w:val="0"/>
                                                                                          <w:divBdr>
                                                                                            <w:top w:val="none" w:sz="0" w:space="0" w:color="auto"/>
                                                                                            <w:left w:val="none" w:sz="0" w:space="0" w:color="auto"/>
                                                                                            <w:bottom w:val="none" w:sz="0" w:space="0" w:color="auto"/>
                                                                                            <w:right w:val="none" w:sz="0" w:space="0" w:color="auto"/>
                                                                                          </w:divBdr>
                                                                                          <w:divsChild>
                                                                                            <w:div w:id="15891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ederalis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D7A61-2248-45E3-9627-54FE33C5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4812</Words>
  <Characters>27430</Characters>
  <Application>Microsoft Office Word</Application>
  <DocSecurity>0</DocSecurity>
  <Lines>228</Lines>
  <Paragraphs>64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PAOLO AMICARELLI</dc:creator>
  <cp:keywords/>
  <dc:description/>
  <cp:lastModifiedBy>Bonacchi, Mauro</cp:lastModifiedBy>
  <cp:revision>2</cp:revision>
  <dcterms:created xsi:type="dcterms:W3CDTF">2019-09-20T11:52:00Z</dcterms:created>
  <dcterms:modified xsi:type="dcterms:W3CDTF">2019-09-20T11:52:00Z</dcterms:modified>
</cp:coreProperties>
</file>