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71" w:rsidRPr="00F236DD" w:rsidRDefault="00513771" w:rsidP="00F236DD">
      <w:pPr>
        <w:spacing w:after="0" w:line="240" w:lineRule="auto"/>
        <w:jc w:val="center"/>
        <w:rPr>
          <w:b/>
          <w:i/>
          <w:sz w:val="48"/>
          <w:szCs w:val="48"/>
          <w:vertAlign w:val="subscript"/>
        </w:rPr>
      </w:pPr>
      <w:bookmarkStart w:id="0" w:name="_GoBack"/>
      <w:bookmarkEnd w:id="0"/>
      <w:r w:rsidRPr="005E1385">
        <w:rPr>
          <w:b/>
          <w:i/>
          <w:sz w:val="48"/>
          <w:szCs w:val="48"/>
          <w:vertAlign w:val="subscript"/>
        </w:rPr>
        <w:t xml:space="preserve">La trasparenza delle decisioni e il linguaggio </w:t>
      </w:r>
      <w:r w:rsidRPr="00F236DD">
        <w:rPr>
          <w:b/>
          <w:i/>
          <w:sz w:val="48"/>
          <w:szCs w:val="48"/>
          <w:vertAlign w:val="subscript"/>
        </w:rPr>
        <w:t>del giudice.</w:t>
      </w:r>
    </w:p>
    <w:p w:rsidR="00513771" w:rsidRDefault="00513771" w:rsidP="00F236DD">
      <w:pPr>
        <w:spacing w:after="0" w:line="240" w:lineRule="auto"/>
        <w:jc w:val="center"/>
        <w:rPr>
          <w:b/>
          <w:i/>
          <w:sz w:val="48"/>
          <w:szCs w:val="48"/>
          <w:vertAlign w:val="subscript"/>
        </w:rPr>
      </w:pPr>
      <w:r w:rsidRPr="00F236DD">
        <w:rPr>
          <w:b/>
          <w:i/>
          <w:sz w:val="48"/>
          <w:szCs w:val="48"/>
          <w:vertAlign w:val="subscript"/>
        </w:rPr>
        <w:t>La prevedibilità e la sicurezza giuridica</w:t>
      </w:r>
      <w:r w:rsidR="005853E8" w:rsidRPr="005853E8">
        <w:rPr>
          <w:rStyle w:val="FootnoteReference"/>
          <w:b/>
          <w:i/>
          <w:sz w:val="20"/>
          <w:szCs w:val="20"/>
        </w:rPr>
        <w:footnoteReference w:customMarkFollows="1" w:id="1"/>
        <w:sym w:font="Symbol" w:char="F02A"/>
      </w:r>
    </w:p>
    <w:p w:rsidR="00981CAA" w:rsidRPr="00981CAA" w:rsidRDefault="00981CAA" w:rsidP="00981CAA">
      <w:pPr>
        <w:spacing w:after="0" w:line="240" w:lineRule="auto"/>
        <w:jc w:val="center"/>
        <w:rPr>
          <w:i/>
          <w:sz w:val="32"/>
          <w:szCs w:val="32"/>
          <w:vertAlign w:val="subscript"/>
        </w:rPr>
      </w:pPr>
    </w:p>
    <w:p w:rsidR="00981CAA" w:rsidRPr="005853E8" w:rsidRDefault="00981CAA" w:rsidP="00981CAA">
      <w:pPr>
        <w:spacing w:after="0" w:line="240" w:lineRule="auto"/>
        <w:jc w:val="center"/>
        <w:rPr>
          <w:sz w:val="32"/>
          <w:szCs w:val="32"/>
          <w:vertAlign w:val="subscript"/>
        </w:rPr>
      </w:pPr>
    </w:p>
    <w:p w:rsidR="005853E8" w:rsidRDefault="005853E8" w:rsidP="00981CAA">
      <w:pPr>
        <w:spacing w:after="0" w:line="240" w:lineRule="auto"/>
        <w:jc w:val="center"/>
        <w:rPr>
          <w:sz w:val="32"/>
          <w:szCs w:val="32"/>
          <w:vertAlign w:val="subscript"/>
        </w:rPr>
        <w:sectPr w:rsidR="005853E8" w:rsidSect="00EA76B2">
          <w:headerReference w:type="default" r:id="rId7"/>
          <w:footnotePr>
            <w:numRestart w:val="eachSect"/>
          </w:footnotePr>
          <w:type w:val="continuous"/>
          <w:pgSz w:w="11906" w:h="16838"/>
          <w:pgMar w:top="1417" w:right="1134" w:bottom="1134" w:left="1134" w:header="708" w:footer="708" w:gutter="0"/>
          <w:cols w:space="708"/>
          <w:docGrid w:linePitch="360"/>
        </w:sectPr>
      </w:pPr>
    </w:p>
    <w:p w:rsidR="005853E8" w:rsidRDefault="005853E8" w:rsidP="00981CAA">
      <w:pPr>
        <w:spacing w:after="0" w:line="240" w:lineRule="auto"/>
        <w:jc w:val="center"/>
        <w:rPr>
          <w:sz w:val="32"/>
          <w:szCs w:val="32"/>
          <w:vertAlign w:val="subscript"/>
        </w:rPr>
      </w:pPr>
    </w:p>
    <w:p w:rsidR="005853E8" w:rsidRPr="005853E8" w:rsidRDefault="005853E8" w:rsidP="00981CAA">
      <w:pPr>
        <w:spacing w:after="0" w:line="240" w:lineRule="auto"/>
        <w:jc w:val="center"/>
        <w:rPr>
          <w:sz w:val="32"/>
          <w:szCs w:val="32"/>
          <w:vertAlign w:val="subscript"/>
        </w:rPr>
      </w:pPr>
    </w:p>
    <w:p w:rsidR="005853E8" w:rsidRPr="003D58C4" w:rsidRDefault="005853E8" w:rsidP="005853E8">
      <w:pPr>
        <w:jc w:val="center"/>
        <w:rPr>
          <w:sz w:val="28"/>
          <w:szCs w:val="28"/>
        </w:rPr>
      </w:pPr>
      <w:r w:rsidRPr="003D58C4">
        <w:rPr>
          <w:sz w:val="28"/>
          <w:szCs w:val="28"/>
        </w:rPr>
        <w:t>I</w:t>
      </w:r>
    </w:p>
    <w:p w:rsidR="00513771" w:rsidRPr="008C2D8A" w:rsidRDefault="00513771" w:rsidP="00513771">
      <w:pPr>
        <w:ind w:firstLine="708"/>
        <w:jc w:val="both"/>
        <w:rPr>
          <w:sz w:val="28"/>
          <w:szCs w:val="28"/>
          <w:lang w:val="fr-FR"/>
        </w:rPr>
      </w:pPr>
      <w:r w:rsidRPr="003D58C4">
        <w:rPr>
          <w:i/>
          <w:sz w:val="28"/>
          <w:szCs w:val="28"/>
          <w:lang w:val="fr-FR"/>
        </w:rPr>
        <w:t xml:space="preserve">«Mais les juges de la nation ne sont, comme nous </w:t>
      </w:r>
      <w:r w:rsidRPr="008C2D8A">
        <w:rPr>
          <w:i/>
          <w:sz w:val="28"/>
          <w:szCs w:val="28"/>
          <w:lang w:val="fr-FR"/>
        </w:rPr>
        <w:t>avons dit, que la bouche qui prononce les paroles de la loi; des êtres inanimés, qui n'en peuvent modérer ni la force ni la rigueur»</w:t>
      </w:r>
      <w:r w:rsidRPr="008C2D8A">
        <w:rPr>
          <w:rStyle w:val="FootnoteReference"/>
          <w:sz w:val="28"/>
          <w:szCs w:val="28"/>
          <w:lang w:val="fr-FR"/>
        </w:rPr>
        <w:footnoteReference w:id="2"/>
      </w:r>
      <w:r w:rsidRPr="008C2D8A">
        <w:rPr>
          <w:sz w:val="28"/>
          <w:szCs w:val="28"/>
          <w:lang w:val="fr-FR"/>
        </w:rPr>
        <w:t>.</w:t>
      </w:r>
    </w:p>
    <w:p w:rsidR="00513771" w:rsidRPr="003D58C4" w:rsidRDefault="00746FA2" w:rsidP="00513771">
      <w:pPr>
        <w:ind w:firstLine="708"/>
        <w:jc w:val="both"/>
        <w:rPr>
          <w:sz w:val="28"/>
          <w:szCs w:val="28"/>
        </w:rPr>
      </w:pPr>
      <w:r w:rsidRPr="00746FA2">
        <w:rPr>
          <w:sz w:val="28"/>
          <w:szCs w:val="28"/>
        </w:rPr>
        <w:t xml:space="preserve">Da decenni è quasi di stile la confutazione di questa celebre </w:t>
      </w:r>
      <w:r w:rsidR="00753338" w:rsidRPr="00746FA2">
        <w:rPr>
          <w:sz w:val="28"/>
          <w:szCs w:val="28"/>
        </w:rPr>
        <w:t>propo</w:t>
      </w:r>
      <w:r w:rsidR="00753338">
        <w:rPr>
          <w:sz w:val="28"/>
          <w:szCs w:val="28"/>
        </w:rPr>
        <w:t xml:space="preserve">sizione </w:t>
      </w:r>
      <w:r w:rsidRPr="00746FA2">
        <w:rPr>
          <w:sz w:val="28"/>
          <w:szCs w:val="28"/>
        </w:rPr>
        <w:t xml:space="preserve">di Montesquieu. Nondimeno, recentemente è stato autorevolmente detto che </w:t>
      </w:r>
      <w:r w:rsidR="00513771" w:rsidRPr="003D58C4">
        <w:rPr>
          <w:i/>
          <w:sz w:val="28"/>
          <w:szCs w:val="28"/>
        </w:rPr>
        <w:t xml:space="preserve">“esalta e garantisce la </w:t>
      </w:r>
      <w:r w:rsidR="00513771" w:rsidRPr="003D58C4">
        <w:rPr>
          <w:sz w:val="28"/>
          <w:szCs w:val="28"/>
        </w:rPr>
        <w:t>grandezza del giudizio legale</w:t>
      </w:r>
      <w:r w:rsidR="00513771" w:rsidRPr="003D58C4">
        <w:rPr>
          <w:i/>
          <w:sz w:val="28"/>
          <w:szCs w:val="28"/>
        </w:rPr>
        <w:t>, la relazione di coerenza e lealtà fra norma e decisione del caso concreto”</w:t>
      </w:r>
      <w:r w:rsidR="00513771" w:rsidRPr="003D58C4">
        <w:rPr>
          <w:sz w:val="28"/>
          <w:szCs w:val="28"/>
        </w:rPr>
        <w:t xml:space="preserve">, che </w:t>
      </w:r>
      <w:r w:rsidR="00513771" w:rsidRPr="003D58C4">
        <w:rPr>
          <w:i/>
          <w:sz w:val="28"/>
          <w:szCs w:val="28"/>
        </w:rPr>
        <w:t>“convertendo le ‘parole della legge’ in ‘parole della sentenza’, decide la controversia in modo ‘inanimato’, cioè oggettivo e impersonale”</w:t>
      </w:r>
      <w:r w:rsidR="00513771" w:rsidRPr="003D58C4">
        <w:rPr>
          <w:sz w:val="28"/>
          <w:szCs w:val="28"/>
        </w:rPr>
        <w:t xml:space="preserve">: </w:t>
      </w:r>
      <w:r w:rsidR="00513771" w:rsidRPr="003D58C4">
        <w:rPr>
          <w:i/>
          <w:sz w:val="28"/>
          <w:szCs w:val="28"/>
        </w:rPr>
        <w:t xml:space="preserve">“circolo logico [... che] assicura la </w:t>
      </w:r>
      <w:r w:rsidR="00513771" w:rsidRPr="003D58C4">
        <w:rPr>
          <w:sz w:val="28"/>
          <w:szCs w:val="28"/>
        </w:rPr>
        <w:t>calcolabilità</w:t>
      </w:r>
      <w:r w:rsidR="00513771" w:rsidRPr="003D58C4">
        <w:rPr>
          <w:i/>
          <w:sz w:val="28"/>
          <w:szCs w:val="28"/>
        </w:rPr>
        <w:t xml:space="preserve"> delle decisioni giudiziarie, le quali dipendono dal paragone fra schema normativo e fatto concreto”</w:t>
      </w:r>
      <w:r w:rsidR="00513771" w:rsidRPr="003D58C4">
        <w:rPr>
          <w:sz w:val="28"/>
          <w:szCs w:val="28"/>
        </w:rPr>
        <w:t xml:space="preserve">: proposizione </w:t>
      </w:r>
      <w:r w:rsidR="00513771" w:rsidRPr="003D58C4">
        <w:rPr>
          <w:i/>
          <w:sz w:val="28"/>
          <w:szCs w:val="28"/>
        </w:rPr>
        <w:t>“irrisa da zelanti o incolti novatori”</w:t>
      </w:r>
      <w:r w:rsidR="00513771" w:rsidRPr="003D58C4">
        <w:rPr>
          <w:rStyle w:val="FootnoteReference"/>
          <w:sz w:val="28"/>
          <w:szCs w:val="28"/>
        </w:rPr>
        <w:footnoteReference w:id="3"/>
      </w:r>
      <w:r w:rsidR="00E74AD9">
        <w:rPr>
          <w:sz w:val="28"/>
          <w:szCs w:val="28"/>
        </w:rPr>
        <w:t>:</w:t>
      </w:r>
      <w:r w:rsidR="00513771" w:rsidRPr="003D58C4">
        <w:rPr>
          <w:sz w:val="28"/>
          <w:szCs w:val="28"/>
        </w:rPr>
        <w:t xml:space="preserve"> spesso </w:t>
      </w:r>
      <w:r w:rsidR="00E74AD9">
        <w:rPr>
          <w:sz w:val="28"/>
          <w:szCs w:val="28"/>
        </w:rPr>
        <w:t xml:space="preserve">– si può aggiungere - </w:t>
      </w:r>
      <w:r w:rsidR="00513771" w:rsidRPr="003D58C4">
        <w:rPr>
          <w:sz w:val="28"/>
          <w:szCs w:val="28"/>
        </w:rPr>
        <w:t>non consapevoli de</w:t>
      </w:r>
      <w:r w:rsidR="00E2129B">
        <w:rPr>
          <w:sz w:val="28"/>
          <w:szCs w:val="28"/>
        </w:rPr>
        <w:t xml:space="preserve">lle derive </w:t>
      </w:r>
      <w:r w:rsidR="00513771" w:rsidRPr="003D58C4">
        <w:rPr>
          <w:sz w:val="28"/>
          <w:szCs w:val="28"/>
        </w:rPr>
        <w:t>dell’‘interpretazione illimitata’</w:t>
      </w:r>
      <w:r w:rsidR="00513771" w:rsidRPr="003D58C4">
        <w:rPr>
          <w:rStyle w:val="FootnoteReference"/>
          <w:sz w:val="28"/>
          <w:szCs w:val="28"/>
        </w:rPr>
        <w:footnoteReference w:id="4"/>
      </w:r>
      <w:r w:rsidR="00513771" w:rsidRPr="003D58C4">
        <w:rPr>
          <w:sz w:val="28"/>
          <w:szCs w:val="28"/>
        </w:rPr>
        <w:t>.</w:t>
      </w:r>
    </w:p>
    <w:p w:rsidR="00513771" w:rsidRPr="004455E0" w:rsidRDefault="00513771" w:rsidP="00513771">
      <w:pPr>
        <w:ind w:firstLine="708"/>
        <w:jc w:val="both"/>
        <w:rPr>
          <w:sz w:val="28"/>
          <w:szCs w:val="28"/>
        </w:rPr>
      </w:pPr>
      <w:r w:rsidRPr="003D58C4">
        <w:rPr>
          <w:sz w:val="28"/>
          <w:szCs w:val="28"/>
        </w:rPr>
        <w:t xml:space="preserve">Siano comunque della legge o siano della propria creazione – ammettiamo per un attimo che questo sia possibile – le parole del giudice pur sempre </w:t>
      </w:r>
      <w:r w:rsidRPr="003D58C4">
        <w:rPr>
          <w:i/>
          <w:sz w:val="28"/>
          <w:szCs w:val="28"/>
        </w:rPr>
        <w:t xml:space="preserve">parole </w:t>
      </w:r>
      <w:r w:rsidRPr="003D58C4">
        <w:rPr>
          <w:sz w:val="28"/>
          <w:szCs w:val="28"/>
        </w:rPr>
        <w:t xml:space="preserve">sono. Come tali, compongono un </w:t>
      </w:r>
      <w:r w:rsidRPr="003D58C4">
        <w:rPr>
          <w:i/>
          <w:sz w:val="28"/>
          <w:szCs w:val="28"/>
        </w:rPr>
        <w:t>linguaggio</w:t>
      </w:r>
      <w:r w:rsidRPr="003D58C4">
        <w:rPr>
          <w:sz w:val="28"/>
          <w:szCs w:val="28"/>
        </w:rPr>
        <w:t xml:space="preserve">. Un </w:t>
      </w:r>
      <w:r w:rsidRPr="003D58C4">
        <w:rPr>
          <w:i/>
          <w:sz w:val="28"/>
          <w:szCs w:val="28"/>
        </w:rPr>
        <w:t>linguaggio</w:t>
      </w:r>
      <w:r w:rsidRPr="003D58C4">
        <w:rPr>
          <w:sz w:val="28"/>
          <w:szCs w:val="28"/>
        </w:rPr>
        <w:t xml:space="preserve"> è un sistema di segni vocali e comunque simbolici con cui un soggetto comunica ad altri soggetti il pensiero che intende esprimere. Per essere inteso in modo corrispondente all’intenzione dell’emittente, il linguaggio dev’essere </w:t>
      </w:r>
      <w:r w:rsidRPr="003D58C4">
        <w:rPr>
          <w:i/>
          <w:sz w:val="28"/>
          <w:szCs w:val="28"/>
        </w:rPr>
        <w:t>chiaro</w:t>
      </w:r>
      <w:r w:rsidRPr="003D58C4">
        <w:rPr>
          <w:sz w:val="28"/>
          <w:szCs w:val="28"/>
        </w:rPr>
        <w:t xml:space="preserve">: e, quante più volte l’emittente – o il gruppo di emittenti - parla, tanto più deve essere </w:t>
      </w:r>
      <w:r w:rsidRPr="003D58C4">
        <w:rPr>
          <w:i/>
          <w:sz w:val="28"/>
          <w:szCs w:val="28"/>
        </w:rPr>
        <w:t>coerente</w:t>
      </w:r>
      <w:r w:rsidRPr="003D58C4">
        <w:rPr>
          <w:sz w:val="28"/>
          <w:szCs w:val="28"/>
        </w:rPr>
        <w:t xml:space="preserve">, se egli vuole che i destinatari si regolino per il futuro uniformemente e conformemente a quelle comunicazioni. Di più: tanto più il linguaggio è </w:t>
      </w:r>
      <w:r w:rsidRPr="004455E0">
        <w:rPr>
          <w:sz w:val="28"/>
          <w:szCs w:val="28"/>
        </w:rPr>
        <w:t>uniforme, tanto più le varie comunicazioni raggiungono obiettivi unitari.</w:t>
      </w:r>
    </w:p>
    <w:p w:rsidR="00513771" w:rsidRPr="003D58C4" w:rsidRDefault="00513771" w:rsidP="00513771">
      <w:pPr>
        <w:ind w:firstLine="708"/>
        <w:jc w:val="both"/>
        <w:rPr>
          <w:sz w:val="28"/>
          <w:szCs w:val="28"/>
        </w:rPr>
      </w:pPr>
      <w:r w:rsidRPr="003D58C4">
        <w:rPr>
          <w:sz w:val="28"/>
          <w:szCs w:val="28"/>
        </w:rPr>
        <w:t>Questi concetti elementari della linguistica valgono ovviamente anche per il linguaggio dei giudici, o meglio delle decisioni giudiziarie</w:t>
      </w:r>
      <w:r w:rsidRPr="003D58C4">
        <w:rPr>
          <w:rStyle w:val="FootnoteReference"/>
          <w:sz w:val="28"/>
          <w:szCs w:val="28"/>
        </w:rPr>
        <w:footnoteReference w:id="5"/>
      </w:r>
      <w:r w:rsidRPr="003D58C4">
        <w:rPr>
          <w:sz w:val="28"/>
          <w:szCs w:val="28"/>
        </w:rPr>
        <w:t xml:space="preserve">. </w:t>
      </w:r>
      <w:r w:rsidR="004455E0">
        <w:rPr>
          <w:sz w:val="28"/>
          <w:szCs w:val="28"/>
        </w:rPr>
        <w:t>La relazione</w:t>
      </w:r>
      <w:r w:rsidRPr="003D58C4">
        <w:rPr>
          <w:sz w:val="28"/>
          <w:szCs w:val="28"/>
        </w:rPr>
        <w:t xml:space="preserve"> tra uniformità </w:t>
      </w:r>
      <w:r w:rsidR="004455E0">
        <w:rPr>
          <w:sz w:val="28"/>
          <w:szCs w:val="28"/>
        </w:rPr>
        <w:t xml:space="preserve">(del linguaggio) </w:t>
      </w:r>
      <w:r w:rsidRPr="003D58C4">
        <w:rPr>
          <w:sz w:val="28"/>
          <w:szCs w:val="28"/>
        </w:rPr>
        <w:t xml:space="preserve">e unitarietà </w:t>
      </w:r>
      <w:r w:rsidR="004455E0">
        <w:rPr>
          <w:sz w:val="28"/>
          <w:szCs w:val="28"/>
        </w:rPr>
        <w:t xml:space="preserve">(del </w:t>
      </w:r>
      <w:r w:rsidR="004455E0" w:rsidRPr="004455E0">
        <w:rPr>
          <w:i/>
          <w:sz w:val="28"/>
          <w:szCs w:val="28"/>
        </w:rPr>
        <w:t>ius dicere</w:t>
      </w:r>
      <w:r w:rsidR="004455E0">
        <w:rPr>
          <w:sz w:val="28"/>
          <w:szCs w:val="28"/>
        </w:rPr>
        <w:t xml:space="preserve">) </w:t>
      </w:r>
      <w:r w:rsidRPr="003D58C4">
        <w:rPr>
          <w:sz w:val="28"/>
          <w:szCs w:val="28"/>
        </w:rPr>
        <w:t xml:space="preserve">è </w:t>
      </w:r>
      <w:r w:rsidR="004455E0">
        <w:rPr>
          <w:sz w:val="28"/>
          <w:szCs w:val="28"/>
        </w:rPr>
        <w:t xml:space="preserve">infatti </w:t>
      </w:r>
      <w:r w:rsidRPr="003D58C4">
        <w:rPr>
          <w:sz w:val="28"/>
          <w:szCs w:val="28"/>
        </w:rPr>
        <w:t xml:space="preserve">un fondamento formale dell’elaborazione </w:t>
      </w:r>
      <w:r w:rsidR="00484FBF">
        <w:rPr>
          <w:sz w:val="28"/>
          <w:szCs w:val="28"/>
        </w:rPr>
        <w:t xml:space="preserve">della </w:t>
      </w:r>
      <w:r w:rsidRPr="00484FBF">
        <w:rPr>
          <w:sz w:val="28"/>
          <w:szCs w:val="28"/>
        </w:rPr>
        <w:t>giurisprudenza</w:t>
      </w:r>
      <w:r w:rsidRPr="003D58C4">
        <w:rPr>
          <w:sz w:val="28"/>
          <w:szCs w:val="28"/>
        </w:rPr>
        <w:t xml:space="preserve">. Non solo: nello Stato di diritto i giudici usano il linguaggio del diritto, il linguaggio giuridico, ricco di espressioni specializzate, di particolarismi terminologici, stilistici e sintattici il cui possesso è </w:t>
      </w:r>
      <w:r w:rsidR="004455E0">
        <w:rPr>
          <w:sz w:val="28"/>
          <w:szCs w:val="28"/>
        </w:rPr>
        <w:t xml:space="preserve">proprio </w:t>
      </w:r>
      <w:r w:rsidRPr="003D58C4">
        <w:rPr>
          <w:sz w:val="28"/>
          <w:szCs w:val="28"/>
        </w:rPr>
        <w:t xml:space="preserve">di apposite comunità tecnico-professionali, </w:t>
      </w:r>
      <w:r w:rsidR="004455E0">
        <w:rPr>
          <w:sz w:val="28"/>
          <w:szCs w:val="28"/>
        </w:rPr>
        <w:t>protagoniste</w:t>
      </w:r>
      <w:r w:rsidRPr="003D58C4">
        <w:rPr>
          <w:sz w:val="28"/>
          <w:szCs w:val="28"/>
        </w:rPr>
        <w:t xml:space="preserve"> e intermediat</w:t>
      </w:r>
      <w:r w:rsidR="004455E0">
        <w:rPr>
          <w:sz w:val="28"/>
          <w:szCs w:val="28"/>
        </w:rPr>
        <w:t xml:space="preserve">rici </w:t>
      </w:r>
      <w:r w:rsidRPr="003D58C4">
        <w:rPr>
          <w:sz w:val="28"/>
          <w:szCs w:val="28"/>
        </w:rPr>
        <w:t>necessari</w:t>
      </w:r>
      <w:r w:rsidR="004455E0">
        <w:rPr>
          <w:sz w:val="28"/>
          <w:szCs w:val="28"/>
        </w:rPr>
        <w:t>e</w:t>
      </w:r>
      <w:r w:rsidRPr="003D58C4">
        <w:rPr>
          <w:sz w:val="28"/>
          <w:szCs w:val="28"/>
        </w:rPr>
        <w:t xml:space="preserve"> di queste comunicazioni</w:t>
      </w:r>
      <w:r w:rsidRPr="003D58C4">
        <w:rPr>
          <w:rStyle w:val="FootnoteReference"/>
          <w:sz w:val="28"/>
          <w:szCs w:val="28"/>
        </w:rPr>
        <w:footnoteReference w:id="6"/>
      </w:r>
      <w:r w:rsidRPr="003D58C4">
        <w:rPr>
          <w:sz w:val="28"/>
          <w:szCs w:val="28"/>
        </w:rPr>
        <w:t xml:space="preserve">. </w:t>
      </w:r>
    </w:p>
    <w:p w:rsidR="00513771" w:rsidRPr="004455E0" w:rsidRDefault="00513771" w:rsidP="00513771">
      <w:pPr>
        <w:ind w:firstLine="708"/>
        <w:jc w:val="both"/>
        <w:rPr>
          <w:sz w:val="28"/>
          <w:szCs w:val="28"/>
        </w:rPr>
      </w:pPr>
      <w:r w:rsidRPr="003D58C4">
        <w:rPr>
          <w:sz w:val="28"/>
          <w:szCs w:val="28"/>
        </w:rPr>
        <w:t xml:space="preserve">L’uso preciso del linguaggio, e di questo linguaggio, è dunque uno strumento essenziale sia </w:t>
      </w:r>
      <w:r w:rsidRPr="004455E0">
        <w:rPr>
          <w:sz w:val="28"/>
          <w:szCs w:val="28"/>
        </w:rPr>
        <w:t>dell’accesso alla che della trasparenza e della qualità della giustizia.</w:t>
      </w:r>
    </w:p>
    <w:p w:rsidR="00513771" w:rsidRPr="003D58C4" w:rsidRDefault="00513771" w:rsidP="00513771">
      <w:pPr>
        <w:jc w:val="both"/>
        <w:rPr>
          <w:sz w:val="28"/>
          <w:szCs w:val="28"/>
        </w:rPr>
      </w:pPr>
    </w:p>
    <w:p w:rsidR="00513771" w:rsidRPr="003D58C4" w:rsidRDefault="00513771" w:rsidP="00513771">
      <w:pPr>
        <w:jc w:val="center"/>
        <w:rPr>
          <w:sz w:val="28"/>
          <w:szCs w:val="28"/>
        </w:rPr>
      </w:pPr>
      <w:r w:rsidRPr="003D58C4">
        <w:rPr>
          <w:sz w:val="28"/>
          <w:szCs w:val="28"/>
        </w:rPr>
        <w:t>II</w:t>
      </w:r>
    </w:p>
    <w:p w:rsidR="00513771" w:rsidRPr="003D58C4" w:rsidRDefault="00513771" w:rsidP="00513771">
      <w:pPr>
        <w:ind w:firstLine="708"/>
        <w:jc w:val="both"/>
        <w:rPr>
          <w:sz w:val="28"/>
          <w:szCs w:val="28"/>
        </w:rPr>
      </w:pPr>
      <w:r w:rsidRPr="003D58C4">
        <w:rPr>
          <w:sz w:val="28"/>
          <w:szCs w:val="28"/>
        </w:rPr>
        <w:t>Talora in Italia si sottovaluta</w:t>
      </w:r>
      <w:r w:rsidR="00730B5D">
        <w:rPr>
          <w:sz w:val="28"/>
          <w:szCs w:val="28"/>
        </w:rPr>
        <w:t xml:space="preserve"> </w:t>
      </w:r>
      <w:r w:rsidR="0038763B">
        <w:rPr>
          <w:sz w:val="28"/>
          <w:szCs w:val="28"/>
        </w:rPr>
        <w:t xml:space="preserve">la deriva di </w:t>
      </w:r>
      <w:r w:rsidR="00730B5D">
        <w:rPr>
          <w:sz w:val="28"/>
          <w:szCs w:val="28"/>
        </w:rPr>
        <w:t>un’idea latente quanto erronea</w:t>
      </w:r>
      <w:r w:rsidR="009D7B93">
        <w:rPr>
          <w:sz w:val="28"/>
          <w:szCs w:val="28"/>
        </w:rPr>
        <w:t xml:space="preserve">, che ha </w:t>
      </w:r>
      <w:r w:rsidR="009D7B93" w:rsidRPr="003D58C4">
        <w:rPr>
          <w:sz w:val="28"/>
          <w:szCs w:val="28"/>
        </w:rPr>
        <w:t xml:space="preserve">varie cause, </w:t>
      </w:r>
      <w:r w:rsidR="009D7B93">
        <w:rPr>
          <w:sz w:val="28"/>
          <w:szCs w:val="28"/>
        </w:rPr>
        <w:t xml:space="preserve">per lo più </w:t>
      </w:r>
      <w:r w:rsidR="009D7B93" w:rsidRPr="003D58C4">
        <w:rPr>
          <w:sz w:val="28"/>
          <w:szCs w:val="28"/>
        </w:rPr>
        <w:t>extragiuridiche</w:t>
      </w:r>
      <w:r w:rsidR="00730B5D">
        <w:rPr>
          <w:sz w:val="28"/>
          <w:szCs w:val="28"/>
        </w:rPr>
        <w:t>:</w:t>
      </w:r>
      <w:r w:rsidRPr="003D58C4">
        <w:rPr>
          <w:sz w:val="28"/>
          <w:szCs w:val="28"/>
        </w:rPr>
        <w:t xml:space="preserve"> che la stesura della motivazione di una decisione giudiziaria collegiale </w:t>
      </w:r>
      <w:r w:rsidR="009D7B93">
        <w:rPr>
          <w:sz w:val="28"/>
          <w:szCs w:val="28"/>
        </w:rPr>
        <w:t>resti</w:t>
      </w:r>
      <w:r w:rsidRPr="003D58C4">
        <w:rPr>
          <w:sz w:val="28"/>
          <w:szCs w:val="28"/>
        </w:rPr>
        <w:t xml:space="preserve"> oggetto di una sorta di </w:t>
      </w:r>
      <w:r w:rsidRPr="00484FBF">
        <w:rPr>
          <w:sz w:val="28"/>
          <w:szCs w:val="28"/>
        </w:rPr>
        <w:t>mandato aperto</w:t>
      </w:r>
      <w:r w:rsidRPr="003D58C4">
        <w:rPr>
          <w:sz w:val="28"/>
          <w:szCs w:val="28"/>
        </w:rPr>
        <w:t xml:space="preserve"> </w:t>
      </w:r>
      <w:r w:rsidR="004455E0">
        <w:rPr>
          <w:sz w:val="28"/>
          <w:szCs w:val="28"/>
        </w:rPr>
        <w:t xml:space="preserve">dato </w:t>
      </w:r>
      <w:r w:rsidRPr="003D58C4">
        <w:rPr>
          <w:sz w:val="28"/>
          <w:szCs w:val="28"/>
        </w:rPr>
        <w:t>al relatore convertito in estensore</w:t>
      </w:r>
      <w:r w:rsidR="00730B5D">
        <w:rPr>
          <w:sz w:val="28"/>
          <w:szCs w:val="28"/>
        </w:rPr>
        <w:t>;</w:t>
      </w:r>
      <w:r w:rsidRPr="003D58C4">
        <w:rPr>
          <w:sz w:val="28"/>
          <w:szCs w:val="28"/>
        </w:rPr>
        <w:t xml:space="preserve"> </w:t>
      </w:r>
      <w:r w:rsidR="0031756E">
        <w:rPr>
          <w:sz w:val="28"/>
          <w:szCs w:val="28"/>
        </w:rPr>
        <w:t xml:space="preserve">il quale </w:t>
      </w:r>
      <w:r w:rsidRPr="003D58C4">
        <w:rPr>
          <w:sz w:val="28"/>
          <w:szCs w:val="28"/>
        </w:rPr>
        <w:t xml:space="preserve">assume per sé, prima che per il collegio, la paternità intellettuale </w:t>
      </w:r>
      <w:r w:rsidR="00484FBF">
        <w:rPr>
          <w:sz w:val="28"/>
          <w:szCs w:val="28"/>
        </w:rPr>
        <w:t xml:space="preserve">e un </w:t>
      </w:r>
      <w:r w:rsidRPr="003D58C4">
        <w:rPr>
          <w:sz w:val="28"/>
          <w:szCs w:val="28"/>
        </w:rPr>
        <w:t xml:space="preserve">quasi diritto morale d’autore </w:t>
      </w:r>
      <w:r w:rsidR="009D7B93">
        <w:rPr>
          <w:sz w:val="28"/>
          <w:szCs w:val="28"/>
        </w:rPr>
        <w:t>su</w:t>
      </w:r>
      <w:r w:rsidRPr="003D58C4">
        <w:rPr>
          <w:sz w:val="28"/>
          <w:szCs w:val="28"/>
        </w:rPr>
        <w:t>lla “sentenza”.</w:t>
      </w:r>
    </w:p>
    <w:p w:rsidR="00513771" w:rsidRPr="003D58C4" w:rsidRDefault="009D7B93" w:rsidP="00513771">
      <w:pPr>
        <w:ind w:firstLine="708"/>
        <w:jc w:val="both"/>
        <w:rPr>
          <w:sz w:val="28"/>
          <w:szCs w:val="28"/>
        </w:rPr>
      </w:pPr>
      <w:r>
        <w:rPr>
          <w:sz w:val="28"/>
          <w:szCs w:val="28"/>
        </w:rPr>
        <w:t xml:space="preserve">Il riflesso </w:t>
      </w:r>
      <w:r w:rsidR="00513771" w:rsidRPr="003D58C4">
        <w:rPr>
          <w:sz w:val="28"/>
          <w:szCs w:val="28"/>
        </w:rPr>
        <w:t xml:space="preserve">percepibile di questa </w:t>
      </w:r>
      <w:r w:rsidR="00B556E6">
        <w:rPr>
          <w:sz w:val="28"/>
          <w:szCs w:val="28"/>
        </w:rPr>
        <w:t xml:space="preserve">tendenziale </w:t>
      </w:r>
      <w:r>
        <w:rPr>
          <w:sz w:val="28"/>
          <w:szCs w:val="28"/>
        </w:rPr>
        <w:t xml:space="preserve">personalizzazione è </w:t>
      </w:r>
      <w:r w:rsidR="00B556E6">
        <w:rPr>
          <w:sz w:val="28"/>
          <w:szCs w:val="28"/>
        </w:rPr>
        <w:t>un</w:t>
      </w:r>
      <w:r w:rsidR="00484FBF">
        <w:rPr>
          <w:sz w:val="28"/>
          <w:szCs w:val="28"/>
        </w:rPr>
        <w:t>o</w:t>
      </w:r>
      <w:r w:rsidR="00B556E6">
        <w:rPr>
          <w:sz w:val="28"/>
          <w:szCs w:val="28"/>
        </w:rPr>
        <w:t xml:space="preserve"> </w:t>
      </w:r>
      <w:r w:rsidR="00513771" w:rsidRPr="003D58C4">
        <w:rPr>
          <w:sz w:val="28"/>
          <w:szCs w:val="28"/>
        </w:rPr>
        <w:t>stile espositivo</w:t>
      </w:r>
      <w:r w:rsidR="00484FBF" w:rsidRPr="00484FBF">
        <w:rPr>
          <w:sz w:val="28"/>
          <w:szCs w:val="28"/>
        </w:rPr>
        <w:t xml:space="preserve"> </w:t>
      </w:r>
      <w:r w:rsidR="00484FBF" w:rsidRPr="003D58C4">
        <w:rPr>
          <w:sz w:val="28"/>
          <w:szCs w:val="28"/>
        </w:rPr>
        <w:t>disparato</w:t>
      </w:r>
      <w:r w:rsidR="00513771" w:rsidRPr="003D58C4">
        <w:rPr>
          <w:rStyle w:val="FootnoteReference"/>
          <w:sz w:val="28"/>
          <w:szCs w:val="28"/>
        </w:rPr>
        <w:footnoteReference w:id="7"/>
      </w:r>
      <w:r w:rsidR="00513771" w:rsidRPr="003D58C4">
        <w:rPr>
          <w:sz w:val="28"/>
          <w:szCs w:val="28"/>
        </w:rPr>
        <w:t xml:space="preserve">, </w:t>
      </w:r>
      <w:r>
        <w:rPr>
          <w:sz w:val="28"/>
          <w:szCs w:val="28"/>
        </w:rPr>
        <w:t xml:space="preserve">di fatto spesso </w:t>
      </w:r>
      <w:r w:rsidR="00484FBF">
        <w:rPr>
          <w:sz w:val="28"/>
          <w:szCs w:val="28"/>
        </w:rPr>
        <w:t xml:space="preserve">implicativo di </w:t>
      </w:r>
      <w:r w:rsidR="00513771" w:rsidRPr="003D58C4">
        <w:rPr>
          <w:sz w:val="28"/>
          <w:szCs w:val="28"/>
        </w:rPr>
        <w:t xml:space="preserve">imprecisioni che non </w:t>
      </w:r>
      <w:r>
        <w:rPr>
          <w:sz w:val="28"/>
          <w:szCs w:val="28"/>
        </w:rPr>
        <w:t xml:space="preserve">corrispondono </w:t>
      </w:r>
      <w:r w:rsidR="00513771" w:rsidRPr="003D58C4">
        <w:rPr>
          <w:sz w:val="28"/>
          <w:szCs w:val="28"/>
        </w:rPr>
        <w:t xml:space="preserve">all’aspettativa di certezza che </w:t>
      </w:r>
      <w:r w:rsidR="004455E0">
        <w:rPr>
          <w:sz w:val="28"/>
          <w:szCs w:val="28"/>
        </w:rPr>
        <w:t xml:space="preserve">accompagna </w:t>
      </w:r>
      <w:r w:rsidR="00484FBF">
        <w:rPr>
          <w:sz w:val="28"/>
          <w:szCs w:val="28"/>
        </w:rPr>
        <w:t xml:space="preserve">la </w:t>
      </w:r>
      <w:r w:rsidR="00513771" w:rsidRPr="003D58C4">
        <w:rPr>
          <w:sz w:val="28"/>
          <w:szCs w:val="28"/>
        </w:rPr>
        <w:t xml:space="preserve">decisione: </w:t>
      </w:r>
      <w:r w:rsidR="00484FBF">
        <w:rPr>
          <w:sz w:val="28"/>
          <w:szCs w:val="28"/>
        </w:rPr>
        <w:t xml:space="preserve">fino al </w:t>
      </w:r>
      <w:r w:rsidR="00B556E6">
        <w:rPr>
          <w:sz w:val="28"/>
          <w:szCs w:val="28"/>
        </w:rPr>
        <w:t>rischio</w:t>
      </w:r>
      <w:r>
        <w:rPr>
          <w:sz w:val="28"/>
          <w:szCs w:val="28"/>
        </w:rPr>
        <w:t xml:space="preserve"> manifesto</w:t>
      </w:r>
      <w:r w:rsidR="00513771" w:rsidRPr="003D58C4">
        <w:rPr>
          <w:sz w:val="28"/>
          <w:szCs w:val="28"/>
        </w:rPr>
        <w:t xml:space="preserve">, </w:t>
      </w:r>
      <w:r w:rsidR="00484FBF">
        <w:rPr>
          <w:sz w:val="28"/>
          <w:szCs w:val="28"/>
        </w:rPr>
        <w:t xml:space="preserve">in caso </w:t>
      </w:r>
      <w:r w:rsidR="00513771" w:rsidRPr="003D58C4">
        <w:rPr>
          <w:sz w:val="28"/>
          <w:szCs w:val="28"/>
        </w:rPr>
        <w:t xml:space="preserve">di </w:t>
      </w:r>
      <w:r w:rsidR="00513771" w:rsidRPr="003D58C4">
        <w:rPr>
          <w:i/>
          <w:sz w:val="28"/>
          <w:szCs w:val="28"/>
        </w:rPr>
        <w:t>obiter dicta</w:t>
      </w:r>
      <w:r w:rsidR="00513771" w:rsidRPr="003D58C4">
        <w:rPr>
          <w:sz w:val="28"/>
          <w:szCs w:val="28"/>
        </w:rPr>
        <w:t xml:space="preserve"> superflui </w:t>
      </w:r>
      <w:r w:rsidR="00B556E6">
        <w:rPr>
          <w:sz w:val="28"/>
          <w:szCs w:val="28"/>
        </w:rPr>
        <w:t xml:space="preserve">o </w:t>
      </w:r>
      <w:r w:rsidR="00513771" w:rsidRPr="003D58C4">
        <w:rPr>
          <w:sz w:val="28"/>
          <w:szCs w:val="28"/>
        </w:rPr>
        <w:t xml:space="preserve">estranei alla </w:t>
      </w:r>
      <w:r w:rsidR="00513771" w:rsidRPr="003D58C4">
        <w:rPr>
          <w:i/>
          <w:sz w:val="28"/>
          <w:szCs w:val="28"/>
        </w:rPr>
        <w:t>ratio decidendi</w:t>
      </w:r>
      <w:r w:rsidR="00513771" w:rsidRPr="003D58C4">
        <w:rPr>
          <w:sz w:val="28"/>
          <w:szCs w:val="28"/>
        </w:rPr>
        <w:t xml:space="preserve">, o travalicanti i </w:t>
      </w:r>
      <w:r w:rsidR="00513771" w:rsidRPr="00B556E6">
        <w:rPr>
          <w:sz w:val="28"/>
          <w:szCs w:val="28"/>
        </w:rPr>
        <w:t>limiti della giurisdizione</w:t>
      </w:r>
      <w:r w:rsidR="00513771" w:rsidRPr="003D58C4">
        <w:rPr>
          <w:sz w:val="28"/>
          <w:szCs w:val="28"/>
        </w:rPr>
        <w:t xml:space="preserve">, </w:t>
      </w:r>
      <w:r w:rsidR="00484FBF">
        <w:rPr>
          <w:sz w:val="28"/>
          <w:szCs w:val="28"/>
        </w:rPr>
        <w:t xml:space="preserve">di trasformazione </w:t>
      </w:r>
      <w:r w:rsidR="00B556E6">
        <w:rPr>
          <w:sz w:val="28"/>
          <w:szCs w:val="28"/>
        </w:rPr>
        <w:t xml:space="preserve">del </w:t>
      </w:r>
      <w:r w:rsidR="00513771" w:rsidRPr="003D58C4">
        <w:rPr>
          <w:sz w:val="28"/>
          <w:szCs w:val="28"/>
        </w:rPr>
        <w:t xml:space="preserve">giudice in un </w:t>
      </w:r>
      <w:r w:rsidR="00B556E6">
        <w:rPr>
          <w:sz w:val="28"/>
          <w:szCs w:val="28"/>
        </w:rPr>
        <w:t xml:space="preserve">apparente </w:t>
      </w:r>
      <w:r w:rsidR="00513771" w:rsidRPr="003D58C4">
        <w:rPr>
          <w:sz w:val="28"/>
          <w:szCs w:val="28"/>
        </w:rPr>
        <w:t>decisore</w:t>
      </w:r>
      <w:r w:rsidR="00484FBF">
        <w:rPr>
          <w:sz w:val="28"/>
          <w:szCs w:val="28"/>
        </w:rPr>
        <w:t xml:space="preserve">, più che </w:t>
      </w:r>
      <w:r w:rsidR="00513771" w:rsidRPr="003D58C4">
        <w:rPr>
          <w:sz w:val="28"/>
          <w:szCs w:val="28"/>
        </w:rPr>
        <w:t xml:space="preserve">della controversia, dell’interesse in gioco, con </w:t>
      </w:r>
      <w:r w:rsidR="00B556E6">
        <w:rPr>
          <w:sz w:val="28"/>
          <w:szCs w:val="28"/>
        </w:rPr>
        <w:t xml:space="preserve">effetto di </w:t>
      </w:r>
      <w:r w:rsidR="00513771" w:rsidRPr="003D58C4">
        <w:rPr>
          <w:sz w:val="28"/>
          <w:szCs w:val="28"/>
        </w:rPr>
        <w:t xml:space="preserve">compromissione dei ruoli </w:t>
      </w:r>
      <w:r>
        <w:rPr>
          <w:sz w:val="28"/>
          <w:szCs w:val="28"/>
        </w:rPr>
        <w:t xml:space="preserve">immanenti </w:t>
      </w:r>
      <w:r w:rsidR="00513771" w:rsidRPr="003D58C4">
        <w:rPr>
          <w:sz w:val="28"/>
          <w:szCs w:val="28"/>
        </w:rPr>
        <w:t>alla separazione dei poteri.</w:t>
      </w:r>
    </w:p>
    <w:p w:rsidR="005B6A41" w:rsidRPr="003D58C4" w:rsidRDefault="00513771" w:rsidP="005B6A41">
      <w:pPr>
        <w:ind w:firstLine="708"/>
        <w:jc w:val="both"/>
        <w:rPr>
          <w:sz w:val="28"/>
          <w:szCs w:val="28"/>
        </w:rPr>
      </w:pPr>
      <w:r w:rsidRPr="003D58C4">
        <w:rPr>
          <w:sz w:val="28"/>
          <w:szCs w:val="28"/>
        </w:rPr>
        <w:t xml:space="preserve">In effetti, a passare in rassegna le decisioni </w:t>
      </w:r>
      <w:r w:rsidR="00484FBF">
        <w:rPr>
          <w:sz w:val="28"/>
          <w:szCs w:val="28"/>
        </w:rPr>
        <w:t xml:space="preserve">non è raro </w:t>
      </w:r>
      <w:r w:rsidRPr="003D58C4">
        <w:rPr>
          <w:sz w:val="28"/>
          <w:szCs w:val="28"/>
        </w:rPr>
        <w:t>cogliere di</w:t>
      </w:r>
      <w:r w:rsidR="00237A62">
        <w:rPr>
          <w:sz w:val="28"/>
          <w:szCs w:val="28"/>
        </w:rPr>
        <w:t>verse imperfezioni</w:t>
      </w:r>
      <w:r w:rsidR="004455E0">
        <w:rPr>
          <w:sz w:val="28"/>
          <w:szCs w:val="28"/>
        </w:rPr>
        <w:t xml:space="preserve"> a questi riguardi</w:t>
      </w:r>
      <w:r w:rsidR="00B556E6">
        <w:rPr>
          <w:sz w:val="28"/>
          <w:szCs w:val="28"/>
        </w:rPr>
        <w:t>. I</w:t>
      </w:r>
      <w:r w:rsidRPr="003D58C4">
        <w:rPr>
          <w:sz w:val="28"/>
          <w:szCs w:val="28"/>
        </w:rPr>
        <w:t xml:space="preserve">l che affievolisce anziché rafforzare l’obiettivo </w:t>
      </w:r>
      <w:r w:rsidR="00B556E6">
        <w:rPr>
          <w:sz w:val="28"/>
          <w:szCs w:val="28"/>
        </w:rPr>
        <w:t xml:space="preserve">proprio della sentenza, la costituzione </w:t>
      </w:r>
      <w:r w:rsidRPr="003D58C4">
        <w:rPr>
          <w:sz w:val="28"/>
          <w:szCs w:val="28"/>
        </w:rPr>
        <w:t xml:space="preserve">di </w:t>
      </w:r>
      <w:r w:rsidRPr="003D58C4">
        <w:rPr>
          <w:i/>
          <w:sz w:val="28"/>
          <w:szCs w:val="28"/>
        </w:rPr>
        <w:t xml:space="preserve">sicurezza giuridica </w:t>
      </w:r>
      <w:r w:rsidR="00B556E6">
        <w:rPr>
          <w:sz w:val="28"/>
          <w:szCs w:val="28"/>
        </w:rPr>
        <w:t>in luogo dell’</w:t>
      </w:r>
      <w:r w:rsidR="00B556E6" w:rsidRPr="0031756E">
        <w:rPr>
          <w:i/>
          <w:sz w:val="28"/>
          <w:szCs w:val="28"/>
        </w:rPr>
        <w:t>insicurezza</w:t>
      </w:r>
      <w:r w:rsidR="00B556E6">
        <w:rPr>
          <w:sz w:val="28"/>
          <w:szCs w:val="28"/>
        </w:rPr>
        <w:t xml:space="preserve"> che ha dato luogo all’insorgere </w:t>
      </w:r>
      <w:r w:rsidRPr="003D58C4">
        <w:rPr>
          <w:sz w:val="28"/>
          <w:szCs w:val="28"/>
        </w:rPr>
        <w:t>della controversia</w:t>
      </w:r>
      <w:r w:rsidR="00B556E6">
        <w:rPr>
          <w:sz w:val="28"/>
          <w:szCs w:val="28"/>
        </w:rPr>
        <w:t xml:space="preserve">. </w:t>
      </w:r>
      <w:r w:rsidR="00484FBF">
        <w:rPr>
          <w:sz w:val="28"/>
          <w:szCs w:val="28"/>
        </w:rPr>
        <w:t>Vi</w:t>
      </w:r>
      <w:r w:rsidR="00B556E6">
        <w:rPr>
          <w:sz w:val="28"/>
          <w:szCs w:val="28"/>
        </w:rPr>
        <w:t xml:space="preserve"> contribuiscono </w:t>
      </w:r>
      <w:r w:rsidR="00484FBF">
        <w:rPr>
          <w:sz w:val="28"/>
          <w:szCs w:val="28"/>
        </w:rPr>
        <w:t xml:space="preserve">non solo le incoerenze </w:t>
      </w:r>
      <w:r w:rsidR="002B0C6D">
        <w:rPr>
          <w:sz w:val="28"/>
          <w:szCs w:val="28"/>
        </w:rPr>
        <w:t xml:space="preserve">e le imprecisioni </w:t>
      </w:r>
      <w:r w:rsidR="00484FBF">
        <w:rPr>
          <w:sz w:val="28"/>
          <w:szCs w:val="28"/>
        </w:rPr>
        <w:t xml:space="preserve">nell’esposizione del ragionamento ma anche </w:t>
      </w:r>
      <w:r w:rsidRPr="003D58C4">
        <w:rPr>
          <w:sz w:val="28"/>
          <w:szCs w:val="28"/>
        </w:rPr>
        <w:t>l’uso di terminologie proprie</w:t>
      </w:r>
      <w:r w:rsidR="00B556E6">
        <w:rPr>
          <w:sz w:val="28"/>
          <w:szCs w:val="28"/>
        </w:rPr>
        <w:t xml:space="preserve"> di registri linguistici altri da quello giudiziario, ad esempio </w:t>
      </w:r>
      <w:r w:rsidRPr="003D58C4">
        <w:rPr>
          <w:sz w:val="28"/>
          <w:szCs w:val="28"/>
        </w:rPr>
        <w:t>mediatici</w:t>
      </w:r>
      <w:r w:rsidR="00B556E6">
        <w:rPr>
          <w:sz w:val="28"/>
          <w:szCs w:val="28"/>
        </w:rPr>
        <w:t xml:space="preserve">, o </w:t>
      </w:r>
      <w:r w:rsidRPr="003D58C4">
        <w:rPr>
          <w:sz w:val="28"/>
          <w:szCs w:val="28"/>
        </w:rPr>
        <w:t xml:space="preserve">dissertazioni extravaganti rispetto alla </w:t>
      </w:r>
      <w:r w:rsidRPr="003D58C4">
        <w:rPr>
          <w:i/>
          <w:sz w:val="28"/>
          <w:szCs w:val="28"/>
        </w:rPr>
        <w:t xml:space="preserve">«succinta esposizione dei fatti rilevanti della causa e delle ragioni giuridiche della decisione» </w:t>
      </w:r>
      <w:r w:rsidRPr="003D58C4">
        <w:rPr>
          <w:sz w:val="28"/>
          <w:szCs w:val="28"/>
        </w:rPr>
        <w:t xml:space="preserve">dell’art. 118 disp. att. al Cod. proc. civ. ovvero della </w:t>
      </w:r>
      <w:r w:rsidRPr="003D58C4">
        <w:rPr>
          <w:i/>
          <w:sz w:val="28"/>
          <w:szCs w:val="28"/>
        </w:rPr>
        <w:t>«concisa esposizione dei motivi in fatto e in diritto della decisione»</w:t>
      </w:r>
      <w:r w:rsidRPr="003D58C4">
        <w:rPr>
          <w:sz w:val="28"/>
          <w:szCs w:val="28"/>
        </w:rPr>
        <w:t xml:space="preserve"> dell’art. 88 Cod. proc. amm.. </w:t>
      </w:r>
      <w:r w:rsidR="00484FBF">
        <w:rPr>
          <w:sz w:val="28"/>
          <w:szCs w:val="28"/>
        </w:rPr>
        <w:t>L</w:t>
      </w:r>
      <w:r w:rsidR="005B6A41">
        <w:rPr>
          <w:sz w:val="28"/>
          <w:szCs w:val="28"/>
        </w:rPr>
        <w:t xml:space="preserve">a </w:t>
      </w:r>
      <w:r w:rsidR="00BE2E8A" w:rsidRPr="003D58C4">
        <w:rPr>
          <w:sz w:val="28"/>
          <w:szCs w:val="28"/>
        </w:rPr>
        <w:t>disomogeneità</w:t>
      </w:r>
      <w:r w:rsidR="005B6A41" w:rsidRPr="003D58C4">
        <w:rPr>
          <w:sz w:val="28"/>
          <w:szCs w:val="28"/>
        </w:rPr>
        <w:t xml:space="preserve"> delle formule espositive e l’eterogeneità dei linguaggi </w:t>
      </w:r>
      <w:r w:rsidR="004455E0">
        <w:rPr>
          <w:sz w:val="28"/>
          <w:szCs w:val="28"/>
        </w:rPr>
        <w:t xml:space="preserve">dunque </w:t>
      </w:r>
      <w:r w:rsidR="005B6A41" w:rsidRPr="003D58C4">
        <w:rPr>
          <w:sz w:val="28"/>
          <w:szCs w:val="28"/>
        </w:rPr>
        <w:t xml:space="preserve">non facilitano l’intellegibilità </w:t>
      </w:r>
      <w:r w:rsidR="005B6A41">
        <w:rPr>
          <w:sz w:val="28"/>
          <w:szCs w:val="28"/>
        </w:rPr>
        <w:t xml:space="preserve">del </w:t>
      </w:r>
      <w:r w:rsidR="005B6A41" w:rsidRPr="003D58C4">
        <w:rPr>
          <w:sz w:val="28"/>
          <w:szCs w:val="28"/>
        </w:rPr>
        <w:t>percorso logico seguito nel decidere</w:t>
      </w:r>
      <w:r w:rsidR="004455E0">
        <w:rPr>
          <w:sz w:val="28"/>
          <w:szCs w:val="28"/>
        </w:rPr>
        <w:t xml:space="preserve"> </w:t>
      </w:r>
      <w:r w:rsidR="002B0C6D">
        <w:rPr>
          <w:sz w:val="28"/>
          <w:szCs w:val="28"/>
        </w:rPr>
        <w:t xml:space="preserve">e </w:t>
      </w:r>
      <w:r w:rsidR="004455E0">
        <w:rPr>
          <w:sz w:val="28"/>
          <w:szCs w:val="28"/>
        </w:rPr>
        <w:t xml:space="preserve">ingenerano </w:t>
      </w:r>
      <w:r w:rsidR="005B6A41" w:rsidRPr="003D58C4">
        <w:rPr>
          <w:sz w:val="28"/>
          <w:szCs w:val="28"/>
        </w:rPr>
        <w:t xml:space="preserve">disordine e difficoltà di orientamento dei destinatari. </w:t>
      </w:r>
    </w:p>
    <w:p w:rsidR="00513771" w:rsidRPr="003D58C4" w:rsidRDefault="00513771" w:rsidP="00513771">
      <w:pPr>
        <w:ind w:firstLine="708"/>
        <w:jc w:val="both"/>
        <w:rPr>
          <w:sz w:val="28"/>
          <w:szCs w:val="28"/>
        </w:rPr>
      </w:pPr>
    </w:p>
    <w:p w:rsidR="00513771" w:rsidRPr="003D58C4" w:rsidRDefault="00513771" w:rsidP="00513771">
      <w:pPr>
        <w:ind w:firstLine="708"/>
        <w:jc w:val="both"/>
        <w:rPr>
          <w:sz w:val="28"/>
          <w:szCs w:val="28"/>
        </w:rPr>
      </w:pPr>
      <w:r w:rsidRPr="003D58C4">
        <w:rPr>
          <w:sz w:val="28"/>
          <w:szCs w:val="28"/>
        </w:rPr>
        <w:t>Questo modo di scomposizione anticipata della collegialità – seppur formalmente ancora in atto fino alla pubblicazione della sentenza –</w:t>
      </w:r>
      <w:r w:rsidR="00B556E6">
        <w:rPr>
          <w:sz w:val="28"/>
          <w:szCs w:val="28"/>
        </w:rPr>
        <w:t xml:space="preserve"> </w:t>
      </w:r>
      <w:r w:rsidRPr="003D58C4">
        <w:rPr>
          <w:sz w:val="28"/>
          <w:szCs w:val="28"/>
        </w:rPr>
        <w:t xml:space="preserve">a va </w:t>
      </w:r>
      <w:r w:rsidR="00D1135D">
        <w:rPr>
          <w:sz w:val="28"/>
          <w:szCs w:val="28"/>
        </w:rPr>
        <w:t>ledere</w:t>
      </w:r>
      <w:r w:rsidR="00484FBF">
        <w:rPr>
          <w:sz w:val="28"/>
          <w:szCs w:val="28"/>
        </w:rPr>
        <w:t xml:space="preserve"> </w:t>
      </w:r>
      <w:r w:rsidRPr="003D58C4">
        <w:rPr>
          <w:sz w:val="28"/>
          <w:szCs w:val="28"/>
        </w:rPr>
        <w:t xml:space="preserve">l’essenziale </w:t>
      </w:r>
      <w:r w:rsidRPr="003D58C4">
        <w:rPr>
          <w:i/>
          <w:sz w:val="28"/>
          <w:szCs w:val="28"/>
        </w:rPr>
        <w:t xml:space="preserve">oggettività </w:t>
      </w:r>
      <w:r w:rsidRPr="003D58C4">
        <w:rPr>
          <w:sz w:val="28"/>
          <w:szCs w:val="28"/>
        </w:rPr>
        <w:t>della funzione pubblica di giustizia</w:t>
      </w:r>
      <w:r w:rsidRPr="003D58C4">
        <w:rPr>
          <w:rStyle w:val="FootnoteReference"/>
          <w:sz w:val="28"/>
          <w:szCs w:val="28"/>
        </w:rPr>
        <w:footnoteReference w:id="8"/>
      </w:r>
      <w:r w:rsidRPr="003D58C4">
        <w:rPr>
          <w:sz w:val="28"/>
          <w:szCs w:val="28"/>
        </w:rPr>
        <w:t xml:space="preserve"> e </w:t>
      </w:r>
      <w:r w:rsidR="00D1135D">
        <w:rPr>
          <w:sz w:val="28"/>
          <w:szCs w:val="28"/>
        </w:rPr>
        <w:t xml:space="preserve">a </w:t>
      </w:r>
      <w:r w:rsidR="00B556E6">
        <w:rPr>
          <w:sz w:val="28"/>
          <w:szCs w:val="28"/>
        </w:rPr>
        <w:t>compromette</w:t>
      </w:r>
      <w:r w:rsidR="00D1135D">
        <w:rPr>
          <w:sz w:val="28"/>
          <w:szCs w:val="28"/>
        </w:rPr>
        <w:t>re</w:t>
      </w:r>
      <w:r w:rsidR="00B556E6">
        <w:rPr>
          <w:sz w:val="28"/>
          <w:szCs w:val="28"/>
        </w:rPr>
        <w:t xml:space="preserve"> </w:t>
      </w:r>
      <w:r w:rsidRPr="003D58C4">
        <w:rPr>
          <w:sz w:val="28"/>
          <w:szCs w:val="28"/>
        </w:rPr>
        <w:t xml:space="preserve">le componenti essenziali, weberiane, </w:t>
      </w:r>
      <w:r w:rsidRPr="00D1135D">
        <w:rPr>
          <w:sz w:val="28"/>
          <w:szCs w:val="28"/>
        </w:rPr>
        <w:t xml:space="preserve">dell’impersonalità, della prevedibilità e della calcolabilità delle risposte giuridiche, </w:t>
      </w:r>
      <w:r w:rsidR="00B556E6">
        <w:rPr>
          <w:sz w:val="28"/>
          <w:szCs w:val="28"/>
        </w:rPr>
        <w:t xml:space="preserve">offrendo </w:t>
      </w:r>
      <w:r w:rsidRPr="003D58C4">
        <w:rPr>
          <w:sz w:val="28"/>
          <w:szCs w:val="28"/>
        </w:rPr>
        <w:t xml:space="preserve">spazio alla percezione </w:t>
      </w:r>
      <w:r w:rsidR="00237A62">
        <w:rPr>
          <w:sz w:val="28"/>
          <w:szCs w:val="28"/>
        </w:rPr>
        <w:t xml:space="preserve">– </w:t>
      </w:r>
      <w:r w:rsidR="00484FBF">
        <w:rPr>
          <w:sz w:val="28"/>
          <w:szCs w:val="28"/>
        </w:rPr>
        <w:t xml:space="preserve">per quanto talora </w:t>
      </w:r>
      <w:r w:rsidR="00237A62">
        <w:rPr>
          <w:sz w:val="28"/>
          <w:szCs w:val="28"/>
        </w:rPr>
        <w:t xml:space="preserve">ingannevole - </w:t>
      </w:r>
      <w:r w:rsidRPr="003D58C4">
        <w:rPr>
          <w:sz w:val="28"/>
          <w:szCs w:val="28"/>
        </w:rPr>
        <w:t xml:space="preserve">dell’inserto di un giudizio valoriale </w:t>
      </w:r>
      <w:r w:rsidR="00B556E6">
        <w:rPr>
          <w:sz w:val="28"/>
          <w:szCs w:val="28"/>
        </w:rPr>
        <w:t xml:space="preserve">estraneo </w:t>
      </w:r>
      <w:r w:rsidRPr="003D58C4">
        <w:rPr>
          <w:sz w:val="28"/>
          <w:szCs w:val="28"/>
        </w:rPr>
        <w:t xml:space="preserve">che orienta </w:t>
      </w:r>
      <w:r w:rsidR="00B556E6" w:rsidRPr="00B556E6">
        <w:rPr>
          <w:i/>
          <w:sz w:val="28"/>
          <w:szCs w:val="28"/>
        </w:rPr>
        <w:t>a priori</w:t>
      </w:r>
      <w:r w:rsidR="00B556E6">
        <w:rPr>
          <w:sz w:val="28"/>
          <w:szCs w:val="28"/>
        </w:rPr>
        <w:t xml:space="preserve"> </w:t>
      </w:r>
      <w:r w:rsidRPr="003D58C4">
        <w:rPr>
          <w:sz w:val="28"/>
          <w:szCs w:val="28"/>
        </w:rPr>
        <w:t>la decisione pur resa in nome del Popolo Italiano</w:t>
      </w:r>
      <w:r w:rsidRPr="003D58C4">
        <w:rPr>
          <w:rStyle w:val="FootnoteReference"/>
          <w:sz w:val="28"/>
          <w:szCs w:val="28"/>
        </w:rPr>
        <w:footnoteReference w:id="9"/>
      </w:r>
      <w:r w:rsidRPr="003D58C4">
        <w:rPr>
          <w:sz w:val="28"/>
          <w:szCs w:val="28"/>
        </w:rPr>
        <w:t>.</w:t>
      </w:r>
    </w:p>
    <w:p w:rsidR="00513771" w:rsidRPr="009A33D7" w:rsidRDefault="00513771" w:rsidP="00DD05E9">
      <w:pPr>
        <w:ind w:firstLine="708"/>
        <w:jc w:val="both"/>
        <w:rPr>
          <w:b/>
          <w:sz w:val="28"/>
          <w:szCs w:val="28"/>
        </w:rPr>
      </w:pPr>
      <w:r w:rsidRPr="003D58C4">
        <w:rPr>
          <w:sz w:val="28"/>
          <w:szCs w:val="28"/>
        </w:rPr>
        <w:t>Ma anche senza giungere all</w:t>
      </w:r>
      <w:r w:rsidR="00774464">
        <w:rPr>
          <w:sz w:val="28"/>
          <w:szCs w:val="28"/>
        </w:rPr>
        <w:t>a</w:t>
      </w:r>
      <w:r w:rsidR="00D1135D">
        <w:rPr>
          <w:sz w:val="28"/>
          <w:szCs w:val="28"/>
        </w:rPr>
        <w:t xml:space="preserve"> </w:t>
      </w:r>
      <w:r w:rsidRPr="003D58C4">
        <w:rPr>
          <w:sz w:val="28"/>
          <w:szCs w:val="28"/>
        </w:rPr>
        <w:t>distorsione</w:t>
      </w:r>
      <w:r w:rsidR="00215EAD">
        <w:rPr>
          <w:sz w:val="28"/>
          <w:szCs w:val="28"/>
        </w:rPr>
        <w:t xml:space="preserve"> intrinseca</w:t>
      </w:r>
      <w:r w:rsidRPr="003D58C4">
        <w:rPr>
          <w:sz w:val="28"/>
          <w:szCs w:val="28"/>
        </w:rPr>
        <w:t xml:space="preserve">, resta che già </w:t>
      </w:r>
      <w:r w:rsidR="000D4BF7">
        <w:rPr>
          <w:sz w:val="28"/>
          <w:szCs w:val="28"/>
        </w:rPr>
        <w:t xml:space="preserve">in superficie </w:t>
      </w:r>
      <w:r w:rsidRPr="003D58C4">
        <w:rPr>
          <w:sz w:val="28"/>
          <w:szCs w:val="28"/>
        </w:rPr>
        <w:t xml:space="preserve">le semplici </w:t>
      </w:r>
      <w:r w:rsidR="0031756E">
        <w:rPr>
          <w:sz w:val="28"/>
          <w:szCs w:val="28"/>
        </w:rPr>
        <w:t xml:space="preserve">incoerenze </w:t>
      </w:r>
      <w:r w:rsidRPr="003D58C4">
        <w:rPr>
          <w:sz w:val="28"/>
          <w:szCs w:val="28"/>
        </w:rPr>
        <w:t>espressive,</w:t>
      </w:r>
      <w:r w:rsidR="00484FBF">
        <w:rPr>
          <w:sz w:val="28"/>
          <w:szCs w:val="28"/>
        </w:rPr>
        <w:t xml:space="preserve"> le</w:t>
      </w:r>
      <w:r w:rsidRPr="003D58C4">
        <w:rPr>
          <w:sz w:val="28"/>
          <w:szCs w:val="28"/>
        </w:rPr>
        <w:t xml:space="preserve"> discontinuità, </w:t>
      </w:r>
      <w:r w:rsidR="00484FBF">
        <w:rPr>
          <w:sz w:val="28"/>
          <w:szCs w:val="28"/>
        </w:rPr>
        <w:t xml:space="preserve">le </w:t>
      </w:r>
      <w:r w:rsidRPr="003D58C4">
        <w:rPr>
          <w:sz w:val="28"/>
          <w:szCs w:val="28"/>
        </w:rPr>
        <w:t xml:space="preserve">imprecisioni e </w:t>
      </w:r>
      <w:r w:rsidR="00484FBF">
        <w:rPr>
          <w:sz w:val="28"/>
          <w:szCs w:val="28"/>
        </w:rPr>
        <w:t xml:space="preserve">la </w:t>
      </w:r>
      <w:r w:rsidRPr="003D58C4">
        <w:rPr>
          <w:sz w:val="28"/>
          <w:szCs w:val="28"/>
        </w:rPr>
        <w:t xml:space="preserve">scarsa chiarezza del </w:t>
      </w:r>
      <w:r w:rsidRPr="00D1135D">
        <w:rPr>
          <w:sz w:val="28"/>
          <w:szCs w:val="28"/>
        </w:rPr>
        <w:t xml:space="preserve">linguaggio </w:t>
      </w:r>
      <w:r w:rsidRPr="003D58C4">
        <w:rPr>
          <w:sz w:val="28"/>
          <w:szCs w:val="28"/>
        </w:rPr>
        <w:t xml:space="preserve">nuocciono </w:t>
      </w:r>
      <w:r w:rsidR="00774464">
        <w:rPr>
          <w:sz w:val="28"/>
          <w:szCs w:val="28"/>
        </w:rPr>
        <w:t>da sole</w:t>
      </w:r>
      <w:r w:rsidRPr="003D58C4">
        <w:rPr>
          <w:sz w:val="28"/>
          <w:szCs w:val="28"/>
        </w:rPr>
        <w:t xml:space="preserve"> </w:t>
      </w:r>
      <w:r w:rsidR="00215EAD">
        <w:rPr>
          <w:sz w:val="28"/>
          <w:szCs w:val="28"/>
        </w:rPr>
        <w:t xml:space="preserve">alla </w:t>
      </w:r>
      <w:r w:rsidRPr="00215EAD">
        <w:rPr>
          <w:sz w:val="28"/>
          <w:szCs w:val="28"/>
        </w:rPr>
        <w:t>qualità</w:t>
      </w:r>
      <w:r w:rsidRPr="003D58C4">
        <w:rPr>
          <w:sz w:val="28"/>
          <w:szCs w:val="28"/>
        </w:rPr>
        <w:t xml:space="preserve"> della risposta complessiva di giustizia.</w:t>
      </w:r>
      <w:r w:rsidR="00B33467">
        <w:rPr>
          <w:sz w:val="28"/>
          <w:szCs w:val="28"/>
        </w:rPr>
        <w:t xml:space="preserve"> </w:t>
      </w:r>
    </w:p>
    <w:p w:rsidR="00513771" w:rsidRDefault="00774464" w:rsidP="00513771">
      <w:pPr>
        <w:ind w:firstLine="708"/>
        <w:jc w:val="both"/>
        <w:rPr>
          <w:sz w:val="28"/>
          <w:szCs w:val="28"/>
        </w:rPr>
      </w:pPr>
      <w:r>
        <w:rPr>
          <w:sz w:val="28"/>
          <w:szCs w:val="28"/>
        </w:rPr>
        <w:t xml:space="preserve">In Italia </w:t>
      </w:r>
      <w:r w:rsidRPr="003D58C4">
        <w:rPr>
          <w:sz w:val="28"/>
          <w:szCs w:val="28"/>
        </w:rPr>
        <w:t>l’onere di motivazione risale a prima della Rivoluzione francese</w:t>
      </w:r>
      <w:r w:rsidRPr="003D58C4">
        <w:rPr>
          <w:rStyle w:val="FootnoteReference"/>
          <w:rFonts w:cstheme="minorHAnsi"/>
          <w:sz w:val="28"/>
          <w:szCs w:val="28"/>
        </w:rPr>
        <w:footnoteReference w:id="10"/>
      </w:r>
      <w:r>
        <w:rPr>
          <w:sz w:val="28"/>
          <w:szCs w:val="28"/>
        </w:rPr>
        <w:t>. Paradossalmente, f</w:t>
      </w:r>
      <w:r w:rsidR="00513771" w:rsidRPr="003D58C4">
        <w:rPr>
          <w:sz w:val="28"/>
          <w:szCs w:val="28"/>
        </w:rPr>
        <w:t xml:space="preserve">orse proprio per questo, </w:t>
      </w:r>
      <w:r>
        <w:rPr>
          <w:sz w:val="28"/>
          <w:szCs w:val="28"/>
        </w:rPr>
        <w:t xml:space="preserve">insieme alla </w:t>
      </w:r>
      <w:r w:rsidR="00513771" w:rsidRPr="003D58C4">
        <w:rPr>
          <w:sz w:val="28"/>
          <w:szCs w:val="28"/>
        </w:rPr>
        <w:t xml:space="preserve">frammentazione della storia delle istituzioni e delle tradizioni </w:t>
      </w:r>
      <w:r w:rsidR="00D1135D">
        <w:rPr>
          <w:sz w:val="28"/>
          <w:szCs w:val="28"/>
        </w:rPr>
        <w:t>di giustizia</w:t>
      </w:r>
      <w:r>
        <w:rPr>
          <w:sz w:val="28"/>
          <w:szCs w:val="28"/>
        </w:rPr>
        <w:t xml:space="preserve">, si è sedimentata una </w:t>
      </w:r>
      <w:r w:rsidR="00D1135D">
        <w:rPr>
          <w:sz w:val="28"/>
          <w:szCs w:val="28"/>
        </w:rPr>
        <w:t xml:space="preserve">scarsa attenzione </w:t>
      </w:r>
      <w:r>
        <w:rPr>
          <w:sz w:val="28"/>
          <w:szCs w:val="28"/>
        </w:rPr>
        <w:t xml:space="preserve">a </w:t>
      </w:r>
      <w:r w:rsidR="00513771" w:rsidRPr="003D58C4">
        <w:rPr>
          <w:sz w:val="28"/>
          <w:szCs w:val="28"/>
        </w:rPr>
        <w:t>una comune tecnica redazionale</w:t>
      </w:r>
      <w:r w:rsidR="00513771" w:rsidRPr="003D58C4">
        <w:rPr>
          <w:sz w:val="28"/>
          <w:szCs w:val="28"/>
          <w:vertAlign w:val="superscript"/>
        </w:rPr>
        <w:footnoteRef/>
      </w:r>
      <w:r w:rsidR="00513771" w:rsidRPr="003D58C4">
        <w:rPr>
          <w:sz w:val="28"/>
          <w:szCs w:val="28"/>
        </w:rPr>
        <w:t>. Il recepimento</w:t>
      </w:r>
      <w:r>
        <w:rPr>
          <w:sz w:val="28"/>
          <w:szCs w:val="28"/>
        </w:rPr>
        <w:t xml:space="preserve"> </w:t>
      </w:r>
      <w:r w:rsidR="00513771" w:rsidRPr="003D58C4">
        <w:rPr>
          <w:sz w:val="28"/>
          <w:szCs w:val="28"/>
        </w:rPr>
        <w:t xml:space="preserve">nello Stato unitario del modello giudiziario francese non è </w:t>
      </w:r>
      <w:r w:rsidR="005A6807">
        <w:rPr>
          <w:sz w:val="28"/>
          <w:szCs w:val="28"/>
        </w:rPr>
        <w:t xml:space="preserve">stato </w:t>
      </w:r>
      <w:r w:rsidR="00513771" w:rsidRPr="003D58C4">
        <w:rPr>
          <w:sz w:val="28"/>
          <w:szCs w:val="28"/>
        </w:rPr>
        <w:t xml:space="preserve">spinto </w:t>
      </w:r>
      <w:r w:rsidR="00484FBF">
        <w:rPr>
          <w:sz w:val="28"/>
          <w:szCs w:val="28"/>
        </w:rPr>
        <w:t xml:space="preserve">fino </w:t>
      </w:r>
      <w:r w:rsidR="00513771" w:rsidRPr="003D58C4">
        <w:rPr>
          <w:sz w:val="28"/>
          <w:szCs w:val="28"/>
        </w:rPr>
        <w:t>all’acquisizione di quella tecnica di redazione e di quello stile</w:t>
      </w:r>
      <w:r>
        <w:rPr>
          <w:sz w:val="28"/>
          <w:szCs w:val="28"/>
        </w:rPr>
        <w:t xml:space="preserve"> e ha lasciato sopravvivere una sorta di libertà espressiva</w:t>
      </w:r>
      <w:r w:rsidR="00B556E6">
        <w:rPr>
          <w:sz w:val="28"/>
          <w:szCs w:val="28"/>
        </w:rPr>
        <w:t xml:space="preserve">. La </w:t>
      </w:r>
      <w:r w:rsidR="00513771" w:rsidRPr="003D58C4">
        <w:rPr>
          <w:sz w:val="28"/>
          <w:szCs w:val="28"/>
        </w:rPr>
        <w:t xml:space="preserve">mancata importazione </w:t>
      </w:r>
      <w:r w:rsidR="00B556E6">
        <w:rPr>
          <w:sz w:val="28"/>
          <w:szCs w:val="28"/>
        </w:rPr>
        <w:t xml:space="preserve">è stata </w:t>
      </w:r>
      <w:r w:rsidR="00484FBF">
        <w:rPr>
          <w:sz w:val="28"/>
          <w:szCs w:val="28"/>
        </w:rPr>
        <w:t xml:space="preserve">agevolata </w:t>
      </w:r>
      <w:r w:rsidR="00513771" w:rsidRPr="003D58C4">
        <w:rPr>
          <w:sz w:val="28"/>
          <w:szCs w:val="28"/>
        </w:rPr>
        <w:t xml:space="preserve">dalla circostanza che – salvo il procedimento formale di formazione della decisione – </w:t>
      </w:r>
      <w:r w:rsidR="005A6807">
        <w:rPr>
          <w:sz w:val="28"/>
          <w:szCs w:val="28"/>
        </w:rPr>
        <w:t xml:space="preserve">già </w:t>
      </w:r>
      <w:r w:rsidR="00B556E6">
        <w:rPr>
          <w:sz w:val="28"/>
          <w:szCs w:val="28"/>
        </w:rPr>
        <w:t xml:space="preserve">il tema era restato </w:t>
      </w:r>
      <w:r w:rsidR="00513771" w:rsidRPr="003D58C4">
        <w:rPr>
          <w:sz w:val="28"/>
          <w:szCs w:val="28"/>
        </w:rPr>
        <w:t xml:space="preserve">oggetto di </w:t>
      </w:r>
      <w:r w:rsidR="00513771" w:rsidRPr="003D58C4">
        <w:rPr>
          <w:i/>
          <w:sz w:val="28"/>
          <w:szCs w:val="28"/>
        </w:rPr>
        <w:t>praxis</w:t>
      </w:r>
      <w:r w:rsidR="00513771" w:rsidRPr="003D58C4">
        <w:rPr>
          <w:sz w:val="28"/>
          <w:szCs w:val="28"/>
        </w:rPr>
        <w:t xml:space="preserve"> </w:t>
      </w:r>
      <w:r w:rsidR="00B556E6">
        <w:rPr>
          <w:sz w:val="28"/>
          <w:szCs w:val="28"/>
        </w:rPr>
        <w:t xml:space="preserve">più o meno </w:t>
      </w:r>
      <w:r>
        <w:rPr>
          <w:sz w:val="28"/>
          <w:szCs w:val="28"/>
        </w:rPr>
        <w:t>definite</w:t>
      </w:r>
      <w:r w:rsidR="00B556E6">
        <w:rPr>
          <w:sz w:val="28"/>
          <w:szCs w:val="28"/>
        </w:rPr>
        <w:t xml:space="preserve"> </w:t>
      </w:r>
      <w:r w:rsidR="00484FBF">
        <w:rPr>
          <w:sz w:val="28"/>
          <w:szCs w:val="28"/>
        </w:rPr>
        <w:t>nei vari fori</w:t>
      </w:r>
      <w:r w:rsidR="00513771" w:rsidRPr="003D58C4">
        <w:rPr>
          <w:sz w:val="28"/>
          <w:szCs w:val="28"/>
        </w:rPr>
        <w:t xml:space="preserve">. </w:t>
      </w:r>
      <w:r>
        <w:rPr>
          <w:sz w:val="28"/>
          <w:szCs w:val="28"/>
        </w:rPr>
        <w:t xml:space="preserve">E insieme </w:t>
      </w:r>
      <w:r w:rsidR="00513771" w:rsidRPr="003D58C4">
        <w:rPr>
          <w:sz w:val="28"/>
          <w:szCs w:val="28"/>
        </w:rPr>
        <w:t>è r</w:t>
      </w:r>
      <w:r w:rsidR="00552E99">
        <w:rPr>
          <w:sz w:val="28"/>
          <w:szCs w:val="28"/>
        </w:rPr>
        <w:t xml:space="preserve">imasta </w:t>
      </w:r>
      <w:r w:rsidR="00513771" w:rsidRPr="003D58C4">
        <w:rPr>
          <w:sz w:val="28"/>
          <w:szCs w:val="28"/>
        </w:rPr>
        <w:t>persistente l’idea di fondo, pro</w:t>
      </w:r>
      <w:r w:rsidR="00552E99">
        <w:rPr>
          <w:sz w:val="28"/>
          <w:szCs w:val="28"/>
        </w:rPr>
        <w:t>pria dell’ambiente giudiziario oltre che</w:t>
      </w:r>
      <w:r w:rsidR="00513771" w:rsidRPr="003D58C4">
        <w:rPr>
          <w:sz w:val="28"/>
          <w:szCs w:val="28"/>
        </w:rPr>
        <w:t xml:space="preserve"> forense, che retorica e logica giuridica si confondano e che </w:t>
      </w:r>
      <w:r w:rsidR="0031756E">
        <w:rPr>
          <w:sz w:val="28"/>
          <w:szCs w:val="28"/>
        </w:rPr>
        <w:t xml:space="preserve">perciò </w:t>
      </w:r>
      <w:r w:rsidR="00513771" w:rsidRPr="003D58C4">
        <w:rPr>
          <w:sz w:val="28"/>
          <w:szCs w:val="28"/>
        </w:rPr>
        <w:t xml:space="preserve">la soggettività comunicazionale ben possa </w:t>
      </w:r>
      <w:r w:rsidR="00D1135D">
        <w:rPr>
          <w:sz w:val="28"/>
          <w:szCs w:val="28"/>
        </w:rPr>
        <w:t>corrispondervi secondo le capacità individuali dell’estensore</w:t>
      </w:r>
      <w:r w:rsidR="00513771" w:rsidRPr="003D58C4">
        <w:rPr>
          <w:sz w:val="28"/>
          <w:szCs w:val="28"/>
          <w:vertAlign w:val="superscript"/>
        </w:rPr>
        <w:footnoteReference w:id="11"/>
      </w:r>
      <w:r w:rsidR="00513771" w:rsidRPr="003D58C4">
        <w:rPr>
          <w:sz w:val="28"/>
          <w:szCs w:val="28"/>
        </w:rPr>
        <w:t xml:space="preserve">. </w:t>
      </w:r>
    </w:p>
    <w:p w:rsidR="0031756E" w:rsidRPr="003D58C4" w:rsidRDefault="0031756E" w:rsidP="0031756E">
      <w:pPr>
        <w:ind w:firstLine="708"/>
        <w:jc w:val="both"/>
        <w:rPr>
          <w:sz w:val="28"/>
          <w:szCs w:val="28"/>
        </w:rPr>
      </w:pPr>
      <w:r w:rsidRPr="003D58C4">
        <w:rPr>
          <w:sz w:val="28"/>
          <w:szCs w:val="28"/>
        </w:rPr>
        <w:t>Il</w:t>
      </w:r>
      <w:r w:rsidR="001F4329">
        <w:rPr>
          <w:sz w:val="28"/>
          <w:szCs w:val="28"/>
        </w:rPr>
        <w:t xml:space="preserve"> francese</w:t>
      </w:r>
      <w:r w:rsidRPr="003D58C4">
        <w:rPr>
          <w:sz w:val="28"/>
          <w:szCs w:val="28"/>
        </w:rPr>
        <w:t xml:space="preserve"> </w:t>
      </w:r>
      <w:r w:rsidRPr="003D58C4">
        <w:rPr>
          <w:i/>
          <w:sz w:val="28"/>
          <w:szCs w:val="28"/>
        </w:rPr>
        <w:t>jugement à phrase unique</w:t>
      </w:r>
      <w:r w:rsidR="00D1135D">
        <w:rPr>
          <w:sz w:val="28"/>
          <w:szCs w:val="28"/>
        </w:rPr>
        <w:t xml:space="preserve"> (intervallata</w:t>
      </w:r>
      <w:r w:rsidRPr="003D58C4">
        <w:rPr>
          <w:sz w:val="28"/>
          <w:szCs w:val="28"/>
        </w:rPr>
        <w:t xml:space="preserve"> sol</w:t>
      </w:r>
      <w:r w:rsidR="00FD693B">
        <w:rPr>
          <w:sz w:val="28"/>
          <w:szCs w:val="28"/>
        </w:rPr>
        <w:t xml:space="preserve">tanto </w:t>
      </w:r>
      <w:r w:rsidR="00E81799">
        <w:rPr>
          <w:sz w:val="28"/>
          <w:szCs w:val="28"/>
        </w:rPr>
        <w:t>da punti e virgole</w:t>
      </w:r>
      <w:r w:rsidRPr="003D58C4">
        <w:rPr>
          <w:sz w:val="28"/>
          <w:szCs w:val="28"/>
        </w:rPr>
        <w:t xml:space="preserve">, quand’anche di più pagine) della </w:t>
      </w:r>
      <w:r w:rsidRPr="003D58C4">
        <w:rPr>
          <w:i/>
          <w:sz w:val="28"/>
          <w:szCs w:val="28"/>
        </w:rPr>
        <w:t>Cour de Cassation</w:t>
      </w:r>
      <w:r w:rsidRPr="003D58C4">
        <w:rPr>
          <w:sz w:val="28"/>
          <w:szCs w:val="28"/>
        </w:rPr>
        <w:t xml:space="preserve"> nell’Ottocento fu sì </w:t>
      </w:r>
      <w:r w:rsidR="005A6807">
        <w:rPr>
          <w:sz w:val="28"/>
          <w:szCs w:val="28"/>
        </w:rPr>
        <w:t xml:space="preserve">talvolta </w:t>
      </w:r>
      <w:r w:rsidRPr="003D58C4">
        <w:rPr>
          <w:sz w:val="28"/>
          <w:szCs w:val="28"/>
        </w:rPr>
        <w:t>preso a modello da</w:t>
      </w:r>
      <w:r w:rsidR="00774464">
        <w:rPr>
          <w:sz w:val="28"/>
          <w:szCs w:val="28"/>
        </w:rPr>
        <w:t xml:space="preserve"> alcune </w:t>
      </w:r>
      <w:r w:rsidRPr="003D58C4">
        <w:rPr>
          <w:sz w:val="28"/>
          <w:szCs w:val="28"/>
        </w:rPr>
        <w:t>Corti di Cassazione italiane</w:t>
      </w:r>
      <w:r w:rsidR="00D1135D">
        <w:rPr>
          <w:sz w:val="28"/>
          <w:szCs w:val="28"/>
        </w:rPr>
        <w:t>. M</w:t>
      </w:r>
      <w:r w:rsidRPr="003D58C4">
        <w:rPr>
          <w:sz w:val="28"/>
          <w:szCs w:val="28"/>
        </w:rPr>
        <w:t xml:space="preserve">a </w:t>
      </w:r>
      <w:r>
        <w:rPr>
          <w:sz w:val="28"/>
          <w:szCs w:val="28"/>
        </w:rPr>
        <w:t xml:space="preserve">fu solo, appunto, una prassi e in realtà </w:t>
      </w:r>
      <w:r w:rsidRPr="003D58C4">
        <w:rPr>
          <w:sz w:val="28"/>
          <w:szCs w:val="28"/>
        </w:rPr>
        <w:t xml:space="preserve">l’importazione del modello francese di giustizia non ha </w:t>
      </w:r>
      <w:r>
        <w:rPr>
          <w:sz w:val="28"/>
          <w:szCs w:val="28"/>
        </w:rPr>
        <w:t xml:space="preserve">mai </w:t>
      </w:r>
      <w:r w:rsidRPr="003D58C4">
        <w:rPr>
          <w:sz w:val="28"/>
          <w:szCs w:val="28"/>
        </w:rPr>
        <w:t xml:space="preserve">toccato in termini </w:t>
      </w:r>
      <w:r w:rsidR="007B3BEC">
        <w:rPr>
          <w:sz w:val="28"/>
          <w:szCs w:val="28"/>
        </w:rPr>
        <w:t xml:space="preserve">codificati </w:t>
      </w:r>
      <w:r w:rsidR="00D1135D">
        <w:rPr>
          <w:sz w:val="28"/>
          <w:szCs w:val="28"/>
        </w:rPr>
        <w:t xml:space="preserve">o </w:t>
      </w:r>
      <w:r>
        <w:rPr>
          <w:sz w:val="28"/>
          <w:szCs w:val="28"/>
        </w:rPr>
        <w:t xml:space="preserve">doverosi </w:t>
      </w:r>
      <w:r w:rsidRPr="003D58C4">
        <w:rPr>
          <w:sz w:val="28"/>
          <w:szCs w:val="28"/>
        </w:rPr>
        <w:t xml:space="preserve">lo </w:t>
      </w:r>
      <w:r w:rsidRPr="00993384">
        <w:rPr>
          <w:sz w:val="28"/>
          <w:szCs w:val="28"/>
        </w:rPr>
        <w:t>stile</w:t>
      </w:r>
      <w:r w:rsidRPr="003D58C4">
        <w:rPr>
          <w:sz w:val="28"/>
          <w:szCs w:val="28"/>
        </w:rPr>
        <w:t xml:space="preserve"> del provvedimento. </w:t>
      </w:r>
      <w:r>
        <w:rPr>
          <w:sz w:val="28"/>
          <w:szCs w:val="28"/>
        </w:rPr>
        <w:t xml:space="preserve">Al contrario di quanto è stato </w:t>
      </w:r>
      <w:r w:rsidR="00774464">
        <w:rPr>
          <w:sz w:val="28"/>
          <w:szCs w:val="28"/>
        </w:rPr>
        <w:t xml:space="preserve">ed è </w:t>
      </w:r>
      <w:r w:rsidRPr="003D58C4">
        <w:rPr>
          <w:sz w:val="28"/>
          <w:szCs w:val="28"/>
        </w:rPr>
        <w:t xml:space="preserve">in Francia, dove si dà grande </w:t>
      </w:r>
      <w:r w:rsidR="007B3BEC">
        <w:rPr>
          <w:sz w:val="28"/>
          <w:szCs w:val="28"/>
        </w:rPr>
        <w:t xml:space="preserve">significato </w:t>
      </w:r>
      <w:r w:rsidRPr="003D58C4">
        <w:rPr>
          <w:sz w:val="28"/>
          <w:szCs w:val="28"/>
        </w:rPr>
        <w:t xml:space="preserve">alla regola formale che </w:t>
      </w:r>
      <w:r>
        <w:rPr>
          <w:sz w:val="28"/>
          <w:szCs w:val="28"/>
        </w:rPr>
        <w:t xml:space="preserve">l’esposizione del ragionamento del giudice </w:t>
      </w:r>
      <w:r w:rsidRPr="003D58C4">
        <w:rPr>
          <w:sz w:val="28"/>
          <w:szCs w:val="28"/>
        </w:rPr>
        <w:t>sia rigoros</w:t>
      </w:r>
      <w:r>
        <w:rPr>
          <w:sz w:val="28"/>
          <w:szCs w:val="28"/>
        </w:rPr>
        <w:t>a, chiara</w:t>
      </w:r>
      <w:r w:rsidRPr="003D58C4">
        <w:rPr>
          <w:sz w:val="28"/>
          <w:szCs w:val="28"/>
        </w:rPr>
        <w:t xml:space="preserve">, leggibile e intellegibile dall’esterno: al punto che per la sua </w:t>
      </w:r>
      <w:r w:rsidRPr="00D1135D">
        <w:rPr>
          <w:sz w:val="28"/>
          <w:szCs w:val="28"/>
        </w:rPr>
        <w:t xml:space="preserve">generalizzazione – cioè </w:t>
      </w:r>
      <w:r w:rsidR="00D1135D">
        <w:rPr>
          <w:sz w:val="28"/>
          <w:szCs w:val="28"/>
        </w:rPr>
        <w:t>l’</w:t>
      </w:r>
      <w:r w:rsidRPr="00D1135D">
        <w:rPr>
          <w:sz w:val="28"/>
          <w:szCs w:val="28"/>
        </w:rPr>
        <w:t>uniformizzazione dello</w:t>
      </w:r>
      <w:r>
        <w:rPr>
          <w:sz w:val="28"/>
          <w:szCs w:val="28"/>
        </w:rPr>
        <w:t xml:space="preserve"> stile - è codificata</w:t>
      </w:r>
      <w:r w:rsidRPr="003D58C4">
        <w:rPr>
          <w:sz w:val="28"/>
          <w:szCs w:val="28"/>
        </w:rPr>
        <w:t xml:space="preserve"> da apposite </w:t>
      </w:r>
      <w:r w:rsidRPr="00D1135D">
        <w:rPr>
          <w:sz w:val="28"/>
          <w:szCs w:val="28"/>
        </w:rPr>
        <w:t>guide</w:t>
      </w:r>
      <w:r w:rsidRPr="003D58C4">
        <w:rPr>
          <w:sz w:val="28"/>
          <w:szCs w:val="28"/>
        </w:rPr>
        <w:t xml:space="preserve"> ad uso degli estensori</w:t>
      </w:r>
      <w:r w:rsidRPr="003D58C4">
        <w:rPr>
          <w:rStyle w:val="FootnoteReference"/>
          <w:sz w:val="28"/>
          <w:szCs w:val="28"/>
        </w:rPr>
        <w:footnoteReference w:id="12"/>
      </w:r>
      <w:r w:rsidRPr="003D58C4">
        <w:rPr>
          <w:sz w:val="28"/>
          <w:szCs w:val="28"/>
        </w:rPr>
        <w:t>.</w:t>
      </w:r>
    </w:p>
    <w:p w:rsidR="00513771" w:rsidRPr="003D58C4" w:rsidRDefault="00513771" w:rsidP="00513771">
      <w:pPr>
        <w:ind w:firstLine="708"/>
        <w:jc w:val="both"/>
        <w:rPr>
          <w:sz w:val="28"/>
          <w:szCs w:val="28"/>
        </w:rPr>
      </w:pPr>
      <w:r w:rsidRPr="003D58C4">
        <w:rPr>
          <w:sz w:val="28"/>
          <w:szCs w:val="28"/>
        </w:rPr>
        <w:t xml:space="preserve">Dunque </w:t>
      </w:r>
      <w:r w:rsidR="0056334A">
        <w:rPr>
          <w:sz w:val="28"/>
          <w:szCs w:val="28"/>
        </w:rPr>
        <w:t xml:space="preserve">in Italia </w:t>
      </w:r>
      <w:r w:rsidRPr="003D58C4">
        <w:rPr>
          <w:sz w:val="28"/>
          <w:szCs w:val="28"/>
        </w:rPr>
        <w:t xml:space="preserve">per tradizioni risalenti e forse anche per riflesso </w:t>
      </w:r>
      <w:r w:rsidR="00993384">
        <w:rPr>
          <w:sz w:val="28"/>
          <w:szCs w:val="28"/>
        </w:rPr>
        <w:t xml:space="preserve">del </w:t>
      </w:r>
      <w:r w:rsidRPr="003D58C4">
        <w:rPr>
          <w:sz w:val="28"/>
          <w:szCs w:val="28"/>
        </w:rPr>
        <w:t>pluralismo territoriale – destinato a protrarsi, fino al r.d. 24 marzo 1923, n. 601, nelle cinque Cassazioni “regionali”</w:t>
      </w:r>
      <w:r w:rsidRPr="003D58C4">
        <w:rPr>
          <w:rStyle w:val="FootnoteReference"/>
          <w:sz w:val="28"/>
          <w:szCs w:val="28"/>
        </w:rPr>
        <w:footnoteReference w:id="13"/>
      </w:r>
      <w:r w:rsidRPr="003D58C4">
        <w:rPr>
          <w:sz w:val="28"/>
          <w:szCs w:val="28"/>
        </w:rPr>
        <w:t xml:space="preserve"> -, la latitudine espressiva </w:t>
      </w:r>
      <w:r w:rsidRPr="00552E99">
        <w:rPr>
          <w:sz w:val="28"/>
          <w:szCs w:val="28"/>
        </w:rPr>
        <w:t>nella redazione della motivazione è rimasta non canonizzata e non tenuta nel rigore di uno stile espressivo uni</w:t>
      </w:r>
      <w:r w:rsidR="00774464">
        <w:rPr>
          <w:sz w:val="28"/>
          <w:szCs w:val="28"/>
        </w:rPr>
        <w:t>forme</w:t>
      </w:r>
      <w:r w:rsidRPr="00552E99">
        <w:rPr>
          <w:sz w:val="28"/>
          <w:szCs w:val="28"/>
        </w:rPr>
        <w:t xml:space="preserve">. La conseguenza </w:t>
      </w:r>
      <w:r w:rsidRPr="003D58C4">
        <w:rPr>
          <w:sz w:val="28"/>
          <w:szCs w:val="28"/>
        </w:rPr>
        <w:t xml:space="preserve">è che </w:t>
      </w:r>
      <w:r w:rsidR="00552E99">
        <w:rPr>
          <w:sz w:val="28"/>
          <w:szCs w:val="28"/>
        </w:rPr>
        <w:t xml:space="preserve">da noi </w:t>
      </w:r>
      <w:r w:rsidRPr="003D58C4">
        <w:rPr>
          <w:sz w:val="28"/>
          <w:szCs w:val="28"/>
        </w:rPr>
        <w:t xml:space="preserve">non esiste un autentico </w:t>
      </w:r>
      <w:r w:rsidRPr="003D58C4">
        <w:rPr>
          <w:i/>
          <w:sz w:val="28"/>
          <w:szCs w:val="28"/>
        </w:rPr>
        <w:t>stylus sententiae</w:t>
      </w:r>
      <w:r w:rsidRPr="003D58C4">
        <w:rPr>
          <w:sz w:val="28"/>
          <w:szCs w:val="28"/>
        </w:rPr>
        <w:t xml:space="preserve">: </w:t>
      </w:r>
      <w:r w:rsidR="00774464">
        <w:rPr>
          <w:sz w:val="28"/>
          <w:szCs w:val="28"/>
        </w:rPr>
        <w:t xml:space="preserve">e </w:t>
      </w:r>
      <w:r w:rsidRPr="003D58C4">
        <w:rPr>
          <w:sz w:val="28"/>
          <w:szCs w:val="28"/>
        </w:rPr>
        <w:t xml:space="preserve">che </w:t>
      </w:r>
      <w:r w:rsidR="00237A62">
        <w:rPr>
          <w:sz w:val="28"/>
          <w:szCs w:val="28"/>
        </w:rPr>
        <w:t xml:space="preserve">per lo più </w:t>
      </w:r>
      <w:r w:rsidR="007B3BEC">
        <w:rPr>
          <w:sz w:val="28"/>
          <w:szCs w:val="28"/>
        </w:rPr>
        <w:t xml:space="preserve">il tema </w:t>
      </w:r>
      <w:r w:rsidRPr="003D58C4">
        <w:rPr>
          <w:sz w:val="28"/>
          <w:szCs w:val="28"/>
        </w:rPr>
        <w:t xml:space="preserve">continua ad essere </w:t>
      </w:r>
      <w:r w:rsidR="0056334A">
        <w:rPr>
          <w:sz w:val="28"/>
          <w:szCs w:val="28"/>
        </w:rPr>
        <w:t xml:space="preserve">lasciato alla prudenza </w:t>
      </w:r>
      <w:r w:rsidRPr="003D58C4">
        <w:rPr>
          <w:sz w:val="28"/>
          <w:szCs w:val="28"/>
        </w:rPr>
        <w:t xml:space="preserve">dell’estensore. </w:t>
      </w:r>
    </w:p>
    <w:p w:rsidR="00513771" w:rsidRDefault="00513771" w:rsidP="00513771">
      <w:pPr>
        <w:ind w:firstLine="708"/>
        <w:jc w:val="both"/>
        <w:rPr>
          <w:sz w:val="28"/>
          <w:szCs w:val="28"/>
        </w:rPr>
      </w:pPr>
      <w:r w:rsidRPr="003D58C4">
        <w:rPr>
          <w:sz w:val="28"/>
          <w:szCs w:val="28"/>
        </w:rPr>
        <w:t>E questo benché siano per legge fermi gli elementi n</w:t>
      </w:r>
      <w:r w:rsidR="005A6807">
        <w:rPr>
          <w:sz w:val="28"/>
          <w:szCs w:val="28"/>
        </w:rPr>
        <w:t>ecessari nel processo civile de</w:t>
      </w:r>
      <w:r w:rsidRPr="003D58C4">
        <w:rPr>
          <w:sz w:val="28"/>
          <w:szCs w:val="28"/>
        </w:rPr>
        <w:t xml:space="preserve"> </w:t>
      </w:r>
      <w:r w:rsidR="00E52DF9" w:rsidRPr="003D58C4">
        <w:rPr>
          <w:i/>
          <w:sz w:val="28"/>
          <w:szCs w:val="28"/>
        </w:rPr>
        <w:t>«la concisa esposizione delle ragioni di fatto e di diritto della decisione»</w:t>
      </w:r>
      <w:r w:rsidR="00E52DF9">
        <w:rPr>
          <w:i/>
          <w:sz w:val="28"/>
          <w:szCs w:val="28"/>
        </w:rPr>
        <w:t xml:space="preserve"> </w:t>
      </w:r>
      <w:r w:rsidRPr="003D58C4">
        <w:rPr>
          <w:sz w:val="28"/>
          <w:szCs w:val="28"/>
        </w:rPr>
        <w:t xml:space="preserve">(art. 132 - </w:t>
      </w:r>
      <w:r w:rsidRPr="003D58C4">
        <w:rPr>
          <w:i/>
          <w:sz w:val="28"/>
          <w:szCs w:val="28"/>
        </w:rPr>
        <w:t>Contenuto della sentenza</w:t>
      </w:r>
      <w:r w:rsidRPr="003D58C4">
        <w:rPr>
          <w:sz w:val="28"/>
          <w:szCs w:val="28"/>
        </w:rPr>
        <w:t xml:space="preserve">, n. </w:t>
      </w:r>
      <w:r w:rsidRPr="003D58C4">
        <w:rPr>
          <w:i/>
          <w:sz w:val="28"/>
          <w:szCs w:val="28"/>
        </w:rPr>
        <w:t>4)</w:t>
      </w:r>
      <w:r w:rsidRPr="003D58C4">
        <w:rPr>
          <w:sz w:val="28"/>
          <w:szCs w:val="28"/>
        </w:rPr>
        <w:t xml:space="preserve"> Cod. proc. civ., </w:t>
      </w:r>
      <w:r w:rsidR="00E52DF9">
        <w:rPr>
          <w:sz w:val="28"/>
          <w:szCs w:val="28"/>
        </w:rPr>
        <w:t xml:space="preserve">come </w:t>
      </w:r>
      <w:r w:rsidR="007B3BEC" w:rsidRPr="003D58C4">
        <w:rPr>
          <w:sz w:val="28"/>
          <w:szCs w:val="28"/>
        </w:rPr>
        <w:t xml:space="preserve">sostituito </w:t>
      </w:r>
      <w:r w:rsidRPr="003D58C4">
        <w:rPr>
          <w:sz w:val="28"/>
          <w:szCs w:val="28"/>
        </w:rPr>
        <w:t>dall’art. 45, comma 17, l. 18 giugno 2009, n. 69</w:t>
      </w:r>
      <w:r w:rsidR="00E52DF9">
        <w:rPr>
          <w:sz w:val="28"/>
          <w:szCs w:val="28"/>
        </w:rPr>
        <w:t xml:space="preserve">; in origine la norma diceva: </w:t>
      </w:r>
      <w:r w:rsidR="00E52DF9" w:rsidRPr="003D58C4">
        <w:rPr>
          <w:i/>
          <w:sz w:val="28"/>
          <w:szCs w:val="28"/>
        </w:rPr>
        <w:t>«concisa esposizione dello svolgimento del processo e dei motivi in fatto e in diritto della decisione»</w:t>
      </w:r>
      <w:r w:rsidRPr="003D58C4">
        <w:rPr>
          <w:sz w:val="28"/>
          <w:szCs w:val="28"/>
        </w:rPr>
        <w:t xml:space="preserve">); e nel processo amministrativo </w:t>
      </w:r>
      <w:r w:rsidR="00E52DF9" w:rsidRPr="003D58C4">
        <w:rPr>
          <w:bCs/>
          <w:sz w:val="28"/>
          <w:szCs w:val="28"/>
        </w:rPr>
        <w:t xml:space="preserve">della </w:t>
      </w:r>
      <w:r w:rsidR="00E52DF9" w:rsidRPr="003D58C4">
        <w:rPr>
          <w:i/>
          <w:sz w:val="28"/>
          <w:szCs w:val="28"/>
        </w:rPr>
        <w:t>«concisa esposizione dei motivi in fatto e in diritto della decisione»</w:t>
      </w:r>
      <w:r w:rsidR="00E52DF9" w:rsidRPr="003D58C4">
        <w:rPr>
          <w:sz w:val="28"/>
          <w:szCs w:val="28"/>
        </w:rPr>
        <w:t xml:space="preserve"> dell’art. 88-</w:t>
      </w:r>
      <w:r w:rsidR="00E52DF9" w:rsidRPr="003D58C4">
        <w:rPr>
          <w:i/>
          <w:sz w:val="28"/>
          <w:szCs w:val="28"/>
        </w:rPr>
        <w:t xml:space="preserve"> Contenuto della sentenza</w:t>
      </w:r>
      <w:r w:rsidR="00E52DF9">
        <w:rPr>
          <w:sz w:val="28"/>
          <w:szCs w:val="28"/>
        </w:rPr>
        <w:t xml:space="preserve">, Cod. proc. amm. </w:t>
      </w:r>
      <w:r w:rsidRPr="003D58C4">
        <w:rPr>
          <w:sz w:val="28"/>
          <w:szCs w:val="28"/>
        </w:rPr>
        <w:t>(</w:t>
      </w:r>
      <w:r w:rsidR="00E52DF9">
        <w:rPr>
          <w:sz w:val="28"/>
          <w:szCs w:val="28"/>
        </w:rPr>
        <w:t xml:space="preserve">che sostituisce </w:t>
      </w:r>
      <w:r w:rsidR="00E2129B">
        <w:rPr>
          <w:sz w:val="28"/>
          <w:szCs w:val="28"/>
        </w:rPr>
        <w:t>l’</w:t>
      </w:r>
      <w:r w:rsidRPr="003D58C4">
        <w:rPr>
          <w:sz w:val="28"/>
          <w:szCs w:val="28"/>
        </w:rPr>
        <w:t xml:space="preserve">art. 65, n. </w:t>
      </w:r>
      <w:r w:rsidRPr="003D58C4">
        <w:rPr>
          <w:i/>
          <w:sz w:val="28"/>
          <w:szCs w:val="28"/>
        </w:rPr>
        <w:t>3)</w:t>
      </w:r>
      <w:r w:rsidRPr="003D58C4">
        <w:rPr>
          <w:sz w:val="28"/>
          <w:szCs w:val="28"/>
        </w:rPr>
        <w:t xml:space="preserve">, </w:t>
      </w:r>
      <w:r w:rsidRPr="003D58C4">
        <w:rPr>
          <w:bCs/>
          <w:sz w:val="28"/>
          <w:szCs w:val="28"/>
        </w:rPr>
        <w:t>r.d.</w:t>
      </w:r>
      <w:r w:rsidRPr="003D58C4">
        <w:rPr>
          <w:sz w:val="28"/>
          <w:szCs w:val="28"/>
        </w:rPr>
        <w:t xml:space="preserve"> 17 agosto </w:t>
      </w:r>
      <w:r w:rsidRPr="003D58C4">
        <w:rPr>
          <w:bCs/>
          <w:sz w:val="28"/>
          <w:szCs w:val="28"/>
        </w:rPr>
        <w:t>1907</w:t>
      </w:r>
      <w:r w:rsidRPr="003D58C4">
        <w:rPr>
          <w:sz w:val="28"/>
          <w:szCs w:val="28"/>
        </w:rPr>
        <w:t xml:space="preserve">, n. </w:t>
      </w:r>
      <w:r w:rsidRPr="003D58C4">
        <w:rPr>
          <w:bCs/>
          <w:sz w:val="28"/>
          <w:szCs w:val="28"/>
        </w:rPr>
        <w:t>642</w:t>
      </w:r>
      <w:r w:rsidRPr="003D58C4">
        <w:rPr>
          <w:sz w:val="28"/>
          <w:szCs w:val="28"/>
        </w:rPr>
        <w:t xml:space="preserve">. - </w:t>
      </w:r>
      <w:r w:rsidRPr="003D58C4">
        <w:rPr>
          <w:bCs/>
          <w:i/>
          <w:sz w:val="28"/>
          <w:szCs w:val="28"/>
        </w:rPr>
        <w:t>Regolamento</w:t>
      </w:r>
      <w:r w:rsidRPr="003D58C4">
        <w:rPr>
          <w:i/>
          <w:sz w:val="28"/>
          <w:szCs w:val="28"/>
        </w:rPr>
        <w:t xml:space="preserve"> per la </w:t>
      </w:r>
      <w:r w:rsidRPr="003D58C4">
        <w:rPr>
          <w:bCs/>
          <w:i/>
          <w:sz w:val="28"/>
          <w:szCs w:val="28"/>
        </w:rPr>
        <w:t>procedura</w:t>
      </w:r>
      <w:r w:rsidRPr="003D58C4">
        <w:rPr>
          <w:i/>
          <w:sz w:val="28"/>
          <w:szCs w:val="28"/>
        </w:rPr>
        <w:t xml:space="preserve"> dinanzi alle sezioni giurisdizionali </w:t>
      </w:r>
      <w:r w:rsidRPr="003D58C4">
        <w:rPr>
          <w:bCs/>
          <w:i/>
          <w:sz w:val="28"/>
          <w:szCs w:val="28"/>
        </w:rPr>
        <w:t>del Consiglio di Stato</w:t>
      </w:r>
      <w:r w:rsidR="00E52DF9" w:rsidRPr="00E52DF9">
        <w:rPr>
          <w:bCs/>
          <w:sz w:val="28"/>
          <w:szCs w:val="28"/>
        </w:rPr>
        <w:t>, che richiedeva</w:t>
      </w:r>
      <w:r w:rsidR="00E52DF9">
        <w:rPr>
          <w:bCs/>
          <w:i/>
          <w:sz w:val="28"/>
          <w:szCs w:val="28"/>
        </w:rPr>
        <w:t xml:space="preserve"> </w:t>
      </w:r>
      <w:r w:rsidR="00E52DF9" w:rsidRPr="003D58C4">
        <w:rPr>
          <w:i/>
          <w:sz w:val="28"/>
          <w:szCs w:val="28"/>
        </w:rPr>
        <w:t>«una succinta esposizione dei motivi di fatto e di diritto»</w:t>
      </w:r>
      <w:r w:rsidR="00E52DF9" w:rsidRPr="003D58C4">
        <w:rPr>
          <w:sz w:val="28"/>
          <w:szCs w:val="28"/>
        </w:rPr>
        <w:t xml:space="preserve"> della decisione</w:t>
      </w:r>
      <w:r w:rsidRPr="003D58C4">
        <w:rPr>
          <w:bCs/>
          <w:sz w:val="28"/>
          <w:szCs w:val="28"/>
        </w:rPr>
        <w:t>)</w:t>
      </w:r>
      <w:r w:rsidR="00E52DF9">
        <w:rPr>
          <w:bCs/>
          <w:sz w:val="28"/>
          <w:szCs w:val="28"/>
        </w:rPr>
        <w:t>.</w:t>
      </w:r>
    </w:p>
    <w:p w:rsidR="00B556E6" w:rsidRPr="003D58C4" w:rsidRDefault="00B556E6" w:rsidP="00B556E6">
      <w:pPr>
        <w:ind w:firstLine="708"/>
        <w:jc w:val="both"/>
        <w:rPr>
          <w:sz w:val="28"/>
          <w:szCs w:val="28"/>
        </w:rPr>
      </w:pPr>
      <w:r w:rsidRPr="003D58C4">
        <w:rPr>
          <w:sz w:val="28"/>
          <w:szCs w:val="28"/>
        </w:rPr>
        <w:t>Da questo punto di vista</w:t>
      </w:r>
      <w:r w:rsidR="00D1135D">
        <w:rPr>
          <w:sz w:val="28"/>
          <w:szCs w:val="28"/>
        </w:rPr>
        <w:t>,</w:t>
      </w:r>
      <w:r w:rsidRPr="003D58C4">
        <w:rPr>
          <w:sz w:val="28"/>
          <w:szCs w:val="28"/>
        </w:rPr>
        <w:t xml:space="preserve"> </w:t>
      </w:r>
      <w:r>
        <w:rPr>
          <w:sz w:val="28"/>
          <w:szCs w:val="28"/>
        </w:rPr>
        <w:t xml:space="preserve">di capitale </w:t>
      </w:r>
      <w:r w:rsidRPr="003D58C4">
        <w:rPr>
          <w:sz w:val="28"/>
          <w:szCs w:val="28"/>
        </w:rPr>
        <w:t xml:space="preserve">in Italia </w:t>
      </w:r>
      <w:r w:rsidR="00E52DF9">
        <w:rPr>
          <w:sz w:val="28"/>
          <w:szCs w:val="28"/>
        </w:rPr>
        <w:t xml:space="preserve">– e per il processo amministrativo - </w:t>
      </w:r>
      <w:r>
        <w:rPr>
          <w:sz w:val="28"/>
          <w:szCs w:val="28"/>
        </w:rPr>
        <w:t xml:space="preserve">vi è </w:t>
      </w:r>
      <w:r w:rsidR="00841C91">
        <w:rPr>
          <w:sz w:val="28"/>
          <w:szCs w:val="28"/>
        </w:rPr>
        <w:t xml:space="preserve">però </w:t>
      </w:r>
      <w:r w:rsidR="0031756E">
        <w:rPr>
          <w:sz w:val="28"/>
          <w:szCs w:val="28"/>
        </w:rPr>
        <w:t xml:space="preserve">ora </w:t>
      </w:r>
      <w:r w:rsidR="00237A62">
        <w:rPr>
          <w:sz w:val="28"/>
          <w:szCs w:val="28"/>
        </w:rPr>
        <w:t xml:space="preserve">il </w:t>
      </w:r>
      <w:r w:rsidRPr="003D58C4">
        <w:rPr>
          <w:sz w:val="28"/>
          <w:szCs w:val="28"/>
        </w:rPr>
        <w:t>precetto</w:t>
      </w:r>
      <w:r w:rsidR="002836FA">
        <w:rPr>
          <w:sz w:val="28"/>
          <w:szCs w:val="28"/>
        </w:rPr>
        <w:t xml:space="preserve"> di legge posto</w:t>
      </w:r>
      <w:r w:rsidRPr="003D58C4">
        <w:rPr>
          <w:sz w:val="28"/>
          <w:szCs w:val="28"/>
        </w:rPr>
        <w:t xml:space="preserve">, </w:t>
      </w:r>
      <w:r w:rsidR="0031756E">
        <w:rPr>
          <w:sz w:val="28"/>
          <w:szCs w:val="28"/>
        </w:rPr>
        <w:t xml:space="preserve">seppur </w:t>
      </w:r>
      <w:r w:rsidR="00237A62">
        <w:rPr>
          <w:sz w:val="28"/>
          <w:szCs w:val="28"/>
        </w:rPr>
        <w:t>ellitticamente</w:t>
      </w:r>
      <w:r w:rsidR="002836FA">
        <w:rPr>
          <w:sz w:val="28"/>
          <w:szCs w:val="28"/>
        </w:rPr>
        <w:t>,</w:t>
      </w:r>
      <w:r w:rsidR="00237A62">
        <w:rPr>
          <w:sz w:val="28"/>
          <w:szCs w:val="28"/>
        </w:rPr>
        <w:t xml:space="preserve"> </w:t>
      </w:r>
      <w:r w:rsidRPr="003D58C4">
        <w:rPr>
          <w:sz w:val="28"/>
          <w:szCs w:val="28"/>
        </w:rPr>
        <w:t xml:space="preserve">dall’art. 3, comma 2, Cod. proc. amm., di </w:t>
      </w:r>
      <w:r w:rsidR="00237A62" w:rsidRPr="00237A62">
        <w:rPr>
          <w:i/>
          <w:sz w:val="28"/>
          <w:szCs w:val="28"/>
        </w:rPr>
        <w:t>chiarezza</w:t>
      </w:r>
      <w:r w:rsidR="00237A62">
        <w:rPr>
          <w:sz w:val="28"/>
          <w:szCs w:val="28"/>
        </w:rPr>
        <w:t xml:space="preserve"> e </w:t>
      </w:r>
      <w:r w:rsidRPr="003D58C4">
        <w:rPr>
          <w:i/>
          <w:sz w:val="28"/>
          <w:szCs w:val="28"/>
        </w:rPr>
        <w:t>sinteticità</w:t>
      </w:r>
      <w:r w:rsidRPr="003D58C4">
        <w:rPr>
          <w:sz w:val="28"/>
          <w:szCs w:val="28"/>
        </w:rPr>
        <w:t xml:space="preserve"> per cui </w:t>
      </w:r>
      <w:r w:rsidR="002836FA">
        <w:rPr>
          <w:i/>
          <w:sz w:val="28"/>
          <w:szCs w:val="28"/>
        </w:rPr>
        <w:t>«i</w:t>
      </w:r>
      <w:r w:rsidRPr="003D58C4">
        <w:rPr>
          <w:i/>
          <w:sz w:val="28"/>
          <w:szCs w:val="28"/>
        </w:rPr>
        <w:t>l giudice e le parti redigono gli atti in maniera chiara e sintetica»</w:t>
      </w:r>
      <w:r w:rsidRPr="003D58C4">
        <w:rPr>
          <w:rStyle w:val="FootnoteReference"/>
          <w:sz w:val="28"/>
          <w:szCs w:val="28"/>
        </w:rPr>
        <w:footnoteReference w:id="14"/>
      </w:r>
      <w:r w:rsidRPr="003D58C4">
        <w:rPr>
          <w:sz w:val="28"/>
          <w:szCs w:val="28"/>
        </w:rPr>
        <w:t>.</w:t>
      </w:r>
      <w:r w:rsidR="00552E99">
        <w:rPr>
          <w:sz w:val="28"/>
          <w:szCs w:val="28"/>
        </w:rPr>
        <w:t xml:space="preserve"> Si tratta </w:t>
      </w:r>
      <w:r w:rsidR="00E52DF9">
        <w:rPr>
          <w:sz w:val="28"/>
          <w:szCs w:val="28"/>
        </w:rPr>
        <w:t>qui</w:t>
      </w:r>
      <w:r w:rsidR="00552E99">
        <w:rPr>
          <w:sz w:val="28"/>
          <w:szCs w:val="28"/>
        </w:rPr>
        <w:t xml:space="preserve"> di intendersi su cosa si intende per </w:t>
      </w:r>
      <w:r w:rsidR="00552E99" w:rsidRPr="00552E99">
        <w:rPr>
          <w:i/>
          <w:sz w:val="28"/>
          <w:szCs w:val="28"/>
        </w:rPr>
        <w:t>chiarezza</w:t>
      </w:r>
      <w:r w:rsidR="00552E99">
        <w:rPr>
          <w:sz w:val="28"/>
          <w:szCs w:val="28"/>
        </w:rPr>
        <w:t>. Questo è il punto.</w:t>
      </w:r>
    </w:p>
    <w:p w:rsidR="00513771" w:rsidRPr="003D58C4" w:rsidRDefault="00513771" w:rsidP="00513771">
      <w:pPr>
        <w:jc w:val="both"/>
        <w:rPr>
          <w:sz w:val="28"/>
          <w:szCs w:val="28"/>
        </w:rPr>
      </w:pPr>
    </w:p>
    <w:p w:rsidR="00513771" w:rsidRPr="003D58C4" w:rsidRDefault="00513771" w:rsidP="00513771">
      <w:pPr>
        <w:jc w:val="center"/>
        <w:rPr>
          <w:sz w:val="28"/>
          <w:szCs w:val="28"/>
        </w:rPr>
      </w:pPr>
      <w:r w:rsidRPr="003D58C4">
        <w:rPr>
          <w:sz w:val="28"/>
          <w:szCs w:val="28"/>
        </w:rPr>
        <w:t>III</w:t>
      </w:r>
    </w:p>
    <w:p w:rsidR="00513771" w:rsidRPr="003D58C4" w:rsidRDefault="00513771" w:rsidP="00513771">
      <w:pPr>
        <w:ind w:firstLine="708"/>
        <w:jc w:val="both"/>
        <w:rPr>
          <w:sz w:val="28"/>
          <w:szCs w:val="28"/>
        </w:rPr>
      </w:pPr>
      <w:r w:rsidRPr="003D58C4">
        <w:rPr>
          <w:sz w:val="28"/>
          <w:szCs w:val="28"/>
        </w:rPr>
        <w:t>All</w:t>
      </w:r>
      <w:r w:rsidR="005A6807">
        <w:rPr>
          <w:sz w:val="28"/>
          <w:szCs w:val="28"/>
        </w:rPr>
        <w:t>’idea</w:t>
      </w:r>
      <w:r w:rsidRPr="003D58C4">
        <w:rPr>
          <w:sz w:val="28"/>
          <w:szCs w:val="28"/>
        </w:rPr>
        <w:t xml:space="preserve"> fallace </w:t>
      </w:r>
      <w:r w:rsidR="00237A62">
        <w:rPr>
          <w:sz w:val="28"/>
          <w:szCs w:val="28"/>
        </w:rPr>
        <w:t xml:space="preserve">di </w:t>
      </w:r>
      <w:r w:rsidR="00B22F7F">
        <w:rPr>
          <w:sz w:val="28"/>
          <w:szCs w:val="28"/>
        </w:rPr>
        <w:t xml:space="preserve">questi spazi di </w:t>
      </w:r>
      <w:r w:rsidRPr="003D58C4">
        <w:rPr>
          <w:sz w:val="28"/>
          <w:szCs w:val="28"/>
        </w:rPr>
        <w:t xml:space="preserve">monocratizzazione </w:t>
      </w:r>
      <w:r w:rsidR="00237A62">
        <w:rPr>
          <w:sz w:val="28"/>
          <w:szCs w:val="28"/>
        </w:rPr>
        <w:t xml:space="preserve">di fatto </w:t>
      </w:r>
      <w:r w:rsidRPr="003D58C4">
        <w:rPr>
          <w:sz w:val="28"/>
          <w:szCs w:val="28"/>
        </w:rPr>
        <w:t xml:space="preserve">della stesura della motivazione ha (fino alle l. 25 luglio 1966, n. 570 e 20 dicembre 1973, n. 831) </w:t>
      </w:r>
      <w:r w:rsidR="00552E99">
        <w:rPr>
          <w:sz w:val="28"/>
          <w:szCs w:val="28"/>
        </w:rPr>
        <w:t xml:space="preserve">probabilmente </w:t>
      </w:r>
      <w:r w:rsidRPr="003D58C4">
        <w:rPr>
          <w:sz w:val="28"/>
          <w:szCs w:val="28"/>
        </w:rPr>
        <w:t>contribuito il metodo di progressione in carriera dei magistrati ordinari, basato sullo scrutinio delle sentenze estese o sulla loro valutazione come titoli di concorso, che implicitamente portava alla valorizzazione dell’</w:t>
      </w:r>
      <w:r w:rsidR="00B22F7F">
        <w:rPr>
          <w:sz w:val="28"/>
          <w:szCs w:val="28"/>
        </w:rPr>
        <w:t>i</w:t>
      </w:r>
      <w:r w:rsidRPr="003D58C4">
        <w:rPr>
          <w:sz w:val="28"/>
          <w:szCs w:val="28"/>
        </w:rPr>
        <w:t xml:space="preserve">nterlocuzione </w:t>
      </w:r>
      <w:r w:rsidR="002836FA">
        <w:rPr>
          <w:sz w:val="28"/>
          <w:szCs w:val="28"/>
        </w:rPr>
        <w:t xml:space="preserve">mostrata </w:t>
      </w:r>
      <w:r w:rsidRPr="003D58C4">
        <w:rPr>
          <w:sz w:val="28"/>
          <w:szCs w:val="28"/>
        </w:rPr>
        <w:t>d</w:t>
      </w:r>
      <w:r w:rsidR="002836FA">
        <w:rPr>
          <w:sz w:val="28"/>
          <w:szCs w:val="28"/>
        </w:rPr>
        <w:t>a</w:t>
      </w:r>
      <w:r w:rsidRPr="003D58C4">
        <w:rPr>
          <w:sz w:val="28"/>
          <w:szCs w:val="28"/>
        </w:rPr>
        <w:t xml:space="preserve">ll’estensore con la giurisprudenza e </w:t>
      </w:r>
      <w:r w:rsidR="002836FA">
        <w:rPr>
          <w:sz w:val="28"/>
          <w:szCs w:val="28"/>
        </w:rPr>
        <w:t xml:space="preserve">allusivamente con </w:t>
      </w:r>
      <w:r w:rsidRPr="003D58C4">
        <w:rPr>
          <w:sz w:val="28"/>
          <w:szCs w:val="28"/>
        </w:rPr>
        <w:t>la do</w:t>
      </w:r>
      <w:r w:rsidR="00B22F7F">
        <w:rPr>
          <w:sz w:val="28"/>
          <w:szCs w:val="28"/>
        </w:rPr>
        <w:t>ttrina (</w:t>
      </w:r>
      <w:r w:rsidR="002836FA">
        <w:rPr>
          <w:sz w:val="28"/>
          <w:szCs w:val="28"/>
        </w:rPr>
        <w:t xml:space="preserve">essendo </w:t>
      </w:r>
      <w:r w:rsidR="00B22F7F">
        <w:rPr>
          <w:sz w:val="28"/>
          <w:szCs w:val="28"/>
        </w:rPr>
        <w:t>vietato</w:t>
      </w:r>
      <w:r w:rsidRPr="003D58C4">
        <w:rPr>
          <w:sz w:val="28"/>
          <w:szCs w:val="28"/>
        </w:rPr>
        <w:t xml:space="preserve"> sin dall’art. 265 del Regolamento generale giudiziario del 1865</w:t>
      </w:r>
      <w:r w:rsidRPr="003D58C4">
        <w:rPr>
          <w:i/>
          <w:sz w:val="28"/>
          <w:szCs w:val="28"/>
        </w:rPr>
        <w:t xml:space="preserve"> «invocare l’autorità degli scrittori legali</w:t>
      </w:r>
      <w:r w:rsidRPr="003D58C4">
        <w:rPr>
          <w:sz w:val="28"/>
          <w:szCs w:val="28"/>
        </w:rPr>
        <w:t>»</w:t>
      </w:r>
      <w:r w:rsidRPr="003D58C4">
        <w:rPr>
          <w:rStyle w:val="FootnoteReference"/>
          <w:sz w:val="28"/>
          <w:szCs w:val="28"/>
        </w:rPr>
        <w:footnoteReference w:id="15"/>
      </w:r>
      <w:r w:rsidRPr="003D58C4">
        <w:rPr>
          <w:sz w:val="28"/>
          <w:szCs w:val="28"/>
        </w:rPr>
        <w:t xml:space="preserve">) e dava così alla singola </w:t>
      </w:r>
      <w:r w:rsidR="00B22F7F">
        <w:rPr>
          <w:sz w:val="28"/>
          <w:szCs w:val="28"/>
        </w:rPr>
        <w:t xml:space="preserve">motivazione </w:t>
      </w:r>
      <w:r w:rsidRPr="003D58C4">
        <w:rPr>
          <w:sz w:val="28"/>
          <w:szCs w:val="28"/>
        </w:rPr>
        <w:t xml:space="preserve">un effetto </w:t>
      </w:r>
      <w:r w:rsidR="00B22F7F">
        <w:rPr>
          <w:sz w:val="28"/>
          <w:szCs w:val="28"/>
        </w:rPr>
        <w:t xml:space="preserve">pratico </w:t>
      </w:r>
      <w:r w:rsidRPr="003D58C4">
        <w:rPr>
          <w:sz w:val="28"/>
          <w:szCs w:val="28"/>
        </w:rPr>
        <w:t>di ti</w:t>
      </w:r>
      <w:r w:rsidR="00B22F7F">
        <w:rPr>
          <w:sz w:val="28"/>
          <w:szCs w:val="28"/>
        </w:rPr>
        <w:t>t</w:t>
      </w:r>
      <w:r w:rsidRPr="003D58C4">
        <w:rPr>
          <w:sz w:val="28"/>
          <w:szCs w:val="28"/>
        </w:rPr>
        <w:t>olo personale.</w:t>
      </w:r>
    </w:p>
    <w:p w:rsidR="00513771" w:rsidRPr="003D58C4" w:rsidRDefault="00513771" w:rsidP="00513771">
      <w:pPr>
        <w:ind w:firstLine="708"/>
        <w:jc w:val="both"/>
        <w:rPr>
          <w:sz w:val="28"/>
          <w:szCs w:val="28"/>
        </w:rPr>
      </w:pPr>
      <w:r w:rsidRPr="003D58C4">
        <w:rPr>
          <w:sz w:val="28"/>
          <w:szCs w:val="28"/>
        </w:rPr>
        <w:t xml:space="preserve">Sicché in Italia si </w:t>
      </w:r>
      <w:r w:rsidR="008C4E6A">
        <w:rPr>
          <w:sz w:val="28"/>
          <w:szCs w:val="28"/>
        </w:rPr>
        <w:t>tende ad attribuire</w:t>
      </w:r>
      <w:r w:rsidRPr="003D58C4">
        <w:rPr>
          <w:sz w:val="28"/>
          <w:szCs w:val="28"/>
        </w:rPr>
        <w:t xml:space="preserve"> </w:t>
      </w:r>
      <w:r w:rsidR="00B22F7F">
        <w:rPr>
          <w:sz w:val="28"/>
          <w:szCs w:val="28"/>
        </w:rPr>
        <w:t xml:space="preserve">rilevanza </w:t>
      </w:r>
      <w:r w:rsidR="008C4E6A">
        <w:rPr>
          <w:sz w:val="28"/>
          <w:szCs w:val="28"/>
        </w:rPr>
        <w:t>normativa</w:t>
      </w:r>
      <w:r w:rsidRPr="003D58C4">
        <w:rPr>
          <w:sz w:val="28"/>
          <w:szCs w:val="28"/>
        </w:rPr>
        <w:t xml:space="preserve"> al </w:t>
      </w:r>
      <w:r w:rsidR="00B22F7F">
        <w:rPr>
          <w:sz w:val="28"/>
          <w:szCs w:val="28"/>
        </w:rPr>
        <w:t xml:space="preserve">solo </w:t>
      </w:r>
      <w:r w:rsidRPr="00B22F7F">
        <w:rPr>
          <w:i/>
          <w:sz w:val="28"/>
          <w:szCs w:val="28"/>
        </w:rPr>
        <w:t>procedimento</w:t>
      </w:r>
      <w:r w:rsidRPr="003D58C4">
        <w:rPr>
          <w:sz w:val="28"/>
          <w:szCs w:val="28"/>
        </w:rPr>
        <w:t xml:space="preserve"> interno di formazione della </w:t>
      </w:r>
      <w:r w:rsidR="008C4E6A" w:rsidRPr="003D58C4">
        <w:rPr>
          <w:sz w:val="28"/>
          <w:szCs w:val="28"/>
        </w:rPr>
        <w:t>decisione</w:t>
      </w:r>
      <w:r w:rsidRPr="003D58C4">
        <w:rPr>
          <w:sz w:val="28"/>
          <w:szCs w:val="28"/>
        </w:rPr>
        <w:t xml:space="preserve">, regolato </w:t>
      </w:r>
      <w:r w:rsidR="00D87455">
        <w:rPr>
          <w:sz w:val="28"/>
          <w:szCs w:val="28"/>
        </w:rPr>
        <w:t>da</w:t>
      </w:r>
      <w:r w:rsidR="008C4E6A" w:rsidRPr="003D58C4">
        <w:rPr>
          <w:sz w:val="28"/>
          <w:szCs w:val="28"/>
        </w:rPr>
        <w:t>i</w:t>
      </w:r>
      <w:r w:rsidRPr="003D58C4">
        <w:rPr>
          <w:sz w:val="28"/>
          <w:szCs w:val="28"/>
        </w:rPr>
        <w:t xml:space="preserve"> </w:t>
      </w:r>
      <w:r w:rsidR="00D87455">
        <w:rPr>
          <w:sz w:val="28"/>
          <w:szCs w:val="28"/>
        </w:rPr>
        <w:t>ricordati artt. 118 e 11</w:t>
      </w:r>
      <w:r w:rsidRPr="003D58C4">
        <w:rPr>
          <w:sz w:val="28"/>
          <w:szCs w:val="28"/>
        </w:rPr>
        <w:t>9 disp. att. al Cod. proc. civ.</w:t>
      </w:r>
      <w:r w:rsidRPr="003D58C4">
        <w:rPr>
          <w:rStyle w:val="FootnoteReference"/>
          <w:sz w:val="28"/>
          <w:szCs w:val="28"/>
        </w:rPr>
        <w:footnoteReference w:id="16"/>
      </w:r>
      <w:r w:rsidR="008C4E6A">
        <w:rPr>
          <w:sz w:val="28"/>
          <w:szCs w:val="28"/>
        </w:rPr>
        <w:t xml:space="preserve">. E, </w:t>
      </w:r>
      <w:r w:rsidRPr="003D58C4">
        <w:rPr>
          <w:sz w:val="28"/>
          <w:szCs w:val="28"/>
        </w:rPr>
        <w:t xml:space="preserve">per </w:t>
      </w:r>
      <w:r w:rsidR="008C4E6A">
        <w:rPr>
          <w:sz w:val="28"/>
          <w:szCs w:val="28"/>
        </w:rPr>
        <w:t>abitudine,</w:t>
      </w:r>
      <w:r w:rsidRPr="003D58C4">
        <w:rPr>
          <w:sz w:val="28"/>
          <w:szCs w:val="28"/>
        </w:rPr>
        <w:t xml:space="preserve"> si tende a tralasciare, quasi si versi nell’irrilevante giuridico e nel naturalmente opinabile, quanto attiene alla tecnica e allo stile di redazione</w:t>
      </w:r>
      <w:r w:rsidR="008C4E6A">
        <w:rPr>
          <w:sz w:val="28"/>
          <w:szCs w:val="28"/>
        </w:rPr>
        <w:t>. L</w:t>
      </w:r>
      <w:r w:rsidRPr="003D58C4">
        <w:rPr>
          <w:sz w:val="28"/>
          <w:szCs w:val="28"/>
        </w:rPr>
        <w:t xml:space="preserve">o </w:t>
      </w:r>
      <w:r w:rsidR="00B22F7F">
        <w:rPr>
          <w:sz w:val="28"/>
          <w:szCs w:val="28"/>
        </w:rPr>
        <w:t xml:space="preserve">si </w:t>
      </w:r>
      <w:r w:rsidR="00B66E81">
        <w:rPr>
          <w:sz w:val="28"/>
          <w:szCs w:val="28"/>
        </w:rPr>
        <w:t>tratta</w:t>
      </w:r>
      <w:r w:rsidRPr="003D58C4">
        <w:rPr>
          <w:sz w:val="28"/>
          <w:szCs w:val="28"/>
        </w:rPr>
        <w:t xml:space="preserve"> alla stregua di un acconsentito inserto </w:t>
      </w:r>
      <w:r w:rsidR="008C4E6A">
        <w:rPr>
          <w:sz w:val="28"/>
          <w:szCs w:val="28"/>
        </w:rPr>
        <w:t>p</w:t>
      </w:r>
      <w:r w:rsidRPr="003D58C4">
        <w:rPr>
          <w:sz w:val="28"/>
          <w:szCs w:val="28"/>
        </w:rPr>
        <w:t xml:space="preserve">ersonale del </w:t>
      </w:r>
      <w:r w:rsidR="00B22F7F">
        <w:rPr>
          <w:sz w:val="28"/>
          <w:szCs w:val="28"/>
        </w:rPr>
        <w:t>dell’</w:t>
      </w:r>
      <w:r w:rsidRPr="003D58C4">
        <w:rPr>
          <w:sz w:val="28"/>
          <w:szCs w:val="28"/>
        </w:rPr>
        <w:t>estensore</w:t>
      </w:r>
      <w:r w:rsidR="00012F96">
        <w:rPr>
          <w:sz w:val="28"/>
          <w:szCs w:val="28"/>
        </w:rPr>
        <w:t xml:space="preserve">: </w:t>
      </w:r>
      <w:r w:rsidRPr="003D58C4">
        <w:rPr>
          <w:sz w:val="28"/>
          <w:szCs w:val="28"/>
        </w:rPr>
        <w:t xml:space="preserve">lasciato </w:t>
      </w:r>
      <w:r w:rsidR="00404DFA">
        <w:rPr>
          <w:sz w:val="28"/>
          <w:szCs w:val="28"/>
        </w:rPr>
        <w:t xml:space="preserve">pressoché integralmente </w:t>
      </w:r>
      <w:r w:rsidRPr="003D58C4">
        <w:rPr>
          <w:sz w:val="28"/>
          <w:szCs w:val="28"/>
        </w:rPr>
        <w:t xml:space="preserve">alla sua attitudine espressiva, </w:t>
      </w:r>
      <w:r w:rsidR="00B22F7F">
        <w:rPr>
          <w:sz w:val="28"/>
          <w:szCs w:val="28"/>
        </w:rPr>
        <w:t xml:space="preserve">quasi a </w:t>
      </w:r>
      <w:r w:rsidRPr="003D58C4">
        <w:rPr>
          <w:sz w:val="28"/>
          <w:szCs w:val="28"/>
        </w:rPr>
        <w:t xml:space="preserve">tacita compensazione </w:t>
      </w:r>
      <w:r w:rsidR="00012F96">
        <w:rPr>
          <w:sz w:val="28"/>
          <w:szCs w:val="28"/>
        </w:rPr>
        <w:t>morale del</w:t>
      </w:r>
      <w:r w:rsidRPr="003D58C4">
        <w:rPr>
          <w:sz w:val="28"/>
          <w:szCs w:val="28"/>
        </w:rPr>
        <w:t>l’oneroso compito di relazione e di estensione di cui egli – salvo sostituzioni ex art. 118, quarto comma - è gravato</w:t>
      </w:r>
      <w:r w:rsidRPr="003D58C4">
        <w:rPr>
          <w:sz w:val="28"/>
          <w:szCs w:val="28"/>
          <w:vertAlign w:val="superscript"/>
        </w:rPr>
        <w:footnoteReference w:id="17"/>
      </w:r>
      <w:r w:rsidRPr="003D58C4">
        <w:rPr>
          <w:sz w:val="28"/>
          <w:szCs w:val="28"/>
        </w:rPr>
        <w:t>.</w:t>
      </w:r>
    </w:p>
    <w:p w:rsidR="00513771" w:rsidRPr="003D58C4" w:rsidRDefault="00513771" w:rsidP="00513771">
      <w:pPr>
        <w:ind w:firstLine="708"/>
        <w:jc w:val="both"/>
        <w:rPr>
          <w:sz w:val="28"/>
          <w:szCs w:val="28"/>
        </w:rPr>
      </w:pPr>
      <w:r w:rsidRPr="003D58C4">
        <w:rPr>
          <w:sz w:val="28"/>
          <w:szCs w:val="28"/>
        </w:rPr>
        <w:t xml:space="preserve">La tendenza pratica all’affievolimento della garanzia della collegialità al momento dell’estensione della motivazione </w:t>
      </w:r>
      <w:r w:rsidR="00B66E81">
        <w:rPr>
          <w:sz w:val="28"/>
          <w:szCs w:val="28"/>
        </w:rPr>
        <w:t xml:space="preserve">incontra </w:t>
      </w:r>
      <w:r w:rsidRPr="003D58C4">
        <w:rPr>
          <w:sz w:val="28"/>
          <w:szCs w:val="28"/>
        </w:rPr>
        <w:t>dunque una facilitazione strutturale,</w:t>
      </w:r>
      <w:r w:rsidR="00B22F7F">
        <w:rPr>
          <w:sz w:val="28"/>
          <w:szCs w:val="28"/>
        </w:rPr>
        <w:t xml:space="preserve"> </w:t>
      </w:r>
      <w:r w:rsidRPr="003D58C4">
        <w:rPr>
          <w:sz w:val="28"/>
          <w:szCs w:val="28"/>
        </w:rPr>
        <w:t>sedimentata nel costume</w:t>
      </w:r>
      <w:r w:rsidR="00B66E81">
        <w:rPr>
          <w:sz w:val="28"/>
          <w:szCs w:val="28"/>
        </w:rPr>
        <w:t>: e che oggi – questa è un’importante</w:t>
      </w:r>
      <w:r w:rsidR="00552E99">
        <w:rPr>
          <w:sz w:val="28"/>
          <w:szCs w:val="28"/>
        </w:rPr>
        <w:t xml:space="preserve"> constatazione di fatto</w:t>
      </w:r>
      <w:r w:rsidR="00FD3A12">
        <w:rPr>
          <w:rStyle w:val="FootnoteReference"/>
          <w:sz w:val="28"/>
          <w:szCs w:val="28"/>
        </w:rPr>
        <w:footnoteReference w:id="18"/>
      </w:r>
      <w:r w:rsidR="00552E99">
        <w:rPr>
          <w:sz w:val="28"/>
          <w:szCs w:val="28"/>
        </w:rPr>
        <w:t xml:space="preserve"> – tende ad accentuarsi</w:t>
      </w:r>
      <w:r w:rsidRPr="003D58C4">
        <w:rPr>
          <w:sz w:val="28"/>
          <w:szCs w:val="28"/>
        </w:rPr>
        <w:t xml:space="preserve">. </w:t>
      </w:r>
    </w:p>
    <w:p w:rsidR="00B66E81" w:rsidRPr="003D58C4" w:rsidRDefault="00513771" w:rsidP="00B66E81">
      <w:pPr>
        <w:ind w:firstLine="708"/>
        <w:jc w:val="both"/>
        <w:rPr>
          <w:sz w:val="28"/>
          <w:szCs w:val="28"/>
        </w:rPr>
      </w:pPr>
      <w:r w:rsidRPr="003D58C4">
        <w:rPr>
          <w:sz w:val="28"/>
          <w:szCs w:val="28"/>
        </w:rPr>
        <w:t>In realtà,</w:t>
      </w:r>
      <w:r w:rsidR="008C4E6A">
        <w:rPr>
          <w:sz w:val="28"/>
          <w:szCs w:val="28"/>
        </w:rPr>
        <w:t xml:space="preserve"> se resta </w:t>
      </w:r>
      <w:r w:rsidR="00611E85">
        <w:rPr>
          <w:sz w:val="28"/>
          <w:szCs w:val="28"/>
        </w:rPr>
        <w:t xml:space="preserve">ovvia, </w:t>
      </w:r>
      <w:r w:rsidR="000D17D1">
        <w:rPr>
          <w:sz w:val="28"/>
          <w:szCs w:val="28"/>
        </w:rPr>
        <w:t xml:space="preserve">naturale </w:t>
      </w:r>
      <w:r w:rsidR="00552E99">
        <w:rPr>
          <w:sz w:val="28"/>
          <w:szCs w:val="28"/>
        </w:rPr>
        <w:t xml:space="preserve">e insopprimibile </w:t>
      </w:r>
      <w:r w:rsidR="008C4E6A">
        <w:rPr>
          <w:sz w:val="28"/>
          <w:szCs w:val="28"/>
        </w:rPr>
        <w:t>una certa dimensione personale nella scrittura</w:t>
      </w:r>
      <w:r w:rsidR="000D17D1">
        <w:rPr>
          <w:sz w:val="28"/>
          <w:szCs w:val="28"/>
        </w:rPr>
        <w:t xml:space="preserve"> del</w:t>
      </w:r>
      <w:r w:rsidR="00552E99">
        <w:rPr>
          <w:sz w:val="28"/>
          <w:szCs w:val="28"/>
        </w:rPr>
        <w:t xml:space="preserve"> testo del</w:t>
      </w:r>
      <w:r w:rsidR="000D17D1">
        <w:rPr>
          <w:sz w:val="28"/>
          <w:szCs w:val="28"/>
        </w:rPr>
        <w:t xml:space="preserve"> provvedimento</w:t>
      </w:r>
      <w:r w:rsidR="008C4E6A">
        <w:rPr>
          <w:sz w:val="28"/>
          <w:szCs w:val="28"/>
        </w:rPr>
        <w:t>,</w:t>
      </w:r>
      <w:r w:rsidRPr="003D58C4">
        <w:rPr>
          <w:sz w:val="28"/>
          <w:szCs w:val="28"/>
        </w:rPr>
        <w:t xml:space="preserve"> contenuto ideale della sentenza e </w:t>
      </w:r>
      <w:r w:rsidRPr="000D17D1">
        <w:rPr>
          <w:sz w:val="28"/>
          <w:szCs w:val="28"/>
        </w:rPr>
        <w:t>stile espositivo</w:t>
      </w:r>
      <w:r w:rsidR="00B22F7F">
        <w:rPr>
          <w:sz w:val="28"/>
          <w:szCs w:val="28"/>
        </w:rPr>
        <w:t xml:space="preserve"> spesso si sovrappongono</w:t>
      </w:r>
      <w:r w:rsidRPr="003D58C4">
        <w:rPr>
          <w:sz w:val="28"/>
          <w:szCs w:val="28"/>
          <w:vertAlign w:val="superscript"/>
        </w:rPr>
        <w:footnoteReference w:id="19"/>
      </w:r>
      <w:r w:rsidR="00B22F7F">
        <w:rPr>
          <w:sz w:val="28"/>
          <w:szCs w:val="28"/>
        </w:rPr>
        <w:t xml:space="preserve"> </w:t>
      </w:r>
      <w:r w:rsidR="00B66E81">
        <w:rPr>
          <w:sz w:val="28"/>
          <w:szCs w:val="28"/>
        </w:rPr>
        <w:t xml:space="preserve">ed </w:t>
      </w:r>
      <w:r w:rsidR="00484FBF">
        <w:rPr>
          <w:sz w:val="28"/>
          <w:szCs w:val="28"/>
        </w:rPr>
        <w:t xml:space="preserve">è </w:t>
      </w:r>
      <w:r w:rsidR="00B22F7F">
        <w:rPr>
          <w:sz w:val="28"/>
          <w:szCs w:val="28"/>
        </w:rPr>
        <w:t xml:space="preserve">difficile tracciare i rispettivi </w:t>
      </w:r>
      <w:r w:rsidR="008C4E6A">
        <w:rPr>
          <w:sz w:val="28"/>
          <w:szCs w:val="28"/>
        </w:rPr>
        <w:t>confini</w:t>
      </w:r>
      <w:r w:rsidRPr="003D58C4">
        <w:rPr>
          <w:sz w:val="28"/>
          <w:szCs w:val="28"/>
        </w:rPr>
        <w:t xml:space="preserve">. </w:t>
      </w:r>
      <w:r w:rsidR="00237A62">
        <w:rPr>
          <w:sz w:val="28"/>
          <w:szCs w:val="28"/>
        </w:rPr>
        <w:t xml:space="preserve">La dimensione personale è </w:t>
      </w:r>
      <w:r w:rsidR="00552E99">
        <w:rPr>
          <w:sz w:val="28"/>
          <w:szCs w:val="28"/>
        </w:rPr>
        <w:t xml:space="preserve">normale e </w:t>
      </w:r>
      <w:r w:rsidR="00237A62">
        <w:rPr>
          <w:sz w:val="28"/>
          <w:szCs w:val="28"/>
        </w:rPr>
        <w:t xml:space="preserve">acconsentita per quanto </w:t>
      </w:r>
      <w:r w:rsidR="00B66E81">
        <w:rPr>
          <w:sz w:val="28"/>
          <w:szCs w:val="28"/>
        </w:rPr>
        <w:t>sta al di qua di questo confine</w:t>
      </w:r>
      <w:r w:rsidR="00237A62">
        <w:rPr>
          <w:sz w:val="28"/>
          <w:szCs w:val="28"/>
        </w:rPr>
        <w:t xml:space="preserve"> </w:t>
      </w:r>
      <w:r w:rsidR="00552E99">
        <w:rPr>
          <w:sz w:val="28"/>
          <w:szCs w:val="28"/>
        </w:rPr>
        <w:t xml:space="preserve">ma </w:t>
      </w:r>
      <w:r w:rsidR="00237A62">
        <w:rPr>
          <w:sz w:val="28"/>
          <w:szCs w:val="28"/>
        </w:rPr>
        <w:t xml:space="preserve">non “oltre la linea” ideale </w:t>
      </w:r>
      <w:r w:rsidR="007E7A6A">
        <w:rPr>
          <w:sz w:val="28"/>
          <w:szCs w:val="28"/>
        </w:rPr>
        <w:t xml:space="preserve">dove </w:t>
      </w:r>
      <w:r w:rsidR="00237A62">
        <w:rPr>
          <w:sz w:val="28"/>
          <w:szCs w:val="28"/>
        </w:rPr>
        <w:t xml:space="preserve">comunque </w:t>
      </w:r>
      <w:r w:rsidR="00B66E81">
        <w:rPr>
          <w:sz w:val="28"/>
          <w:szCs w:val="28"/>
        </w:rPr>
        <w:t>trova in qualche modo ingresso l’altro aspetto.</w:t>
      </w:r>
    </w:p>
    <w:p w:rsidR="00513771" w:rsidRPr="003D58C4" w:rsidRDefault="00513771" w:rsidP="00513771">
      <w:pPr>
        <w:ind w:firstLine="708"/>
        <w:jc w:val="both"/>
        <w:rPr>
          <w:sz w:val="28"/>
          <w:szCs w:val="28"/>
        </w:rPr>
      </w:pPr>
      <w:r w:rsidRPr="003D58C4">
        <w:rPr>
          <w:sz w:val="28"/>
          <w:szCs w:val="28"/>
        </w:rPr>
        <w:t xml:space="preserve">Ci si deve allora domandare </w:t>
      </w:r>
      <w:r w:rsidR="008C4E6A">
        <w:rPr>
          <w:sz w:val="28"/>
          <w:szCs w:val="28"/>
        </w:rPr>
        <w:t xml:space="preserve">fino </w:t>
      </w:r>
      <w:r w:rsidR="00B22F7F">
        <w:rPr>
          <w:sz w:val="28"/>
          <w:szCs w:val="28"/>
        </w:rPr>
        <w:t xml:space="preserve">a </w:t>
      </w:r>
      <w:r w:rsidR="008C4E6A">
        <w:rPr>
          <w:sz w:val="28"/>
          <w:szCs w:val="28"/>
        </w:rPr>
        <w:t xml:space="preserve">qual punto </w:t>
      </w:r>
      <w:r w:rsidR="00B22F7F">
        <w:rPr>
          <w:sz w:val="28"/>
          <w:szCs w:val="28"/>
        </w:rPr>
        <w:t>quest’</w:t>
      </w:r>
      <w:r w:rsidR="008C4E6A">
        <w:rPr>
          <w:sz w:val="28"/>
          <w:szCs w:val="28"/>
        </w:rPr>
        <w:t xml:space="preserve">abitudine </w:t>
      </w:r>
      <w:r w:rsidRPr="003D58C4">
        <w:rPr>
          <w:sz w:val="28"/>
          <w:szCs w:val="28"/>
        </w:rPr>
        <w:t>corrisponda alla configurazione della sentenza come</w:t>
      </w:r>
      <w:r w:rsidRPr="003D58C4">
        <w:rPr>
          <w:i/>
          <w:sz w:val="28"/>
          <w:szCs w:val="28"/>
        </w:rPr>
        <w:t xml:space="preserve"> </w:t>
      </w:r>
      <w:r w:rsidRPr="00B22F7F">
        <w:rPr>
          <w:sz w:val="28"/>
          <w:szCs w:val="28"/>
        </w:rPr>
        <w:t>atto collegiale</w:t>
      </w:r>
      <w:r w:rsidRPr="003D58C4">
        <w:rPr>
          <w:sz w:val="28"/>
          <w:szCs w:val="28"/>
        </w:rPr>
        <w:t xml:space="preserve">. L’art. 111, sesto comma, Cost. (in origine, primo comma: la prima delle </w:t>
      </w:r>
      <w:r w:rsidRPr="003D58C4">
        <w:rPr>
          <w:i/>
          <w:sz w:val="28"/>
          <w:szCs w:val="28"/>
        </w:rPr>
        <w:t>«Norme sulla giurisdizione»</w:t>
      </w:r>
      <w:r w:rsidRPr="003D58C4">
        <w:rPr>
          <w:sz w:val="28"/>
          <w:szCs w:val="28"/>
        </w:rPr>
        <w:t xml:space="preserve">) nell’affermare che </w:t>
      </w:r>
      <w:r w:rsidRPr="003D58C4">
        <w:rPr>
          <w:i/>
          <w:sz w:val="28"/>
          <w:szCs w:val="28"/>
        </w:rPr>
        <w:t>«tutti i provvedimenti giurisdizionali devono essere motivati»</w:t>
      </w:r>
      <w:r w:rsidRPr="003D58C4">
        <w:rPr>
          <w:sz w:val="28"/>
          <w:szCs w:val="28"/>
        </w:rPr>
        <w:t xml:space="preserve">, comporta l’imputazione effettiva della </w:t>
      </w:r>
      <w:r w:rsidRPr="003D58C4">
        <w:rPr>
          <w:i/>
          <w:sz w:val="28"/>
          <w:szCs w:val="28"/>
        </w:rPr>
        <w:t>motivazione</w:t>
      </w:r>
      <w:r w:rsidRPr="003D58C4">
        <w:rPr>
          <w:sz w:val="28"/>
          <w:szCs w:val="28"/>
        </w:rPr>
        <w:t xml:space="preserve"> all’intero collegio cui si i</w:t>
      </w:r>
      <w:r w:rsidR="00552E99">
        <w:rPr>
          <w:sz w:val="28"/>
          <w:szCs w:val="28"/>
        </w:rPr>
        <w:t xml:space="preserve">ntesta il </w:t>
      </w:r>
      <w:r w:rsidRPr="003D58C4">
        <w:rPr>
          <w:i/>
          <w:sz w:val="28"/>
          <w:szCs w:val="28"/>
        </w:rPr>
        <w:t>provvedimento</w:t>
      </w:r>
      <w:r w:rsidRPr="003D58C4">
        <w:rPr>
          <w:sz w:val="28"/>
          <w:szCs w:val="28"/>
        </w:rPr>
        <w:t xml:space="preserve">. </w:t>
      </w:r>
      <w:r w:rsidR="000D17D1">
        <w:rPr>
          <w:sz w:val="28"/>
          <w:szCs w:val="28"/>
        </w:rPr>
        <w:t xml:space="preserve">E </w:t>
      </w:r>
      <w:r w:rsidRPr="003D58C4">
        <w:rPr>
          <w:sz w:val="28"/>
          <w:szCs w:val="28"/>
        </w:rPr>
        <w:t xml:space="preserve">il resto del collegio va a oggettivamente sostenerne sia l’imputazione </w:t>
      </w:r>
      <w:r w:rsidR="000D17D1">
        <w:rPr>
          <w:sz w:val="28"/>
          <w:szCs w:val="28"/>
        </w:rPr>
        <w:t xml:space="preserve">morale che </w:t>
      </w:r>
      <w:r w:rsidRPr="003D58C4">
        <w:rPr>
          <w:sz w:val="28"/>
          <w:szCs w:val="28"/>
        </w:rPr>
        <w:t>la pari responsabilità, specialmente civile</w:t>
      </w:r>
      <w:r w:rsidR="0038763B">
        <w:rPr>
          <w:rStyle w:val="FootnoteReference"/>
          <w:sz w:val="28"/>
          <w:szCs w:val="28"/>
        </w:rPr>
        <w:footnoteReference w:id="20"/>
      </w:r>
      <w:r w:rsidRPr="003D58C4">
        <w:rPr>
          <w:sz w:val="28"/>
          <w:szCs w:val="28"/>
        </w:rPr>
        <w:t xml:space="preserve">. </w:t>
      </w:r>
    </w:p>
    <w:p w:rsidR="00513771" w:rsidRPr="003D58C4" w:rsidRDefault="000D17D1" w:rsidP="00513771">
      <w:pPr>
        <w:ind w:firstLine="708"/>
        <w:jc w:val="both"/>
        <w:rPr>
          <w:sz w:val="28"/>
          <w:szCs w:val="28"/>
        </w:rPr>
      </w:pPr>
      <w:r>
        <w:rPr>
          <w:sz w:val="28"/>
          <w:szCs w:val="28"/>
        </w:rPr>
        <w:t xml:space="preserve">Non solo: </w:t>
      </w:r>
      <w:r w:rsidR="00B22F7F">
        <w:rPr>
          <w:sz w:val="28"/>
          <w:szCs w:val="28"/>
        </w:rPr>
        <w:t xml:space="preserve">come </w:t>
      </w:r>
      <w:r w:rsidR="00115823">
        <w:rPr>
          <w:sz w:val="28"/>
          <w:szCs w:val="28"/>
        </w:rPr>
        <w:t xml:space="preserve">già </w:t>
      </w:r>
      <w:r w:rsidR="00B22F7F">
        <w:rPr>
          <w:sz w:val="28"/>
          <w:szCs w:val="28"/>
        </w:rPr>
        <w:t xml:space="preserve">accennato, </w:t>
      </w:r>
      <w:r>
        <w:rPr>
          <w:sz w:val="28"/>
          <w:szCs w:val="28"/>
        </w:rPr>
        <w:t>c</w:t>
      </w:r>
      <w:r w:rsidR="00513771" w:rsidRPr="003D58C4">
        <w:rPr>
          <w:sz w:val="28"/>
          <w:szCs w:val="28"/>
        </w:rPr>
        <w:t xml:space="preserve">i si deve </w:t>
      </w:r>
      <w:r w:rsidR="00B22F7F">
        <w:rPr>
          <w:sz w:val="28"/>
          <w:szCs w:val="28"/>
        </w:rPr>
        <w:t xml:space="preserve">soprattutto </w:t>
      </w:r>
      <w:r w:rsidR="00115823">
        <w:rPr>
          <w:sz w:val="28"/>
          <w:szCs w:val="28"/>
        </w:rPr>
        <w:t>domandare se quest’</w:t>
      </w:r>
      <w:r w:rsidR="00B22F7F">
        <w:rPr>
          <w:sz w:val="28"/>
          <w:szCs w:val="28"/>
        </w:rPr>
        <w:t xml:space="preserve">abitudine </w:t>
      </w:r>
      <w:r w:rsidR="00513771" w:rsidRPr="003D58C4">
        <w:rPr>
          <w:sz w:val="28"/>
          <w:szCs w:val="28"/>
        </w:rPr>
        <w:t xml:space="preserve">corrisponda alle esigenze generali di </w:t>
      </w:r>
      <w:r w:rsidR="00513771" w:rsidRPr="00B66E81">
        <w:rPr>
          <w:sz w:val="28"/>
          <w:szCs w:val="28"/>
        </w:rPr>
        <w:t>sicurezza giuridica</w:t>
      </w:r>
      <w:r w:rsidR="00513771" w:rsidRPr="003D58C4">
        <w:rPr>
          <w:sz w:val="28"/>
          <w:szCs w:val="28"/>
        </w:rPr>
        <w:t xml:space="preserve"> </w:t>
      </w:r>
      <w:r w:rsidR="00B22F7F">
        <w:rPr>
          <w:sz w:val="28"/>
          <w:szCs w:val="28"/>
        </w:rPr>
        <w:t xml:space="preserve">che sono </w:t>
      </w:r>
      <w:r w:rsidR="00513771" w:rsidRPr="003D58C4">
        <w:rPr>
          <w:sz w:val="28"/>
          <w:szCs w:val="28"/>
        </w:rPr>
        <w:t>immanenti alla giurisdizione nello Stato di diritto contemporaneo</w:t>
      </w:r>
      <w:r w:rsidR="00FD3A12">
        <w:rPr>
          <w:sz w:val="28"/>
          <w:szCs w:val="28"/>
        </w:rPr>
        <w:t xml:space="preserve"> e che, nella realtà dell’organizzazione sociale, costituiscono il principale fattore della legittimazione sostanziale della giurisdizione</w:t>
      </w:r>
      <w:r w:rsidR="00513771" w:rsidRPr="003D58C4">
        <w:rPr>
          <w:sz w:val="28"/>
          <w:szCs w:val="28"/>
        </w:rPr>
        <w:t xml:space="preserve">. La </w:t>
      </w:r>
      <w:r w:rsidR="00513771" w:rsidRPr="00B66E81">
        <w:rPr>
          <w:sz w:val="28"/>
          <w:szCs w:val="28"/>
        </w:rPr>
        <w:t>sicurezza giuridica</w:t>
      </w:r>
      <w:r w:rsidR="00513771" w:rsidRPr="003D58C4">
        <w:rPr>
          <w:sz w:val="28"/>
          <w:szCs w:val="28"/>
        </w:rPr>
        <w:t xml:space="preserve"> implica – specie nella </w:t>
      </w:r>
      <w:r w:rsidR="00513771" w:rsidRPr="00B22F7F">
        <w:rPr>
          <w:iCs/>
          <w:sz w:val="28"/>
          <w:szCs w:val="28"/>
        </w:rPr>
        <w:t>società della comunicazione e della conoscenza</w:t>
      </w:r>
      <w:r w:rsidR="00513771" w:rsidRPr="003D58C4">
        <w:rPr>
          <w:iCs/>
          <w:sz w:val="28"/>
          <w:szCs w:val="28"/>
        </w:rPr>
        <w:t>, dove le nuove tecnologie informatiche enfatizzano la funzione extraprocessuale della motivazione</w:t>
      </w:r>
      <w:r w:rsidR="00B00882">
        <w:rPr>
          <w:rStyle w:val="FootnoteReference"/>
          <w:iCs/>
          <w:sz w:val="28"/>
          <w:szCs w:val="28"/>
        </w:rPr>
        <w:footnoteReference w:id="21"/>
      </w:r>
      <w:r w:rsidR="00513771" w:rsidRPr="003D58C4">
        <w:rPr>
          <w:sz w:val="28"/>
          <w:szCs w:val="28"/>
        </w:rPr>
        <w:t xml:space="preserve"> – che le statuizioni giudiziarie siano formulate in modo quanto più </w:t>
      </w:r>
      <w:r w:rsidRPr="000D17D1">
        <w:rPr>
          <w:i/>
          <w:sz w:val="28"/>
          <w:szCs w:val="28"/>
        </w:rPr>
        <w:t>uniforme</w:t>
      </w:r>
      <w:r>
        <w:rPr>
          <w:sz w:val="28"/>
          <w:szCs w:val="28"/>
        </w:rPr>
        <w:t xml:space="preserve">, </w:t>
      </w:r>
      <w:r w:rsidR="00513771" w:rsidRPr="003D58C4">
        <w:rPr>
          <w:i/>
          <w:sz w:val="28"/>
          <w:szCs w:val="28"/>
        </w:rPr>
        <w:t>chiaro e preciso</w:t>
      </w:r>
      <w:r w:rsidR="00513771" w:rsidRPr="003D58C4">
        <w:rPr>
          <w:sz w:val="28"/>
          <w:szCs w:val="28"/>
        </w:rPr>
        <w:t xml:space="preserve">, </w:t>
      </w:r>
      <w:r w:rsidR="00657CB3">
        <w:rPr>
          <w:sz w:val="28"/>
          <w:szCs w:val="28"/>
        </w:rPr>
        <w:t xml:space="preserve">per </w:t>
      </w:r>
      <w:r w:rsidR="00513771" w:rsidRPr="003D58C4">
        <w:rPr>
          <w:sz w:val="28"/>
          <w:szCs w:val="28"/>
        </w:rPr>
        <w:t xml:space="preserve">non generare incertezze o insicurezze ulteriori nei destinatari dell’atto e in chiunque </w:t>
      </w:r>
      <w:r w:rsidR="00657CB3">
        <w:rPr>
          <w:sz w:val="28"/>
          <w:szCs w:val="28"/>
        </w:rPr>
        <w:t xml:space="preserve">vi </w:t>
      </w:r>
      <w:r w:rsidR="00513771" w:rsidRPr="003D58C4">
        <w:rPr>
          <w:sz w:val="28"/>
          <w:szCs w:val="28"/>
        </w:rPr>
        <w:t xml:space="preserve">acceda a scopo di informazione o </w:t>
      </w:r>
      <w:r w:rsidR="00570482">
        <w:rPr>
          <w:sz w:val="28"/>
          <w:szCs w:val="28"/>
        </w:rPr>
        <w:t>“</w:t>
      </w:r>
      <w:r w:rsidR="00513771" w:rsidRPr="003D58C4">
        <w:rPr>
          <w:sz w:val="28"/>
          <w:szCs w:val="28"/>
        </w:rPr>
        <w:t>predittivo</w:t>
      </w:r>
      <w:r w:rsidR="00570482">
        <w:rPr>
          <w:sz w:val="28"/>
          <w:szCs w:val="28"/>
        </w:rPr>
        <w:t>”</w:t>
      </w:r>
      <w:r w:rsidR="00570482">
        <w:rPr>
          <w:rStyle w:val="FootnoteReference"/>
          <w:sz w:val="28"/>
          <w:szCs w:val="28"/>
        </w:rPr>
        <w:footnoteReference w:id="22"/>
      </w:r>
      <w:r w:rsidR="00513771" w:rsidRPr="003D58C4">
        <w:rPr>
          <w:sz w:val="28"/>
          <w:szCs w:val="28"/>
        </w:rPr>
        <w:t xml:space="preserve">. </w:t>
      </w:r>
    </w:p>
    <w:p w:rsidR="00513771" w:rsidRPr="003D58C4" w:rsidRDefault="00513771" w:rsidP="00513771">
      <w:pPr>
        <w:ind w:firstLine="708"/>
        <w:jc w:val="both"/>
        <w:rPr>
          <w:sz w:val="28"/>
          <w:szCs w:val="28"/>
        </w:rPr>
      </w:pPr>
      <w:r w:rsidRPr="003D58C4">
        <w:rPr>
          <w:sz w:val="28"/>
          <w:szCs w:val="28"/>
        </w:rPr>
        <w:t xml:space="preserve">La </w:t>
      </w:r>
      <w:r w:rsidRPr="003D58C4">
        <w:rPr>
          <w:i/>
          <w:sz w:val="28"/>
          <w:szCs w:val="28"/>
        </w:rPr>
        <w:t>sicurezza giuridica</w:t>
      </w:r>
      <w:r w:rsidRPr="003D58C4">
        <w:rPr>
          <w:sz w:val="28"/>
          <w:szCs w:val="28"/>
        </w:rPr>
        <w:t xml:space="preserve"> </w:t>
      </w:r>
      <w:r w:rsidR="00FD3A12">
        <w:rPr>
          <w:sz w:val="28"/>
          <w:szCs w:val="28"/>
        </w:rPr>
        <w:t xml:space="preserve">– concetto più ampio della semplice certezza del diritto - </w:t>
      </w:r>
      <w:r w:rsidRPr="003D58C4">
        <w:rPr>
          <w:sz w:val="28"/>
          <w:szCs w:val="28"/>
        </w:rPr>
        <w:t>è l’esigenza primaria</w:t>
      </w:r>
      <w:r w:rsidR="00FD3A12">
        <w:rPr>
          <w:sz w:val="28"/>
          <w:szCs w:val="28"/>
        </w:rPr>
        <w:t xml:space="preserve"> e</w:t>
      </w:r>
      <w:r w:rsidRPr="003D58C4">
        <w:rPr>
          <w:sz w:val="28"/>
          <w:szCs w:val="28"/>
        </w:rPr>
        <w:t xml:space="preserve"> immanente all’ordinamento giuridico: in </w:t>
      </w:r>
      <w:r w:rsidR="00570482">
        <w:rPr>
          <w:sz w:val="28"/>
          <w:szCs w:val="28"/>
        </w:rPr>
        <w:t xml:space="preserve">funzione </w:t>
      </w:r>
      <w:r w:rsidRPr="003D58C4">
        <w:rPr>
          <w:sz w:val="28"/>
          <w:szCs w:val="28"/>
        </w:rPr>
        <w:t xml:space="preserve">di certezza </w:t>
      </w:r>
      <w:r w:rsidR="00FD3A12">
        <w:rPr>
          <w:sz w:val="28"/>
          <w:szCs w:val="28"/>
        </w:rPr>
        <w:t>delle situazioni</w:t>
      </w:r>
      <w:r w:rsidRPr="003D58C4">
        <w:rPr>
          <w:sz w:val="28"/>
          <w:szCs w:val="28"/>
        </w:rPr>
        <w:t xml:space="preserve">, prevedibilità delle decisioni, eguaglianza giuridica, chiarezza e coerenza dell’ordinamento, oggettività e stabilità delle regole e della loro interpretazione. La definizione della controversia mediante l’atto giudiziario </w:t>
      </w:r>
      <w:r w:rsidR="00570482">
        <w:rPr>
          <w:sz w:val="28"/>
          <w:szCs w:val="28"/>
        </w:rPr>
        <w:t xml:space="preserve">deve introdurre </w:t>
      </w:r>
      <w:r w:rsidRPr="003D58C4">
        <w:rPr>
          <w:i/>
          <w:sz w:val="28"/>
          <w:szCs w:val="28"/>
        </w:rPr>
        <w:t>sicurezza</w:t>
      </w:r>
      <w:r w:rsidRPr="003D58C4">
        <w:rPr>
          <w:sz w:val="28"/>
          <w:szCs w:val="28"/>
        </w:rPr>
        <w:t xml:space="preserve"> in luogo dell’</w:t>
      </w:r>
      <w:r w:rsidRPr="003D58C4">
        <w:rPr>
          <w:i/>
          <w:sz w:val="28"/>
          <w:szCs w:val="28"/>
        </w:rPr>
        <w:t>insicurezza</w:t>
      </w:r>
      <w:r w:rsidR="005279AA">
        <w:rPr>
          <w:sz w:val="28"/>
          <w:szCs w:val="28"/>
        </w:rPr>
        <w:t xml:space="preserve"> che l’aveva generata. </w:t>
      </w:r>
      <w:r w:rsidR="00570482">
        <w:rPr>
          <w:sz w:val="28"/>
          <w:szCs w:val="28"/>
        </w:rPr>
        <w:t>N</w:t>
      </w:r>
      <w:r w:rsidRPr="003D58C4">
        <w:rPr>
          <w:sz w:val="28"/>
          <w:szCs w:val="28"/>
        </w:rPr>
        <w:t>on vi è indifferente</w:t>
      </w:r>
      <w:r w:rsidR="00570482">
        <w:rPr>
          <w:sz w:val="28"/>
          <w:szCs w:val="28"/>
        </w:rPr>
        <w:t>, per quanto detto,</w:t>
      </w:r>
      <w:r w:rsidRPr="003D58C4">
        <w:rPr>
          <w:sz w:val="28"/>
          <w:szCs w:val="28"/>
        </w:rPr>
        <w:t xml:space="preserve"> la tecnica di </w:t>
      </w:r>
      <w:r w:rsidRPr="00B66E81">
        <w:rPr>
          <w:sz w:val="28"/>
          <w:szCs w:val="28"/>
        </w:rPr>
        <w:t>formulazione del testo attraverso</w:t>
      </w:r>
      <w:r w:rsidRPr="003D58C4">
        <w:rPr>
          <w:sz w:val="28"/>
          <w:szCs w:val="28"/>
        </w:rPr>
        <w:t xml:space="preserve"> il quale vengono spiegate le ragioni dell</w:t>
      </w:r>
      <w:r w:rsidR="005279AA">
        <w:rPr>
          <w:sz w:val="28"/>
          <w:szCs w:val="28"/>
        </w:rPr>
        <w:t>a decisione</w:t>
      </w:r>
      <w:r w:rsidRPr="003D58C4">
        <w:rPr>
          <w:sz w:val="28"/>
          <w:szCs w:val="28"/>
        </w:rPr>
        <w:t>.</w:t>
      </w:r>
    </w:p>
    <w:p w:rsidR="00513771" w:rsidRPr="003D58C4" w:rsidRDefault="005279AA" w:rsidP="00513771">
      <w:pPr>
        <w:ind w:firstLine="708"/>
        <w:jc w:val="both"/>
        <w:rPr>
          <w:sz w:val="28"/>
          <w:szCs w:val="28"/>
        </w:rPr>
      </w:pPr>
      <w:r>
        <w:rPr>
          <w:sz w:val="28"/>
          <w:szCs w:val="28"/>
        </w:rPr>
        <w:t xml:space="preserve">È </w:t>
      </w:r>
      <w:r w:rsidR="00570482">
        <w:rPr>
          <w:sz w:val="28"/>
          <w:szCs w:val="28"/>
        </w:rPr>
        <w:t xml:space="preserve">il caso di </w:t>
      </w:r>
      <w:r w:rsidR="00513771" w:rsidRPr="003D58C4">
        <w:rPr>
          <w:sz w:val="28"/>
          <w:szCs w:val="28"/>
        </w:rPr>
        <w:t xml:space="preserve">ricordare che </w:t>
      </w:r>
      <w:r w:rsidR="00513771" w:rsidRPr="003D58C4">
        <w:rPr>
          <w:i/>
          <w:sz w:val="28"/>
          <w:szCs w:val="28"/>
        </w:rPr>
        <w:t xml:space="preserve">chiarezza e precisione </w:t>
      </w:r>
      <w:r w:rsidR="00513771" w:rsidRPr="003D58C4">
        <w:rPr>
          <w:sz w:val="28"/>
          <w:szCs w:val="28"/>
        </w:rPr>
        <w:t xml:space="preserve">sono principi che da tempo il </w:t>
      </w:r>
      <w:r w:rsidR="00513771" w:rsidRPr="003D58C4">
        <w:rPr>
          <w:i/>
          <w:sz w:val="28"/>
          <w:szCs w:val="28"/>
        </w:rPr>
        <w:t xml:space="preserve">Conseil constitutionnel </w:t>
      </w:r>
      <w:r w:rsidR="00513771" w:rsidRPr="003D58C4">
        <w:rPr>
          <w:sz w:val="28"/>
          <w:szCs w:val="28"/>
        </w:rPr>
        <w:t>francese ha ripetutamente detto di rango costituzionale per le leggi</w:t>
      </w:r>
      <w:r w:rsidR="00513771" w:rsidRPr="003D58C4">
        <w:rPr>
          <w:sz w:val="28"/>
          <w:szCs w:val="28"/>
        </w:rPr>
        <w:footnoteReference w:id="23"/>
      </w:r>
      <w:r w:rsidR="00513771" w:rsidRPr="003D58C4">
        <w:rPr>
          <w:sz w:val="28"/>
          <w:szCs w:val="28"/>
        </w:rPr>
        <w:t xml:space="preserve">. Analogamente </w:t>
      </w:r>
      <w:r w:rsidR="00DE664A">
        <w:rPr>
          <w:sz w:val="28"/>
          <w:szCs w:val="28"/>
        </w:rPr>
        <w:t xml:space="preserve">da sempre </w:t>
      </w:r>
      <w:r w:rsidR="00570482">
        <w:rPr>
          <w:sz w:val="28"/>
          <w:szCs w:val="28"/>
        </w:rPr>
        <w:t xml:space="preserve">per </w:t>
      </w:r>
      <w:r w:rsidR="00513771" w:rsidRPr="003D58C4">
        <w:rPr>
          <w:sz w:val="28"/>
          <w:szCs w:val="28"/>
        </w:rPr>
        <w:t xml:space="preserve">la </w:t>
      </w:r>
      <w:r w:rsidR="00513771" w:rsidRPr="003D58C4">
        <w:rPr>
          <w:i/>
          <w:sz w:val="28"/>
          <w:szCs w:val="28"/>
        </w:rPr>
        <w:t>Corte costituzionale</w:t>
      </w:r>
      <w:r w:rsidR="00513771" w:rsidRPr="003D58C4">
        <w:rPr>
          <w:sz w:val="28"/>
          <w:szCs w:val="28"/>
        </w:rPr>
        <w:t xml:space="preserve"> italiana</w:t>
      </w:r>
      <w:r w:rsidR="00DE664A">
        <w:rPr>
          <w:sz w:val="28"/>
          <w:szCs w:val="28"/>
        </w:rPr>
        <w:t xml:space="preserve"> riguardo alla determinatezza e tassatività delle fattispecie, soprattutto penali</w:t>
      </w:r>
      <w:r w:rsidR="00570482">
        <w:rPr>
          <w:sz w:val="28"/>
          <w:szCs w:val="28"/>
        </w:rPr>
        <w:t>:</w:t>
      </w:r>
      <w:r w:rsidR="00DE664A">
        <w:rPr>
          <w:sz w:val="28"/>
          <w:szCs w:val="28"/>
        </w:rPr>
        <w:t xml:space="preserve"> da ultimo</w:t>
      </w:r>
      <w:r w:rsidR="00570482">
        <w:rPr>
          <w:sz w:val="28"/>
          <w:szCs w:val="28"/>
        </w:rPr>
        <w:t>,</w:t>
      </w:r>
      <w:r w:rsidR="00513771" w:rsidRPr="003D58C4">
        <w:rPr>
          <w:sz w:val="28"/>
          <w:szCs w:val="28"/>
        </w:rPr>
        <w:t xml:space="preserve"> con sentenza 27 febbraio 2019, n. 24, in tema di misure di prevenzione disposte per </w:t>
      </w:r>
      <w:r w:rsidR="00513771" w:rsidRPr="003D58C4">
        <w:rPr>
          <w:i/>
          <w:color w:val="000000"/>
          <w:sz w:val="28"/>
          <w:szCs w:val="28"/>
        </w:rPr>
        <w:t>«</w:t>
      </w:r>
      <w:r w:rsidR="00513771" w:rsidRPr="003D58C4">
        <w:rPr>
          <w:i/>
          <w:sz w:val="28"/>
          <w:szCs w:val="28"/>
        </w:rPr>
        <w:t>traffici delittuosi»</w:t>
      </w:r>
      <w:r w:rsidR="00513771" w:rsidRPr="003D58C4">
        <w:rPr>
          <w:sz w:val="28"/>
          <w:szCs w:val="28"/>
        </w:rPr>
        <w:t xml:space="preserve">, ha </w:t>
      </w:r>
      <w:r w:rsidR="00DE664A">
        <w:rPr>
          <w:sz w:val="28"/>
          <w:szCs w:val="28"/>
        </w:rPr>
        <w:t>affermato</w:t>
      </w:r>
      <w:r w:rsidR="00513771" w:rsidRPr="003D58C4">
        <w:rPr>
          <w:sz w:val="28"/>
          <w:szCs w:val="28"/>
        </w:rPr>
        <w:t xml:space="preserve"> che la norma, non sufficientemente specificata nemmeno attraverso la giurisprudenza e dunque in contrasto con </w:t>
      </w:r>
      <w:r w:rsidR="00513771" w:rsidRPr="00DE664A">
        <w:rPr>
          <w:i/>
          <w:sz w:val="28"/>
          <w:szCs w:val="28"/>
        </w:rPr>
        <w:t>il principio di legalità,</w:t>
      </w:r>
      <w:r w:rsidR="00513771" w:rsidRPr="003D58C4">
        <w:rPr>
          <w:sz w:val="28"/>
          <w:szCs w:val="28"/>
        </w:rPr>
        <w:t xml:space="preserve"> </w:t>
      </w:r>
      <w:r w:rsidR="00513771" w:rsidRPr="003D58C4">
        <w:rPr>
          <w:i/>
          <w:sz w:val="28"/>
          <w:szCs w:val="28"/>
        </w:rPr>
        <w:t xml:space="preserve">“non soddisfa </w:t>
      </w:r>
      <w:r w:rsidR="00513771" w:rsidRPr="003D58C4">
        <w:rPr>
          <w:sz w:val="28"/>
          <w:szCs w:val="28"/>
        </w:rPr>
        <w:t>le esigenze di precisione</w:t>
      </w:r>
      <w:r w:rsidR="00513771" w:rsidRPr="003D58C4">
        <w:rPr>
          <w:i/>
          <w:sz w:val="28"/>
          <w:szCs w:val="28"/>
        </w:rPr>
        <w:t xml:space="preserve"> imposte tanto dall’art. 13 Cost., quanto, in riferimento all’art. 117, comma primo, Cost., dall’art. 2 del Prot. n. 4 CEDU per ciò che concerne le misure di prevenzione personali della sorveglianza speciale; né quelle imposte dall’art. 42 Cost. e, in riferimento all’art. 117, comma primo, Cost., dall’art. 1 del Prot. addiz. CEDU per ciò che concerne le misure patrimoniali del sequestro e della confisca.”</w:t>
      </w:r>
      <w:r w:rsidR="00513771" w:rsidRPr="00570482">
        <w:rPr>
          <w:rStyle w:val="FootnoteReference"/>
          <w:sz w:val="28"/>
          <w:szCs w:val="28"/>
        </w:rPr>
        <w:footnoteReference w:id="24"/>
      </w:r>
      <w:r w:rsidR="00513771" w:rsidRPr="00570482">
        <w:rPr>
          <w:sz w:val="28"/>
          <w:szCs w:val="28"/>
        </w:rPr>
        <w:t>.</w:t>
      </w:r>
      <w:r w:rsidR="00513771" w:rsidRPr="003D58C4">
        <w:rPr>
          <w:sz w:val="28"/>
          <w:szCs w:val="28"/>
        </w:rPr>
        <w:t xml:space="preserve"> </w:t>
      </w:r>
    </w:p>
    <w:p w:rsidR="00513771" w:rsidRPr="003D58C4" w:rsidRDefault="00513771" w:rsidP="00513771">
      <w:pPr>
        <w:ind w:firstLine="708"/>
        <w:jc w:val="both"/>
        <w:rPr>
          <w:sz w:val="28"/>
          <w:szCs w:val="28"/>
        </w:rPr>
      </w:pPr>
      <w:r w:rsidRPr="003D58C4">
        <w:rPr>
          <w:sz w:val="28"/>
          <w:szCs w:val="28"/>
        </w:rPr>
        <w:t xml:space="preserve">Le norme </w:t>
      </w:r>
      <w:r w:rsidRPr="003D58C4">
        <w:rPr>
          <w:i/>
          <w:sz w:val="28"/>
          <w:szCs w:val="28"/>
        </w:rPr>
        <w:t xml:space="preserve">chiare e precise </w:t>
      </w:r>
      <w:r w:rsidR="00237777">
        <w:rPr>
          <w:sz w:val="28"/>
          <w:szCs w:val="28"/>
        </w:rPr>
        <w:t xml:space="preserve">fanno </w:t>
      </w:r>
      <w:r w:rsidRPr="003D58C4">
        <w:rPr>
          <w:sz w:val="28"/>
          <w:szCs w:val="28"/>
        </w:rPr>
        <w:t xml:space="preserve">conoscere con </w:t>
      </w:r>
      <w:r w:rsidR="00237777">
        <w:rPr>
          <w:sz w:val="28"/>
          <w:szCs w:val="28"/>
        </w:rPr>
        <w:t xml:space="preserve">determinatezza </w:t>
      </w:r>
      <w:r w:rsidRPr="003D58C4">
        <w:rPr>
          <w:sz w:val="28"/>
          <w:szCs w:val="28"/>
        </w:rPr>
        <w:t xml:space="preserve">la valutazione </w:t>
      </w:r>
      <w:r w:rsidR="00237777">
        <w:rPr>
          <w:sz w:val="28"/>
          <w:szCs w:val="28"/>
        </w:rPr>
        <w:t xml:space="preserve">assegnata dalla legge </w:t>
      </w:r>
      <w:r w:rsidR="003E2400">
        <w:rPr>
          <w:sz w:val="28"/>
          <w:szCs w:val="28"/>
        </w:rPr>
        <w:t xml:space="preserve">in via generale e astratta </w:t>
      </w:r>
      <w:r w:rsidR="00237777">
        <w:rPr>
          <w:sz w:val="28"/>
          <w:szCs w:val="28"/>
        </w:rPr>
        <w:t xml:space="preserve">ai comportamenti e l’esatta </w:t>
      </w:r>
      <w:r w:rsidRPr="003D58C4">
        <w:rPr>
          <w:sz w:val="28"/>
          <w:szCs w:val="28"/>
        </w:rPr>
        <w:t xml:space="preserve">portata del </w:t>
      </w:r>
      <w:r w:rsidR="00237777">
        <w:rPr>
          <w:sz w:val="28"/>
          <w:szCs w:val="28"/>
        </w:rPr>
        <w:t xml:space="preserve">suo </w:t>
      </w:r>
      <w:r w:rsidRPr="003D58C4">
        <w:rPr>
          <w:sz w:val="28"/>
          <w:szCs w:val="28"/>
        </w:rPr>
        <w:t xml:space="preserve">contenuto precettivo; dunque </w:t>
      </w:r>
      <w:r w:rsidR="00237777">
        <w:rPr>
          <w:sz w:val="28"/>
          <w:szCs w:val="28"/>
        </w:rPr>
        <w:t xml:space="preserve">consentono </w:t>
      </w:r>
      <w:r w:rsidRPr="003D58C4">
        <w:rPr>
          <w:sz w:val="28"/>
          <w:szCs w:val="28"/>
        </w:rPr>
        <w:t xml:space="preserve">di formulare con </w:t>
      </w:r>
      <w:r w:rsidR="00237777">
        <w:rPr>
          <w:sz w:val="28"/>
          <w:szCs w:val="28"/>
        </w:rPr>
        <w:t xml:space="preserve">sufficiente </w:t>
      </w:r>
      <w:r w:rsidRPr="003D58C4">
        <w:rPr>
          <w:sz w:val="28"/>
          <w:szCs w:val="28"/>
        </w:rPr>
        <w:t xml:space="preserve">probabilità </w:t>
      </w:r>
      <w:r w:rsidR="00237777">
        <w:rPr>
          <w:sz w:val="28"/>
          <w:szCs w:val="28"/>
        </w:rPr>
        <w:t xml:space="preserve">le </w:t>
      </w:r>
      <w:r w:rsidRPr="003D58C4">
        <w:rPr>
          <w:sz w:val="28"/>
          <w:szCs w:val="28"/>
        </w:rPr>
        <w:t>previsioni sulle conseguenze dei comportamenti</w:t>
      </w:r>
      <w:r w:rsidR="00237777">
        <w:rPr>
          <w:sz w:val="28"/>
          <w:szCs w:val="28"/>
        </w:rPr>
        <w:t xml:space="preserve"> e di affidare su una decisione giudiziale cognitiva e non creativa</w:t>
      </w:r>
      <w:r w:rsidRPr="003D58C4">
        <w:rPr>
          <w:sz w:val="28"/>
          <w:szCs w:val="28"/>
        </w:rPr>
        <w:t xml:space="preserve">. </w:t>
      </w:r>
      <w:r w:rsidR="00237777">
        <w:rPr>
          <w:sz w:val="28"/>
          <w:szCs w:val="28"/>
        </w:rPr>
        <w:t xml:space="preserve">È lo </w:t>
      </w:r>
      <w:r w:rsidR="003E2400">
        <w:rPr>
          <w:sz w:val="28"/>
          <w:szCs w:val="28"/>
        </w:rPr>
        <w:t>Stato di diritto</w:t>
      </w:r>
      <w:r w:rsidR="00237777">
        <w:rPr>
          <w:sz w:val="28"/>
          <w:szCs w:val="28"/>
        </w:rPr>
        <w:t>,</w:t>
      </w:r>
      <w:r w:rsidR="003E2400">
        <w:rPr>
          <w:sz w:val="28"/>
          <w:szCs w:val="28"/>
        </w:rPr>
        <w:t xml:space="preserve"> che vuole il giudice </w:t>
      </w:r>
      <w:r w:rsidR="00606C10">
        <w:rPr>
          <w:sz w:val="28"/>
          <w:szCs w:val="28"/>
        </w:rPr>
        <w:t>soggett</w:t>
      </w:r>
      <w:r w:rsidR="003E2400">
        <w:rPr>
          <w:sz w:val="28"/>
          <w:szCs w:val="28"/>
        </w:rPr>
        <w:t xml:space="preserve">o </w:t>
      </w:r>
      <w:r w:rsidR="00606C10">
        <w:rPr>
          <w:sz w:val="28"/>
          <w:szCs w:val="28"/>
        </w:rPr>
        <w:t xml:space="preserve">soltanto </w:t>
      </w:r>
      <w:r w:rsidR="003E2400">
        <w:rPr>
          <w:sz w:val="28"/>
          <w:szCs w:val="28"/>
        </w:rPr>
        <w:t>alla legge</w:t>
      </w:r>
      <w:r w:rsidR="00DE664A">
        <w:rPr>
          <w:sz w:val="28"/>
          <w:szCs w:val="28"/>
        </w:rPr>
        <w:t xml:space="preserve"> (art. 101, secondo comma, Cost.), ad imporre la sufficiente specificazione della norma</w:t>
      </w:r>
      <w:r w:rsidR="00237777">
        <w:rPr>
          <w:sz w:val="28"/>
          <w:szCs w:val="28"/>
        </w:rPr>
        <w:t xml:space="preserve">. Specularmente, questo vale </w:t>
      </w:r>
      <w:r w:rsidR="003E2400">
        <w:rPr>
          <w:sz w:val="28"/>
          <w:szCs w:val="28"/>
        </w:rPr>
        <w:t xml:space="preserve">per </w:t>
      </w:r>
      <w:r w:rsidR="00570482">
        <w:rPr>
          <w:sz w:val="28"/>
          <w:szCs w:val="28"/>
        </w:rPr>
        <w:t>le decisioni del giudice</w:t>
      </w:r>
      <w:r w:rsidR="003C0BFC" w:rsidRPr="003C0BFC">
        <w:rPr>
          <w:sz w:val="28"/>
          <w:szCs w:val="28"/>
        </w:rPr>
        <w:t xml:space="preserve"> </w:t>
      </w:r>
      <w:r w:rsidR="003C0BFC">
        <w:rPr>
          <w:sz w:val="28"/>
          <w:szCs w:val="28"/>
        </w:rPr>
        <w:t>nel particolare e concreto</w:t>
      </w:r>
      <w:r w:rsidR="00606C10">
        <w:rPr>
          <w:sz w:val="28"/>
          <w:szCs w:val="28"/>
        </w:rPr>
        <w:t>;</w:t>
      </w:r>
      <w:r w:rsidR="00237777">
        <w:rPr>
          <w:sz w:val="28"/>
          <w:szCs w:val="28"/>
        </w:rPr>
        <w:t xml:space="preserve"> e anche riguardo ai comportamenti futuri</w:t>
      </w:r>
      <w:r w:rsidR="00570482">
        <w:rPr>
          <w:sz w:val="28"/>
          <w:szCs w:val="28"/>
        </w:rPr>
        <w:t>.</w:t>
      </w:r>
    </w:p>
    <w:p w:rsidR="00513771" w:rsidRPr="003D58C4" w:rsidRDefault="00513771" w:rsidP="00513771">
      <w:pPr>
        <w:ind w:firstLine="708"/>
        <w:jc w:val="both"/>
        <w:rPr>
          <w:sz w:val="28"/>
          <w:szCs w:val="28"/>
        </w:rPr>
      </w:pPr>
      <w:r w:rsidRPr="003D58C4">
        <w:rPr>
          <w:sz w:val="28"/>
          <w:szCs w:val="28"/>
        </w:rPr>
        <w:t xml:space="preserve">Perciò, </w:t>
      </w:r>
      <w:r w:rsidR="00570482">
        <w:rPr>
          <w:sz w:val="28"/>
          <w:szCs w:val="28"/>
        </w:rPr>
        <w:t xml:space="preserve">pur </w:t>
      </w:r>
      <w:r w:rsidRPr="003D58C4">
        <w:rPr>
          <w:sz w:val="28"/>
          <w:szCs w:val="28"/>
        </w:rPr>
        <w:t>senza prescrizioni</w:t>
      </w:r>
      <w:r w:rsidR="003E2400">
        <w:rPr>
          <w:sz w:val="28"/>
          <w:szCs w:val="28"/>
        </w:rPr>
        <w:t xml:space="preserve"> di dettaglio</w:t>
      </w:r>
      <w:r w:rsidRPr="003D58C4">
        <w:rPr>
          <w:sz w:val="28"/>
          <w:szCs w:val="28"/>
        </w:rPr>
        <w:t xml:space="preserve"> al riguardo, </w:t>
      </w:r>
      <w:r w:rsidR="005279AA">
        <w:rPr>
          <w:sz w:val="28"/>
          <w:szCs w:val="28"/>
        </w:rPr>
        <w:t xml:space="preserve">va considerato che, </w:t>
      </w:r>
      <w:r w:rsidRPr="003D58C4">
        <w:rPr>
          <w:sz w:val="28"/>
          <w:szCs w:val="28"/>
        </w:rPr>
        <w:t xml:space="preserve">a ben </w:t>
      </w:r>
      <w:r w:rsidR="003E2400">
        <w:rPr>
          <w:sz w:val="28"/>
          <w:szCs w:val="28"/>
        </w:rPr>
        <w:t>osservare</w:t>
      </w:r>
      <w:r w:rsidR="00570482">
        <w:rPr>
          <w:sz w:val="28"/>
          <w:szCs w:val="28"/>
        </w:rPr>
        <w:t xml:space="preserve"> le cose</w:t>
      </w:r>
      <w:r w:rsidR="005279AA">
        <w:rPr>
          <w:sz w:val="28"/>
          <w:szCs w:val="28"/>
        </w:rPr>
        <w:t>,</w:t>
      </w:r>
      <w:r w:rsidRPr="003D58C4">
        <w:rPr>
          <w:sz w:val="28"/>
          <w:szCs w:val="28"/>
        </w:rPr>
        <w:t xml:space="preserve"> lo stile espositivo si colloca in uno spazio </w:t>
      </w:r>
      <w:r w:rsidR="00DE664A">
        <w:rPr>
          <w:sz w:val="28"/>
          <w:szCs w:val="28"/>
        </w:rPr>
        <w:t xml:space="preserve">tutt’altro che </w:t>
      </w:r>
      <w:r w:rsidRPr="003E2400">
        <w:rPr>
          <w:sz w:val="28"/>
          <w:szCs w:val="28"/>
        </w:rPr>
        <w:t>vuoto di diritto</w:t>
      </w:r>
      <w:r w:rsidRPr="003D58C4">
        <w:rPr>
          <w:sz w:val="28"/>
          <w:szCs w:val="28"/>
        </w:rPr>
        <w:t xml:space="preserve">. </w:t>
      </w:r>
    </w:p>
    <w:p w:rsidR="00513771" w:rsidRPr="003D58C4" w:rsidRDefault="00513771" w:rsidP="00513771">
      <w:pPr>
        <w:jc w:val="both"/>
        <w:rPr>
          <w:sz w:val="28"/>
          <w:szCs w:val="28"/>
        </w:rPr>
      </w:pPr>
    </w:p>
    <w:p w:rsidR="00513771" w:rsidRPr="003D58C4" w:rsidRDefault="00513771" w:rsidP="00513771">
      <w:pPr>
        <w:jc w:val="center"/>
        <w:rPr>
          <w:sz w:val="28"/>
          <w:szCs w:val="28"/>
        </w:rPr>
      </w:pPr>
      <w:r w:rsidRPr="003D58C4">
        <w:rPr>
          <w:sz w:val="28"/>
          <w:szCs w:val="28"/>
        </w:rPr>
        <w:t>IV</w:t>
      </w:r>
    </w:p>
    <w:p w:rsidR="00513771" w:rsidRPr="003D58C4" w:rsidRDefault="00CB7ED2" w:rsidP="00513771">
      <w:pPr>
        <w:ind w:firstLine="708"/>
        <w:jc w:val="both"/>
        <w:rPr>
          <w:sz w:val="28"/>
          <w:szCs w:val="28"/>
        </w:rPr>
      </w:pPr>
      <w:r>
        <w:rPr>
          <w:sz w:val="28"/>
          <w:szCs w:val="28"/>
        </w:rPr>
        <w:t xml:space="preserve">L’esigenza </w:t>
      </w:r>
      <w:r w:rsidR="00513771" w:rsidRPr="003D58C4">
        <w:rPr>
          <w:sz w:val="28"/>
          <w:szCs w:val="28"/>
        </w:rPr>
        <w:t xml:space="preserve">di coerenza </w:t>
      </w:r>
      <w:r w:rsidR="003E2400">
        <w:rPr>
          <w:sz w:val="28"/>
          <w:szCs w:val="28"/>
        </w:rPr>
        <w:t xml:space="preserve">e di affidamento </w:t>
      </w:r>
      <w:r w:rsidR="00513771" w:rsidRPr="003D58C4">
        <w:rPr>
          <w:sz w:val="28"/>
          <w:szCs w:val="28"/>
        </w:rPr>
        <w:t xml:space="preserve">dell’ordinamento richiede </w:t>
      </w:r>
      <w:r w:rsidR="00C7076D">
        <w:rPr>
          <w:sz w:val="28"/>
          <w:szCs w:val="28"/>
        </w:rPr>
        <w:t>insomma</w:t>
      </w:r>
      <w:r w:rsidR="00513771" w:rsidRPr="003D58C4">
        <w:rPr>
          <w:sz w:val="28"/>
          <w:szCs w:val="28"/>
        </w:rPr>
        <w:t xml:space="preserve"> la consapevolezza, da parte del giudice, che quanto più il suo </w:t>
      </w:r>
      <w:r w:rsidR="00513771" w:rsidRPr="00C7076D">
        <w:rPr>
          <w:sz w:val="28"/>
          <w:szCs w:val="28"/>
        </w:rPr>
        <w:t xml:space="preserve">linguaggio </w:t>
      </w:r>
      <w:r w:rsidR="00513771" w:rsidRPr="003D58C4">
        <w:rPr>
          <w:sz w:val="28"/>
          <w:szCs w:val="28"/>
        </w:rPr>
        <w:t xml:space="preserve">sarà chiaro e preciso, impersonale e discosto dal soggettivismo dell’estensore, tanto più si realizzerà per le parti processuali e per i terzi quell’essenziale </w:t>
      </w:r>
      <w:r w:rsidR="00513771" w:rsidRPr="003D58C4">
        <w:rPr>
          <w:i/>
          <w:sz w:val="28"/>
          <w:szCs w:val="28"/>
        </w:rPr>
        <w:t>calcolabilità del diritto</w:t>
      </w:r>
      <w:r w:rsidR="00513771" w:rsidRPr="003D58C4">
        <w:rPr>
          <w:sz w:val="28"/>
          <w:szCs w:val="28"/>
        </w:rPr>
        <w:t xml:space="preserve">, </w:t>
      </w:r>
      <w:r w:rsidR="00C7076D">
        <w:rPr>
          <w:sz w:val="28"/>
          <w:szCs w:val="28"/>
        </w:rPr>
        <w:t xml:space="preserve">indicata </w:t>
      </w:r>
      <w:r w:rsidR="00513771" w:rsidRPr="003D58C4">
        <w:rPr>
          <w:sz w:val="28"/>
          <w:szCs w:val="28"/>
        </w:rPr>
        <w:t>da Max Weber, che razionalizza e rassicura i rapporti e garantisce lo sviluppo economico e sociale</w:t>
      </w:r>
      <w:r w:rsidR="00513771" w:rsidRPr="003D58C4">
        <w:rPr>
          <w:sz w:val="28"/>
          <w:szCs w:val="28"/>
          <w:vertAlign w:val="superscript"/>
        </w:rPr>
        <w:footnoteReference w:id="25"/>
      </w:r>
      <w:r w:rsidR="00513771" w:rsidRPr="003D58C4">
        <w:rPr>
          <w:sz w:val="28"/>
          <w:szCs w:val="28"/>
        </w:rPr>
        <w:t xml:space="preserve">. </w:t>
      </w:r>
    </w:p>
    <w:p w:rsidR="00513771" w:rsidRPr="003D58C4" w:rsidRDefault="00513771" w:rsidP="00513771">
      <w:pPr>
        <w:ind w:firstLine="708"/>
        <w:jc w:val="both"/>
        <w:rPr>
          <w:sz w:val="28"/>
          <w:szCs w:val="28"/>
        </w:rPr>
      </w:pPr>
      <w:r w:rsidRPr="003D58C4">
        <w:rPr>
          <w:sz w:val="28"/>
          <w:szCs w:val="28"/>
        </w:rPr>
        <w:t xml:space="preserve">La sentenza </w:t>
      </w:r>
      <w:r w:rsidR="00C7076D">
        <w:rPr>
          <w:sz w:val="28"/>
          <w:szCs w:val="28"/>
        </w:rPr>
        <w:t xml:space="preserve">risolve </w:t>
      </w:r>
      <w:r w:rsidR="00C7076D" w:rsidRPr="00C7076D">
        <w:rPr>
          <w:sz w:val="28"/>
          <w:szCs w:val="28"/>
        </w:rPr>
        <w:t>(</w:t>
      </w:r>
      <w:r w:rsidR="00C7076D" w:rsidRPr="00C7076D">
        <w:rPr>
          <w:i/>
          <w:sz w:val="28"/>
          <w:szCs w:val="28"/>
        </w:rPr>
        <w:t>“tranche”</w:t>
      </w:r>
      <w:r w:rsidR="00C7076D">
        <w:rPr>
          <w:sz w:val="28"/>
          <w:szCs w:val="28"/>
        </w:rPr>
        <w:t>, taglia, dicono i francesi)</w:t>
      </w:r>
      <w:r w:rsidRPr="003D58C4">
        <w:rPr>
          <w:sz w:val="28"/>
          <w:szCs w:val="28"/>
        </w:rPr>
        <w:t xml:space="preserve"> la controversia</w:t>
      </w:r>
      <w:r w:rsidR="00C7076D">
        <w:rPr>
          <w:sz w:val="28"/>
          <w:szCs w:val="28"/>
        </w:rPr>
        <w:t xml:space="preserve">. Il </w:t>
      </w:r>
      <w:r w:rsidRPr="003D58C4">
        <w:rPr>
          <w:sz w:val="28"/>
          <w:szCs w:val="28"/>
        </w:rPr>
        <w:t xml:space="preserve">suo contenuto precettivo, </w:t>
      </w:r>
      <w:r w:rsidR="00C7076D">
        <w:rPr>
          <w:sz w:val="28"/>
          <w:szCs w:val="28"/>
        </w:rPr>
        <w:t xml:space="preserve">sui cui </w:t>
      </w:r>
      <w:r w:rsidRPr="003D58C4">
        <w:rPr>
          <w:sz w:val="28"/>
          <w:szCs w:val="28"/>
        </w:rPr>
        <w:t>va a formarsi il giudicato</w:t>
      </w:r>
      <w:r w:rsidR="00E61E60">
        <w:rPr>
          <w:rStyle w:val="FootnoteReference"/>
          <w:sz w:val="28"/>
          <w:szCs w:val="28"/>
        </w:rPr>
        <w:footnoteReference w:id="26"/>
      </w:r>
      <w:r w:rsidRPr="003D58C4">
        <w:rPr>
          <w:sz w:val="28"/>
          <w:szCs w:val="28"/>
        </w:rPr>
        <w:t xml:space="preserve">, comporrà per il futuro la norma del caso concreto cui riferire i comportamenti </w:t>
      </w:r>
      <w:r w:rsidR="003E2400">
        <w:rPr>
          <w:sz w:val="28"/>
          <w:szCs w:val="28"/>
        </w:rPr>
        <w:t xml:space="preserve">passati e </w:t>
      </w:r>
      <w:r w:rsidRPr="003D58C4">
        <w:rPr>
          <w:sz w:val="28"/>
          <w:szCs w:val="28"/>
        </w:rPr>
        <w:t xml:space="preserve">a venire. </w:t>
      </w:r>
      <w:r w:rsidR="00C7076D">
        <w:rPr>
          <w:sz w:val="28"/>
          <w:szCs w:val="28"/>
        </w:rPr>
        <w:t>Sicché</w:t>
      </w:r>
      <w:r w:rsidR="00115823">
        <w:rPr>
          <w:sz w:val="28"/>
          <w:szCs w:val="28"/>
        </w:rPr>
        <w:t>,</w:t>
      </w:r>
      <w:r w:rsidR="00C7076D">
        <w:rPr>
          <w:sz w:val="28"/>
          <w:szCs w:val="28"/>
        </w:rPr>
        <w:t xml:space="preserve"> come per le norme</w:t>
      </w:r>
      <w:r w:rsidR="00115823">
        <w:rPr>
          <w:sz w:val="28"/>
          <w:szCs w:val="28"/>
        </w:rPr>
        <w:t>,</w:t>
      </w:r>
      <w:r w:rsidR="00C7076D">
        <w:rPr>
          <w:sz w:val="28"/>
          <w:szCs w:val="28"/>
        </w:rPr>
        <w:t xml:space="preserve"> </w:t>
      </w:r>
      <w:r w:rsidRPr="003D58C4">
        <w:rPr>
          <w:sz w:val="28"/>
          <w:szCs w:val="28"/>
        </w:rPr>
        <w:t>il modo espositivo</w:t>
      </w:r>
      <w:r w:rsidR="00C7076D">
        <w:rPr>
          <w:sz w:val="28"/>
          <w:szCs w:val="28"/>
        </w:rPr>
        <w:t xml:space="preserve"> </w:t>
      </w:r>
      <w:r w:rsidR="003E2400">
        <w:rPr>
          <w:sz w:val="28"/>
          <w:szCs w:val="28"/>
        </w:rPr>
        <w:t xml:space="preserve">concorre esso stesso all’adeguata </w:t>
      </w:r>
      <w:r w:rsidR="00C7076D">
        <w:rPr>
          <w:sz w:val="28"/>
          <w:szCs w:val="28"/>
        </w:rPr>
        <w:t xml:space="preserve">composizione </w:t>
      </w:r>
      <w:r w:rsidRPr="003D58C4">
        <w:rPr>
          <w:sz w:val="28"/>
          <w:szCs w:val="28"/>
        </w:rPr>
        <w:t>del</w:t>
      </w:r>
      <w:r w:rsidR="00C7076D">
        <w:rPr>
          <w:sz w:val="28"/>
          <w:szCs w:val="28"/>
        </w:rPr>
        <w:t xml:space="preserve"> diritto</w:t>
      </w:r>
      <w:r w:rsidRPr="003D58C4">
        <w:rPr>
          <w:sz w:val="28"/>
          <w:szCs w:val="28"/>
        </w:rPr>
        <w:t>.</w:t>
      </w:r>
    </w:p>
    <w:p w:rsidR="00513771" w:rsidRPr="003D58C4" w:rsidRDefault="00C5392D" w:rsidP="00513771">
      <w:pPr>
        <w:ind w:firstLine="708"/>
        <w:jc w:val="both"/>
        <w:rPr>
          <w:sz w:val="28"/>
          <w:szCs w:val="28"/>
        </w:rPr>
      </w:pPr>
      <w:r>
        <w:rPr>
          <w:sz w:val="28"/>
          <w:szCs w:val="28"/>
        </w:rPr>
        <w:t xml:space="preserve">Insomma, </w:t>
      </w:r>
      <w:r w:rsidR="00513771" w:rsidRPr="00C7076D">
        <w:rPr>
          <w:sz w:val="28"/>
          <w:szCs w:val="28"/>
        </w:rPr>
        <w:t>intellegibilità, chiarezza e precisione espositive</w:t>
      </w:r>
      <w:r w:rsidR="00513771" w:rsidRPr="003D58C4">
        <w:rPr>
          <w:sz w:val="28"/>
          <w:szCs w:val="28"/>
        </w:rPr>
        <w:t xml:space="preserve"> corrispondono non a una mera </w:t>
      </w:r>
      <w:r w:rsidR="003E2400">
        <w:rPr>
          <w:sz w:val="28"/>
          <w:szCs w:val="28"/>
        </w:rPr>
        <w:t xml:space="preserve">ed eventuale </w:t>
      </w:r>
      <w:r w:rsidR="00C7076D">
        <w:rPr>
          <w:sz w:val="28"/>
          <w:szCs w:val="28"/>
        </w:rPr>
        <w:t xml:space="preserve">disposizione </w:t>
      </w:r>
      <w:r w:rsidR="00513771" w:rsidRPr="003D58C4">
        <w:rPr>
          <w:sz w:val="28"/>
          <w:szCs w:val="28"/>
        </w:rPr>
        <w:t xml:space="preserve">di stile, </w:t>
      </w:r>
      <w:r w:rsidR="005279AA">
        <w:rPr>
          <w:sz w:val="28"/>
          <w:szCs w:val="28"/>
        </w:rPr>
        <w:t xml:space="preserve">che </w:t>
      </w:r>
      <w:r w:rsidR="00513771" w:rsidRPr="003D58C4">
        <w:rPr>
          <w:sz w:val="28"/>
          <w:szCs w:val="28"/>
        </w:rPr>
        <w:t xml:space="preserve">di suo </w:t>
      </w:r>
      <w:r w:rsidR="005279AA">
        <w:rPr>
          <w:sz w:val="28"/>
          <w:szCs w:val="28"/>
        </w:rPr>
        <w:t xml:space="preserve">resterebbe </w:t>
      </w:r>
      <w:r w:rsidR="00C7076D">
        <w:rPr>
          <w:sz w:val="28"/>
          <w:szCs w:val="28"/>
        </w:rPr>
        <w:t xml:space="preserve">comunque </w:t>
      </w:r>
      <w:r w:rsidR="00513771" w:rsidRPr="003D58C4">
        <w:rPr>
          <w:sz w:val="28"/>
          <w:szCs w:val="28"/>
        </w:rPr>
        <w:t xml:space="preserve">opinabile, ma a un </w:t>
      </w:r>
      <w:r w:rsidR="00513771" w:rsidRPr="003D58C4">
        <w:rPr>
          <w:i/>
          <w:sz w:val="28"/>
          <w:szCs w:val="28"/>
        </w:rPr>
        <w:t>dovere</w:t>
      </w:r>
      <w:r w:rsidR="005279AA">
        <w:rPr>
          <w:i/>
          <w:sz w:val="28"/>
          <w:szCs w:val="28"/>
        </w:rPr>
        <w:t xml:space="preserve"> </w:t>
      </w:r>
      <w:r w:rsidR="00513771" w:rsidRPr="003D58C4">
        <w:rPr>
          <w:sz w:val="28"/>
          <w:szCs w:val="28"/>
        </w:rPr>
        <w:t>che gra</w:t>
      </w:r>
      <w:r w:rsidR="003E2400">
        <w:rPr>
          <w:sz w:val="28"/>
          <w:szCs w:val="28"/>
        </w:rPr>
        <w:t xml:space="preserve">va sul giudice, e per esso sul magistrato </w:t>
      </w:r>
      <w:r w:rsidR="00513771" w:rsidRPr="003D58C4">
        <w:rPr>
          <w:sz w:val="28"/>
          <w:szCs w:val="28"/>
        </w:rPr>
        <w:t xml:space="preserve">estensore della </w:t>
      </w:r>
      <w:r w:rsidR="00C7076D">
        <w:rPr>
          <w:sz w:val="28"/>
          <w:szCs w:val="28"/>
        </w:rPr>
        <w:t xml:space="preserve">minuta </w:t>
      </w:r>
      <w:r w:rsidR="00513771" w:rsidRPr="003D58C4">
        <w:rPr>
          <w:sz w:val="28"/>
          <w:szCs w:val="28"/>
        </w:rPr>
        <w:t xml:space="preserve">e su chi </w:t>
      </w:r>
      <w:r w:rsidR="00C7076D">
        <w:rPr>
          <w:sz w:val="28"/>
          <w:szCs w:val="28"/>
        </w:rPr>
        <w:t xml:space="preserve">la </w:t>
      </w:r>
      <w:r w:rsidR="00513771" w:rsidRPr="003D58C4">
        <w:rPr>
          <w:sz w:val="28"/>
          <w:szCs w:val="28"/>
        </w:rPr>
        <w:t xml:space="preserve">controlla. </w:t>
      </w:r>
      <w:r w:rsidR="009C7214">
        <w:rPr>
          <w:sz w:val="28"/>
          <w:szCs w:val="28"/>
        </w:rPr>
        <w:t>N</w:t>
      </w:r>
      <w:r w:rsidR="00FD3A12">
        <w:rPr>
          <w:sz w:val="28"/>
          <w:szCs w:val="28"/>
        </w:rPr>
        <w:t xml:space="preserve">e </w:t>
      </w:r>
      <w:r w:rsidR="009C7214">
        <w:rPr>
          <w:sz w:val="28"/>
          <w:szCs w:val="28"/>
        </w:rPr>
        <w:t>rappresenta</w:t>
      </w:r>
      <w:r w:rsidR="00FD3A12">
        <w:rPr>
          <w:sz w:val="28"/>
          <w:szCs w:val="28"/>
        </w:rPr>
        <w:t xml:space="preserve"> direttamente l’affidabilità sociale.</w:t>
      </w:r>
    </w:p>
    <w:p w:rsidR="00513771" w:rsidRPr="003D58C4" w:rsidRDefault="00513771" w:rsidP="00513771">
      <w:pPr>
        <w:ind w:firstLine="708"/>
        <w:jc w:val="both"/>
        <w:rPr>
          <w:sz w:val="28"/>
          <w:szCs w:val="28"/>
        </w:rPr>
      </w:pPr>
      <w:r w:rsidRPr="003D58C4">
        <w:rPr>
          <w:sz w:val="28"/>
          <w:szCs w:val="28"/>
        </w:rPr>
        <w:t xml:space="preserve">È stato efficacemente scritto dal Pres. G. Barbagallo: </w:t>
      </w:r>
      <w:r w:rsidRPr="003D58C4">
        <w:rPr>
          <w:i/>
          <w:sz w:val="28"/>
          <w:szCs w:val="28"/>
        </w:rPr>
        <w:t>“Linguaggio, struttura e stile della sentenza e della motivazione sono un tratto del paragiuridico di fondamentale importanza per l’ordinamento perché il diritto manifesta la sua esistenza attraverso il linguaggio. Il tema è di attualità e attrae l’interesse di studiosi di diritto, linguistica, teoria generale, retorica, storia del diritto”</w:t>
      </w:r>
      <w:r w:rsidRPr="003D58C4">
        <w:rPr>
          <w:sz w:val="28"/>
          <w:szCs w:val="28"/>
        </w:rPr>
        <w:t xml:space="preserve">. Perciò </w:t>
      </w:r>
      <w:r w:rsidRPr="003D58C4">
        <w:rPr>
          <w:i/>
          <w:sz w:val="28"/>
          <w:szCs w:val="28"/>
        </w:rPr>
        <w:t>“il linguaggio delle sentenze deve essere chiaro, omogeneo e persuasivo. La sentenza è la sede formale ove la legge viene portata a compimento, cioè, ove la regola è attuata e la disposizione diviene norma. La chiarezza della sentenza è essenziale, quindi, sia per la sua funzione endoprocessuale, cioè per la comprensione delle parti della soluzione del caso, sia per quella extraprocessuale di precedente giurisprudenziale che indica come la fonte normativa si attua. La tendenziale uniformità di interpretazione della legge, nelle sue funzioni di certezza del diritto (prevedibilità delle conseguenze di un comportamento), eguaglianza dei soggetti di fronte alla legge (eguale applicazione della legge in eguale situazione), unità del diritto dello Stato (eguale applicazione della legge da parte dei giudici), ha un suo presupposto necessario nella chiarezza e comprensibilità della sentenza. Chiarezza e comprensibilità della sentenza sono anche indici della qualità della democrazia dell’ordinamento”</w:t>
      </w:r>
      <w:r w:rsidRPr="003D58C4">
        <w:rPr>
          <w:sz w:val="28"/>
          <w:szCs w:val="28"/>
          <w:vertAlign w:val="superscript"/>
        </w:rPr>
        <w:footnoteReference w:id="27"/>
      </w:r>
      <w:r w:rsidRPr="003D58C4">
        <w:rPr>
          <w:sz w:val="28"/>
          <w:szCs w:val="28"/>
        </w:rPr>
        <w:t>.</w:t>
      </w:r>
    </w:p>
    <w:p w:rsidR="005B6A41" w:rsidRDefault="00513771" w:rsidP="00513771">
      <w:pPr>
        <w:ind w:firstLine="708"/>
        <w:jc w:val="both"/>
        <w:rPr>
          <w:sz w:val="28"/>
          <w:szCs w:val="28"/>
        </w:rPr>
      </w:pPr>
      <w:r w:rsidRPr="003D58C4">
        <w:rPr>
          <w:sz w:val="28"/>
          <w:szCs w:val="28"/>
        </w:rPr>
        <w:t xml:space="preserve">Il genere di cui ci occupiamo dunque non è </w:t>
      </w:r>
      <w:r w:rsidR="005279AA">
        <w:rPr>
          <w:sz w:val="28"/>
          <w:szCs w:val="28"/>
        </w:rPr>
        <w:t xml:space="preserve">semplicemente </w:t>
      </w:r>
      <w:r w:rsidRPr="003D58C4">
        <w:rPr>
          <w:sz w:val="28"/>
          <w:szCs w:val="28"/>
        </w:rPr>
        <w:t xml:space="preserve">… letterario. Lo </w:t>
      </w:r>
      <w:r w:rsidRPr="003D58C4">
        <w:rPr>
          <w:i/>
          <w:sz w:val="28"/>
          <w:szCs w:val="28"/>
        </w:rPr>
        <w:t>stile</w:t>
      </w:r>
      <w:r w:rsidRPr="003D58C4">
        <w:rPr>
          <w:sz w:val="28"/>
          <w:szCs w:val="28"/>
        </w:rPr>
        <w:t xml:space="preserve"> espositivo della motivazione </w:t>
      </w:r>
      <w:r w:rsidR="00702A84">
        <w:rPr>
          <w:sz w:val="28"/>
          <w:szCs w:val="28"/>
        </w:rPr>
        <w:t xml:space="preserve">è intrinseco </w:t>
      </w:r>
      <w:r w:rsidRPr="003D58C4">
        <w:rPr>
          <w:sz w:val="28"/>
          <w:szCs w:val="28"/>
        </w:rPr>
        <w:t xml:space="preserve">alla </w:t>
      </w:r>
      <w:r w:rsidR="00C5392D">
        <w:rPr>
          <w:sz w:val="28"/>
          <w:szCs w:val="28"/>
        </w:rPr>
        <w:t xml:space="preserve">connotazione giuridica della </w:t>
      </w:r>
      <w:r w:rsidRPr="003D58C4">
        <w:rPr>
          <w:sz w:val="28"/>
          <w:szCs w:val="28"/>
        </w:rPr>
        <w:t xml:space="preserve">sentenza e </w:t>
      </w:r>
      <w:r w:rsidR="00C7076D">
        <w:rPr>
          <w:sz w:val="28"/>
          <w:szCs w:val="28"/>
        </w:rPr>
        <w:t xml:space="preserve">la sentenza </w:t>
      </w:r>
      <w:r w:rsidR="005279AA">
        <w:rPr>
          <w:sz w:val="28"/>
          <w:szCs w:val="28"/>
        </w:rPr>
        <w:t xml:space="preserve">si imputa </w:t>
      </w:r>
      <w:r w:rsidR="005B6A41">
        <w:rPr>
          <w:sz w:val="28"/>
          <w:szCs w:val="28"/>
        </w:rPr>
        <w:t xml:space="preserve">tutta </w:t>
      </w:r>
      <w:r w:rsidRPr="003D58C4">
        <w:rPr>
          <w:sz w:val="28"/>
          <w:szCs w:val="28"/>
        </w:rPr>
        <w:t xml:space="preserve">allo Stato, con cui il magistrato è in rapporto di servizio e non di mandato. </w:t>
      </w:r>
      <w:r w:rsidR="005B6A41">
        <w:rPr>
          <w:sz w:val="28"/>
          <w:szCs w:val="28"/>
        </w:rPr>
        <w:t xml:space="preserve">Lo stile </w:t>
      </w:r>
      <w:r w:rsidRPr="003D58C4">
        <w:rPr>
          <w:sz w:val="28"/>
          <w:szCs w:val="28"/>
        </w:rPr>
        <w:t xml:space="preserve">pertanto </w:t>
      </w:r>
      <w:r w:rsidR="005B6A41">
        <w:rPr>
          <w:sz w:val="28"/>
          <w:szCs w:val="28"/>
        </w:rPr>
        <w:t xml:space="preserve">deve </w:t>
      </w:r>
      <w:r w:rsidR="00702A84">
        <w:rPr>
          <w:sz w:val="28"/>
          <w:szCs w:val="28"/>
        </w:rPr>
        <w:t>cor</w:t>
      </w:r>
      <w:r w:rsidRPr="003D58C4">
        <w:rPr>
          <w:sz w:val="28"/>
          <w:szCs w:val="28"/>
        </w:rPr>
        <w:t>rispondere alle esigenze proprie dell</w:t>
      </w:r>
      <w:r w:rsidR="005B6A41">
        <w:rPr>
          <w:sz w:val="28"/>
          <w:szCs w:val="28"/>
        </w:rPr>
        <w:t>’atto</w:t>
      </w:r>
      <w:r w:rsidR="00C7076D">
        <w:rPr>
          <w:sz w:val="28"/>
          <w:szCs w:val="28"/>
        </w:rPr>
        <w:t xml:space="preserve">. Non </w:t>
      </w:r>
      <w:r w:rsidRPr="003D58C4">
        <w:rPr>
          <w:sz w:val="28"/>
          <w:szCs w:val="28"/>
        </w:rPr>
        <w:t xml:space="preserve">è appannaggio </w:t>
      </w:r>
      <w:r w:rsidR="00C5392D">
        <w:rPr>
          <w:sz w:val="28"/>
          <w:szCs w:val="28"/>
        </w:rPr>
        <w:t xml:space="preserve">autonomo e </w:t>
      </w:r>
      <w:r w:rsidR="005B6A41">
        <w:rPr>
          <w:sz w:val="28"/>
          <w:szCs w:val="28"/>
        </w:rPr>
        <w:t>indefinito</w:t>
      </w:r>
      <w:r w:rsidR="00C7076D">
        <w:rPr>
          <w:sz w:val="28"/>
          <w:szCs w:val="28"/>
        </w:rPr>
        <w:t xml:space="preserve"> </w:t>
      </w:r>
      <w:r w:rsidR="005B6A41">
        <w:rPr>
          <w:sz w:val="28"/>
          <w:szCs w:val="28"/>
        </w:rPr>
        <w:t xml:space="preserve">della </w:t>
      </w:r>
      <w:r w:rsidRPr="003D58C4">
        <w:rPr>
          <w:i/>
          <w:sz w:val="28"/>
          <w:szCs w:val="28"/>
        </w:rPr>
        <w:t>poietikè</w:t>
      </w:r>
      <w:r w:rsidRPr="003D58C4">
        <w:rPr>
          <w:sz w:val="28"/>
          <w:szCs w:val="28"/>
        </w:rPr>
        <w:t xml:space="preserve"> </w:t>
      </w:r>
      <w:r w:rsidRPr="003D58C4">
        <w:rPr>
          <w:i/>
          <w:sz w:val="28"/>
          <w:szCs w:val="28"/>
        </w:rPr>
        <w:t>téchne</w:t>
      </w:r>
      <w:r w:rsidRPr="003D58C4">
        <w:rPr>
          <w:sz w:val="28"/>
          <w:szCs w:val="28"/>
        </w:rPr>
        <w:t xml:space="preserve"> dell’estensore.</w:t>
      </w:r>
    </w:p>
    <w:p w:rsidR="00513771" w:rsidRPr="003D58C4" w:rsidRDefault="005B6A41" w:rsidP="00513771">
      <w:pPr>
        <w:ind w:firstLine="708"/>
        <w:jc w:val="both"/>
        <w:rPr>
          <w:sz w:val="28"/>
          <w:szCs w:val="28"/>
        </w:rPr>
      </w:pPr>
      <w:r>
        <w:rPr>
          <w:sz w:val="28"/>
          <w:szCs w:val="28"/>
        </w:rPr>
        <w:t xml:space="preserve">Il tema </w:t>
      </w:r>
      <w:r w:rsidR="00513771" w:rsidRPr="003D58C4">
        <w:rPr>
          <w:sz w:val="28"/>
          <w:szCs w:val="28"/>
        </w:rPr>
        <w:t xml:space="preserve">della </w:t>
      </w:r>
      <w:r w:rsidR="00513771" w:rsidRPr="0010582E">
        <w:rPr>
          <w:sz w:val="28"/>
          <w:szCs w:val="28"/>
        </w:rPr>
        <w:t xml:space="preserve">motivazione della sentenza e dell’inerente tecnica di redazione </w:t>
      </w:r>
      <w:r w:rsidR="00C5392D">
        <w:rPr>
          <w:sz w:val="28"/>
          <w:szCs w:val="28"/>
        </w:rPr>
        <w:t xml:space="preserve">si inserisce così nel </w:t>
      </w:r>
      <w:r w:rsidR="005279AA" w:rsidRPr="0010582E">
        <w:rPr>
          <w:sz w:val="28"/>
          <w:szCs w:val="28"/>
        </w:rPr>
        <w:t>tema generale</w:t>
      </w:r>
      <w:r w:rsidR="00513771" w:rsidRPr="0010582E">
        <w:rPr>
          <w:sz w:val="28"/>
          <w:szCs w:val="28"/>
        </w:rPr>
        <w:t xml:space="preserve"> della qualità della risposta di giustizia</w:t>
      </w:r>
      <w:r w:rsidR="00513771" w:rsidRPr="003D58C4">
        <w:rPr>
          <w:sz w:val="28"/>
          <w:szCs w:val="28"/>
        </w:rPr>
        <w:t>.</w:t>
      </w:r>
    </w:p>
    <w:p w:rsidR="00513771" w:rsidRPr="003D58C4" w:rsidRDefault="00513771" w:rsidP="00513771">
      <w:pPr>
        <w:ind w:firstLine="708"/>
        <w:jc w:val="both"/>
        <w:rPr>
          <w:sz w:val="28"/>
          <w:szCs w:val="28"/>
        </w:rPr>
      </w:pPr>
      <w:r w:rsidRPr="003D58C4">
        <w:rPr>
          <w:sz w:val="28"/>
          <w:szCs w:val="28"/>
        </w:rPr>
        <w:t xml:space="preserve">In questi sensi, lo </w:t>
      </w:r>
      <w:r w:rsidRPr="005B6A41">
        <w:rPr>
          <w:sz w:val="28"/>
          <w:szCs w:val="28"/>
        </w:rPr>
        <w:t>stile</w:t>
      </w:r>
      <w:r w:rsidRPr="003D58C4">
        <w:rPr>
          <w:sz w:val="28"/>
          <w:szCs w:val="28"/>
        </w:rPr>
        <w:t xml:space="preserve"> espositivo della motivazione è – per dirla con Umberto Eco – “</w:t>
      </w:r>
      <w:r w:rsidRPr="003D58C4">
        <w:rPr>
          <w:i/>
          <w:sz w:val="28"/>
          <w:szCs w:val="28"/>
        </w:rPr>
        <w:t>forma del contenuto</w:t>
      </w:r>
      <w:r w:rsidRPr="003D58C4">
        <w:rPr>
          <w:sz w:val="28"/>
          <w:szCs w:val="28"/>
        </w:rPr>
        <w:t>”</w:t>
      </w:r>
      <w:r w:rsidRPr="003D58C4">
        <w:rPr>
          <w:sz w:val="28"/>
          <w:szCs w:val="28"/>
          <w:vertAlign w:val="superscript"/>
        </w:rPr>
        <w:footnoteReference w:id="28"/>
      </w:r>
      <w:r w:rsidRPr="003D58C4">
        <w:rPr>
          <w:sz w:val="28"/>
          <w:szCs w:val="28"/>
        </w:rPr>
        <w:t xml:space="preserve">: perciò elemento </w:t>
      </w:r>
      <w:r w:rsidR="005B6A41">
        <w:rPr>
          <w:sz w:val="28"/>
          <w:szCs w:val="28"/>
        </w:rPr>
        <w:t xml:space="preserve">non </w:t>
      </w:r>
      <w:r w:rsidRPr="003D58C4">
        <w:rPr>
          <w:sz w:val="28"/>
          <w:szCs w:val="28"/>
        </w:rPr>
        <w:t xml:space="preserve">estrinseco </w:t>
      </w:r>
      <w:r w:rsidR="005B6A41">
        <w:rPr>
          <w:sz w:val="28"/>
          <w:szCs w:val="28"/>
        </w:rPr>
        <w:t xml:space="preserve">né </w:t>
      </w:r>
      <w:r w:rsidRPr="003D58C4">
        <w:rPr>
          <w:sz w:val="28"/>
          <w:szCs w:val="28"/>
        </w:rPr>
        <w:t>neutro rispetto all’adempimento del dovere di motivazione.</w:t>
      </w:r>
    </w:p>
    <w:p w:rsidR="00513771" w:rsidRPr="003D58C4" w:rsidRDefault="00513771" w:rsidP="00513771">
      <w:pPr>
        <w:ind w:firstLine="708"/>
        <w:jc w:val="both"/>
        <w:rPr>
          <w:sz w:val="28"/>
          <w:szCs w:val="28"/>
        </w:rPr>
      </w:pPr>
      <w:r w:rsidRPr="003D58C4">
        <w:rPr>
          <w:sz w:val="28"/>
          <w:szCs w:val="28"/>
        </w:rPr>
        <w:t xml:space="preserve">Salvi allora </w:t>
      </w:r>
      <w:r w:rsidR="005B6A41">
        <w:rPr>
          <w:sz w:val="28"/>
          <w:szCs w:val="28"/>
        </w:rPr>
        <w:t>gl</w:t>
      </w:r>
      <w:r w:rsidRPr="003D58C4">
        <w:rPr>
          <w:sz w:val="28"/>
          <w:szCs w:val="28"/>
        </w:rPr>
        <w:t xml:space="preserve">i </w:t>
      </w:r>
      <w:r w:rsidR="005B6A41">
        <w:rPr>
          <w:sz w:val="28"/>
          <w:szCs w:val="28"/>
        </w:rPr>
        <w:t xml:space="preserve">aspetti </w:t>
      </w:r>
      <w:r w:rsidRPr="003D58C4">
        <w:rPr>
          <w:sz w:val="28"/>
          <w:szCs w:val="28"/>
        </w:rPr>
        <w:t xml:space="preserve">che comunque non incidono sul contenuto, perché restano mera </w:t>
      </w:r>
      <w:r w:rsidRPr="005279AA">
        <w:rPr>
          <w:i/>
          <w:sz w:val="28"/>
          <w:szCs w:val="28"/>
        </w:rPr>
        <w:t>“forma dell’espressione”</w:t>
      </w:r>
      <w:r w:rsidRPr="003D58C4">
        <w:rPr>
          <w:sz w:val="28"/>
          <w:szCs w:val="28"/>
        </w:rPr>
        <w:t xml:space="preserve">, </w:t>
      </w:r>
      <w:r w:rsidR="00702A84">
        <w:rPr>
          <w:sz w:val="28"/>
          <w:szCs w:val="28"/>
        </w:rPr>
        <w:t>ci si deve fermare</w:t>
      </w:r>
      <w:r w:rsidR="005B6A41">
        <w:rPr>
          <w:sz w:val="28"/>
          <w:szCs w:val="28"/>
        </w:rPr>
        <w:t xml:space="preserve"> su </w:t>
      </w:r>
      <w:r w:rsidRPr="003D58C4">
        <w:rPr>
          <w:sz w:val="28"/>
          <w:szCs w:val="28"/>
        </w:rPr>
        <w:t xml:space="preserve">alcune considerazioni di base circa la motivazione per vagliare quanto in realtà </w:t>
      </w:r>
      <w:r w:rsidR="005B6A41">
        <w:rPr>
          <w:sz w:val="28"/>
          <w:szCs w:val="28"/>
        </w:rPr>
        <w:t xml:space="preserve">dello </w:t>
      </w:r>
      <w:r w:rsidRPr="005B6A41">
        <w:rPr>
          <w:sz w:val="28"/>
          <w:szCs w:val="28"/>
        </w:rPr>
        <w:t>stile</w:t>
      </w:r>
      <w:r w:rsidRPr="003D58C4">
        <w:rPr>
          <w:i/>
          <w:sz w:val="28"/>
          <w:szCs w:val="28"/>
        </w:rPr>
        <w:t xml:space="preserve"> </w:t>
      </w:r>
      <w:r w:rsidR="005B6A41">
        <w:rPr>
          <w:sz w:val="28"/>
          <w:szCs w:val="28"/>
        </w:rPr>
        <w:t>incide sul contenuto</w:t>
      </w:r>
      <w:r w:rsidR="00702A84">
        <w:rPr>
          <w:sz w:val="28"/>
          <w:szCs w:val="28"/>
        </w:rPr>
        <w:t>.</w:t>
      </w:r>
    </w:p>
    <w:p w:rsidR="00513771" w:rsidRPr="003D58C4" w:rsidRDefault="005B6A41" w:rsidP="00513771">
      <w:pPr>
        <w:ind w:firstLine="708"/>
        <w:jc w:val="both"/>
        <w:rPr>
          <w:sz w:val="28"/>
          <w:szCs w:val="28"/>
        </w:rPr>
      </w:pPr>
      <w:r>
        <w:rPr>
          <w:sz w:val="28"/>
          <w:szCs w:val="28"/>
        </w:rPr>
        <w:t>M</w:t>
      </w:r>
      <w:r w:rsidR="00513771" w:rsidRPr="003D58C4">
        <w:rPr>
          <w:sz w:val="28"/>
          <w:szCs w:val="28"/>
        </w:rPr>
        <w:t>algrado l’attenzione sollevata in dottrina sin dagli anni ‘80</w:t>
      </w:r>
      <w:r w:rsidR="00513771" w:rsidRPr="003D58C4">
        <w:rPr>
          <w:sz w:val="28"/>
          <w:szCs w:val="28"/>
          <w:vertAlign w:val="superscript"/>
        </w:rPr>
        <w:footnoteReference w:id="29"/>
      </w:r>
      <w:r w:rsidR="00513771" w:rsidRPr="003D58C4">
        <w:rPr>
          <w:sz w:val="28"/>
          <w:szCs w:val="28"/>
        </w:rPr>
        <w:t xml:space="preserve"> – in nessuna nostra giurisdizione o settore si è giunti all’elaborazione di definitivi e uniformi</w:t>
      </w:r>
      <w:r w:rsidR="00513771" w:rsidRPr="003D58C4">
        <w:rPr>
          <w:i/>
          <w:sz w:val="28"/>
          <w:szCs w:val="28"/>
        </w:rPr>
        <w:t xml:space="preserve"> criteri </w:t>
      </w:r>
      <w:r w:rsidR="00513771" w:rsidRPr="003D58C4">
        <w:rPr>
          <w:sz w:val="28"/>
          <w:szCs w:val="28"/>
        </w:rPr>
        <w:t>cui attenersi nell’estensione dei provvedimenti</w:t>
      </w:r>
      <w:r w:rsidR="00513771" w:rsidRPr="003D58C4">
        <w:rPr>
          <w:sz w:val="28"/>
          <w:szCs w:val="28"/>
          <w:vertAlign w:val="superscript"/>
        </w:rPr>
        <w:footnoteReference w:id="30"/>
      </w:r>
      <w:r w:rsidR="00513771" w:rsidRPr="003D58C4">
        <w:rPr>
          <w:sz w:val="28"/>
          <w:szCs w:val="28"/>
        </w:rPr>
        <w:t xml:space="preserve">. Sicché, </w:t>
      </w:r>
      <w:r w:rsidR="0025640C">
        <w:rPr>
          <w:sz w:val="28"/>
          <w:szCs w:val="28"/>
        </w:rPr>
        <w:t xml:space="preserve">tolte </w:t>
      </w:r>
      <w:r w:rsidR="00513771" w:rsidRPr="003D58C4">
        <w:rPr>
          <w:sz w:val="28"/>
          <w:szCs w:val="28"/>
        </w:rPr>
        <w:t>alcune linee di tendenza, tutto o quasi sembra</w:t>
      </w:r>
      <w:r w:rsidR="005279AA">
        <w:rPr>
          <w:sz w:val="28"/>
          <w:szCs w:val="28"/>
        </w:rPr>
        <w:t xml:space="preserve"> ancora</w:t>
      </w:r>
      <w:r w:rsidR="00513771" w:rsidRPr="003D58C4">
        <w:rPr>
          <w:sz w:val="28"/>
          <w:szCs w:val="28"/>
        </w:rPr>
        <w:t xml:space="preserve"> lasciato alle opzioni personali della persona del magistrato o del presidente del collegio. </w:t>
      </w:r>
    </w:p>
    <w:p w:rsidR="00513771" w:rsidRPr="003D58C4" w:rsidRDefault="00D1062B" w:rsidP="00513771">
      <w:pPr>
        <w:ind w:firstLine="708"/>
        <w:jc w:val="both"/>
        <w:rPr>
          <w:sz w:val="28"/>
          <w:szCs w:val="28"/>
        </w:rPr>
      </w:pPr>
      <w:r>
        <w:rPr>
          <w:sz w:val="28"/>
          <w:szCs w:val="28"/>
        </w:rPr>
        <w:t>P</w:t>
      </w:r>
      <w:r w:rsidR="00513771" w:rsidRPr="003D58C4">
        <w:rPr>
          <w:sz w:val="28"/>
          <w:szCs w:val="28"/>
        </w:rPr>
        <w:t xml:space="preserve">aradossalmente, quanto più il tema </w:t>
      </w:r>
      <w:r w:rsidR="005B6A41">
        <w:rPr>
          <w:sz w:val="28"/>
          <w:szCs w:val="28"/>
        </w:rPr>
        <w:t xml:space="preserve">giunge </w:t>
      </w:r>
      <w:r w:rsidR="00513771" w:rsidRPr="003D58C4">
        <w:rPr>
          <w:sz w:val="28"/>
          <w:szCs w:val="28"/>
        </w:rPr>
        <w:t xml:space="preserve">all’attenzione degli studiosi, tanto più sembra </w:t>
      </w:r>
      <w:r w:rsidR="0025640C">
        <w:rPr>
          <w:sz w:val="28"/>
          <w:szCs w:val="28"/>
        </w:rPr>
        <w:t xml:space="preserve">allontanarsi da </w:t>
      </w:r>
      <w:r w:rsidR="00F309AB">
        <w:rPr>
          <w:sz w:val="28"/>
          <w:szCs w:val="28"/>
        </w:rPr>
        <w:t>soluzioni pratiche</w:t>
      </w:r>
      <w:r w:rsidR="00513771" w:rsidRPr="003D58C4">
        <w:rPr>
          <w:sz w:val="28"/>
          <w:szCs w:val="28"/>
        </w:rPr>
        <w:t xml:space="preserve">. </w:t>
      </w:r>
      <w:r w:rsidRPr="003D58C4">
        <w:rPr>
          <w:sz w:val="28"/>
          <w:szCs w:val="28"/>
        </w:rPr>
        <w:t>È</w:t>
      </w:r>
      <w:r w:rsidR="00513771" w:rsidRPr="003D58C4">
        <w:rPr>
          <w:sz w:val="28"/>
          <w:szCs w:val="28"/>
        </w:rPr>
        <w:t xml:space="preserve"> </w:t>
      </w:r>
      <w:r w:rsidR="002548F8">
        <w:rPr>
          <w:sz w:val="28"/>
          <w:szCs w:val="28"/>
        </w:rPr>
        <w:t xml:space="preserve">– come accennato - </w:t>
      </w:r>
      <w:r w:rsidR="00513771" w:rsidRPr="003D58C4">
        <w:rPr>
          <w:sz w:val="28"/>
          <w:szCs w:val="28"/>
        </w:rPr>
        <w:t xml:space="preserve">un dato con cui occorre misurarsi che oggi, specialmente </w:t>
      </w:r>
      <w:r w:rsidR="0025640C">
        <w:rPr>
          <w:sz w:val="28"/>
          <w:szCs w:val="28"/>
        </w:rPr>
        <w:t xml:space="preserve">per le </w:t>
      </w:r>
      <w:r w:rsidR="00513771" w:rsidRPr="003D58C4">
        <w:rPr>
          <w:sz w:val="28"/>
          <w:szCs w:val="28"/>
        </w:rPr>
        <w:t xml:space="preserve">generazioni più giovani di magistrati, aumenti la tendenza alla </w:t>
      </w:r>
      <w:r w:rsidR="005B6A41" w:rsidRPr="003D58C4">
        <w:rPr>
          <w:sz w:val="28"/>
          <w:szCs w:val="28"/>
        </w:rPr>
        <w:t>soggettivizzazione</w:t>
      </w:r>
      <w:r w:rsidR="00513771" w:rsidRPr="003D58C4">
        <w:rPr>
          <w:sz w:val="28"/>
          <w:szCs w:val="28"/>
        </w:rPr>
        <w:t xml:space="preserve"> </w:t>
      </w:r>
      <w:r w:rsidR="005B6A41">
        <w:rPr>
          <w:sz w:val="28"/>
          <w:szCs w:val="28"/>
        </w:rPr>
        <w:t>stilistica</w:t>
      </w:r>
      <w:r w:rsidR="00513771" w:rsidRPr="003D58C4">
        <w:rPr>
          <w:sz w:val="28"/>
          <w:szCs w:val="28"/>
        </w:rPr>
        <w:t xml:space="preserve">, talvolta </w:t>
      </w:r>
      <w:r w:rsidR="002548F8">
        <w:rPr>
          <w:sz w:val="28"/>
          <w:szCs w:val="28"/>
        </w:rPr>
        <w:t xml:space="preserve">portata </w:t>
      </w:r>
      <w:r w:rsidR="0025640C">
        <w:rPr>
          <w:sz w:val="28"/>
          <w:szCs w:val="28"/>
        </w:rPr>
        <w:t xml:space="preserve">fino </w:t>
      </w:r>
      <w:r w:rsidR="00513771" w:rsidRPr="003D58C4">
        <w:rPr>
          <w:sz w:val="28"/>
          <w:szCs w:val="28"/>
        </w:rPr>
        <w:t>alla detecnicizzazione</w:t>
      </w:r>
      <w:r w:rsidR="005B6A41">
        <w:rPr>
          <w:sz w:val="28"/>
          <w:szCs w:val="28"/>
        </w:rPr>
        <w:t xml:space="preserve"> del registro linguistico</w:t>
      </w:r>
      <w:r w:rsidR="00513771" w:rsidRPr="003D58C4">
        <w:rPr>
          <w:sz w:val="28"/>
          <w:szCs w:val="28"/>
        </w:rPr>
        <w:t>.</w:t>
      </w:r>
    </w:p>
    <w:p w:rsidR="00513771" w:rsidRPr="003D58C4" w:rsidRDefault="00513771" w:rsidP="00513771">
      <w:pPr>
        <w:ind w:firstLine="708"/>
        <w:jc w:val="both"/>
        <w:rPr>
          <w:sz w:val="28"/>
          <w:szCs w:val="28"/>
        </w:rPr>
      </w:pPr>
      <w:r w:rsidRPr="003D58C4">
        <w:rPr>
          <w:sz w:val="28"/>
          <w:szCs w:val="28"/>
        </w:rPr>
        <w:t xml:space="preserve">Al tempo stesso, </w:t>
      </w:r>
      <w:r w:rsidR="0025640C">
        <w:rPr>
          <w:sz w:val="28"/>
          <w:szCs w:val="28"/>
        </w:rPr>
        <w:t xml:space="preserve">resta </w:t>
      </w:r>
      <w:r w:rsidR="00827F88">
        <w:rPr>
          <w:sz w:val="28"/>
          <w:szCs w:val="28"/>
        </w:rPr>
        <w:t>pur vero che</w:t>
      </w:r>
      <w:r w:rsidRPr="003D58C4">
        <w:rPr>
          <w:sz w:val="28"/>
          <w:szCs w:val="28"/>
        </w:rPr>
        <w:t xml:space="preserve"> nello </w:t>
      </w:r>
      <w:r w:rsidR="00DF4864">
        <w:rPr>
          <w:sz w:val="28"/>
          <w:szCs w:val="28"/>
        </w:rPr>
        <w:t xml:space="preserve">stile </w:t>
      </w:r>
      <w:r w:rsidR="00F309AB" w:rsidRPr="00F309AB">
        <w:rPr>
          <w:sz w:val="28"/>
          <w:szCs w:val="28"/>
        </w:rPr>
        <w:t>espositivo</w:t>
      </w:r>
      <w:r w:rsidR="00F309AB">
        <w:rPr>
          <w:i/>
          <w:sz w:val="28"/>
          <w:szCs w:val="28"/>
        </w:rPr>
        <w:t xml:space="preserve"> </w:t>
      </w:r>
      <w:r w:rsidR="00F309AB">
        <w:rPr>
          <w:sz w:val="28"/>
          <w:szCs w:val="28"/>
        </w:rPr>
        <w:t xml:space="preserve">del </w:t>
      </w:r>
      <w:r w:rsidRPr="00115823">
        <w:rPr>
          <w:sz w:val="28"/>
          <w:szCs w:val="28"/>
        </w:rPr>
        <w:t>ragionamento giuridico</w:t>
      </w:r>
      <w:r w:rsidRPr="003D58C4">
        <w:rPr>
          <w:i/>
          <w:sz w:val="28"/>
          <w:szCs w:val="28"/>
        </w:rPr>
        <w:t xml:space="preserve"> </w:t>
      </w:r>
      <w:r w:rsidR="00F309AB">
        <w:rPr>
          <w:sz w:val="28"/>
          <w:szCs w:val="28"/>
        </w:rPr>
        <w:t xml:space="preserve">e </w:t>
      </w:r>
      <w:r w:rsidRPr="00F309AB">
        <w:rPr>
          <w:sz w:val="28"/>
          <w:szCs w:val="28"/>
        </w:rPr>
        <w:t>del</w:t>
      </w:r>
      <w:r w:rsidRPr="003D58C4">
        <w:rPr>
          <w:i/>
          <w:sz w:val="28"/>
          <w:szCs w:val="28"/>
        </w:rPr>
        <w:t xml:space="preserve"> </w:t>
      </w:r>
      <w:r w:rsidR="003D58C4" w:rsidRPr="003D58C4">
        <w:rPr>
          <w:i/>
          <w:sz w:val="28"/>
          <w:szCs w:val="28"/>
        </w:rPr>
        <w:t>sillogismo</w:t>
      </w:r>
      <w:r w:rsidRPr="003D58C4">
        <w:rPr>
          <w:i/>
          <w:sz w:val="28"/>
          <w:szCs w:val="28"/>
        </w:rPr>
        <w:t xml:space="preserve"> giuridico</w:t>
      </w:r>
      <w:r w:rsidRPr="003D58C4">
        <w:rPr>
          <w:sz w:val="28"/>
          <w:szCs w:val="28"/>
        </w:rPr>
        <w:t xml:space="preserve">, oggetto </w:t>
      </w:r>
      <w:r w:rsidR="00F309AB">
        <w:rPr>
          <w:sz w:val="28"/>
          <w:szCs w:val="28"/>
        </w:rPr>
        <w:t xml:space="preserve">precipuo </w:t>
      </w:r>
      <w:r w:rsidRPr="003D58C4">
        <w:rPr>
          <w:sz w:val="28"/>
          <w:szCs w:val="28"/>
        </w:rPr>
        <w:t xml:space="preserve">della motivazione, </w:t>
      </w:r>
      <w:r w:rsidR="00827F88" w:rsidRPr="003D58C4">
        <w:rPr>
          <w:sz w:val="28"/>
          <w:szCs w:val="28"/>
        </w:rPr>
        <w:t xml:space="preserve">resta difficile </w:t>
      </w:r>
      <w:r w:rsidRPr="003D58C4">
        <w:rPr>
          <w:sz w:val="28"/>
          <w:szCs w:val="28"/>
        </w:rPr>
        <w:t xml:space="preserve">la distinzione tra </w:t>
      </w:r>
      <w:r w:rsidRPr="00D1062B">
        <w:rPr>
          <w:sz w:val="28"/>
          <w:szCs w:val="28"/>
        </w:rPr>
        <w:t xml:space="preserve">contenuto e </w:t>
      </w:r>
      <w:r w:rsidR="00DF4864" w:rsidRPr="00D1062B">
        <w:rPr>
          <w:sz w:val="28"/>
          <w:szCs w:val="28"/>
        </w:rPr>
        <w:t>modo</w:t>
      </w:r>
      <w:r w:rsidRPr="00D1062B">
        <w:rPr>
          <w:sz w:val="28"/>
          <w:szCs w:val="28"/>
        </w:rPr>
        <w:t xml:space="preserve"> redazionale.</w:t>
      </w:r>
      <w:r w:rsidRPr="003D58C4">
        <w:rPr>
          <w:sz w:val="28"/>
          <w:szCs w:val="28"/>
        </w:rPr>
        <w:t xml:space="preserve"> </w:t>
      </w:r>
      <w:r w:rsidR="00D1062B">
        <w:rPr>
          <w:sz w:val="28"/>
          <w:szCs w:val="28"/>
        </w:rPr>
        <w:t>O</w:t>
      </w:r>
      <w:r w:rsidRPr="003D58C4">
        <w:rPr>
          <w:sz w:val="28"/>
          <w:szCs w:val="28"/>
        </w:rPr>
        <w:t xml:space="preserve">ccorre </w:t>
      </w:r>
      <w:r w:rsidR="00D1062B">
        <w:rPr>
          <w:sz w:val="28"/>
          <w:szCs w:val="28"/>
        </w:rPr>
        <w:t xml:space="preserve">poi </w:t>
      </w:r>
      <w:r w:rsidRPr="003D58C4">
        <w:rPr>
          <w:sz w:val="28"/>
          <w:szCs w:val="28"/>
        </w:rPr>
        <w:t>intender</w:t>
      </w:r>
      <w:r w:rsidR="0025640C">
        <w:rPr>
          <w:sz w:val="28"/>
          <w:szCs w:val="28"/>
        </w:rPr>
        <w:t xml:space="preserve">si sulla </w:t>
      </w:r>
      <w:r w:rsidR="00827F88">
        <w:rPr>
          <w:sz w:val="28"/>
          <w:szCs w:val="28"/>
        </w:rPr>
        <w:t>terminologia</w:t>
      </w:r>
      <w:r w:rsidRPr="003D58C4">
        <w:rPr>
          <w:sz w:val="28"/>
          <w:szCs w:val="28"/>
        </w:rPr>
        <w:t>: a rigore</w:t>
      </w:r>
      <w:r w:rsidR="00DF4864">
        <w:rPr>
          <w:sz w:val="28"/>
          <w:szCs w:val="28"/>
        </w:rPr>
        <w:t>, infatti</w:t>
      </w:r>
      <w:r w:rsidRPr="003D58C4">
        <w:rPr>
          <w:sz w:val="28"/>
          <w:szCs w:val="28"/>
        </w:rPr>
        <w:t xml:space="preserve">, il </w:t>
      </w:r>
      <w:r w:rsidRPr="003D58C4">
        <w:rPr>
          <w:i/>
          <w:sz w:val="28"/>
          <w:szCs w:val="28"/>
        </w:rPr>
        <w:t>linguaggio</w:t>
      </w:r>
      <w:r w:rsidRPr="003D58C4">
        <w:rPr>
          <w:sz w:val="28"/>
          <w:szCs w:val="28"/>
        </w:rPr>
        <w:t xml:space="preserve"> riguarda gli aspetti lessicali (l’uso di termini tecnici)</w:t>
      </w:r>
      <w:r w:rsidR="0025640C">
        <w:rPr>
          <w:sz w:val="28"/>
          <w:szCs w:val="28"/>
        </w:rPr>
        <w:t>;</w:t>
      </w:r>
      <w:r w:rsidRPr="003D58C4">
        <w:rPr>
          <w:sz w:val="28"/>
          <w:szCs w:val="28"/>
        </w:rPr>
        <w:t xml:space="preserve"> </w:t>
      </w:r>
      <w:r w:rsidR="00DF4864">
        <w:rPr>
          <w:sz w:val="28"/>
          <w:szCs w:val="28"/>
        </w:rPr>
        <w:t xml:space="preserve">è </w:t>
      </w:r>
      <w:r w:rsidRPr="003D58C4">
        <w:rPr>
          <w:sz w:val="28"/>
          <w:szCs w:val="28"/>
        </w:rPr>
        <w:t xml:space="preserve">il </w:t>
      </w:r>
      <w:r w:rsidRPr="003D58C4">
        <w:rPr>
          <w:i/>
          <w:sz w:val="28"/>
          <w:szCs w:val="28"/>
        </w:rPr>
        <w:t>piano del discorso</w:t>
      </w:r>
      <w:r w:rsidRPr="003D58C4">
        <w:rPr>
          <w:sz w:val="28"/>
          <w:szCs w:val="28"/>
        </w:rPr>
        <w:t xml:space="preserve"> a concernere l’impostazione e la</w:t>
      </w:r>
      <w:r w:rsidR="0025640C">
        <w:rPr>
          <w:sz w:val="28"/>
          <w:szCs w:val="28"/>
        </w:rPr>
        <w:t xml:space="preserve"> morfologia della comunicazione</w:t>
      </w:r>
      <w:r w:rsidRPr="003D58C4">
        <w:rPr>
          <w:sz w:val="28"/>
          <w:szCs w:val="28"/>
        </w:rPr>
        <w:t xml:space="preserve"> che caratterizzano il testo della decisione (di volta in vol</w:t>
      </w:r>
      <w:r w:rsidR="0025640C">
        <w:rPr>
          <w:sz w:val="28"/>
          <w:szCs w:val="28"/>
        </w:rPr>
        <w:t>t</w:t>
      </w:r>
      <w:r w:rsidRPr="003D58C4">
        <w:rPr>
          <w:sz w:val="28"/>
          <w:szCs w:val="28"/>
        </w:rPr>
        <w:t>a chiaro, complesso, argomentativo</w:t>
      </w:r>
      <w:r w:rsidR="00827F88">
        <w:rPr>
          <w:sz w:val="28"/>
          <w:szCs w:val="28"/>
        </w:rPr>
        <w:t>,</w:t>
      </w:r>
      <w:r w:rsidRPr="003D58C4">
        <w:rPr>
          <w:sz w:val="28"/>
          <w:szCs w:val="28"/>
        </w:rPr>
        <w:t xml:space="preserve"> ecc.)</w:t>
      </w:r>
      <w:r w:rsidRPr="003D58C4">
        <w:rPr>
          <w:rStyle w:val="FootnoteReference"/>
          <w:sz w:val="28"/>
          <w:szCs w:val="28"/>
        </w:rPr>
        <w:footnoteReference w:id="31"/>
      </w:r>
      <w:r w:rsidRPr="003D58C4">
        <w:rPr>
          <w:sz w:val="28"/>
          <w:szCs w:val="28"/>
        </w:rPr>
        <w:t>.</w:t>
      </w:r>
    </w:p>
    <w:p w:rsidR="00F309AB" w:rsidRPr="003D58C4" w:rsidRDefault="00513771" w:rsidP="00513771">
      <w:pPr>
        <w:ind w:firstLine="708"/>
        <w:jc w:val="both"/>
        <w:rPr>
          <w:sz w:val="28"/>
          <w:szCs w:val="28"/>
        </w:rPr>
      </w:pPr>
      <w:r w:rsidRPr="003D58C4">
        <w:rPr>
          <w:sz w:val="28"/>
          <w:szCs w:val="28"/>
        </w:rPr>
        <w:t xml:space="preserve">Naturalmente, </w:t>
      </w:r>
      <w:r w:rsidR="00115823">
        <w:rPr>
          <w:sz w:val="28"/>
          <w:szCs w:val="28"/>
        </w:rPr>
        <w:t xml:space="preserve">perciò, </w:t>
      </w:r>
      <w:r w:rsidRPr="003D58C4">
        <w:rPr>
          <w:sz w:val="28"/>
          <w:szCs w:val="28"/>
        </w:rPr>
        <w:t xml:space="preserve">ben possono esservi elementi </w:t>
      </w:r>
      <w:r w:rsidR="0025640C">
        <w:rPr>
          <w:sz w:val="28"/>
          <w:szCs w:val="28"/>
        </w:rPr>
        <w:t>meramente</w:t>
      </w:r>
      <w:r w:rsidRPr="003D58C4">
        <w:rPr>
          <w:sz w:val="28"/>
          <w:szCs w:val="28"/>
        </w:rPr>
        <w:t xml:space="preserve"> </w:t>
      </w:r>
      <w:r w:rsidRPr="0025640C">
        <w:rPr>
          <w:sz w:val="28"/>
          <w:szCs w:val="28"/>
        </w:rPr>
        <w:t>stilistici</w:t>
      </w:r>
      <w:r w:rsidR="00F309AB" w:rsidRPr="0025640C">
        <w:rPr>
          <w:sz w:val="28"/>
          <w:szCs w:val="28"/>
        </w:rPr>
        <w:t>,</w:t>
      </w:r>
      <w:r w:rsidR="00F309AB">
        <w:rPr>
          <w:sz w:val="28"/>
          <w:szCs w:val="28"/>
        </w:rPr>
        <w:t xml:space="preserve"> e come tali</w:t>
      </w:r>
      <w:r w:rsidRPr="003D58C4">
        <w:rPr>
          <w:sz w:val="28"/>
          <w:szCs w:val="28"/>
        </w:rPr>
        <w:t xml:space="preserve"> vanno considerati</w:t>
      </w:r>
      <w:r w:rsidR="00115823">
        <w:rPr>
          <w:sz w:val="28"/>
          <w:szCs w:val="28"/>
        </w:rPr>
        <w:t xml:space="preserve"> e </w:t>
      </w:r>
      <w:r w:rsidR="00827F88">
        <w:rPr>
          <w:sz w:val="28"/>
          <w:szCs w:val="28"/>
        </w:rPr>
        <w:t>contenuti</w:t>
      </w:r>
      <w:r w:rsidRPr="003D58C4">
        <w:rPr>
          <w:sz w:val="28"/>
          <w:szCs w:val="28"/>
        </w:rPr>
        <w:t xml:space="preserve">. </w:t>
      </w:r>
      <w:r w:rsidR="00F309AB">
        <w:rPr>
          <w:sz w:val="28"/>
          <w:szCs w:val="28"/>
        </w:rPr>
        <w:t xml:space="preserve">Sta </w:t>
      </w:r>
      <w:r w:rsidR="00D1062B">
        <w:rPr>
          <w:sz w:val="28"/>
          <w:szCs w:val="28"/>
        </w:rPr>
        <w:t xml:space="preserve">però </w:t>
      </w:r>
      <w:r w:rsidR="00F309AB">
        <w:rPr>
          <w:sz w:val="28"/>
          <w:szCs w:val="28"/>
        </w:rPr>
        <w:t xml:space="preserve">all’intelligenza dell’estensore cogliere </w:t>
      </w:r>
      <w:r w:rsidR="00D1062B">
        <w:rPr>
          <w:sz w:val="28"/>
          <w:szCs w:val="28"/>
        </w:rPr>
        <w:t xml:space="preserve">il luogo della </w:t>
      </w:r>
      <w:r w:rsidR="00F309AB">
        <w:rPr>
          <w:sz w:val="28"/>
          <w:szCs w:val="28"/>
        </w:rPr>
        <w:t>distinzione e trarne le dovute conseguenze.</w:t>
      </w:r>
    </w:p>
    <w:p w:rsidR="00513771" w:rsidRPr="003D58C4" w:rsidRDefault="00513771" w:rsidP="00513771">
      <w:pPr>
        <w:jc w:val="both"/>
        <w:rPr>
          <w:sz w:val="28"/>
          <w:szCs w:val="28"/>
        </w:rPr>
      </w:pPr>
    </w:p>
    <w:p w:rsidR="00513771" w:rsidRPr="003D58C4" w:rsidRDefault="00513771" w:rsidP="00513771">
      <w:pPr>
        <w:jc w:val="center"/>
        <w:rPr>
          <w:sz w:val="28"/>
          <w:szCs w:val="28"/>
        </w:rPr>
      </w:pPr>
      <w:r w:rsidRPr="003D58C4">
        <w:rPr>
          <w:sz w:val="28"/>
          <w:szCs w:val="28"/>
        </w:rPr>
        <w:t>V</w:t>
      </w:r>
    </w:p>
    <w:p w:rsidR="00513771" w:rsidRPr="003D58C4" w:rsidRDefault="00513771" w:rsidP="00513771">
      <w:pPr>
        <w:ind w:firstLine="708"/>
        <w:jc w:val="both"/>
        <w:rPr>
          <w:sz w:val="28"/>
          <w:szCs w:val="28"/>
        </w:rPr>
      </w:pPr>
      <w:r w:rsidRPr="003D58C4">
        <w:rPr>
          <w:sz w:val="28"/>
          <w:szCs w:val="28"/>
        </w:rPr>
        <w:t xml:space="preserve">Si conclude qui </w:t>
      </w:r>
      <w:r w:rsidR="005279AA">
        <w:rPr>
          <w:sz w:val="28"/>
          <w:szCs w:val="28"/>
        </w:rPr>
        <w:t>suggerendo</w:t>
      </w:r>
      <w:r w:rsidRPr="003D58C4">
        <w:rPr>
          <w:sz w:val="28"/>
          <w:szCs w:val="28"/>
        </w:rPr>
        <w:t xml:space="preserve">, ad uso pratico, alcuni </w:t>
      </w:r>
      <w:r w:rsidRPr="003D58C4">
        <w:rPr>
          <w:i/>
          <w:sz w:val="28"/>
          <w:szCs w:val="28"/>
        </w:rPr>
        <w:t>canoni stilistici</w:t>
      </w:r>
      <w:r w:rsidRPr="003D58C4">
        <w:rPr>
          <w:sz w:val="28"/>
          <w:szCs w:val="28"/>
        </w:rPr>
        <w:t xml:space="preserve"> che </w:t>
      </w:r>
      <w:r w:rsidR="005421D7">
        <w:rPr>
          <w:sz w:val="28"/>
          <w:szCs w:val="28"/>
        </w:rPr>
        <w:t xml:space="preserve">– in base a quanto finora detto - </w:t>
      </w:r>
      <w:r w:rsidRPr="003D58C4">
        <w:rPr>
          <w:sz w:val="28"/>
          <w:szCs w:val="28"/>
        </w:rPr>
        <w:t>pare opportuno considerare nella stesura dei provvedimenti</w:t>
      </w:r>
      <w:r w:rsidRPr="003D58C4">
        <w:rPr>
          <w:rStyle w:val="FootnoteReference"/>
          <w:sz w:val="28"/>
          <w:szCs w:val="28"/>
        </w:rPr>
        <w:footnoteReference w:id="32"/>
      </w:r>
      <w:r w:rsidRPr="003D58C4">
        <w:rPr>
          <w:sz w:val="28"/>
          <w:szCs w:val="28"/>
        </w:rPr>
        <w:t>.</w:t>
      </w:r>
    </w:p>
    <w:p w:rsidR="003131B5" w:rsidRDefault="003131B5" w:rsidP="00513771">
      <w:pPr>
        <w:ind w:firstLine="708"/>
        <w:jc w:val="both"/>
        <w:rPr>
          <w:sz w:val="28"/>
          <w:szCs w:val="28"/>
        </w:rPr>
      </w:pPr>
      <w:r>
        <w:rPr>
          <w:sz w:val="28"/>
          <w:szCs w:val="28"/>
        </w:rPr>
        <w:t>Anzitutto: rammentare sempre che ufficio del giudice, a differenza dell’avvocato, non è l’</w:t>
      </w:r>
      <w:r w:rsidRPr="003131B5">
        <w:rPr>
          <w:i/>
          <w:sz w:val="28"/>
          <w:szCs w:val="28"/>
        </w:rPr>
        <w:t>argomentazione</w:t>
      </w:r>
      <w:r>
        <w:rPr>
          <w:sz w:val="28"/>
          <w:szCs w:val="28"/>
        </w:rPr>
        <w:t xml:space="preserve"> (logica frammista a retorica, per convincere o persuadere) </w:t>
      </w:r>
      <w:r w:rsidR="00D1062B">
        <w:rPr>
          <w:sz w:val="28"/>
          <w:szCs w:val="28"/>
        </w:rPr>
        <w:t xml:space="preserve">per il decidere </w:t>
      </w:r>
      <w:r>
        <w:rPr>
          <w:sz w:val="28"/>
          <w:szCs w:val="28"/>
        </w:rPr>
        <w:t xml:space="preserve">ma la </w:t>
      </w:r>
      <w:r w:rsidRPr="003131B5">
        <w:rPr>
          <w:i/>
          <w:sz w:val="28"/>
          <w:szCs w:val="28"/>
        </w:rPr>
        <w:t>dimostrazione</w:t>
      </w:r>
      <w:r>
        <w:rPr>
          <w:sz w:val="28"/>
          <w:szCs w:val="28"/>
        </w:rPr>
        <w:t xml:space="preserve"> (logica, per spiegare)</w:t>
      </w:r>
      <w:r w:rsidR="00D1062B">
        <w:rPr>
          <w:sz w:val="28"/>
          <w:szCs w:val="28"/>
        </w:rPr>
        <w:t xml:space="preserve"> del deciso</w:t>
      </w:r>
      <w:r w:rsidRPr="003D58C4">
        <w:rPr>
          <w:rStyle w:val="FootnoteReference"/>
          <w:sz w:val="28"/>
          <w:szCs w:val="28"/>
        </w:rPr>
        <w:footnoteReference w:id="33"/>
      </w:r>
      <w:r>
        <w:rPr>
          <w:sz w:val="28"/>
          <w:szCs w:val="28"/>
        </w:rPr>
        <w:t>. Per</w:t>
      </w:r>
      <w:r w:rsidR="00FC65D5">
        <w:rPr>
          <w:sz w:val="28"/>
          <w:szCs w:val="28"/>
        </w:rPr>
        <w:t>ciò</w:t>
      </w:r>
      <w:r>
        <w:rPr>
          <w:sz w:val="28"/>
          <w:szCs w:val="28"/>
        </w:rPr>
        <w:t xml:space="preserve"> la redazione della motivazione va prosciugata da</w:t>
      </w:r>
      <w:r w:rsidR="00D1062B">
        <w:rPr>
          <w:sz w:val="28"/>
          <w:szCs w:val="28"/>
        </w:rPr>
        <w:t>l modo</w:t>
      </w:r>
      <w:r>
        <w:rPr>
          <w:sz w:val="28"/>
          <w:szCs w:val="28"/>
        </w:rPr>
        <w:t xml:space="preserve"> </w:t>
      </w:r>
      <w:r w:rsidRPr="00D1062B">
        <w:rPr>
          <w:sz w:val="28"/>
          <w:szCs w:val="28"/>
        </w:rPr>
        <w:t>argomentativo.</w:t>
      </w:r>
    </w:p>
    <w:p w:rsidR="005421D7" w:rsidRDefault="003131B5" w:rsidP="00513771">
      <w:pPr>
        <w:ind w:firstLine="708"/>
        <w:jc w:val="both"/>
        <w:rPr>
          <w:sz w:val="28"/>
          <w:szCs w:val="28"/>
        </w:rPr>
      </w:pPr>
      <w:r>
        <w:rPr>
          <w:sz w:val="28"/>
          <w:szCs w:val="28"/>
        </w:rPr>
        <w:t>E poi</w:t>
      </w:r>
      <w:r w:rsidR="00513771" w:rsidRPr="003D58C4">
        <w:rPr>
          <w:sz w:val="28"/>
          <w:szCs w:val="28"/>
        </w:rPr>
        <w:t xml:space="preserve">: rispettare anzitutto il </w:t>
      </w:r>
      <w:r w:rsidR="00B6378B">
        <w:rPr>
          <w:sz w:val="28"/>
          <w:szCs w:val="28"/>
        </w:rPr>
        <w:t>precetto</w:t>
      </w:r>
      <w:r w:rsidR="00513771" w:rsidRPr="003D58C4">
        <w:rPr>
          <w:sz w:val="28"/>
          <w:szCs w:val="28"/>
        </w:rPr>
        <w:t xml:space="preserve"> di </w:t>
      </w:r>
      <w:r w:rsidR="00513771" w:rsidRPr="003D58C4">
        <w:rPr>
          <w:i/>
          <w:sz w:val="28"/>
          <w:szCs w:val="28"/>
        </w:rPr>
        <w:t>sinteticità</w:t>
      </w:r>
      <w:r w:rsidR="00513771" w:rsidRPr="003D58C4">
        <w:rPr>
          <w:sz w:val="28"/>
          <w:szCs w:val="28"/>
        </w:rPr>
        <w:t xml:space="preserve">, cioè di </w:t>
      </w:r>
      <w:r w:rsidR="00513771" w:rsidRPr="003D58C4">
        <w:rPr>
          <w:i/>
          <w:sz w:val="28"/>
          <w:szCs w:val="28"/>
        </w:rPr>
        <w:t>concisione</w:t>
      </w:r>
      <w:r w:rsidR="00513771" w:rsidRPr="003D58C4">
        <w:rPr>
          <w:sz w:val="28"/>
          <w:szCs w:val="28"/>
        </w:rPr>
        <w:t xml:space="preserve">, </w:t>
      </w:r>
      <w:r w:rsidR="005421D7">
        <w:rPr>
          <w:sz w:val="28"/>
          <w:szCs w:val="28"/>
        </w:rPr>
        <w:t xml:space="preserve">sempre ricordando </w:t>
      </w:r>
      <w:r w:rsidR="00513771" w:rsidRPr="003D58C4">
        <w:rPr>
          <w:sz w:val="28"/>
          <w:szCs w:val="28"/>
        </w:rPr>
        <w:t xml:space="preserve">che per l’art. 3 Cod. proc. amm. </w:t>
      </w:r>
      <w:r w:rsidR="00D1062B">
        <w:rPr>
          <w:sz w:val="28"/>
          <w:szCs w:val="28"/>
        </w:rPr>
        <w:t xml:space="preserve">esso </w:t>
      </w:r>
      <w:r w:rsidR="00513771" w:rsidRPr="003D58C4">
        <w:rPr>
          <w:sz w:val="28"/>
          <w:szCs w:val="28"/>
        </w:rPr>
        <w:t>grava anche sul giudice</w:t>
      </w:r>
      <w:r w:rsidR="00513771" w:rsidRPr="005421D7">
        <w:rPr>
          <w:rStyle w:val="FootnoteReference"/>
          <w:sz w:val="28"/>
          <w:szCs w:val="28"/>
        </w:rPr>
        <w:footnoteReference w:id="34"/>
      </w:r>
      <w:r w:rsidR="00513771" w:rsidRPr="005421D7">
        <w:rPr>
          <w:sz w:val="28"/>
          <w:szCs w:val="28"/>
        </w:rPr>
        <w:t xml:space="preserve">. </w:t>
      </w:r>
      <w:r w:rsidR="005421D7">
        <w:rPr>
          <w:sz w:val="28"/>
          <w:szCs w:val="28"/>
        </w:rPr>
        <w:t xml:space="preserve">La circostanza che il </w:t>
      </w:r>
      <w:r w:rsidR="005421D7" w:rsidRPr="003D58C4">
        <w:rPr>
          <w:sz w:val="28"/>
          <w:szCs w:val="28"/>
        </w:rPr>
        <w:t>decreto del Presidente del Consiglio di Stato 22 dicembre 2016 (</w:t>
      </w:r>
      <w:r w:rsidR="005421D7" w:rsidRPr="003D58C4">
        <w:rPr>
          <w:bCs/>
          <w:i/>
          <w:sz w:val="28"/>
          <w:szCs w:val="28"/>
        </w:rPr>
        <w:t>Disciplina dei criteri di redazione e dei limiti dimensionali dei ricorsi e degli altri atti difensivi nel processo amministrativo</w:t>
      </w:r>
      <w:r w:rsidR="005421D7" w:rsidRPr="003D58C4">
        <w:rPr>
          <w:sz w:val="28"/>
          <w:szCs w:val="28"/>
        </w:rPr>
        <w:t xml:space="preserve">) </w:t>
      </w:r>
      <w:r w:rsidR="005421D7">
        <w:rPr>
          <w:sz w:val="28"/>
          <w:szCs w:val="28"/>
        </w:rPr>
        <w:t xml:space="preserve">concerna solo gli atti di parte, non </w:t>
      </w:r>
      <w:r w:rsidR="00D1062B">
        <w:rPr>
          <w:sz w:val="28"/>
          <w:szCs w:val="28"/>
        </w:rPr>
        <w:t xml:space="preserve">degrada per il giudice il precetto a suggerimento e non lo esime </w:t>
      </w:r>
      <w:r w:rsidR="005421D7">
        <w:rPr>
          <w:sz w:val="28"/>
          <w:szCs w:val="28"/>
        </w:rPr>
        <w:t xml:space="preserve">dal </w:t>
      </w:r>
      <w:r w:rsidR="00D1062B">
        <w:rPr>
          <w:sz w:val="28"/>
          <w:szCs w:val="28"/>
        </w:rPr>
        <w:t xml:space="preserve">dovere </w:t>
      </w:r>
      <w:r w:rsidR="007911F1">
        <w:rPr>
          <w:sz w:val="28"/>
          <w:szCs w:val="28"/>
        </w:rPr>
        <w:t xml:space="preserve">di </w:t>
      </w:r>
      <w:r w:rsidR="007911F1" w:rsidRPr="007911F1">
        <w:rPr>
          <w:i/>
          <w:sz w:val="28"/>
          <w:szCs w:val="28"/>
        </w:rPr>
        <w:t>sinteticità</w:t>
      </w:r>
      <w:r w:rsidR="005421D7">
        <w:rPr>
          <w:sz w:val="28"/>
          <w:szCs w:val="28"/>
        </w:rPr>
        <w:t xml:space="preserve">, pur in assenza di quelle </w:t>
      </w:r>
      <w:r w:rsidR="00D1062B">
        <w:rPr>
          <w:sz w:val="28"/>
          <w:szCs w:val="28"/>
        </w:rPr>
        <w:t xml:space="preserve">regole </w:t>
      </w:r>
      <w:r w:rsidR="005421D7">
        <w:rPr>
          <w:sz w:val="28"/>
          <w:szCs w:val="28"/>
        </w:rPr>
        <w:t>analitiche</w:t>
      </w:r>
      <w:r w:rsidR="007911F1">
        <w:rPr>
          <w:sz w:val="28"/>
          <w:szCs w:val="28"/>
        </w:rPr>
        <w:t xml:space="preserve">: </w:t>
      </w:r>
      <w:r w:rsidR="00D1062B">
        <w:rPr>
          <w:sz w:val="28"/>
          <w:szCs w:val="28"/>
        </w:rPr>
        <w:t>com</w:t>
      </w:r>
      <w:r w:rsidR="007911F1">
        <w:rPr>
          <w:sz w:val="28"/>
          <w:szCs w:val="28"/>
        </w:rPr>
        <w:t>e</w:t>
      </w:r>
      <w:r w:rsidR="00D1062B">
        <w:rPr>
          <w:sz w:val="28"/>
          <w:szCs w:val="28"/>
        </w:rPr>
        <w:t xml:space="preserve"> al rispetto</w:t>
      </w:r>
      <w:r w:rsidR="007911F1">
        <w:rPr>
          <w:sz w:val="28"/>
          <w:szCs w:val="28"/>
        </w:rPr>
        <w:t xml:space="preserve">, insieme a quello, del parallelo </w:t>
      </w:r>
      <w:r w:rsidR="00D1062B">
        <w:rPr>
          <w:sz w:val="28"/>
          <w:szCs w:val="28"/>
        </w:rPr>
        <w:t xml:space="preserve">e complementare dovere </w:t>
      </w:r>
      <w:r w:rsidR="007911F1">
        <w:rPr>
          <w:sz w:val="28"/>
          <w:szCs w:val="28"/>
        </w:rPr>
        <w:t xml:space="preserve">di </w:t>
      </w:r>
      <w:r w:rsidR="007911F1" w:rsidRPr="007911F1">
        <w:rPr>
          <w:i/>
          <w:sz w:val="28"/>
          <w:szCs w:val="28"/>
        </w:rPr>
        <w:t>chiarezza</w:t>
      </w:r>
      <w:r w:rsidR="00D1062B">
        <w:rPr>
          <w:sz w:val="28"/>
          <w:szCs w:val="28"/>
        </w:rPr>
        <w:t xml:space="preserve"> di cui si è detto.</w:t>
      </w:r>
    </w:p>
    <w:p w:rsidR="005421D7" w:rsidRDefault="00513771" w:rsidP="00513771">
      <w:pPr>
        <w:ind w:firstLine="708"/>
        <w:jc w:val="both"/>
        <w:rPr>
          <w:sz w:val="28"/>
          <w:szCs w:val="28"/>
        </w:rPr>
      </w:pPr>
      <w:r w:rsidRPr="003D58C4">
        <w:rPr>
          <w:sz w:val="28"/>
          <w:szCs w:val="28"/>
        </w:rPr>
        <w:t xml:space="preserve">Rifarsi per quanto possibile alle </w:t>
      </w:r>
      <w:r w:rsidR="005421D7">
        <w:rPr>
          <w:sz w:val="28"/>
          <w:szCs w:val="28"/>
        </w:rPr>
        <w:t xml:space="preserve">raccomandazioni contenute nelle </w:t>
      </w:r>
      <w:r w:rsidRPr="003D58C4">
        <w:rPr>
          <w:bCs/>
          <w:sz w:val="28"/>
          <w:szCs w:val="28"/>
        </w:rPr>
        <w:t xml:space="preserve">Circolari del Presidente del Senato e del Presidente della Camera dei deputati </w:t>
      </w:r>
      <w:r w:rsidRPr="003D58C4">
        <w:rPr>
          <w:sz w:val="28"/>
          <w:szCs w:val="28"/>
        </w:rPr>
        <w:t>20 aprile 2001 (</w:t>
      </w:r>
      <w:r w:rsidRPr="003D58C4">
        <w:rPr>
          <w:i/>
          <w:sz w:val="28"/>
          <w:szCs w:val="28"/>
        </w:rPr>
        <w:t>Regole e raccomandazioni per la formulazione tecnica dei testi legislativi</w:t>
      </w:r>
      <w:r w:rsidRPr="003D58C4">
        <w:rPr>
          <w:sz w:val="28"/>
          <w:szCs w:val="28"/>
        </w:rPr>
        <w:t xml:space="preserve">) e alla conforme </w:t>
      </w:r>
      <w:r w:rsidRPr="003D58C4">
        <w:rPr>
          <w:bCs/>
          <w:sz w:val="28"/>
          <w:szCs w:val="28"/>
        </w:rPr>
        <w:t>Circolare della Presidenza del Consiglio dei Ministri 2 maggio 2001, n. 10888 (</w:t>
      </w:r>
      <w:r w:rsidRPr="003D58C4">
        <w:rPr>
          <w:i/>
          <w:sz w:val="28"/>
          <w:szCs w:val="28"/>
        </w:rPr>
        <w:t>Guida alla redazione dei testi normativi</w:t>
      </w:r>
      <w:r w:rsidRPr="003D58C4">
        <w:rPr>
          <w:sz w:val="28"/>
          <w:szCs w:val="28"/>
        </w:rPr>
        <w:t xml:space="preserve">). </w:t>
      </w:r>
    </w:p>
    <w:p w:rsidR="008F75FC" w:rsidRDefault="00513771" w:rsidP="00513771">
      <w:pPr>
        <w:ind w:firstLine="708"/>
        <w:jc w:val="both"/>
        <w:rPr>
          <w:sz w:val="28"/>
          <w:szCs w:val="28"/>
        </w:rPr>
      </w:pPr>
      <w:r w:rsidRPr="003D58C4">
        <w:rPr>
          <w:sz w:val="28"/>
          <w:szCs w:val="28"/>
        </w:rPr>
        <w:t xml:space="preserve">Perimetrare </w:t>
      </w:r>
      <w:r w:rsidR="008F75FC">
        <w:rPr>
          <w:sz w:val="28"/>
          <w:szCs w:val="28"/>
        </w:rPr>
        <w:t xml:space="preserve">idealmente </w:t>
      </w:r>
      <w:r w:rsidRPr="003D58C4">
        <w:rPr>
          <w:sz w:val="28"/>
          <w:szCs w:val="28"/>
        </w:rPr>
        <w:t xml:space="preserve">la motivazione al </w:t>
      </w:r>
      <w:r w:rsidRPr="003D58C4">
        <w:rPr>
          <w:i/>
          <w:sz w:val="28"/>
          <w:szCs w:val="28"/>
        </w:rPr>
        <w:t>thema decidendum</w:t>
      </w:r>
      <w:r w:rsidR="005421D7">
        <w:rPr>
          <w:sz w:val="28"/>
          <w:szCs w:val="28"/>
        </w:rPr>
        <w:t xml:space="preserve"> e conten</w:t>
      </w:r>
      <w:r w:rsidR="008F75FC">
        <w:rPr>
          <w:sz w:val="28"/>
          <w:szCs w:val="28"/>
        </w:rPr>
        <w:t xml:space="preserve">ersi </w:t>
      </w:r>
      <w:r w:rsidR="00B6378B">
        <w:rPr>
          <w:sz w:val="28"/>
          <w:szCs w:val="28"/>
        </w:rPr>
        <w:t>a</w:t>
      </w:r>
      <w:r w:rsidR="005421D7">
        <w:rPr>
          <w:sz w:val="28"/>
          <w:szCs w:val="28"/>
        </w:rPr>
        <w:t xml:space="preserve">ll’esposizione della </w:t>
      </w:r>
      <w:r w:rsidRPr="003D58C4">
        <w:rPr>
          <w:i/>
          <w:sz w:val="28"/>
          <w:szCs w:val="28"/>
        </w:rPr>
        <w:t>ratio decidendi</w:t>
      </w:r>
      <w:r w:rsidR="005421D7">
        <w:rPr>
          <w:sz w:val="28"/>
          <w:szCs w:val="28"/>
        </w:rPr>
        <w:t xml:space="preserve">: che deve essere </w:t>
      </w:r>
      <w:r w:rsidR="00B75481">
        <w:rPr>
          <w:sz w:val="28"/>
          <w:szCs w:val="28"/>
        </w:rPr>
        <w:t xml:space="preserve">strettamente </w:t>
      </w:r>
      <w:r w:rsidR="005421D7">
        <w:rPr>
          <w:sz w:val="28"/>
          <w:szCs w:val="28"/>
        </w:rPr>
        <w:t xml:space="preserve">funzionale alla </w:t>
      </w:r>
      <w:r w:rsidR="00B75481">
        <w:rPr>
          <w:sz w:val="28"/>
          <w:szCs w:val="28"/>
        </w:rPr>
        <w:t xml:space="preserve">concreta </w:t>
      </w:r>
      <w:r w:rsidR="008F75FC">
        <w:rPr>
          <w:sz w:val="28"/>
          <w:szCs w:val="28"/>
        </w:rPr>
        <w:t>decisione</w:t>
      </w:r>
      <w:r w:rsidR="005421D7">
        <w:rPr>
          <w:sz w:val="28"/>
          <w:szCs w:val="28"/>
        </w:rPr>
        <w:t>.</w:t>
      </w:r>
      <w:r w:rsidRPr="003D58C4">
        <w:rPr>
          <w:sz w:val="28"/>
          <w:szCs w:val="28"/>
        </w:rPr>
        <w:t xml:space="preserve"> Evitare </w:t>
      </w:r>
      <w:r w:rsidR="005421D7">
        <w:rPr>
          <w:sz w:val="28"/>
          <w:szCs w:val="28"/>
        </w:rPr>
        <w:t xml:space="preserve">pertanto </w:t>
      </w:r>
      <w:r w:rsidRPr="003D58C4">
        <w:rPr>
          <w:i/>
          <w:sz w:val="28"/>
          <w:szCs w:val="28"/>
        </w:rPr>
        <w:t>obiter dicta</w:t>
      </w:r>
      <w:r w:rsidR="005421D7">
        <w:rPr>
          <w:sz w:val="28"/>
          <w:szCs w:val="28"/>
        </w:rPr>
        <w:t xml:space="preserve">, </w:t>
      </w:r>
      <w:r w:rsidR="00D1062B">
        <w:rPr>
          <w:sz w:val="28"/>
          <w:szCs w:val="28"/>
        </w:rPr>
        <w:t xml:space="preserve">di principio superflui, </w:t>
      </w:r>
      <w:r w:rsidR="005421D7">
        <w:rPr>
          <w:sz w:val="28"/>
          <w:szCs w:val="28"/>
        </w:rPr>
        <w:t>così come extravag</w:t>
      </w:r>
      <w:r w:rsidR="00D1062B">
        <w:rPr>
          <w:sz w:val="28"/>
          <w:szCs w:val="28"/>
        </w:rPr>
        <w:t>anti dissertazioni in diritto. L</w:t>
      </w:r>
      <w:r w:rsidR="005421D7">
        <w:rPr>
          <w:sz w:val="28"/>
          <w:szCs w:val="28"/>
        </w:rPr>
        <w:t>a sentenza</w:t>
      </w:r>
      <w:r w:rsidR="00B75481">
        <w:rPr>
          <w:sz w:val="28"/>
          <w:szCs w:val="28"/>
        </w:rPr>
        <w:t xml:space="preserve"> -</w:t>
      </w:r>
      <w:r w:rsidR="00E52DF9">
        <w:rPr>
          <w:sz w:val="28"/>
          <w:szCs w:val="28"/>
        </w:rPr>
        <w:t xml:space="preserve"> si </w:t>
      </w:r>
      <w:r w:rsidR="00B75481">
        <w:rPr>
          <w:sz w:val="28"/>
          <w:szCs w:val="28"/>
        </w:rPr>
        <w:t xml:space="preserve">dice </w:t>
      </w:r>
      <w:r w:rsidR="00E52DF9">
        <w:rPr>
          <w:sz w:val="28"/>
          <w:szCs w:val="28"/>
        </w:rPr>
        <w:t>spesso</w:t>
      </w:r>
      <w:r w:rsidR="00B75481">
        <w:rPr>
          <w:sz w:val="28"/>
          <w:szCs w:val="28"/>
        </w:rPr>
        <w:t xml:space="preserve"> -</w:t>
      </w:r>
      <w:r w:rsidR="005421D7">
        <w:rPr>
          <w:sz w:val="28"/>
          <w:szCs w:val="28"/>
        </w:rPr>
        <w:t xml:space="preserve"> non è occasione per </w:t>
      </w:r>
      <w:r w:rsidR="008F75FC">
        <w:rPr>
          <w:sz w:val="28"/>
          <w:szCs w:val="28"/>
        </w:rPr>
        <w:t>tratt</w:t>
      </w:r>
      <w:r w:rsidR="00B6378B">
        <w:rPr>
          <w:sz w:val="28"/>
          <w:szCs w:val="28"/>
        </w:rPr>
        <w:t>atelli</w:t>
      </w:r>
      <w:r w:rsidR="00E52DF9">
        <w:rPr>
          <w:sz w:val="28"/>
          <w:szCs w:val="28"/>
        </w:rPr>
        <w:t>,</w:t>
      </w:r>
      <w:r w:rsidR="00827F88">
        <w:rPr>
          <w:sz w:val="28"/>
          <w:szCs w:val="28"/>
        </w:rPr>
        <w:t xml:space="preserve"> profittarne significa abusare di una posizione</w:t>
      </w:r>
      <w:r w:rsidR="00B6378B">
        <w:rPr>
          <w:sz w:val="28"/>
          <w:szCs w:val="28"/>
        </w:rPr>
        <w:t xml:space="preserve"> privilegiaria per espo</w:t>
      </w:r>
      <w:r w:rsidR="00827F88">
        <w:rPr>
          <w:sz w:val="28"/>
          <w:szCs w:val="28"/>
        </w:rPr>
        <w:t>r</w:t>
      </w:r>
      <w:r w:rsidR="00E52DF9">
        <w:rPr>
          <w:sz w:val="28"/>
          <w:szCs w:val="28"/>
        </w:rPr>
        <w:t>re</w:t>
      </w:r>
      <w:r w:rsidR="00827F88">
        <w:rPr>
          <w:sz w:val="28"/>
          <w:szCs w:val="28"/>
        </w:rPr>
        <w:t xml:space="preserve"> opinioni </w:t>
      </w:r>
      <w:r w:rsidR="00B6378B">
        <w:rPr>
          <w:sz w:val="28"/>
          <w:szCs w:val="28"/>
        </w:rPr>
        <w:t xml:space="preserve">personali </w:t>
      </w:r>
      <w:r w:rsidR="00E52DF9">
        <w:rPr>
          <w:sz w:val="28"/>
          <w:szCs w:val="28"/>
        </w:rPr>
        <w:t xml:space="preserve">non necessarie e </w:t>
      </w:r>
      <w:r w:rsidR="00827F88">
        <w:rPr>
          <w:sz w:val="28"/>
          <w:szCs w:val="28"/>
        </w:rPr>
        <w:t>non richieste</w:t>
      </w:r>
      <w:r w:rsidR="005421D7">
        <w:rPr>
          <w:sz w:val="28"/>
          <w:szCs w:val="28"/>
        </w:rPr>
        <w:t>.</w:t>
      </w:r>
    </w:p>
    <w:p w:rsidR="008F75FC" w:rsidRDefault="008F75FC" w:rsidP="00513771">
      <w:pPr>
        <w:ind w:firstLine="708"/>
        <w:jc w:val="both"/>
        <w:rPr>
          <w:sz w:val="28"/>
          <w:szCs w:val="28"/>
        </w:rPr>
      </w:pPr>
      <w:r>
        <w:rPr>
          <w:sz w:val="28"/>
          <w:szCs w:val="28"/>
        </w:rPr>
        <w:t xml:space="preserve">Tenere a mente </w:t>
      </w:r>
      <w:r w:rsidR="00513771" w:rsidRPr="003D58C4">
        <w:rPr>
          <w:sz w:val="28"/>
          <w:szCs w:val="28"/>
        </w:rPr>
        <w:t xml:space="preserve">la </w:t>
      </w:r>
      <w:r>
        <w:rPr>
          <w:sz w:val="28"/>
          <w:szCs w:val="28"/>
        </w:rPr>
        <w:t xml:space="preserve">regola aurea che la </w:t>
      </w:r>
      <w:r w:rsidR="00513771" w:rsidRPr="003D58C4">
        <w:rPr>
          <w:sz w:val="28"/>
          <w:szCs w:val="28"/>
        </w:rPr>
        <w:t xml:space="preserve">chiarezza </w:t>
      </w:r>
      <w:r>
        <w:rPr>
          <w:sz w:val="28"/>
          <w:szCs w:val="28"/>
        </w:rPr>
        <w:t xml:space="preserve">e l’incisività espositiva </w:t>
      </w:r>
      <w:r w:rsidR="00513771" w:rsidRPr="003D58C4">
        <w:rPr>
          <w:sz w:val="28"/>
          <w:szCs w:val="28"/>
        </w:rPr>
        <w:t xml:space="preserve">è data anzitutto dall’economia </w:t>
      </w:r>
      <w:r w:rsidR="00B75481">
        <w:rPr>
          <w:sz w:val="28"/>
          <w:szCs w:val="28"/>
        </w:rPr>
        <w:t>esp</w:t>
      </w:r>
      <w:r w:rsidR="00D1062B">
        <w:rPr>
          <w:sz w:val="28"/>
          <w:szCs w:val="28"/>
        </w:rPr>
        <w:t>ositiva</w:t>
      </w:r>
      <w:r w:rsidR="00513771" w:rsidRPr="003D58C4">
        <w:rPr>
          <w:sz w:val="28"/>
          <w:szCs w:val="28"/>
        </w:rPr>
        <w:t xml:space="preserve">. Curare </w:t>
      </w:r>
      <w:r>
        <w:rPr>
          <w:sz w:val="28"/>
          <w:szCs w:val="28"/>
        </w:rPr>
        <w:t xml:space="preserve">perciò </w:t>
      </w:r>
      <w:r w:rsidR="00513771" w:rsidRPr="003D58C4">
        <w:rPr>
          <w:sz w:val="28"/>
          <w:szCs w:val="28"/>
        </w:rPr>
        <w:t>l’ordine</w:t>
      </w:r>
      <w:r>
        <w:rPr>
          <w:sz w:val="28"/>
          <w:szCs w:val="28"/>
        </w:rPr>
        <w:t xml:space="preserve"> degli argomenti</w:t>
      </w:r>
      <w:r w:rsidR="00513771" w:rsidRPr="003D58C4">
        <w:rPr>
          <w:sz w:val="28"/>
          <w:szCs w:val="28"/>
        </w:rPr>
        <w:t xml:space="preserve">, la </w:t>
      </w:r>
      <w:r>
        <w:rPr>
          <w:sz w:val="28"/>
          <w:szCs w:val="28"/>
        </w:rPr>
        <w:t xml:space="preserve">loro </w:t>
      </w:r>
      <w:r w:rsidR="00513771" w:rsidRPr="003D58C4">
        <w:rPr>
          <w:sz w:val="28"/>
          <w:szCs w:val="28"/>
        </w:rPr>
        <w:t xml:space="preserve">coesione, la coerenza e l’essenzialità </w:t>
      </w:r>
      <w:r>
        <w:rPr>
          <w:sz w:val="28"/>
          <w:szCs w:val="28"/>
        </w:rPr>
        <w:t xml:space="preserve">lessicali </w:t>
      </w:r>
      <w:r w:rsidR="00513771" w:rsidRPr="003D58C4">
        <w:rPr>
          <w:sz w:val="28"/>
          <w:szCs w:val="28"/>
        </w:rPr>
        <w:t xml:space="preserve">del testo. </w:t>
      </w:r>
    </w:p>
    <w:p w:rsidR="008F75FC" w:rsidRDefault="00513771" w:rsidP="00513771">
      <w:pPr>
        <w:ind w:firstLine="708"/>
        <w:jc w:val="both"/>
        <w:rPr>
          <w:sz w:val="28"/>
          <w:szCs w:val="28"/>
        </w:rPr>
      </w:pPr>
      <w:r w:rsidRPr="003D58C4">
        <w:rPr>
          <w:sz w:val="28"/>
          <w:szCs w:val="28"/>
        </w:rPr>
        <w:t xml:space="preserve">Evitare con </w:t>
      </w:r>
      <w:r w:rsidR="00B75481">
        <w:rPr>
          <w:sz w:val="28"/>
          <w:szCs w:val="28"/>
        </w:rPr>
        <w:t xml:space="preserve">la </w:t>
      </w:r>
      <w:r w:rsidRPr="003D58C4">
        <w:rPr>
          <w:sz w:val="28"/>
          <w:szCs w:val="28"/>
        </w:rPr>
        <w:t xml:space="preserve">massima </w:t>
      </w:r>
      <w:r w:rsidR="008F75FC">
        <w:rPr>
          <w:sz w:val="28"/>
          <w:szCs w:val="28"/>
        </w:rPr>
        <w:t xml:space="preserve">cura </w:t>
      </w:r>
      <w:r w:rsidRPr="003D58C4">
        <w:rPr>
          <w:sz w:val="28"/>
          <w:szCs w:val="28"/>
        </w:rPr>
        <w:t>valutazioni di ordine extragiuridico, estranee al sillogismo e comunque al ragionamento giuridico</w:t>
      </w:r>
      <w:r w:rsidR="008F75FC">
        <w:rPr>
          <w:sz w:val="28"/>
          <w:szCs w:val="28"/>
        </w:rPr>
        <w:t>:</w:t>
      </w:r>
      <w:r w:rsidRPr="003D58C4">
        <w:rPr>
          <w:sz w:val="28"/>
          <w:szCs w:val="28"/>
        </w:rPr>
        <w:t xml:space="preserve"> in particolare biasimi, </w:t>
      </w:r>
      <w:r w:rsidR="008F75FC">
        <w:rPr>
          <w:sz w:val="28"/>
          <w:szCs w:val="28"/>
        </w:rPr>
        <w:t xml:space="preserve">moniti, </w:t>
      </w:r>
      <w:r w:rsidRPr="003D58C4">
        <w:rPr>
          <w:sz w:val="28"/>
          <w:szCs w:val="28"/>
        </w:rPr>
        <w:t xml:space="preserve">censure morali, </w:t>
      </w:r>
      <w:r w:rsidR="00D1062B">
        <w:rPr>
          <w:sz w:val="28"/>
          <w:szCs w:val="28"/>
        </w:rPr>
        <w:t xml:space="preserve">reprimende, </w:t>
      </w:r>
      <w:r w:rsidRPr="003D58C4">
        <w:rPr>
          <w:sz w:val="28"/>
          <w:szCs w:val="28"/>
        </w:rPr>
        <w:t xml:space="preserve">indicazioni che il giudice </w:t>
      </w:r>
      <w:r w:rsidR="00D1062B">
        <w:rPr>
          <w:sz w:val="28"/>
          <w:szCs w:val="28"/>
        </w:rPr>
        <w:t xml:space="preserve">andrebbe a manifestare </w:t>
      </w:r>
      <w:r w:rsidR="007911F1">
        <w:rPr>
          <w:sz w:val="28"/>
          <w:szCs w:val="28"/>
        </w:rPr>
        <w:t xml:space="preserve">senza </w:t>
      </w:r>
      <w:r w:rsidR="00B6378B">
        <w:rPr>
          <w:sz w:val="28"/>
          <w:szCs w:val="28"/>
        </w:rPr>
        <w:t xml:space="preserve">averne </w:t>
      </w:r>
      <w:r w:rsidR="00D1062B">
        <w:rPr>
          <w:sz w:val="28"/>
          <w:szCs w:val="28"/>
        </w:rPr>
        <w:t xml:space="preserve">alcun </w:t>
      </w:r>
      <w:r w:rsidR="007911F1">
        <w:rPr>
          <w:sz w:val="28"/>
          <w:szCs w:val="28"/>
        </w:rPr>
        <w:t xml:space="preserve">titolo e </w:t>
      </w:r>
      <w:r w:rsidRPr="003D58C4">
        <w:rPr>
          <w:i/>
          <w:sz w:val="28"/>
          <w:szCs w:val="28"/>
        </w:rPr>
        <w:t>ultra vires</w:t>
      </w:r>
      <w:r w:rsidRPr="003D58C4">
        <w:rPr>
          <w:sz w:val="28"/>
          <w:szCs w:val="28"/>
        </w:rPr>
        <w:t xml:space="preserve"> rispetto ai poteri </w:t>
      </w:r>
      <w:r w:rsidR="008F75FC">
        <w:rPr>
          <w:sz w:val="28"/>
          <w:szCs w:val="28"/>
        </w:rPr>
        <w:t xml:space="preserve">e ai compiti </w:t>
      </w:r>
      <w:r w:rsidRPr="003D58C4">
        <w:rPr>
          <w:sz w:val="28"/>
          <w:szCs w:val="28"/>
        </w:rPr>
        <w:t>di cui, nello Stato di diritto continentale</w:t>
      </w:r>
      <w:r w:rsidRPr="003D58C4">
        <w:rPr>
          <w:sz w:val="28"/>
          <w:szCs w:val="28"/>
          <w:vertAlign w:val="superscript"/>
        </w:rPr>
        <w:footnoteReference w:id="35"/>
      </w:r>
      <w:r w:rsidRPr="003D58C4">
        <w:rPr>
          <w:sz w:val="28"/>
          <w:szCs w:val="28"/>
        </w:rPr>
        <w:t>, la legge lo investe</w:t>
      </w:r>
      <w:r w:rsidR="007911F1">
        <w:rPr>
          <w:sz w:val="28"/>
          <w:szCs w:val="28"/>
        </w:rPr>
        <w:t xml:space="preserve"> e per i quali soltanto è reclutato</w:t>
      </w:r>
      <w:r w:rsidR="00B6378B">
        <w:rPr>
          <w:sz w:val="28"/>
          <w:szCs w:val="28"/>
        </w:rPr>
        <w:t xml:space="preserve"> </w:t>
      </w:r>
      <w:r w:rsidR="009C7214">
        <w:rPr>
          <w:sz w:val="28"/>
          <w:szCs w:val="28"/>
        </w:rPr>
        <w:t xml:space="preserve">mediante </w:t>
      </w:r>
      <w:r w:rsidR="00B6378B">
        <w:rPr>
          <w:sz w:val="28"/>
          <w:szCs w:val="28"/>
        </w:rPr>
        <w:t>concorso</w:t>
      </w:r>
      <w:r w:rsidR="00D1062B">
        <w:rPr>
          <w:sz w:val="28"/>
          <w:szCs w:val="28"/>
        </w:rPr>
        <w:t>. L’</w:t>
      </w:r>
      <w:r w:rsidR="003B2B67">
        <w:rPr>
          <w:sz w:val="28"/>
          <w:szCs w:val="28"/>
        </w:rPr>
        <w:t xml:space="preserve">uso di tali dissertazioni </w:t>
      </w:r>
      <w:r w:rsidR="009C7214">
        <w:rPr>
          <w:sz w:val="28"/>
          <w:szCs w:val="28"/>
        </w:rPr>
        <w:t xml:space="preserve">estranee al diritto </w:t>
      </w:r>
      <w:r w:rsidR="003B2B67">
        <w:rPr>
          <w:sz w:val="28"/>
          <w:szCs w:val="28"/>
        </w:rPr>
        <w:t>abbassa, anziché confermare, l’autorità morale della decisione.</w:t>
      </w:r>
      <w:r w:rsidRPr="003D58C4">
        <w:rPr>
          <w:sz w:val="28"/>
          <w:szCs w:val="28"/>
        </w:rPr>
        <w:t xml:space="preserve"> </w:t>
      </w:r>
      <w:r w:rsidR="008F75FC">
        <w:rPr>
          <w:sz w:val="28"/>
          <w:szCs w:val="28"/>
        </w:rPr>
        <w:t xml:space="preserve">Rammentare che non si è giudici di </w:t>
      </w:r>
      <w:r w:rsidR="008F75FC" w:rsidRPr="008F75FC">
        <w:rPr>
          <w:i/>
          <w:sz w:val="28"/>
          <w:szCs w:val="28"/>
        </w:rPr>
        <w:t>common law</w:t>
      </w:r>
      <w:r w:rsidR="008F75FC">
        <w:rPr>
          <w:sz w:val="28"/>
          <w:szCs w:val="28"/>
        </w:rPr>
        <w:t xml:space="preserve">, per i quali solo la speciale – e ben diversa – investitura </w:t>
      </w:r>
      <w:r w:rsidR="005E2942">
        <w:rPr>
          <w:sz w:val="28"/>
          <w:szCs w:val="28"/>
        </w:rPr>
        <w:t xml:space="preserve">e il ruolo del giudice in quei sistemi giuridici </w:t>
      </w:r>
      <w:r w:rsidR="008F75FC">
        <w:rPr>
          <w:sz w:val="28"/>
          <w:szCs w:val="28"/>
        </w:rPr>
        <w:t>dà titolo all’espressione dell’</w:t>
      </w:r>
      <w:r w:rsidR="008F75FC" w:rsidRPr="009C7214">
        <w:rPr>
          <w:i/>
          <w:sz w:val="28"/>
          <w:szCs w:val="28"/>
        </w:rPr>
        <w:t>opinion</w:t>
      </w:r>
      <w:r w:rsidR="008F75FC">
        <w:rPr>
          <w:sz w:val="28"/>
          <w:szCs w:val="28"/>
        </w:rPr>
        <w:t xml:space="preserve"> personale, finanche dissenziente o concorrente.</w:t>
      </w:r>
    </w:p>
    <w:p w:rsidR="00513771" w:rsidRPr="003D58C4" w:rsidRDefault="00513771" w:rsidP="00513771">
      <w:pPr>
        <w:ind w:firstLine="708"/>
        <w:jc w:val="both"/>
        <w:rPr>
          <w:sz w:val="28"/>
          <w:szCs w:val="28"/>
        </w:rPr>
      </w:pPr>
      <w:r w:rsidRPr="003D58C4">
        <w:rPr>
          <w:sz w:val="28"/>
          <w:szCs w:val="28"/>
        </w:rPr>
        <w:t xml:space="preserve">Mantenere il discorso diretto e concreto. Scrivere frasi brevi, preferendo </w:t>
      </w:r>
      <w:r w:rsidR="009C7214">
        <w:rPr>
          <w:sz w:val="28"/>
          <w:szCs w:val="28"/>
        </w:rPr>
        <w:t xml:space="preserve">l’essenzialità </w:t>
      </w:r>
      <w:r w:rsidR="008F75FC">
        <w:rPr>
          <w:sz w:val="28"/>
          <w:szCs w:val="28"/>
        </w:rPr>
        <w:t>espositiva</w:t>
      </w:r>
      <w:r w:rsidRPr="003D58C4">
        <w:rPr>
          <w:sz w:val="28"/>
          <w:szCs w:val="28"/>
        </w:rPr>
        <w:t xml:space="preserve">. Prosciugare dalla ridondanze: la sovrabbondanza è inutile </w:t>
      </w:r>
      <w:r w:rsidR="009C7214">
        <w:rPr>
          <w:sz w:val="28"/>
          <w:szCs w:val="28"/>
        </w:rPr>
        <w:t xml:space="preserve">e controproducente </w:t>
      </w:r>
      <w:r w:rsidRPr="003D58C4">
        <w:rPr>
          <w:sz w:val="28"/>
          <w:szCs w:val="28"/>
        </w:rPr>
        <w:t>(</w:t>
      </w:r>
      <w:r w:rsidRPr="008F75FC">
        <w:rPr>
          <w:sz w:val="28"/>
          <w:szCs w:val="28"/>
        </w:rPr>
        <w:t>meno si dice, più si dice</w:t>
      </w:r>
      <w:r w:rsidRPr="003D58C4">
        <w:rPr>
          <w:sz w:val="28"/>
          <w:szCs w:val="28"/>
        </w:rPr>
        <w:t xml:space="preserve">). Temere non la ripetizione delle parole, ma </w:t>
      </w:r>
      <w:r w:rsidR="008F75FC">
        <w:rPr>
          <w:sz w:val="28"/>
          <w:szCs w:val="28"/>
        </w:rPr>
        <w:t xml:space="preserve">la ripetizione </w:t>
      </w:r>
      <w:r w:rsidRPr="003D58C4">
        <w:rPr>
          <w:sz w:val="28"/>
          <w:szCs w:val="28"/>
        </w:rPr>
        <w:t>dei concetti.</w:t>
      </w:r>
    </w:p>
    <w:p w:rsidR="00513771" w:rsidRPr="003D58C4" w:rsidRDefault="008F75FC" w:rsidP="00513771">
      <w:pPr>
        <w:ind w:firstLine="708"/>
        <w:jc w:val="both"/>
        <w:rPr>
          <w:sz w:val="28"/>
          <w:szCs w:val="28"/>
        </w:rPr>
      </w:pPr>
      <w:r>
        <w:rPr>
          <w:sz w:val="28"/>
          <w:szCs w:val="28"/>
        </w:rPr>
        <w:t>P</w:t>
      </w:r>
      <w:r w:rsidR="00513771" w:rsidRPr="003D58C4">
        <w:rPr>
          <w:sz w:val="28"/>
          <w:szCs w:val="28"/>
        </w:rPr>
        <w:t xml:space="preserve">referire il collegamento tra le varie proposizioni secondo la </w:t>
      </w:r>
      <w:r w:rsidR="00513771" w:rsidRPr="003D58C4">
        <w:rPr>
          <w:i/>
          <w:sz w:val="28"/>
          <w:szCs w:val="28"/>
        </w:rPr>
        <w:t>disposizione paratattica</w:t>
      </w:r>
      <w:r w:rsidR="00513771" w:rsidRPr="003D58C4">
        <w:rPr>
          <w:sz w:val="28"/>
          <w:szCs w:val="28"/>
        </w:rPr>
        <w:t xml:space="preserve"> (dove il periodo è costruito solo con frasi principali indipendenti e isolate), che conferisce chiarezza, evidenza e incisività alla descrizione, piuttosto che secondo la </w:t>
      </w:r>
      <w:r w:rsidR="00513771" w:rsidRPr="003D58C4">
        <w:rPr>
          <w:i/>
          <w:sz w:val="28"/>
          <w:szCs w:val="28"/>
        </w:rPr>
        <w:t>disposizione ipotattica</w:t>
      </w:r>
      <w:r w:rsidR="00513771" w:rsidRPr="003D58C4">
        <w:rPr>
          <w:sz w:val="28"/>
          <w:szCs w:val="28"/>
        </w:rPr>
        <w:t xml:space="preserve"> (dove il periodo è caratterizzato da concatenazioni secondo livelli di subordinazione) che comporta maggior impegno e riflessione per il lettore.</w:t>
      </w:r>
    </w:p>
    <w:p w:rsidR="00513771" w:rsidRPr="003D58C4" w:rsidRDefault="00513771" w:rsidP="00513771">
      <w:pPr>
        <w:ind w:firstLine="708"/>
        <w:jc w:val="both"/>
        <w:rPr>
          <w:sz w:val="28"/>
          <w:szCs w:val="28"/>
        </w:rPr>
      </w:pPr>
      <w:r w:rsidRPr="003D58C4">
        <w:rPr>
          <w:sz w:val="28"/>
          <w:szCs w:val="28"/>
        </w:rPr>
        <w:t>Evitare</w:t>
      </w:r>
      <w:r w:rsidR="008E0365">
        <w:rPr>
          <w:sz w:val="28"/>
          <w:szCs w:val="28"/>
        </w:rPr>
        <w:t>,</w:t>
      </w:r>
      <w:r w:rsidRPr="003D58C4">
        <w:rPr>
          <w:sz w:val="28"/>
          <w:szCs w:val="28"/>
        </w:rPr>
        <w:t xml:space="preserve"> per quanto possibile</w:t>
      </w:r>
      <w:r w:rsidR="008E0365">
        <w:rPr>
          <w:sz w:val="28"/>
          <w:szCs w:val="28"/>
        </w:rPr>
        <w:t>,</w:t>
      </w:r>
      <w:r w:rsidRPr="003D58C4">
        <w:rPr>
          <w:sz w:val="28"/>
          <w:szCs w:val="28"/>
        </w:rPr>
        <w:t xml:space="preserve"> aggettivi e avverbi: modificatori semantici </w:t>
      </w:r>
      <w:r w:rsidR="009C7214">
        <w:rPr>
          <w:sz w:val="28"/>
          <w:szCs w:val="28"/>
        </w:rPr>
        <w:t xml:space="preserve">dei sostantivi o dei verbi </w:t>
      </w:r>
      <w:r w:rsidRPr="003D58C4">
        <w:rPr>
          <w:sz w:val="28"/>
          <w:szCs w:val="28"/>
        </w:rPr>
        <w:t>che sono o ridondanti – e perciò inutili - o pericolosi per la precisione, perché agiscono in modo indeterminante sulla latitudine del significato grammaticale</w:t>
      </w:r>
      <w:r w:rsidR="009C7214">
        <w:rPr>
          <w:sz w:val="28"/>
          <w:szCs w:val="28"/>
        </w:rPr>
        <w:t xml:space="preserve"> delle parole cui accedono</w:t>
      </w:r>
      <w:r w:rsidRPr="003D58C4">
        <w:rPr>
          <w:sz w:val="28"/>
          <w:szCs w:val="28"/>
        </w:rPr>
        <w:t xml:space="preserve">. </w:t>
      </w:r>
    </w:p>
    <w:p w:rsidR="00513771" w:rsidRPr="003D58C4" w:rsidRDefault="00513771" w:rsidP="00513771">
      <w:pPr>
        <w:ind w:firstLine="708"/>
        <w:jc w:val="both"/>
        <w:rPr>
          <w:sz w:val="28"/>
          <w:szCs w:val="28"/>
        </w:rPr>
      </w:pPr>
      <w:r w:rsidRPr="003D58C4">
        <w:rPr>
          <w:sz w:val="28"/>
          <w:szCs w:val="28"/>
        </w:rPr>
        <w:t xml:space="preserve">Evitare anacoluti e sovrabbondanze, </w:t>
      </w:r>
      <w:r w:rsidR="00B6378B">
        <w:rPr>
          <w:sz w:val="28"/>
          <w:szCs w:val="28"/>
        </w:rPr>
        <w:t>come</w:t>
      </w:r>
      <w:r w:rsidR="00616D46">
        <w:rPr>
          <w:sz w:val="28"/>
          <w:szCs w:val="28"/>
        </w:rPr>
        <w:t xml:space="preserve"> </w:t>
      </w:r>
      <w:r w:rsidRPr="003D58C4">
        <w:rPr>
          <w:sz w:val="28"/>
          <w:szCs w:val="28"/>
        </w:rPr>
        <w:t xml:space="preserve">circonlocuzioni senza ragione </w:t>
      </w:r>
      <w:r w:rsidR="00B6378B">
        <w:rPr>
          <w:sz w:val="28"/>
          <w:szCs w:val="28"/>
        </w:rPr>
        <w:t xml:space="preserve">quale </w:t>
      </w:r>
      <w:r w:rsidRPr="003D58C4">
        <w:rPr>
          <w:i/>
          <w:sz w:val="28"/>
          <w:szCs w:val="28"/>
        </w:rPr>
        <w:t>“provvede a concedere”</w:t>
      </w:r>
      <w:r w:rsidRPr="003D58C4">
        <w:rPr>
          <w:sz w:val="28"/>
          <w:szCs w:val="28"/>
        </w:rPr>
        <w:t xml:space="preserve"> in luogo di </w:t>
      </w:r>
      <w:r w:rsidRPr="003D58C4">
        <w:rPr>
          <w:i/>
          <w:sz w:val="28"/>
          <w:szCs w:val="28"/>
        </w:rPr>
        <w:t>“concede”</w:t>
      </w:r>
      <w:r w:rsidRPr="003D58C4">
        <w:rPr>
          <w:sz w:val="28"/>
          <w:szCs w:val="28"/>
        </w:rPr>
        <w:t>.</w:t>
      </w:r>
    </w:p>
    <w:p w:rsidR="00513771" w:rsidRDefault="00513771" w:rsidP="00513771">
      <w:pPr>
        <w:ind w:firstLine="708"/>
        <w:jc w:val="both"/>
        <w:rPr>
          <w:sz w:val="28"/>
          <w:szCs w:val="28"/>
        </w:rPr>
      </w:pPr>
      <w:r w:rsidRPr="003D58C4">
        <w:rPr>
          <w:sz w:val="28"/>
          <w:szCs w:val="28"/>
        </w:rPr>
        <w:t xml:space="preserve">Evitare con </w:t>
      </w:r>
      <w:r w:rsidR="00B6378B">
        <w:rPr>
          <w:sz w:val="28"/>
          <w:szCs w:val="28"/>
        </w:rPr>
        <w:t xml:space="preserve">debita </w:t>
      </w:r>
      <w:r w:rsidRPr="003D58C4">
        <w:rPr>
          <w:sz w:val="28"/>
          <w:szCs w:val="28"/>
        </w:rPr>
        <w:t xml:space="preserve">cura </w:t>
      </w:r>
      <w:r w:rsidR="008675F4">
        <w:rPr>
          <w:sz w:val="28"/>
          <w:szCs w:val="28"/>
        </w:rPr>
        <w:t xml:space="preserve">la </w:t>
      </w:r>
      <w:r w:rsidRPr="003D58C4">
        <w:rPr>
          <w:sz w:val="28"/>
          <w:szCs w:val="28"/>
        </w:rPr>
        <w:t xml:space="preserve">commistione con il registro espressivo giornalistico (es: </w:t>
      </w:r>
      <w:r w:rsidRPr="00945064">
        <w:rPr>
          <w:i/>
          <w:sz w:val="28"/>
          <w:szCs w:val="28"/>
        </w:rPr>
        <w:t xml:space="preserve">la </w:t>
      </w:r>
      <w:r w:rsidRPr="003D58C4">
        <w:rPr>
          <w:i/>
          <w:sz w:val="28"/>
          <w:szCs w:val="28"/>
        </w:rPr>
        <w:t>Consulta</w:t>
      </w:r>
      <w:r w:rsidR="00945064">
        <w:rPr>
          <w:sz w:val="28"/>
          <w:szCs w:val="28"/>
        </w:rPr>
        <w:t xml:space="preserve"> in luogo de</w:t>
      </w:r>
      <w:r w:rsidRPr="00945064">
        <w:rPr>
          <w:i/>
          <w:sz w:val="28"/>
          <w:szCs w:val="28"/>
        </w:rPr>
        <w:t xml:space="preserve"> la</w:t>
      </w:r>
      <w:r w:rsidRPr="003D58C4">
        <w:rPr>
          <w:sz w:val="28"/>
          <w:szCs w:val="28"/>
        </w:rPr>
        <w:t xml:space="preserve"> </w:t>
      </w:r>
      <w:r w:rsidRPr="003D58C4">
        <w:rPr>
          <w:i/>
          <w:sz w:val="28"/>
          <w:szCs w:val="28"/>
        </w:rPr>
        <w:t>Corte costituzionale</w:t>
      </w:r>
      <w:r w:rsidRPr="003D58C4">
        <w:rPr>
          <w:sz w:val="28"/>
          <w:szCs w:val="28"/>
        </w:rPr>
        <w:t xml:space="preserve">; </w:t>
      </w:r>
      <w:r w:rsidRPr="003D58C4">
        <w:rPr>
          <w:i/>
          <w:sz w:val="28"/>
          <w:szCs w:val="28"/>
        </w:rPr>
        <w:t>i giudici di Strasburgo</w:t>
      </w:r>
      <w:r w:rsidRPr="003D58C4">
        <w:rPr>
          <w:sz w:val="28"/>
          <w:szCs w:val="28"/>
        </w:rPr>
        <w:t xml:space="preserve"> in luogo de </w:t>
      </w:r>
      <w:r w:rsidRPr="003D58C4">
        <w:rPr>
          <w:i/>
          <w:sz w:val="28"/>
          <w:szCs w:val="28"/>
        </w:rPr>
        <w:t>la Corte Europea dei Diritti dell’Uomo</w:t>
      </w:r>
      <w:r w:rsidRPr="003D58C4">
        <w:rPr>
          <w:sz w:val="28"/>
          <w:szCs w:val="28"/>
        </w:rPr>
        <w:t xml:space="preserve">; </w:t>
      </w:r>
      <w:r w:rsidRPr="003D58C4">
        <w:rPr>
          <w:i/>
          <w:sz w:val="28"/>
          <w:szCs w:val="28"/>
        </w:rPr>
        <w:t>i giudici di Palazzo Spada</w:t>
      </w:r>
      <w:r w:rsidRPr="003D58C4">
        <w:rPr>
          <w:sz w:val="28"/>
          <w:szCs w:val="28"/>
        </w:rPr>
        <w:t xml:space="preserve"> in luogo de </w:t>
      </w:r>
      <w:r w:rsidRPr="003D58C4">
        <w:rPr>
          <w:i/>
          <w:sz w:val="28"/>
          <w:szCs w:val="28"/>
        </w:rPr>
        <w:t>il Consiglio di Stato</w:t>
      </w:r>
      <w:r w:rsidRPr="003D58C4">
        <w:rPr>
          <w:sz w:val="28"/>
          <w:szCs w:val="28"/>
        </w:rPr>
        <w:t xml:space="preserve">; il </w:t>
      </w:r>
      <w:r w:rsidRPr="003D58C4">
        <w:rPr>
          <w:i/>
          <w:sz w:val="28"/>
          <w:szCs w:val="28"/>
        </w:rPr>
        <w:t>Tribunale partenopeo</w:t>
      </w:r>
      <w:r w:rsidRPr="003D58C4">
        <w:rPr>
          <w:sz w:val="28"/>
          <w:szCs w:val="28"/>
        </w:rPr>
        <w:t xml:space="preserve"> in luogo del </w:t>
      </w:r>
      <w:r w:rsidR="009C7214">
        <w:rPr>
          <w:sz w:val="28"/>
          <w:szCs w:val="28"/>
        </w:rPr>
        <w:t xml:space="preserve">il </w:t>
      </w:r>
      <w:r w:rsidRPr="003D58C4">
        <w:rPr>
          <w:i/>
          <w:sz w:val="28"/>
          <w:szCs w:val="28"/>
        </w:rPr>
        <w:t>Tribunale amministrativo per la Campania</w:t>
      </w:r>
      <w:r w:rsidR="009C7214">
        <w:rPr>
          <w:sz w:val="28"/>
          <w:szCs w:val="28"/>
        </w:rPr>
        <w:t>, ecc.). S</w:t>
      </w:r>
      <w:r w:rsidRPr="003D58C4">
        <w:rPr>
          <w:sz w:val="28"/>
          <w:szCs w:val="28"/>
        </w:rPr>
        <w:t xml:space="preserve">e l’uso di </w:t>
      </w:r>
      <w:r w:rsidR="009C7214">
        <w:rPr>
          <w:sz w:val="28"/>
          <w:szCs w:val="28"/>
        </w:rPr>
        <w:t xml:space="preserve">simili </w:t>
      </w:r>
      <w:r w:rsidRPr="003D58C4">
        <w:rPr>
          <w:sz w:val="28"/>
          <w:szCs w:val="28"/>
        </w:rPr>
        <w:t xml:space="preserve">espressioni è giustificato </w:t>
      </w:r>
      <w:r w:rsidR="008675F4">
        <w:rPr>
          <w:sz w:val="28"/>
          <w:szCs w:val="28"/>
        </w:rPr>
        <w:t xml:space="preserve">come ponte </w:t>
      </w:r>
      <w:r w:rsidRPr="003D58C4">
        <w:rPr>
          <w:sz w:val="28"/>
          <w:szCs w:val="28"/>
        </w:rPr>
        <w:t xml:space="preserve">per l’apprendimento del diritto, non lo è più quando si tratta </w:t>
      </w:r>
      <w:r w:rsidR="00616D46">
        <w:rPr>
          <w:sz w:val="28"/>
          <w:szCs w:val="28"/>
        </w:rPr>
        <w:t xml:space="preserve">ormai </w:t>
      </w:r>
      <w:r w:rsidRPr="003D58C4">
        <w:rPr>
          <w:sz w:val="28"/>
          <w:szCs w:val="28"/>
        </w:rPr>
        <w:t xml:space="preserve">di </w:t>
      </w:r>
      <w:r w:rsidR="008675F4">
        <w:rPr>
          <w:sz w:val="28"/>
          <w:szCs w:val="28"/>
        </w:rPr>
        <w:t xml:space="preserve">scrivere </w:t>
      </w:r>
      <w:r w:rsidR="009C7214">
        <w:rPr>
          <w:sz w:val="28"/>
          <w:szCs w:val="28"/>
        </w:rPr>
        <w:t xml:space="preserve">“In nome del Popolo Italiano” e così di </w:t>
      </w:r>
      <w:r w:rsidR="009C7214" w:rsidRPr="009C7214">
        <w:rPr>
          <w:i/>
          <w:sz w:val="28"/>
          <w:szCs w:val="28"/>
        </w:rPr>
        <w:t>dire il diritto</w:t>
      </w:r>
      <w:r w:rsidR="009C7214">
        <w:rPr>
          <w:sz w:val="28"/>
          <w:szCs w:val="28"/>
        </w:rPr>
        <w:t xml:space="preserve">. </w:t>
      </w:r>
      <w:r w:rsidRPr="003D58C4">
        <w:rPr>
          <w:sz w:val="28"/>
          <w:szCs w:val="28"/>
        </w:rPr>
        <w:t>A</w:t>
      </w:r>
      <w:r w:rsidR="008675F4">
        <w:rPr>
          <w:sz w:val="28"/>
          <w:szCs w:val="28"/>
        </w:rPr>
        <w:t>nche a</w:t>
      </w:r>
      <w:r w:rsidRPr="003D58C4">
        <w:rPr>
          <w:sz w:val="28"/>
          <w:szCs w:val="28"/>
        </w:rPr>
        <w:t xml:space="preserve"> questo proposito, </w:t>
      </w:r>
      <w:r w:rsidR="008675F4">
        <w:rPr>
          <w:sz w:val="28"/>
          <w:szCs w:val="28"/>
        </w:rPr>
        <w:t xml:space="preserve">è bene </w:t>
      </w:r>
      <w:r w:rsidRPr="003D58C4">
        <w:rPr>
          <w:sz w:val="28"/>
          <w:szCs w:val="28"/>
        </w:rPr>
        <w:t xml:space="preserve">rammentare che nei sistemi continentali, a differenza che nel </w:t>
      </w:r>
      <w:r w:rsidRPr="003D58C4">
        <w:rPr>
          <w:i/>
          <w:sz w:val="28"/>
          <w:szCs w:val="28"/>
        </w:rPr>
        <w:t>common law</w:t>
      </w:r>
      <w:r w:rsidRPr="003D58C4">
        <w:rPr>
          <w:sz w:val="28"/>
          <w:szCs w:val="28"/>
        </w:rPr>
        <w:t xml:space="preserve">, </w:t>
      </w:r>
      <w:r w:rsidRPr="00965B86">
        <w:rPr>
          <w:i/>
          <w:sz w:val="28"/>
          <w:szCs w:val="28"/>
        </w:rPr>
        <w:t xml:space="preserve">il </w:t>
      </w:r>
      <w:r w:rsidRPr="003D58C4">
        <w:rPr>
          <w:i/>
          <w:sz w:val="28"/>
          <w:szCs w:val="28"/>
        </w:rPr>
        <w:t>giudice</w:t>
      </w:r>
      <w:r w:rsidRPr="003D58C4">
        <w:rPr>
          <w:sz w:val="28"/>
          <w:szCs w:val="28"/>
        </w:rPr>
        <w:t xml:space="preserve"> </w:t>
      </w:r>
      <w:r w:rsidR="00965B86">
        <w:rPr>
          <w:sz w:val="28"/>
          <w:szCs w:val="28"/>
        </w:rPr>
        <w:t xml:space="preserve">(al singolare) </w:t>
      </w:r>
      <w:r w:rsidRPr="003D58C4">
        <w:rPr>
          <w:sz w:val="28"/>
          <w:szCs w:val="28"/>
        </w:rPr>
        <w:t>è il collegio</w:t>
      </w:r>
      <w:r w:rsidR="009C7214">
        <w:rPr>
          <w:sz w:val="28"/>
          <w:szCs w:val="28"/>
        </w:rPr>
        <w:t>;</w:t>
      </w:r>
      <w:r w:rsidRPr="003D58C4">
        <w:rPr>
          <w:sz w:val="28"/>
          <w:szCs w:val="28"/>
        </w:rPr>
        <w:t xml:space="preserve"> e che i componenti del collegio sono non </w:t>
      </w:r>
      <w:r w:rsidRPr="003D58C4">
        <w:rPr>
          <w:i/>
          <w:sz w:val="28"/>
          <w:szCs w:val="28"/>
        </w:rPr>
        <w:t>i</w:t>
      </w:r>
      <w:r w:rsidRPr="003D58C4">
        <w:rPr>
          <w:sz w:val="28"/>
          <w:szCs w:val="28"/>
        </w:rPr>
        <w:t xml:space="preserve"> </w:t>
      </w:r>
      <w:r w:rsidRPr="003D58C4">
        <w:rPr>
          <w:i/>
          <w:sz w:val="28"/>
          <w:szCs w:val="28"/>
        </w:rPr>
        <w:t>giudici</w:t>
      </w:r>
      <w:r w:rsidR="00965B86">
        <w:rPr>
          <w:sz w:val="28"/>
          <w:szCs w:val="28"/>
        </w:rPr>
        <w:t xml:space="preserve"> (al plurale)</w:t>
      </w:r>
      <w:r w:rsidRPr="003D58C4">
        <w:rPr>
          <w:sz w:val="28"/>
          <w:szCs w:val="28"/>
        </w:rPr>
        <w:t xml:space="preserve"> ma </w:t>
      </w:r>
      <w:r w:rsidR="00965B86">
        <w:rPr>
          <w:sz w:val="28"/>
          <w:szCs w:val="28"/>
        </w:rPr>
        <w:t xml:space="preserve">solo </w:t>
      </w:r>
      <w:r w:rsidRPr="009C7214">
        <w:rPr>
          <w:i/>
          <w:sz w:val="28"/>
          <w:szCs w:val="28"/>
        </w:rPr>
        <w:t>magistrati</w:t>
      </w:r>
      <w:r w:rsidRPr="003D58C4">
        <w:rPr>
          <w:sz w:val="28"/>
          <w:szCs w:val="28"/>
        </w:rPr>
        <w:t xml:space="preserve"> che compongono </w:t>
      </w:r>
      <w:r w:rsidRPr="00965B86">
        <w:rPr>
          <w:i/>
          <w:sz w:val="28"/>
          <w:szCs w:val="28"/>
        </w:rPr>
        <w:t xml:space="preserve">il </w:t>
      </w:r>
      <w:r w:rsidR="00965B86">
        <w:rPr>
          <w:sz w:val="28"/>
          <w:szCs w:val="28"/>
        </w:rPr>
        <w:t xml:space="preserve">(al singolare) </w:t>
      </w:r>
      <w:r w:rsidRPr="00965B86">
        <w:rPr>
          <w:i/>
          <w:sz w:val="28"/>
          <w:szCs w:val="28"/>
        </w:rPr>
        <w:t>giudice</w:t>
      </w:r>
      <w:r w:rsidRPr="003D58C4">
        <w:rPr>
          <w:sz w:val="28"/>
          <w:szCs w:val="28"/>
        </w:rPr>
        <w:t>-collegio</w:t>
      </w:r>
      <w:r w:rsidRPr="003D58C4">
        <w:rPr>
          <w:rStyle w:val="FootnoteReference"/>
          <w:sz w:val="28"/>
          <w:szCs w:val="28"/>
        </w:rPr>
        <w:footnoteReference w:id="36"/>
      </w:r>
      <w:r w:rsidRPr="003D58C4">
        <w:rPr>
          <w:sz w:val="28"/>
          <w:szCs w:val="28"/>
        </w:rPr>
        <w:t>.</w:t>
      </w:r>
    </w:p>
    <w:p w:rsidR="0032089B" w:rsidRDefault="00965B86" w:rsidP="006F4019">
      <w:pPr>
        <w:ind w:firstLine="708"/>
        <w:jc w:val="both"/>
        <w:rPr>
          <w:sz w:val="28"/>
          <w:szCs w:val="28"/>
        </w:rPr>
      </w:pPr>
      <w:r w:rsidRPr="003D58C4">
        <w:rPr>
          <w:sz w:val="28"/>
          <w:szCs w:val="28"/>
        </w:rPr>
        <w:t>Insomma, cercare di mantenere un registro espressivo quasi notarile</w:t>
      </w:r>
      <w:r>
        <w:rPr>
          <w:sz w:val="28"/>
          <w:szCs w:val="28"/>
        </w:rPr>
        <w:t>: arricchirà la sentenza in comprensibilità, autorevolezza</w:t>
      </w:r>
      <w:r w:rsidR="00616D46">
        <w:rPr>
          <w:sz w:val="28"/>
          <w:szCs w:val="28"/>
        </w:rPr>
        <w:t>,</w:t>
      </w:r>
      <w:r>
        <w:rPr>
          <w:sz w:val="28"/>
          <w:szCs w:val="28"/>
        </w:rPr>
        <w:t xml:space="preserve"> rassicurazione giuridica</w:t>
      </w:r>
      <w:r w:rsidR="00616D46">
        <w:rPr>
          <w:sz w:val="28"/>
          <w:szCs w:val="28"/>
        </w:rPr>
        <w:t xml:space="preserve"> e affidabilità</w:t>
      </w:r>
      <w:r w:rsidR="00FC65D5">
        <w:rPr>
          <w:sz w:val="28"/>
          <w:szCs w:val="28"/>
        </w:rPr>
        <w:t xml:space="preserve"> del giudice</w:t>
      </w:r>
      <w:r>
        <w:rPr>
          <w:sz w:val="28"/>
          <w:szCs w:val="28"/>
        </w:rPr>
        <w:t>.</w:t>
      </w:r>
    </w:p>
    <w:p w:rsidR="006B4F31" w:rsidRDefault="006B4F31" w:rsidP="006F4019">
      <w:pPr>
        <w:ind w:firstLine="708"/>
        <w:jc w:val="both"/>
        <w:rPr>
          <w:sz w:val="28"/>
          <w:szCs w:val="28"/>
        </w:rPr>
      </w:pPr>
    </w:p>
    <w:p w:rsidR="006B4F31" w:rsidRDefault="006B4F31" w:rsidP="006F4019">
      <w:pPr>
        <w:ind w:firstLine="708"/>
        <w:jc w:val="both"/>
        <w:rPr>
          <w:sz w:val="28"/>
          <w:szCs w:val="28"/>
        </w:rPr>
      </w:pPr>
    </w:p>
    <w:p w:rsidR="006B4F31" w:rsidRPr="005E1385" w:rsidRDefault="006B4F31" w:rsidP="006B4F31">
      <w:pPr>
        <w:spacing w:after="0" w:line="240" w:lineRule="auto"/>
        <w:jc w:val="center"/>
        <w:rPr>
          <w:sz w:val="32"/>
          <w:szCs w:val="32"/>
        </w:rPr>
      </w:pPr>
    </w:p>
    <w:p w:rsidR="006B4F31" w:rsidRPr="005E1385" w:rsidRDefault="006B4F31" w:rsidP="006B4F31">
      <w:pPr>
        <w:spacing w:after="0" w:line="240" w:lineRule="auto"/>
        <w:jc w:val="right"/>
        <w:rPr>
          <w:sz w:val="32"/>
          <w:szCs w:val="32"/>
        </w:rPr>
      </w:pPr>
      <w:r w:rsidRPr="005E1385">
        <w:rPr>
          <w:sz w:val="32"/>
          <w:szCs w:val="32"/>
        </w:rPr>
        <w:t xml:space="preserve">Giuseppe </w:t>
      </w:r>
      <w:r>
        <w:rPr>
          <w:sz w:val="32"/>
          <w:szCs w:val="32"/>
        </w:rPr>
        <w:t>Severini</w:t>
      </w:r>
    </w:p>
    <w:p w:rsidR="006B4F31" w:rsidRDefault="006B4F31" w:rsidP="006B4F31">
      <w:pPr>
        <w:spacing w:after="0" w:line="240" w:lineRule="auto"/>
        <w:jc w:val="right"/>
      </w:pPr>
      <w:r w:rsidRPr="005E1385">
        <w:t>Presidente di Sezione del Consiglio di Stato</w:t>
      </w:r>
    </w:p>
    <w:p w:rsidR="006B4F31" w:rsidRDefault="006B4F31" w:rsidP="006B4F31">
      <w:pPr>
        <w:spacing w:after="0" w:line="240" w:lineRule="auto"/>
        <w:jc w:val="right"/>
      </w:pPr>
    </w:p>
    <w:p w:rsidR="006B4F31" w:rsidRPr="005E1385" w:rsidRDefault="006B4F31" w:rsidP="006B4F31">
      <w:pPr>
        <w:spacing w:after="0" w:line="240" w:lineRule="auto"/>
        <w:jc w:val="right"/>
      </w:pPr>
      <w:r>
        <w:t>Pubblicato il 17 giugno 2019</w:t>
      </w:r>
    </w:p>
    <w:p w:rsidR="006B4F31" w:rsidRDefault="006B4F31" w:rsidP="006F4019">
      <w:pPr>
        <w:ind w:firstLine="708"/>
        <w:jc w:val="both"/>
        <w:rPr>
          <w:sz w:val="28"/>
          <w:szCs w:val="28"/>
        </w:rPr>
      </w:pPr>
    </w:p>
    <w:sectPr w:rsidR="006B4F31" w:rsidSect="00EA76B2">
      <w:footnotePr>
        <w:numRestart w:val="eachSect"/>
      </w:footnotePr>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274" w:rsidRDefault="006B0274" w:rsidP="00513771">
      <w:pPr>
        <w:spacing w:after="0" w:line="240" w:lineRule="auto"/>
      </w:pPr>
      <w:r>
        <w:separator/>
      </w:r>
    </w:p>
  </w:endnote>
  <w:endnote w:type="continuationSeparator" w:id="0">
    <w:p w:rsidR="006B0274" w:rsidRDefault="006B0274" w:rsidP="0051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274" w:rsidRDefault="006B0274" w:rsidP="00513771">
      <w:pPr>
        <w:spacing w:after="0" w:line="240" w:lineRule="auto"/>
      </w:pPr>
      <w:r>
        <w:separator/>
      </w:r>
    </w:p>
  </w:footnote>
  <w:footnote w:type="continuationSeparator" w:id="0">
    <w:p w:rsidR="006B0274" w:rsidRDefault="006B0274" w:rsidP="00513771">
      <w:pPr>
        <w:spacing w:after="0" w:line="240" w:lineRule="auto"/>
      </w:pPr>
      <w:r>
        <w:continuationSeparator/>
      </w:r>
    </w:p>
  </w:footnote>
  <w:footnote w:id="1">
    <w:p w:rsidR="005853E8" w:rsidRPr="005853E8" w:rsidRDefault="005853E8" w:rsidP="005853E8">
      <w:pPr>
        <w:spacing w:after="0" w:line="240" w:lineRule="auto"/>
        <w:jc w:val="both"/>
        <w:rPr>
          <w:sz w:val="32"/>
          <w:szCs w:val="32"/>
          <w:vertAlign w:val="subscript"/>
        </w:rPr>
      </w:pPr>
      <w:r w:rsidRPr="005853E8">
        <w:rPr>
          <w:rStyle w:val="FootnoteReference"/>
        </w:rPr>
        <w:sym w:font="Symbol" w:char="F02A"/>
      </w:r>
      <w:r w:rsidRPr="005853E8">
        <w:rPr>
          <w:sz w:val="32"/>
          <w:szCs w:val="32"/>
          <w:vertAlign w:val="subscript"/>
        </w:rPr>
        <w:t xml:space="preserve"> </w:t>
      </w:r>
      <w:r w:rsidRPr="0075029E">
        <w:rPr>
          <w:sz w:val="20"/>
          <w:szCs w:val="20"/>
        </w:rPr>
        <w:t xml:space="preserve">Relazione al </w:t>
      </w:r>
      <w:r w:rsidRPr="0075029E">
        <w:rPr>
          <w:i/>
          <w:sz w:val="20"/>
          <w:szCs w:val="20"/>
        </w:rPr>
        <w:t>Congresso nazionale dei magistrati amministrativi</w:t>
      </w:r>
      <w:r w:rsidRPr="0075029E">
        <w:rPr>
          <w:sz w:val="20"/>
          <w:szCs w:val="20"/>
        </w:rPr>
        <w:t>, Roma, 6-7 giugno 2019</w:t>
      </w:r>
      <w:r>
        <w:rPr>
          <w:sz w:val="32"/>
          <w:szCs w:val="32"/>
          <w:vertAlign w:val="subscript"/>
        </w:rPr>
        <w:t>.</w:t>
      </w:r>
    </w:p>
    <w:p w:rsidR="005853E8" w:rsidRPr="005853E8" w:rsidRDefault="005853E8">
      <w:pPr>
        <w:pStyle w:val="FootnoteText"/>
      </w:pPr>
    </w:p>
  </w:footnote>
  <w:footnote w:id="2">
    <w:p w:rsidR="00513771" w:rsidRPr="008B6D6D" w:rsidRDefault="00513771" w:rsidP="00513771">
      <w:pPr>
        <w:pStyle w:val="FootnoteText"/>
      </w:pPr>
      <w:r>
        <w:rPr>
          <w:rStyle w:val="FootnoteReference"/>
        </w:rPr>
        <w:footnoteRef/>
      </w:r>
      <w:r w:rsidRPr="00B33467">
        <w:rPr>
          <w:lang w:val="fr-FR"/>
        </w:rPr>
        <w:t xml:space="preserve"> MONTESQUIEU, </w:t>
      </w:r>
      <w:r w:rsidRPr="00B33467">
        <w:rPr>
          <w:i/>
          <w:lang w:val="fr-FR"/>
        </w:rPr>
        <w:t xml:space="preserve">De l'esprit des lois </w:t>
      </w:r>
      <w:r w:rsidRPr="00B33467">
        <w:rPr>
          <w:lang w:val="fr-FR"/>
        </w:rPr>
        <w:t xml:space="preserve">[1748], XI, cap. </w:t>
      </w:r>
      <w:r w:rsidRPr="008B6D6D">
        <w:t>XVI.</w:t>
      </w:r>
    </w:p>
  </w:footnote>
  <w:footnote w:id="3">
    <w:p w:rsidR="00513771" w:rsidRDefault="00513771" w:rsidP="00513771">
      <w:pPr>
        <w:pStyle w:val="FootnoteText"/>
      </w:pPr>
      <w:r>
        <w:rPr>
          <w:rStyle w:val="FootnoteReference"/>
        </w:rPr>
        <w:footnoteRef/>
      </w:r>
      <w:r>
        <w:t xml:space="preserve"> N. IRTI, </w:t>
      </w:r>
      <w:r w:rsidRPr="00D636C3">
        <w:rPr>
          <w:i/>
        </w:rPr>
        <w:t>Un diritto incalcolabile</w:t>
      </w:r>
      <w:r>
        <w:t xml:space="preserve">, </w:t>
      </w:r>
      <w:r w:rsidRPr="00425E18">
        <w:t>Torino 2016</w:t>
      </w:r>
      <w:r>
        <w:t>, VII.</w:t>
      </w:r>
    </w:p>
  </w:footnote>
  <w:footnote w:id="4">
    <w:p w:rsidR="00513771" w:rsidRDefault="00513771" w:rsidP="00513771">
      <w:pPr>
        <w:pStyle w:val="FootnoteText"/>
        <w:jc w:val="both"/>
      </w:pPr>
      <w:r>
        <w:rPr>
          <w:rStyle w:val="FootnoteReference"/>
        </w:rPr>
        <w:footnoteRef/>
      </w:r>
      <w:r w:rsidRPr="004455E0">
        <w:rPr>
          <w:lang w:val="en-US"/>
        </w:rPr>
        <w:t xml:space="preserve"> Bernd RÜTHER</w:t>
      </w:r>
      <w:r w:rsidRPr="006573C9">
        <w:rPr>
          <w:lang w:val="en-US"/>
        </w:rPr>
        <w:t xml:space="preserve">S, </w:t>
      </w:r>
      <w:r w:rsidRPr="006573C9">
        <w:rPr>
          <w:i/>
          <w:iCs/>
          <w:lang w:val="en-US"/>
        </w:rPr>
        <w:t xml:space="preserve">Die unbegrenzte Auslegung. </w:t>
      </w:r>
      <w:r w:rsidRPr="008C20F7">
        <w:rPr>
          <w:i/>
          <w:iCs/>
        </w:rPr>
        <w:t>Zum Wandel der Privatrechtsordnung im Nationalsozialismus</w:t>
      </w:r>
      <w:r w:rsidRPr="008C20F7">
        <w:t>, Mohr Siebeck, Tüb</w:t>
      </w:r>
      <w:r>
        <w:t>ingen 1968; 8 ed. ampliata 2017</w:t>
      </w:r>
      <w:r w:rsidR="006573C9">
        <w:t xml:space="preserve">, </w:t>
      </w:r>
      <w:r w:rsidR="00A45292">
        <w:t xml:space="preserve">incentrato sulla realtà </w:t>
      </w:r>
      <w:r w:rsidR="004D1C17">
        <w:t xml:space="preserve">storica </w:t>
      </w:r>
      <w:r w:rsidR="00A45292">
        <w:t>dell’</w:t>
      </w:r>
      <w:r w:rsidR="006573C9" w:rsidRPr="008C20F7">
        <w:rPr>
          <w:i/>
          <w:iCs/>
        </w:rPr>
        <w:t>interpretazione Illimitata</w:t>
      </w:r>
      <w:r w:rsidR="00753338">
        <w:t xml:space="preserve">, caratteristica del regime nazionalsocialista </w:t>
      </w:r>
      <w:r w:rsidR="007911F1">
        <w:t xml:space="preserve">che voleva </w:t>
      </w:r>
      <w:r w:rsidR="00753338">
        <w:t>il giudice svincolato dalla legge. M</w:t>
      </w:r>
      <w:r w:rsidR="00166E09">
        <w:t xml:space="preserve">a, sotto ben altri profili, </w:t>
      </w:r>
      <w:r w:rsidR="00753338">
        <w:t>a</w:t>
      </w:r>
      <w:r w:rsidR="00257E5F">
        <w:t xml:space="preserve">nche </w:t>
      </w:r>
      <w:r>
        <w:t xml:space="preserve">nella Repubblica federale tedesca, per l’A., </w:t>
      </w:r>
      <w:r w:rsidRPr="008C20F7">
        <w:t xml:space="preserve">le fonti di diritto </w:t>
      </w:r>
      <w:r w:rsidR="00AF033B" w:rsidRPr="008C20F7">
        <w:t xml:space="preserve">più importanti </w:t>
      </w:r>
      <w:r w:rsidRPr="008C20F7">
        <w:t xml:space="preserve">finiscono per essere </w:t>
      </w:r>
      <w:r>
        <w:t xml:space="preserve">in </w:t>
      </w:r>
      <w:r w:rsidRPr="008C20F7">
        <w:t>pratica le decisioni di ultima istanza</w:t>
      </w:r>
      <w:r w:rsidR="00AF033B">
        <w:t xml:space="preserve">: </w:t>
      </w:r>
      <w:r w:rsidRPr="008C20F7">
        <w:t>modificando il diritto prevalgono su costituzione e leggi causando</w:t>
      </w:r>
      <w:r>
        <w:t>ne</w:t>
      </w:r>
      <w:r w:rsidR="00753338">
        <w:t>, tramite la sempre più massiccia creazione di diritto giurisprudenziale, una “</w:t>
      </w:r>
      <w:r w:rsidRPr="008C20F7">
        <w:t>rivoluzione clandestina</w:t>
      </w:r>
      <w:r w:rsidR="00753338">
        <w:t>”</w:t>
      </w:r>
      <w:r w:rsidRPr="008C20F7">
        <w:t xml:space="preserve"> da </w:t>
      </w:r>
      <w:r w:rsidR="00753338" w:rsidRPr="00753338">
        <w:rPr>
          <w:i/>
        </w:rPr>
        <w:t>S</w:t>
      </w:r>
      <w:r w:rsidRPr="00753338">
        <w:rPr>
          <w:i/>
        </w:rPr>
        <w:t xml:space="preserve">tato </w:t>
      </w:r>
      <w:r w:rsidR="00753338" w:rsidRPr="00753338">
        <w:rPr>
          <w:i/>
        </w:rPr>
        <w:t>di diritto</w:t>
      </w:r>
      <w:r w:rsidR="00753338">
        <w:t xml:space="preserve"> a </w:t>
      </w:r>
      <w:r w:rsidR="00753338" w:rsidRPr="00753338">
        <w:rPr>
          <w:i/>
        </w:rPr>
        <w:t>Stato dei giudici.</w:t>
      </w:r>
      <w:r w:rsidR="00753338">
        <w:t xml:space="preserve"> Id.,</w:t>
      </w:r>
      <w:r w:rsidRPr="008C20F7">
        <w:t xml:space="preserve"> </w:t>
      </w:r>
      <w:r w:rsidRPr="008C20F7">
        <w:rPr>
          <w:i/>
          <w:iCs/>
        </w:rPr>
        <w:t>La rivoluzione clandestina dallo Stato di diritto allo Stato dei giudici, allo Stato dei giudici. Costituzione e metodi. Un saggio</w:t>
      </w:r>
      <w:r w:rsidRPr="008C20F7">
        <w:t>, a cura di G. Stella, Mucchi, Modena 2018 [</w:t>
      </w:r>
      <w:r w:rsidRPr="008C20F7">
        <w:rPr>
          <w:i/>
          <w:iCs/>
        </w:rPr>
        <w:t xml:space="preserve">Die heimliche Revolution vom Rechtsstaat zum Richterstaat. </w:t>
      </w:r>
      <w:r w:rsidRPr="006B4F31">
        <w:rPr>
          <w:i/>
          <w:iCs/>
          <w:lang w:val="en-US"/>
        </w:rPr>
        <w:t>Verfassung und Methoden</w:t>
      </w:r>
      <w:r w:rsidRPr="006B4F31">
        <w:rPr>
          <w:lang w:val="en-US"/>
        </w:rPr>
        <w:t xml:space="preserve">, Mohr Siebeck, Tübingen 2014]. Analogamente Jacques KRYNEN, </w:t>
      </w:r>
      <w:r w:rsidRPr="006B4F31">
        <w:rPr>
          <w:i/>
          <w:iCs/>
          <w:lang w:val="en-US"/>
        </w:rPr>
        <w:t xml:space="preserve">L’État de justice. </w:t>
      </w:r>
      <w:r w:rsidRPr="008C20F7">
        <w:rPr>
          <w:i/>
          <w:iCs/>
        </w:rPr>
        <w:t>France, XIIIe-XXe siècle</w:t>
      </w:r>
      <w:r w:rsidRPr="008C20F7">
        <w:t xml:space="preserve">. Tomo II. </w:t>
      </w:r>
      <w:r w:rsidRPr="008C20F7">
        <w:rPr>
          <w:i/>
          <w:iCs/>
        </w:rPr>
        <w:t>L’emprise contemporaine des juges</w:t>
      </w:r>
      <w:r w:rsidRPr="008C20F7">
        <w:t xml:space="preserve">, Gallimard, Paris 2012, per il quale in tutti gli aspetti della vita privata e pubblica, e malgrado il </w:t>
      </w:r>
      <w:r w:rsidRPr="008C20F7">
        <w:rPr>
          <w:i/>
          <w:iCs/>
        </w:rPr>
        <w:t xml:space="preserve">deficit </w:t>
      </w:r>
      <w:r w:rsidRPr="008C20F7">
        <w:t xml:space="preserve">di legittimazione dei giudici, la Francia è tornata ad essere, sotto gli auspici dello </w:t>
      </w:r>
      <w:r w:rsidRPr="00AF033B">
        <w:rPr>
          <w:i/>
        </w:rPr>
        <w:t>Stato di diritto</w:t>
      </w:r>
      <w:r w:rsidRPr="008C20F7">
        <w:t xml:space="preserve">, lo </w:t>
      </w:r>
      <w:r w:rsidRPr="00AF033B">
        <w:rPr>
          <w:i/>
        </w:rPr>
        <w:t>Stato di giustizia</w:t>
      </w:r>
      <w:r w:rsidRPr="008C20F7">
        <w:t xml:space="preserve"> che era sotto la monarchia, dove i giudici creano norme sulla base del diritto europeo, dei principi generali del diritto, del diritto CEDU. L’A. vede un rimedio nella figura del giudice elettivo.  </w:t>
      </w:r>
    </w:p>
  </w:footnote>
  <w:footnote w:id="5">
    <w:p w:rsidR="00513771" w:rsidRPr="00070C84" w:rsidRDefault="00513771" w:rsidP="00513771">
      <w:pPr>
        <w:pStyle w:val="FootnoteText"/>
        <w:jc w:val="both"/>
      </w:pPr>
      <w:r>
        <w:rPr>
          <w:rStyle w:val="FootnoteReference"/>
        </w:rPr>
        <w:footnoteRef/>
      </w:r>
      <w:r w:rsidRPr="00556B10">
        <w:t xml:space="preserve"> </w:t>
      </w:r>
      <w:r w:rsidR="0038763B">
        <w:t>Analogamente per</w:t>
      </w:r>
      <w:r w:rsidRPr="00556B10">
        <w:t xml:space="preserve"> il movimento </w:t>
      </w:r>
      <w:r w:rsidRPr="00556B10">
        <w:rPr>
          <w:i/>
        </w:rPr>
        <w:t>Law and literature</w:t>
      </w:r>
      <w:r w:rsidR="0038763B">
        <w:t>, che analizza</w:t>
      </w:r>
      <w:r>
        <w:t xml:space="preserve"> i testi legislativi. Il suo fondatore, lo statunitense James </w:t>
      </w:r>
      <w:r w:rsidRPr="00070C84">
        <w:t xml:space="preserve">Boyd WHITE </w:t>
      </w:r>
      <w:r>
        <w:t xml:space="preserve">(n. 1938) si sofferma sulla </w:t>
      </w:r>
      <w:r>
        <w:rPr>
          <w:i/>
        </w:rPr>
        <w:t>c</w:t>
      </w:r>
      <w:r w:rsidRPr="00070C84">
        <w:rPr>
          <w:i/>
        </w:rPr>
        <w:t>onstitutive rhetoric</w:t>
      </w:r>
      <w:r>
        <w:t xml:space="preserve"> dei testi legali, capaci di fare </w:t>
      </w:r>
      <w:r w:rsidRPr="00070C84">
        <w:t xml:space="preserve">del linguaggio o dei simboli </w:t>
      </w:r>
      <w:r>
        <w:t>mezzi</w:t>
      </w:r>
      <w:r w:rsidR="0038763B">
        <w:t xml:space="preserve"> che creano </w:t>
      </w:r>
      <w:r w:rsidRPr="00070C84">
        <w:t>un'identità collettiva per un pubblico</w:t>
      </w:r>
      <w:r>
        <w:t>.</w:t>
      </w:r>
      <w:r w:rsidRPr="00070C84">
        <w:t xml:space="preserve"> </w:t>
      </w:r>
      <w:r w:rsidR="0038763B">
        <w:t xml:space="preserve">Così, </w:t>
      </w:r>
      <w:r>
        <w:t>in particolare</w:t>
      </w:r>
      <w:r w:rsidR="0038763B">
        <w:t xml:space="preserve">, nel </w:t>
      </w:r>
      <w:r w:rsidRPr="00070C84">
        <w:rPr>
          <w:rStyle w:val="mw-headline"/>
          <w:i/>
        </w:rPr>
        <w:t>Law as literature</w:t>
      </w:r>
      <w:r>
        <w:t>, che muove dall’idea che lo stil</w:t>
      </w:r>
      <w:r w:rsidR="0038763B">
        <w:t>e è inseparabile dalla sostanza</w:t>
      </w:r>
      <w:r>
        <w:t xml:space="preserve"> e che l’atto giuridico </w:t>
      </w:r>
      <w:r w:rsidR="004455E0">
        <w:t xml:space="preserve">definisce una </w:t>
      </w:r>
      <w:r w:rsidRPr="00BF1E68">
        <w:t>cultura e</w:t>
      </w:r>
      <w:r w:rsidR="0038763B">
        <w:t xml:space="preserve"> </w:t>
      </w:r>
      <w:r w:rsidR="004455E0">
        <w:t>crea</w:t>
      </w:r>
      <w:r w:rsidRPr="00BF1E68">
        <w:t xml:space="preserve"> relazioni</w:t>
      </w:r>
      <w:r>
        <w:t>.</w:t>
      </w:r>
      <w:r w:rsidRPr="00BF1E68">
        <w:t xml:space="preserve"> </w:t>
      </w:r>
    </w:p>
  </w:footnote>
  <w:footnote w:id="6">
    <w:p w:rsidR="00513771" w:rsidRPr="002906F8" w:rsidRDefault="00513771" w:rsidP="00513771">
      <w:pPr>
        <w:pStyle w:val="FootnoteText"/>
        <w:jc w:val="both"/>
      </w:pPr>
      <w:r w:rsidRPr="002906F8">
        <w:rPr>
          <w:rStyle w:val="FootnoteReference"/>
        </w:rPr>
        <w:footnoteRef/>
      </w:r>
      <w:r w:rsidRPr="00556B10">
        <w:rPr>
          <w:lang w:val="fr-FR"/>
        </w:rPr>
        <w:t xml:space="preserve"> C. ROBIN, </w:t>
      </w:r>
      <w:r w:rsidRPr="00556B10">
        <w:rPr>
          <w:i/>
          <w:lang w:val="fr-FR"/>
        </w:rPr>
        <w:t>Langage et langue judiciaires</w:t>
      </w:r>
      <w:r w:rsidRPr="00556B10">
        <w:rPr>
          <w:lang w:val="fr-FR"/>
        </w:rPr>
        <w:t xml:space="preserve">, in </w:t>
      </w:r>
      <w:r w:rsidRPr="00556B10">
        <w:rPr>
          <w:i/>
          <w:iCs/>
          <w:lang w:val="fr-FR"/>
        </w:rPr>
        <w:t>Dictionnaire de la Justice</w:t>
      </w:r>
      <w:r w:rsidRPr="00556B10">
        <w:rPr>
          <w:lang w:val="fr-FR"/>
        </w:rPr>
        <w:t xml:space="preserve">, Paris 2004, 811. </w:t>
      </w:r>
      <w:r w:rsidRPr="002906F8">
        <w:t xml:space="preserve">B. </w:t>
      </w:r>
      <w:r w:rsidRPr="002906F8">
        <w:rPr>
          <w:bCs/>
        </w:rPr>
        <w:t>MORTARA GARAVELLI</w:t>
      </w:r>
      <w:r w:rsidRPr="002906F8">
        <w:t xml:space="preserve">, </w:t>
      </w:r>
      <w:r w:rsidRPr="002906F8">
        <w:rPr>
          <w:bCs/>
          <w:i/>
        </w:rPr>
        <w:t>Le parole e la giustizia</w:t>
      </w:r>
      <w:r w:rsidRPr="002906F8">
        <w:t xml:space="preserve">. </w:t>
      </w:r>
      <w:r w:rsidRPr="002906F8">
        <w:rPr>
          <w:i/>
        </w:rPr>
        <w:t>Divagazioni grammaticali e retoriche su testi giuridici italiani</w:t>
      </w:r>
      <w:r>
        <w:t>, T</w:t>
      </w:r>
      <w:r w:rsidR="00AF033B">
        <w:t xml:space="preserve">orino </w:t>
      </w:r>
      <w:r>
        <w:t>2001</w:t>
      </w:r>
      <w:r w:rsidRPr="002906F8">
        <w:t>.</w:t>
      </w:r>
    </w:p>
  </w:footnote>
  <w:footnote w:id="7">
    <w:p w:rsidR="00513771" w:rsidRPr="002A52F5" w:rsidRDefault="00513771" w:rsidP="00513771">
      <w:pPr>
        <w:pStyle w:val="FootnoteText"/>
        <w:jc w:val="both"/>
      </w:pPr>
      <w:r>
        <w:rPr>
          <w:rStyle w:val="FootnoteReference"/>
        </w:rPr>
        <w:footnoteRef/>
      </w:r>
      <w:r>
        <w:t xml:space="preserve"> È un’idea </w:t>
      </w:r>
      <w:r w:rsidRPr="005177E1">
        <w:rPr>
          <w:i/>
        </w:rPr>
        <w:t>contra legem</w:t>
      </w:r>
      <w:r>
        <w:t>, che interrompe l’immanenza della collegialità a</w:t>
      </w:r>
      <w:r w:rsidR="004455E0">
        <w:t xml:space="preserve">ll’intero </w:t>
      </w:r>
      <w:r>
        <w:t>l’arco</w:t>
      </w:r>
      <w:r w:rsidR="004455E0">
        <w:t xml:space="preserve"> della decisione per surrogarla, al momento della scrittura, </w:t>
      </w:r>
      <w:r>
        <w:t>con un’impropria personalizzazione dell’estensione. Invece l</w:t>
      </w:r>
      <w:r w:rsidRPr="007F498C">
        <w:t xml:space="preserve">e norme processuali </w:t>
      </w:r>
      <w:r w:rsidR="00D1135D">
        <w:t>configurano</w:t>
      </w:r>
      <w:r>
        <w:t xml:space="preserve"> </w:t>
      </w:r>
      <w:r w:rsidRPr="007F498C">
        <w:t xml:space="preserve">la permanenza della collegialità </w:t>
      </w:r>
      <w:r>
        <w:t xml:space="preserve">anche </w:t>
      </w:r>
      <w:r w:rsidRPr="007F498C">
        <w:t>dopo la decisione</w:t>
      </w:r>
      <w:r>
        <w:t>. La legge distingue</w:t>
      </w:r>
      <w:r w:rsidRPr="007F498C">
        <w:t xml:space="preserve"> tra redazione della </w:t>
      </w:r>
      <w:r w:rsidRPr="002041C4">
        <w:rPr>
          <w:i/>
        </w:rPr>
        <w:t xml:space="preserve">minuta </w:t>
      </w:r>
      <w:r w:rsidRPr="007F498C">
        <w:t xml:space="preserve">dell’estensore e formazione definitiva </w:t>
      </w:r>
      <w:r>
        <w:t xml:space="preserve">della </w:t>
      </w:r>
      <w:r w:rsidRPr="002041C4">
        <w:rPr>
          <w:i/>
        </w:rPr>
        <w:t>sentenza</w:t>
      </w:r>
      <w:r>
        <w:t xml:space="preserve"> </w:t>
      </w:r>
      <w:r w:rsidRPr="007F498C">
        <w:t xml:space="preserve">sotto il controllo del presidente garante della collegialità (art. 118 e 119 disp. att. al Cod. proc. civ.). </w:t>
      </w:r>
      <w:r w:rsidR="00006CC3" w:rsidRPr="00887D4D">
        <w:t xml:space="preserve">La </w:t>
      </w:r>
      <w:r w:rsidR="00006CC3" w:rsidRPr="00887D4D">
        <w:rPr>
          <w:i/>
        </w:rPr>
        <w:t>minuta</w:t>
      </w:r>
      <w:r w:rsidR="00006CC3" w:rsidRPr="00887D4D">
        <w:t xml:space="preserve"> – </w:t>
      </w:r>
      <w:r w:rsidR="004455E0">
        <w:t xml:space="preserve"> </w:t>
      </w:r>
      <w:r w:rsidR="00006CC3" w:rsidRPr="00887D4D">
        <w:t xml:space="preserve">“prima stesura provvisoria di uno scritto, destinata a essere corretta, migliorata, integrata, ecc.” per il </w:t>
      </w:r>
      <w:r w:rsidR="00006CC3" w:rsidRPr="00887D4D">
        <w:rPr>
          <w:i/>
        </w:rPr>
        <w:t xml:space="preserve">Vocabolario Treccani </w:t>
      </w:r>
      <w:r w:rsidR="00006CC3" w:rsidRPr="00887D4D">
        <w:t xml:space="preserve">- è </w:t>
      </w:r>
      <w:r w:rsidR="00006CC3">
        <w:t>sol</w:t>
      </w:r>
      <w:r w:rsidR="004455E0">
        <w:t>tant</w:t>
      </w:r>
      <w:r w:rsidR="00006CC3">
        <w:t xml:space="preserve">o un </w:t>
      </w:r>
      <w:r w:rsidR="00006CC3" w:rsidRPr="00887D4D">
        <w:t>documento preparatorio interno e provvisorio, nemmeno assimilabile ad una proposta, di suo modificabile e rettificabile sia dallo stesso estensore che dal presidente</w:t>
      </w:r>
      <w:r w:rsidR="00006CC3">
        <w:t xml:space="preserve">, </w:t>
      </w:r>
      <w:r w:rsidRPr="007F498C">
        <w:t xml:space="preserve">espressione di un </w:t>
      </w:r>
      <w:r w:rsidRPr="002041C4">
        <w:rPr>
          <w:i/>
        </w:rPr>
        <w:t>munus</w:t>
      </w:r>
      <w:r w:rsidRPr="007F498C">
        <w:t xml:space="preserve"> e non di una committenza o delegazione</w:t>
      </w:r>
      <w:r w:rsidRPr="002041C4">
        <w:rPr>
          <w:i/>
        </w:rPr>
        <w:t xml:space="preserve"> ad personam</w:t>
      </w:r>
      <w:r w:rsidRPr="007F498C">
        <w:t xml:space="preserve">, né di una prerogativa personale </w:t>
      </w:r>
      <w:r>
        <w:t xml:space="preserve">che vorrebbe </w:t>
      </w:r>
      <w:r w:rsidRPr="000560E4">
        <w:t xml:space="preserve">il compito presidenziale </w:t>
      </w:r>
      <w:r>
        <w:t xml:space="preserve">contenuto </w:t>
      </w:r>
      <w:r w:rsidRPr="000560E4">
        <w:t xml:space="preserve">in un’attestazione formale </w:t>
      </w:r>
      <w:r w:rsidR="002836AD">
        <w:t xml:space="preserve">e </w:t>
      </w:r>
      <w:r w:rsidRPr="000560E4">
        <w:t>controfirma che convert</w:t>
      </w:r>
      <w:r w:rsidR="002836AD">
        <w:t>e</w:t>
      </w:r>
      <w:r w:rsidRPr="000560E4">
        <w:t xml:space="preserve"> la monocratizzata minuta in sentenza</w:t>
      </w:r>
      <w:r>
        <w:t xml:space="preserve"> malgrado</w:t>
      </w:r>
      <w:r w:rsidRPr="000560E4">
        <w:t xml:space="preserve"> l’art. 111 Cost. implichi l’imputazione della </w:t>
      </w:r>
      <w:r w:rsidRPr="002041C4">
        <w:rPr>
          <w:i/>
        </w:rPr>
        <w:t>motivazione</w:t>
      </w:r>
      <w:r w:rsidRPr="000560E4">
        <w:t xml:space="preserve"> all’intero collegio. Insomma, a seguire la deriva si andrebbe a interrompere, nella compilazione delle ragioni della decisione, la </w:t>
      </w:r>
      <w:r>
        <w:t xml:space="preserve">funzione di </w:t>
      </w:r>
      <w:r w:rsidRPr="000560E4">
        <w:t xml:space="preserve">garanzia della collegialità, ridotta a </w:t>
      </w:r>
      <w:r>
        <w:t xml:space="preserve">occasione di </w:t>
      </w:r>
      <w:r w:rsidRPr="000560E4">
        <w:t>certificazione privilegiata. L’effetto sarebbe di monocratizzazione e ri-personalizzazione</w:t>
      </w:r>
      <w:r>
        <w:t xml:space="preserve"> della motivazione</w:t>
      </w:r>
      <w:r w:rsidRPr="000560E4">
        <w:t xml:space="preserve">: di riflesso, di responsabilità civile per atto altrui. Eppure assicurare la coerenza delle decisioni è l'essenza della giurisprudenza e la base della sua attitudine a </w:t>
      </w:r>
      <w:r>
        <w:t xml:space="preserve">generare </w:t>
      </w:r>
      <w:r w:rsidRPr="000560E4">
        <w:t>sicurezza giuridica</w:t>
      </w:r>
      <w:r>
        <w:t xml:space="preserve">. Sia consentito il rinvio a G. SEVERINI, </w:t>
      </w:r>
      <w:r w:rsidRPr="00C86726">
        <w:rPr>
          <w:i/>
        </w:rPr>
        <w:t>I ‘due corpi del giudice’, ovvero dell’impersonalità delle decisioni giudiziarie</w:t>
      </w:r>
      <w:r>
        <w:t xml:space="preserve">, </w:t>
      </w:r>
      <w:r w:rsidR="00484FBF" w:rsidRPr="00AD2157">
        <w:t xml:space="preserve">in </w:t>
      </w:r>
      <w:hyperlink r:id="rId1" w:history="1">
        <w:r w:rsidR="00484FBF" w:rsidRPr="00AD2157">
          <w:rPr>
            <w:rStyle w:val="Hyperlink"/>
            <w:i/>
            <w:color w:val="auto"/>
            <w:u w:val="none"/>
          </w:rPr>
          <w:t>www.federalismi.it</w:t>
        </w:r>
      </w:hyperlink>
      <w:r w:rsidR="00484FBF" w:rsidRPr="00AD2157">
        <w:t xml:space="preserve">, n. 7 del 28 marzo 2018; in </w:t>
      </w:r>
      <w:hyperlink r:id="rId2" w:history="1">
        <w:r w:rsidR="00484FBF" w:rsidRPr="00AD2157">
          <w:rPr>
            <w:rStyle w:val="Hyperlink"/>
            <w:i/>
            <w:color w:val="auto"/>
            <w:u w:val="none"/>
          </w:rPr>
          <w:t>www.giustizia-amministrativa.it</w:t>
        </w:r>
      </w:hyperlink>
      <w:r w:rsidR="00484FBF" w:rsidRPr="00AD2157">
        <w:t xml:space="preserve">, 2018; in </w:t>
      </w:r>
      <w:r w:rsidR="00484FBF" w:rsidRPr="00AD2157">
        <w:rPr>
          <w:i/>
          <w:iCs/>
        </w:rPr>
        <w:t xml:space="preserve">Scritti in onore di Luigi Manzi </w:t>
      </w:r>
      <w:r w:rsidR="00484FBF" w:rsidRPr="00AD2157">
        <w:rPr>
          <w:i/>
        </w:rPr>
        <w:t>(La professione del giurista)</w:t>
      </w:r>
      <w:r w:rsidR="00484FBF" w:rsidRPr="00AD2157">
        <w:t>, Roma 2018</w:t>
      </w:r>
      <w:r w:rsidR="00484FBF">
        <w:t xml:space="preserve"> </w:t>
      </w:r>
      <w:r w:rsidRPr="002A52F5">
        <w:t xml:space="preserve">e </w:t>
      </w:r>
      <w:r w:rsidRPr="002A52F5">
        <w:rPr>
          <w:i/>
        </w:rPr>
        <w:t>La sicurezza giuridica e le nuove implicazioni della nomofilachia</w:t>
      </w:r>
      <w:r w:rsidRPr="002A52F5">
        <w:t xml:space="preserve">, ivi, </w:t>
      </w:r>
      <w:r w:rsidRPr="002A52F5">
        <w:rPr>
          <w:iCs/>
        </w:rPr>
        <w:t>n. 19/2018.</w:t>
      </w:r>
    </w:p>
  </w:footnote>
  <w:footnote w:id="8">
    <w:p w:rsidR="00513771" w:rsidRDefault="00513771" w:rsidP="00513771">
      <w:pPr>
        <w:pStyle w:val="FootnoteText"/>
        <w:jc w:val="both"/>
      </w:pPr>
      <w:r>
        <w:rPr>
          <w:rStyle w:val="FootnoteReference"/>
        </w:rPr>
        <w:footnoteRef/>
      </w:r>
      <w:r>
        <w:t xml:space="preserve"> </w:t>
      </w:r>
      <w:r w:rsidRPr="00471C04">
        <w:t xml:space="preserve">M. WEBER, </w:t>
      </w:r>
      <w:r w:rsidRPr="00471C04">
        <w:rPr>
          <w:i/>
          <w:iCs/>
        </w:rPr>
        <w:t>Wirtschaft und Gesellschaft</w:t>
      </w:r>
      <w:r w:rsidRPr="00471C04">
        <w:t xml:space="preserve">, Tübingen, Mohr, 1922, ed. critica Winckelmann, 1956, trad. it. coord. da P. Rossi, </w:t>
      </w:r>
      <w:r w:rsidRPr="00471C04">
        <w:rPr>
          <w:i/>
          <w:iCs/>
        </w:rPr>
        <w:t>Economia e società</w:t>
      </w:r>
      <w:r w:rsidRPr="00471C04">
        <w:t xml:space="preserve">, 2^ ed. it., Milano, Comunità, 1968, III. 100 ss..  </w:t>
      </w:r>
    </w:p>
  </w:footnote>
  <w:footnote w:id="9">
    <w:p w:rsidR="00513771" w:rsidRPr="00425E18" w:rsidRDefault="00513771" w:rsidP="00513771">
      <w:pPr>
        <w:pStyle w:val="FootnoteText"/>
        <w:jc w:val="both"/>
      </w:pPr>
      <w:r>
        <w:rPr>
          <w:rStyle w:val="FootnoteReference"/>
        </w:rPr>
        <w:footnoteRef/>
      </w:r>
      <w:r>
        <w:t xml:space="preserve"> N. IRTI, </w:t>
      </w:r>
      <w:r w:rsidRPr="00D636C3">
        <w:rPr>
          <w:i/>
        </w:rPr>
        <w:t>Un diritto incalcolabile</w:t>
      </w:r>
      <w:r>
        <w:t xml:space="preserve">, </w:t>
      </w:r>
      <w:r w:rsidRPr="00425E18">
        <w:t>Torino 2016</w:t>
      </w:r>
      <w:r w:rsidR="00B556E6">
        <w:t>, cit.</w:t>
      </w:r>
      <w:r w:rsidRPr="00425E18">
        <w:t xml:space="preserve">; AA.VV., </w:t>
      </w:r>
      <w:r w:rsidRPr="00425E18">
        <w:rPr>
          <w:i/>
          <w:iCs/>
        </w:rPr>
        <w:t>Calcolabilità giuridica</w:t>
      </w:r>
      <w:r w:rsidRPr="00425E18">
        <w:t>, a cura di A. Carleo, Bologna 201</w:t>
      </w:r>
      <w:r w:rsidR="00B556E6">
        <w:t xml:space="preserve">7. </w:t>
      </w:r>
    </w:p>
  </w:footnote>
  <w:footnote w:id="10">
    <w:p w:rsidR="00774464" w:rsidRDefault="00774464" w:rsidP="00774464">
      <w:pPr>
        <w:pStyle w:val="FootnoteText"/>
        <w:jc w:val="both"/>
      </w:pPr>
      <w:r w:rsidRPr="008C20F7">
        <w:footnoteRef/>
      </w:r>
      <w:r>
        <w:t xml:space="preserve"> V. ad esempio il cap. XVII, </w:t>
      </w:r>
      <w:r w:rsidRPr="00314A0C">
        <w:rPr>
          <w:i/>
        </w:rPr>
        <w:t>Dello stile de’ giudici, e tribunali nel conoscere a giudicare, e decidere le cause</w:t>
      </w:r>
      <w:r>
        <w:t xml:space="preserve">, nell’opera recentemente ripubblicata del card. G.B. DE LUCA, </w:t>
      </w:r>
      <w:r w:rsidRPr="00314A0C">
        <w:rPr>
          <w:i/>
        </w:rPr>
        <w:t>Lo stile legale</w:t>
      </w:r>
      <w:r>
        <w:rPr>
          <w:i/>
        </w:rPr>
        <w:t xml:space="preserve"> </w:t>
      </w:r>
      <w:r>
        <w:t xml:space="preserve">[1674], Bologna 2010, 165. </w:t>
      </w:r>
    </w:p>
    <w:p w:rsidR="00774464" w:rsidRDefault="00774464" w:rsidP="00774464">
      <w:pPr>
        <w:pStyle w:val="FootnoteText"/>
        <w:jc w:val="both"/>
      </w:pPr>
      <w:r w:rsidRPr="00927B06">
        <w:t xml:space="preserve">Il dovere di motivazione è frutto di un lungo processo storico che giunge a risultato soltanto </w:t>
      </w:r>
      <w:r>
        <w:t>alla fine del sec. XVIII</w:t>
      </w:r>
      <w:r w:rsidRPr="00927B06">
        <w:t xml:space="preserve">. Contrassegna sia la </w:t>
      </w:r>
      <w:r>
        <w:t xml:space="preserve">progressiva </w:t>
      </w:r>
      <w:r w:rsidRPr="00927B06">
        <w:t xml:space="preserve">secolarizzazione della giustizia, sia il mutamento della sua </w:t>
      </w:r>
      <w:r w:rsidRPr="00927B06">
        <w:rPr>
          <w:i/>
        </w:rPr>
        <w:t>auctoritas</w:t>
      </w:r>
      <w:r w:rsidRPr="00927B06">
        <w:t>: non più discendente dal sovrano e, sopra di lui, dall’imperscrutabile disegno divino (</w:t>
      </w:r>
      <w:r w:rsidRPr="00927B06">
        <w:rPr>
          <w:i/>
        </w:rPr>
        <w:t>omnis potestas a Deo</w:t>
      </w:r>
      <w:r w:rsidRPr="00927B06">
        <w:t>) ma risalente dalla Nazione e dalla volontà generale espressa nella legge. Perciò la singola decisione non può essere più “oracolare”</w:t>
      </w:r>
      <w:r>
        <w:rPr>
          <w:vertAlign w:val="superscript"/>
        </w:rPr>
        <w:t xml:space="preserve"> </w:t>
      </w:r>
      <w:r>
        <w:t>[cioè misteriosa ed enigmatica.</w:t>
      </w:r>
      <w:r w:rsidRPr="00DA572C">
        <w:t xml:space="preserve"> </w:t>
      </w:r>
      <w:r>
        <w:t xml:space="preserve">Ricorda Livio (9.46.5) che, pur dopo le XII Tavole, il </w:t>
      </w:r>
      <w:r w:rsidRPr="00837123">
        <w:rPr>
          <w:i/>
        </w:rPr>
        <w:t>ius civile</w:t>
      </w:r>
      <w:r>
        <w:t xml:space="preserve"> era “</w:t>
      </w:r>
      <w:r w:rsidRPr="00837123">
        <w:rPr>
          <w:i/>
        </w:rPr>
        <w:t>re</w:t>
      </w:r>
      <w:r>
        <w:rPr>
          <w:i/>
        </w:rPr>
        <w:t xml:space="preserve">positum </w:t>
      </w:r>
      <w:r w:rsidRPr="00837123">
        <w:rPr>
          <w:i/>
        </w:rPr>
        <w:t>in penetralibus pontificium</w:t>
      </w:r>
      <w:r>
        <w:t xml:space="preserve">”: infatti i </w:t>
      </w:r>
      <w:r w:rsidRPr="00837123">
        <w:rPr>
          <w:i/>
        </w:rPr>
        <w:t>responsa</w:t>
      </w:r>
      <w:r>
        <w:t xml:space="preserve"> dei </w:t>
      </w:r>
      <w:r w:rsidRPr="00837123">
        <w:rPr>
          <w:i/>
        </w:rPr>
        <w:t>pontifices</w:t>
      </w:r>
      <w:r>
        <w:t xml:space="preserve">, cui ne era riservata l’interpretazione, erano dati oralmente e senza motivazione: cfr. G. VALDITARA, </w:t>
      </w:r>
      <w:r w:rsidRPr="00837123">
        <w:rPr>
          <w:i/>
        </w:rPr>
        <w:t>Diritto pubblico romano</w:t>
      </w:r>
      <w:r>
        <w:t>, Torino 2013, 16] m</w:t>
      </w:r>
      <w:r w:rsidRPr="00927B06">
        <w:t xml:space="preserve">a va giustificata dal giudice manifestando per iscritto il ragionamento deduttivo che la ha generata: dove </w:t>
      </w:r>
      <w:r>
        <w:t xml:space="preserve">– è lo schema del </w:t>
      </w:r>
      <w:r w:rsidRPr="008376F8">
        <w:rPr>
          <w:i/>
        </w:rPr>
        <w:t>sillogismo giuridico</w:t>
      </w:r>
      <w:r>
        <w:t xml:space="preserve"> - </w:t>
      </w:r>
      <w:r w:rsidRPr="00927B06">
        <w:t>la legge rappresenta la premessa maggiore, l’accertamento del caso concreto la premessa minore, la decisione la deduzione. Il dovere di motivazione è un tratto essenziale dello Stato di diritto, per il quale l’esercizio dei poteri diversi dal legislativo va sempre giustificata rispetto al primato della legge</w:t>
      </w:r>
      <w:r>
        <w:t xml:space="preserve">. </w:t>
      </w:r>
    </w:p>
    <w:p w:rsidR="00774464" w:rsidRPr="0061621F" w:rsidRDefault="00774464" w:rsidP="00774464">
      <w:pPr>
        <w:pStyle w:val="FootnoteText"/>
        <w:jc w:val="both"/>
      </w:pPr>
      <w:r>
        <w:t>Questo carattere si riflette simbolicamente nel progressivo mutare dell’intestazione delle sentenze, evocante la legittimazione del giudice (</w:t>
      </w:r>
      <w:r w:rsidRPr="00F91462">
        <w:rPr>
          <w:i/>
        </w:rPr>
        <w:t>In nomine Domini</w:t>
      </w:r>
      <w:r w:rsidRPr="005C7E3A">
        <w:t>,</w:t>
      </w:r>
      <w:r w:rsidRPr="008C20F7">
        <w:t xml:space="preserve"> </w:t>
      </w:r>
      <w:r w:rsidRPr="00F91462">
        <w:rPr>
          <w:i/>
        </w:rPr>
        <w:t>In nome di Sua Maestà</w:t>
      </w:r>
      <w:r w:rsidRPr="005C7E3A">
        <w:t xml:space="preserve">, ecc.; </w:t>
      </w:r>
      <w:r w:rsidRPr="00F91462">
        <w:rPr>
          <w:i/>
        </w:rPr>
        <w:t>In nome della Legge</w:t>
      </w:r>
      <w:r w:rsidRPr="008C20F7">
        <w:t xml:space="preserve">; </w:t>
      </w:r>
      <w:r w:rsidRPr="00F91462">
        <w:rPr>
          <w:i/>
        </w:rPr>
        <w:t>In nome del Popolo</w:t>
      </w:r>
      <w:r>
        <w:t xml:space="preserve">, ecc.: v. oggi </w:t>
      </w:r>
      <w:r w:rsidRPr="005C7E3A">
        <w:t xml:space="preserve">art. 101 </w:t>
      </w:r>
      <w:r>
        <w:t xml:space="preserve">Cost., </w:t>
      </w:r>
      <w:r w:rsidRPr="008C20F7">
        <w:t>«</w:t>
      </w:r>
      <w:r w:rsidRPr="00927B06">
        <w:rPr>
          <w:i/>
        </w:rPr>
        <w:t>La giustizia è amministrata in nome del popolo</w:t>
      </w:r>
      <w:r w:rsidRPr="008C20F7">
        <w:t>»</w:t>
      </w:r>
      <w:r w:rsidRPr="005C7E3A">
        <w:t>)</w:t>
      </w:r>
      <w:r>
        <w:t xml:space="preserve">. Si collega alla regola della </w:t>
      </w:r>
      <w:r w:rsidRPr="00625C28">
        <w:t>pubblicità del processo</w:t>
      </w:r>
      <w:r>
        <w:t xml:space="preserve">. La </w:t>
      </w:r>
      <w:r w:rsidRPr="00927B06">
        <w:rPr>
          <w:i/>
        </w:rPr>
        <w:t>ratio</w:t>
      </w:r>
      <w:r>
        <w:t>, come evidenzia la Costituzione belga (n</w:t>
      </w:r>
      <w:r w:rsidRPr="00927B06">
        <w:t xml:space="preserve">el 1831, la Costituzione liberale del Belgio elevò il principio al rango costituzionale: </w:t>
      </w:r>
      <w:r w:rsidRPr="00927B06">
        <w:rPr>
          <w:i/>
        </w:rPr>
        <w:t xml:space="preserve">«Tout jugement est motivé: Il est prononcé en audience publique» </w:t>
      </w:r>
      <w:r w:rsidRPr="00927B06">
        <w:t>(art. 97, oggi - dopo la revisione del 1994 - art. 149)</w:t>
      </w:r>
      <w:r>
        <w:t xml:space="preserve">), è la medesima: il </w:t>
      </w:r>
      <w:r w:rsidRPr="005C7E3A">
        <w:t xml:space="preserve">cittadino </w:t>
      </w:r>
      <w:r>
        <w:t xml:space="preserve">deve poter </w:t>
      </w:r>
      <w:r w:rsidRPr="005C7E3A">
        <w:t>conoscere quanto si svolge nell’aula di giustizia</w:t>
      </w:r>
      <w:r>
        <w:t xml:space="preserve"> e perché si decide in un certo modo, i</w:t>
      </w:r>
      <w:r w:rsidRPr="005C7E3A">
        <w:t>l processo non è fatto privato del gi</w:t>
      </w:r>
      <w:r>
        <w:t>udice,</w:t>
      </w:r>
      <w:r w:rsidRPr="005C7E3A">
        <w:t xml:space="preserve"> né rapporto </w:t>
      </w:r>
      <w:r>
        <w:t>intercluso con le parti</w:t>
      </w:r>
      <w:r w:rsidRPr="005C7E3A">
        <w:t xml:space="preserve"> e gli avvocati.</w:t>
      </w:r>
      <w:r w:rsidRPr="00DF7E96">
        <w:t xml:space="preserve"> </w:t>
      </w:r>
      <w:r>
        <w:t xml:space="preserve">Sicché il </w:t>
      </w:r>
      <w:r w:rsidRPr="008C20F7">
        <w:t>dovere</w:t>
      </w:r>
      <w:r>
        <w:t xml:space="preserve"> </w:t>
      </w:r>
      <w:r w:rsidRPr="008C20F7">
        <w:t xml:space="preserve">di motivazione </w:t>
      </w:r>
      <w:r>
        <w:t>va di pari co</w:t>
      </w:r>
      <w:r w:rsidRPr="005C7E3A">
        <w:t xml:space="preserve">l principio della </w:t>
      </w:r>
      <w:r w:rsidRPr="008C20F7">
        <w:t>pubblicità del processo</w:t>
      </w:r>
      <w:r w:rsidRPr="005C7E3A">
        <w:t xml:space="preserve"> </w:t>
      </w:r>
      <w:r>
        <w:t xml:space="preserve">(presente già in </w:t>
      </w:r>
      <w:r w:rsidRPr="005C7E3A">
        <w:t>Costantino</w:t>
      </w:r>
      <w:r>
        <w:t>),</w:t>
      </w:r>
      <w:r w:rsidRPr="005C7E3A">
        <w:t xml:space="preserve"> proclamato </w:t>
      </w:r>
      <w:r>
        <w:t>in via generale da</w:t>
      </w:r>
      <w:r w:rsidRPr="005C7E3A">
        <w:t xml:space="preserve">lla Costituzione </w:t>
      </w:r>
      <w:r>
        <w:t xml:space="preserve">termidoriana </w:t>
      </w:r>
      <w:r w:rsidRPr="005C7E3A">
        <w:t>dell’</w:t>
      </w:r>
      <w:r>
        <w:t>A</w:t>
      </w:r>
      <w:r w:rsidRPr="005C7E3A">
        <w:t>nno III (1795)</w:t>
      </w:r>
      <w:r>
        <w:t>.</w:t>
      </w:r>
    </w:p>
    <w:p w:rsidR="00774464" w:rsidRPr="00DF7E96" w:rsidRDefault="00774464" w:rsidP="00774464">
      <w:pPr>
        <w:pStyle w:val="FootnoteText"/>
        <w:jc w:val="both"/>
      </w:pPr>
      <w:r>
        <w:t>I</w:t>
      </w:r>
      <w:r w:rsidRPr="005C7E3A">
        <w:t xml:space="preserve">n Italia la </w:t>
      </w:r>
      <w:r w:rsidRPr="00927B06">
        <w:rPr>
          <w:i/>
        </w:rPr>
        <w:t>pubblicità del processo</w:t>
      </w:r>
      <w:r w:rsidRPr="005C7E3A">
        <w:t xml:space="preserve"> fu </w:t>
      </w:r>
      <w:r>
        <w:t xml:space="preserve">formalmente affermata </w:t>
      </w:r>
      <w:r w:rsidRPr="005C7E3A">
        <w:t>dall’art. 72 dello Statuto del Regno (1848)</w:t>
      </w:r>
      <w:r>
        <w:t xml:space="preserve">; </w:t>
      </w:r>
      <w:r w:rsidRPr="005C7E3A">
        <w:t xml:space="preserve">oggi </w:t>
      </w:r>
      <w:r>
        <w:t xml:space="preserve">la </w:t>
      </w:r>
      <w:r w:rsidRPr="005C7E3A">
        <w:t xml:space="preserve">si </w:t>
      </w:r>
      <w:r>
        <w:t>collega</w:t>
      </w:r>
      <w:r w:rsidRPr="005C7E3A">
        <w:t xml:space="preserve"> </w:t>
      </w:r>
      <w:r>
        <w:t xml:space="preserve">anche </w:t>
      </w:r>
      <w:r w:rsidRPr="005C7E3A">
        <w:t xml:space="preserve">all’art. 6 della </w:t>
      </w:r>
      <w:r w:rsidRPr="00927B06">
        <w:rPr>
          <w:i/>
        </w:rPr>
        <w:t>Convenzione europea di salvaguardia dei diritti dell'uomo e delle libertà fondamentali</w:t>
      </w:r>
      <w:r w:rsidRPr="005C7E3A">
        <w:t xml:space="preserve"> (CEDU).</w:t>
      </w:r>
    </w:p>
    <w:p w:rsidR="00774464" w:rsidRPr="008C20F7" w:rsidRDefault="00774464" w:rsidP="00774464">
      <w:pPr>
        <w:pStyle w:val="FootnoteText"/>
        <w:jc w:val="both"/>
      </w:pPr>
      <w:r>
        <w:t xml:space="preserve">Per quanto appaia singolare alla nostra </w:t>
      </w:r>
      <w:r w:rsidRPr="00927B06">
        <w:rPr>
          <w:i/>
        </w:rPr>
        <w:t>forma mentis</w:t>
      </w:r>
      <w:r>
        <w:t xml:space="preserve">, al giudice medievale era fatto divieto di </w:t>
      </w:r>
      <w:r w:rsidRPr="00927B06">
        <w:rPr>
          <w:i/>
        </w:rPr>
        <w:t>“exprimere causam in sententia”</w:t>
      </w:r>
      <w:r w:rsidRPr="00927B06">
        <w:t>.</w:t>
      </w:r>
      <w:r>
        <w:t xml:space="preserve"> La ricognizione del divieto risiedeva nella decretale pontificia </w:t>
      </w:r>
      <w:r w:rsidRPr="00927B06">
        <w:rPr>
          <w:i/>
        </w:rPr>
        <w:t>Sicut nobis</w:t>
      </w:r>
      <w:r>
        <w:t xml:space="preserve">, di Innocenzo III (1161-1216): </w:t>
      </w:r>
      <w:r w:rsidRPr="00927B06">
        <w:rPr>
          <w:i/>
        </w:rPr>
        <w:t xml:space="preserve">«Cum autem in plerisque locis, in quibus copia prudentum habetur, id moris exsistat, quod omnia, quae iudicem movent, non exprimatur in sententiis proferendis, vobis taliter respondemus quod, cum exdepositionibus testium praedictorum constiterit vobis, sententiam a iudice suo fuisse prolatam, propter auctoritatem iudiciarium praesumi debet omnia legitime processisse» </w:t>
      </w:r>
      <w:r w:rsidRPr="008C20F7">
        <w:t xml:space="preserve">(E. BAURA, J. CANOSA, </w:t>
      </w:r>
      <w:r w:rsidRPr="00927B06">
        <w:rPr>
          <w:i/>
        </w:rPr>
        <w:t>La giustizia nell'attività amministrativa della Chiesa: il contenzioso amministrativo</w:t>
      </w:r>
      <w:r w:rsidRPr="008C20F7">
        <w:t xml:space="preserve">, Milano 2006, 261). Il principio privilegiava il </w:t>
      </w:r>
      <w:r w:rsidRPr="00927B06">
        <w:rPr>
          <w:i/>
        </w:rPr>
        <w:t>favor iudicis</w:t>
      </w:r>
      <w:r w:rsidRPr="008C20F7">
        <w:t xml:space="preserve"> (</w:t>
      </w:r>
      <w:r w:rsidRPr="00927B06">
        <w:rPr>
          <w:i/>
        </w:rPr>
        <w:t>imperium</w:t>
      </w:r>
      <w:r w:rsidRPr="008C20F7">
        <w:t xml:space="preserve">) sul </w:t>
      </w:r>
      <w:r w:rsidRPr="00927B06">
        <w:rPr>
          <w:i/>
        </w:rPr>
        <w:t>favor veritatis</w:t>
      </w:r>
      <w:r w:rsidRPr="008C20F7">
        <w:t xml:space="preserve"> (</w:t>
      </w:r>
      <w:r w:rsidRPr="00927B06">
        <w:rPr>
          <w:i/>
        </w:rPr>
        <w:t>ratio</w:t>
      </w:r>
      <w:r w:rsidRPr="008C20F7">
        <w:t>). E così Baldo degli Ubaldi (1327-1400) scriveva che sulla base dell'«</w:t>
      </w:r>
      <w:r w:rsidRPr="00927B06">
        <w:rPr>
          <w:i/>
        </w:rPr>
        <w:t>auctoritas iudiciaria praesumuntur omnia sollenniter acta etiam si iudex esset unus ribaldus. Tene menti</w:t>
      </w:r>
      <w:r w:rsidRPr="008C20F7">
        <w:t>»; e il giudice che manifestasse la motivazione (</w:t>
      </w:r>
      <w:r w:rsidRPr="00552E99">
        <w:rPr>
          <w:i/>
        </w:rPr>
        <w:t>causa</w:t>
      </w:r>
      <w:r w:rsidRPr="008C20F7">
        <w:t>) era stimato «</w:t>
      </w:r>
      <w:r w:rsidRPr="00927B06">
        <w:rPr>
          <w:i/>
        </w:rPr>
        <w:t>fatuus</w:t>
      </w:r>
      <w:r w:rsidRPr="008C20F7">
        <w:t xml:space="preserve">». </w:t>
      </w:r>
    </w:p>
    <w:p w:rsidR="00774464" w:rsidRPr="008C20F7" w:rsidRDefault="00774464" w:rsidP="00774464">
      <w:pPr>
        <w:pStyle w:val="FootnoteText"/>
        <w:jc w:val="both"/>
      </w:pPr>
      <w:r w:rsidRPr="008C20F7">
        <w:t xml:space="preserve">Solo a seguito di un lento movimento dell’opinione dei dottori avverso all’ermetismo e all’arbitrio delle decisioni, o a </w:t>
      </w:r>
      <w:r w:rsidRPr="00927B06">
        <w:rPr>
          <w:i/>
        </w:rPr>
        <w:t xml:space="preserve">“i misteri della giurisprudenza”, </w:t>
      </w:r>
      <w:r w:rsidRPr="008C20F7">
        <w:t>si affermò lentamente nei vari stati italiani il dovere di motivazione.</w:t>
      </w:r>
    </w:p>
    <w:p w:rsidR="00774464" w:rsidRPr="008C20F7" w:rsidRDefault="00774464" w:rsidP="00774464">
      <w:pPr>
        <w:pStyle w:val="FootnoteText"/>
        <w:jc w:val="both"/>
      </w:pPr>
      <w:r w:rsidRPr="008C20F7">
        <w:t xml:space="preserve">Mette conto di ricordare (attingendo tra l’altro a M. TARUFFO, </w:t>
      </w:r>
      <w:r w:rsidRPr="00927B06">
        <w:rPr>
          <w:i/>
        </w:rPr>
        <w:t>L'obbligo di motivazione della sentenza civile tra diritto comune e illuminismo</w:t>
      </w:r>
      <w:r w:rsidRPr="008C20F7">
        <w:t xml:space="preserve">, in </w:t>
      </w:r>
      <w:r w:rsidRPr="00927B06">
        <w:rPr>
          <w:i/>
        </w:rPr>
        <w:t>Riv. dir. proc.</w:t>
      </w:r>
      <w:r w:rsidRPr="008C20F7">
        <w:t xml:space="preserve">, 1974, II, 265 ss. </w:t>
      </w:r>
      <w:r>
        <w:t xml:space="preserve">e a G. GORLA, </w:t>
      </w:r>
      <w:r w:rsidRPr="00DA59F9">
        <w:rPr>
          <w:i/>
        </w:rPr>
        <w:t xml:space="preserve">I </w:t>
      </w:r>
      <w:r w:rsidRPr="00DA59F9">
        <w:rPr>
          <w:bCs/>
          <w:i/>
        </w:rPr>
        <w:t>motivi</w:t>
      </w:r>
      <w:r w:rsidRPr="00DA59F9">
        <w:rPr>
          <w:i/>
        </w:rPr>
        <w:t xml:space="preserve"> delle </w:t>
      </w:r>
      <w:r w:rsidRPr="00DA59F9">
        <w:rPr>
          <w:bCs/>
          <w:i/>
        </w:rPr>
        <w:t>sentenze e il loro stile</w:t>
      </w:r>
      <w:r w:rsidRPr="00DA59F9">
        <w:rPr>
          <w:i/>
        </w:rPr>
        <w:t xml:space="preserve"> fra i secoli XVI e XIX,</w:t>
      </w:r>
      <w:r>
        <w:t xml:space="preserve">1978 e Id., </w:t>
      </w:r>
      <w:r>
        <w:rPr>
          <w:bCs/>
          <w:i/>
        </w:rPr>
        <w:t>Sulla via dei «</w:t>
      </w:r>
      <w:r w:rsidRPr="00DA59F9">
        <w:rPr>
          <w:bCs/>
          <w:i/>
        </w:rPr>
        <w:t>motivi» delle «sentenze»: lacune e trappole</w:t>
      </w:r>
      <w:r>
        <w:rPr>
          <w:b/>
          <w:bCs/>
        </w:rPr>
        <w:t xml:space="preserve">, </w:t>
      </w:r>
      <w:r w:rsidRPr="00DA59F9">
        <w:rPr>
          <w:bCs/>
        </w:rPr>
        <w:t>in</w:t>
      </w:r>
      <w:r>
        <w:rPr>
          <w:b/>
          <w:bCs/>
        </w:rPr>
        <w:t xml:space="preserve"> </w:t>
      </w:r>
      <w:r w:rsidRPr="00DA59F9">
        <w:rPr>
          <w:i/>
          <w:iCs/>
        </w:rPr>
        <w:t>Foro It</w:t>
      </w:r>
      <w:r>
        <w:rPr>
          <w:i/>
          <w:iCs/>
        </w:rPr>
        <w:t>.</w:t>
      </w:r>
      <w:r>
        <w:t xml:space="preserve">, 1980, V, </w:t>
      </w:r>
      <w:r w:rsidRPr="00DA59F9">
        <w:t>201</w:t>
      </w:r>
      <w:r>
        <w:t xml:space="preserve"> ss.) </w:t>
      </w:r>
      <w:r w:rsidRPr="008C20F7">
        <w:t>come il tema fu aff</w:t>
      </w:r>
      <w:r>
        <w:t>rontato nei vari stati italiani.</w:t>
      </w:r>
    </w:p>
    <w:p w:rsidR="00774464" w:rsidRPr="008C20F7" w:rsidRDefault="00774464" w:rsidP="00774464">
      <w:pPr>
        <w:pStyle w:val="FootnoteText"/>
        <w:jc w:val="both"/>
      </w:pPr>
      <w:r w:rsidRPr="008C20F7">
        <w:t xml:space="preserve">A Firenze: nel 1532 e nel 1560 si impose l’obbligo di motivare, a richiesta delle parti, in un atto materialmente distinto dalla decisione; </w:t>
      </w:r>
      <w:r>
        <w:t xml:space="preserve">l’atto </w:t>
      </w:r>
      <w:r w:rsidRPr="008C20F7">
        <w:t xml:space="preserve">doveva essere trasmesso alle parti e all’ufficio del </w:t>
      </w:r>
      <w:r w:rsidRPr="00927B06">
        <w:rPr>
          <w:i/>
        </w:rPr>
        <w:t>Proconsolo</w:t>
      </w:r>
      <w:r w:rsidRPr="008C20F7">
        <w:t xml:space="preserve">. </w:t>
      </w:r>
    </w:p>
    <w:p w:rsidR="00774464" w:rsidRDefault="00774464" w:rsidP="00774464">
      <w:pPr>
        <w:pStyle w:val="FootnoteText"/>
        <w:jc w:val="both"/>
      </w:pPr>
      <w:r w:rsidRPr="008C20F7">
        <w:t xml:space="preserve">A Roma: la costituzione apostolica </w:t>
      </w:r>
      <w:r w:rsidRPr="00927B06">
        <w:rPr>
          <w:i/>
        </w:rPr>
        <w:t>In throno iustitiae</w:t>
      </w:r>
      <w:r w:rsidRPr="008C20F7">
        <w:t xml:space="preserve"> (1562) di Pio IV (1499-1565) anticipò la motivazione alla sentenza, </w:t>
      </w:r>
      <w:r>
        <w:t xml:space="preserve">ma </w:t>
      </w:r>
      <w:r w:rsidRPr="008C20F7">
        <w:t xml:space="preserve">secondo la pratica propria della </w:t>
      </w:r>
      <w:r w:rsidRPr="002836AD">
        <w:rPr>
          <w:i/>
        </w:rPr>
        <w:t>Rota Romana</w:t>
      </w:r>
      <w:r>
        <w:t xml:space="preserve">, diffidente per quanto oggi chiamiamo la cosa giudicata </w:t>
      </w:r>
      <w:r w:rsidR="00280C48">
        <w:t xml:space="preserve">- perché l’impronta canonistica </w:t>
      </w:r>
      <w:r w:rsidR="00280C48" w:rsidRPr="00280C48">
        <w:t xml:space="preserve">aspira ad accertare la verità dei rapporti più che </w:t>
      </w:r>
      <w:r w:rsidR="00B1134F">
        <w:t xml:space="preserve">ad assicurare </w:t>
      </w:r>
      <w:r w:rsidR="00280C48" w:rsidRPr="00280C48">
        <w:t>la loro stabilità</w:t>
      </w:r>
      <w:r w:rsidR="00280C48">
        <w:t xml:space="preserve"> - </w:t>
      </w:r>
      <w:r>
        <w:t>e incurante del decorso del tempo (all’ultimo visto anzi come un positivo fattore di attenuazione dell’</w:t>
      </w:r>
      <w:r w:rsidRPr="00A119EC">
        <w:rPr>
          <w:i/>
        </w:rPr>
        <w:t>animus litigandi</w:t>
      </w:r>
      <w:r>
        <w:t xml:space="preserve">). </w:t>
      </w:r>
      <w:r w:rsidR="00280C48">
        <w:t>L’</w:t>
      </w:r>
      <w:r w:rsidR="00280C48" w:rsidRPr="00280C48">
        <w:rPr>
          <w:i/>
        </w:rPr>
        <w:t>Auditor ponens</w:t>
      </w:r>
      <w:r w:rsidR="00280C48">
        <w:t xml:space="preserve">, o </w:t>
      </w:r>
      <w:r w:rsidRPr="00927B06">
        <w:rPr>
          <w:i/>
        </w:rPr>
        <w:t>Ponens</w:t>
      </w:r>
      <w:r w:rsidRPr="008C20F7">
        <w:t xml:space="preserve"> (i</w:t>
      </w:r>
      <w:r>
        <w:t>l relatore, che poi non votava)</w:t>
      </w:r>
      <w:r w:rsidRPr="008C20F7">
        <w:t xml:space="preserve"> riceveva anche a casa e per mezzo del suo segretario i difensori, trattava la causa </w:t>
      </w:r>
      <w:r>
        <w:t xml:space="preserve">e formulava </w:t>
      </w:r>
      <w:r w:rsidRPr="008C20F7">
        <w:t xml:space="preserve">un progetto di </w:t>
      </w:r>
      <w:r w:rsidRPr="00927B06">
        <w:rPr>
          <w:i/>
        </w:rPr>
        <w:t>decisio</w:t>
      </w:r>
      <w:r w:rsidRPr="008C20F7">
        <w:t xml:space="preserve">, </w:t>
      </w:r>
      <w:r>
        <w:t xml:space="preserve">con </w:t>
      </w:r>
      <w:r w:rsidRPr="008C20F7">
        <w:t xml:space="preserve">motivazione, che veniva sottoposto alle parti che potevano presentarvi </w:t>
      </w:r>
      <w:r w:rsidR="005E54BB">
        <w:t xml:space="preserve">acquiescenza ovvero </w:t>
      </w:r>
      <w:r w:rsidRPr="008C20F7">
        <w:t>controdeduzioni e repliche</w:t>
      </w:r>
      <w:r w:rsidR="005E54BB">
        <w:t xml:space="preserve"> (</w:t>
      </w:r>
      <w:r w:rsidR="005E54BB" w:rsidRPr="005E54BB">
        <w:rPr>
          <w:i/>
        </w:rPr>
        <w:t>dubia</w:t>
      </w:r>
      <w:r w:rsidR="005E54BB">
        <w:t>)</w:t>
      </w:r>
      <w:r w:rsidRPr="008C20F7">
        <w:t xml:space="preserve">: alla ricerca - mediante successivi e ripetuti </w:t>
      </w:r>
      <w:r w:rsidRPr="002A52F5">
        <w:rPr>
          <w:i/>
        </w:rPr>
        <w:t xml:space="preserve">audiatur </w:t>
      </w:r>
      <w:r w:rsidRPr="008C20F7">
        <w:t xml:space="preserve">dai tempi lunghi </w:t>
      </w:r>
      <w:r w:rsidR="005E54BB">
        <w:t xml:space="preserve">e nuovi progetti di </w:t>
      </w:r>
      <w:r w:rsidR="005E54BB" w:rsidRPr="005E54BB">
        <w:rPr>
          <w:i/>
        </w:rPr>
        <w:t>decisio</w:t>
      </w:r>
      <w:r w:rsidR="005E54BB">
        <w:t xml:space="preserve"> </w:t>
      </w:r>
      <w:r w:rsidRPr="008C20F7">
        <w:t xml:space="preserve">- del loro consenso, a prevenire </w:t>
      </w:r>
      <w:r w:rsidR="005E54BB">
        <w:t xml:space="preserve">dissensi e </w:t>
      </w:r>
      <w:r w:rsidRPr="008C20F7">
        <w:t xml:space="preserve">appelli. Solo alla fine di questi ritorni, la causa veniva “spedita” </w:t>
      </w:r>
      <w:r w:rsidRPr="002A52F5">
        <w:rPr>
          <w:i/>
        </w:rPr>
        <w:t>(expediatur</w:t>
      </w:r>
      <w:r w:rsidRPr="008C20F7">
        <w:t>) a sentenza.</w:t>
      </w:r>
    </w:p>
    <w:p w:rsidR="00774464" w:rsidRPr="008C20F7" w:rsidRDefault="00774464" w:rsidP="00774464">
      <w:pPr>
        <w:pStyle w:val="FootnoteText"/>
        <w:jc w:val="both"/>
      </w:pPr>
      <w:r>
        <w:t>A Torino: n</w:t>
      </w:r>
      <w:r w:rsidRPr="008C20F7">
        <w:t>el 1729 fu introdotto l’obbligo generale di motivazione. Ma le Regie Costituzioni del 1729 e del 1770 lo restrinsero al caso della richiesta delle parti o del capo dell’ufficio.</w:t>
      </w:r>
      <w:r>
        <w:t xml:space="preserve"> </w:t>
      </w:r>
      <w:r w:rsidRPr="00810113">
        <w:t xml:space="preserve">Nel 1838 </w:t>
      </w:r>
      <w:r>
        <w:t xml:space="preserve">una </w:t>
      </w:r>
      <w:r w:rsidRPr="00810113">
        <w:t xml:space="preserve">regia </w:t>
      </w:r>
      <w:r>
        <w:t xml:space="preserve">patente </w:t>
      </w:r>
      <w:r w:rsidRPr="00810113">
        <w:t xml:space="preserve">di Carlo Alberto </w:t>
      </w:r>
      <w:r>
        <w:t xml:space="preserve">stabilì </w:t>
      </w:r>
      <w:r w:rsidRPr="00810113">
        <w:t xml:space="preserve">l’obbligo di motivare ma </w:t>
      </w:r>
      <w:r>
        <w:t>per le s</w:t>
      </w:r>
      <w:r w:rsidRPr="00810113">
        <w:t>upreme magistrature</w:t>
      </w:r>
      <w:r>
        <w:t xml:space="preserve">, lasciandola </w:t>
      </w:r>
      <w:r w:rsidRPr="00810113">
        <w:t>per i giudici inferiori “a richiesta”</w:t>
      </w:r>
      <w:r>
        <w:t>.</w:t>
      </w:r>
    </w:p>
    <w:p w:rsidR="00774464" w:rsidRPr="00BE3769" w:rsidRDefault="00774464" w:rsidP="00774464">
      <w:pPr>
        <w:pStyle w:val="FootnoteText"/>
        <w:jc w:val="both"/>
      </w:pPr>
      <w:r w:rsidRPr="008C20F7">
        <w:t xml:space="preserve">A Milano: la sentenza del Senato milanese, che </w:t>
      </w:r>
      <w:r w:rsidRPr="00927B06">
        <w:rPr>
          <w:i/>
        </w:rPr>
        <w:t>'iudicat tamquam Deus'</w:t>
      </w:r>
      <w:r w:rsidRPr="008C20F7">
        <w:t xml:space="preserve">, </w:t>
      </w:r>
      <w:r>
        <w:t>era rigorosamente non motivat</w:t>
      </w:r>
      <w:r w:rsidRPr="008C20F7">
        <w:t xml:space="preserve">a. La regola fu confermata dall’imperatrice Maria Teresa (1772). Pietro e Alessandro Verri criticarono severamente il </w:t>
      </w:r>
      <w:r w:rsidRPr="00BE3769">
        <w:rPr>
          <w:i/>
        </w:rPr>
        <w:t xml:space="preserve">mistero </w:t>
      </w:r>
      <w:r w:rsidRPr="008C20F7">
        <w:t>e l’arbitrio che ne potevano derivare. Finalmente, con finalità strettamente endoprocessuale, nel 1786 provvide i</w:t>
      </w:r>
      <w:r w:rsidRPr="00BE3769">
        <w:t xml:space="preserve">l </w:t>
      </w:r>
      <w:r w:rsidRPr="00BE3769">
        <w:rPr>
          <w:i/>
        </w:rPr>
        <w:t>Regolamento del processo civile per la Lombardia austriaca</w:t>
      </w:r>
      <w:r w:rsidRPr="00BE3769">
        <w:t xml:space="preserve"> (versione adattata del </w:t>
      </w:r>
      <w:r w:rsidRPr="00BE3769">
        <w:rPr>
          <w:i/>
        </w:rPr>
        <w:t>Civil Gerichtsordnung</w:t>
      </w:r>
      <w:r w:rsidRPr="00BE3769">
        <w:t xml:space="preserve"> austriaco del 1781 dell’imperatore Giuseppe II, per il quale la motivazione </w:t>
      </w:r>
      <w:r>
        <w:t>andava</w:t>
      </w:r>
      <w:r w:rsidRPr="00BE3769">
        <w:t xml:space="preserve"> redatta, comunicata alle parti senza pubblicità e al giudice dell'impugnazione). </w:t>
      </w:r>
      <w:r>
        <w:t>Era</w:t>
      </w:r>
      <w:r w:rsidRPr="00BE3769">
        <w:t xml:space="preserve"> un codice giurisdizionalista con incisivo controllo pubblico sul giudice, privato di poteri arbitrali e ora subordinato alla legge, pur se interventista rispetto alle parti nella gestione del processo.</w:t>
      </w:r>
    </w:p>
    <w:p w:rsidR="00774464" w:rsidRDefault="00774464" w:rsidP="00774464">
      <w:pPr>
        <w:pStyle w:val="FootnoteText"/>
        <w:jc w:val="both"/>
        <w:rPr>
          <w:rFonts w:cstheme="minorHAnsi"/>
        </w:rPr>
      </w:pPr>
      <w:r>
        <w:t>A Napoli: i</w:t>
      </w:r>
      <w:r w:rsidRPr="008C20F7">
        <w:t xml:space="preserve">l </w:t>
      </w:r>
      <w:r w:rsidRPr="00927B06">
        <w:rPr>
          <w:i/>
        </w:rPr>
        <w:t>Sacro Regio Consiglio</w:t>
      </w:r>
      <w:r w:rsidRPr="008C20F7">
        <w:t xml:space="preserve"> non motivava. Ma la </w:t>
      </w:r>
      <w:r w:rsidRPr="008161ED">
        <w:rPr>
          <w:i/>
        </w:rPr>
        <w:t>prammatica</w:t>
      </w:r>
      <w:r w:rsidRPr="008C20F7">
        <w:t xml:space="preserve"> del 27 sette</w:t>
      </w:r>
      <w:r>
        <w:t>mbre 1774 di Ferdinando IV</w:t>
      </w:r>
      <w:r w:rsidR="00E02757">
        <w:t xml:space="preserve"> introdusse l’obbligo di motivazione</w:t>
      </w:r>
      <w:r>
        <w:t xml:space="preserve"> e così </w:t>
      </w:r>
      <w:r w:rsidR="00E02757">
        <w:t xml:space="preserve">l’applicativo </w:t>
      </w:r>
      <w:r w:rsidRPr="00106D03">
        <w:rPr>
          <w:i/>
        </w:rPr>
        <w:t>dispaccio</w:t>
      </w:r>
      <w:r>
        <w:t xml:space="preserve"> d</w:t>
      </w:r>
      <w:r w:rsidRPr="008C20F7">
        <w:t>el 25 novembre 1774 del</w:t>
      </w:r>
      <w:r>
        <w:t xml:space="preserve"> Segretario di Stato, l’illuminista</w:t>
      </w:r>
      <w:r w:rsidRPr="008C20F7">
        <w:t xml:space="preserve"> Bernardo </w:t>
      </w:r>
      <w:r>
        <w:t xml:space="preserve">Tanucci, </w:t>
      </w:r>
      <w:r w:rsidRPr="008C20F7">
        <w:t xml:space="preserve">dispose: </w:t>
      </w:r>
      <w:r w:rsidRPr="00927B06">
        <w:rPr>
          <w:i/>
        </w:rPr>
        <w:t>«Per togliere alla malignità e alla frode qualunque pretesto, ed assicurare nell'opinione del pubblico la esattezza e la religiosità dei magistrati, vuole la Maestà Sua, anche sull'esempio e sull'uso dei tribunali più rinomati, che in qualunque decisione che riguardi o la causa principale, o gli incidenti, fatta da qualunque tribunale di Napoli, o collegio, o giunta, o</w:t>
      </w:r>
      <w:r w:rsidRPr="00FA131E">
        <w:rPr>
          <w:rFonts w:cstheme="minorHAnsi"/>
          <w:i/>
        </w:rPr>
        <w:t xml:space="preserve"> altro giudice della stessa capitale, che abbia la facoltà di decidere, </w:t>
      </w:r>
      <w:r w:rsidRPr="000F09B2">
        <w:rPr>
          <w:rFonts w:cstheme="minorHAnsi"/>
          <w:i/>
        </w:rPr>
        <w:t>si spieghi la ragion di decidere, o sieno i motivi sù quali la decisione è appoggiata»</w:t>
      </w:r>
      <w:r w:rsidRPr="000F09B2">
        <w:rPr>
          <w:rFonts w:cstheme="minorHAnsi"/>
        </w:rPr>
        <w:t>, imponendo</w:t>
      </w:r>
      <w:r>
        <w:rPr>
          <w:rFonts w:cstheme="minorHAnsi"/>
        </w:rPr>
        <w:t xml:space="preserve"> il sillogismo giuridico su </w:t>
      </w:r>
      <w:r w:rsidRPr="006233CF">
        <w:rPr>
          <w:rFonts w:cstheme="minorHAnsi"/>
          <w:i/>
        </w:rPr>
        <w:t>«sulle leggi espresse del regno, o comune»</w:t>
      </w:r>
      <w:r w:rsidRPr="000F09B2">
        <w:rPr>
          <w:rFonts w:cstheme="minorHAnsi"/>
        </w:rPr>
        <w:t>.</w:t>
      </w:r>
      <w:r w:rsidRPr="000F09B2">
        <w:rPr>
          <w:rFonts w:cstheme="minorHAnsi"/>
          <w:i/>
        </w:rPr>
        <w:t xml:space="preserve"> </w:t>
      </w:r>
      <w:r>
        <w:rPr>
          <w:rFonts w:cstheme="minorHAnsi"/>
        </w:rPr>
        <w:t xml:space="preserve">Disapplicata dal </w:t>
      </w:r>
      <w:r w:rsidRPr="00F03F5D">
        <w:rPr>
          <w:rFonts w:cstheme="minorHAnsi"/>
          <w:i/>
        </w:rPr>
        <w:t>Consiglio</w:t>
      </w:r>
      <w:r>
        <w:rPr>
          <w:rFonts w:cstheme="minorHAnsi"/>
        </w:rPr>
        <w:t xml:space="preserve">, </w:t>
      </w:r>
      <w:r w:rsidRPr="000F09B2">
        <w:rPr>
          <w:rFonts w:cstheme="minorHAnsi"/>
          <w:i/>
        </w:rPr>
        <w:t>“la bocca del Re”</w:t>
      </w:r>
      <w:r>
        <w:rPr>
          <w:rFonts w:cstheme="minorHAnsi"/>
        </w:rPr>
        <w:t xml:space="preserve">, </w:t>
      </w:r>
      <w:r w:rsidR="00497429">
        <w:rPr>
          <w:rFonts w:cstheme="minorHAnsi"/>
        </w:rPr>
        <w:t xml:space="preserve">estromesso </w:t>
      </w:r>
      <w:r w:rsidR="00A76318">
        <w:rPr>
          <w:rFonts w:cstheme="minorHAnsi"/>
        </w:rPr>
        <w:t xml:space="preserve">Tanucci </w:t>
      </w:r>
      <w:r w:rsidR="00497429">
        <w:rPr>
          <w:rFonts w:cstheme="minorHAnsi"/>
        </w:rPr>
        <w:t xml:space="preserve">(1776) </w:t>
      </w:r>
      <w:r>
        <w:rPr>
          <w:rFonts w:cstheme="minorHAnsi"/>
        </w:rPr>
        <w:t xml:space="preserve">la regola fu abolita </w:t>
      </w:r>
      <w:r w:rsidR="00497429">
        <w:rPr>
          <w:rFonts w:cstheme="minorHAnsi"/>
        </w:rPr>
        <w:t xml:space="preserve">dal </w:t>
      </w:r>
      <w:r w:rsidRPr="007074E2">
        <w:rPr>
          <w:rFonts w:cstheme="minorHAnsi"/>
        </w:rPr>
        <w:t>rescritto abrogativo del 6 novembre 1791</w:t>
      </w:r>
      <w:r w:rsidRPr="000F09B2">
        <w:rPr>
          <w:rFonts w:cstheme="minorHAnsi"/>
        </w:rPr>
        <w:t>.</w:t>
      </w:r>
    </w:p>
    <w:p w:rsidR="00774464" w:rsidRPr="00B33467" w:rsidRDefault="00774464" w:rsidP="00774464">
      <w:pPr>
        <w:pStyle w:val="FootnoteText"/>
        <w:jc w:val="both"/>
        <w:rPr>
          <w:rFonts w:cstheme="minorHAnsi"/>
        </w:rPr>
      </w:pPr>
      <w:r w:rsidRPr="00927B06">
        <w:rPr>
          <w:rFonts w:cstheme="minorHAnsi"/>
        </w:rPr>
        <w:t>In Francia</w:t>
      </w:r>
      <w:r>
        <w:rPr>
          <w:rFonts w:cstheme="minorHAnsi"/>
        </w:rPr>
        <w:t xml:space="preserve"> vigeva il principio della non obbligatorietà della motivazione da parte dei potenti e incontinenti </w:t>
      </w:r>
      <w:r w:rsidRPr="007B3BEC">
        <w:rPr>
          <w:rFonts w:cstheme="minorHAnsi"/>
          <w:i/>
        </w:rPr>
        <w:t>Parlements</w:t>
      </w:r>
      <w:r>
        <w:rPr>
          <w:rFonts w:cstheme="minorHAnsi"/>
        </w:rPr>
        <w:t xml:space="preserve">. </w:t>
      </w:r>
      <w:r w:rsidRPr="00B33467">
        <w:rPr>
          <w:rFonts w:cstheme="minorHAnsi"/>
        </w:rPr>
        <w:t>MONTESQUIEU sottolineava però la necessità di una giurisprudenza uniforme, da raggiungere conservando le decisioni dei tribunali: «</w:t>
      </w:r>
      <w:r w:rsidRPr="00B33467">
        <w:rPr>
          <w:rFonts w:cstheme="minorHAnsi"/>
          <w:i/>
          <w:iCs/>
        </w:rPr>
        <w:t>elles doivent être apprises pour que l'on y juge aujourd'hui comme l'on jugea hier</w:t>
      </w:r>
      <w:r w:rsidRPr="00B33467">
        <w:rPr>
          <w:rFonts w:cstheme="minorHAnsi"/>
        </w:rPr>
        <w:t>»</w:t>
      </w:r>
      <w:r w:rsidRPr="00B33467">
        <w:rPr>
          <w:rFonts w:cstheme="minorHAnsi"/>
          <w:i/>
        </w:rPr>
        <w:t xml:space="preserve"> </w:t>
      </w:r>
      <w:r w:rsidRPr="00B33467">
        <w:rPr>
          <w:rFonts w:cstheme="minorHAnsi"/>
        </w:rPr>
        <w:t>(</w:t>
      </w:r>
      <w:r w:rsidRPr="00B33467">
        <w:rPr>
          <w:rFonts w:cstheme="minorHAnsi"/>
          <w:i/>
          <w:iCs/>
        </w:rPr>
        <w:t xml:space="preserve">De l'esprit des lois </w:t>
      </w:r>
      <w:r w:rsidRPr="00B33467">
        <w:rPr>
          <w:rFonts w:cstheme="minorHAnsi"/>
          <w:iCs/>
        </w:rPr>
        <w:t>(1748)</w:t>
      </w:r>
      <w:r w:rsidRPr="00B33467">
        <w:rPr>
          <w:rFonts w:cstheme="minorHAnsi"/>
        </w:rPr>
        <w:t>, I, 6, 1, 81).</w:t>
      </w:r>
    </w:p>
    <w:p w:rsidR="00774464" w:rsidRDefault="00774464" w:rsidP="00774464">
      <w:pPr>
        <w:pStyle w:val="FootnoteText"/>
        <w:jc w:val="both"/>
        <w:rPr>
          <w:rFonts w:cstheme="minorHAnsi"/>
        </w:rPr>
      </w:pPr>
      <w:r>
        <w:rPr>
          <w:rFonts w:cstheme="minorHAnsi"/>
        </w:rPr>
        <w:t>La Rivoluzione impose l’obbligo di motivazione generalizzato (</w:t>
      </w:r>
      <w:r w:rsidRPr="00190D71">
        <w:rPr>
          <w:rFonts w:cstheme="minorHAnsi"/>
        </w:rPr>
        <w:t>legge 16-24 agosto 1790</w:t>
      </w:r>
      <w:r w:rsidRPr="00190D71">
        <w:rPr>
          <w:rFonts w:ascii="Arial" w:hAnsi="Arial" w:cs="Arial"/>
          <w:sz w:val="22"/>
          <w:szCs w:val="22"/>
        </w:rPr>
        <w:t xml:space="preserve"> </w:t>
      </w:r>
      <w:r w:rsidRPr="00190D71">
        <w:rPr>
          <w:rFonts w:cstheme="minorHAnsi"/>
        </w:rPr>
        <w:t>sull'organizzazione giudiziaria</w:t>
      </w:r>
      <w:r>
        <w:rPr>
          <w:rFonts w:cstheme="minorHAnsi"/>
        </w:rPr>
        <w:t>: all'art. 15, T</w:t>
      </w:r>
      <w:r w:rsidRPr="00190D71">
        <w:rPr>
          <w:rFonts w:cstheme="minorHAnsi"/>
        </w:rPr>
        <w:t>it. V</w:t>
      </w:r>
      <w:r>
        <w:rPr>
          <w:rFonts w:cstheme="minorHAnsi"/>
        </w:rPr>
        <w:t>,</w:t>
      </w:r>
      <w:r w:rsidRPr="00190D71">
        <w:rPr>
          <w:rFonts w:cstheme="minorHAnsi"/>
        </w:rPr>
        <w:t xml:space="preserve"> </w:t>
      </w:r>
      <w:r>
        <w:rPr>
          <w:rFonts w:cstheme="minorHAnsi"/>
        </w:rPr>
        <w:t>prevede</w:t>
      </w:r>
      <w:r w:rsidRPr="00190D71">
        <w:rPr>
          <w:rFonts w:cstheme="minorHAnsi"/>
        </w:rPr>
        <w:t xml:space="preserve"> che ogni </w:t>
      </w:r>
      <w:r w:rsidRPr="00190D71">
        <w:rPr>
          <w:rFonts w:cstheme="minorHAnsi"/>
          <w:bCs/>
        </w:rPr>
        <w:t>sentenza</w:t>
      </w:r>
      <w:r>
        <w:rPr>
          <w:rFonts w:cstheme="minorHAnsi"/>
          <w:b/>
          <w:bCs/>
        </w:rPr>
        <w:t xml:space="preserve"> </w:t>
      </w:r>
      <w:r w:rsidRPr="00190D71">
        <w:rPr>
          <w:rFonts w:cstheme="minorHAnsi"/>
        </w:rPr>
        <w:t>si componga di quattro parti</w:t>
      </w:r>
      <w:r>
        <w:rPr>
          <w:rFonts w:cstheme="minorHAnsi"/>
        </w:rPr>
        <w:t>; l</w:t>
      </w:r>
      <w:r w:rsidRPr="00190D71">
        <w:rPr>
          <w:rFonts w:cstheme="minorHAnsi"/>
        </w:rPr>
        <w:t xml:space="preserve">e prime due </w:t>
      </w:r>
      <w:r>
        <w:rPr>
          <w:rFonts w:cstheme="minorHAnsi"/>
        </w:rPr>
        <w:t>contengono</w:t>
      </w:r>
      <w:r w:rsidRPr="00190D71">
        <w:rPr>
          <w:rFonts w:cstheme="minorHAnsi"/>
        </w:rPr>
        <w:t xml:space="preserve"> i nomi delle parti e le questioni di fatto e di diritto; «</w:t>
      </w:r>
      <w:r w:rsidRPr="00190D71">
        <w:rPr>
          <w:rFonts w:cstheme="minorHAnsi"/>
          <w:i/>
          <w:iCs/>
        </w:rPr>
        <w:t xml:space="preserve">dans la troisième, le résultat des faits reconnus ou constatés par l'instruction, et les motifs qui auront déterminé le jugement seront exprimés. </w:t>
      </w:r>
      <w:r w:rsidRPr="008B6D6D">
        <w:rPr>
          <w:rFonts w:cstheme="minorHAnsi"/>
          <w:i/>
          <w:iCs/>
          <w:lang w:val="fr-FR"/>
        </w:rPr>
        <w:t>La quatrième enfin contiendra le dispositif du jugement</w:t>
      </w:r>
      <w:r w:rsidRPr="008B6D6D">
        <w:rPr>
          <w:rFonts w:cstheme="minorHAnsi"/>
          <w:lang w:val="fr-FR"/>
        </w:rPr>
        <w:t>»</w:t>
      </w:r>
      <w:r>
        <w:rPr>
          <w:rFonts w:cstheme="minorHAnsi"/>
          <w:lang w:val="fr-FR"/>
        </w:rPr>
        <w:t>)</w:t>
      </w:r>
      <w:r w:rsidRPr="008B6D6D">
        <w:rPr>
          <w:rFonts w:cstheme="minorHAnsi"/>
          <w:lang w:val="fr-FR"/>
        </w:rPr>
        <w:t xml:space="preserve">. </w:t>
      </w:r>
      <w:r w:rsidRPr="001B243A">
        <w:rPr>
          <w:rFonts w:cstheme="minorHAnsi"/>
          <w:lang w:val="fr-FR"/>
        </w:rPr>
        <w:t xml:space="preserve">La Costituzione dell’Anno III (Termidoro, </w:t>
      </w:r>
      <w:r>
        <w:rPr>
          <w:rFonts w:cstheme="minorHAnsi"/>
          <w:lang w:val="fr-FR"/>
        </w:rPr>
        <w:t xml:space="preserve">1795), come detto, </w:t>
      </w:r>
      <w:r w:rsidRPr="00927B06">
        <w:rPr>
          <w:rFonts w:cstheme="minorHAnsi"/>
          <w:lang w:val="fr-FR"/>
        </w:rPr>
        <w:t xml:space="preserve">confermò il precetto: </w:t>
      </w:r>
      <w:r w:rsidRPr="00927B06">
        <w:rPr>
          <w:rFonts w:cstheme="minorHAnsi"/>
          <w:i/>
          <w:lang w:val="fr-FR"/>
        </w:rPr>
        <w:t>«Les séances des tribunaux sont publiques; les juges délibèrent en secret; les jugements sont prononcés à haute voix; ils sont motivés, et on y énonce les termes de la loi appliquée»</w:t>
      </w:r>
      <w:r w:rsidRPr="00927B06">
        <w:rPr>
          <w:rFonts w:cstheme="minorHAnsi"/>
          <w:lang w:val="fr-FR"/>
        </w:rPr>
        <w:t xml:space="preserve"> (art. 208).</w:t>
      </w:r>
      <w:r>
        <w:rPr>
          <w:rFonts w:cstheme="minorHAnsi"/>
          <w:lang w:val="fr-FR"/>
        </w:rPr>
        <w:t xml:space="preserve"> </w:t>
      </w:r>
      <w:r>
        <w:rPr>
          <w:rFonts w:cstheme="minorHAnsi"/>
        </w:rPr>
        <w:t xml:space="preserve">Il precetto </w:t>
      </w:r>
      <w:r w:rsidRPr="00927B06">
        <w:rPr>
          <w:rFonts w:cstheme="minorHAnsi"/>
        </w:rPr>
        <w:t xml:space="preserve">fu recepito dalla legge 20 aprile 1810, che all’art. 7 prescrisse la nullità della sentenza </w:t>
      </w:r>
      <w:r>
        <w:rPr>
          <w:rFonts w:cstheme="minorHAnsi"/>
        </w:rPr>
        <w:t>che difetta</w:t>
      </w:r>
      <w:r w:rsidRPr="00927B06">
        <w:rPr>
          <w:rFonts w:cstheme="minorHAnsi"/>
        </w:rPr>
        <w:t xml:space="preserve"> di motivazione.</w:t>
      </w:r>
      <w:r>
        <w:rPr>
          <w:rFonts w:cstheme="minorHAnsi"/>
        </w:rPr>
        <w:t xml:space="preserve"> N</w:t>
      </w:r>
      <w:r w:rsidRPr="00927B06">
        <w:rPr>
          <w:rFonts w:cstheme="minorHAnsi"/>
        </w:rPr>
        <w:t xml:space="preserve">elle costituzioni successive il principio non </w:t>
      </w:r>
      <w:r>
        <w:rPr>
          <w:rFonts w:cstheme="minorHAnsi"/>
        </w:rPr>
        <w:t xml:space="preserve">fu </w:t>
      </w:r>
      <w:r w:rsidRPr="00927B06">
        <w:rPr>
          <w:rFonts w:cstheme="minorHAnsi"/>
        </w:rPr>
        <w:t>ripetuto e non è presente nell’attuale del 1958; ma è comunque ritenuto del rango dei principi di valore costituzionale</w:t>
      </w:r>
      <w:r>
        <w:rPr>
          <w:rFonts w:cstheme="minorHAnsi"/>
        </w:rPr>
        <w:t xml:space="preserve">: </w:t>
      </w:r>
      <w:r w:rsidRPr="00B0790C">
        <w:rPr>
          <w:i/>
        </w:rPr>
        <w:t>Conseil constitutionnel</w:t>
      </w:r>
      <w:r>
        <w:t>, 3 novembre 1977, n. 77-101.</w:t>
      </w:r>
    </w:p>
    <w:p w:rsidR="00774464" w:rsidRDefault="00774464" w:rsidP="00774464">
      <w:pPr>
        <w:pStyle w:val="FootnoteText"/>
        <w:jc w:val="both"/>
        <w:rPr>
          <w:rFonts w:cstheme="minorHAnsi"/>
        </w:rPr>
      </w:pPr>
      <w:r w:rsidRPr="00927B06">
        <w:rPr>
          <w:rFonts w:cstheme="minorHAnsi"/>
        </w:rPr>
        <w:t xml:space="preserve">Nei Paesi di </w:t>
      </w:r>
      <w:r w:rsidRPr="00B6603C">
        <w:rPr>
          <w:rFonts w:cstheme="minorHAnsi"/>
          <w:i/>
        </w:rPr>
        <w:t>common law</w:t>
      </w:r>
      <w:r w:rsidRPr="00927B06">
        <w:rPr>
          <w:rFonts w:cstheme="minorHAnsi"/>
        </w:rPr>
        <w:t>,</w:t>
      </w:r>
      <w:r w:rsidRPr="00812F68">
        <w:rPr>
          <w:rFonts w:cstheme="minorHAnsi"/>
        </w:rPr>
        <w:t xml:space="preserve"> l’esposizione delle </w:t>
      </w:r>
      <w:r w:rsidRPr="00927B06">
        <w:rPr>
          <w:rFonts w:cstheme="minorHAnsi"/>
          <w:i/>
        </w:rPr>
        <w:t>reasons for the judgment</w:t>
      </w:r>
      <w:r w:rsidRPr="00927B06">
        <w:rPr>
          <w:rFonts w:cstheme="minorHAnsi"/>
        </w:rPr>
        <w:t xml:space="preserve"> </w:t>
      </w:r>
      <w:r w:rsidRPr="00D549FF">
        <w:rPr>
          <w:rFonts w:cstheme="minorHAnsi"/>
        </w:rPr>
        <w:t>(</w:t>
      </w:r>
      <w:r>
        <w:rPr>
          <w:rFonts w:cstheme="minorHAnsi"/>
        </w:rPr>
        <w:t xml:space="preserve">o </w:t>
      </w:r>
      <w:r w:rsidRPr="00927B06">
        <w:rPr>
          <w:rFonts w:cstheme="minorHAnsi"/>
          <w:i/>
        </w:rPr>
        <w:t>grounds of the the judgment</w:t>
      </w:r>
      <w:r w:rsidRPr="00D549FF">
        <w:rPr>
          <w:rFonts w:cstheme="minorHAnsi"/>
        </w:rPr>
        <w:t>)</w:t>
      </w:r>
      <w:r>
        <w:rPr>
          <w:rFonts w:cstheme="minorHAnsi"/>
        </w:rPr>
        <w:t xml:space="preserve"> </w:t>
      </w:r>
      <w:r w:rsidRPr="00812F68">
        <w:rPr>
          <w:rFonts w:cstheme="minorHAnsi"/>
        </w:rPr>
        <w:t xml:space="preserve">non è prescritta da </w:t>
      </w:r>
      <w:r>
        <w:rPr>
          <w:rFonts w:cstheme="minorHAnsi"/>
        </w:rPr>
        <w:t>norme</w:t>
      </w:r>
      <w:r w:rsidRPr="00812F68">
        <w:rPr>
          <w:rFonts w:cstheme="minorHAnsi"/>
        </w:rPr>
        <w:t xml:space="preserve">, ma è </w:t>
      </w:r>
      <w:r>
        <w:rPr>
          <w:rFonts w:cstheme="minorHAnsi"/>
        </w:rPr>
        <w:t xml:space="preserve">stimata </w:t>
      </w:r>
      <w:r w:rsidRPr="00812F68">
        <w:rPr>
          <w:rFonts w:cstheme="minorHAnsi"/>
        </w:rPr>
        <w:t xml:space="preserve">immanente </w:t>
      </w:r>
      <w:r>
        <w:rPr>
          <w:rFonts w:cstheme="minorHAnsi"/>
        </w:rPr>
        <w:t xml:space="preserve">all’idea stessa di </w:t>
      </w:r>
      <w:r>
        <w:rPr>
          <w:rFonts w:cstheme="minorHAnsi"/>
          <w:i/>
        </w:rPr>
        <w:t>j</w:t>
      </w:r>
      <w:r w:rsidRPr="00812F68">
        <w:rPr>
          <w:rFonts w:cstheme="minorHAnsi"/>
          <w:i/>
        </w:rPr>
        <w:t>udgment</w:t>
      </w:r>
      <w:r>
        <w:rPr>
          <w:rFonts w:cstheme="minorHAnsi"/>
        </w:rPr>
        <w:t>, fondato sull’</w:t>
      </w:r>
      <w:r w:rsidRPr="007B3BEC">
        <w:rPr>
          <w:rFonts w:cstheme="minorHAnsi"/>
          <w:i/>
        </w:rPr>
        <w:t>opinion</w:t>
      </w:r>
      <w:r>
        <w:rPr>
          <w:rFonts w:cstheme="minorHAnsi"/>
        </w:rPr>
        <w:t xml:space="preserve"> di chi lo scrive, e </w:t>
      </w:r>
      <w:r w:rsidRPr="00812F68">
        <w:rPr>
          <w:rFonts w:cstheme="minorHAnsi"/>
        </w:rPr>
        <w:t xml:space="preserve">al sistema dello </w:t>
      </w:r>
      <w:r w:rsidRPr="00812F68">
        <w:rPr>
          <w:rFonts w:cstheme="minorHAnsi"/>
          <w:i/>
        </w:rPr>
        <w:t>stare decisis</w:t>
      </w:r>
      <w:r>
        <w:rPr>
          <w:rFonts w:cstheme="minorHAnsi"/>
        </w:rPr>
        <w:t xml:space="preserve">, inconcepibile senza: e i giuristi nemmeno usano distinguere tra </w:t>
      </w:r>
      <w:r>
        <w:rPr>
          <w:rFonts w:cstheme="minorHAnsi"/>
          <w:i/>
        </w:rPr>
        <w:t>j</w:t>
      </w:r>
      <w:r w:rsidRPr="00812F68">
        <w:rPr>
          <w:rFonts w:cstheme="minorHAnsi"/>
          <w:i/>
        </w:rPr>
        <w:t>udgment</w:t>
      </w:r>
      <w:r>
        <w:rPr>
          <w:rFonts w:cstheme="minorHAnsi"/>
          <w:i/>
        </w:rPr>
        <w:t xml:space="preserve"> </w:t>
      </w:r>
      <w:r w:rsidRPr="00D549FF">
        <w:rPr>
          <w:rFonts w:cstheme="minorHAnsi"/>
        </w:rPr>
        <w:t>e</w:t>
      </w:r>
      <w:r>
        <w:rPr>
          <w:rFonts w:cstheme="minorHAnsi"/>
          <w:i/>
        </w:rPr>
        <w:t xml:space="preserve"> reasons for the j</w:t>
      </w:r>
      <w:r w:rsidRPr="00812F68">
        <w:rPr>
          <w:rFonts w:cstheme="minorHAnsi"/>
          <w:i/>
        </w:rPr>
        <w:t>udgment</w:t>
      </w:r>
      <w:r>
        <w:rPr>
          <w:rFonts w:cstheme="minorHAnsi"/>
        </w:rPr>
        <w:t xml:space="preserve">. È di quel sistema – dove chi giudica non è un collegio composto da più magistrati, ma un semplice </w:t>
      </w:r>
      <w:r w:rsidRPr="00FE4E48">
        <w:rPr>
          <w:rFonts w:cstheme="minorHAnsi"/>
          <w:i/>
        </w:rPr>
        <w:t>panel</w:t>
      </w:r>
      <w:r>
        <w:rPr>
          <w:rFonts w:cstheme="minorHAnsi"/>
        </w:rPr>
        <w:t xml:space="preserve"> di giudici-individui - la pratica della </w:t>
      </w:r>
      <w:r w:rsidRPr="00FE4E48">
        <w:rPr>
          <w:rFonts w:cstheme="minorHAnsi"/>
          <w:i/>
        </w:rPr>
        <w:t>dissenting opinion</w:t>
      </w:r>
      <w:r>
        <w:rPr>
          <w:rFonts w:cstheme="minorHAnsi"/>
        </w:rPr>
        <w:t xml:space="preserve"> e della </w:t>
      </w:r>
      <w:r w:rsidRPr="00FE4E48">
        <w:rPr>
          <w:rFonts w:cstheme="minorHAnsi"/>
          <w:i/>
        </w:rPr>
        <w:t>concurring opinion</w:t>
      </w:r>
      <w:r>
        <w:rPr>
          <w:rFonts w:cstheme="minorHAnsi"/>
        </w:rPr>
        <w:t>.</w:t>
      </w:r>
    </w:p>
    <w:p w:rsidR="00774464" w:rsidRPr="008062B6" w:rsidRDefault="00774464" w:rsidP="00774464">
      <w:pPr>
        <w:pStyle w:val="FootnoteText"/>
        <w:jc w:val="both"/>
      </w:pPr>
      <w:r>
        <w:rPr>
          <w:rFonts w:cstheme="minorHAnsi"/>
        </w:rPr>
        <w:t xml:space="preserve">Sul tema delle persistenze stilistiche, cfr. F. </w:t>
      </w:r>
      <w:r w:rsidRPr="008062B6">
        <w:rPr>
          <w:rFonts w:cstheme="minorHAnsi"/>
        </w:rPr>
        <w:t>MASTROBERTI</w:t>
      </w:r>
      <w:r>
        <w:rPr>
          <w:rFonts w:cstheme="minorHAnsi"/>
        </w:rPr>
        <w:t xml:space="preserve">, </w:t>
      </w:r>
      <w:r>
        <w:rPr>
          <w:rFonts w:cstheme="minorHAnsi"/>
          <w:i/>
        </w:rPr>
        <w:t>N</w:t>
      </w:r>
      <w:r w:rsidRPr="008062B6">
        <w:rPr>
          <w:rFonts w:cstheme="minorHAnsi"/>
          <w:i/>
        </w:rPr>
        <w:t>ote su linguaggio e discorso giuridico nelle sentenze tra antico e nuovo regime</w:t>
      </w:r>
      <w:r>
        <w:rPr>
          <w:rFonts w:cstheme="minorHAnsi"/>
        </w:rPr>
        <w:t xml:space="preserve">, </w:t>
      </w:r>
      <w:r w:rsidRPr="009434E5">
        <w:rPr>
          <w:rFonts w:cstheme="minorHAnsi"/>
        </w:rPr>
        <w:t>in N. Triggiani (</w:t>
      </w:r>
      <w:r>
        <w:rPr>
          <w:rFonts w:cstheme="minorHAnsi"/>
        </w:rPr>
        <w:t xml:space="preserve">a </w:t>
      </w:r>
      <w:r w:rsidRPr="009434E5">
        <w:rPr>
          <w:rFonts w:cstheme="minorHAnsi"/>
        </w:rPr>
        <w:t>cur</w:t>
      </w:r>
      <w:r>
        <w:rPr>
          <w:rFonts w:cstheme="minorHAnsi"/>
        </w:rPr>
        <w:t>a di</w:t>
      </w:r>
      <w:r w:rsidRPr="009434E5">
        <w:rPr>
          <w:rFonts w:cstheme="minorHAnsi"/>
        </w:rPr>
        <w:t xml:space="preserve">), </w:t>
      </w:r>
      <w:r w:rsidRPr="009434E5">
        <w:rPr>
          <w:rFonts w:cstheme="minorHAnsi"/>
          <w:i/>
          <w:iCs/>
        </w:rPr>
        <w:t xml:space="preserve">Il linguaggio giuridico del processo. Una riflessione interdisciplinare, </w:t>
      </w:r>
      <w:r>
        <w:rPr>
          <w:rFonts w:cstheme="minorHAnsi"/>
        </w:rPr>
        <w:t xml:space="preserve">Taranto 2017, pp. 63-74; Id., </w:t>
      </w:r>
      <w:r w:rsidRPr="008062B6">
        <w:rPr>
          <w:rFonts w:cstheme="minorHAnsi"/>
          <w:i/>
        </w:rPr>
        <w:t>Il “culto” della sentenza tra Ottocento e Novecento: dalle raccolte di giurisprudenza alla nota a sentenza</w:t>
      </w:r>
      <w:r>
        <w:rPr>
          <w:rFonts w:cstheme="minorHAnsi"/>
        </w:rPr>
        <w:t xml:space="preserve">, in </w:t>
      </w:r>
      <w:r w:rsidRPr="008062B6">
        <w:rPr>
          <w:rFonts w:cstheme="minorHAnsi"/>
          <w:bCs/>
          <w:i/>
        </w:rPr>
        <w:t>Historia et ius</w:t>
      </w:r>
      <w:r w:rsidRPr="008062B6">
        <w:rPr>
          <w:rFonts w:cstheme="minorHAnsi"/>
          <w:bCs/>
        </w:rPr>
        <w:t>, n. 14/2018.</w:t>
      </w:r>
    </w:p>
  </w:footnote>
  <w:footnote w:id="11">
    <w:p w:rsidR="00513771" w:rsidRDefault="00513771" w:rsidP="00513771">
      <w:pPr>
        <w:pStyle w:val="FootnoteText"/>
        <w:jc w:val="both"/>
      </w:pPr>
      <w:r>
        <w:rPr>
          <w:rStyle w:val="FootnoteReference"/>
        </w:rPr>
        <w:footnoteRef/>
      </w:r>
      <w:r>
        <w:t xml:space="preserve"> La letteratura è vasta: V. ad esempio il cap. XVII, </w:t>
      </w:r>
      <w:r w:rsidRPr="00314A0C">
        <w:rPr>
          <w:i/>
        </w:rPr>
        <w:t>Dello stile de’ giudici, e tribunali nel conoscere a giudicare, e decidere le cause</w:t>
      </w:r>
      <w:r>
        <w:t xml:space="preserve">, </w:t>
      </w:r>
      <w:r w:rsidR="007F565B">
        <w:t>in G</w:t>
      </w:r>
      <w:r>
        <w:t xml:space="preserve">.B. DE LUCA, </w:t>
      </w:r>
      <w:r w:rsidRPr="00314A0C">
        <w:rPr>
          <w:i/>
        </w:rPr>
        <w:t>Lo stile legale</w:t>
      </w:r>
      <w:r w:rsidR="008B5D86">
        <w:rPr>
          <w:i/>
        </w:rPr>
        <w:t xml:space="preserve"> </w:t>
      </w:r>
      <w:r w:rsidR="008B5D86">
        <w:t>[1674]</w:t>
      </w:r>
      <w:r w:rsidR="007F565B">
        <w:t>, cit.</w:t>
      </w:r>
      <w:r>
        <w:t>, 165.</w:t>
      </w:r>
    </w:p>
  </w:footnote>
  <w:footnote w:id="12">
    <w:p w:rsidR="0031756E" w:rsidRPr="0090334A" w:rsidRDefault="0031756E" w:rsidP="0031756E">
      <w:pPr>
        <w:pStyle w:val="FootnoteText"/>
        <w:jc w:val="both"/>
      </w:pPr>
      <w:r>
        <w:rPr>
          <w:rStyle w:val="FootnoteReference"/>
        </w:rPr>
        <w:footnoteRef/>
      </w:r>
      <w:r w:rsidRPr="00681AF8">
        <w:rPr>
          <w:lang w:val="fr-FR"/>
        </w:rPr>
        <w:t xml:space="preserve"> Es. il recente (in uso dal 2019) </w:t>
      </w:r>
      <w:r w:rsidRPr="00681AF8">
        <w:rPr>
          <w:i/>
          <w:lang w:val="fr-FR"/>
        </w:rPr>
        <w:t xml:space="preserve">Vade-mecum sur la </w:t>
      </w:r>
      <w:r w:rsidRPr="00FE4E48">
        <w:rPr>
          <w:i/>
          <w:lang w:val="fr-FR"/>
        </w:rPr>
        <w:t>rédaction des décisions de la juridiction administrative</w:t>
      </w:r>
      <w:r w:rsidRPr="00FE4E48">
        <w:rPr>
          <w:lang w:val="fr-FR"/>
        </w:rPr>
        <w:t xml:space="preserve">, in </w:t>
      </w:r>
      <w:hyperlink r:id="rId3" w:history="1">
        <w:r w:rsidRPr="00FE4E48">
          <w:rPr>
            <w:rStyle w:val="Hyperlink"/>
            <w:i/>
            <w:color w:val="auto"/>
            <w:u w:val="none"/>
            <w:lang w:val="fr-FR"/>
          </w:rPr>
          <w:t>https://www.dalloz-actualite.fr/sites/dalloz-actualite.fr/files/resources/2018/12/vade-mecum.pdf</w:t>
        </w:r>
      </w:hyperlink>
      <w:r w:rsidRPr="00681AF8">
        <w:rPr>
          <w:i/>
          <w:lang w:val="fr-FR"/>
        </w:rPr>
        <w:t>.</w:t>
      </w:r>
      <w:r w:rsidRPr="00681AF8">
        <w:rPr>
          <w:lang w:val="fr-FR"/>
        </w:rPr>
        <w:t xml:space="preserve">. </w:t>
      </w:r>
      <w:r w:rsidRPr="0090334A">
        <w:t xml:space="preserve">Questa guida segna il passaggio allo </w:t>
      </w:r>
      <w:r w:rsidRPr="004763E7">
        <w:rPr>
          <w:i/>
        </w:rPr>
        <w:t>“stile diretto”</w:t>
      </w:r>
      <w:r w:rsidRPr="0090334A">
        <w:t xml:space="preserve"> in luogo del precedente</w:t>
      </w:r>
      <w:r w:rsidRPr="004763E7">
        <w:rPr>
          <w:i/>
        </w:rPr>
        <w:t xml:space="preserve"> “stile indiretto” </w:t>
      </w:r>
      <w:r w:rsidRPr="0090334A">
        <w:t xml:space="preserve">per rendere le decisioni accessibili a un pubblico più largo. Sicché all’inizio di ogni paragrafo </w:t>
      </w:r>
      <w:r w:rsidRPr="00681AF8">
        <w:t xml:space="preserve">non figura più il </w:t>
      </w:r>
      <w:r w:rsidRPr="00681AF8">
        <w:rPr>
          <w:i/>
        </w:rPr>
        <w:t>marcatore redazionale</w:t>
      </w:r>
      <w:r w:rsidRPr="00681AF8">
        <w:t xml:space="preserve"> </w:t>
      </w:r>
      <w:r w:rsidRPr="00681AF8">
        <w:rPr>
          <w:i/>
        </w:rPr>
        <w:t>«considérant que»</w:t>
      </w:r>
      <w:r w:rsidRPr="00681AF8">
        <w:t xml:space="preserve">, ora sostituito dalla formula </w:t>
      </w:r>
      <w:r w:rsidRPr="00681AF8">
        <w:rPr>
          <w:i/>
        </w:rPr>
        <w:t>«considérant ce qui suit»</w:t>
      </w:r>
      <w:r w:rsidRPr="00681AF8">
        <w:t>.</w:t>
      </w:r>
    </w:p>
  </w:footnote>
  <w:footnote w:id="13">
    <w:p w:rsidR="00513771" w:rsidRDefault="00513771" w:rsidP="00513771">
      <w:pPr>
        <w:pStyle w:val="FootnoteText"/>
        <w:jc w:val="both"/>
      </w:pPr>
      <w:r>
        <w:rPr>
          <w:rStyle w:val="FootnoteReference"/>
        </w:rPr>
        <w:footnoteRef/>
      </w:r>
      <w:r>
        <w:t xml:space="preserve"> Torino, Firenze, Napoli, Palermo e, dal 1876, Roma. Per l’art. </w:t>
      </w:r>
      <w:r w:rsidRPr="00F55E99">
        <w:t>122 r.d. 6 dicembre 1865, n. 2626</w:t>
      </w:r>
      <w:r>
        <w:t xml:space="preserve"> (</w:t>
      </w:r>
      <w:r w:rsidRPr="00F55E99">
        <w:t>ordinamento giudiziario</w:t>
      </w:r>
      <w:r>
        <w:t>)</w:t>
      </w:r>
      <w:r w:rsidRPr="00F55E99">
        <w:t xml:space="preserve">, </w:t>
      </w:r>
      <w:r>
        <w:t>loro compito era di mantenere nelle rispettive competenze territoriali l’</w:t>
      </w:r>
      <w:r w:rsidRPr="00F55E99">
        <w:rPr>
          <w:i/>
        </w:rPr>
        <w:t>«esatta osservanza della legge»</w:t>
      </w:r>
      <w:r w:rsidRPr="00E34EBB">
        <w:t>,</w:t>
      </w:r>
      <w:r>
        <w:t xml:space="preserve"> e così per l’art. 61 r.d. 30 dicembre 1923, n. </w:t>
      </w:r>
      <w:r w:rsidRPr="00E34EBB">
        <w:t>2786</w:t>
      </w:r>
      <w:r>
        <w:t xml:space="preserve"> (</w:t>
      </w:r>
      <w:r w:rsidRPr="00E34EBB">
        <w:rPr>
          <w:i/>
        </w:rPr>
        <w:t>Testo unico delle leggi</w:t>
      </w:r>
      <w:r>
        <w:t xml:space="preserve"> </w:t>
      </w:r>
      <w:r>
        <w:rPr>
          <w:i/>
        </w:rPr>
        <w:t>delle disposizioni sull’</w:t>
      </w:r>
      <w:r w:rsidRPr="00E34EBB">
        <w:rPr>
          <w:i/>
        </w:rPr>
        <w:t xml:space="preserve">ordinamento </w:t>
      </w:r>
      <w:r>
        <w:rPr>
          <w:i/>
        </w:rPr>
        <w:t>degli uffici giudiziari</w:t>
      </w:r>
      <w:r w:rsidRPr="00E34EBB">
        <w:rPr>
          <w:i/>
        </w:rPr>
        <w:t xml:space="preserve"> e </w:t>
      </w:r>
      <w:r>
        <w:rPr>
          <w:i/>
        </w:rPr>
        <w:t xml:space="preserve">del </w:t>
      </w:r>
      <w:r w:rsidRPr="00E34EBB">
        <w:rPr>
          <w:i/>
        </w:rPr>
        <w:t>personale della magistratura</w:t>
      </w:r>
      <w:r>
        <w:t xml:space="preserve">). Solo con l’art. 65 </w:t>
      </w:r>
      <w:r w:rsidRPr="00E34EBB">
        <w:t>r.d. 30 gennaio 1941, n. 12 (ordinamento giudiziario)</w:t>
      </w:r>
      <w:r>
        <w:t xml:space="preserve"> fu stabilito che </w:t>
      </w:r>
      <w:r w:rsidRPr="00E34EBB">
        <w:rPr>
          <w:i/>
        </w:rPr>
        <w:t>«</w:t>
      </w:r>
      <w:r w:rsidRPr="00E34EBB">
        <w:rPr>
          <w:i/>
          <w:color w:val="000000"/>
        </w:rPr>
        <w:t>assicura l'esatta osservanza e l'uniforme inter</w:t>
      </w:r>
      <w:r>
        <w:rPr>
          <w:i/>
          <w:color w:val="000000"/>
        </w:rPr>
        <w:t>pretazione della legge, l'unità</w:t>
      </w:r>
      <w:r w:rsidRPr="00E34EBB">
        <w:rPr>
          <w:i/>
          <w:color w:val="000000"/>
        </w:rPr>
        <w:t xml:space="preserve"> del diritto oggettivo nazionale</w:t>
      </w:r>
      <w:r w:rsidRPr="00E34EBB">
        <w:rPr>
          <w:i/>
        </w:rPr>
        <w:t>»</w:t>
      </w:r>
      <w:r>
        <w:t>.</w:t>
      </w:r>
      <w:r w:rsidRPr="00E34EBB">
        <w:t xml:space="preserve"> </w:t>
      </w:r>
      <w:r>
        <w:t xml:space="preserve">Solo quest’ultima formulazione </w:t>
      </w:r>
      <w:r w:rsidR="00FE4E48">
        <w:t xml:space="preserve">codificava </w:t>
      </w:r>
      <w:r>
        <w:t xml:space="preserve">dunque </w:t>
      </w:r>
      <w:r w:rsidR="00FE4E48">
        <w:t xml:space="preserve">in capo </w:t>
      </w:r>
      <w:r w:rsidRPr="00E34EBB">
        <w:t xml:space="preserve">alla Corte di cassazione </w:t>
      </w:r>
      <w:r w:rsidR="00FE4E48">
        <w:t>la</w:t>
      </w:r>
      <w:r>
        <w:t xml:space="preserve"> </w:t>
      </w:r>
      <w:r w:rsidRPr="00E34EBB">
        <w:t xml:space="preserve">funzione di </w:t>
      </w:r>
      <w:r w:rsidRPr="00FE4E48">
        <w:rPr>
          <w:i/>
        </w:rPr>
        <w:t>nomofilachia</w:t>
      </w:r>
      <w:r>
        <w:t xml:space="preserve">. </w:t>
      </w:r>
    </w:p>
  </w:footnote>
  <w:footnote w:id="14">
    <w:p w:rsidR="00B556E6" w:rsidRPr="00AF033B" w:rsidRDefault="00B556E6" w:rsidP="00B556E6">
      <w:pPr>
        <w:pStyle w:val="FootnoteText"/>
        <w:jc w:val="both"/>
      </w:pPr>
      <w:r w:rsidRPr="00425E18">
        <w:rPr>
          <w:rStyle w:val="FootnoteReference"/>
        </w:rPr>
        <w:footnoteRef/>
      </w:r>
      <w:r w:rsidRPr="00425E18">
        <w:t xml:space="preserve"> </w:t>
      </w:r>
      <w:r w:rsidRPr="00B556E6">
        <w:t xml:space="preserve">Il precetto oggi è specificato </w:t>
      </w:r>
      <w:r>
        <w:t xml:space="preserve">solo </w:t>
      </w:r>
      <w:r w:rsidRPr="00B556E6">
        <w:t xml:space="preserve">per i </w:t>
      </w:r>
      <w:r w:rsidRPr="00B556E6">
        <w:rPr>
          <w:i/>
        </w:rPr>
        <w:t>«ricorsi e […]gli altri atti difensivi»</w:t>
      </w:r>
      <w:r w:rsidRPr="00B556E6">
        <w:t xml:space="preserve">, cioè solo per </w:t>
      </w:r>
      <w:r w:rsidRPr="00B556E6">
        <w:rPr>
          <w:i/>
        </w:rPr>
        <w:t>«le parti»</w:t>
      </w:r>
      <w:r w:rsidRPr="00B556E6">
        <w:t>, dal decreto del Presidente del Consiglio di Stato 22 dicembre 2016 (</w:t>
      </w:r>
      <w:r w:rsidRPr="00B556E6">
        <w:rPr>
          <w:i/>
        </w:rPr>
        <w:t>Disciplina dei criteri di redazione e dei limiti dimensionali dei ricorsi e degli altri atti difensivi nel processo amministrativo</w:t>
      </w:r>
      <w:r w:rsidRPr="00B556E6">
        <w:t>) ai sensi l’art. 13 -</w:t>
      </w:r>
      <w:r w:rsidRPr="00084614">
        <w:rPr>
          <w:i/>
        </w:rPr>
        <w:t>ter</w:t>
      </w:r>
      <w:r w:rsidRPr="00B556E6">
        <w:t xml:space="preserve"> dell’allegato II al d.lgs. 2 luglio 2010, n. 104, che supera l’analogo decreto n. 40/2015 ex art. 120, comma 6, Cod. proc. amm. sulla sinteticità degli scritti difensivi nel rito dei contratti pubblici, </w:t>
      </w:r>
      <w:r>
        <w:t xml:space="preserve">e </w:t>
      </w:r>
      <w:r w:rsidRPr="00B556E6">
        <w:t>resta non specificato per gli atti del giudice</w:t>
      </w:r>
      <w:r>
        <w:t xml:space="preserve">. Per i principali contributi sul tema </w:t>
      </w:r>
      <w:r w:rsidRPr="00425E18">
        <w:t xml:space="preserve">v. F. PATRONI GRIFFI, </w:t>
      </w:r>
      <w:r w:rsidRPr="00425E18">
        <w:rPr>
          <w:i/>
          <w:iCs/>
        </w:rPr>
        <w:t>Forma e contenuto delle sentenze del giudice amministrativo</w:t>
      </w:r>
      <w:r w:rsidRPr="00425E18">
        <w:rPr>
          <w:bCs/>
        </w:rPr>
        <w:t xml:space="preserve">, in </w:t>
      </w:r>
      <w:r w:rsidRPr="00425E18">
        <w:rPr>
          <w:bCs/>
          <w:i/>
        </w:rPr>
        <w:t>Dir. proc. amm.</w:t>
      </w:r>
      <w:r w:rsidRPr="00425E18">
        <w:rPr>
          <w:bCs/>
        </w:rPr>
        <w:t xml:space="preserve">, 2015, 17, che tratta anche dello </w:t>
      </w:r>
      <w:r w:rsidRPr="00425E18">
        <w:rPr>
          <w:bCs/>
          <w:lang w:val="es-ES"/>
        </w:rPr>
        <w:t xml:space="preserve">stile e delle tecniche </w:t>
      </w:r>
      <w:r w:rsidRPr="00320ECA">
        <w:rPr>
          <w:bCs/>
          <w:lang w:val="es-ES"/>
        </w:rPr>
        <w:t xml:space="preserve">di redazione della sentenza, </w:t>
      </w:r>
      <w:r w:rsidR="00841C91">
        <w:rPr>
          <w:bCs/>
          <w:lang w:val="es-ES"/>
        </w:rPr>
        <w:t>criticando la sentenza prolissa;</w:t>
      </w:r>
      <w:r w:rsidRPr="00320ECA">
        <w:rPr>
          <w:bCs/>
          <w:lang w:val="es-ES"/>
        </w:rPr>
        <w:t xml:space="preserve"> </w:t>
      </w:r>
      <w:r w:rsidRPr="00320ECA">
        <w:rPr>
          <w:bCs/>
        </w:rPr>
        <w:t xml:space="preserve">G.P. CIRILLO, </w:t>
      </w:r>
      <w:r w:rsidRPr="00320ECA">
        <w:rPr>
          <w:bCs/>
          <w:i/>
        </w:rPr>
        <w:t>Dovere di motivazione e sinteticità degli atti</w:t>
      </w:r>
      <w:r w:rsidRPr="00320ECA">
        <w:rPr>
          <w:bCs/>
        </w:rPr>
        <w:t>, in</w:t>
      </w:r>
      <w:r w:rsidRPr="00320ECA">
        <w:rPr>
          <w:bCs/>
          <w:i/>
        </w:rPr>
        <w:t xml:space="preserve"> Giurisdiz. amm</w:t>
      </w:r>
      <w:r w:rsidRPr="00320ECA">
        <w:rPr>
          <w:bCs/>
        </w:rPr>
        <w:t xml:space="preserve">., 2012, IV, 7, evidenzia che per lo stesso art. 3, comma 2, la motivazione </w:t>
      </w:r>
      <w:r w:rsidRPr="00320ECA">
        <w:rPr>
          <w:bCs/>
          <w:i/>
        </w:rPr>
        <w:t>«chiara e sintetica»</w:t>
      </w:r>
      <w:r w:rsidRPr="00320ECA">
        <w:rPr>
          <w:bCs/>
        </w:rPr>
        <w:t xml:space="preserve"> dev’essere anche </w:t>
      </w:r>
      <w:r w:rsidRPr="00320ECA">
        <w:rPr>
          <w:bCs/>
          <w:i/>
        </w:rPr>
        <w:t>“sufficiente e congrua”</w:t>
      </w:r>
      <w:r w:rsidRPr="00320ECA">
        <w:rPr>
          <w:bCs/>
        </w:rPr>
        <w:t>;</w:t>
      </w:r>
      <w:r w:rsidRPr="00320ECA">
        <w:rPr>
          <w:bCs/>
          <w:i/>
        </w:rPr>
        <w:t xml:space="preserve"> </w:t>
      </w:r>
      <w:r w:rsidRPr="00320ECA">
        <w:rPr>
          <w:bCs/>
        </w:rPr>
        <w:t>C. VOLPE</w:t>
      </w:r>
      <w:r w:rsidRPr="00320ECA">
        <w:rPr>
          <w:bCs/>
          <w:i/>
        </w:rPr>
        <w:t>, Dovere di motivazione della sentenza e sinteticità degli atti delle parti processuali, in Giurisdiz</w:t>
      </w:r>
      <w:r w:rsidRPr="00864735">
        <w:rPr>
          <w:bCs/>
          <w:i/>
        </w:rPr>
        <w:t>. amm</w:t>
      </w:r>
      <w:r w:rsidRPr="00864735">
        <w:rPr>
          <w:bCs/>
        </w:rPr>
        <w:t>., 2014, IV, 225</w:t>
      </w:r>
      <w:r>
        <w:rPr>
          <w:bCs/>
        </w:rPr>
        <w:t xml:space="preserve">; </w:t>
      </w:r>
      <w:r w:rsidRPr="008646E8">
        <w:rPr>
          <w:bCs/>
        </w:rPr>
        <w:t>G. BARBAGALLO</w:t>
      </w:r>
      <w:r>
        <w:rPr>
          <w:bCs/>
        </w:rPr>
        <w:t xml:space="preserve">, </w:t>
      </w:r>
      <w:r w:rsidRPr="008646E8">
        <w:rPr>
          <w:bCs/>
          <w:i/>
        </w:rPr>
        <w:t>Per la chiarezza</w:t>
      </w:r>
      <w:r w:rsidRPr="00AF033B">
        <w:rPr>
          <w:bCs/>
          <w:i/>
        </w:rPr>
        <w:t xml:space="preserve"> delle sentenze e delle loro motivazioni</w:t>
      </w:r>
      <w:r w:rsidRPr="00AF033B">
        <w:rPr>
          <w:bCs/>
        </w:rPr>
        <w:t xml:space="preserve">, in </w:t>
      </w:r>
      <w:r w:rsidRPr="00AF033B">
        <w:rPr>
          <w:bCs/>
          <w:i/>
        </w:rPr>
        <w:t>Il linguaggio della giurisprudenza</w:t>
      </w:r>
      <w:r w:rsidRPr="00AF033B">
        <w:rPr>
          <w:bCs/>
        </w:rPr>
        <w:t xml:space="preserve">, in </w:t>
      </w:r>
      <w:r w:rsidRPr="00AF033B">
        <w:rPr>
          <w:bCs/>
          <w:i/>
        </w:rPr>
        <w:t>Foro it</w:t>
      </w:r>
      <w:r w:rsidRPr="00AF033B">
        <w:rPr>
          <w:bCs/>
        </w:rPr>
        <w:t xml:space="preserve">., 2016, parte V; R. DE NICTOLIS, </w:t>
      </w:r>
      <w:r w:rsidRPr="00AF033B">
        <w:rPr>
          <w:bCs/>
          <w:i/>
        </w:rPr>
        <w:t>Le sentenze del giudice amministrativo in forma semplificata. Tra mito e realtà</w:t>
      </w:r>
      <w:r w:rsidRPr="00AF033B">
        <w:rPr>
          <w:bCs/>
        </w:rPr>
        <w:t xml:space="preserve"> (2017), in </w:t>
      </w:r>
      <w:r w:rsidRPr="00AF033B">
        <w:rPr>
          <w:bCs/>
          <w:i/>
        </w:rPr>
        <w:t>www.giustizia-amministrativa.it</w:t>
      </w:r>
      <w:r w:rsidRPr="00AF033B">
        <w:rPr>
          <w:bCs/>
        </w:rPr>
        <w:t>.</w:t>
      </w:r>
    </w:p>
  </w:footnote>
  <w:footnote w:id="15">
    <w:p w:rsidR="00513771" w:rsidRDefault="00513771" w:rsidP="00513771">
      <w:pPr>
        <w:pStyle w:val="FootnoteText"/>
      </w:pPr>
      <w:r>
        <w:rPr>
          <w:rStyle w:val="FootnoteReference"/>
        </w:rPr>
        <w:footnoteRef/>
      </w:r>
      <w:r>
        <w:t xml:space="preserve"> Cfr. oggi l’art. 118, terzo comma, disp. att. Cod. proc. civ.del 1942 (richiamato dall’art. art. 88, comma 3, Cod. proc. amm): </w:t>
      </w:r>
      <w:r w:rsidRPr="00FD7CC4">
        <w:rPr>
          <w:i/>
        </w:rPr>
        <w:t>«In ogni caso deve essere omessa ogni citazione di autori giuridici»</w:t>
      </w:r>
      <w:r>
        <w:t>.</w:t>
      </w:r>
    </w:p>
  </w:footnote>
  <w:footnote w:id="16">
    <w:p w:rsidR="00513771" w:rsidRDefault="00513771" w:rsidP="00513771">
      <w:pPr>
        <w:pStyle w:val="FootnoteText"/>
        <w:jc w:val="both"/>
      </w:pPr>
      <w:r>
        <w:rPr>
          <w:rStyle w:val="FootnoteReference"/>
        </w:rPr>
        <w:footnoteRef/>
      </w:r>
      <w:r>
        <w:t xml:space="preserve"> A norma dell’art. 118 (</w:t>
      </w:r>
      <w:r w:rsidRPr="00F91462">
        <w:rPr>
          <w:i/>
        </w:rPr>
        <w:t>Motivazione della sentenza</w:t>
      </w:r>
      <w:r>
        <w:t>) disp. att. al Cod. proc. civ., come modificato dall'art. 52</w:t>
      </w:r>
      <w:r w:rsidR="008A318F">
        <w:t>,</w:t>
      </w:r>
      <w:r>
        <w:t xml:space="preserve"> quinto comma, l. 18 giugno 2009, n. 69, </w:t>
      </w:r>
      <w:r w:rsidRPr="00F91462">
        <w:rPr>
          <w:i/>
        </w:rPr>
        <w:t>«La motivazione della sentenza […] consiste nella succinta esposizione dei fatti rilevanti della causa e delle ragioni giuridiche della decisione, anche con riferimento a precedenti conformi. // Debbono essere esposte concisamente e in ordine le questioni discusse e decise dal collegio ed indicati le norme di legge e i princìpi di diritto applicati. […] // […]».</w:t>
      </w:r>
    </w:p>
    <w:p w:rsidR="00513771" w:rsidRDefault="00513771" w:rsidP="00513771">
      <w:pPr>
        <w:pStyle w:val="FootnoteText"/>
        <w:jc w:val="both"/>
      </w:pPr>
      <w:r>
        <w:t>A norma dell’art. 119 (</w:t>
      </w:r>
      <w:r w:rsidRPr="00F91462">
        <w:rPr>
          <w:i/>
        </w:rPr>
        <w:t>Redazione della sentenza</w:t>
      </w:r>
      <w:r>
        <w:t xml:space="preserve">), </w:t>
      </w:r>
      <w:r w:rsidRPr="00F91462">
        <w:rPr>
          <w:i/>
        </w:rPr>
        <w:t xml:space="preserve">«l'estensore </w:t>
      </w:r>
      <w:r w:rsidRPr="00016D91">
        <w:t xml:space="preserve">[la cui scelta è fatta dal presidente tra i componenti il collegio che hanno espresso voto conforme alla decisione] </w:t>
      </w:r>
      <w:r w:rsidRPr="00F91462">
        <w:rPr>
          <w:i/>
        </w:rPr>
        <w:t>deve consegnare la minuta della sentenza da lui redatta al presidente del tribunale o della sezione. Il presidente, datane lettura, quando lo ritiene opportuno, al collegio, la sottoscrive insieme con l'estensore e la consegna al cancelliere […]»</w:t>
      </w:r>
      <w:r w:rsidRPr="00887D4D">
        <w:t>.</w:t>
      </w:r>
    </w:p>
    <w:p w:rsidR="008A6190" w:rsidRDefault="008A6190" w:rsidP="00513771">
      <w:pPr>
        <w:pStyle w:val="FootnoteText"/>
        <w:jc w:val="both"/>
      </w:pPr>
    </w:p>
  </w:footnote>
  <w:footnote w:id="17">
    <w:p w:rsidR="00513771" w:rsidRDefault="00513771" w:rsidP="00513771">
      <w:pPr>
        <w:pStyle w:val="FootnoteText"/>
        <w:jc w:val="both"/>
      </w:pPr>
      <w:r>
        <w:rPr>
          <w:rStyle w:val="FootnoteReference"/>
        </w:rPr>
        <w:footnoteRef/>
      </w:r>
      <w:r>
        <w:t xml:space="preserve"> È sulla base di questo costume che è stato possibile il fenomeno delle c.d. </w:t>
      </w:r>
      <w:r w:rsidRPr="00B82435">
        <w:rPr>
          <w:i/>
        </w:rPr>
        <w:t>sentenze</w:t>
      </w:r>
      <w:r>
        <w:t xml:space="preserve"> (penali) </w:t>
      </w:r>
      <w:r w:rsidRPr="00B82435">
        <w:rPr>
          <w:i/>
        </w:rPr>
        <w:t>suicide</w:t>
      </w:r>
      <w:r>
        <w:t xml:space="preserve">, specialm. delle corti d’assise straordinarie del secondo dopoguerra: muovevano dal classico di G. ESCOBEDO, </w:t>
      </w:r>
      <w:r w:rsidRPr="00F17A73">
        <w:rPr>
          <w:i/>
        </w:rPr>
        <w:t>Le sentenze suicide</w:t>
      </w:r>
      <w:r>
        <w:t xml:space="preserve">, Milano 1942 e poi 1943 con pareri di Antolisei, Calamandrei, Campolongo, Carnelutti, Castellano, De Marsico, De Nicola, Ferrara, Florian. Manzini, Mezger, Mittermaier, Rossi, F. Vassalli, Zanzucchi, e lettere di B. Broce, Casati e D’Amelio. Recentem. G. BUONOMO, </w:t>
      </w:r>
      <w:r w:rsidRPr="00CD7A9C">
        <w:rPr>
          <w:i/>
        </w:rPr>
        <w:t>Il progetto di riforma dell’ordinamento giudiziario e le “sentenze suicide”</w:t>
      </w:r>
      <w:r w:rsidRPr="00CD7A9C">
        <w:t>,</w:t>
      </w:r>
      <w:r>
        <w:t xml:space="preserve"> in </w:t>
      </w:r>
      <w:r w:rsidRPr="00CD7A9C">
        <w:rPr>
          <w:i/>
        </w:rPr>
        <w:t>Forum</w:t>
      </w:r>
      <w:r>
        <w:t xml:space="preserve"> di </w:t>
      </w:r>
      <w:r w:rsidRPr="00CD7A9C">
        <w:rPr>
          <w:i/>
        </w:rPr>
        <w:t>Quaderni costituzionali</w:t>
      </w:r>
      <w:r>
        <w:t>, 2004.</w:t>
      </w:r>
    </w:p>
  </w:footnote>
  <w:footnote w:id="18">
    <w:p w:rsidR="00FD3A12" w:rsidRDefault="00FD3A12">
      <w:pPr>
        <w:pStyle w:val="FootnoteText"/>
      </w:pPr>
      <w:r>
        <w:rPr>
          <w:rStyle w:val="FootnoteReference"/>
        </w:rPr>
        <w:footnoteRef/>
      </w:r>
      <w:r w:rsidR="00B66E81">
        <w:t xml:space="preserve"> l</w:t>
      </w:r>
      <w:r>
        <w:t>e cui ragioni - si può immaginare - affondano anzitutto nella modesta qualità dell’odierna formazione scolastica.</w:t>
      </w:r>
    </w:p>
  </w:footnote>
  <w:footnote w:id="19">
    <w:p w:rsidR="00513771" w:rsidRPr="00B00882" w:rsidRDefault="00513771" w:rsidP="00513771">
      <w:pPr>
        <w:pStyle w:val="FootnoteText"/>
      </w:pPr>
      <w:r>
        <w:rPr>
          <w:rStyle w:val="FootnoteReference"/>
        </w:rPr>
        <w:footnoteRef/>
      </w:r>
      <w:r>
        <w:t xml:space="preserve"> </w:t>
      </w:r>
      <w:r w:rsidRPr="00907B9B">
        <w:t xml:space="preserve">M. TARUFFO, </w:t>
      </w:r>
      <w:r w:rsidRPr="00907B9B">
        <w:rPr>
          <w:i/>
        </w:rPr>
        <w:t>Motivazione (motivazione della sentenza - diritto processuale civile)</w:t>
      </w:r>
      <w:r w:rsidRPr="00907B9B">
        <w:t xml:space="preserve">, in </w:t>
      </w:r>
      <w:r w:rsidRPr="00907B9B">
        <w:rPr>
          <w:i/>
        </w:rPr>
        <w:t>Enc. giur.</w:t>
      </w:r>
      <w:r w:rsidRPr="00907B9B">
        <w:t xml:space="preserve"> Treccani, Roma 1990, XX</w:t>
      </w:r>
      <w:r>
        <w:t>, 4.</w:t>
      </w:r>
    </w:p>
  </w:footnote>
  <w:footnote w:id="20">
    <w:p w:rsidR="0038763B" w:rsidRDefault="0038763B" w:rsidP="0038763B">
      <w:pPr>
        <w:pStyle w:val="FootnoteText"/>
        <w:jc w:val="both"/>
      </w:pPr>
      <w:r>
        <w:rPr>
          <w:rStyle w:val="FootnoteReference"/>
        </w:rPr>
        <w:footnoteRef/>
      </w:r>
      <w:r>
        <w:t xml:space="preserve"> L</w:t>
      </w:r>
      <w:r w:rsidRPr="000560E4">
        <w:t xml:space="preserve">’intero collegio va </w:t>
      </w:r>
      <w:r>
        <w:t xml:space="preserve">comunque </w:t>
      </w:r>
      <w:r w:rsidRPr="000560E4">
        <w:t>a oggettivamente</w:t>
      </w:r>
      <w:r>
        <w:t xml:space="preserve"> </w:t>
      </w:r>
      <w:r w:rsidRPr="000560E4">
        <w:t>sostenere la responsabilità civile</w:t>
      </w:r>
      <w:r>
        <w:t xml:space="preserve"> della pur “monocratizzata” decisione</w:t>
      </w:r>
      <w:r w:rsidRPr="000560E4">
        <w:t xml:space="preserve">. </w:t>
      </w:r>
      <w:r>
        <w:t xml:space="preserve">Buona </w:t>
      </w:r>
      <w:r w:rsidRPr="000560E4">
        <w:t xml:space="preserve">parte dei casi di tipizzata colpa grave per responsabilità civile del magistrato fa </w:t>
      </w:r>
      <w:r>
        <w:t xml:space="preserve">del resto </w:t>
      </w:r>
      <w:r w:rsidRPr="000560E4">
        <w:t>riferimento alla motivazione (cfr. art. 2, commi 3 e 3-</w:t>
      </w:r>
      <w:r w:rsidRPr="002041C4">
        <w:rPr>
          <w:i/>
        </w:rPr>
        <w:t>bis</w:t>
      </w:r>
      <w:r w:rsidRPr="000560E4">
        <w:t>, l. n. 117 del 1988).</w:t>
      </w:r>
    </w:p>
  </w:footnote>
  <w:footnote w:id="21">
    <w:p w:rsidR="00B00882" w:rsidRPr="00B22F7F" w:rsidRDefault="00B00882" w:rsidP="0055349B">
      <w:pPr>
        <w:spacing w:after="0" w:line="240" w:lineRule="auto"/>
        <w:jc w:val="both"/>
        <w:rPr>
          <w:sz w:val="20"/>
          <w:szCs w:val="20"/>
        </w:rPr>
      </w:pPr>
      <w:r w:rsidRPr="00B00882">
        <w:rPr>
          <w:rStyle w:val="FootnoteReference"/>
        </w:rPr>
        <w:footnoteRef/>
      </w:r>
      <w:r w:rsidRPr="00B00882">
        <w:t xml:space="preserve"> </w:t>
      </w:r>
      <w:r w:rsidR="00B22F7F">
        <w:rPr>
          <w:rFonts w:cstheme="minorHAnsi"/>
          <w:sz w:val="20"/>
          <w:szCs w:val="20"/>
        </w:rPr>
        <w:t>Com’</w:t>
      </w:r>
      <w:r w:rsidRPr="00B22F7F">
        <w:rPr>
          <w:rFonts w:cstheme="minorHAnsi"/>
          <w:sz w:val="20"/>
          <w:szCs w:val="20"/>
        </w:rPr>
        <w:t xml:space="preserve">è noto, per la dottrina la motivazione della decisione </w:t>
      </w:r>
      <w:r w:rsidR="003E2400">
        <w:rPr>
          <w:rFonts w:cstheme="minorHAnsi"/>
          <w:sz w:val="20"/>
          <w:szCs w:val="20"/>
        </w:rPr>
        <w:t>ha</w:t>
      </w:r>
      <w:r w:rsidRPr="00B22F7F">
        <w:rPr>
          <w:rFonts w:cstheme="minorHAnsi"/>
          <w:sz w:val="20"/>
          <w:szCs w:val="20"/>
        </w:rPr>
        <w:t xml:space="preserve"> due orizzonti di destinatari: quello </w:t>
      </w:r>
      <w:r w:rsidRPr="00B22F7F">
        <w:rPr>
          <w:rFonts w:cstheme="minorHAnsi"/>
          <w:i/>
          <w:sz w:val="20"/>
          <w:szCs w:val="20"/>
        </w:rPr>
        <w:t>endoprocessuale</w:t>
      </w:r>
      <w:r w:rsidRPr="00B22F7F">
        <w:rPr>
          <w:rFonts w:cstheme="minorHAnsi"/>
          <w:sz w:val="20"/>
          <w:szCs w:val="20"/>
        </w:rPr>
        <w:t xml:space="preserve"> e quello </w:t>
      </w:r>
      <w:r w:rsidRPr="00B22F7F">
        <w:rPr>
          <w:rFonts w:cstheme="minorHAnsi"/>
          <w:i/>
          <w:sz w:val="20"/>
          <w:szCs w:val="20"/>
        </w:rPr>
        <w:t>extraprocessuale</w:t>
      </w:r>
      <w:r w:rsidRPr="00B22F7F">
        <w:rPr>
          <w:rFonts w:cstheme="minorHAnsi"/>
          <w:sz w:val="20"/>
          <w:szCs w:val="20"/>
        </w:rPr>
        <w:t xml:space="preserve">. </w:t>
      </w:r>
      <w:r w:rsidR="008A318F">
        <w:rPr>
          <w:sz w:val="20"/>
          <w:szCs w:val="20"/>
        </w:rPr>
        <w:t>È a quest’ultimo</w:t>
      </w:r>
      <w:r w:rsidRPr="00B22F7F">
        <w:rPr>
          <w:sz w:val="20"/>
          <w:szCs w:val="20"/>
        </w:rPr>
        <w:t xml:space="preserve">, si rileva, che guarda l’art. 111 Cost.: P. CARETTI, </w:t>
      </w:r>
      <w:r w:rsidRPr="00B22F7F">
        <w:rPr>
          <w:i/>
          <w:sz w:val="20"/>
          <w:szCs w:val="20"/>
        </w:rPr>
        <w:t>Motivazione (diritto costituzionale)</w:t>
      </w:r>
      <w:r w:rsidRPr="00B22F7F">
        <w:rPr>
          <w:sz w:val="20"/>
          <w:szCs w:val="20"/>
        </w:rPr>
        <w:t xml:space="preserve">, in </w:t>
      </w:r>
      <w:r w:rsidRPr="00B22F7F">
        <w:rPr>
          <w:i/>
          <w:sz w:val="20"/>
          <w:szCs w:val="20"/>
        </w:rPr>
        <w:t>Enc. giur.</w:t>
      </w:r>
      <w:r w:rsidRPr="00B22F7F">
        <w:rPr>
          <w:sz w:val="20"/>
          <w:szCs w:val="20"/>
        </w:rPr>
        <w:t xml:space="preserve"> Treccani, Roma, 1990, XX, 2</w:t>
      </w:r>
      <w:r w:rsidR="00B22F7F">
        <w:rPr>
          <w:rFonts w:cstheme="minorHAnsi"/>
          <w:sz w:val="20"/>
          <w:szCs w:val="20"/>
        </w:rPr>
        <w:t xml:space="preserve">. </w:t>
      </w:r>
      <w:r w:rsidRPr="00B22F7F">
        <w:rPr>
          <w:rFonts w:cstheme="minorHAnsi"/>
          <w:sz w:val="20"/>
          <w:szCs w:val="20"/>
        </w:rPr>
        <w:t xml:space="preserve">Dal punto di vista </w:t>
      </w:r>
      <w:r w:rsidRPr="00B22F7F">
        <w:rPr>
          <w:rFonts w:cstheme="minorHAnsi"/>
          <w:i/>
          <w:sz w:val="20"/>
          <w:szCs w:val="20"/>
        </w:rPr>
        <w:t>endoprocessuale</w:t>
      </w:r>
      <w:r w:rsidRPr="00B22F7F">
        <w:rPr>
          <w:rFonts w:cstheme="minorHAnsi"/>
          <w:sz w:val="20"/>
          <w:szCs w:val="20"/>
        </w:rPr>
        <w:t xml:space="preserve">, </w:t>
      </w:r>
      <w:r w:rsidR="003E2400">
        <w:rPr>
          <w:rFonts w:cstheme="minorHAnsi"/>
          <w:sz w:val="20"/>
          <w:szCs w:val="20"/>
        </w:rPr>
        <w:t xml:space="preserve">la motivazione </w:t>
      </w:r>
      <w:r w:rsidRPr="00B22F7F">
        <w:rPr>
          <w:rFonts w:cstheme="minorHAnsi"/>
          <w:sz w:val="20"/>
          <w:szCs w:val="20"/>
        </w:rPr>
        <w:t xml:space="preserve">fa conoscere il fondamento della decisione alle parti in causa o ai giudici successivi. Dal punto di vista </w:t>
      </w:r>
      <w:r w:rsidRPr="00B22F7F">
        <w:rPr>
          <w:rFonts w:cstheme="minorHAnsi"/>
          <w:i/>
          <w:sz w:val="20"/>
          <w:szCs w:val="20"/>
        </w:rPr>
        <w:t>extraprocessuale</w:t>
      </w:r>
      <w:r w:rsidRPr="00B22F7F">
        <w:rPr>
          <w:rFonts w:cstheme="minorHAnsi"/>
          <w:sz w:val="20"/>
          <w:szCs w:val="20"/>
        </w:rPr>
        <w:t xml:space="preserve"> rende possibile</w:t>
      </w:r>
      <w:r w:rsidRPr="008A318F">
        <w:rPr>
          <w:rFonts w:cstheme="minorHAnsi"/>
          <w:sz w:val="20"/>
          <w:szCs w:val="20"/>
        </w:rPr>
        <w:t xml:space="preserve"> il</w:t>
      </w:r>
      <w:r w:rsidRPr="00B22F7F">
        <w:rPr>
          <w:rFonts w:cstheme="minorHAnsi"/>
          <w:b/>
          <w:sz w:val="20"/>
          <w:szCs w:val="20"/>
        </w:rPr>
        <w:t xml:space="preserve"> </w:t>
      </w:r>
      <w:r w:rsidRPr="00B22F7F">
        <w:rPr>
          <w:rFonts w:cstheme="minorHAnsi"/>
          <w:sz w:val="20"/>
          <w:szCs w:val="20"/>
        </w:rPr>
        <w:t>controllo esterno sull’attività del giudice e sulla buona amministrazione della giurisdizione e come si forma la giurispru</w:t>
      </w:r>
      <w:r w:rsidR="003E2400">
        <w:rPr>
          <w:rFonts w:cstheme="minorHAnsi"/>
          <w:sz w:val="20"/>
          <w:szCs w:val="20"/>
        </w:rPr>
        <w:t xml:space="preserve">denza attraverso il precedente: </w:t>
      </w:r>
      <w:r w:rsidRPr="00B22F7F">
        <w:rPr>
          <w:sz w:val="20"/>
          <w:szCs w:val="20"/>
        </w:rPr>
        <w:t xml:space="preserve">M. TARUFFO, </w:t>
      </w:r>
      <w:r w:rsidRPr="00B22F7F">
        <w:rPr>
          <w:i/>
          <w:sz w:val="20"/>
          <w:szCs w:val="20"/>
        </w:rPr>
        <w:t>La motivazione della sentenza civile</w:t>
      </w:r>
      <w:r w:rsidRPr="00B22F7F">
        <w:rPr>
          <w:sz w:val="20"/>
          <w:szCs w:val="20"/>
        </w:rPr>
        <w:t xml:space="preserve">, Padova 1985; Id., </w:t>
      </w:r>
      <w:r w:rsidRPr="00B22F7F">
        <w:rPr>
          <w:i/>
          <w:sz w:val="20"/>
          <w:szCs w:val="20"/>
        </w:rPr>
        <w:t>Motivazione (motivazione della sentenza - diritto processuale civile)</w:t>
      </w:r>
      <w:r w:rsidRPr="00B22F7F">
        <w:rPr>
          <w:sz w:val="20"/>
          <w:szCs w:val="20"/>
        </w:rPr>
        <w:t xml:space="preserve">, in </w:t>
      </w:r>
      <w:r w:rsidRPr="00B22F7F">
        <w:rPr>
          <w:i/>
          <w:sz w:val="20"/>
          <w:szCs w:val="20"/>
        </w:rPr>
        <w:t>Enc. giur.</w:t>
      </w:r>
      <w:r w:rsidRPr="00B22F7F">
        <w:rPr>
          <w:sz w:val="20"/>
          <w:szCs w:val="20"/>
        </w:rPr>
        <w:t xml:space="preserve"> Treccani, Roma 1990, XX; Id., </w:t>
      </w:r>
      <w:r w:rsidRPr="00B22F7F">
        <w:rPr>
          <w:i/>
          <w:sz w:val="20"/>
          <w:szCs w:val="20"/>
        </w:rPr>
        <w:t>Motivazione della sentenza civile (controllo della)</w:t>
      </w:r>
      <w:r w:rsidRPr="00B22F7F">
        <w:rPr>
          <w:sz w:val="20"/>
          <w:szCs w:val="20"/>
        </w:rPr>
        <w:t xml:space="preserve">, in </w:t>
      </w:r>
      <w:r w:rsidRPr="00B22F7F">
        <w:rPr>
          <w:i/>
          <w:sz w:val="20"/>
          <w:szCs w:val="20"/>
        </w:rPr>
        <w:t>Enc. dir.</w:t>
      </w:r>
      <w:r w:rsidRPr="00B22F7F">
        <w:rPr>
          <w:sz w:val="20"/>
          <w:szCs w:val="20"/>
        </w:rPr>
        <w:t xml:space="preserve">, aggiornamento-III, Milano 1999, 772; Id., </w:t>
      </w:r>
      <w:r w:rsidRPr="00B22F7F">
        <w:rPr>
          <w:i/>
          <w:sz w:val="20"/>
          <w:szCs w:val="20"/>
        </w:rPr>
        <w:t>La riforma delle norme sulla motivazione della sentenza</w:t>
      </w:r>
      <w:r w:rsidRPr="00B22F7F">
        <w:rPr>
          <w:sz w:val="20"/>
          <w:szCs w:val="20"/>
        </w:rPr>
        <w:t xml:space="preserve">, in </w:t>
      </w:r>
      <w:r w:rsidRPr="00B22F7F">
        <w:rPr>
          <w:i/>
          <w:sz w:val="20"/>
          <w:szCs w:val="20"/>
        </w:rPr>
        <w:t>Giur. it.</w:t>
      </w:r>
      <w:r w:rsidRPr="00B22F7F">
        <w:rPr>
          <w:sz w:val="20"/>
          <w:szCs w:val="20"/>
        </w:rPr>
        <w:t xml:space="preserve">, 2011, 243; Id., </w:t>
      </w:r>
      <w:r w:rsidRPr="00B22F7F">
        <w:rPr>
          <w:i/>
          <w:sz w:val="20"/>
          <w:szCs w:val="20"/>
        </w:rPr>
        <w:t>Addio alla motivazione?</w:t>
      </w:r>
      <w:r w:rsidRPr="00B22F7F">
        <w:rPr>
          <w:sz w:val="20"/>
          <w:szCs w:val="20"/>
        </w:rPr>
        <w:t xml:space="preserve">, in </w:t>
      </w:r>
      <w:r w:rsidRPr="00B22F7F">
        <w:rPr>
          <w:i/>
          <w:sz w:val="20"/>
          <w:szCs w:val="20"/>
        </w:rPr>
        <w:t>Riv. trim. dir. e proc. civ.</w:t>
      </w:r>
      <w:r w:rsidRPr="00B22F7F">
        <w:rPr>
          <w:sz w:val="20"/>
          <w:szCs w:val="20"/>
        </w:rPr>
        <w:t xml:space="preserve">, 2014, 375; S. EVANGELISTA, </w:t>
      </w:r>
      <w:r w:rsidRPr="00B22F7F">
        <w:rPr>
          <w:i/>
          <w:sz w:val="20"/>
          <w:szCs w:val="20"/>
        </w:rPr>
        <w:t>Motivazione della sentenza civile</w:t>
      </w:r>
      <w:r w:rsidRPr="00B22F7F">
        <w:rPr>
          <w:sz w:val="20"/>
          <w:szCs w:val="20"/>
        </w:rPr>
        <w:t>,</w:t>
      </w:r>
      <w:r w:rsidRPr="00B22F7F">
        <w:rPr>
          <w:i/>
          <w:sz w:val="20"/>
          <w:szCs w:val="20"/>
        </w:rPr>
        <w:t xml:space="preserve"> </w:t>
      </w:r>
      <w:r w:rsidRPr="00B22F7F">
        <w:rPr>
          <w:sz w:val="20"/>
          <w:szCs w:val="20"/>
        </w:rPr>
        <w:t xml:space="preserve">in </w:t>
      </w:r>
      <w:r w:rsidRPr="00B22F7F">
        <w:rPr>
          <w:i/>
          <w:sz w:val="20"/>
          <w:szCs w:val="20"/>
        </w:rPr>
        <w:t>Enc. dir.</w:t>
      </w:r>
      <w:r w:rsidRPr="00B22F7F">
        <w:rPr>
          <w:sz w:val="20"/>
          <w:szCs w:val="20"/>
        </w:rPr>
        <w:t xml:space="preserve">, XXVII, Milano 1977, 154 ss.; E. AMODIO, </w:t>
      </w:r>
      <w:r w:rsidRPr="00B22F7F">
        <w:rPr>
          <w:i/>
          <w:sz w:val="20"/>
          <w:szCs w:val="20"/>
        </w:rPr>
        <w:t>Motivazione della sentenza penale</w:t>
      </w:r>
      <w:r w:rsidRPr="00B22F7F">
        <w:rPr>
          <w:sz w:val="20"/>
          <w:szCs w:val="20"/>
        </w:rPr>
        <w:t xml:space="preserve">, in </w:t>
      </w:r>
      <w:r w:rsidRPr="00B22F7F">
        <w:rPr>
          <w:i/>
          <w:sz w:val="20"/>
          <w:szCs w:val="20"/>
        </w:rPr>
        <w:t>Enc. dir.</w:t>
      </w:r>
      <w:r w:rsidR="00E52DF9">
        <w:rPr>
          <w:sz w:val="20"/>
          <w:szCs w:val="20"/>
        </w:rPr>
        <w:t>, XXVII, Milano 1977, 181 ss.</w:t>
      </w:r>
      <w:r w:rsidRPr="00B22F7F">
        <w:rPr>
          <w:rFonts w:cstheme="minorHAnsi"/>
          <w:sz w:val="20"/>
          <w:szCs w:val="20"/>
        </w:rPr>
        <w:t>. Soprattutto per questo secondo profilo, ma anche per il primo se si pensa alle parti, è necessario che il linguaggio della motivazione sia quanto più accessibile anche agli estranei al processo: che sia comprensibile dai più e non so</w:t>
      </w:r>
      <w:r w:rsidR="003E2400">
        <w:rPr>
          <w:rFonts w:cstheme="minorHAnsi"/>
          <w:sz w:val="20"/>
          <w:szCs w:val="20"/>
        </w:rPr>
        <w:t xml:space="preserve">ltanto dagli addetti ai lavori: </w:t>
      </w:r>
      <w:r w:rsidRPr="00B22F7F">
        <w:rPr>
          <w:sz w:val="20"/>
          <w:szCs w:val="20"/>
        </w:rPr>
        <w:t>M. TARUFFO,</w:t>
      </w:r>
      <w:r w:rsidRPr="00B22F7F">
        <w:rPr>
          <w:i/>
          <w:sz w:val="20"/>
          <w:szCs w:val="20"/>
        </w:rPr>
        <w:t xml:space="preserve"> Motivazione della sentenza civile (controllo della)</w:t>
      </w:r>
      <w:r w:rsidRPr="00B22F7F">
        <w:rPr>
          <w:sz w:val="20"/>
          <w:szCs w:val="20"/>
        </w:rPr>
        <w:t>, cit., spec. 776</w:t>
      </w:r>
      <w:r w:rsidRPr="00B22F7F">
        <w:rPr>
          <w:rFonts w:cstheme="minorHAnsi"/>
          <w:sz w:val="20"/>
          <w:szCs w:val="20"/>
        </w:rPr>
        <w:t xml:space="preserve">. </w:t>
      </w:r>
    </w:p>
  </w:footnote>
  <w:footnote w:id="22">
    <w:p w:rsidR="00570482" w:rsidRPr="00570482" w:rsidRDefault="00570482" w:rsidP="00570482">
      <w:pPr>
        <w:pStyle w:val="FootnoteText"/>
      </w:pPr>
      <w:r>
        <w:rPr>
          <w:rStyle w:val="FootnoteReference"/>
        </w:rPr>
        <w:footnoteRef/>
      </w:r>
      <w:r w:rsidRPr="00570482">
        <w:t xml:space="preserve"> </w:t>
      </w:r>
      <w:r>
        <w:t xml:space="preserve">Nel mondo anglosassone si tende a sintetizzare la </w:t>
      </w:r>
      <w:r w:rsidRPr="00570482">
        <w:rPr>
          <w:i/>
        </w:rPr>
        <w:t>legal certainty</w:t>
      </w:r>
      <w:r>
        <w:t xml:space="preserve"> nella </w:t>
      </w:r>
      <w:r w:rsidRPr="00570482">
        <w:rPr>
          <w:i/>
        </w:rPr>
        <w:t>legal stability and predictability</w:t>
      </w:r>
      <w:r>
        <w:t>.</w:t>
      </w:r>
    </w:p>
  </w:footnote>
  <w:footnote w:id="23">
    <w:p w:rsidR="00513771" w:rsidRDefault="00513771" w:rsidP="00513771">
      <w:pPr>
        <w:pStyle w:val="FootnoteText"/>
        <w:jc w:val="both"/>
      </w:pPr>
      <w:r>
        <w:rPr>
          <w:rStyle w:val="FootnoteReference"/>
        </w:rPr>
        <w:footnoteRef/>
      </w:r>
      <w:r w:rsidRPr="00753338">
        <w:rPr>
          <w:lang w:val="fr-FR"/>
        </w:rPr>
        <w:t xml:space="preserve"> Cons. const., n. 2001-455 DC, 12 gennaio 2002, cons. 9; n. 2001-451 DC, 27 novembre 2001, cons. </w:t>
      </w:r>
      <w:r w:rsidRPr="00E309D2">
        <w:t xml:space="preserve">13; </w:t>
      </w:r>
      <w:r w:rsidRPr="008B6D6D">
        <w:t xml:space="preserve">n. </w:t>
      </w:r>
      <w:r w:rsidRPr="00E309D2">
        <w:t xml:space="preserve">98-401 DC, 10 giugno 1998, cons. 10. </w:t>
      </w:r>
    </w:p>
    <w:p w:rsidR="00513771" w:rsidRDefault="00513771" w:rsidP="00513771">
      <w:pPr>
        <w:pStyle w:val="FootnoteText"/>
        <w:jc w:val="both"/>
      </w:pPr>
      <w:r>
        <w:t xml:space="preserve">Non è fuor di luogo ricordare, all’opposto, l’auspicata </w:t>
      </w:r>
      <w:r>
        <w:rPr>
          <w:i/>
        </w:rPr>
        <w:t xml:space="preserve">morte del </w:t>
      </w:r>
      <w:r w:rsidRPr="0034364A">
        <w:rPr>
          <w:i/>
        </w:rPr>
        <w:t>paragrafo</w:t>
      </w:r>
      <w:r>
        <w:t xml:space="preserve"> – simbolo di un </w:t>
      </w:r>
      <w:r w:rsidRPr="000A6959">
        <w:rPr>
          <w:i/>
        </w:rPr>
        <w:t xml:space="preserve">“pensiero del diritto estraneo alla vita e alla realtà” </w:t>
      </w:r>
      <w:r>
        <w:t xml:space="preserve">perché il vero diritto non può essere ridotto alla legge scritta – dei giuristi nazionalsocialisti, in particolare </w:t>
      </w:r>
      <w:r w:rsidR="000A6959">
        <w:t xml:space="preserve">di </w:t>
      </w:r>
      <w:r w:rsidRPr="00104DF1">
        <w:t>Hanns Kerrl</w:t>
      </w:r>
      <w:r>
        <w:t xml:space="preserve">, ministro della giustizia prussiano nel 1934 poi </w:t>
      </w:r>
      <w:r w:rsidRPr="00496547">
        <w:t>ministro per gli affari ecclesiastici del Reich</w:t>
      </w:r>
      <w:r>
        <w:t xml:space="preserve"> (celebre la </w:t>
      </w:r>
      <w:r w:rsidR="00E52DF9">
        <w:t xml:space="preserve">sua </w:t>
      </w:r>
      <w:r>
        <w:t xml:space="preserve">foto </w:t>
      </w:r>
      <w:r w:rsidRPr="003C7876">
        <w:rPr>
          <w:i/>
        </w:rPr>
        <w:t>Paragraphen am Galgen</w:t>
      </w:r>
      <w:r w:rsidRPr="003C7876">
        <w:t xml:space="preserve">, </w:t>
      </w:r>
      <w:r>
        <w:t>p</w:t>
      </w:r>
      <w:r w:rsidRPr="003C7876">
        <w:t>aragrafi sulla forca</w:t>
      </w:r>
      <w:r>
        <w:t xml:space="preserve">): cfr. J. CHAPOUTOT, </w:t>
      </w:r>
      <w:r w:rsidRPr="0034364A">
        <w:rPr>
          <w:i/>
        </w:rPr>
        <w:t xml:space="preserve">La legge del sangue. </w:t>
      </w:r>
      <w:r w:rsidRPr="0034364A">
        <w:rPr>
          <w:i/>
          <w:vanish/>
        </w:rPr>
        <w:t>Pensare e agire da nazisti</w:t>
      </w:r>
      <w:r>
        <w:rPr>
          <w:vanish/>
        </w:rPr>
        <w:t xml:space="preserve">, Torino 2016, 116. </w:t>
      </w:r>
    </w:p>
  </w:footnote>
  <w:footnote w:id="24">
    <w:p w:rsidR="00513771" w:rsidRPr="00DE664A" w:rsidRDefault="00513771" w:rsidP="00513771">
      <w:pPr>
        <w:pStyle w:val="FootnoteText"/>
        <w:jc w:val="both"/>
      </w:pPr>
      <w:r>
        <w:rPr>
          <w:rStyle w:val="FootnoteReference"/>
        </w:rPr>
        <w:footnoteRef/>
      </w:r>
      <w:r>
        <w:t xml:space="preserve"> In tema di disposizioni su s</w:t>
      </w:r>
      <w:r w:rsidRPr="006A1B53">
        <w:rPr>
          <w:bCs/>
        </w:rPr>
        <w:t xml:space="preserve">orveglianza speciale e confisca per </w:t>
      </w:r>
      <w:r w:rsidRPr="006A1B53">
        <w:rPr>
          <w:bCs/>
          <w:i/>
        </w:rPr>
        <w:t>“persone abitualmente dedite a traffici delittuosi”</w:t>
      </w:r>
      <w:r w:rsidRPr="006A1B53">
        <w:rPr>
          <w:bCs/>
        </w:rPr>
        <w:t xml:space="preserve">: formula normativa </w:t>
      </w:r>
      <w:r w:rsidRPr="00E93B09">
        <w:rPr>
          <w:bCs/>
        </w:rPr>
        <w:t xml:space="preserve">illegittima in quanto troppo generica. In sensi analoghi vi si era pronunciata la Corte EDU (sentenza della Grande Camera </w:t>
      </w:r>
      <w:r w:rsidRPr="00E93B09">
        <w:rPr>
          <w:color w:val="000000"/>
        </w:rPr>
        <w:t xml:space="preserve">pubblicata il 23 febbraio 2017, in proc. n. 43395/09, </w:t>
      </w:r>
      <w:r w:rsidRPr="00E93B09">
        <w:rPr>
          <w:i/>
          <w:color w:val="000000"/>
        </w:rPr>
        <w:t>de Tommaso vs. Italia</w:t>
      </w:r>
      <w:r w:rsidRPr="00E93B09">
        <w:rPr>
          <w:bCs/>
        </w:rPr>
        <w:t xml:space="preserve">), per la quale </w:t>
      </w:r>
      <w:r w:rsidRPr="00E93B09">
        <w:rPr>
          <w:color w:val="000000"/>
        </w:rPr>
        <w:t xml:space="preserve">gli artt. 1, 3 e 5 </w:t>
      </w:r>
      <w:r w:rsidR="00AF4B7B">
        <w:rPr>
          <w:color w:val="000000"/>
        </w:rPr>
        <w:t xml:space="preserve">l. </w:t>
      </w:r>
      <w:r w:rsidRPr="00E93B09">
        <w:rPr>
          <w:color w:val="000000"/>
        </w:rPr>
        <w:t>27 dicembre 1956, n. 1423 (</w:t>
      </w:r>
      <w:r w:rsidRPr="00E93B09">
        <w:rPr>
          <w:i/>
          <w:color w:val="000000"/>
        </w:rPr>
        <w:t>Misure di prevenzione nei confronti delle persone pericolose per la sicurezza e per la pubblica moralità</w:t>
      </w:r>
      <w:r w:rsidRPr="00E93B09">
        <w:rPr>
          <w:color w:val="000000"/>
        </w:rPr>
        <w:t xml:space="preserve">), si pongono in contrasto con l’art. 2 del Prot. n. 4 CEDU non presentando i requisiti di </w:t>
      </w:r>
      <w:r w:rsidRPr="00E93B09">
        <w:rPr>
          <w:i/>
          <w:color w:val="000000"/>
        </w:rPr>
        <w:t>«chiarezza, precisione e completezza precettiva»</w:t>
      </w:r>
      <w:r w:rsidRPr="00E93B09">
        <w:rPr>
          <w:color w:val="000000"/>
        </w:rPr>
        <w:t xml:space="preserve"> richiesti dalla CEDU, e precluderebbero al cittadino di comprendere </w:t>
      </w:r>
      <w:r w:rsidRPr="00E93B09">
        <w:rPr>
          <w:i/>
          <w:color w:val="000000"/>
        </w:rPr>
        <w:t>«quali condotte debba tenere e quali condotte debba evitare per non incorrere nella misura di prevenzione»</w:t>
      </w:r>
      <w:r w:rsidRPr="00E93B09">
        <w:rPr>
          <w:color w:val="000000"/>
        </w:rPr>
        <w:t xml:space="preserve">, e quali condotte integrino </w:t>
      </w:r>
      <w:r w:rsidRPr="00DE664A">
        <w:rPr>
          <w:color w:val="000000"/>
        </w:rPr>
        <w:t xml:space="preserve">la </w:t>
      </w:r>
      <w:r w:rsidRPr="00DE664A">
        <w:rPr>
          <w:i/>
          <w:color w:val="000000"/>
        </w:rPr>
        <w:t>«violazione delle prescrizioni connesse all’imposizione della sorveglianza speciale di pubblica sicurezza».</w:t>
      </w:r>
    </w:p>
  </w:footnote>
  <w:footnote w:id="25">
    <w:p w:rsidR="00513771" w:rsidRPr="0034364A" w:rsidRDefault="00513771" w:rsidP="00513771">
      <w:pPr>
        <w:pStyle w:val="FootnoteText"/>
        <w:jc w:val="both"/>
      </w:pPr>
      <w:r w:rsidRPr="00DE664A">
        <w:footnoteRef/>
      </w:r>
      <w:r w:rsidRPr="00DE664A">
        <w:t xml:space="preserve"> Cfr. N. IRTI</w:t>
      </w:r>
      <w:r w:rsidRPr="005A6807">
        <w:t xml:space="preserve">, </w:t>
      </w:r>
      <w:r w:rsidRPr="005A6807">
        <w:rPr>
          <w:i/>
        </w:rPr>
        <w:t>Un diritto incalcolabile</w:t>
      </w:r>
      <w:r w:rsidRPr="005A6807">
        <w:t xml:space="preserve">, </w:t>
      </w:r>
      <w:r w:rsidR="00AF4B7B" w:rsidRPr="005A6807">
        <w:t>cit.</w:t>
      </w:r>
      <w:r w:rsidR="00CB7ED2">
        <w:t>, specc. 3 ss</w:t>
      </w:r>
      <w:r w:rsidRPr="0034364A">
        <w:t>.</w:t>
      </w:r>
      <w:r w:rsidR="00CB7ED2">
        <w:t>.</w:t>
      </w:r>
    </w:p>
  </w:footnote>
  <w:footnote w:id="26">
    <w:p w:rsidR="005D44C9" w:rsidRPr="005D44C9" w:rsidRDefault="00E61E60" w:rsidP="00280C48">
      <w:pPr>
        <w:pStyle w:val="FootnoteText"/>
        <w:jc w:val="both"/>
      </w:pPr>
      <w:r>
        <w:rPr>
          <w:rStyle w:val="FootnoteReference"/>
        </w:rPr>
        <w:footnoteRef/>
      </w:r>
      <w:r w:rsidRPr="005D44C9">
        <w:t xml:space="preserve"> L’esigenza del giudicato </w:t>
      </w:r>
      <w:r w:rsidR="005D44C9" w:rsidRPr="005D44C9">
        <w:t>nasce dall</w:t>
      </w:r>
      <w:r w:rsidR="00280C48">
        <w:t>’</w:t>
      </w:r>
      <w:r w:rsidR="005D44C9" w:rsidRPr="005D44C9">
        <w:t xml:space="preserve">esigenza </w:t>
      </w:r>
      <w:r w:rsidR="00280C48">
        <w:t xml:space="preserve">superiore di </w:t>
      </w:r>
      <w:r w:rsidR="00280C48" w:rsidRPr="003C0BFC">
        <w:rPr>
          <w:i/>
        </w:rPr>
        <w:t>sicurezza giuridica</w:t>
      </w:r>
      <w:r w:rsidR="00280C48">
        <w:t xml:space="preserve"> </w:t>
      </w:r>
      <w:r w:rsidR="005D44C9" w:rsidRPr="005D44C9">
        <w:t xml:space="preserve">che ad un certo punto la giustizia sia resa e in maniera </w:t>
      </w:r>
      <w:r w:rsidR="00280C48">
        <w:t>d</w:t>
      </w:r>
      <w:r w:rsidR="00280C48" w:rsidRPr="005D44C9">
        <w:t>efin</w:t>
      </w:r>
      <w:r w:rsidR="00280C48">
        <w:t>i</w:t>
      </w:r>
      <w:r w:rsidR="00280C48" w:rsidRPr="005D44C9">
        <w:t>tiva</w:t>
      </w:r>
      <w:r w:rsidR="005D44C9" w:rsidRPr="005D44C9">
        <w:t xml:space="preserve">: </w:t>
      </w:r>
      <w:r w:rsidR="00280C48">
        <w:t xml:space="preserve">si usa riferire a Montesquieu la formula </w:t>
      </w:r>
      <w:r w:rsidRPr="005D44C9">
        <w:rPr>
          <w:i/>
        </w:rPr>
        <w:t>«Le repos des familles et de la société toute entière se fonde non seulement sur ce qui est juste mais sur ce qui est fini»</w:t>
      </w:r>
      <w:r w:rsidRPr="005D44C9">
        <w:t xml:space="preserve">. Come </w:t>
      </w:r>
      <w:r w:rsidR="005D44C9" w:rsidRPr="005D44C9">
        <w:t xml:space="preserve">sopra si è </w:t>
      </w:r>
      <w:r w:rsidR="003C0BFC">
        <w:t xml:space="preserve">ricordato </w:t>
      </w:r>
      <w:r w:rsidR="005D44C9">
        <w:t>(nota n.9)</w:t>
      </w:r>
      <w:r w:rsidR="003C0BFC">
        <w:t>,</w:t>
      </w:r>
      <w:r w:rsidR="005D44C9" w:rsidRPr="005D44C9">
        <w:t xml:space="preserve"> non era questo </w:t>
      </w:r>
      <w:r w:rsidR="005D44C9">
        <w:t xml:space="preserve">il fine del </w:t>
      </w:r>
      <w:r w:rsidR="005D44C9" w:rsidRPr="005D44C9">
        <w:t xml:space="preserve">processo presso </w:t>
      </w:r>
      <w:r w:rsidR="005D44C9" w:rsidRPr="003C0BFC">
        <w:t>la Rota Romana.</w:t>
      </w:r>
    </w:p>
  </w:footnote>
  <w:footnote w:id="27">
    <w:p w:rsidR="00513771" w:rsidRDefault="00513771" w:rsidP="00513771">
      <w:pPr>
        <w:pStyle w:val="FootnoteText"/>
      </w:pPr>
      <w:r>
        <w:rPr>
          <w:rStyle w:val="FootnoteReference"/>
        </w:rPr>
        <w:footnoteRef/>
      </w:r>
      <w:r>
        <w:t xml:space="preserve"> </w:t>
      </w:r>
      <w:r w:rsidRPr="0005690D">
        <w:rPr>
          <w:bCs/>
        </w:rPr>
        <w:t>G.</w:t>
      </w:r>
      <w:r>
        <w:rPr>
          <w:bCs/>
        </w:rPr>
        <w:t xml:space="preserve"> </w:t>
      </w:r>
      <w:r w:rsidRPr="0005690D">
        <w:rPr>
          <w:bCs/>
        </w:rPr>
        <w:t xml:space="preserve">BARBAGALLO, </w:t>
      </w:r>
      <w:r w:rsidRPr="00955831">
        <w:rPr>
          <w:bCs/>
          <w:i/>
        </w:rPr>
        <w:t>Per la chiarezza delle sentenze e delle loro motivazioni</w:t>
      </w:r>
      <w:r w:rsidRPr="0094656F">
        <w:rPr>
          <w:bCs/>
        </w:rPr>
        <w:t>, cit.</w:t>
      </w:r>
      <w:r>
        <w:rPr>
          <w:bCs/>
        </w:rPr>
        <w:t>.</w:t>
      </w:r>
    </w:p>
  </w:footnote>
  <w:footnote w:id="28">
    <w:p w:rsidR="00513771" w:rsidRDefault="00513771" w:rsidP="00513771">
      <w:pPr>
        <w:pStyle w:val="FootnoteText"/>
        <w:jc w:val="both"/>
      </w:pPr>
      <w:r>
        <w:rPr>
          <w:rStyle w:val="FootnoteReference"/>
        </w:rPr>
        <w:footnoteRef/>
      </w:r>
      <w:r>
        <w:t xml:space="preserve"> e non “</w:t>
      </w:r>
      <w:r w:rsidRPr="00790346">
        <w:rPr>
          <w:i/>
        </w:rPr>
        <w:t>forma dell’espressione</w:t>
      </w:r>
      <w:r>
        <w:t xml:space="preserve">”: cfr. U. ECO, </w:t>
      </w:r>
      <w:r w:rsidRPr="001B6E18">
        <w:rPr>
          <w:i/>
        </w:rPr>
        <w:t>Le forme del contenuto</w:t>
      </w:r>
      <w:r>
        <w:t>, Torino 1971; Id</w:t>
      </w:r>
      <w:r w:rsidRPr="001B6E18">
        <w:rPr>
          <w:i/>
        </w:rPr>
        <w:t>., Trattato di semiotica generale</w:t>
      </w:r>
      <w:r>
        <w:t xml:space="preserve">, Torino 1975, </w:t>
      </w:r>
      <w:r w:rsidRPr="0087378E">
        <w:rPr>
          <w:i/>
        </w:rPr>
        <w:t>passim</w:t>
      </w:r>
      <w:r>
        <w:t>. La distinzione è ripresa dal linguista strutturalista L. Hjelmslev, che sviluppa i postulati di F. de Saussure sulla teoria dei segni.</w:t>
      </w:r>
    </w:p>
  </w:footnote>
  <w:footnote w:id="29">
    <w:p w:rsidR="00513771" w:rsidRPr="00887D4D" w:rsidRDefault="00513771" w:rsidP="00513771">
      <w:pPr>
        <w:pStyle w:val="FootnoteText"/>
        <w:jc w:val="both"/>
        <w:rPr>
          <w:bCs/>
        </w:rPr>
      </w:pPr>
      <w:r>
        <w:rPr>
          <w:rStyle w:val="FootnoteReference"/>
        </w:rPr>
        <w:footnoteRef/>
      </w:r>
      <w:r>
        <w:t xml:space="preserve"> </w:t>
      </w:r>
      <w:r w:rsidRPr="006C3B3D">
        <w:t>Si vedano ad es. gli studi di G. GORLA</w:t>
      </w:r>
      <w:r w:rsidRPr="006C3B3D">
        <w:rPr>
          <w:bCs/>
        </w:rPr>
        <w:t xml:space="preserve">, </w:t>
      </w:r>
      <w:r w:rsidRPr="00647554">
        <w:rPr>
          <w:bCs/>
          <w:i/>
        </w:rPr>
        <w:t>Sulla via</w:t>
      </w:r>
      <w:r w:rsidRPr="006C3B3D">
        <w:rPr>
          <w:bCs/>
          <w:i/>
        </w:rPr>
        <w:t xml:space="preserve"> dei «motivi» delle «sentenze»: lacune e trappole</w:t>
      </w:r>
      <w:r w:rsidRPr="006C3B3D">
        <w:rPr>
          <w:bCs/>
        </w:rPr>
        <w:t xml:space="preserve">, in </w:t>
      </w:r>
      <w:r w:rsidRPr="006C3B3D">
        <w:rPr>
          <w:i/>
          <w:iCs/>
        </w:rPr>
        <w:t xml:space="preserve">Foro </w:t>
      </w:r>
      <w:r>
        <w:rPr>
          <w:i/>
          <w:iCs/>
        </w:rPr>
        <w:t>i</w:t>
      </w:r>
      <w:r w:rsidRPr="006C3B3D">
        <w:rPr>
          <w:i/>
          <w:iCs/>
        </w:rPr>
        <w:t>t</w:t>
      </w:r>
      <w:r>
        <w:rPr>
          <w:i/>
          <w:iCs/>
        </w:rPr>
        <w:t>.</w:t>
      </w:r>
      <w:r w:rsidRPr="006C3B3D">
        <w:t xml:space="preserve">, 1980, V, 201 ss..; </w:t>
      </w:r>
      <w:r w:rsidRPr="006C3B3D">
        <w:rPr>
          <w:i/>
        </w:rPr>
        <w:t>La sentenza in Europa - Metodo, tecnica e stile</w:t>
      </w:r>
      <w:r w:rsidRPr="006C3B3D">
        <w:t xml:space="preserve"> (atti del convegno, Ferrara, 10-12 ottobre 1985), Padova 1988</w:t>
      </w:r>
      <w:r>
        <w:t xml:space="preserve">; D. </w:t>
      </w:r>
      <w:r w:rsidRPr="000B654E">
        <w:rPr>
          <w:bCs/>
        </w:rPr>
        <w:t>PREITE</w:t>
      </w:r>
      <w:r w:rsidRPr="000B654E">
        <w:t xml:space="preserve">, </w:t>
      </w:r>
      <w:r w:rsidRPr="000B654E">
        <w:rPr>
          <w:bCs/>
          <w:i/>
        </w:rPr>
        <w:t>Tecnica della motivazione</w:t>
      </w:r>
      <w:r w:rsidRPr="000B654E">
        <w:rPr>
          <w:i/>
        </w:rPr>
        <w:t xml:space="preserve"> delle sentenze a coesione sociale</w:t>
      </w:r>
      <w:r>
        <w:t xml:space="preserve"> </w:t>
      </w:r>
      <w:r w:rsidRPr="000B654E">
        <w:rPr>
          <w:i/>
        </w:rPr>
        <w:t>(a proposito di un libro di Guido Calabresi)</w:t>
      </w:r>
      <w:r>
        <w:rPr>
          <w:bCs/>
        </w:rPr>
        <w:t xml:space="preserve">, in </w:t>
      </w:r>
      <w:r w:rsidRPr="000B654E">
        <w:rPr>
          <w:bCs/>
          <w:i/>
        </w:rPr>
        <w:t>Contratto e impr.</w:t>
      </w:r>
      <w:r w:rsidRPr="000B654E">
        <w:rPr>
          <w:bCs/>
        </w:rPr>
        <w:t>, 1986, 476</w:t>
      </w:r>
      <w:r>
        <w:rPr>
          <w:bCs/>
        </w:rPr>
        <w:t xml:space="preserve">; </w:t>
      </w:r>
      <w:r w:rsidR="00167770">
        <w:rPr>
          <w:bCs/>
        </w:rPr>
        <w:t xml:space="preserve">R. </w:t>
      </w:r>
      <w:r w:rsidRPr="00812F68">
        <w:rPr>
          <w:bCs/>
        </w:rPr>
        <w:t xml:space="preserve">GUASTINI, </w:t>
      </w:r>
      <w:r w:rsidRPr="00812F68">
        <w:rPr>
          <w:bCs/>
          <w:i/>
        </w:rPr>
        <w:t>Problemi di analisi logica della motivazione; in contratto e impr.</w:t>
      </w:r>
      <w:r>
        <w:rPr>
          <w:bCs/>
        </w:rPr>
        <w:t xml:space="preserve">, 1986, 104; G. </w:t>
      </w:r>
      <w:r w:rsidRPr="000B654E">
        <w:rPr>
          <w:bCs/>
        </w:rPr>
        <w:t xml:space="preserve">SBISÀ, </w:t>
      </w:r>
      <w:r w:rsidRPr="000B654E">
        <w:rPr>
          <w:bCs/>
          <w:i/>
        </w:rPr>
        <w:t>Certezza del diritto e flessibilità del sistema (la motivazione della sentenza in common law e civil law)</w:t>
      </w:r>
      <w:r>
        <w:rPr>
          <w:bCs/>
        </w:rPr>
        <w:t xml:space="preserve">, in </w:t>
      </w:r>
      <w:r w:rsidRPr="000B654E">
        <w:rPr>
          <w:bCs/>
          <w:i/>
        </w:rPr>
        <w:t>Contratto e impr.</w:t>
      </w:r>
      <w:r w:rsidRPr="000B654E">
        <w:rPr>
          <w:bCs/>
        </w:rPr>
        <w:t>, 1988, 504</w:t>
      </w:r>
      <w:r>
        <w:rPr>
          <w:bCs/>
        </w:rPr>
        <w:t xml:space="preserve">; G. </w:t>
      </w:r>
      <w:r w:rsidRPr="006C3B3D">
        <w:rPr>
          <w:bCs/>
        </w:rPr>
        <w:t xml:space="preserve">MICALI, </w:t>
      </w:r>
      <w:r w:rsidRPr="00647554">
        <w:rPr>
          <w:bCs/>
          <w:i/>
        </w:rPr>
        <w:t>Lo stile delle sentenze e la corte di cassazione</w:t>
      </w:r>
      <w:r>
        <w:rPr>
          <w:bCs/>
        </w:rPr>
        <w:t xml:space="preserve">, in </w:t>
      </w:r>
      <w:r w:rsidRPr="006C3B3D">
        <w:rPr>
          <w:bCs/>
          <w:i/>
        </w:rPr>
        <w:t>Giust. civ.</w:t>
      </w:r>
      <w:r w:rsidRPr="006C3B3D">
        <w:rPr>
          <w:bCs/>
        </w:rPr>
        <w:t>, 1988, II, 2</w:t>
      </w:r>
      <w:r>
        <w:rPr>
          <w:bCs/>
        </w:rPr>
        <w:t xml:space="preserve"> e in </w:t>
      </w:r>
      <w:r w:rsidRPr="006C3B3D">
        <w:rPr>
          <w:bCs/>
          <w:i/>
        </w:rPr>
        <w:t>Giust. pen.</w:t>
      </w:r>
      <w:r w:rsidRPr="006C3B3D">
        <w:rPr>
          <w:bCs/>
        </w:rPr>
        <w:t>, 1988, III, 54</w:t>
      </w:r>
      <w:r>
        <w:rPr>
          <w:bCs/>
        </w:rPr>
        <w:t xml:space="preserve">; </w:t>
      </w:r>
      <w:r w:rsidRPr="006C3B3D">
        <w:rPr>
          <w:bCs/>
        </w:rPr>
        <w:t>S.</w:t>
      </w:r>
      <w:r>
        <w:rPr>
          <w:bCs/>
        </w:rPr>
        <w:t xml:space="preserve"> </w:t>
      </w:r>
      <w:r w:rsidRPr="006C3B3D">
        <w:rPr>
          <w:bCs/>
        </w:rPr>
        <w:t xml:space="preserve">MAZZAMUTO, </w:t>
      </w:r>
      <w:r w:rsidRPr="006C3B3D">
        <w:rPr>
          <w:bCs/>
          <w:i/>
        </w:rPr>
        <w:t>Lo stile delle sentenze e l'utilizzazione dei precedenti: spunti di politica del diritto</w:t>
      </w:r>
      <w:r>
        <w:rPr>
          <w:bCs/>
        </w:rPr>
        <w:t xml:space="preserve">, in </w:t>
      </w:r>
      <w:r w:rsidRPr="00647554">
        <w:rPr>
          <w:bCs/>
          <w:i/>
        </w:rPr>
        <w:t>Europa e dir. privato</w:t>
      </w:r>
      <w:r w:rsidRPr="006C3B3D">
        <w:rPr>
          <w:bCs/>
        </w:rPr>
        <w:t>, 1999, 747</w:t>
      </w:r>
      <w:r>
        <w:rPr>
          <w:bCs/>
        </w:rPr>
        <w:t xml:space="preserve">; </w:t>
      </w:r>
      <w:r w:rsidRPr="006C3B3D">
        <w:rPr>
          <w:bCs/>
        </w:rPr>
        <w:t>G. BARBAGALLO,</w:t>
      </w:r>
      <w:r>
        <w:rPr>
          <w:bCs/>
        </w:rPr>
        <w:t xml:space="preserve"> </w:t>
      </w:r>
      <w:r w:rsidRPr="006C3B3D">
        <w:rPr>
          <w:bCs/>
          <w:i/>
        </w:rPr>
        <w:t>Appunti di storia minima per una ricerca sullo stile della motivazione delle sentenze della cassazione in materia civile</w:t>
      </w:r>
      <w:r w:rsidRPr="006C3B3D">
        <w:rPr>
          <w:bCs/>
        </w:rPr>
        <w:t>,</w:t>
      </w:r>
      <w:r>
        <w:rPr>
          <w:bCs/>
        </w:rPr>
        <w:t xml:space="preserve"> in</w:t>
      </w:r>
      <w:r w:rsidRPr="006C3B3D">
        <w:rPr>
          <w:bCs/>
        </w:rPr>
        <w:t xml:space="preserve"> </w:t>
      </w:r>
      <w:r w:rsidRPr="006C3B3D">
        <w:rPr>
          <w:bCs/>
          <w:i/>
        </w:rPr>
        <w:t>Foro it.</w:t>
      </w:r>
      <w:r w:rsidRPr="006C3B3D">
        <w:rPr>
          <w:bCs/>
        </w:rPr>
        <w:t>, 1987, V</w:t>
      </w:r>
      <w:r>
        <w:rPr>
          <w:bCs/>
        </w:rPr>
        <w:t xml:space="preserve">, </w:t>
      </w:r>
      <w:r w:rsidRPr="006C3B3D">
        <w:rPr>
          <w:bCs/>
        </w:rPr>
        <w:t>269</w:t>
      </w:r>
      <w:r>
        <w:rPr>
          <w:bCs/>
        </w:rPr>
        <w:t>; Id.,</w:t>
      </w:r>
      <w:r w:rsidRPr="006C3B3D">
        <w:rPr>
          <w:bCs/>
        </w:rPr>
        <w:t xml:space="preserve"> </w:t>
      </w:r>
      <w:r w:rsidRPr="006C3B3D">
        <w:rPr>
          <w:bCs/>
          <w:i/>
        </w:rPr>
        <w:t>Stile e motivazione delle decisioni del Consiglio di Stato</w:t>
      </w:r>
      <w:r w:rsidRPr="006C3B3D">
        <w:rPr>
          <w:bCs/>
        </w:rPr>
        <w:t xml:space="preserve">, in </w:t>
      </w:r>
      <w:r w:rsidRPr="006C3B3D">
        <w:rPr>
          <w:bCs/>
          <w:i/>
        </w:rPr>
        <w:t>I Consigli di Stato di Francia e d'Italia</w:t>
      </w:r>
      <w:r w:rsidRPr="006C3B3D">
        <w:rPr>
          <w:bCs/>
        </w:rPr>
        <w:t>, Milano 1998</w:t>
      </w:r>
      <w:r>
        <w:rPr>
          <w:bCs/>
        </w:rPr>
        <w:t xml:space="preserve">; G. </w:t>
      </w:r>
      <w:r w:rsidR="00167770">
        <w:rPr>
          <w:bCs/>
        </w:rPr>
        <w:t xml:space="preserve">BARBAGALLO </w:t>
      </w:r>
      <w:r w:rsidRPr="001D4E57">
        <w:rPr>
          <w:bCs/>
        </w:rPr>
        <w:t xml:space="preserve">e </w:t>
      </w:r>
      <w:r>
        <w:rPr>
          <w:bCs/>
        </w:rPr>
        <w:t xml:space="preserve">M. </w:t>
      </w:r>
      <w:r w:rsidRPr="001D4E57">
        <w:rPr>
          <w:bCs/>
        </w:rPr>
        <w:t xml:space="preserve">MISSORI, </w:t>
      </w:r>
      <w:r w:rsidRPr="001D4E57">
        <w:rPr>
          <w:bCs/>
          <w:i/>
        </w:rPr>
        <w:t>Il linguaggio delle sentenze</w:t>
      </w:r>
      <w:r>
        <w:rPr>
          <w:bCs/>
        </w:rPr>
        <w:t xml:space="preserve">, in </w:t>
      </w:r>
      <w:r w:rsidRPr="001D4E57">
        <w:rPr>
          <w:bCs/>
          <w:i/>
        </w:rPr>
        <w:t>Nuova giur. civ.</w:t>
      </w:r>
      <w:r w:rsidRPr="001D4E57">
        <w:rPr>
          <w:bCs/>
        </w:rPr>
        <w:t>, 1999, II, 91</w:t>
      </w:r>
      <w:r>
        <w:rPr>
          <w:bCs/>
        </w:rPr>
        <w:t xml:space="preserve">; </w:t>
      </w:r>
      <w:r w:rsidRPr="0005690D">
        <w:rPr>
          <w:bCs/>
        </w:rPr>
        <w:t>G.</w:t>
      </w:r>
      <w:r>
        <w:rPr>
          <w:bCs/>
        </w:rPr>
        <w:t xml:space="preserve"> </w:t>
      </w:r>
      <w:r w:rsidRPr="0005690D">
        <w:rPr>
          <w:bCs/>
        </w:rPr>
        <w:t xml:space="preserve">BARBAGALLO, </w:t>
      </w:r>
      <w:r w:rsidRPr="00955831">
        <w:rPr>
          <w:bCs/>
          <w:i/>
        </w:rPr>
        <w:t>Per la chiarezza delle sentenze e delle loro motivazioni</w:t>
      </w:r>
      <w:r>
        <w:rPr>
          <w:bCs/>
        </w:rPr>
        <w:t xml:space="preserve">, </w:t>
      </w:r>
      <w:r w:rsidRPr="0005690D">
        <w:rPr>
          <w:bCs/>
          <w:i/>
        </w:rPr>
        <w:t>Il linguaggio della giurisprudenza</w:t>
      </w:r>
      <w:r>
        <w:rPr>
          <w:bCs/>
        </w:rPr>
        <w:t xml:space="preserve">, in </w:t>
      </w:r>
      <w:r w:rsidRPr="0005690D">
        <w:rPr>
          <w:bCs/>
          <w:i/>
        </w:rPr>
        <w:t>Foro it.</w:t>
      </w:r>
      <w:r>
        <w:rPr>
          <w:bCs/>
        </w:rPr>
        <w:t xml:space="preserve">, </w:t>
      </w:r>
      <w:r w:rsidRPr="0005690D">
        <w:rPr>
          <w:bCs/>
        </w:rPr>
        <w:t xml:space="preserve">2016, V, </w:t>
      </w:r>
      <w:r>
        <w:rPr>
          <w:bCs/>
        </w:rPr>
        <w:t xml:space="preserve">362 (a seguito del </w:t>
      </w:r>
      <w:r w:rsidRPr="00F930AB">
        <w:rPr>
          <w:bCs/>
        </w:rPr>
        <w:t xml:space="preserve">corso </w:t>
      </w:r>
      <w:r>
        <w:rPr>
          <w:bCs/>
        </w:rPr>
        <w:t xml:space="preserve">della </w:t>
      </w:r>
      <w:r w:rsidRPr="00F930AB">
        <w:rPr>
          <w:bCs/>
          <w:i/>
        </w:rPr>
        <w:t>Scuola superiore della magistratura</w:t>
      </w:r>
      <w:r w:rsidRPr="00F930AB">
        <w:rPr>
          <w:bCs/>
        </w:rPr>
        <w:t xml:space="preserve"> e d</w:t>
      </w:r>
      <w:r>
        <w:rPr>
          <w:bCs/>
        </w:rPr>
        <w:t>e</w:t>
      </w:r>
      <w:r w:rsidRPr="00F930AB">
        <w:rPr>
          <w:bCs/>
        </w:rPr>
        <w:t>ll’</w:t>
      </w:r>
      <w:r w:rsidRPr="00F930AB">
        <w:rPr>
          <w:bCs/>
          <w:i/>
        </w:rPr>
        <w:t>Accademia della Crusca</w:t>
      </w:r>
      <w:r w:rsidRPr="00F930AB">
        <w:rPr>
          <w:bCs/>
        </w:rPr>
        <w:t xml:space="preserve"> su </w:t>
      </w:r>
      <w:r w:rsidRPr="00F930AB">
        <w:rPr>
          <w:bCs/>
          <w:i/>
        </w:rPr>
        <w:t>«Il linguaggio della giurisdizione»</w:t>
      </w:r>
      <w:r w:rsidRPr="00F930AB">
        <w:rPr>
          <w:bCs/>
        </w:rPr>
        <w:t>, a Firenze</w:t>
      </w:r>
      <w:r>
        <w:rPr>
          <w:bCs/>
        </w:rPr>
        <w:t>, 20-</w:t>
      </w:r>
      <w:r w:rsidRPr="00F930AB">
        <w:rPr>
          <w:bCs/>
        </w:rPr>
        <w:t>21 giugno 2016</w:t>
      </w:r>
      <w:r>
        <w:rPr>
          <w:bCs/>
        </w:rPr>
        <w:t xml:space="preserve">; analogo corso è stato tenuto il </w:t>
      </w:r>
      <w:r w:rsidRPr="00F930AB">
        <w:rPr>
          <w:bCs/>
        </w:rPr>
        <w:t>18-20 settembre 2017</w:t>
      </w:r>
      <w:r>
        <w:rPr>
          <w:bCs/>
        </w:rPr>
        <w:t>); G. GRASSO</w:t>
      </w:r>
      <w:r w:rsidRPr="0005690D">
        <w:rPr>
          <w:bCs/>
        </w:rPr>
        <w:t xml:space="preserve">, </w:t>
      </w:r>
      <w:r w:rsidRPr="00955831">
        <w:rPr>
          <w:bCs/>
          <w:i/>
        </w:rPr>
        <w:t>Le parole dei giudici: chiarezza, sinteticità e giustizia</w:t>
      </w:r>
      <w:r w:rsidRPr="0005690D">
        <w:rPr>
          <w:bCs/>
        </w:rPr>
        <w:t xml:space="preserve">, </w:t>
      </w:r>
      <w:r>
        <w:rPr>
          <w:bCs/>
        </w:rPr>
        <w:t xml:space="preserve">ivi, </w:t>
      </w:r>
      <w:r w:rsidRPr="0005690D">
        <w:rPr>
          <w:bCs/>
        </w:rPr>
        <w:t>357</w:t>
      </w:r>
      <w:r>
        <w:rPr>
          <w:bCs/>
        </w:rPr>
        <w:t>; V. FERRARI</w:t>
      </w:r>
      <w:r w:rsidRPr="0005690D">
        <w:rPr>
          <w:bCs/>
        </w:rPr>
        <w:t xml:space="preserve">, </w:t>
      </w:r>
      <w:r w:rsidRPr="00955831">
        <w:rPr>
          <w:bCs/>
          <w:i/>
        </w:rPr>
        <w:t>Fatti e parole nella giurisprudenza</w:t>
      </w:r>
      <w:r w:rsidRPr="0005690D">
        <w:rPr>
          <w:bCs/>
        </w:rPr>
        <w:t xml:space="preserve">, </w:t>
      </w:r>
      <w:r>
        <w:rPr>
          <w:bCs/>
        </w:rPr>
        <w:t xml:space="preserve">ivi, </w:t>
      </w:r>
      <w:r w:rsidRPr="0005690D">
        <w:rPr>
          <w:bCs/>
        </w:rPr>
        <w:t>365; E.</w:t>
      </w:r>
      <w:r>
        <w:rPr>
          <w:bCs/>
        </w:rPr>
        <w:t xml:space="preserve"> </w:t>
      </w:r>
      <w:r w:rsidRPr="0005690D">
        <w:rPr>
          <w:bCs/>
        </w:rPr>
        <w:t xml:space="preserve">SCODITTI, </w:t>
      </w:r>
      <w:r w:rsidRPr="00955831">
        <w:rPr>
          <w:bCs/>
          <w:i/>
        </w:rPr>
        <w:t>Chiarezza e semplicità delle sentenze:</w:t>
      </w:r>
      <w:r w:rsidRPr="0005690D">
        <w:rPr>
          <w:bCs/>
        </w:rPr>
        <w:t xml:space="preserve"> simplex sigillum veri, </w:t>
      </w:r>
      <w:r>
        <w:rPr>
          <w:bCs/>
        </w:rPr>
        <w:t xml:space="preserve">ivi, </w:t>
      </w:r>
      <w:r w:rsidRPr="0005690D">
        <w:rPr>
          <w:bCs/>
        </w:rPr>
        <w:t xml:space="preserve">368; </w:t>
      </w:r>
      <w:r>
        <w:rPr>
          <w:bCs/>
        </w:rPr>
        <w:t xml:space="preserve">S.L. </w:t>
      </w:r>
      <w:r w:rsidRPr="0005690D">
        <w:rPr>
          <w:bCs/>
        </w:rPr>
        <w:t xml:space="preserve">GENTILE, </w:t>
      </w:r>
      <w:r w:rsidRPr="00955831">
        <w:rPr>
          <w:bCs/>
          <w:i/>
        </w:rPr>
        <w:t>La relativa opacità del linguaggio giudiziario fra inestetismi ed espressioni incerte: cause, tendenze, rimedi</w:t>
      </w:r>
      <w:r w:rsidRPr="0005690D">
        <w:rPr>
          <w:bCs/>
        </w:rPr>
        <w:t xml:space="preserve">, </w:t>
      </w:r>
      <w:r>
        <w:rPr>
          <w:bCs/>
        </w:rPr>
        <w:t>ivi, 371; N. IRTI</w:t>
      </w:r>
      <w:r w:rsidRPr="00547F7F">
        <w:rPr>
          <w:bCs/>
        </w:rPr>
        <w:t xml:space="preserve">, </w:t>
      </w:r>
      <w:r w:rsidRPr="00547F7F">
        <w:rPr>
          <w:bCs/>
          <w:i/>
        </w:rPr>
        <w:t>Le due cassazioni civili (in difesa della motivazione)</w:t>
      </w:r>
      <w:r>
        <w:rPr>
          <w:bCs/>
        </w:rPr>
        <w:t xml:space="preserve">, in </w:t>
      </w:r>
      <w:r w:rsidRPr="00D22228">
        <w:rPr>
          <w:bCs/>
          <w:i/>
        </w:rPr>
        <w:t>Contratto e impr.</w:t>
      </w:r>
      <w:r w:rsidRPr="00547F7F">
        <w:rPr>
          <w:bCs/>
        </w:rPr>
        <w:t>, 2017, 11</w:t>
      </w:r>
      <w:r w:rsidR="00990983">
        <w:rPr>
          <w:bCs/>
        </w:rPr>
        <w:t>;</w:t>
      </w:r>
      <w:r>
        <w:rPr>
          <w:bCs/>
        </w:rPr>
        <w:t xml:space="preserve"> P. CIRILLO, </w:t>
      </w:r>
      <w:r w:rsidRPr="00887D4D">
        <w:rPr>
          <w:bCs/>
          <w:i/>
        </w:rPr>
        <w:t>Dovere di motivazione e sinteticità degli atti</w:t>
      </w:r>
      <w:r w:rsidRPr="00887D4D">
        <w:rPr>
          <w:bCs/>
        </w:rPr>
        <w:t xml:space="preserve">, in </w:t>
      </w:r>
      <w:r w:rsidRPr="00887D4D">
        <w:rPr>
          <w:bCs/>
          <w:i/>
        </w:rPr>
        <w:t>Foro romano</w:t>
      </w:r>
      <w:r w:rsidRPr="00887D4D">
        <w:rPr>
          <w:bCs/>
        </w:rPr>
        <w:t>, n. 1-2/2015</w:t>
      </w:r>
      <w:r>
        <w:rPr>
          <w:bCs/>
        </w:rPr>
        <w:t xml:space="preserve"> e </w:t>
      </w:r>
      <w:r w:rsidRPr="00320ECA">
        <w:rPr>
          <w:bCs/>
        </w:rPr>
        <w:t>in</w:t>
      </w:r>
      <w:r w:rsidRPr="00320ECA">
        <w:rPr>
          <w:bCs/>
          <w:i/>
        </w:rPr>
        <w:t xml:space="preserve"> Giurisdiz. amm</w:t>
      </w:r>
      <w:r w:rsidRPr="00320ECA">
        <w:rPr>
          <w:bCs/>
        </w:rPr>
        <w:t>., 2012, IV, 7</w:t>
      </w:r>
      <w:r w:rsidR="00990983">
        <w:rPr>
          <w:bCs/>
        </w:rPr>
        <w:t>;</w:t>
      </w:r>
      <w:r w:rsidRPr="00887D4D">
        <w:rPr>
          <w:bCs/>
        </w:rPr>
        <w:t xml:space="preserve"> C. VOLPE, </w:t>
      </w:r>
      <w:r w:rsidRPr="00887D4D">
        <w:rPr>
          <w:bCs/>
          <w:i/>
        </w:rPr>
        <w:t>Dovere di motivazione della sentenza e sinteticità degli atti delle parti processuali</w:t>
      </w:r>
      <w:r w:rsidRPr="00887D4D">
        <w:rPr>
          <w:bCs/>
        </w:rPr>
        <w:t>, ivi, 33.</w:t>
      </w:r>
    </w:p>
  </w:footnote>
  <w:footnote w:id="30">
    <w:p w:rsidR="00513771" w:rsidRPr="00887D4D" w:rsidRDefault="00513771" w:rsidP="00513771">
      <w:pPr>
        <w:pStyle w:val="FootnoteText"/>
        <w:jc w:val="both"/>
        <w:rPr>
          <w:bCs/>
        </w:rPr>
      </w:pPr>
      <w:r w:rsidRPr="00887D4D">
        <w:rPr>
          <w:bCs/>
        </w:rPr>
        <w:footnoteRef/>
      </w:r>
      <w:r w:rsidRPr="00887D4D">
        <w:rPr>
          <w:bCs/>
        </w:rPr>
        <w:t xml:space="preserve"> Peraltro si veda il Provvedimento 22 marzo 2011 del Primo Presidente della Corte di Cassazione “</w:t>
      </w:r>
      <w:r w:rsidRPr="00273D67">
        <w:rPr>
          <w:bCs/>
          <w:i/>
        </w:rPr>
        <w:t>sulla motivazione</w:t>
      </w:r>
      <w:r w:rsidRPr="00887D4D">
        <w:rPr>
          <w:bCs/>
          <w:i/>
        </w:rPr>
        <w:t xml:space="preserve"> semplificata di sentenze e di ordinanze decisorie civili”</w:t>
      </w:r>
      <w:r w:rsidRPr="00887D4D">
        <w:rPr>
          <w:bCs/>
        </w:rPr>
        <w:t xml:space="preserve">. La stesso stile odierno delle sentenze, </w:t>
      </w:r>
      <w:r w:rsidR="00167770">
        <w:rPr>
          <w:bCs/>
        </w:rPr>
        <w:t xml:space="preserve">per quanto </w:t>
      </w:r>
      <w:r w:rsidRPr="00887D4D">
        <w:rPr>
          <w:bCs/>
        </w:rPr>
        <w:t>formalmente accurate, della Corte di Cassazione non appare uniforme od omogeneo.</w:t>
      </w:r>
    </w:p>
    <w:p w:rsidR="00513771" w:rsidRPr="00273D67" w:rsidRDefault="00513771" w:rsidP="00513771">
      <w:pPr>
        <w:pStyle w:val="FootnoteText"/>
        <w:jc w:val="both"/>
      </w:pPr>
      <w:r w:rsidRPr="00887D4D">
        <w:t xml:space="preserve">Non mancano serie riflessioni, come ad es. la tavola rotonda organizzata dalla Scuola superiore della Magistratura e </w:t>
      </w:r>
      <w:r w:rsidRPr="00273D67">
        <w:t xml:space="preserve">Struttura decentrata di formazione territoriale della Corte di cassazione, </w:t>
      </w:r>
      <w:r w:rsidRPr="00273D67">
        <w:rPr>
          <w:i/>
        </w:rPr>
        <w:t>Le tecniche della motivazione tra esigenze di celerità e di adeguata risposta di giustizia</w:t>
      </w:r>
      <w:r w:rsidRPr="00273D67">
        <w:t xml:space="preserve">, Corte di Cassazione, 9 giugno 2016; in vista dell’incontro di studi </w:t>
      </w:r>
      <w:r w:rsidRPr="00273D67">
        <w:rPr>
          <w:i/>
        </w:rPr>
        <w:t>Il linguaggio e lo stile delle Corti supreme: la motivazione</w:t>
      </w:r>
      <w:r w:rsidRPr="00273D67">
        <w:t xml:space="preserve">, Corte </w:t>
      </w:r>
      <w:r w:rsidR="00B32F1D">
        <w:t>di Cassazione, 16 giugno 2016; e</w:t>
      </w:r>
      <w:r w:rsidRPr="00273D67">
        <w:t xml:space="preserve"> il corso </w:t>
      </w:r>
      <w:r w:rsidRPr="00273D67">
        <w:rPr>
          <w:i/>
        </w:rPr>
        <w:t>Il linguaggio della giurisdizione</w:t>
      </w:r>
      <w:r w:rsidRPr="00273D67">
        <w:t xml:space="preserve">, </w:t>
      </w:r>
      <w:r w:rsidRPr="00273D67">
        <w:rPr>
          <w:rStyle w:val="Emphasis"/>
          <w:rFonts w:ascii="Calibri" w:hAnsi="Calibri" w:cs="Arial"/>
          <w:i w:val="0"/>
          <w:iCs w:val="0"/>
        </w:rPr>
        <w:t>Firenze, 18-20 settembre 2017.</w:t>
      </w:r>
    </w:p>
  </w:footnote>
  <w:footnote w:id="31">
    <w:p w:rsidR="00513771" w:rsidRDefault="00513771" w:rsidP="00513771">
      <w:pPr>
        <w:pStyle w:val="FootnoteText"/>
      </w:pPr>
      <w:r>
        <w:rPr>
          <w:rStyle w:val="FootnoteReference"/>
        </w:rPr>
        <w:footnoteRef/>
      </w:r>
      <w:r>
        <w:t xml:space="preserve"> F. MASTROBERTI, </w:t>
      </w:r>
      <w:r w:rsidRPr="007C44B7">
        <w:rPr>
          <w:i/>
        </w:rPr>
        <w:t>Note</w:t>
      </w:r>
      <w:r>
        <w:rPr>
          <w:i/>
        </w:rPr>
        <w:t xml:space="preserve"> su</w:t>
      </w:r>
      <w:r w:rsidRPr="007C44B7">
        <w:rPr>
          <w:i/>
        </w:rPr>
        <w:t xml:space="preserve"> linguaggio e sul discorso giuridico …</w:t>
      </w:r>
      <w:r>
        <w:t>, cit., 63.</w:t>
      </w:r>
    </w:p>
  </w:footnote>
  <w:footnote w:id="32">
    <w:p w:rsidR="00513771" w:rsidRPr="00AD2157" w:rsidRDefault="00513771" w:rsidP="00513771">
      <w:pPr>
        <w:pStyle w:val="FootnoteText"/>
        <w:jc w:val="both"/>
      </w:pPr>
      <w:r w:rsidRPr="00AD2157">
        <w:rPr>
          <w:rStyle w:val="FootnoteReference"/>
        </w:rPr>
        <w:footnoteRef/>
      </w:r>
      <w:r w:rsidRPr="00AD2157">
        <w:t xml:space="preserve"> Per una trattazione </w:t>
      </w:r>
      <w:r w:rsidR="005421D7">
        <w:t xml:space="preserve">con ampia casistica </w:t>
      </w:r>
      <w:r w:rsidRPr="00AD2157">
        <w:t xml:space="preserve">di questo argomento, si suggerisce la lettura di G.P. CIRILLLO, </w:t>
      </w:r>
      <w:r w:rsidRPr="00AD2157">
        <w:rPr>
          <w:bCs/>
          <w:i/>
        </w:rPr>
        <w:t>Dovere di motivazione e sinteticità degli atti</w:t>
      </w:r>
      <w:r w:rsidRPr="00AD2157">
        <w:rPr>
          <w:bCs/>
        </w:rPr>
        <w:t xml:space="preserve">, in </w:t>
      </w:r>
      <w:r w:rsidRPr="00AD2157">
        <w:rPr>
          <w:bCs/>
          <w:i/>
        </w:rPr>
        <w:t>Foro romano</w:t>
      </w:r>
      <w:r w:rsidRPr="00AD2157">
        <w:rPr>
          <w:bCs/>
        </w:rPr>
        <w:t>, n. 1-2/2015 e in</w:t>
      </w:r>
      <w:r w:rsidRPr="00AD2157">
        <w:rPr>
          <w:bCs/>
          <w:i/>
        </w:rPr>
        <w:t xml:space="preserve"> Giurisdiz. amm</w:t>
      </w:r>
      <w:r w:rsidRPr="00AD2157">
        <w:rPr>
          <w:bCs/>
        </w:rPr>
        <w:t xml:space="preserve">., 2012, IV, 7, e ivi la </w:t>
      </w:r>
      <w:r w:rsidRPr="00AD2157">
        <w:rPr>
          <w:bCs/>
          <w:i/>
        </w:rPr>
        <w:t>Nota 12</w:t>
      </w:r>
      <w:r w:rsidRPr="00AD2157">
        <w:rPr>
          <w:bCs/>
        </w:rPr>
        <w:t xml:space="preserve">, che fa riferimento ad una </w:t>
      </w:r>
      <w:r w:rsidR="005421D7">
        <w:rPr>
          <w:bCs/>
        </w:rPr>
        <w:t>nutrita</w:t>
      </w:r>
      <w:r w:rsidRPr="00AD2157">
        <w:rPr>
          <w:bCs/>
        </w:rPr>
        <w:t xml:space="preserve"> serie di criteri elaborati dal Pres. P.G. LIGNANI</w:t>
      </w:r>
      <w:r w:rsidRPr="00AD2157">
        <w:rPr>
          <w:bCs/>
          <w:iCs/>
        </w:rPr>
        <w:t xml:space="preserve"> per la </w:t>
      </w:r>
      <w:r>
        <w:rPr>
          <w:bCs/>
          <w:iCs/>
        </w:rPr>
        <w:t>III</w:t>
      </w:r>
      <w:r w:rsidRPr="00AD2157">
        <w:rPr>
          <w:bCs/>
          <w:iCs/>
        </w:rPr>
        <w:t xml:space="preserve"> Sezione del Consiglio di Stato</w:t>
      </w:r>
      <w:r w:rsidR="00D6456A">
        <w:rPr>
          <w:bCs/>
          <w:iCs/>
        </w:rPr>
        <w:t>,</w:t>
      </w:r>
      <w:r w:rsidRPr="00AD2157">
        <w:rPr>
          <w:bCs/>
          <w:i/>
          <w:iCs/>
        </w:rPr>
        <w:t xml:space="preserve"> “Appunti per la redazione dei testi”.</w:t>
      </w:r>
    </w:p>
  </w:footnote>
  <w:footnote w:id="33">
    <w:p w:rsidR="003131B5" w:rsidRPr="005A6807" w:rsidRDefault="003131B5" w:rsidP="003131B5">
      <w:pPr>
        <w:pStyle w:val="FootnoteText"/>
        <w:jc w:val="both"/>
      </w:pPr>
      <w:r>
        <w:rPr>
          <w:rStyle w:val="FootnoteReference"/>
        </w:rPr>
        <w:footnoteRef/>
      </w:r>
      <w:r>
        <w:t xml:space="preserve"> Come magistralmente spiegato da </w:t>
      </w:r>
      <w:r w:rsidRPr="00CA46B9">
        <w:t xml:space="preserve">Chaïm PERELMAN e Lucie OLBRECHTS-TYTECA, </w:t>
      </w:r>
      <w:r w:rsidRPr="00CA46B9">
        <w:rPr>
          <w:i/>
        </w:rPr>
        <w:t xml:space="preserve">Trattato dell'argomentazione. </w:t>
      </w:r>
      <w:r w:rsidRPr="005A6807">
        <w:rPr>
          <w:i/>
        </w:rPr>
        <w:t>La nuova retorica</w:t>
      </w:r>
      <w:r w:rsidRPr="005A6807">
        <w:t>, Torino 1966</w:t>
      </w:r>
      <w:r w:rsidR="005A6807" w:rsidRPr="005A6807">
        <w:t xml:space="preserve"> [</w:t>
      </w:r>
      <w:r w:rsidR="005A6807" w:rsidRPr="005A6807">
        <w:rPr>
          <w:i/>
        </w:rPr>
        <w:t>Traité de l'argumentation. La nouvelle rhétorique</w:t>
      </w:r>
      <w:r w:rsidR="005A6807" w:rsidRPr="005A6807">
        <w:t>, Paris 1958]</w:t>
      </w:r>
      <w:r w:rsidRPr="005A6807">
        <w:t xml:space="preserve">, </w:t>
      </w:r>
      <w:r w:rsidRPr="005A6807">
        <w:rPr>
          <w:i/>
        </w:rPr>
        <w:t>passim</w:t>
      </w:r>
      <w:r w:rsidRPr="005A6807">
        <w:t>.</w:t>
      </w:r>
    </w:p>
  </w:footnote>
  <w:footnote w:id="34">
    <w:p w:rsidR="00513771" w:rsidRPr="00CA46B9" w:rsidRDefault="00513771" w:rsidP="00513771">
      <w:pPr>
        <w:pStyle w:val="FootnoteText"/>
        <w:jc w:val="both"/>
        <w:rPr>
          <w:lang w:val="fr-FR"/>
        </w:rPr>
      </w:pPr>
      <w:r>
        <w:rPr>
          <w:rStyle w:val="FootnoteReference"/>
        </w:rPr>
        <w:footnoteRef/>
      </w:r>
      <w:r w:rsidRPr="005A6807">
        <w:t xml:space="preserve"> A rammentare quanto la brevità sia importante valga il noto aforisma: </w:t>
      </w:r>
      <w:r w:rsidR="003D58C4" w:rsidRPr="005A6807">
        <w:t>«</w:t>
      </w:r>
      <w:r w:rsidRPr="005A6807">
        <w:rPr>
          <w:i/>
        </w:rPr>
        <w:t xml:space="preserve">Je n'ai fait cette lettre-ci </w:t>
      </w:r>
      <w:r w:rsidRPr="00CA46B9">
        <w:rPr>
          <w:i/>
          <w:lang w:val="fr-FR"/>
        </w:rPr>
        <w:t>plus longue que parce que je n'ai pas eu le loisir de la faire plus courte</w:t>
      </w:r>
      <w:r>
        <w:rPr>
          <w:i/>
          <w:lang w:val="fr-FR"/>
        </w:rPr>
        <w:t>»</w:t>
      </w:r>
      <w:r w:rsidRPr="00CA46B9">
        <w:rPr>
          <w:lang w:val="fr-FR"/>
        </w:rPr>
        <w:t xml:space="preserve"> (Blaise PASCAL, </w:t>
      </w:r>
      <w:r w:rsidRPr="00CA46B9">
        <w:rPr>
          <w:i/>
          <w:lang w:val="fr-FR"/>
        </w:rPr>
        <w:t>Les Provinciales</w:t>
      </w:r>
      <w:r w:rsidRPr="00CA46B9">
        <w:rPr>
          <w:lang w:val="fr-FR"/>
        </w:rPr>
        <w:t xml:space="preserve">, </w:t>
      </w:r>
      <w:r w:rsidRPr="00CA46B9">
        <w:rPr>
          <w:bCs/>
          <w:lang w:val="fr-FR"/>
        </w:rPr>
        <w:t>lettera</w:t>
      </w:r>
      <w:r w:rsidRPr="00CA46B9">
        <w:rPr>
          <w:lang w:val="fr-FR"/>
        </w:rPr>
        <w:t xml:space="preserve"> 16)</w:t>
      </w:r>
      <w:r>
        <w:rPr>
          <w:lang w:val="fr-FR"/>
        </w:rPr>
        <w:t>.</w:t>
      </w:r>
    </w:p>
  </w:footnote>
  <w:footnote w:id="35">
    <w:p w:rsidR="00513771" w:rsidRDefault="00513771" w:rsidP="00513771">
      <w:pPr>
        <w:pStyle w:val="FootnoteText"/>
        <w:jc w:val="both"/>
      </w:pPr>
      <w:r w:rsidRPr="00FF6273">
        <w:rPr>
          <w:rStyle w:val="FootnoteReference"/>
          <w:sz w:val="24"/>
          <w:szCs w:val="24"/>
        </w:rPr>
        <w:footnoteRef/>
      </w:r>
      <w:r w:rsidRPr="00FF6273">
        <w:rPr>
          <w:sz w:val="24"/>
          <w:szCs w:val="24"/>
        </w:rPr>
        <w:t xml:space="preserve"> </w:t>
      </w:r>
      <w:r w:rsidRPr="0034364A">
        <w:t xml:space="preserve">Ricorda M. TARUFFO, </w:t>
      </w:r>
      <w:r w:rsidRPr="0034364A">
        <w:rPr>
          <w:i/>
        </w:rPr>
        <w:t>La fisionomia della sentenza in Italia</w:t>
      </w:r>
      <w:r w:rsidRPr="0034364A">
        <w:t xml:space="preserve">, in </w:t>
      </w:r>
      <w:r w:rsidRPr="0034364A">
        <w:rPr>
          <w:i/>
        </w:rPr>
        <w:t>Materiali per un corso di analisi della giurisprudenza</w:t>
      </w:r>
      <w:r w:rsidRPr="0034364A">
        <w:t xml:space="preserve">, a cura di M. Bessone e R. Guastini, Padova 1994, 461 ss., che lo stile impersonale delle decisioni giudiziarie continentali è connaturale al modello del </w:t>
      </w:r>
      <w:r w:rsidRPr="0034364A">
        <w:rPr>
          <w:i/>
        </w:rPr>
        <w:t>giudice funzionario</w:t>
      </w:r>
      <w:r w:rsidRPr="0034364A">
        <w:t xml:space="preserve"> che vuole la sentenza atto dello Stato, prodotto del giudice-organo e non del giudice-persona. Il che corrisponde alla descrizione di M. WEBER, </w:t>
      </w:r>
      <w:r w:rsidRPr="0034364A">
        <w:rPr>
          <w:i/>
        </w:rPr>
        <w:t>op. cit.,</w:t>
      </w:r>
      <w:r w:rsidRPr="0034364A">
        <w:t xml:space="preserve"> III, che sottolinea che nell’ordinamento americano la sentenza è una creazione personale del giudice concreto, cui ci si riferisce citandolo per nome, in contrasto con l’impersonale ‘tribunale regio’ del linguaggio europeo continentale. Cfr. F. BIONDI</w:t>
      </w:r>
      <w:r w:rsidRPr="0034364A">
        <w:rPr>
          <w:i/>
        </w:rPr>
        <w:t>, La responsabilità del magistrato: saggio di diritto costituzionale</w:t>
      </w:r>
      <w:r w:rsidRPr="0034364A">
        <w:t>, Milano 2006, 145.</w:t>
      </w:r>
    </w:p>
  </w:footnote>
  <w:footnote w:id="36">
    <w:p w:rsidR="00513771" w:rsidRPr="00AD2157" w:rsidRDefault="00513771" w:rsidP="00513771">
      <w:pPr>
        <w:pStyle w:val="FootnoteText"/>
        <w:jc w:val="both"/>
      </w:pPr>
      <w:r>
        <w:rPr>
          <w:rStyle w:val="FootnoteReference"/>
        </w:rPr>
        <w:footnoteRef/>
      </w:r>
      <w:r>
        <w:t xml:space="preserve"> Si</w:t>
      </w:r>
      <w:r w:rsidR="00484FBF">
        <w:t xml:space="preserve"> richiama ancora </w:t>
      </w:r>
      <w:r>
        <w:t xml:space="preserve">G. SEVERINI, </w:t>
      </w:r>
      <w:r w:rsidRPr="00AD2157">
        <w:rPr>
          <w:i/>
        </w:rPr>
        <w:t xml:space="preserve">I ‘due corpi del giudice’, </w:t>
      </w:r>
      <w:r w:rsidR="00484FBF" w:rsidRPr="00484FBF">
        <w:t>cit.,</w:t>
      </w:r>
      <w:r w:rsidR="00484FBF">
        <w:t xml:space="preserve"> §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024279"/>
      <w:docPartObj>
        <w:docPartGallery w:val="Page Numbers (Top of Page)"/>
        <w:docPartUnique/>
      </w:docPartObj>
    </w:sdtPr>
    <w:sdtEndPr/>
    <w:sdtContent>
      <w:p w:rsidR="003D58C4" w:rsidRDefault="003D58C4">
        <w:pPr>
          <w:pStyle w:val="Header"/>
          <w:jc w:val="right"/>
        </w:pPr>
        <w:r>
          <w:fldChar w:fldCharType="begin"/>
        </w:r>
        <w:r>
          <w:instrText>PAGE   \* MERGEFORMAT</w:instrText>
        </w:r>
        <w:r>
          <w:fldChar w:fldCharType="separate"/>
        </w:r>
        <w:r w:rsidR="008C2906">
          <w:rPr>
            <w:noProof/>
          </w:rPr>
          <w:t>14</w:t>
        </w:r>
        <w:r>
          <w:fldChar w:fldCharType="end"/>
        </w:r>
      </w:p>
    </w:sdtContent>
  </w:sdt>
  <w:p w:rsidR="003D58C4" w:rsidRDefault="003D5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71"/>
    <w:rsid w:val="00006CC3"/>
    <w:rsid w:val="00012F96"/>
    <w:rsid w:val="00016D91"/>
    <w:rsid w:val="000613CF"/>
    <w:rsid w:val="00084614"/>
    <w:rsid w:val="0008569E"/>
    <w:rsid w:val="000A0EEE"/>
    <w:rsid w:val="000A6959"/>
    <w:rsid w:val="000D17D1"/>
    <w:rsid w:val="000D3213"/>
    <w:rsid w:val="000D4BF7"/>
    <w:rsid w:val="0010582E"/>
    <w:rsid w:val="00106D03"/>
    <w:rsid w:val="00115823"/>
    <w:rsid w:val="00156592"/>
    <w:rsid w:val="00166E09"/>
    <w:rsid w:val="00167770"/>
    <w:rsid w:val="00193F57"/>
    <w:rsid w:val="001E5B81"/>
    <w:rsid w:val="001F4329"/>
    <w:rsid w:val="00215EAD"/>
    <w:rsid w:val="00237777"/>
    <w:rsid w:val="00237A62"/>
    <w:rsid w:val="002548F8"/>
    <w:rsid w:val="0025640C"/>
    <w:rsid w:val="00257E5F"/>
    <w:rsid w:val="0027154D"/>
    <w:rsid w:val="00280C48"/>
    <w:rsid w:val="002836AD"/>
    <w:rsid w:val="002836FA"/>
    <w:rsid w:val="00295CBA"/>
    <w:rsid w:val="002B0C6D"/>
    <w:rsid w:val="002C5CFF"/>
    <w:rsid w:val="003131B5"/>
    <w:rsid w:val="0031756E"/>
    <w:rsid w:val="0032089B"/>
    <w:rsid w:val="00330275"/>
    <w:rsid w:val="0038763B"/>
    <w:rsid w:val="003B2B67"/>
    <w:rsid w:val="003C0BFC"/>
    <w:rsid w:val="003D58C4"/>
    <w:rsid w:val="003E2400"/>
    <w:rsid w:val="00404DFA"/>
    <w:rsid w:val="004455E0"/>
    <w:rsid w:val="00484FBF"/>
    <w:rsid w:val="00497429"/>
    <w:rsid w:val="004A3936"/>
    <w:rsid w:val="004B1C31"/>
    <w:rsid w:val="004D1C17"/>
    <w:rsid w:val="00513771"/>
    <w:rsid w:val="005279AA"/>
    <w:rsid w:val="005421D7"/>
    <w:rsid w:val="00552E99"/>
    <w:rsid w:val="0055349B"/>
    <w:rsid w:val="0056334A"/>
    <w:rsid w:val="00570482"/>
    <w:rsid w:val="005853E8"/>
    <w:rsid w:val="005A6807"/>
    <w:rsid w:val="005B6A41"/>
    <w:rsid w:val="005D44C9"/>
    <w:rsid w:val="005E1385"/>
    <w:rsid w:val="005E2942"/>
    <w:rsid w:val="005E54BB"/>
    <w:rsid w:val="00606C10"/>
    <w:rsid w:val="00611E85"/>
    <w:rsid w:val="00615AF7"/>
    <w:rsid w:val="00616D46"/>
    <w:rsid w:val="006573C9"/>
    <w:rsid w:val="00657CB3"/>
    <w:rsid w:val="006B0274"/>
    <w:rsid w:val="006B4F31"/>
    <w:rsid w:val="006F4019"/>
    <w:rsid w:val="00702A84"/>
    <w:rsid w:val="00730B5D"/>
    <w:rsid w:val="00736E3A"/>
    <w:rsid w:val="00746FA2"/>
    <w:rsid w:val="0075029E"/>
    <w:rsid w:val="00753338"/>
    <w:rsid w:val="00757CB6"/>
    <w:rsid w:val="00774464"/>
    <w:rsid w:val="007911F1"/>
    <w:rsid w:val="007A411E"/>
    <w:rsid w:val="007B3BEC"/>
    <w:rsid w:val="007E7A6A"/>
    <w:rsid w:val="007F565B"/>
    <w:rsid w:val="008161ED"/>
    <w:rsid w:val="00827F88"/>
    <w:rsid w:val="008376F8"/>
    <w:rsid w:val="00841C91"/>
    <w:rsid w:val="00853A45"/>
    <w:rsid w:val="008675F4"/>
    <w:rsid w:val="0087369B"/>
    <w:rsid w:val="008A318F"/>
    <w:rsid w:val="008A6190"/>
    <w:rsid w:val="008B5D86"/>
    <w:rsid w:val="008C2906"/>
    <w:rsid w:val="008C2D8A"/>
    <w:rsid w:val="008C4E6A"/>
    <w:rsid w:val="008D3D17"/>
    <w:rsid w:val="008E0365"/>
    <w:rsid w:val="008F75FC"/>
    <w:rsid w:val="00921207"/>
    <w:rsid w:val="00945064"/>
    <w:rsid w:val="00965B86"/>
    <w:rsid w:val="00981CAA"/>
    <w:rsid w:val="00990983"/>
    <w:rsid w:val="00993384"/>
    <w:rsid w:val="009A33D7"/>
    <w:rsid w:val="009C7214"/>
    <w:rsid w:val="009D7B93"/>
    <w:rsid w:val="009E6CCF"/>
    <w:rsid w:val="009F1D9B"/>
    <w:rsid w:val="00A03048"/>
    <w:rsid w:val="00A119EC"/>
    <w:rsid w:val="00A45292"/>
    <w:rsid w:val="00A534FC"/>
    <w:rsid w:val="00A61C59"/>
    <w:rsid w:val="00A62A8F"/>
    <w:rsid w:val="00A76318"/>
    <w:rsid w:val="00AC27EE"/>
    <w:rsid w:val="00AD1468"/>
    <w:rsid w:val="00AD3883"/>
    <w:rsid w:val="00AF033B"/>
    <w:rsid w:val="00AF4B7B"/>
    <w:rsid w:val="00B00882"/>
    <w:rsid w:val="00B1134F"/>
    <w:rsid w:val="00B22F7F"/>
    <w:rsid w:val="00B32F1D"/>
    <w:rsid w:val="00B33467"/>
    <w:rsid w:val="00B556E6"/>
    <w:rsid w:val="00B6378B"/>
    <w:rsid w:val="00B66E81"/>
    <w:rsid w:val="00B75481"/>
    <w:rsid w:val="00B77F15"/>
    <w:rsid w:val="00BA146F"/>
    <w:rsid w:val="00BE2E8A"/>
    <w:rsid w:val="00BE3769"/>
    <w:rsid w:val="00C5392D"/>
    <w:rsid w:val="00C7076D"/>
    <w:rsid w:val="00CA0B0C"/>
    <w:rsid w:val="00CB7ED2"/>
    <w:rsid w:val="00D1062B"/>
    <w:rsid w:val="00D1135D"/>
    <w:rsid w:val="00D6456A"/>
    <w:rsid w:val="00D76E62"/>
    <w:rsid w:val="00D81644"/>
    <w:rsid w:val="00D87455"/>
    <w:rsid w:val="00DD05E9"/>
    <w:rsid w:val="00DE664A"/>
    <w:rsid w:val="00DF4864"/>
    <w:rsid w:val="00E02757"/>
    <w:rsid w:val="00E2129B"/>
    <w:rsid w:val="00E52DF9"/>
    <w:rsid w:val="00E61E60"/>
    <w:rsid w:val="00E74AD9"/>
    <w:rsid w:val="00E81799"/>
    <w:rsid w:val="00EA76B2"/>
    <w:rsid w:val="00EC159F"/>
    <w:rsid w:val="00EE0EB7"/>
    <w:rsid w:val="00F178E4"/>
    <w:rsid w:val="00F236DD"/>
    <w:rsid w:val="00F309AB"/>
    <w:rsid w:val="00FC65D5"/>
    <w:rsid w:val="00FD3A12"/>
    <w:rsid w:val="00FD693B"/>
    <w:rsid w:val="00FD7F4B"/>
    <w:rsid w:val="00FE4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2DD69-3D59-48A9-96FB-FAB32130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13771"/>
    <w:pPr>
      <w:spacing w:after="0" w:line="240" w:lineRule="auto"/>
    </w:pPr>
    <w:rPr>
      <w:sz w:val="20"/>
      <w:szCs w:val="20"/>
    </w:rPr>
  </w:style>
  <w:style w:type="character" w:customStyle="1" w:styleId="FootnoteTextChar">
    <w:name w:val="Footnote Text Char"/>
    <w:basedOn w:val="DefaultParagraphFont"/>
    <w:link w:val="FootnoteText"/>
    <w:uiPriority w:val="99"/>
    <w:rsid w:val="00513771"/>
    <w:rPr>
      <w:sz w:val="20"/>
      <w:szCs w:val="20"/>
    </w:rPr>
  </w:style>
  <w:style w:type="character" w:styleId="FootnoteReference">
    <w:name w:val="footnote reference"/>
    <w:basedOn w:val="DefaultParagraphFont"/>
    <w:uiPriority w:val="99"/>
    <w:unhideWhenUsed/>
    <w:rsid w:val="00513771"/>
    <w:rPr>
      <w:vertAlign w:val="superscript"/>
    </w:rPr>
  </w:style>
  <w:style w:type="character" w:styleId="Hyperlink">
    <w:name w:val="Hyperlink"/>
    <w:basedOn w:val="DefaultParagraphFont"/>
    <w:unhideWhenUsed/>
    <w:rsid w:val="00513771"/>
    <w:rPr>
      <w:color w:val="0563C1" w:themeColor="hyperlink"/>
      <w:u w:val="single"/>
    </w:rPr>
  </w:style>
  <w:style w:type="character" w:styleId="Emphasis">
    <w:name w:val="Emphasis"/>
    <w:basedOn w:val="DefaultParagraphFont"/>
    <w:uiPriority w:val="20"/>
    <w:qFormat/>
    <w:rsid w:val="00513771"/>
    <w:rPr>
      <w:i/>
      <w:iCs/>
    </w:rPr>
  </w:style>
  <w:style w:type="character" w:customStyle="1" w:styleId="mw-headline">
    <w:name w:val="mw-headline"/>
    <w:basedOn w:val="DefaultParagraphFont"/>
    <w:rsid w:val="00513771"/>
  </w:style>
  <w:style w:type="paragraph" w:styleId="Header">
    <w:name w:val="header"/>
    <w:basedOn w:val="Normal"/>
    <w:link w:val="HeaderChar"/>
    <w:uiPriority w:val="99"/>
    <w:unhideWhenUsed/>
    <w:rsid w:val="003D58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58C4"/>
  </w:style>
  <w:style w:type="paragraph" w:styleId="Footer">
    <w:name w:val="footer"/>
    <w:basedOn w:val="Normal"/>
    <w:link w:val="FooterChar"/>
    <w:uiPriority w:val="99"/>
    <w:unhideWhenUsed/>
    <w:rsid w:val="003D58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58C4"/>
  </w:style>
  <w:style w:type="paragraph" w:styleId="BalloonText">
    <w:name w:val="Balloon Text"/>
    <w:basedOn w:val="Normal"/>
    <w:link w:val="BalloonTextChar"/>
    <w:uiPriority w:val="99"/>
    <w:semiHidden/>
    <w:unhideWhenUsed/>
    <w:rsid w:val="006F4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73345">
      <w:bodyDiv w:val="1"/>
      <w:marLeft w:val="0"/>
      <w:marRight w:val="0"/>
      <w:marTop w:val="0"/>
      <w:marBottom w:val="0"/>
      <w:divBdr>
        <w:top w:val="none" w:sz="0" w:space="0" w:color="auto"/>
        <w:left w:val="none" w:sz="0" w:space="0" w:color="auto"/>
        <w:bottom w:val="none" w:sz="0" w:space="0" w:color="auto"/>
        <w:right w:val="none" w:sz="0" w:space="0" w:color="auto"/>
      </w:divBdr>
      <w:divsChild>
        <w:div w:id="1696466705">
          <w:marLeft w:val="0"/>
          <w:marRight w:val="0"/>
          <w:marTop w:val="0"/>
          <w:marBottom w:val="0"/>
          <w:divBdr>
            <w:top w:val="none" w:sz="0" w:space="0" w:color="auto"/>
            <w:left w:val="none" w:sz="0" w:space="0" w:color="auto"/>
            <w:bottom w:val="none" w:sz="0" w:space="0" w:color="auto"/>
            <w:right w:val="none" w:sz="0" w:space="0" w:color="auto"/>
          </w:divBdr>
          <w:divsChild>
            <w:div w:id="684676521">
              <w:marLeft w:val="0"/>
              <w:marRight w:val="0"/>
              <w:marTop w:val="300"/>
              <w:marBottom w:val="0"/>
              <w:divBdr>
                <w:top w:val="single" w:sz="6" w:space="0" w:color="DDDDDD"/>
                <w:left w:val="single" w:sz="6" w:space="0" w:color="DDDDDD"/>
                <w:bottom w:val="single" w:sz="6" w:space="0" w:color="DDDDDD"/>
                <w:right w:val="single" w:sz="6" w:space="0" w:color="DDDDDD"/>
              </w:divBdr>
              <w:divsChild>
                <w:div w:id="416024654">
                  <w:marLeft w:val="0"/>
                  <w:marRight w:val="0"/>
                  <w:marTop w:val="0"/>
                  <w:marBottom w:val="0"/>
                  <w:divBdr>
                    <w:top w:val="none" w:sz="0" w:space="0" w:color="auto"/>
                    <w:left w:val="none" w:sz="0" w:space="0" w:color="auto"/>
                    <w:bottom w:val="none" w:sz="0" w:space="0" w:color="auto"/>
                    <w:right w:val="none" w:sz="0" w:space="0" w:color="auto"/>
                  </w:divBdr>
                  <w:divsChild>
                    <w:div w:id="1762070903">
                      <w:marLeft w:val="0"/>
                      <w:marRight w:val="0"/>
                      <w:marTop w:val="0"/>
                      <w:marBottom w:val="0"/>
                      <w:divBdr>
                        <w:top w:val="none" w:sz="0" w:space="0" w:color="auto"/>
                        <w:left w:val="none" w:sz="0" w:space="0" w:color="auto"/>
                        <w:bottom w:val="none" w:sz="0" w:space="0" w:color="auto"/>
                        <w:right w:val="none" w:sz="0" w:space="0" w:color="auto"/>
                      </w:divBdr>
                      <w:divsChild>
                        <w:div w:id="1120223719">
                          <w:marLeft w:val="0"/>
                          <w:marRight w:val="0"/>
                          <w:marTop w:val="0"/>
                          <w:marBottom w:val="0"/>
                          <w:divBdr>
                            <w:top w:val="none" w:sz="0" w:space="0" w:color="auto"/>
                            <w:left w:val="none" w:sz="0" w:space="0" w:color="auto"/>
                            <w:bottom w:val="none" w:sz="0" w:space="0" w:color="auto"/>
                            <w:right w:val="none" w:sz="0" w:space="0" w:color="auto"/>
                          </w:divBdr>
                          <w:divsChild>
                            <w:div w:id="1388912073">
                              <w:marLeft w:val="0"/>
                              <w:marRight w:val="0"/>
                              <w:marTop w:val="0"/>
                              <w:marBottom w:val="0"/>
                              <w:divBdr>
                                <w:top w:val="none" w:sz="0" w:space="0" w:color="auto"/>
                                <w:left w:val="none" w:sz="0" w:space="0" w:color="auto"/>
                                <w:bottom w:val="none" w:sz="0" w:space="0" w:color="auto"/>
                                <w:right w:val="none" w:sz="0" w:space="0" w:color="auto"/>
                              </w:divBdr>
                              <w:divsChild>
                                <w:div w:id="1986549698">
                                  <w:marLeft w:val="0"/>
                                  <w:marRight w:val="0"/>
                                  <w:marTop w:val="0"/>
                                  <w:marBottom w:val="0"/>
                                  <w:divBdr>
                                    <w:top w:val="none" w:sz="0" w:space="0" w:color="auto"/>
                                    <w:left w:val="none" w:sz="0" w:space="0" w:color="auto"/>
                                    <w:bottom w:val="none" w:sz="0" w:space="0" w:color="auto"/>
                                    <w:right w:val="none" w:sz="0" w:space="0" w:color="auto"/>
                                  </w:divBdr>
                                  <w:divsChild>
                                    <w:div w:id="1814180123">
                                      <w:marLeft w:val="0"/>
                                      <w:marRight w:val="0"/>
                                      <w:marTop w:val="0"/>
                                      <w:marBottom w:val="0"/>
                                      <w:divBdr>
                                        <w:top w:val="none" w:sz="0" w:space="0" w:color="auto"/>
                                        <w:left w:val="none" w:sz="0" w:space="0" w:color="auto"/>
                                        <w:bottom w:val="none" w:sz="0" w:space="0" w:color="auto"/>
                                        <w:right w:val="none" w:sz="0" w:space="0" w:color="auto"/>
                                      </w:divBdr>
                                    </w:div>
                                    <w:div w:id="18849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alloz-actualite.fr/sites/dalloz-actualite.fr/files/resources/2018/12/vade-mecum.pdf" TargetMode="External"/><Relationship Id="rId2" Type="http://schemas.openxmlformats.org/officeDocument/2006/relationships/hyperlink" Target="http://www.giustizia-amministrativa.it" TargetMode="External"/><Relationship Id="rId1"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DE54-C063-4959-A87C-046B079E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3735</Words>
  <Characters>21295</Characters>
  <Application>Microsoft Office Word</Application>
  <DocSecurity>0</DocSecurity>
  <Lines>177</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SEVERINI Giuseppe</dc:creator>
  <cp:keywords/>
  <dc:description/>
  <cp:lastModifiedBy>Bonacchi, Mauro</cp:lastModifiedBy>
  <cp:revision>2</cp:revision>
  <cp:lastPrinted>2019-06-06T10:06:00Z</cp:lastPrinted>
  <dcterms:created xsi:type="dcterms:W3CDTF">2019-06-17T06:52:00Z</dcterms:created>
  <dcterms:modified xsi:type="dcterms:W3CDTF">2019-06-17T06:52:00Z</dcterms:modified>
</cp:coreProperties>
</file>