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8C52C" w14:textId="66DC2FFE" w:rsidR="0035095E" w:rsidRPr="00E83D97" w:rsidRDefault="00A132E1" w:rsidP="00A132E1">
      <w:pPr>
        <w:spacing w:after="0" w:line="360" w:lineRule="auto"/>
        <w:jc w:val="center"/>
        <w:rPr>
          <w:rFonts w:ascii="Times New Roman" w:hAnsi="Times New Roman" w:cs="Times New Roman"/>
          <w:sz w:val="26"/>
          <w:szCs w:val="26"/>
        </w:rPr>
      </w:pPr>
      <w:r w:rsidRPr="00E83D97">
        <w:rPr>
          <w:rFonts w:ascii="Times New Roman" w:hAnsi="Times New Roman" w:cs="Times New Roman"/>
          <w:sz w:val="26"/>
          <w:szCs w:val="26"/>
        </w:rPr>
        <w:t>Autorità indipendenti di regolazione dei mercati e tutela giurisdizionale amministrativa</w:t>
      </w:r>
    </w:p>
    <w:p w14:paraId="282A1E4F" w14:textId="40102329" w:rsidR="00A132E1" w:rsidRPr="00644885" w:rsidRDefault="00A132E1" w:rsidP="00A132E1">
      <w:pPr>
        <w:spacing w:after="0" w:line="360" w:lineRule="auto"/>
        <w:jc w:val="center"/>
        <w:rPr>
          <w:rFonts w:ascii="Times New Roman" w:hAnsi="Times New Roman" w:cs="Times New Roman"/>
          <w:sz w:val="20"/>
          <w:szCs w:val="20"/>
        </w:rPr>
      </w:pPr>
      <w:r w:rsidRPr="00644885">
        <w:rPr>
          <w:rFonts w:ascii="Times New Roman" w:hAnsi="Times New Roman" w:cs="Times New Roman"/>
          <w:sz w:val="20"/>
          <w:szCs w:val="20"/>
        </w:rPr>
        <w:t>Tavola rotonda</w:t>
      </w:r>
    </w:p>
    <w:p w14:paraId="4621AFF7" w14:textId="03BE4834" w:rsidR="00A132E1" w:rsidRPr="00644885" w:rsidRDefault="00A132E1" w:rsidP="00A132E1">
      <w:pPr>
        <w:spacing w:after="0" w:line="360" w:lineRule="auto"/>
        <w:jc w:val="center"/>
        <w:rPr>
          <w:rFonts w:ascii="Times New Roman" w:hAnsi="Times New Roman" w:cs="Times New Roman"/>
          <w:sz w:val="20"/>
          <w:szCs w:val="20"/>
        </w:rPr>
      </w:pPr>
      <w:r w:rsidRPr="00644885">
        <w:rPr>
          <w:rFonts w:ascii="Times New Roman" w:hAnsi="Times New Roman" w:cs="Times New Roman"/>
          <w:sz w:val="20"/>
          <w:szCs w:val="20"/>
        </w:rPr>
        <w:t>Quali prospettive per le Autorità indipendenti?</w:t>
      </w:r>
    </w:p>
    <w:p w14:paraId="35E4A9A0" w14:textId="162E50F7" w:rsidR="00A132E1" w:rsidRPr="00644885" w:rsidRDefault="0039562B" w:rsidP="00A132E1">
      <w:pPr>
        <w:spacing w:after="0" w:line="360" w:lineRule="auto"/>
        <w:jc w:val="center"/>
        <w:rPr>
          <w:rFonts w:ascii="Times New Roman" w:hAnsi="Times New Roman" w:cs="Times New Roman"/>
          <w:sz w:val="20"/>
          <w:szCs w:val="20"/>
        </w:rPr>
      </w:pPr>
      <w:r w:rsidRPr="00644885">
        <w:rPr>
          <w:rFonts w:ascii="Times New Roman" w:hAnsi="Times New Roman" w:cs="Times New Roman"/>
          <w:sz w:val="20"/>
          <w:szCs w:val="20"/>
        </w:rPr>
        <w:t>15 febbraio 2019</w:t>
      </w:r>
      <w:r w:rsidR="00F9552E" w:rsidRPr="00E83D97">
        <w:rPr>
          <w:rStyle w:val="Rimandonotaapidipagina"/>
          <w:rFonts w:ascii="Times New Roman" w:hAnsi="Times New Roman" w:cs="Times New Roman"/>
          <w:sz w:val="26"/>
          <w:szCs w:val="26"/>
        </w:rPr>
        <w:footnoteReference w:id="1"/>
      </w:r>
    </w:p>
    <w:p w14:paraId="1D01F4EA" w14:textId="6F1D773E" w:rsidR="0039562B" w:rsidRPr="00E83D97" w:rsidRDefault="0039562B" w:rsidP="00A132E1">
      <w:pPr>
        <w:spacing w:after="0" w:line="360" w:lineRule="auto"/>
        <w:jc w:val="center"/>
        <w:rPr>
          <w:rFonts w:ascii="Times New Roman" w:hAnsi="Times New Roman" w:cs="Times New Roman"/>
          <w:sz w:val="26"/>
          <w:szCs w:val="26"/>
        </w:rPr>
      </w:pPr>
    </w:p>
    <w:p w14:paraId="5874753E" w14:textId="2F92E1FA" w:rsidR="0039562B" w:rsidRPr="00E83D97" w:rsidRDefault="0039562B" w:rsidP="00A132E1">
      <w:pPr>
        <w:spacing w:after="0" w:line="360" w:lineRule="auto"/>
        <w:jc w:val="center"/>
        <w:rPr>
          <w:rFonts w:ascii="Times New Roman" w:hAnsi="Times New Roman" w:cs="Times New Roman"/>
          <w:sz w:val="26"/>
          <w:szCs w:val="26"/>
        </w:rPr>
      </w:pPr>
      <w:r w:rsidRPr="00E83D97">
        <w:rPr>
          <w:rFonts w:ascii="Times New Roman" w:hAnsi="Times New Roman" w:cs="Times New Roman"/>
          <w:sz w:val="26"/>
          <w:szCs w:val="26"/>
        </w:rPr>
        <w:t>*** ***</w:t>
      </w:r>
    </w:p>
    <w:p w14:paraId="30F41275" w14:textId="77777777" w:rsidR="003758CE" w:rsidRPr="00E83D97" w:rsidRDefault="003758CE" w:rsidP="00A132E1">
      <w:pPr>
        <w:spacing w:after="0" w:line="360" w:lineRule="auto"/>
        <w:jc w:val="center"/>
        <w:rPr>
          <w:rFonts w:ascii="Times New Roman" w:hAnsi="Times New Roman" w:cs="Times New Roman"/>
          <w:sz w:val="26"/>
          <w:szCs w:val="26"/>
        </w:rPr>
      </w:pPr>
    </w:p>
    <w:p w14:paraId="52E1570C" w14:textId="465566DC" w:rsidR="00A132E1" w:rsidRPr="00E83D97" w:rsidRDefault="00D01323" w:rsidP="00A132E1">
      <w:pPr>
        <w:spacing w:after="0" w:line="360" w:lineRule="auto"/>
        <w:jc w:val="both"/>
        <w:rPr>
          <w:rFonts w:ascii="Times New Roman" w:hAnsi="Times New Roman" w:cs="Times New Roman"/>
          <w:b/>
          <w:sz w:val="26"/>
          <w:szCs w:val="26"/>
        </w:rPr>
      </w:pPr>
      <w:r w:rsidRPr="00E83D97">
        <w:rPr>
          <w:rFonts w:ascii="Times New Roman" w:hAnsi="Times New Roman" w:cs="Times New Roman"/>
          <w:b/>
          <w:sz w:val="26"/>
          <w:szCs w:val="26"/>
        </w:rPr>
        <w:t>Il c</w:t>
      </w:r>
      <w:r w:rsidR="00A132E1" w:rsidRPr="00E83D97">
        <w:rPr>
          <w:rFonts w:ascii="Times New Roman" w:hAnsi="Times New Roman" w:cs="Times New Roman"/>
          <w:b/>
          <w:sz w:val="26"/>
          <w:szCs w:val="26"/>
        </w:rPr>
        <w:t xml:space="preserve">aso del </w:t>
      </w:r>
      <w:proofErr w:type="spellStart"/>
      <w:r w:rsidR="00A132E1" w:rsidRPr="00E83D97">
        <w:rPr>
          <w:rFonts w:ascii="Times New Roman" w:hAnsi="Times New Roman" w:cs="Times New Roman"/>
          <w:b/>
          <w:i/>
          <w:sz w:val="26"/>
          <w:szCs w:val="26"/>
        </w:rPr>
        <w:t>capacity</w:t>
      </w:r>
      <w:proofErr w:type="spellEnd"/>
      <w:r w:rsidR="00A132E1" w:rsidRPr="00E83D97">
        <w:rPr>
          <w:rFonts w:ascii="Times New Roman" w:hAnsi="Times New Roman" w:cs="Times New Roman"/>
          <w:b/>
          <w:i/>
          <w:sz w:val="26"/>
          <w:szCs w:val="26"/>
        </w:rPr>
        <w:t xml:space="preserve"> market</w:t>
      </w:r>
      <w:r w:rsidR="00A132E1" w:rsidRPr="00E83D97">
        <w:rPr>
          <w:rFonts w:ascii="Times New Roman" w:hAnsi="Times New Roman" w:cs="Times New Roman"/>
          <w:b/>
          <w:sz w:val="26"/>
          <w:szCs w:val="26"/>
        </w:rPr>
        <w:t>: riflessioni sulla politica comunitaria</w:t>
      </w:r>
      <w:r w:rsidR="00E4436C" w:rsidRPr="00E83D97">
        <w:rPr>
          <w:rFonts w:ascii="Times New Roman" w:hAnsi="Times New Roman" w:cs="Times New Roman"/>
          <w:b/>
          <w:sz w:val="26"/>
          <w:szCs w:val="26"/>
        </w:rPr>
        <w:t xml:space="preserve"> rispetto al modello di mercato italiano</w:t>
      </w:r>
    </w:p>
    <w:p w14:paraId="47B4C121" w14:textId="1332DD94" w:rsidR="00A132E1" w:rsidRPr="00E83D97" w:rsidRDefault="00A132E1" w:rsidP="00A132E1">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La sentenza del Tribunale dell’Unione europea (Terza Sezione) 15 novembre 2018 (causa T-793/14), Tempus Energy Ltd</w:t>
      </w:r>
      <w:r w:rsidR="0039562B" w:rsidRPr="00E83D97">
        <w:rPr>
          <w:rFonts w:ascii="Times New Roman" w:hAnsi="Times New Roman" w:cs="Times New Roman"/>
          <w:sz w:val="26"/>
          <w:szCs w:val="26"/>
        </w:rPr>
        <w:t xml:space="preserve"> c./ Commissione europea fornisce alcuni spunti di riflessione</w:t>
      </w:r>
      <w:r w:rsidR="00D01323" w:rsidRPr="00E83D97">
        <w:rPr>
          <w:rFonts w:ascii="Times New Roman" w:hAnsi="Times New Roman" w:cs="Times New Roman"/>
          <w:sz w:val="26"/>
          <w:szCs w:val="26"/>
        </w:rPr>
        <w:t xml:space="preserve"> sulla politica </w:t>
      </w:r>
      <w:r w:rsidR="000F020D" w:rsidRPr="00E83D97">
        <w:rPr>
          <w:rFonts w:ascii="Times New Roman" w:hAnsi="Times New Roman" w:cs="Times New Roman"/>
          <w:sz w:val="26"/>
          <w:szCs w:val="26"/>
        </w:rPr>
        <w:t xml:space="preserve">comunitaria in materia di aiuto di Stato, anche e soprattutto dal punto di vista procedurale, con specifico riguardo al caso del </w:t>
      </w:r>
      <w:proofErr w:type="spellStart"/>
      <w:r w:rsidR="000F020D" w:rsidRPr="00E83D97">
        <w:rPr>
          <w:rFonts w:ascii="Times New Roman" w:hAnsi="Times New Roman" w:cs="Times New Roman"/>
          <w:i/>
          <w:sz w:val="26"/>
          <w:szCs w:val="26"/>
        </w:rPr>
        <w:t>capacity</w:t>
      </w:r>
      <w:proofErr w:type="spellEnd"/>
      <w:r w:rsidR="000F020D" w:rsidRPr="00E83D97">
        <w:rPr>
          <w:rFonts w:ascii="Times New Roman" w:hAnsi="Times New Roman" w:cs="Times New Roman"/>
          <w:i/>
          <w:sz w:val="26"/>
          <w:szCs w:val="26"/>
        </w:rPr>
        <w:t xml:space="preserve"> market</w:t>
      </w:r>
      <w:r w:rsidR="000F020D" w:rsidRPr="00E83D97">
        <w:rPr>
          <w:rFonts w:ascii="Times New Roman" w:hAnsi="Times New Roman" w:cs="Times New Roman"/>
          <w:sz w:val="26"/>
          <w:szCs w:val="26"/>
        </w:rPr>
        <w:t xml:space="preserve"> italiano, ovvero il meccanismo di approvvigionamento di energia elettrica a lungo termine.</w:t>
      </w:r>
    </w:p>
    <w:p w14:paraId="32A5B8F4" w14:textId="6C35C595" w:rsidR="000F020D" w:rsidRPr="00E83D97" w:rsidRDefault="000F020D" w:rsidP="00A132E1">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In data 7 febbraio 2018, la Commissione europea</w:t>
      </w:r>
      <w:r w:rsidRPr="00E83D97">
        <w:rPr>
          <w:rStyle w:val="Rimandonotaapidipagina"/>
          <w:rFonts w:ascii="Times New Roman" w:hAnsi="Times New Roman" w:cs="Times New Roman"/>
          <w:sz w:val="26"/>
          <w:szCs w:val="26"/>
        </w:rPr>
        <w:footnoteReference w:id="2"/>
      </w:r>
      <w:r w:rsidRPr="00E83D97">
        <w:rPr>
          <w:rFonts w:ascii="Times New Roman" w:hAnsi="Times New Roman" w:cs="Times New Roman"/>
          <w:sz w:val="26"/>
          <w:szCs w:val="26"/>
        </w:rPr>
        <w:t xml:space="preserve"> ha approvato i meccanismi di regolazione della capacità produttiva di energia elettrica di sei Stati membri: quello di Belgio e Germania basato sulle riserve strategiche</w:t>
      </w:r>
      <w:r w:rsidR="00E71366" w:rsidRPr="00E83D97">
        <w:rPr>
          <w:rStyle w:val="Rimandonotaapidipagina"/>
          <w:rFonts w:ascii="Times New Roman" w:hAnsi="Times New Roman" w:cs="Times New Roman"/>
          <w:sz w:val="26"/>
          <w:szCs w:val="26"/>
        </w:rPr>
        <w:footnoteReference w:id="3"/>
      </w:r>
      <w:r w:rsidRPr="00E83D97">
        <w:rPr>
          <w:rFonts w:ascii="Times New Roman" w:hAnsi="Times New Roman" w:cs="Times New Roman"/>
          <w:sz w:val="26"/>
          <w:szCs w:val="26"/>
        </w:rPr>
        <w:t>; quello di Francia e Germania, che interviene specificamente sulla gestione della domanda</w:t>
      </w:r>
      <w:r w:rsidR="00707385" w:rsidRPr="00E83D97">
        <w:rPr>
          <w:rStyle w:val="Rimandonotaapidipagina"/>
          <w:rFonts w:ascii="Times New Roman" w:hAnsi="Times New Roman" w:cs="Times New Roman"/>
          <w:sz w:val="26"/>
          <w:szCs w:val="26"/>
        </w:rPr>
        <w:footnoteReference w:id="4"/>
      </w:r>
      <w:r w:rsidRPr="00E83D97">
        <w:rPr>
          <w:rFonts w:ascii="Times New Roman" w:hAnsi="Times New Roman" w:cs="Times New Roman"/>
          <w:sz w:val="26"/>
          <w:szCs w:val="26"/>
        </w:rPr>
        <w:t>; e quello dell’Italia</w:t>
      </w:r>
      <w:r w:rsidR="0057268A" w:rsidRPr="00E83D97">
        <w:rPr>
          <w:rStyle w:val="Rimandonotaapidipagina"/>
          <w:rFonts w:ascii="Times New Roman" w:hAnsi="Times New Roman" w:cs="Times New Roman"/>
          <w:sz w:val="26"/>
          <w:szCs w:val="26"/>
        </w:rPr>
        <w:footnoteReference w:id="5"/>
      </w:r>
      <w:r w:rsidRPr="00E83D97">
        <w:rPr>
          <w:rFonts w:ascii="Times New Roman" w:hAnsi="Times New Roman" w:cs="Times New Roman"/>
          <w:sz w:val="26"/>
          <w:szCs w:val="26"/>
        </w:rPr>
        <w:t xml:space="preserve"> e della Polonia, che ha per oggetto l’intero mercato.</w:t>
      </w:r>
    </w:p>
    <w:p w14:paraId="5FE627B3" w14:textId="66B9E58A" w:rsidR="0057268A" w:rsidRPr="00E83D97" w:rsidRDefault="00AF2B78" w:rsidP="00A132E1">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lastRenderedPageBreak/>
        <w:t>Il meccanismo di capacità produttiva del Regno Unito è stato il primo dichiarato compatibile dalla Commissione</w:t>
      </w:r>
      <w:r w:rsidRPr="00E83D97">
        <w:rPr>
          <w:rStyle w:val="Rimandonotaapidipagina"/>
          <w:rFonts w:ascii="Times New Roman" w:hAnsi="Times New Roman" w:cs="Times New Roman"/>
          <w:sz w:val="26"/>
          <w:szCs w:val="26"/>
        </w:rPr>
        <w:footnoteReference w:id="6"/>
      </w:r>
      <w:r w:rsidRPr="00E83D97">
        <w:rPr>
          <w:rFonts w:ascii="Times New Roman" w:hAnsi="Times New Roman" w:cs="Times New Roman"/>
          <w:sz w:val="26"/>
          <w:szCs w:val="26"/>
        </w:rPr>
        <w:t xml:space="preserve"> ed</w:t>
      </w:r>
      <w:r w:rsidR="0057268A" w:rsidRPr="00E83D97">
        <w:rPr>
          <w:rFonts w:ascii="Times New Roman" w:hAnsi="Times New Roman" w:cs="Times New Roman"/>
          <w:sz w:val="26"/>
          <w:szCs w:val="26"/>
        </w:rPr>
        <w:t xml:space="preserve"> è stato l’oggetto dell’annullamento della richiamata sentenza del Tribunale dell’Unione Europea del 15 novembre 2018 (di seguito anche sentenza Tempus).</w:t>
      </w:r>
    </w:p>
    <w:p w14:paraId="01DF7411" w14:textId="5557EF6C" w:rsidR="00F43A0B" w:rsidRPr="00E83D97" w:rsidRDefault="0057268A" w:rsidP="00F43A0B">
      <w:pPr>
        <w:spacing w:after="0" w:line="360" w:lineRule="auto"/>
        <w:jc w:val="both"/>
        <w:rPr>
          <w:rFonts w:ascii="Times New Roman" w:hAnsi="Times New Roman" w:cs="Times New Roman"/>
          <w:i/>
          <w:sz w:val="26"/>
          <w:szCs w:val="26"/>
        </w:rPr>
      </w:pPr>
      <w:r w:rsidRPr="00E83D97">
        <w:rPr>
          <w:rFonts w:ascii="Times New Roman" w:hAnsi="Times New Roman" w:cs="Times New Roman"/>
          <w:sz w:val="26"/>
          <w:szCs w:val="26"/>
        </w:rPr>
        <w:t xml:space="preserve">La sentenza del Tribunale comunitario </w:t>
      </w:r>
      <w:r w:rsidR="00465477" w:rsidRPr="00E83D97">
        <w:rPr>
          <w:rFonts w:ascii="Times New Roman" w:hAnsi="Times New Roman" w:cs="Times New Roman"/>
          <w:sz w:val="26"/>
          <w:szCs w:val="26"/>
        </w:rPr>
        <w:t xml:space="preserve">ha annullato </w:t>
      </w:r>
      <w:r w:rsidR="00822546" w:rsidRPr="00E83D97">
        <w:rPr>
          <w:rFonts w:ascii="Times New Roman" w:hAnsi="Times New Roman" w:cs="Times New Roman"/>
          <w:sz w:val="26"/>
          <w:szCs w:val="26"/>
        </w:rPr>
        <w:t xml:space="preserve">la decisione in ragione del fatto che una serie di indizi obiettivi e concordanti vertenti, da un lato, sulla durata e sulle circostanze della fase di </w:t>
      </w:r>
      <w:proofErr w:type="spellStart"/>
      <w:r w:rsidR="00822546" w:rsidRPr="00E83D97">
        <w:rPr>
          <w:rFonts w:ascii="Times New Roman" w:hAnsi="Times New Roman" w:cs="Times New Roman"/>
          <w:sz w:val="26"/>
          <w:szCs w:val="26"/>
        </w:rPr>
        <w:t>pre</w:t>
      </w:r>
      <w:proofErr w:type="spellEnd"/>
      <w:r w:rsidR="00822546" w:rsidRPr="00E83D97">
        <w:rPr>
          <w:rFonts w:ascii="Times New Roman" w:hAnsi="Times New Roman" w:cs="Times New Roman"/>
          <w:sz w:val="26"/>
          <w:szCs w:val="26"/>
        </w:rPr>
        <w:t>-notifica e, dall’altro</w:t>
      </w:r>
      <w:r w:rsidR="003758CE" w:rsidRPr="00E83D97">
        <w:rPr>
          <w:rFonts w:ascii="Times New Roman" w:hAnsi="Times New Roman" w:cs="Times New Roman"/>
          <w:sz w:val="26"/>
          <w:szCs w:val="26"/>
        </w:rPr>
        <w:t>,</w:t>
      </w:r>
      <w:r w:rsidR="00822546" w:rsidRPr="00E83D97">
        <w:rPr>
          <w:rFonts w:ascii="Times New Roman" w:hAnsi="Times New Roman" w:cs="Times New Roman"/>
          <w:sz w:val="26"/>
          <w:szCs w:val="26"/>
        </w:rPr>
        <w:t xml:space="preserve"> sul contenuto incompleto e </w:t>
      </w:r>
      <w:r w:rsidR="00AC7DF2" w:rsidRPr="00E83D97">
        <w:rPr>
          <w:rFonts w:ascii="Times New Roman" w:hAnsi="Times New Roman" w:cs="Times New Roman"/>
          <w:sz w:val="26"/>
          <w:szCs w:val="26"/>
        </w:rPr>
        <w:t>insufficiente</w:t>
      </w:r>
      <w:r w:rsidR="00822546" w:rsidRPr="00E83D97">
        <w:rPr>
          <w:rFonts w:ascii="Times New Roman" w:hAnsi="Times New Roman" w:cs="Times New Roman"/>
          <w:sz w:val="26"/>
          <w:szCs w:val="26"/>
        </w:rPr>
        <w:t xml:space="preserve"> della decisione impugnata a causa della mancanza di un’</w:t>
      </w:r>
      <w:r w:rsidR="00AC7DF2" w:rsidRPr="00E83D97">
        <w:rPr>
          <w:rFonts w:ascii="Times New Roman" w:hAnsi="Times New Roman" w:cs="Times New Roman"/>
          <w:sz w:val="26"/>
          <w:szCs w:val="26"/>
        </w:rPr>
        <w:t>opportuna</w:t>
      </w:r>
      <w:r w:rsidR="00822546" w:rsidRPr="00E83D97">
        <w:rPr>
          <w:rFonts w:ascii="Times New Roman" w:hAnsi="Times New Roman" w:cs="Times New Roman"/>
          <w:sz w:val="26"/>
          <w:szCs w:val="26"/>
        </w:rPr>
        <w:t xml:space="preserve"> istruttoria</w:t>
      </w:r>
      <w:r w:rsidR="00AC7DF2" w:rsidRPr="00E83D97">
        <w:rPr>
          <w:rFonts w:ascii="Times New Roman" w:hAnsi="Times New Roman" w:cs="Times New Roman"/>
          <w:sz w:val="26"/>
          <w:szCs w:val="26"/>
        </w:rPr>
        <w:t xml:space="preserve"> da parte della Commissione, in fase di esame preliminare, di alcuni aspetti del mercato della capacità, </w:t>
      </w:r>
      <w:r w:rsidR="0061375C" w:rsidRPr="00E83D97">
        <w:rPr>
          <w:rFonts w:ascii="Times New Roman" w:hAnsi="Times New Roman" w:cs="Times New Roman"/>
          <w:sz w:val="26"/>
          <w:szCs w:val="26"/>
        </w:rPr>
        <w:t>dimostrano</w:t>
      </w:r>
      <w:r w:rsidR="00AC7DF2" w:rsidRPr="00E83D97">
        <w:rPr>
          <w:rFonts w:ascii="Times New Roman" w:hAnsi="Times New Roman" w:cs="Times New Roman"/>
          <w:sz w:val="26"/>
          <w:szCs w:val="26"/>
        </w:rPr>
        <w:t xml:space="preserve"> che quest’ultima ha assunto la decisione malgrado l’esistenza di dubbi (p</w:t>
      </w:r>
      <w:r w:rsidR="0061375C" w:rsidRPr="00E83D97">
        <w:rPr>
          <w:rFonts w:ascii="Times New Roman" w:hAnsi="Times New Roman" w:cs="Times New Roman"/>
          <w:sz w:val="26"/>
          <w:szCs w:val="26"/>
        </w:rPr>
        <w:t xml:space="preserve">unto </w:t>
      </w:r>
      <w:r w:rsidR="00AC7DF2" w:rsidRPr="00E83D97">
        <w:rPr>
          <w:rFonts w:ascii="Times New Roman" w:hAnsi="Times New Roman" w:cs="Times New Roman"/>
          <w:sz w:val="26"/>
          <w:szCs w:val="26"/>
        </w:rPr>
        <w:t>267).</w:t>
      </w:r>
      <w:r w:rsidR="007D3CB2" w:rsidRPr="00E83D97">
        <w:rPr>
          <w:rFonts w:ascii="Times New Roman" w:hAnsi="Times New Roman" w:cs="Times New Roman"/>
          <w:sz w:val="26"/>
          <w:szCs w:val="26"/>
        </w:rPr>
        <w:t xml:space="preserve"> </w:t>
      </w:r>
      <w:r w:rsidR="004824DF" w:rsidRPr="00E83D97">
        <w:rPr>
          <w:rFonts w:ascii="Times New Roman" w:hAnsi="Times New Roman" w:cs="Times New Roman"/>
          <w:sz w:val="26"/>
          <w:szCs w:val="26"/>
        </w:rPr>
        <w:t xml:space="preserve">Come </w:t>
      </w:r>
      <w:r w:rsidR="0061375C" w:rsidRPr="00E83D97">
        <w:rPr>
          <w:rFonts w:ascii="Times New Roman" w:hAnsi="Times New Roman" w:cs="Times New Roman"/>
          <w:sz w:val="26"/>
          <w:szCs w:val="26"/>
        </w:rPr>
        <w:t xml:space="preserve">è stato </w:t>
      </w:r>
      <w:r w:rsidR="004824DF" w:rsidRPr="00E83D97">
        <w:rPr>
          <w:rFonts w:ascii="Times New Roman" w:hAnsi="Times New Roman" w:cs="Times New Roman"/>
          <w:sz w:val="26"/>
          <w:szCs w:val="26"/>
        </w:rPr>
        <w:t xml:space="preserve">evidenziato, la fase di </w:t>
      </w:r>
      <w:proofErr w:type="spellStart"/>
      <w:r w:rsidR="004824DF" w:rsidRPr="00E83D97">
        <w:rPr>
          <w:rFonts w:ascii="Times New Roman" w:hAnsi="Times New Roman" w:cs="Times New Roman"/>
          <w:sz w:val="26"/>
          <w:szCs w:val="26"/>
        </w:rPr>
        <w:t>pre</w:t>
      </w:r>
      <w:proofErr w:type="spellEnd"/>
      <w:r w:rsidR="004824DF" w:rsidRPr="00E83D97">
        <w:rPr>
          <w:rFonts w:ascii="Times New Roman" w:hAnsi="Times New Roman" w:cs="Times New Roman"/>
          <w:sz w:val="26"/>
          <w:szCs w:val="26"/>
        </w:rPr>
        <w:t>-notifica, la quale comprende i contatti preliminari alla notifica che intervengono tra la Commissione e lo Stato membro</w:t>
      </w:r>
      <w:r w:rsidR="0061375C" w:rsidRPr="00E83D97">
        <w:rPr>
          <w:rFonts w:ascii="Times New Roman" w:hAnsi="Times New Roman" w:cs="Times New Roman"/>
          <w:sz w:val="26"/>
          <w:szCs w:val="26"/>
        </w:rPr>
        <w:t>,</w:t>
      </w:r>
      <w:r w:rsidR="004824DF" w:rsidRPr="00E83D97">
        <w:rPr>
          <w:rFonts w:ascii="Times New Roman" w:hAnsi="Times New Roman" w:cs="Times New Roman"/>
          <w:sz w:val="26"/>
          <w:szCs w:val="26"/>
        </w:rPr>
        <w:t xml:space="preserve"> è stata notevolmente più lunga del periodo di due mesi previsto, in via generale, dal codice delle migliori pratiche ed è durato circa 18 mesi (</w:t>
      </w:r>
      <w:r w:rsidR="0061375C" w:rsidRPr="00E83D97">
        <w:rPr>
          <w:rFonts w:ascii="Times New Roman" w:hAnsi="Times New Roman" w:cs="Times New Roman"/>
          <w:sz w:val="26"/>
          <w:szCs w:val="26"/>
        </w:rPr>
        <w:t xml:space="preserve">punti </w:t>
      </w:r>
      <w:r w:rsidR="004824DF" w:rsidRPr="00E83D97">
        <w:rPr>
          <w:rFonts w:ascii="Times New Roman" w:hAnsi="Times New Roman" w:cs="Times New Roman"/>
          <w:sz w:val="26"/>
          <w:szCs w:val="26"/>
        </w:rPr>
        <w:t>90-107</w:t>
      </w:r>
      <w:r w:rsidR="0061375C" w:rsidRPr="00E83D97">
        <w:rPr>
          <w:rFonts w:ascii="Times New Roman" w:hAnsi="Times New Roman" w:cs="Times New Roman"/>
          <w:sz w:val="26"/>
          <w:szCs w:val="26"/>
        </w:rPr>
        <w:t xml:space="preserve"> della sentenza Tempus</w:t>
      </w:r>
      <w:r w:rsidR="004824DF" w:rsidRPr="00E83D97">
        <w:rPr>
          <w:rFonts w:ascii="Times New Roman" w:hAnsi="Times New Roman" w:cs="Times New Roman"/>
          <w:sz w:val="26"/>
          <w:szCs w:val="26"/>
        </w:rPr>
        <w:t>). Per contro, l’indagine preliminare in seguito alla notifica della misura è durata solo un mese (</w:t>
      </w:r>
      <w:r w:rsidR="0061375C" w:rsidRPr="00E83D97">
        <w:rPr>
          <w:rFonts w:ascii="Times New Roman" w:hAnsi="Times New Roman" w:cs="Times New Roman"/>
          <w:sz w:val="26"/>
          <w:szCs w:val="26"/>
        </w:rPr>
        <w:t xml:space="preserve">punto </w:t>
      </w:r>
      <w:r w:rsidR="004824DF" w:rsidRPr="00E83D97">
        <w:rPr>
          <w:rFonts w:ascii="Times New Roman" w:hAnsi="Times New Roman" w:cs="Times New Roman"/>
          <w:sz w:val="26"/>
          <w:szCs w:val="26"/>
        </w:rPr>
        <w:t>84</w:t>
      </w:r>
      <w:r w:rsidR="0061375C" w:rsidRPr="00E83D97">
        <w:rPr>
          <w:rFonts w:ascii="Times New Roman" w:hAnsi="Times New Roman" w:cs="Times New Roman"/>
          <w:sz w:val="26"/>
          <w:szCs w:val="26"/>
        </w:rPr>
        <w:t xml:space="preserve"> della sentenza Tempus</w:t>
      </w:r>
      <w:r w:rsidR="004824DF" w:rsidRPr="00E83D97">
        <w:rPr>
          <w:rFonts w:ascii="Times New Roman" w:hAnsi="Times New Roman" w:cs="Times New Roman"/>
          <w:sz w:val="26"/>
          <w:szCs w:val="26"/>
        </w:rPr>
        <w:t xml:space="preserve">), durante il quale non risulta che la Commissione abbia svolto un’indagine peculiare sul ruolo della gestione della domanda all’interno del mercato della capacità, aspetto che, secondo la sentenza, avrebbe dovuto indurre la Commissione a nutrire dubbi </w:t>
      </w:r>
      <w:r w:rsidR="00A35184" w:rsidRPr="00E83D97">
        <w:rPr>
          <w:rFonts w:ascii="Times New Roman" w:hAnsi="Times New Roman" w:cs="Times New Roman"/>
          <w:sz w:val="26"/>
          <w:szCs w:val="26"/>
        </w:rPr>
        <w:t xml:space="preserve">sulla compatibilità dell’aiuto, </w:t>
      </w:r>
      <w:r w:rsidR="004824DF" w:rsidRPr="00E83D97">
        <w:rPr>
          <w:rFonts w:ascii="Times New Roman" w:hAnsi="Times New Roman" w:cs="Times New Roman"/>
          <w:sz w:val="26"/>
          <w:szCs w:val="26"/>
        </w:rPr>
        <w:t>in esito all’esame preliminare della misura notificata (p</w:t>
      </w:r>
      <w:r w:rsidR="0061375C" w:rsidRPr="00E83D97">
        <w:rPr>
          <w:rFonts w:ascii="Times New Roman" w:hAnsi="Times New Roman" w:cs="Times New Roman"/>
          <w:sz w:val="26"/>
          <w:szCs w:val="26"/>
        </w:rPr>
        <w:t xml:space="preserve">unto </w:t>
      </w:r>
      <w:r w:rsidR="004824DF" w:rsidRPr="00E83D97">
        <w:rPr>
          <w:rFonts w:ascii="Times New Roman" w:hAnsi="Times New Roman" w:cs="Times New Roman"/>
          <w:sz w:val="26"/>
          <w:szCs w:val="26"/>
        </w:rPr>
        <w:t xml:space="preserve">108). Pertanto, </w:t>
      </w:r>
      <w:r w:rsidR="00F43A0B" w:rsidRPr="00E83D97">
        <w:rPr>
          <w:rFonts w:ascii="Times New Roman" w:hAnsi="Times New Roman" w:cs="Times New Roman"/>
          <w:sz w:val="26"/>
          <w:szCs w:val="26"/>
        </w:rPr>
        <w:t>“</w:t>
      </w:r>
      <w:r w:rsidR="00F43A0B" w:rsidRPr="00E83D97">
        <w:rPr>
          <w:rFonts w:ascii="Times New Roman" w:hAnsi="Times New Roman" w:cs="Times New Roman"/>
          <w:i/>
          <w:sz w:val="26"/>
          <w:szCs w:val="26"/>
        </w:rPr>
        <w:t xml:space="preserve">Di conseguenza, per quanto attiene alla durata delle discussioni tra lo Stato membro e la Commissione e alle circostanze che hanno accompagnato l’adozione della decisione impugnata, risulta da tutto quanto precede che la misura notificata è significativa, complessa e nuova, e che essa ha dato luogo ad una lunga fase di </w:t>
      </w:r>
      <w:proofErr w:type="spellStart"/>
      <w:r w:rsidR="00F43A0B" w:rsidRPr="00E83D97">
        <w:rPr>
          <w:rFonts w:ascii="Times New Roman" w:hAnsi="Times New Roman" w:cs="Times New Roman"/>
          <w:i/>
          <w:sz w:val="26"/>
          <w:szCs w:val="26"/>
        </w:rPr>
        <w:t>pre</w:t>
      </w:r>
      <w:proofErr w:type="spellEnd"/>
      <w:r w:rsidR="00F43A0B" w:rsidRPr="00E83D97">
        <w:rPr>
          <w:rFonts w:ascii="Times New Roman" w:hAnsi="Times New Roman" w:cs="Times New Roman"/>
          <w:i/>
          <w:sz w:val="26"/>
          <w:szCs w:val="26"/>
        </w:rPr>
        <w:t>-notifica, in occasione della quale la Commissione ha posto numerosi quesiti al Regno Unito al fine di ottenere chiarimenti importanti, in particolare per quanto riguarda la valutazione della suddetta misura in base alla disciplina. Se ne desume altresì che tale misura era contestata sotto tre aspetti dai vari operatori che dovevano beneficiarne.</w:t>
      </w:r>
    </w:p>
    <w:p w14:paraId="054B29F6" w14:textId="52EA2750" w:rsidR="00AC7DF2" w:rsidRPr="00E83D97" w:rsidRDefault="00F43A0B"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i/>
          <w:sz w:val="26"/>
          <w:szCs w:val="26"/>
        </w:rPr>
        <w:lastRenderedPageBreak/>
        <w:t>112 Del pari, non emerge dal fascicolo che, in una situazione del genere, la Commissione abbia effettuato, nel corso dell’esame preliminare, un’istruttoria particolare riguardante le informazioni trasmesse dal Regno Unito per quanto riguarda il ruolo della gestione della domanda all’interno del mercato delle capacità</w:t>
      </w:r>
      <w:proofErr w:type="gramStart"/>
      <w:r w:rsidRPr="00E83D97">
        <w:rPr>
          <w:rFonts w:ascii="Times New Roman" w:hAnsi="Times New Roman" w:cs="Times New Roman"/>
          <w:i/>
          <w:sz w:val="26"/>
          <w:szCs w:val="26"/>
        </w:rPr>
        <w:t>.</w:t>
      </w:r>
      <w:r w:rsidRPr="00E83D97">
        <w:rPr>
          <w:rFonts w:ascii="Times New Roman" w:hAnsi="Times New Roman" w:cs="Times New Roman"/>
          <w:sz w:val="26"/>
          <w:szCs w:val="26"/>
        </w:rPr>
        <w:t>”(</w:t>
      </w:r>
      <w:proofErr w:type="gramEnd"/>
      <w:r w:rsidRPr="00E83D97">
        <w:rPr>
          <w:rFonts w:ascii="Times New Roman" w:hAnsi="Times New Roman" w:cs="Times New Roman"/>
          <w:sz w:val="26"/>
          <w:szCs w:val="26"/>
        </w:rPr>
        <w:t>p</w:t>
      </w:r>
      <w:r w:rsidR="0061375C" w:rsidRPr="00E83D97">
        <w:rPr>
          <w:rFonts w:ascii="Times New Roman" w:hAnsi="Times New Roman" w:cs="Times New Roman"/>
          <w:sz w:val="26"/>
          <w:szCs w:val="26"/>
        </w:rPr>
        <w:t xml:space="preserve">unti </w:t>
      </w:r>
      <w:r w:rsidRPr="00E83D97">
        <w:rPr>
          <w:rFonts w:ascii="Times New Roman" w:hAnsi="Times New Roman" w:cs="Times New Roman"/>
          <w:sz w:val="26"/>
          <w:szCs w:val="26"/>
        </w:rPr>
        <w:t>110-111).</w:t>
      </w:r>
    </w:p>
    <w:p w14:paraId="33B9C036" w14:textId="5343D0C0" w:rsidR="00F43A0B" w:rsidRPr="00E83D97" w:rsidRDefault="00F43A0B"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La sentenza in commento reca una severa critica alla prassi seguita </w:t>
      </w:r>
      <w:r w:rsidR="00D048E0" w:rsidRPr="00E83D97">
        <w:rPr>
          <w:rFonts w:ascii="Times New Roman" w:hAnsi="Times New Roman" w:cs="Times New Roman"/>
          <w:sz w:val="26"/>
          <w:szCs w:val="26"/>
        </w:rPr>
        <w:t xml:space="preserve">dalla Commissione per i meccanismi di </w:t>
      </w:r>
      <w:proofErr w:type="spellStart"/>
      <w:r w:rsidR="00D048E0" w:rsidRPr="00E83D97">
        <w:rPr>
          <w:rFonts w:ascii="Times New Roman" w:hAnsi="Times New Roman" w:cs="Times New Roman"/>
          <w:i/>
          <w:sz w:val="26"/>
          <w:szCs w:val="26"/>
        </w:rPr>
        <w:t>capacity</w:t>
      </w:r>
      <w:proofErr w:type="spellEnd"/>
      <w:r w:rsidR="00D048E0" w:rsidRPr="00E83D97">
        <w:rPr>
          <w:rFonts w:ascii="Times New Roman" w:hAnsi="Times New Roman" w:cs="Times New Roman"/>
          <w:i/>
          <w:sz w:val="26"/>
          <w:szCs w:val="26"/>
        </w:rPr>
        <w:t xml:space="preserve"> market</w:t>
      </w:r>
      <w:r w:rsidR="00D048E0" w:rsidRPr="00E83D97">
        <w:rPr>
          <w:rFonts w:ascii="Times New Roman" w:hAnsi="Times New Roman" w:cs="Times New Roman"/>
          <w:sz w:val="26"/>
          <w:szCs w:val="26"/>
        </w:rPr>
        <w:t xml:space="preserve">, proprio a partire dal caso britannico, </w:t>
      </w:r>
      <w:r w:rsidRPr="00E83D97">
        <w:rPr>
          <w:rFonts w:ascii="Times New Roman" w:hAnsi="Times New Roman" w:cs="Times New Roman"/>
          <w:sz w:val="26"/>
          <w:szCs w:val="26"/>
        </w:rPr>
        <w:t xml:space="preserve">di procedere ad un lungo </w:t>
      </w:r>
      <w:r w:rsidRPr="00E83D97">
        <w:rPr>
          <w:rFonts w:ascii="Times New Roman" w:hAnsi="Times New Roman" w:cs="Times New Roman"/>
          <w:i/>
          <w:sz w:val="26"/>
          <w:szCs w:val="26"/>
        </w:rPr>
        <w:t xml:space="preserve">iter </w:t>
      </w:r>
      <w:r w:rsidRPr="00E83D97">
        <w:rPr>
          <w:rFonts w:ascii="Times New Roman" w:hAnsi="Times New Roman" w:cs="Times New Roman"/>
          <w:sz w:val="26"/>
          <w:szCs w:val="26"/>
        </w:rPr>
        <w:t xml:space="preserve">di contatti informali con lo Stato membro, </w:t>
      </w:r>
      <w:r w:rsidR="00D048E0" w:rsidRPr="00E83D97">
        <w:rPr>
          <w:rFonts w:ascii="Times New Roman" w:hAnsi="Times New Roman" w:cs="Times New Roman"/>
          <w:sz w:val="26"/>
          <w:szCs w:val="26"/>
        </w:rPr>
        <w:t>nel corso del quale sono discussi gli aspetti più critici della misura, anche concordandone modifiche, per poi procedere ad un rapido esame in sede di notifica dell’aiuto, giudicandolo compatibile.</w:t>
      </w:r>
    </w:p>
    <w:p w14:paraId="5D4EEAA3" w14:textId="41721B89" w:rsidR="00F43A0B" w:rsidRPr="00E83D97" w:rsidRDefault="00F43A0B"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Anche lo Stato italiano, al pari di altri Stati membri, ha seguito la stessa prassi; al termine di contatti informali con la Commissione europea in fase di </w:t>
      </w:r>
      <w:proofErr w:type="spellStart"/>
      <w:r w:rsidRPr="00E83D97">
        <w:rPr>
          <w:rFonts w:ascii="Times New Roman" w:hAnsi="Times New Roman" w:cs="Times New Roman"/>
          <w:sz w:val="26"/>
          <w:szCs w:val="26"/>
        </w:rPr>
        <w:t>pre</w:t>
      </w:r>
      <w:proofErr w:type="spellEnd"/>
      <w:r w:rsidRPr="00E83D97">
        <w:rPr>
          <w:rFonts w:ascii="Times New Roman" w:hAnsi="Times New Roman" w:cs="Times New Roman"/>
          <w:sz w:val="26"/>
          <w:szCs w:val="26"/>
        </w:rPr>
        <w:t>-notifica</w:t>
      </w:r>
      <w:r w:rsidR="00BD2A0E" w:rsidRPr="00E83D97">
        <w:rPr>
          <w:rFonts w:ascii="Times New Roman" w:hAnsi="Times New Roman" w:cs="Times New Roman"/>
          <w:sz w:val="26"/>
          <w:szCs w:val="26"/>
        </w:rPr>
        <w:t xml:space="preserve">, </w:t>
      </w:r>
      <w:r w:rsidR="00A35184" w:rsidRPr="00E83D97">
        <w:rPr>
          <w:rFonts w:ascii="Times New Roman" w:hAnsi="Times New Roman" w:cs="Times New Roman"/>
          <w:sz w:val="26"/>
          <w:szCs w:val="26"/>
        </w:rPr>
        <w:t>in data 24 agosto 2017, ha notificato come aiuto di Stato il proprio meccanismo di mercato della capacità.</w:t>
      </w:r>
    </w:p>
    <w:p w14:paraId="519739AD" w14:textId="3B2E5DD4" w:rsidR="00A35184" w:rsidRPr="00E83D97" w:rsidRDefault="00A35184"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Eppure, se è lecito mettere in discussione la prassi seguita dalla Commissione in tali casi, come è stato fatto dalla sentenza Tempus, è altrettanto lecito allora indagare se la misura del </w:t>
      </w:r>
      <w:proofErr w:type="spellStart"/>
      <w:r w:rsidRPr="00E83D97">
        <w:rPr>
          <w:rFonts w:ascii="Times New Roman" w:hAnsi="Times New Roman" w:cs="Times New Roman"/>
          <w:i/>
          <w:sz w:val="26"/>
          <w:szCs w:val="26"/>
        </w:rPr>
        <w:t>capacity</w:t>
      </w:r>
      <w:proofErr w:type="spellEnd"/>
      <w:r w:rsidRPr="00E83D97">
        <w:rPr>
          <w:rFonts w:ascii="Times New Roman" w:hAnsi="Times New Roman" w:cs="Times New Roman"/>
          <w:i/>
          <w:sz w:val="26"/>
          <w:szCs w:val="26"/>
        </w:rPr>
        <w:t xml:space="preserve"> market</w:t>
      </w:r>
      <w:r w:rsidRPr="00E83D97">
        <w:rPr>
          <w:rFonts w:ascii="Times New Roman" w:hAnsi="Times New Roman" w:cs="Times New Roman"/>
          <w:sz w:val="26"/>
          <w:szCs w:val="26"/>
        </w:rPr>
        <w:t xml:space="preserve"> i</w:t>
      </w:r>
      <w:r w:rsidR="004E7A33" w:rsidRPr="00E83D97">
        <w:rPr>
          <w:rFonts w:ascii="Times New Roman" w:hAnsi="Times New Roman" w:cs="Times New Roman"/>
          <w:sz w:val="26"/>
          <w:szCs w:val="26"/>
        </w:rPr>
        <w:t>taliano integrasse tutti i presupposti per potere configurare un aiuto di Stato e se, quindi, fosse davvero necessario – non si discute dell’</w:t>
      </w:r>
      <w:r w:rsidR="004E7A33" w:rsidRPr="00E83D97">
        <w:rPr>
          <w:rFonts w:ascii="Times New Roman" w:hAnsi="Times New Roman" w:cs="Times New Roman"/>
          <w:i/>
          <w:sz w:val="26"/>
          <w:szCs w:val="26"/>
        </w:rPr>
        <w:t xml:space="preserve">opportunità </w:t>
      </w:r>
      <w:r w:rsidR="004E7A33" w:rsidRPr="00E83D97">
        <w:rPr>
          <w:rFonts w:ascii="Times New Roman" w:hAnsi="Times New Roman" w:cs="Times New Roman"/>
          <w:sz w:val="26"/>
          <w:szCs w:val="26"/>
        </w:rPr>
        <w:t>– procedere alla notifica della misura per l’approvazione della Commissione.</w:t>
      </w:r>
    </w:p>
    <w:p w14:paraId="7CD2703E" w14:textId="4117055F" w:rsidR="004E7A33" w:rsidRPr="00E83D97" w:rsidRDefault="004E7A33"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La notifica di una misura, infatti, presuppone che lo Stato membro non sollevi alcuna obiezione in merito alla qualificazione della stessa come aiuto di Stato ai sensi dell’art. 107, paragrafo 1, del Trattato sul Funzionamento dell’Unione europea.</w:t>
      </w:r>
      <w:r w:rsidRPr="00E83D97">
        <w:rPr>
          <w:rStyle w:val="Rimandonotaapidipagina"/>
          <w:rFonts w:ascii="Times New Roman" w:hAnsi="Times New Roman" w:cs="Times New Roman"/>
          <w:sz w:val="26"/>
          <w:szCs w:val="26"/>
        </w:rPr>
        <w:footnoteReference w:id="7"/>
      </w:r>
    </w:p>
    <w:p w14:paraId="29617519" w14:textId="00FFA722" w:rsidR="00A35184" w:rsidRPr="00E83D97" w:rsidRDefault="00B720C8"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Secondo una costante giurisprudenza della Corte di giustizia</w:t>
      </w:r>
      <w:r w:rsidR="00036D78" w:rsidRPr="00E83D97">
        <w:rPr>
          <w:rStyle w:val="Rimandonotaapidipagina"/>
          <w:rFonts w:ascii="Times New Roman" w:hAnsi="Times New Roman" w:cs="Times New Roman"/>
          <w:sz w:val="26"/>
          <w:szCs w:val="26"/>
        </w:rPr>
        <w:footnoteReference w:id="8"/>
      </w:r>
      <w:r w:rsidRPr="00E83D97">
        <w:rPr>
          <w:rFonts w:ascii="Times New Roman" w:hAnsi="Times New Roman" w:cs="Times New Roman"/>
          <w:sz w:val="26"/>
          <w:szCs w:val="26"/>
        </w:rPr>
        <w:t>, la qualifica di una misura nazionale come aiuto di Stato richiede che siano soddisfatte tutt</w:t>
      </w:r>
      <w:r w:rsidR="00F42A39" w:rsidRPr="00E83D97">
        <w:rPr>
          <w:rFonts w:ascii="Times New Roman" w:hAnsi="Times New Roman" w:cs="Times New Roman"/>
          <w:sz w:val="26"/>
          <w:szCs w:val="26"/>
        </w:rPr>
        <w:t>e le condizioni previste da tale disposizion</w:t>
      </w:r>
      <w:r w:rsidR="003758CE" w:rsidRPr="00E83D97">
        <w:rPr>
          <w:rFonts w:ascii="Times New Roman" w:hAnsi="Times New Roman" w:cs="Times New Roman"/>
          <w:sz w:val="26"/>
          <w:szCs w:val="26"/>
        </w:rPr>
        <w:t>e</w:t>
      </w:r>
      <w:r w:rsidR="00F42A39" w:rsidRPr="00E83D97">
        <w:rPr>
          <w:rFonts w:ascii="Times New Roman" w:hAnsi="Times New Roman" w:cs="Times New Roman"/>
          <w:sz w:val="26"/>
          <w:szCs w:val="26"/>
        </w:rPr>
        <w:t xml:space="preserve"> e così individuate: deve trattarsi di un intervento imputabile allo Stato o finanziato mediante risorse Statali; deve concedere un vantaggio selettivo al suo beneficiario; tale intervento deve poter incidere sugli scambi tra Stati membri; infine deve falsare o minacciare di falsare la concorrenza</w:t>
      </w:r>
      <w:r w:rsidR="00036D78" w:rsidRPr="00E83D97">
        <w:rPr>
          <w:rFonts w:ascii="Times New Roman" w:hAnsi="Times New Roman" w:cs="Times New Roman"/>
          <w:sz w:val="26"/>
          <w:szCs w:val="26"/>
        </w:rPr>
        <w:t>.</w:t>
      </w:r>
    </w:p>
    <w:p w14:paraId="7FC6F2ED" w14:textId="33BBE046" w:rsidR="00036D78" w:rsidRPr="00E83D97" w:rsidRDefault="00036D78"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Il mercato italiano della capacità parrebbe non integrare almeno due dei quattro summenzionati requisiti: quello del vantaggio economico selettivo e quello della distorsione della concorrenza e dei mercati comunitari.</w:t>
      </w:r>
    </w:p>
    <w:p w14:paraId="4997B7A5" w14:textId="6AD40FFB" w:rsidR="00036D78" w:rsidRPr="00E83D97" w:rsidRDefault="00036D78"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A questo punto, occorre procedere ad una breve descrizione della struttura, funzione e qualificazione giuridica del mercato italiano della capacità.</w:t>
      </w:r>
    </w:p>
    <w:p w14:paraId="64760D89" w14:textId="4DE5D1C9" w:rsidR="00036D78" w:rsidRPr="00E83D97" w:rsidRDefault="00036D78"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Il meccanismo per la remunerazione della capacità produttiva italiano è un meccanismo di mercato, tecnologicamente neutrale, aperto alla domanda, alla capacità</w:t>
      </w:r>
      <w:r w:rsidR="005A0095" w:rsidRPr="00E83D97">
        <w:rPr>
          <w:rFonts w:ascii="Times New Roman" w:hAnsi="Times New Roman" w:cs="Times New Roman"/>
          <w:sz w:val="26"/>
          <w:szCs w:val="26"/>
        </w:rPr>
        <w:t xml:space="preserve"> produttiva</w:t>
      </w:r>
      <w:r w:rsidRPr="00E83D97">
        <w:rPr>
          <w:rFonts w:ascii="Times New Roman" w:hAnsi="Times New Roman" w:cs="Times New Roman"/>
          <w:sz w:val="26"/>
          <w:szCs w:val="26"/>
        </w:rPr>
        <w:t>, esistente e nuova</w:t>
      </w:r>
      <w:r w:rsidR="000B7578" w:rsidRPr="00E83D97">
        <w:rPr>
          <w:rFonts w:ascii="Times New Roman" w:hAnsi="Times New Roman" w:cs="Times New Roman"/>
          <w:sz w:val="26"/>
          <w:szCs w:val="26"/>
        </w:rPr>
        <w:t xml:space="preserve">, nazionale </w:t>
      </w:r>
      <w:r w:rsidR="005A0095" w:rsidRPr="00E83D97">
        <w:rPr>
          <w:rFonts w:ascii="Times New Roman" w:hAnsi="Times New Roman" w:cs="Times New Roman"/>
          <w:sz w:val="26"/>
          <w:szCs w:val="26"/>
        </w:rPr>
        <w:t>e</w:t>
      </w:r>
      <w:r w:rsidR="003758CE" w:rsidRPr="00E83D97">
        <w:rPr>
          <w:rFonts w:ascii="Times New Roman" w:hAnsi="Times New Roman" w:cs="Times New Roman"/>
          <w:sz w:val="26"/>
          <w:szCs w:val="26"/>
        </w:rPr>
        <w:t>d</w:t>
      </w:r>
      <w:r w:rsidR="005A0095" w:rsidRPr="00E83D97">
        <w:rPr>
          <w:rFonts w:ascii="Times New Roman" w:hAnsi="Times New Roman" w:cs="Times New Roman"/>
          <w:sz w:val="26"/>
          <w:szCs w:val="26"/>
        </w:rPr>
        <w:t xml:space="preserve"> estera</w:t>
      </w:r>
      <w:r w:rsidRPr="00E83D97">
        <w:rPr>
          <w:rFonts w:ascii="Times New Roman" w:hAnsi="Times New Roman" w:cs="Times New Roman"/>
          <w:sz w:val="26"/>
          <w:szCs w:val="26"/>
        </w:rPr>
        <w:t>.</w:t>
      </w:r>
    </w:p>
    <w:p w14:paraId="17CF3F2D" w14:textId="04F5E32C" w:rsidR="00B8353A" w:rsidRPr="00E83D97" w:rsidRDefault="00B8353A" w:rsidP="00B8353A">
      <w:pPr>
        <w:spacing w:after="0" w:line="360" w:lineRule="auto"/>
        <w:jc w:val="both"/>
        <w:rPr>
          <w:rFonts w:ascii="Times New Roman" w:hAnsi="Times New Roman" w:cs="Times New Roman"/>
          <w:bCs/>
          <w:sz w:val="26"/>
        </w:rPr>
      </w:pPr>
      <w:r w:rsidRPr="00E83D97">
        <w:rPr>
          <w:rFonts w:ascii="Times New Roman" w:hAnsi="Times New Roman" w:cs="Times New Roman"/>
          <w:sz w:val="26"/>
          <w:szCs w:val="26"/>
        </w:rPr>
        <w:t>Nella sua struttura essenziale, definita dal regolatore italiano con la deliberazione ARG/</w:t>
      </w:r>
      <w:proofErr w:type="spellStart"/>
      <w:r w:rsidRPr="00E83D97">
        <w:rPr>
          <w:rFonts w:ascii="Times New Roman" w:hAnsi="Times New Roman" w:cs="Times New Roman"/>
          <w:sz w:val="26"/>
          <w:szCs w:val="26"/>
        </w:rPr>
        <w:t>elt</w:t>
      </w:r>
      <w:proofErr w:type="spellEnd"/>
      <w:r w:rsidRPr="00E83D97">
        <w:rPr>
          <w:rFonts w:ascii="Times New Roman" w:hAnsi="Times New Roman" w:cs="Times New Roman"/>
          <w:sz w:val="26"/>
          <w:szCs w:val="26"/>
        </w:rPr>
        <w:t> 98/11</w:t>
      </w:r>
      <w:r w:rsidRPr="00E83D97">
        <w:rPr>
          <w:rStyle w:val="Rimandonotaapidipagina"/>
          <w:rFonts w:ascii="Times New Roman" w:hAnsi="Times New Roman" w:cs="Times New Roman"/>
          <w:sz w:val="26"/>
          <w:szCs w:val="26"/>
        </w:rPr>
        <w:footnoteReference w:id="9"/>
      </w:r>
      <w:r w:rsidRPr="00E83D97">
        <w:rPr>
          <w:rFonts w:ascii="Times New Roman" w:hAnsi="Times New Roman" w:cs="Times New Roman"/>
          <w:sz w:val="26"/>
          <w:szCs w:val="26"/>
        </w:rPr>
        <w:t xml:space="preserve">, </w:t>
      </w:r>
      <w:r w:rsidR="00626E65" w:rsidRPr="00E83D97">
        <w:rPr>
          <w:rFonts w:ascii="Times New Roman" w:hAnsi="Times New Roman" w:cs="Times New Roman"/>
          <w:bCs/>
          <w:sz w:val="26"/>
        </w:rPr>
        <w:t>il</w:t>
      </w:r>
      <w:r w:rsidRPr="00E83D97">
        <w:rPr>
          <w:rFonts w:ascii="Times New Roman" w:hAnsi="Times New Roman" w:cs="Times New Roman"/>
          <w:bCs/>
          <w:sz w:val="26"/>
        </w:rPr>
        <w:t xml:space="preserve"> mercato della capacità a termine</w:t>
      </w:r>
      <w:r w:rsidR="00626E65" w:rsidRPr="00E83D97">
        <w:rPr>
          <w:rFonts w:ascii="Times New Roman" w:hAnsi="Times New Roman" w:cs="Times New Roman"/>
          <w:bCs/>
          <w:sz w:val="26"/>
        </w:rPr>
        <w:t xml:space="preserve"> </w:t>
      </w:r>
      <w:r w:rsidRPr="00E83D97">
        <w:rPr>
          <w:rFonts w:ascii="Times New Roman" w:hAnsi="Times New Roman" w:cs="Times New Roman"/>
          <w:bCs/>
          <w:sz w:val="26"/>
        </w:rPr>
        <w:t>ha la funzione di assicurare a</w:t>
      </w:r>
      <w:r w:rsidR="00626E65" w:rsidRPr="00E83D97">
        <w:rPr>
          <w:rFonts w:ascii="Times New Roman" w:hAnsi="Times New Roman" w:cs="Times New Roman"/>
          <w:bCs/>
          <w:sz w:val="26"/>
        </w:rPr>
        <w:t>l gestore della rete,</w:t>
      </w:r>
      <w:r w:rsidRPr="00E83D97">
        <w:rPr>
          <w:rFonts w:ascii="Times New Roman" w:hAnsi="Times New Roman" w:cs="Times New Roman"/>
          <w:bCs/>
          <w:sz w:val="26"/>
        </w:rPr>
        <w:t xml:space="preserve"> Terna</w:t>
      </w:r>
      <w:r w:rsidR="00626E65" w:rsidRPr="00E83D97">
        <w:rPr>
          <w:rFonts w:ascii="Times New Roman" w:hAnsi="Times New Roman" w:cs="Times New Roman"/>
          <w:bCs/>
          <w:sz w:val="26"/>
        </w:rPr>
        <w:t xml:space="preserve"> S.p.a.</w:t>
      </w:r>
      <w:r w:rsidRPr="00E83D97">
        <w:rPr>
          <w:rFonts w:ascii="Times New Roman" w:hAnsi="Times New Roman" w:cs="Times New Roman"/>
          <w:bCs/>
          <w:sz w:val="26"/>
        </w:rPr>
        <w:t>, per il lungo termine, la disponibilità della capacità produttiva esistente e di nuova realizzazione.</w:t>
      </w:r>
    </w:p>
    <w:p w14:paraId="04B7526E" w14:textId="21E2ED2B" w:rsidR="00B8353A" w:rsidRPr="00E83D97" w:rsidRDefault="00B8353A" w:rsidP="00B8353A">
      <w:pPr>
        <w:spacing w:after="0" w:line="360" w:lineRule="auto"/>
        <w:jc w:val="both"/>
        <w:rPr>
          <w:rFonts w:ascii="Times New Roman" w:hAnsi="Times New Roman" w:cs="Times New Roman"/>
          <w:bCs/>
          <w:sz w:val="26"/>
        </w:rPr>
      </w:pPr>
      <w:r w:rsidRPr="00E83D97">
        <w:rPr>
          <w:rFonts w:ascii="Times New Roman" w:hAnsi="Times New Roman" w:cs="Times New Roman"/>
          <w:bCs/>
          <w:sz w:val="26"/>
        </w:rPr>
        <w:t xml:space="preserve">Attraverso procedure concorsuali, </w:t>
      </w:r>
      <w:r w:rsidR="00626E65" w:rsidRPr="00E83D97">
        <w:rPr>
          <w:rFonts w:ascii="Times New Roman" w:hAnsi="Times New Roman" w:cs="Times New Roman"/>
          <w:bCs/>
          <w:sz w:val="26"/>
        </w:rPr>
        <w:t>il gestore della rete</w:t>
      </w:r>
      <w:r w:rsidRPr="00E83D97">
        <w:rPr>
          <w:rFonts w:ascii="Times New Roman" w:hAnsi="Times New Roman" w:cs="Times New Roman"/>
          <w:bCs/>
          <w:sz w:val="26"/>
        </w:rPr>
        <w:t xml:space="preserve"> seleziona i contraenti, che hanno scelto di parteciparvi, per la stipulazione di contratti di approvvigionamento standard.</w:t>
      </w:r>
    </w:p>
    <w:p w14:paraId="29E83D32" w14:textId="049F5FEC"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Per ovviare all’informazione incompleta e distribuita in modo asimmetrico tra gli operatori sulle scelte di investimento e orientare in maniera adeguata e ottimale lo sviluppo del parco produttivo</w:t>
      </w:r>
      <w:r w:rsidRPr="00E83D97">
        <w:rPr>
          <w:rStyle w:val="Rimandonotaapidipagina"/>
          <w:rFonts w:ascii="Times New Roman" w:eastAsia="Times New Roman" w:hAnsi="Times New Roman" w:cs="Times New Roman"/>
          <w:sz w:val="26"/>
          <w:szCs w:val="24"/>
          <w:lang w:eastAsia="it-IT"/>
        </w:rPr>
        <w:footnoteReference w:id="10"/>
      </w:r>
      <w:r w:rsidRPr="00E83D97">
        <w:rPr>
          <w:rFonts w:ascii="Times New Roman" w:eastAsia="Times New Roman" w:hAnsi="Times New Roman" w:cs="Times New Roman"/>
          <w:sz w:val="26"/>
          <w:szCs w:val="24"/>
          <w:lang w:eastAsia="it-IT"/>
        </w:rPr>
        <w:t>, il regolatore ha introdotto procedure concorsuali a partecipazione volontaria per l’acquisto di opzioni su capacità produttiva reale.</w:t>
      </w:r>
    </w:p>
    <w:p w14:paraId="4D807C35" w14:textId="3A9F68F6"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 xml:space="preserve">Attraverso tali procedure, si ristabilisce la simmetria informativa per quanto riguarda la domanda e l’offerta di capacità produttiva a lungo termine, in quanto </w:t>
      </w:r>
      <w:r w:rsidR="00626E65" w:rsidRPr="00E83D97">
        <w:rPr>
          <w:rFonts w:ascii="Times New Roman" w:eastAsia="Times New Roman" w:hAnsi="Times New Roman" w:cs="Times New Roman"/>
          <w:sz w:val="26"/>
          <w:szCs w:val="24"/>
          <w:lang w:eastAsia="it-IT"/>
        </w:rPr>
        <w:t>il gestore</w:t>
      </w:r>
      <w:r w:rsidRPr="00E83D97">
        <w:rPr>
          <w:rFonts w:ascii="Times New Roman" w:eastAsia="Times New Roman" w:hAnsi="Times New Roman" w:cs="Times New Roman"/>
          <w:sz w:val="26"/>
          <w:szCs w:val="24"/>
          <w:lang w:eastAsia="it-IT"/>
        </w:rPr>
        <w:t xml:space="preserve"> deve effettuare e pubblicare in anticipo gli obiettivi di adeguatezza della capacità produttiva (art. 5 della delibera</w:t>
      </w:r>
      <w:r w:rsidR="00626E65" w:rsidRPr="00E83D97">
        <w:rPr>
          <w:rFonts w:ascii="Times New Roman" w:eastAsia="Times New Roman" w:hAnsi="Times New Roman" w:cs="Times New Roman"/>
          <w:sz w:val="26"/>
          <w:szCs w:val="24"/>
          <w:lang w:eastAsia="it-IT"/>
        </w:rPr>
        <w:t>zione</w:t>
      </w:r>
      <w:r w:rsidRPr="00E83D97">
        <w:rPr>
          <w:rFonts w:ascii="Times New Roman" w:eastAsia="Times New Roman" w:hAnsi="Times New Roman" w:cs="Times New Roman"/>
          <w:sz w:val="26"/>
          <w:szCs w:val="24"/>
          <w:lang w:eastAsia="it-IT"/>
        </w:rPr>
        <w:t xml:space="preserve"> ARG/</w:t>
      </w:r>
      <w:proofErr w:type="spellStart"/>
      <w:r w:rsidRPr="00E83D97">
        <w:rPr>
          <w:rFonts w:ascii="Times New Roman" w:eastAsia="Times New Roman" w:hAnsi="Times New Roman" w:cs="Times New Roman"/>
          <w:sz w:val="26"/>
          <w:szCs w:val="24"/>
          <w:lang w:eastAsia="it-IT"/>
        </w:rPr>
        <w:t>elt</w:t>
      </w:r>
      <w:proofErr w:type="spellEnd"/>
      <w:r w:rsidRPr="00E83D97">
        <w:rPr>
          <w:rFonts w:ascii="Times New Roman" w:eastAsia="Times New Roman" w:hAnsi="Times New Roman" w:cs="Times New Roman"/>
          <w:sz w:val="26"/>
          <w:szCs w:val="24"/>
          <w:lang w:eastAsia="it-IT"/>
        </w:rPr>
        <w:t> 98/11), in base ai quali definire le procedure di approvvigionamento della disponibilità produttiva.</w:t>
      </w:r>
    </w:p>
    <w:p w14:paraId="5529DD50" w14:textId="335252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La selezione tramite procedure concorsuali, secondo il criterio del merito economico, ai sensi dell</w:t>
      </w:r>
      <w:r w:rsidR="00626E65" w:rsidRPr="00E83D97">
        <w:rPr>
          <w:rFonts w:ascii="Times New Roman" w:eastAsia="Times New Roman" w:hAnsi="Times New Roman" w:cs="Times New Roman"/>
          <w:sz w:val="26"/>
          <w:szCs w:val="24"/>
          <w:lang w:eastAsia="it-IT"/>
        </w:rPr>
        <w:t>’</w:t>
      </w:r>
      <w:r w:rsidRPr="00E83D97">
        <w:rPr>
          <w:rFonts w:ascii="Times New Roman" w:eastAsia="Times New Roman" w:hAnsi="Times New Roman" w:cs="Times New Roman"/>
          <w:sz w:val="26"/>
          <w:szCs w:val="24"/>
          <w:lang w:eastAsia="it-IT"/>
        </w:rPr>
        <w:t>articolo 1, comma 2 del d.lgs. n. 379/03, garantisce il rispetto dei principi concorrenziali, in quanto</w:t>
      </w:r>
      <w:r w:rsidR="0061375C" w:rsidRPr="00E83D97">
        <w:rPr>
          <w:rFonts w:ascii="Times New Roman" w:eastAsia="Times New Roman" w:hAnsi="Times New Roman" w:cs="Times New Roman"/>
          <w:sz w:val="26"/>
          <w:szCs w:val="24"/>
          <w:lang w:eastAsia="it-IT"/>
        </w:rPr>
        <w:t>:</w:t>
      </w:r>
    </w:p>
    <w:p w14:paraId="421C1AA8" w14:textId="77777777" w:rsidR="00B8353A" w:rsidRPr="00E83D97" w:rsidRDefault="00B8353A" w:rsidP="00B8353A">
      <w:pPr>
        <w:pStyle w:val="Paragrafoelenco"/>
        <w:numPr>
          <w:ilvl w:val="0"/>
          <w:numId w:val="1"/>
        </w:num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come noto, in presenza di perfetta informazione tra i partecipanti, l’esito delle procedure concorsuali sarebbe quello del mercato;</w:t>
      </w:r>
    </w:p>
    <w:p w14:paraId="4B377BA4" w14:textId="77777777" w:rsidR="00B8353A" w:rsidRPr="00E83D97" w:rsidRDefault="00B8353A" w:rsidP="00B8353A">
      <w:pPr>
        <w:pStyle w:val="Paragrafoelenco"/>
        <w:numPr>
          <w:ilvl w:val="0"/>
          <w:numId w:val="1"/>
        </w:num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è accessibile non solo ai produttori titolari di capacità produttiva esistente, ma anche a quelli titolari di capacità produttiva di nuova realizzazione.</w:t>
      </w:r>
    </w:p>
    <w:p w14:paraId="2A8F2FE6" w14:textId="174E1178"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All’esito delle procedure concorsuali, i soggetti selezionati stipulano con Terna dei contratti di approvvigionamento standard che prevedono i seguenti diritti e obblighi per i sottoscrittori</w:t>
      </w:r>
      <w:r w:rsidR="001A029B" w:rsidRPr="00E83D97">
        <w:rPr>
          <w:rStyle w:val="Rimandonotaapidipagina"/>
          <w:rFonts w:ascii="Times New Roman" w:eastAsia="Times New Roman" w:hAnsi="Times New Roman" w:cs="Times New Roman"/>
          <w:sz w:val="26"/>
          <w:szCs w:val="24"/>
          <w:lang w:eastAsia="it-IT"/>
        </w:rPr>
        <w:footnoteReference w:id="11"/>
      </w:r>
      <w:r w:rsidRPr="00E83D97">
        <w:rPr>
          <w:rFonts w:ascii="Times New Roman" w:eastAsia="Times New Roman" w:hAnsi="Times New Roman" w:cs="Times New Roman"/>
          <w:sz w:val="26"/>
          <w:szCs w:val="24"/>
          <w:lang w:eastAsia="it-IT"/>
        </w:rPr>
        <w:t>:</w:t>
      </w:r>
    </w:p>
    <w:p w14:paraId="522D64EB" w14:textId="415ED1E0" w:rsidR="00B8353A" w:rsidRPr="00E83D97" w:rsidRDefault="00B8353A" w:rsidP="00B8353A">
      <w:pPr>
        <w:pStyle w:val="Paragrafoelenco"/>
        <w:numPr>
          <w:ilvl w:val="0"/>
          <w:numId w:val="1"/>
        </w:num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 xml:space="preserve">l’obbligo di offrire la capacità oggetto del contratto sul mercato del giorno prima per ogni ora del periodo di consegna e nella zona eletta a luogo di consegna, nonché l’obbligo ad offrire sul </w:t>
      </w:r>
      <w:r w:rsidR="00626E65" w:rsidRPr="00E83D97">
        <w:rPr>
          <w:rFonts w:ascii="Times New Roman" w:eastAsia="Times New Roman" w:hAnsi="Times New Roman" w:cs="Times New Roman"/>
          <w:sz w:val="26"/>
          <w:szCs w:val="24"/>
          <w:lang w:eastAsia="it-IT"/>
        </w:rPr>
        <w:t>mercato dei servizi di dispacciamento (MSD)</w:t>
      </w:r>
      <w:r w:rsidRPr="00E83D97">
        <w:rPr>
          <w:rFonts w:ascii="Times New Roman" w:eastAsia="Times New Roman" w:hAnsi="Times New Roman" w:cs="Times New Roman"/>
          <w:sz w:val="26"/>
          <w:szCs w:val="24"/>
          <w:lang w:eastAsia="it-IT"/>
        </w:rPr>
        <w:t xml:space="preserve"> la capacità impegnata non accettata sul </w:t>
      </w:r>
      <w:r w:rsidR="00626E65" w:rsidRPr="00E83D97">
        <w:rPr>
          <w:rFonts w:ascii="Times New Roman" w:eastAsia="Times New Roman" w:hAnsi="Times New Roman" w:cs="Times New Roman"/>
          <w:sz w:val="26"/>
          <w:szCs w:val="24"/>
          <w:lang w:eastAsia="it-IT"/>
        </w:rPr>
        <w:t>mercato del giorno prima (MGP)</w:t>
      </w:r>
      <w:r w:rsidRPr="00E83D97">
        <w:rPr>
          <w:rFonts w:ascii="Times New Roman" w:eastAsia="Times New Roman" w:hAnsi="Times New Roman" w:cs="Times New Roman"/>
          <w:sz w:val="26"/>
          <w:szCs w:val="24"/>
          <w:lang w:eastAsia="it-IT"/>
        </w:rPr>
        <w:t>;</w:t>
      </w:r>
    </w:p>
    <w:p w14:paraId="32856776" w14:textId="0E79DC0D" w:rsidR="00B8353A" w:rsidRPr="00E83D97" w:rsidRDefault="00B8353A" w:rsidP="00B8353A">
      <w:pPr>
        <w:pStyle w:val="Paragrafoelenco"/>
        <w:numPr>
          <w:ilvl w:val="0"/>
          <w:numId w:val="1"/>
        </w:num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il diritto a ricevere da Terna un premio fisso annuo calcolato ai sensi dell’art. 10 della delibera</w:t>
      </w:r>
      <w:r w:rsidR="00626E65" w:rsidRPr="00E83D97">
        <w:rPr>
          <w:rFonts w:ascii="Times New Roman" w:eastAsia="Times New Roman" w:hAnsi="Times New Roman" w:cs="Times New Roman"/>
          <w:sz w:val="26"/>
          <w:szCs w:val="24"/>
          <w:lang w:eastAsia="it-IT"/>
        </w:rPr>
        <w:t xml:space="preserve">zione </w:t>
      </w:r>
      <w:r w:rsidRPr="00E83D97">
        <w:rPr>
          <w:rFonts w:ascii="Times New Roman" w:eastAsia="Times New Roman" w:hAnsi="Times New Roman" w:cs="Times New Roman"/>
          <w:sz w:val="26"/>
          <w:szCs w:val="24"/>
          <w:lang w:eastAsia="it-IT"/>
        </w:rPr>
        <w:t>ARG/</w:t>
      </w:r>
      <w:proofErr w:type="spellStart"/>
      <w:r w:rsidRPr="00E83D97">
        <w:rPr>
          <w:rFonts w:ascii="Times New Roman" w:eastAsia="Times New Roman" w:hAnsi="Times New Roman" w:cs="Times New Roman"/>
          <w:sz w:val="26"/>
          <w:szCs w:val="24"/>
          <w:lang w:eastAsia="it-IT"/>
        </w:rPr>
        <w:t>elt</w:t>
      </w:r>
      <w:proofErr w:type="spellEnd"/>
      <w:r w:rsidRPr="00E83D97">
        <w:rPr>
          <w:rFonts w:ascii="Times New Roman" w:eastAsia="Times New Roman" w:hAnsi="Times New Roman" w:cs="Times New Roman"/>
          <w:sz w:val="26"/>
          <w:szCs w:val="24"/>
          <w:lang w:eastAsia="it-IT"/>
        </w:rPr>
        <w:t> 98/11;</w:t>
      </w:r>
    </w:p>
    <w:p w14:paraId="42DED669" w14:textId="1FB5DD1F" w:rsidR="00B8353A" w:rsidRPr="00E83D97" w:rsidRDefault="00B8353A" w:rsidP="00B8353A">
      <w:pPr>
        <w:pStyle w:val="Paragrafoelenco"/>
        <w:numPr>
          <w:ilvl w:val="0"/>
          <w:numId w:val="1"/>
        </w:num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l’obbligo a restituire la differenza – se positiva - tra il prezzo di riferimento (definito dal prezzo su MGP o realizzatosi sull’MSD per i cd altri servizi) e il prezzo di esercizio, definito con riferimento ai costi variabili di un impianto di punta.</w:t>
      </w:r>
    </w:p>
    <w:p w14:paraId="79D44AFD"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Con riferimento a tale ultimo aspetto, è da notare che l’impianto di punta è l’impianto che opera nei casi di picco di domanda di capacità produttiva rispetto all’offerta, quindi, nei casi di massimo carico del sistema, ove è maggiore la probabilità di inadeguatezza del sistema a soddisfare la domanda in condizioni di sicurezza. Tale impianto è caratterizzato dai più alti costi variabili e dai più bassi costi fissi.</w:t>
      </w:r>
    </w:p>
    <w:p w14:paraId="604DCBBC"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 xml:space="preserve">La causa tipica di tale contratto è, quindi, quella di assicurare la propria prestazione della disponibilità della capacità produttiva in cambio di un premio certo annuo, a fronte della restituzione dell’incerto differenziale, se positivo, tra il prezzo di riferimento e il prezzo di esercizio. </w:t>
      </w:r>
    </w:p>
    <w:p w14:paraId="238DE701" w14:textId="1530EB05"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Il differenziale positivo tra prezzo di riferimento e prezzo di esercizio indica che il sistema è inadeguato a soddisfare la domanda di potenza: un tale rischio, di regola</w:t>
      </w:r>
      <w:r w:rsidR="00AF0624" w:rsidRPr="00E83D97">
        <w:rPr>
          <w:rFonts w:ascii="Times New Roman" w:eastAsia="Times New Roman" w:hAnsi="Times New Roman" w:cs="Times New Roman"/>
          <w:sz w:val="26"/>
          <w:szCs w:val="24"/>
          <w:lang w:eastAsia="it-IT"/>
        </w:rPr>
        <w:t xml:space="preserve"> </w:t>
      </w:r>
      <w:r w:rsidRPr="00E83D97">
        <w:rPr>
          <w:rFonts w:ascii="Times New Roman" w:eastAsia="Times New Roman" w:hAnsi="Times New Roman" w:cs="Times New Roman"/>
          <w:sz w:val="26"/>
          <w:szCs w:val="24"/>
          <w:lang w:eastAsia="it-IT"/>
        </w:rPr>
        <w:t>in capo a Terna e ai consumatori, per effetto del contratto, è assunto, dietro corresponsione di un premio, dai produttori che si impegnano a garantire l’approvvigionamento.</w:t>
      </w:r>
    </w:p>
    <w:p w14:paraId="15E3E6EF"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Più nel dettaglio, gli operatori che hanno contrattualizzato la propria capacità produttiva, operano sul mercato dell’energia (e sul MSD) al pari di qualunque altro operatore.</w:t>
      </w:r>
    </w:p>
    <w:p w14:paraId="631F22EF"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In caso di offerta, ad esempio su MGP, tali operatori (anche quelli titolari di impianti diversi da quelli di punta) guadagneranno una rendita marginale/</w:t>
      </w:r>
      <w:proofErr w:type="spellStart"/>
      <w:r w:rsidRPr="00E83D97">
        <w:rPr>
          <w:rFonts w:ascii="Times New Roman" w:eastAsia="Times New Roman" w:hAnsi="Times New Roman" w:cs="Times New Roman"/>
          <w:sz w:val="26"/>
          <w:szCs w:val="24"/>
          <w:lang w:eastAsia="it-IT"/>
        </w:rPr>
        <w:t>inframarginale</w:t>
      </w:r>
      <w:proofErr w:type="spellEnd"/>
      <w:r w:rsidRPr="00E83D97">
        <w:rPr>
          <w:rFonts w:ascii="Times New Roman" w:eastAsia="Times New Roman" w:hAnsi="Times New Roman" w:cs="Times New Roman"/>
          <w:sz w:val="26"/>
          <w:szCs w:val="24"/>
          <w:lang w:eastAsia="it-IT"/>
        </w:rPr>
        <w:t xml:space="preserve"> se il prezzo di riferimento (il prezzo che si forma sull’MGP) è pari o superiore ai costi variabili dell’impianto.</w:t>
      </w:r>
    </w:p>
    <w:p w14:paraId="3C8C08EF"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Se il prezzo di riferimento è superiore a quello di esercizio, la suddetta rendita marginale/</w:t>
      </w:r>
      <w:proofErr w:type="spellStart"/>
      <w:r w:rsidRPr="00E83D97">
        <w:rPr>
          <w:rFonts w:ascii="Times New Roman" w:eastAsia="Times New Roman" w:hAnsi="Times New Roman" w:cs="Times New Roman"/>
          <w:sz w:val="26"/>
          <w:szCs w:val="24"/>
          <w:lang w:eastAsia="it-IT"/>
        </w:rPr>
        <w:t>inframarginale</w:t>
      </w:r>
      <w:proofErr w:type="spellEnd"/>
      <w:r w:rsidRPr="00E83D97">
        <w:rPr>
          <w:rFonts w:ascii="Times New Roman" w:eastAsia="Times New Roman" w:hAnsi="Times New Roman" w:cs="Times New Roman"/>
          <w:sz w:val="26"/>
          <w:szCs w:val="24"/>
          <w:lang w:eastAsia="it-IT"/>
        </w:rPr>
        <w:t>, tuttavia, sarà decurtata per la quota parte pari alla differenza tra prezzo di riferimento e prezzo di esercizio.</w:t>
      </w:r>
    </w:p>
    <w:p w14:paraId="633F980E"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Ciò si spiega con la natura assicurativa del contratto, che comporta un trasferimento del rischio dell’inadeguatezza del sistema dai consumatori (tramite Terna) ai produttori, a fronte di un premio annuo fisso.</w:t>
      </w:r>
    </w:p>
    <w:p w14:paraId="19B94C1F" w14:textId="77777777" w:rsidR="00B8353A" w:rsidRPr="00E83D97" w:rsidRDefault="00B8353A" w:rsidP="00B8353A">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L’alea insita in tali tipi di contratti è proprio quella propria dell’assicurazione: assumere un impegno di disponibilità produttiva, a fronte di un premio certo e dell’eventuale e incerta restituzione di una parte della suddetta rendita, qualora si verifichi l’evento del prezzo di riferimento maggiore del prezzo di esercizio.</w:t>
      </w:r>
    </w:p>
    <w:p w14:paraId="202DC8F5" w14:textId="76F0DBF7" w:rsidR="00036D78" w:rsidRPr="00E83D97" w:rsidRDefault="00DF4E48" w:rsidP="00F43A0B">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Centrale, quindi, </w:t>
      </w:r>
      <w:r w:rsidR="00203B3F" w:rsidRPr="00E83D97">
        <w:rPr>
          <w:rFonts w:ascii="Times New Roman" w:hAnsi="Times New Roman" w:cs="Times New Roman"/>
          <w:sz w:val="26"/>
          <w:szCs w:val="26"/>
        </w:rPr>
        <w:t>è la causa aleatoria nei contratti di approvvigionamento a lungo termine</w:t>
      </w:r>
      <w:r w:rsidR="00203B3F" w:rsidRPr="00E83D97">
        <w:rPr>
          <w:rStyle w:val="Rimandonotaapidipagina"/>
          <w:rFonts w:ascii="Times New Roman" w:hAnsi="Times New Roman" w:cs="Times New Roman"/>
          <w:sz w:val="26"/>
          <w:szCs w:val="26"/>
        </w:rPr>
        <w:footnoteReference w:id="12"/>
      </w:r>
      <w:r w:rsidR="001A029B" w:rsidRPr="00E83D97">
        <w:rPr>
          <w:rFonts w:ascii="Times New Roman" w:hAnsi="Times New Roman" w:cs="Times New Roman"/>
          <w:sz w:val="26"/>
          <w:szCs w:val="26"/>
        </w:rPr>
        <w:t>: per effetto della sottoscrizione di tali contratti, il rischio di inadeguatezza del sistema è trasferito dai consumatori, per il tramite del gestore, in capo ai produttori.</w:t>
      </w:r>
    </w:p>
    <w:p w14:paraId="7F5FB19C" w14:textId="10B4CD5A" w:rsidR="006565E3" w:rsidRPr="00E83D97" w:rsidRDefault="006565E3" w:rsidP="006565E3">
      <w:pPr>
        <w:spacing w:after="0" w:line="360" w:lineRule="auto"/>
        <w:jc w:val="both"/>
        <w:rPr>
          <w:rFonts w:ascii="Times New Roman" w:hAnsi="Times New Roman"/>
          <w:sz w:val="26"/>
        </w:rPr>
      </w:pPr>
      <w:r w:rsidRPr="00E83D97">
        <w:rPr>
          <w:rFonts w:ascii="Times New Roman" w:hAnsi="Times New Roman"/>
          <w:sz w:val="26"/>
        </w:rPr>
        <w:t xml:space="preserve">Ciò </w:t>
      </w:r>
      <w:r w:rsidR="0069164B" w:rsidRPr="00E83D97">
        <w:rPr>
          <w:rFonts w:ascii="Times New Roman" w:hAnsi="Times New Roman"/>
          <w:sz w:val="26"/>
        </w:rPr>
        <w:t>è stato ben messo in evidenza dal TAR Lombardia, proprio in sede di scrutinio della deliberazione ARG/</w:t>
      </w:r>
      <w:proofErr w:type="spellStart"/>
      <w:r w:rsidR="0069164B" w:rsidRPr="00E83D97">
        <w:rPr>
          <w:rFonts w:ascii="Times New Roman" w:hAnsi="Times New Roman"/>
          <w:sz w:val="26"/>
        </w:rPr>
        <w:t>elt</w:t>
      </w:r>
      <w:proofErr w:type="spellEnd"/>
      <w:r w:rsidR="0069164B" w:rsidRPr="00E83D97">
        <w:rPr>
          <w:rFonts w:ascii="Times New Roman" w:hAnsi="Times New Roman"/>
          <w:sz w:val="26"/>
        </w:rPr>
        <w:t> 98/11 “</w:t>
      </w:r>
      <w:r w:rsidRPr="00E83D97">
        <w:rPr>
          <w:rFonts w:ascii="Times New Roman" w:hAnsi="Times New Roman"/>
          <w:i/>
          <w:sz w:val="26"/>
        </w:rPr>
        <w:t xml:space="preserve">il contratto di approvvigionamento </w:t>
      </w:r>
      <w:r w:rsidRPr="00E83D97">
        <w:rPr>
          <w:rFonts w:ascii="Times New Roman" w:hAnsi="Times New Roman"/>
          <w:i/>
          <w:sz w:val="26"/>
          <w:u w:val="single"/>
        </w:rPr>
        <w:t>si struttura come un contratto aleatorio, perché il rischio di inefficienze del sistema entra nella causa contrattuale e la caratterizza</w:t>
      </w:r>
      <w:r w:rsidRPr="00E83D97">
        <w:rPr>
          <w:rFonts w:ascii="Times New Roman" w:hAnsi="Times New Roman"/>
          <w:i/>
          <w:sz w:val="26"/>
        </w:rPr>
        <w:t xml:space="preserve">. In tale assetto regolatorio complessivo il MGP e il MSD non vengono in considerazione come luoghi dedicati a differenti tipi di transazione, ma come elementi di un’operazione unitaria, diretta a far </w:t>
      </w:r>
      <w:r w:rsidR="00821DCF" w:rsidRPr="00E83D97">
        <w:rPr>
          <w:rFonts w:ascii="Times New Roman" w:hAnsi="Times New Roman"/>
          <w:i/>
          <w:sz w:val="26"/>
        </w:rPr>
        <w:t>si</w:t>
      </w:r>
      <w:r w:rsidRPr="00E83D97">
        <w:rPr>
          <w:rFonts w:ascii="Times New Roman" w:hAnsi="Times New Roman"/>
          <w:i/>
          <w:sz w:val="26"/>
        </w:rPr>
        <w:t xml:space="preserve"> che l’operatore metta effettivamente a disposizione di Terna la capacità produttiva ed assuma il rischio di inadeguatezza della capacità produttiva complessiva.</w:t>
      </w:r>
      <w:r w:rsidRPr="00E83D97">
        <w:rPr>
          <w:rFonts w:ascii="Times New Roman" w:hAnsi="Times New Roman"/>
          <w:sz w:val="26"/>
        </w:rPr>
        <w:t>”. Infatti, l’operatore che stipula il contratto di approvvigionamento “</w:t>
      </w:r>
      <w:r w:rsidRPr="00E83D97">
        <w:rPr>
          <w:rFonts w:ascii="Times New Roman" w:hAnsi="Times New Roman"/>
          <w:i/>
          <w:sz w:val="26"/>
        </w:rPr>
        <w:t>ha la certezza di conseguire il premio da Terna, ma assume il rischio del differenziale positivo tra il prezzo di riferimento e il prezzo di esercizio previsti dal contratto per ogni MW di capacità impegnata</w:t>
      </w:r>
      <w:r w:rsidRPr="00E83D97">
        <w:rPr>
          <w:rFonts w:ascii="Times New Roman" w:hAnsi="Times New Roman"/>
          <w:sz w:val="26"/>
        </w:rPr>
        <w:t>”</w:t>
      </w:r>
      <w:r w:rsidR="00AF0624" w:rsidRPr="00E83D97">
        <w:rPr>
          <w:rFonts w:ascii="Times New Roman" w:hAnsi="Times New Roman"/>
          <w:sz w:val="26"/>
        </w:rPr>
        <w:t xml:space="preserve"> </w:t>
      </w:r>
      <w:r w:rsidRPr="00E83D97">
        <w:rPr>
          <w:rFonts w:ascii="Times New Roman" w:hAnsi="Times New Roman"/>
          <w:sz w:val="26"/>
        </w:rPr>
        <w:t>(sentenza del Tar Lombardia, Sezione Terza, 8 aprile 2013, n. 862).</w:t>
      </w:r>
    </w:p>
    <w:p w14:paraId="11337D6E" w14:textId="7070E4D0" w:rsidR="006565E3" w:rsidRPr="00E83D97" w:rsidRDefault="003D547D"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Nella decisione della Commissione europea del 7 febbraio 2018 di compatibilità del mercato italiano di capacità a termine</w:t>
      </w:r>
      <w:r w:rsidR="00EA4151" w:rsidRPr="00E83D97">
        <w:rPr>
          <w:rFonts w:ascii="Times New Roman" w:hAnsi="Times New Roman" w:cs="Times New Roman"/>
          <w:sz w:val="26"/>
          <w:szCs w:val="26"/>
        </w:rPr>
        <w:t>,</w:t>
      </w:r>
      <w:r w:rsidRPr="00E83D97">
        <w:rPr>
          <w:rFonts w:ascii="Times New Roman" w:hAnsi="Times New Roman" w:cs="Times New Roman"/>
          <w:sz w:val="26"/>
          <w:szCs w:val="26"/>
        </w:rPr>
        <w:t xml:space="preserve"> la causa aleatoria dell’intero meccanismo non viene in rilievo</w:t>
      </w:r>
      <w:r w:rsidR="00821DCF" w:rsidRPr="00E83D97">
        <w:rPr>
          <w:rFonts w:ascii="Times New Roman" w:hAnsi="Times New Roman" w:cs="Times New Roman"/>
          <w:sz w:val="26"/>
          <w:szCs w:val="26"/>
        </w:rPr>
        <w:t>. Si parla però spesso dell’“obbligo di restituzione” del produttore,</w:t>
      </w:r>
      <w:r w:rsidR="00EA4151" w:rsidRPr="00E83D97">
        <w:rPr>
          <w:rFonts w:ascii="Times New Roman" w:hAnsi="Times New Roman" w:cs="Times New Roman"/>
          <w:sz w:val="26"/>
          <w:szCs w:val="26"/>
        </w:rPr>
        <w:t xml:space="preserve"> come si vedrà meglio in seguito,</w:t>
      </w:r>
      <w:r w:rsidR="00821DCF" w:rsidRPr="00E83D97">
        <w:rPr>
          <w:rFonts w:ascii="Times New Roman" w:hAnsi="Times New Roman" w:cs="Times New Roman"/>
          <w:sz w:val="26"/>
          <w:szCs w:val="26"/>
        </w:rPr>
        <w:t xml:space="preserve"> senza evidenziarne la sinallagmaticità rispetto all’assunzione del rischio di inadeguatezza del sistema.</w:t>
      </w:r>
    </w:p>
    <w:p w14:paraId="3D020A7E" w14:textId="73811525" w:rsidR="00821DCF" w:rsidRPr="00E83D97" w:rsidRDefault="00EA4151"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Eppure, non è così facilmente deducibile dal meccanismo</w:t>
      </w:r>
      <w:r w:rsidR="00025AC4" w:rsidRPr="00E83D97">
        <w:rPr>
          <w:rFonts w:ascii="Times New Roman" w:hAnsi="Times New Roman" w:cs="Times New Roman"/>
          <w:sz w:val="26"/>
          <w:szCs w:val="26"/>
        </w:rPr>
        <w:t xml:space="preserve"> italiano</w:t>
      </w:r>
      <w:r w:rsidRPr="00E83D97">
        <w:rPr>
          <w:rFonts w:ascii="Times New Roman" w:hAnsi="Times New Roman" w:cs="Times New Roman"/>
          <w:sz w:val="26"/>
          <w:szCs w:val="26"/>
        </w:rPr>
        <w:t xml:space="preserve"> del </w:t>
      </w:r>
      <w:proofErr w:type="spellStart"/>
      <w:r w:rsidRPr="00E83D97">
        <w:rPr>
          <w:rFonts w:ascii="Times New Roman" w:hAnsi="Times New Roman" w:cs="Times New Roman"/>
          <w:i/>
          <w:sz w:val="26"/>
          <w:szCs w:val="26"/>
        </w:rPr>
        <w:t>cap</w:t>
      </w:r>
      <w:r w:rsidR="00025AC4" w:rsidRPr="00E83D97">
        <w:rPr>
          <w:rFonts w:ascii="Times New Roman" w:hAnsi="Times New Roman" w:cs="Times New Roman"/>
          <w:i/>
          <w:sz w:val="26"/>
          <w:szCs w:val="26"/>
        </w:rPr>
        <w:t>ac</w:t>
      </w:r>
      <w:r w:rsidRPr="00E83D97">
        <w:rPr>
          <w:rFonts w:ascii="Times New Roman" w:hAnsi="Times New Roman" w:cs="Times New Roman"/>
          <w:i/>
          <w:sz w:val="26"/>
          <w:szCs w:val="26"/>
        </w:rPr>
        <w:t>ity</w:t>
      </w:r>
      <w:proofErr w:type="spellEnd"/>
      <w:r w:rsidRPr="00E83D97">
        <w:rPr>
          <w:rFonts w:ascii="Times New Roman" w:hAnsi="Times New Roman" w:cs="Times New Roman"/>
          <w:i/>
          <w:sz w:val="26"/>
          <w:szCs w:val="26"/>
        </w:rPr>
        <w:t xml:space="preserve"> market</w:t>
      </w:r>
      <w:r w:rsidRPr="00E83D97">
        <w:rPr>
          <w:rFonts w:ascii="Times New Roman" w:hAnsi="Times New Roman" w:cs="Times New Roman"/>
          <w:sz w:val="26"/>
          <w:szCs w:val="26"/>
        </w:rPr>
        <w:t xml:space="preserve"> né un vantaggio economico selettivo certo, né un’idoneità a distorcere la concorrenza.</w:t>
      </w:r>
    </w:p>
    <w:p w14:paraId="3A152AB2" w14:textId="392F4B47" w:rsidR="00025AC4" w:rsidRPr="00E83D97" w:rsidRDefault="00025AC4"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Secondo la giurisprudenza della Corte</w:t>
      </w:r>
      <w:r w:rsidR="00EC116F" w:rsidRPr="00E83D97">
        <w:rPr>
          <w:rStyle w:val="Rimandonotaapidipagina"/>
          <w:rFonts w:ascii="Times New Roman" w:hAnsi="Times New Roman" w:cs="Times New Roman"/>
          <w:sz w:val="26"/>
          <w:szCs w:val="26"/>
        </w:rPr>
        <w:footnoteReference w:id="13"/>
      </w:r>
      <w:r w:rsidRPr="00E83D97">
        <w:rPr>
          <w:rFonts w:ascii="Times New Roman" w:hAnsi="Times New Roman" w:cs="Times New Roman"/>
          <w:sz w:val="26"/>
          <w:szCs w:val="26"/>
        </w:rPr>
        <w:t xml:space="preserve">, </w:t>
      </w:r>
      <w:r w:rsidR="001F668F" w:rsidRPr="00E83D97">
        <w:rPr>
          <w:rFonts w:ascii="Times New Roman" w:hAnsi="Times New Roman" w:cs="Times New Roman"/>
          <w:sz w:val="26"/>
          <w:szCs w:val="26"/>
        </w:rPr>
        <w:t>vengono considerati aiuti di Stato gli interventi che, sotto qualsiasi forma, sono atti a favorire direttamente o indirettamente determinate imprese, o che devono essere considerati un vantaggio economico che l’impresa beneficiaria non avrebbe potuto ottenere in condizioni di mercato normali</w:t>
      </w:r>
      <w:r w:rsidR="00EC116F" w:rsidRPr="00E83D97">
        <w:rPr>
          <w:rFonts w:ascii="Times New Roman" w:hAnsi="Times New Roman" w:cs="Times New Roman"/>
          <w:sz w:val="26"/>
          <w:szCs w:val="26"/>
        </w:rPr>
        <w:t>. Quando la situazione finanziaria di un’impresa migliori grazie all’intervento dello Stato, a condizioni diverse dalle normali condizioni di mercato, si è in presenza di un vantaggio.</w:t>
      </w:r>
    </w:p>
    <w:p w14:paraId="6667ABC5" w14:textId="2B9C086A" w:rsidR="00EC116F" w:rsidRPr="00E83D97" w:rsidRDefault="00EC116F"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Ciò, tuttavia, non è sufficiente ad integrare un aiuto di Stato: occorre verificare la condizione di </w:t>
      </w:r>
      <w:r w:rsidRPr="00E83D97">
        <w:rPr>
          <w:rFonts w:ascii="Times New Roman" w:hAnsi="Times New Roman" w:cs="Times New Roman"/>
          <w:i/>
          <w:sz w:val="26"/>
          <w:szCs w:val="26"/>
        </w:rPr>
        <w:t>selettività</w:t>
      </w:r>
      <w:r w:rsidR="0093427A" w:rsidRPr="00E83D97">
        <w:rPr>
          <w:rFonts w:ascii="Times New Roman" w:hAnsi="Times New Roman" w:cs="Times New Roman"/>
          <w:i/>
          <w:sz w:val="26"/>
          <w:szCs w:val="26"/>
        </w:rPr>
        <w:t xml:space="preserve"> </w:t>
      </w:r>
      <w:r w:rsidR="0093427A" w:rsidRPr="00E83D97">
        <w:rPr>
          <w:rFonts w:ascii="Times New Roman" w:hAnsi="Times New Roman" w:cs="Times New Roman"/>
          <w:sz w:val="26"/>
          <w:szCs w:val="26"/>
        </w:rPr>
        <w:t>del vantaggio economico</w:t>
      </w:r>
      <w:r w:rsidRPr="00E83D97">
        <w:rPr>
          <w:rFonts w:ascii="Times New Roman" w:hAnsi="Times New Roman" w:cs="Times New Roman"/>
          <w:sz w:val="26"/>
          <w:szCs w:val="26"/>
        </w:rPr>
        <w:t>, ovvero se, nell’ambito di un dato regime giuridico, la misura sia tale da favorire “talune imprese o produzioni”, rispetto alle altre che si trovino in una situazione fattuale analoga, tenuto conto dell’obiettivo</w:t>
      </w:r>
      <w:r w:rsidR="0093427A" w:rsidRPr="00E83D97">
        <w:rPr>
          <w:rFonts w:ascii="Times New Roman" w:hAnsi="Times New Roman" w:cs="Times New Roman"/>
          <w:sz w:val="26"/>
          <w:szCs w:val="26"/>
        </w:rPr>
        <w:t xml:space="preserve"> </w:t>
      </w:r>
      <w:r w:rsidRPr="00E83D97">
        <w:rPr>
          <w:rFonts w:ascii="Times New Roman" w:hAnsi="Times New Roman" w:cs="Times New Roman"/>
          <w:sz w:val="26"/>
          <w:szCs w:val="26"/>
        </w:rPr>
        <w:t>perseguito da detto regime e che sono quindi oggetto di un trattamento differenziato idoneo</w:t>
      </w:r>
      <w:r w:rsidR="0093427A" w:rsidRPr="00E83D97">
        <w:rPr>
          <w:rFonts w:ascii="Times New Roman" w:hAnsi="Times New Roman" w:cs="Times New Roman"/>
          <w:sz w:val="26"/>
          <w:szCs w:val="26"/>
        </w:rPr>
        <w:t xml:space="preserve"> ad essere qualificato come discriminatori</w:t>
      </w:r>
      <w:r w:rsidR="0093427A" w:rsidRPr="00E83D97">
        <w:rPr>
          <w:rStyle w:val="Rimandonotaapidipagina"/>
          <w:rFonts w:ascii="Times New Roman" w:hAnsi="Times New Roman" w:cs="Times New Roman"/>
          <w:sz w:val="26"/>
          <w:szCs w:val="26"/>
        </w:rPr>
        <w:footnoteReference w:id="14"/>
      </w:r>
      <w:r w:rsidR="0093427A" w:rsidRPr="00E83D97">
        <w:rPr>
          <w:rFonts w:ascii="Times New Roman" w:hAnsi="Times New Roman" w:cs="Times New Roman"/>
          <w:sz w:val="26"/>
          <w:szCs w:val="26"/>
        </w:rPr>
        <w:t>.</w:t>
      </w:r>
    </w:p>
    <w:p w14:paraId="1BFB9BFF" w14:textId="1A1C254B" w:rsidR="0093427A" w:rsidRPr="00E83D97" w:rsidRDefault="00763AC6"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Sulla base di tali principi, nella decisione del 7 febbraio 2018, la Commissione ha ritenuto integrata la condizione </w:t>
      </w:r>
      <w:r w:rsidR="00BE346A" w:rsidRPr="00E83D97">
        <w:rPr>
          <w:rFonts w:ascii="Times New Roman" w:hAnsi="Times New Roman" w:cs="Times New Roman"/>
          <w:sz w:val="26"/>
          <w:szCs w:val="26"/>
        </w:rPr>
        <w:t xml:space="preserve">del vantaggio </w:t>
      </w:r>
      <w:r w:rsidRPr="00E83D97">
        <w:rPr>
          <w:rFonts w:ascii="Times New Roman" w:hAnsi="Times New Roman" w:cs="Times New Roman"/>
          <w:sz w:val="26"/>
          <w:szCs w:val="26"/>
        </w:rPr>
        <w:t>economic</w:t>
      </w:r>
      <w:r w:rsidR="00BE346A" w:rsidRPr="00E83D97">
        <w:rPr>
          <w:rFonts w:ascii="Times New Roman" w:hAnsi="Times New Roman" w:cs="Times New Roman"/>
          <w:sz w:val="26"/>
          <w:szCs w:val="26"/>
        </w:rPr>
        <w:t>o</w:t>
      </w:r>
      <w:r w:rsidRPr="00E83D97">
        <w:rPr>
          <w:rFonts w:ascii="Times New Roman" w:hAnsi="Times New Roman" w:cs="Times New Roman"/>
          <w:sz w:val="26"/>
          <w:szCs w:val="26"/>
        </w:rPr>
        <w:t xml:space="preserve"> selettiv</w:t>
      </w:r>
      <w:r w:rsidR="00BE346A" w:rsidRPr="00E83D97">
        <w:rPr>
          <w:rFonts w:ascii="Times New Roman" w:hAnsi="Times New Roman" w:cs="Times New Roman"/>
          <w:sz w:val="26"/>
          <w:szCs w:val="26"/>
        </w:rPr>
        <w:t>o del mercato della capacità italiano</w:t>
      </w:r>
      <w:r w:rsidRPr="00E83D97">
        <w:rPr>
          <w:rFonts w:ascii="Times New Roman" w:hAnsi="Times New Roman" w:cs="Times New Roman"/>
          <w:sz w:val="26"/>
          <w:szCs w:val="26"/>
        </w:rPr>
        <w:t>, perché i fornitori</w:t>
      </w:r>
      <w:r w:rsidR="00BE346A" w:rsidRPr="00E83D97">
        <w:rPr>
          <w:rFonts w:ascii="Times New Roman" w:hAnsi="Times New Roman" w:cs="Times New Roman"/>
          <w:sz w:val="26"/>
          <w:szCs w:val="26"/>
        </w:rPr>
        <w:t xml:space="preserve"> </w:t>
      </w:r>
      <w:r w:rsidR="00477A9D" w:rsidRPr="00E83D97">
        <w:rPr>
          <w:rFonts w:ascii="Times New Roman" w:hAnsi="Times New Roman" w:cs="Times New Roman"/>
          <w:sz w:val="26"/>
          <w:szCs w:val="26"/>
        </w:rPr>
        <w:t>di capacità che si aggiudicano l’asta non avrebbero ricevuto i compensi erogati dal meccanismo se avessero continuato ad operare nel mercato dell’energia a condizioni normali (par.118). La misura è oltretutto selettiva perché si applica solo a taluni operatori economici, ossia i fornitori di capacità ammesse a partecipare all’asta (par.119).</w:t>
      </w:r>
    </w:p>
    <w:p w14:paraId="44CF805E" w14:textId="0B30D520" w:rsidR="00477A9D" w:rsidRPr="00E83D97" w:rsidRDefault="00477A9D"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In realtà, la presenza dell’aleatorietà</w:t>
      </w:r>
      <w:r w:rsidR="00F7755E" w:rsidRPr="00E83D97">
        <w:rPr>
          <w:rFonts w:ascii="Times New Roman" w:hAnsi="Times New Roman" w:cs="Times New Roman"/>
          <w:sz w:val="26"/>
          <w:szCs w:val="26"/>
        </w:rPr>
        <w:t xml:space="preserve">, inscindibilmente connaturata alla misura, consente di escludere che il premio percepito </w:t>
      </w:r>
      <w:r w:rsidR="0048052B" w:rsidRPr="00E83D97">
        <w:rPr>
          <w:rFonts w:ascii="Times New Roman" w:hAnsi="Times New Roman" w:cs="Times New Roman"/>
          <w:sz w:val="26"/>
          <w:szCs w:val="26"/>
        </w:rPr>
        <w:t xml:space="preserve">dai produttori </w:t>
      </w:r>
      <w:r w:rsidR="00F7755E" w:rsidRPr="00E83D97">
        <w:rPr>
          <w:rFonts w:ascii="Times New Roman" w:hAnsi="Times New Roman" w:cs="Times New Roman"/>
          <w:sz w:val="26"/>
          <w:szCs w:val="26"/>
        </w:rPr>
        <w:t>possa essere attributivo</w:t>
      </w:r>
      <w:r w:rsidR="0048052B" w:rsidRPr="00E83D97">
        <w:rPr>
          <w:rFonts w:ascii="Times New Roman" w:hAnsi="Times New Roman" w:cs="Times New Roman"/>
          <w:sz w:val="26"/>
          <w:szCs w:val="26"/>
        </w:rPr>
        <w:t>, con certezza,</w:t>
      </w:r>
      <w:r w:rsidR="00F7755E" w:rsidRPr="00E83D97">
        <w:rPr>
          <w:rFonts w:ascii="Times New Roman" w:hAnsi="Times New Roman" w:cs="Times New Roman"/>
          <w:sz w:val="26"/>
          <w:szCs w:val="26"/>
        </w:rPr>
        <w:t xml:space="preserve"> di un vantaggio economico tale da migliorare la</w:t>
      </w:r>
      <w:r w:rsidR="0048052B" w:rsidRPr="00E83D97">
        <w:rPr>
          <w:rFonts w:ascii="Times New Roman" w:hAnsi="Times New Roman" w:cs="Times New Roman"/>
          <w:sz w:val="26"/>
          <w:szCs w:val="26"/>
        </w:rPr>
        <w:t xml:space="preserve"> situazione finanziaria della società rispetto alle condizioni normali di mercato, ciò e soprattutto in considerazione della dimensione del rischio che il produttore, in cambio del premio, accetta di sopportare, il quale rischio potrebbe assumere anche dimensioni rilevanti e non preventivabili, in ragione dell’estensione dell’orizzonte temporale (pluriennale) dell’impegno assunto.</w:t>
      </w:r>
    </w:p>
    <w:p w14:paraId="6B6CE8B7" w14:textId="339028EC" w:rsidR="009C5956" w:rsidRPr="00E83D97" w:rsidRDefault="009C5956"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Il </w:t>
      </w:r>
      <w:proofErr w:type="spellStart"/>
      <w:r w:rsidRPr="00E83D97">
        <w:rPr>
          <w:rFonts w:ascii="Times New Roman" w:hAnsi="Times New Roman" w:cs="Times New Roman"/>
          <w:i/>
          <w:sz w:val="26"/>
          <w:szCs w:val="26"/>
        </w:rPr>
        <w:t>capacity</w:t>
      </w:r>
      <w:proofErr w:type="spellEnd"/>
      <w:r w:rsidRPr="00E83D97">
        <w:rPr>
          <w:rFonts w:ascii="Times New Roman" w:hAnsi="Times New Roman" w:cs="Times New Roman"/>
          <w:i/>
          <w:sz w:val="26"/>
          <w:szCs w:val="26"/>
        </w:rPr>
        <w:t xml:space="preserve"> market</w:t>
      </w:r>
      <w:r w:rsidRPr="00E83D97">
        <w:rPr>
          <w:rFonts w:ascii="Times New Roman" w:hAnsi="Times New Roman" w:cs="Times New Roman"/>
          <w:sz w:val="26"/>
          <w:szCs w:val="26"/>
        </w:rPr>
        <w:t xml:space="preserve"> italiano, come visto sopra, persegue non solo l’interesse dell’adeguatezza della capacità produttiva,</w:t>
      </w:r>
      <w:r w:rsidR="005E7843" w:rsidRPr="00E83D97">
        <w:rPr>
          <w:rFonts w:ascii="Times New Roman" w:hAnsi="Times New Roman" w:cs="Times New Roman"/>
          <w:sz w:val="26"/>
          <w:szCs w:val="26"/>
        </w:rPr>
        <w:t xml:space="preserve"> ma anche quello di minimizzare gli oneri per i consumatori finali, addossando il rischio economico che si presenta nelle ipotesi di scarsità della offerta, in capo al produttore che partecipa al mercato della capacità.</w:t>
      </w:r>
    </w:p>
    <w:p w14:paraId="3C7EC3EB" w14:textId="13681FD9" w:rsidR="005E7843" w:rsidRPr="00E83D97" w:rsidRDefault="005E7843"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Se da</w:t>
      </w:r>
      <w:r w:rsidR="00F76BFD" w:rsidRPr="00E83D97">
        <w:rPr>
          <w:rFonts w:ascii="Times New Roman" w:hAnsi="Times New Roman" w:cs="Times New Roman"/>
          <w:sz w:val="26"/>
          <w:szCs w:val="26"/>
        </w:rPr>
        <w:t>vvero bastasse il solo beneficio economico rappresentato dal premio</w:t>
      </w:r>
      <w:r w:rsidR="00482D0A" w:rsidRPr="00E83D97">
        <w:rPr>
          <w:rFonts w:ascii="Times New Roman" w:hAnsi="Times New Roman" w:cs="Times New Roman"/>
          <w:sz w:val="26"/>
          <w:szCs w:val="26"/>
        </w:rPr>
        <w:t xml:space="preserve"> a rappresentare un’alterazione migliorativa della posizione economica del produttore, </w:t>
      </w:r>
      <w:r w:rsidR="009B3F23" w:rsidRPr="00E83D97">
        <w:rPr>
          <w:rFonts w:ascii="Times New Roman" w:hAnsi="Times New Roman" w:cs="Times New Roman"/>
          <w:sz w:val="26"/>
          <w:szCs w:val="26"/>
        </w:rPr>
        <w:t xml:space="preserve">senza tenere in alcun conto della sinallagmaticità delle prestazioni, </w:t>
      </w:r>
      <w:r w:rsidR="00482D0A" w:rsidRPr="00E83D97">
        <w:rPr>
          <w:rFonts w:ascii="Times New Roman" w:hAnsi="Times New Roman" w:cs="Times New Roman"/>
          <w:sz w:val="26"/>
          <w:szCs w:val="26"/>
        </w:rPr>
        <w:t>allora l’intero mercato dei servizi di dispacciamento (MSD)</w:t>
      </w:r>
      <w:r w:rsidR="009B3F23" w:rsidRPr="00E83D97">
        <w:rPr>
          <w:rFonts w:ascii="Times New Roman" w:hAnsi="Times New Roman" w:cs="Times New Roman"/>
          <w:sz w:val="26"/>
          <w:szCs w:val="26"/>
        </w:rPr>
        <w:t xml:space="preserve"> (per molti versi il più affine al mercato della capacità a termine)</w:t>
      </w:r>
      <w:r w:rsidR="00482D0A" w:rsidRPr="00E83D97">
        <w:rPr>
          <w:rFonts w:ascii="Times New Roman" w:hAnsi="Times New Roman" w:cs="Times New Roman"/>
          <w:sz w:val="26"/>
          <w:szCs w:val="26"/>
        </w:rPr>
        <w:t xml:space="preserve">, ove il gestore della rete </w:t>
      </w:r>
      <w:r w:rsidR="009B3F23" w:rsidRPr="00E83D97">
        <w:rPr>
          <w:rFonts w:ascii="Times New Roman" w:hAnsi="Times New Roman" w:cs="Times New Roman"/>
          <w:sz w:val="26"/>
          <w:szCs w:val="26"/>
        </w:rPr>
        <w:t>si</w:t>
      </w:r>
      <w:r w:rsidR="00482D0A" w:rsidRPr="00E83D97">
        <w:rPr>
          <w:rFonts w:ascii="Times New Roman" w:hAnsi="Times New Roman" w:cs="Times New Roman"/>
          <w:sz w:val="26"/>
          <w:szCs w:val="26"/>
        </w:rPr>
        <w:t xml:space="preserve"> approvvigiona in tempo reale per la sicurezza del sistema, </w:t>
      </w:r>
      <w:r w:rsidR="00005B25" w:rsidRPr="00E83D97">
        <w:rPr>
          <w:rFonts w:ascii="Times New Roman" w:hAnsi="Times New Roman" w:cs="Times New Roman"/>
          <w:sz w:val="26"/>
          <w:szCs w:val="26"/>
        </w:rPr>
        <w:t>mercato</w:t>
      </w:r>
      <w:r w:rsidR="009B3F23" w:rsidRPr="00E83D97">
        <w:rPr>
          <w:rFonts w:ascii="Times New Roman" w:hAnsi="Times New Roman" w:cs="Times New Roman"/>
          <w:sz w:val="26"/>
          <w:szCs w:val="26"/>
        </w:rPr>
        <w:t>, tra altro, cui partecipano solo produttori abilitati e i cui oneri sono finaziati attraverso un corrispettivo tariffario, sarebbe per ciò solo una misura sufficiente ad integrare un sistematico aiuto di Stato.</w:t>
      </w:r>
    </w:p>
    <w:p w14:paraId="0C42306E" w14:textId="67C730CA" w:rsidR="0088089F" w:rsidRPr="00E83D97" w:rsidRDefault="00005B25" w:rsidP="0088089F">
      <w:pPr>
        <w:spacing w:after="0" w:line="360" w:lineRule="auto"/>
        <w:jc w:val="both"/>
        <w:rPr>
          <w:rFonts w:ascii="Times New Roman" w:eastAsia="Times New Roman" w:hAnsi="Times New Roman" w:cs="Times New Roman"/>
          <w:sz w:val="26"/>
          <w:szCs w:val="24"/>
          <w:lang w:eastAsia="it-IT"/>
        </w:rPr>
      </w:pPr>
      <w:r w:rsidRPr="00E83D97">
        <w:rPr>
          <w:rFonts w:ascii="Times New Roman" w:hAnsi="Times New Roman" w:cs="Times New Roman"/>
          <w:sz w:val="26"/>
          <w:szCs w:val="26"/>
        </w:rPr>
        <w:t xml:space="preserve">Anche la selettività della misura potrebbe discutersi. Le procedure di asta sono aperte a tutte le capacità produttive: la stessa Commissione ai par. 163-169 lo riconosce: tutti i produttori possono partecipare al meccanismo, indipendentemente dalla tecnologia utilizzata per produrre energia elettrica. In presenza di asimmetrie informative, </w:t>
      </w:r>
      <w:r w:rsidR="0088089F" w:rsidRPr="00E83D97">
        <w:rPr>
          <w:rFonts w:ascii="Times New Roman" w:hAnsi="Times New Roman" w:cs="Times New Roman"/>
          <w:sz w:val="26"/>
          <w:szCs w:val="26"/>
        </w:rPr>
        <w:t xml:space="preserve">la selezione tramite </w:t>
      </w:r>
      <w:r w:rsidRPr="00E83D97">
        <w:rPr>
          <w:rFonts w:ascii="Times New Roman" w:hAnsi="Times New Roman" w:cs="Times New Roman"/>
          <w:sz w:val="26"/>
          <w:szCs w:val="26"/>
        </w:rPr>
        <w:t>procedure concorsuali</w:t>
      </w:r>
      <w:r w:rsidR="0088089F" w:rsidRPr="00E83D97">
        <w:rPr>
          <w:rFonts w:ascii="Times New Roman" w:hAnsi="Times New Roman" w:cs="Times New Roman"/>
          <w:sz w:val="26"/>
          <w:szCs w:val="26"/>
        </w:rPr>
        <w:t>, secondo i criteri di merito economico,</w:t>
      </w:r>
      <w:r w:rsidRPr="00E83D97">
        <w:rPr>
          <w:rFonts w:ascii="Times New Roman" w:hAnsi="Times New Roman" w:cs="Times New Roman"/>
          <w:sz w:val="26"/>
          <w:szCs w:val="26"/>
        </w:rPr>
        <w:t xml:space="preserve"> non ha una funzione escludente, </w:t>
      </w:r>
      <w:r w:rsidR="0088089F" w:rsidRPr="00E83D97">
        <w:rPr>
          <w:rFonts w:ascii="Times New Roman" w:hAnsi="Times New Roman" w:cs="Times New Roman"/>
          <w:sz w:val="26"/>
          <w:szCs w:val="26"/>
        </w:rPr>
        <w:t xml:space="preserve">ma di realizzare un meccanismo concorrenziale per il mercato. </w:t>
      </w:r>
      <w:r w:rsidR="0088089F" w:rsidRPr="00E83D97">
        <w:rPr>
          <w:rFonts w:ascii="Times New Roman" w:eastAsia="Times New Roman" w:hAnsi="Times New Roman" w:cs="Times New Roman"/>
          <w:sz w:val="26"/>
          <w:szCs w:val="24"/>
          <w:lang w:eastAsia="it-IT"/>
        </w:rPr>
        <w:t>Ai sensi dell’art. 12 della deliberazione ARG/</w:t>
      </w:r>
      <w:proofErr w:type="spellStart"/>
      <w:r w:rsidR="0088089F" w:rsidRPr="00E83D97">
        <w:rPr>
          <w:rFonts w:ascii="Times New Roman" w:eastAsia="Times New Roman" w:hAnsi="Times New Roman" w:cs="Times New Roman"/>
          <w:sz w:val="26"/>
          <w:szCs w:val="24"/>
          <w:lang w:eastAsia="it-IT"/>
        </w:rPr>
        <w:t>elt</w:t>
      </w:r>
      <w:proofErr w:type="spellEnd"/>
      <w:r w:rsidR="0088089F" w:rsidRPr="00E83D97">
        <w:rPr>
          <w:rFonts w:ascii="Times New Roman" w:eastAsia="Times New Roman" w:hAnsi="Times New Roman" w:cs="Times New Roman"/>
          <w:sz w:val="26"/>
          <w:szCs w:val="24"/>
          <w:lang w:eastAsia="it-IT"/>
        </w:rPr>
        <w:t xml:space="preserve"> 98/11, il premio è determinato dalle procedure di gara, all’interno di un valore massimo e di un valore minimo fissati dall’Autorità. Il valore del premio, quindi, sarà determinato in relazione alle offerte dei partecipanti alle procedure concorsuali. </w:t>
      </w:r>
    </w:p>
    <w:p w14:paraId="115AB021" w14:textId="390C89A8" w:rsidR="0088089F" w:rsidRPr="00E83D97" w:rsidRDefault="00B3721E" w:rsidP="0088089F">
      <w:pPr>
        <w:spacing w:after="0" w:line="360" w:lineRule="auto"/>
        <w:jc w:val="both"/>
        <w:rPr>
          <w:rFonts w:ascii="Times New Roman" w:eastAsia="Times New Roman" w:hAnsi="Times New Roman" w:cs="Times New Roman"/>
          <w:sz w:val="26"/>
          <w:szCs w:val="24"/>
          <w:lang w:eastAsia="it-IT"/>
        </w:rPr>
      </w:pPr>
      <w:r w:rsidRPr="00E83D97">
        <w:rPr>
          <w:rFonts w:ascii="Times New Roman" w:eastAsia="Times New Roman" w:hAnsi="Times New Roman" w:cs="Times New Roman"/>
          <w:sz w:val="26"/>
          <w:szCs w:val="24"/>
          <w:lang w:eastAsia="it-IT"/>
        </w:rPr>
        <w:t>Occorre, infine, riflettere sul fatto che i produttori che aderiscono al mercato della capacità assumono il rischio di inadeguatezza del sistema ordinariamente posto a carico</w:t>
      </w:r>
      <w:r w:rsidR="00474A63" w:rsidRPr="00E83D97">
        <w:rPr>
          <w:rFonts w:ascii="Times New Roman" w:eastAsia="Times New Roman" w:hAnsi="Times New Roman" w:cs="Times New Roman"/>
          <w:sz w:val="26"/>
          <w:szCs w:val="24"/>
          <w:lang w:eastAsia="it-IT"/>
        </w:rPr>
        <w:t xml:space="preserve"> di </w:t>
      </w:r>
      <w:r w:rsidRPr="00E83D97">
        <w:rPr>
          <w:rFonts w:ascii="Times New Roman" w:eastAsia="Times New Roman" w:hAnsi="Times New Roman" w:cs="Times New Roman"/>
          <w:sz w:val="26"/>
          <w:szCs w:val="24"/>
          <w:lang w:eastAsia="it-IT"/>
        </w:rPr>
        <w:t xml:space="preserve">Terna e dei consumatori, partecipando, in tal modo, del perseguimento di un interesse pubblico generale meritevole di tutela, quale è quello </w:t>
      </w:r>
      <w:r w:rsidR="00845AF7" w:rsidRPr="00E83D97">
        <w:rPr>
          <w:rFonts w:ascii="Times New Roman" w:eastAsia="Times New Roman" w:hAnsi="Times New Roman" w:cs="Times New Roman"/>
          <w:sz w:val="26"/>
          <w:szCs w:val="24"/>
          <w:lang w:eastAsia="it-IT"/>
        </w:rPr>
        <w:t>al mantenimento de</w:t>
      </w:r>
      <w:r w:rsidRPr="00E83D97">
        <w:rPr>
          <w:rFonts w:ascii="Times New Roman" w:eastAsia="Times New Roman" w:hAnsi="Times New Roman" w:cs="Times New Roman"/>
          <w:sz w:val="26"/>
          <w:szCs w:val="24"/>
          <w:lang w:eastAsia="it-IT"/>
        </w:rPr>
        <w:t>lla sicurezza del sistema</w:t>
      </w:r>
      <w:r w:rsidRPr="00E83D97">
        <w:rPr>
          <w:rStyle w:val="Rimandonotaapidipagina"/>
          <w:rFonts w:ascii="Times New Roman" w:eastAsia="Times New Roman" w:hAnsi="Times New Roman" w:cs="Times New Roman"/>
          <w:sz w:val="26"/>
          <w:szCs w:val="24"/>
          <w:lang w:eastAsia="it-IT"/>
        </w:rPr>
        <w:footnoteReference w:id="15"/>
      </w:r>
      <w:r w:rsidR="00845AF7" w:rsidRPr="00E83D97">
        <w:rPr>
          <w:rFonts w:ascii="Times New Roman" w:eastAsia="Times New Roman" w:hAnsi="Times New Roman" w:cs="Times New Roman"/>
          <w:sz w:val="26"/>
          <w:szCs w:val="24"/>
          <w:lang w:eastAsia="it-IT"/>
        </w:rPr>
        <w:t xml:space="preserve"> (l’adeguatezza del sistema </w:t>
      </w:r>
      <w:r w:rsidRPr="00E83D97">
        <w:rPr>
          <w:rFonts w:ascii="Times New Roman" w:eastAsia="Times New Roman" w:hAnsi="Times New Roman" w:cs="Times New Roman"/>
          <w:sz w:val="26"/>
          <w:szCs w:val="24"/>
          <w:lang w:eastAsia="it-IT"/>
        </w:rPr>
        <w:t xml:space="preserve">pure </w:t>
      </w:r>
      <w:r w:rsidR="00845AF7" w:rsidRPr="00E83D97">
        <w:rPr>
          <w:rFonts w:ascii="Times New Roman" w:eastAsia="Times New Roman" w:hAnsi="Times New Roman" w:cs="Times New Roman"/>
          <w:sz w:val="26"/>
          <w:szCs w:val="24"/>
          <w:lang w:eastAsia="it-IT"/>
        </w:rPr>
        <w:t xml:space="preserve">è </w:t>
      </w:r>
      <w:r w:rsidRPr="00E83D97">
        <w:rPr>
          <w:rFonts w:ascii="Times New Roman" w:eastAsia="Times New Roman" w:hAnsi="Times New Roman" w:cs="Times New Roman"/>
          <w:sz w:val="26"/>
          <w:szCs w:val="24"/>
          <w:lang w:eastAsia="it-IT"/>
        </w:rPr>
        <w:t>definit</w:t>
      </w:r>
      <w:r w:rsidR="00845AF7" w:rsidRPr="00E83D97">
        <w:rPr>
          <w:rFonts w:ascii="Times New Roman" w:eastAsia="Times New Roman" w:hAnsi="Times New Roman" w:cs="Times New Roman"/>
          <w:sz w:val="26"/>
          <w:szCs w:val="24"/>
          <w:lang w:eastAsia="it-IT"/>
        </w:rPr>
        <w:t>a</w:t>
      </w:r>
      <w:r w:rsidRPr="00E83D97">
        <w:rPr>
          <w:rFonts w:ascii="Times New Roman" w:eastAsia="Times New Roman" w:hAnsi="Times New Roman" w:cs="Times New Roman"/>
          <w:sz w:val="26"/>
          <w:szCs w:val="24"/>
          <w:lang w:eastAsia="it-IT"/>
        </w:rPr>
        <w:t xml:space="preserve"> dalla Commissione, nella decisione in esame, obiettivo di interesse comun</w:t>
      </w:r>
      <w:r w:rsidR="00845AF7" w:rsidRPr="00E83D97">
        <w:rPr>
          <w:rFonts w:ascii="Times New Roman" w:eastAsia="Times New Roman" w:hAnsi="Times New Roman" w:cs="Times New Roman"/>
          <w:sz w:val="26"/>
          <w:szCs w:val="24"/>
          <w:lang w:eastAsia="it-IT"/>
        </w:rPr>
        <w:t>e, ai parr.129-138)</w:t>
      </w:r>
      <w:r w:rsidRPr="00E83D97">
        <w:rPr>
          <w:rFonts w:ascii="Times New Roman" w:eastAsia="Times New Roman" w:hAnsi="Times New Roman" w:cs="Times New Roman"/>
          <w:sz w:val="26"/>
          <w:szCs w:val="24"/>
          <w:lang w:eastAsia="it-IT"/>
        </w:rPr>
        <w:t>.</w:t>
      </w:r>
    </w:p>
    <w:p w14:paraId="6F243AFB" w14:textId="0938852C" w:rsidR="0048052B" w:rsidRPr="00E83D97" w:rsidRDefault="00845AF7"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Secondo la giurisprudenza della Corte</w:t>
      </w:r>
      <w:r w:rsidRPr="00E83D97">
        <w:rPr>
          <w:rStyle w:val="Rimandonotaapidipagina"/>
          <w:rFonts w:ascii="Times New Roman" w:hAnsi="Times New Roman" w:cs="Times New Roman"/>
          <w:sz w:val="26"/>
          <w:szCs w:val="26"/>
        </w:rPr>
        <w:footnoteReference w:id="16"/>
      </w:r>
      <w:r w:rsidRPr="00E83D97">
        <w:rPr>
          <w:rFonts w:ascii="Times New Roman" w:hAnsi="Times New Roman" w:cs="Times New Roman"/>
          <w:sz w:val="26"/>
          <w:szCs w:val="26"/>
        </w:rPr>
        <w:t xml:space="preserve">, la sola fattispecie riconosciuta in cui la constatazione della concessione di un vantaggio economico non comporta la qualifica della misura in discussione di aiuto di Stato ai sensi dell’articolo 107, paragrafo 1, TFUE è quello di un intervento statale che costituisce il corrispettivo delle prestazioni effettuate dalle imprese incaricate di un servizio di interesse economico generale per svolgere obblighi di servizio pubblico, secondo i criteri elaborati dalla sentenza del 24 luglio 2003, </w:t>
      </w:r>
      <w:proofErr w:type="spellStart"/>
      <w:r w:rsidRPr="00E83D97">
        <w:rPr>
          <w:rFonts w:ascii="Times New Roman" w:hAnsi="Times New Roman" w:cs="Times New Roman"/>
          <w:sz w:val="26"/>
          <w:szCs w:val="26"/>
        </w:rPr>
        <w:t>Altmark</w:t>
      </w:r>
      <w:proofErr w:type="spellEnd"/>
      <w:r w:rsidRPr="00E83D97">
        <w:rPr>
          <w:rFonts w:ascii="Times New Roman" w:hAnsi="Times New Roman" w:cs="Times New Roman"/>
          <w:sz w:val="26"/>
          <w:szCs w:val="26"/>
        </w:rPr>
        <w:t xml:space="preserve"> Trans e </w:t>
      </w:r>
      <w:proofErr w:type="spellStart"/>
      <w:r w:rsidRPr="00E83D97">
        <w:rPr>
          <w:rFonts w:ascii="Times New Roman" w:hAnsi="Times New Roman" w:cs="Times New Roman"/>
          <w:sz w:val="26"/>
          <w:szCs w:val="26"/>
        </w:rPr>
        <w:t>Regierungspräsidium</w:t>
      </w:r>
      <w:proofErr w:type="spellEnd"/>
      <w:r w:rsidRPr="00E83D97">
        <w:rPr>
          <w:rFonts w:ascii="Times New Roman" w:hAnsi="Times New Roman" w:cs="Times New Roman"/>
          <w:sz w:val="26"/>
          <w:szCs w:val="26"/>
        </w:rPr>
        <w:t xml:space="preserve"> Magdeburg (C‑280/00, EU:C:2003:415). Orbene, nel caso di specie il premio previsto dal </w:t>
      </w:r>
      <w:proofErr w:type="spellStart"/>
      <w:r w:rsidRPr="00E83D97">
        <w:rPr>
          <w:rFonts w:ascii="Times New Roman" w:hAnsi="Times New Roman" w:cs="Times New Roman"/>
          <w:i/>
          <w:sz w:val="26"/>
          <w:szCs w:val="26"/>
        </w:rPr>
        <w:t>capacity</w:t>
      </w:r>
      <w:proofErr w:type="spellEnd"/>
      <w:r w:rsidRPr="00E83D97">
        <w:rPr>
          <w:rFonts w:ascii="Times New Roman" w:hAnsi="Times New Roman" w:cs="Times New Roman"/>
          <w:i/>
          <w:sz w:val="26"/>
          <w:szCs w:val="26"/>
        </w:rPr>
        <w:t xml:space="preserve"> market</w:t>
      </w:r>
      <w:r w:rsidRPr="00E83D97">
        <w:rPr>
          <w:rFonts w:ascii="Times New Roman" w:hAnsi="Times New Roman" w:cs="Times New Roman"/>
          <w:sz w:val="26"/>
          <w:szCs w:val="26"/>
        </w:rPr>
        <w:t xml:space="preserve"> italiano rappresenta una compensazione per l’assunzione da parte dei produttori di un rischio, quello dell’inadeguatezza del sistema, che per portata e rilevanza pubblica generale è ordinariamente assunto dal gestore del servizio pubblico di trasmissione </w:t>
      </w:r>
      <w:r w:rsidR="00322BC4" w:rsidRPr="00E83D97">
        <w:rPr>
          <w:rFonts w:ascii="Times New Roman" w:hAnsi="Times New Roman" w:cs="Times New Roman"/>
          <w:sz w:val="26"/>
          <w:szCs w:val="26"/>
        </w:rPr>
        <w:t>elettrica e, per il suo tramite, dalla collettività</w:t>
      </w:r>
      <w:r w:rsidRPr="00E83D97">
        <w:rPr>
          <w:rFonts w:ascii="Times New Roman" w:hAnsi="Times New Roman" w:cs="Times New Roman"/>
          <w:sz w:val="26"/>
          <w:szCs w:val="26"/>
        </w:rPr>
        <w:t xml:space="preserve">. Anche sotto tale aspetto, quindi, può discutersi che il premio possa davvero configurare un vantaggio economico selettivo, rilevanti ai fini della </w:t>
      </w:r>
      <w:r w:rsidR="00322BC4" w:rsidRPr="00E83D97">
        <w:rPr>
          <w:rFonts w:ascii="Times New Roman" w:hAnsi="Times New Roman" w:cs="Times New Roman"/>
          <w:sz w:val="26"/>
          <w:szCs w:val="26"/>
        </w:rPr>
        <w:t>qualificazione</w:t>
      </w:r>
      <w:r w:rsidRPr="00E83D97">
        <w:rPr>
          <w:rFonts w:ascii="Times New Roman" w:hAnsi="Times New Roman" w:cs="Times New Roman"/>
          <w:sz w:val="26"/>
          <w:szCs w:val="26"/>
        </w:rPr>
        <w:t xml:space="preserve"> della misura come aiuto.</w:t>
      </w:r>
    </w:p>
    <w:p w14:paraId="0703AC1E" w14:textId="5EAE4964" w:rsidR="00845AF7" w:rsidRPr="00E83D97" w:rsidRDefault="00322BC4"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Per quanto riguarda poi la distorsione della concorrenza, la decisione della Commissione sulla misura italiana afferma integrato tale presupposto, sulla base del fatto che creare un flusso di entrate separato e garantire un certo volume di investimenti sono </w:t>
      </w:r>
      <w:r w:rsidR="00474A63" w:rsidRPr="00E83D97">
        <w:rPr>
          <w:rFonts w:ascii="Times New Roman" w:hAnsi="Times New Roman" w:cs="Times New Roman"/>
          <w:sz w:val="26"/>
          <w:szCs w:val="26"/>
        </w:rPr>
        <w:t>d</w:t>
      </w:r>
      <w:r w:rsidRPr="00E83D97">
        <w:rPr>
          <w:rFonts w:ascii="Times New Roman" w:hAnsi="Times New Roman" w:cs="Times New Roman"/>
          <w:sz w:val="26"/>
          <w:szCs w:val="26"/>
        </w:rPr>
        <w:t>ue fattori che possono influenzare i prezzi dell’elettricità (</w:t>
      </w:r>
      <w:proofErr w:type="spellStart"/>
      <w:r w:rsidRPr="00E83D97">
        <w:rPr>
          <w:rFonts w:ascii="Times New Roman" w:hAnsi="Times New Roman" w:cs="Times New Roman"/>
          <w:sz w:val="26"/>
          <w:szCs w:val="26"/>
        </w:rPr>
        <w:t>parr</w:t>
      </w:r>
      <w:proofErr w:type="spellEnd"/>
      <w:r w:rsidRPr="00E83D97">
        <w:rPr>
          <w:rFonts w:ascii="Times New Roman" w:hAnsi="Times New Roman" w:cs="Times New Roman"/>
          <w:sz w:val="26"/>
          <w:szCs w:val="26"/>
        </w:rPr>
        <w:t>. 121-122).</w:t>
      </w:r>
    </w:p>
    <w:p w14:paraId="02809CE8" w14:textId="098E5AE4" w:rsidR="0088089F" w:rsidRPr="00E83D97" w:rsidRDefault="00322BC4"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Secondo la giurisprudenza della Corte</w:t>
      </w:r>
      <w:r w:rsidRPr="00E83D97">
        <w:rPr>
          <w:rStyle w:val="Rimandonotaapidipagina"/>
          <w:rFonts w:ascii="Times New Roman" w:hAnsi="Times New Roman" w:cs="Times New Roman"/>
          <w:sz w:val="26"/>
          <w:szCs w:val="26"/>
        </w:rPr>
        <w:footnoteReference w:id="17"/>
      </w:r>
      <w:r w:rsidRPr="00E83D97">
        <w:rPr>
          <w:rFonts w:ascii="Times New Roman" w:hAnsi="Times New Roman" w:cs="Times New Roman"/>
          <w:sz w:val="26"/>
          <w:szCs w:val="26"/>
        </w:rPr>
        <w:t xml:space="preserve">, si ha pregiudizio della concorrenza quando una misura concessa dallo Stato è in grado di migliorare la posizione concorrenziale del beneficiario nei confronti delle imprese concorrenti. In particolare, allorché un aiuto concesso da uno Stato membro rafforza la posizione di alcune imprese rispetto a quelle di altre imprese concorrenti negli scambi tra gli Stati membri, tali scambi debbono ritenersi influenzati dall’aiuto e non è necessario che le imprese beneficiarie partecipino direttamente agli scambi tra gli Stati membri. </w:t>
      </w:r>
    </w:p>
    <w:p w14:paraId="34094B83" w14:textId="6AF3C732" w:rsidR="00AB0862" w:rsidRPr="00E83D97" w:rsidRDefault="00AB0862" w:rsidP="006565E3">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In verità, si può seriamente dubitare che i produttori che partecipano al mercato della capacità si trovino in una posizione migliorativa rispetto ai concorrenti, tale da influenzare gli scambi del mercato dell’energia.</w:t>
      </w:r>
    </w:p>
    <w:p w14:paraId="63D4A6B7" w14:textId="2F214BA5" w:rsidR="00AB0862" w:rsidRPr="00E83D97" w:rsidRDefault="00AB0862" w:rsidP="00AB0862">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Gli impegni assunti con tali contratti non interferiscono con gli esiti concorrenziali dei mercati all’ingrosso, in quanto lo stesso meccanismo del </w:t>
      </w:r>
      <w:proofErr w:type="spellStart"/>
      <w:r w:rsidRPr="00E83D97">
        <w:rPr>
          <w:rFonts w:ascii="Times New Roman" w:hAnsi="Times New Roman" w:cs="Times New Roman"/>
          <w:i/>
          <w:sz w:val="26"/>
          <w:szCs w:val="26"/>
        </w:rPr>
        <w:t>cap</w:t>
      </w:r>
      <w:r w:rsidR="00474A63" w:rsidRPr="00E83D97">
        <w:rPr>
          <w:rFonts w:ascii="Times New Roman" w:hAnsi="Times New Roman" w:cs="Times New Roman"/>
          <w:i/>
          <w:sz w:val="26"/>
          <w:szCs w:val="26"/>
        </w:rPr>
        <w:t>a</w:t>
      </w:r>
      <w:r w:rsidRPr="00E83D97">
        <w:rPr>
          <w:rFonts w:ascii="Times New Roman" w:hAnsi="Times New Roman" w:cs="Times New Roman"/>
          <w:i/>
          <w:sz w:val="26"/>
          <w:szCs w:val="26"/>
        </w:rPr>
        <w:t>city</w:t>
      </w:r>
      <w:proofErr w:type="spellEnd"/>
      <w:r w:rsidRPr="00E83D97">
        <w:rPr>
          <w:rFonts w:ascii="Times New Roman" w:hAnsi="Times New Roman" w:cs="Times New Roman"/>
          <w:i/>
          <w:sz w:val="26"/>
          <w:szCs w:val="26"/>
        </w:rPr>
        <w:t xml:space="preserve"> market</w:t>
      </w:r>
      <w:r w:rsidRPr="00E83D97">
        <w:rPr>
          <w:rFonts w:ascii="Times New Roman" w:hAnsi="Times New Roman" w:cs="Times New Roman"/>
          <w:sz w:val="26"/>
          <w:szCs w:val="26"/>
        </w:rPr>
        <w:t xml:space="preserve"> è improntato a logiche concorrenziali e i produttori contraenti operano sui mercati dell’energia (MGP e MSD) al pari di qualunque altro operatore. In tutte le ipotesi in cui il prezzo di esercizio è superiore a quello di mercato, e sono quelle ordinarie, i produttori contraenti, infatti, soggiaceranno alle regole del mercato e guadagneranno la propria rendita se il prezzo che si forma è remunerativo per la propria offerta (secondo le regole dell’economia, si presuppone che l’operatore ragionevole presenti offerte pari o superiori ai propri costi variabili).</w:t>
      </w:r>
    </w:p>
    <w:p w14:paraId="252DBECE" w14:textId="35B8E6DA" w:rsidR="00AB0862" w:rsidRPr="00E83D97" w:rsidRDefault="00AB0862" w:rsidP="00AB0862">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Nella sola ipotesi in cui si verifichi l’evento assicurato, in forza del vincolo liberamente contratto con Terna, la suddetta rendita sarà decurtata della quota parte pari alla differenza tra prezzo di riferimento e prezzo di esercizio.</w:t>
      </w:r>
    </w:p>
    <w:p w14:paraId="4EE00A82" w14:textId="77777777" w:rsidR="00E42A05" w:rsidRPr="00E83D97" w:rsidRDefault="00E42A05" w:rsidP="00E42A05">
      <w:pPr>
        <w:spacing w:after="0" w:line="360" w:lineRule="auto"/>
        <w:jc w:val="both"/>
        <w:rPr>
          <w:rFonts w:ascii="Times New Roman" w:hAnsi="Times New Roman" w:cs="Times New Roman"/>
          <w:bCs/>
          <w:sz w:val="26"/>
        </w:rPr>
      </w:pPr>
      <w:r w:rsidRPr="00E83D97">
        <w:rPr>
          <w:rFonts w:ascii="Times New Roman" w:hAnsi="Times New Roman" w:cs="Times New Roman"/>
          <w:bCs/>
          <w:sz w:val="26"/>
        </w:rPr>
        <w:t>Pertanto, non si vede come il prezzo di esercizio interferisca con l’andamento del mercato o con la presentazione delle offerte su MGP e su MSD, in quanto influisce esclusivamente nell’ambito del rapporto negoziale, di stampo assicurativo, tra Terna e i singoli operatori, al solo fine di determinare il verificarsi dell’evento assicurato.</w:t>
      </w:r>
    </w:p>
    <w:p w14:paraId="0400078E" w14:textId="1405455C" w:rsidR="00E42A05" w:rsidRPr="00E83D97" w:rsidRDefault="00E42A05" w:rsidP="00E42A05">
      <w:pPr>
        <w:spacing w:after="0" w:line="360" w:lineRule="auto"/>
        <w:jc w:val="both"/>
        <w:rPr>
          <w:rFonts w:ascii="Times New Roman" w:hAnsi="Times New Roman" w:cs="Times New Roman"/>
          <w:bCs/>
          <w:sz w:val="26"/>
        </w:rPr>
      </w:pPr>
      <w:r w:rsidRPr="00E83D97">
        <w:rPr>
          <w:rFonts w:ascii="Times New Roman" w:hAnsi="Times New Roman" w:cs="Times New Roman"/>
          <w:bCs/>
          <w:sz w:val="26"/>
        </w:rPr>
        <w:t xml:space="preserve">Peraltro, il prezzo di esercizio non sarebbe neppure configurabile propriamente come </w:t>
      </w:r>
      <w:proofErr w:type="spellStart"/>
      <w:r w:rsidRPr="00E83D97">
        <w:rPr>
          <w:rFonts w:ascii="Times New Roman" w:hAnsi="Times New Roman" w:cs="Times New Roman"/>
          <w:bCs/>
          <w:i/>
          <w:sz w:val="26"/>
        </w:rPr>
        <w:t>cap</w:t>
      </w:r>
      <w:proofErr w:type="spellEnd"/>
      <w:r w:rsidRPr="00E83D97">
        <w:rPr>
          <w:rFonts w:ascii="Times New Roman" w:hAnsi="Times New Roman" w:cs="Times New Roman"/>
          <w:bCs/>
          <w:i/>
          <w:sz w:val="26"/>
        </w:rPr>
        <w:t xml:space="preserve"> </w:t>
      </w:r>
      <w:r w:rsidRPr="00E83D97">
        <w:rPr>
          <w:rFonts w:ascii="Times New Roman" w:hAnsi="Times New Roman" w:cs="Times New Roman"/>
          <w:bCs/>
          <w:sz w:val="26"/>
        </w:rPr>
        <w:t xml:space="preserve">efficace, essendo pari ai costi varabili più alti di tutto il parco produttivo (quelli dell’impianto di punta), al di sopra del quale il sistema è in VENF (valore unitario stimato dell’energia elettrica non fornita ai carichi distaccati), cioè è in condizioni di inadeguatezza estrema, tanto da rendere necessari i distacchi di carico. </w:t>
      </w:r>
    </w:p>
    <w:p w14:paraId="117D0B2C" w14:textId="153EC5EB" w:rsidR="00AB0862" w:rsidRPr="00E83D97" w:rsidRDefault="00E42A05" w:rsidP="00AB0862">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Quello che rileva, però, è che è la stessa Commissione che mette in evidenza tali aspetti per sostenere la compatibilità dell’aiuto con il mercato comunitario.</w:t>
      </w:r>
    </w:p>
    <w:p w14:paraId="243B85F7" w14:textId="072BD0CF" w:rsidR="00E42A05" w:rsidRPr="00E83D97" w:rsidRDefault="00E42A05" w:rsidP="00AB0862">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In primo luogo, </w:t>
      </w:r>
      <w:r w:rsidR="00AF0624" w:rsidRPr="00E83D97">
        <w:rPr>
          <w:rFonts w:ascii="Times New Roman" w:hAnsi="Times New Roman" w:cs="Times New Roman"/>
          <w:sz w:val="26"/>
          <w:szCs w:val="26"/>
        </w:rPr>
        <w:t xml:space="preserve">la Commissione </w:t>
      </w:r>
      <w:r w:rsidRPr="00E83D97">
        <w:rPr>
          <w:rFonts w:ascii="Times New Roman" w:hAnsi="Times New Roman" w:cs="Times New Roman"/>
          <w:sz w:val="26"/>
          <w:szCs w:val="26"/>
        </w:rPr>
        <w:t xml:space="preserve">evidenzia come il </w:t>
      </w:r>
      <w:r w:rsidR="00E56BCD" w:rsidRPr="00E83D97">
        <w:rPr>
          <w:rFonts w:ascii="Times New Roman" w:hAnsi="Times New Roman" w:cs="Times New Roman"/>
          <w:sz w:val="26"/>
          <w:szCs w:val="26"/>
        </w:rPr>
        <w:t>meccanismo</w:t>
      </w:r>
      <w:r w:rsidRPr="00E83D97">
        <w:rPr>
          <w:rFonts w:ascii="Times New Roman" w:hAnsi="Times New Roman" w:cs="Times New Roman"/>
          <w:sz w:val="26"/>
          <w:szCs w:val="26"/>
        </w:rPr>
        <w:t xml:space="preserve"> italiano remuneri</w:t>
      </w:r>
      <w:r w:rsidR="00E56BCD" w:rsidRPr="00E83D97">
        <w:rPr>
          <w:rFonts w:ascii="Times New Roman" w:hAnsi="Times New Roman" w:cs="Times New Roman"/>
          <w:sz w:val="26"/>
          <w:szCs w:val="26"/>
        </w:rPr>
        <w:t xml:space="preserve"> con il premio</w:t>
      </w:r>
      <w:r w:rsidRPr="00E83D97">
        <w:rPr>
          <w:rFonts w:ascii="Times New Roman" w:hAnsi="Times New Roman" w:cs="Times New Roman"/>
          <w:sz w:val="26"/>
          <w:szCs w:val="26"/>
        </w:rPr>
        <w:t xml:space="preserve"> la sola disponibilità e non l’</w:t>
      </w:r>
      <w:r w:rsidR="00E56BCD" w:rsidRPr="00E83D97">
        <w:rPr>
          <w:rFonts w:ascii="Times New Roman" w:hAnsi="Times New Roman" w:cs="Times New Roman"/>
          <w:sz w:val="26"/>
          <w:szCs w:val="26"/>
        </w:rPr>
        <w:t>elettricità</w:t>
      </w:r>
      <w:r w:rsidRPr="00E83D97">
        <w:rPr>
          <w:rFonts w:ascii="Times New Roman" w:hAnsi="Times New Roman" w:cs="Times New Roman"/>
          <w:sz w:val="26"/>
          <w:szCs w:val="26"/>
        </w:rPr>
        <w:t xml:space="preserve"> </w:t>
      </w:r>
      <w:r w:rsidR="00E56BCD" w:rsidRPr="00E83D97">
        <w:rPr>
          <w:rFonts w:ascii="Times New Roman" w:hAnsi="Times New Roman" w:cs="Times New Roman"/>
          <w:sz w:val="26"/>
          <w:szCs w:val="26"/>
        </w:rPr>
        <w:t>effettivamente</w:t>
      </w:r>
      <w:r w:rsidRPr="00E83D97">
        <w:rPr>
          <w:rFonts w:ascii="Times New Roman" w:hAnsi="Times New Roman" w:cs="Times New Roman"/>
          <w:sz w:val="26"/>
          <w:szCs w:val="26"/>
        </w:rPr>
        <w:t xml:space="preserve"> prodotta, in tal modo </w:t>
      </w:r>
      <w:r w:rsidR="00E56BCD" w:rsidRPr="00E83D97">
        <w:rPr>
          <w:rFonts w:ascii="Times New Roman" w:hAnsi="Times New Roman" w:cs="Times New Roman"/>
          <w:sz w:val="26"/>
          <w:szCs w:val="26"/>
        </w:rPr>
        <w:t>limitando le distorsioni del prezzo all’ingrosso dell’energia elettrica sul mercato (parr.159-161 della decisione del 7 febbraio 2018).</w:t>
      </w:r>
    </w:p>
    <w:p w14:paraId="780FC407" w14:textId="22B4E6FF" w:rsidR="00E56BCD" w:rsidRPr="00E83D97" w:rsidRDefault="00E56BCD" w:rsidP="00AB0862">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In secondo luogo, si </w:t>
      </w:r>
      <w:r w:rsidR="00AF0624" w:rsidRPr="00E83D97">
        <w:rPr>
          <w:rFonts w:ascii="Times New Roman" w:hAnsi="Times New Roman" w:cs="Times New Roman"/>
          <w:sz w:val="26"/>
          <w:szCs w:val="26"/>
        </w:rPr>
        <w:t>mostra</w:t>
      </w:r>
      <w:r w:rsidRPr="00E83D97">
        <w:rPr>
          <w:rFonts w:ascii="Times New Roman" w:hAnsi="Times New Roman" w:cs="Times New Roman"/>
          <w:sz w:val="26"/>
          <w:szCs w:val="26"/>
        </w:rPr>
        <w:t xml:space="preserve"> come l’obbligo di restituzione delle rendite riduce al minimo il rischio che i fornitori di capacità accrescano il loro potere di mercato combinando prezzi di scarsità dell’energia con la remunerazione della capacità (</w:t>
      </w:r>
      <w:proofErr w:type="spellStart"/>
      <w:r w:rsidRPr="00E83D97">
        <w:rPr>
          <w:rFonts w:ascii="Times New Roman" w:hAnsi="Times New Roman" w:cs="Times New Roman"/>
          <w:sz w:val="26"/>
          <w:szCs w:val="26"/>
        </w:rPr>
        <w:t>parr</w:t>
      </w:r>
      <w:proofErr w:type="spellEnd"/>
      <w:r w:rsidRPr="00E83D97">
        <w:rPr>
          <w:rFonts w:ascii="Times New Roman" w:hAnsi="Times New Roman" w:cs="Times New Roman"/>
          <w:sz w:val="26"/>
          <w:szCs w:val="26"/>
        </w:rPr>
        <w:t>. 179-180 della decisione).</w:t>
      </w:r>
    </w:p>
    <w:p w14:paraId="7958663B" w14:textId="110E9BC8" w:rsidR="00E56BCD" w:rsidRPr="00E83D97" w:rsidRDefault="00E56BCD" w:rsidP="00E56BCD">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Ancora, ai parr.191-192, si </w:t>
      </w:r>
      <w:r w:rsidR="00474A63" w:rsidRPr="00E83D97">
        <w:rPr>
          <w:rFonts w:ascii="Times New Roman" w:hAnsi="Times New Roman" w:cs="Times New Roman"/>
          <w:sz w:val="26"/>
          <w:szCs w:val="26"/>
        </w:rPr>
        <w:t>sottolinea</w:t>
      </w:r>
      <w:r w:rsidRPr="00E83D97">
        <w:rPr>
          <w:rFonts w:ascii="Times New Roman" w:hAnsi="Times New Roman" w:cs="Times New Roman"/>
          <w:sz w:val="26"/>
          <w:szCs w:val="26"/>
        </w:rPr>
        <w:t xml:space="preserve"> che la misura non altera gli incentivi dei beneficiari a presentare offerte sul mercato dell’energia e sul MSD: “</w:t>
      </w:r>
      <w:r w:rsidRPr="00E83D97">
        <w:rPr>
          <w:rFonts w:ascii="Times New Roman" w:hAnsi="Times New Roman" w:cs="Times New Roman"/>
          <w:i/>
          <w:sz w:val="26"/>
          <w:szCs w:val="26"/>
        </w:rPr>
        <w:t>In primo luogo, l'obbligo di disponibilità consiste nel mero obbligo di fare un'offerta sul mercato dell'energia elettrica e del bilanciamento e non nell'obbligo di fare un'offerta a un dato prezzo. Di conseguenza i fornitori di capacità saranno incentivati a fornire energia elettrica soltanto quando il prezzo di mercato è pari ad almeno i loro costi variabili. È degno di nota che l'Italia ha stabilito il prezzo di esercizio con riferimento alla tecnologia di produzione con i costi variabili più alti. Ciò consente a tutte le tecnologie che partecipano al meccanismo e sono soggette all'obbligo di restituzione di coprire almeno i costi variabili di energia mediante i proventi del mercato. (192) Inoltre la fissazione di un prezzo di esercizio non distorcerà il funzionamento del mercato dell'elettricità introducendo implicitamente un massimale di prezzi, e ciò per una serie di motivi.</w:t>
      </w:r>
      <w:r w:rsidRPr="00E83D97">
        <w:rPr>
          <w:rFonts w:ascii="Times New Roman" w:hAnsi="Times New Roman" w:cs="Times New Roman"/>
          <w:sz w:val="26"/>
          <w:szCs w:val="26"/>
        </w:rPr>
        <w:t>”.</w:t>
      </w:r>
    </w:p>
    <w:p w14:paraId="4C218488" w14:textId="76EBCF09" w:rsidR="00E56BCD" w:rsidRPr="00E83D97" w:rsidRDefault="00E56BCD" w:rsidP="00E56BCD">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Parrebbe, quindi, che le suesposte conclusioni </w:t>
      </w:r>
      <w:r w:rsidR="00A547A6" w:rsidRPr="00E83D97">
        <w:rPr>
          <w:rFonts w:ascii="Times New Roman" w:hAnsi="Times New Roman" w:cs="Times New Roman"/>
          <w:sz w:val="26"/>
          <w:szCs w:val="26"/>
        </w:rPr>
        <w:t>cui la Commissione giunge per giustificare la compatibilità dell’aiuto, avrebbero ben potuto essere impiegate per escludere, a monte, che la misura fosse idonea a distorcere la concorrenza,</w:t>
      </w:r>
      <w:r w:rsidR="003B2BF8" w:rsidRPr="00E83D97">
        <w:rPr>
          <w:rFonts w:ascii="Times New Roman" w:hAnsi="Times New Roman" w:cs="Times New Roman"/>
          <w:sz w:val="26"/>
          <w:szCs w:val="26"/>
        </w:rPr>
        <w:t xml:space="preserve"> non</w:t>
      </w:r>
      <w:r w:rsidR="00A547A6" w:rsidRPr="00E83D97">
        <w:rPr>
          <w:rFonts w:ascii="Times New Roman" w:hAnsi="Times New Roman" w:cs="Times New Roman"/>
          <w:sz w:val="26"/>
          <w:szCs w:val="26"/>
        </w:rPr>
        <w:t xml:space="preserve"> favorendo la posizione di mercato delle imprese beneficiarie.</w:t>
      </w:r>
    </w:p>
    <w:p w14:paraId="7C6AC789" w14:textId="285D86F8" w:rsidR="00A547A6" w:rsidRDefault="00A547A6" w:rsidP="00E56BCD">
      <w:pPr>
        <w:spacing w:after="0" w:line="360" w:lineRule="auto"/>
        <w:jc w:val="both"/>
        <w:rPr>
          <w:rFonts w:ascii="Times New Roman" w:hAnsi="Times New Roman" w:cs="Times New Roman"/>
          <w:sz w:val="26"/>
          <w:szCs w:val="26"/>
        </w:rPr>
      </w:pPr>
      <w:r w:rsidRPr="00E83D97">
        <w:rPr>
          <w:rFonts w:ascii="Times New Roman" w:hAnsi="Times New Roman" w:cs="Times New Roman"/>
          <w:sz w:val="26"/>
          <w:szCs w:val="26"/>
        </w:rPr>
        <w:t xml:space="preserve">In conclusione, non si discute dell’utilità e anche della proficuità del confronto con la Commissione, che ha </w:t>
      </w:r>
      <w:r w:rsidR="00AF0624" w:rsidRPr="00E83D97">
        <w:rPr>
          <w:rFonts w:ascii="Times New Roman" w:hAnsi="Times New Roman" w:cs="Times New Roman"/>
          <w:sz w:val="26"/>
          <w:szCs w:val="26"/>
        </w:rPr>
        <w:t>probabilmente</w:t>
      </w:r>
      <w:r w:rsidRPr="00E83D97">
        <w:rPr>
          <w:rFonts w:ascii="Times New Roman" w:hAnsi="Times New Roman" w:cs="Times New Roman"/>
          <w:sz w:val="26"/>
          <w:szCs w:val="26"/>
        </w:rPr>
        <w:t xml:space="preserve"> portato ad uno sviluppo più ampio del disegno originario del </w:t>
      </w:r>
      <w:proofErr w:type="spellStart"/>
      <w:r w:rsidRPr="00E83D97">
        <w:rPr>
          <w:rFonts w:ascii="Times New Roman" w:hAnsi="Times New Roman" w:cs="Times New Roman"/>
          <w:i/>
          <w:sz w:val="26"/>
          <w:szCs w:val="26"/>
        </w:rPr>
        <w:t>capacity</w:t>
      </w:r>
      <w:proofErr w:type="spellEnd"/>
      <w:r w:rsidRPr="00E83D97">
        <w:rPr>
          <w:rFonts w:ascii="Times New Roman" w:hAnsi="Times New Roman" w:cs="Times New Roman"/>
          <w:i/>
          <w:sz w:val="26"/>
          <w:szCs w:val="26"/>
        </w:rPr>
        <w:t xml:space="preserve"> market </w:t>
      </w:r>
      <w:r w:rsidRPr="00E83D97">
        <w:rPr>
          <w:rFonts w:ascii="Times New Roman" w:hAnsi="Times New Roman" w:cs="Times New Roman"/>
          <w:sz w:val="26"/>
          <w:szCs w:val="26"/>
        </w:rPr>
        <w:t xml:space="preserve">italiano, ma si discute che l’ambito di un tal confronto, ove fornire eventualmente indirizzi di carattere politico-amministrativo, debba avvenire nell’ambito di una procedura di </w:t>
      </w:r>
      <w:proofErr w:type="spellStart"/>
      <w:r w:rsidRPr="00E83D97">
        <w:rPr>
          <w:rFonts w:ascii="Times New Roman" w:hAnsi="Times New Roman" w:cs="Times New Roman"/>
          <w:sz w:val="26"/>
          <w:szCs w:val="26"/>
        </w:rPr>
        <w:t>pre</w:t>
      </w:r>
      <w:proofErr w:type="spellEnd"/>
      <w:r w:rsidRPr="00E83D97">
        <w:rPr>
          <w:rFonts w:ascii="Times New Roman" w:hAnsi="Times New Roman" w:cs="Times New Roman"/>
          <w:sz w:val="26"/>
          <w:szCs w:val="26"/>
        </w:rPr>
        <w:t>-notifica di una misura come aiuto, quando forse neppure tale misura era configurabile come aiuto di Stato.</w:t>
      </w:r>
    </w:p>
    <w:p w14:paraId="34A22380" w14:textId="0D07C82C" w:rsidR="00A22C55" w:rsidRDefault="00A22C55" w:rsidP="00E56BCD">
      <w:pPr>
        <w:spacing w:after="0" w:line="360" w:lineRule="auto"/>
        <w:jc w:val="both"/>
        <w:rPr>
          <w:rFonts w:ascii="Times New Roman" w:hAnsi="Times New Roman" w:cs="Times New Roman"/>
          <w:sz w:val="26"/>
          <w:szCs w:val="26"/>
        </w:rPr>
      </w:pPr>
    </w:p>
    <w:p w14:paraId="55579105" w14:textId="4FB60D70" w:rsidR="00F9552E" w:rsidRPr="00E83D97" w:rsidRDefault="00F9552E" w:rsidP="00F9552E">
      <w:pPr>
        <w:spacing w:after="0" w:line="360" w:lineRule="auto"/>
        <w:jc w:val="right"/>
        <w:rPr>
          <w:rFonts w:ascii="Times New Roman" w:hAnsi="Times New Roman" w:cs="Times New Roman"/>
          <w:sz w:val="26"/>
          <w:szCs w:val="26"/>
        </w:rPr>
      </w:pPr>
      <w:r w:rsidRPr="00E83D97">
        <w:rPr>
          <w:rFonts w:ascii="Times New Roman" w:hAnsi="Times New Roman" w:cs="Times New Roman"/>
          <w:sz w:val="26"/>
          <w:szCs w:val="26"/>
        </w:rPr>
        <w:t xml:space="preserve">Angelina </w:t>
      </w:r>
      <w:proofErr w:type="spellStart"/>
      <w:r w:rsidRPr="00E83D97">
        <w:rPr>
          <w:rFonts w:ascii="Times New Roman" w:hAnsi="Times New Roman" w:cs="Times New Roman"/>
          <w:sz w:val="26"/>
          <w:szCs w:val="26"/>
        </w:rPr>
        <w:t>Silipo</w:t>
      </w:r>
      <w:proofErr w:type="spellEnd"/>
    </w:p>
    <w:p w14:paraId="7E96F4BB" w14:textId="755CE154" w:rsidR="0061375C" w:rsidRDefault="00F9552E" w:rsidP="00F9552E">
      <w:pPr>
        <w:spacing w:after="0" w:line="360" w:lineRule="auto"/>
        <w:jc w:val="right"/>
      </w:pPr>
      <w:r>
        <w:t>Responsabile dell’Ufficio Contenzioso dell’Autorità di regolazione per energia reti e ambiente</w:t>
      </w:r>
    </w:p>
    <w:p w14:paraId="18C9B9E3" w14:textId="77777777" w:rsidR="00F9552E" w:rsidRDefault="00F9552E" w:rsidP="00F9552E">
      <w:pPr>
        <w:spacing w:after="0" w:line="360" w:lineRule="auto"/>
        <w:jc w:val="right"/>
      </w:pPr>
    </w:p>
    <w:p w14:paraId="0DECFB55" w14:textId="79583D4C" w:rsidR="00F9552E" w:rsidRPr="00A547A6" w:rsidRDefault="00F9552E" w:rsidP="00F9552E">
      <w:pPr>
        <w:spacing w:after="0" w:line="360" w:lineRule="auto"/>
        <w:jc w:val="right"/>
        <w:rPr>
          <w:rFonts w:ascii="Times New Roman" w:hAnsi="Times New Roman" w:cs="Times New Roman"/>
          <w:sz w:val="26"/>
          <w:szCs w:val="26"/>
        </w:rPr>
      </w:pPr>
      <w:r>
        <w:t>Pubblicato 16 aprile 2019</w:t>
      </w:r>
      <w:bookmarkStart w:id="0" w:name="_GoBack"/>
      <w:bookmarkEnd w:id="0"/>
    </w:p>
    <w:sectPr w:rsidR="00F9552E" w:rsidRPr="00A547A6" w:rsidSect="00A132E1">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C8D35" w14:textId="77777777" w:rsidR="003D1BD4" w:rsidRDefault="003D1BD4" w:rsidP="000F020D">
      <w:pPr>
        <w:spacing w:after="0" w:line="240" w:lineRule="auto"/>
      </w:pPr>
      <w:r>
        <w:separator/>
      </w:r>
    </w:p>
  </w:endnote>
  <w:endnote w:type="continuationSeparator" w:id="0">
    <w:p w14:paraId="26B424DC" w14:textId="77777777" w:rsidR="003D1BD4" w:rsidRDefault="003D1BD4" w:rsidP="000F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796346"/>
      <w:docPartObj>
        <w:docPartGallery w:val="Page Numbers (Bottom of Page)"/>
        <w:docPartUnique/>
      </w:docPartObj>
    </w:sdtPr>
    <w:sdtEndPr/>
    <w:sdtContent>
      <w:p w14:paraId="0BEFFE98" w14:textId="4BCA9672" w:rsidR="0035095E" w:rsidRDefault="0035095E">
        <w:pPr>
          <w:pStyle w:val="Pidipagina"/>
          <w:jc w:val="center"/>
        </w:pPr>
        <w:r>
          <w:fldChar w:fldCharType="begin"/>
        </w:r>
        <w:r>
          <w:instrText>PAGE   \* MERGEFORMAT</w:instrText>
        </w:r>
        <w:r>
          <w:fldChar w:fldCharType="separate"/>
        </w:r>
        <w:r w:rsidR="00F9552E">
          <w:rPr>
            <w:noProof/>
          </w:rPr>
          <w:t>11</w:t>
        </w:r>
        <w:r>
          <w:fldChar w:fldCharType="end"/>
        </w:r>
      </w:p>
    </w:sdtContent>
  </w:sdt>
  <w:p w14:paraId="6B73A9EC" w14:textId="77777777" w:rsidR="0035095E" w:rsidRDefault="003509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578CA" w14:textId="77777777" w:rsidR="003D1BD4" w:rsidRDefault="003D1BD4" w:rsidP="000F020D">
      <w:pPr>
        <w:spacing w:after="0" w:line="240" w:lineRule="auto"/>
      </w:pPr>
      <w:r>
        <w:separator/>
      </w:r>
    </w:p>
  </w:footnote>
  <w:footnote w:type="continuationSeparator" w:id="0">
    <w:p w14:paraId="1ACD89AC" w14:textId="77777777" w:rsidR="003D1BD4" w:rsidRDefault="003D1BD4" w:rsidP="000F020D">
      <w:pPr>
        <w:spacing w:after="0" w:line="240" w:lineRule="auto"/>
      </w:pPr>
      <w:r>
        <w:continuationSeparator/>
      </w:r>
    </w:p>
  </w:footnote>
  <w:footnote w:id="1">
    <w:p w14:paraId="09E4CDF4" w14:textId="6FD350A5" w:rsidR="00F9552E" w:rsidRDefault="00F9552E" w:rsidP="00F9552E">
      <w:pPr>
        <w:pStyle w:val="Testonotaapidipagina"/>
        <w:jc w:val="both"/>
      </w:pPr>
      <w:r>
        <w:rPr>
          <w:rStyle w:val="Rimandonotaapidipagina"/>
        </w:rPr>
        <w:footnoteRef/>
      </w:r>
      <w:r>
        <w:t xml:space="preserve"> </w:t>
      </w:r>
      <w:r w:rsidRPr="0061375C">
        <w:t>Il presente lavoro è espressione di riflessioni personali dell’autrice e non vincola in nessun modo l’Amministrazione di appartenenza.</w:t>
      </w:r>
    </w:p>
  </w:footnote>
  <w:footnote w:id="2">
    <w:p w14:paraId="4F388233" w14:textId="34D9DECE" w:rsidR="0035095E" w:rsidRDefault="0035095E" w:rsidP="00707385">
      <w:pPr>
        <w:pStyle w:val="Testonotaapidipagina"/>
        <w:jc w:val="both"/>
      </w:pPr>
      <w:r>
        <w:rPr>
          <w:rStyle w:val="Rimandonotaapidipagina"/>
        </w:rPr>
        <w:footnoteRef/>
      </w:r>
      <w:r>
        <w:t xml:space="preserve"> Il comunicato stampa della Commissione europea è consultabile a tale indirizzo: </w:t>
      </w:r>
      <w:hyperlink r:id="rId1" w:history="1">
        <w:r w:rsidRPr="001D6081">
          <w:rPr>
            <w:rStyle w:val="Collegamentoipertestuale"/>
          </w:rPr>
          <w:t>http://europa.eu/rapid/press-release_IP-18-682_it.htm</w:t>
        </w:r>
      </w:hyperlink>
      <w:r>
        <w:t xml:space="preserve">. Quasi contemporaneamente alle procedure informali e formali di compatibilità degli aiuti di Stato, la Commissione ha avviato un’indagine settoriale sui meccanismi di regolazione di capacità, conclusa nel 2016, con la “Relazione finale sull’indagine settoriale sui meccanismi di regolazione della capacità” COM(2016) 712 </w:t>
      </w:r>
      <w:proofErr w:type="spellStart"/>
      <w:r>
        <w:t>final</w:t>
      </w:r>
      <w:proofErr w:type="spellEnd"/>
      <w:r>
        <w:t xml:space="preserve">. La versione pubblica è consultabile all’indirizzo: </w:t>
      </w:r>
      <w:hyperlink r:id="rId2" w:history="1">
        <w:r w:rsidRPr="001D6081">
          <w:rPr>
            <w:rStyle w:val="Collegamentoipertestuale"/>
          </w:rPr>
          <w:t>https://ec.europa.eu/transparency/regdoc/rep/1/2016/IT/COM-2016-752-F1-IT-MAIN.PDF</w:t>
        </w:r>
      </w:hyperlink>
    </w:p>
  </w:footnote>
  <w:footnote w:id="3">
    <w:p w14:paraId="7F104890" w14:textId="1D2E78EF" w:rsidR="0035095E" w:rsidRDefault="0035095E" w:rsidP="00707385">
      <w:pPr>
        <w:pStyle w:val="Testonotaapidipagina"/>
        <w:jc w:val="both"/>
      </w:pPr>
      <w:r>
        <w:rPr>
          <w:rStyle w:val="Rimandonotaapidipagina"/>
        </w:rPr>
        <w:footnoteRef/>
      </w:r>
      <w:r>
        <w:t>Le riserve strategiche sono tra le forme più comuni di meccanismo di capacità; le riserve strategiche sono costituite da centrali elettriche e altre capacità che non partecipano al mercato all’ingrosso, ma che vengono tenute da parte e utilizzate dal gestore di rete nelle situazioni di emergenza. Tale meccanismo tende a privilegiare le capacità esistenti rispetto alle nuove.</w:t>
      </w:r>
    </w:p>
  </w:footnote>
  <w:footnote w:id="4">
    <w:p w14:paraId="1FDD79DA" w14:textId="753E259C" w:rsidR="0035095E" w:rsidRDefault="0035095E" w:rsidP="005B3B77">
      <w:pPr>
        <w:pStyle w:val="Testonotaapidipagina"/>
        <w:jc w:val="both"/>
      </w:pPr>
      <w:r>
        <w:rPr>
          <w:rStyle w:val="Rimandonotaapidipagina"/>
        </w:rPr>
        <w:footnoteRef/>
      </w:r>
      <w:r>
        <w:t xml:space="preserve"> I meccanismi che riguardano la gestione della domanda riconoscono delle compensazioni finanziarie ai consumatori per la riduzione del loro consumo nelle ore in cui vi è maggiore scarsità di energia elettrica.</w:t>
      </w:r>
    </w:p>
  </w:footnote>
  <w:footnote w:id="5">
    <w:p w14:paraId="65E9E554" w14:textId="67B1C91D" w:rsidR="0035095E" w:rsidRDefault="0035095E" w:rsidP="0057268A">
      <w:pPr>
        <w:pStyle w:val="Testonotaapidipagina"/>
        <w:jc w:val="both"/>
      </w:pPr>
      <w:r>
        <w:rPr>
          <w:rStyle w:val="Rimandonotaapidipagina"/>
        </w:rPr>
        <w:footnoteRef/>
      </w:r>
      <w:r>
        <w:t xml:space="preserve"> Per la decisione sul mercato della capacità italiano, cfr. la decisione della Commissione C(2018) 617 del 7.2.2018 nel procedimento SA.42011 (2017/N).</w:t>
      </w:r>
    </w:p>
  </w:footnote>
  <w:footnote w:id="6">
    <w:p w14:paraId="07065BE4" w14:textId="13A510DB" w:rsidR="0035095E" w:rsidRDefault="0035095E">
      <w:pPr>
        <w:pStyle w:val="Testonotaapidipagina"/>
      </w:pPr>
      <w:r>
        <w:rPr>
          <w:rStyle w:val="Rimandonotaapidipagina"/>
        </w:rPr>
        <w:footnoteRef/>
      </w:r>
      <w:r>
        <w:t xml:space="preserve"> Per la decisione sul mercato della capacità britannico cfr. la decisione della Commissione C(2014) 5083 </w:t>
      </w:r>
      <w:proofErr w:type="spellStart"/>
      <w:r>
        <w:t>final</w:t>
      </w:r>
      <w:proofErr w:type="spellEnd"/>
      <w:r>
        <w:t xml:space="preserve"> del 23.7.2014 nel procedimento SA.35980 (2014/N-2).</w:t>
      </w:r>
    </w:p>
  </w:footnote>
  <w:footnote w:id="7">
    <w:p w14:paraId="2B35F13E" w14:textId="778D813F" w:rsidR="0035095E" w:rsidRDefault="0035095E" w:rsidP="00626645">
      <w:pPr>
        <w:pStyle w:val="Testonotaapidipagina"/>
        <w:jc w:val="both"/>
      </w:pPr>
      <w:r>
        <w:rPr>
          <w:rStyle w:val="Rimandonotaapidipagina"/>
        </w:rPr>
        <w:footnoteRef/>
      </w:r>
      <w:r>
        <w:t xml:space="preserve"> L’articolo 107, paragrafo 1 del TFUE, dispone: “Salvo deroghe contemplate dai trattati, sono incompatibili con il mercato comune, nella misura in cui incidano sugli scambi tra Stati membri, gli aiuti concessi dagli Stati, ovvero mediante risorse statali, sotto qualsiasi forma che, favorendo talune imprese o talune produzioni, falsino o minaccino di falsare la concorrenza”.</w:t>
      </w:r>
    </w:p>
  </w:footnote>
  <w:footnote w:id="8">
    <w:p w14:paraId="7AE82FA3" w14:textId="1E1605B6" w:rsidR="0035095E" w:rsidRDefault="0035095E" w:rsidP="00036D78">
      <w:pPr>
        <w:pStyle w:val="Testonotaapidipagina"/>
      </w:pPr>
      <w:r>
        <w:rPr>
          <w:rStyle w:val="Rimandonotaapidipagina"/>
        </w:rPr>
        <w:footnoteRef/>
      </w:r>
      <w:r>
        <w:t xml:space="preserve"> Tra le tante, si veda Sentenza 17 luglio 2008, C-206/06, </w:t>
      </w:r>
      <w:proofErr w:type="spellStart"/>
      <w:r w:rsidRPr="00036D78">
        <w:t>Essent</w:t>
      </w:r>
      <w:proofErr w:type="spellEnd"/>
      <w:r w:rsidRPr="00036D78">
        <w:t xml:space="preserve"> </w:t>
      </w:r>
      <w:proofErr w:type="spellStart"/>
      <w:r w:rsidRPr="00036D78">
        <w:t>Netwerk</w:t>
      </w:r>
      <w:proofErr w:type="spellEnd"/>
      <w:r w:rsidRPr="00036D78">
        <w:t xml:space="preserve"> </w:t>
      </w:r>
      <w:proofErr w:type="spellStart"/>
      <w:r w:rsidRPr="00036D78">
        <w:t>Noord</w:t>
      </w:r>
      <w:proofErr w:type="spellEnd"/>
      <w:r w:rsidRPr="00036D78">
        <w:t xml:space="preserve"> BV</w:t>
      </w:r>
      <w:r>
        <w:t xml:space="preserve">, </w:t>
      </w:r>
      <w:r w:rsidRPr="00036D78">
        <w:t>ECLI:EU:C:2008:413</w:t>
      </w:r>
      <w:r w:rsidR="003758CE">
        <w:t>.</w:t>
      </w:r>
    </w:p>
  </w:footnote>
  <w:footnote w:id="9">
    <w:p w14:paraId="4685E2FF" w14:textId="77777777" w:rsidR="0035095E" w:rsidRDefault="0035095E" w:rsidP="00B8353A">
      <w:pPr>
        <w:pStyle w:val="Testonotaapidipagina"/>
        <w:jc w:val="both"/>
      </w:pPr>
      <w:r>
        <w:rPr>
          <w:rStyle w:val="Rimandonotaapidipagina"/>
        </w:rPr>
        <w:footnoteRef/>
      </w:r>
      <w:r>
        <w:t>La struttura essenziale del mercato è stata definita dall’Autorità di regolazione per energia reti e ambiente (ARERA) con la delibera 21 luglio 2011, ARG/</w:t>
      </w:r>
      <w:proofErr w:type="spellStart"/>
      <w:r>
        <w:t>elt</w:t>
      </w:r>
      <w:proofErr w:type="spellEnd"/>
      <w:r>
        <w:t xml:space="preserve"> 98/11 (il cui testo è qui consultabile: </w:t>
      </w:r>
      <w:hyperlink r:id="rId3" w:history="1">
        <w:r>
          <w:rPr>
            <w:rStyle w:val="Collegamentoipertestuale"/>
          </w:rPr>
          <w:t>https://www.arera.it/it/docs/11/098-11arg.htm</w:t>
        </w:r>
      </w:hyperlink>
      <w:r>
        <w:t>), successivamente modificata, da ultimo, con la delibera 11 aprile 2018, 261/2018/R/</w:t>
      </w:r>
      <w:proofErr w:type="spellStart"/>
      <w:r>
        <w:t>eel</w:t>
      </w:r>
      <w:proofErr w:type="spellEnd"/>
      <w:r>
        <w:t xml:space="preserve"> (il cui testo è qui pubblicato: </w:t>
      </w:r>
      <w:hyperlink r:id="rId4" w:history="1">
        <w:r>
          <w:rPr>
            <w:rStyle w:val="Collegamentoipertestuale"/>
          </w:rPr>
          <w:t>https://www.arera.it/it/docs/18/261-18.htm</w:t>
        </w:r>
      </w:hyperlink>
      <w:r>
        <w:t>).</w:t>
      </w:r>
    </w:p>
  </w:footnote>
  <w:footnote w:id="10">
    <w:p w14:paraId="7CB23C2E" w14:textId="24803035" w:rsidR="0035095E" w:rsidRDefault="0035095E" w:rsidP="00B8353A">
      <w:pPr>
        <w:pStyle w:val="Testonotaapidipagina"/>
        <w:jc w:val="both"/>
      </w:pPr>
      <w:r>
        <w:rPr>
          <w:rStyle w:val="Rimandonotaapidipagina"/>
        </w:rPr>
        <w:footnoteRef/>
      </w:r>
      <w:r>
        <w:t xml:space="preserve"> Il presupposto, che ha reso necessario l’intervento del regolatore, è da rinvenirsi nella scarsità della capacità produttiva esistente e, quindi, nell’inadeguatezza strutturale del sistema a soddisfare la domanda, più la riserva di potenza, anche nelle situazioni critiche, derivante, principalmente, dall’inefficiente coordinamento delle scelte di investimento degli operatori in capacità di generazione e delle scelte di investimento di del gestore della rete </w:t>
      </w:r>
      <w:r w:rsidR="002C06B7">
        <w:t>elettrica</w:t>
      </w:r>
      <w:r>
        <w:t xml:space="preserve"> in materia di capacità di trasporto. Questo deficit è attribuibile principalmente ad un fallimento del mercato elettrico, che non è stato in grado di realizzare quella asimmetria informativa tra tutti i partecipanti, attraverso gli opportuni segnali di prezzo, necessaria a orientare correttamente le scelte di investimento. In pratica, i difetti informativi del mercato hanno determinato un andamento ciclico degli investimenti, per cui i segnali di scarsità o di eccesso di offerta sono espressi con ritardo dal mercato rispetto all’evoluzione del parco elettrico, determinando una corrispondente alternanza di eccesso o scarsità di capacità di generazione non ottimale rispetto alle esigenze di adeguatezza del sistema elettrico.</w:t>
      </w:r>
    </w:p>
  </w:footnote>
  <w:footnote w:id="11">
    <w:p w14:paraId="062B573F" w14:textId="77777777" w:rsidR="0035095E" w:rsidRDefault="0035095E" w:rsidP="004C5E2B">
      <w:pPr>
        <w:pStyle w:val="Testonotaapidipagina"/>
        <w:jc w:val="both"/>
      </w:pPr>
      <w:r>
        <w:rPr>
          <w:rStyle w:val="Rimandonotaapidipagina"/>
        </w:rPr>
        <w:footnoteRef/>
      </w:r>
      <w:r>
        <w:t xml:space="preserve">Il mercato all’ingrosso dell’energia elettrica si suddivide in due </w:t>
      </w:r>
      <w:proofErr w:type="spellStart"/>
      <w:r>
        <w:t>sottomercati</w:t>
      </w:r>
      <w:proofErr w:type="spellEnd"/>
      <w:r>
        <w:t xml:space="preserve"> che si succedono temporalmente: il mercato del giorno prima e il mercato </w:t>
      </w:r>
      <w:proofErr w:type="spellStart"/>
      <w:r>
        <w:t>infragiornaliero</w:t>
      </w:r>
      <w:proofErr w:type="spellEnd"/>
      <w:r>
        <w:t xml:space="preserve">. </w:t>
      </w:r>
    </w:p>
    <w:p w14:paraId="47BEB001" w14:textId="77777777" w:rsidR="0035095E" w:rsidRDefault="0035095E" w:rsidP="004C5E2B">
      <w:pPr>
        <w:pStyle w:val="Testonotaapidipagina"/>
        <w:jc w:val="both"/>
      </w:pPr>
      <w:r>
        <w:t xml:space="preserve">Nel mercato del giorno prima (MGP), che si svolge nelle prime ore della mattina precedente l’effettiva erogazione dell’energia, ciascun operatore ammesso al mercato può proporre le proprie offerte di vendita e di acquisto dell’energia per ciascuna ora del giorno successivo a quello di negoziazione. </w:t>
      </w:r>
    </w:p>
    <w:p w14:paraId="7972DEF7" w14:textId="77777777" w:rsidR="0035095E" w:rsidRDefault="0035095E" w:rsidP="004C5E2B">
      <w:pPr>
        <w:pStyle w:val="Testonotaapidipagina"/>
        <w:jc w:val="both"/>
      </w:pPr>
      <w:r>
        <w:t xml:space="preserve">Al termine della contrattazione, sempre nella mattina che precede il giorno di effettiva erogazione, si svolge il mercato </w:t>
      </w:r>
      <w:proofErr w:type="spellStart"/>
      <w:r>
        <w:t>infragiornaliero</w:t>
      </w:r>
      <w:proofErr w:type="spellEnd"/>
      <w:r>
        <w:t xml:space="preserve"> (MI) che è la sede delle negoziazioni delle offerte di acquisto e vendita per l’aggiustamento dei programmi di prelievo e immissioni risultanti dopo la chiusura del MGP.</w:t>
      </w:r>
    </w:p>
    <w:p w14:paraId="2900EE21" w14:textId="6E3285E8" w:rsidR="0035095E" w:rsidRDefault="0035095E" w:rsidP="004C5E2B">
      <w:pPr>
        <w:pStyle w:val="Testonotaapidipagina"/>
        <w:jc w:val="both"/>
      </w:pPr>
      <w:r>
        <w:t>Successivamente alla chiusura del mercato elettrico, si apre il mercato dei servizi del dispacciamento</w:t>
      </w:r>
      <w:r w:rsidR="0061375C">
        <w:t xml:space="preserve"> (MSD)</w:t>
      </w:r>
      <w:r>
        <w:t>, che si svolge in tempo reale e nel quale i produttori abilitati offrono a Terna la propria disponibilità a variare le immissioni o i prelievi di elettricità rispetto ai quantitativi risultanti all’esito del MGP e del MA, presentando offerte a salire (aumentare l’immissione o diminuire il prelievo) o offerte a scendere (diminuire l’immissione o aumentare il prelievo). Il MSD, quindi, ha la funzione di consentire a Terna di reperire le risorse necessarie a compensare quella parte di domanda, in aggiunta alla riserva di potenza, non soddisfatta dal mercato all’ingrosso.</w:t>
      </w:r>
    </w:p>
  </w:footnote>
  <w:footnote w:id="12">
    <w:p w14:paraId="176B1398" w14:textId="7F6CBCA7" w:rsidR="0035095E" w:rsidRDefault="0035095E" w:rsidP="006565E3">
      <w:pPr>
        <w:pStyle w:val="Testonotaapidipagina"/>
        <w:jc w:val="both"/>
      </w:pPr>
      <w:r>
        <w:rPr>
          <w:rStyle w:val="Rimandonotaapidipagina"/>
        </w:rPr>
        <w:footnoteRef/>
      </w:r>
      <w:r>
        <w:t xml:space="preserve">Nel sistema del gas, non esiste </w:t>
      </w:r>
      <w:r w:rsidR="002C06B7">
        <w:t xml:space="preserve">un mercato della capacità a termine. L’approvvigionamento a lungo termine è affidato ai contratti pluriennali </w:t>
      </w:r>
      <w:r w:rsidR="002C06B7">
        <w:rPr>
          <w:i/>
        </w:rPr>
        <w:t xml:space="preserve">take or </w:t>
      </w:r>
      <w:proofErr w:type="spellStart"/>
      <w:r w:rsidR="002C06B7">
        <w:rPr>
          <w:i/>
        </w:rPr>
        <w:t>pay</w:t>
      </w:r>
      <w:proofErr w:type="spellEnd"/>
      <w:r w:rsidR="002C06B7">
        <w:rPr>
          <w:i/>
        </w:rPr>
        <w:t>.</w:t>
      </w:r>
      <w:r>
        <w:t xml:space="preserve"> </w:t>
      </w:r>
      <w:r w:rsidR="002C06B7">
        <w:t>Con la deliberazione 447/2013/R/gas (</w:t>
      </w:r>
      <w:hyperlink r:id="rId5" w:history="1">
        <w:r w:rsidR="002C06B7">
          <w:rPr>
            <w:rStyle w:val="Collegamentoipertestuale"/>
          </w:rPr>
          <w:t>https://www.arera.it/it/docs/13/447-13.htm</w:t>
        </w:r>
      </w:hyperlink>
      <w:r w:rsidR="002C06B7">
        <w:t xml:space="preserve"> ), peraltro, l’Autorità di regolazione ha istituito un meccanismo</w:t>
      </w:r>
      <w:r w:rsidR="006565E3">
        <w:t xml:space="preserve"> transitorio </w:t>
      </w:r>
      <w:r w:rsidR="002C06B7">
        <w:t>di promozione della rinegoziazione dei contratti a lungo termine</w:t>
      </w:r>
      <w:r w:rsidR="006565E3">
        <w:t>.</w:t>
      </w:r>
      <w:r w:rsidR="002C06B7">
        <w:t xml:space="preserve"> </w:t>
      </w:r>
      <w:r w:rsidR="006565E3" w:rsidRPr="006565E3">
        <w:t xml:space="preserve">Anche </w:t>
      </w:r>
      <w:r w:rsidR="006565E3">
        <w:t>in tale</w:t>
      </w:r>
      <w:r w:rsidR="00AF0624">
        <w:t xml:space="preserve"> caso</w:t>
      </w:r>
      <w:r w:rsidR="006565E3" w:rsidRPr="006565E3">
        <w:t>, un meccanismo negoziale, ma rispondente a finalità regolatorie, ha come elemento causale caratterizzante il rischio, cioè l’incertezza dell’andamento del differenziale tra prezzi del mercato spot e costi dei mercati di importazione di lungo periodo, alternativamente assunto, nei modi indicati, a carico del sistema o degli operatori.</w:t>
      </w:r>
      <w:r w:rsidR="006565E3">
        <w:t xml:space="preserve"> </w:t>
      </w:r>
    </w:p>
  </w:footnote>
  <w:footnote w:id="13">
    <w:p w14:paraId="502940D0" w14:textId="77777777" w:rsidR="00EC116F" w:rsidRPr="00EC116F" w:rsidRDefault="00EC116F" w:rsidP="00AF0624">
      <w:pPr>
        <w:pStyle w:val="Testonotaapidipagina"/>
        <w:jc w:val="both"/>
      </w:pPr>
      <w:r>
        <w:rPr>
          <w:rStyle w:val="Rimandonotaapidipagina"/>
        </w:rPr>
        <w:footnoteRef/>
      </w:r>
      <w:r>
        <w:t xml:space="preserve">Sentenza 6 marzo 2018, causa C-279/16, Commissione c. FHI Holding, </w:t>
      </w:r>
      <w:r w:rsidRPr="00EC116F">
        <w:t>ECLI:EU:C:2018:159</w:t>
      </w:r>
      <w:r>
        <w:t xml:space="preserve">, punto 44; </w:t>
      </w:r>
      <w:r w:rsidRPr="00EC116F">
        <w:t>sentenze del 2 settembre 2010, Commissione/Deutsche Post, C</w:t>
      </w:r>
      <w:r w:rsidRPr="00EC116F">
        <w:rPr>
          <w:rFonts w:ascii="Cambria Math" w:hAnsi="Cambria Math" w:cs="Cambria Math"/>
        </w:rPr>
        <w:t>‑</w:t>
      </w:r>
      <w:r w:rsidRPr="00EC116F">
        <w:t xml:space="preserve">399/08 P, EU:C:2010:481, punto 40 e giurisprudenza ivi citata, nonché del 27 giugno 2017, </w:t>
      </w:r>
      <w:proofErr w:type="spellStart"/>
      <w:r w:rsidRPr="00EC116F">
        <w:t>Congregación</w:t>
      </w:r>
      <w:proofErr w:type="spellEnd"/>
      <w:r w:rsidRPr="00EC116F">
        <w:t xml:space="preserve"> de </w:t>
      </w:r>
      <w:proofErr w:type="spellStart"/>
      <w:r w:rsidRPr="00EC116F">
        <w:t>Escuelas</w:t>
      </w:r>
      <w:proofErr w:type="spellEnd"/>
      <w:r w:rsidRPr="00EC116F">
        <w:t xml:space="preserve"> </w:t>
      </w:r>
      <w:proofErr w:type="spellStart"/>
      <w:r w:rsidRPr="00EC116F">
        <w:t>Pías</w:t>
      </w:r>
      <w:proofErr w:type="spellEnd"/>
      <w:r w:rsidRPr="00EC116F">
        <w:t xml:space="preserve"> Provincia Betania, C</w:t>
      </w:r>
      <w:r w:rsidRPr="00EC116F">
        <w:rPr>
          <w:rFonts w:ascii="Cambria Math" w:hAnsi="Cambria Math" w:cs="Cambria Math"/>
        </w:rPr>
        <w:t>‑</w:t>
      </w:r>
      <w:r w:rsidRPr="00EC116F">
        <w:t>74/16, EU:C:2017:496, punto 65 e giurisprudenza ivi citata.</w:t>
      </w:r>
    </w:p>
    <w:p w14:paraId="59A8445A" w14:textId="77777777" w:rsidR="00EC116F" w:rsidRPr="00EC116F" w:rsidRDefault="00EC116F" w:rsidP="00EC116F">
      <w:pPr>
        <w:pStyle w:val="Testonotaapidipagina"/>
      </w:pPr>
    </w:p>
    <w:p w14:paraId="275313E7" w14:textId="77777777" w:rsidR="00EC116F" w:rsidRDefault="00EC116F" w:rsidP="00EC116F">
      <w:pPr>
        <w:pStyle w:val="Testonotaapidipagina"/>
      </w:pPr>
    </w:p>
  </w:footnote>
  <w:footnote w:id="14">
    <w:p w14:paraId="1F46991A" w14:textId="12752E87" w:rsidR="0093427A" w:rsidRDefault="0093427A">
      <w:pPr>
        <w:pStyle w:val="Testonotaapidipagina"/>
      </w:pPr>
      <w:r>
        <w:rPr>
          <w:rStyle w:val="Rimandonotaapidipagina"/>
        </w:rPr>
        <w:footnoteRef/>
      </w:r>
      <w:r>
        <w:t xml:space="preserve">Sentenza della Corte di Giustizia 21 dicembre 2016, causa C-20/15, Commissione c./ World Duty Free Group SA, </w:t>
      </w:r>
      <w:r w:rsidRPr="0093427A">
        <w:t>ECLI:EU:C:2016:981</w:t>
      </w:r>
      <w:r>
        <w:t>, punto 54.</w:t>
      </w:r>
    </w:p>
  </w:footnote>
  <w:footnote w:id="15">
    <w:p w14:paraId="20E32E73" w14:textId="0D14FAC9" w:rsidR="00B3721E" w:rsidRDefault="00B3721E">
      <w:pPr>
        <w:pStyle w:val="Testonotaapidipagina"/>
      </w:pPr>
      <w:r>
        <w:rPr>
          <w:rStyle w:val="Rimandonotaapidipagina"/>
        </w:rPr>
        <w:footnoteRef/>
      </w:r>
      <w:r>
        <w:t xml:space="preserve">L’interesse alla sicurezza del sistema ad un costo ragionevole è stato definito </w:t>
      </w:r>
      <w:r w:rsidR="00845AF7">
        <w:t xml:space="preserve">interesse pubblico meritevole di tutela dalla Sentenza della Corte 21 dicembre 2011, causa C-242/10, Enel Produzione c./ Autorità per l’energia elettrica e il gas, </w:t>
      </w:r>
      <w:r w:rsidR="00845AF7" w:rsidRPr="00845AF7">
        <w:t>ECLI:EU:C:2011:861</w:t>
      </w:r>
      <w:r w:rsidR="00845AF7">
        <w:t>.</w:t>
      </w:r>
    </w:p>
  </w:footnote>
  <w:footnote w:id="16">
    <w:p w14:paraId="58983682" w14:textId="2439F628" w:rsidR="00845AF7" w:rsidRDefault="00845AF7">
      <w:pPr>
        <w:pStyle w:val="Testonotaapidipagina"/>
      </w:pPr>
      <w:r>
        <w:rPr>
          <w:rStyle w:val="Rimandonotaapidipagina"/>
        </w:rPr>
        <w:footnoteRef/>
      </w:r>
      <w:r w:rsidR="00322BC4">
        <w:t xml:space="preserve">Sentenza 26 ottobre 2016, causa C-211/15, Orange c./ Commissione europea, </w:t>
      </w:r>
      <w:r w:rsidR="00322BC4" w:rsidRPr="00322BC4">
        <w:t>ECLI:EU:C:2016:798</w:t>
      </w:r>
      <w:r w:rsidR="00322BC4">
        <w:t>, punto 44.</w:t>
      </w:r>
    </w:p>
  </w:footnote>
  <w:footnote w:id="17">
    <w:p w14:paraId="0678C5E8" w14:textId="44AC0DD2" w:rsidR="00AB0862" w:rsidRPr="00041689" w:rsidRDefault="00322BC4" w:rsidP="00AB0862">
      <w:r w:rsidRPr="00041689">
        <w:rPr>
          <w:rStyle w:val="Rimandonotaapidipagina"/>
        </w:rPr>
        <w:footnoteRef/>
      </w:r>
      <w:r w:rsidRPr="00041689">
        <w:t xml:space="preserve"> </w:t>
      </w:r>
      <w:r w:rsidR="00AB0862" w:rsidRPr="00041689">
        <w:t xml:space="preserve">Sentenza 26 aprile 2018, C-233/16, </w:t>
      </w:r>
      <w:proofErr w:type="spellStart"/>
      <w:r w:rsidR="00AB0862" w:rsidRPr="00041689">
        <w:t>Asociación</w:t>
      </w:r>
      <w:proofErr w:type="spellEnd"/>
      <w:r w:rsidR="00AB0862" w:rsidRPr="00041689">
        <w:t xml:space="preserve"> </w:t>
      </w:r>
      <w:proofErr w:type="spellStart"/>
      <w:r w:rsidR="00AB0862" w:rsidRPr="00041689">
        <w:t>Nacional</w:t>
      </w:r>
      <w:proofErr w:type="spellEnd"/>
      <w:r w:rsidR="00AB0862" w:rsidRPr="00041689">
        <w:t xml:space="preserve"> de </w:t>
      </w:r>
      <w:proofErr w:type="spellStart"/>
      <w:r w:rsidR="00AB0862" w:rsidRPr="00041689">
        <w:t>Grandes</w:t>
      </w:r>
      <w:proofErr w:type="spellEnd"/>
      <w:r w:rsidR="00AB0862" w:rsidRPr="00041689">
        <w:t xml:space="preserve"> </w:t>
      </w:r>
      <w:proofErr w:type="spellStart"/>
      <w:r w:rsidR="00AB0862" w:rsidRPr="00041689">
        <w:t>Empresas</w:t>
      </w:r>
      <w:proofErr w:type="spellEnd"/>
      <w:r w:rsidR="00AB0862" w:rsidRPr="00041689">
        <w:t xml:space="preserve"> de </w:t>
      </w:r>
      <w:proofErr w:type="spellStart"/>
      <w:r w:rsidR="00AB0862" w:rsidRPr="00041689">
        <w:t>Distribución</w:t>
      </w:r>
      <w:proofErr w:type="spellEnd"/>
      <w:r w:rsidR="00AB0862" w:rsidRPr="00041689">
        <w:t xml:space="preserve"> (ANGED) c./ </w:t>
      </w:r>
      <w:proofErr w:type="spellStart"/>
      <w:r w:rsidR="00AB0862" w:rsidRPr="00041689">
        <w:t>Generalitat</w:t>
      </w:r>
      <w:proofErr w:type="spellEnd"/>
      <w:r w:rsidR="00AB0862" w:rsidRPr="00041689">
        <w:t xml:space="preserve"> de Catalunya, ECLI:EU:C:2018:280, punto 65.</w:t>
      </w:r>
    </w:p>
    <w:p w14:paraId="4ECD7BC3" w14:textId="624CF87F" w:rsidR="00322BC4" w:rsidRDefault="00AB0862">
      <w:pPr>
        <w:pStyle w:val="Testonotaapidipagina"/>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EB4"/>
    <w:multiLevelType w:val="hybridMultilevel"/>
    <w:tmpl w:val="44EA2206"/>
    <w:lvl w:ilvl="0" w:tplc="CDF01D1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8B"/>
    <w:rsid w:val="00005B25"/>
    <w:rsid w:val="00025AC4"/>
    <w:rsid w:val="00036D78"/>
    <w:rsid w:val="00041689"/>
    <w:rsid w:val="000B7578"/>
    <w:rsid w:val="000F020D"/>
    <w:rsid w:val="00100A8B"/>
    <w:rsid w:val="00154D23"/>
    <w:rsid w:val="00194113"/>
    <w:rsid w:val="001A029B"/>
    <w:rsid w:val="001B190C"/>
    <w:rsid w:val="001F257C"/>
    <w:rsid w:val="001F668F"/>
    <w:rsid w:val="00203B3F"/>
    <w:rsid w:val="00246EBE"/>
    <w:rsid w:val="002A1AE5"/>
    <w:rsid w:val="002C06B7"/>
    <w:rsid w:val="00322BC4"/>
    <w:rsid w:val="0035095E"/>
    <w:rsid w:val="0036498A"/>
    <w:rsid w:val="003758CE"/>
    <w:rsid w:val="0039562B"/>
    <w:rsid w:val="003B2BF8"/>
    <w:rsid w:val="003D1BD4"/>
    <w:rsid w:val="003D547D"/>
    <w:rsid w:val="00411833"/>
    <w:rsid w:val="00465477"/>
    <w:rsid w:val="00474A63"/>
    <w:rsid w:val="00477A9D"/>
    <w:rsid w:val="0048052B"/>
    <w:rsid w:val="004824DF"/>
    <w:rsid w:val="00482D0A"/>
    <w:rsid w:val="004C154E"/>
    <w:rsid w:val="004C5E2B"/>
    <w:rsid w:val="004E7A33"/>
    <w:rsid w:val="0057268A"/>
    <w:rsid w:val="005803D2"/>
    <w:rsid w:val="005A0095"/>
    <w:rsid w:val="005B3B77"/>
    <w:rsid w:val="005E7843"/>
    <w:rsid w:val="0061375C"/>
    <w:rsid w:val="00624C2B"/>
    <w:rsid w:val="00626645"/>
    <w:rsid w:val="00626E65"/>
    <w:rsid w:val="00630C6C"/>
    <w:rsid w:val="00644885"/>
    <w:rsid w:val="006565E3"/>
    <w:rsid w:val="0069164B"/>
    <w:rsid w:val="00707385"/>
    <w:rsid w:val="00751F9F"/>
    <w:rsid w:val="00763AC6"/>
    <w:rsid w:val="00785574"/>
    <w:rsid w:val="007D3CB2"/>
    <w:rsid w:val="00821DCF"/>
    <w:rsid w:val="00822546"/>
    <w:rsid w:val="00845AF7"/>
    <w:rsid w:val="0088089F"/>
    <w:rsid w:val="00901490"/>
    <w:rsid w:val="00931F88"/>
    <w:rsid w:val="0093427A"/>
    <w:rsid w:val="009444E8"/>
    <w:rsid w:val="009B3F23"/>
    <w:rsid w:val="009C5956"/>
    <w:rsid w:val="009D6110"/>
    <w:rsid w:val="00A132E1"/>
    <w:rsid w:val="00A22C55"/>
    <w:rsid w:val="00A35184"/>
    <w:rsid w:val="00A547A6"/>
    <w:rsid w:val="00AB0862"/>
    <w:rsid w:val="00AB1BE2"/>
    <w:rsid w:val="00AC7DF2"/>
    <w:rsid w:val="00AF0624"/>
    <w:rsid w:val="00AF088B"/>
    <w:rsid w:val="00AF10AC"/>
    <w:rsid w:val="00AF2B78"/>
    <w:rsid w:val="00B3721E"/>
    <w:rsid w:val="00B720C8"/>
    <w:rsid w:val="00B8353A"/>
    <w:rsid w:val="00BD2A0E"/>
    <w:rsid w:val="00BE346A"/>
    <w:rsid w:val="00BF4E59"/>
    <w:rsid w:val="00C0153A"/>
    <w:rsid w:val="00C3065D"/>
    <w:rsid w:val="00CD1177"/>
    <w:rsid w:val="00D01323"/>
    <w:rsid w:val="00D048E0"/>
    <w:rsid w:val="00D04B3B"/>
    <w:rsid w:val="00D841A1"/>
    <w:rsid w:val="00DD784C"/>
    <w:rsid w:val="00DE4435"/>
    <w:rsid w:val="00DF4E48"/>
    <w:rsid w:val="00E04C98"/>
    <w:rsid w:val="00E42A05"/>
    <w:rsid w:val="00E4436C"/>
    <w:rsid w:val="00E56BCD"/>
    <w:rsid w:val="00E71366"/>
    <w:rsid w:val="00E83D97"/>
    <w:rsid w:val="00EA4151"/>
    <w:rsid w:val="00EC116F"/>
    <w:rsid w:val="00F42A39"/>
    <w:rsid w:val="00F43A0B"/>
    <w:rsid w:val="00F76BFD"/>
    <w:rsid w:val="00F7755E"/>
    <w:rsid w:val="00F95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5588"/>
  <w15:chartTrackingRefBased/>
  <w15:docId w15:val="{8477D86E-8A8E-4377-9221-AEEF5F90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F02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F020D"/>
    <w:rPr>
      <w:sz w:val="20"/>
      <w:szCs w:val="20"/>
    </w:rPr>
  </w:style>
  <w:style w:type="character" w:styleId="Rimandonotaapidipagina">
    <w:name w:val="footnote reference"/>
    <w:basedOn w:val="Carpredefinitoparagrafo"/>
    <w:uiPriority w:val="99"/>
    <w:semiHidden/>
    <w:unhideWhenUsed/>
    <w:rsid w:val="000F020D"/>
    <w:rPr>
      <w:vertAlign w:val="superscript"/>
    </w:rPr>
  </w:style>
  <w:style w:type="character" w:styleId="Collegamentoipertestuale">
    <w:name w:val="Hyperlink"/>
    <w:basedOn w:val="Carpredefinitoparagrafo"/>
    <w:uiPriority w:val="99"/>
    <w:unhideWhenUsed/>
    <w:rsid w:val="00D04B3B"/>
    <w:rPr>
      <w:color w:val="0563C1" w:themeColor="hyperlink"/>
      <w:u w:val="single"/>
    </w:rPr>
  </w:style>
  <w:style w:type="character" w:customStyle="1" w:styleId="UnresolvedMention">
    <w:name w:val="Unresolved Mention"/>
    <w:basedOn w:val="Carpredefinitoparagrafo"/>
    <w:uiPriority w:val="99"/>
    <w:semiHidden/>
    <w:unhideWhenUsed/>
    <w:rsid w:val="00D04B3B"/>
    <w:rPr>
      <w:color w:val="605E5C"/>
      <w:shd w:val="clear" w:color="auto" w:fill="E1DFDD"/>
    </w:rPr>
  </w:style>
  <w:style w:type="paragraph" w:styleId="Intestazione">
    <w:name w:val="header"/>
    <w:basedOn w:val="Normale"/>
    <w:link w:val="IntestazioneCarattere"/>
    <w:uiPriority w:val="99"/>
    <w:unhideWhenUsed/>
    <w:rsid w:val="00A351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5184"/>
  </w:style>
  <w:style w:type="paragraph" w:styleId="Pidipagina">
    <w:name w:val="footer"/>
    <w:basedOn w:val="Normale"/>
    <w:link w:val="PidipaginaCarattere"/>
    <w:uiPriority w:val="99"/>
    <w:unhideWhenUsed/>
    <w:rsid w:val="00A351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5184"/>
  </w:style>
  <w:style w:type="paragraph" w:styleId="Paragrafoelenco">
    <w:name w:val="List Paragraph"/>
    <w:basedOn w:val="Normale"/>
    <w:uiPriority w:val="34"/>
    <w:qFormat/>
    <w:rsid w:val="00B8353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534666">
      <w:bodyDiv w:val="1"/>
      <w:marLeft w:val="0"/>
      <w:marRight w:val="0"/>
      <w:marTop w:val="0"/>
      <w:marBottom w:val="0"/>
      <w:divBdr>
        <w:top w:val="none" w:sz="0" w:space="0" w:color="auto"/>
        <w:left w:val="none" w:sz="0" w:space="0" w:color="auto"/>
        <w:bottom w:val="none" w:sz="0" w:space="0" w:color="auto"/>
        <w:right w:val="none" w:sz="0" w:space="0" w:color="auto"/>
      </w:divBdr>
    </w:div>
    <w:div w:id="1066221972">
      <w:bodyDiv w:val="1"/>
      <w:marLeft w:val="0"/>
      <w:marRight w:val="0"/>
      <w:marTop w:val="0"/>
      <w:marBottom w:val="0"/>
      <w:divBdr>
        <w:top w:val="none" w:sz="0" w:space="0" w:color="auto"/>
        <w:left w:val="none" w:sz="0" w:space="0" w:color="auto"/>
        <w:bottom w:val="none" w:sz="0" w:space="0" w:color="auto"/>
        <w:right w:val="none" w:sz="0" w:space="0" w:color="auto"/>
      </w:divBdr>
      <w:divsChild>
        <w:div w:id="209458723">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rera.it/it/docs/11/098-11arg.htm" TargetMode="External"/><Relationship Id="rId2" Type="http://schemas.openxmlformats.org/officeDocument/2006/relationships/hyperlink" Target="https://ec.europa.eu/transparency/regdoc/rep/1/2016/IT/COM-2016-752-F1-IT-MAIN.PDF" TargetMode="External"/><Relationship Id="rId1" Type="http://schemas.openxmlformats.org/officeDocument/2006/relationships/hyperlink" Target="http://europa.eu/rapid/press-release_IP-18-682_it.htm" TargetMode="External"/><Relationship Id="rId5" Type="http://schemas.openxmlformats.org/officeDocument/2006/relationships/hyperlink" Target="https://www.arera.it/it/docs/13/447-13.htm" TargetMode="External"/><Relationship Id="rId4" Type="http://schemas.openxmlformats.org/officeDocument/2006/relationships/hyperlink" Target="https://www.arera.it/it/docs/18/261-1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FDDB-1BAB-4A32-B116-E703F7C5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3611</Words>
  <Characters>20583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Silipo</dc:creator>
  <cp:keywords/>
  <dc:description/>
  <cp:lastModifiedBy>FERRARI Giulia</cp:lastModifiedBy>
  <cp:revision>3</cp:revision>
  <dcterms:created xsi:type="dcterms:W3CDTF">2019-04-15T21:09:00Z</dcterms:created>
  <dcterms:modified xsi:type="dcterms:W3CDTF">2019-04-15T21:11:00Z</dcterms:modified>
</cp:coreProperties>
</file>