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BF02C" w14:textId="77777777" w:rsidR="00D52B8A" w:rsidRDefault="00D52B8A" w:rsidP="00D52B8A">
      <w:pPr>
        <w:spacing w:line="360" w:lineRule="auto"/>
        <w:jc w:val="center"/>
        <w:rPr>
          <w:sz w:val="28"/>
          <w:szCs w:val="28"/>
        </w:rPr>
      </w:pPr>
    </w:p>
    <w:p w14:paraId="0DE9B17D" w14:textId="283F88CE" w:rsidR="00D52B8A" w:rsidRDefault="00B96866" w:rsidP="00D52B8A">
      <w:pPr>
        <w:spacing w:line="360" w:lineRule="auto"/>
        <w:jc w:val="center"/>
        <w:rPr>
          <w:b/>
          <w:sz w:val="32"/>
          <w:szCs w:val="32"/>
        </w:rPr>
      </w:pPr>
      <w:bookmarkStart w:id="0" w:name="_GoBack"/>
      <w:r>
        <w:rPr>
          <w:b/>
          <w:sz w:val="32"/>
          <w:szCs w:val="32"/>
        </w:rPr>
        <w:t>Il r</w:t>
      </w:r>
      <w:r w:rsidR="00D52B8A">
        <w:rPr>
          <w:b/>
          <w:sz w:val="32"/>
          <w:szCs w:val="32"/>
        </w:rPr>
        <w:t xml:space="preserve">iparto di </w:t>
      </w:r>
      <w:r>
        <w:rPr>
          <w:b/>
          <w:sz w:val="32"/>
          <w:szCs w:val="32"/>
        </w:rPr>
        <w:t>giurisdizione</w:t>
      </w:r>
      <w:bookmarkEnd w:id="0"/>
      <w:r>
        <w:rPr>
          <w:b/>
          <w:sz w:val="32"/>
          <w:szCs w:val="32"/>
        </w:rPr>
        <w:t>: dalla separazione alla integrazione delle tutele</w:t>
      </w:r>
    </w:p>
    <w:p w14:paraId="594AB24B" w14:textId="77777777" w:rsidR="00B96866" w:rsidRPr="00F5104E" w:rsidRDefault="00B96866" w:rsidP="00EE0EFC">
      <w:pPr>
        <w:spacing w:line="360" w:lineRule="auto"/>
        <w:jc w:val="center"/>
        <w:rPr>
          <w:sz w:val="20"/>
          <w:szCs w:val="20"/>
        </w:rPr>
      </w:pPr>
      <w:r w:rsidRPr="00F5104E">
        <w:rPr>
          <w:sz w:val="20"/>
          <w:szCs w:val="20"/>
        </w:rPr>
        <w:t>(Relazione</w:t>
      </w:r>
      <w:r w:rsidR="00EE0EFC" w:rsidRPr="00F5104E">
        <w:rPr>
          <w:sz w:val="20"/>
          <w:szCs w:val="20"/>
        </w:rPr>
        <w:t xml:space="preserve"> al Convegno per i 130 anni dell’istituzione della Quarta Sezione del Consiglio di Stato – Roma, Palazzo Spada, 20 novembre 2019)</w:t>
      </w:r>
    </w:p>
    <w:p w14:paraId="21A6D5B1" w14:textId="77777777" w:rsidR="00B96866" w:rsidRDefault="00B96866" w:rsidP="00D52B8A">
      <w:pPr>
        <w:spacing w:line="360" w:lineRule="auto"/>
        <w:jc w:val="center"/>
        <w:rPr>
          <w:b/>
          <w:sz w:val="32"/>
          <w:szCs w:val="32"/>
        </w:rPr>
      </w:pPr>
    </w:p>
    <w:p w14:paraId="1860B71A" w14:textId="23E29DC0" w:rsidR="00FB5BC5" w:rsidRDefault="00EC4649" w:rsidP="00216E12">
      <w:pPr>
        <w:spacing w:line="360" w:lineRule="auto"/>
        <w:jc w:val="both"/>
        <w:rPr>
          <w:b/>
          <w:sz w:val="28"/>
          <w:szCs w:val="28"/>
        </w:rPr>
      </w:pPr>
      <w:r>
        <w:rPr>
          <w:b/>
          <w:sz w:val="28"/>
          <w:szCs w:val="28"/>
        </w:rPr>
        <w:t xml:space="preserve">1. Diritti soggettivi e interessi legittimi </w:t>
      </w:r>
      <w:r w:rsidR="00216E12">
        <w:rPr>
          <w:b/>
          <w:sz w:val="28"/>
          <w:szCs w:val="28"/>
        </w:rPr>
        <w:t>quali tecniche di tutela di beni della vita</w:t>
      </w:r>
      <w:r w:rsidR="00BB3554">
        <w:rPr>
          <w:b/>
          <w:sz w:val="28"/>
          <w:szCs w:val="28"/>
        </w:rPr>
        <w:t>.</w:t>
      </w:r>
    </w:p>
    <w:p w14:paraId="4E2B6CDF" w14:textId="788D4078" w:rsidR="00DB0B0A" w:rsidRDefault="00235A38" w:rsidP="00C9147D">
      <w:pPr>
        <w:spacing w:line="360" w:lineRule="auto"/>
        <w:ind w:firstLine="708"/>
        <w:jc w:val="both"/>
        <w:rPr>
          <w:sz w:val="28"/>
          <w:szCs w:val="28"/>
        </w:rPr>
      </w:pPr>
      <w:r>
        <w:rPr>
          <w:sz w:val="28"/>
          <w:szCs w:val="28"/>
        </w:rPr>
        <w:t xml:space="preserve">Siamo alla fine del ventennio aperto dalla storica pronuncia n. 500 del 1999 delle sezioni unite della Corte di cassazione. </w:t>
      </w:r>
      <w:r w:rsidR="00123422">
        <w:rPr>
          <w:sz w:val="28"/>
          <w:szCs w:val="28"/>
        </w:rPr>
        <w:t xml:space="preserve"> Si è trattato di un ventennio di grande significato per la giustizia amministrativa perché ha portato a compimento il passaggio dallo Stato di diritto amministrativo allo Stato costituzionale di diritto amministrativo</w:t>
      </w:r>
      <w:r w:rsidR="00C4457C">
        <w:rPr>
          <w:sz w:val="28"/>
          <w:szCs w:val="28"/>
        </w:rPr>
        <w:t xml:space="preserve"> grazie alla </w:t>
      </w:r>
      <w:r w:rsidR="00F061E0">
        <w:rPr>
          <w:sz w:val="28"/>
          <w:szCs w:val="28"/>
        </w:rPr>
        <w:t xml:space="preserve">raggiunta piena giustiziabilità </w:t>
      </w:r>
      <w:r w:rsidR="00C4457C">
        <w:rPr>
          <w:sz w:val="28"/>
          <w:szCs w:val="28"/>
        </w:rPr>
        <w:t xml:space="preserve">delle posizioni soggettive che fronteggiano il </w:t>
      </w:r>
      <w:r w:rsidR="00F061E0">
        <w:rPr>
          <w:sz w:val="28"/>
          <w:szCs w:val="28"/>
        </w:rPr>
        <w:t>potere amministrativo.</w:t>
      </w:r>
      <w:r w:rsidR="004F7CD5">
        <w:rPr>
          <w:sz w:val="28"/>
          <w:szCs w:val="28"/>
        </w:rPr>
        <w:t xml:space="preserve"> Il codice del processo amministrativo segna la definitiva fuoriuscita dalla specialità della giustizia amministrativa per cui oggi può ben dirsi che l’art. 24</w:t>
      </w:r>
      <w:r w:rsidR="0091478B">
        <w:rPr>
          <w:sz w:val="28"/>
          <w:szCs w:val="28"/>
        </w:rPr>
        <w:t>, comma 1, della Costituzione («Tutti possono agire in giudizio per la tutela dei propri diritti e interessi legittimi») costituisca</w:t>
      </w:r>
      <w:r w:rsidR="005848BC">
        <w:rPr>
          <w:sz w:val="28"/>
          <w:szCs w:val="28"/>
        </w:rPr>
        <w:t xml:space="preserve"> la </w:t>
      </w:r>
      <w:r w:rsidR="005848BC">
        <w:rPr>
          <w:i/>
          <w:sz w:val="28"/>
          <w:szCs w:val="28"/>
        </w:rPr>
        <w:t>grundnorm</w:t>
      </w:r>
      <w:r w:rsidR="005848BC">
        <w:rPr>
          <w:sz w:val="28"/>
          <w:szCs w:val="28"/>
        </w:rPr>
        <w:t xml:space="preserve"> di un sistema unitario di tutela delle posizioni soggettive. I passaggi di questa evoluzione sono noti</w:t>
      </w:r>
      <w:r w:rsidR="00DB0B0A">
        <w:rPr>
          <w:sz w:val="28"/>
          <w:szCs w:val="28"/>
        </w:rPr>
        <w:t xml:space="preserve">. E’ sufficiente qui ricordare la </w:t>
      </w:r>
      <w:r w:rsidR="00DB0B0A">
        <w:rPr>
          <w:i/>
          <w:sz w:val="28"/>
          <w:szCs w:val="28"/>
        </w:rPr>
        <w:t>translatio iudicii</w:t>
      </w:r>
      <w:r w:rsidR="00DB0B0A">
        <w:rPr>
          <w:sz w:val="28"/>
          <w:szCs w:val="28"/>
        </w:rPr>
        <w:t xml:space="preserve"> quale porta di accesso ad un sistema unitario</w:t>
      </w:r>
      <w:r w:rsidR="00B425BC">
        <w:rPr>
          <w:sz w:val="28"/>
          <w:szCs w:val="28"/>
        </w:rPr>
        <w:t>, benché organicamente distinto,</w:t>
      </w:r>
      <w:r w:rsidR="00DB0B0A">
        <w:rPr>
          <w:sz w:val="28"/>
          <w:szCs w:val="28"/>
        </w:rPr>
        <w:t xml:space="preserve"> di esercizio della funzione giudiziaria e di tutela delle posizioni soggettive. L’integrazione in questo sistema consente alla giustizia amministrativa di realizzarsi pienamente come giurisdizione soggettiva, sede di tutela delle posizioni soggettive che fronteggiano la pubblica amministrazione improntata ai criteri dell’effettività e della concentrazione delle tutele. “Giustizia nell’amministrazione”, per riprendere la formula dell’art. 100 </w:t>
      </w:r>
      <w:r w:rsidR="009F09AF">
        <w:rPr>
          <w:sz w:val="28"/>
          <w:szCs w:val="28"/>
        </w:rPr>
        <w:t>della Costituzione</w:t>
      </w:r>
      <w:r w:rsidR="00DB0B0A">
        <w:rPr>
          <w:sz w:val="28"/>
          <w:szCs w:val="28"/>
        </w:rPr>
        <w:t xml:space="preserve">, </w:t>
      </w:r>
      <w:r w:rsidR="00767B43">
        <w:rPr>
          <w:sz w:val="28"/>
          <w:szCs w:val="28"/>
        </w:rPr>
        <w:t xml:space="preserve">significa ormai </w:t>
      </w:r>
      <w:r w:rsidR="00CA42C6">
        <w:rPr>
          <w:sz w:val="28"/>
          <w:szCs w:val="28"/>
        </w:rPr>
        <w:t>processo amministrativo in chiave soggettiva di tutela del</w:t>
      </w:r>
      <w:r w:rsidR="00535F8C">
        <w:rPr>
          <w:sz w:val="28"/>
          <w:szCs w:val="28"/>
        </w:rPr>
        <w:t xml:space="preserve"> be</w:t>
      </w:r>
      <w:r w:rsidR="00083592">
        <w:rPr>
          <w:sz w:val="28"/>
          <w:szCs w:val="28"/>
        </w:rPr>
        <w:t>ne della vita e non in quella</w:t>
      </w:r>
      <w:r w:rsidR="00CA42C6">
        <w:rPr>
          <w:sz w:val="28"/>
          <w:szCs w:val="28"/>
        </w:rPr>
        <w:t xml:space="preserve"> oggettiva </w:t>
      </w:r>
      <w:r w:rsidR="00535F8C">
        <w:rPr>
          <w:sz w:val="28"/>
          <w:szCs w:val="28"/>
        </w:rPr>
        <w:t>di controllo di legalità</w:t>
      </w:r>
      <w:r w:rsidR="007954F6">
        <w:rPr>
          <w:sz w:val="28"/>
          <w:szCs w:val="28"/>
        </w:rPr>
        <w:t xml:space="preserve"> dell’atto, come è dimostrato dall’acquisito primato del “rapporto amministrativo” e </w:t>
      </w:r>
      <w:r w:rsidR="00296E1B">
        <w:rPr>
          <w:sz w:val="28"/>
          <w:szCs w:val="28"/>
        </w:rPr>
        <w:t xml:space="preserve">dall’effetto </w:t>
      </w:r>
      <w:r w:rsidR="00296E1B">
        <w:rPr>
          <w:sz w:val="28"/>
          <w:szCs w:val="28"/>
        </w:rPr>
        <w:lastRenderedPageBreak/>
        <w:t xml:space="preserve">conformativo della sentenza del giudice amministrativo. </w:t>
      </w:r>
      <w:r w:rsidR="006D4224">
        <w:rPr>
          <w:sz w:val="28"/>
          <w:szCs w:val="28"/>
        </w:rPr>
        <w:t xml:space="preserve">La cognizione che quest’ultimo ha dei diritti fondamentali </w:t>
      </w:r>
      <w:r w:rsidR="00664D54">
        <w:rPr>
          <w:sz w:val="28"/>
          <w:szCs w:val="28"/>
        </w:rPr>
        <w:t xml:space="preserve">nelle materie </w:t>
      </w:r>
      <w:r w:rsidR="006D4224">
        <w:rPr>
          <w:sz w:val="28"/>
          <w:szCs w:val="28"/>
        </w:rPr>
        <w:t xml:space="preserve">di </w:t>
      </w:r>
      <w:r w:rsidR="00DB0B0A">
        <w:rPr>
          <w:sz w:val="28"/>
          <w:szCs w:val="28"/>
        </w:rPr>
        <w:t>giurisdizione esclusiva</w:t>
      </w:r>
      <w:r w:rsidR="00664D54">
        <w:rPr>
          <w:sz w:val="28"/>
          <w:szCs w:val="28"/>
        </w:rPr>
        <w:t xml:space="preserve"> è il segno più tangibile </w:t>
      </w:r>
      <w:r w:rsidR="00676668">
        <w:rPr>
          <w:sz w:val="28"/>
          <w:szCs w:val="28"/>
        </w:rPr>
        <w:t>di una funzione ormai pienamente costituzionalizzata</w:t>
      </w:r>
      <w:r w:rsidR="00DB0B0A">
        <w:rPr>
          <w:sz w:val="28"/>
          <w:szCs w:val="28"/>
        </w:rPr>
        <w:t>.</w:t>
      </w:r>
    </w:p>
    <w:p w14:paraId="28853657" w14:textId="6DF1C512" w:rsidR="00430996" w:rsidRDefault="005919D2" w:rsidP="00DB0B0A">
      <w:pPr>
        <w:spacing w:line="360" w:lineRule="auto"/>
        <w:jc w:val="both"/>
        <w:rPr>
          <w:sz w:val="28"/>
          <w:szCs w:val="28"/>
        </w:rPr>
      </w:pPr>
      <w:r>
        <w:rPr>
          <w:sz w:val="28"/>
          <w:szCs w:val="28"/>
        </w:rPr>
        <w:tab/>
        <w:t xml:space="preserve">L’integrazione delle tutele </w:t>
      </w:r>
      <w:r w:rsidR="00D65873">
        <w:rPr>
          <w:sz w:val="28"/>
          <w:szCs w:val="28"/>
        </w:rPr>
        <w:t xml:space="preserve">processuali </w:t>
      </w:r>
      <w:r>
        <w:rPr>
          <w:sz w:val="28"/>
          <w:szCs w:val="28"/>
        </w:rPr>
        <w:t>in sede di esercizio della funzione giudiziaria</w:t>
      </w:r>
      <w:r w:rsidR="00D65873">
        <w:rPr>
          <w:sz w:val="28"/>
          <w:szCs w:val="28"/>
        </w:rPr>
        <w:t xml:space="preserve"> è lo specchio di una raggiunta equiordinazione </w:t>
      </w:r>
      <w:r w:rsidR="009A2DAC">
        <w:rPr>
          <w:sz w:val="28"/>
          <w:szCs w:val="28"/>
        </w:rPr>
        <w:t xml:space="preserve">sul piano sostanziale </w:t>
      </w:r>
      <w:r w:rsidR="00D65873">
        <w:rPr>
          <w:sz w:val="28"/>
          <w:szCs w:val="28"/>
        </w:rPr>
        <w:t>di diritti soggettivi e interessi legittimi</w:t>
      </w:r>
      <w:r w:rsidR="009A2DAC">
        <w:rPr>
          <w:sz w:val="28"/>
          <w:szCs w:val="28"/>
        </w:rPr>
        <w:t xml:space="preserve">, non a caso dall’art. 24 posti sullo stesso piano. </w:t>
      </w:r>
      <w:r w:rsidR="00DB0B0A">
        <w:rPr>
          <w:sz w:val="28"/>
          <w:szCs w:val="28"/>
        </w:rPr>
        <w:t xml:space="preserve">Diritti soggettivi e interessi legittimi non sono altro che tecniche apprestate dall’ordinamento </w:t>
      </w:r>
      <w:r w:rsidR="009A2DAC">
        <w:rPr>
          <w:sz w:val="28"/>
          <w:szCs w:val="28"/>
        </w:rPr>
        <w:t xml:space="preserve">positivo </w:t>
      </w:r>
      <w:r w:rsidR="00DB0B0A">
        <w:rPr>
          <w:sz w:val="28"/>
          <w:szCs w:val="28"/>
        </w:rPr>
        <w:t xml:space="preserve">per la tutela in forma specifica di beni della vita. </w:t>
      </w:r>
      <w:r w:rsidR="003C2FF6">
        <w:rPr>
          <w:sz w:val="28"/>
          <w:szCs w:val="28"/>
        </w:rPr>
        <w:t>Il sistema funzionalmente unitario ed integrato di tutele</w:t>
      </w:r>
      <w:r w:rsidR="00344873">
        <w:rPr>
          <w:sz w:val="28"/>
          <w:szCs w:val="28"/>
        </w:rPr>
        <w:t xml:space="preserve"> processuali, </w:t>
      </w:r>
      <w:r w:rsidR="003C2FF6">
        <w:rPr>
          <w:sz w:val="28"/>
          <w:szCs w:val="28"/>
        </w:rPr>
        <w:t>ordinaria e amministrativa, rinviene il proprio fondamento sostanzia</w:t>
      </w:r>
      <w:r w:rsidR="00344873">
        <w:rPr>
          <w:sz w:val="28"/>
          <w:szCs w:val="28"/>
        </w:rPr>
        <w:t xml:space="preserve">le nel bene della vita. </w:t>
      </w:r>
      <w:r w:rsidR="00DB0B0A">
        <w:rPr>
          <w:sz w:val="28"/>
          <w:szCs w:val="28"/>
        </w:rPr>
        <w:t xml:space="preserve">Non c’è alcuna gerarchia fra </w:t>
      </w:r>
      <w:r w:rsidR="003C590C">
        <w:rPr>
          <w:sz w:val="28"/>
          <w:szCs w:val="28"/>
        </w:rPr>
        <w:t>diritti e interessi. Se si muove dalla premessa</w:t>
      </w:r>
      <w:r w:rsidR="00DB0B0A">
        <w:rPr>
          <w:sz w:val="28"/>
          <w:szCs w:val="28"/>
        </w:rPr>
        <w:t xml:space="preserve"> che i beni della vita sono sempre proiezione, in modo più o meno prossimo, di un qualch</w:t>
      </w:r>
      <w:r w:rsidR="003C590C">
        <w:rPr>
          <w:sz w:val="28"/>
          <w:szCs w:val="28"/>
        </w:rPr>
        <w:t>e diritto fondamentale, si deve</w:t>
      </w:r>
      <w:r w:rsidR="00DB0B0A">
        <w:rPr>
          <w:sz w:val="28"/>
          <w:szCs w:val="28"/>
        </w:rPr>
        <w:t xml:space="preserve"> concludere che diritti soggettivi e interessi legittimi sono entrambi riconducibili a bilanciamenti di principi costituzionali. Si tratta di tecniche di tutela in forma specifica del bene della vita, perché la tutela per equivalente del bene della vita è affidata al rimedio risarcitorio. </w:t>
      </w:r>
      <w:r w:rsidR="00A125AA">
        <w:rPr>
          <w:sz w:val="28"/>
          <w:szCs w:val="28"/>
        </w:rPr>
        <w:t xml:space="preserve"> Se differenza </w:t>
      </w:r>
      <w:r w:rsidR="00DB0B0A">
        <w:rPr>
          <w:sz w:val="28"/>
          <w:szCs w:val="28"/>
        </w:rPr>
        <w:t xml:space="preserve">fra diritti e interessi </w:t>
      </w:r>
      <w:r w:rsidR="00344873">
        <w:rPr>
          <w:sz w:val="28"/>
          <w:szCs w:val="28"/>
        </w:rPr>
        <w:t xml:space="preserve">c’è, essa </w:t>
      </w:r>
      <w:r w:rsidR="00DB0B0A">
        <w:rPr>
          <w:sz w:val="28"/>
          <w:szCs w:val="28"/>
        </w:rPr>
        <w:t>risiede nel</w:t>
      </w:r>
      <w:r w:rsidR="00344873">
        <w:rPr>
          <w:sz w:val="28"/>
          <w:szCs w:val="28"/>
        </w:rPr>
        <w:t>la fonte</w:t>
      </w:r>
      <w:r w:rsidR="00430996">
        <w:rPr>
          <w:sz w:val="28"/>
          <w:szCs w:val="28"/>
        </w:rPr>
        <w:t xml:space="preserve">. </w:t>
      </w:r>
      <w:r w:rsidR="00DB0B0A">
        <w:rPr>
          <w:sz w:val="28"/>
          <w:szCs w:val="28"/>
        </w:rPr>
        <w:t xml:space="preserve"> </w:t>
      </w:r>
      <w:r w:rsidR="00510961">
        <w:rPr>
          <w:sz w:val="28"/>
          <w:szCs w:val="28"/>
        </w:rPr>
        <w:t xml:space="preserve">La fonte del diritto soggettivo è una norma ordinaria di tutela del diritto, formulata in forma di fattispecie o di clausola generale. In mancanza della norma ordinaria, il diritto può direttamente essere accertato dal </w:t>
      </w:r>
      <w:r w:rsidR="008B1FAD">
        <w:rPr>
          <w:sz w:val="28"/>
          <w:szCs w:val="28"/>
        </w:rPr>
        <w:t>giudice sulla base della fonte costituzionale, provvedendo al bilanciamento fra principi in relazione alle circostanze del caso concreto.</w:t>
      </w:r>
      <w:r w:rsidR="004E42C1">
        <w:rPr>
          <w:sz w:val="28"/>
          <w:szCs w:val="28"/>
        </w:rPr>
        <w:t xml:space="preserve"> L’interesse legittimo postula invece la norma attributiva del potere amministrativo perché esso è i</w:t>
      </w:r>
      <w:r w:rsidR="00435706">
        <w:rPr>
          <w:sz w:val="28"/>
          <w:szCs w:val="28"/>
        </w:rPr>
        <w:t>mmanente alla dinamica del potere e si dispiega unitamente all’esercizio di quest’ultimo.</w:t>
      </w:r>
      <w:r w:rsidR="0007076B">
        <w:rPr>
          <w:sz w:val="28"/>
          <w:szCs w:val="28"/>
        </w:rPr>
        <w:t xml:space="preserve"> Se si esclude questa distinzione sul piano delle fonti, </w:t>
      </w:r>
      <w:r w:rsidR="00350246">
        <w:rPr>
          <w:sz w:val="28"/>
          <w:szCs w:val="28"/>
        </w:rPr>
        <w:t>vi è ormai una completa parificazione fra le due situazioni soggettive, perché l’unità</w:t>
      </w:r>
      <w:r w:rsidR="003E1BC5">
        <w:rPr>
          <w:sz w:val="28"/>
          <w:szCs w:val="28"/>
        </w:rPr>
        <w:t xml:space="preserve"> funzionale del sistema giurisdizionale poggia sull’unitaria fondazio</w:t>
      </w:r>
      <w:r w:rsidR="00AB7782">
        <w:rPr>
          <w:sz w:val="28"/>
          <w:szCs w:val="28"/>
        </w:rPr>
        <w:t>ne (sostanziale) di diritti e interessi nel bene della vita.</w:t>
      </w:r>
    </w:p>
    <w:p w14:paraId="00DDEB9D" w14:textId="61FE83F2" w:rsidR="00211BD5" w:rsidRDefault="002C253E" w:rsidP="00D329D3">
      <w:pPr>
        <w:spacing w:line="360" w:lineRule="auto"/>
        <w:jc w:val="both"/>
        <w:rPr>
          <w:rFonts w:cs="Courier"/>
          <w:sz w:val="28"/>
          <w:szCs w:val="28"/>
        </w:rPr>
      </w:pPr>
      <w:r>
        <w:rPr>
          <w:sz w:val="28"/>
          <w:szCs w:val="28"/>
        </w:rPr>
        <w:tab/>
        <w:t>Se diritti soggettivi e interessi legittimi non sono altro che tecniche di tutela in forma specifica di beni della vita</w:t>
      </w:r>
      <w:r w:rsidR="00582F86">
        <w:rPr>
          <w:sz w:val="28"/>
          <w:szCs w:val="28"/>
        </w:rPr>
        <w:t xml:space="preserve">, si devono allora superare </w:t>
      </w:r>
      <w:r w:rsidR="00DB0B0A">
        <w:rPr>
          <w:sz w:val="28"/>
          <w:szCs w:val="28"/>
        </w:rPr>
        <w:t xml:space="preserve">vecchie letture che </w:t>
      </w:r>
      <w:r w:rsidR="00DB0B0A">
        <w:rPr>
          <w:sz w:val="28"/>
          <w:szCs w:val="28"/>
        </w:rPr>
        <w:lastRenderedPageBreak/>
        <w:t xml:space="preserve">riservavano al diritto soggettivo la tutela di beni della vita c.d. incomprimibili.  </w:t>
      </w:r>
      <w:r w:rsidR="00582F86">
        <w:rPr>
          <w:sz w:val="28"/>
          <w:szCs w:val="28"/>
        </w:rPr>
        <w:t xml:space="preserve">La tesi dell’incomprimibilità </w:t>
      </w:r>
      <w:r w:rsidR="004106D4">
        <w:rPr>
          <w:sz w:val="28"/>
          <w:szCs w:val="28"/>
        </w:rPr>
        <w:t xml:space="preserve">muove da un assunto di tipo ontologico in base al quale </w:t>
      </w:r>
      <w:r w:rsidR="00741116">
        <w:rPr>
          <w:sz w:val="28"/>
          <w:szCs w:val="28"/>
        </w:rPr>
        <w:t xml:space="preserve">vi sono determinate posizioni soggettive che, per intima essenza, sarebbero impermeabili all’esercizio del potere amministrativo. Si tratta di una tesi che </w:t>
      </w:r>
      <w:r w:rsidR="00961D63">
        <w:rPr>
          <w:sz w:val="28"/>
          <w:szCs w:val="28"/>
        </w:rPr>
        <w:t>non considera un tratto caratterizzante del costituzionalismo contemporaneo</w:t>
      </w:r>
      <w:r w:rsidR="00131743">
        <w:rPr>
          <w:sz w:val="28"/>
          <w:szCs w:val="28"/>
        </w:rPr>
        <w:t xml:space="preserve">, la formulazione per principi dei diritti fondamentali e la necessità dunque della loro attuazione nella forma del bilanciamento. </w:t>
      </w:r>
      <w:r w:rsidR="008C29D9">
        <w:rPr>
          <w:sz w:val="28"/>
          <w:szCs w:val="28"/>
        </w:rPr>
        <w:t xml:space="preserve"> Come ha affermato </w:t>
      </w:r>
      <w:r w:rsidR="00D329D3">
        <w:rPr>
          <w:sz w:val="28"/>
          <w:szCs w:val="28"/>
        </w:rPr>
        <w:t>Cass. sez. u.  25 novembre 2014</w:t>
      </w:r>
      <w:r w:rsidR="008C29D9">
        <w:rPr>
          <w:sz w:val="28"/>
          <w:szCs w:val="28"/>
        </w:rPr>
        <w:t xml:space="preserve"> n. 25011</w:t>
      </w:r>
      <w:r w:rsidR="00D329D3">
        <w:rPr>
          <w:sz w:val="28"/>
          <w:szCs w:val="28"/>
        </w:rPr>
        <w:t>, «</w:t>
      </w:r>
      <w:r w:rsidR="008C29D9" w:rsidRPr="00D329D3">
        <w:rPr>
          <w:sz w:val="28"/>
          <w:szCs w:val="28"/>
          <w:lang w:bidi="x-none"/>
        </w:rPr>
        <w:t>la categoria dei diritti fondamentali non delimita un'area impenetrabile all'intervento di pubblici poteri autoritativi</w:t>
      </w:r>
      <w:r w:rsidR="00D329D3">
        <w:rPr>
          <w:sz w:val="28"/>
          <w:szCs w:val="28"/>
          <w:lang w:bidi="x-none"/>
        </w:rPr>
        <w:t xml:space="preserve">». </w:t>
      </w:r>
      <w:r w:rsidR="00DB0B0A">
        <w:rPr>
          <w:sz w:val="28"/>
          <w:szCs w:val="28"/>
        </w:rPr>
        <w:t xml:space="preserve">Si deve </w:t>
      </w:r>
      <w:r w:rsidR="00D329D3">
        <w:rPr>
          <w:sz w:val="28"/>
          <w:szCs w:val="28"/>
        </w:rPr>
        <w:t xml:space="preserve">pertanto </w:t>
      </w:r>
      <w:r w:rsidR="00DB0B0A">
        <w:rPr>
          <w:sz w:val="28"/>
          <w:szCs w:val="28"/>
        </w:rPr>
        <w:t xml:space="preserve">passare da un approccio ontologico ad un approccio di diritto positivo ed accertare quale sia la tecnica di tutela in forma specifica che l’ordinamento </w:t>
      </w:r>
      <w:r w:rsidR="001848BE">
        <w:rPr>
          <w:sz w:val="28"/>
          <w:szCs w:val="28"/>
        </w:rPr>
        <w:t xml:space="preserve">ha </w:t>
      </w:r>
      <w:r w:rsidR="00DB0B0A">
        <w:rPr>
          <w:sz w:val="28"/>
          <w:szCs w:val="28"/>
        </w:rPr>
        <w:t>assegna</w:t>
      </w:r>
      <w:r w:rsidR="001848BE">
        <w:rPr>
          <w:sz w:val="28"/>
          <w:szCs w:val="28"/>
        </w:rPr>
        <w:t>to</w:t>
      </w:r>
      <w:r w:rsidR="00DB0B0A">
        <w:rPr>
          <w:sz w:val="28"/>
          <w:szCs w:val="28"/>
        </w:rPr>
        <w:t xml:space="preserve"> al bene della vita. </w:t>
      </w:r>
      <w:r w:rsidR="001848BE">
        <w:rPr>
          <w:rFonts w:cs="Courier"/>
          <w:sz w:val="28"/>
          <w:szCs w:val="28"/>
        </w:rPr>
        <w:t>Il punto non è quello dell’</w:t>
      </w:r>
      <w:r w:rsidR="00DB0B0A">
        <w:rPr>
          <w:rFonts w:cs="Courier"/>
          <w:sz w:val="28"/>
          <w:szCs w:val="28"/>
        </w:rPr>
        <w:t>ontologica impermeabilità del diritto fondamentale all’esercizio del potere discrezionale della pubblica amministrazione. La questione è tutta di diritto positivo. L’interprete deve indagare se, in sede di b</w:t>
      </w:r>
      <w:r w:rsidR="00CB34F2">
        <w:rPr>
          <w:rFonts w:cs="Courier"/>
          <w:sz w:val="28"/>
          <w:szCs w:val="28"/>
        </w:rPr>
        <w:t>ilanciamento con altri principi</w:t>
      </w:r>
      <w:r w:rsidR="00DB0B0A">
        <w:rPr>
          <w:rFonts w:cs="Courier"/>
          <w:sz w:val="28"/>
          <w:szCs w:val="28"/>
        </w:rPr>
        <w:t xml:space="preserve"> costituzionali, il legislatore abbia attribuito alla pubblica amministrazione il potere in relazione ad un bene della vita riconducibil</w:t>
      </w:r>
      <w:r w:rsidR="00CB34F2">
        <w:rPr>
          <w:rFonts w:cs="Courier"/>
          <w:sz w:val="28"/>
          <w:szCs w:val="28"/>
        </w:rPr>
        <w:t>e ad un diritto fondamentale</w:t>
      </w:r>
      <w:r w:rsidR="00DB0B0A">
        <w:rPr>
          <w:rFonts w:cs="Courier"/>
          <w:sz w:val="28"/>
          <w:szCs w:val="28"/>
        </w:rPr>
        <w:t xml:space="preserve">, assegnando a quest’ultimo la tutela offerta dall’interesse legittimo, o abbia configurato la posizione soggettiva come diritto soggettivo, rispetto al quale tutti i soggetti, pubblici e privati, sono </w:t>
      </w:r>
      <w:r w:rsidR="000E7044">
        <w:rPr>
          <w:rFonts w:cs="Courier"/>
          <w:sz w:val="28"/>
          <w:szCs w:val="28"/>
        </w:rPr>
        <w:t xml:space="preserve">parimenti </w:t>
      </w:r>
      <w:r w:rsidR="00DB0B0A">
        <w:rPr>
          <w:rFonts w:cs="Courier"/>
          <w:sz w:val="28"/>
          <w:szCs w:val="28"/>
        </w:rPr>
        <w:t xml:space="preserve">obbligati. </w:t>
      </w:r>
      <w:r w:rsidR="00211BD5">
        <w:rPr>
          <w:rFonts w:cs="Courier"/>
          <w:sz w:val="28"/>
          <w:szCs w:val="28"/>
        </w:rPr>
        <w:t xml:space="preserve"> La regola di riparto </w:t>
      </w:r>
      <w:r w:rsidR="001663F4">
        <w:rPr>
          <w:rFonts w:cs="Courier"/>
          <w:sz w:val="28"/>
          <w:szCs w:val="28"/>
        </w:rPr>
        <w:t>della giurisdizione va perciò riletta come specifica forma del bilanciamento legislativo fra principi costituzionali</w:t>
      </w:r>
      <w:r w:rsidR="009C29C6">
        <w:rPr>
          <w:rFonts w:cs="Courier"/>
          <w:sz w:val="28"/>
          <w:szCs w:val="28"/>
        </w:rPr>
        <w:t xml:space="preserve">, che si è attuato in una norma attributiva del potere </w:t>
      </w:r>
      <w:r w:rsidR="0003062B">
        <w:rPr>
          <w:rFonts w:cs="Courier"/>
          <w:sz w:val="28"/>
          <w:szCs w:val="28"/>
        </w:rPr>
        <w:t xml:space="preserve">(ed il suo rovescio rappresentato dall’interesse legittimo) </w:t>
      </w:r>
      <w:r w:rsidR="009C29C6">
        <w:rPr>
          <w:rFonts w:cs="Courier"/>
          <w:sz w:val="28"/>
          <w:szCs w:val="28"/>
        </w:rPr>
        <w:t>o nel conferimento della tutela di diritto soggettivo</w:t>
      </w:r>
      <w:r w:rsidR="0003062B">
        <w:rPr>
          <w:rFonts w:cs="Courier"/>
          <w:sz w:val="28"/>
          <w:szCs w:val="28"/>
        </w:rPr>
        <w:t>.</w:t>
      </w:r>
    </w:p>
    <w:p w14:paraId="30041AE3" w14:textId="77777777" w:rsidR="00211BD5" w:rsidRDefault="00211BD5" w:rsidP="00D329D3">
      <w:pPr>
        <w:spacing w:line="360" w:lineRule="auto"/>
        <w:jc w:val="both"/>
        <w:rPr>
          <w:rFonts w:cs="Courier"/>
          <w:sz w:val="28"/>
          <w:szCs w:val="28"/>
        </w:rPr>
      </w:pPr>
    </w:p>
    <w:p w14:paraId="6F222684" w14:textId="0E95184E" w:rsidR="00AB7782" w:rsidRPr="00175E60" w:rsidRDefault="00175E60" w:rsidP="00175E60">
      <w:pPr>
        <w:spacing w:line="360" w:lineRule="auto"/>
        <w:jc w:val="both"/>
        <w:rPr>
          <w:b/>
          <w:sz w:val="28"/>
          <w:szCs w:val="28"/>
        </w:rPr>
      </w:pPr>
      <w:r>
        <w:rPr>
          <w:b/>
          <w:sz w:val="28"/>
          <w:szCs w:val="28"/>
        </w:rPr>
        <w:t xml:space="preserve">2. </w:t>
      </w:r>
      <w:r w:rsidR="008C1321">
        <w:rPr>
          <w:b/>
          <w:sz w:val="28"/>
          <w:szCs w:val="28"/>
        </w:rPr>
        <w:t>Tendenze di secolarizzazione del diritto amministrativo.</w:t>
      </w:r>
    </w:p>
    <w:p w14:paraId="19F9850F" w14:textId="27A7415E" w:rsidR="00DB0B0A" w:rsidRDefault="00D20278" w:rsidP="00C9147D">
      <w:pPr>
        <w:spacing w:line="360" w:lineRule="auto"/>
        <w:ind w:firstLine="708"/>
        <w:jc w:val="both"/>
        <w:rPr>
          <w:sz w:val="28"/>
          <w:szCs w:val="28"/>
        </w:rPr>
      </w:pPr>
      <w:r>
        <w:rPr>
          <w:sz w:val="28"/>
          <w:szCs w:val="28"/>
        </w:rPr>
        <w:t xml:space="preserve">Il </w:t>
      </w:r>
      <w:r w:rsidR="00DB0B0A">
        <w:rPr>
          <w:sz w:val="28"/>
          <w:szCs w:val="28"/>
        </w:rPr>
        <w:t>ventennio</w:t>
      </w:r>
      <w:r>
        <w:rPr>
          <w:sz w:val="28"/>
          <w:szCs w:val="28"/>
        </w:rPr>
        <w:t xml:space="preserve"> che abbiamo alle spalle </w:t>
      </w:r>
      <w:r w:rsidR="00931DD7">
        <w:rPr>
          <w:sz w:val="28"/>
          <w:szCs w:val="28"/>
        </w:rPr>
        <w:t>ha più di un volto</w:t>
      </w:r>
      <w:r w:rsidR="00DB0B0A">
        <w:rPr>
          <w:sz w:val="28"/>
          <w:szCs w:val="28"/>
        </w:rPr>
        <w:t xml:space="preserve">. </w:t>
      </w:r>
      <w:r w:rsidR="00A46875">
        <w:rPr>
          <w:sz w:val="28"/>
          <w:szCs w:val="28"/>
        </w:rPr>
        <w:t>E’</w:t>
      </w:r>
      <w:r w:rsidR="00DB0B0A">
        <w:rPr>
          <w:sz w:val="28"/>
          <w:szCs w:val="28"/>
        </w:rPr>
        <w:t xml:space="preserve"> un ventennio complesso perché la </w:t>
      </w:r>
      <w:r w:rsidR="003E0FEB">
        <w:rPr>
          <w:sz w:val="28"/>
          <w:szCs w:val="28"/>
        </w:rPr>
        <w:t>sua chiave di lettura non è soltanto quella del completamento</w:t>
      </w:r>
      <w:r w:rsidR="00DB0B0A">
        <w:rPr>
          <w:sz w:val="28"/>
          <w:szCs w:val="28"/>
        </w:rPr>
        <w:t xml:space="preserve"> della costituzionalizzazione della giustizia amministrativa. </w:t>
      </w:r>
      <w:r w:rsidR="00B32646">
        <w:rPr>
          <w:sz w:val="28"/>
          <w:szCs w:val="28"/>
        </w:rPr>
        <w:t>Parallelamente all’</w:t>
      </w:r>
      <w:r w:rsidR="003E0FEB">
        <w:rPr>
          <w:sz w:val="28"/>
          <w:szCs w:val="28"/>
        </w:rPr>
        <w:t>omogeneizzazione delle tutele</w:t>
      </w:r>
      <w:r w:rsidR="004506EB">
        <w:rPr>
          <w:sz w:val="28"/>
          <w:szCs w:val="28"/>
        </w:rPr>
        <w:t xml:space="preserve"> di diritti e interessi</w:t>
      </w:r>
      <w:r w:rsidR="006E14A9">
        <w:rPr>
          <w:sz w:val="28"/>
          <w:szCs w:val="28"/>
        </w:rPr>
        <w:t xml:space="preserve"> vi è stata </w:t>
      </w:r>
      <w:r w:rsidR="00DB0B0A">
        <w:rPr>
          <w:sz w:val="28"/>
          <w:szCs w:val="28"/>
        </w:rPr>
        <w:t xml:space="preserve">l’apertura di </w:t>
      </w:r>
      <w:r w:rsidR="00DB0B0A">
        <w:rPr>
          <w:sz w:val="28"/>
          <w:szCs w:val="28"/>
        </w:rPr>
        <w:lastRenderedPageBreak/>
        <w:t>tendenze dirette ad un mutamento di parad</w:t>
      </w:r>
      <w:r w:rsidR="006E14A9">
        <w:rPr>
          <w:sz w:val="28"/>
          <w:szCs w:val="28"/>
        </w:rPr>
        <w:t>igma del diritto amministrativo</w:t>
      </w:r>
      <w:r w:rsidR="00200A38">
        <w:rPr>
          <w:sz w:val="28"/>
          <w:szCs w:val="28"/>
        </w:rPr>
        <w:t xml:space="preserve"> per via di giurisdizione</w:t>
      </w:r>
      <w:r w:rsidR="00DB0B0A">
        <w:rPr>
          <w:sz w:val="28"/>
          <w:szCs w:val="28"/>
        </w:rPr>
        <w:t>. Si potrebbe parlare di tendenze di secolarizzazione del diritto amministr</w:t>
      </w:r>
      <w:r w:rsidR="006E14A9">
        <w:rPr>
          <w:sz w:val="28"/>
          <w:szCs w:val="28"/>
        </w:rPr>
        <w:t xml:space="preserve">ativo.  A partire da Cass. sez. u. </w:t>
      </w:r>
      <w:r w:rsidR="00E32580">
        <w:rPr>
          <w:sz w:val="28"/>
          <w:szCs w:val="28"/>
        </w:rPr>
        <w:t>22 luglio 1999, n.</w:t>
      </w:r>
      <w:r w:rsidR="00DB0B0A">
        <w:rPr>
          <w:sz w:val="28"/>
          <w:szCs w:val="28"/>
        </w:rPr>
        <w:t xml:space="preserve"> 500 si è aperto un processo di commistione di diritto amministrativo e diritto comune.  La modernità, come processo di secolarizzazione, ha attinto anche il diritto amministrativ</w:t>
      </w:r>
      <w:r w:rsidR="004270C4">
        <w:rPr>
          <w:sz w:val="28"/>
          <w:szCs w:val="28"/>
        </w:rPr>
        <w:t xml:space="preserve">o, incrinandone la separatezza dal diritto comune. </w:t>
      </w:r>
      <w:r w:rsidR="00DE147E">
        <w:rPr>
          <w:sz w:val="28"/>
          <w:szCs w:val="28"/>
        </w:rPr>
        <w:t xml:space="preserve">Non è un caso che responsabile </w:t>
      </w:r>
      <w:r w:rsidR="00816DC7">
        <w:rPr>
          <w:sz w:val="28"/>
          <w:szCs w:val="28"/>
        </w:rPr>
        <w:t>della relativizzazione di antiche sacertà sia stata la giurisdizione, perché la giurisprudenza è stato un formante decisivo nella storia del diritto amministrativo.</w:t>
      </w:r>
    </w:p>
    <w:p w14:paraId="14724B45" w14:textId="568375E9" w:rsidR="00DB0B0A" w:rsidRDefault="00074770" w:rsidP="00C354E8">
      <w:pPr>
        <w:spacing w:line="360" w:lineRule="auto"/>
        <w:jc w:val="both"/>
        <w:rPr>
          <w:sz w:val="28"/>
          <w:szCs w:val="28"/>
        </w:rPr>
      </w:pPr>
      <w:r>
        <w:rPr>
          <w:sz w:val="28"/>
          <w:szCs w:val="28"/>
        </w:rPr>
        <w:tab/>
      </w:r>
      <w:r w:rsidR="0070757B">
        <w:rPr>
          <w:sz w:val="28"/>
          <w:szCs w:val="28"/>
        </w:rPr>
        <w:t>La 500 è nota per avere rappresentato</w:t>
      </w:r>
      <w:r w:rsidR="001568E5">
        <w:rPr>
          <w:sz w:val="28"/>
          <w:szCs w:val="28"/>
        </w:rPr>
        <w:t xml:space="preserve"> il crollo del muro dell’irrisarcibilità degli interess</w:t>
      </w:r>
      <w:r w:rsidR="00200A38">
        <w:rPr>
          <w:sz w:val="28"/>
          <w:szCs w:val="28"/>
        </w:rPr>
        <w:t>i legittimi.</w:t>
      </w:r>
      <w:r w:rsidR="0070757B">
        <w:rPr>
          <w:sz w:val="28"/>
          <w:szCs w:val="28"/>
        </w:rPr>
        <w:t xml:space="preserve"> Fu soprattutto questo, ma non fu solo questo. </w:t>
      </w:r>
      <w:r w:rsidR="00733247">
        <w:rPr>
          <w:sz w:val="28"/>
          <w:szCs w:val="28"/>
        </w:rPr>
        <w:t>Significò per la giurisdizione ordinaria il definitivo approdo alla nozione di danno ingiusto come clausola generale, ma significò</w:t>
      </w:r>
      <w:r w:rsidR="00E70CDE">
        <w:rPr>
          <w:sz w:val="28"/>
          <w:szCs w:val="28"/>
        </w:rPr>
        <w:t xml:space="preserve"> anche</w:t>
      </w:r>
      <w:r w:rsidR="009C6341">
        <w:rPr>
          <w:sz w:val="28"/>
          <w:szCs w:val="28"/>
        </w:rPr>
        <w:t>, come osservammo all’indomani della 500</w:t>
      </w:r>
      <w:r w:rsidR="00FC4868">
        <w:rPr>
          <w:sz w:val="28"/>
          <w:szCs w:val="28"/>
        </w:rPr>
        <w:t xml:space="preserve"> (</w:t>
      </w:r>
      <w:r w:rsidR="004506EB">
        <w:rPr>
          <w:sz w:val="28"/>
          <w:szCs w:val="28"/>
        </w:rPr>
        <w:t xml:space="preserve">E. Scoditti, </w:t>
      </w:r>
      <w:r w:rsidR="00FC4868">
        <w:rPr>
          <w:i/>
          <w:sz w:val="28"/>
          <w:szCs w:val="28"/>
        </w:rPr>
        <w:t>L’interesse legittimo e il costituzionalismo. Conseguenze della svolta giurisprudenziale in materia risarcitoria</w:t>
      </w:r>
      <w:r w:rsidR="00E70CDE">
        <w:rPr>
          <w:sz w:val="28"/>
          <w:szCs w:val="28"/>
        </w:rPr>
        <w:t xml:space="preserve">, in </w:t>
      </w:r>
      <w:r w:rsidR="00E70CDE">
        <w:rPr>
          <w:i/>
          <w:sz w:val="28"/>
          <w:szCs w:val="28"/>
        </w:rPr>
        <w:t>Il Foro italiano</w:t>
      </w:r>
      <w:r w:rsidR="00E70CDE">
        <w:rPr>
          <w:sz w:val="28"/>
          <w:szCs w:val="28"/>
        </w:rPr>
        <w:t>, 1999, I, col. 3226)</w:t>
      </w:r>
      <w:r w:rsidR="009C6341">
        <w:rPr>
          <w:sz w:val="28"/>
          <w:szCs w:val="28"/>
        </w:rPr>
        <w:t>,</w:t>
      </w:r>
      <w:r w:rsidR="00E70CDE">
        <w:rPr>
          <w:sz w:val="28"/>
          <w:szCs w:val="28"/>
        </w:rPr>
        <w:t xml:space="preserve"> </w:t>
      </w:r>
      <w:r w:rsidR="00A13DDF">
        <w:rPr>
          <w:sz w:val="28"/>
          <w:szCs w:val="28"/>
        </w:rPr>
        <w:t xml:space="preserve">il ritorno </w:t>
      </w:r>
      <w:r w:rsidR="009C6341">
        <w:rPr>
          <w:sz w:val="28"/>
          <w:szCs w:val="28"/>
        </w:rPr>
        <w:t xml:space="preserve">alla ripartizione della giurisdizione sulla base del criterio del </w:t>
      </w:r>
      <w:r w:rsidR="009C6341">
        <w:rPr>
          <w:i/>
          <w:sz w:val="28"/>
          <w:szCs w:val="28"/>
        </w:rPr>
        <w:t>petitum</w:t>
      </w:r>
      <w:r w:rsidR="009C6341">
        <w:rPr>
          <w:sz w:val="28"/>
          <w:szCs w:val="28"/>
        </w:rPr>
        <w:t xml:space="preserve"> formale</w:t>
      </w:r>
      <w:r w:rsidR="00FD6F0B">
        <w:rPr>
          <w:sz w:val="28"/>
          <w:szCs w:val="28"/>
        </w:rPr>
        <w:t xml:space="preserve">, che caratterizzò </w:t>
      </w:r>
      <w:r w:rsidR="00EE3A4E">
        <w:rPr>
          <w:sz w:val="28"/>
          <w:szCs w:val="28"/>
        </w:rPr>
        <w:t xml:space="preserve">proprio </w:t>
      </w:r>
      <w:r w:rsidR="00FD6F0B">
        <w:rPr>
          <w:sz w:val="28"/>
          <w:szCs w:val="28"/>
        </w:rPr>
        <w:t>la giurisprudenza della quarta sezione del Consiglio di Stato</w:t>
      </w:r>
      <w:r w:rsidR="00EE3A4E">
        <w:rPr>
          <w:sz w:val="28"/>
          <w:szCs w:val="28"/>
        </w:rPr>
        <w:t xml:space="preserve"> </w:t>
      </w:r>
      <w:r w:rsidR="00090F20">
        <w:rPr>
          <w:sz w:val="28"/>
          <w:szCs w:val="28"/>
        </w:rPr>
        <w:t xml:space="preserve">all’inizio del suo funzionamento, e l’accertamento da parte del giudice ordinario, </w:t>
      </w:r>
      <w:r w:rsidR="00090F20">
        <w:rPr>
          <w:i/>
          <w:sz w:val="28"/>
          <w:szCs w:val="28"/>
        </w:rPr>
        <w:t>principaliter</w:t>
      </w:r>
      <w:r w:rsidR="00090F20">
        <w:rPr>
          <w:sz w:val="28"/>
          <w:szCs w:val="28"/>
        </w:rPr>
        <w:t xml:space="preserve"> e con efficacia di giudi</w:t>
      </w:r>
      <w:r w:rsidR="00FC4868">
        <w:rPr>
          <w:sz w:val="28"/>
          <w:szCs w:val="28"/>
        </w:rPr>
        <w:t>cato, dell’illegittimità dell’azione amministrativa.</w:t>
      </w:r>
      <w:r w:rsidR="00C354E8">
        <w:rPr>
          <w:sz w:val="28"/>
          <w:szCs w:val="28"/>
        </w:rPr>
        <w:t xml:space="preserve"> Sul piano processuale nella fattispecie di </w:t>
      </w:r>
      <w:r w:rsidR="00DB0B0A">
        <w:rPr>
          <w:sz w:val="28"/>
          <w:szCs w:val="28"/>
        </w:rPr>
        <w:t xml:space="preserve">illecito l’illegittimità del provvedimento riveste la funzione di questione pregiudiziale in senso logico, e non di mera pregiudiziale in senso tecnico.  Quest’ultima, come è noto, riguarda il presupposto esterno della fattispecie dedotta in giudizio in quanto effetto giuridico di un rapporto diverso da quello dedotto in giudizio e che però ha efficacia pregiudicante rispetto all’oggetto del giudizio. La questione pregiudiziale in senso tecnico è espressione dei nessi di pregiudizialità-dipendenza fra rapporti giuridici ed è accertata in via incidentale dal giudice del processo pregiudicato. La questione pregiudiziale in senso logico è invece il </w:t>
      </w:r>
      <w:r w:rsidR="00DB0B0A">
        <w:rPr>
          <w:sz w:val="28"/>
          <w:szCs w:val="28"/>
        </w:rPr>
        <w:lastRenderedPageBreak/>
        <w:t xml:space="preserve">rapporto complesso di cui è parte il diritto dedotto in giudizio ed è accertata dal giudice con efficacia di giudicato. </w:t>
      </w:r>
    </w:p>
    <w:p w14:paraId="7FBE6018" w14:textId="5DE18F4F" w:rsidR="00DB0B0A" w:rsidRDefault="00DB0B0A" w:rsidP="00DB0B0A">
      <w:pPr>
        <w:spacing w:line="360" w:lineRule="auto"/>
        <w:ind w:firstLine="708"/>
        <w:jc w:val="both"/>
        <w:rPr>
          <w:sz w:val="28"/>
          <w:szCs w:val="28"/>
        </w:rPr>
      </w:pPr>
      <w:r>
        <w:rPr>
          <w:sz w:val="28"/>
          <w:szCs w:val="28"/>
        </w:rPr>
        <w:t>Ebbene, l’illegittimità dell’atto amministrativo nella fattispecie risarcitoria per violazione di interessi legittimi riveste la qualifica di questione pregiudiziale in senso logico, da accertare in via principale e con efficacia di giudicato, e non di presupposto esterno alla fattispecie dedotta in giudizio da accertare in via incidentale. E’ questa la differenza con la disapplicazione dell’atto amministrativo</w:t>
      </w:r>
      <w:r w:rsidR="00437A5B">
        <w:rPr>
          <w:sz w:val="28"/>
          <w:szCs w:val="28"/>
        </w:rPr>
        <w:t xml:space="preserve"> da parte del giudice ordinario, nella quale l’illegittimità dell’atto</w:t>
      </w:r>
      <w:r>
        <w:rPr>
          <w:sz w:val="28"/>
          <w:szCs w:val="28"/>
        </w:rPr>
        <w:t xml:space="preserve"> riveste la posizione di questione pregiudiziale in senso tecnico ed è perciò accertata in via incidentale (</w:t>
      </w:r>
      <w:r w:rsidR="000931A9">
        <w:rPr>
          <w:sz w:val="28"/>
          <w:szCs w:val="28"/>
        </w:rPr>
        <w:t xml:space="preserve">contrariamente </w:t>
      </w:r>
      <w:r w:rsidR="009A1B34">
        <w:rPr>
          <w:sz w:val="28"/>
          <w:szCs w:val="28"/>
        </w:rPr>
        <w:t>a quanto ritenuto da</w:t>
      </w:r>
      <w:r w:rsidR="00150A13">
        <w:rPr>
          <w:sz w:val="28"/>
          <w:szCs w:val="28"/>
        </w:rPr>
        <w:t xml:space="preserve"> un indirizzo presente nella giurisprudenza di legittimità – da ultimo </w:t>
      </w:r>
      <w:r w:rsidR="009A2AB3">
        <w:rPr>
          <w:sz w:val="28"/>
          <w:szCs w:val="28"/>
        </w:rPr>
        <w:t xml:space="preserve">così </w:t>
      </w:r>
      <w:r w:rsidR="00150A13">
        <w:rPr>
          <w:sz w:val="28"/>
          <w:szCs w:val="28"/>
        </w:rPr>
        <w:t xml:space="preserve">Cass. Sez. U. 2 novembre 2018, n. 28053 </w:t>
      </w:r>
      <w:r w:rsidR="00601701">
        <w:rPr>
          <w:sz w:val="28"/>
          <w:szCs w:val="28"/>
        </w:rPr>
        <w:t>–</w:t>
      </w:r>
      <w:r w:rsidR="009A1B34">
        <w:rPr>
          <w:sz w:val="28"/>
          <w:szCs w:val="28"/>
        </w:rPr>
        <w:t>,</w:t>
      </w:r>
      <w:r w:rsidR="00150A13">
        <w:rPr>
          <w:sz w:val="28"/>
          <w:szCs w:val="28"/>
        </w:rPr>
        <w:t xml:space="preserve"> </w:t>
      </w:r>
      <w:r w:rsidR="00601701">
        <w:rPr>
          <w:sz w:val="28"/>
          <w:szCs w:val="28"/>
        </w:rPr>
        <w:t xml:space="preserve">l’ostacolo alla disapplicazione dell’atto illegittimo non risiede nel fatto che </w:t>
      </w:r>
      <w:r w:rsidR="009A1B34">
        <w:rPr>
          <w:sz w:val="28"/>
          <w:szCs w:val="28"/>
        </w:rPr>
        <w:t xml:space="preserve">un’amministrazione sia parte in giudizio, ma </w:t>
      </w:r>
      <w:r w:rsidRPr="009C6DEF">
        <w:rPr>
          <w:sz w:val="28"/>
          <w:szCs w:val="28"/>
        </w:rPr>
        <w:t>nella rilevanza del provvedimento al livello degli elemen</w:t>
      </w:r>
      <w:r w:rsidR="009A1B34">
        <w:rPr>
          <w:sz w:val="28"/>
          <w:szCs w:val="28"/>
        </w:rPr>
        <w:t>ti costitutivi del rapporto dedotto</w:t>
      </w:r>
      <w:r w:rsidRPr="009C6DEF">
        <w:rPr>
          <w:sz w:val="28"/>
          <w:szCs w:val="28"/>
        </w:rPr>
        <w:t xml:space="preserve"> in giudizio</w:t>
      </w:r>
      <w:r w:rsidR="00883B3D">
        <w:rPr>
          <w:sz w:val="28"/>
          <w:szCs w:val="28"/>
        </w:rPr>
        <w:t>, perché questo comporterebbe il sindacato direttamente sul potere</w:t>
      </w:r>
      <w:r>
        <w:rPr>
          <w:sz w:val="28"/>
          <w:szCs w:val="28"/>
        </w:rPr>
        <w:t>)</w:t>
      </w:r>
      <w:r w:rsidRPr="009C6DEF">
        <w:rPr>
          <w:sz w:val="28"/>
          <w:szCs w:val="28"/>
        </w:rPr>
        <w:t xml:space="preserve">. </w:t>
      </w:r>
      <w:r>
        <w:rPr>
          <w:sz w:val="28"/>
          <w:szCs w:val="28"/>
        </w:rPr>
        <w:t xml:space="preserve"> A ben vedere anch</w:t>
      </w:r>
      <w:r w:rsidR="00B84AC5">
        <w:rPr>
          <w:sz w:val="28"/>
          <w:szCs w:val="28"/>
        </w:rPr>
        <w:t>e nei giudizi su diritti soggettivi rientranti nella</w:t>
      </w:r>
      <w:r>
        <w:rPr>
          <w:sz w:val="28"/>
          <w:szCs w:val="28"/>
        </w:rPr>
        <w:t xml:space="preserve"> giurisdizione esclusiva del giudice amministrativo</w:t>
      </w:r>
      <w:r w:rsidR="00B84AC5">
        <w:rPr>
          <w:sz w:val="28"/>
          <w:szCs w:val="28"/>
        </w:rPr>
        <w:t>,</w:t>
      </w:r>
      <w:r>
        <w:rPr>
          <w:sz w:val="28"/>
          <w:szCs w:val="28"/>
        </w:rPr>
        <w:t xml:space="preserve"> proprio perché si tratta di controversie su diritti e non su interessi</w:t>
      </w:r>
      <w:r w:rsidR="00B84AC5">
        <w:rPr>
          <w:sz w:val="28"/>
          <w:szCs w:val="28"/>
        </w:rPr>
        <w:t>,</w:t>
      </w:r>
      <w:r>
        <w:rPr>
          <w:sz w:val="28"/>
          <w:szCs w:val="28"/>
        </w:rPr>
        <w:t xml:space="preserve"> l’esercizio del potere riveste la posizione di pregiudiziale in senso tecnico e non di pregiudiziale in senso logico.</w:t>
      </w:r>
      <w:r w:rsidR="00B84AC5">
        <w:rPr>
          <w:sz w:val="28"/>
          <w:szCs w:val="28"/>
        </w:rPr>
        <w:t xml:space="preserve"> </w:t>
      </w:r>
      <w:r w:rsidR="000341C4">
        <w:rPr>
          <w:sz w:val="28"/>
          <w:szCs w:val="28"/>
        </w:rPr>
        <w:t>Può anzi affermars</w:t>
      </w:r>
      <w:r w:rsidR="00A91BF9">
        <w:rPr>
          <w:sz w:val="28"/>
          <w:szCs w:val="28"/>
        </w:rPr>
        <w:t>i che la riconducibilità “mediatamente”</w:t>
      </w:r>
      <w:r w:rsidR="000341C4">
        <w:rPr>
          <w:sz w:val="28"/>
          <w:szCs w:val="28"/>
        </w:rPr>
        <w:t xml:space="preserve"> </w:t>
      </w:r>
      <w:r w:rsidR="0054046E">
        <w:rPr>
          <w:sz w:val="28"/>
          <w:szCs w:val="28"/>
        </w:rPr>
        <w:t>di atti e comportamenti</w:t>
      </w:r>
      <w:r w:rsidR="00D80780">
        <w:rPr>
          <w:sz w:val="28"/>
          <w:szCs w:val="28"/>
        </w:rPr>
        <w:t xml:space="preserve"> all’esercizio del potere, di cui parla l’art. 7 del codice del processo amministrativo</w:t>
      </w:r>
      <w:r w:rsidR="00A91BF9">
        <w:rPr>
          <w:sz w:val="28"/>
          <w:szCs w:val="28"/>
        </w:rPr>
        <w:t xml:space="preserve"> (e già prima Corte cost. </w:t>
      </w:r>
      <w:r w:rsidR="00C243A3">
        <w:rPr>
          <w:sz w:val="28"/>
          <w:szCs w:val="28"/>
        </w:rPr>
        <w:t>6 luglio 2004, n. 204)</w:t>
      </w:r>
      <w:r w:rsidR="00745222">
        <w:rPr>
          <w:sz w:val="28"/>
          <w:szCs w:val="28"/>
        </w:rPr>
        <w:t xml:space="preserve">, sul piano processuale debba intendersi come nesso di pregiudizialità-dipendenza fra il rapporto dedotto in giudizio </w:t>
      </w:r>
      <w:r w:rsidR="005A3612">
        <w:rPr>
          <w:sz w:val="28"/>
          <w:szCs w:val="28"/>
        </w:rPr>
        <w:t>(avente ad oggetto diritti</w:t>
      </w:r>
      <w:r w:rsidR="009701FD">
        <w:rPr>
          <w:sz w:val="28"/>
          <w:szCs w:val="28"/>
        </w:rPr>
        <w:t xml:space="preserve"> soggettivi</w:t>
      </w:r>
      <w:r w:rsidR="005A3612">
        <w:rPr>
          <w:sz w:val="28"/>
          <w:szCs w:val="28"/>
        </w:rPr>
        <w:t xml:space="preserve">) </w:t>
      </w:r>
      <w:r w:rsidR="00C243A3">
        <w:rPr>
          <w:sz w:val="28"/>
          <w:szCs w:val="28"/>
        </w:rPr>
        <w:t xml:space="preserve">ed il </w:t>
      </w:r>
      <w:r w:rsidR="00745222">
        <w:rPr>
          <w:sz w:val="28"/>
          <w:szCs w:val="28"/>
        </w:rPr>
        <w:t xml:space="preserve">rapporto </w:t>
      </w:r>
      <w:r w:rsidR="00C243A3">
        <w:rPr>
          <w:sz w:val="28"/>
          <w:szCs w:val="28"/>
        </w:rPr>
        <w:t>amministrativo</w:t>
      </w:r>
      <w:r w:rsidR="00745222">
        <w:rPr>
          <w:sz w:val="28"/>
          <w:szCs w:val="28"/>
        </w:rPr>
        <w:t xml:space="preserve"> e che </w:t>
      </w:r>
      <w:r w:rsidR="0054046E">
        <w:rPr>
          <w:sz w:val="28"/>
          <w:szCs w:val="28"/>
        </w:rPr>
        <w:t>le materie di giurisdizio</w:t>
      </w:r>
      <w:r w:rsidR="00DE5F75">
        <w:rPr>
          <w:sz w:val="28"/>
          <w:szCs w:val="28"/>
        </w:rPr>
        <w:t>ne esclusiva</w:t>
      </w:r>
      <w:r w:rsidR="0054046E">
        <w:rPr>
          <w:sz w:val="28"/>
          <w:szCs w:val="28"/>
        </w:rPr>
        <w:t xml:space="preserve"> </w:t>
      </w:r>
      <w:r w:rsidR="0034224E">
        <w:rPr>
          <w:sz w:val="28"/>
          <w:szCs w:val="28"/>
        </w:rPr>
        <w:t>non siano altro che fattispecie in cui</w:t>
      </w:r>
      <w:r w:rsidR="00DE5F75">
        <w:rPr>
          <w:sz w:val="28"/>
          <w:szCs w:val="28"/>
        </w:rPr>
        <w:t xml:space="preserve"> la questione del potere riveste</w:t>
      </w:r>
      <w:r w:rsidR="0034224E">
        <w:rPr>
          <w:sz w:val="28"/>
          <w:szCs w:val="28"/>
        </w:rPr>
        <w:t xml:space="preserve"> </w:t>
      </w:r>
      <w:r w:rsidR="00DE5F75">
        <w:rPr>
          <w:sz w:val="28"/>
          <w:szCs w:val="28"/>
        </w:rPr>
        <w:t xml:space="preserve">la funzione di questione pregiudiziale in senso tecnico </w:t>
      </w:r>
      <w:r w:rsidR="00EE46DA">
        <w:rPr>
          <w:sz w:val="28"/>
          <w:szCs w:val="28"/>
        </w:rPr>
        <w:t xml:space="preserve">(alla stessa stregua di ciò che accade nella disapplicazione da parte del giudice ordinario). </w:t>
      </w:r>
      <w:r w:rsidR="00C243A3">
        <w:rPr>
          <w:sz w:val="28"/>
          <w:szCs w:val="28"/>
        </w:rPr>
        <w:t xml:space="preserve">Il senso dell’art. 133 è che quando vi è nesso di </w:t>
      </w:r>
      <w:r w:rsidR="009701FD">
        <w:rPr>
          <w:sz w:val="28"/>
          <w:szCs w:val="28"/>
        </w:rPr>
        <w:t xml:space="preserve">pregiudizialità-dipendenza, nelle materie indicate dalla </w:t>
      </w:r>
      <w:r w:rsidR="009701FD">
        <w:rPr>
          <w:sz w:val="28"/>
          <w:szCs w:val="28"/>
        </w:rPr>
        <w:lastRenderedPageBreak/>
        <w:t xml:space="preserve">norma, </w:t>
      </w:r>
      <w:r w:rsidR="001D2E31">
        <w:rPr>
          <w:sz w:val="28"/>
          <w:szCs w:val="28"/>
        </w:rPr>
        <w:t>fra il rapporto dedotto e quello amministrativo la giurisdizione è del giudice amministrativo.</w:t>
      </w:r>
      <w:r w:rsidR="009701FD">
        <w:rPr>
          <w:sz w:val="28"/>
          <w:szCs w:val="28"/>
        </w:rPr>
        <w:t xml:space="preserve"> </w:t>
      </w:r>
    </w:p>
    <w:p w14:paraId="68A6BF0D" w14:textId="77777777" w:rsidR="00507164" w:rsidRDefault="00DB0B0A" w:rsidP="00DB0B0A">
      <w:pPr>
        <w:spacing w:line="360" w:lineRule="auto"/>
        <w:ind w:firstLine="708"/>
        <w:jc w:val="both"/>
        <w:rPr>
          <w:sz w:val="28"/>
          <w:szCs w:val="28"/>
        </w:rPr>
      </w:pPr>
      <w:r>
        <w:rPr>
          <w:sz w:val="28"/>
          <w:szCs w:val="28"/>
        </w:rPr>
        <w:t>Il s</w:t>
      </w:r>
      <w:r w:rsidR="00D720F5">
        <w:rPr>
          <w:sz w:val="28"/>
          <w:szCs w:val="28"/>
        </w:rPr>
        <w:t>istema non</w:t>
      </w:r>
      <w:r w:rsidR="00410BC8">
        <w:rPr>
          <w:sz w:val="28"/>
          <w:szCs w:val="28"/>
        </w:rPr>
        <w:t xml:space="preserve"> poteva sopportare l’urto dell’efficacia di giudicato dell’accertamento del giudice ordinario sull’illegittimità dell’azione amministrativa.</w:t>
      </w:r>
      <w:r w:rsidR="005A3612">
        <w:rPr>
          <w:sz w:val="28"/>
          <w:szCs w:val="28"/>
        </w:rPr>
        <w:t xml:space="preserve"> S</w:t>
      </w:r>
      <w:r w:rsidR="00CE44EE">
        <w:rPr>
          <w:sz w:val="28"/>
          <w:szCs w:val="28"/>
        </w:rPr>
        <w:t xml:space="preserve">appiamo come le cose </w:t>
      </w:r>
      <w:r>
        <w:rPr>
          <w:sz w:val="28"/>
          <w:szCs w:val="28"/>
        </w:rPr>
        <w:t>sono andate</w:t>
      </w:r>
      <w:r w:rsidR="00CE44EE">
        <w:rPr>
          <w:sz w:val="28"/>
          <w:szCs w:val="28"/>
        </w:rPr>
        <w:t xml:space="preserve"> dopo la 500. Il punto su cui </w:t>
      </w:r>
      <w:r w:rsidR="00960B27">
        <w:rPr>
          <w:sz w:val="28"/>
          <w:szCs w:val="28"/>
        </w:rPr>
        <w:t>va richiamata</w:t>
      </w:r>
      <w:r>
        <w:rPr>
          <w:sz w:val="28"/>
          <w:szCs w:val="28"/>
        </w:rPr>
        <w:t xml:space="preserve"> l’attenzione</w:t>
      </w:r>
      <w:r w:rsidR="00960B27">
        <w:rPr>
          <w:sz w:val="28"/>
          <w:szCs w:val="28"/>
        </w:rPr>
        <w:t>, ai fini del nostro tema, è che</w:t>
      </w:r>
      <w:r>
        <w:rPr>
          <w:sz w:val="28"/>
          <w:szCs w:val="28"/>
        </w:rPr>
        <w:t xml:space="preserve"> </w:t>
      </w:r>
      <w:r w:rsidR="00F30D43">
        <w:rPr>
          <w:sz w:val="28"/>
          <w:szCs w:val="28"/>
        </w:rPr>
        <w:t>il giudice costituzionale prima ed il legislatore dopo</w:t>
      </w:r>
      <w:r>
        <w:rPr>
          <w:sz w:val="28"/>
          <w:szCs w:val="28"/>
        </w:rPr>
        <w:t xml:space="preserve"> hanno configurato </w:t>
      </w:r>
      <w:r w:rsidR="00F30D43">
        <w:rPr>
          <w:sz w:val="28"/>
          <w:szCs w:val="28"/>
        </w:rPr>
        <w:t>il risarcimento del danno</w:t>
      </w:r>
      <w:r>
        <w:rPr>
          <w:sz w:val="28"/>
          <w:szCs w:val="28"/>
        </w:rPr>
        <w:t xml:space="preserve"> non come fattispecie di diritto sostanziale, ma come rimedio puramente processuale che si cumula a quello demolitorio dell’atto.</w:t>
      </w:r>
      <w:r w:rsidR="00F30D43">
        <w:rPr>
          <w:sz w:val="28"/>
          <w:szCs w:val="28"/>
        </w:rPr>
        <w:t xml:space="preserve"> </w:t>
      </w:r>
      <w:r>
        <w:rPr>
          <w:sz w:val="28"/>
          <w:szCs w:val="28"/>
        </w:rPr>
        <w:t>C’è una ragione profonda di questa configurazione. Il diritto amministrativo è deroga al diritto comune: una norma di relazione attribuisce il potere amministrativo e poi è tutto un dispiegarsi di norme di azione, per riprendere una vecchia distinzione. La deroga al diritto comune comporta che il risarcimento del danno per violazione di interesse legittimo non emerga quale fattispecie di diritto sostanziale, e cioè nelle forme dell’art. 2043</w:t>
      </w:r>
      <w:r w:rsidR="00507164">
        <w:rPr>
          <w:sz w:val="28"/>
          <w:szCs w:val="28"/>
        </w:rPr>
        <w:t xml:space="preserve"> del codice civile</w:t>
      </w:r>
      <w:r>
        <w:rPr>
          <w:sz w:val="28"/>
          <w:szCs w:val="28"/>
        </w:rPr>
        <w:t xml:space="preserve">, che implicherebbe il ritorno al diritto comune, ma quale rimedio puramente processuale. </w:t>
      </w:r>
    </w:p>
    <w:p w14:paraId="3288EA23" w14:textId="02FB5906" w:rsidR="00DB0B0A" w:rsidRDefault="00CD6340" w:rsidP="00DB0B0A">
      <w:pPr>
        <w:spacing w:line="360" w:lineRule="auto"/>
        <w:ind w:firstLine="708"/>
        <w:jc w:val="both"/>
        <w:rPr>
          <w:sz w:val="28"/>
          <w:szCs w:val="28"/>
        </w:rPr>
      </w:pPr>
      <w:r>
        <w:rPr>
          <w:sz w:val="28"/>
          <w:szCs w:val="28"/>
        </w:rPr>
        <w:t>La secolarizzazione si è comunque fatta strada per altre vie.</w:t>
      </w:r>
      <w:r w:rsidR="00C2768A">
        <w:rPr>
          <w:sz w:val="28"/>
          <w:szCs w:val="28"/>
        </w:rPr>
        <w:t xml:space="preserve"> Nei</w:t>
      </w:r>
      <w:r w:rsidR="00D25A45">
        <w:rPr>
          <w:sz w:val="28"/>
          <w:szCs w:val="28"/>
        </w:rPr>
        <w:t xml:space="preserve"> primi anni duemila nella</w:t>
      </w:r>
      <w:r w:rsidR="00C2768A">
        <w:rPr>
          <w:sz w:val="28"/>
          <w:szCs w:val="28"/>
        </w:rPr>
        <w:t xml:space="preserve"> giurisprudenza </w:t>
      </w:r>
      <w:r w:rsidR="00DB0B0A">
        <w:rPr>
          <w:sz w:val="28"/>
          <w:szCs w:val="28"/>
        </w:rPr>
        <w:t>amministrativa</w:t>
      </w:r>
      <w:r w:rsidR="00D25A45">
        <w:rPr>
          <w:sz w:val="28"/>
          <w:szCs w:val="28"/>
        </w:rPr>
        <w:t xml:space="preserve"> si è affacciata la tesi</w:t>
      </w:r>
      <w:r w:rsidR="00DB0B0A">
        <w:rPr>
          <w:sz w:val="28"/>
          <w:szCs w:val="28"/>
        </w:rPr>
        <w:t>, supportata da qualche arresto</w:t>
      </w:r>
      <w:r w:rsidR="00D25A45">
        <w:rPr>
          <w:sz w:val="28"/>
          <w:szCs w:val="28"/>
        </w:rPr>
        <w:t xml:space="preserve"> della Corte di cassazione, del </w:t>
      </w:r>
      <w:r w:rsidR="00DB0B0A">
        <w:rPr>
          <w:sz w:val="28"/>
          <w:szCs w:val="28"/>
        </w:rPr>
        <w:t xml:space="preserve">procedimento </w:t>
      </w:r>
      <w:r w:rsidR="00D25A45">
        <w:rPr>
          <w:sz w:val="28"/>
          <w:szCs w:val="28"/>
        </w:rPr>
        <w:t xml:space="preserve">amministrativo </w:t>
      </w:r>
      <w:r w:rsidR="00DB0B0A">
        <w:rPr>
          <w:sz w:val="28"/>
          <w:szCs w:val="28"/>
        </w:rPr>
        <w:t xml:space="preserve">quale </w:t>
      </w:r>
      <w:r w:rsidR="00D25A45">
        <w:rPr>
          <w:sz w:val="28"/>
          <w:szCs w:val="28"/>
        </w:rPr>
        <w:t>“</w:t>
      </w:r>
      <w:r w:rsidR="00DB0B0A">
        <w:rPr>
          <w:sz w:val="28"/>
          <w:szCs w:val="28"/>
        </w:rPr>
        <w:t>contatto sociale</w:t>
      </w:r>
      <w:r w:rsidR="00D25A45">
        <w:rPr>
          <w:sz w:val="28"/>
          <w:szCs w:val="28"/>
        </w:rPr>
        <w:t>”</w:t>
      </w:r>
      <w:r w:rsidR="00DB0B0A">
        <w:rPr>
          <w:sz w:val="28"/>
          <w:szCs w:val="28"/>
        </w:rPr>
        <w:t xml:space="preserve"> e dunque fonte di un rapporto obbligatorio d</w:t>
      </w:r>
      <w:r w:rsidR="00723BD2">
        <w:rPr>
          <w:sz w:val="28"/>
          <w:szCs w:val="28"/>
        </w:rPr>
        <w:t>isciplinato d</w:t>
      </w:r>
      <w:r w:rsidR="002F2C20">
        <w:rPr>
          <w:sz w:val="28"/>
          <w:szCs w:val="28"/>
        </w:rPr>
        <w:t xml:space="preserve">all’art. 1218 del codice civile, tesi che però non ha avuto più </w:t>
      </w:r>
      <w:r w:rsidR="00430E43">
        <w:rPr>
          <w:sz w:val="28"/>
          <w:szCs w:val="28"/>
        </w:rPr>
        <w:t xml:space="preserve">un particolare </w:t>
      </w:r>
      <w:r w:rsidR="002F2C20">
        <w:rPr>
          <w:sz w:val="28"/>
          <w:szCs w:val="28"/>
        </w:rPr>
        <w:t>seguito.</w:t>
      </w:r>
      <w:r w:rsidR="00024875">
        <w:rPr>
          <w:sz w:val="28"/>
          <w:szCs w:val="28"/>
        </w:rPr>
        <w:t xml:space="preserve"> Di grande signif</w:t>
      </w:r>
      <w:r w:rsidR="00896EB5">
        <w:rPr>
          <w:sz w:val="28"/>
          <w:szCs w:val="28"/>
        </w:rPr>
        <w:t>i</w:t>
      </w:r>
      <w:r w:rsidR="00024875">
        <w:rPr>
          <w:sz w:val="28"/>
          <w:szCs w:val="28"/>
        </w:rPr>
        <w:t>cato</w:t>
      </w:r>
      <w:r w:rsidR="00ED446A">
        <w:rPr>
          <w:sz w:val="28"/>
          <w:szCs w:val="28"/>
        </w:rPr>
        <w:t xml:space="preserve">, nel quadro delle tendenze secolarizzanti di cui si è detto, è </w:t>
      </w:r>
      <w:r w:rsidR="00C934EE">
        <w:rPr>
          <w:sz w:val="28"/>
          <w:szCs w:val="28"/>
        </w:rPr>
        <w:t xml:space="preserve">Cons. </w:t>
      </w:r>
      <w:r w:rsidR="00852E37">
        <w:rPr>
          <w:sz w:val="28"/>
          <w:szCs w:val="28"/>
        </w:rPr>
        <w:t xml:space="preserve">Stato ad. plen. </w:t>
      </w:r>
      <w:r w:rsidR="00024875">
        <w:rPr>
          <w:sz w:val="28"/>
          <w:szCs w:val="28"/>
        </w:rPr>
        <w:t xml:space="preserve">4 maggio 2018, n. 5, </w:t>
      </w:r>
      <w:r w:rsidR="00DB0B0A">
        <w:rPr>
          <w:sz w:val="28"/>
          <w:szCs w:val="28"/>
        </w:rPr>
        <w:t>che ha riconosciuto l’esistenza del dovere di comportarsi secondo buona fede, e la conseguente responsabilità precontrattuale, anc</w:t>
      </w:r>
      <w:r w:rsidR="00430E43">
        <w:rPr>
          <w:sz w:val="28"/>
          <w:szCs w:val="28"/>
        </w:rPr>
        <w:t>he prima ed a prescindere dall’</w:t>
      </w:r>
      <w:r w:rsidR="00DB0B0A">
        <w:rPr>
          <w:sz w:val="28"/>
          <w:szCs w:val="28"/>
        </w:rPr>
        <w:t>aggiudicazione nella procedura di evidenza pubblica. Si afferma che anche nell’esercizio dell’attività autoritativa l’amministrazione è sottoposta alle norme civili sul dovere d</w:t>
      </w:r>
      <w:r w:rsidR="00AB1F83">
        <w:rPr>
          <w:sz w:val="28"/>
          <w:szCs w:val="28"/>
        </w:rPr>
        <w:t>i correttezza per cui si ha concorso simultaneo di</w:t>
      </w:r>
      <w:r w:rsidR="00DB0B0A">
        <w:rPr>
          <w:sz w:val="28"/>
          <w:szCs w:val="28"/>
        </w:rPr>
        <w:t xml:space="preserve"> regole pubblicistiche e regole privatistiche. Qui c’è un mutamento di paradigma</w:t>
      </w:r>
      <w:r w:rsidR="00AB1F83">
        <w:rPr>
          <w:sz w:val="28"/>
          <w:szCs w:val="28"/>
        </w:rPr>
        <w:t xml:space="preserve"> rispetto alla tradizione del </w:t>
      </w:r>
      <w:r w:rsidR="00AB1F83">
        <w:rPr>
          <w:sz w:val="28"/>
          <w:szCs w:val="28"/>
        </w:rPr>
        <w:lastRenderedPageBreak/>
        <w:t>diritto amministrativo</w:t>
      </w:r>
      <w:r w:rsidR="00DB0B0A">
        <w:rPr>
          <w:sz w:val="28"/>
          <w:szCs w:val="28"/>
        </w:rPr>
        <w:t>. Il paradigma tradizionale è nel senso che una volta che</w:t>
      </w:r>
      <w:r w:rsidR="005875F4">
        <w:rPr>
          <w:sz w:val="28"/>
          <w:szCs w:val="28"/>
        </w:rPr>
        <w:t>,</w:t>
      </w:r>
      <w:r w:rsidR="00DB0B0A">
        <w:rPr>
          <w:sz w:val="28"/>
          <w:szCs w:val="28"/>
        </w:rPr>
        <w:t xml:space="preserve"> ricorrendone i presupposti di fatto</w:t>
      </w:r>
      <w:r w:rsidR="005875F4">
        <w:rPr>
          <w:sz w:val="28"/>
          <w:szCs w:val="28"/>
        </w:rPr>
        <w:t>,</w:t>
      </w:r>
      <w:r w:rsidR="00DB0B0A">
        <w:rPr>
          <w:sz w:val="28"/>
          <w:szCs w:val="28"/>
        </w:rPr>
        <w:t xml:space="preserve"> sia insorto l’effetto del potere amministrativo non vi sia </w:t>
      </w:r>
      <w:r w:rsidR="00856722">
        <w:rPr>
          <w:sz w:val="28"/>
          <w:szCs w:val="28"/>
        </w:rPr>
        <w:t xml:space="preserve">più </w:t>
      </w:r>
      <w:r w:rsidR="00DB0B0A">
        <w:rPr>
          <w:sz w:val="28"/>
          <w:szCs w:val="28"/>
        </w:rPr>
        <w:t xml:space="preserve">uno schema norma-fatto-effetto, che è </w:t>
      </w:r>
      <w:r w:rsidR="00856722">
        <w:rPr>
          <w:sz w:val="28"/>
          <w:szCs w:val="28"/>
        </w:rPr>
        <w:t>lo schema dei diritti soggettivi, il quale</w:t>
      </w:r>
      <w:r w:rsidR="00DB0B0A">
        <w:rPr>
          <w:sz w:val="28"/>
          <w:szCs w:val="28"/>
        </w:rPr>
        <w:t xml:space="preserve"> corra parallelamente a quello norma-potere-effetto</w:t>
      </w:r>
      <w:r w:rsidR="00236820">
        <w:rPr>
          <w:sz w:val="28"/>
          <w:szCs w:val="28"/>
        </w:rPr>
        <w:t>, proprio al diritto amministrativo</w:t>
      </w:r>
      <w:r w:rsidR="00DB0B0A">
        <w:rPr>
          <w:sz w:val="28"/>
          <w:szCs w:val="28"/>
        </w:rPr>
        <w:t xml:space="preserve">. Il collegamento fra il fatto e l’effetto è interrotto dal potere che stabilisce, in modo integrale, gli effetti giuridici. Si afferma invece ora che gli effetti della fattispecie sono riconducibili simultaneamente non solo al potere amministrativo ma anche all’obbligazione di diritto civile.  </w:t>
      </w:r>
    </w:p>
    <w:p w14:paraId="4CA6BC1D" w14:textId="1A2673D6" w:rsidR="00A46BE4" w:rsidRDefault="00BC05D7" w:rsidP="00DB0B0A">
      <w:pPr>
        <w:spacing w:line="360" w:lineRule="auto"/>
        <w:ind w:firstLine="708"/>
        <w:jc w:val="both"/>
        <w:rPr>
          <w:sz w:val="28"/>
          <w:szCs w:val="28"/>
        </w:rPr>
      </w:pPr>
      <w:r>
        <w:rPr>
          <w:sz w:val="28"/>
          <w:szCs w:val="28"/>
        </w:rPr>
        <w:t>Un argomento rilevante nella motivazione della sentenza, ai fini del riconoscimento della commistione con il diritto comune, è quello della ricorrenza anche nel campo del potere amministrativo della distinzione di fonte privatistica fra regole di validità dell’atto e regole di comportamento</w:t>
      </w:r>
      <w:r w:rsidR="00C6058F">
        <w:rPr>
          <w:sz w:val="28"/>
          <w:szCs w:val="28"/>
        </w:rPr>
        <w:t xml:space="preserve"> in sede di formazione dell’atto</w:t>
      </w:r>
      <w:r w:rsidR="00CD15C1">
        <w:rPr>
          <w:sz w:val="28"/>
          <w:szCs w:val="28"/>
        </w:rPr>
        <w:t xml:space="preserve">. Il senso di tale distinzione nel diritto civile è che, essendo il contratto </w:t>
      </w:r>
      <w:r w:rsidR="00A80946">
        <w:rPr>
          <w:sz w:val="28"/>
          <w:szCs w:val="28"/>
        </w:rPr>
        <w:t xml:space="preserve">espressione di autonomia ed essendo quindi bilaterale il </w:t>
      </w:r>
      <w:r w:rsidR="003835BC">
        <w:rPr>
          <w:sz w:val="28"/>
          <w:szCs w:val="28"/>
        </w:rPr>
        <w:t xml:space="preserve">relativo </w:t>
      </w:r>
      <w:r w:rsidR="00A80946">
        <w:rPr>
          <w:sz w:val="28"/>
          <w:szCs w:val="28"/>
        </w:rPr>
        <w:t>regolamento d’interessi, l’invalidità dell’atto non può giustificare una responsabilità risarcitoria</w:t>
      </w:r>
      <w:r w:rsidR="00491D50">
        <w:rPr>
          <w:sz w:val="28"/>
          <w:szCs w:val="28"/>
        </w:rPr>
        <w:t xml:space="preserve">. Il risarcimento può discendere solo da una scorrettezza comportamentale in </w:t>
      </w:r>
      <w:r w:rsidR="00914172">
        <w:rPr>
          <w:sz w:val="28"/>
          <w:szCs w:val="28"/>
        </w:rPr>
        <w:t>sede precontrattuale</w:t>
      </w:r>
      <w:r w:rsidR="00491D50">
        <w:rPr>
          <w:sz w:val="28"/>
          <w:szCs w:val="28"/>
        </w:rPr>
        <w:t xml:space="preserve">. Nel campo dell’azione amministrativa </w:t>
      </w:r>
      <w:r w:rsidR="00A9610A">
        <w:rPr>
          <w:sz w:val="28"/>
          <w:szCs w:val="28"/>
        </w:rPr>
        <w:t xml:space="preserve">la responsabilità risarcitoria consegue all’invalidità dell’atto </w:t>
      </w:r>
      <w:r w:rsidR="00ED2F7C">
        <w:rPr>
          <w:sz w:val="28"/>
          <w:szCs w:val="28"/>
        </w:rPr>
        <w:t xml:space="preserve">perché la regolazione </w:t>
      </w:r>
      <w:r w:rsidR="00A9610A">
        <w:rPr>
          <w:sz w:val="28"/>
          <w:szCs w:val="28"/>
        </w:rPr>
        <w:t>degli interessi</w:t>
      </w:r>
      <w:r w:rsidR="00ED2F7C">
        <w:rPr>
          <w:sz w:val="28"/>
          <w:szCs w:val="28"/>
        </w:rPr>
        <w:t xml:space="preserve"> è unilaterale, quale espressione di un’</w:t>
      </w:r>
      <w:r w:rsidR="00A9610A">
        <w:rPr>
          <w:sz w:val="28"/>
          <w:szCs w:val="28"/>
        </w:rPr>
        <w:t xml:space="preserve">istituzionale asimmetria di potere, </w:t>
      </w:r>
      <w:r w:rsidR="006D55D9">
        <w:rPr>
          <w:sz w:val="28"/>
          <w:szCs w:val="28"/>
        </w:rPr>
        <w:t xml:space="preserve">sicché non è necessario fare riferimento ad una regola di comportamento </w:t>
      </w:r>
      <w:r w:rsidR="002D14CE">
        <w:rPr>
          <w:sz w:val="28"/>
          <w:szCs w:val="28"/>
        </w:rPr>
        <w:t>per giustificare il risarcimento del danno (non siamo lontano dal campo dei c</w:t>
      </w:r>
      <w:r w:rsidR="00B03887">
        <w:rPr>
          <w:sz w:val="28"/>
          <w:szCs w:val="28"/>
        </w:rPr>
        <w:t xml:space="preserve">osiddetti contratti asimmetrici, esemplificati dai contratti dei consumatori, dove l’asimmetria di potere – informativo – è contemplata dalla legge </w:t>
      </w:r>
      <w:r w:rsidR="001A2A4E">
        <w:rPr>
          <w:sz w:val="28"/>
          <w:szCs w:val="28"/>
        </w:rPr>
        <w:t>e la nullità della clausola abusiva di per sé sola potrebbe giustificare, in forza di quella asimmetria, la responsabilità risarcitoria).</w:t>
      </w:r>
    </w:p>
    <w:p w14:paraId="260BB211" w14:textId="605ADC0D" w:rsidR="00C532B2" w:rsidRDefault="00C532B2" w:rsidP="00DB0B0A">
      <w:pPr>
        <w:spacing w:line="360" w:lineRule="auto"/>
        <w:ind w:firstLine="708"/>
        <w:jc w:val="both"/>
        <w:rPr>
          <w:sz w:val="28"/>
          <w:szCs w:val="28"/>
        </w:rPr>
      </w:pPr>
      <w:r>
        <w:rPr>
          <w:sz w:val="28"/>
          <w:szCs w:val="28"/>
        </w:rPr>
        <w:t xml:space="preserve">Proprio il confronto fra contratto e provvedimento amministrativo, autonomia ed eteronomia, </w:t>
      </w:r>
      <w:r w:rsidR="009126D1">
        <w:rPr>
          <w:sz w:val="28"/>
          <w:szCs w:val="28"/>
        </w:rPr>
        <w:t>può tornare di grande utilità</w:t>
      </w:r>
      <w:r w:rsidR="000F00DD">
        <w:rPr>
          <w:sz w:val="28"/>
          <w:szCs w:val="28"/>
        </w:rPr>
        <w:t xml:space="preserve"> </w:t>
      </w:r>
      <w:r w:rsidR="001E02AE">
        <w:rPr>
          <w:sz w:val="28"/>
          <w:szCs w:val="28"/>
        </w:rPr>
        <w:t xml:space="preserve"> </w:t>
      </w:r>
      <w:r w:rsidR="002E265B">
        <w:rPr>
          <w:sz w:val="28"/>
          <w:szCs w:val="28"/>
        </w:rPr>
        <w:t>quanto alla definizione dei limiti esterni del</w:t>
      </w:r>
      <w:r w:rsidR="00830BA7">
        <w:rPr>
          <w:sz w:val="28"/>
          <w:szCs w:val="28"/>
        </w:rPr>
        <w:t>la giurisdizione amministrativa ai sensi dell’art. 111, comma 8, della Costituzione.</w:t>
      </w:r>
      <w:r w:rsidR="00557F7E">
        <w:rPr>
          <w:sz w:val="28"/>
          <w:szCs w:val="28"/>
        </w:rPr>
        <w:t xml:space="preserve"> La proporzionalità fra le rispettive prestazioni </w:t>
      </w:r>
      <w:r w:rsidR="0021091C">
        <w:rPr>
          <w:sz w:val="28"/>
          <w:szCs w:val="28"/>
        </w:rPr>
        <w:t xml:space="preserve">previste dal </w:t>
      </w:r>
      <w:r w:rsidR="0021091C">
        <w:rPr>
          <w:sz w:val="28"/>
          <w:szCs w:val="28"/>
        </w:rPr>
        <w:lastRenderedPageBreak/>
        <w:t xml:space="preserve">contratto costituisce merito non sindacabile dal giudice perché </w:t>
      </w:r>
      <w:r w:rsidR="00182112">
        <w:rPr>
          <w:sz w:val="28"/>
          <w:szCs w:val="28"/>
        </w:rPr>
        <w:t>espressione di un autoregola</w:t>
      </w:r>
      <w:r w:rsidR="00EC09C9">
        <w:rPr>
          <w:sz w:val="28"/>
          <w:szCs w:val="28"/>
        </w:rPr>
        <w:t>mento di interessi. Il sindacato di proporzionalità</w:t>
      </w:r>
      <w:r w:rsidR="00555E39">
        <w:rPr>
          <w:sz w:val="28"/>
          <w:szCs w:val="28"/>
        </w:rPr>
        <w:t xml:space="preserve">, con riferimento </w:t>
      </w:r>
      <w:r w:rsidR="00F87CD5">
        <w:rPr>
          <w:sz w:val="28"/>
          <w:szCs w:val="28"/>
        </w:rPr>
        <w:t>all’estensione del sacrificio della posizione soggettiva,</w:t>
      </w:r>
      <w:r w:rsidR="00EC09C9">
        <w:rPr>
          <w:sz w:val="28"/>
          <w:szCs w:val="28"/>
        </w:rPr>
        <w:t xml:space="preserve"> è invece presente nella giurisprudenza amministrativa</w:t>
      </w:r>
      <w:r w:rsidR="00F87CD5">
        <w:rPr>
          <w:sz w:val="28"/>
          <w:szCs w:val="28"/>
        </w:rPr>
        <w:t xml:space="preserve"> e si giustifica </w:t>
      </w:r>
      <w:r w:rsidR="001F149F">
        <w:rPr>
          <w:sz w:val="28"/>
          <w:szCs w:val="28"/>
        </w:rPr>
        <w:t xml:space="preserve">per la disposizione unilaterale degli interessi del privato. Il confine fra legittimità e merito </w:t>
      </w:r>
      <w:r w:rsidR="001A5095">
        <w:rPr>
          <w:sz w:val="28"/>
          <w:szCs w:val="28"/>
        </w:rPr>
        <w:t>nel sindacato sul provvedimento è quindi spostato più avanti rispetto a quello sul contratto</w:t>
      </w:r>
      <w:r w:rsidR="000358E0">
        <w:rPr>
          <w:sz w:val="28"/>
          <w:szCs w:val="28"/>
        </w:rPr>
        <w:t xml:space="preserve"> e consente valutazioni di iniquità del regolamento d’interessi che invece nell’ambiente dell’autonomia privata non sarebbero consentite.</w:t>
      </w:r>
    </w:p>
    <w:p w14:paraId="66AA4B9F" w14:textId="66D01DD7" w:rsidR="00C33EC9" w:rsidRDefault="00B801DA" w:rsidP="00DC1718">
      <w:pPr>
        <w:spacing w:line="360" w:lineRule="auto"/>
        <w:ind w:firstLine="708"/>
        <w:jc w:val="both"/>
        <w:rPr>
          <w:sz w:val="28"/>
          <w:szCs w:val="28"/>
        </w:rPr>
      </w:pPr>
      <w:r>
        <w:rPr>
          <w:sz w:val="28"/>
          <w:szCs w:val="28"/>
        </w:rPr>
        <w:t>Per tornare alla sentenza n. 5 del 2018</w:t>
      </w:r>
      <w:r w:rsidR="00030843">
        <w:rPr>
          <w:sz w:val="28"/>
          <w:szCs w:val="28"/>
        </w:rPr>
        <w:t xml:space="preserve">, proprio nel quadro </w:t>
      </w:r>
      <w:r w:rsidR="00AD72E5">
        <w:rPr>
          <w:sz w:val="28"/>
          <w:szCs w:val="28"/>
        </w:rPr>
        <w:t>del restringimento della sfera del merito</w:t>
      </w:r>
      <w:r w:rsidR="00A14095">
        <w:rPr>
          <w:sz w:val="28"/>
          <w:szCs w:val="28"/>
        </w:rPr>
        <w:t xml:space="preserve"> </w:t>
      </w:r>
      <w:r w:rsidR="00355870">
        <w:rPr>
          <w:sz w:val="28"/>
          <w:szCs w:val="28"/>
        </w:rPr>
        <w:t xml:space="preserve">insindacabile </w:t>
      </w:r>
      <w:r w:rsidR="00A14095">
        <w:rPr>
          <w:sz w:val="28"/>
          <w:szCs w:val="28"/>
        </w:rPr>
        <w:t>derivante dal</w:t>
      </w:r>
      <w:r w:rsidR="00355870">
        <w:rPr>
          <w:sz w:val="28"/>
          <w:szCs w:val="28"/>
        </w:rPr>
        <w:t>l’esistenza del</w:t>
      </w:r>
      <w:r w:rsidR="00A14095">
        <w:rPr>
          <w:sz w:val="28"/>
          <w:szCs w:val="28"/>
        </w:rPr>
        <w:t xml:space="preserve"> rapporto di potere, vi è da chiedersi se </w:t>
      </w:r>
      <w:r w:rsidR="00AD7404">
        <w:rPr>
          <w:sz w:val="28"/>
          <w:szCs w:val="28"/>
        </w:rPr>
        <w:t>il bene della vita potesse</w:t>
      </w:r>
      <w:r w:rsidR="00DB0B0A">
        <w:rPr>
          <w:sz w:val="28"/>
          <w:szCs w:val="28"/>
        </w:rPr>
        <w:t xml:space="preserve"> ricevere tutela </w:t>
      </w:r>
      <w:r w:rsidR="00644B8B">
        <w:rPr>
          <w:sz w:val="28"/>
          <w:szCs w:val="28"/>
        </w:rPr>
        <w:t xml:space="preserve">allo stesso modo mediante </w:t>
      </w:r>
      <w:r w:rsidR="00DB0B0A">
        <w:rPr>
          <w:sz w:val="28"/>
          <w:szCs w:val="28"/>
        </w:rPr>
        <w:t>un più penetrante sindacato sulla dinamica dell’esercizio del potere e dunque attraverso la tecnica dell’interesse legit</w:t>
      </w:r>
      <w:r w:rsidR="00355870">
        <w:rPr>
          <w:sz w:val="28"/>
          <w:szCs w:val="28"/>
        </w:rPr>
        <w:t>timo senza necessità di attingere</w:t>
      </w:r>
      <w:r w:rsidR="00DB0B0A">
        <w:rPr>
          <w:sz w:val="28"/>
          <w:szCs w:val="28"/>
        </w:rPr>
        <w:t xml:space="preserve"> alla normativa civilistica di correttezza.</w:t>
      </w:r>
      <w:r w:rsidR="00C04B4C">
        <w:rPr>
          <w:sz w:val="28"/>
          <w:szCs w:val="28"/>
        </w:rPr>
        <w:t xml:space="preserve"> </w:t>
      </w:r>
      <w:r w:rsidR="00E33CA9">
        <w:rPr>
          <w:sz w:val="28"/>
          <w:szCs w:val="28"/>
        </w:rPr>
        <w:t xml:space="preserve">Il senso di questo interrogativo riposa sulla consapevolezza che </w:t>
      </w:r>
      <w:r w:rsidR="00887A4A">
        <w:rPr>
          <w:sz w:val="28"/>
          <w:szCs w:val="28"/>
        </w:rPr>
        <w:t xml:space="preserve">se </w:t>
      </w:r>
      <w:r w:rsidR="00E33CA9">
        <w:rPr>
          <w:sz w:val="28"/>
          <w:szCs w:val="28"/>
        </w:rPr>
        <w:t>il</w:t>
      </w:r>
      <w:r w:rsidR="00DC1718">
        <w:rPr>
          <w:sz w:val="28"/>
          <w:szCs w:val="28"/>
        </w:rPr>
        <w:t xml:space="preserve"> percorso di costituzionalizzazione</w:t>
      </w:r>
      <w:r w:rsidR="00E33CA9">
        <w:rPr>
          <w:sz w:val="28"/>
          <w:szCs w:val="28"/>
        </w:rPr>
        <w:t xml:space="preserve"> che ha caratterizzato il ven</w:t>
      </w:r>
      <w:r w:rsidR="00644B8B">
        <w:rPr>
          <w:sz w:val="28"/>
          <w:szCs w:val="28"/>
        </w:rPr>
        <w:t>tennio va accolto senza riserve per ragioni auto-evidenti</w:t>
      </w:r>
      <w:r w:rsidR="00DC1718">
        <w:rPr>
          <w:sz w:val="28"/>
          <w:szCs w:val="28"/>
        </w:rPr>
        <w:t xml:space="preserve">, il lato della secolarizzazione deve </w:t>
      </w:r>
      <w:r w:rsidR="00887A4A">
        <w:rPr>
          <w:sz w:val="28"/>
          <w:szCs w:val="28"/>
        </w:rPr>
        <w:t xml:space="preserve">invece </w:t>
      </w:r>
      <w:r w:rsidR="00DC1718">
        <w:rPr>
          <w:sz w:val="28"/>
          <w:szCs w:val="28"/>
        </w:rPr>
        <w:t xml:space="preserve">essere compreso e governato. </w:t>
      </w:r>
      <w:r w:rsidR="00DB0B0A">
        <w:rPr>
          <w:sz w:val="28"/>
          <w:szCs w:val="28"/>
        </w:rPr>
        <w:t>Come è noto, c’è una scuola di pensiero che ricostruisce il rapporto fra amministrazione e privato in termini di</w:t>
      </w:r>
      <w:r w:rsidR="00C33EC9">
        <w:rPr>
          <w:sz w:val="28"/>
          <w:szCs w:val="28"/>
        </w:rPr>
        <w:t xml:space="preserve"> obbligazione in senso tecnico e mira su queste basi a far venir meno la distinzione fra giustizia ordinaria e giustizia amministrativa. </w:t>
      </w:r>
      <w:r w:rsidR="0038117B">
        <w:rPr>
          <w:sz w:val="28"/>
          <w:szCs w:val="28"/>
        </w:rPr>
        <w:t xml:space="preserve"> Le dinamiche della secolarizzazione sono imprevedibili, come insegna la scienza sociale, </w:t>
      </w:r>
      <w:r w:rsidR="00A93F15">
        <w:rPr>
          <w:sz w:val="28"/>
          <w:szCs w:val="28"/>
        </w:rPr>
        <w:t>e</w:t>
      </w:r>
      <w:r w:rsidR="00DF4467">
        <w:rPr>
          <w:sz w:val="28"/>
          <w:szCs w:val="28"/>
        </w:rPr>
        <w:t xml:space="preserve"> dunque è bene mantenere un atteggiamento sorvegliato.</w:t>
      </w:r>
    </w:p>
    <w:p w14:paraId="6F83CCCE" w14:textId="67A1A0F7" w:rsidR="00DF4467" w:rsidRDefault="00E01AD4" w:rsidP="00DC1718">
      <w:pPr>
        <w:spacing w:line="360" w:lineRule="auto"/>
        <w:ind w:firstLine="708"/>
        <w:jc w:val="both"/>
        <w:rPr>
          <w:sz w:val="28"/>
          <w:szCs w:val="28"/>
        </w:rPr>
      </w:pPr>
      <w:r>
        <w:rPr>
          <w:sz w:val="28"/>
          <w:szCs w:val="28"/>
        </w:rPr>
        <w:t>L’unità funzionale d</w:t>
      </w:r>
      <w:r w:rsidR="00286266">
        <w:rPr>
          <w:sz w:val="28"/>
          <w:szCs w:val="28"/>
        </w:rPr>
        <w:t xml:space="preserve">i giurisdizioni distinte, risultante dal sistema integrato di giustizia ordinaria e giustizia amministrativa, </w:t>
      </w:r>
      <w:r w:rsidR="002A7D7E">
        <w:rPr>
          <w:sz w:val="28"/>
          <w:szCs w:val="28"/>
        </w:rPr>
        <w:t xml:space="preserve">è un fattore di ricchezza assoluta dell’ordinamento </w:t>
      </w:r>
      <w:r w:rsidR="00142E91">
        <w:rPr>
          <w:sz w:val="28"/>
          <w:szCs w:val="28"/>
        </w:rPr>
        <w:t xml:space="preserve">ed è dunque </w:t>
      </w:r>
      <w:r w:rsidR="002A7D7E">
        <w:rPr>
          <w:sz w:val="28"/>
          <w:szCs w:val="28"/>
        </w:rPr>
        <w:t>da preservare</w:t>
      </w:r>
      <w:r w:rsidR="00866F2B">
        <w:rPr>
          <w:sz w:val="28"/>
          <w:szCs w:val="28"/>
        </w:rPr>
        <w:t>. Essa costituisce</w:t>
      </w:r>
      <w:r w:rsidR="00EE12B8">
        <w:rPr>
          <w:sz w:val="28"/>
          <w:szCs w:val="28"/>
        </w:rPr>
        <w:t xml:space="preserve"> l’inveramento del programma</w:t>
      </w:r>
      <w:r w:rsidR="00751A24">
        <w:rPr>
          <w:sz w:val="28"/>
          <w:szCs w:val="28"/>
        </w:rPr>
        <w:t xml:space="preserve"> prefigurato dall’art. 24, comma 1, della Costituzione</w:t>
      </w:r>
      <w:r w:rsidR="0053304B">
        <w:rPr>
          <w:sz w:val="28"/>
          <w:szCs w:val="28"/>
        </w:rPr>
        <w:t>, che vuole un giudice dei diritti ed un giudice degli interessi al cospetto del potere. La civilizza</w:t>
      </w:r>
      <w:r w:rsidR="00761878">
        <w:rPr>
          <w:sz w:val="28"/>
          <w:szCs w:val="28"/>
        </w:rPr>
        <w:t>z</w:t>
      </w:r>
      <w:r w:rsidR="00793096">
        <w:rPr>
          <w:sz w:val="28"/>
          <w:szCs w:val="28"/>
        </w:rPr>
        <w:t xml:space="preserve">ione del </w:t>
      </w:r>
      <w:r w:rsidR="00D0599E">
        <w:rPr>
          <w:sz w:val="28"/>
          <w:szCs w:val="28"/>
        </w:rPr>
        <w:t>potere amministrativo non è soltanto</w:t>
      </w:r>
      <w:r w:rsidR="00793096">
        <w:rPr>
          <w:sz w:val="28"/>
          <w:szCs w:val="28"/>
        </w:rPr>
        <w:t xml:space="preserve"> in contraddizione </w:t>
      </w:r>
      <w:r w:rsidR="00010683">
        <w:rPr>
          <w:sz w:val="28"/>
          <w:szCs w:val="28"/>
        </w:rPr>
        <w:t xml:space="preserve">con la </w:t>
      </w:r>
      <w:r w:rsidR="00010683">
        <w:rPr>
          <w:sz w:val="28"/>
          <w:szCs w:val="28"/>
        </w:rPr>
        <w:lastRenderedPageBreak/>
        <w:t xml:space="preserve">logica del potere (e </w:t>
      </w:r>
      <w:r w:rsidR="00D0599E">
        <w:rPr>
          <w:sz w:val="28"/>
          <w:szCs w:val="28"/>
        </w:rPr>
        <w:t>con la differenza fra quest’ultima e</w:t>
      </w:r>
      <w:r w:rsidR="00010683">
        <w:rPr>
          <w:sz w:val="28"/>
          <w:szCs w:val="28"/>
        </w:rPr>
        <w:t xml:space="preserve"> la logica dei diritti), ma </w:t>
      </w:r>
      <w:r w:rsidR="00947BF8">
        <w:rPr>
          <w:sz w:val="28"/>
          <w:szCs w:val="28"/>
        </w:rPr>
        <w:t xml:space="preserve">è anche in discontinuità con la tradizione europeo-continentale di Stato che, a differenza della tradizione anglo-sassone di Stato giurisdizionale, </w:t>
      </w:r>
      <w:r w:rsidR="00741B7C">
        <w:rPr>
          <w:sz w:val="28"/>
          <w:szCs w:val="28"/>
        </w:rPr>
        <w:t>n</w:t>
      </w:r>
      <w:r w:rsidR="00742179">
        <w:rPr>
          <w:sz w:val="28"/>
          <w:szCs w:val="28"/>
        </w:rPr>
        <w:t xml:space="preserve">asce come Stato amministrativo al punto che, </w:t>
      </w:r>
      <w:r w:rsidR="007D14A4">
        <w:rPr>
          <w:sz w:val="28"/>
          <w:szCs w:val="28"/>
        </w:rPr>
        <w:t xml:space="preserve"> come emerge</w:t>
      </w:r>
      <w:r w:rsidR="005441DA">
        <w:rPr>
          <w:sz w:val="28"/>
          <w:szCs w:val="28"/>
        </w:rPr>
        <w:t xml:space="preserve"> dalle pagine di Tocqueville rilette da Fran</w:t>
      </w:r>
      <w:r w:rsidR="007D14A4">
        <w:rPr>
          <w:sz w:val="28"/>
          <w:szCs w:val="28"/>
        </w:rPr>
        <w:t>çois Furet</w:t>
      </w:r>
      <w:r w:rsidR="007B6ECC">
        <w:rPr>
          <w:sz w:val="28"/>
          <w:szCs w:val="28"/>
        </w:rPr>
        <w:t xml:space="preserve"> in </w:t>
      </w:r>
      <w:r w:rsidR="007B6ECC">
        <w:rPr>
          <w:i/>
          <w:sz w:val="28"/>
          <w:szCs w:val="28"/>
        </w:rPr>
        <w:t>Critica della rivoluzione francese</w:t>
      </w:r>
      <w:r w:rsidR="007D14A4">
        <w:rPr>
          <w:sz w:val="28"/>
          <w:szCs w:val="28"/>
        </w:rPr>
        <w:t>,</w:t>
      </w:r>
      <w:r w:rsidR="00741B7C">
        <w:rPr>
          <w:sz w:val="28"/>
          <w:szCs w:val="28"/>
        </w:rPr>
        <w:t xml:space="preserve"> la rivoluzione del 1789</w:t>
      </w:r>
      <w:r w:rsidR="00010683">
        <w:rPr>
          <w:sz w:val="28"/>
          <w:szCs w:val="28"/>
        </w:rPr>
        <w:t xml:space="preserve"> </w:t>
      </w:r>
      <w:r w:rsidR="007D14A4">
        <w:rPr>
          <w:sz w:val="28"/>
          <w:szCs w:val="28"/>
        </w:rPr>
        <w:t xml:space="preserve">non è stata altro che il completamento del processo di monopolizzazione della </w:t>
      </w:r>
      <w:r w:rsidR="00E76D45">
        <w:rPr>
          <w:sz w:val="28"/>
          <w:szCs w:val="28"/>
        </w:rPr>
        <w:t>forza avviato dall’accentramento amministrativo.</w:t>
      </w:r>
    </w:p>
    <w:p w14:paraId="4705034D" w14:textId="77777777" w:rsidR="00A551BB" w:rsidRDefault="00A551BB" w:rsidP="00A551BB">
      <w:pPr>
        <w:spacing w:line="360" w:lineRule="auto"/>
        <w:jc w:val="both"/>
        <w:rPr>
          <w:sz w:val="28"/>
          <w:szCs w:val="28"/>
        </w:rPr>
      </w:pPr>
    </w:p>
    <w:p w14:paraId="265C7545" w14:textId="0CDD01F0" w:rsidR="00A551BB" w:rsidRPr="00A551BB" w:rsidRDefault="00A551BB" w:rsidP="00A551BB">
      <w:pPr>
        <w:spacing w:line="360" w:lineRule="auto"/>
        <w:jc w:val="both"/>
        <w:rPr>
          <w:b/>
          <w:sz w:val="28"/>
          <w:szCs w:val="28"/>
        </w:rPr>
      </w:pPr>
      <w:r>
        <w:rPr>
          <w:b/>
          <w:sz w:val="28"/>
          <w:szCs w:val="28"/>
        </w:rPr>
        <w:t xml:space="preserve">3. Verso un nuovo </w:t>
      </w:r>
      <w:r w:rsidR="004E7EBF">
        <w:rPr>
          <w:b/>
          <w:sz w:val="28"/>
          <w:szCs w:val="28"/>
        </w:rPr>
        <w:t>“concordato giurisprudenziale”?</w:t>
      </w:r>
    </w:p>
    <w:p w14:paraId="689C04DD" w14:textId="3DC73361" w:rsidR="00C23677" w:rsidRDefault="00DB0B0A" w:rsidP="00DB0B0A">
      <w:pPr>
        <w:spacing w:line="360" w:lineRule="auto"/>
        <w:ind w:firstLine="708"/>
        <w:jc w:val="both"/>
        <w:rPr>
          <w:sz w:val="28"/>
          <w:szCs w:val="28"/>
        </w:rPr>
      </w:pPr>
      <w:r>
        <w:rPr>
          <w:sz w:val="28"/>
          <w:szCs w:val="28"/>
        </w:rPr>
        <w:t xml:space="preserve">Non si può chiudere il discorso sul ventennio che abbiamo alle spalle senza una conclusiva osservazione sulla giurisdizione esclusiva del giudice amministrativo. </w:t>
      </w:r>
      <w:r w:rsidR="002079B1">
        <w:rPr>
          <w:sz w:val="28"/>
          <w:szCs w:val="28"/>
        </w:rPr>
        <w:t>La concentrazione delle tutele</w:t>
      </w:r>
      <w:r w:rsidR="00C23677">
        <w:rPr>
          <w:sz w:val="28"/>
          <w:szCs w:val="28"/>
        </w:rPr>
        <w:t xml:space="preserve"> innanzi al medesimo giudice</w:t>
      </w:r>
      <w:r w:rsidR="002079B1">
        <w:rPr>
          <w:sz w:val="28"/>
          <w:szCs w:val="28"/>
        </w:rPr>
        <w:t xml:space="preserve">, sia per gli interessi legittimi che per i diritti soggettivi, </w:t>
      </w:r>
      <w:r w:rsidR="00C23677">
        <w:rPr>
          <w:sz w:val="28"/>
          <w:szCs w:val="28"/>
        </w:rPr>
        <w:t xml:space="preserve">realizza </w:t>
      </w:r>
      <w:r>
        <w:rPr>
          <w:sz w:val="28"/>
          <w:szCs w:val="28"/>
        </w:rPr>
        <w:t xml:space="preserve">il principio di effettività della tutela del bene della vita. </w:t>
      </w:r>
      <w:r w:rsidR="000908DE">
        <w:rPr>
          <w:sz w:val="28"/>
          <w:szCs w:val="28"/>
        </w:rPr>
        <w:t xml:space="preserve">Non di semplice completamento della costituzionalizzazione può però qui parlarsi, ma di vero e proprio mutamento costituzionale materiale. </w:t>
      </w:r>
      <w:r w:rsidR="00A877D6">
        <w:rPr>
          <w:sz w:val="28"/>
          <w:szCs w:val="28"/>
        </w:rPr>
        <w:t>Il passaggio d</w:t>
      </w:r>
      <w:r w:rsidR="007747CF">
        <w:rPr>
          <w:sz w:val="28"/>
          <w:szCs w:val="28"/>
        </w:rPr>
        <w:t xml:space="preserve">ella giurisdizione esclusiva del giudice amministrativa da una funzione residuale ed eccezionale, limitata alla materia del pubblico impiego, </w:t>
      </w:r>
      <w:r w:rsidR="001C7A64">
        <w:rPr>
          <w:sz w:val="28"/>
          <w:szCs w:val="28"/>
        </w:rPr>
        <w:t xml:space="preserve">alla vastissima area di interfaccia </w:t>
      </w:r>
      <w:r w:rsidR="001B0F5B">
        <w:rPr>
          <w:sz w:val="28"/>
          <w:szCs w:val="28"/>
        </w:rPr>
        <w:t xml:space="preserve">fra diritti soggettivi e atti o comportamenti riconducibili mediatamente all’esercizio del potere amministrativo, disegnata dall’art. 133, segna il superamento </w:t>
      </w:r>
      <w:r w:rsidR="006430A9">
        <w:rPr>
          <w:sz w:val="28"/>
          <w:szCs w:val="28"/>
        </w:rPr>
        <w:t>del riferimento alle “particolari materie” dell’art. 103 della Costituzione</w:t>
      </w:r>
      <w:r w:rsidR="002C11AA">
        <w:rPr>
          <w:sz w:val="28"/>
          <w:szCs w:val="28"/>
        </w:rPr>
        <w:t xml:space="preserve">. Nella misura in cui quel superamento è stato legittimato dal custode della Costituzione non di violazione si è trattato </w:t>
      </w:r>
      <w:r w:rsidR="00C75615">
        <w:rPr>
          <w:sz w:val="28"/>
          <w:szCs w:val="28"/>
        </w:rPr>
        <w:t>ma di evoluzione della norma costituzionale.</w:t>
      </w:r>
    </w:p>
    <w:p w14:paraId="72EE5E30" w14:textId="54EA8A4F" w:rsidR="004A5F4B" w:rsidRDefault="00F73A7E" w:rsidP="00DB0B0A">
      <w:pPr>
        <w:spacing w:line="360" w:lineRule="auto"/>
        <w:ind w:firstLine="708"/>
        <w:jc w:val="both"/>
        <w:rPr>
          <w:sz w:val="28"/>
          <w:szCs w:val="28"/>
        </w:rPr>
      </w:pPr>
      <w:r>
        <w:rPr>
          <w:sz w:val="28"/>
          <w:szCs w:val="28"/>
        </w:rPr>
        <w:t xml:space="preserve">Nelle prime pagine del suo ormai classico </w:t>
      </w:r>
      <w:r>
        <w:rPr>
          <w:i/>
          <w:sz w:val="28"/>
          <w:szCs w:val="28"/>
        </w:rPr>
        <w:t>Il diritto mite</w:t>
      </w:r>
      <w:r>
        <w:rPr>
          <w:sz w:val="28"/>
          <w:szCs w:val="28"/>
        </w:rPr>
        <w:t>, Gustavo Zag</w:t>
      </w:r>
      <w:r w:rsidR="000A2313">
        <w:rPr>
          <w:sz w:val="28"/>
          <w:szCs w:val="28"/>
        </w:rPr>
        <w:t>r</w:t>
      </w:r>
      <w:r>
        <w:rPr>
          <w:sz w:val="28"/>
          <w:szCs w:val="28"/>
        </w:rPr>
        <w:t>ebelsky sc</w:t>
      </w:r>
      <w:r w:rsidR="003A350B">
        <w:rPr>
          <w:sz w:val="28"/>
          <w:szCs w:val="28"/>
        </w:rPr>
        <w:t>risse che</w:t>
      </w:r>
      <w:r w:rsidR="00D90894">
        <w:rPr>
          <w:sz w:val="28"/>
          <w:szCs w:val="28"/>
        </w:rPr>
        <w:t xml:space="preserve"> gli esiti costituzionali storicamente concreti dipendono non dalla Costituzione ma dalla politica costituzionale</w:t>
      </w:r>
      <w:r w:rsidR="00894BA8">
        <w:rPr>
          <w:sz w:val="28"/>
          <w:szCs w:val="28"/>
        </w:rPr>
        <w:t>. Quest’ultima nozione, come commentò Mario Dogliani, rappresenta una riscrittura della teoria di Mortati della costituzione materiale</w:t>
      </w:r>
      <w:r w:rsidR="003A350B">
        <w:rPr>
          <w:sz w:val="28"/>
          <w:szCs w:val="28"/>
        </w:rPr>
        <w:t xml:space="preserve">. </w:t>
      </w:r>
      <w:r w:rsidR="002C5E3E">
        <w:rPr>
          <w:sz w:val="28"/>
          <w:szCs w:val="28"/>
        </w:rPr>
        <w:t>Il quadro delle disposizion</w:t>
      </w:r>
      <w:r w:rsidR="007254C8">
        <w:rPr>
          <w:sz w:val="28"/>
          <w:szCs w:val="28"/>
        </w:rPr>
        <w:t>i costituzionali</w:t>
      </w:r>
      <w:r w:rsidR="002C5E3E">
        <w:rPr>
          <w:sz w:val="28"/>
          <w:szCs w:val="28"/>
        </w:rPr>
        <w:t xml:space="preserve"> </w:t>
      </w:r>
      <w:r w:rsidR="00B53A44">
        <w:rPr>
          <w:sz w:val="28"/>
          <w:szCs w:val="28"/>
        </w:rPr>
        <w:t>è rimesso alla politica costituzionale, a</w:t>
      </w:r>
      <w:r w:rsidR="000A2313">
        <w:rPr>
          <w:sz w:val="28"/>
          <w:szCs w:val="28"/>
        </w:rPr>
        <w:t xml:space="preserve"> quel complesso cioè di attività</w:t>
      </w:r>
      <w:r w:rsidR="00B53A44">
        <w:rPr>
          <w:sz w:val="28"/>
          <w:szCs w:val="28"/>
        </w:rPr>
        <w:t xml:space="preserve"> imputabili </w:t>
      </w:r>
      <w:r w:rsidR="00B53A44">
        <w:rPr>
          <w:sz w:val="28"/>
          <w:szCs w:val="28"/>
        </w:rPr>
        <w:lastRenderedPageBreak/>
        <w:t>alla giurisprudenza (costituzionale e comune), alla legi</w:t>
      </w:r>
      <w:r w:rsidR="005D57E9">
        <w:rPr>
          <w:sz w:val="28"/>
          <w:szCs w:val="28"/>
        </w:rPr>
        <w:t xml:space="preserve">slazione ordinaria ed in genere alle convenzioni </w:t>
      </w:r>
      <w:r w:rsidR="00025299">
        <w:rPr>
          <w:sz w:val="28"/>
          <w:szCs w:val="28"/>
        </w:rPr>
        <w:t xml:space="preserve">costituzionali. Il significato costituzionale di giurisdizione esclusiva è mutato per opera del legislatore </w:t>
      </w:r>
      <w:r w:rsidR="000A2313">
        <w:rPr>
          <w:sz w:val="28"/>
          <w:szCs w:val="28"/>
        </w:rPr>
        <w:t xml:space="preserve">ordinario </w:t>
      </w:r>
      <w:r w:rsidR="00025299">
        <w:rPr>
          <w:sz w:val="28"/>
          <w:szCs w:val="28"/>
        </w:rPr>
        <w:t>e del giudice costituzionale.</w:t>
      </w:r>
      <w:r w:rsidR="004A5F4B">
        <w:rPr>
          <w:sz w:val="28"/>
          <w:szCs w:val="28"/>
        </w:rPr>
        <w:t xml:space="preserve"> </w:t>
      </w:r>
      <w:r w:rsidR="00DB0B0A">
        <w:rPr>
          <w:sz w:val="28"/>
          <w:szCs w:val="28"/>
        </w:rPr>
        <w:t xml:space="preserve">Di fronte a questo </w:t>
      </w:r>
      <w:r w:rsidR="004A5F4B">
        <w:rPr>
          <w:sz w:val="28"/>
          <w:szCs w:val="28"/>
        </w:rPr>
        <w:t xml:space="preserve">rilevante </w:t>
      </w:r>
      <w:r w:rsidR="00DB0B0A">
        <w:rPr>
          <w:sz w:val="28"/>
          <w:szCs w:val="28"/>
        </w:rPr>
        <w:t xml:space="preserve">cambiamento </w:t>
      </w:r>
      <w:r w:rsidR="00315A11">
        <w:rPr>
          <w:sz w:val="28"/>
          <w:szCs w:val="28"/>
        </w:rPr>
        <w:t>il modulo organizzativo del rapporto fra le due giurisdizioni, amministrativa ed ordinaria, non può restare immutato.</w:t>
      </w:r>
    </w:p>
    <w:p w14:paraId="78A02C71" w14:textId="63D89378" w:rsidR="00DB0B0A" w:rsidRDefault="00AB6E58" w:rsidP="00693A8C">
      <w:pPr>
        <w:spacing w:line="360" w:lineRule="auto"/>
        <w:ind w:firstLine="708"/>
        <w:jc w:val="both"/>
        <w:rPr>
          <w:sz w:val="28"/>
          <w:szCs w:val="28"/>
        </w:rPr>
      </w:pPr>
      <w:r>
        <w:rPr>
          <w:sz w:val="28"/>
          <w:szCs w:val="28"/>
        </w:rPr>
        <w:t xml:space="preserve">La domanda </w:t>
      </w:r>
      <w:r w:rsidR="00917630">
        <w:rPr>
          <w:sz w:val="28"/>
          <w:szCs w:val="28"/>
        </w:rPr>
        <w:t>da porsi è se il</w:t>
      </w:r>
      <w:r>
        <w:rPr>
          <w:sz w:val="28"/>
          <w:szCs w:val="28"/>
        </w:rPr>
        <w:t xml:space="preserve"> mutamento costituzionale materiale al livell</w:t>
      </w:r>
      <w:r w:rsidR="00C869AA">
        <w:rPr>
          <w:sz w:val="28"/>
          <w:szCs w:val="28"/>
        </w:rPr>
        <w:t>o della giurisdizione amministrativa su diritti soggettivi</w:t>
      </w:r>
      <w:r w:rsidR="00917630">
        <w:rPr>
          <w:sz w:val="28"/>
          <w:szCs w:val="28"/>
        </w:rPr>
        <w:t xml:space="preserve"> incida su altre disposizioni costituzionali</w:t>
      </w:r>
      <w:r w:rsidR="007254C8">
        <w:rPr>
          <w:sz w:val="28"/>
          <w:szCs w:val="28"/>
        </w:rPr>
        <w:t xml:space="preserve">, e segnatamente </w:t>
      </w:r>
      <w:r w:rsidR="00917630">
        <w:rPr>
          <w:sz w:val="28"/>
          <w:szCs w:val="28"/>
        </w:rPr>
        <w:t>l’art. 111</w:t>
      </w:r>
      <w:r w:rsidR="007254C8">
        <w:rPr>
          <w:sz w:val="28"/>
          <w:szCs w:val="28"/>
        </w:rPr>
        <w:t>, commi 7 e 8</w:t>
      </w:r>
      <w:r w:rsidR="00C869AA">
        <w:rPr>
          <w:sz w:val="28"/>
          <w:szCs w:val="28"/>
        </w:rPr>
        <w:t>. L</w:t>
      </w:r>
      <w:r w:rsidR="00693A8C">
        <w:rPr>
          <w:sz w:val="28"/>
          <w:szCs w:val="28"/>
        </w:rPr>
        <w:t xml:space="preserve">’interrogativo è se </w:t>
      </w:r>
      <w:r w:rsidR="00DB0B0A">
        <w:rPr>
          <w:sz w:val="28"/>
          <w:szCs w:val="28"/>
        </w:rPr>
        <w:t xml:space="preserve">si debbano introdurre nuove chiavi interpretative di disposizioni che eravamo abituati a concepire in modo del tutto differente. </w:t>
      </w:r>
      <w:r w:rsidR="006B0A49">
        <w:rPr>
          <w:sz w:val="28"/>
          <w:szCs w:val="28"/>
        </w:rPr>
        <w:t xml:space="preserve">Nel quadro di un diverso modulo organizzativo del rapporto fra giurisdizioni viene anche in rilievo </w:t>
      </w:r>
      <w:r w:rsidR="007156F7">
        <w:rPr>
          <w:sz w:val="28"/>
          <w:szCs w:val="28"/>
        </w:rPr>
        <w:t xml:space="preserve">la questione, posta dal Memorandum sottoscritto </w:t>
      </w:r>
      <w:r w:rsidR="00B86123">
        <w:rPr>
          <w:sz w:val="28"/>
          <w:szCs w:val="28"/>
        </w:rPr>
        <w:t xml:space="preserve">il 15 maggio 2017 dai vertici delle corti superiori, dell’integrazione dei collegi delle sezioni unite della </w:t>
      </w:r>
      <w:r w:rsidR="00976231">
        <w:rPr>
          <w:sz w:val="28"/>
          <w:szCs w:val="28"/>
        </w:rPr>
        <w:t>Corte di cassazione con magistrati provenienti dal Consiglio di Stato.</w:t>
      </w:r>
    </w:p>
    <w:p w14:paraId="2C9EE6DD" w14:textId="761AAEDB" w:rsidR="00924325" w:rsidRDefault="00924325" w:rsidP="00693A8C">
      <w:pPr>
        <w:spacing w:line="360" w:lineRule="auto"/>
        <w:ind w:firstLine="708"/>
        <w:jc w:val="both"/>
        <w:rPr>
          <w:sz w:val="28"/>
          <w:szCs w:val="28"/>
        </w:rPr>
      </w:pPr>
      <w:r>
        <w:rPr>
          <w:sz w:val="28"/>
          <w:szCs w:val="28"/>
        </w:rPr>
        <w:t xml:space="preserve">Di quel Memorandum va raccolta </w:t>
      </w:r>
      <w:r w:rsidR="002471C5">
        <w:rPr>
          <w:sz w:val="28"/>
          <w:szCs w:val="28"/>
        </w:rPr>
        <w:t xml:space="preserve">l’esigenza che ne era alla base. Scelte come una </w:t>
      </w:r>
      <w:r w:rsidR="009E02E2">
        <w:rPr>
          <w:sz w:val="28"/>
          <w:szCs w:val="28"/>
        </w:rPr>
        <w:t>diversa interpretazione de</w:t>
      </w:r>
      <w:r w:rsidR="000B0FC6">
        <w:rPr>
          <w:sz w:val="28"/>
          <w:szCs w:val="28"/>
        </w:rPr>
        <w:t xml:space="preserve">ll’art. 111 in relazione alla giurisdizione amministrativa su diritti </w:t>
      </w:r>
      <w:r w:rsidR="00694752">
        <w:rPr>
          <w:sz w:val="28"/>
          <w:szCs w:val="28"/>
        </w:rPr>
        <w:t xml:space="preserve">o </w:t>
      </w:r>
      <w:r w:rsidR="00725C49">
        <w:rPr>
          <w:sz w:val="28"/>
          <w:szCs w:val="28"/>
        </w:rPr>
        <w:t>l’integrazione dei collegi delle sezi</w:t>
      </w:r>
      <w:r w:rsidR="00C51C23">
        <w:rPr>
          <w:sz w:val="28"/>
          <w:szCs w:val="28"/>
        </w:rPr>
        <w:t>oni unite non possono non costituire</w:t>
      </w:r>
      <w:r w:rsidR="00725C49">
        <w:rPr>
          <w:sz w:val="28"/>
          <w:szCs w:val="28"/>
        </w:rPr>
        <w:t xml:space="preserve"> l’esito di un percorso di dialogo</w:t>
      </w:r>
      <w:r w:rsidR="006602CE">
        <w:rPr>
          <w:sz w:val="28"/>
          <w:szCs w:val="28"/>
        </w:rPr>
        <w:t xml:space="preserve"> e di una determinazione condivisa dai soggetti di quel dialogo. </w:t>
      </w:r>
      <w:r w:rsidR="00742AB2">
        <w:rPr>
          <w:sz w:val="28"/>
          <w:szCs w:val="28"/>
        </w:rPr>
        <w:t>Il mutamento introdotto dal ventennio che abbiamo alle spalle dovrebb</w:t>
      </w:r>
      <w:r w:rsidR="00724844">
        <w:rPr>
          <w:sz w:val="28"/>
          <w:szCs w:val="28"/>
        </w:rPr>
        <w:t>e aprire una stagione di confronto</w:t>
      </w:r>
      <w:r w:rsidR="00742AB2">
        <w:rPr>
          <w:sz w:val="28"/>
          <w:szCs w:val="28"/>
        </w:rPr>
        <w:t xml:space="preserve">, </w:t>
      </w:r>
      <w:r w:rsidR="005C31E5">
        <w:rPr>
          <w:sz w:val="28"/>
          <w:szCs w:val="28"/>
        </w:rPr>
        <w:t xml:space="preserve">che veda come protagonisti </w:t>
      </w:r>
      <w:r w:rsidR="00157A49">
        <w:rPr>
          <w:sz w:val="28"/>
          <w:szCs w:val="28"/>
        </w:rPr>
        <w:t>i</w:t>
      </w:r>
      <w:r w:rsidR="00C51C23">
        <w:rPr>
          <w:sz w:val="28"/>
          <w:szCs w:val="28"/>
        </w:rPr>
        <w:t xml:space="preserve">n primo luogo non </w:t>
      </w:r>
      <w:r w:rsidR="005C31E5">
        <w:rPr>
          <w:sz w:val="28"/>
          <w:szCs w:val="28"/>
        </w:rPr>
        <w:t>i</w:t>
      </w:r>
      <w:r w:rsidR="00FB7B76">
        <w:rPr>
          <w:sz w:val="28"/>
          <w:szCs w:val="28"/>
        </w:rPr>
        <w:t xml:space="preserve"> vertici delle istituzioni </w:t>
      </w:r>
      <w:r w:rsidR="00C51C23">
        <w:rPr>
          <w:sz w:val="28"/>
          <w:szCs w:val="28"/>
        </w:rPr>
        <w:t xml:space="preserve">ma </w:t>
      </w:r>
      <w:r w:rsidR="00742AB2">
        <w:rPr>
          <w:sz w:val="28"/>
          <w:szCs w:val="28"/>
        </w:rPr>
        <w:t xml:space="preserve">il corpo dei magistrati che ne costituiscono la base. </w:t>
      </w:r>
      <w:r w:rsidR="00724844">
        <w:rPr>
          <w:sz w:val="28"/>
          <w:szCs w:val="28"/>
        </w:rPr>
        <w:t xml:space="preserve"> Si potrebbero immaginare sedi di confronto</w:t>
      </w:r>
      <w:r w:rsidR="00764B8A">
        <w:rPr>
          <w:sz w:val="28"/>
          <w:szCs w:val="28"/>
        </w:rPr>
        <w:t xml:space="preserve"> e commissioni dedicate</w:t>
      </w:r>
      <w:r w:rsidR="00724844">
        <w:rPr>
          <w:sz w:val="28"/>
          <w:szCs w:val="28"/>
        </w:rPr>
        <w:t xml:space="preserve">, che coinvolgano anche </w:t>
      </w:r>
      <w:r w:rsidR="00934C91">
        <w:rPr>
          <w:sz w:val="28"/>
          <w:szCs w:val="28"/>
        </w:rPr>
        <w:t xml:space="preserve">gli organi di autogoverno e </w:t>
      </w:r>
      <w:r w:rsidR="004A2AE0">
        <w:rPr>
          <w:sz w:val="28"/>
          <w:szCs w:val="28"/>
        </w:rPr>
        <w:t>le articolazioni associative delle magistrature</w:t>
      </w:r>
      <w:r w:rsidR="00934C91">
        <w:rPr>
          <w:sz w:val="28"/>
          <w:szCs w:val="28"/>
        </w:rPr>
        <w:t>, creando le condizioni per una discussione la più larga possibile</w:t>
      </w:r>
      <w:r w:rsidR="00764B8A">
        <w:rPr>
          <w:sz w:val="28"/>
          <w:szCs w:val="28"/>
        </w:rPr>
        <w:t xml:space="preserve">. L’augurio è che alla fine di un percorso di dialogo così esteso e diffuso possa esserci </w:t>
      </w:r>
      <w:r w:rsidR="001849DF">
        <w:rPr>
          <w:sz w:val="28"/>
          <w:szCs w:val="28"/>
        </w:rPr>
        <w:t>un nuovo “concordato giurisprudenziale” come quello sottoscritto circa un secolo fa.</w:t>
      </w:r>
      <w:r w:rsidR="00C06CD1">
        <w:rPr>
          <w:sz w:val="28"/>
          <w:szCs w:val="28"/>
        </w:rPr>
        <w:t xml:space="preserve"> </w:t>
      </w:r>
    </w:p>
    <w:p w14:paraId="2A1C04AD" w14:textId="77777777" w:rsidR="003C6400" w:rsidRDefault="003C6400" w:rsidP="00DB0B0A">
      <w:pPr>
        <w:spacing w:line="360" w:lineRule="auto"/>
        <w:ind w:firstLine="708"/>
        <w:jc w:val="both"/>
        <w:rPr>
          <w:sz w:val="28"/>
          <w:szCs w:val="28"/>
        </w:rPr>
      </w:pPr>
    </w:p>
    <w:p w14:paraId="79A43C68" w14:textId="77777777" w:rsidR="00F5104E" w:rsidRPr="00F5104E" w:rsidRDefault="00F5104E" w:rsidP="00F5104E">
      <w:pPr>
        <w:spacing w:line="360" w:lineRule="auto"/>
        <w:jc w:val="right"/>
        <w:rPr>
          <w:b/>
          <w:sz w:val="32"/>
          <w:szCs w:val="32"/>
        </w:rPr>
      </w:pPr>
      <w:r w:rsidRPr="00F5104E">
        <w:rPr>
          <w:b/>
          <w:sz w:val="32"/>
          <w:szCs w:val="32"/>
        </w:rPr>
        <w:t>Enrico Scoditti</w:t>
      </w:r>
    </w:p>
    <w:p w14:paraId="2CAE620F" w14:textId="77777777" w:rsidR="00F5104E" w:rsidRDefault="00F5104E" w:rsidP="00F5104E">
      <w:pPr>
        <w:spacing w:line="360" w:lineRule="auto"/>
        <w:jc w:val="right"/>
        <w:rPr>
          <w:sz w:val="28"/>
          <w:szCs w:val="28"/>
        </w:rPr>
      </w:pPr>
      <w:r>
        <w:rPr>
          <w:sz w:val="28"/>
          <w:szCs w:val="28"/>
        </w:rPr>
        <w:lastRenderedPageBreak/>
        <w:t>Consigliere della Corte suprema di cassazione</w:t>
      </w:r>
    </w:p>
    <w:p w14:paraId="778F43DD" w14:textId="77777777" w:rsidR="00DB0B0A" w:rsidRPr="00FB5BC5" w:rsidRDefault="00DB0B0A" w:rsidP="00216E12">
      <w:pPr>
        <w:spacing w:line="360" w:lineRule="auto"/>
        <w:jc w:val="both"/>
        <w:rPr>
          <w:b/>
          <w:sz w:val="28"/>
          <w:szCs w:val="28"/>
        </w:rPr>
      </w:pPr>
    </w:p>
    <w:sectPr w:rsidR="00DB0B0A" w:rsidRPr="00FB5BC5" w:rsidSect="006D5135">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5A71" w14:textId="77777777" w:rsidR="00B13E30" w:rsidRDefault="00B13E30" w:rsidP="00D52B8A">
      <w:r>
        <w:separator/>
      </w:r>
    </w:p>
  </w:endnote>
  <w:endnote w:type="continuationSeparator" w:id="0">
    <w:p w14:paraId="1CD679E6" w14:textId="77777777" w:rsidR="00B13E30" w:rsidRDefault="00B13E30" w:rsidP="00D5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9485" w14:textId="77777777" w:rsidR="00C51C23" w:rsidRDefault="00C51C23" w:rsidP="00D52B8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6BA123" w14:textId="77777777" w:rsidR="00C51C23" w:rsidRDefault="00C51C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69F6" w14:textId="766C9AC5" w:rsidR="00C51C23" w:rsidRDefault="00C51C23" w:rsidP="00D52B8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17E0">
      <w:rPr>
        <w:rStyle w:val="Numeropagina"/>
        <w:noProof/>
      </w:rPr>
      <w:t>1</w:t>
    </w:r>
    <w:r>
      <w:rPr>
        <w:rStyle w:val="Numeropagina"/>
      </w:rPr>
      <w:fldChar w:fldCharType="end"/>
    </w:r>
  </w:p>
  <w:p w14:paraId="39A6ED97" w14:textId="77777777" w:rsidR="00C51C23" w:rsidRDefault="00C51C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C942" w14:textId="77777777" w:rsidR="00B13E30" w:rsidRDefault="00B13E30" w:rsidP="00D52B8A">
      <w:r>
        <w:separator/>
      </w:r>
    </w:p>
  </w:footnote>
  <w:footnote w:type="continuationSeparator" w:id="0">
    <w:p w14:paraId="232853DC" w14:textId="77777777" w:rsidR="00B13E30" w:rsidRDefault="00B13E30" w:rsidP="00D52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ED"/>
    <w:rsid w:val="00010683"/>
    <w:rsid w:val="00024875"/>
    <w:rsid w:val="00025299"/>
    <w:rsid w:val="0003062B"/>
    <w:rsid w:val="00030843"/>
    <w:rsid w:val="000341C4"/>
    <w:rsid w:val="000358E0"/>
    <w:rsid w:val="0007076B"/>
    <w:rsid w:val="00074770"/>
    <w:rsid w:val="00083592"/>
    <w:rsid w:val="000908DE"/>
    <w:rsid w:val="00090F20"/>
    <w:rsid w:val="000931A9"/>
    <w:rsid w:val="000A2313"/>
    <w:rsid w:val="000B0FC6"/>
    <w:rsid w:val="000E26E8"/>
    <w:rsid w:val="000E7044"/>
    <w:rsid w:val="000F00DD"/>
    <w:rsid w:val="00123422"/>
    <w:rsid w:val="00131743"/>
    <w:rsid w:val="00142E91"/>
    <w:rsid w:val="00150A13"/>
    <w:rsid w:val="001568E5"/>
    <w:rsid w:val="00157A49"/>
    <w:rsid w:val="001663F4"/>
    <w:rsid w:val="00175E60"/>
    <w:rsid w:val="00182112"/>
    <w:rsid w:val="001848BE"/>
    <w:rsid w:val="001849DF"/>
    <w:rsid w:val="001A2A4E"/>
    <w:rsid w:val="001A5095"/>
    <w:rsid w:val="001A76F5"/>
    <w:rsid w:val="001B0F5B"/>
    <w:rsid w:val="001B70F7"/>
    <w:rsid w:val="001C7A64"/>
    <w:rsid w:val="001D2E31"/>
    <w:rsid w:val="001E02AE"/>
    <w:rsid w:val="001F149F"/>
    <w:rsid w:val="00200A38"/>
    <w:rsid w:val="002079B1"/>
    <w:rsid w:val="0021091C"/>
    <w:rsid w:val="00211BD5"/>
    <w:rsid w:val="00216E12"/>
    <w:rsid w:val="00235A38"/>
    <w:rsid w:val="00236820"/>
    <w:rsid w:val="002471C5"/>
    <w:rsid w:val="00286266"/>
    <w:rsid w:val="00296E1B"/>
    <w:rsid w:val="002A7D7E"/>
    <w:rsid w:val="002C11AA"/>
    <w:rsid w:val="002C253E"/>
    <w:rsid w:val="002C5E3E"/>
    <w:rsid w:val="002D14CE"/>
    <w:rsid w:val="002E265B"/>
    <w:rsid w:val="002F2C20"/>
    <w:rsid w:val="00315A11"/>
    <w:rsid w:val="0034224E"/>
    <w:rsid w:val="00344873"/>
    <w:rsid w:val="00350246"/>
    <w:rsid w:val="00355870"/>
    <w:rsid w:val="0038117B"/>
    <w:rsid w:val="003835BC"/>
    <w:rsid w:val="003A350B"/>
    <w:rsid w:val="003C2FF6"/>
    <w:rsid w:val="003C590C"/>
    <w:rsid w:val="003C6400"/>
    <w:rsid w:val="003E0FEB"/>
    <w:rsid w:val="003E1BC5"/>
    <w:rsid w:val="00405C5D"/>
    <w:rsid w:val="004106D4"/>
    <w:rsid w:val="00410BC8"/>
    <w:rsid w:val="00412ED1"/>
    <w:rsid w:val="004270C4"/>
    <w:rsid w:val="00430996"/>
    <w:rsid w:val="00430E43"/>
    <w:rsid w:val="00435706"/>
    <w:rsid w:val="00437A5B"/>
    <w:rsid w:val="004506EB"/>
    <w:rsid w:val="00491D50"/>
    <w:rsid w:val="004A2AE0"/>
    <w:rsid w:val="004A5F4B"/>
    <w:rsid w:val="004D2163"/>
    <w:rsid w:val="004E42C1"/>
    <w:rsid w:val="004E7EBF"/>
    <w:rsid w:val="004F7CD5"/>
    <w:rsid w:val="00507164"/>
    <w:rsid w:val="00510961"/>
    <w:rsid w:val="0053304B"/>
    <w:rsid w:val="00535F8C"/>
    <w:rsid w:val="0054046E"/>
    <w:rsid w:val="005441DA"/>
    <w:rsid w:val="00550211"/>
    <w:rsid w:val="00555E39"/>
    <w:rsid w:val="00557F7E"/>
    <w:rsid w:val="00582F86"/>
    <w:rsid w:val="005848BC"/>
    <w:rsid w:val="005875F4"/>
    <w:rsid w:val="005919D2"/>
    <w:rsid w:val="005A3612"/>
    <w:rsid w:val="005C31E5"/>
    <w:rsid w:val="005D57E9"/>
    <w:rsid w:val="00601701"/>
    <w:rsid w:val="00616959"/>
    <w:rsid w:val="006249EE"/>
    <w:rsid w:val="006430A9"/>
    <w:rsid w:val="00644B8B"/>
    <w:rsid w:val="006602CE"/>
    <w:rsid w:val="00664D54"/>
    <w:rsid w:val="00676668"/>
    <w:rsid w:val="00693A8C"/>
    <w:rsid w:val="00694752"/>
    <w:rsid w:val="006B0A49"/>
    <w:rsid w:val="006D4224"/>
    <w:rsid w:val="006D5135"/>
    <w:rsid w:val="006D55D9"/>
    <w:rsid w:val="006E14A9"/>
    <w:rsid w:val="0070757B"/>
    <w:rsid w:val="007156F7"/>
    <w:rsid w:val="007168D3"/>
    <w:rsid w:val="00723BD2"/>
    <w:rsid w:val="00724844"/>
    <w:rsid w:val="007254C8"/>
    <w:rsid w:val="00725C49"/>
    <w:rsid w:val="00732C3B"/>
    <w:rsid w:val="00733247"/>
    <w:rsid w:val="00741116"/>
    <w:rsid w:val="00741B7C"/>
    <w:rsid w:val="00742179"/>
    <w:rsid w:val="00742AB2"/>
    <w:rsid w:val="00745222"/>
    <w:rsid w:val="00751A24"/>
    <w:rsid w:val="00761878"/>
    <w:rsid w:val="00764B8A"/>
    <w:rsid w:val="00767B43"/>
    <w:rsid w:val="007747CF"/>
    <w:rsid w:val="00793096"/>
    <w:rsid w:val="007954F6"/>
    <w:rsid w:val="007B6ECC"/>
    <w:rsid w:val="007D14A4"/>
    <w:rsid w:val="007F1968"/>
    <w:rsid w:val="00816DC7"/>
    <w:rsid w:val="00830BA7"/>
    <w:rsid w:val="00852E37"/>
    <w:rsid w:val="00856722"/>
    <w:rsid w:val="00866F2B"/>
    <w:rsid w:val="00874203"/>
    <w:rsid w:val="00883B3D"/>
    <w:rsid w:val="00887A4A"/>
    <w:rsid w:val="00894BA8"/>
    <w:rsid w:val="00896EB5"/>
    <w:rsid w:val="008B1FAD"/>
    <w:rsid w:val="008C1321"/>
    <w:rsid w:val="008C29D9"/>
    <w:rsid w:val="008C3DF5"/>
    <w:rsid w:val="009126D1"/>
    <w:rsid w:val="00914172"/>
    <w:rsid w:val="0091478B"/>
    <w:rsid w:val="00917630"/>
    <w:rsid w:val="00924325"/>
    <w:rsid w:val="00925FE8"/>
    <w:rsid w:val="00931DD7"/>
    <w:rsid w:val="00934C91"/>
    <w:rsid w:val="00947BF8"/>
    <w:rsid w:val="00960B27"/>
    <w:rsid w:val="00961D63"/>
    <w:rsid w:val="009701FD"/>
    <w:rsid w:val="00976231"/>
    <w:rsid w:val="009931FA"/>
    <w:rsid w:val="009A1B34"/>
    <w:rsid w:val="009A2AB3"/>
    <w:rsid w:val="009A2DAC"/>
    <w:rsid w:val="009C29C6"/>
    <w:rsid w:val="009C6341"/>
    <w:rsid w:val="009E02E2"/>
    <w:rsid w:val="009F09AF"/>
    <w:rsid w:val="009F39DC"/>
    <w:rsid w:val="00A125AA"/>
    <w:rsid w:val="00A13DDF"/>
    <w:rsid w:val="00A14095"/>
    <w:rsid w:val="00A42152"/>
    <w:rsid w:val="00A46875"/>
    <w:rsid w:val="00A46BE4"/>
    <w:rsid w:val="00A551BB"/>
    <w:rsid w:val="00A80946"/>
    <w:rsid w:val="00A877D6"/>
    <w:rsid w:val="00A91BF9"/>
    <w:rsid w:val="00A93F15"/>
    <w:rsid w:val="00A9610A"/>
    <w:rsid w:val="00AB1F83"/>
    <w:rsid w:val="00AB6E58"/>
    <w:rsid w:val="00AB7782"/>
    <w:rsid w:val="00AD57C8"/>
    <w:rsid w:val="00AD72E5"/>
    <w:rsid w:val="00AD7404"/>
    <w:rsid w:val="00B03887"/>
    <w:rsid w:val="00B13E30"/>
    <w:rsid w:val="00B32646"/>
    <w:rsid w:val="00B34580"/>
    <w:rsid w:val="00B425BC"/>
    <w:rsid w:val="00B53A44"/>
    <w:rsid w:val="00B801DA"/>
    <w:rsid w:val="00B84AC5"/>
    <w:rsid w:val="00B86123"/>
    <w:rsid w:val="00B96866"/>
    <w:rsid w:val="00BB3554"/>
    <w:rsid w:val="00BC05D7"/>
    <w:rsid w:val="00C04B4C"/>
    <w:rsid w:val="00C06CD1"/>
    <w:rsid w:val="00C23677"/>
    <w:rsid w:val="00C243A3"/>
    <w:rsid w:val="00C2768A"/>
    <w:rsid w:val="00C33EC9"/>
    <w:rsid w:val="00C354E8"/>
    <w:rsid w:val="00C4457C"/>
    <w:rsid w:val="00C51C23"/>
    <w:rsid w:val="00C532B2"/>
    <w:rsid w:val="00C6058F"/>
    <w:rsid w:val="00C75615"/>
    <w:rsid w:val="00C869AA"/>
    <w:rsid w:val="00C9147D"/>
    <w:rsid w:val="00C934EE"/>
    <w:rsid w:val="00CA42C6"/>
    <w:rsid w:val="00CB34F2"/>
    <w:rsid w:val="00CD15C1"/>
    <w:rsid w:val="00CD6340"/>
    <w:rsid w:val="00CE0604"/>
    <w:rsid w:val="00CE44EE"/>
    <w:rsid w:val="00D0599E"/>
    <w:rsid w:val="00D20278"/>
    <w:rsid w:val="00D25A45"/>
    <w:rsid w:val="00D329D3"/>
    <w:rsid w:val="00D52B8A"/>
    <w:rsid w:val="00D65873"/>
    <w:rsid w:val="00D720F5"/>
    <w:rsid w:val="00D80780"/>
    <w:rsid w:val="00D90894"/>
    <w:rsid w:val="00DB0B0A"/>
    <w:rsid w:val="00DC1718"/>
    <w:rsid w:val="00DE147E"/>
    <w:rsid w:val="00DE5F75"/>
    <w:rsid w:val="00DF4467"/>
    <w:rsid w:val="00E01AD4"/>
    <w:rsid w:val="00E07C26"/>
    <w:rsid w:val="00E32580"/>
    <w:rsid w:val="00E33CA9"/>
    <w:rsid w:val="00E70CDE"/>
    <w:rsid w:val="00E76D45"/>
    <w:rsid w:val="00EA7BF1"/>
    <w:rsid w:val="00EC09C9"/>
    <w:rsid w:val="00EC4649"/>
    <w:rsid w:val="00ED2F7C"/>
    <w:rsid w:val="00ED446A"/>
    <w:rsid w:val="00EE0EFC"/>
    <w:rsid w:val="00EE12B8"/>
    <w:rsid w:val="00EE3A4E"/>
    <w:rsid w:val="00EE46DA"/>
    <w:rsid w:val="00F061E0"/>
    <w:rsid w:val="00F30D43"/>
    <w:rsid w:val="00F5104E"/>
    <w:rsid w:val="00F73A7E"/>
    <w:rsid w:val="00F87CD5"/>
    <w:rsid w:val="00FA05ED"/>
    <w:rsid w:val="00FB5BC5"/>
    <w:rsid w:val="00FB7B76"/>
    <w:rsid w:val="00FC4868"/>
    <w:rsid w:val="00FD17E0"/>
    <w:rsid w:val="00FD6F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A9692"/>
  <w14:defaultImageDpi w14:val="300"/>
  <w15:docId w15:val="{6D201582-5BC2-488B-8CAB-9F71B203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52B8A"/>
    <w:pPr>
      <w:tabs>
        <w:tab w:val="center" w:pos="4819"/>
        <w:tab w:val="right" w:pos="9638"/>
      </w:tabs>
    </w:pPr>
  </w:style>
  <w:style w:type="character" w:customStyle="1" w:styleId="PidipaginaCarattere">
    <w:name w:val="Piè di pagina Carattere"/>
    <w:basedOn w:val="Carpredefinitoparagrafo"/>
    <w:link w:val="Pidipagina"/>
    <w:uiPriority w:val="99"/>
    <w:rsid w:val="00D52B8A"/>
  </w:style>
  <w:style w:type="character" w:styleId="Numeropagina">
    <w:name w:val="page number"/>
    <w:basedOn w:val="Carpredefinitoparagrafo"/>
    <w:uiPriority w:val="99"/>
    <w:semiHidden/>
    <w:unhideWhenUsed/>
    <w:rsid w:val="00D52B8A"/>
  </w:style>
  <w:style w:type="paragraph" w:styleId="Paragrafoelenco">
    <w:name w:val="List Paragraph"/>
    <w:basedOn w:val="Normale"/>
    <w:uiPriority w:val="34"/>
    <w:qFormat/>
    <w:rsid w:val="00216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3291</Words>
  <Characters>18760</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Scoditti</dc:creator>
  <cp:keywords/>
  <dc:description/>
  <cp:lastModifiedBy>Gianluca Ricci</cp:lastModifiedBy>
  <cp:revision>2</cp:revision>
  <dcterms:created xsi:type="dcterms:W3CDTF">2019-12-14T09:29:00Z</dcterms:created>
  <dcterms:modified xsi:type="dcterms:W3CDTF">2019-12-14T09:29:00Z</dcterms:modified>
</cp:coreProperties>
</file>