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39" w:rsidRPr="00B11F1D" w:rsidRDefault="00B11F1D" w:rsidP="00A33039">
      <w:pPr>
        <w:spacing w:after="0" w:line="360" w:lineRule="auto"/>
        <w:jc w:val="center"/>
        <w:rPr>
          <w:rFonts w:ascii="Times New Roman" w:hAnsi="Times New Roman" w:cs="Times New Roman"/>
          <w:b/>
          <w:bCs/>
          <w:sz w:val="36"/>
          <w:szCs w:val="36"/>
        </w:rPr>
      </w:pPr>
      <w:r w:rsidRPr="00B11F1D">
        <w:rPr>
          <w:rFonts w:ascii="Times New Roman" w:hAnsi="Times New Roman" w:cs="Times New Roman"/>
          <w:b/>
          <w:bCs/>
          <w:sz w:val="36"/>
          <w:szCs w:val="36"/>
        </w:rPr>
        <w:t>L’accesso civico generalizzato</w:t>
      </w:r>
    </w:p>
    <w:p w:rsidR="00D01FCD" w:rsidRPr="00B11F1D" w:rsidRDefault="00B11F1D" w:rsidP="00457EEE">
      <w:pPr>
        <w:spacing w:after="0" w:line="360" w:lineRule="auto"/>
        <w:jc w:val="center"/>
        <w:rPr>
          <w:rFonts w:ascii="Times New Roman" w:hAnsi="Times New Roman" w:cs="Times New Roman"/>
          <w:b/>
          <w:bCs/>
          <w:sz w:val="36"/>
          <w:szCs w:val="36"/>
        </w:rPr>
      </w:pPr>
      <w:proofErr w:type="gramStart"/>
      <w:r>
        <w:rPr>
          <w:rFonts w:ascii="Times New Roman" w:hAnsi="Times New Roman" w:cs="Times New Roman"/>
          <w:b/>
          <w:bCs/>
          <w:sz w:val="36"/>
          <w:szCs w:val="36"/>
        </w:rPr>
        <w:t>a</w:t>
      </w:r>
      <w:r w:rsidRPr="00B11F1D">
        <w:rPr>
          <w:rFonts w:ascii="Times New Roman" w:hAnsi="Times New Roman" w:cs="Times New Roman"/>
          <w:b/>
          <w:bCs/>
          <w:sz w:val="36"/>
          <w:szCs w:val="36"/>
        </w:rPr>
        <w:t>lle</w:t>
      </w:r>
      <w:proofErr w:type="gramEnd"/>
      <w:r w:rsidRPr="00B11F1D">
        <w:rPr>
          <w:rFonts w:ascii="Times New Roman" w:hAnsi="Times New Roman" w:cs="Times New Roman"/>
          <w:b/>
          <w:bCs/>
          <w:sz w:val="36"/>
          <w:szCs w:val="36"/>
        </w:rPr>
        <w:t xml:space="preserve"> procedure di affidamento dei contratti pubblici</w:t>
      </w:r>
    </w:p>
    <w:p w:rsidR="00A4278B" w:rsidRPr="00ED67EC" w:rsidRDefault="00A4278B" w:rsidP="00457EEE">
      <w:pPr>
        <w:spacing w:after="0" w:line="360" w:lineRule="auto"/>
        <w:jc w:val="both"/>
        <w:rPr>
          <w:rFonts w:ascii="Times New Roman" w:hAnsi="Times New Roman" w:cs="Times New Roman"/>
          <w:b/>
          <w:bCs/>
          <w:sz w:val="24"/>
          <w:szCs w:val="24"/>
          <w:u w:val="single"/>
        </w:rPr>
      </w:pPr>
    </w:p>
    <w:tbl>
      <w:tblPr>
        <w:tblStyle w:val="Grigliatabella"/>
        <w:tblW w:w="0" w:type="auto"/>
        <w:tblLook w:val="04A0" w:firstRow="1" w:lastRow="0" w:firstColumn="1" w:lastColumn="0" w:noHBand="0" w:noVBand="1"/>
      </w:tblPr>
      <w:tblGrid>
        <w:gridCol w:w="9628"/>
      </w:tblGrid>
      <w:tr w:rsidR="00D01FCD" w:rsidRPr="00ED67EC" w:rsidTr="00D01FCD">
        <w:tc>
          <w:tcPr>
            <w:tcW w:w="9628" w:type="dxa"/>
          </w:tcPr>
          <w:p w:rsidR="00390E35" w:rsidRDefault="00390E35" w:rsidP="00457EEE">
            <w:pPr>
              <w:spacing w:line="360" w:lineRule="auto"/>
              <w:jc w:val="both"/>
              <w:rPr>
                <w:rFonts w:ascii="Times New Roman" w:hAnsi="Times New Roman" w:cs="Times New Roman"/>
                <w:b/>
                <w:bCs/>
                <w:sz w:val="24"/>
                <w:szCs w:val="24"/>
              </w:rPr>
            </w:pPr>
          </w:p>
          <w:p w:rsidR="00D01FCD" w:rsidRDefault="00D01FCD" w:rsidP="00457EEE">
            <w:pPr>
              <w:spacing w:line="360" w:lineRule="auto"/>
              <w:jc w:val="both"/>
              <w:rPr>
                <w:rFonts w:ascii="Times New Roman" w:hAnsi="Times New Roman" w:cs="Times New Roman"/>
                <w:b/>
                <w:sz w:val="24"/>
                <w:szCs w:val="24"/>
              </w:rPr>
            </w:pPr>
            <w:r w:rsidRPr="00424943">
              <w:rPr>
                <w:rFonts w:ascii="Times New Roman" w:hAnsi="Times New Roman" w:cs="Times New Roman"/>
                <w:b/>
                <w:bCs/>
                <w:sz w:val="24"/>
                <w:szCs w:val="24"/>
              </w:rPr>
              <w:t xml:space="preserve">SOMMARIO: 1. </w:t>
            </w:r>
            <w:r w:rsidR="005927B4" w:rsidRPr="00ED67EC">
              <w:rPr>
                <w:rFonts w:ascii="Times New Roman" w:hAnsi="Times New Roman" w:cs="Times New Roman"/>
                <w:b/>
                <w:bCs/>
                <w:sz w:val="24"/>
                <w:szCs w:val="24"/>
              </w:rPr>
              <w:t>La divisione dell</w:t>
            </w:r>
            <w:r w:rsidR="005927B4">
              <w:rPr>
                <w:rFonts w:ascii="Times New Roman" w:hAnsi="Times New Roman" w:cs="Times New Roman"/>
                <w:b/>
                <w:bCs/>
                <w:sz w:val="24"/>
                <w:szCs w:val="24"/>
              </w:rPr>
              <w:t>a giurisprudenza amministrativa sull’ammissibilità del</w:t>
            </w:r>
            <w:r w:rsidR="005927B4" w:rsidRPr="00ED67EC">
              <w:rPr>
                <w:rFonts w:ascii="Times New Roman" w:hAnsi="Times New Roman" w:cs="Times New Roman"/>
                <w:b/>
                <w:bCs/>
                <w:sz w:val="24"/>
                <w:szCs w:val="24"/>
              </w:rPr>
              <w:t>l’accesso</w:t>
            </w:r>
            <w:r w:rsidR="003C5862">
              <w:rPr>
                <w:rFonts w:ascii="Times New Roman" w:hAnsi="Times New Roman" w:cs="Times New Roman"/>
                <w:b/>
                <w:bCs/>
                <w:sz w:val="24"/>
                <w:szCs w:val="24"/>
              </w:rPr>
              <w:t xml:space="preserve"> civico</w:t>
            </w:r>
            <w:r w:rsidR="005927B4">
              <w:rPr>
                <w:rFonts w:ascii="Times New Roman" w:hAnsi="Times New Roman" w:cs="Times New Roman"/>
                <w:b/>
                <w:bCs/>
                <w:sz w:val="24"/>
                <w:szCs w:val="24"/>
              </w:rPr>
              <w:t xml:space="preserve"> generalizzato agli atti delle</w:t>
            </w:r>
            <w:r w:rsidR="005927B4" w:rsidRPr="00ED67EC">
              <w:rPr>
                <w:rFonts w:ascii="Times New Roman" w:hAnsi="Times New Roman" w:cs="Times New Roman"/>
                <w:b/>
                <w:bCs/>
                <w:sz w:val="24"/>
                <w:szCs w:val="24"/>
              </w:rPr>
              <w:t xml:space="preserve"> procedura di affidamento dei contratti pubblici</w:t>
            </w:r>
            <w:r w:rsidRPr="00424943">
              <w:rPr>
                <w:rFonts w:ascii="Times New Roman" w:hAnsi="Times New Roman" w:cs="Times New Roman"/>
                <w:b/>
                <w:bCs/>
                <w:sz w:val="24"/>
                <w:szCs w:val="24"/>
              </w:rPr>
              <w:t>;</w:t>
            </w:r>
            <w:r w:rsidR="003E3B94">
              <w:rPr>
                <w:rFonts w:ascii="Times New Roman" w:hAnsi="Times New Roman" w:cs="Times New Roman"/>
                <w:b/>
                <w:bCs/>
                <w:sz w:val="24"/>
                <w:szCs w:val="24"/>
              </w:rPr>
              <w:t xml:space="preserve"> 1.1</w:t>
            </w:r>
            <w:r w:rsidR="00390E35">
              <w:rPr>
                <w:rFonts w:ascii="Times New Roman" w:hAnsi="Times New Roman" w:cs="Times New Roman"/>
                <w:b/>
                <w:bCs/>
                <w:sz w:val="24"/>
                <w:szCs w:val="24"/>
              </w:rPr>
              <w:t>.</w:t>
            </w:r>
            <w:r w:rsidR="003E3B94">
              <w:rPr>
                <w:rFonts w:ascii="Times New Roman" w:hAnsi="Times New Roman" w:cs="Times New Roman"/>
                <w:b/>
                <w:bCs/>
                <w:sz w:val="24"/>
                <w:szCs w:val="24"/>
              </w:rPr>
              <w:t xml:space="preserve"> L’orientamento dell’esclusione; 1.2. La tesi dell’applicazione;</w:t>
            </w:r>
            <w:r w:rsidRPr="00424943">
              <w:rPr>
                <w:rFonts w:ascii="Times New Roman" w:hAnsi="Times New Roman" w:cs="Times New Roman"/>
                <w:b/>
                <w:bCs/>
                <w:sz w:val="24"/>
                <w:szCs w:val="24"/>
              </w:rPr>
              <w:t xml:space="preserve"> 2.</w:t>
            </w:r>
            <w:r w:rsidRPr="00424943">
              <w:rPr>
                <w:rFonts w:ascii="Times New Roman" w:hAnsi="Times New Roman" w:cs="Times New Roman"/>
                <w:b/>
                <w:color w:val="000000"/>
                <w:sz w:val="24"/>
                <w:szCs w:val="24"/>
              </w:rPr>
              <w:t xml:space="preserve"> Le ragion</w:t>
            </w:r>
            <w:r w:rsidR="003E3B94">
              <w:rPr>
                <w:rFonts w:ascii="Times New Roman" w:hAnsi="Times New Roman" w:cs="Times New Roman"/>
                <w:b/>
                <w:color w:val="000000"/>
                <w:sz w:val="24"/>
                <w:szCs w:val="24"/>
              </w:rPr>
              <w:t>i (ulteriori) dell’applicazione</w:t>
            </w:r>
            <w:r w:rsidRPr="00424943">
              <w:rPr>
                <w:rFonts w:ascii="Times New Roman" w:hAnsi="Times New Roman" w:cs="Times New Roman"/>
                <w:b/>
                <w:color w:val="000000"/>
                <w:sz w:val="24"/>
                <w:szCs w:val="24"/>
              </w:rPr>
              <w:t xml:space="preserve"> dell’acceso universale </w:t>
            </w:r>
            <w:r w:rsidR="00DB5AD2">
              <w:rPr>
                <w:rFonts w:ascii="Times New Roman" w:hAnsi="Times New Roman" w:cs="Times New Roman"/>
                <w:b/>
                <w:color w:val="000000"/>
                <w:sz w:val="24"/>
                <w:szCs w:val="24"/>
              </w:rPr>
              <w:t>ne</w:t>
            </w:r>
            <w:r w:rsidRPr="00424943">
              <w:rPr>
                <w:rFonts w:ascii="Times New Roman" w:hAnsi="Times New Roman" w:cs="Times New Roman"/>
                <w:b/>
                <w:color w:val="000000"/>
                <w:sz w:val="24"/>
                <w:szCs w:val="24"/>
              </w:rPr>
              <w:t xml:space="preserve">lle gare d’appalto; </w:t>
            </w:r>
            <w:r w:rsidR="00424943" w:rsidRPr="00424943">
              <w:rPr>
                <w:rFonts w:ascii="Times New Roman" w:hAnsi="Times New Roman" w:cs="Times New Roman"/>
                <w:b/>
                <w:bCs/>
                <w:sz w:val="24"/>
                <w:szCs w:val="24"/>
              </w:rPr>
              <w:t>3.</w:t>
            </w:r>
            <w:r w:rsidR="00424943" w:rsidRPr="00424943">
              <w:rPr>
                <w:rFonts w:ascii="Times New Roman" w:hAnsi="Times New Roman" w:cs="Times New Roman"/>
                <w:b/>
                <w:color w:val="000000"/>
                <w:sz w:val="24"/>
                <w:szCs w:val="24"/>
              </w:rPr>
              <w:t xml:space="preserve"> Le esclusioni e i limiti all’accesso generalizzato alle procedure di gara</w:t>
            </w:r>
            <w:r w:rsidR="00424943">
              <w:rPr>
                <w:rFonts w:ascii="Times New Roman" w:hAnsi="Times New Roman" w:cs="Times New Roman"/>
                <w:b/>
                <w:color w:val="000000"/>
                <w:sz w:val="24"/>
                <w:szCs w:val="24"/>
              </w:rPr>
              <w:t>; 3.1.</w:t>
            </w:r>
            <w:r w:rsidR="00424943" w:rsidRPr="00424943">
              <w:rPr>
                <w:rFonts w:ascii="Times New Roman" w:hAnsi="Times New Roman" w:cs="Times New Roman"/>
                <w:b/>
                <w:sz w:val="24"/>
                <w:szCs w:val="24"/>
              </w:rPr>
              <w:t xml:space="preserve"> I divieti temporanei di accesso; 3.2. I divieti assoluti di accesso; </w:t>
            </w:r>
            <w:r w:rsidR="00424943">
              <w:rPr>
                <w:rFonts w:ascii="Times New Roman" w:hAnsi="Times New Roman" w:cs="Times New Roman"/>
                <w:b/>
                <w:sz w:val="24"/>
                <w:szCs w:val="24"/>
              </w:rPr>
              <w:t>3.3.</w:t>
            </w:r>
            <w:r w:rsidR="00424943" w:rsidRPr="00424943">
              <w:rPr>
                <w:rFonts w:ascii="Times New Roman" w:hAnsi="Times New Roman" w:cs="Times New Roman"/>
                <w:b/>
                <w:sz w:val="24"/>
                <w:szCs w:val="24"/>
              </w:rPr>
              <w:t xml:space="preserve"> L’inaccessibilità dei dati personali dei dipe</w:t>
            </w:r>
            <w:r w:rsidR="004C64A4">
              <w:rPr>
                <w:rFonts w:ascii="Times New Roman" w:hAnsi="Times New Roman" w:cs="Times New Roman"/>
                <w:b/>
                <w:sz w:val="24"/>
                <w:szCs w:val="24"/>
              </w:rPr>
              <w:t xml:space="preserve">ndenti dell’operatore </w:t>
            </w:r>
            <w:r w:rsidR="00424943">
              <w:rPr>
                <w:rFonts w:ascii="Times New Roman" w:hAnsi="Times New Roman" w:cs="Times New Roman"/>
                <w:b/>
                <w:sz w:val="24"/>
                <w:szCs w:val="24"/>
              </w:rPr>
              <w:t xml:space="preserve">economico; 3.4. L’inaccessibilità del </w:t>
            </w:r>
            <w:r w:rsidR="00424943" w:rsidRPr="00363E35">
              <w:rPr>
                <w:rFonts w:ascii="Times New Roman" w:hAnsi="Times New Roman" w:cs="Times New Roman"/>
                <w:b/>
                <w:i/>
                <w:sz w:val="24"/>
                <w:szCs w:val="24"/>
              </w:rPr>
              <w:t>know-how</w:t>
            </w:r>
            <w:r w:rsidR="00424943">
              <w:rPr>
                <w:rFonts w:ascii="Times New Roman" w:hAnsi="Times New Roman" w:cs="Times New Roman"/>
                <w:b/>
                <w:sz w:val="24"/>
                <w:szCs w:val="24"/>
              </w:rPr>
              <w:t xml:space="preserve"> delle impre</w:t>
            </w:r>
            <w:r w:rsidR="00390E35">
              <w:rPr>
                <w:rFonts w:ascii="Times New Roman" w:hAnsi="Times New Roman" w:cs="Times New Roman"/>
                <w:b/>
                <w:sz w:val="24"/>
                <w:szCs w:val="24"/>
              </w:rPr>
              <w:t xml:space="preserve">se; 4. Considerazione finale: il deferimento all’Adunanza Plenaria dell’applicabilità dell’accesso civico generalizzato agli atti delle procedure di gara. </w:t>
            </w:r>
          </w:p>
          <w:p w:rsidR="00390E35" w:rsidRPr="005927B4" w:rsidRDefault="00390E35" w:rsidP="00457EEE">
            <w:pPr>
              <w:spacing w:line="360" w:lineRule="auto"/>
              <w:jc w:val="both"/>
              <w:rPr>
                <w:rFonts w:ascii="Times New Roman" w:hAnsi="Times New Roman" w:cs="Times New Roman"/>
                <w:b/>
                <w:bCs/>
                <w:sz w:val="24"/>
                <w:szCs w:val="24"/>
              </w:rPr>
            </w:pPr>
          </w:p>
        </w:tc>
      </w:tr>
    </w:tbl>
    <w:p w:rsidR="00D01FCD" w:rsidRPr="00ED67EC" w:rsidRDefault="00D01FCD" w:rsidP="00457EEE">
      <w:pPr>
        <w:spacing w:after="0" w:line="360" w:lineRule="auto"/>
        <w:jc w:val="both"/>
        <w:rPr>
          <w:rFonts w:ascii="Times New Roman" w:hAnsi="Times New Roman" w:cs="Times New Roman"/>
          <w:b/>
          <w:bCs/>
          <w:sz w:val="24"/>
          <w:szCs w:val="24"/>
          <w:u w:val="single"/>
        </w:rPr>
      </w:pPr>
    </w:p>
    <w:p w:rsidR="00D01FCD" w:rsidRPr="00ED67EC" w:rsidRDefault="00D01FCD" w:rsidP="00457EEE">
      <w:pPr>
        <w:spacing w:after="0" w:line="360" w:lineRule="auto"/>
        <w:jc w:val="center"/>
        <w:rPr>
          <w:rFonts w:ascii="Times New Roman" w:hAnsi="Times New Roman" w:cs="Times New Roman"/>
          <w:color w:val="000000"/>
          <w:sz w:val="24"/>
          <w:szCs w:val="24"/>
        </w:rPr>
      </w:pPr>
      <w:r w:rsidRPr="00ED67EC">
        <w:rPr>
          <w:rFonts w:ascii="Times New Roman" w:hAnsi="Times New Roman" w:cs="Times New Roman"/>
          <w:color w:val="000000"/>
          <w:sz w:val="24"/>
          <w:szCs w:val="24"/>
        </w:rPr>
        <w:t>*****</w:t>
      </w:r>
    </w:p>
    <w:p w:rsidR="001114E3" w:rsidRPr="003E624B" w:rsidRDefault="0036063F" w:rsidP="00457EEE">
      <w:pPr>
        <w:spacing w:after="0" w:line="360" w:lineRule="auto"/>
        <w:jc w:val="both"/>
        <w:rPr>
          <w:rFonts w:ascii="Times New Roman" w:hAnsi="Times New Roman" w:cs="Times New Roman"/>
          <w:sz w:val="24"/>
        </w:rPr>
      </w:pPr>
      <w:r>
        <w:rPr>
          <w:rFonts w:ascii="Times New Roman" w:hAnsi="Times New Roman" w:cs="Times New Roman"/>
          <w:b/>
          <w:bCs/>
          <w:sz w:val="24"/>
          <w:szCs w:val="24"/>
        </w:rPr>
        <w:t xml:space="preserve">§ - 1. </w:t>
      </w:r>
      <w:r w:rsidR="001114E3" w:rsidRPr="003E624B">
        <w:rPr>
          <w:rFonts w:ascii="Times New Roman" w:hAnsi="Times New Roman" w:cs="Times New Roman"/>
          <w:b/>
          <w:bCs/>
          <w:sz w:val="24"/>
          <w:szCs w:val="24"/>
        </w:rPr>
        <w:t>La divisione della giurisprudenza amministrativa sull’ammissibilità dell’accesso civico</w:t>
      </w:r>
      <w:r w:rsidR="001114E3">
        <w:rPr>
          <w:rFonts w:ascii="Times New Roman" w:hAnsi="Times New Roman" w:cs="Times New Roman"/>
          <w:b/>
          <w:bCs/>
          <w:sz w:val="24"/>
          <w:szCs w:val="24"/>
        </w:rPr>
        <w:t xml:space="preserve"> generalizzato agli atti della</w:t>
      </w:r>
      <w:r w:rsidR="001114E3" w:rsidRPr="003E624B">
        <w:rPr>
          <w:rFonts w:ascii="Times New Roman" w:hAnsi="Times New Roman" w:cs="Times New Roman"/>
          <w:b/>
          <w:bCs/>
          <w:sz w:val="24"/>
          <w:szCs w:val="24"/>
        </w:rPr>
        <w:t xml:space="preserve"> procedur</w:t>
      </w:r>
      <w:r w:rsidR="001114E3">
        <w:rPr>
          <w:rFonts w:ascii="Times New Roman" w:hAnsi="Times New Roman" w:cs="Times New Roman"/>
          <w:b/>
          <w:bCs/>
          <w:sz w:val="24"/>
          <w:szCs w:val="24"/>
        </w:rPr>
        <w:t>a</w:t>
      </w:r>
      <w:r w:rsidR="001114E3" w:rsidRPr="003E624B">
        <w:rPr>
          <w:rFonts w:ascii="Times New Roman" w:hAnsi="Times New Roman" w:cs="Times New Roman"/>
          <w:b/>
          <w:bCs/>
          <w:sz w:val="24"/>
          <w:szCs w:val="24"/>
        </w:rPr>
        <w:t xml:space="preserve"> di affidamento dei contratti pubblici </w:t>
      </w:r>
    </w:p>
    <w:p w:rsidR="001114E3" w:rsidRPr="00660502"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Il codice dei contratti pubblici</w:t>
      </w:r>
      <w:r w:rsidRPr="00660502">
        <w:rPr>
          <w:rFonts w:ascii="Times New Roman" w:hAnsi="Times New Roman" w:cs="Times New Roman"/>
          <w:sz w:val="24"/>
        </w:rPr>
        <w:t xml:space="preserve"> p</w:t>
      </w:r>
      <w:r>
        <w:rPr>
          <w:rFonts w:ascii="Times New Roman" w:hAnsi="Times New Roman" w:cs="Times New Roman"/>
          <w:sz w:val="24"/>
        </w:rPr>
        <w:t>revede l’accesso agli atti delle procedure</w:t>
      </w:r>
      <w:r w:rsidRPr="00660502">
        <w:rPr>
          <w:rFonts w:ascii="Times New Roman" w:hAnsi="Times New Roman" w:cs="Times New Roman"/>
          <w:sz w:val="24"/>
        </w:rPr>
        <w:t xml:space="preserve"> di gara mediante l’accesso documentale (art. 53) e l’accesso ci</w:t>
      </w:r>
      <w:r>
        <w:rPr>
          <w:rFonts w:ascii="Times New Roman" w:hAnsi="Times New Roman" w:cs="Times New Roman"/>
          <w:sz w:val="24"/>
        </w:rPr>
        <w:t>vico</w:t>
      </w:r>
      <w:r w:rsidRPr="00660502">
        <w:rPr>
          <w:rFonts w:ascii="Times New Roman" w:hAnsi="Times New Roman" w:cs="Times New Roman"/>
          <w:sz w:val="24"/>
        </w:rPr>
        <w:t xml:space="preserve"> (art. 29).</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L’art. 53, 1°comma dispone che «</w:t>
      </w:r>
      <w:r w:rsidRPr="00D31ABB">
        <w:rPr>
          <w:rFonts w:ascii="Times New Roman" w:hAnsi="Times New Roman" w:cs="Times New Roman"/>
          <w:i/>
          <w:sz w:val="24"/>
        </w:rPr>
        <w:t>Salvo quanto espressamente previsto dal presente codice, il diritto di accesso agli atti delle procedure di affidamento e di esecuzione dei contratti pubblici, ivi comprese le candidature e le offerte, è disciplinato dagli artt. 22 e seguenti della legge 7 agosto 1990, n. 241</w:t>
      </w:r>
      <w:r>
        <w:rPr>
          <w:rFonts w:ascii="Times New Roman" w:hAnsi="Times New Roman" w:cs="Times New Roman"/>
          <w:sz w:val="24"/>
        </w:rPr>
        <w:t>».</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L’art. 29</w:t>
      </w:r>
      <w:r w:rsidR="0036063F">
        <w:rPr>
          <w:rFonts w:ascii="Times New Roman" w:hAnsi="Times New Roman" w:cs="Times New Roman"/>
          <w:sz w:val="24"/>
        </w:rPr>
        <w:t>, 1°comma</w:t>
      </w:r>
      <w:r>
        <w:rPr>
          <w:rFonts w:ascii="Times New Roman" w:hAnsi="Times New Roman" w:cs="Times New Roman"/>
          <w:sz w:val="24"/>
        </w:rPr>
        <w:t xml:space="preserve"> individua i documenti della gara oggetto di pubblicazione obbligatoria che, se non resi pubblici dall’amministrazione, comportano il diritto di chiunque di richiederli ai sensi dell’art. 5, 1°comma del d.lgs. 14 marzo 2013, n. 33.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 xml:space="preserve">Il codice, invece, non prevede l’accesso generalizzato agli atti di gara.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Successivamente all’entrata in vigore del d.lgs. 18 aprile 2016, n. 50, il legislatore ha avuto più occasioni per riconoscere tale possibilità</w:t>
      </w:r>
      <w:r w:rsidR="0036063F">
        <w:rPr>
          <w:rFonts w:ascii="Times New Roman" w:hAnsi="Times New Roman" w:cs="Times New Roman"/>
          <w:sz w:val="24"/>
        </w:rPr>
        <w:t>, ma</w:t>
      </w:r>
      <w:r>
        <w:rPr>
          <w:rFonts w:ascii="Times New Roman" w:hAnsi="Times New Roman" w:cs="Times New Roman"/>
          <w:sz w:val="24"/>
        </w:rPr>
        <w:t xml:space="preserve"> non lo ha fatto.</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 xml:space="preserve">Il d.lgs. 25 maggio 2016, n. 97 ha introdotto nel d.lgs. n. 33/2013 proprio l’accesso civico generalizzato ma ha mancato di coordinare la disciplina di quest’ultimo con quella settoriale dei contratti pubblici.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Il d.lgs. 19 aprile 2017, n. 56 (c.d. correttivo) è intervenuto sul “codice degli appalti” ma non ha aggiunto l’accesso civico generalizzato alle gare.</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Nonostante l’assenza di una previsione normativa espressa, l’accesso universale agli atti delle gare è stato chiesto più volte nell’esperienza delle procedure di appalto.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Così, si è posto il problema di stabilire se</w:t>
      </w:r>
      <w:r w:rsidRPr="00923130">
        <w:rPr>
          <w:rFonts w:ascii="Times New Roman" w:hAnsi="Times New Roman" w:cs="Times New Roman"/>
          <w:sz w:val="24"/>
        </w:rPr>
        <w:t xml:space="preserve"> l’art. 53, 1°comma del d.lgs. </w:t>
      </w:r>
      <w:r w:rsidR="00A9430A">
        <w:rPr>
          <w:rFonts w:ascii="Times New Roman" w:hAnsi="Times New Roman" w:cs="Times New Roman"/>
          <w:sz w:val="24"/>
        </w:rPr>
        <w:t xml:space="preserve">n. </w:t>
      </w:r>
      <w:r w:rsidRPr="00923130">
        <w:rPr>
          <w:rFonts w:ascii="Times New Roman" w:hAnsi="Times New Roman" w:cs="Times New Roman"/>
          <w:sz w:val="24"/>
        </w:rPr>
        <w:t>50/2016, nella parte in cui prevede che l’accesso alle procedure di gara soggiace alla disciplina dell’accesso c.d. ordinario di cui alla l. n. 241/1990</w:t>
      </w:r>
      <w:r>
        <w:rPr>
          <w:rFonts w:ascii="Times New Roman" w:hAnsi="Times New Roman" w:cs="Times New Roman"/>
          <w:sz w:val="24"/>
        </w:rPr>
        <w:t xml:space="preserve"> possa condurre all’esclusione della disciplina dell’accesso civico generalizzato ai sensi dell’art. 5-bis, 3°comma</w:t>
      </w:r>
      <w:r w:rsidR="00697ED1">
        <w:rPr>
          <w:rFonts w:ascii="Times New Roman" w:hAnsi="Times New Roman" w:cs="Times New Roman"/>
          <w:sz w:val="24"/>
        </w:rPr>
        <w:t xml:space="preserve"> del d.lgs. n. 33/2013, secondo il </w:t>
      </w:r>
      <w:r>
        <w:rPr>
          <w:rFonts w:ascii="Times New Roman" w:hAnsi="Times New Roman" w:cs="Times New Roman"/>
          <w:sz w:val="24"/>
        </w:rPr>
        <w:t xml:space="preserve">quale l’accesso universale è escluso, tra l’altro, nei casi in cui l’accesso è subordinato dalla disciplina vigente al rispetto di specifiche condizioni, modalità e limiti.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La questione ha polarizzato la giurisprudenza amministrativa su due posizioni opposte.</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Un orientamento, dando risposta positiva al quesito, esclude l’accesso civico generalizzato dalla materia dei contratti pubblici</w:t>
      </w:r>
      <w:r>
        <w:rPr>
          <w:rStyle w:val="Rimandonotaapidipagina"/>
          <w:rFonts w:ascii="Times New Roman" w:hAnsi="Times New Roman" w:cs="Times New Roman"/>
          <w:sz w:val="24"/>
        </w:rPr>
        <w:footnoteReference w:id="1"/>
      </w:r>
      <w:r>
        <w:rPr>
          <w:rFonts w:ascii="Times New Roman" w:hAnsi="Times New Roman" w:cs="Times New Roman"/>
          <w:sz w:val="24"/>
        </w:rPr>
        <w:t xml:space="preserve">.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Un’altra tesi, fornendo risposta negativa, ritiene che l’accesso generalizzato agli atti delle procedure di gara sia possibile</w:t>
      </w:r>
      <w:r>
        <w:rPr>
          <w:rStyle w:val="Rimandonotaapidipagina"/>
          <w:rFonts w:ascii="Times New Roman" w:hAnsi="Times New Roman" w:cs="Times New Roman"/>
          <w:sz w:val="24"/>
        </w:rPr>
        <w:footnoteReference w:id="2"/>
      </w:r>
      <w:r>
        <w:rPr>
          <w:rFonts w:ascii="Times New Roman" w:hAnsi="Times New Roman" w:cs="Times New Roman"/>
          <w:sz w:val="24"/>
        </w:rPr>
        <w:t xml:space="preserve">. </w:t>
      </w:r>
    </w:p>
    <w:p w:rsidR="001114E3" w:rsidRDefault="001114E3" w:rsidP="00457EEE">
      <w:pPr>
        <w:spacing w:after="0" w:line="360" w:lineRule="auto"/>
        <w:jc w:val="both"/>
        <w:rPr>
          <w:rFonts w:ascii="Times New Roman" w:hAnsi="Times New Roman" w:cs="Times New Roman"/>
          <w:sz w:val="24"/>
        </w:rPr>
      </w:pPr>
    </w:p>
    <w:p w:rsidR="001114E3" w:rsidRPr="003E624B" w:rsidRDefault="001114E3" w:rsidP="00457EEE">
      <w:pPr>
        <w:pStyle w:val="Paragrafoelenco"/>
        <w:numPr>
          <w:ilvl w:val="1"/>
          <w:numId w:val="1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E624B">
        <w:rPr>
          <w:rFonts w:ascii="Times New Roman" w:hAnsi="Times New Roman" w:cs="Times New Roman"/>
          <w:b/>
          <w:bCs/>
          <w:sz w:val="24"/>
          <w:szCs w:val="24"/>
        </w:rPr>
        <w:t xml:space="preserve">L’orientamento dell’esclusione </w:t>
      </w:r>
    </w:p>
    <w:p w:rsidR="001114E3" w:rsidRDefault="001114E3" w:rsidP="00457EEE">
      <w:pPr>
        <w:spacing w:after="0" w:line="360" w:lineRule="auto"/>
        <w:jc w:val="both"/>
        <w:rPr>
          <w:rFonts w:ascii="Times New Roman" w:hAnsi="Times New Roman" w:cs="Times New Roman"/>
          <w:sz w:val="24"/>
        </w:rPr>
      </w:pPr>
      <w:r w:rsidRPr="003E624B">
        <w:rPr>
          <w:rFonts w:ascii="Times New Roman" w:hAnsi="Times New Roman" w:cs="Times New Roman"/>
          <w:sz w:val="24"/>
        </w:rPr>
        <w:t>La tesi dell’esclusione, inizialmente circoscritta all</w:t>
      </w:r>
      <w:r>
        <w:rPr>
          <w:rFonts w:ascii="Times New Roman" w:hAnsi="Times New Roman" w:cs="Times New Roman"/>
          <w:sz w:val="24"/>
        </w:rPr>
        <w:t>e decisioni dei T.A.R., poi diffusasi e implementata dal</w:t>
      </w:r>
      <w:r w:rsidRPr="003E624B">
        <w:rPr>
          <w:rFonts w:ascii="Times New Roman" w:hAnsi="Times New Roman" w:cs="Times New Roman"/>
          <w:sz w:val="24"/>
        </w:rPr>
        <w:t xml:space="preserve"> Consiglio di Stato, muove dalla struttura dell’odierno sistema di accesso alle informazioni pubbliche. </w:t>
      </w:r>
    </w:p>
    <w:p w:rsidR="001114E3" w:rsidRPr="003E624B" w:rsidRDefault="001114E3" w:rsidP="00457EEE">
      <w:pPr>
        <w:spacing w:after="0" w:line="360" w:lineRule="auto"/>
        <w:jc w:val="both"/>
        <w:rPr>
          <w:rFonts w:ascii="Times New Roman" w:hAnsi="Times New Roman" w:cs="Times New Roman"/>
          <w:sz w:val="24"/>
        </w:rPr>
      </w:pPr>
      <w:r w:rsidRPr="003E624B">
        <w:rPr>
          <w:rFonts w:ascii="Times New Roman" w:hAnsi="Times New Roman" w:cs="Times New Roman"/>
          <w:sz w:val="24"/>
        </w:rPr>
        <w:t>Si tratta di una legislazione caratterizzata da tre forme di accesso di portata generale, ciascuna con propri presupposti, limiti ed eccezioni che operano in posizione pari ordinata: l’accesso documentale, l’accesso civico e l’accesso civico generalizzato.</w:t>
      </w:r>
      <w:r>
        <w:rPr>
          <w:rFonts w:ascii="Times New Roman" w:hAnsi="Times New Roman" w:cs="Times New Roman"/>
          <w:sz w:val="24"/>
        </w:rPr>
        <w:t xml:space="preserve"> A queste, si affiancano, a livello speciale, le</w:t>
      </w:r>
      <w:r w:rsidRPr="003E624B">
        <w:rPr>
          <w:rFonts w:ascii="Times New Roman" w:hAnsi="Times New Roman" w:cs="Times New Roman"/>
          <w:sz w:val="24"/>
        </w:rPr>
        <w:t xml:space="preserve"> discipline settoriali come l’accesso in materia di contratti pubblici</w:t>
      </w:r>
      <w:r>
        <w:rPr>
          <w:rFonts w:ascii="Times New Roman" w:hAnsi="Times New Roman" w:cs="Times New Roman"/>
          <w:sz w:val="24"/>
        </w:rPr>
        <w:t>. L</w:t>
      </w:r>
      <w:r w:rsidRPr="003E624B">
        <w:rPr>
          <w:rFonts w:ascii="Times New Roman" w:hAnsi="Times New Roman" w:cs="Times New Roman"/>
          <w:sz w:val="24"/>
        </w:rPr>
        <w:t>a complessità</w:t>
      </w:r>
      <w:r>
        <w:rPr>
          <w:rFonts w:ascii="Times New Roman" w:hAnsi="Times New Roman" w:cs="Times New Roman"/>
          <w:sz w:val="24"/>
        </w:rPr>
        <w:t xml:space="preserve"> del sistema crea</w:t>
      </w:r>
      <w:r w:rsidRPr="003E624B">
        <w:rPr>
          <w:rFonts w:ascii="Times New Roman" w:hAnsi="Times New Roman" w:cs="Times New Roman"/>
          <w:sz w:val="24"/>
        </w:rPr>
        <w:t xml:space="preserve"> problemi di coordinamento sia tra le tipologie di accesso che operano sul piano generale sia tra la disciplina di queste ultime e quelle speciali dell’accesso nei singoli settori</w:t>
      </w:r>
      <w:r>
        <w:rPr>
          <w:rStyle w:val="Rimandonotaapidipagina"/>
          <w:rFonts w:ascii="Times New Roman" w:hAnsi="Times New Roman" w:cs="Times New Roman"/>
          <w:sz w:val="24"/>
        </w:rPr>
        <w:footnoteReference w:id="3"/>
      </w:r>
      <w:r w:rsidRPr="003E624B">
        <w:rPr>
          <w:rFonts w:ascii="Times New Roman" w:hAnsi="Times New Roman" w:cs="Times New Roman"/>
          <w:sz w:val="24"/>
        </w:rPr>
        <w:t>.</w:t>
      </w:r>
    </w:p>
    <w:p w:rsidR="001114E3" w:rsidRPr="00923130"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In relazione a</w:t>
      </w:r>
      <w:r w:rsidRPr="00923130">
        <w:rPr>
          <w:rFonts w:ascii="Times New Roman" w:hAnsi="Times New Roman" w:cs="Times New Roman"/>
          <w:sz w:val="24"/>
        </w:rPr>
        <w:t xml:space="preserve"> quest’ultimo aspetto, il coordinamento tra disciplina generale e quella speciale va chiarito verificando se la disciplina settoriale, da prendere prioritariamente in considerazione per il principio di specialità, consenta la reciproca integrazione tra regimi ovvero assuma portata derogatoria.</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Per quanto riguarda il rapporto tra la disciplina generale sull’accesso civico generalizzato e quella speciale dell’accesso agli atti delle gare, </w:t>
      </w:r>
      <w:r>
        <w:rPr>
          <w:rFonts w:ascii="Times New Roman" w:hAnsi="Times New Roman" w:cs="Times New Roman"/>
          <w:sz w:val="24"/>
        </w:rPr>
        <w:t>la tesi in commento</w:t>
      </w:r>
      <w:r w:rsidRPr="00923130">
        <w:rPr>
          <w:rFonts w:ascii="Times New Roman" w:hAnsi="Times New Roman" w:cs="Times New Roman"/>
          <w:sz w:val="24"/>
        </w:rPr>
        <w:t xml:space="preserve"> conclude per la portata derogatoria dell’art. 53 </w:t>
      </w:r>
      <w:r>
        <w:rPr>
          <w:rFonts w:ascii="Times New Roman" w:hAnsi="Times New Roman" w:cs="Times New Roman"/>
          <w:sz w:val="24"/>
        </w:rPr>
        <w:t xml:space="preserve">d.lgs. </w:t>
      </w:r>
      <w:r w:rsidR="00A9430A">
        <w:rPr>
          <w:rFonts w:ascii="Times New Roman" w:hAnsi="Times New Roman" w:cs="Times New Roman"/>
          <w:sz w:val="24"/>
        </w:rPr>
        <w:t xml:space="preserve">n. </w:t>
      </w:r>
      <w:r>
        <w:rPr>
          <w:rFonts w:ascii="Times New Roman" w:hAnsi="Times New Roman" w:cs="Times New Roman"/>
          <w:sz w:val="24"/>
        </w:rPr>
        <w:t>50/2016 e, di conseguenza</w:t>
      </w:r>
      <w:r w:rsidRPr="00923130">
        <w:rPr>
          <w:rFonts w:ascii="Times New Roman" w:hAnsi="Times New Roman" w:cs="Times New Roman"/>
          <w:sz w:val="24"/>
        </w:rPr>
        <w:t xml:space="preserve">, per l’esclusione dell’accesso universale, in base a considerazioni letterali e teleologiche. </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L’art. 5-bis, 3°comma del d.lgs. </w:t>
      </w:r>
      <w:r w:rsidR="00A9430A">
        <w:rPr>
          <w:rFonts w:ascii="Times New Roman" w:hAnsi="Times New Roman" w:cs="Times New Roman"/>
          <w:sz w:val="24"/>
        </w:rPr>
        <w:t xml:space="preserve">n. </w:t>
      </w:r>
      <w:r w:rsidRPr="00923130">
        <w:rPr>
          <w:rFonts w:ascii="Times New Roman" w:hAnsi="Times New Roman" w:cs="Times New Roman"/>
          <w:sz w:val="24"/>
        </w:rPr>
        <w:t>33/2013, nel prevedere le esclusioni dell’accesso generalizzato, impiega il termine «</w:t>
      </w:r>
      <w:r w:rsidRPr="00812892">
        <w:rPr>
          <w:rFonts w:ascii="Times New Roman" w:hAnsi="Times New Roman" w:cs="Times New Roman"/>
          <w:i/>
          <w:sz w:val="24"/>
        </w:rPr>
        <w:t>casi</w:t>
      </w:r>
      <w:r w:rsidRPr="00923130">
        <w:rPr>
          <w:rFonts w:ascii="Times New Roman" w:hAnsi="Times New Roman" w:cs="Times New Roman"/>
          <w:sz w:val="24"/>
        </w:rPr>
        <w:t>» in modo generico dimodoché la loro individuazione richiede di far riferimento ad altre disposizioni di legge direttamente o indirettamente richiamate dallo stesso comma.</w:t>
      </w:r>
    </w:p>
    <w:p w:rsidR="001114E3"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In questa prospettiva, la causa di esclusione dell’accesso dei </w:t>
      </w:r>
      <w:r>
        <w:rPr>
          <w:rFonts w:ascii="Times New Roman" w:hAnsi="Times New Roman" w:cs="Times New Roman"/>
          <w:sz w:val="24"/>
        </w:rPr>
        <w:t>«</w:t>
      </w:r>
      <w:r w:rsidRPr="00923130">
        <w:rPr>
          <w:rFonts w:ascii="Times New Roman" w:hAnsi="Times New Roman" w:cs="Times New Roman"/>
          <w:i/>
          <w:sz w:val="24"/>
        </w:rPr>
        <w:t>casi in cui l’accesso è subordinato dalla disciplina vigente al rispetto di specifiche condizioni modalità o limiti</w:t>
      </w:r>
      <w:r>
        <w:rPr>
          <w:rFonts w:ascii="Times New Roman" w:hAnsi="Times New Roman" w:cs="Times New Roman"/>
          <w:i/>
          <w:sz w:val="24"/>
        </w:rPr>
        <w:t>»</w:t>
      </w:r>
      <w:r w:rsidRPr="00923130">
        <w:rPr>
          <w:rFonts w:ascii="Times New Roman" w:hAnsi="Times New Roman" w:cs="Times New Roman"/>
          <w:i/>
          <w:sz w:val="24"/>
        </w:rPr>
        <w:t xml:space="preserve"> </w:t>
      </w:r>
      <w:r w:rsidRPr="00923130">
        <w:rPr>
          <w:rFonts w:ascii="Times New Roman" w:hAnsi="Times New Roman" w:cs="Times New Roman"/>
          <w:sz w:val="24"/>
        </w:rPr>
        <w:t xml:space="preserve">è riferibile a tutte le ipotesi in cui vi sia una disciplina vigente che regoli specificamente il diritto di accesso in relazione a certi ambiti o materie o situazioni, subordinandolo a condizioni modalità o limiti, peculiari. </w:t>
      </w:r>
    </w:p>
    <w:p w:rsidR="001114E3" w:rsidRPr="00923130" w:rsidRDefault="001114E3" w:rsidP="00457EEE">
      <w:pPr>
        <w:spacing w:after="0" w:line="360" w:lineRule="auto"/>
        <w:jc w:val="both"/>
        <w:rPr>
          <w:rFonts w:ascii="Times New Roman" w:hAnsi="Times New Roman" w:cs="Times New Roman"/>
          <w:i/>
          <w:sz w:val="24"/>
        </w:rPr>
      </w:pPr>
      <w:r w:rsidRPr="00923130">
        <w:rPr>
          <w:rFonts w:ascii="Times New Roman" w:hAnsi="Times New Roman" w:cs="Times New Roman"/>
          <w:sz w:val="24"/>
        </w:rPr>
        <w:t>Sempre in questa luce, detta clausola non è riferibile alle ipotesi in cui la disciplina vigente abbia quale suo unico contenuto un divieto assoluto (o relativo) di pubblicazione, se non altro perché tale esclusione è disciplinata separatamente</w:t>
      </w:r>
      <w:r>
        <w:rPr>
          <w:rFonts w:ascii="Times New Roman" w:hAnsi="Times New Roman" w:cs="Times New Roman"/>
          <w:sz w:val="24"/>
        </w:rPr>
        <w:t xml:space="preserve"> proprio ne</w:t>
      </w:r>
      <w:r w:rsidRPr="00923130">
        <w:rPr>
          <w:rFonts w:ascii="Times New Roman" w:hAnsi="Times New Roman" w:cs="Times New Roman"/>
          <w:sz w:val="24"/>
        </w:rPr>
        <w:t>ll’art. 5-bis, 3°comma</w:t>
      </w:r>
      <w:r w:rsidR="00F17EA1">
        <w:rPr>
          <w:rFonts w:ascii="Times New Roman" w:hAnsi="Times New Roman" w:cs="Times New Roman"/>
          <w:sz w:val="24"/>
        </w:rPr>
        <w:t xml:space="preserve"> d.lgs. n. 33/2013</w:t>
      </w:r>
      <w:r w:rsidRPr="00923130">
        <w:rPr>
          <w:rFonts w:ascii="Times New Roman" w:hAnsi="Times New Roman" w:cs="Times New Roman"/>
          <w:sz w:val="24"/>
        </w:rPr>
        <w:t xml:space="preserve">. </w:t>
      </w:r>
    </w:p>
    <w:p w:rsidR="001114E3"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Riferendo tale visione alla disciplina dell’art. 53 d.lgs. </w:t>
      </w:r>
      <w:r w:rsidR="00A9430A">
        <w:rPr>
          <w:rFonts w:ascii="Times New Roman" w:hAnsi="Times New Roman" w:cs="Times New Roman"/>
          <w:sz w:val="24"/>
        </w:rPr>
        <w:t xml:space="preserve">n. </w:t>
      </w:r>
      <w:r w:rsidRPr="00923130">
        <w:rPr>
          <w:rFonts w:ascii="Times New Roman" w:hAnsi="Times New Roman" w:cs="Times New Roman"/>
          <w:sz w:val="24"/>
        </w:rPr>
        <w:t>50/2016, la causa di esclusio</w:t>
      </w:r>
      <w:r>
        <w:rPr>
          <w:rFonts w:ascii="Times New Roman" w:hAnsi="Times New Roman" w:cs="Times New Roman"/>
          <w:sz w:val="24"/>
        </w:rPr>
        <w:t>ne descritta assume</w:t>
      </w:r>
      <w:r w:rsidRPr="00923130">
        <w:rPr>
          <w:rFonts w:ascii="Times New Roman" w:hAnsi="Times New Roman" w:cs="Times New Roman"/>
          <w:sz w:val="24"/>
        </w:rPr>
        <w:t xml:space="preserve"> significato se riferita all’art. 53, 1°comma che subordina l’accesso agli atti di gara alle condizioni, modalità e limiti previsti dalla disciplina dell’accesso documentale</w:t>
      </w:r>
      <w:r w:rsidR="00F17EA1">
        <w:rPr>
          <w:rFonts w:ascii="Times New Roman" w:hAnsi="Times New Roman" w:cs="Times New Roman"/>
          <w:sz w:val="24"/>
        </w:rPr>
        <w:t xml:space="preserve"> della legge n. 241/1990</w:t>
      </w:r>
      <w:r w:rsidRPr="00923130">
        <w:rPr>
          <w:rFonts w:ascii="Times New Roman" w:hAnsi="Times New Roman" w:cs="Times New Roman"/>
          <w:sz w:val="24"/>
        </w:rPr>
        <w:t xml:space="preserve">. </w:t>
      </w:r>
    </w:p>
    <w:p w:rsidR="001114E3" w:rsidRPr="00923130" w:rsidRDefault="001114E3" w:rsidP="00457EEE">
      <w:pPr>
        <w:spacing w:after="0" w:line="360" w:lineRule="auto"/>
        <w:jc w:val="both"/>
        <w:rPr>
          <w:rFonts w:ascii="Times New Roman" w:hAnsi="Times New Roman" w:cs="Times New Roman"/>
          <w:i/>
          <w:sz w:val="24"/>
        </w:rPr>
      </w:pPr>
      <w:r w:rsidRPr="00923130">
        <w:rPr>
          <w:rFonts w:ascii="Times New Roman" w:hAnsi="Times New Roman" w:cs="Times New Roman"/>
          <w:sz w:val="24"/>
        </w:rPr>
        <w:t xml:space="preserve">Ne </w:t>
      </w:r>
      <w:r>
        <w:rPr>
          <w:rFonts w:ascii="Times New Roman" w:hAnsi="Times New Roman" w:cs="Times New Roman"/>
          <w:sz w:val="24"/>
        </w:rPr>
        <w:t>consegue</w:t>
      </w:r>
      <w:r w:rsidRPr="00923130">
        <w:rPr>
          <w:rFonts w:ascii="Times New Roman" w:hAnsi="Times New Roman" w:cs="Times New Roman"/>
          <w:sz w:val="24"/>
        </w:rPr>
        <w:t xml:space="preserve"> che l’art. 53, 1°comma non consente l’applicazione dell’accesso universale, ai s</w:t>
      </w:r>
      <w:r>
        <w:rPr>
          <w:rFonts w:ascii="Times New Roman" w:hAnsi="Times New Roman" w:cs="Times New Roman"/>
          <w:sz w:val="24"/>
        </w:rPr>
        <w:t>ensi dell’art. 5-bis, 3°comma</w:t>
      </w:r>
      <w:r w:rsidRPr="00923130">
        <w:rPr>
          <w:rFonts w:ascii="Times New Roman" w:hAnsi="Times New Roman" w:cs="Times New Roman"/>
          <w:sz w:val="24"/>
        </w:rPr>
        <w:t xml:space="preserve">. </w:t>
      </w:r>
      <w:r>
        <w:rPr>
          <w:rFonts w:ascii="Times New Roman" w:hAnsi="Times New Roman" w:cs="Times New Roman"/>
          <w:sz w:val="24"/>
        </w:rPr>
        <w:t>La causa di esclusione</w:t>
      </w:r>
      <w:r w:rsidRPr="00923130">
        <w:rPr>
          <w:rFonts w:ascii="Times New Roman" w:hAnsi="Times New Roman" w:cs="Times New Roman"/>
          <w:sz w:val="24"/>
        </w:rPr>
        <w:t xml:space="preserve"> sarebbe superflua e inutile se servisse a richiamare le eccezioni contemplate d</w:t>
      </w:r>
      <w:r>
        <w:rPr>
          <w:rFonts w:ascii="Times New Roman" w:hAnsi="Times New Roman" w:cs="Times New Roman"/>
          <w:sz w:val="24"/>
        </w:rPr>
        <w:t>agli artt. 53, comma 2 e 5</w:t>
      </w:r>
      <w:r w:rsidR="00F17EA1">
        <w:rPr>
          <w:rFonts w:ascii="Times New Roman" w:hAnsi="Times New Roman" w:cs="Times New Roman"/>
          <w:sz w:val="24"/>
        </w:rPr>
        <w:t xml:space="preserve"> del d.lgs. n. 50/2016, </w:t>
      </w:r>
      <w:r w:rsidRPr="00923130">
        <w:rPr>
          <w:rFonts w:ascii="Times New Roman" w:hAnsi="Times New Roman" w:cs="Times New Roman"/>
          <w:sz w:val="24"/>
        </w:rPr>
        <w:t xml:space="preserve">in quanto, per esse opera già l’eccezione dei divieti di divulgazione contenuta nello stesso comma 3 dell’art. 5-bis.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 xml:space="preserve">Inoltre, </w:t>
      </w:r>
      <w:r w:rsidRPr="00923130">
        <w:rPr>
          <w:rFonts w:ascii="Times New Roman" w:hAnsi="Times New Roman" w:cs="Times New Roman"/>
          <w:sz w:val="24"/>
        </w:rPr>
        <w:t>la deroga all’accesso generalizzato agli atti delle procedure di appalto si giustif</w:t>
      </w:r>
      <w:r>
        <w:rPr>
          <w:rFonts w:ascii="Times New Roman" w:hAnsi="Times New Roman" w:cs="Times New Roman"/>
          <w:sz w:val="24"/>
        </w:rPr>
        <w:t xml:space="preserve">ica anche sul piano teleologico. </w:t>
      </w:r>
    </w:p>
    <w:p w:rsidR="001114E3" w:rsidRPr="00923130"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L</w:t>
      </w:r>
      <w:r w:rsidRPr="00923130">
        <w:rPr>
          <w:rFonts w:ascii="Times New Roman" w:hAnsi="Times New Roman" w:cs="Times New Roman"/>
          <w:sz w:val="24"/>
        </w:rPr>
        <w:t xml:space="preserve">a documentazione di gara è prodotta in applicazione di una disciplina speciale. Il d.lgs. </w:t>
      </w:r>
      <w:r w:rsidR="00F17EA1">
        <w:rPr>
          <w:rFonts w:ascii="Times New Roman" w:hAnsi="Times New Roman" w:cs="Times New Roman"/>
          <w:sz w:val="24"/>
        </w:rPr>
        <w:t xml:space="preserve">n. </w:t>
      </w:r>
      <w:r w:rsidRPr="00923130">
        <w:rPr>
          <w:rFonts w:ascii="Times New Roman" w:hAnsi="Times New Roman" w:cs="Times New Roman"/>
          <w:sz w:val="24"/>
        </w:rPr>
        <w:t>50/2016 attua direttive europee di settore che si preoccupano di assicurare la trasparenza e la pubblicità negli affidamenti pubblici, nel rispetto di altri principi di rilevanza europea come la concorrenza, l’economicità, l’efficacia e l’imparzialità</w:t>
      </w:r>
      <w:r w:rsidR="00F17EA1">
        <w:rPr>
          <w:rStyle w:val="Rimandonotaapidipagina"/>
          <w:rFonts w:ascii="Times New Roman" w:hAnsi="Times New Roman" w:cs="Times New Roman"/>
          <w:sz w:val="24"/>
        </w:rPr>
        <w:footnoteReference w:id="4"/>
      </w:r>
      <w:r w:rsidRPr="00923130">
        <w:rPr>
          <w:rFonts w:ascii="Times New Roman" w:hAnsi="Times New Roman" w:cs="Times New Roman"/>
          <w:sz w:val="24"/>
        </w:rPr>
        <w:t>. Di conseguenza, la qualificazione dell’istante, in quest’ambito, è ampiamente giustificata, al fine di verificare la meritevolezza dell’interesse all’accesso.</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Del resto,</w:t>
      </w:r>
      <w:r w:rsidRPr="00923130">
        <w:rPr>
          <w:rFonts w:ascii="Times New Roman" w:hAnsi="Times New Roman" w:cs="Times New Roman"/>
          <w:sz w:val="24"/>
        </w:rPr>
        <w:t xml:space="preserve"> </w:t>
      </w:r>
      <w:r>
        <w:rPr>
          <w:rFonts w:ascii="Times New Roman" w:hAnsi="Times New Roman" w:cs="Times New Roman"/>
          <w:sz w:val="24"/>
        </w:rPr>
        <w:t xml:space="preserve">l’accesso civico generalizzato non risponderebbe ad alcuna funzione </w:t>
      </w:r>
      <w:r w:rsidRPr="00923130">
        <w:rPr>
          <w:rFonts w:ascii="Times New Roman" w:hAnsi="Times New Roman" w:cs="Times New Roman"/>
          <w:sz w:val="24"/>
        </w:rPr>
        <w:t xml:space="preserve">nel sistema dei contratti pubblici, </w:t>
      </w:r>
      <w:r>
        <w:rPr>
          <w:rFonts w:ascii="Times New Roman" w:hAnsi="Times New Roman" w:cs="Times New Roman"/>
          <w:sz w:val="24"/>
        </w:rPr>
        <w:t xml:space="preserve">dal momento che le esigenze pubblicistiche sono già assicurare </w:t>
      </w:r>
      <w:r w:rsidRPr="00923130">
        <w:rPr>
          <w:rFonts w:ascii="Times New Roman" w:hAnsi="Times New Roman" w:cs="Times New Roman"/>
          <w:sz w:val="24"/>
        </w:rPr>
        <w:t>dai poteri di controllo e di vigilanza dell’A</w:t>
      </w:r>
      <w:r>
        <w:rPr>
          <w:rFonts w:ascii="Times New Roman" w:hAnsi="Times New Roman" w:cs="Times New Roman"/>
          <w:sz w:val="24"/>
        </w:rPr>
        <w:t>.N.A.C.</w:t>
      </w:r>
      <w:r w:rsidRPr="00923130">
        <w:rPr>
          <w:rFonts w:ascii="Times New Roman" w:hAnsi="Times New Roman" w:cs="Times New Roman"/>
          <w:sz w:val="24"/>
        </w:rPr>
        <w:t xml:space="preserve"> nonché dall’accesso civico ai documenti oggetto di pubblicazione obbligatoria dell’art. 29 che,</w:t>
      </w:r>
      <w:r>
        <w:rPr>
          <w:rFonts w:ascii="Times New Roman" w:hAnsi="Times New Roman" w:cs="Times New Roman"/>
          <w:sz w:val="24"/>
        </w:rPr>
        <w:t xml:space="preserve"> in considerazione dell’ampia portata</w:t>
      </w:r>
      <w:r w:rsidRPr="00923130">
        <w:rPr>
          <w:rFonts w:ascii="Times New Roman" w:hAnsi="Times New Roman" w:cs="Times New Roman"/>
          <w:sz w:val="24"/>
        </w:rPr>
        <w:t xml:space="preserve">, </w:t>
      </w:r>
      <w:r>
        <w:rPr>
          <w:rFonts w:ascii="Times New Roman" w:hAnsi="Times New Roman" w:cs="Times New Roman"/>
          <w:sz w:val="24"/>
        </w:rPr>
        <w:t>garantisce già le necessità di controllo sull’impiego di</w:t>
      </w:r>
      <w:r w:rsidRPr="00923130">
        <w:rPr>
          <w:rFonts w:ascii="Times New Roman" w:hAnsi="Times New Roman" w:cs="Times New Roman"/>
          <w:sz w:val="24"/>
        </w:rPr>
        <w:t xml:space="preserve"> risorse</w:t>
      </w:r>
      <w:r>
        <w:rPr>
          <w:rFonts w:ascii="Times New Roman" w:hAnsi="Times New Roman" w:cs="Times New Roman"/>
          <w:sz w:val="24"/>
        </w:rPr>
        <w:t xml:space="preserve"> pubbliche e di</w:t>
      </w:r>
      <w:r w:rsidRPr="00923130">
        <w:rPr>
          <w:rFonts w:ascii="Times New Roman" w:hAnsi="Times New Roman" w:cs="Times New Roman"/>
          <w:sz w:val="24"/>
        </w:rPr>
        <w:t xml:space="preserve"> promozione della qualità dei servizi</w:t>
      </w:r>
      <w:r>
        <w:rPr>
          <w:rFonts w:ascii="Times New Roman" w:hAnsi="Times New Roman" w:cs="Times New Roman"/>
          <w:sz w:val="24"/>
        </w:rPr>
        <w:t>,</w:t>
      </w:r>
      <w:r w:rsidRPr="00923130">
        <w:rPr>
          <w:rFonts w:ascii="Times New Roman" w:hAnsi="Times New Roman" w:cs="Times New Roman"/>
          <w:sz w:val="24"/>
        </w:rPr>
        <w:t xml:space="preserve"> sottese alla trasparenza.</w:t>
      </w:r>
    </w:p>
    <w:p w:rsidR="001114E3" w:rsidRPr="00923130" w:rsidRDefault="001114E3" w:rsidP="00457EEE">
      <w:pPr>
        <w:spacing w:after="0" w:line="360" w:lineRule="auto"/>
        <w:jc w:val="both"/>
        <w:rPr>
          <w:rFonts w:ascii="Times New Roman" w:hAnsi="Times New Roman" w:cs="Times New Roman"/>
          <w:sz w:val="24"/>
        </w:rPr>
      </w:pPr>
    </w:p>
    <w:p w:rsidR="001114E3" w:rsidRPr="003E624B" w:rsidRDefault="00E20EE0" w:rsidP="00457EEE">
      <w:pPr>
        <w:pStyle w:val="Paragrafoelenco"/>
        <w:numPr>
          <w:ilvl w:val="1"/>
          <w:numId w:val="15"/>
        </w:numPr>
        <w:spacing w:after="0" w:line="360" w:lineRule="auto"/>
        <w:jc w:val="both"/>
        <w:rPr>
          <w:rFonts w:ascii="Times New Roman" w:hAnsi="Times New Roman" w:cs="Times New Roman"/>
          <w:b/>
          <w:sz w:val="24"/>
        </w:rPr>
      </w:pPr>
      <w:r>
        <w:rPr>
          <w:rFonts w:ascii="Times New Roman" w:hAnsi="Times New Roman" w:cs="Times New Roman"/>
          <w:b/>
          <w:bCs/>
          <w:sz w:val="24"/>
          <w:szCs w:val="24"/>
        </w:rPr>
        <w:t xml:space="preserve"> </w:t>
      </w:r>
      <w:r w:rsidR="001114E3" w:rsidRPr="003E624B">
        <w:rPr>
          <w:rFonts w:ascii="Times New Roman" w:hAnsi="Times New Roman" w:cs="Times New Roman"/>
          <w:b/>
          <w:bCs/>
          <w:sz w:val="24"/>
          <w:szCs w:val="24"/>
        </w:rPr>
        <w:t>La tesi dell’applicazione</w:t>
      </w:r>
      <w:r w:rsidR="001114E3" w:rsidRPr="003E624B">
        <w:rPr>
          <w:rFonts w:ascii="Times New Roman" w:hAnsi="Times New Roman" w:cs="Times New Roman"/>
          <w:b/>
          <w:sz w:val="24"/>
        </w:rPr>
        <w:t xml:space="preserve"> </w:t>
      </w:r>
    </w:p>
    <w:p w:rsidR="001114E3" w:rsidRPr="003E624B" w:rsidRDefault="001114E3" w:rsidP="00457EEE">
      <w:pPr>
        <w:spacing w:after="0" w:line="360" w:lineRule="auto"/>
        <w:jc w:val="both"/>
        <w:rPr>
          <w:rFonts w:ascii="Times New Roman" w:hAnsi="Times New Roman" w:cs="Times New Roman"/>
          <w:b/>
          <w:sz w:val="24"/>
        </w:rPr>
      </w:pPr>
      <w:r w:rsidRPr="003E624B">
        <w:rPr>
          <w:rFonts w:ascii="Times New Roman" w:hAnsi="Times New Roman" w:cs="Times New Roman"/>
          <w:sz w:val="24"/>
        </w:rPr>
        <w:t xml:space="preserve">Alla posizione descritta, si contrappone un altro filone di giurisprudenza secondo cui il rinvio contenuto nell’art. 53, 1°comma del d.lgs. </w:t>
      </w:r>
      <w:r w:rsidR="00CB2565">
        <w:rPr>
          <w:rFonts w:ascii="Times New Roman" w:hAnsi="Times New Roman" w:cs="Times New Roman"/>
          <w:sz w:val="24"/>
        </w:rPr>
        <w:t xml:space="preserve">n. </w:t>
      </w:r>
      <w:r w:rsidRPr="003E624B">
        <w:rPr>
          <w:rFonts w:ascii="Times New Roman" w:hAnsi="Times New Roman" w:cs="Times New Roman"/>
          <w:sz w:val="24"/>
        </w:rPr>
        <w:t>50/2016 alla sola disciplina dell’accesso c.d. ordinario (</w:t>
      </w:r>
      <w:r w:rsidRPr="003E624B">
        <w:rPr>
          <w:rFonts w:ascii="Times New Roman" w:hAnsi="Times New Roman" w:cs="Times New Roman"/>
          <w:i/>
          <w:sz w:val="24"/>
        </w:rPr>
        <w:t>id est</w:t>
      </w:r>
      <w:r w:rsidRPr="003E624B">
        <w:rPr>
          <w:rFonts w:ascii="Times New Roman" w:hAnsi="Times New Roman" w:cs="Times New Roman"/>
          <w:sz w:val="24"/>
        </w:rPr>
        <w:t xml:space="preserve">, l’assenza del rinvio dell’art. 53 alla disciplina dell’accesso civico generalizzato) rappresenta un difetto di coordinamento del d.lgs. 25 aprile 2016, n. 97 che, in quanto successivo al d.lgs. 18 aprile 2016 n. 50, avrebbe dovuto raccordare i due testi normativi. Tale mancanza non può tuttavia interpretarsi come esclusione dell’accesso universale dai contratti pubblici, a pena di derogare l’applicazione di questa tipologia di accesso ogni volta che una disposizione, come l’art. 53, si riferisca soltanto agli artt. 22 e ss. della l. n. 241/1990. </w:t>
      </w:r>
    </w:p>
    <w:p w:rsidR="001114E3" w:rsidRDefault="001114E3" w:rsidP="00457EEE">
      <w:pPr>
        <w:spacing w:after="0" w:line="360" w:lineRule="auto"/>
        <w:jc w:val="both"/>
        <w:rPr>
          <w:rFonts w:ascii="Times New Roman" w:hAnsi="Times New Roman" w:cs="Times New Roman"/>
          <w:sz w:val="24"/>
        </w:rPr>
      </w:pPr>
      <w:r>
        <w:rPr>
          <w:rFonts w:ascii="Times New Roman" w:hAnsi="Times New Roman" w:cs="Times New Roman"/>
          <w:sz w:val="24"/>
        </w:rPr>
        <w:t>Si pone, quindi, la necessità di</w:t>
      </w:r>
      <w:r w:rsidRPr="00923130">
        <w:rPr>
          <w:rFonts w:ascii="Times New Roman" w:hAnsi="Times New Roman" w:cs="Times New Roman"/>
          <w:sz w:val="24"/>
        </w:rPr>
        <w:t xml:space="preserve"> una lettura coordinata dell’art. 53, che richiama l’applicazione degli artt. 22 e ss. della legge n. 241/1990, con l’art. 5-bis, 3°comma del d.lgs.</w:t>
      </w:r>
      <w:r w:rsidR="00CB2565">
        <w:rPr>
          <w:rFonts w:ascii="Times New Roman" w:hAnsi="Times New Roman" w:cs="Times New Roman"/>
          <w:sz w:val="24"/>
        </w:rPr>
        <w:t xml:space="preserve"> n. </w:t>
      </w:r>
      <w:r w:rsidRPr="00923130">
        <w:rPr>
          <w:rFonts w:ascii="Times New Roman" w:hAnsi="Times New Roman" w:cs="Times New Roman"/>
          <w:sz w:val="24"/>
        </w:rPr>
        <w:t>33/2013</w:t>
      </w:r>
      <w:r>
        <w:rPr>
          <w:rFonts w:ascii="Times New Roman" w:hAnsi="Times New Roman" w:cs="Times New Roman"/>
          <w:sz w:val="24"/>
        </w:rPr>
        <w:t>,</w:t>
      </w:r>
      <w:r w:rsidRPr="00923130">
        <w:rPr>
          <w:rFonts w:ascii="Times New Roman" w:hAnsi="Times New Roman" w:cs="Times New Roman"/>
          <w:sz w:val="24"/>
        </w:rPr>
        <w:t xml:space="preserve"> nella parte in cui questo esclude l’accesso universale nei casi in cui l’accesso è subordinato a specifiche condizioni modalità e limiti. </w:t>
      </w:r>
    </w:p>
    <w:p w:rsidR="001114E3"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L’interpretazione letterale di questa parte dell’art. 5-bis, 3°comma non consente di intendere “</w:t>
      </w:r>
      <w:r w:rsidRPr="00923130">
        <w:rPr>
          <w:rFonts w:ascii="Times New Roman" w:hAnsi="Times New Roman" w:cs="Times New Roman"/>
          <w:i/>
          <w:sz w:val="24"/>
        </w:rPr>
        <w:t>specifiche condizioni, modalità e limiti</w:t>
      </w:r>
      <w:r>
        <w:rPr>
          <w:rFonts w:ascii="Times New Roman" w:hAnsi="Times New Roman" w:cs="Times New Roman"/>
          <w:sz w:val="24"/>
        </w:rPr>
        <w:t>” come intere materie, altrimenti, si escluderebbe</w:t>
      </w:r>
      <w:r w:rsidRPr="00923130">
        <w:rPr>
          <w:rFonts w:ascii="Times New Roman" w:hAnsi="Times New Roman" w:cs="Times New Roman"/>
          <w:sz w:val="24"/>
        </w:rPr>
        <w:t xml:space="preserve"> la materia dei contratti pubblici dall’ambito dell’accesso civico generalizzato</w:t>
      </w:r>
      <w:r>
        <w:rPr>
          <w:rFonts w:ascii="Times New Roman" w:hAnsi="Times New Roman" w:cs="Times New Roman"/>
          <w:sz w:val="24"/>
        </w:rPr>
        <w:t>,</w:t>
      </w:r>
      <w:r w:rsidRPr="00923130">
        <w:rPr>
          <w:rFonts w:ascii="Times New Roman" w:hAnsi="Times New Roman" w:cs="Times New Roman"/>
          <w:sz w:val="24"/>
        </w:rPr>
        <w:t xml:space="preserve"> il quale mira a garantire il fondamentale principio della trasparenza ricavabile direttamente dalla Costituzione. Il d.lgs. n. 50/2016 e il d.lgs. n. 33/2013</w:t>
      </w:r>
      <w:r>
        <w:rPr>
          <w:rFonts w:ascii="Times New Roman" w:hAnsi="Times New Roman" w:cs="Times New Roman"/>
          <w:sz w:val="24"/>
        </w:rPr>
        <w:t xml:space="preserve"> mirano a garantire insieme detto principio. Di conseguenza,</w:t>
      </w:r>
      <w:r w:rsidRPr="00923130">
        <w:rPr>
          <w:rFonts w:ascii="Times New Roman" w:hAnsi="Times New Roman" w:cs="Times New Roman"/>
          <w:sz w:val="24"/>
        </w:rPr>
        <w:t xml:space="preserve"> non v’è ragione</w:t>
      </w:r>
      <w:r>
        <w:rPr>
          <w:rFonts w:ascii="Times New Roman" w:hAnsi="Times New Roman" w:cs="Times New Roman"/>
          <w:sz w:val="24"/>
        </w:rPr>
        <w:t xml:space="preserve"> per sottrarre la disciplina dei contratti pubblici</w:t>
      </w:r>
      <w:r w:rsidRPr="00923130">
        <w:rPr>
          <w:rFonts w:ascii="Times New Roman" w:hAnsi="Times New Roman" w:cs="Times New Roman"/>
          <w:sz w:val="24"/>
        </w:rPr>
        <w:t xml:space="preserve"> </w:t>
      </w:r>
      <w:r>
        <w:rPr>
          <w:rFonts w:ascii="Times New Roman" w:hAnsi="Times New Roman" w:cs="Times New Roman"/>
          <w:sz w:val="24"/>
        </w:rPr>
        <w:t>dal</w:t>
      </w:r>
      <w:r w:rsidRPr="00923130">
        <w:rPr>
          <w:rFonts w:ascii="Times New Roman" w:hAnsi="Times New Roman" w:cs="Times New Roman"/>
          <w:sz w:val="24"/>
        </w:rPr>
        <w:t>l’accesso generalizzato</w:t>
      </w:r>
      <w:r>
        <w:rPr>
          <w:rFonts w:ascii="Times New Roman" w:hAnsi="Times New Roman" w:cs="Times New Roman"/>
          <w:sz w:val="24"/>
        </w:rPr>
        <w:t>.</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L’accesso civico generalizzato agli atti delle ga</w:t>
      </w:r>
      <w:r>
        <w:rPr>
          <w:rFonts w:ascii="Times New Roman" w:hAnsi="Times New Roman" w:cs="Times New Roman"/>
          <w:sz w:val="24"/>
        </w:rPr>
        <w:t>re trova conferma altresì</w:t>
      </w:r>
      <w:r w:rsidRPr="00923130">
        <w:rPr>
          <w:rFonts w:ascii="Times New Roman" w:hAnsi="Times New Roman" w:cs="Times New Roman"/>
          <w:sz w:val="24"/>
        </w:rPr>
        <w:t xml:space="preserve"> dall’interpretazione funzionale della disciplina di questa nuova tipologia di accesso. </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Essa si ispira al c.d. “</w:t>
      </w:r>
      <w:proofErr w:type="spellStart"/>
      <w:r w:rsidRPr="00BA1954">
        <w:rPr>
          <w:rFonts w:ascii="Times New Roman" w:hAnsi="Times New Roman" w:cs="Times New Roman"/>
          <w:i/>
          <w:sz w:val="24"/>
        </w:rPr>
        <w:t>Freedom</w:t>
      </w:r>
      <w:proofErr w:type="spellEnd"/>
      <w:r w:rsidRPr="00BA1954">
        <w:rPr>
          <w:rFonts w:ascii="Times New Roman" w:hAnsi="Times New Roman" w:cs="Times New Roman"/>
          <w:i/>
          <w:sz w:val="24"/>
        </w:rPr>
        <w:t xml:space="preserve"> of Information </w:t>
      </w:r>
      <w:proofErr w:type="spellStart"/>
      <w:r w:rsidRPr="00BA1954">
        <w:rPr>
          <w:rFonts w:ascii="Times New Roman" w:hAnsi="Times New Roman" w:cs="Times New Roman"/>
          <w:i/>
          <w:sz w:val="24"/>
        </w:rPr>
        <w:t>Act</w:t>
      </w:r>
      <w:proofErr w:type="spellEnd"/>
      <w:r w:rsidRPr="00923130">
        <w:rPr>
          <w:rFonts w:ascii="Times New Roman" w:hAnsi="Times New Roman" w:cs="Times New Roman"/>
          <w:sz w:val="24"/>
        </w:rPr>
        <w:t xml:space="preserve">” statunitense, superando il principio dei limiti soggettivi all’accesso dei documenti delle pubbliche amministrazioni e riconoscendo tale diritto a ogni cittadino, con la sola previsione di un </w:t>
      </w:r>
      <w:proofErr w:type="spellStart"/>
      <w:r w:rsidRPr="00923130">
        <w:rPr>
          <w:rFonts w:ascii="Times New Roman" w:hAnsi="Times New Roman" w:cs="Times New Roman"/>
          <w:i/>
          <w:sz w:val="24"/>
        </w:rPr>
        <w:t>numerus</w:t>
      </w:r>
      <w:proofErr w:type="spellEnd"/>
      <w:r w:rsidRPr="00923130">
        <w:rPr>
          <w:rFonts w:ascii="Times New Roman" w:hAnsi="Times New Roman" w:cs="Times New Roman"/>
          <w:i/>
          <w:sz w:val="24"/>
        </w:rPr>
        <w:t xml:space="preserve"> </w:t>
      </w:r>
      <w:proofErr w:type="spellStart"/>
      <w:r w:rsidRPr="00923130">
        <w:rPr>
          <w:rFonts w:ascii="Times New Roman" w:hAnsi="Times New Roman" w:cs="Times New Roman"/>
          <w:i/>
          <w:sz w:val="24"/>
        </w:rPr>
        <w:t>clausus</w:t>
      </w:r>
      <w:proofErr w:type="spellEnd"/>
      <w:r w:rsidRPr="00923130">
        <w:rPr>
          <w:rFonts w:ascii="Times New Roman" w:hAnsi="Times New Roman" w:cs="Times New Roman"/>
          <w:sz w:val="24"/>
        </w:rPr>
        <w:t xml:space="preserve"> di limiti oggettivi a tutela di interessi giuridicamente rilevanti, contemplati dall’art. 5-b</w:t>
      </w:r>
      <w:r>
        <w:rPr>
          <w:rFonts w:ascii="Times New Roman" w:hAnsi="Times New Roman" w:cs="Times New Roman"/>
          <w:sz w:val="24"/>
        </w:rPr>
        <w:t>is, 1° e 2° comma del d.lgs.</w:t>
      </w:r>
      <w:r w:rsidR="00CB2565">
        <w:rPr>
          <w:rFonts w:ascii="Times New Roman" w:hAnsi="Times New Roman" w:cs="Times New Roman"/>
          <w:sz w:val="24"/>
        </w:rPr>
        <w:t xml:space="preserve"> n.</w:t>
      </w:r>
      <w:r>
        <w:rPr>
          <w:rFonts w:ascii="Times New Roman" w:hAnsi="Times New Roman" w:cs="Times New Roman"/>
          <w:sz w:val="24"/>
        </w:rPr>
        <w:t xml:space="preserve"> 33/2013. </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La finalità dell’accesso universale è quella di favorire forme diffuse di controllo nel perseguimento delle funzioni istituzionali e sull’utilizzo delle risorse pubbliche, promuovendo in tal modo la partecipazione dei c</w:t>
      </w:r>
      <w:r>
        <w:rPr>
          <w:rFonts w:ascii="Times New Roman" w:hAnsi="Times New Roman" w:cs="Times New Roman"/>
          <w:sz w:val="24"/>
        </w:rPr>
        <w:t xml:space="preserve">ittadini al dibattito pubblico, come previsto dall’art. 5, 2°comma del d.lgs. </w:t>
      </w:r>
      <w:r w:rsidR="00CB2565">
        <w:rPr>
          <w:rFonts w:ascii="Times New Roman" w:hAnsi="Times New Roman" w:cs="Times New Roman"/>
          <w:sz w:val="24"/>
        </w:rPr>
        <w:t xml:space="preserve">n. </w:t>
      </w:r>
      <w:r>
        <w:rPr>
          <w:rFonts w:ascii="Times New Roman" w:hAnsi="Times New Roman" w:cs="Times New Roman"/>
          <w:sz w:val="24"/>
        </w:rPr>
        <w:t>33/2013.</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L’interpretazione di questi </w:t>
      </w:r>
      <w:r>
        <w:rPr>
          <w:rFonts w:ascii="Times New Roman" w:hAnsi="Times New Roman" w:cs="Times New Roman"/>
          <w:sz w:val="24"/>
        </w:rPr>
        <w:t>elementi rivelano argomentazioni</w:t>
      </w:r>
      <w:r w:rsidRPr="00923130">
        <w:rPr>
          <w:rFonts w:ascii="Times New Roman" w:hAnsi="Times New Roman" w:cs="Times New Roman"/>
          <w:sz w:val="24"/>
        </w:rPr>
        <w:t xml:space="preserve"> </w:t>
      </w:r>
      <w:r>
        <w:rPr>
          <w:rFonts w:ascii="Times New Roman" w:hAnsi="Times New Roman" w:cs="Times New Roman"/>
          <w:sz w:val="24"/>
        </w:rPr>
        <w:t>a favore</w:t>
      </w:r>
      <w:r w:rsidRPr="00923130">
        <w:rPr>
          <w:rFonts w:ascii="Times New Roman" w:hAnsi="Times New Roman" w:cs="Times New Roman"/>
          <w:sz w:val="24"/>
        </w:rPr>
        <w:t xml:space="preserve"> all’accesso generalizzato agli atti di gara. </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La limitazione esclusivamente oggettiva dell’accesso universale comporta che, oltre alle materie specificamente sottratte dai comma 1° e 2° dell’art. 5-bis, vi possono essere soltanto dei “casi” in cui, per una materia altrimenti compresa per intero nella possibi</w:t>
      </w:r>
      <w:r>
        <w:rPr>
          <w:rFonts w:ascii="Times New Roman" w:hAnsi="Times New Roman" w:cs="Times New Roman"/>
          <w:sz w:val="24"/>
        </w:rPr>
        <w:t>lità di accesso, norme speciali</w:t>
      </w:r>
      <w:r w:rsidRPr="00923130">
        <w:rPr>
          <w:rFonts w:ascii="Times New Roman" w:hAnsi="Times New Roman" w:cs="Times New Roman"/>
          <w:sz w:val="24"/>
        </w:rPr>
        <w:t xml:space="preserve"> possono prevedere “</w:t>
      </w:r>
      <w:r w:rsidRPr="003316FF">
        <w:rPr>
          <w:rFonts w:ascii="Times New Roman" w:hAnsi="Times New Roman" w:cs="Times New Roman"/>
          <w:i/>
          <w:sz w:val="24"/>
        </w:rPr>
        <w:t>specifiche condizioni modalità e limiti</w:t>
      </w:r>
      <w:r w:rsidRPr="00923130">
        <w:rPr>
          <w:rFonts w:ascii="Times New Roman" w:hAnsi="Times New Roman" w:cs="Times New Roman"/>
          <w:sz w:val="24"/>
        </w:rPr>
        <w:t xml:space="preserve">”. </w:t>
      </w:r>
    </w:p>
    <w:p w:rsidR="001114E3" w:rsidRPr="00923130"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 xml:space="preserve">Questo principio, ricavabile dall’interpretazione testuale dell’art. 5-bis, 3°comma, implica che l’ambito delle materie sottratte debba essere definito senza possibilità di estensione o di analogia interpretativa. In secondo luogo, comporta che ove non si ricada in una </w:t>
      </w:r>
      <w:r>
        <w:rPr>
          <w:rFonts w:ascii="Times New Roman" w:hAnsi="Times New Roman" w:cs="Times New Roman"/>
          <w:sz w:val="24"/>
        </w:rPr>
        <w:t>materia esplicitamente sottratte</w:t>
      </w:r>
      <w:r w:rsidRPr="00923130">
        <w:rPr>
          <w:rFonts w:ascii="Times New Roman" w:hAnsi="Times New Roman" w:cs="Times New Roman"/>
          <w:sz w:val="24"/>
        </w:rPr>
        <w:t xml:space="preserve"> possono esservi solo dei casi in cui il legislatore pone specifiche, condizioni, modalità e limiti all’accesso.</w:t>
      </w:r>
    </w:p>
    <w:p w:rsidR="00C7255C" w:rsidRPr="001114E3" w:rsidRDefault="001114E3" w:rsidP="00457EEE">
      <w:pPr>
        <w:spacing w:after="0" w:line="360" w:lineRule="auto"/>
        <w:jc w:val="both"/>
        <w:rPr>
          <w:rFonts w:ascii="Times New Roman" w:hAnsi="Times New Roman" w:cs="Times New Roman"/>
          <w:sz w:val="24"/>
        </w:rPr>
      </w:pPr>
      <w:r w:rsidRPr="00923130">
        <w:rPr>
          <w:rFonts w:ascii="Times New Roman" w:hAnsi="Times New Roman" w:cs="Times New Roman"/>
          <w:sz w:val="24"/>
        </w:rPr>
        <w:t>Per quanto riguarda lo scopo dell</w:t>
      </w:r>
      <w:r>
        <w:rPr>
          <w:rFonts w:ascii="Times New Roman" w:hAnsi="Times New Roman" w:cs="Times New Roman"/>
          <w:sz w:val="24"/>
        </w:rPr>
        <w:t>’accesso civico generalizzato, a differenza di quanto sostenuto dall’altro orientamento,</w:t>
      </w:r>
      <w:r w:rsidRPr="00923130">
        <w:rPr>
          <w:rFonts w:ascii="Times New Roman" w:hAnsi="Times New Roman" w:cs="Times New Roman"/>
          <w:sz w:val="24"/>
        </w:rPr>
        <w:t xml:space="preserve"> esso soddisfa un’</w:t>
      </w:r>
      <w:r>
        <w:rPr>
          <w:rFonts w:ascii="Times New Roman" w:hAnsi="Times New Roman" w:cs="Times New Roman"/>
          <w:sz w:val="24"/>
        </w:rPr>
        <w:t>esigenza specifica</w:t>
      </w:r>
      <w:r w:rsidRPr="00923130">
        <w:rPr>
          <w:rFonts w:ascii="Times New Roman" w:hAnsi="Times New Roman" w:cs="Times New Roman"/>
          <w:sz w:val="24"/>
        </w:rPr>
        <w:t xml:space="preserve"> nell’ambito delle procedure di gara: il perseguimento di procedure di appalto trasparenti anche come strumento di prevenzione e contrasto alla corruzione. </w:t>
      </w:r>
    </w:p>
    <w:p w:rsidR="00B06833" w:rsidRPr="00ED67EC" w:rsidRDefault="00B06833" w:rsidP="00457EEE">
      <w:pPr>
        <w:spacing w:after="0" w:line="360" w:lineRule="auto"/>
        <w:jc w:val="both"/>
        <w:rPr>
          <w:rFonts w:ascii="Times New Roman" w:hAnsi="Times New Roman" w:cs="Times New Roman"/>
          <w:color w:val="000000"/>
          <w:sz w:val="24"/>
          <w:szCs w:val="24"/>
        </w:rPr>
      </w:pPr>
    </w:p>
    <w:p w:rsidR="003B3D54" w:rsidRPr="00ED67EC" w:rsidRDefault="003B3D54" w:rsidP="00457EEE">
      <w:pPr>
        <w:spacing w:after="0" w:line="360" w:lineRule="auto"/>
        <w:jc w:val="both"/>
        <w:rPr>
          <w:rFonts w:ascii="Times New Roman" w:hAnsi="Times New Roman" w:cs="Times New Roman"/>
          <w:b/>
          <w:color w:val="000000"/>
          <w:sz w:val="24"/>
          <w:szCs w:val="24"/>
        </w:rPr>
      </w:pPr>
      <w:r w:rsidRPr="00ED67EC">
        <w:rPr>
          <w:rFonts w:ascii="Times New Roman" w:hAnsi="Times New Roman" w:cs="Times New Roman"/>
          <w:b/>
          <w:bCs/>
          <w:sz w:val="24"/>
          <w:szCs w:val="24"/>
        </w:rPr>
        <w:t>§ - 2.</w:t>
      </w:r>
      <w:r w:rsidRPr="00ED67EC">
        <w:rPr>
          <w:rFonts w:ascii="Times New Roman" w:hAnsi="Times New Roman" w:cs="Times New Roman"/>
          <w:b/>
          <w:color w:val="000000"/>
          <w:sz w:val="24"/>
          <w:szCs w:val="24"/>
        </w:rPr>
        <w:t xml:space="preserve"> Le ragioni (ulteriori) dell’ammiss</w:t>
      </w:r>
      <w:r w:rsidR="00E3390F">
        <w:rPr>
          <w:rFonts w:ascii="Times New Roman" w:hAnsi="Times New Roman" w:cs="Times New Roman"/>
          <w:b/>
          <w:color w:val="000000"/>
          <w:sz w:val="24"/>
          <w:szCs w:val="24"/>
        </w:rPr>
        <w:t>ibilità dell’acceso universale ne</w:t>
      </w:r>
      <w:r w:rsidRPr="00ED67EC">
        <w:rPr>
          <w:rFonts w:ascii="Times New Roman" w:hAnsi="Times New Roman" w:cs="Times New Roman"/>
          <w:b/>
          <w:color w:val="000000"/>
          <w:sz w:val="24"/>
          <w:szCs w:val="24"/>
        </w:rPr>
        <w:t xml:space="preserve">lle gare d’appalto </w:t>
      </w:r>
    </w:p>
    <w:p w:rsidR="00234A0B" w:rsidRPr="00ED67EC" w:rsidRDefault="00234A0B"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Tra i due indirizzi giurisprudenzial</w:t>
      </w:r>
      <w:r w:rsidR="00AA05C3" w:rsidRPr="00ED67EC">
        <w:rPr>
          <w:rFonts w:ascii="Times New Roman" w:hAnsi="Times New Roman" w:cs="Times New Roman"/>
          <w:bCs/>
          <w:color w:val="000000"/>
          <w:sz w:val="24"/>
          <w:szCs w:val="24"/>
        </w:rPr>
        <w:t>i, sembra preferibile quello che ammette l’accesso universale,</w:t>
      </w:r>
      <w:r w:rsidRPr="00ED67EC">
        <w:rPr>
          <w:rFonts w:ascii="Times New Roman" w:hAnsi="Times New Roman" w:cs="Times New Roman"/>
          <w:bCs/>
          <w:color w:val="000000"/>
          <w:sz w:val="24"/>
          <w:szCs w:val="24"/>
        </w:rPr>
        <w:t xml:space="preserve"> </w:t>
      </w:r>
      <w:r w:rsidR="00D40506" w:rsidRPr="00ED67EC">
        <w:rPr>
          <w:rFonts w:ascii="Times New Roman" w:hAnsi="Times New Roman" w:cs="Times New Roman"/>
          <w:bCs/>
          <w:color w:val="000000"/>
          <w:sz w:val="24"/>
          <w:szCs w:val="24"/>
        </w:rPr>
        <w:t xml:space="preserve">in quanto </w:t>
      </w:r>
      <w:r w:rsidR="00AA05C3" w:rsidRPr="00ED67EC">
        <w:rPr>
          <w:rFonts w:ascii="Times New Roman" w:hAnsi="Times New Roman" w:cs="Times New Roman"/>
          <w:bCs/>
          <w:color w:val="000000"/>
          <w:sz w:val="24"/>
          <w:szCs w:val="24"/>
        </w:rPr>
        <w:t>l’altro è anti-storico</w:t>
      </w:r>
      <w:r w:rsidRPr="00ED67EC">
        <w:rPr>
          <w:rFonts w:ascii="Times New Roman" w:hAnsi="Times New Roman" w:cs="Times New Roman"/>
          <w:bCs/>
          <w:color w:val="000000"/>
          <w:sz w:val="24"/>
          <w:szCs w:val="24"/>
        </w:rPr>
        <w:t xml:space="preserve"> e conduce ad esiti paradossali.</w:t>
      </w:r>
    </w:p>
    <w:p w:rsidR="00130489" w:rsidRPr="00ED67EC" w:rsidRDefault="00FA441A"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Anzitutto</w:t>
      </w:r>
      <w:r w:rsidR="00234A0B" w:rsidRPr="00ED67EC">
        <w:rPr>
          <w:rFonts w:ascii="Times New Roman" w:hAnsi="Times New Roman" w:cs="Times New Roman"/>
          <w:bCs/>
          <w:color w:val="000000"/>
          <w:sz w:val="24"/>
          <w:szCs w:val="24"/>
        </w:rPr>
        <w:t xml:space="preserve">, l’interpretazione che nega l’accesso libero e universale agli atti della gara è in controtendenza rispetto all’evoluzione della trasparenza nel diritto amministrativo. </w:t>
      </w:r>
    </w:p>
    <w:p w:rsidR="00234A0B" w:rsidRPr="00ED67EC" w:rsidRDefault="00234A0B"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 xml:space="preserve">Nell’ordinamento, </w:t>
      </w:r>
      <w:r w:rsidR="00D40506" w:rsidRPr="00ED67EC">
        <w:rPr>
          <w:rFonts w:ascii="Times New Roman" w:hAnsi="Times New Roman" w:cs="Times New Roman"/>
          <w:bCs/>
          <w:color w:val="000000"/>
          <w:sz w:val="24"/>
          <w:szCs w:val="24"/>
        </w:rPr>
        <w:t xml:space="preserve">l’area della documentazione </w:t>
      </w:r>
      <w:r w:rsidR="00221809" w:rsidRPr="00ED67EC">
        <w:rPr>
          <w:rFonts w:ascii="Times New Roman" w:hAnsi="Times New Roman" w:cs="Times New Roman"/>
          <w:bCs/>
          <w:color w:val="000000"/>
          <w:sz w:val="24"/>
          <w:szCs w:val="24"/>
        </w:rPr>
        <w:t>conoscibile</w:t>
      </w:r>
      <w:r w:rsidR="00D40506" w:rsidRPr="00ED67EC">
        <w:rPr>
          <w:rFonts w:ascii="Times New Roman" w:hAnsi="Times New Roman" w:cs="Times New Roman"/>
          <w:bCs/>
          <w:color w:val="000000"/>
          <w:sz w:val="24"/>
          <w:szCs w:val="24"/>
        </w:rPr>
        <w:t xml:space="preserve"> si è </w:t>
      </w:r>
      <w:r w:rsidR="00221809" w:rsidRPr="00ED67EC">
        <w:rPr>
          <w:rFonts w:ascii="Times New Roman" w:hAnsi="Times New Roman" w:cs="Times New Roman"/>
          <w:bCs/>
          <w:color w:val="000000"/>
          <w:sz w:val="24"/>
          <w:szCs w:val="24"/>
        </w:rPr>
        <w:t>ampliata</w:t>
      </w:r>
      <w:r w:rsidR="00D40506" w:rsidRPr="00ED67EC">
        <w:rPr>
          <w:rFonts w:ascii="Times New Roman" w:hAnsi="Times New Roman" w:cs="Times New Roman"/>
          <w:bCs/>
          <w:color w:val="000000"/>
          <w:sz w:val="24"/>
          <w:szCs w:val="24"/>
        </w:rPr>
        <w:t xml:space="preserve"> sempre più fino a giungere alla </w:t>
      </w:r>
      <w:r w:rsidR="00D40506" w:rsidRPr="00ED67EC">
        <w:rPr>
          <w:rFonts w:ascii="Times New Roman" w:hAnsi="Times New Roman" w:cs="Times New Roman"/>
          <w:bCs/>
          <w:i/>
          <w:iCs/>
          <w:color w:val="000000"/>
          <w:sz w:val="24"/>
          <w:szCs w:val="24"/>
        </w:rPr>
        <w:t>full disclosure</w:t>
      </w:r>
      <w:r w:rsidR="00D40506" w:rsidRPr="00ED67EC">
        <w:rPr>
          <w:rFonts w:ascii="Times New Roman" w:hAnsi="Times New Roman" w:cs="Times New Roman"/>
          <w:bCs/>
          <w:color w:val="000000"/>
          <w:sz w:val="24"/>
          <w:szCs w:val="24"/>
        </w:rPr>
        <w:t>: all’originario accesso documentale si sono aggiunti dapprima l’accesso civico e infine l’accesso civico generalizzato.</w:t>
      </w:r>
      <w:r w:rsidR="000D13EE" w:rsidRPr="00ED67EC">
        <w:rPr>
          <w:rStyle w:val="Rimandonotaapidipagina"/>
          <w:rFonts w:ascii="Times New Roman" w:hAnsi="Times New Roman" w:cs="Times New Roman"/>
          <w:bCs/>
          <w:color w:val="000000"/>
          <w:sz w:val="24"/>
          <w:szCs w:val="24"/>
        </w:rPr>
        <w:footnoteReference w:id="5"/>
      </w:r>
      <w:r w:rsidR="00D40506" w:rsidRPr="00ED67EC">
        <w:rPr>
          <w:rFonts w:ascii="Times New Roman" w:hAnsi="Times New Roman" w:cs="Times New Roman"/>
          <w:bCs/>
          <w:color w:val="000000"/>
          <w:sz w:val="24"/>
          <w:szCs w:val="24"/>
        </w:rPr>
        <w:t xml:space="preserve"> </w:t>
      </w:r>
    </w:p>
    <w:p w:rsidR="000D13EE" w:rsidRPr="00ED67EC" w:rsidRDefault="000D13EE"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 xml:space="preserve">L’esclusione dell’accesso universale agli atti delle gare appare pertanto discordante rispetto all’evoluzione generale. </w:t>
      </w:r>
    </w:p>
    <w:p w:rsidR="000D13EE" w:rsidRPr="00ED67EC" w:rsidRDefault="000D13EE"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Inoltre, la preclusione dell’accesso generalizzato ai documenti d</w:t>
      </w:r>
      <w:r w:rsidR="00221809" w:rsidRPr="00ED67EC">
        <w:rPr>
          <w:rFonts w:ascii="Times New Roman" w:hAnsi="Times New Roman" w:cs="Times New Roman"/>
          <w:bCs/>
          <w:color w:val="000000"/>
          <w:sz w:val="24"/>
          <w:szCs w:val="24"/>
        </w:rPr>
        <w:t>elle</w:t>
      </w:r>
      <w:r w:rsidRPr="00ED67EC">
        <w:rPr>
          <w:rFonts w:ascii="Times New Roman" w:hAnsi="Times New Roman" w:cs="Times New Roman"/>
          <w:bCs/>
          <w:color w:val="000000"/>
          <w:sz w:val="24"/>
          <w:szCs w:val="24"/>
        </w:rPr>
        <w:t xml:space="preserve"> gar</w:t>
      </w:r>
      <w:r w:rsidR="00221809" w:rsidRPr="00ED67EC">
        <w:rPr>
          <w:rFonts w:ascii="Times New Roman" w:hAnsi="Times New Roman" w:cs="Times New Roman"/>
          <w:bCs/>
          <w:color w:val="000000"/>
          <w:sz w:val="24"/>
          <w:szCs w:val="24"/>
        </w:rPr>
        <w:t>e</w:t>
      </w:r>
      <w:r w:rsidRPr="00ED67EC">
        <w:rPr>
          <w:rFonts w:ascii="Times New Roman" w:hAnsi="Times New Roman" w:cs="Times New Roman"/>
          <w:bCs/>
          <w:color w:val="000000"/>
          <w:sz w:val="24"/>
          <w:szCs w:val="24"/>
        </w:rPr>
        <w:t xml:space="preserve"> è paradossale perché si </w:t>
      </w:r>
      <w:r w:rsidR="00221809" w:rsidRPr="00ED67EC">
        <w:rPr>
          <w:rFonts w:ascii="Times New Roman" w:hAnsi="Times New Roman" w:cs="Times New Roman"/>
          <w:bCs/>
          <w:color w:val="000000"/>
          <w:sz w:val="24"/>
          <w:szCs w:val="24"/>
        </w:rPr>
        <w:t xml:space="preserve">elimina la possibilità di </w:t>
      </w:r>
      <w:r w:rsidR="00E20EE0">
        <w:rPr>
          <w:rFonts w:ascii="Times New Roman" w:hAnsi="Times New Roman" w:cs="Times New Roman"/>
          <w:bCs/>
          <w:color w:val="000000"/>
          <w:sz w:val="24"/>
          <w:szCs w:val="24"/>
        </w:rPr>
        <w:t>un controllo diffuso</w:t>
      </w:r>
      <w:r w:rsidR="00221809" w:rsidRPr="00ED67EC">
        <w:rPr>
          <w:rFonts w:ascii="Times New Roman" w:hAnsi="Times New Roman" w:cs="Times New Roman"/>
          <w:bCs/>
          <w:color w:val="000000"/>
          <w:sz w:val="24"/>
          <w:szCs w:val="24"/>
        </w:rPr>
        <w:t xml:space="preserve"> </w:t>
      </w:r>
      <w:r w:rsidR="00E20EE0">
        <w:rPr>
          <w:rFonts w:ascii="Times New Roman" w:hAnsi="Times New Roman" w:cs="Times New Roman"/>
          <w:bCs/>
          <w:color w:val="000000"/>
          <w:sz w:val="24"/>
          <w:szCs w:val="24"/>
        </w:rPr>
        <w:t>sul</w:t>
      </w:r>
      <w:r w:rsidR="00221809" w:rsidRPr="00ED67EC">
        <w:rPr>
          <w:rFonts w:ascii="Times New Roman" w:hAnsi="Times New Roman" w:cs="Times New Roman"/>
          <w:bCs/>
          <w:color w:val="000000"/>
          <w:sz w:val="24"/>
          <w:szCs w:val="24"/>
        </w:rPr>
        <w:t>l’operato dell’amministrazione pubblica</w:t>
      </w:r>
      <w:r w:rsidRPr="00ED67EC">
        <w:rPr>
          <w:rFonts w:ascii="Times New Roman" w:hAnsi="Times New Roman" w:cs="Times New Roman"/>
          <w:bCs/>
          <w:color w:val="000000"/>
          <w:sz w:val="24"/>
          <w:szCs w:val="24"/>
        </w:rPr>
        <w:t xml:space="preserve"> in uno dei settori </w:t>
      </w:r>
      <w:r w:rsidR="00221809" w:rsidRPr="00ED67EC">
        <w:rPr>
          <w:rFonts w:ascii="Times New Roman" w:hAnsi="Times New Roman" w:cs="Times New Roman"/>
          <w:bCs/>
          <w:color w:val="000000"/>
          <w:sz w:val="24"/>
          <w:szCs w:val="24"/>
        </w:rPr>
        <w:t>dove l’illegalità e la corruzione sono più diffusi</w:t>
      </w:r>
      <w:r w:rsidR="00221809" w:rsidRPr="00ED67EC">
        <w:rPr>
          <w:rStyle w:val="Rimandonotaapidipagina"/>
          <w:rFonts w:ascii="Times New Roman" w:hAnsi="Times New Roman" w:cs="Times New Roman"/>
          <w:bCs/>
          <w:color w:val="000000"/>
          <w:sz w:val="24"/>
          <w:szCs w:val="24"/>
        </w:rPr>
        <w:footnoteReference w:id="6"/>
      </w:r>
      <w:r w:rsidR="00221809" w:rsidRPr="00ED67EC">
        <w:rPr>
          <w:rFonts w:ascii="Times New Roman" w:hAnsi="Times New Roman" w:cs="Times New Roman"/>
          <w:bCs/>
          <w:color w:val="000000"/>
          <w:sz w:val="24"/>
          <w:szCs w:val="24"/>
        </w:rPr>
        <w:t>.</w:t>
      </w:r>
    </w:p>
    <w:p w:rsidR="00221809" w:rsidRPr="00ED67EC" w:rsidRDefault="00BF08B9" w:rsidP="00457EEE">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 tesi dell’applicazione</w:t>
      </w:r>
      <w:r w:rsidR="00221809" w:rsidRPr="00ED67EC">
        <w:rPr>
          <w:rFonts w:ascii="Times New Roman" w:hAnsi="Times New Roman" w:cs="Times New Roman"/>
          <w:bCs/>
          <w:color w:val="000000"/>
          <w:sz w:val="24"/>
          <w:szCs w:val="24"/>
        </w:rPr>
        <w:t>, invece, è supportata da plurimi argomenti: normativo, sistematico, strutturale, teleol</w:t>
      </w:r>
      <w:r w:rsidR="00514B9F" w:rsidRPr="00ED67EC">
        <w:rPr>
          <w:rFonts w:ascii="Times New Roman" w:hAnsi="Times New Roman" w:cs="Times New Roman"/>
          <w:bCs/>
          <w:color w:val="000000"/>
          <w:sz w:val="24"/>
          <w:szCs w:val="24"/>
        </w:rPr>
        <w:t xml:space="preserve">ogico e organizzativo. </w:t>
      </w:r>
    </w:p>
    <w:p w:rsidR="00605675" w:rsidRPr="00ED67EC" w:rsidRDefault="0015190B"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Alla luce del dato normativo </w:t>
      </w:r>
      <w:r w:rsidR="00605675" w:rsidRPr="00ED67EC">
        <w:rPr>
          <w:rFonts w:ascii="Times New Roman" w:hAnsi="Times New Roman" w:cs="Times New Roman"/>
          <w:sz w:val="24"/>
          <w:szCs w:val="24"/>
        </w:rPr>
        <w:t>sovranazionale</w:t>
      </w:r>
      <w:r w:rsidRPr="00ED67EC">
        <w:rPr>
          <w:rFonts w:ascii="Times New Roman" w:hAnsi="Times New Roman" w:cs="Times New Roman"/>
          <w:sz w:val="24"/>
          <w:szCs w:val="24"/>
        </w:rPr>
        <w:t>, l’accesso generalizzato alle informazioni pubbliche si configura come un diritto fondamentale</w:t>
      </w:r>
      <w:r w:rsidR="00605675" w:rsidRPr="00ED67EC">
        <w:rPr>
          <w:rStyle w:val="Rimandonotaapidipagina"/>
          <w:rFonts w:ascii="Times New Roman" w:hAnsi="Times New Roman" w:cs="Times New Roman"/>
          <w:sz w:val="24"/>
          <w:szCs w:val="24"/>
        </w:rPr>
        <w:footnoteReference w:id="7"/>
      </w:r>
      <w:r w:rsidR="00605675" w:rsidRPr="00ED67EC">
        <w:rPr>
          <w:rFonts w:ascii="Times New Roman" w:hAnsi="Times New Roman" w:cs="Times New Roman"/>
          <w:sz w:val="24"/>
          <w:szCs w:val="24"/>
        </w:rPr>
        <w:t xml:space="preserve">. </w:t>
      </w:r>
    </w:p>
    <w:p w:rsidR="00605675" w:rsidRPr="00ED67EC" w:rsidRDefault="0060567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L’art. 42 della Carta di Nizza considera l’accesso ai documenti come diritto fondamentale di ogni cittadino dell’Unione Europea.</w:t>
      </w:r>
    </w:p>
    <w:p w:rsidR="00605675" w:rsidRPr="00ED67EC" w:rsidRDefault="0060567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Negli stessi termini dispone l’art. 15 </w:t>
      </w:r>
      <w:r w:rsidR="005D2002" w:rsidRPr="00ED67EC">
        <w:rPr>
          <w:rFonts w:ascii="Times New Roman" w:hAnsi="Times New Roman" w:cs="Times New Roman"/>
          <w:sz w:val="24"/>
          <w:szCs w:val="24"/>
        </w:rPr>
        <w:t xml:space="preserve">del </w:t>
      </w:r>
      <w:r w:rsidRPr="00ED67EC">
        <w:rPr>
          <w:rFonts w:ascii="Times New Roman" w:hAnsi="Times New Roman" w:cs="Times New Roman"/>
          <w:sz w:val="24"/>
          <w:szCs w:val="24"/>
        </w:rPr>
        <w:t>T</w:t>
      </w:r>
      <w:r w:rsidR="005D2002" w:rsidRPr="00ED67EC">
        <w:rPr>
          <w:rFonts w:ascii="Times New Roman" w:hAnsi="Times New Roman" w:cs="Times New Roman"/>
          <w:sz w:val="24"/>
          <w:szCs w:val="24"/>
        </w:rPr>
        <w:t>.</w:t>
      </w:r>
      <w:r w:rsidRPr="00ED67EC">
        <w:rPr>
          <w:rFonts w:ascii="Times New Roman" w:hAnsi="Times New Roman" w:cs="Times New Roman"/>
          <w:sz w:val="24"/>
          <w:szCs w:val="24"/>
        </w:rPr>
        <w:t>F</w:t>
      </w:r>
      <w:r w:rsidR="005D2002" w:rsidRPr="00ED67EC">
        <w:rPr>
          <w:rFonts w:ascii="Times New Roman" w:hAnsi="Times New Roman" w:cs="Times New Roman"/>
          <w:sz w:val="24"/>
          <w:szCs w:val="24"/>
        </w:rPr>
        <w:t>.</w:t>
      </w:r>
      <w:r w:rsidRPr="00ED67EC">
        <w:rPr>
          <w:rFonts w:ascii="Times New Roman" w:hAnsi="Times New Roman" w:cs="Times New Roman"/>
          <w:sz w:val="24"/>
          <w:szCs w:val="24"/>
        </w:rPr>
        <w:t>U</w:t>
      </w:r>
      <w:r w:rsidR="005D2002" w:rsidRPr="00ED67EC">
        <w:rPr>
          <w:rFonts w:ascii="Times New Roman" w:hAnsi="Times New Roman" w:cs="Times New Roman"/>
          <w:sz w:val="24"/>
          <w:szCs w:val="24"/>
        </w:rPr>
        <w:t>.</w:t>
      </w:r>
      <w:r w:rsidRPr="00ED67EC">
        <w:rPr>
          <w:rFonts w:ascii="Times New Roman" w:hAnsi="Times New Roman" w:cs="Times New Roman"/>
          <w:sz w:val="24"/>
          <w:szCs w:val="24"/>
        </w:rPr>
        <w:t>E</w:t>
      </w:r>
      <w:r w:rsidR="005D2002" w:rsidRPr="00ED67EC">
        <w:rPr>
          <w:rFonts w:ascii="Times New Roman" w:hAnsi="Times New Roman" w:cs="Times New Roman"/>
          <w:sz w:val="24"/>
          <w:szCs w:val="24"/>
        </w:rPr>
        <w:t>.</w:t>
      </w:r>
      <w:r w:rsidRPr="00ED67EC">
        <w:rPr>
          <w:rFonts w:ascii="Times New Roman" w:hAnsi="Times New Roman" w:cs="Times New Roman"/>
          <w:sz w:val="24"/>
          <w:szCs w:val="24"/>
        </w:rPr>
        <w:t xml:space="preserve"> che riconosce l’accesso ai documenti delle istituzioni dell’Unione a prescindere dal loro supporto. </w:t>
      </w:r>
    </w:p>
    <w:p w:rsidR="00605675" w:rsidRPr="00ED67EC" w:rsidRDefault="0060567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L’art. 2 della Convenzione sull’accesso ai documenti ufficiali del Consiglio d’Europa riconosce «</w:t>
      </w:r>
      <w:r w:rsidRPr="00ED67EC">
        <w:rPr>
          <w:rStyle w:val="normal10"/>
          <w:rFonts w:ascii="Times New Roman" w:hAnsi="Times New Roman" w:cs="Times New Roman"/>
          <w:i/>
          <w:sz w:val="24"/>
          <w:szCs w:val="24"/>
        </w:rPr>
        <w:t xml:space="preserve">the right of </w:t>
      </w:r>
      <w:proofErr w:type="spellStart"/>
      <w:r w:rsidRPr="00ED67EC">
        <w:rPr>
          <w:rStyle w:val="normal10"/>
          <w:rFonts w:ascii="Times New Roman" w:hAnsi="Times New Roman" w:cs="Times New Roman"/>
          <w:i/>
          <w:sz w:val="24"/>
          <w:szCs w:val="24"/>
        </w:rPr>
        <w:t>everyone</w:t>
      </w:r>
      <w:proofErr w:type="spellEnd"/>
      <w:r w:rsidRPr="00ED67EC">
        <w:rPr>
          <w:rStyle w:val="normal10"/>
          <w:rFonts w:ascii="Times New Roman" w:hAnsi="Times New Roman" w:cs="Times New Roman"/>
          <w:i/>
          <w:sz w:val="24"/>
          <w:szCs w:val="24"/>
        </w:rPr>
        <w:t xml:space="preserve">, </w:t>
      </w:r>
      <w:proofErr w:type="spellStart"/>
      <w:r w:rsidRPr="00ED67EC">
        <w:rPr>
          <w:rStyle w:val="normal10"/>
          <w:rFonts w:ascii="Times New Roman" w:hAnsi="Times New Roman" w:cs="Times New Roman"/>
          <w:i/>
          <w:sz w:val="24"/>
          <w:szCs w:val="24"/>
        </w:rPr>
        <w:t>without</w:t>
      </w:r>
      <w:proofErr w:type="spellEnd"/>
      <w:r w:rsidRPr="00ED67EC">
        <w:rPr>
          <w:rStyle w:val="normal10"/>
          <w:rFonts w:ascii="Times New Roman" w:hAnsi="Times New Roman" w:cs="Times New Roman"/>
          <w:i/>
          <w:sz w:val="24"/>
          <w:szCs w:val="24"/>
        </w:rPr>
        <w:t xml:space="preserve"> </w:t>
      </w:r>
      <w:proofErr w:type="spellStart"/>
      <w:r w:rsidRPr="00ED67EC">
        <w:rPr>
          <w:rStyle w:val="normal10"/>
          <w:rFonts w:ascii="Times New Roman" w:hAnsi="Times New Roman" w:cs="Times New Roman"/>
          <w:i/>
          <w:sz w:val="24"/>
          <w:szCs w:val="24"/>
        </w:rPr>
        <w:t>discrimination</w:t>
      </w:r>
      <w:proofErr w:type="spellEnd"/>
      <w:r w:rsidRPr="00ED67EC">
        <w:rPr>
          <w:rStyle w:val="normal10"/>
          <w:rFonts w:ascii="Times New Roman" w:hAnsi="Times New Roman" w:cs="Times New Roman"/>
          <w:i/>
          <w:sz w:val="24"/>
          <w:szCs w:val="24"/>
        </w:rPr>
        <w:t xml:space="preserve"> on any ground, to have access, on request, to official documents held by public authorities</w:t>
      </w:r>
      <w:r w:rsidRPr="00ED67EC">
        <w:rPr>
          <w:rFonts w:ascii="Times New Roman" w:hAnsi="Times New Roman" w:cs="Times New Roman"/>
          <w:sz w:val="24"/>
          <w:szCs w:val="24"/>
        </w:rPr>
        <w:t xml:space="preserve">». </w:t>
      </w:r>
    </w:p>
    <w:p w:rsidR="00605675" w:rsidRPr="00ED67EC" w:rsidRDefault="0060567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La Corte Europea dei</w:t>
      </w:r>
      <w:r w:rsidR="0015190B" w:rsidRPr="00ED67EC">
        <w:rPr>
          <w:rFonts w:ascii="Times New Roman" w:hAnsi="Times New Roman" w:cs="Times New Roman"/>
          <w:sz w:val="24"/>
          <w:szCs w:val="24"/>
        </w:rPr>
        <w:t xml:space="preserve"> diritti dell’uomo riconduce</w:t>
      </w:r>
      <w:r w:rsidRPr="00ED67EC">
        <w:rPr>
          <w:rFonts w:ascii="Times New Roman" w:hAnsi="Times New Roman" w:cs="Times New Roman"/>
          <w:sz w:val="24"/>
          <w:szCs w:val="24"/>
        </w:rPr>
        <w:t xml:space="preserve"> l’accesso alle informazioni pubbliche sotto l’art. 10 della Convenzione affermando che il diritto di ricevere o di divulgare informazioni da parte della stampa non potrebbe trovare effettiva attuazione senza la possibilità di richiedere e ottenere informazioni relative a situazioni di interesse pubblico</w:t>
      </w:r>
      <w:r w:rsidRPr="00ED67EC">
        <w:rPr>
          <w:rStyle w:val="Rimandonotaapidipagina"/>
          <w:rFonts w:ascii="Times New Roman" w:hAnsi="Times New Roman" w:cs="Times New Roman"/>
          <w:sz w:val="24"/>
          <w:szCs w:val="24"/>
        </w:rPr>
        <w:footnoteReference w:id="8"/>
      </w:r>
      <w:r w:rsidRPr="00ED67EC">
        <w:rPr>
          <w:rFonts w:ascii="Times New Roman" w:hAnsi="Times New Roman" w:cs="Times New Roman"/>
          <w:sz w:val="24"/>
          <w:szCs w:val="24"/>
        </w:rPr>
        <w:t>.</w:t>
      </w:r>
    </w:p>
    <w:p w:rsidR="008738C9" w:rsidRPr="00ED67EC" w:rsidRDefault="00605675"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Ciò premesso</w:t>
      </w:r>
      <w:r w:rsidR="008738C9" w:rsidRPr="00ED67EC">
        <w:rPr>
          <w:rFonts w:ascii="Times New Roman" w:hAnsi="Times New Roman" w:cs="Times New Roman"/>
          <w:bCs/>
          <w:color w:val="000000"/>
          <w:sz w:val="24"/>
          <w:szCs w:val="24"/>
        </w:rPr>
        <w:t>,</w:t>
      </w:r>
      <w:r w:rsidR="00197440" w:rsidRPr="00ED67EC">
        <w:rPr>
          <w:rFonts w:ascii="Times New Roman" w:hAnsi="Times New Roman" w:cs="Times New Roman"/>
          <w:bCs/>
          <w:color w:val="000000"/>
          <w:sz w:val="24"/>
          <w:szCs w:val="24"/>
        </w:rPr>
        <w:t xml:space="preserve"> se</w:t>
      </w:r>
      <w:r w:rsidRPr="00ED67EC">
        <w:rPr>
          <w:rFonts w:ascii="Times New Roman" w:hAnsi="Times New Roman" w:cs="Times New Roman"/>
          <w:bCs/>
          <w:color w:val="000000"/>
          <w:sz w:val="24"/>
          <w:szCs w:val="24"/>
        </w:rPr>
        <w:t xml:space="preserve"> l’accesso universale si configura come un diritto fondamentale</w:t>
      </w:r>
      <w:r w:rsidR="00197440" w:rsidRPr="00ED67EC">
        <w:rPr>
          <w:rFonts w:ascii="Times New Roman" w:hAnsi="Times New Roman" w:cs="Times New Roman"/>
          <w:bCs/>
          <w:color w:val="000000"/>
          <w:sz w:val="24"/>
          <w:szCs w:val="24"/>
        </w:rPr>
        <w:t>, esso</w:t>
      </w:r>
      <w:r w:rsidRPr="00ED67EC">
        <w:rPr>
          <w:rFonts w:ascii="Times New Roman" w:hAnsi="Times New Roman" w:cs="Times New Roman"/>
          <w:bCs/>
          <w:color w:val="000000"/>
          <w:sz w:val="24"/>
          <w:szCs w:val="24"/>
        </w:rPr>
        <w:t xml:space="preserve"> potrà essere bilanciat</w:t>
      </w:r>
      <w:r w:rsidR="00D83783" w:rsidRPr="00ED67EC">
        <w:rPr>
          <w:rFonts w:ascii="Times New Roman" w:hAnsi="Times New Roman" w:cs="Times New Roman"/>
          <w:bCs/>
          <w:color w:val="000000"/>
          <w:sz w:val="24"/>
          <w:szCs w:val="24"/>
        </w:rPr>
        <w:t xml:space="preserve">o </w:t>
      </w:r>
      <w:r w:rsidRPr="00ED67EC">
        <w:rPr>
          <w:rFonts w:ascii="Times New Roman" w:hAnsi="Times New Roman" w:cs="Times New Roman"/>
          <w:bCs/>
          <w:color w:val="000000"/>
          <w:sz w:val="24"/>
          <w:szCs w:val="24"/>
        </w:rPr>
        <w:t xml:space="preserve">con altri interessi giuridicamente </w:t>
      </w:r>
      <w:r w:rsidR="00D83783" w:rsidRPr="00ED67EC">
        <w:rPr>
          <w:rFonts w:ascii="Times New Roman" w:hAnsi="Times New Roman" w:cs="Times New Roman"/>
          <w:bCs/>
          <w:color w:val="000000"/>
          <w:sz w:val="24"/>
          <w:szCs w:val="24"/>
        </w:rPr>
        <w:t xml:space="preserve">rilevanti ma non può essere escluso </w:t>
      </w:r>
      <w:r w:rsidR="00D83783" w:rsidRPr="00ED67EC">
        <w:rPr>
          <w:rFonts w:ascii="Times New Roman" w:hAnsi="Times New Roman" w:cs="Times New Roman"/>
          <w:bCs/>
          <w:i/>
          <w:iCs/>
          <w:color w:val="000000"/>
          <w:sz w:val="24"/>
          <w:szCs w:val="24"/>
        </w:rPr>
        <w:t>a priori</w:t>
      </w:r>
      <w:r w:rsidR="00EF0D1F" w:rsidRPr="00ED67EC">
        <w:rPr>
          <w:rFonts w:ascii="Times New Roman" w:hAnsi="Times New Roman" w:cs="Times New Roman"/>
          <w:bCs/>
          <w:color w:val="000000"/>
          <w:sz w:val="24"/>
          <w:szCs w:val="24"/>
        </w:rPr>
        <w:t>.</w:t>
      </w:r>
      <w:r w:rsidR="00D83783" w:rsidRPr="00ED67EC">
        <w:rPr>
          <w:rFonts w:ascii="Times New Roman" w:hAnsi="Times New Roman" w:cs="Times New Roman"/>
          <w:bCs/>
          <w:color w:val="000000"/>
          <w:sz w:val="24"/>
          <w:szCs w:val="24"/>
        </w:rPr>
        <w:t xml:space="preserve"> </w:t>
      </w:r>
    </w:p>
    <w:p w:rsidR="008738C9" w:rsidRPr="00ED67EC" w:rsidRDefault="00E53318"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 xml:space="preserve">A sostegno dell’ammissibilità dell’accesso generalizzato agli atti di gara milita </w:t>
      </w:r>
      <w:r w:rsidR="0015190B" w:rsidRPr="00ED67EC">
        <w:rPr>
          <w:rFonts w:ascii="Times New Roman" w:hAnsi="Times New Roman" w:cs="Times New Roman"/>
          <w:bCs/>
          <w:color w:val="000000"/>
          <w:sz w:val="24"/>
          <w:szCs w:val="24"/>
        </w:rPr>
        <w:t xml:space="preserve">altresì </w:t>
      </w:r>
      <w:r w:rsidRPr="00ED67EC">
        <w:rPr>
          <w:rFonts w:ascii="Times New Roman" w:hAnsi="Times New Roman" w:cs="Times New Roman"/>
          <w:bCs/>
          <w:color w:val="000000"/>
          <w:sz w:val="24"/>
          <w:szCs w:val="24"/>
        </w:rPr>
        <w:t xml:space="preserve">il </w:t>
      </w:r>
      <w:r w:rsidR="008738C9" w:rsidRPr="00ED67EC">
        <w:rPr>
          <w:rFonts w:ascii="Times New Roman" w:hAnsi="Times New Roman" w:cs="Times New Roman"/>
          <w:bCs/>
          <w:color w:val="000000"/>
          <w:sz w:val="24"/>
          <w:szCs w:val="24"/>
        </w:rPr>
        <w:t>dato sistematico.</w:t>
      </w:r>
    </w:p>
    <w:p w:rsidR="00BF08B9" w:rsidRPr="00ED67EC" w:rsidRDefault="006308A2"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 xml:space="preserve">L’assenza di una previsione </w:t>
      </w:r>
      <w:r w:rsidR="0015190B" w:rsidRPr="00ED67EC">
        <w:rPr>
          <w:rFonts w:ascii="Times New Roman" w:hAnsi="Times New Roman" w:cs="Times New Roman"/>
          <w:bCs/>
          <w:color w:val="000000"/>
          <w:sz w:val="24"/>
          <w:szCs w:val="24"/>
        </w:rPr>
        <w:t>legislativa per l’accesso universale</w:t>
      </w:r>
      <w:r w:rsidRPr="00ED67EC">
        <w:rPr>
          <w:rFonts w:ascii="Times New Roman" w:hAnsi="Times New Roman" w:cs="Times New Roman"/>
          <w:bCs/>
          <w:color w:val="000000"/>
          <w:sz w:val="24"/>
          <w:szCs w:val="24"/>
        </w:rPr>
        <w:t xml:space="preserve"> agli atti </w:t>
      </w:r>
      <w:r w:rsidR="00EF0D1F" w:rsidRPr="00ED67EC">
        <w:rPr>
          <w:rFonts w:ascii="Times New Roman" w:hAnsi="Times New Roman" w:cs="Times New Roman"/>
          <w:bCs/>
          <w:color w:val="000000"/>
          <w:sz w:val="24"/>
          <w:szCs w:val="24"/>
        </w:rPr>
        <w:t xml:space="preserve">della </w:t>
      </w:r>
      <w:r w:rsidR="005E5041" w:rsidRPr="00ED67EC">
        <w:rPr>
          <w:rFonts w:ascii="Times New Roman" w:hAnsi="Times New Roman" w:cs="Times New Roman"/>
          <w:bCs/>
          <w:color w:val="000000"/>
          <w:sz w:val="24"/>
          <w:szCs w:val="24"/>
        </w:rPr>
        <w:t>gara non si deve intendere come esclusione dell’istituto</w:t>
      </w:r>
      <w:r w:rsidRPr="00ED67EC">
        <w:rPr>
          <w:rFonts w:ascii="Times New Roman" w:hAnsi="Times New Roman" w:cs="Times New Roman"/>
          <w:bCs/>
          <w:color w:val="000000"/>
          <w:sz w:val="24"/>
          <w:szCs w:val="24"/>
        </w:rPr>
        <w:t xml:space="preserve"> </w:t>
      </w:r>
      <w:r w:rsidR="00197440" w:rsidRPr="00ED67EC">
        <w:rPr>
          <w:rFonts w:ascii="Times New Roman" w:hAnsi="Times New Roman" w:cs="Times New Roman"/>
          <w:bCs/>
          <w:color w:val="000000"/>
          <w:sz w:val="24"/>
          <w:szCs w:val="24"/>
        </w:rPr>
        <w:t xml:space="preserve">poiché, </w:t>
      </w:r>
      <w:r w:rsidR="00765E1A" w:rsidRPr="00ED67EC">
        <w:rPr>
          <w:rFonts w:ascii="Times New Roman" w:hAnsi="Times New Roman" w:cs="Times New Roman"/>
          <w:bCs/>
          <w:color w:val="000000"/>
          <w:sz w:val="24"/>
          <w:szCs w:val="24"/>
        </w:rPr>
        <w:t>a differenza</w:t>
      </w:r>
      <w:r w:rsidRPr="00ED67EC">
        <w:rPr>
          <w:rFonts w:ascii="Times New Roman" w:hAnsi="Times New Roman" w:cs="Times New Roman"/>
          <w:bCs/>
          <w:color w:val="000000"/>
          <w:sz w:val="24"/>
          <w:szCs w:val="24"/>
        </w:rPr>
        <w:t xml:space="preserve"> dalle altre due forme d</w:t>
      </w:r>
      <w:r w:rsidR="005E5041" w:rsidRPr="00ED67EC">
        <w:rPr>
          <w:rFonts w:ascii="Times New Roman" w:hAnsi="Times New Roman" w:cs="Times New Roman"/>
          <w:bCs/>
          <w:color w:val="000000"/>
          <w:sz w:val="24"/>
          <w:szCs w:val="24"/>
        </w:rPr>
        <w:t>i accesso,</w:t>
      </w:r>
      <w:r w:rsidR="0015190B" w:rsidRPr="00ED67EC">
        <w:rPr>
          <w:rFonts w:ascii="Times New Roman" w:hAnsi="Times New Roman" w:cs="Times New Roman"/>
          <w:bCs/>
          <w:color w:val="000000"/>
          <w:sz w:val="24"/>
          <w:szCs w:val="24"/>
        </w:rPr>
        <w:t xml:space="preserve"> il F.O.I.A.</w:t>
      </w:r>
      <w:r w:rsidRPr="00ED67EC">
        <w:rPr>
          <w:rFonts w:ascii="Times New Roman" w:hAnsi="Times New Roman" w:cs="Times New Roman"/>
          <w:bCs/>
          <w:color w:val="000000"/>
          <w:sz w:val="24"/>
          <w:szCs w:val="24"/>
        </w:rPr>
        <w:t xml:space="preserve"> solleva </w:t>
      </w:r>
      <w:r w:rsidR="005E5041" w:rsidRPr="00ED67EC">
        <w:rPr>
          <w:rFonts w:ascii="Times New Roman" w:hAnsi="Times New Roman" w:cs="Times New Roman"/>
          <w:bCs/>
          <w:color w:val="000000"/>
          <w:sz w:val="24"/>
          <w:szCs w:val="24"/>
        </w:rPr>
        <w:t xml:space="preserve">questioni che </w:t>
      </w:r>
      <w:r w:rsidRPr="00ED67EC">
        <w:rPr>
          <w:rFonts w:ascii="Times New Roman" w:hAnsi="Times New Roman" w:cs="Times New Roman"/>
          <w:bCs/>
          <w:color w:val="000000"/>
          <w:sz w:val="24"/>
          <w:szCs w:val="24"/>
        </w:rPr>
        <w:t>sono risolvib</w:t>
      </w:r>
      <w:r w:rsidR="005E5041" w:rsidRPr="00ED67EC">
        <w:rPr>
          <w:rFonts w:ascii="Times New Roman" w:hAnsi="Times New Roman" w:cs="Times New Roman"/>
          <w:bCs/>
          <w:color w:val="000000"/>
          <w:sz w:val="24"/>
          <w:szCs w:val="24"/>
        </w:rPr>
        <w:t>ili sulla base</w:t>
      </w:r>
      <w:r w:rsidR="0015190B" w:rsidRPr="00ED67EC">
        <w:rPr>
          <w:rFonts w:ascii="Times New Roman" w:hAnsi="Times New Roman" w:cs="Times New Roman"/>
          <w:bCs/>
          <w:color w:val="000000"/>
          <w:sz w:val="24"/>
          <w:szCs w:val="24"/>
        </w:rPr>
        <w:t xml:space="preserve"> </w:t>
      </w:r>
      <w:r w:rsidR="005E5041" w:rsidRPr="00ED67EC">
        <w:rPr>
          <w:rFonts w:ascii="Times New Roman" w:hAnsi="Times New Roman" w:cs="Times New Roman"/>
          <w:bCs/>
          <w:color w:val="000000"/>
          <w:sz w:val="24"/>
          <w:szCs w:val="24"/>
        </w:rPr>
        <w:t>del</w:t>
      </w:r>
      <w:r w:rsidR="00BF08B9">
        <w:rPr>
          <w:rFonts w:ascii="Times New Roman" w:hAnsi="Times New Roman" w:cs="Times New Roman"/>
          <w:bCs/>
          <w:color w:val="000000"/>
          <w:sz w:val="24"/>
          <w:szCs w:val="24"/>
        </w:rPr>
        <w:t xml:space="preserve">la disciplina esistente: </w:t>
      </w:r>
      <w:r w:rsidR="005E5041" w:rsidRPr="00ED67EC">
        <w:rPr>
          <w:rFonts w:ascii="Times New Roman" w:hAnsi="Times New Roman" w:cs="Times New Roman"/>
          <w:bCs/>
          <w:color w:val="000000"/>
          <w:sz w:val="24"/>
          <w:szCs w:val="24"/>
        </w:rPr>
        <w:t xml:space="preserve">gli artt. 5 e 5-bis del </w:t>
      </w:r>
      <w:r w:rsidRPr="00ED67EC">
        <w:rPr>
          <w:rFonts w:ascii="Times New Roman" w:hAnsi="Times New Roman" w:cs="Times New Roman"/>
          <w:bCs/>
          <w:color w:val="000000"/>
          <w:sz w:val="24"/>
          <w:szCs w:val="24"/>
        </w:rPr>
        <w:t xml:space="preserve">d.lgs. </w:t>
      </w:r>
      <w:r w:rsidR="0015190B" w:rsidRPr="00ED67EC">
        <w:rPr>
          <w:rFonts w:ascii="Times New Roman" w:hAnsi="Times New Roman" w:cs="Times New Roman"/>
          <w:bCs/>
          <w:color w:val="000000"/>
          <w:sz w:val="24"/>
          <w:szCs w:val="24"/>
        </w:rPr>
        <w:t xml:space="preserve">n. </w:t>
      </w:r>
      <w:r w:rsidR="00BF08B9">
        <w:rPr>
          <w:rFonts w:ascii="Times New Roman" w:hAnsi="Times New Roman" w:cs="Times New Roman"/>
          <w:bCs/>
          <w:color w:val="000000"/>
          <w:sz w:val="24"/>
          <w:szCs w:val="24"/>
        </w:rPr>
        <w:t xml:space="preserve">33/2013 e </w:t>
      </w:r>
      <w:r w:rsidR="005E5041" w:rsidRPr="00ED67EC">
        <w:rPr>
          <w:rFonts w:ascii="Times New Roman" w:hAnsi="Times New Roman" w:cs="Times New Roman"/>
          <w:bCs/>
          <w:color w:val="000000"/>
          <w:sz w:val="24"/>
          <w:szCs w:val="24"/>
        </w:rPr>
        <w:t>l’art. 53 del</w:t>
      </w:r>
      <w:r w:rsidRPr="00ED67EC">
        <w:rPr>
          <w:rFonts w:ascii="Times New Roman" w:hAnsi="Times New Roman" w:cs="Times New Roman"/>
          <w:bCs/>
          <w:color w:val="000000"/>
          <w:sz w:val="24"/>
          <w:szCs w:val="24"/>
        </w:rPr>
        <w:t xml:space="preserve"> d.lgs. </w:t>
      </w:r>
      <w:r w:rsidR="0015190B" w:rsidRPr="00ED67EC">
        <w:rPr>
          <w:rFonts w:ascii="Times New Roman" w:hAnsi="Times New Roman" w:cs="Times New Roman"/>
          <w:bCs/>
          <w:color w:val="000000"/>
          <w:sz w:val="24"/>
          <w:szCs w:val="24"/>
        </w:rPr>
        <w:t xml:space="preserve">n. </w:t>
      </w:r>
      <w:r w:rsidRPr="00ED67EC">
        <w:rPr>
          <w:rFonts w:ascii="Times New Roman" w:hAnsi="Times New Roman" w:cs="Times New Roman"/>
          <w:bCs/>
          <w:color w:val="000000"/>
          <w:sz w:val="24"/>
          <w:szCs w:val="24"/>
        </w:rPr>
        <w:t>50/2016.</w:t>
      </w:r>
    </w:p>
    <w:p w:rsidR="00B2380D" w:rsidRPr="00ED67EC" w:rsidRDefault="000069F1"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Il legislatore regola i termini dell’accesso documentale agli atti di gara</w:t>
      </w:r>
      <w:r w:rsidR="00F665D5" w:rsidRPr="00ED67EC">
        <w:rPr>
          <w:rFonts w:ascii="Times New Roman" w:hAnsi="Times New Roman" w:cs="Times New Roman"/>
          <w:bCs/>
          <w:color w:val="000000"/>
          <w:sz w:val="24"/>
          <w:szCs w:val="24"/>
        </w:rPr>
        <w:t>, all’art. 53, 2°comma del codice dei contratti pubblici</w:t>
      </w:r>
      <w:r w:rsidRPr="00ED67EC">
        <w:rPr>
          <w:rFonts w:ascii="Times New Roman" w:hAnsi="Times New Roman" w:cs="Times New Roman"/>
          <w:bCs/>
          <w:color w:val="000000"/>
          <w:sz w:val="24"/>
          <w:szCs w:val="24"/>
        </w:rPr>
        <w:t>, perché mira a garantire i principi di parità di trattamento e di libera concorrenza, che sarebbero lesi se si applicasse la sola d</w:t>
      </w:r>
      <w:r w:rsidR="0015190B" w:rsidRPr="00ED67EC">
        <w:rPr>
          <w:rFonts w:ascii="Times New Roman" w:hAnsi="Times New Roman" w:cs="Times New Roman"/>
          <w:bCs/>
          <w:color w:val="000000"/>
          <w:sz w:val="24"/>
          <w:szCs w:val="24"/>
        </w:rPr>
        <w:t>isciplina generale di cui alla l. n.</w:t>
      </w:r>
      <w:r w:rsidRPr="00ED67EC">
        <w:rPr>
          <w:rFonts w:ascii="Times New Roman" w:hAnsi="Times New Roman" w:cs="Times New Roman"/>
          <w:bCs/>
          <w:color w:val="000000"/>
          <w:sz w:val="24"/>
          <w:szCs w:val="24"/>
        </w:rPr>
        <w:t xml:space="preserve"> 241/90. </w:t>
      </w:r>
      <w:r w:rsidR="00942184" w:rsidRPr="00ED67EC">
        <w:rPr>
          <w:rFonts w:ascii="Times New Roman" w:hAnsi="Times New Roman" w:cs="Times New Roman"/>
          <w:bCs/>
          <w:color w:val="000000"/>
          <w:sz w:val="24"/>
          <w:szCs w:val="24"/>
        </w:rPr>
        <w:t>Senza la previsione dei</w:t>
      </w:r>
      <w:r w:rsidR="0015190B" w:rsidRPr="00ED67EC">
        <w:rPr>
          <w:rFonts w:ascii="Times New Roman" w:hAnsi="Times New Roman" w:cs="Times New Roman"/>
          <w:bCs/>
          <w:color w:val="000000"/>
          <w:sz w:val="24"/>
          <w:szCs w:val="24"/>
        </w:rPr>
        <w:t xml:space="preserve"> termini</w:t>
      </w:r>
      <w:r w:rsidR="00B2380D" w:rsidRPr="00ED67EC">
        <w:rPr>
          <w:rFonts w:ascii="Times New Roman" w:hAnsi="Times New Roman" w:cs="Times New Roman"/>
          <w:bCs/>
          <w:color w:val="000000"/>
          <w:sz w:val="24"/>
          <w:szCs w:val="24"/>
        </w:rPr>
        <w:t>, infatti, l</w:t>
      </w:r>
      <w:r w:rsidRPr="00ED67EC">
        <w:rPr>
          <w:rFonts w:ascii="Times New Roman" w:hAnsi="Times New Roman" w:cs="Times New Roman"/>
          <w:bCs/>
          <w:color w:val="000000"/>
          <w:sz w:val="24"/>
          <w:szCs w:val="24"/>
        </w:rPr>
        <w:t>’operatore economico accederebbe in qualunque fase della gara a documenti detenuti dalla stazione appaltante</w:t>
      </w:r>
      <w:r w:rsidR="00B2380D" w:rsidRPr="00ED67EC">
        <w:rPr>
          <w:rFonts w:ascii="Times New Roman" w:hAnsi="Times New Roman" w:cs="Times New Roman"/>
          <w:bCs/>
          <w:color w:val="000000"/>
          <w:sz w:val="24"/>
          <w:szCs w:val="24"/>
        </w:rPr>
        <w:t xml:space="preserve"> conseguendo vantaggi cognitivi a discapito degli altri concorrenti.</w:t>
      </w:r>
    </w:p>
    <w:p w:rsidR="00F665D5" w:rsidRPr="00ED67EC" w:rsidRDefault="00F665D5"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Il legislatore, tramite l’art. 29 del d.lgs. n. 50/2016, generalizza l</w:t>
      </w:r>
      <w:r w:rsidR="00CE5428" w:rsidRPr="00ED67EC">
        <w:rPr>
          <w:rFonts w:ascii="Times New Roman" w:hAnsi="Times New Roman" w:cs="Times New Roman"/>
          <w:bCs/>
          <w:color w:val="000000"/>
          <w:sz w:val="24"/>
          <w:szCs w:val="24"/>
        </w:rPr>
        <w:t>a pubblicità</w:t>
      </w:r>
      <w:r w:rsidRPr="00ED67EC">
        <w:rPr>
          <w:rFonts w:ascii="Times New Roman" w:hAnsi="Times New Roman" w:cs="Times New Roman"/>
          <w:bCs/>
          <w:color w:val="000000"/>
          <w:sz w:val="24"/>
          <w:szCs w:val="24"/>
        </w:rPr>
        <w:t xml:space="preserve"> de</w:t>
      </w:r>
      <w:r w:rsidR="00CB2685" w:rsidRPr="00ED67EC">
        <w:rPr>
          <w:rFonts w:ascii="Times New Roman" w:hAnsi="Times New Roman" w:cs="Times New Roman"/>
          <w:bCs/>
          <w:color w:val="000000"/>
          <w:sz w:val="24"/>
          <w:szCs w:val="24"/>
        </w:rPr>
        <w:t>gli</w:t>
      </w:r>
      <w:r w:rsidRPr="00ED67EC">
        <w:rPr>
          <w:rFonts w:ascii="Times New Roman" w:hAnsi="Times New Roman" w:cs="Times New Roman"/>
          <w:bCs/>
          <w:color w:val="000000"/>
          <w:sz w:val="24"/>
          <w:szCs w:val="24"/>
        </w:rPr>
        <w:t xml:space="preserve"> atti della gara prevedendone anche il termine e il luogo</w:t>
      </w:r>
      <w:r w:rsidR="00CE5428" w:rsidRPr="00ED67EC">
        <w:rPr>
          <w:rFonts w:ascii="Times New Roman" w:hAnsi="Times New Roman" w:cs="Times New Roman"/>
          <w:bCs/>
          <w:color w:val="000000"/>
          <w:sz w:val="24"/>
          <w:szCs w:val="24"/>
        </w:rPr>
        <w:t xml:space="preserve"> di pubblicazione</w:t>
      </w:r>
      <w:r w:rsidRPr="00ED67EC">
        <w:rPr>
          <w:rFonts w:ascii="Times New Roman" w:hAnsi="Times New Roman" w:cs="Times New Roman"/>
          <w:bCs/>
          <w:color w:val="000000"/>
          <w:sz w:val="24"/>
          <w:szCs w:val="24"/>
        </w:rPr>
        <w:t>,</w:t>
      </w:r>
      <w:r w:rsidR="00CB2685" w:rsidRPr="00ED67EC">
        <w:rPr>
          <w:rFonts w:ascii="Times New Roman" w:hAnsi="Times New Roman" w:cs="Times New Roman"/>
          <w:bCs/>
          <w:color w:val="000000"/>
          <w:sz w:val="24"/>
          <w:szCs w:val="24"/>
        </w:rPr>
        <w:t xml:space="preserve"> per realizzare la trasparenza </w:t>
      </w:r>
      <w:r w:rsidRPr="00ED67EC">
        <w:rPr>
          <w:rFonts w:ascii="Times New Roman" w:hAnsi="Times New Roman" w:cs="Times New Roman"/>
          <w:bCs/>
          <w:color w:val="000000"/>
          <w:sz w:val="24"/>
          <w:szCs w:val="24"/>
        </w:rPr>
        <w:t>dell’affidamento degli appalti pubblici</w:t>
      </w:r>
      <w:r w:rsidR="00CB2685" w:rsidRPr="00ED67EC">
        <w:rPr>
          <w:rFonts w:ascii="Times New Roman" w:hAnsi="Times New Roman" w:cs="Times New Roman"/>
          <w:bCs/>
          <w:color w:val="000000"/>
          <w:sz w:val="24"/>
          <w:szCs w:val="24"/>
        </w:rPr>
        <w:t xml:space="preserve"> che non sarebbe garantita dal</w:t>
      </w:r>
      <w:r w:rsidRPr="00ED67EC">
        <w:rPr>
          <w:rFonts w:ascii="Times New Roman" w:hAnsi="Times New Roman" w:cs="Times New Roman"/>
          <w:bCs/>
          <w:color w:val="000000"/>
          <w:sz w:val="24"/>
          <w:szCs w:val="24"/>
        </w:rPr>
        <w:t xml:space="preserve"> solo</w:t>
      </w:r>
      <w:r w:rsidR="00CB2685" w:rsidRPr="00ED67EC">
        <w:rPr>
          <w:rFonts w:ascii="Times New Roman" w:hAnsi="Times New Roman" w:cs="Times New Roman"/>
          <w:bCs/>
          <w:color w:val="000000"/>
          <w:sz w:val="24"/>
          <w:szCs w:val="24"/>
        </w:rPr>
        <w:t xml:space="preserve"> d.lgs.</w:t>
      </w:r>
      <w:r w:rsidR="0015190B" w:rsidRPr="00ED67EC">
        <w:rPr>
          <w:rFonts w:ascii="Times New Roman" w:hAnsi="Times New Roman" w:cs="Times New Roman"/>
          <w:bCs/>
          <w:color w:val="000000"/>
          <w:sz w:val="24"/>
          <w:szCs w:val="24"/>
        </w:rPr>
        <w:t xml:space="preserve"> n.</w:t>
      </w:r>
      <w:r w:rsidR="00CB2685" w:rsidRPr="00ED67EC">
        <w:rPr>
          <w:rFonts w:ascii="Times New Roman" w:hAnsi="Times New Roman" w:cs="Times New Roman"/>
          <w:bCs/>
          <w:color w:val="000000"/>
          <w:sz w:val="24"/>
          <w:szCs w:val="24"/>
        </w:rPr>
        <w:t xml:space="preserve"> 33/2013. </w:t>
      </w:r>
    </w:p>
    <w:p w:rsidR="005E5041" w:rsidRPr="00ED67EC" w:rsidRDefault="00CB2685" w:rsidP="00457EEE">
      <w:pPr>
        <w:spacing w:after="0" w:line="360" w:lineRule="auto"/>
        <w:jc w:val="both"/>
        <w:rPr>
          <w:rFonts w:ascii="Times New Roman" w:hAnsi="Times New Roman" w:cs="Times New Roman"/>
          <w:bCs/>
          <w:color w:val="000000"/>
          <w:sz w:val="24"/>
          <w:szCs w:val="24"/>
        </w:rPr>
      </w:pPr>
      <w:r w:rsidRPr="00ED67EC">
        <w:rPr>
          <w:rFonts w:ascii="Times New Roman" w:hAnsi="Times New Roman" w:cs="Times New Roman"/>
          <w:bCs/>
          <w:color w:val="000000"/>
          <w:sz w:val="24"/>
          <w:szCs w:val="24"/>
        </w:rPr>
        <w:t xml:space="preserve">Quest’ultimo, difatti, </w:t>
      </w:r>
      <w:r w:rsidR="00F665D5" w:rsidRPr="00ED67EC">
        <w:rPr>
          <w:rFonts w:ascii="Times New Roman" w:hAnsi="Times New Roman" w:cs="Times New Roman"/>
          <w:bCs/>
          <w:color w:val="000000"/>
          <w:sz w:val="24"/>
          <w:szCs w:val="24"/>
        </w:rPr>
        <w:t>perimetra</w:t>
      </w:r>
      <w:r w:rsidR="00305DD2" w:rsidRPr="00ED67EC">
        <w:rPr>
          <w:rFonts w:ascii="Times New Roman" w:hAnsi="Times New Roman" w:cs="Times New Roman"/>
          <w:bCs/>
          <w:color w:val="000000"/>
          <w:sz w:val="24"/>
          <w:szCs w:val="24"/>
        </w:rPr>
        <w:t xml:space="preserve"> l’obbligo di pubblicazione solo a taluni a</w:t>
      </w:r>
      <w:r w:rsidR="00F665D5" w:rsidRPr="00ED67EC">
        <w:rPr>
          <w:rFonts w:ascii="Times New Roman" w:hAnsi="Times New Roman" w:cs="Times New Roman"/>
          <w:bCs/>
          <w:color w:val="000000"/>
          <w:sz w:val="24"/>
          <w:szCs w:val="24"/>
        </w:rPr>
        <w:t>tti ed entro un termine generico</w:t>
      </w:r>
      <w:r w:rsidR="00305DD2" w:rsidRPr="00ED67EC">
        <w:rPr>
          <w:rFonts w:ascii="Times New Roman" w:hAnsi="Times New Roman" w:cs="Times New Roman"/>
          <w:bCs/>
          <w:color w:val="000000"/>
          <w:sz w:val="24"/>
          <w:szCs w:val="24"/>
        </w:rPr>
        <w:t>, ai sensi degli artt. 35 e 8.</w:t>
      </w:r>
    </w:p>
    <w:p w:rsidR="00A85DFA" w:rsidRPr="00ED67EC" w:rsidRDefault="00442CA4"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Nel senso dell’ammissibilità </w:t>
      </w:r>
      <w:r w:rsidR="00A85DFA" w:rsidRPr="00ED67EC">
        <w:rPr>
          <w:rFonts w:ascii="Times New Roman" w:hAnsi="Times New Roman" w:cs="Times New Roman"/>
          <w:color w:val="000000"/>
          <w:sz w:val="24"/>
          <w:szCs w:val="24"/>
        </w:rPr>
        <w:t>dell’accesso civico generalizzato</w:t>
      </w:r>
      <w:r w:rsidRPr="00ED67EC">
        <w:rPr>
          <w:rFonts w:ascii="Times New Roman" w:hAnsi="Times New Roman" w:cs="Times New Roman"/>
          <w:color w:val="000000"/>
          <w:sz w:val="24"/>
          <w:szCs w:val="24"/>
        </w:rPr>
        <w:t xml:space="preserve"> agli atti della gara converge anche il dato strutturale</w:t>
      </w:r>
      <w:r w:rsidR="00A85DFA" w:rsidRPr="00ED67EC">
        <w:rPr>
          <w:rFonts w:ascii="Times New Roman" w:hAnsi="Times New Roman" w:cs="Times New Roman"/>
          <w:color w:val="000000"/>
          <w:sz w:val="24"/>
          <w:szCs w:val="24"/>
        </w:rPr>
        <w:t xml:space="preserve">. </w:t>
      </w:r>
    </w:p>
    <w:p w:rsidR="00A85DFA" w:rsidRPr="00ED67EC" w:rsidRDefault="00A85DFA"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L’accesso civico generalizzato si distingue dall’accesso dell’art. 53 </w:t>
      </w:r>
      <w:r w:rsidR="00442CA4" w:rsidRPr="00ED67EC">
        <w:rPr>
          <w:rFonts w:ascii="Times New Roman" w:hAnsi="Times New Roman" w:cs="Times New Roman"/>
          <w:color w:val="000000"/>
          <w:sz w:val="24"/>
          <w:szCs w:val="24"/>
        </w:rPr>
        <w:t>del codice dei contratti pubblici quanto</w:t>
      </w:r>
      <w:r w:rsidRPr="00ED67EC">
        <w:rPr>
          <w:rFonts w:ascii="Times New Roman" w:hAnsi="Times New Roman" w:cs="Times New Roman"/>
          <w:color w:val="000000"/>
          <w:sz w:val="24"/>
          <w:szCs w:val="24"/>
        </w:rPr>
        <w:t xml:space="preserve"> alla legittimazio</w:t>
      </w:r>
      <w:r w:rsidR="00442CA4" w:rsidRPr="00ED67EC">
        <w:rPr>
          <w:rFonts w:ascii="Times New Roman" w:hAnsi="Times New Roman" w:cs="Times New Roman"/>
          <w:color w:val="000000"/>
          <w:sz w:val="24"/>
          <w:szCs w:val="24"/>
        </w:rPr>
        <w:t>ne, all’oggetto e alla finalità,</w:t>
      </w:r>
      <w:r w:rsidRPr="00ED67EC">
        <w:rPr>
          <w:rFonts w:ascii="Times New Roman" w:hAnsi="Times New Roman" w:cs="Times New Roman"/>
          <w:color w:val="000000"/>
          <w:sz w:val="24"/>
          <w:szCs w:val="24"/>
        </w:rPr>
        <w:t xml:space="preserve"> con la conseguenza ch</w:t>
      </w:r>
      <w:r w:rsidR="00442CA4" w:rsidRPr="00ED67EC">
        <w:rPr>
          <w:rFonts w:ascii="Times New Roman" w:hAnsi="Times New Roman" w:cs="Times New Roman"/>
          <w:color w:val="000000"/>
          <w:sz w:val="24"/>
          <w:szCs w:val="24"/>
        </w:rPr>
        <w:t>e le due fattispecie possono</w:t>
      </w:r>
      <w:r w:rsidRPr="00ED67EC">
        <w:rPr>
          <w:rFonts w:ascii="Times New Roman" w:hAnsi="Times New Roman" w:cs="Times New Roman"/>
          <w:color w:val="000000"/>
          <w:sz w:val="24"/>
          <w:szCs w:val="24"/>
        </w:rPr>
        <w:t xml:space="preserve"> convivere all’interno del sistema dei contratti pubblici. </w:t>
      </w:r>
    </w:p>
    <w:p w:rsidR="00442CA4" w:rsidRPr="00ED67EC" w:rsidRDefault="00A85DFA"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Con</w:t>
      </w:r>
      <w:r w:rsidRPr="00ED67EC">
        <w:rPr>
          <w:rFonts w:ascii="Times New Roman" w:hAnsi="Times New Roman" w:cs="Times New Roman"/>
          <w:b/>
          <w:i/>
          <w:color w:val="000000"/>
          <w:sz w:val="24"/>
          <w:szCs w:val="24"/>
        </w:rPr>
        <w:t xml:space="preserve"> </w:t>
      </w:r>
      <w:r w:rsidRPr="00ED67EC">
        <w:rPr>
          <w:rFonts w:ascii="Times New Roman" w:hAnsi="Times New Roman" w:cs="Times New Roman"/>
          <w:color w:val="000000"/>
          <w:sz w:val="24"/>
          <w:szCs w:val="24"/>
        </w:rPr>
        <w:t xml:space="preserve">riguardo alla legittimazione, </w:t>
      </w:r>
      <w:r w:rsidR="004B3BE4" w:rsidRPr="00ED67EC">
        <w:rPr>
          <w:rFonts w:ascii="Times New Roman" w:hAnsi="Times New Roman" w:cs="Times New Roman"/>
          <w:color w:val="000000"/>
          <w:sz w:val="24"/>
          <w:szCs w:val="24"/>
        </w:rPr>
        <w:t>l’accesso civico generalizzato</w:t>
      </w:r>
      <w:r w:rsidRPr="00ED67EC">
        <w:rPr>
          <w:rFonts w:ascii="Times New Roman" w:hAnsi="Times New Roman" w:cs="Times New Roman"/>
          <w:color w:val="000000"/>
          <w:sz w:val="24"/>
          <w:szCs w:val="24"/>
        </w:rPr>
        <w:t xml:space="preserve"> agli atti di gara è consentito a chiunque</w:t>
      </w:r>
      <w:r w:rsidR="00442CA4" w:rsidRPr="00ED67EC">
        <w:rPr>
          <w:rFonts w:ascii="Times New Roman" w:hAnsi="Times New Roman" w:cs="Times New Roman"/>
          <w:color w:val="000000"/>
          <w:sz w:val="24"/>
          <w:szCs w:val="24"/>
        </w:rPr>
        <w:t xml:space="preserve"> come previsto </w:t>
      </w:r>
      <w:r w:rsidR="004B3BE4" w:rsidRPr="00ED67EC">
        <w:rPr>
          <w:rFonts w:ascii="Times New Roman" w:hAnsi="Times New Roman" w:cs="Times New Roman"/>
          <w:color w:val="000000"/>
          <w:sz w:val="24"/>
          <w:szCs w:val="24"/>
        </w:rPr>
        <w:t>d</w:t>
      </w:r>
      <w:r w:rsidR="00442CA4" w:rsidRPr="00ED67EC">
        <w:rPr>
          <w:rFonts w:ascii="Times New Roman" w:hAnsi="Times New Roman" w:cs="Times New Roman"/>
          <w:color w:val="000000"/>
          <w:sz w:val="24"/>
          <w:szCs w:val="24"/>
        </w:rPr>
        <w:t>a</w:t>
      </w:r>
      <w:r w:rsidR="004B3BE4" w:rsidRPr="00ED67EC">
        <w:rPr>
          <w:rFonts w:ascii="Times New Roman" w:hAnsi="Times New Roman" w:cs="Times New Roman"/>
          <w:color w:val="000000"/>
          <w:sz w:val="24"/>
          <w:szCs w:val="24"/>
        </w:rPr>
        <w:t>l</w:t>
      </w:r>
      <w:r w:rsidRPr="00ED67EC">
        <w:rPr>
          <w:rFonts w:ascii="Times New Roman" w:hAnsi="Times New Roman" w:cs="Times New Roman"/>
          <w:color w:val="000000"/>
          <w:sz w:val="24"/>
          <w:szCs w:val="24"/>
        </w:rPr>
        <w:t xml:space="preserve">l’art. 5, 3°comma del </w:t>
      </w:r>
      <w:r w:rsidR="008E763D" w:rsidRPr="00ED67EC">
        <w:rPr>
          <w:rFonts w:ascii="Times New Roman" w:hAnsi="Times New Roman" w:cs="Times New Roman"/>
          <w:bCs/>
          <w:sz w:val="24"/>
          <w:szCs w:val="24"/>
        </w:rPr>
        <w:t>d.lgs.</w:t>
      </w:r>
      <w:r w:rsidR="00442CA4" w:rsidRPr="00ED67EC">
        <w:rPr>
          <w:rFonts w:ascii="Times New Roman" w:hAnsi="Times New Roman" w:cs="Times New Roman"/>
          <w:bCs/>
          <w:sz w:val="24"/>
          <w:szCs w:val="24"/>
        </w:rPr>
        <w:t xml:space="preserve"> n. 33/2013,</w:t>
      </w:r>
      <w:r w:rsidR="008E763D" w:rsidRPr="00ED67EC">
        <w:rPr>
          <w:rFonts w:ascii="Times New Roman" w:hAnsi="Times New Roman" w:cs="Times New Roman"/>
          <w:bCs/>
          <w:sz w:val="24"/>
          <w:szCs w:val="24"/>
        </w:rPr>
        <w:t xml:space="preserve"> </w:t>
      </w:r>
      <w:r w:rsidR="004B3BE4" w:rsidRPr="00ED67EC">
        <w:rPr>
          <w:rFonts w:ascii="Times New Roman" w:hAnsi="Times New Roman" w:cs="Times New Roman"/>
          <w:color w:val="000000"/>
          <w:sz w:val="24"/>
          <w:szCs w:val="24"/>
        </w:rPr>
        <w:t xml:space="preserve">che </w:t>
      </w:r>
      <w:r w:rsidRPr="00ED67EC">
        <w:rPr>
          <w:rFonts w:ascii="Times New Roman" w:hAnsi="Times New Roman" w:cs="Times New Roman"/>
          <w:color w:val="000000"/>
          <w:sz w:val="24"/>
          <w:szCs w:val="24"/>
        </w:rPr>
        <w:t xml:space="preserve">lo sottrae da ogni restrizione quanto ai presupposti soggettivi. </w:t>
      </w:r>
    </w:p>
    <w:p w:rsidR="00442CA4" w:rsidRPr="00ED67EC" w:rsidRDefault="00442CA4"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Diversamente, l’accesso dell’art. 53 d.lgs. n. 50/2016 </w:t>
      </w:r>
      <w:r w:rsidR="00A85DFA" w:rsidRPr="00ED67EC">
        <w:rPr>
          <w:rFonts w:ascii="Times New Roman" w:hAnsi="Times New Roman" w:cs="Times New Roman"/>
          <w:color w:val="000000"/>
          <w:sz w:val="24"/>
          <w:szCs w:val="24"/>
        </w:rPr>
        <w:t>è consentito soltanto alle impre</w:t>
      </w:r>
      <w:r w:rsidRPr="00ED67EC">
        <w:rPr>
          <w:rFonts w:ascii="Times New Roman" w:hAnsi="Times New Roman" w:cs="Times New Roman"/>
          <w:color w:val="000000"/>
          <w:sz w:val="24"/>
          <w:szCs w:val="24"/>
        </w:rPr>
        <w:t>se che partecipano alla gara che devono provare</w:t>
      </w:r>
      <w:r w:rsidR="00A85DFA" w:rsidRPr="00ED67EC">
        <w:rPr>
          <w:rFonts w:ascii="Times New Roman" w:hAnsi="Times New Roman" w:cs="Times New Roman"/>
          <w:color w:val="000000"/>
          <w:sz w:val="24"/>
          <w:szCs w:val="24"/>
        </w:rPr>
        <w:t xml:space="preserve"> che i documenti richiesti coinvolgono la</w:t>
      </w:r>
      <w:r w:rsidRPr="00ED67EC">
        <w:rPr>
          <w:rFonts w:ascii="Times New Roman" w:hAnsi="Times New Roman" w:cs="Times New Roman"/>
          <w:color w:val="000000"/>
          <w:sz w:val="24"/>
          <w:szCs w:val="24"/>
        </w:rPr>
        <w:t xml:space="preserve"> loro</w:t>
      </w:r>
      <w:r w:rsidR="00A85DFA" w:rsidRPr="00ED67EC">
        <w:rPr>
          <w:rFonts w:ascii="Times New Roman" w:hAnsi="Times New Roman" w:cs="Times New Roman"/>
          <w:color w:val="000000"/>
          <w:sz w:val="24"/>
          <w:szCs w:val="24"/>
        </w:rPr>
        <w:t xml:space="preserve"> posizio</w:t>
      </w:r>
      <w:r w:rsidRPr="00ED67EC">
        <w:rPr>
          <w:rFonts w:ascii="Times New Roman" w:hAnsi="Times New Roman" w:cs="Times New Roman"/>
          <w:color w:val="000000"/>
          <w:sz w:val="24"/>
          <w:szCs w:val="24"/>
        </w:rPr>
        <w:t>ne nel procedimento</w:t>
      </w:r>
      <w:r w:rsidR="00EB5BA6" w:rsidRPr="00ED67EC">
        <w:rPr>
          <w:rStyle w:val="Rimandonotaapidipagina"/>
          <w:rFonts w:ascii="Times New Roman" w:hAnsi="Times New Roman" w:cs="Times New Roman"/>
          <w:color w:val="000000"/>
          <w:sz w:val="24"/>
          <w:szCs w:val="24"/>
        </w:rPr>
        <w:footnoteReference w:id="9"/>
      </w:r>
      <w:r w:rsidR="00A85DFA" w:rsidRPr="00ED67EC">
        <w:rPr>
          <w:rFonts w:ascii="Times New Roman" w:hAnsi="Times New Roman" w:cs="Times New Roman"/>
          <w:color w:val="000000"/>
          <w:sz w:val="24"/>
          <w:szCs w:val="24"/>
        </w:rPr>
        <w:t xml:space="preserve">. </w:t>
      </w:r>
    </w:p>
    <w:p w:rsidR="00442CA4" w:rsidRPr="00ED67EC" w:rsidRDefault="00442CA4"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Quanto a</w:t>
      </w:r>
      <w:r w:rsidR="00A85DFA" w:rsidRPr="00ED67EC">
        <w:rPr>
          <w:rFonts w:ascii="Times New Roman" w:hAnsi="Times New Roman" w:cs="Times New Roman"/>
          <w:color w:val="000000"/>
          <w:sz w:val="24"/>
          <w:szCs w:val="24"/>
        </w:rPr>
        <w:t xml:space="preserve">ll’oggetto, </w:t>
      </w:r>
      <w:r w:rsidR="004B3BE4" w:rsidRPr="00ED67EC">
        <w:rPr>
          <w:rFonts w:ascii="Times New Roman" w:hAnsi="Times New Roman" w:cs="Times New Roman"/>
          <w:color w:val="000000"/>
          <w:sz w:val="24"/>
          <w:szCs w:val="24"/>
        </w:rPr>
        <w:t>l’accesso civico generalizzato</w:t>
      </w:r>
      <w:r w:rsidRPr="00ED67EC">
        <w:rPr>
          <w:rFonts w:ascii="Times New Roman" w:hAnsi="Times New Roman" w:cs="Times New Roman"/>
          <w:color w:val="000000"/>
          <w:sz w:val="24"/>
          <w:szCs w:val="24"/>
        </w:rPr>
        <w:t xml:space="preserve"> può riguardare informazioni esistenti ma non ancora incorporate in documenti, rispetto alle quali può rendersi necessaria l’attività dell’amministrazione al fine di renderle accessibili al pubblico. </w:t>
      </w:r>
    </w:p>
    <w:p w:rsidR="00A85DFA" w:rsidRPr="00ED67EC" w:rsidRDefault="00442CA4"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L’accesso documentale, invece, è ammesso soltanto con riferimento a documenti esistenti, detenuti dalla pubblica amministrazione</w:t>
      </w:r>
      <w:r w:rsidR="008065BB" w:rsidRPr="00ED67EC">
        <w:rPr>
          <w:rFonts w:ascii="Times New Roman" w:hAnsi="Times New Roman" w:cs="Times New Roman"/>
          <w:color w:val="000000"/>
          <w:sz w:val="24"/>
          <w:szCs w:val="24"/>
        </w:rPr>
        <w:t>, come si desume dall’art. 22, 1°comma, lett. d), l. n. 241/1990.</w:t>
      </w:r>
    </w:p>
    <w:p w:rsidR="008065BB" w:rsidRPr="00ED67EC" w:rsidRDefault="008065BB"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In merito alla finalità, chi presenta un’istanza di accesso</w:t>
      </w:r>
      <w:r w:rsidR="00A85DFA" w:rsidRPr="00ED67EC">
        <w:rPr>
          <w:rFonts w:ascii="Times New Roman" w:hAnsi="Times New Roman" w:cs="Times New Roman"/>
          <w:color w:val="000000"/>
          <w:sz w:val="24"/>
          <w:szCs w:val="24"/>
        </w:rPr>
        <w:t xml:space="preserve"> generalizzato agli atti della gara </w:t>
      </w:r>
      <w:r w:rsidRPr="00ED67EC">
        <w:rPr>
          <w:rFonts w:ascii="Times New Roman" w:hAnsi="Times New Roman" w:cs="Times New Roman"/>
          <w:color w:val="000000"/>
          <w:sz w:val="24"/>
          <w:szCs w:val="24"/>
        </w:rPr>
        <w:t xml:space="preserve">lo fa per controllare la gestione dei fondi pubblici impegnati </w:t>
      </w:r>
      <w:r w:rsidR="001634CB" w:rsidRPr="00ED67EC">
        <w:rPr>
          <w:rFonts w:ascii="Times New Roman" w:hAnsi="Times New Roman" w:cs="Times New Roman"/>
          <w:color w:val="000000"/>
          <w:sz w:val="24"/>
          <w:szCs w:val="24"/>
        </w:rPr>
        <w:t xml:space="preserve">dall’amministrazione </w:t>
      </w:r>
      <w:r w:rsidRPr="00ED67EC">
        <w:rPr>
          <w:rFonts w:ascii="Times New Roman" w:hAnsi="Times New Roman" w:cs="Times New Roman"/>
          <w:color w:val="000000"/>
          <w:sz w:val="24"/>
          <w:szCs w:val="24"/>
        </w:rPr>
        <w:t>e per verificare la correttezza delle operazioni della procedura</w:t>
      </w:r>
      <w:r w:rsidR="004B3BE4" w:rsidRPr="00ED67EC">
        <w:rPr>
          <w:rStyle w:val="Rimandonotaapidipagina"/>
          <w:rFonts w:ascii="Times New Roman" w:hAnsi="Times New Roman" w:cs="Times New Roman"/>
          <w:color w:val="000000"/>
          <w:sz w:val="24"/>
          <w:szCs w:val="24"/>
        </w:rPr>
        <w:footnoteReference w:id="10"/>
      </w:r>
      <w:r w:rsidR="00A85DFA" w:rsidRPr="00ED67EC">
        <w:rPr>
          <w:rFonts w:ascii="Times New Roman" w:hAnsi="Times New Roman" w:cs="Times New Roman"/>
          <w:color w:val="000000"/>
          <w:sz w:val="24"/>
          <w:szCs w:val="24"/>
        </w:rPr>
        <w:t>.</w:t>
      </w:r>
      <w:r w:rsidRPr="00ED67EC">
        <w:rPr>
          <w:rFonts w:ascii="Times New Roman" w:hAnsi="Times New Roman" w:cs="Times New Roman"/>
          <w:color w:val="000000"/>
          <w:sz w:val="24"/>
          <w:szCs w:val="24"/>
        </w:rPr>
        <w:t xml:space="preserve"> Invece, l’impresa che si avvale dell’accesso documentale agisce per tutelare la propria posizione nell’ambito del procedimento. </w:t>
      </w:r>
    </w:p>
    <w:p w:rsidR="00A85DFA" w:rsidRPr="00ED67EC" w:rsidRDefault="008065BB"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Ne risulta che l’accesso generalizzato si pone a garanzia dell’interesse collettivo mentre l’accesso documentale mira alla tutela dell’interesse privato dell’operatore economico. </w:t>
      </w:r>
      <w:r w:rsidR="00A85DFA" w:rsidRPr="00ED67EC">
        <w:rPr>
          <w:rFonts w:ascii="Times New Roman" w:hAnsi="Times New Roman" w:cs="Times New Roman"/>
          <w:color w:val="000000"/>
          <w:sz w:val="24"/>
          <w:szCs w:val="24"/>
        </w:rPr>
        <w:t xml:space="preserve"> </w:t>
      </w:r>
    </w:p>
    <w:p w:rsidR="00A85DFA" w:rsidRPr="00ED67EC" w:rsidRDefault="008065BB"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Infine, l’accesso universale e l’accesso documentale differiscono anche in ordine all’intensità della richiesta ostensiva.</w:t>
      </w:r>
    </w:p>
    <w:p w:rsidR="00A85DFA" w:rsidRPr="00ED67EC" w:rsidRDefault="008065BB"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L</w:t>
      </w:r>
      <w:r w:rsidR="00A85DFA" w:rsidRPr="00ED67EC">
        <w:rPr>
          <w:rFonts w:ascii="Times New Roman" w:hAnsi="Times New Roman" w:cs="Times New Roman"/>
          <w:sz w:val="24"/>
          <w:szCs w:val="24"/>
        </w:rPr>
        <w:t>a pretesa dell’accesso civico generalizzato è più estes</w:t>
      </w:r>
      <w:r w:rsidRPr="00ED67EC">
        <w:rPr>
          <w:rFonts w:ascii="Times New Roman" w:hAnsi="Times New Roman" w:cs="Times New Roman"/>
          <w:sz w:val="24"/>
          <w:szCs w:val="24"/>
        </w:rPr>
        <w:t xml:space="preserve">a ma meno intensa mentre </w:t>
      </w:r>
      <w:r w:rsidR="00A85DFA" w:rsidRPr="00ED67EC">
        <w:rPr>
          <w:rFonts w:ascii="Times New Roman" w:hAnsi="Times New Roman" w:cs="Times New Roman"/>
          <w:sz w:val="24"/>
          <w:szCs w:val="24"/>
        </w:rPr>
        <w:t>la p</w:t>
      </w:r>
      <w:r w:rsidRPr="00ED67EC">
        <w:rPr>
          <w:rFonts w:ascii="Times New Roman" w:hAnsi="Times New Roman" w:cs="Times New Roman"/>
          <w:sz w:val="24"/>
          <w:szCs w:val="24"/>
        </w:rPr>
        <w:t>retesa dell’accesso documentale</w:t>
      </w:r>
      <w:r w:rsidR="0015226C" w:rsidRPr="00ED67EC">
        <w:rPr>
          <w:rFonts w:ascii="Times New Roman" w:hAnsi="Times New Roman" w:cs="Times New Roman"/>
          <w:sz w:val="24"/>
          <w:szCs w:val="24"/>
        </w:rPr>
        <w:t xml:space="preserve"> </w:t>
      </w:r>
      <w:r w:rsidR="00A85DFA" w:rsidRPr="00ED67EC">
        <w:rPr>
          <w:rFonts w:ascii="Times New Roman" w:hAnsi="Times New Roman" w:cs="Times New Roman"/>
          <w:sz w:val="24"/>
          <w:szCs w:val="24"/>
        </w:rPr>
        <w:t>è meno estesa ma più intensa</w:t>
      </w:r>
      <w:r w:rsidR="0015226C" w:rsidRPr="00ED67EC">
        <w:rPr>
          <w:rStyle w:val="Rimandonotaapidipagina"/>
          <w:rFonts w:ascii="Times New Roman" w:hAnsi="Times New Roman" w:cs="Times New Roman"/>
          <w:sz w:val="24"/>
          <w:szCs w:val="24"/>
        </w:rPr>
        <w:footnoteReference w:id="11"/>
      </w:r>
      <w:r w:rsidR="00A85DFA" w:rsidRPr="00ED67EC">
        <w:rPr>
          <w:rFonts w:ascii="Times New Roman" w:hAnsi="Times New Roman" w:cs="Times New Roman"/>
          <w:sz w:val="24"/>
          <w:szCs w:val="24"/>
        </w:rPr>
        <w:t>.</w:t>
      </w:r>
    </w:p>
    <w:p w:rsidR="00A85DFA" w:rsidRPr="00ED67EC" w:rsidRDefault="008065BB"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Ciò</w:t>
      </w:r>
      <w:r w:rsidR="00A85DFA" w:rsidRPr="00ED67EC">
        <w:rPr>
          <w:rFonts w:ascii="Times New Roman" w:hAnsi="Times New Roman" w:cs="Times New Roman"/>
          <w:sz w:val="24"/>
          <w:szCs w:val="24"/>
        </w:rPr>
        <w:t xml:space="preserve"> si spiega con la finalità perseguita d</w:t>
      </w:r>
      <w:r w:rsidRPr="00ED67EC">
        <w:rPr>
          <w:rFonts w:ascii="Times New Roman" w:hAnsi="Times New Roman" w:cs="Times New Roman"/>
          <w:sz w:val="24"/>
          <w:szCs w:val="24"/>
        </w:rPr>
        <w:t>a ognuna delle due tipologie di accesso.</w:t>
      </w:r>
      <w:r w:rsidR="00A85DFA" w:rsidRPr="00ED67EC">
        <w:rPr>
          <w:rFonts w:ascii="Times New Roman" w:hAnsi="Times New Roman" w:cs="Times New Roman"/>
          <w:sz w:val="24"/>
          <w:szCs w:val="24"/>
        </w:rPr>
        <w:t xml:space="preserve"> </w:t>
      </w:r>
    </w:p>
    <w:p w:rsidR="00A85DFA" w:rsidRPr="00ED67EC" w:rsidRDefault="00A85DFA"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Nel caso dell’accesso civico generalizzato, il fine del controllo generalizzato sull’operato dell’amministrazione aggiudicatrice giustifica la minore intensità e la maggiore estensione dell’accesso dei dati e delle informazioni detenuti dalla stazione appaltan</w:t>
      </w:r>
      <w:r w:rsidR="0015226C" w:rsidRPr="00ED67EC">
        <w:rPr>
          <w:rFonts w:ascii="Times New Roman" w:hAnsi="Times New Roman" w:cs="Times New Roman"/>
          <w:sz w:val="24"/>
          <w:szCs w:val="24"/>
        </w:rPr>
        <w:t>te.</w:t>
      </w:r>
    </w:p>
    <w:p w:rsidR="00A85DFA" w:rsidRPr="00ED67EC" w:rsidRDefault="00A85DFA"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Nel caso dell’accesso documentale, la difesa della situazione soggettiva fonda la maggiore intensità della pretesa ad ottenere documenti pertinenti e la minore estensione dell’esigenza di prendere visione di documenti inutili. </w:t>
      </w:r>
    </w:p>
    <w:p w:rsidR="00B66FEE" w:rsidRPr="00ED67EC" w:rsidRDefault="00B66FEE" w:rsidP="00457EEE">
      <w:pPr>
        <w:spacing w:after="0" w:line="360" w:lineRule="auto"/>
        <w:jc w:val="both"/>
        <w:rPr>
          <w:rFonts w:ascii="Times New Roman" w:hAnsi="Times New Roman" w:cs="Times New Roman"/>
          <w:bCs/>
          <w:sz w:val="24"/>
          <w:szCs w:val="24"/>
        </w:rPr>
      </w:pPr>
      <w:r w:rsidRPr="00ED67EC">
        <w:rPr>
          <w:rFonts w:ascii="Times New Roman" w:hAnsi="Times New Roman" w:cs="Times New Roman"/>
          <w:bCs/>
          <w:sz w:val="24"/>
          <w:szCs w:val="24"/>
        </w:rPr>
        <w:t>A conforto dell’accesso generalizzato agli atti delle gare si pone anche il dato te</w:t>
      </w:r>
      <w:r w:rsidR="00D02435" w:rsidRPr="00ED67EC">
        <w:rPr>
          <w:rFonts w:ascii="Times New Roman" w:hAnsi="Times New Roman" w:cs="Times New Roman"/>
          <w:bCs/>
          <w:sz w:val="24"/>
          <w:szCs w:val="24"/>
        </w:rPr>
        <w:t>le</w:t>
      </w:r>
      <w:r w:rsidRPr="00ED67EC">
        <w:rPr>
          <w:rFonts w:ascii="Times New Roman" w:hAnsi="Times New Roman" w:cs="Times New Roman"/>
          <w:bCs/>
          <w:sz w:val="24"/>
          <w:szCs w:val="24"/>
        </w:rPr>
        <w:t>ologico.</w:t>
      </w:r>
    </w:p>
    <w:p w:rsidR="00CB4BED" w:rsidRPr="00ED67EC" w:rsidRDefault="00ED3133" w:rsidP="00457EEE">
      <w:pPr>
        <w:spacing w:after="0" w:line="360" w:lineRule="auto"/>
        <w:jc w:val="both"/>
        <w:rPr>
          <w:rFonts w:ascii="Times New Roman" w:hAnsi="Times New Roman" w:cs="Times New Roman"/>
          <w:bCs/>
          <w:sz w:val="24"/>
          <w:szCs w:val="24"/>
        </w:rPr>
      </w:pPr>
      <w:r w:rsidRPr="00ED67EC">
        <w:rPr>
          <w:rFonts w:ascii="Times New Roman" w:hAnsi="Times New Roman" w:cs="Times New Roman"/>
          <w:sz w:val="24"/>
          <w:szCs w:val="24"/>
        </w:rPr>
        <w:t>Nelle procedure di gara, la trasparenza</w:t>
      </w:r>
      <w:r w:rsidR="00B66FEE" w:rsidRPr="00ED67EC">
        <w:rPr>
          <w:rFonts w:ascii="Times New Roman" w:hAnsi="Times New Roman" w:cs="Times New Roman"/>
          <w:sz w:val="24"/>
          <w:szCs w:val="24"/>
        </w:rPr>
        <w:t xml:space="preserve"> amministrativa è funzionale alla non discriminazione degli operatori economici e alla crescita economica delle imprese tramite la massima partecipazione alla gara</w:t>
      </w:r>
      <w:r w:rsidR="00B66FEE" w:rsidRPr="00ED67EC">
        <w:rPr>
          <w:rStyle w:val="Rimandonotaapidipagina"/>
          <w:rFonts w:ascii="Times New Roman" w:hAnsi="Times New Roman" w:cs="Times New Roman"/>
          <w:sz w:val="24"/>
          <w:szCs w:val="24"/>
        </w:rPr>
        <w:footnoteReference w:id="12"/>
      </w:r>
      <w:r w:rsidR="00B66FEE" w:rsidRPr="00ED67EC">
        <w:rPr>
          <w:rFonts w:ascii="Times New Roman" w:hAnsi="Times New Roman" w:cs="Times New Roman"/>
          <w:sz w:val="24"/>
          <w:szCs w:val="24"/>
        </w:rPr>
        <w:t xml:space="preserve">. </w:t>
      </w:r>
      <w:r w:rsidR="00D02435" w:rsidRPr="00ED67EC">
        <w:rPr>
          <w:rFonts w:ascii="Times New Roman" w:hAnsi="Times New Roman" w:cs="Times New Roman"/>
          <w:sz w:val="24"/>
          <w:szCs w:val="24"/>
        </w:rPr>
        <w:t>Più l’azione delle stazioni appaltanti è trasparente maggiore è la sua visibilità da parte delle imprese interessate a parte</w:t>
      </w:r>
      <w:r w:rsidR="0009427C" w:rsidRPr="00ED67EC">
        <w:rPr>
          <w:rFonts w:ascii="Times New Roman" w:hAnsi="Times New Roman" w:cs="Times New Roman"/>
          <w:sz w:val="24"/>
          <w:szCs w:val="24"/>
        </w:rPr>
        <w:t>cipare alle gare. Il risultato è</w:t>
      </w:r>
      <w:r w:rsidR="00D02435" w:rsidRPr="00ED67EC">
        <w:rPr>
          <w:rFonts w:ascii="Times New Roman" w:hAnsi="Times New Roman" w:cs="Times New Roman"/>
          <w:sz w:val="24"/>
          <w:szCs w:val="24"/>
        </w:rPr>
        <w:t xml:space="preserve"> procedure d’appalto effettivamente concorrenziali. </w:t>
      </w:r>
    </w:p>
    <w:p w:rsidR="00D02435" w:rsidRPr="00ED67EC" w:rsidRDefault="00D0243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Questo meccanismo è favorito dall’accesso generalizzato agli atti della gara. </w:t>
      </w:r>
    </w:p>
    <w:p w:rsidR="00A94BB7" w:rsidRPr="00ED67EC" w:rsidRDefault="00D02435"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Esso</w:t>
      </w:r>
      <w:r w:rsidR="0009427C" w:rsidRPr="00ED67EC">
        <w:rPr>
          <w:rFonts w:ascii="Times New Roman" w:hAnsi="Times New Roman" w:cs="Times New Roman"/>
          <w:sz w:val="24"/>
          <w:szCs w:val="24"/>
        </w:rPr>
        <w:t>, come espressione di</w:t>
      </w:r>
      <w:r w:rsidR="00ED3133" w:rsidRPr="00ED67EC">
        <w:rPr>
          <w:rFonts w:ascii="Times New Roman" w:hAnsi="Times New Roman" w:cs="Times New Roman"/>
          <w:sz w:val="24"/>
          <w:szCs w:val="24"/>
        </w:rPr>
        <w:t xml:space="preserve"> traspa</w:t>
      </w:r>
      <w:r w:rsidR="0009427C" w:rsidRPr="00ED67EC">
        <w:rPr>
          <w:rFonts w:ascii="Times New Roman" w:hAnsi="Times New Roman" w:cs="Times New Roman"/>
          <w:sz w:val="24"/>
          <w:szCs w:val="24"/>
        </w:rPr>
        <w:t>renza in funzione democratica, mira al controllo della legalità dell’azione delle amministrazioni</w:t>
      </w:r>
      <w:r w:rsidR="00ED3133" w:rsidRPr="00ED67EC">
        <w:rPr>
          <w:rFonts w:ascii="Times New Roman" w:hAnsi="Times New Roman" w:cs="Times New Roman"/>
          <w:sz w:val="24"/>
          <w:szCs w:val="24"/>
        </w:rPr>
        <w:t>, in contrapposiz</w:t>
      </w:r>
      <w:r w:rsidR="00B66FEE" w:rsidRPr="00ED67EC">
        <w:rPr>
          <w:rFonts w:ascii="Times New Roman" w:hAnsi="Times New Roman" w:cs="Times New Roman"/>
          <w:sz w:val="24"/>
          <w:szCs w:val="24"/>
        </w:rPr>
        <w:t>ione alla logica</w:t>
      </w:r>
      <w:r w:rsidR="000B3936" w:rsidRPr="00ED67EC">
        <w:rPr>
          <w:rFonts w:ascii="Times New Roman" w:hAnsi="Times New Roman" w:cs="Times New Roman"/>
          <w:sz w:val="24"/>
          <w:szCs w:val="24"/>
        </w:rPr>
        <w:t xml:space="preserve"> </w:t>
      </w:r>
      <w:r w:rsidR="00FE1195" w:rsidRPr="00ED67EC">
        <w:rPr>
          <w:rFonts w:ascii="Times New Roman" w:hAnsi="Times New Roman" w:cs="Times New Roman"/>
          <w:sz w:val="24"/>
          <w:szCs w:val="24"/>
        </w:rPr>
        <w:t>privatistica</w:t>
      </w:r>
      <w:r w:rsidR="00B66FEE" w:rsidRPr="00ED67EC">
        <w:rPr>
          <w:rFonts w:ascii="Times New Roman" w:hAnsi="Times New Roman" w:cs="Times New Roman"/>
          <w:sz w:val="24"/>
          <w:szCs w:val="24"/>
        </w:rPr>
        <w:t xml:space="preserve"> della trasparenza</w:t>
      </w:r>
      <w:r w:rsidR="000B3936" w:rsidRPr="00ED67EC">
        <w:rPr>
          <w:rFonts w:ascii="Times New Roman" w:hAnsi="Times New Roman" w:cs="Times New Roman"/>
          <w:sz w:val="24"/>
          <w:szCs w:val="24"/>
        </w:rPr>
        <w:t xml:space="preserve"> dell’accesso documentale dell’art. 22, </w:t>
      </w:r>
      <w:r w:rsidR="008E763D" w:rsidRPr="00ED67EC">
        <w:rPr>
          <w:rFonts w:ascii="Times New Roman" w:hAnsi="Times New Roman" w:cs="Times New Roman"/>
          <w:color w:val="000000"/>
          <w:sz w:val="24"/>
          <w:szCs w:val="24"/>
        </w:rPr>
        <w:t>l. 7 agosto 1990, n. 241</w:t>
      </w:r>
      <w:r w:rsidR="00EB6361" w:rsidRPr="00ED67EC">
        <w:rPr>
          <w:rStyle w:val="Rimandonotaapidipagina"/>
          <w:rFonts w:ascii="Times New Roman" w:hAnsi="Times New Roman" w:cs="Times New Roman"/>
          <w:sz w:val="24"/>
          <w:szCs w:val="24"/>
        </w:rPr>
        <w:footnoteReference w:id="13"/>
      </w:r>
      <w:r w:rsidR="000B3936" w:rsidRPr="00ED67EC">
        <w:rPr>
          <w:rFonts w:ascii="Times New Roman" w:hAnsi="Times New Roman" w:cs="Times New Roman"/>
          <w:sz w:val="24"/>
          <w:szCs w:val="24"/>
        </w:rPr>
        <w:t xml:space="preserve">. </w:t>
      </w:r>
      <w:r w:rsidR="0067250F" w:rsidRPr="00ED67EC">
        <w:rPr>
          <w:rFonts w:ascii="Times New Roman" w:hAnsi="Times New Roman" w:cs="Times New Roman"/>
          <w:sz w:val="24"/>
          <w:szCs w:val="24"/>
        </w:rPr>
        <w:t xml:space="preserve"> </w:t>
      </w:r>
    </w:p>
    <w:p w:rsidR="00D02435" w:rsidRPr="00ED67EC" w:rsidRDefault="0009427C"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In questa luce, l’accesso universale alle procedure si configura come prezioso strumento di trasparenza che sollecita le stazioni appaltanti a rendersi sempre più trasparenti nei confronti del mer</w:t>
      </w:r>
      <w:r w:rsidR="00765E1A" w:rsidRPr="00ED67EC">
        <w:rPr>
          <w:rFonts w:ascii="Times New Roman" w:hAnsi="Times New Roman" w:cs="Times New Roman"/>
          <w:sz w:val="24"/>
          <w:szCs w:val="24"/>
        </w:rPr>
        <w:t>cato, promuovendo</w:t>
      </w:r>
      <w:r w:rsidRPr="00ED67EC">
        <w:rPr>
          <w:rFonts w:ascii="Times New Roman" w:hAnsi="Times New Roman" w:cs="Times New Roman"/>
          <w:sz w:val="24"/>
          <w:szCs w:val="24"/>
        </w:rPr>
        <w:t xml:space="preserve"> condizioni favorevoli alla competitività tra gli operatori economici. </w:t>
      </w:r>
    </w:p>
    <w:p w:rsidR="00737596" w:rsidRPr="00ED67EC" w:rsidRDefault="0009427C"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bCs/>
          <w:sz w:val="24"/>
          <w:szCs w:val="24"/>
        </w:rPr>
        <w:t>Infine,</w:t>
      </w:r>
      <w:r w:rsidRPr="00ED67EC">
        <w:rPr>
          <w:rFonts w:ascii="Times New Roman" w:hAnsi="Times New Roman" w:cs="Times New Roman"/>
          <w:b/>
          <w:bCs/>
          <w:sz w:val="24"/>
          <w:szCs w:val="24"/>
        </w:rPr>
        <w:t xml:space="preserve"> </w:t>
      </w:r>
      <w:r w:rsidRPr="00ED67EC">
        <w:rPr>
          <w:rFonts w:ascii="Times New Roman" w:hAnsi="Times New Roman" w:cs="Times New Roman"/>
          <w:bCs/>
          <w:sz w:val="24"/>
          <w:szCs w:val="24"/>
        </w:rPr>
        <w:t xml:space="preserve">l’accesso universale agli atti della gara va ammesso perché è funzionale al miglioramento dell’organizzazione dei servizi pubblici. </w:t>
      </w:r>
      <w:r w:rsidRPr="00ED67EC">
        <w:rPr>
          <w:rFonts w:ascii="Times New Roman" w:hAnsi="Times New Roman" w:cs="Times New Roman"/>
          <w:b/>
          <w:bCs/>
          <w:sz w:val="24"/>
          <w:szCs w:val="24"/>
        </w:rPr>
        <w:t xml:space="preserve"> </w:t>
      </w:r>
    </w:p>
    <w:p w:rsidR="000F26EE" w:rsidRPr="00ED67EC" w:rsidRDefault="00737596"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Nell’esecuzione del servizio, il cittadino è chiamato ad esprimere il proprio gradimento sulla qual</w:t>
      </w:r>
      <w:r w:rsidR="0009427C" w:rsidRPr="00ED67EC">
        <w:rPr>
          <w:rFonts w:ascii="Times New Roman" w:hAnsi="Times New Roman" w:cs="Times New Roman"/>
          <w:color w:val="000000"/>
          <w:sz w:val="24"/>
          <w:szCs w:val="24"/>
        </w:rPr>
        <w:t xml:space="preserve">ità della prestazione ricevuta affinché le amministrazioni possano adeguare l’erogazione al </w:t>
      </w:r>
      <w:r w:rsidR="0009427C" w:rsidRPr="00ED67EC">
        <w:rPr>
          <w:rFonts w:ascii="Times New Roman" w:hAnsi="Times New Roman" w:cs="Times New Roman"/>
          <w:i/>
          <w:color w:val="000000"/>
          <w:sz w:val="24"/>
          <w:szCs w:val="24"/>
        </w:rPr>
        <w:t>feedback</w:t>
      </w:r>
      <w:r w:rsidR="0009427C" w:rsidRPr="00ED67EC">
        <w:rPr>
          <w:rFonts w:ascii="Times New Roman" w:hAnsi="Times New Roman" w:cs="Times New Roman"/>
          <w:color w:val="000000"/>
          <w:sz w:val="24"/>
          <w:szCs w:val="24"/>
        </w:rPr>
        <w:t xml:space="preserve"> dell’utente</w:t>
      </w:r>
      <w:r w:rsidR="000F26EE" w:rsidRPr="00ED67EC">
        <w:rPr>
          <w:rStyle w:val="Rimandonotaapidipagina"/>
          <w:rFonts w:ascii="Times New Roman" w:hAnsi="Times New Roman" w:cs="Times New Roman"/>
          <w:color w:val="000000"/>
          <w:sz w:val="24"/>
          <w:szCs w:val="24"/>
        </w:rPr>
        <w:footnoteReference w:id="14"/>
      </w:r>
      <w:r w:rsidR="0009427C" w:rsidRPr="00ED67EC">
        <w:rPr>
          <w:rFonts w:ascii="Times New Roman" w:hAnsi="Times New Roman" w:cs="Times New Roman"/>
          <w:color w:val="000000"/>
          <w:sz w:val="24"/>
          <w:szCs w:val="24"/>
        </w:rPr>
        <w:t>.</w:t>
      </w:r>
    </w:p>
    <w:p w:rsidR="000F26EE" w:rsidRPr="00ED67EC" w:rsidRDefault="00737596"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Per esprimere il proprio giudizio, </w:t>
      </w:r>
      <w:r w:rsidR="0009427C" w:rsidRPr="00ED67EC">
        <w:rPr>
          <w:rFonts w:ascii="Times New Roman" w:hAnsi="Times New Roman" w:cs="Times New Roman"/>
          <w:color w:val="000000"/>
          <w:sz w:val="24"/>
          <w:szCs w:val="24"/>
        </w:rPr>
        <w:t>l’amministrato necessita</w:t>
      </w:r>
      <w:r w:rsidRPr="00ED67EC">
        <w:rPr>
          <w:rFonts w:ascii="Times New Roman" w:hAnsi="Times New Roman" w:cs="Times New Roman"/>
          <w:color w:val="000000"/>
          <w:sz w:val="24"/>
          <w:szCs w:val="24"/>
        </w:rPr>
        <w:t xml:space="preserve"> di conoscere informazioni che si riferiscono al servizio dal momento dell’affidamento a quello dell’esecuzione. </w:t>
      </w:r>
    </w:p>
    <w:p w:rsidR="000F26EE" w:rsidRPr="00ED67EC" w:rsidRDefault="000F26EE"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Se non si ammettesse l’accesso universale, il cittadino esprimerebbe un giudizio sulle modalità di erogazione, quindi, fornirebbe una valutazione parziale perché la pubblica amministrazione</w:t>
      </w:r>
      <w:r w:rsidR="001634CB" w:rsidRPr="00ED67EC">
        <w:rPr>
          <w:rFonts w:ascii="Times New Roman" w:hAnsi="Times New Roman" w:cs="Times New Roman"/>
          <w:color w:val="000000"/>
          <w:sz w:val="24"/>
          <w:szCs w:val="24"/>
        </w:rPr>
        <w:t xml:space="preserve"> rivedrebbe soltanto</w:t>
      </w:r>
      <w:r w:rsidR="00CF4701" w:rsidRPr="00ED67EC">
        <w:rPr>
          <w:rFonts w:ascii="Times New Roman" w:hAnsi="Times New Roman" w:cs="Times New Roman"/>
          <w:color w:val="000000"/>
          <w:sz w:val="24"/>
          <w:szCs w:val="24"/>
        </w:rPr>
        <w:t xml:space="preserve"> il</w:t>
      </w:r>
      <w:r w:rsidR="001634CB" w:rsidRPr="00ED67EC">
        <w:rPr>
          <w:rFonts w:ascii="Times New Roman" w:hAnsi="Times New Roman" w:cs="Times New Roman"/>
          <w:color w:val="000000"/>
          <w:sz w:val="24"/>
          <w:szCs w:val="24"/>
        </w:rPr>
        <w:t xml:space="preserve"> </w:t>
      </w:r>
      <w:proofErr w:type="spellStart"/>
      <w:r w:rsidR="001634CB" w:rsidRPr="00ED67EC">
        <w:rPr>
          <w:rFonts w:ascii="Times New Roman" w:hAnsi="Times New Roman" w:cs="Times New Roman"/>
          <w:i/>
          <w:color w:val="000000"/>
          <w:sz w:val="24"/>
          <w:szCs w:val="24"/>
          <w:u w:val="single"/>
        </w:rPr>
        <w:t>quomodo</w:t>
      </w:r>
      <w:proofErr w:type="spellEnd"/>
      <w:r w:rsidRPr="00ED67EC">
        <w:rPr>
          <w:rFonts w:ascii="Times New Roman" w:hAnsi="Times New Roman" w:cs="Times New Roman"/>
          <w:color w:val="000000"/>
          <w:sz w:val="24"/>
          <w:szCs w:val="24"/>
        </w:rPr>
        <w:t xml:space="preserve">. </w:t>
      </w:r>
    </w:p>
    <w:p w:rsidR="000F26EE" w:rsidRPr="00ED67EC" w:rsidRDefault="000F26EE"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Mentre, consentendo l’accesso agli atti della gara, il cittadino esprimerebbe un’opinione maggiormente consapevole in quanto le sue osservazioni riguarderanno non solo le modalità di erogazione </w:t>
      </w:r>
      <w:r w:rsidR="00AC1B87" w:rsidRPr="00ED67EC">
        <w:rPr>
          <w:rFonts w:ascii="Times New Roman" w:hAnsi="Times New Roman" w:cs="Times New Roman"/>
          <w:color w:val="000000"/>
          <w:sz w:val="24"/>
          <w:szCs w:val="24"/>
        </w:rPr>
        <w:t xml:space="preserve">del servizio </w:t>
      </w:r>
      <w:r w:rsidRPr="00ED67EC">
        <w:rPr>
          <w:rFonts w:ascii="Times New Roman" w:hAnsi="Times New Roman" w:cs="Times New Roman"/>
          <w:color w:val="000000"/>
          <w:sz w:val="24"/>
          <w:szCs w:val="24"/>
        </w:rPr>
        <w:t>ma anche l’erogatore.</w:t>
      </w:r>
      <w:r w:rsidR="00AC1B87" w:rsidRPr="00ED67EC">
        <w:rPr>
          <w:rFonts w:ascii="Times New Roman" w:hAnsi="Times New Roman" w:cs="Times New Roman"/>
          <w:color w:val="000000"/>
          <w:sz w:val="24"/>
          <w:szCs w:val="24"/>
        </w:rPr>
        <w:t xml:space="preserve"> Si</w:t>
      </w:r>
      <w:r w:rsidRPr="00ED67EC">
        <w:rPr>
          <w:rFonts w:ascii="Times New Roman" w:hAnsi="Times New Roman" w:cs="Times New Roman"/>
          <w:color w:val="000000"/>
          <w:sz w:val="24"/>
          <w:szCs w:val="24"/>
        </w:rPr>
        <w:t xml:space="preserve"> tratterà di un giudizio </w:t>
      </w:r>
      <w:r w:rsidR="00AC1B87" w:rsidRPr="00ED67EC">
        <w:rPr>
          <w:rFonts w:ascii="Times New Roman" w:hAnsi="Times New Roman" w:cs="Times New Roman"/>
          <w:color w:val="000000"/>
          <w:sz w:val="24"/>
          <w:szCs w:val="24"/>
        </w:rPr>
        <w:t>sulla scelta dell’amministrazione di affidare</w:t>
      </w:r>
      <w:r w:rsidR="001634CB" w:rsidRPr="00ED67EC">
        <w:rPr>
          <w:rFonts w:ascii="Times New Roman" w:hAnsi="Times New Roman" w:cs="Times New Roman"/>
          <w:color w:val="000000"/>
          <w:sz w:val="24"/>
          <w:szCs w:val="24"/>
        </w:rPr>
        <w:t xml:space="preserve"> il servizio all’aggiudicatario</w:t>
      </w:r>
      <w:r w:rsidR="00AC1B87" w:rsidRPr="00ED67EC">
        <w:rPr>
          <w:rFonts w:ascii="Times New Roman" w:hAnsi="Times New Roman" w:cs="Times New Roman"/>
          <w:color w:val="000000"/>
          <w:sz w:val="24"/>
          <w:szCs w:val="24"/>
        </w:rPr>
        <w:t xml:space="preserve"> potendo l’amministrato prendere visione</w:t>
      </w:r>
      <w:r w:rsidRPr="00ED67EC">
        <w:rPr>
          <w:rFonts w:ascii="Times New Roman" w:hAnsi="Times New Roman" w:cs="Times New Roman"/>
          <w:color w:val="000000"/>
          <w:sz w:val="24"/>
          <w:szCs w:val="24"/>
        </w:rPr>
        <w:t xml:space="preserve"> </w:t>
      </w:r>
      <w:r w:rsidR="00AC1B87" w:rsidRPr="00ED67EC">
        <w:rPr>
          <w:rFonts w:ascii="Times New Roman" w:hAnsi="Times New Roman" w:cs="Times New Roman"/>
          <w:color w:val="000000"/>
          <w:sz w:val="24"/>
          <w:szCs w:val="24"/>
        </w:rPr>
        <w:t>del</w:t>
      </w:r>
      <w:r w:rsidRPr="00ED67EC">
        <w:rPr>
          <w:rFonts w:ascii="Times New Roman" w:hAnsi="Times New Roman" w:cs="Times New Roman"/>
          <w:color w:val="000000"/>
          <w:sz w:val="24"/>
          <w:szCs w:val="24"/>
        </w:rPr>
        <w:t xml:space="preserve">le offerte </w:t>
      </w:r>
      <w:r w:rsidR="00AC1B87" w:rsidRPr="00ED67EC">
        <w:rPr>
          <w:rFonts w:ascii="Times New Roman" w:hAnsi="Times New Roman" w:cs="Times New Roman"/>
          <w:color w:val="000000"/>
          <w:sz w:val="24"/>
          <w:szCs w:val="24"/>
        </w:rPr>
        <w:t>presentate da</w:t>
      </w:r>
      <w:r w:rsidRPr="00ED67EC">
        <w:rPr>
          <w:rFonts w:ascii="Times New Roman" w:hAnsi="Times New Roman" w:cs="Times New Roman"/>
          <w:color w:val="000000"/>
          <w:sz w:val="24"/>
          <w:szCs w:val="24"/>
        </w:rPr>
        <w:t>gli altri operatori economici</w:t>
      </w:r>
      <w:r w:rsidR="00AC1B87" w:rsidRPr="00ED67EC">
        <w:rPr>
          <w:rFonts w:ascii="Times New Roman" w:hAnsi="Times New Roman" w:cs="Times New Roman"/>
          <w:color w:val="000000"/>
          <w:sz w:val="24"/>
          <w:szCs w:val="24"/>
        </w:rPr>
        <w:t xml:space="preserve"> che partecipavano alla gara.</w:t>
      </w:r>
    </w:p>
    <w:p w:rsidR="000F26EE" w:rsidRDefault="000F26EE" w:rsidP="00457EEE">
      <w:pPr>
        <w:spacing w:after="0" w:line="360" w:lineRule="auto"/>
        <w:jc w:val="both"/>
        <w:rPr>
          <w:rFonts w:ascii="Times New Roman" w:hAnsi="Times New Roman" w:cs="Times New Roman"/>
          <w:color w:val="000000"/>
          <w:sz w:val="24"/>
          <w:szCs w:val="24"/>
        </w:rPr>
      </w:pPr>
      <w:r w:rsidRPr="00ED67EC">
        <w:rPr>
          <w:rFonts w:ascii="Times New Roman" w:hAnsi="Times New Roman" w:cs="Times New Roman"/>
          <w:color w:val="000000"/>
          <w:sz w:val="24"/>
          <w:szCs w:val="24"/>
        </w:rPr>
        <w:t xml:space="preserve">Pertanto, l’accesso libero e universale si pone come strumento nelle mani del cittadino per rendere più efficiente ed efficace l’erogazione dei servizi pubblici e per </w:t>
      </w:r>
      <w:r w:rsidR="001634CB" w:rsidRPr="00ED67EC">
        <w:rPr>
          <w:rFonts w:ascii="Times New Roman" w:hAnsi="Times New Roman" w:cs="Times New Roman"/>
          <w:color w:val="000000"/>
          <w:sz w:val="24"/>
          <w:szCs w:val="24"/>
        </w:rPr>
        <w:t>“</w:t>
      </w:r>
      <w:r w:rsidRPr="00ED67EC">
        <w:rPr>
          <w:rFonts w:ascii="Times New Roman" w:hAnsi="Times New Roman" w:cs="Times New Roman"/>
          <w:color w:val="000000"/>
          <w:sz w:val="24"/>
          <w:szCs w:val="24"/>
        </w:rPr>
        <w:t>moralizzare</w:t>
      </w:r>
      <w:r w:rsidR="001634CB" w:rsidRPr="00ED67EC">
        <w:rPr>
          <w:rFonts w:ascii="Times New Roman" w:hAnsi="Times New Roman" w:cs="Times New Roman"/>
          <w:color w:val="000000"/>
          <w:sz w:val="24"/>
          <w:szCs w:val="24"/>
        </w:rPr>
        <w:t>”</w:t>
      </w:r>
      <w:r w:rsidRPr="00ED67EC">
        <w:rPr>
          <w:rFonts w:ascii="Times New Roman" w:hAnsi="Times New Roman" w:cs="Times New Roman"/>
          <w:color w:val="000000"/>
          <w:sz w:val="24"/>
          <w:szCs w:val="24"/>
        </w:rPr>
        <w:t xml:space="preserve"> il comportamento delle pubbliche amministrazioni nella fase dell’aggiudi</w:t>
      </w:r>
      <w:r w:rsidR="00CF4701" w:rsidRPr="00ED67EC">
        <w:rPr>
          <w:rFonts w:ascii="Times New Roman" w:hAnsi="Times New Roman" w:cs="Times New Roman"/>
          <w:color w:val="000000"/>
          <w:sz w:val="24"/>
          <w:szCs w:val="24"/>
        </w:rPr>
        <w:t>cazione, ricordando loro</w:t>
      </w:r>
      <w:r w:rsidR="001634CB" w:rsidRPr="00ED67EC">
        <w:rPr>
          <w:rFonts w:ascii="Times New Roman" w:hAnsi="Times New Roman" w:cs="Times New Roman"/>
          <w:color w:val="000000"/>
          <w:sz w:val="24"/>
          <w:szCs w:val="24"/>
        </w:rPr>
        <w:t xml:space="preserve"> che la scelta del gestore del servizio deve tendere</w:t>
      </w:r>
      <w:r w:rsidRPr="00ED67EC">
        <w:rPr>
          <w:rFonts w:ascii="Times New Roman" w:hAnsi="Times New Roman" w:cs="Times New Roman"/>
          <w:color w:val="000000"/>
          <w:sz w:val="24"/>
          <w:szCs w:val="24"/>
        </w:rPr>
        <w:t xml:space="preserve"> alla massima utilità dei consociati. </w:t>
      </w:r>
    </w:p>
    <w:p w:rsidR="00FE0774" w:rsidRDefault="00FE0774" w:rsidP="00457EEE">
      <w:pPr>
        <w:spacing w:after="0" w:line="360" w:lineRule="auto"/>
        <w:jc w:val="both"/>
        <w:rPr>
          <w:rFonts w:ascii="Times New Roman" w:hAnsi="Times New Roman" w:cs="Times New Roman"/>
          <w:color w:val="000000"/>
          <w:sz w:val="24"/>
          <w:szCs w:val="24"/>
        </w:rPr>
      </w:pPr>
    </w:p>
    <w:p w:rsidR="00FE0774" w:rsidRPr="00336D78" w:rsidRDefault="00FE0774" w:rsidP="00457EEE">
      <w:pPr>
        <w:spacing w:after="0" w:line="360" w:lineRule="auto"/>
        <w:jc w:val="both"/>
        <w:rPr>
          <w:rFonts w:ascii="Times New Roman" w:hAnsi="Times New Roman" w:cs="Times New Roman"/>
          <w:b/>
          <w:color w:val="000000"/>
          <w:sz w:val="24"/>
          <w:szCs w:val="24"/>
        </w:rPr>
      </w:pPr>
      <w:r w:rsidRPr="00ED67EC">
        <w:rPr>
          <w:rFonts w:ascii="Times New Roman" w:hAnsi="Times New Roman" w:cs="Times New Roman"/>
          <w:b/>
          <w:bCs/>
          <w:sz w:val="24"/>
          <w:szCs w:val="24"/>
        </w:rPr>
        <w:t xml:space="preserve">§ - </w:t>
      </w:r>
      <w:r>
        <w:rPr>
          <w:rFonts w:ascii="Times New Roman" w:hAnsi="Times New Roman" w:cs="Times New Roman"/>
          <w:b/>
          <w:bCs/>
          <w:sz w:val="24"/>
          <w:szCs w:val="24"/>
        </w:rPr>
        <w:t>3.</w:t>
      </w:r>
      <w:r w:rsidRPr="00336D78">
        <w:rPr>
          <w:rFonts w:ascii="Times New Roman" w:hAnsi="Times New Roman" w:cs="Times New Roman"/>
          <w:b/>
          <w:color w:val="000000"/>
          <w:sz w:val="24"/>
          <w:szCs w:val="24"/>
        </w:rPr>
        <w:t xml:space="preserve"> Le esclusioni e i limiti all’accesso generalizzato alle procedure di gara</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BF08B9">
        <w:rPr>
          <w:rFonts w:ascii="Times New Roman" w:hAnsi="Times New Roman" w:cs="Times New Roman"/>
          <w:sz w:val="24"/>
          <w:szCs w:val="24"/>
        </w:rPr>
        <w:t>ammissione dell’</w:t>
      </w:r>
      <w:r>
        <w:rPr>
          <w:rFonts w:ascii="Times New Roman" w:hAnsi="Times New Roman" w:cs="Times New Roman"/>
          <w:sz w:val="24"/>
          <w:szCs w:val="24"/>
        </w:rPr>
        <w:t xml:space="preserve">accesso civico generalizzato </w:t>
      </w:r>
      <w:r w:rsidRPr="00ED67EC">
        <w:rPr>
          <w:rFonts w:ascii="Times New Roman" w:hAnsi="Times New Roman" w:cs="Times New Roman"/>
          <w:sz w:val="24"/>
          <w:szCs w:val="24"/>
        </w:rPr>
        <w:t xml:space="preserve">alle procedure di gara </w:t>
      </w:r>
      <w:r w:rsidRPr="00CC6764">
        <w:rPr>
          <w:rFonts w:ascii="Times New Roman" w:hAnsi="Times New Roman" w:cs="Times New Roman"/>
          <w:sz w:val="24"/>
          <w:szCs w:val="24"/>
        </w:rPr>
        <w:t>pone la questione della sua effettiva dimensione applicativa,</w:t>
      </w:r>
      <w:r w:rsidRPr="00ED67EC">
        <w:rPr>
          <w:rFonts w:ascii="Times New Roman" w:hAnsi="Times New Roman" w:cs="Times New Roman"/>
          <w:sz w:val="24"/>
          <w:szCs w:val="24"/>
        </w:rPr>
        <w:t xml:space="preserve"> posto che le esclusioni e i limiti all’accesso dell’art. 5-bis d.lgs. </w:t>
      </w:r>
      <w:r w:rsidR="00CB2565">
        <w:rPr>
          <w:rFonts w:ascii="Times New Roman" w:hAnsi="Times New Roman" w:cs="Times New Roman"/>
          <w:sz w:val="24"/>
          <w:szCs w:val="24"/>
        </w:rPr>
        <w:t xml:space="preserve">n. </w:t>
      </w:r>
      <w:r w:rsidRPr="00ED67EC">
        <w:rPr>
          <w:rFonts w:ascii="Times New Roman" w:hAnsi="Times New Roman" w:cs="Times New Roman"/>
          <w:sz w:val="24"/>
          <w:szCs w:val="24"/>
        </w:rPr>
        <w:t>33/2013 trovano spazio anche in questa materia.</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L’operatività di queste eccezioni è stata definita dall</w:t>
      </w:r>
      <w:r>
        <w:rPr>
          <w:rFonts w:ascii="Times New Roman" w:hAnsi="Times New Roman" w:cs="Times New Roman"/>
          <w:sz w:val="24"/>
          <w:szCs w:val="24"/>
        </w:rPr>
        <w:t>’A.N.A.C. con delle Linee Guida, ai sensi</w:t>
      </w:r>
      <w:r w:rsidRPr="00ED67EC">
        <w:rPr>
          <w:rFonts w:ascii="Times New Roman" w:hAnsi="Times New Roman" w:cs="Times New Roman"/>
          <w:sz w:val="24"/>
          <w:szCs w:val="24"/>
        </w:rPr>
        <w:t xml:space="preserve"> dall’art. 5-bis, 6°comma d.lgs. </w:t>
      </w:r>
      <w:r w:rsidR="00CB2565">
        <w:rPr>
          <w:rFonts w:ascii="Times New Roman" w:hAnsi="Times New Roman" w:cs="Times New Roman"/>
          <w:sz w:val="24"/>
          <w:szCs w:val="24"/>
        </w:rPr>
        <w:t xml:space="preserve">n. </w:t>
      </w:r>
      <w:r w:rsidRPr="00ED67EC">
        <w:rPr>
          <w:rFonts w:ascii="Times New Roman" w:hAnsi="Times New Roman" w:cs="Times New Roman"/>
          <w:sz w:val="24"/>
          <w:szCs w:val="24"/>
        </w:rPr>
        <w:t>33/2013</w:t>
      </w:r>
      <w:r>
        <w:rPr>
          <w:rStyle w:val="Rimandonotaapidipagina"/>
          <w:rFonts w:ascii="Times New Roman" w:hAnsi="Times New Roman" w:cs="Times New Roman"/>
          <w:sz w:val="24"/>
          <w:szCs w:val="24"/>
        </w:rPr>
        <w:footnoteReference w:id="15"/>
      </w:r>
      <w:r w:rsidRPr="00ED67EC">
        <w:rPr>
          <w:rFonts w:ascii="Times New Roman" w:hAnsi="Times New Roman" w:cs="Times New Roman"/>
          <w:sz w:val="24"/>
          <w:szCs w:val="24"/>
        </w:rPr>
        <w:t xml:space="preserve">.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L’Autorità ha desunto due categorie di eccezioni dall’art. 5-bis, 1°, 2° e 3° comma: assolute e relative. Alla prima categoria è riconducibile la fattispecie del 3°comma mentre alla seconda sono riconducibili i comma 1 e 2 dell’art. 5-bis.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La distinzione si apprezza sul piano dei presupposti delle eccezioni.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Nelle situazioni del 3°comma, l’accesso civico generalizzato è escluso sulla base di un giudizio formulato </w:t>
      </w:r>
      <w:r w:rsidRPr="00ED67EC">
        <w:rPr>
          <w:rFonts w:ascii="Times New Roman" w:hAnsi="Times New Roman" w:cs="Times New Roman"/>
          <w:i/>
          <w:sz w:val="24"/>
          <w:szCs w:val="24"/>
        </w:rPr>
        <w:t>a priori</w:t>
      </w:r>
      <w:r w:rsidRPr="00ED67EC">
        <w:rPr>
          <w:rFonts w:ascii="Times New Roman" w:hAnsi="Times New Roman" w:cs="Times New Roman"/>
          <w:sz w:val="24"/>
          <w:szCs w:val="24"/>
        </w:rPr>
        <w:t xml:space="preserve"> dal legislatore. Si tratta dei </w:t>
      </w:r>
      <w:r>
        <w:rPr>
          <w:rFonts w:ascii="Times New Roman" w:hAnsi="Times New Roman" w:cs="Times New Roman"/>
          <w:sz w:val="24"/>
          <w:szCs w:val="24"/>
        </w:rPr>
        <w:t>«</w:t>
      </w:r>
      <w:r w:rsidRPr="00ED67EC">
        <w:rPr>
          <w:rFonts w:ascii="Times New Roman" w:hAnsi="Times New Roman" w:cs="Times New Roman"/>
          <w:i/>
          <w:sz w:val="24"/>
          <w:szCs w:val="24"/>
        </w:rPr>
        <w:t>casi di segreto di Stato</w:t>
      </w:r>
      <w:r>
        <w:rPr>
          <w:rFonts w:ascii="Times New Roman" w:hAnsi="Times New Roman" w:cs="Times New Roman"/>
          <w:i/>
          <w:sz w:val="24"/>
          <w:szCs w:val="24"/>
        </w:rPr>
        <w:t>»</w:t>
      </w:r>
      <w:r w:rsidRPr="00ED67EC">
        <w:rPr>
          <w:rFonts w:ascii="Times New Roman" w:hAnsi="Times New Roman" w:cs="Times New Roman"/>
          <w:sz w:val="24"/>
          <w:szCs w:val="24"/>
        </w:rPr>
        <w:t xml:space="preserve">, di </w:t>
      </w:r>
      <w:r>
        <w:rPr>
          <w:rFonts w:ascii="Times New Roman" w:hAnsi="Times New Roman" w:cs="Times New Roman"/>
          <w:sz w:val="24"/>
          <w:szCs w:val="24"/>
        </w:rPr>
        <w:t>«</w:t>
      </w:r>
      <w:r w:rsidRPr="00ED67EC">
        <w:rPr>
          <w:rFonts w:ascii="Times New Roman" w:hAnsi="Times New Roman" w:cs="Times New Roman"/>
          <w:i/>
          <w:sz w:val="24"/>
          <w:szCs w:val="24"/>
        </w:rPr>
        <w:t>altri casi di divieto di accesso o divulgazione previsti dalla legge</w:t>
      </w:r>
      <w:r>
        <w:rPr>
          <w:rFonts w:ascii="Times New Roman" w:hAnsi="Times New Roman" w:cs="Times New Roman"/>
          <w:i/>
          <w:sz w:val="24"/>
          <w:szCs w:val="24"/>
        </w:rPr>
        <w:t>»</w:t>
      </w:r>
      <w:r w:rsidRPr="00ED67EC">
        <w:rPr>
          <w:rFonts w:ascii="Times New Roman" w:hAnsi="Times New Roman" w:cs="Times New Roman"/>
          <w:i/>
          <w:sz w:val="24"/>
          <w:szCs w:val="24"/>
        </w:rPr>
        <w:t xml:space="preserve">, </w:t>
      </w:r>
      <w:r w:rsidRPr="00ED67EC">
        <w:rPr>
          <w:rFonts w:ascii="Times New Roman" w:hAnsi="Times New Roman" w:cs="Times New Roman"/>
          <w:sz w:val="24"/>
          <w:szCs w:val="24"/>
        </w:rPr>
        <w:t xml:space="preserve">dei </w:t>
      </w:r>
      <w:r>
        <w:rPr>
          <w:rFonts w:ascii="Times New Roman" w:hAnsi="Times New Roman" w:cs="Times New Roman"/>
          <w:sz w:val="24"/>
          <w:szCs w:val="24"/>
        </w:rPr>
        <w:t>«</w:t>
      </w:r>
      <w:r w:rsidRPr="00ED67EC">
        <w:rPr>
          <w:rFonts w:ascii="Times New Roman" w:hAnsi="Times New Roman" w:cs="Times New Roman"/>
          <w:i/>
          <w:sz w:val="24"/>
          <w:szCs w:val="24"/>
        </w:rPr>
        <w:t>casi in cui l’accesso è subordinato dalla disciplina vigente al rispetto di specifiche modalità o limiti, inclusi quelli di cui all’art. 24, comma 1, della legge n. 241 del 1990</w:t>
      </w:r>
      <w:r>
        <w:rPr>
          <w:rFonts w:ascii="Times New Roman" w:hAnsi="Times New Roman" w:cs="Times New Roman"/>
          <w:i/>
          <w:sz w:val="24"/>
          <w:szCs w:val="24"/>
        </w:rPr>
        <w:t>».</w:t>
      </w:r>
    </w:p>
    <w:p w:rsidR="00FE0774"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L’applicazione dei limiti del 1° e 2° comma, invece, implicano un giudizio </w:t>
      </w:r>
      <w:r w:rsidRPr="00ED67EC">
        <w:rPr>
          <w:rFonts w:ascii="Times New Roman" w:hAnsi="Times New Roman" w:cs="Times New Roman"/>
          <w:i/>
          <w:sz w:val="24"/>
          <w:szCs w:val="24"/>
        </w:rPr>
        <w:t>ex post</w:t>
      </w:r>
      <w:r w:rsidRPr="00ED67EC">
        <w:rPr>
          <w:rFonts w:ascii="Times New Roman" w:hAnsi="Times New Roman" w:cs="Times New Roman"/>
          <w:sz w:val="24"/>
          <w:szCs w:val="24"/>
        </w:rPr>
        <w:t xml:space="preserve"> della pubblica amministrazione che deve rifiutare l’accesso civico generalizzato se il provvedimento di diniego è necessario per evitare una lesione concreta a uno degli interessi pubblici e privati elencati. </w:t>
      </w:r>
    </w:p>
    <w:p w:rsidR="00FE0774" w:rsidRPr="00E320FC" w:rsidRDefault="00FE0774" w:rsidP="00457EEE">
      <w:pPr>
        <w:spacing w:after="0" w:line="360" w:lineRule="auto"/>
        <w:jc w:val="both"/>
        <w:rPr>
          <w:rFonts w:ascii="Times New Roman" w:hAnsi="Times New Roman" w:cs="Times New Roman"/>
          <w:sz w:val="24"/>
          <w:szCs w:val="24"/>
        </w:rPr>
      </w:pPr>
      <w:r w:rsidRPr="00E320FC">
        <w:rPr>
          <w:rFonts w:ascii="Times New Roman" w:hAnsi="Times New Roman" w:cs="Times New Roman"/>
          <w:sz w:val="24"/>
          <w:szCs w:val="24"/>
        </w:rPr>
        <w:t>Il giudizio dell’amminis</w:t>
      </w:r>
      <w:r w:rsidR="00E320FC" w:rsidRPr="00E320FC">
        <w:rPr>
          <w:rFonts w:ascii="Times New Roman" w:hAnsi="Times New Roman" w:cs="Times New Roman"/>
          <w:sz w:val="24"/>
          <w:szCs w:val="24"/>
        </w:rPr>
        <w:t>trazione sulla sussistenza del</w:t>
      </w:r>
      <w:r w:rsidRPr="00E320FC">
        <w:rPr>
          <w:rFonts w:ascii="Times New Roman" w:hAnsi="Times New Roman" w:cs="Times New Roman"/>
          <w:sz w:val="24"/>
          <w:szCs w:val="24"/>
        </w:rPr>
        <w:t xml:space="preserve"> </w:t>
      </w:r>
      <w:r w:rsidR="008F2135">
        <w:rPr>
          <w:rFonts w:ascii="Times New Roman" w:hAnsi="Times New Roman" w:cs="Times New Roman"/>
          <w:i/>
          <w:sz w:val="24"/>
          <w:szCs w:val="24"/>
        </w:rPr>
        <w:t xml:space="preserve">pregiudizio concreto </w:t>
      </w:r>
      <w:r w:rsidR="008F2135" w:rsidRPr="008F2135">
        <w:rPr>
          <w:rFonts w:ascii="Times New Roman" w:hAnsi="Times New Roman" w:cs="Times New Roman"/>
          <w:sz w:val="24"/>
          <w:szCs w:val="24"/>
        </w:rPr>
        <w:t>(</w:t>
      </w:r>
      <w:r w:rsidR="008F2135" w:rsidRPr="008F2135">
        <w:rPr>
          <w:rFonts w:ascii="Times New Roman" w:hAnsi="Times New Roman" w:cs="Times New Roman"/>
          <w:i/>
          <w:sz w:val="24"/>
          <w:szCs w:val="24"/>
        </w:rPr>
        <w:t>ergo</w:t>
      </w:r>
      <w:r w:rsidR="008F2135" w:rsidRPr="008F2135">
        <w:rPr>
          <w:rFonts w:ascii="Times New Roman" w:hAnsi="Times New Roman" w:cs="Times New Roman"/>
          <w:sz w:val="24"/>
          <w:szCs w:val="24"/>
        </w:rPr>
        <w:t>, sulla spettanza dell’</w:t>
      </w:r>
      <w:r w:rsidR="008F2135">
        <w:rPr>
          <w:rFonts w:ascii="Times New Roman" w:hAnsi="Times New Roman" w:cs="Times New Roman"/>
          <w:sz w:val="24"/>
          <w:szCs w:val="24"/>
        </w:rPr>
        <w:t>accesso civico generalizzato</w:t>
      </w:r>
      <w:r w:rsidR="008F2135" w:rsidRPr="008F2135">
        <w:rPr>
          <w:rFonts w:ascii="Times New Roman" w:hAnsi="Times New Roman" w:cs="Times New Roman"/>
          <w:sz w:val="24"/>
          <w:szCs w:val="24"/>
        </w:rPr>
        <w:t xml:space="preserve">) </w:t>
      </w:r>
      <w:r w:rsidR="006649F5">
        <w:rPr>
          <w:rFonts w:ascii="Times New Roman" w:hAnsi="Times New Roman" w:cs="Times New Roman"/>
          <w:sz w:val="24"/>
          <w:szCs w:val="24"/>
        </w:rPr>
        <w:t>è articolato in più fasi</w:t>
      </w:r>
      <w:r w:rsidR="00E320FC" w:rsidRPr="00E320FC">
        <w:rPr>
          <w:rFonts w:ascii="Times New Roman" w:hAnsi="Times New Roman" w:cs="Times New Roman"/>
          <w:sz w:val="24"/>
          <w:szCs w:val="24"/>
        </w:rPr>
        <w:t>.</w:t>
      </w:r>
      <w:r w:rsidRPr="00E320FC">
        <w:rPr>
          <w:rFonts w:ascii="Times New Roman" w:hAnsi="Times New Roman" w:cs="Times New Roman"/>
          <w:sz w:val="24"/>
          <w:szCs w:val="24"/>
        </w:rPr>
        <w:t xml:space="preserve"> </w:t>
      </w:r>
    </w:p>
    <w:p w:rsidR="00FE0774" w:rsidRDefault="006649F5"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Nella prima</w:t>
      </w:r>
      <w:r w:rsidR="00FE0774" w:rsidRPr="00E320FC">
        <w:rPr>
          <w:rFonts w:ascii="Times New Roman" w:hAnsi="Times New Roman" w:cs="Times New Roman"/>
          <w:sz w:val="24"/>
          <w:szCs w:val="24"/>
        </w:rPr>
        <w:t>, di carattere istruttorio, l’amministrazione raccoglie tutti gli elementi necessari al fine di delineare una quadro informativo su cui poter apprezzare la sussistenza del «</w:t>
      </w:r>
      <w:r w:rsidR="00FE0774" w:rsidRPr="00E320FC">
        <w:rPr>
          <w:rFonts w:ascii="Times New Roman" w:hAnsi="Times New Roman" w:cs="Times New Roman"/>
          <w:i/>
          <w:sz w:val="24"/>
          <w:szCs w:val="24"/>
        </w:rPr>
        <w:t>pregiudizio concreto».</w:t>
      </w:r>
      <w:r w:rsidR="00FE0774" w:rsidRPr="00424943">
        <w:rPr>
          <w:rFonts w:ascii="Times New Roman" w:hAnsi="Times New Roman" w:cs="Times New Roman"/>
          <w:b/>
          <w:i/>
          <w:sz w:val="24"/>
          <w:szCs w:val="24"/>
        </w:rPr>
        <w:t xml:space="preserve"> </w:t>
      </w:r>
      <w:r w:rsidR="00FE0774" w:rsidRPr="00E320FC">
        <w:rPr>
          <w:rFonts w:ascii="Times New Roman" w:hAnsi="Times New Roman" w:cs="Times New Roman"/>
          <w:sz w:val="24"/>
          <w:szCs w:val="24"/>
        </w:rPr>
        <w:t>A tal fine, l’amministrazione acquisisce anche le posizioni dei controinteressati</w:t>
      </w:r>
      <w:r w:rsidR="00FE0774" w:rsidRPr="00424943">
        <w:rPr>
          <w:rFonts w:ascii="Times New Roman" w:hAnsi="Times New Roman" w:cs="Times New Roman"/>
          <w:b/>
          <w:sz w:val="24"/>
          <w:szCs w:val="24"/>
        </w:rPr>
        <w:t xml:space="preserve"> </w:t>
      </w:r>
      <w:r w:rsidR="00FE0774" w:rsidRPr="00E320FC">
        <w:rPr>
          <w:rFonts w:ascii="Times New Roman" w:hAnsi="Times New Roman" w:cs="Times New Roman"/>
          <w:sz w:val="24"/>
          <w:szCs w:val="24"/>
        </w:rPr>
        <w:t xml:space="preserve">all’accesso universale ritenuto pregiudizievole dei loro interessi privati, come previsto dall’art. 5, 5°comma d.lgs. </w:t>
      </w:r>
      <w:r w:rsidR="00CB2565">
        <w:rPr>
          <w:rFonts w:ascii="Times New Roman" w:hAnsi="Times New Roman" w:cs="Times New Roman"/>
          <w:sz w:val="24"/>
          <w:szCs w:val="24"/>
        </w:rPr>
        <w:t xml:space="preserve">n. </w:t>
      </w:r>
      <w:r w:rsidR="00FE0774" w:rsidRPr="00E320FC">
        <w:rPr>
          <w:rFonts w:ascii="Times New Roman" w:hAnsi="Times New Roman" w:cs="Times New Roman"/>
          <w:sz w:val="24"/>
          <w:szCs w:val="24"/>
        </w:rPr>
        <w:t xml:space="preserve">33/2013. </w:t>
      </w:r>
    </w:p>
    <w:p w:rsidR="00315C07" w:rsidRDefault="006649F5"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Nella seconda</w:t>
      </w:r>
      <w:r w:rsidR="00315C07">
        <w:rPr>
          <w:rFonts w:ascii="Times New Roman" w:hAnsi="Times New Roman" w:cs="Times New Roman"/>
          <w:sz w:val="24"/>
          <w:szCs w:val="24"/>
        </w:rPr>
        <w:t>,</w:t>
      </w:r>
      <w:r>
        <w:rPr>
          <w:rFonts w:ascii="Times New Roman" w:hAnsi="Times New Roman" w:cs="Times New Roman"/>
          <w:sz w:val="24"/>
          <w:szCs w:val="24"/>
        </w:rPr>
        <w:t xml:space="preserve"> di carattere prognostico,</w:t>
      </w:r>
      <w:r w:rsidR="00315C07">
        <w:rPr>
          <w:rFonts w:ascii="Times New Roman" w:hAnsi="Times New Roman" w:cs="Times New Roman"/>
          <w:sz w:val="24"/>
          <w:szCs w:val="24"/>
        </w:rPr>
        <w:t xml:space="preserve"> l’amministrazione effettua tre valutazioni.</w:t>
      </w:r>
    </w:p>
    <w:p w:rsidR="00315C07" w:rsidRDefault="00315C07"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Sulla base del quadro istruttorio, verifica se l’ostensione</w:t>
      </w:r>
      <w:r w:rsidR="006649F5">
        <w:rPr>
          <w:rFonts w:ascii="Times New Roman" w:hAnsi="Times New Roman" w:cs="Times New Roman"/>
          <w:sz w:val="24"/>
          <w:szCs w:val="24"/>
        </w:rPr>
        <w:t xml:space="preserve"> dei documenti richiesti esporrebbe</w:t>
      </w:r>
      <w:r>
        <w:rPr>
          <w:rFonts w:ascii="Times New Roman" w:hAnsi="Times New Roman" w:cs="Times New Roman"/>
          <w:sz w:val="24"/>
          <w:szCs w:val="24"/>
        </w:rPr>
        <w:t xml:space="preserve"> a conseguenze pregiudizievoli uno degli interessi elencati dall’</w:t>
      </w:r>
      <w:r w:rsidR="0075568A">
        <w:rPr>
          <w:rFonts w:ascii="Times New Roman" w:hAnsi="Times New Roman" w:cs="Times New Roman"/>
          <w:sz w:val="24"/>
          <w:szCs w:val="24"/>
        </w:rPr>
        <w:t>art. 5-bis.</w:t>
      </w:r>
    </w:p>
    <w:p w:rsidR="00315C07" w:rsidRDefault="00315C07"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Accertato questo rischio, l’autorità deve bilanciare l’interesse alla conoscenza con il pregiudizio</w:t>
      </w:r>
      <w:r w:rsidR="0075568A">
        <w:rPr>
          <w:rFonts w:ascii="Times New Roman" w:hAnsi="Times New Roman" w:cs="Times New Roman"/>
          <w:sz w:val="24"/>
          <w:szCs w:val="24"/>
        </w:rPr>
        <w:t xml:space="preserve"> concreto che subirebbe </w:t>
      </w:r>
      <w:r>
        <w:rPr>
          <w:rFonts w:ascii="Times New Roman" w:hAnsi="Times New Roman" w:cs="Times New Roman"/>
          <w:sz w:val="24"/>
          <w:szCs w:val="24"/>
        </w:rPr>
        <w:t>l’interesse tutelato, al fine di stabilire se</w:t>
      </w:r>
      <w:r w:rsidR="00BF08B9">
        <w:rPr>
          <w:rFonts w:ascii="Times New Roman" w:hAnsi="Times New Roman" w:cs="Times New Roman"/>
          <w:sz w:val="24"/>
          <w:szCs w:val="24"/>
        </w:rPr>
        <w:t>,</w:t>
      </w:r>
      <w:r>
        <w:rPr>
          <w:rFonts w:ascii="Times New Roman" w:hAnsi="Times New Roman" w:cs="Times New Roman"/>
          <w:sz w:val="24"/>
          <w:szCs w:val="24"/>
        </w:rPr>
        <w:t xml:space="preserve"> per scongiurare la lesione</w:t>
      </w:r>
      <w:r w:rsidR="00BF08B9">
        <w:rPr>
          <w:rFonts w:ascii="Times New Roman" w:hAnsi="Times New Roman" w:cs="Times New Roman"/>
          <w:sz w:val="24"/>
          <w:szCs w:val="24"/>
        </w:rPr>
        <w:t>,</w:t>
      </w:r>
      <w:r>
        <w:rPr>
          <w:rFonts w:ascii="Times New Roman" w:hAnsi="Times New Roman" w:cs="Times New Roman"/>
          <w:sz w:val="24"/>
          <w:szCs w:val="24"/>
        </w:rPr>
        <w:t xml:space="preserve"> occorra rifiutare l</w:t>
      </w:r>
      <w:r w:rsidR="006649F5">
        <w:rPr>
          <w:rFonts w:ascii="Times New Roman" w:hAnsi="Times New Roman" w:cs="Times New Roman"/>
          <w:sz w:val="24"/>
          <w:szCs w:val="24"/>
        </w:rPr>
        <w:t>’accesso</w:t>
      </w:r>
      <w:r>
        <w:rPr>
          <w:rFonts w:ascii="Times New Roman" w:hAnsi="Times New Roman" w:cs="Times New Roman"/>
          <w:sz w:val="24"/>
          <w:szCs w:val="24"/>
        </w:rPr>
        <w:t>.</w:t>
      </w:r>
    </w:p>
    <w:p w:rsidR="0075568A" w:rsidRDefault="0075568A"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Sui criteri di bilanci</w:t>
      </w:r>
      <w:r w:rsidR="005A33F0">
        <w:rPr>
          <w:rFonts w:ascii="Times New Roman" w:hAnsi="Times New Roman" w:cs="Times New Roman"/>
          <w:sz w:val="24"/>
          <w:szCs w:val="24"/>
        </w:rPr>
        <w:t>amento, tuttavia, si fronteggiano</w:t>
      </w:r>
      <w:r>
        <w:rPr>
          <w:rFonts w:ascii="Times New Roman" w:hAnsi="Times New Roman" w:cs="Times New Roman"/>
          <w:sz w:val="24"/>
          <w:szCs w:val="24"/>
        </w:rPr>
        <w:t xml:space="preserve"> diverse posizioni.</w:t>
      </w:r>
    </w:p>
    <w:p w:rsidR="0075568A" w:rsidRPr="0075568A" w:rsidRDefault="0075568A" w:rsidP="00457EEE">
      <w:pPr>
        <w:spacing w:after="0" w:line="360" w:lineRule="auto"/>
        <w:jc w:val="both"/>
        <w:rPr>
          <w:rFonts w:ascii="Times New Roman" w:hAnsi="Times New Roman" w:cs="Times New Roman"/>
          <w:sz w:val="24"/>
          <w:szCs w:val="24"/>
        </w:rPr>
      </w:pPr>
      <w:r w:rsidRPr="0075568A">
        <w:rPr>
          <w:rFonts w:ascii="Times New Roman" w:hAnsi="Times New Roman" w:cs="Times New Roman"/>
          <w:sz w:val="24"/>
          <w:szCs w:val="24"/>
        </w:rPr>
        <w:t>Secondo l’A.N.A.C.</w:t>
      </w:r>
      <w:r>
        <w:rPr>
          <w:rStyle w:val="Rimandonotaapidipagina"/>
          <w:rFonts w:ascii="Times New Roman" w:hAnsi="Times New Roman" w:cs="Times New Roman"/>
          <w:sz w:val="24"/>
          <w:szCs w:val="24"/>
        </w:rPr>
        <w:footnoteReference w:id="16"/>
      </w:r>
      <w:r w:rsidRPr="0075568A">
        <w:rPr>
          <w:rFonts w:ascii="Times New Roman" w:hAnsi="Times New Roman" w:cs="Times New Roman"/>
          <w:sz w:val="24"/>
          <w:szCs w:val="24"/>
        </w:rPr>
        <w:t xml:space="preserve"> e il Ministro per la Pubblica Amministrazione</w:t>
      </w:r>
      <w:r>
        <w:rPr>
          <w:rStyle w:val="Rimandonotaapidipagina"/>
          <w:rFonts w:ascii="Times New Roman" w:hAnsi="Times New Roman" w:cs="Times New Roman"/>
          <w:sz w:val="24"/>
          <w:szCs w:val="24"/>
        </w:rPr>
        <w:footnoteReference w:id="17"/>
      </w:r>
      <w:r w:rsidRPr="0075568A">
        <w:rPr>
          <w:rFonts w:ascii="Times New Roman" w:hAnsi="Times New Roman" w:cs="Times New Roman"/>
          <w:sz w:val="24"/>
          <w:szCs w:val="24"/>
        </w:rPr>
        <w:t xml:space="preserve">, il bilanciamento deve essere governato dal principio della tutela preferenziale dell’interesse conoscitivo secondo cui, nei casi dubbi, l’amministrazione dovrebbe preferire l’esigenza di trasparenza. </w:t>
      </w:r>
    </w:p>
    <w:p w:rsidR="00125389" w:rsidRDefault="0075568A" w:rsidP="00457EEE">
      <w:pPr>
        <w:spacing w:after="0" w:line="360" w:lineRule="auto"/>
        <w:jc w:val="both"/>
        <w:rPr>
          <w:rFonts w:ascii="Times New Roman" w:hAnsi="Times New Roman" w:cs="Times New Roman"/>
          <w:sz w:val="24"/>
          <w:szCs w:val="24"/>
        </w:rPr>
      </w:pPr>
      <w:r w:rsidRPr="0075568A">
        <w:rPr>
          <w:rFonts w:ascii="Times New Roman" w:hAnsi="Times New Roman" w:cs="Times New Roman"/>
          <w:sz w:val="24"/>
          <w:szCs w:val="24"/>
        </w:rPr>
        <w:t>Tale posizione è stata criticata a più rip</w:t>
      </w:r>
      <w:r w:rsidR="002546BA">
        <w:rPr>
          <w:rFonts w:ascii="Times New Roman" w:hAnsi="Times New Roman" w:cs="Times New Roman"/>
          <w:sz w:val="24"/>
          <w:szCs w:val="24"/>
        </w:rPr>
        <w:t>rese dal Garante per la p</w:t>
      </w:r>
      <w:r w:rsidR="00125389">
        <w:rPr>
          <w:rFonts w:ascii="Times New Roman" w:hAnsi="Times New Roman" w:cs="Times New Roman"/>
          <w:sz w:val="24"/>
          <w:szCs w:val="24"/>
        </w:rPr>
        <w:t>rivacy che, per la materia di sua competenza, ha affermato che</w:t>
      </w:r>
      <w:r>
        <w:rPr>
          <w:rFonts w:ascii="Times New Roman" w:hAnsi="Times New Roman" w:cs="Times New Roman"/>
          <w:sz w:val="24"/>
          <w:szCs w:val="24"/>
        </w:rPr>
        <w:t xml:space="preserve"> non si può</w:t>
      </w:r>
      <w:r w:rsidRPr="0075568A">
        <w:rPr>
          <w:rFonts w:ascii="Times New Roman" w:hAnsi="Times New Roman" w:cs="Times New Roman"/>
          <w:sz w:val="24"/>
          <w:szCs w:val="24"/>
        </w:rPr>
        <w:t xml:space="preserve"> accordare una aprioristica prevalenza all’esigenza </w:t>
      </w:r>
      <w:r w:rsidR="00125389">
        <w:rPr>
          <w:rFonts w:ascii="Times New Roman" w:hAnsi="Times New Roman" w:cs="Times New Roman"/>
          <w:sz w:val="24"/>
          <w:szCs w:val="24"/>
        </w:rPr>
        <w:t>di trasparenza rispetto ad</w:t>
      </w:r>
      <w:r w:rsidRPr="0075568A">
        <w:rPr>
          <w:rFonts w:ascii="Times New Roman" w:hAnsi="Times New Roman" w:cs="Times New Roman"/>
          <w:sz w:val="24"/>
          <w:szCs w:val="24"/>
        </w:rPr>
        <w:t xml:space="preserve"> interessi costituzionalmente tutelati come la riservatezza e la protezione dei dati</w:t>
      </w:r>
      <w:r>
        <w:rPr>
          <w:rFonts w:ascii="Times New Roman" w:hAnsi="Times New Roman" w:cs="Times New Roman"/>
          <w:sz w:val="24"/>
          <w:szCs w:val="24"/>
        </w:rPr>
        <w:t xml:space="preserve"> personali, perché</w:t>
      </w:r>
      <w:r w:rsidRPr="0075568A">
        <w:rPr>
          <w:rFonts w:ascii="Times New Roman" w:hAnsi="Times New Roman" w:cs="Times New Roman"/>
          <w:sz w:val="24"/>
          <w:szCs w:val="24"/>
        </w:rPr>
        <w:t xml:space="preserve"> si comprometterebbe il bilanciamento di interessi che richiede un approccio equilibrato alla ponderazione dei diritti </w:t>
      </w:r>
      <w:r>
        <w:rPr>
          <w:rFonts w:ascii="Times New Roman" w:hAnsi="Times New Roman" w:cs="Times New Roman"/>
          <w:sz w:val="24"/>
          <w:szCs w:val="24"/>
        </w:rPr>
        <w:t>coinvolti nella fattispecie, per</w:t>
      </w:r>
      <w:r w:rsidRPr="0075568A">
        <w:rPr>
          <w:rFonts w:ascii="Times New Roman" w:hAnsi="Times New Roman" w:cs="Times New Roman"/>
          <w:sz w:val="24"/>
          <w:szCs w:val="24"/>
        </w:rPr>
        <w:t xml:space="preserve"> evitare che i controinteressati all’istanza di accesso subiscano pregiudizio dall’ostensione dei documenti che li riguardano. La preferenza per</w:t>
      </w:r>
      <w:r>
        <w:rPr>
          <w:rFonts w:ascii="Times New Roman" w:hAnsi="Times New Roman" w:cs="Times New Roman"/>
          <w:sz w:val="24"/>
          <w:szCs w:val="24"/>
        </w:rPr>
        <w:t xml:space="preserve"> l’accesso, secondo il Garante, rischia</w:t>
      </w:r>
      <w:r w:rsidRPr="0075568A">
        <w:rPr>
          <w:rFonts w:ascii="Times New Roman" w:hAnsi="Times New Roman" w:cs="Times New Roman"/>
          <w:sz w:val="24"/>
          <w:szCs w:val="24"/>
        </w:rPr>
        <w:t xml:space="preserve"> di generare comportamenti irragionevoli in contrasto, per quanto attiene alla riservatezza e alla tutela dei </w:t>
      </w:r>
      <w:r w:rsidR="00125389">
        <w:rPr>
          <w:rFonts w:ascii="Times New Roman" w:hAnsi="Times New Roman" w:cs="Times New Roman"/>
          <w:sz w:val="24"/>
          <w:szCs w:val="24"/>
        </w:rPr>
        <w:t>dati personali, con l’art. 8 della C.E.D.U. e con gli artt. 7 e 8 della Carta di Nizza</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xml:space="preserve">. </w:t>
      </w:r>
      <w:r w:rsidR="00125389">
        <w:rPr>
          <w:rFonts w:ascii="Times New Roman" w:hAnsi="Times New Roman" w:cs="Times New Roman"/>
          <w:sz w:val="24"/>
          <w:szCs w:val="24"/>
        </w:rPr>
        <w:t>Ad avviso del Garante Privacy, l’operazione di bilanciamento tra la trasparenza e la riservatezza dovrebbe essere condotta in virtù dei principi che regolano la materia dei dati personali</w:t>
      </w:r>
      <w:r w:rsidR="00125389">
        <w:rPr>
          <w:rStyle w:val="Rimandonotaapidipagina"/>
          <w:rFonts w:ascii="Times New Roman" w:hAnsi="Times New Roman" w:cs="Times New Roman"/>
          <w:sz w:val="24"/>
          <w:szCs w:val="24"/>
        </w:rPr>
        <w:footnoteReference w:id="19"/>
      </w:r>
      <w:r w:rsidR="00125389">
        <w:rPr>
          <w:rFonts w:ascii="Times New Roman" w:hAnsi="Times New Roman" w:cs="Times New Roman"/>
          <w:sz w:val="24"/>
          <w:szCs w:val="24"/>
        </w:rPr>
        <w:t xml:space="preserve">. </w:t>
      </w:r>
    </w:p>
    <w:p w:rsidR="00315C07" w:rsidRDefault="0075568A"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L’incertezza sui criteri applicativi influenza il giudi</w:t>
      </w:r>
      <w:r w:rsidR="00125389">
        <w:rPr>
          <w:rFonts w:ascii="Times New Roman" w:hAnsi="Times New Roman" w:cs="Times New Roman"/>
          <w:sz w:val="24"/>
          <w:szCs w:val="24"/>
        </w:rPr>
        <w:t>zio di bilanciamento che, con riferimento a situazioni comparabili</w:t>
      </w:r>
      <w:r>
        <w:rPr>
          <w:rFonts w:ascii="Times New Roman" w:hAnsi="Times New Roman" w:cs="Times New Roman"/>
          <w:sz w:val="24"/>
          <w:szCs w:val="24"/>
        </w:rPr>
        <w:t>, potrebbe</w:t>
      </w:r>
      <w:r w:rsidR="00125389">
        <w:rPr>
          <w:rFonts w:ascii="Times New Roman" w:hAnsi="Times New Roman" w:cs="Times New Roman"/>
          <w:sz w:val="24"/>
          <w:szCs w:val="24"/>
        </w:rPr>
        <w:t xml:space="preserve"> </w:t>
      </w:r>
      <w:r>
        <w:rPr>
          <w:rFonts w:ascii="Times New Roman" w:hAnsi="Times New Roman" w:cs="Times New Roman"/>
          <w:sz w:val="24"/>
          <w:szCs w:val="24"/>
        </w:rPr>
        <w:t>risultare diverso in dipe</w:t>
      </w:r>
      <w:r w:rsidR="00125389">
        <w:rPr>
          <w:rFonts w:ascii="Times New Roman" w:hAnsi="Times New Roman" w:cs="Times New Roman"/>
          <w:sz w:val="24"/>
          <w:szCs w:val="24"/>
        </w:rPr>
        <w:t xml:space="preserve">ndenza dei parametri impiegati. </w:t>
      </w:r>
    </w:p>
    <w:p w:rsidR="0075568A" w:rsidRDefault="0075568A"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Infine</w:t>
      </w:r>
      <w:r w:rsidR="00125389">
        <w:rPr>
          <w:rFonts w:ascii="Times New Roman" w:hAnsi="Times New Roman" w:cs="Times New Roman"/>
          <w:sz w:val="24"/>
          <w:szCs w:val="24"/>
        </w:rPr>
        <w:t xml:space="preserve">, l’amministrazione, accertata l’impossibilità di concedere l’accesso universale per la sussistenza di un pregiudizio concreto, dovrebbe valutare la possibilità di rilasciare un accesso parziale, ai sensi dell’art. 5-bis, 4°comma d.lgs. </w:t>
      </w:r>
      <w:r w:rsidR="00CB2565">
        <w:rPr>
          <w:rFonts w:ascii="Times New Roman" w:hAnsi="Times New Roman" w:cs="Times New Roman"/>
          <w:sz w:val="24"/>
          <w:szCs w:val="24"/>
        </w:rPr>
        <w:t xml:space="preserve">n. </w:t>
      </w:r>
      <w:r w:rsidR="00125389">
        <w:rPr>
          <w:rFonts w:ascii="Times New Roman" w:hAnsi="Times New Roman" w:cs="Times New Roman"/>
          <w:sz w:val="24"/>
          <w:szCs w:val="24"/>
        </w:rPr>
        <w:t>33/2013.</w:t>
      </w:r>
    </w:p>
    <w:p w:rsidR="00FE0774" w:rsidRPr="00ED67EC"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w:t>
      </w:r>
      <w:r w:rsidRPr="00ED67EC">
        <w:rPr>
          <w:rFonts w:ascii="Times New Roman" w:hAnsi="Times New Roman" w:cs="Times New Roman"/>
          <w:sz w:val="24"/>
          <w:szCs w:val="24"/>
        </w:rPr>
        <w:t xml:space="preserve"> sindacato</w:t>
      </w:r>
      <w:r>
        <w:rPr>
          <w:rFonts w:ascii="Times New Roman" w:hAnsi="Times New Roman" w:cs="Times New Roman"/>
          <w:sz w:val="24"/>
          <w:szCs w:val="24"/>
        </w:rPr>
        <w:t xml:space="preserve"> dell’amministrazione</w:t>
      </w:r>
      <w:r w:rsidRPr="00ED67EC">
        <w:rPr>
          <w:rFonts w:ascii="Times New Roman" w:hAnsi="Times New Roman" w:cs="Times New Roman"/>
          <w:sz w:val="24"/>
          <w:szCs w:val="24"/>
        </w:rPr>
        <w:t xml:space="preserve"> su</w:t>
      </w:r>
      <w:r>
        <w:rPr>
          <w:rFonts w:ascii="Times New Roman" w:hAnsi="Times New Roman" w:cs="Times New Roman"/>
          <w:sz w:val="24"/>
          <w:szCs w:val="24"/>
        </w:rPr>
        <w:t xml:space="preserve">lla sussistenza delle esclusioni e dei </w:t>
      </w:r>
      <w:r w:rsidRPr="00ED67EC">
        <w:rPr>
          <w:rFonts w:ascii="Times New Roman" w:hAnsi="Times New Roman" w:cs="Times New Roman"/>
          <w:sz w:val="24"/>
          <w:szCs w:val="24"/>
        </w:rPr>
        <w:t>limiti dell’art. 5-bis</w:t>
      </w:r>
      <w:r>
        <w:rPr>
          <w:rFonts w:ascii="Times New Roman" w:hAnsi="Times New Roman" w:cs="Times New Roman"/>
          <w:sz w:val="24"/>
          <w:szCs w:val="24"/>
        </w:rPr>
        <w:t xml:space="preserve"> è informato alla progressività </w:t>
      </w:r>
      <w:r w:rsidRPr="00ED67EC">
        <w:rPr>
          <w:rFonts w:ascii="Times New Roman" w:hAnsi="Times New Roman" w:cs="Times New Roman"/>
          <w:sz w:val="24"/>
          <w:szCs w:val="24"/>
        </w:rPr>
        <w:t>nel senso che l’ammin</w:t>
      </w:r>
      <w:r>
        <w:rPr>
          <w:rFonts w:ascii="Times New Roman" w:hAnsi="Times New Roman" w:cs="Times New Roman"/>
          <w:sz w:val="24"/>
          <w:szCs w:val="24"/>
        </w:rPr>
        <w:t xml:space="preserve">istrazione deve, inizialmente, </w:t>
      </w:r>
      <w:r w:rsidRPr="00ED67EC">
        <w:rPr>
          <w:rFonts w:ascii="Times New Roman" w:hAnsi="Times New Roman" w:cs="Times New Roman"/>
          <w:sz w:val="24"/>
          <w:szCs w:val="24"/>
        </w:rPr>
        <w:t>verificare l’assenza delle eccezioni assolute</w:t>
      </w:r>
      <w:r>
        <w:rPr>
          <w:rFonts w:ascii="Times New Roman" w:hAnsi="Times New Roman" w:cs="Times New Roman"/>
          <w:sz w:val="24"/>
          <w:szCs w:val="24"/>
        </w:rPr>
        <w:t xml:space="preserve"> e, una volta esclusa la loro sussistenza, deve </w:t>
      </w:r>
      <w:r w:rsidRPr="00ED67EC">
        <w:rPr>
          <w:rFonts w:ascii="Times New Roman" w:hAnsi="Times New Roman" w:cs="Times New Roman"/>
          <w:sz w:val="24"/>
          <w:szCs w:val="24"/>
        </w:rPr>
        <w:t xml:space="preserve">valutare se dall’ostensione dei documenti richiesti possa derivare un pregiudizio agli interessi elencati dall’art. 5-bis, 1° e 2°comma. </w:t>
      </w:r>
      <w:r>
        <w:rPr>
          <w:rFonts w:ascii="Times New Roman" w:hAnsi="Times New Roman" w:cs="Times New Roman"/>
          <w:sz w:val="24"/>
          <w:szCs w:val="24"/>
        </w:rPr>
        <w:t>Soltanto i</w:t>
      </w:r>
      <w:r w:rsidRPr="00ED67EC">
        <w:rPr>
          <w:rFonts w:ascii="Times New Roman" w:hAnsi="Times New Roman" w:cs="Times New Roman"/>
          <w:sz w:val="24"/>
          <w:szCs w:val="24"/>
        </w:rPr>
        <w:t>n caso di esito negativo potrà concedere l’accesso universale</w:t>
      </w:r>
      <w:r>
        <w:rPr>
          <w:rStyle w:val="Rimandonotaapidipagina"/>
          <w:rFonts w:ascii="Times New Roman" w:hAnsi="Times New Roman" w:cs="Times New Roman"/>
          <w:sz w:val="24"/>
          <w:szCs w:val="24"/>
        </w:rPr>
        <w:footnoteReference w:id="20"/>
      </w:r>
      <w:r w:rsidRPr="00ED67EC">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Riferendo le indicazioni operative dell’A.</w:t>
      </w:r>
      <w:r>
        <w:rPr>
          <w:rFonts w:ascii="Times New Roman" w:hAnsi="Times New Roman" w:cs="Times New Roman"/>
          <w:sz w:val="24"/>
          <w:szCs w:val="24"/>
        </w:rPr>
        <w:t>N.A.C. alla valutazione dell’accesso universale</w:t>
      </w:r>
      <w:r w:rsidRPr="00ED67EC">
        <w:rPr>
          <w:rFonts w:ascii="Times New Roman" w:hAnsi="Times New Roman" w:cs="Times New Roman"/>
          <w:sz w:val="24"/>
          <w:szCs w:val="24"/>
        </w:rPr>
        <w:t xml:space="preserve"> agli atti delle procedure di gara, </w:t>
      </w:r>
      <w:r>
        <w:rPr>
          <w:rFonts w:ascii="Times New Roman" w:hAnsi="Times New Roman" w:cs="Times New Roman"/>
          <w:sz w:val="24"/>
          <w:szCs w:val="24"/>
        </w:rPr>
        <w:t xml:space="preserve">si ricava che il codice dei contratti pubblici preclude </w:t>
      </w:r>
      <w:r w:rsidRPr="00ED67EC">
        <w:rPr>
          <w:rFonts w:ascii="Times New Roman" w:hAnsi="Times New Roman" w:cs="Times New Roman"/>
          <w:sz w:val="24"/>
          <w:szCs w:val="24"/>
        </w:rPr>
        <w:t>l’oste</w:t>
      </w:r>
      <w:r>
        <w:rPr>
          <w:rFonts w:ascii="Times New Roman" w:hAnsi="Times New Roman" w:cs="Times New Roman"/>
          <w:sz w:val="24"/>
          <w:szCs w:val="24"/>
        </w:rPr>
        <w:t xml:space="preserve">nsione dei documenti </w:t>
      </w:r>
      <w:r w:rsidRPr="00ED67EC">
        <w:rPr>
          <w:rFonts w:ascii="Times New Roman" w:hAnsi="Times New Roman" w:cs="Times New Roman"/>
          <w:sz w:val="24"/>
          <w:szCs w:val="24"/>
        </w:rPr>
        <w:t xml:space="preserve">in una serie di casi. </w:t>
      </w:r>
    </w:p>
    <w:p w:rsidR="00FE0774" w:rsidRPr="00ED67EC" w:rsidRDefault="00FE0774" w:rsidP="00457EEE">
      <w:pPr>
        <w:spacing w:after="0" w:line="360" w:lineRule="auto"/>
        <w:jc w:val="both"/>
        <w:rPr>
          <w:rFonts w:ascii="Times New Roman" w:hAnsi="Times New Roman" w:cs="Times New Roman"/>
          <w:sz w:val="24"/>
          <w:szCs w:val="24"/>
        </w:rPr>
      </w:pP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3.1.  I divieti temporanei di accesso</w:t>
      </w:r>
      <w:r>
        <w:rPr>
          <w:rFonts w:ascii="Times New Roman" w:hAnsi="Times New Roman" w:cs="Times New Roman"/>
          <w:sz w:val="24"/>
          <w:szCs w:val="24"/>
        </w:rPr>
        <w:t xml:space="preserve"> </w:t>
      </w:r>
    </w:p>
    <w:p w:rsidR="00FE0774" w:rsidRPr="00ED67EC" w:rsidRDefault="00FE0774" w:rsidP="00457EEE">
      <w:pPr>
        <w:spacing w:after="0" w:line="360" w:lineRule="auto"/>
        <w:jc w:val="both"/>
        <w:rPr>
          <w:rFonts w:ascii="Times New Roman" w:hAnsi="Times New Roman" w:cs="Times New Roman"/>
          <w:i/>
          <w:sz w:val="24"/>
          <w:szCs w:val="24"/>
        </w:rPr>
      </w:pPr>
      <w:r w:rsidRPr="00ED67EC">
        <w:rPr>
          <w:rFonts w:ascii="Times New Roman" w:hAnsi="Times New Roman" w:cs="Times New Roman"/>
          <w:sz w:val="24"/>
          <w:szCs w:val="24"/>
        </w:rPr>
        <w:t xml:space="preserve">Ad un primo gruppo, appartengono i divieti temporanei delle lett. a), b), c) e d) dell’art. 53, 2°comma del d.lgs. </w:t>
      </w:r>
      <w:r w:rsidR="00CB2565">
        <w:rPr>
          <w:rFonts w:ascii="Times New Roman" w:hAnsi="Times New Roman" w:cs="Times New Roman"/>
          <w:sz w:val="24"/>
          <w:szCs w:val="24"/>
        </w:rPr>
        <w:t xml:space="preserve">n. </w:t>
      </w:r>
      <w:r w:rsidRPr="00ED67EC">
        <w:rPr>
          <w:rFonts w:ascii="Times New Roman" w:hAnsi="Times New Roman" w:cs="Times New Roman"/>
          <w:sz w:val="24"/>
          <w:szCs w:val="24"/>
        </w:rPr>
        <w:t>50/2016, i quali si configurano come eccezioni all’accesso generalizzato ai sensi dell’art. 5-bis, 3°comma del d.lgs. 33/2013, nella parte in cui quest’ultimo dispone che l’accesso universale è escluso nei «</w:t>
      </w:r>
      <w:r w:rsidRPr="00ED67EC">
        <w:rPr>
          <w:rFonts w:ascii="Times New Roman" w:hAnsi="Times New Roman" w:cs="Times New Roman"/>
          <w:i/>
          <w:sz w:val="24"/>
          <w:szCs w:val="24"/>
        </w:rPr>
        <w:t>casi in cui l’accesso è subordinato dalla disciplina vigente al rispetto di specifiche condizioni, modalità o limiti</w:t>
      </w:r>
      <w:r w:rsidR="00F64FE0">
        <w:rPr>
          <w:rStyle w:val="Rimandonotaapidipagina"/>
          <w:rFonts w:ascii="Times New Roman" w:hAnsi="Times New Roman" w:cs="Times New Roman"/>
          <w:i/>
          <w:sz w:val="24"/>
          <w:szCs w:val="24"/>
        </w:rPr>
        <w:footnoteReference w:id="21"/>
      </w:r>
      <w:r w:rsidRPr="00ED67EC">
        <w:rPr>
          <w:rFonts w:ascii="Times New Roman" w:hAnsi="Times New Roman" w:cs="Times New Roman"/>
          <w:i/>
          <w:sz w:val="24"/>
          <w:szCs w:val="24"/>
        </w:rPr>
        <w:t xml:space="preserve">.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Tutte le fattispecie dell’art. 53, 2°comma esprimono un bilanciamento di interessi effettuato </w:t>
      </w:r>
      <w:r w:rsidRPr="00ED67EC">
        <w:rPr>
          <w:rFonts w:ascii="Times New Roman" w:hAnsi="Times New Roman" w:cs="Times New Roman"/>
          <w:i/>
          <w:sz w:val="24"/>
          <w:szCs w:val="24"/>
        </w:rPr>
        <w:t>ex ante</w:t>
      </w:r>
      <w:r w:rsidRPr="00ED67EC">
        <w:rPr>
          <w:rFonts w:ascii="Times New Roman" w:hAnsi="Times New Roman" w:cs="Times New Roman"/>
          <w:sz w:val="24"/>
          <w:szCs w:val="24"/>
        </w:rPr>
        <w:t xml:space="preserve"> dal legislatore.</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Nelle ipotesi delle lett. a) e b), la disposizione antepone la tutela della posizione delle imprese alla esigenza della trasparenza. L’esclusione dell’accesso all’elenco degli operatori che hanno già presentato l’offerta, fino alla scadenza del termine per la presentazione delle domande, serve a scongiurare proprio</w:t>
      </w:r>
      <w:r>
        <w:rPr>
          <w:rFonts w:ascii="Times New Roman" w:hAnsi="Times New Roman" w:cs="Times New Roman"/>
          <w:sz w:val="24"/>
          <w:szCs w:val="24"/>
        </w:rPr>
        <w:t xml:space="preserve"> che gli operatori economici</w:t>
      </w:r>
      <w:r w:rsidRPr="00ED67EC">
        <w:rPr>
          <w:rFonts w:ascii="Times New Roman" w:hAnsi="Times New Roman" w:cs="Times New Roman"/>
          <w:sz w:val="24"/>
          <w:szCs w:val="24"/>
        </w:rPr>
        <w:t xml:space="preserve"> acquisiscano informazioni utili a decidere se partecipare alla gara ed, eventualmente, come formulare l’offerta, tutelando la </w:t>
      </w:r>
      <w:r w:rsidRPr="00ED67EC">
        <w:rPr>
          <w:rFonts w:ascii="Times New Roman" w:hAnsi="Times New Roman" w:cs="Times New Roman"/>
          <w:i/>
          <w:sz w:val="24"/>
          <w:szCs w:val="24"/>
        </w:rPr>
        <w:t>par condicio</w:t>
      </w:r>
      <w:r w:rsidRPr="00ED67EC">
        <w:rPr>
          <w:rFonts w:ascii="Times New Roman" w:hAnsi="Times New Roman" w:cs="Times New Roman"/>
          <w:sz w:val="24"/>
          <w:szCs w:val="24"/>
        </w:rPr>
        <w:t xml:space="preserve"> tra i concorrenti fin dall’inizio della procedura.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Nelle ipotes</w:t>
      </w:r>
      <w:r>
        <w:rPr>
          <w:rFonts w:ascii="Times New Roman" w:hAnsi="Times New Roman" w:cs="Times New Roman"/>
          <w:sz w:val="24"/>
          <w:szCs w:val="24"/>
        </w:rPr>
        <w:t xml:space="preserve">i previste dalle lett. c) e d), </w:t>
      </w:r>
      <w:r w:rsidRPr="00ED67EC">
        <w:rPr>
          <w:rFonts w:ascii="Times New Roman" w:hAnsi="Times New Roman" w:cs="Times New Roman"/>
          <w:sz w:val="24"/>
          <w:szCs w:val="24"/>
        </w:rPr>
        <w:t>l’imparzialità della commissione aggiudicatrice</w:t>
      </w:r>
      <w:r>
        <w:rPr>
          <w:rFonts w:ascii="Times New Roman" w:hAnsi="Times New Roman" w:cs="Times New Roman"/>
          <w:sz w:val="24"/>
          <w:szCs w:val="24"/>
        </w:rPr>
        <w:t xml:space="preserve"> </w:t>
      </w:r>
      <w:r w:rsidRPr="00ED67EC">
        <w:rPr>
          <w:rFonts w:ascii="Times New Roman" w:hAnsi="Times New Roman" w:cs="Times New Roman"/>
          <w:sz w:val="24"/>
          <w:szCs w:val="24"/>
        </w:rPr>
        <w:t>prevale sulla trasparenza. L’esclusione dell’accesso alle offerte e ai documenti del procedimento di anomalia dell’offerta, fino all’aggiudicazione, mira a scongiurare ogni forma di influenza da parte di soggetti esterni sulla commissione aggiudicatrice, tutelandone l’imparzialità di giudizio</w:t>
      </w:r>
      <w:r w:rsidRPr="00ED67EC">
        <w:rPr>
          <w:rStyle w:val="Rimandonotaapidipagina"/>
          <w:rFonts w:ascii="Times New Roman" w:hAnsi="Times New Roman" w:cs="Times New Roman"/>
          <w:sz w:val="24"/>
          <w:szCs w:val="24"/>
        </w:rPr>
        <w:footnoteReference w:id="22"/>
      </w:r>
      <w:r w:rsidRPr="00ED67EC">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 corso della procedura di gara, quando si verificano queste fattispecie, </w:t>
      </w:r>
      <w:r w:rsidRPr="00ED67EC">
        <w:rPr>
          <w:rFonts w:ascii="Times New Roman" w:hAnsi="Times New Roman" w:cs="Times New Roman"/>
          <w:sz w:val="24"/>
          <w:szCs w:val="24"/>
        </w:rPr>
        <w:t xml:space="preserve">l’attività della stazione appaltante è vincolata al bilanciamento di interessi effettuato </w:t>
      </w:r>
      <w:r w:rsidRPr="00ED67EC">
        <w:rPr>
          <w:rFonts w:ascii="Times New Roman" w:hAnsi="Times New Roman" w:cs="Times New Roman"/>
          <w:i/>
          <w:sz w:val="24"/>
          <w:szCs w:val="24"/>
        </w:rPr>
        <w:t>ex ante</w:t>
      </w:r>
      <w:r w:rsidRPr="00ED67EC">
        <w:rPr>
          <w:rFonts w:ascii="Times New Roman" w:hAnsi="Times New Roman" w:cs="Times New Roman"/>
          <w:sz w:val="24"/>
          <w:szCs w:val="24"/>
        </w:rPr>
        <w:t xml:space="preserve"> dall’art. 53, 2°</w:t>
      </w:r>
      <w:r>
        <w:rPr>
          <w:rFonts w:ascii="Times New Roman" w:hAnsi="Times New Roman" w:cs="Times New Roman"/>
          <w:sz w:val="24"/>
          <w:szCs w:val="24"/>
        </w:rPr>
        <w:t xml:space="preserve">comma. </w:t>
      </w:r>
    </w:p>
    <w:p w:rsidR="00FE0774" w:rsidRPr="00ED67EC"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Pertanto, dovrà differire l’accesso universale all’aggiudicazione della gara o al termine di presentazione delle offerte.</w:t>
      </w:r>
    </w:p>
    <w:p w:rsidR="00FE0774" w:rsidRDefault="00FE0774" w:rsidP="00457EEE">
      <w:pPr>
        <w:spacing w:after="0" w:line="360" w:lineRule="auto"/>
        <w:jc w:val="both"/>
        <w:rPr>
          <w:rFonts w:ascii="Times New Roman" w:hAnsi="Times New Roman" w:cs="Times New Roman"/>
          <w:b/>
          <w:sz w:val="24"/>
          <w:szCs w:val="24"/>
        </w:rPr>
      </w:pP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3.2.  I divieti assoluti di accesso</w:t>
      </w:r>
      <w:r>
        <w:rPr>
          <w:rFonts w:ascii="Times New Roman" w:hAnsi="Times New Roman" w:cs="Times New Roman"/>
          <w:sz w:val="24"/>
          <w:szCs w:val="24"/>
        </w:rPr>
        <w:t xml:space="preserve"> </w:t>
      </w:r>
    </w:p>
    <w:p w:rsidR="00FE0774" w:rsidRPr="00ED67EC" w:rsidRDefault="00FE0774" w:rsidP="00457EEE">
      <w:pPr>
        <w:spacing w:after="0" w:line="360" w:lineRule="auto"/>
        <w:jc w:val="both"/>
        <w:rPr>
          <w:rFonts w:ascii="Times New Roman" w:hAnsi="Times New Roman" w:cs="Times New Roman"/>
          <w:sz w:val="24"/>
          <w:szCs w:val="24"/>
        </w:rPr>
      </w:pPr>
      <w:r w:rsidRPr="00ED67EC">
        <w:rPr>
          <w:rFonts w:ascii="Times New Roman" w:hAnsi="Times New Roman" w:cs="Times New Roman"/>
          <w:sz w:val="24"/>
          <w:szCs w:val="24"/>
        </w:rPr>
        <w:t>Ad un gruppo ulteriore appartengono i divieti assoluti di accesso che sono quelli dell’art. 53, 5°comma, lett. a), b), c), d), ai sensi dell’art. 5-bis, 3°comma</w:t>
      </w:r>
      <w:r>
        <w:rPr>
          <w:rFonts w:ascii="Times New Roman" w:hAnsi="Times New Roman" w:cs="Times New Roman"/>
          <w:sz w:val="24"/>
          <w:szCs w:val="24"/>
        </w:rPr>
        <w:t xml:space="preserve"> ove</w:t>
      </w:r>
      <w:r w:rsidRPr="00ED67EC">
        <w:rPr>
          <w:rFonts w:ascii="Times New Roman" w:hAnsi="Times New Roman" w:cs="Times New Roman"/>
          <w:sz w:val="24"/>
          <w:szCs w:val="24"/>
        </w:rPr>
        <w:t xml:space="preserve"> quest’ultimo preclude l’accesso «</w:t>
      </w:r>
      <w:r w:rsidRPr="00ED67EC">
        <w:rPr>
          <w:rFonts w:ascii="Times New Roman" w:hAnsi="Times New Roman" w:cs="Times New Roman"/>
          <w:i/>
          <w:sz w:val="24"/>
          <w:szCs w:val="24"/>
        </w:rPr>
        <w:t>nei casi di divieto di accesso o di divulgazione previsti dalla legge».</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 xml:space="preserve">Tra le ipotesi dell’art. 53, 5°comma, la fattispecie della lettera a), che preclude ogni forma di divulgazione delle informazioni fornite nell’ambito dell’offerta o a giustificazione della medesima che, secondo motivata dichiarazione dell’offerente, configurino segreti tecnici o commerciali, presenta una specificità. In questa fattispecie, sebbene l’esigenza di riservatezza delle imprese prevalga sulla trasparenza collegata all’accesso generalizzato, tuttavia, l’applicazione di tale bilanciamento è subordinato a una previa valutazione della stazione appaltante, la quale deve accertare che le informazioni oscurate dall’impresa controinteressata costituiscano effettivamente segreti tecnici o commerciali meritevoli di protezione giuridica. </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Le amministrazioni aggiudicatrici devono eseguire tale verifica in virtù del concetto di «</w:t>
      </w:r>
      <w:r w:rsidRPr="004E2921">
        <w:rPr>
          <w:rFonts w:ascii="Times New Roman" w:hAnsi="Times New Roman" w:cs="Times New Roman"/>
          <w:i/>
          <w:sz w:val="24"/>
          <w:szCs w:val="24"/>
        </w:rPr>
        <w:t>segreto commerciale»</w:t>
      </w:r>
      <w:r w:rsidRPr="004E2921">
        <w:rPr>
          <w:rFonts w:ascii="Times New Roman" w:hAnsi="Times New Roman" w:cs="Times New Roman"/>
          <w:sz w:val="24"/>
          <w:szCs w:val="24"/>
        </w:rPr>
        <w:t xml:space="preserve"> di cui all’art. 98 del d.lgs. 10 febbraio 2005, n. 30, come modificato dal d.lgs. 11 maggio 2018, n. 63</w:t>
      </w:r>
      <w:r w:rsidR="00342C79">
        <w:rPr>
          <w:rStyle w:val="Rimandonotaapidipagina"/>
          <w:rFonts w:ascii="Times New Roman" w:hAnsi="Times New Roman" w:cs="Times New Roman"/>
          <w:sz w:val="24"/>
          <w:szCs w:val="24"/>
        </w:rPr>
        <w:footnoteReference w:id="23"/>
      </w:r>
      <w:r w:rsidRPr="004E2921">
        <w:rPr>
          <w:rFonts w:ascii="Times New Roman" w:hAnsi="Times New Roman" w:cs="Times New Roman"/>
          <w:sz w:val="24"/>
          <w:szCs w:val="24"/>
        </w:rPr>
        <w:t>.</w:t>
      </w:r>
    </w:p>
    <w:p w:rsidR="00FE0774" w:rsidRPr="004E2921" w:rsidRDefault="00FE0774" w:rsidP="00457EEE">
      <w:pPr>
        <w:spacing w:after="0" w:line="360" w:lineRule="auto"/>
        <w:jc w:val="both"/>
        <w:rPr>
          <w:rFonts w:ascii="Times New Roman" w:hAnsi="Times New Roman" w:cs="Times New Roman"/>
          <w:i/>
          <w:sz w:val="24"/>
          <w:szCs w:val="24"/>
        </w:rPr>
      </w:pPr>
      <w:r w:rsidRPr="004E2921">
        <w:rPr>
          <w:rFonts w:ascii="Times New Roman" w:hAnsi="Times New Roman" w:cs="Times New Roman"/>
          <w:sz w:val="24"/>
          <w:szCs w:val="24"/>
        </w:rPr>
        <w:t>La disposizione afferma che «</w:t>
      </w:r>
      <w:r w:rsidRPr="004E2921">
        <w:rPr>
          <w:rFonts w:ascii="Times New Roman" w:hAnsi="Times New Roman" w:cs="Times New Roman"/>
          <w:i/>
          <w:sz w:val="24"/>
          <w:szCs w:val="24"/>
        </w:rPr>
        <w:t xml:space="preserve">Per segreti commerciali si intendono le informazioni aziendali e le esperienze tecnico - industriali, comprese quelle commerciali, soggette al legittimo controllo del detentore, ove tali informazioni: </w:t>
      </w:r>
    </w:p>
    <w:p w:rsidR="00FE0774" w:rsidRPr="004E2921" w:rsidRDefault="00FE0774" w:rsidP="00457EEE">
      <w:pPr>
        <w:spacing w:after="0" w:line="360" w:lineRule="auto"/>
        <w:jc w:val="both"/>
        <w:rPr>
          <w:rFonts w:ascii="Times New Roman" w:hAnsi="Times New Roman" w:cs="Times New Roman"/>
          <w:i/>
          <w:sz w:val="24"/>
          <w:szCs w:val="24"/>
        </w:rPr>
      </w:pPr>
      <w:r w:rsidRPr="004E2921">
        <w:rPr>
          <w:rFonts w:ascii="Times New Roman" w:hAnsi="Times New Roman" w:cs="Times New Roman"/>
          <w:i/>
          <w:sz w:val="24"/>
          <w:szCs w:val="24"/>
        </w:rPr>
        <w:t xml:space="preserve">a) siano segrete, nel senso che non siano nel loro insieme o nella precisa configurazione e combinazione dei loro elementi generalmente note o facilmente accessibili agli esperti ed agli operatori del settore; </w:t>
      </w:r>
    </w:p>
    <w:p w:rsidR="00FE0774" w:rsidRPr="004E2921" w:rsidRDefault="00FE0774" w:rsidP="00457EEE">
      <w:pPr>
        <w:spacing w:after="0" w:line="360" w:lineRule="auto"/>
        <w:jc w:val="both"/>
        <w:rPr>
          <w:rFonts w:ascii="Times New Roman" w:hAnsi="Times New Roman" w:cs="Times New Roman"/>
          <w:i/>
          <w:sz w:val="24"/>
          <w:szCs w:val="24"/>
        </w:rPr>
      </w:pPr>
      <w:r w:rsidRPr="004E2921">
        <w:rPr>
          <w:rFonts w:ascii="Times New Roman" w:hAnsi="Times New Roman" w:cs="Times New Roman"/>
          <w:i/>
          <w:sz w:val="24"/>
          <w:szCs w:val="24"/>
        </w:rPr>
        <w:t xml:space="preserve">b) abbiano valore economico in quanto segrete; </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i/>
          <w:sz w:val="24"/>
          <w:szCs w:val="24"/>
        </w:rPr>
        <w:t>c) siano sottoposte, da parte delle persone al cui legittimo controllo sono soggette, a misure da ritenersi ragionevolmente adeguate a mantenerle segrete.</w:t>
      </w:r>
      <w:r w:rsidRPr="004E2921">
        <w:rPr>
          <w:rFonts w:ascii="Times New Roman" w:hAnsi="Times New Roman" w:cs="Times New Roman"/>
          <w:sz w:val="24"/>
          <w:szCs w:val="24"/>
        </w:rPr>
        <w:t>».</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L’impiego di questi parametri è fondamentale per assicurare uniformità di applicazione al bilanciamento tra trasparenza amministrativa e riservatezza previsto dall’art. 53, 5°comma, la quale non sarebbe garantita se le amministrazioni aggiudicatrici effettuassero la valutazione con propri criteri o, addirittura, si limitassero a negare l’accesso sulla base delle dichiarazioni dell’impresa controinteressata, senza aver svolto accertamenti sulla effettiva ricorrenza del segreto</w:t>
      </w:r>
      <w:r w:rsidRPr="00ED67EC">
        <w:rPr>
          <w:rStyle w:val="Rimandonotaapidipagina"/>
          <w:rFonts w:ascii="Times New Roman" w:hAnsi="Times New Roman" w:cs="Times New Roman"/>
          <w:sz w:val="24"/>
          <w:szCs w:val="24"/>
        </w:rPr>
        <w:footnoteReference w:id="24"/>
      </w:r>
      <w:r w:rsidRPr="004E2921">
        <w:rPr>
          <w:rFonts w:ascii="Times New Roman" w:hAnsi="Times New Roman" w:cs="Times New Roman"/>
          <w:sz w:val="24"/>
          <w:szCs w:val="24"/>
        </w:rPr>
        <w:t>.</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Per l’attuazione della nozione, le stazioni appaltanti possono seguire i criteri-guida desumibili dai considerando della Direttiva UE 2016/943</w:t>
      </w:r>
      <w:r w:rsidR="00D22EDC">
        <w:rPr>
          <w:rStyle w:val="Rimandonotaapidipagina"/>
          <w:rFonts w:ascii="Times New Roman" w:hAnsi="Times New Roman" w:cs="Times New Roman"/>
          <w:sz w:val="24"/>
          <w:szCs w:val="24"/>
        </w:rPr>
        <w:footnoteReference w:id="25"/>
      </w:r>
      <w:r w:rsidRPr="004E2921">
        <w:rPr>
          <w:rFonts w:ascii="Times New Roman" w:hAnsi="Times New Roman" w:cs="Times New Roman"/>
          <w:sz w:val="24"/>
          <w:szCs w:val="24"/>
        </w:rPr>
        <w:t xml:space="preserve"> e, in particolare, dal considerando n. 14 nonché dalle indicazioni elaborate dalla giuris</w:t>
      </w:r>
      <w:r>
        <w:rPr>
          <w:rFonts w:ascii="Times New Roman" w:hAnsi="Times New Roman" w:cs="Times New Roman"/>
          <w:sz w:val="24"/>
          <w:szCs w:val="24"/>
        </w:rPr>
        <w:t xml:space="preserve">prudenza amministrativa e dalle citate </w:t>
      </w:r>
      <w:r w:rsidRPr="004E2921">
        <w:rPr>
          <w:rFonts w:ascii="Times New Roman" w:hAnsi="Times New Roman" w:cs="Times New Roman"/>
          <w:sz w:val="24"/>
          <w:szCs w:val="24"/>
        </w:rPr>
        <w:t xml:space="preserve">Linee Guida </w:t>
      </w:r>
      <w:proofErr w:type="gramStart"/>
      <w:r w:rsidR="00F64FE0" w:rsidRPr="004E2921">
        <w:rPr>
          <w:rFonts w:ascii="Times New Roman" w:hAnsi="Times New Roman" w:cs="Times New Roman"/>
          <w:sz w:val="24"/>
          <w:szCs w:val="24"/>
        </w:rPr>
        <w:t>A.N.A.C.</w:t>
      </w:r>
      <w:r w:rsidR="00F64FE0">
        <w:rPr>
          <w:rFonts w:ascii="Times New Roman" w:hAnsi="Times New Roman" w:cs="Times New Roman"/>
          <w:sz w:val="24"/>
          <w:szCs w:val="24"/>
        </w:rPr>
        <w:t>.</w:t>
      </w:r>
      <w:proofErr w:type="gramEnd"/>
      <w:r w:rsidR="00F64FE0">
        <w:rPr>
          <w:rFonts w:ascii="Times New Roman" w:hAnsi="Times New Roman" w:cs="Times New Roman"/>
          <w:sz w:val="24"/>
          <w:szCs w:val="24"/>
        </w:rPr>
        <w:t xml:space="preserve"> </w:t>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Con riguardo al requisito sub a), la Direttiva UE sottrae alla nozione di segreto commerciale le informazioni trascurabili, l'esperienza e le competenze acquisite dai dipendenti nel normale svolgimento del loro lavoro, le informazioni che sono generalmente note o facilmente accessibili alle imprese del settore</w:t>
      </w:r>
      <w:r w:rsidRPr="00ED67EC">
        <w:rPr>
          <w:rStyle w:val="Rimandonotaapidipagina"/>
          <w:rFonts w:ascii="Times New Roman" w:hAnsi="Times New Roman" w:cs="Times New Roman"/>
          <w:sz w:val="24"/>
          <w:szCs w:val="24"/>
        </w:rPr>
        <w:footnoteReference w:id="26"/>
      </w:r>
      <w:r w:rsidRPr="004E2921">
        <w:rPr>
          <w:rFonts w:ascii="Times New Roman" w:hAnsi="Times New Roman" w:cs="Times New Roman"/>
          <w:sz w:val="24"/>
          <w:szCs w:val="24"/>
        </w:rPr>
        <w:t>.</w:t>
      </w:r>
    </w:p>
    <w:p w:rsidR="00FE0774" w:rsidRPr="004E2921" w:rsidRDefault="00FE0774" w:rsidP="00457EEE">
      <w:pPr>
        <w:spacing w:after="0" w:line="360" w:lineRule="auto"/>
        <w:jc w:val="both"/>
        <w:rPr>
          <w:rFonts w:ascii="Times New Roman" w:hAnsi="Times New Roman" w:cs="Times New Roman"/>
          <w:i/>
          <w:sz w:val="24"/>
          <w:szCs w:val="24"/>
        </w:rPr>
      </w:pPr>
      <w:r w:rsidRPr="004E2921">
        <w:rPr>
          <w:rFonts w:ascii="Times New Roman" w:hAnsi="Times New Roman" w:cs="Times New Roman"/>
          <w:sz w:val="24"/>
          <w:szCs w:val="24"/>
        </w:rPr>
        <w:t>Più esplicitamente, la giurisprudenza afferma che non sono protetti come segreto commerciale i profili organizzativi interni dell’impresa come la formazione continua del personale, le attrezzature e i mezzi di servizio, i turni di reperibilità, la gestione delle emergenze nonché le «</w:t>
      </w:r>
      <w:r w:rsidRPr="004E2921">
        <w:rPr>
          <w:rFonts w:ascii="Times New Roman" w:hAnsi="Times New Roman" w:cs="Times New Roman"/>
          <w:i/>
          <w:sz w:val="24"/>
          <w:szCs w:val="24"/>
        </w:rPr>
        <w:t xml:space="preserve">soluzioni migliorative genericamente presentate come frutto della ricerca e dell’esperienza maturata in precedenti appalti» </w:t>
      </w:r>
      <w:r w:rsidRPr="004E2921">
        <w:rPr>
          <w:rFonts w:ascii="Times New Roman" w:hAnsi="Times New Roman" w:cs="Times New Roman"/>
          <w:sz w:val="24"/>
          <w:szCs w:val="24"/>
        </w:rPr>
        <w:t>che costituiscono soltanto «</w:t>
      </w:r>
      <w:r w:rsidRPr="004E2921">
        <w:rPr>
          <w:rFonts w:ascii="Times New Roman" w:hAnsi="Times New Roman" w:cs="Times New Roman"/>
          <w:i/>
          <w:sz w:val="24"/>
          <w:szCs w:val="24"/>
        </w:rPr>
        <w:t>una sintesi tecnica del servizio offerto, non la ragione per cui lo stesso dovrebbe essere considerato come bene da tutelare con il segreto».</w:t>
      </w:r>
      <w:r w:rsidRPr="00ED67EC">
        <w:rPr>
          <w:rStyle w:val="Rimandonotaapidipagina"/>
          <w:rFonts w:ascii="Times New Roman" w:hAnsi="Times New Roman" w:cs="Times New Roman"/>
          <w:i/>
          <w:sz w:val="24"/>
          <w:szCs w:val="24"/>
        </w:rPr>
        <w:footnoteReference w:id="27"/>
      </w:r>
    </w:p>
    <w:p w:rsidR="00FE0774" w:rsidRPr="004E2921" w:rsidRDefault="00FE0774" w:rsidP="00457EEE">
      <w:pPr>
        <w:spacing w:after="0" w:line="360" w:lineRule="auto"/>
        <w:jc w:val="both"/>
        <w:rPr>
          <w:rFonts w:ascii="Times New Roman" w:hAnsi="Times New Roman" w:cs="Times New Roman"/>
          <w:sz w:val="24"/>
          <w:szCs w:val="24"/>
        </w:rPr>
      </w:pPr>
      <w:r w:rsidRPr="004E2921">
        <w:rPr>
          <w:rFonts w:ascii="Times New Roman" w:hAnsi="Times New Roman" w:cs="Times New Roman"/>
          <w:sz w:val="24"/>
          <w:szCs w:val="24"/>
        </w:rPr>
        <w:t>In riferimento ai parametri sub b) e sub c), la Direttiva specifica che il valore commerciale dell’informazione può essere reale o potenziale aggiungendo</w:t>
      </w:r>
      <w:r>
        <w:rPr>
          <w:rFonts w:ascii="Times New Roman" w:hAnsi="Times New Roman" w:cs="Times New Roman"/>
          <w:sz w:val="24"/>
          <w:szCs w:val="24"/>
        </w:rPr>
        <w:t>,</w:t>
      </w:r>
      <w:r w:rsidRPr="004E2921">
        <w:rPr>
          <w:rFonts w:ascii="Times New Roman" w:hAnsi="Times New Roman" w:cs="Times New Roman"/>
          <w:sz w:val="24"/>
          <w:szCs w:val="24"/>
        </w:rPr>
        <w:t xml:space="preserve"> altresì</w:t>
      </w:r>
      <w:r>
        <w:rPr>
          <w:rFonts w:ascii="Times New Roman" w:hAnsi="Times New Roman" w:cs="Times New Roman"/>
          <w:sz w:val="24"/>
          <w:szCs w:val="24"/>
        </w:rPr>
        <w:t>,</w:t>
      </w:r>
      <w:r w:rsidRPr="004E2921">
        <w:rPr>
          <w:rFonts w:ascii="Times New Roman" w:hAnsi="Times New Roman" w:cs="Times New Roman"/>
          <w:sz w:val="24"/>
          <w:szCs w:val="24"/>
        </w:rPr>
        <w:t xml:space="preserve"> che per commerciali si intendono il know-how o le informazioni la cui acquisizione, l’utilizzo o la divulgazione non autorizzati rischino di pregiudicare gli interessi dell’impresa che li detiene lecitamente, in quanto pregiudicano il potenziale scientifico e tecnico, gli interessi commerciali o finanziari, le posizioni strategiche o la capacità di competere di detta impresa.</w:t>
      </w:r>
    </w:p>
    <w:p w:rsidR="00FE0774" w:rsidRPr="00336D78" w:rsidRDefault="00FE0774" w:rsidP="00457EEE">
      <w:pPr>
        <w:spacing w:after="0" w:line="360" w:lineRule="auto"/>
        <w:jc w:val="both"/>
        <w:rPr>
          <w:rFonts w:ascii="Times New Roman" w:hAnsi="Times New Roman" w:cs="Times New Roman"/>
          <w:i/>
          <w:sz w:val="24"/>
          <w:szCs w:val="24"/>
        </w:rPr>
      </w:pPr>
      <w:r w:rsidRPr="00336D78">
        <w:rPr>
          <w:rFonts w:ascii="Times New Roman" w:hAnsi="Times New Roman" w:cs="Times New Roman"/>
          <w:sz w:val="24"/>
          <w:szCs w:val="24"/>
        </w:rPr>
        <w:t>Ai divieti assoluti di accesso si deve ricondurre anche l’impossibilità di ottenere l’accesso ai documenti dei contratti secretati di cui all’art. 162 del codice dei contratti pubblici, poiché l’art. 5-bis, 3°comma esclude l’accesso universale anche nei «</w:t>
      </w:r>
      <w:r w:rsidRPr="00336D78">
        <w:rPr>
          <w:rFonts w:ascii="Times New Roman" w:hAnsi="Times New Roman" w:cs="Times New Roman"/>
          <w:i/>
          <w:sz w:val="24"/>
          <w:szCs w:val="24"/>
        </w:rPr>
        <w:t xml:space="preserve">casi di segreto di Stato». </w:t>
      </w:r>
    </w:p>
    <w:p w:rsidR="00FE0774" w:rsidRDefault="00FE0774" w:rsidP="00457EEE">
      <w:pPr>
        <w:spacing w:after="0" w:line="360" w:lineRule="auto"/>
        <w:jc w:val="both"/>
        <w:rPr>
          <w:rFonts w:ascii="Times New Roman" w:hAnsi="Times New Roman" w:cs="Times New Roman"/>
          <w:sz w:val="24"/>
          <w:szCs w:val="24"/>
        </w:rPr>
      </w:pPr>
      <w:r w:rsidRPr="00336D78">
        <w:rPr>
          <w:rFonts w:ascii="Times New Roman" w:hAnsi="Times New Roman" w:cs="Times New Roman"/>
          <w:sz w:val="24"/>
          <w:szCs w:val="24"/>
        </w:rPr>
        <w:t xml:space="preserve">Se la stazione appaltante accerta </w:t>
      </w:r>
      <w:r>
        <w:rPr>
          <w:rFonts w:ascii="Times New Roman" w:hAnsi="Times New Roman" w:cs="Times New Roman"/>
          <w:sz w:val="24"/>
          <w:szCs w:val="24"/>
        </w:rPr>
        <w:t>l’insussistenza d</w:t>
      </w:r>
      <w:r w:rsidRPr="00336D78">
        <w:rPr>
          <w:rFonts w:ascii="Times New Roman" w:hAnsi="Times New Roman" w:cs="Times New Roman"/>
          <w:sz w:val="24"/>
          <w:szCs w:val="24"/>
        </w:rPr>
        <w:t>i divieti di accesso assoluti deve procedere alla sec</w:t>
      </w:r>
      <w:r>
        <w:rPr>
          <w:rFonts w:ascii="Times New Roman" w:hAnsi="Times New Roman" w:cs="Times New Roman"/>
          <w:sz w:val="24"/>
          <w:szCs w:val="24"/>
        </w:rPr>
        <w:t>onda fase del suo sindacato tesa a</w:t>
      </w:r>
      <w:r w:rsidRPr="00336D78">
        <w:rPr>
          <w:rFonts w:ascii="Times New Roman" w:hAnsi="Times New Roman" w:cs="Times New Roman"/>
          <w:sz w:val="24"/>
          <w:szCs w:val="24"/>
        </w:rPr>
        <w:t xml:space="preserve"> verificare se l’ostension</w:t>
      </w:r>
      <w:r>
        <w:rPr>
          <w:rFonts w:ascii="Times New Roman" w:hAnsi="Times New Roman" w:cs="Times New Roman"/>
          <w:sz w:val="24"/>
          <w:szCs w:val="24"/>
        </w:rPr>
        <w:t>e dei documenti richiesti crei</w:t>
      </w:r>
      <w:r w:rsidRPr="00336D78">
        <w:rPr>
          <w:rFonts w:ascii="Times New Roman" w:hAnsi="Times New Roman" w:cs="Times New Roman"/>
          <w:sz w:val="24"/>
          <w:szCs w:val="24"/>
        </w:rPr>
        <w:t xml:space="preserve"> u</w:t>
      </w:r>
      <w:r>
        <w:rPr>
          <w:rFonts w:ascii="Times New Roman" w:hAnsi="Times New Roman" w:cs="Times New Roman"/>
          <w:sz w:val="24"/>
          <w:szCs w:val="24"/>
        </w:rPr>
        <w:t>n pregiudizio concreto</w:t>
      </w:r>
      <w:r w:rsidRPr="00336D78">
        <w:rPr>
          <w:rFonts w:ascii="Times New Roman" w:hAnsi="Times New Roman" w:cs="Times New Roman"/>
          <w:sz w:val="24"/>
          <w:szCs w:val="24"/>
        </w:rPr>
        <w:t xml:space="preserve"> a uno degli interessi pubblici o privati dell’art. 5-bis 1° e 2°comma. </w:t>
      </w:r>
    </w:p>
    <w:p w:rsidR="00FE0774" w:rsidRDefault="00FE0774" w:rsidP="00457EEE">
      <w:pPr>
        <w:spacing w:after="0" w:line="360" w:lineRule="auto"/>
        <w:jc w:val="both"/>
        <w:rPr>
          <w:rFonts w:ascii="Times New Roman" w:hAnsi="Times New Roman" w:cs="Times New Roman"/>
          <w:sz w:val="24"/>
          <w:szCs w:val="24"/>
        </w:rPr>
      </w:pPr>
    </w:p>
    <w:p w:rsidR="00FE0774" w:rsidRDefault="00FE0774" w:rsidP="00457EEE">
      <w:pPr>
        <w:spacing w:after="0" w:line="360" w:lineRule="auto"/>
        <w:jc w:val="both"/>
        <w:rPr>
          <w:rFonts w:ascii="Times New Roman" w:hAnsi="Times New Roman" w:cs="Times New Roman"/>
          <w:b/>
          <w:sz w:val="24"/>
          <w:szCs w:val="24"/>
        </w:rPr>
      </w:pPr>
      <w:r w:rsidRPr="0000136C">
        <w:rPr>
          <w:rFonts w:ascii="Times New Roman" w:hAnsi="Times New Roman" w:cs="Times New Roman"/>
          <w:b/>
          <w:sz w:val="24"/>
          <w:szCs w:val="24"/>
        </w:rPr>
        <w:t>3.3</w:t>
      </w:r>
      <w:r>
        <w:rPr>
          <w:rFonts w:ascii="Times New Roman" w:hAnsi="Times New Roman" w:cs="Times New Roman"/>
          <w:b/>
          <w:sz w:val="24"/>
          <w:szCs w:val="24"/>
        </w:rPr>
        <w:t>.</w:t>
      </w:r>
      <w:r w:rsidRPr="0000136C">
        <w:rPr>
          <w:rFonts w:ascii="Times New Roman" w:hAnsi="Times New Roman" w:cs="Times New Roman"/>
          <w:b/>
          <w:sz w:val="24"/>
          <w:szCs w:val="24"/>
        </w:rPr>
        <w:t xml:space="preserve"> </w:t>
      </w:r>
      <w:r>
        <w:rPr>
          <w:rFonts w:ascii="Times New Roman" w:hAnsi="Times New Roman" w:cs="Times New Roman"/>
          <w:b/>
          <w:sz w:val="24"/>
          <w:szCs w:val="24"/>
        </w:rPr>
        <w:t xml:space="preserve">L’inaccessibilità dei dati personali dei dipendenti dell’operatore economico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L’accesso generalizzato alle gare va rifiutato con riferimento ai curriculum vitae del personale impiegato dall’aggiudicataria, alla dimostrazione del possesso dei titoli, delle competenze professionali e delle esperienze richieste dallo svolgimento dell’appalto perché</w:t>
      </w:r>
      <w:r w:rsidR="001526F8">
        <w:rPr>
          <w:rFonts w:ascii="Times New Roman" w:hAnsi="Times New Roman" w:cs="Times New Roman"/>
          <w:sz w:val="24"/>
          <w:szCs w:val="24"/>
        </w:rPr>
        <w:t>,</w:t>
      </w:r>
      <w:r>
        <w:rPr>
          <w:rFonts w:ascii="Times New Roman" w:hAnsi="Times New Roman" w:cs="Times New Roman"/>
          <w:sz w:val="24"/>
          <w:szCs w:val="24"/>
        </w:rPr>
        <w:t xml:space="preserve"> rivelando informazioni sulle attitudini e sulle capacità culturali, professionali e lavorative dei dipendenti</w:t>
      </w:r>
      <w:r w:rsidR="001526F8">
        <w:rPr>
          <w:rFonts w:ascii="Times New Roman" w:hAnsi="Times New Roman" w:cs="Times New Roman"/>
          <w:sz w:val="24"/>
          <w:szCs w:val="24"/>
        </w:rPr>
        <w:t>,</w:t>
      </w:r>
      <w:r>
        <w:rPr>
          <w:rFonts w:ascii="Times New Roman" w:hAnsi="Times New Roman" w:cs="Times New Roman"/>
          <w:sz w:val="24"/>
          <w:szCs w:val="24"/>
        </w:rPr>
        <w:t xml:space="preserve"> pregiudica la loro riservatezza.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Questo è il giudizio espresso dal Garante </w:t>
      </w:r>
      <w:r w:rsidR="001526F8">
        <w:rPr>
          <w:rFonts w:ascii="Times New Roman" w:hAnsi="Times New Roman" w:cs="Times New Roman"/>
          <w:sz w:val="24"/>
          <w:szCs w:val="24"/>
        </w:rPr>
        <w:t>p</w:t>
      </w:r>
      <w:r>
        <w:rPr>
          <w:rFonts w:ascii="Times New Roman" w:hAnsi="Times New Roman" w:cs="Times New Roman"/>
          <w:sz w:val="24"/>
          <w:szCs w:val="24"/>
        </w:rPr>
        <w:t>rivacy col parere richiesto dal Responsabile per la prevenzione della corruzione e della trasparenza del Ministero della Giustizia nell’ambito di un procedimento di riesame di un’istanza di accesso universale agli atti di gara</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fattispecie, l’accesso generalizzato aveva ad oggetto la documentazione presentata da un Consorzio per la partecipazione a una gara e, in particolare, riguardava i curriculum vitae dei dipendenti impiegati, la lista del personale utilizzato nei vari servizi, la prova dei titoli, delle esperienze e delle competenze previste per le varie figure professionali, con riferimento a oltre 1.700 dipendenti.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ministeriale aveva rifiutato l’accesso ritenendo che la divulgazione dell’identità, del domicilio, dei recapiti telefonici, dello stato familiare, delle attitudini culturali, professionali e lavorative di quasi 2.000 lavoratori avrebbe immediatamente pregiudicato la riservatezza del personale.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L’istante proponeva richiesta di riesame al responsabile della prevenzione della corruzione e della trasparenza del Ministero della Giustizia sostenendo la tesi giurisprudenziale secondo cui la documentazione presentata per la partecipazione alla selezione pubblica esce dalla sfera personale dei partecipanti i quali non possono lamentare alcun danno se l’amministrazione ne consente l’accesso; e ritenendo che nelle procedure concorsuali non sussiste alcuna esigenza di riservatezza dei singoli candidati dal momento che detti procedimenti si caratterizzano per la competizione tra tutti i concorrenti che, prendendovi parte, hanno implicitamente acconsentito a un giudizio comparativo. </w:t>
      </w:r>
    </w:p>
    <w:p w:rsidR="00FE0774" w:rsidRDefault="003A7A9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R.P.C.T., c</w:t>
      </w:r>
      <w:r w:rsidR="00FE0774">
        <w:rPr>
          <w:rFonts w:ascii="Times New Roman" w:hAnsi="Times New Roman" w:cs="Times New Roman"/>
          <w:sz w:val="24"/>
          <w:szCs w:val="24"/>
        </w:rPr>
        <w:t xml:space="preserve">ome previsto dall’art. 5, 7°comma d.lgs. </w:t>
      </w:r>
      <w:r w:rsidR="00CB2565">
        <w:rPr>
          <w:rFonts w:ascii="Times New Roman" w:hAnsi="Times New Roman" w:cs="Times New Roman"/>
          <w:sz w:val="24"/>
          <w:szCs w:val="24"/>
        </w:rPr>
        <w:t xml:space="preserve">n. </w:t>
      </w:r>
      <w:r w:rsidR="00FE0774">
        <w:rPr>
          <w:rFonts w:ascii="Times New Roman" w:hAnsi="Times New Roman" w:cs="Times New Roman"/>
          <w:sz w:val="24"/>
          <w:szCs w:val="24"/>
        </w:rPr>
        <w:t>33/2013, chiedeva al Garante Privacy se nell’ambito di una procedura di gara, l’accesso ai dati che riguardano esperienze pregresse, competenze professionali, titoli di studio del personale impiegato dall’impresa, rilevando informazioni su attitudini, capacità culturali</w:t>
      </w:r>
      <w:r>
        <w:rPr>
          <w:rFonts w:ascii="Times New Roman" w:hAnsi="Times New Roman" w:cs="Times New Roman"/>
          <w:sz w:val="24"/>
          <w:szCs w:val="24"/>
        </w:rPr>
        <w:t>, professionali e lavorative fosse di pregiudizio</w:t>
      </w:r>
      <w:r w:rsidR="00FE0774">
        <w:rPr>
          <w:rFonts w:ascii="Times New Roman" w:hAnsi="Times New Roman" w:cs="Times New Roman"/>
          <w:sz w:val="24"/>
          <w:szCs w:val="24"/>
        </w:rPr>
        <w:t xml:space="preserve"> al diritto alla riservatezza.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Garante ha premesso che nell’ambito della valutazione del pregiudizio concreto ai dati personali, l’amministrazione deve tenere in considerazione che, a differenza dei documenti ottenuti tramite l’accesso documentale, i dati e i documenti ricevuti attraverso l’accesso generalizzato seguono il regime di pubblicità amplificato dell’art. 3 d.lgs. </w:t>
      </w:r>
      <w:r w:rsidR="00A9430A">
        <w:rPr>
          <w:rFonts w:ascii="Times New Roman" w:hAnsi="Times New Roman" w:cs="Times New Roman"/>
          <w:sz w:val="24"/>
          <w:szCs w:val="24"/>
        </w:rPr>
        <w:t xml:space="preserve">n. </w:t>
      </w:r>
      <w:r>
        <w:rPr>
          <w:rFonts w:ascii="Times New Roman" w:hAnsi="Times New Roman" w:cs="Times New Roman"/>
          <w:sz w:val="24"/>
          <w:szCs w:val="24"/>
        </w:rPr>
        <w:t xml:space="preserve">33/2013 secondo cui le informazioni divulgate divengono pubbliche e chiunque ha diritto di conoscerle, di fruirne gratuitamente, di utilizzare e riutilizzarle ex art. 7 del d.lgs. </w:t>
      </w:r>
      <w:r w:rsidR="00CB2565">
        <w:rPr>
          <w:rFonts w:ascii="Times New Roman" w:hAnsi="Times New Roman" w:cs="Times New Roman"/>
          <w:sz w:val="24"/>
          <w:szCs w:val="24"/>
        </w:rPr>
        <w:t xml:space="preserve">n. </w:t>
      </w:r>
      <w:r>
        <w:rPr>
          <w:rFonts w:ascii="Times New Roman" w:hAnsi="Times New Roman" w:cs="Times New Roman"/>
          <w:sz w:val="24"/>
          <w:szCs w:val="24"/>
        </w:rPr>
        <w:t>33/2013. L’accertamento del pregiudizio concreto, ha affermato il Garante, deve essere condotto nella prospettiva di tale regime di pubblicità.</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Garante ha aggiunto che il giudizio di spettanza dell’accesso universale deve rispettare i principi indicati dall’art. 5 del Regolamento (UE) 2016/679, tra i quali ha peculiare rilevanza quello della minimizzazione dei dati, secondo cui i dati personali devono essere adeguati, pertinenti e limitati a quanto necessario rispetto alle finalità per le quali sono trattati in modo che non si realizzi un’interferenza ingiustificata e sproporzionata nei diritti e libertà delle persone cui si riferiscono tali dati. </w:t>
      </w:r>
    </w:p>
    <w:p w:rsidR="00FE0774" w:rsidRPr="00FE447E" w:rsidRDefault="00FE0774" w:rsidP="00457EEE">
      <w:pPr>
        <w:spacing w:after="0" w:line="360" w:lineRule="auto"/>
        <w:jc w:val="both"/>
        <w:rPr>
          <w:rFonts w:ascii="Times New Roman" w:hAnsi="Times New Roman" w:cs="Times New Roman"/>
          <w:sz w:val="24"/>
          <w:szCs w:val="24"/>
        </w:rPr>
      </w:pPr>
      <w:r w:rsidRPr="00FE447E">
        <w:rPr>
          <w:rFonts w:ascii="Times New Roman" w:hAnsi="Times New Roman" w:cs="Times New Roman"/>
          <w:sz w:val="24"/>
          <w:szCs w:val="24"/>
        </w:rPr>
        <w:t>Sulla base di questo quadro normativo</w:t>
      </w:r>
      <w:r w:rsidR="00E320FC" w:rsidRPr="00FE447E">
        <w:rPr>
          <w:rFonts w:ascii="Times New Roman" w:hAnsi="Times New Roman" w:cs="Times New Roman"/>
          <w:sz w:val="24"/>
          <w:szCs w:val="24"/>
        </w:rPr>
        <w:t>,</w:t>
      </w:r>
      <w:r w:rsidRPr="00FE447E">
        <w:rPr>
          <w:rFonts w:ascii="Times New Roman" w:hAnsi="Times New Roman" w:cs="Times New Roman"/>
          <w:sz w:val="24"/>
          <w:szCs w:val="24"/>
        </w:rPr>
        <w:t xml:space="preserve"> il Garante ha effettuato la triplice valutazione necessaria a decidere sulla concessione dell’accesso universale.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Quanto all’accertamento del pregiudizio concreto, il Garante ha osservato che la documentazione richiesta concerne informazioni dettagliate della vita lavorativa che, in</w:t>
      </w:r>
      <w:r w:rsidR="00FE447E">
        <w:rPr>
          <w:rFonts w:ascii="Times New Roman" w:hAnsi="Times New Roman" w:cs="Times New Roman"/>
          <w:sz w:val="24"/>
          <w:szCs w:val="24"/>
        </w:rPr>
        <w:t xml:space="preserve"> caso di divulgazione, diverre</w:t>
      </w:r>
      <w:r>
        <w:rPr>
          <w:rFonts w:ascii="Times New Roman" w:hAnsi="Times New Roman" w:cs="Times New Roman"/>
          <w:sz w:val="24"/>
          <w:szCs w:val="24"/>
        </w:rPr>
        <w:t xml:space="preserve">bbero pubbliche e riutilizzabili, contro l’interesse alla riservatezza dei lavoratori che non desiderano consentire l’impiego dei loro dati personali per finalità sconosciute da parte di terzi estranei. Il Garante ha rilevato altresì che l’eventuale ostensione di una mole tanto ampia di dati personali potrebbe comportare – avuto riguardo ai casi e al contesto in cui le informazioni possono essere reimpiegate da terzi estranei non conoscibili a priori – conseguenze lesive sul piano personale, relazionale, sociale dei dipendenti, sia all’interno che all’esterno del contesto lavorativo, configurando il pregiudizio concreto che deve far concludere per il rifiuto dell’accesso universale, ai sensi dell’art. 5-bis, 2°comma d.lgs. </w:t>
      </w:r>
      <w:r w:rsidR="00CB2565">
        <w:rPr>
          <w:rFonts w:ascii="Times New Roman" w:hAnsi="Times New Roman" w:cs="Times New Roman"/>
          <w:sz w:val="24"/>
          <w:szCs w:val="24"/>
        </w:rPr>
        <w:t xml:space="preserve">n. </w:t>
      </w:r>
      <w:r>
        <w:rPr>
          <w:rFonts w:ascii="Times New Roman" w:hAnsi="Times New Roman" w:cs="Times New Roman"/>
          <w:sz w:val="24"/>
          <w:szCs w:val="24"/>
        </w:rPr>
        <w:t xml:space="preserve">33/2013.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Passando al bilanciamento di interessi, il Garante ha ritenuto che l’ostensione delle informazioni richieste, considerata nella prospettiva del regime di pubblicità dell’art. 3 d.lgs. </w:t>
      </w:r>
      <w:r w:rsidR="00CB2565">
        <w:rPr>
          <w:rFonts w:ascii="Times New Roman" w:hAnsi="Times New Roman" w:cs="Times New Roman"/>
          <w:sz w:val="24"/>
          <w:szCs w:val="24"/>
        </w:rPr>
        <w:t xml:space="preserve">n. </w:t>
      </w:r>
      <w:r>
        <w:rPr>
          <w:rFonts w:ascii="Times New Roman" w:hAnsi="Times New Roman" w:cs="Times New Roman"/>
          <w:sz w:val="24"/>
          <w:szCs w:val="24"/>
        </w:rPr>
        <w:t>33/2013, determina un’interferenza ingiustificata e sproporzionata nella sfera giuridica dei lavoratori, violando il principio di minimizzazione dei dati personali. Di conseguenza, l’accesso universale deve essere rifiutato. Il diniego, ha aggiunto il Garante, si giustifica tenendo conto altresì delle ragionevoli aspettative di confidenzialità dei controinteressati al trattamento dei dati personali al momento in cui questi sono stati raccolti dall’amministrazione, nonché della non prevedibilità, al momento della raccolta dei dati, delle conseguenze derivante dalla eventuale conoscibilità da parte di chiunque dei dati richiesti attraverso l’accesso universale</w:t>
      </w:r>
      <w:r>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Infine, il Garante ha escluso la possibilità di concedere un accesso parziale ai sensi dell’art. 5-bis, 4°comma d.lgs. </w:t>
      </w:r>
      <w:r w:rsidR="00CB2565">
        <w:rPr>
          <w:rFonts w:ascii="Times New Roman" w:hAnsi="Times New Roman" w:cs="Times New Roman"/>
          <w:sz w:val="24"/>
          <w:szCs w:val="24"/>
        </w:rPr>
        <w:t xml:space="preserve">n. </w:t>
      </w:r>
      <w:r>
        <w:rPr>
          <w:rFonts w:ascii="Times New Roman" w:hAnsi="Times New Roman" w:cs="Times New Roman"/>
          <w:sz w:val="24"/>
          <w:szCs w:val="24"/>
        </w:rPr>
        <w:t>33/2013 dal momento che siffatta misura non eliminerebbe la possibilità che i lavoratori siano re-identificati da terzi, anche all’interno dell’amministrazione stessa, tramite le informazioni di contesto contenute nella parte di documentazione divulgata. Un accesso parziale potrebbe configurare la violazione dell’art. 4 del Regolamento UE n. 679/2016 che reputa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00FE447E">
        <w:rPr>
          <w:rStyle w:val="Rimandonotaapidipagina"/>
          <w:rFonts w:ascii="Times New Roman" w:hAnsi="Times New Roman" w:cs="Times New Roman"/>
          <w:sz w:val="24"/>
          <w:szCs w:val="24"/>
        </w:rPr>
        <w:footnoteReference w:id="30"/>
      </w:r>
      <w:r>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p>
    <w:p w:rsidR="004911A8"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4911A8">
        <w:rPr>
          <w:rFonts w:ascii="Times New Roman" w:hAnsi="Times New Roman" w:cs="Times New Roman"/>
          <w:b/>
          <w:sz w:val="24"/>
          <w:szCs w:val="24"/>
        </w:rPr>
        <w:t xml:space="preserve">L’inaccessibilità del </w:t>
      </w:r>
      <w:r w:rsidR="004911A8" w:rsidRPr="00363E35">
        <w:rPr>
          <w:rFonts w:ascii="Times New Roman" w:hAnsi="Times New Roman" w:cs="Times New Roman"/>
          <w:b/>
          <w:i/>
          <w:sz w:val="24"/>
          <w:szCs w:val="24"/>
        </w:rPr>
        <w:t>know-how</w:t>
      </w:r>
      <w:r w:rsidR="004911A8">
        <w:rPr>
          <w:rFonts w:ascii="Times New Roman" w:hAnsi="Times New Roman" w:cs="Times New Roman"/>
          <w:b/>
          <w:sz w:val="24"/>
          <w:szCs w:val="24"/>
        </w:rPr>
        <w:t xml:space="preserve"> delle imprese</w:t>
      </w:r>
      <w:r w:rsidR="004911A8">
        <w:rPr>
          <w:rFonts w:ascii="Times New Roman" w:hAnsi="Times New Roman" w:cs="Times New Roman"/>
          <w:sz w:val="24"/>
          <w:szCs w:val="24"/>
        </w:rPr>
        <w:t xml:space="preserv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L’accesso deve essere rifiutato anche in relazione all’offerta tecnica che, in risposta alle richieste specifiche della documentazione di gara, contiene delle clausole peculiari, ha una presentazione specifica e dimostra particolari competenze professionali che comportano, a carico dell’impresa, investimenti in termini di risorse finanziarie e umane.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giudizio è stato reso dal Tribunale dell’Unione Europea con la sentenza 29 gennaio 2013, cause riunite T-339/10 e T-352/10, </w:t>
      </w:r>
      <w:proofErr w:type="spellStart"/>
      <w:r>
        <w:rPr>
          <w:rFonts w:ascii="Times New Roman" w:hAnsi="Times New Roman" w:cs="Times New Roman"/>
          <w:sz w:val="24"/>
          <w:szCs w:val="24"/>
        </w:rPr>
        <w:t>Copesuri</w:t>
      </w:r>
      <w:proofErr w:type="spellEnd"/>
      <w:r>
        <w:rPr>
          <w:rFonts w:ascii="Times New Roman" w:hAnsi="Times New Roman" w:cs="Times New Roman"/>
          <w:sz w:val="24"/>
          <w:szCs w:val="24"/>
        </w:rPr>
        <w:t xml:space="preserve"> c. EFSA.</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L’impresa ricorrente contestava il diniego di accesso oppostogli dall’Autorità Europea con riferimento a parte dell’offerta dell’impresa aggiudicataria, motivato dalla specificità tecnica della documentazione richiesta che se divulgata avrebbe comportato un pregiudizio concreto e probabile alla stessa aggiudicataria.</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Tribunale, richiamando la giurisprudenza europea in materia, ha premesso che il Regolamento UE n. 1049/2001 conferisce al pubblico il diritto di accesso ai documenti delle istituzioni europee nella misura più ampia possibile, al fine di affermare il carattere democratico delle stesse.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Nondimeno, tale diritto, ha precisato il Tribunale, è comunque sottoposto a certe limitazioni poste a tutela di interessi pubblici e privati che sono elencate all’art. 4 del Regolamento n. 1049 e che autorizzano le autorità europee a rifiutare l’accesso quando accertano l’esistenza di un pregiudizio concreto a uno di tali interessi. Queste eccezioni, osserva il Tribunale, derogano al principio del più ampio accesso possibile dei cittadini europei ai documenti delle istituzioni comunitarie, pertanto, vanno interpretate in senso restrittivo. Da ciò consegue che, aggiunge il Tribunale, quando l’istituzione decida di negare l’accesso deve spiegare in che modo l’ostensione possa arrecare un pregiudizio concreto a uno degli interessi tutelati dalle eccezioni dell’art. 4. A tal fine, tuttavia, l’autorità può ricorrere anche a presunzioni generali di pregiudizio in relazione a certe categorie di documenti ritenuti sensibili che, se no</w:t>
      </w:r>
      <w:r w:rsidR="00D0625B">
        <w:rPr>
          <w:rFonts w:ascii="Times New Roman" w:hAnsi="Times New Roman" w:cs="Times New Roman"/>
          <w:sz w:val="24"/>
          <w:szCs w:val="24"/>
        </w:rPr>
        <w:t>n confutate</w:t>
      </w:r>
      <w:r>
        <w:rPr>
          <w:rFonts w:ascii="Times New Roman" w:hAnsi="Times New Roman" w:cs="Times New Roman"/>
          <w:sz w:val="24"/>
          <w:szCs w:val="24"/>
        </w:rPr>
        <w:t xml:space="preserve"> dal controinteressato, giustificano il rifiuto dell’accesso.</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applicazione di queste coordinate, il Tribunale ha valutato se l’ostensione della documentazione richiesta comportava un pregiudizio concreto agli interessi commerciali dell’aggiudicataria che costituisce motivo di diniego dell’accesso ai sensi dell’art. 4, paragrafo 2 del Regolamento.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Dapprima, il Tribunale ha accertato che l’Autorità Europea ha correttamente ritenuto sussumibili i documenti richiesti con l’accesso nell’ambito di applicazione dell’eccezione a tutela degli interessi commerciali, in considerazione della particolarità degli elementi economici e tecnici contenuti nell’offerta dell’aggiudicataria.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Inoltre, il Tribunale Europeo ha ritenuto sussistente, come aveva già reputato l’autorità europea in sede amministrativa, una presunzione generale di pregiudizio in relazione all’offerta dell’aggiudicataria, non vinta dall’impresa ricorrente. Tale presunzione è stata desunta da una serie di elementi tecnici ed economici dell’offerta aggiudicataria, tra cui la particolarità del linguaggio utilizzato, della presentazione, del </w:t>
      </w:r>
      <w:proofErr w:type="spellStart"/>
      <w:r w:rsidRPr="002310E9">
        <w:rPr>
          <w:rFonts w:ascii="Times New Roman" w:hAnsi="Times New Roman" w:cs="Times New Roman"/>
          <w:i/>
          <w:sz w:val="24"/>
          <w:szCs w:val="24"/>
        </w:rPr>
        <w:t>know</w:t>
      </w:r>
      <w:proofErr w:type="spellEnd"/>
      <w:r w:rsidRPr="002310E9">
        <w:rPr>
          <w:rFonts w:ascii="Times New Roman" w:hAnsi="Times New Roman" w:cs="Times New Roman"/>
          <w:i/>
          <w:sz w:val="24"/>
          <w:szCs w:val="24"/>
        </w:rPr>
        <w:t xml:space="preserve"> – </w:t>
      </w:r>
      <w:proofErr w:type="spellStart"/>
      <w:r w:rsidRPr="002310E9">
        <w:rPr>
          <w:rFonts w:ascii="Times New Roman" w:hAnsi="Times New Roman" w:cs="Times New Roman"/>
          <w:i/>
          <w:sz w:val="24"/>
          <w:szCs w:val="24"/>
        </w:rPr>
        <w:t>how</w:t>
      </w:r>
      <w:proofErr w:type="spellEnd"/>
      <w:r>
        <w:rPr>
          <w:rFonts w:ascii="Times New Roman" w:hAnsi="Times New Roman" w:cs="Times New Roman"/>
          <w:sz w:val="24"/>
          <w:szCs w:val="24"/>
        </w:rPr>
        <w:t xml:space="preserve"> aziendale che richiedono investimenti in termini finanziari e di risorse umane per la loro realizzazione. E tale presunzione si giustifica ancor più in considerazione della circostanza che l’adeguamento del servizio alle necessità espresse nella documentazione di gara rivestiva un’importanza fondamentale.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Tribunale, sulla base di queste considerazioni, ha riconosciuto il legittimo interesse dell’aggiudicataria a non consentire la divulgazione della propria offerta tecnica al pubblico e, soprattutto, ai diretti o potenziali concorrenti che potrebbero re-impiegare le competenze tecniche ottenute con l’accesso in future gare dello stesso servizio. </w:t>
      </w:r>
    </w:p>
    <w:p w:rsidR="00FE0774" w:rsidRDefault="00FE0774"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Tribunale ha concluso che il diniego di accesso è necessario per evitare la lesione dell’interesse commerciale dell’impresa la cui tutela, nella materia dei contratti pubblici, è finalizzata all’obiettivo di realizzare una sana concorrenza. Per raggiungere tale finalità, le amministrazioni aggiudicatrici non possono divulgare a operatori concorrenti informazioni tecniche aziendali meritevoli di protezione giuridica, senza falsare la concorrenza. Le procedure di aggiudicazione sono fondate su un rapporto di fiducia tra le autorità amministrative e gli operatori che vi partecipano. Le imprese devono poter comunicare alle stazioni appaltanti qualsiasi informazione utile nell’ambito della procedura, senza temere che esse rivelino a terzi componenti dell’offerta la cui divulgazione recherebbe pregiudizio agli operatori. </w:t>
      </w:r>
    </w:p>
    <w:p w:rsidR="00F30068" w:rsidRDefault="00F30068" w:rsidP="00457EEE">
      <w:pPr>
        <w:spacing w:after="0" w:line="360" w:lineRule="auto"/>
        <w:jc w:val="both"/>
        <w:rPr>
          <w:rFonts w:ascii="Times New Roman" w:hAnsi="Times New Roman" w:cs="Times New Roman"/>
          <w:sz w:val="24"/>
          <w:szCs w:val="24"/>
        </w:rPr>
      </w:pPr>
    </w:p>
    <w:p w:rsidR="00F30068" w:rsidRDefault="007B7213" w:rsidP="00457EEE">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 - </w:t>
      </w:r>
      <w:r w:rsidR="00FE0B17">
        <w:rPr>
          <w:rFonts w:ascii="Times New Roman" w:hAnsi="Times New Roman" w:cs="Times New Roman"/>
          <w:b/>
          <w:sz w:val="24"/>
          <w:szCs w:val="24"/>
        </w:rPr>
        <w:t>4. Considerazione finale: il deferimento all’Adunanza Plenaria dell’applicabilità dell’accesso civico generalizzato agli atti delle procedure di gara.</w:t>
      </w:r>
    </w:p>
    <w:p w:rsidR="00FE0B17" w:rsidRDefault="00F932E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Nei paragrafi che precedono,</w:t>
      </w:r>
      <w:r w:rsidR="00FE0B17">
        <w:rPr>
          <w:rFonts w:ascii="Times New Roman" w:hAnsi="Times New Roman" w:cs="Times New Roman"/>
          <w:sz w:val="24"/>
          <w:szCs w:val="24"/>
        </w:rPr>
        <w:t xml:space="preserve"> si sono esposte le ragioni che, a parere di chi scrive, fanno ritenere preferibile l’orientamento giurisprudenziale che ammette l’accesso civico generalizzato alle procedure di affidamento dei contratti pubblici. </w:t>
      </w:r>
    </w:p>
    <w:p w:rsidR="00FE0B17" w:rsidRDefault="00FE0B17"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Tuttavia, la questione sta </w:t>
      </w:r>
      <w:r w:rsidR="001A3229">
        <w:rPr>
          <w:rFonts w:ascii="Times New Roman" w:hAnsi="Times New Roman" w:cs="Times New Roman"/>
          <w:sz w:val="24"/>
          <w:szCs w:val="24"/>
        </w:rPr>
        <w:t>continuando a dividere</w:t>
      </w:r>
      <w:r>
        <w:rPr>
          <w:rFonts w:ascii="Times New Roman" w:hAnsi="Times New Roman" w:cs="Times New Roman"/>
          <w:sz w:val="24"/>
          <w:szCs w:val="24"/>
        </w:rPr>
        <w:t xml:space="preserve"> la giurisprudenza dei Tribunali Amministrativi Regionali e del Consigl</w:t>
      </w:r>
      <w:r w:rsidR="001A3229">
        <w:rPr>
          <w:rFonts w:ascii="Times New Roman" w:hAnsi="Times New Roman" w:cs="Times New Roman"/>
          <w:sz w:val="24"/>
          <w:szCs w:val="24"/>
        </w:rPr>
        <w:t>io di Stato</w:t>
      </w:r>
      <w:r>
        <w:rPr>
          <w:rFonts w:ascii="Times New Roman" w:hAnsi="Times New Roman" w:cs="Times New Roman"/>
          <w:sz w:val="24"/>
          <w:szCs w:val="24"/>
        </w:rPr>
        <w:t xml:space="preserve"> iniziando</w:t>
      </w:r>
      <w:r w:rsidR="001A3229">
        <w:rPr>
          <w:rFonts w:ascii="Times New Roman" w:hAnsi="Times New Roman" w:cs="Times New Roman"/>
          <w:sz w:val="24"/>
          <w:szCs w:val="24"/>
        </w:rPr>
        <w:t>, così,</w:t>
      </w:r>
      <w:r>
        <w:rPr>
          <w:rFonts w:ascii="Times New Roman" w:hAnsi="Times New Roman" w:cs="Times New Roman"/>
          <w:sz w:val="24"/>
          <w:szCs w:val="24"/>
        </w:rPr>
        <w:t xml:space="preserve"> a delinearsi un effettivo contrasto giurisprudenziale</w:t>
      </w:r>
      <w:r w:rsidR="00C75D3E">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xml:space="preserve">. </w:t>
      </w:r>
    </w:p>
    <w:p w:rsidR="009E1059" w:rsidRDefault="00FE0B17"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suo deferimento all’Adunanza Plenaria ai sensi dell’art. 99, 1°comma del codice del processo ammin</w:t>
      </w:r>
      <w:r w:rsidR="00F932E9">
        <w:rPr>
          <w:rFonts w:ascii="Times New Roman" w:hAnsi="Times New Roman" w:cs="Times New Roman"/>
          <w:sz w:val="24"/>
          <w:szCs w:val="24"/>
        </w:rPr>
        <w:t>istrativo potrebbe rappresentare</w:t>
      </w:r>
      <w:r>
        <w:rPr>
          <w:rFonts w:ascii="Times New Roman" w:hAnsi="Times New Roman" w:cs="Times New Roman"/>
          <w:sz w:val="24"/>
          <w:szCs w:val="24"/>
        </w:rPr>
        <w:t xml:space="preserve"> l’occasione per un intervento</w:t>
      </w:r>
      <w:r w:rsidR="009E1059">
        <w:rPr>
          <w:rFonts w:ascii="Times New Roman" w:hAnsi="Times New Roman" w:cs="Times New Roman"/>
          <w:sz w:val="24"/>
          <w:szCs w:val="24"/>
        </w:rPr>
        <w:t xml:space="preserve"> chiarificatore</w:t>
      </w:r>
      <w:r>
        <w:rPr>
          <w:rFonts w:ascii="Times New Roman" w:hAnsi="Times New Roman" w:cs="Times New Roman"/>
          <w:sz w:val="24"/>
          <w:szCs w:val="24"/>
        </w:rPr>
        <w:t xml:space="preserve"> del Supremo Consesso</w:t>
      </w:r>
      <w:r w:rsidR="00C75D3E">
        <w:rPr>
          <w:rFonts w:ascii="Times New Roman" w:hAnsi="Times New Roman" w:cs="Times New Roman"/>
          <w:sz w:val="24"/>
          <w:szCs w:val="24"/>
        </w:rPr>
        <w:t xml:space="preserve"> anche</w:t>
      </w:r>
      <w:r>
        <w:rPr>
          <w:rFonts w:ascii="Times New Roman" w:hAnsi="Times New Roman" w:cs="Times New Roman"/>
          <w:sz w:val="24"/>
          <w:szCs w:val="24"/>
        </w:rPr>
        <w:t xml:space="preserve"> </w:t>
      </w:r>
      <w:r w:rsidR="00C75D3E">
        <w:rPr>
          <w:rFonts w:ascii="Times New Roman" w:hAnsi="Times New Roman" w:cs="Times New Roman"/>
          <w:sz w:val="24"/>
          <w:szCs w:val="24"/>
        </w:rPr>
        <w:t>sulle relazioni</w:t>
      </w:r>
      <w:r w:rsidR="009E1059">
        <w:rPr>
          <w:rFonts w:ascii="Times New Roman" w:hAnsi="Times New Roman" w:cs="Times New Roman"/>
          <w:sz w:val="24"/>
          <w:szCs w:val="24"/>
        </w:rPr>
        <w:t xml:space="preserve"> tra i diversi regimi di accesso che compongono il sistema di disponibilità delle informazioni in possesso delle pubbliche amministrazioni, all’indomani dell’entrata in vigore del d.lgs. n. 33/2013 e del d.lgs. n. 97/2016.</w:t>
      </w:r>
    </w:p>
    <w:p w:rsidR="00FE0B17" w:rsidRDefault="009E105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Nonostante su tali aspe</w:t>
      </w:r>
      <w:r w:rsidR="00C75D3E">
        <w:rPr>
          <w:rFonts w:ascii="Times New Roman" w:hAnsi="Times New Roman" w:cs="Times New Roman"/>
          <w:sz w:val="24"/>
          <w:szCs w:val="24"/>
        </w:rPr>
        <w:t>tti il Consiglio di Stato si fosse</w:t>
      </w:r>
      <w:r>
        <w:rPr>
          <w:rFonts w:ascii="Times New Roman" w:hAnsi="Times New Roman" w:cs="Times New Roman"/>
          <w:sz w:val="24"/>
          <w:szCs w:val="24"/>
        </w:rPr>
        <w:t xml:space="preserve"> già espresso in sede consultiva, l’incertezza giurisprudenziale descritta dimostra che, sul punto, permangono ancora dei dubbi</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 xml:space="preserve">. </w:t>
      </w:r>
    </w:p>
    <w:p w:rsidR="009E1059" w:rsidRDefault="009E105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w:t>
      </w:r>
      <w:r w:rsidR="00C75D3E">
        <w:rPr>
          <w:rFonts w:ascii="Times New Roman" w:hAnsi="Times New Roman" w:cs="Times New Roman"/>
          <w:sz w:val="24"/>
          <w:szCs w:val="24"/>
        </w:rPr>
        <w:t xml:space="preserve"> </w:t>
      </w:r>
      <w:r>
        <w:rPr>
          <w:rFonts w:ascii="Times New Roman" w:hAnsi="Times New Roman" w:cs="Times New Roman"/>
          <w:sz w:val="24"/>
          <w:szCs w:val="24"/>
        </w:rPr>
        <w:t>ulteriore aspetto</w:t>
      </w:r>
      <w:r w:rsidR="00C75D3E">
        <w:rPr>
          <w:rFonts w:ascii="Times New Roman" w:hAnsi="Times New Roman" w:cs="Times New Roman"/>
          <w:sz w:val="24"/>
          <w:szCs w:val="24"/>
        </w:rPr>
        <w:t xml:space="preserve"> da chiarire</w:t>
      </w:r>
      <w:r>
        <w:rPr>
          <w:rFonts w:ascii="Times New Roman" w:hAnsi="Times New Roman" w:cs="Times New Roman"/>
          <w:sz w:val="24"/>
          <w:szCs w:val="24"/>
        </w:rPr>
        <w:t xml:space="preserve"> </w:t>
      </w:r>
      <w:r w:rsidR="00C75D3E">
        <w:rPr>
          <w:rFonts w:ascii="Times New Roman" w:hAnsi="Times New Roman" w:cs="Times New Roman"/>
          <w:sz w:val="24"/>
          <w:szCs w:val="24"/>
        </w:rPr>
        <w:t>concerne</w:t>
      </w:r>
      <w:r>
        <w:rPr>
          <w:rFonts w:ascii="Times New Roman" w:hAnsi="Times New Roman" w:cs="Times New Roman"/>
          <w:sz w:val="24"/>
          <w:szCs w:val="24"/>
        </w:rPr>
        <w:t xml:space="preserve"> i criteri applicativi del bilanciamento di interessi nel rapporto tra trasparenza e riservatezza.</w:t>
      </w:r>
    </w:p>
    <w:p w:rsidR="009E1059" w:rsidRDefault="009E105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Come riportato sopra, si assiste a un dibattito che vede schierati da una parte l’A.N.A.C. la quale sostiene che, nei casi dubbi, si dovrebbe accordare prevalenza all’esigenza conoscitiva in applicazione del principio </w:t>
      </w:r>
      <w:r w:rsidRPr="0075568A">
        <w:rPr>
          <w:rFonts w:ascii="Times New Roman" w:hAnsi="Times New Roman" w:cs="Times New Roman"/>
          <w:sz w:val="24"/>
          <w:szCs w:val="24"/>
        </w:rPr>
        <w:t>della tutela preferenziale dell’interesse conoscitivo</w:t>
      </w:r>
      <w:r>
        <w:rPr>
          <w:rFonts w:ascii="Times New Roman" w:hAnsi="Times New Roman" w:cs="Times New Roman"/>
          <w:sz w:val="24"/>
          <w:szCs w:val="24"/>
        </w:rPr>
        <w:t xml:space="preserve">; dall’altra </w:t>
      </w:r>
      <w:r w:rsidR="00C75D3E">
        <w:rPr>
          <w:rFonts w:ascii="Times New Roman" w:hAnsi="Times New Roman" w:cs="Times New Roman"/>
          <w:sz w:val="24"/>
          <w:szCs w:val="24"/>
        </w:rPr>
        <w:t>il Garante p</w:t>
      </w:r>
      <w:r>
        <w:rPr>
          <w:rFonts w:ascii="Times New Roman" w:hAnsi="Times New Roman" w:cs="Times New Roman"/>
          <w:sz w:val="24"/>
          <w:szCs w:val="24"/>
        </w:rPr>
        <w:t xml:space="preserve">rivacy il quale reputa tale posizione preclusiva di un bilanciamento in concreto degli interessi emergenti dalla situazione concreta e che rimette la valutazione comparativa all’applicazione dei principi previsti dalla legislazione in materia di dati personali. </w:t>
      </w:r>
    </w:p>
    <w:p w:rsidR="009E1059" w:rsidRDefault="009E105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riguardo, una soluzione convincente proviene dalla dottrina che ha proposto di condurre detto bilanciamento alla duplice stregua del canone finalistico e di quello di proporzionalità</w:t>
      </w:r>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w:t>
      </w:r>
    </w:p>
    <w:p w:rsidR="00A02589" w:rsidRDefault="00A0258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particolare, l’amministrazione, in sede procedimentale, e il giudice amministrativo, in sede processuale, dovranno verificare se e in che misura la conoscenza degli atti e delle informazioni richiesti serva effettivamente a garantire il controllo sulla correttezza dell’operato delle autorità pubbliche e la consapevole partecipazione del cittadino al dibattito pubblico. </w:t>
      </w:r>
    </w:p>
    <w:p w:rsidR="00A02589" w:rsidRDefault="00A0258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Questa valutazione mira ad accertare che l’accesso civico generalizzato obbedisce a un’esigenza conoscitiva di rilevanza pubblica connessa alle finalità dell’istituto espresse dall’art. 5, 2°comma del d.lgs. n. 33/2013. </w:t>
      </w:r>
    </w:p>
    <w:p w:rsidR="00A02589" w:rsidRDefault="00A0258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seconda battuta, l’interprete dovrà controllare che l’oggetto della conoscenza conoscitiva rispetti i canoni di necessità, proporzionalità, pertinenza e non eccedenza con riferimento al trattamento dei dati personali. </w:t>
      </w:r>
    </w:p>
    <w:p w:rsidR="00A02589" w:rsidRDefault="00A02589" w:rsidP="00457E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Dimodoché, se la richiesta di accesso universale realizza le finalità dell’art. 5, 2°comma e non si presenta sproporzionata, l’accesso andrà concesso; se viceversa, pur apparendo coerente con quegli scopi, si rivela eccedente e irragionevolmente lesiva della riservatezza dei controinteressati, si dovrà valutare la possibilità di ammettere un accesso parziale. Se risulta tale possibilità dovrà senz’altro essere preferita in quanto idonea a realizzare sia l’esigenza conoscitiva del cittadino sia quella del controinteressato a proteggere i propri dati personali. </w:t>
      </w:r>
    </w:p>
    <w:p w:rsidR="00795B1A" w:rsidRDefault="00795B1A" w:rsidP="00457EEE">
      <w:pPr>
        <w:spacing w:after="0" w:line="360" w:lineRule="auto"/>
        <w:jc w:val="both"/>
        <w:rPr>
          <w:rFonts w:ascii="Times New Roman" w:hAnsi="Times New Roman" w:cs="Times New Roman"/>
          <w:sz w:val="24"/>
          <w:szCs w:val="24"/>
        </w:rPr>
      </w:pPr>
    </w:p>
    <w:p w:rsidR="009E1059" w:rsidRDefault="00795B1A" w:rsidP="00C733C5">
      <w:pPr>
        <w:spacing w:after="0" w:line="360" w:lineRule="auto"/>
        <w:jc w:val="right"/>
        <w:rPr>
          <w:rFonts w:ascii="Times New Roman" w:hAnsi="Times New Roman" w:cs="Times New Roman"/>
          <w:b/>
          <w:sz w:val="28"/>
          <w:szCs w:val="24"/>
        </w:rPr>
      </w:pPr>
      <w:r w:rsidRPr="00BA0712">
        <w:rPr>
          <w:rFonts w:ascii="Times New Roman" w:hAnsi="Times New Roman" w:cs="Times New Roman"/>
          <w:b/>
          <w:sz w:val="28"/>
          <w:szCs w:val="24"/>
        </w:rPr>
        <w:t xml:space="preserve">dott. </w:t>
      </w:r>
      <w:r w:rsidR="006221BD" w:rsidRPr="00BA0712">
        <w:rPr>
          <w:rFonts w:ascii="Times New Roman" w:hAnsi="Times New Roman" w:cs="Times New Roman"/>
          <w:b/>
          <w:sz w:val="28"/>
          <w:szCs w:val="24"/>
        </w:rPr>
        <w:t xml:space="preserve">Gabriele </w:t>
      </w:r>
      <w:proofErr w:type="spellStart"/>
      <w:r w:rsidR="006221BD" w:rsidRPr="00BA0712">
        <w:rPr>
          <w:rFonts w:ascii="Times New Roman" w:hAnsi="Times New Roman" w:cs="Times New Roman"/>
          <w:b/>
          <w:sz w:val="28"/>
          <w:szCs w:val="24"/>
        </w:rPr>
        <w:t>Gagliardini</w:t>
      </w:r>
      <w:proofErr w:type="spellEnd"/>
    </w:p>
    <w:p w:rsidR="00B11F1D" w:rsidRDefault="00B11F1D" w:rsidP="00C733C5">
      <w:pPr>
        <w:spacing w:after="0" w:line="360" w:lineRule="auto"/>
        <w:jc w:val="right"/>
        <w:rPr>
          <w:rFonts w:ascii="Times New Roman" w:hAnsi="Times New Roman" w:cs="Times New Roman"/>
          <w:b/>
          <w:sz w:val="28"/>
          <w:szCs w:val="24"/>
        </w:rPr>
      </w:pPr>
    </w:p>
    <w:p w:rsidR="00B11F1D" w:rsidRPr="00B11F1D" w:rsidRDefault="00B11F1D" w:rsidP="00C733C5">
      <w:pPr>
        <w:spacing w:after="0" w:line="360" w:lineRule="auto"/>
        <w:jc w:val="right"/>
        <w:rPr>
          <w:rFonts w:ascii="Times New Roman" w:hAnsi="Times New Roman" w:cs="Times New Roman"/>
          <w:sz w:val="28"/>
          <w:szCs w:val="24"/>
        </w:rPr>
      </w:pPr>
      <w:proofErr w:type="gramStart"/>
      <w:r w:rsidRPr="00B11F1D">
        <w:rPr>
          <w:rFonts w:ascii="Times New Roman" w:hAnsi="Times New Roman" w:cs="Times New Roman"/>
          <w:sz w:val="28"/>
          <w:szCs w:val="24"/>
        </w:rPr>
        <w:t>pubblicato</w:t>
      </w:r>
      <w:proofErr w:type="gramEnd"/>
      <w:r w:rsidRPr="00B11F1D">
        <w:rPr>
          <w:rFonts w:ascii="Times New Roman" w:hAnsi="Times New Roman" w:cs="Times New Roman"/>
          <w:sz w:val="28"/>
          <w:szCs w:val="24"/>
        </w:rPr>
        <w:t xml:space="preserve"> il 16 agosto 2019</w:t>
      </w:r>
      <w:bookmarkStart w:id="0" w:name="_GoBack"/>
      <w:bookmarkEnd w:id="0"/>
    </w:p>
    <w:p w:rsidR="00FE0774" w:rsidRDefault="00FE0774" w:rsidP="00457EEE">
      <w:pPr>
        <w:spacing w:after="0" w:line="360" w:lineRule="auto"/>
        <w:jc w:val="both"/>
        <w:rPr>
          <w:rFonts w:ascii="Times New Roman" w:hAnsi="Times New Roman" w:cs="Times New Roman"/>
          <w:color w:val="000000"/>
          <w:sz w:val="24"/>
          <w:szCs w:val="24"/>
        </w:rPr>
      </w:pPr>
    </w:p>
    <w:sectPr w:rsidR="00FE077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A6" w:rsidRDefault="00F521A6" w:rsidP="00CC548D">
      <w:pPr>
        <w:spacing w:after="0" w:line="240" w:lineRule="auto"/>
      </w:pPr>
      <w:r>
        <w:separator/>
      </w:r>
    </w:p>
  </w:endnote>
  <w:endnote w:type="continuationSeparator" w:id="0">
    <w:p w:rsidR="00F521A6" w:rsidRDefault="00F521A6" w:rsidP="00CC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53091"/>
      <w:docPartObj>
        <w:docPartGallery w:val="Page Numbers (Bottom of Page)"/>
        <w:docPartUnique/>
      </w:docPartObj>
    </w:sdtPr>
    <w:sdtEndPr/>
    <w:sdtContent>
      <w:p w:rsidR="005B5C50" w:rsidRDefault="005B5C50">
        <w:pPr>
          <w:pStyle w:val="Pidipagina"/>
          <w:jc w:val="center"/>
        </w:pPr>
        <w:r>
          <w:fldChar w:fldCharType="begin"/>
        </w:r>
        <w:r>
          <w:instrText>PAGE   \* MERGEFORMAT</w:instrText>
        </w:r>
        <w:r>
          <w:fldChar w:fldCharType="separate"/>
        </w:r>
        <w:r w:rsidR="00B11F1D">
          <w:rPr>
            <w:noProof/>
          </w:rPr>
          <w:t>20</w:t>
        </w:r>
        <w:r>
          <w:fldChar w:fldCharType="end"/>
        </w:r>
      </w:p>
    </w:sdtContent>
  </w:sdt>
  <w:p w:rsidR="005B5C50" w:rsidRDefault="005B5C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A6" w:rsidRDefault="00F521A6" w:rsidP="00CC548D">
      <w:pPr>
        <w:spacing w:after="0" w:line="240" w:lineRule="auto"/>
      </w:pPr>
      <w:r>
        <w:separator/>
      </w:r>
    </w:p>
  </w:footnote>
  <w:footnote w:type="continuationSeparator" w:id="0">
    <w:p w:rsidR="00F521A6" w:rsidRDefault="00F521A6" w:rsidP="00CC548D">
      <w:pPr>
        <w:spacing w:after="0" w:line="240" w:lineRule="auto"/>
      </w:pPr>
      <w:r>
        <w:continuationSeparator/>
      </w:r>
    </w:p>
  </w:footnote>
  <w:footnote w:id="1">
    <w:p w:rsidR="001114E3" w:rsidRPr="0065453F" w:rsidRDefault="001114E3"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A questo filone giurisprudenziale appartengono: Cons. Stato, sez. V, 2 agosto 2018, n. 5502; Cons. Stato, sez. V, 2 agosto 2018, n. 5503; Tribunale Amministrativo Regionale della Lazio, sede di Roma, sez. II, 14 gennaio 2019, n. 425; Tribunale Amministrativo Regionale per le Marche, sez. I, 18 ottobre 2018, n. 677; Tribunale Amministrativo Regionale dell’Emilia Romagna, sede di Parma, 18 luglio 2018, n. 197. I testi delle pronunce sono reperibili sul sito </w:t>
      </w:r>
      <w:hyperlink r:id="rId1" w:history="1">
        <w:r w:rsidRPr="0065453F">
          <w:rPr>
            <w:rStyle w:val="Collegamentoipertestuale"/>
            <w:rFonts w:ascii="Times New Roman" w:hAnsi="Times New Roman" w:cs="Times New Roman"/>
          </w:rPr>
          <w:t>www.giustizia-amministrativa.it</w:t>
        </w:r>
      </w:hyperlink>
      <w:r w:rsidR="00D66CA0" w:rsidRPr="0065453F">
        <w:rPr>
          <w:rStyle w:val="Collegamentoipertestuale"/>
          <w:rFonts w:ascii="Times New Roman" w:hAnsi="Times New Roman" w:cs="Times New Roman"/>
        </w:rPr>
        <w:t>.</w:t>
      </w:r>
    </w:p>
  </w:footnote>
  <w:footnote w:id="2">
    <w:p w:rsidR="001114E3" w:rsidRPr="0065453F" w:rsidRDefault="001114E3"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Nel senso dell’applicabilità dell’accesso civico generalizzato alle procedure di ga</w:t>
      </w:r>
      <w:r w:rsidR="0036063F" w:rsidRPr="0065453F">
        <w:rPr>
          <w:rFonts w:ascii="Times New Roman" w:hAnsi="Times New Roman" w:cs="Times New Roman"/>
        </w:rPr>
        <w:t>ra si sono espresse</w:t>
      </w:r>
      <w:r w:rsidRPr="0065453F">
        <w:rPr>
          <w:rFonts w:ascii="Times New Roman" w:hAnsi="Times New Roman" w:cs="Times New Roman"/>
        </w:rPr>
        <w:t xml:space="preserve"> Cons. Stato, III sez., 5 giugno 2019, n. 3087; Tribunale Amministrativo Regionale della Toscana, sez., III, 17 aprile 2019, n. 577; Tribunale Amministrativo Regionale della Toscana, sez. I, 25 marzo 2019, n. 422; Tribunale Amministrativo Regionale della Lombardia, sede di Milano, sez. IV, 11 gennaio 2019, n. 45; Tribunale Amministrativo Regionale della Campania, sez. VI, 22 dicembre 2017, n. 6028. I testi delle pronunce sono reperibili sul sito </w:t>
      </w:r>
      <w:hyperlink r:id="rId2" w:history="1">
        <w:r w:rsidRPr="0065453F">
          <w:rPr>
            <w:rStyle w:val="Collegamentoipertestuale"/>
            <w:rFonts w:ascii="Times New Roman" w:hAnsi="Times New Roman" w:cs="Times New Roman"/>
          </w:rPr>
          <w:t>www.giustizia-amministrativa.it</w:t>
        </w:r>
      </w:hyperlink>
      <w:r w:rsidR="00D66CA0" w:rsidRPr="0065453F">
        <w:rPr>
          <w:rStyle w:val="Collegamentoipertestuale"/>
          <w:rFonts w:ascii="Times New Roman" w:hAnsi="Times New Roman" w:cs="Times New Roman"/>
        </w:rPr>
        <w:t>.</w:t>
      </w:r>
    </w:p>
  </w:footnote>
  <w:footnote w:id="3">
    <w:p w:rsidR="001114E3" w:rsidRPr="0065453F" w:rsidRDefault="001114E3"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Sulle struttura del sistema dell’accesso alle informazioni pubbliche e sui problemi di coordinamento tra le diverse fattispecie di accesso si è espressa Cons. Stato, sez. V, 20 ma</w:t>
      </w:r>
      <w:r w:rsidR="00D66CA0" w:rsidRPr="0065453F">
        <w:rPr>
          <w:rFonts w:ascii="Times New Roman" w:hAnsi="Times New Roman" w:cs="Times New Roman"/>
        </w:rPr>
        <w:t>rzo 2019, n. 1817, reperibile sul sito</w:t>
      </w:r>
      <w:r w:rsidRPr="0065453F">
        <w:rPr>
          <w:rFonts w:ascii="Times New Roman" w:hAnsi="Times New Roman" w:cs="Times New Roman"/>
        </w:rPr>
        <w:t xml:space="preserve"> </w:t>
      </w:r>
      <w:hyperlink r:id="rId3" w:history="1">
        <w:r w:rsidRPr="0065453F">
          <w:rPr>
            <w:rStyle w:val="Collegamentoipertestuale"/>
            <w:rFonts w:ascii="Times New Roman" w:hAnsi="Times New Roman" w:cs="Times New Roman"/>
          </w:rPr>
          <w:t>www.giustizia-amministrativa.it</w:t>
        </w:r>
      </w:hyperlink>
      <w:r w:rsidR="00D66CA0" w:rsidRPr="0065453F">
        <w:rPr>
          <w:rFonts w:ascii="Times New Roman" w:hAnsi="Times New Roman" w:cs="Times New Roman"/>
        </w:rPr>
        <w:t>.</w:t>
      </w:r>
    </w:p>
  </w:footnote>
  <w:footnote w:id="4">
    <w:p w:rsidR="00F17EA1" w:rsidRPr="0065453F" w:rsidRDefault="00F17EA1"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E3390F" w:rsidRPr="0065453F">
        <w:rPr>
          <w:rFonts w:ascii="Times New Roman" w:hAnsi="Times New Roman" w:cs="Times New Roman"/>
        </w:rPr>
        <w:t>Si tratta delle direttive 2014/23/UE, 2014/24/UE, 2014/25/UE sull’aggiudicazione dei contratti di concessione, sugli appalti pubblici e sulle procedure d’appalto degli enti erogatori dell’acqua, dell’energia, dei trasporti e dei servizi postali, nonché il per il riordino della disciplina vigente in materia di contratti pubblici relativi a lavori, servizi e forniture</w:t>
      </w:r>
      <w:r w:rsidR="0065453F">
        <w:rPr>
          <w:rFonts w:ascii="Times New Roman" w:hAnsi="Times New Roman" w:cs="Times New Roman"/>
        </w:rPr>
        <w:t>.</w:t>
      </w:r>
    </w:p>
  </w:footnote>
  <w:footnote w:id="5">
    <w:p w:rsidR="00995FDA" w:rsidRPr="0065453F" w:rsidRDefault="000D13EE" w:rsidP="0065453F">
      <w:pPr>
        <w:spacing w:after="0" w:line="240" w:lineRule="auto"/>
        <w:jc w:val="both"/>
        <w:rPr>
          <w:rFonts w:ascii="Times New Roman" w:hAnsi="Times New Roman" w:cs="Times New Roman"/>
          <w:sz w:val="20"/>
          <w:szCs w:val="20"/>
        </w:rPr>
      </w:pPr>
      <w:r w:rsidRPr="0065453F">
        <w:rPr>
          <w:rStyle w:val="Rimandonotaapidipagina"/>
          <w:rFonts w:ascii="Times New Roman" w:hAnsi="Times New Roman" w:cs="Times New Roman"/>
          <w:sz w:val="20"/>
          <w:szCs w:val="20"/>
        </w:rPr>
        <w:footnoteRef/>
      </w:r>
      <w:r w:rsidRPr="0065453F">
        <w:rPr>
          <w:rFonts w:ascii="Times New Roman" w:hAnsi="Times New Roman" w:cs="Times New Roman"/>
          <w:sz w:val="20"/>
          <w:szCs w:val="20"/>
        </w:rPr>
        <w:t xml:space="preserve"> </w:t>
      </w:r>
      <w:r w:rsidR="00FA441A" w:rsidRPr="0065453F">
        <w:rPr>
          <w:rFonts w:ascii="Times New Roman" w:hAnsi="Times New Roman" w:cs="Times New Roman"/>
          <w:sz w:val="20"/>
          <w:szCs w:val="20"/>
        </w:rPr>
        <w:t xml:space="preserve">La legge n. 241/90 </w:t>
      </w:r>
      <w:proofErr w:type="spellStart"/>
      <w:r w:rsidR="00FA441A" w:rsidRPr="0065453F">
        <w:rPr>
          <w:rFonts w:ascii="Times New Roman" w:hAnsi="Times New Roman" w:cs="Times New Roman"/>
          <w:sz w:val="20"/>
          <w:szCs w:val="20"/>
        </w:rPr>
        <w:t>s.m.i.</w:t>
      </w:r>
      <w:proofErr w:type="spellEnd"/>
      <w:r w:rsidR="00FA441A" w:rsidRPr="0065453F">
        <w:rPr>
          <w:rFonts w:ascii="Times New Roman" w:hAnsi="Times New Roman" w:cs="Times New Roman"/>
          <w:sz w:val="20"/>
          <w:szCs w:val="20"/>
        </w:rPr>
        <w:t xml:space="preserve"> afferma il principio di trasparenza come principio generale dell’attività amministrativa </w:t>
      </w:r>
      <w:r w:rsidR="00622AEA" w:rsidRPr="0065453F">
        <w:rPr>
          <w:rFonts w:ascii="Times New Roman" w:hAnsi="Times New Roman" w:cs="Times New Roman"/>
          <w:sz w:val="20"/>
          <w:szCs w:val="20"/>
        </w:rPr>
        <w:t>attraverso gli istituti</w:t>
      </w:r>
      <w:r w:rsidR="00FA441A" w:rsidRPr="0065453F">
        <w:rPr>
          <w:rFonts w:ascii="Times New Roman" w:hAnsi="Times New Roman" w:cs="Times New Roman"/>
          <w:sz w:val="20"/>
          <w:szCs w:val="20"/>
        </w:rPr>
        <w:t xml:space="preserve"> </w:t>
      </w:r>
      <w:r w:rsidR="00622AEA" w:rsidRPr="0065453F">
        <w:rPr>
          <w:rFonts w:ascii="Times New Roman" w:hAnsi="Times New Roman" w:cs="Times New Roman"/>
          <w:sz w:val="20"/>
          <w:szCs w:val="20"/>
        </w:rPr>
        <w:t>del</w:t>
      </w:r>
      <w:r w:rsidR="00FA441A" w:rsidRPr="0065453F">
        <w:rPr>
          <w:rFonts w:ascii="Times New Roman" w:hAnsi="Times New Roman" w:cs="Times New Roman"/>
          <w:sz w:val="20"/>
          <w:szCs w:val="20"/>
        </w:rPr>
        <w:t xml:space="preserve">la motivazione, </w:t>
      </w:r>
      <w:r w:rsidR="00622AEA" w:rsidRPr="0065453F">
        <w:rPr>
          <w:rFonts w:ascii="Times New Roman" w:hAnsi="Times New Roman" w:cs="Times New Roman"/>
          <w:sz w:val="20"/>
          <w:szCs w:val="20"/>
        </w:rPr>
        <w:t>del</w:t>
      </w:r>
      <w:r w:rsidR="00FA441A" w:rsidRPr="0065453F">
        <w:rPr>
          <w:rFonts w:ascii="Times New Roman" w:hAnsi="Times New Roman" w:cs="Times New Roman"/>
          <w:sz w:val="20"/>
          <w:szCs w:val="20"/>
        </w:rPr>
        <w:t xml:space="preserve">la partecipazione procedimentale, </w:t>
      </w:r>
      <w:r w:rsidR="00622AEA" w:rsidRPr="0065453F">
        <w:rPr>
          <w:rFonts w:ascii="Times New Roman" w:hAnsi="Times New Roman" w:cs="Times New Roman"/>
          <w:sz w:val="20"/>
          <w:szCs w:val="20"/>
        </w:rPr>
        <w:t>del</w:t>
      </w:r>
      <w:r w:rsidR="00FA441A" w:rsidRPr="0065453F">
        <w:rPr>
          <w:rFonts w:ascii="Times New Roman" w:hAnsi="Times New Roman" w:cs="Times New Roman"/>
          <w:sz w:val="20"/>
          <w:szCs w:val="20"/>
        </w:rPr>
        <w:t>l’accesso ai documenti amministrativi; dal d.lgs. n. 150/2009, inizia a delinearsi una concezione di trasparenza diversa da quella intesa come accessibilità ai documenti detenuti dalle amministrazioni, rispetto ai quali si ha un interesse differenziato e personale alla conoscenza, desumibile dalla legge n. 241/90, nel senso che la nuova trasparenza si pone come accessibilità totale ai dati e documenti detenuti dalle amministrazioni, anche attraverso lo strumento della pubblicazione sui siti istituzionali; la legge n. 190/2012 e il d.lgs. n. 33/2013 confermano la trasparenza come concepita dal d.lgs. n. 150/2009, configurandola altresì come strumento di contrasto e di prevenzione alla diffusione dei fenomeni corruttivi nelle amministrazioni; da ultimo, il d.lgs. n. 97/2016,  introduttivo dell’accesso libero e universale, implementa la trasparenza amministrativa intesa come accessibilità totale ai da</w:t>
      </w:r>
      <w:r w:rsidR="00622AEA" w:rsidRPr="0065453F">
        <w:rPr>
          <w:rFonts w:ascii="Times New Roman" w:hAnsi="Times New Roman" w:cs="Times New Roman"/>
          <w:sz w:val="20"/>
          <w:szCs w:val="20"/>
        </w:rPr>
        <w:t xml:space="preserve">ti e documenti detenuti dalle amministrazioni. </w:t>
      </w:r>
    </w:p>
    <w:p w:rsidR="00FA441A" w:rsidRPr="0065453F" w:rsidRDefault="00622AEA" w:rsidP="0065453F">
      <w:pPr>
        <w:spacing w:after="0" w:line="240" w:lineRule="auto"/>
        <w:jc w:val="both"/>
        <w:rPr>
          <w:rFonts w:ascii="Times New Roman" w:hAnsi="Times New Roman" w:cs="Times New Roman"/>
          <w:sz w:val="20"/>
          <w:szCs w:val="20"/>
        </w:rPr>
      </w:pPr>
      <w:r w:rsidRPr="0065453F">
        <w:rPr>
          <w:rFonts w:ascii="Times New Roman" w:hAnsi="Times New Roman" w:cs="Times New Roman"/>
          <w:sz w:val="20"/>
          <w:szCs w:val="20"/>
        </w:rPr>
        <w:t xml:space="preserve">Quest’evoluzione è stata </w:t>
      </w:r>
      <w:r w:rsidR="00995FDA" w:rsidRPr="0065453F">
        <w:rPr>
          <w:rFonts w:ascii="Times New Roman" w:hAnsi="Times New Roman" w:cs="Times New Roman"/>
          <w:sz w:val="20"/>
          <w:szCs w:val="20"/>
        </w:rPr>
        <w:t>recentemente registrata</w:t>
      </w:r>
      <w:r w:rsidRPr="0065453F">
        <w:rPr>
          <w:rFonts w:ascii="Times New Roman" w:hAnsi="Times New Roman" w:cs="Times New Roman"/>
          <w:sz w:val="20"/>
          <w:szCs w:val="20"/>
        </w:rPr>
        <w:t xml:space="preserve"> dalla Corte Costituzionale con la sentenza n. 2</w:t>
      </w:r>
      <w:r w:rsidR="00995FDA" w:rsidRPr="0065453F">
        <w:rPr>
          <w:rFonts w:ascii="Times New Roman" w:hAnsi="Times New Roman" w:cs="Times New Roman"/>
          <w:sz w:val="20"/>
          <w:szCs w:val="20"/>
        </w:rPr>
        <w:t xml:space="preserve">0 del 2019, </w:t>
      </w:r>
      <w:r w:rsidR="00CA7DD9">
        <w:rPr>
          <w:rFonts w:ascii="Times New Roman" w:hAnsi="Times New Roman" w:cs="Times New Roman"/>
          <w:sz w:val="20"/>
          <w:szCs w:val="20"/>
        </w:rPr>
        <w:t xml:space="preserve">reperibile sul sito </w:t>
      </w:r>
      <w:hyperlink r:id="rId4" w:history="1">
        <w:r w:rsidR="00CA7DD9" w:rsidRPr="00D05D0F">
          <w:rPr>
            <w:rStyle w:val="Collegamentoipertestuale"/>
            <w:rFonts w:ascii="Times New Roman" w:hAnsi="Times New Roman" w:cs="Times New Roman"/>
            <w:sz w:val="20"/>
            <w:szCs w:val="20"/>
          </w:rPr>
          <w:t>www.cortecostituzionale.it</w:t>
        </w:r>
      </w:hyperlink>
      <w:r w:rsidR="00CA7DD9">
        <w:rPr>
          <w:rFonts w:ascii="Times New Roman" w:hAnsi="Times New Roman" w:cs="Times New Roman"/>
          <w:sz w:val="20"/>
          <w:szCs w:val="20"/>
        </w:rPr>
        <w:t xml:space="preserve">, </w:t>
      </w:r>
      <w:r w:rsidR="00995FDA" w:rsidRPr="0065453F">
        <w:rPr>
          <w:rFonts w:ascii="Times New Roman" w:hAnsi="Times New Roman" w:cs="Times New Roman"/>
          <w:sz w:val="20"/>
          <w:szCs w:val="20"/>
        </w:rPr>
        <w:t>la quale rileva</w:t>
      </w:r>
      <w:r w:rsidRPr="0065453F">
        <w:rPr>
          <w:rFonts w:ascii="Times New Roman" w:hAnsi="Times New Roman" w:cs="Times New Roman"/>
          <w:sz w:val="20"/>
          <w:szCs w:val="20"/>
        </w:rPr>
        <w:t xml:space="preserve"> l’affermazione di un modello di trasparenza fondato sulla “disponibilità” dei dati e dei documenti detenuti dalle amministrazioni (d.lgs. n. 33/2013) accanto al preesistente modello fondato sulla sola “accessibili</w:t>
      </w:r>
      <w:r w:rsidR="00AA05C3" w:rsidRPr="0065453F">
        <w:rPr>
          <w:rFonts w:ascii="Times New Roman" w:hAnsi="Times New Roman" w:cs="Times New Roman"/>
          <w:sz w:val="20"/>
          <w:szCs w:val="20"/>
        </w:rPr>
        <w:t>tà” degli atti detenuti dall’amministrazione</w:t>
      </w:r>
      <w:r w:rsidRPr="0065453F">
        <w:rPr>
          <w:rFonts w:ascii="Times New Roman" w:hAnsi="Times New Roman" w:cs="Times New Roman"/>
          <w:sz w:val="20"/>
          <w:szCs w:val="20"/>
        </w:rPr>
        <w:t xml:space="preserve">, rispetto ai quali il privato ha interesse per la tutela di una propria situazione giuridicamente rilevante (l. n. 241/1990). </w:t>
      </w:r>
    </w:p>
    <w:p w:rsidR="00622AEA" w:rsidRPr="0065453F" w:rsidRDefault="00AA05C3" w:rsidP="0065453F">
      <w:pPr>
        <w:pStyle w:val="Testonotaapidipagina"/>
        <w:jc w:val="both"/>
        <w:rPr>
          <w:rFonts w:ascii="Times New Roman" w:hAnsi="Times New Roman" w:cs="Times New Roman"/>
        </w:rPr>
      </w:pPr>
      <w:r w:rsidRPr="0065453F">
        <w:rPr>
          <w:rFonts w:ascii="Times New Roman" w:hAnsi="Times New Roman" w:cs="Times New Roman"/>
        </w:rPr>
        <w:t xml:space="preserve">Per una ricostruzione critica dell’evoluzione della trasparenza nell’ordinamento italiano </w:t>
      </w:r>
      <w:r w:rsidR="00995FDA" w:rsidRPr="0065453F">
        <w:rPr>
          <w:rFonts w:ascii="Times New Roman" w:hAnsi="Times New Roman" w:cs="Times New Roman"/>
        </w:rPr>
        <w:t xml:space="preserve">si veda </w:t>
      </w:r>
      <w:r w:rsidR="00622AEA" w:rsidRPr="0065453F">
        <w:rPr>
          <w:rFonts w:ascii="Times New Roman" w:hAnsi="Times New Roman" w:cs="Times New Roman"/>
        </w:rPr>
        <w:t xml:space="preserve">M. SAVINO, </w:t>
      </w:r>
      <w:r w:rsidR="00622AEA" w:rsidRPr="0065453F">
        <w:rPr>
          <w:rFonts w:ascii="Times New Roman" w:hAnsi="Times New Roman" w:cs="Times New Roman"/>
          <w:i/>
        </w:rPr>
        <w:t xml:space="preserve">Il FOIA italiano. La fine della trasparenza di Bertoldo, in Giornale di dir. </w:t>
      </w:r>
      <w:proofErr w:type="spellStart"/>
      <w:r w:rsidR="00622AEA" w:rsidRPr="0065453F">
        <w:rPr>
          <w:rFonts w:ascii="Times New Roman" w:hAnsi="Times New Roman" w:cs="Times New Roman"/>
          <w:i/>
        </w:rPr>
        <w:t>amm</w:t>
      </w:r>
      <w:proofErr w:type="spellEnd"/>
      <w:r w:rsidR="00622AEA" w:rsidRPr="0065453F">
        <w:rPr>
          <w:rFonts w:ascii="Times New Roman" w:hAnsi="Times New Roman" w:cs="Times New Roman"/>
          <w:i/>
        </w:rPr>
        <w:t>.: mensile di legislazione, giurisprudenza, prassi e opinioni, n. 5/2016, pp. 593 – 604.</w:t>
      </w:r>
    </w:p>
  </w:footnote>
  <w:footnote w:id="6">
    <w:p w:rsidR="00221809" w:rsidRPr="0065453F" w:rsidRDefault="00221809"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000E21D6" w:rsidRPr="0065453F">
        <w:rPr>
          <w:rFonts w:ascii="Times New Roman" w:hAnsi="Times New Roman" w:cs="Times New Roman"/>
        </w:rPr>
        <w:t xml:space="preserve"> Al riguardo, si vedano</w:t>
      </w:r>
      <w:r w:rsidR="00DE7638" w:rsidRPr="0065453F">
        <w:rPr>
          <w:rFonts w:ascii="Times New Roman" w:hAnsi="Times New Roman" w:cs="Times New Roman"/>
        </w:rPr>
        <w:t xml:space="preserve"> i dati</w:t>
      </w:r>
      <w:r w:rsidR="000E21D6" w:rsidRPr="0065453F">
        <w:rPr>
          <w:rFonts w:ascii="Times New Roman" w:hAnsi="Times New Roman" w:cs="Times New Roman"/>
        </w:rPr>
        <w:t xml:space="preserve"> sulla corruzione negli appalti pubblici</w:t>
      </w:r>
      <w:r w:rsidR="00DE7638" w:rsidRPr="0065453F">
        <w:rPr>
          <w:rFonts w:ascii="Times New Roman" w:hAnsi="Times New Roman" w:cs="Times New Roman"/>
        </w:rPr>
        <w:t xml:space="preserve"> riportati nell’Allegato sull’Italia della Relazione dell’Unione sulla lotta alla corruzione del 3 febbraio 2014</w:t>
      </w:r>
      <w:r w:rsidR="00995FDA" w:rsidRPr="0065453F">
        <w:rPr>
          <w:rFonts w:ascii="Times New Roman" w:hAnsi="Times New Roman" w:cs="Times New Roman"/>
        </w:rPr>
        <w:t xml:space="preserve"> de</w:t>
      </w:r>
      <w:r w:rsidR="00DE7638" w:rsidRPr="0065453F">
        <w:rPr>
          <w:rFonts w:ascii="Times New Roman" w:hAnsi="Times New Roman" w:cs="Times New Roman"/>
        </w:rPr>
        <w:t>lla Commissione Europea</w:t>
      </w:r>
      <w:r w:rsidR="00995FDA" w:rsidRPr="0065453F">
        <w:rPr>
          <w:rFonts w:ascii="Times New Roman" w:hAnsi="Times New Roman" w:cs="Times New Roman"/>
        </w:rPr>
        <w:t>.</w:t>
      </w:r>
    </w:p>
  </w:footnote>
  <w:footnote w:id="7">
    <w:p w:rsidR="00605675" w:rsidRPr="0065453F" w:rsidRDefault="00605675"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00CC3AA3" w:rsidRPr="0065453F">
        <w:rPr>
          <w:rFonts w:ascii="Times New Roman" w:hAnsi="Times New Roman" w:cs="Times New Roman"/>
        </w:rPr>
        <w:t xml:space="preserve"> L’accesso civico generalizzato è qualificato come diritto fondamentale dalla Circolare </w:t>
      </w:r>
      <w:r w:rsidR="00E8041D" w:rsidRPr="0065453F">
        <w:rPr>
          <w:rFonts w:ascii="Times New Roman" w:hAnsi="Times New Roman" w:cs="Times New Roman"/>
        </w:rPr>
        <w:t xml:space="preserve">della Presidenza del Consiglio dei Ministri – Dipartimento della funzione pubblica 30 maggio 2017, </w:t>
      </w:r>
      <w:r w:rsidR="00CC3AA3" w:rsidRPr="0065453F">
        <w:rPr>
          <w:rFonts w:ascii="Times New Roman" w:hAnsi="Times New Roman" w:cs="Times New Roman"/>
        </w:rPr>
        <w:t xml:space="preserve">n. 2/2017 </w:t>
      </w:r>
      <w:r w:rsidR="00E8041D" w:rsidRPr="0065453F">
        <w:rPr>
          <w:rFonts w:ascii="Times New Roman" w:hAnsi="Times New Roman" w:cs="Times New Roman"/>
        </w:rPr>
        <w:t xml:space="preserve">recante </w:t>
      </w:r>
      <w:r w:rsidR="00CC3AA3" w:rsidRPr="0065453F">
        <w:rPr>
          <w:rFonts w:ascii="Times New Roman" w:hAnsi="Times New Roman" w:cs="Times New Roman"/>
        </w:rPr>
        <w:t>“</w:t>
      </w:r>
      <w:r w:rsidR="00CC3AA3" w:rsidRPr="0065453F">
        <w:rPr>
          <w:rFonts w:ascii="Times New Roman" w:hAnsi="Times New Roman" w:cs="Times New Roman"/>
          <w:i/>
        </w:rPr>
        <w:t>Attuazione delle norme sull’accesso civico generalizzato (c.d. FOIA)</w:t>
      </w:r>
      <w:r w:rsidR="00D85332" w:rsidRPr="0065453F">
        <w:rPr>
          <w:rFonts w:ascii="Times New Roman" w:hAnsi="Times New Roman" w:cs="Times New Roman"/>
        </w:rPr>
        <w:t>”</w:t>
      </w:r>
      <w:r w:rsidR="00CC3AA3" w:rsidRPr="0065453F">
        <w:rPr>
          <w:rFonts w:ascii="Times New Roman" w:hAnsi="Times New Roman" w:cs="Times New Roman"/>
        </w:rPr>
        <w:t xml:space="preserve">, reperibile in </w:t>
      </w:r>
      <w:hyperlink r:id="rId5" w:history="1">
        <w:r w:rsidR="00D85332" w:rsidRPr="0065453F">
          <w:rPr>
            <w:rStyle w:val="Collegamentoipertestuale"/>
            <w:rFonts w:ascii="Times New Roman" w:hAnsi="Times New Roman" w:cs="Times New Roman"/>
          </w:rPr>
          <w:t>http://www.funzionepubblica.gov.it</w:t>
        </w:r>
      </w:hyperlink>
      <w:r w:rsidR="00D85332" w:rsidRPr="0065453F">
        <w:rPr>
          <w:rFonts w:ascii="Times New Roman" w:hAnsi="Times New Roman" w:cs="Times New Roman"/>
        </w:rPr>
        <w:t>.</w:t>
      </w:r>
      <w:r w:rsidR="00CC3AA3" w:rsidRPr="0065453F">
        <w:rPr>
          <w:rFonts w:ascii="Times New Roman" w:hAnsi="Times New Roman" w:cs="Times New Roman"/>
        </w:rPr>
        <w:t xml:space="preserve"> </w:t>
      </w:r>
      <w:r w:rsidRPr="0065453F">
        <w:rPr>
          <w:rFonts w:ascii="Times New Roman" w:hAnsi="Times New Roman" w:cs="Times New Roman"/>
        </w:rPr>
        <w:t xml:space="preserve">In dottrina, l’accesso civico generalizzato è considerato come diritto fondamentale da M. SAVINO, </w:t>
      </w:r>
      <w:r w:rsidRPr="0065453F">
        <w:rPr>
          <w:rFonts w:ascii="Times New Roman" w:hAnsi="Times New Roman" w:cs="Times New Roman"/>
          <w:i/>
        </w:rPr>
        <w:t xml:space="preserve">Il FOIA italiano. La fine della trasparenza di Bertoldo, in Giornale di dir. </w:t>
      </w:r>
      <w:proofErr w:type="spellStart"/>
      <w:r w:rsidRPr="0065453F">
        <w:rPr>
          <w:rFonts w:ascii="Times New Roman" w:hAnsi="Times New Roman" w:cs="Times New Roman"/>
          <w:i/>
        </w:rPr>
        <w:t>amm</w:t>
      </w:r>
      <w:proofErr w:type="spellEnd"/>
      <w:r w:rsidRPr="0065453F">
        <w:rPr>
          <w:rFonts w:ascii="Times New Roman" w:hAnsi="Times New Roman" w:cs="Times New Roman"/>
          <w:i/>
        </w:rPr>
        <w:t>.: mensile di legislazione, giurisprudenza, prassi e opinioni, n. 5/2016, pp.</w:t>
      </w:r>
      <w:r w:rsidR="005D2002" w:rsidRPr="0065453F">
        <w:rPr>
          <w:rFonts w:ascii="Times New Roman" w:hAnsi="Times New Roman" w:cs="Times New Roman"/>
          <w:i/>
        </w:rPr>
        <w:t xml:space="preserve"> 593 – 604, </w:t>
      </w:r>
      <w:proofErr w:type="gramStart"/>
      <w:r w:rsidR="005D2002" w:rsidRPr="0065453F">
        <w:rPr>
          <w:rFonts w:ascii="Times New Roman" w:hAnsi="Times New Roman" w:cs="Times New Roman"/>
          <w:i/>
        </w:rPr>
        <w:t>cit..</w:t>
      </w:r>
      <w:proofErr w:type="gramEnd"/>
    </w:p>
  </w:footnote>
  <w:footnote w:id="8">
    <w:p w:rsidR="00605675" w:rsidRPr="0065453F" w:rsidRDefault="00605675" w:rsidP="0065453F">
      <w:pPr>
        <w:pStyle w:val="NormaleWeb"/>
        <w:spacing w:before="0" w:beforeAutospacing="0" w:after="0" w:afterAutospacing="0"/>
        <w:jc w:val="both"/>
        <w:rPr>
          <w:sz w:val="20"/>
          <w:szCs w:val="20"/>
        </w:rPr>
      </w:pPr>
      <w:r w:rsidRPr="0065453F">
        <w:rPr>
          <w:rStyle w:val="Rimandonotaapidipagina"/>
          <w:sz w:val="20"/>
          <w:szCs w:val="20"/>
        </w:rPr>
        <w:footnoteRef/>
      </w:r>
      <w:r w:rsidRPr="0065453F">
        <w:rPr>
          <w:sz w:val="20"/>
          <w:szCs w:val="20"/>
        </w:rPr>
        <w:t xml:space="preserve"> Cfr. Corte europea dei diritti dell’uomo, (Grande Camera), 8 novembre 2016, </w:t>
      </w:r>
      <w:r w:rsidRPr="0065453F">
        <w:rPr>
          <w:rStyle w:val="Enfasicorsivo"/>
          <w:sz w:val="20"/>
          <w:szCs w:val="20"/>
        </w:rPr>
        <w:t xml:space="preserve">Case of </w:t>
      </w:r>
      <w:proofErr w:type="spellStart"/>
      <w:r w:rsidRPr="0065453F">
        <w:rPr>
          <w:rStyle w:val="Enfasicorsivo"/>
          <w:sz w:val="20"/>
          <w:szCs w:val="20"/>
        </w:rPr>
        <w:t>Magyar</w:t>
      </w:r>
      <w:proofErr w:type="spellEnd"/>
      <w:r w:rsidRPr="0065453F">
        <w:rPr>
          <w:rStyle w:val="Enfasicorsivo"/>
          <w:sz w:val="20"/>
          <w:szCs w:val="20"/>
        </w:rPr>
        <w:t xml:space="preserve"> Helsinki </w:t>
      </w:r>
      <w:proofErr w:type="spellStart"/>
      <w:r w:rsidRPr="0065453F">
        <w:rPr>
          <w:rStyle w:val="Enfasicorsivo"/>
          <w:sz w:val="20"/>
          <w:szCs w:val="20"/>
        </w:rPr>
        <w:t>Bizottság</w:t>
      </w:r>
      <w:proofErr w:type="spellEnd"/>
      <w:r w:rsidRPr="0065453F">
        <w:rPr>
          <w:rStyle w:val="Enfasicorsivo"/>
          <w:sz w:val="20"/>
          <w:szCs w:val="20"/>
        </w:rPr>
        <w:t xml:space="preserve"> v. </w:t>
      </w:r>
      <w:proofErr w:type="spellStart"/>
      <w:r w:rsidRPr="0065453F">
        <w:rPr>
          <w:rStyle w:val="Enfasicorsivo"/>
          <w:sz w:val="20"/>
          <w:szCs w:val="20"/>
        </w:rPr>
        <w:t>Hungary</w:t>
      </w:r>
      <w:proofErr w:type="spellEnd"/>
      <w:r w:rsidR="00D22EDC">
        <w:rPr>
          <w:sz w:val="20"/>
          <w:szCs w:val="20"/>
        </w:rPr>
        <w:t>.</w:t>
      </w:r>
    </w:p>
  </w:footnote>
  <w:footnote w:id="9">
    <w:p w:rsidR="005B5C50" w:rsidRPr="0065453F" w:rsidRDefault="005B5C50"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R. GAROFOLI, G. FERRARI, </w:t>
      </w:r>
      <w:r w:rsidRPr="0065453F">
        <w:rPr>
          <w:rFonts w:ascii="Times New Roman" w:hAnsi="Times New Roman" w:cs="Times New Roman"/>
          <w:i/>
        </w:rPr>
        <w:t xml:space="preserve">Manuale di diritto amministrativo, Molfetta – Roma, 2018, </w:t>
      </w:r>
      <w:r w:rsidRPr="0065453F">
        <w:rPr>
          <w:rFonts w:ascii="Times New Roman" w:hAnsi="Times New Roman" w:cs="Times New Roman"/>
        </w:rPr>
        <w:t xml:space="preserve">798 e </w:t>
      </w:r>
      <w:proofErr w:type="gramStart"/>
      <w:r w:rsidRPr="0065453F">
        <w:rPr>
          <w:rFonts w:ascii="Times New Roman" w:hAnsi="Times New Roman" w:cs="Times New Roman"/>
        </w:rPr>
        <w:t>ss</w:t>
      </w:r>
      <w:r w:rsidR="00995FDA" w:rsidRPr="0065453F">
        <w:rPr>
          <w:rFonts w:ascii="Times New Roman" w:hAnsi="Times New Roman" w:cs="Times New Roman"/>
        </w:rPr>
        <w:t>.</w:t>
      </w:r>
      <w:r w:rsidR="00D22EDC">
        <w:rPr>
          <w:rFonts w:ascii="Times New Roman" w:hAnsi="Times New Roman" w:cs="Times New Roman"/>
        </w:rPr>
        <w:t>.</w:t>
      </w:r>
      <w:proofErr w:type="gramEnd"/>
    </w:p>
  </w:footnote>
  <w:footnote w:id="10">
    <w:p w:rsidR="005B5C50" w:rsidRPr="0065453F" w:rsidRDefault="005B5C50"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In tal senso, Cons. Stato, III sez., 5 giugno 2019, n. 3087, cit., secondo cui «</w:t>
      </w:r>
      <w:r w:rsidRPr="0065453F">
        <w:rPr>
          <w:rFonts w:ascii="Times New Roman" w:hAnsi="Times New Roman" w:cs="Times New Roman"/>
          <w:i/>
        </w:rPr>
        <w:t>proprio con riferimento alle procedure di appalto, la possibilità di accesso civico, una volta che la gara sia conclusa e viene perciò meno la tutela della “par condicio” dei concorrenti, non risponde soltanto ai canoni generali “di controllo diffuso sul perseguimento dei compiti istituzionali e sull’utilizzo delle risorse pubbliche” (art. 5 co. 2 cit. d.lgs. 33). Vi è infatti, a rafforzare in materia l’ammissibilità dell’accesso civico, una esigenza specifica e più volte riaffermata nell’ordinamento statale ed europeo, e cioè il perseguimento di procedure di appalto trasparenti anche come strumento di prevenzione e contrasto della corruzione</w:t>
      </w:r>
      <w:r w:rsidRPr="0065453F">
        <w:rPr>
          <w:rFonts w:ascii="Times New Roman" w:hAnsi="Times New Roman" w:cs="Times New Roman"/>
        </w:rPr>
        <w:t>»</w:t>
      </w:r>
    </w:p>
  </w:footnote>
  <w:footnote w:id="11">
    <w:p w:rsidR="005B5C50" w:rsidRPr="0065453F" w:rsidRDefault="005B5C50" w:rsidP="0065453F">
      <w:pPr>
        <w:spacing w:after="0" w:line="240" w:lineRule="auto"/>
        <w:jc w:val="both"/>
        <w:rPr>
          <w:rFonts w:ascii="Times New Roman" w:eastAsia="Times New Roman" w:hAnsi="Times New Roman" w:cs="Times New Roman"/>
          <w:sz w:val="20"/>
          <w:szCs w:val="20"/>
          <w:lang w:eastAsia="it-IT"/>
        </w:rPr>
      </w:pPr>
      <w:r w:rsidRPr="0065453F">
        <w:rPr>
          <w:rStyle w:val="Rimandonotaapidipagina"/>
          <w:rFonts w:ascii="Times New Roman" w:hAnsi="Times New Roman" w:cs="Times New Roman"/>
          <w:sz w:val="20"/>
          <w:szCs w:val="20"/>
        </w:rPr>
        <w:footnoteRef/>
      </w:r>
      <w:r w:rsidRPr="0065453F">
        <w:rPr>
          <w:rFonts w:ascii="Times New Roman" w:hAnsi="Times New Roman" w:cs="Times New Roman"/>
          <w:sz w:val="20"/>
          <w:szCs w:val="20"/>
        </w:rPr>
        <w:t xml:space="preserve"> In questi termini, si è espressa Cons. Stato, sez. V, 20 ma</w:t>
      </w:r>
      <w:r w:rsidR="00CC628B" w:rsidRPr="0065453F">
        <w:rPr>
          <w:rFonts w:ascii="Times New Roman" w:hAnsi="Times New Roman" w:cs="Times New Roman"/>
          <w:sz w:val="20"/>
          <w:szCs w:val="20"/>
        </w:rPr>
        <w:t xml:space="preserve">rzo 2019, n. 1817, cit., </w:t>
      </w:r>
      <w:r w:rsidRPr="0065453F">
        <w:rPr>
          <w:rFonts w:ascii="Times New Roman" w:hAnsi="Times New Roman" w:cs="Times New Roman"/>
          <w:sz w:val="20"/>
          <w:szCs w:val="20"/>
        </w:rPr>
        <w:t>secondo cui «</w:t>
      </w:r>
      <w:r w:rsidRPr="0065453F">
        <w:rPr>
          <w:rFonts w:ascii="Times New Roman" w:hAnsi="Times New Roman" w:cs="Times New Roman"/>
          <w:i/>
          <w:sz w:val="20"/>
          <w:szCs w:val="20"/>
        </w:rPr>
        <w:t>volendo utilizzare una formula sintetica (…) si dirà che – nel confronto tra accesso documentale e accessi civici, generico ed universale – si guadagna in estensione ciò che si perde in intensità</w:t>
      </w:r>
      <w:r w:rsidRPr="0065453F">
        <w:rPr>
          <w:rFonts w:ascii="Times New Roman" w:hAnsi="Times New Roman" w:cs="Times New Roman"/>
          <w:sz w:val="20"/>
          <w:szCs w:val="20"/>
        </w:rPr>
        <w:t>».</w:t>
      </w:r>
    </w:p>
  </w:footnote>
  <w:footnote w:id="12">
    <w:p w:rsidR="00B66FEE" w:rsidRPr="0065453F" w:rsidRDefault="00B66FEE"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Cons. Stato, sez. cons. per gli atti normativi, adunanza di sezione d</w:t>
      </w:r>
      <w:r w:rsidR="004E67BE" w:rsidRPr="0065453F">
        <w:rPr>
          <w:rFonts w:ascii="Times New Roman" w:hAnsi="Times New Roman" w:cs="Times New Roman"/>
        </w:rPr>
        <w:t>el 18 febbraio 2016, n. 515,</w:t>
      </w:r>
      <w:r w:rsidRPr="0065453F">
        <w:rPr>
          <w:rFonts w:ascii="Times New Roman" w:hAnsi="Times New Roman" w:cs="Times New Roman"/>
        </w:rPr>
        <w:t xml:space="preserve"> secondo cui tra gli elementi della rinnovata visione della pubblica amministrazione si deve tener conto della «</w:t>
      </w:r>
      <w:r w:rsidRPr="0065453F">
        <w:rPr>
          <w:rFonts w:ascii="Times New Roman" w:eastAsia="Times New Roman" w:hAnsi="Times New Roman" w:cs="Times New Roman"/>
          <w:i/>
          <w:lang w:eastAsia="it-IT"/>
        </w:rPr>
        <w:t>presa d’atto del mutato ruolo dello Stato, chiamato non solo a esercitare funzioni autoritative e gestionali, ma anche a promuovere crescita, sviluppo e competitività. Infatti, in tutti i maggiori paesi europei, le riforme amministrative del XXI secolo hanno tra gli obiettivi fondamentali sia il contenimento della spesa pubblica sia (soprattutto) quello della crescita economica e della protezione sociale».</w:t>
      </w:r>
    </w:p>
  </w:footnote>
  <w:footnote w:id="13">
    <w:p w:rsidR="005B5C50" w:rsidRPr="0065453F" w:rsidRDefault="005B5C50" w:rsidP="0065453F">
      <w:pPr>
        <w:shd w:val="clear" w:color="auto" w:fill="FFFFFF"/>
        <w:spacing w:after="0" w:line="240" w:lineRule="auto"/>
        <w:jc w:val="both"/>
        <w:rPr>
          <w:rFonts w:ascii="Times New Roman" w:eastAsia="Times New Roman" w:hAnsi="Times New Roman" w:cs="Times New Roman"/>
          <w:sz w:val="20"/>
          <w:szCs w:val="20"/>
          <w:lang w:eastAsia="it-IT"/>
        </w:rPr>
      </w:pPr>
      <w:r w:rsidRPr="0065453F">
        <w:rPr>
          <w:rStyle w:val="Rimandonotaapidipagina"/>
          <w:rFonts w:ascii="Times New Roman" w:hAnsi="Times New Roman" w:cs="Times New Roman"/>
          <w:sz w:val="20"/>
          <w:szCs w:val="20"/>
        </w:rPr>
        <w:footnoteRef/>
      </w:r>
      <w:r w:rsidRPr="0065453F">
        <w:rPr>
          <w:rFonts w:ascii="Times New Roman" w:hAnsi="Times New Roman" w:cs="Times New Roman"/>
          <w:sz w:val="20"/>
          <w:szCs w:val="20"/>
        </w:rPr>
        <w:t xml:space="preserve"> In tal senso si esprime Cons. Stato, sez. cons. per gli atti normativi, adunanza di sezione del 18 febbraio 2016, n. 515, cit. che ha affermato che «</w:t>
      </w:r>
      <w:r w:rsidRPr="0065453F">
        <w:rPr>
          <w:rFonts w:ascii="Times New Roman" w:eastAsia="Times New Roman" w:hAnsi="Times New Roman" w:cs="Times New Roman"/>
          <w:i/>
          <w:sz w:val="20"/>
          <w:szCs w:val="20"/>
          <w:lang w:eastAsia="it-IT"/>
        </w:rPr>
        <w:t xml:space="preserve">Lo schema di nuovo provvedimento ribalta l’attuale impostazione normativa in tema di trasparenza sotto un duplice profilo. Innanzitutto, riconosce al cittadino un vero e proprio diritto alla richiesta di atti inerenti alle pubbliche amministrazioni, a qualunque fine e senza necessità di motivazioni: dunque, la </w:t>
      </w:r>
      <w:r w:rsidRPr="0065453F">
        <w:rPr>
          <w:rFonts w:ascii="Times New Roman" w:eastAsia="Times New Roman" w:hAnsi="Times New Roman" w:cs="Times New Roman"/>
          <w:i/>
          <w:iCs/>
          <w:sz w:val="20"/>
          <w:szCs w:val="20"/>
          <w:lang w:eastAsia="it-IT"/>
        </w:rPr>
        <w:t>disclosure</w:t>
      </w:r>
      <w:r w:rsidRPr="0065453F">
        <w:rPr>
          <w:rFonts w:ascii="Times New Roman" w:eastAsia="Times New Roman" w:hAnsi="Times New Roman" w:cs="Times New Roman"/>
          <w:i/>
          <w:sz w:val="20"/>
          <w:szCs w:val="20"/>
          <w:lang w:eastAsia="it-IT"/>
        </w:rPr>
        <w:t xml:space="preserve"> non è più limitata a quelle informazioni riguardo alle quali egli sia titolare di un interesse specifico e qualificato (“</w:t>
      </w:r>
      <w:r w:rsidRPr="0065453F">
        <w:rPr>
          <w:rFonts w:ascii="Times New Roman" w:eastAsia="Times New Roman" w:hAnsi="Times New Roman" w:cs="Times New Roman"/>
          <w:i/>
          <w:iCs/>
          <w:sz w:val="20"/>
          <w:szCs w:val="20"/>
          <w:lang w:eastAsia="it-IT"/>
        </w:rPr>
        <w:t>diretto, concreto e attuale</w:t>
      </w:r>
      <w:r w:rsidRPr="0065453F">
        <w:rPr>
          <w:rFonts w:ascii="Times New Roman" w:eastAsia="Times New Roman" w:hAnsi="Times New Roman" w:cs="Times New Roman"/>
          <w:i/>
          <w:sz w:val="20"/>
          <w:szCs w:val="20"/>
          <w:lang w:eastAsia="it-IT"/>
        </w:rPr>
        <w:t>”) idoneo a “motivare” la sua istanza di accesso, come disposto dalla legge sul procedimento amministrativo (l. 241/90). In secondo luogo, il decreto in discorso aggiunge alla preesistente trasparenza di tipo “proattivo”, ossia realizzata mediante la pubblicazione obbligatoria sui siti web di determinati enti dei dati e delle notizie indicati dalla legge (d.lgs. 33/2013), una trasparenza di tipo “reattivo”, cioè in risposta alle istanze di conoscenza avanzate dagli interessati. Il passaggio dal bisogno di conoscere al diritto di conoscere (</w:t>
      </w:r>
      <w:r w:rsidRPr="0065453F">
        <w:rPr>
          <w:rFonts w:ascii="Times New Roman" w:eastAsia="Times New Roman" w:hAnsi="Times New Roman" w:cs="Times New Roman"/>
          <w:i/>
          <w:iCs/>
          <w:sz w:val="20"/>
          <w:szCs w:val="20"/>
          <w:lang w:eastAsia="it-IT"/>
        </w:rPr>
        <w:t xml:space="preserve">from </w:t>
      </w:r>
      <w:proofErr w:type="spellStart"/>
      <w:r w:rsidRPr="0065453F">
        <w:rPr>
          <w:rFonts w:ascii="Times New Roman" w:eastAsia="Times New Roman" w:hAnsi="Times New Roman" w:cs="Times New Roman"/>
          <w:i/>
          <w:iCs/>
          <w:sz w:val="20"/>
          <w:szCs w:val="20"/>
          <w:lang w:eastAsia="it-IT"/>
        </w:rPr>
        <w:t>need</w:t>
      </w:r>
      <w:proofErr w:type="spellEnd"/>
      <w:r w:rsidRPr="0065453F">
        <w:rPr>
          <w:rFonts w:ascii="Times New Roman" w:eastAsia="Times New Roman" w:hAnsi="Times New Roman" w:cs="Times New Roman"/>
          <w:i/>
          <w:iCs/>
          <w:sz w:val="20"/>
          <w:szCs w:val="20"/>
          <w:lang w:eastAsia="it-IT"/>
        </w:rPr>
        <w:t xml:space="preserve"> to right to </w:t>
      </w:r>
      <w:proofErr w:type="spellStart"/>
      <w:r w:rsidRPr="0065453F">
        <w:rPr>
          <w:rFonts w:ascii="Times New Roman" w:eastAsia="Times New Roman" w:hAnsi="Times New Roman" w:cs="Times New Roman"/>
          <w:i/>
          <w:iCs/>
          <w:sz w:val="20"/>
          <w:szCs w:val="20"/>
          <w:lang w:eastAsia="it-IT"/>
        </w:rPr>
        <w:t>know</w:t>
      </w:r>
      <w:proofErr w:type="spellEnd"/>
      <w:r w:rsidRPr="0065453F">
        <w:rPr>
          <w:rFonts w:ascii="Times New Roman" w:eastAsia="Times New Roman" w:hAnsi="Times New Roman" w:cs="Times New Roman"/>
          <w:i/>
          <w:sz w:val="20"/>
          <w:szCs w:val="20"/>
          <w:lang w:eastAsia="it-IT"/>
        </w:rPr>
        <w:t xml:space="preserve">, nella definizione inglese </w:t>
      </w:r>
      <w:r w:rsidRPr="0065453F">
        <w:rPr>
          <w:rFonts w:ascii="Times New Roman" w:eastAsia="Times New Roman" w:hAnsi="Times New Roman" w:cs="Times New Roman"/>
          <w:i/>
          <w:iCs/>
          <w:sz w:val="20"/>
          <w:szCs w:val="20"/>
          <w:lang w:eastAsia="it-IT"/>
        </w:rPr>
        <w:t>F.O.I.A</w:t>
      </w:r>
      <w:r w:rsidRPr="0065453F">
        <w:rPr>
          <w:rFonts w:ascii="Times New Roman" w:eastAsia="Times New Roman" w:hAnsi="Times New Roman" w:cs="Times New Roman"/>
          <w:i/>
          <w:sz w:val="20"/>
          <w:szCs w:val="20"/>
          <w:lang w:eastAsia="it-IT"/>
        </w:rPr>
        <w:t>) rappresenta per l’ordinamento nazionale una sorta di rivoluzione copernicana, potendosi davvero evocare la nota immagine, cara a Filippo Turati, della Pubblica Amministrazione trasparente come una “casa di vetro”</w:t>
      </w:r>
      <w:r w:rsidRPr="0065453F">
        <w:rPr>
          <w:rFonts w:ascii="Times New Roman" w:hAnsi="Times New Roman" w:cs="Times New Roman"/>
          <w:sz w:val="20"/>
          <w:szCs w:val="20"/>
        </w:rPr>
        <w:t xml:space="preserve">. In dottrina, </w:t>
      </w:r>
      <w:r w:rsidRPr="0065453F">
        <w:rPr>
          <w:rFonts w:ascii="Times New Roman" w:eastAsia="Times New Roman" w:hAnsi="Times New Roman" w:cs="Times New Roman"/>
          <w:sz w:val="20"/>
          <w:szCs w:val="20"/>
          <w:lang w:eastAsia="it-IT"/>
        </w:rPr>
        <w:t>G. NAPOLITANO</w:t>
      </w:r>
      <w:r w:rsidRPr="0065453F">
        <w:rPr>
          <w:rFonts w:ascii="Times New Roman" w:eastAsia="Times New Roman" w:hAnsi="Times New Roman" w:cs="Times New Roman"/>
          <w:i/>
          <w:sz w:val="20"/>
          <w:szCs w:val="20"/>
          <w:lang w:eastAsia="it-IT"/>
        </w:rPr>
        <w:t>, La logica del diritto amministrativo</w:t>
      </w:r>
      <w:r w:rsidRPr="0065453F">
        <w:rPr>
          <w:rFonts w:ascii="Times New Roman" w:eastAsia="Times New Roman" w:hAnsi="Times New Roman" w:cs="Times New Roman"/>
          <w:sz w:val="20"/>
          <w:szCs w:val="20"/>
          <w:lang w:eastAsia="it-IT"/>
        </w:rPr>
        <w:t>, Bologna, 2017, 260 e ss. osserva che l’ordinamento italiano, tramite l’acceso civico generalizzato, affianca alla logica privatistica dell’accesso documentale, la trasparenza in funzione democratica ai fini del corretto funzionamento del sistema politico-amministrativo allineandosi, così, ai migliori standard europei e internazionali.</w:t>
      </w:r>
    </w:p>
  </w:footnote>
  <w:footnote w:id="14">
    <w:p w:rsidR="000F26EE" w:rsidRPr="0065453F" w:rsidRDefault="000F26EE"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In tal senso, si veda </w:t>
      </w:r>
      <w:r w:rsidRPr="0065453F">
        <w:rPr>
          <w:rFonts w:ascii="Times New Roman" w:eastAsia="Times New Roman" w:hAnsi="Times New Roman" w:cs="Times New Roman"/>
          <w:lang w:eastAsia="it-IT"/>
        </w:rPr>
        <w:t>G. NAPOLITANO</w:t>
      </w:r>
      <w:r w:rsidRPr="0065453F">
        <w:rPr>
          <w:rFonts w:ascii="Times New Roman" w:eastAsia="Times New Roman" w:hAnsi="Times New Roman" w:cs="Times New Roman"/>
          <w:i/>
          <w:lang w:eastAsia="it-IT"/>
        </w:rPr>
        <w:t>, La logica del diritto amministrativo</w:t>
      </w:r>
      <w:r w:rsidRPr="0065453F">
        <w:rPr>
          <w:rFonts w:ascii="Times New Roman" w:eastAsia="Times New Roman" w:hAnsi="Times New Roman" w:cs="Times New Roman"/>
          <w:lang w:eastAsia="it-IT"/>
        </w:rPr>
        <w:t>, Bologna, 2017, 135 e ss., cit.</w:t>
      </w:r>
    </w:p>
  </w:footnote>
  <w:footnote w:id="15">
    <w:p w:rsidR="00FE0774" w:rsidRPr="0065453F" w:rsidRDefault="00FE0774"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Delibera n. 1309 del 28 dicembre 2016 recante LINEE GUIDA RECANTI INDICAZIONI OPERATIVE AI FINI DELLA DEFINIZIONE DELLE ESCLUSIONI E DEI LIMITI ALL'ACCESSO CIVICO DI CUI ALL’ART. 5 CO. 2 DEL D.LGS.  33/2013 Art. 5- bis, comma 6, del d.lgs. n. 33 del 14/03/2013 recante «Riordino della disciplina riguardante il diritto di accesso civico e gli obblighi di pubblicità, trasparenza e diffusione di informazioni da parte delle pubbliche amministrazioni».</w:t>
      </w:r>
    </w:p>
  </w:footnote>
  <w:footnote w:id="16">
    <w:p w:rsidR="0075568A" w:rsidRPr="0065453F" w:rsidRDefault="0075568A"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6649F5" w:rsidRPr="0065453F">
        <w:rPr>
          <w:rFonts w:ascii="Times New Roman" w:hAnsi="Times New Roman" w:cs="Times New Roman"/>
        </w:rPr>
        <w:t>Cfr. Delibera A.N.A.C. n. 1309 del 28 dicembre 2016, cit.</w:t>
      </w:r>
    </w:p>
  </w:footnote>
  <w:footnote w:id="17">
    <w:p w:rsidR="0075568A" w:rsidRPr="0065453F" w:rsidRDefault="0075568A"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6649F5" w:rsidRPr="0065453F">
        <w:rPr>
          <w:rFonts w:ascii="Times New Roman" w:hAnsi="Times New Roman" w:cs="Times New Roman"/>
        </w:rPr>
        <w:t xml:space="preserve">Si veda la Circolare n. 2/2017 – </w:t>
      </w:r>
      <w:r w:rsidR="002546BA" w:rsidRPr="0065453F">
        <w:rPr>
          <w:rFonts w:ascii="Times New Roman" w:hAnsi="Times New Roman" w:cs="Times New Roman"/>
        </w:rPr>
        <w:t>“</w:t>
      </w:r>
      <w:r w:rsidR="006649F5" w:rsidRPr="0065453F">
        <w:rPr>
          <w:rFonts w:ascii="Times New Roman" w:hAnsi="Times New Roman" w:cs="Times New Roman"/>
          <w:i/>
        </w:rPr>
        <w:t>Attuazione delle norme sull’accesso civico generalizzato (c.d. FOIA)</w:t>
      </w:r>
      <w:r w:rsidR="002546BA" w:rsidRPr="0065453F">
        <w:rPr>
          <w:rFonts w:ascii="Times New Roman" w:hAnsi="Times New Roman" w:cs="Times New Roman"/>
        </w:rPr>
        <w:t>”</w:t>
      </w:r>
      <w:r w:rsidR="006649F5" w:rsidRPr="0065453F">
        <w:rPr>
          <w:rFonts w:ascii="Times New Roman" w:hAnsi="Times New Roman" w:cs="Times New Roman"/>
        </w:rPr>
        <w:t>, cit. che al paragrafo 2.2 “Criteri applicativi di carattere generale” afferma che «</w:t>
      </w:r>
      <w:r w:rsidR="006649F5" w:rsidRPr="0065453F">
        <w:rPr>
          <w:rFonts w:ascii="Times New Roman" w:hAnsi="Times New Roman" w:cs="Times New Roman"/>
          <w:i/>
        </w:rPr>
        <w:t>dal carattere fondamentale del diritto di accesso civico generalizzato e dal principio di pubblicità e conoscibilità delle informazioni in possesso delle Pubbliche Amministrazioni derivano alcune implicazioni di carattere generale che è opportuno richiamare, in quanto utili come criteri guida</w:t>
      </w:r>
      <w:r w:rsidR="00AD24BA" w:rsidRPr="0065453F">
        <w:rPr>
          <w:rFonts w:ascii="Times New Roman" w:hAnsi="Times New Roman" w:cs="Times New Roman"/>
          <w:i/>
        </w:rPr>
        <w:t xml:space="preserve"> nell’applicazione della normativa in esame. I) il principio della tutela preferenziale dell’interesse conoscitivo. Nei sistemi FOIA il diritto di accesso va applicato tenendo conto della tutela preferenziale dell’interesse a conoscere. Pertanto, nei casi di dubbio circa l’applicabilità di una eccezione, le amministrazioni dovrebbero dare prevalenza all’interesse conoscitivo che la richiesta mira a soddisfare (v. anche Linee Guida A.N.A.C., § 2.1.)</w:t>
      </w:r>
      <w:r w:rsidR="006649F5" w:rsidRPr="0065453F">
        <w:rPr>
          <w:rFonts w:ascii="Times New Roman" w:hAnsi="Times New Roman" w:cs="Times New Roman"/>
          <w:i/>
        </w:rPr>
        <w:t>»</w:t>
      </w:r>
    </w:p>
  </w:footnote>
  <w:footnote w:id="18">
    <w:p w:rsidR="0075568A" w:rsidRPr="0065453F" w:rsidRDefault="0075568A"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2546BA" w:rsidRPr="0065453F">
        <w:rPr>
          <w:rFonts w:ascii="Times New Roman" w:hAnsi="Times New Roman" w:cs="Times New Roman"/>
        </w:rPr>
        <w:t xml:space="preserve">Cfr. </w:t>
      </w:r>
      <w:r w:rsidR="00AD24BA" w:rsidRPr="0065453F">
        <w:rPr>
          <w:rFonts w:ascii="Times New Roman" w:hAnsi="Times New Roman" w:cs="Times New Roman"/>
        </w:rPr>
        <w:t>Nota del Presidente del Garante privacy, Antonello Soro, al Ministro per la Semplificazione e la Pubblica Amministrazione, in tema di attuazione delle norme in materia di accesso civico – 30 maggio 2017</w:t>
      </w:r>
      <w:r w:rsidR="002546BA" w:rsidRPr="0065453F">
        <w:rPr>
          <w:rFonts w:ascii="Times New Roman" w:hAnsi="Times New Roman" w:cs="Times New Roman"/>
        </w:rPr>
        <w:t>.</w:t>
      </w:r>
    </w:p>
  </w:footnote>
  <w:footnote w:id="19">
    <w:p w:rsidR="00125389" w:rsidRPr="0065453F" w:rsidRDefault="00125389"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AD24BA" w:rsidRPr="0065453F">
        <w:rPr>
          <w:rFonts w:ascii="Times New Roman" w:hAnsi="Times New Roman" w:cs="Times New Roman"/>
        </w:rPr>
        <w:t>Par</w:t>
      </w:r>
      <w:r w:rsidR="006A7BEE" w:rsidRPr="0065453F">
        <w:rPr>
          <w:rFonts w:ascii="Times New Roman" w:hAnsi="Times New Roman" w:cs="Times New Roman"/>
        </w:rPr>
        <w:t xml:space="preserve">ere n. 115 del 23 maggio 2019 </w:t>
      </w:r>
      <w:r w:rsidR="00AD24BA" w:rsidRPr="0065453F">
        <w:rPr>
          <w:rFonts w:ascii="Times New Roman" w:hAnsi="Times New Roman" w:cs="Times New Roman"/>
        </w:rPr>
        <w:t xml:space="preserve">del Garante per la protezione dei dati personali, reperibile in </w:t>
      </w:r>
      <w:hyperlink r:id="rId6" w:history="1">
        <w:r w:rsidR="00AD24BA" w:rsidRPr="0065453F">
          <w:rPr>
            <w:rStyle w:val="Collegamentoipertestuale"/>
            <w:rFonts w:ascii="Times New Roman" w:hAnsi="Times New Roman" w:cs="Times New Roman"/>
          </w:rPr>
          <w:t>https://www.garanteprivacy.it/</w:t>
        </w:r>
      </w:hyperlink>
    </w:p>
  </w:footnote>
  <w:footnote w:id="20">
    <w:p w:rsidR="00FE0774" w:rsidRPr="0065453F" w:rsidRDefault="00FE0774"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Delibera A.N.A.C. n. 1309 del 28 dicembre 2016, cit. </w:t>
      </w:r>
    </w:p>
  </w:footnote>
  <w:footnote w:id="21">
    <w:p w:rsidR="00F64FE0" w:rsidRPr="0065453F" w:rsidRDefault="00F64FE0"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Nella prospettiva della tesi dell’esclusione, questa parte dell’art. 5-bis, 3°comma, se riferita esclusivamente a singoli</w:t>
      </w:r>
      <w:r w:rsidR="001526F8" w:rsidRPr="0065453F">
        <w:rPr>
          <w:rFonts w:ascii="Times New Roman" w:hAnsi="Times New Roman" w:cs="Times New Roman"/>
        </w:rPr>
        <w:t xml:space="preserve"> casi</w:t>
      </w:r>
      <w:r w:rsidRPr="0065453F">
        <w:rPr>
          <w:rFonts w:ascii="Times New Roman" w:hAnsi="Times New Roman" w:cs="Times New Roman"/>
        </w:rPr>
        <w:t xml:space="preserve"> sarebbe inutile e superflua, perché le situazioni specifiche sono già contemplate dai divieti di accesso e di divulgazione contenuti nella </w:t>
      </w:r>
      <w:r w:rsidR="001526F8" w:rsidRPr="0065453F">
        <w:rPr>
          <w:rFonts w:ascii="Times New Roman" w:hAnsi="Times New Roman" w:cs="Times New Roman"/>
        </w:rPr>
        <w:t xml:space="preserve">stessa </w:t>
      </w:r>
      <w:r w:rsidRPr="0065453F">
        <w:rPr>
          <w:rFonts w:ascii="Times New Roman" w:hAnsi="Times New Roman" w:cs="Times New Roman"/>
        </w:rPr>
        <w:t xml:space="preserve">disposizione. Tuttavia, riferire la causa di esclusione in commento ai singoli casi riassume significato se inquadrata nella diversa prospettiva dell’applicazione dell’accesso civico </w:t>
      </w:r>
      <w:r w:rsidR="001526F8" w:rsidRPr="0065453F">
        <w:rPr>
          <w:rFonts w:ascii="Times New Roman" w:hAnsi="Times New Roman" w:cs="Times New Roman"/>
        </w:rPr>
        <w:t xml:space="preserve">generalizzato agli atti di gara, come si sostiene in questo contributo. </w:t>
      </w:r>
    </w:p>
  </w:footnote>
  <w:footnote w:id="22">
    <w:p w:rsidR="00FE0774" w:rsidRPr="0065453F" w:rsidRDefault="00FE0774" w:rsidP="0065453F">
      <w:pPr>
        <w:pStyle w:val="Testonotaapidipagina"/>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In tal senso, si veda il commento di ANTONIO AVINO M. a Tribunale Amministrativo Regionale per il Lazio, Roma, sez. I, 19 maggio 2018, n. 5583, in </w:t>
      </w:r>
      <w:r w:rsidRPr="0065453F">
        <w:rPr>
          <w:rFonts w:ascii="Times New Roman" w:hAnsi="Times New Roman" w:cs="Times New Roman"/>
          <w:i/>
        </w:rPr>
        <w:t xml:space="preserve">Urb. </w:t>
      </w:r>
      <w:proofErr w:type="gramStart"/>
      <w:r w:rsidRPr="0065453F">
        <w:rPr>
          <w:rFonts w:ascii="Times New Roman" w:hAnsi="Times New Roman" w:cs="Times New Roman"/>
          <w:i/>
        </w:rPr>
        <w:t>e</w:t>
      </w:r>
      <w:proofErr w:type="gramEnd"/>
      <w:r w:rsidRPr="0065453F">
        <w:rPr>
          <w:rFonts w:ascii="Times New Roman" w:hAnsi="Times New Roman" w:cs="Times New Roman"/>
          <w:i/>
        </w:rPr>
        <w:t xml:space="preserve"> app</w:t>
      </w:r>
      <w:r w:rsidRPr="0065453F">
        <w:rPr>
          <w:rFonts w:ascii="Times New Roman" w:hAnsi="Times New Roman" w:cs="Times New Roman"/>
        </w:rPr>
        <w:t xml:space="preserve">., pp. 692 e ss. </w:t>
      </w:r>
    </w:p>
  </w:footnote>
  <w:footnote w:id="23">
    <w:p w:rsidR="00342C79" w:rsidRPr="00342C79" w:rsidRDefault="00342C79" w:rsidP="00342C79">
      <w:pPr>
        <w:pStyle w:val="Testonotaapidipagina"/>
        <w:jc w:val="both"/>
        <w:rPr>
          <w:rFonts w:ascii="Times New Roman" w:hAnsi="Times New Roman" w:cs="Times New Roman"/>
        </w:rPr>
      </w:pPr>
      <w:r w:rsidRPr="00342C79">
        <w:rPr>
          <w:rStyle w:val="Rimandonotaapidipagina"/>
          <w:rFonts w:ascii="Times New Roman" w:hAnsi="Times New Roman" w:cs="Times New Roman"/>
        </w:rPr>
        <w:footnoteRef/>
      </w:r>
      <w:r w:rsidRPr="00342C79">
        <w:rPr>
          <w:rFonts w:ascii="Times New Roman" w:hAnsi="Times New Roman" w:cs="Times New Roman"/>
        </w:rPr>
        <w:t xml:space="preserve"> </w:t>
      </w:r>
      <w:r>
        <w:rPr>
          <w:rFonts w:ascii="Times New Roman" w:hAnsi="Times New Roman" w:cs="Times New Roman"/>
        </w:rPr>
        <w:t xml:space="preserve">Cfr. D.lgs.11 maggio 2018, n. 63 - </w:t>
      </w:r>
      <w:r w:rsidRPr="00342C79">
        <w:rPr>
          <w:rFonts w:ascii="Times New Roman" w:hAnsi="Times New Roman" w:cs="Times New Roman"/>
        </w:rPr>
        <w:t xml:space="preserve">Attuazione della direttiva (UE) 2016/943 del Parlamento europeo e del </w:t>
      </w:r>
      <w:proofErr w:type="gramStart"/>
      <w:r w:rsidRPr="00342C79">
        <w:rPr>
          <w:rFonts w:ascii="Times New Roman" w:hAnsi="Times New Roman" w:cs="Times New Roman"/>
        </w:rPr>
        <w:t>Consiglio,  dell</w:t>
      </w:r>
      <w:proofErr w:type="gramEnd"/>
      <w:r w:rsidRPr="00342C79">
        <w:rPr>
          <w:rFonts w:ascii="Times New Roman" w:hAnsi="Times New Roman" w:cs="Times New Roman"/>
        </w:rPr>
        <w:t>'8  giugno  2016,  sulla  protezione   del   know-how riservato  e  delle  informazioni  commerciali   riservate   (segreti commerciali) contro  l'acquisizione,  l'utilizzo  e  la  divulgazione illeciti.</w:t>
      </w:r>
    </w:p>
  </w:footnote>
  <w:footnote w:id="24">
    <w:p w:rsidR="00FE0774" w:rsidRPr="0065453F" w:rsidRDefault="00FE0774"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Emblematico è il caso deciso dal Tribunale Amministrativo Regionale per il Molise, con la sentenza del 22 marzo 2018, n. 161, ove l’amministrazione aggiudicatrice non ha condotto la verifica in applicazione del concetto di segreto commerciale e, di conseguenza, ha finito per ritenere oggetto di segreto gli atti attestanti la data e il contenuto della corrispondenza intercorsa con l’impresa aggiudicataria, di conseguenza comprimendo ingiustificatamente il diritto di accesso dell’altra impresa concorrente alla gara.</w:t>
      </w:r>
    </w:p>
  </w:footnote>
  <w:footnote w:id="25">
    <w:p w:rsidR="00D22EDC" w:rsidRPr="00D22EDC" w:rsidRDefault="00D22EDC" w:rsidP="00D22EDC">
      <w:pPr>
        <w:pStyle w:val="Testonotaapidipagina"/>
        <w:jc w:val="both"/>
        <w:rPr>
          <w:rFonts w:ascii="Times New Roman" w:hAnsi="Times New Roman" w:cs="Times New Roman"/>
        </w:rPr>
      </w:pPr>
      <w:r w:rsidRPr="00D22EDC">
        <w:rPr>
          <w:rStyle w:val="Rimandonotaapidipagina"/>
          <w:rFonts w:ascii="Times New Roman" w:hAnsi="Times New Roman" w:cs="Times New Roman"/>
        </w:rPr>
        <w:footnoteRef/>
      </w:r>
      <w:r w:rsidRPr="00D22EDC">
        <w:rPr>
          <w:rFonts w:ascii="Times New Roman" w:hAnsi="Times New Roman" w:cs="Times New Roman"/>
        </w:rPr>
        <w:t xml:space="preserve"> </w:t>
      </w:r>
      <w:r>
        <w:rPr>
          <w:rFonts w:ascii="Times New Roman" w:hAnsi="Times New Roman" w:cs="Times New Roman"/>
        </w:rPr>
        <w:t xml:space="preserve">Cfr. </w:t>
      </w:r>
      <w:r w:rsidRPr="00D22EDC">
        <w:rPr>
          <w:rFonts w:ascii="Times New Roman" w:hAnsi="Times New Roman" w:cs="Times New Roman"/>
        </w:rPr>
        <w:t>DIRETTIVA (UE) 2016/943 DEL PARLAMENTO EUROPEO E DEL CONSIGLIO dell'8 giugno 2016 sulla protezione del know-how riservato e delle informazioni commerciali riservate (segreti commerciali) contro l'acquisizione, l'utilizzo e la divulgazione illeciti</w:t>
      </w:r>
      <w:r>
        <w:rPr>
          <w:rFonts w:ascii="Times New Roman" w:hAnsi="Times New Roman" w:cs="Times New Roman"/>
        </w:rPr>
        <w:t>.</w:t>
      </w:r>
      <w:r w:rsidR="00342C79">
        <w:rPr>
          <w:rFonts w:ascii="Times New Roman" w:hAnsi="Times New Roman" w:cs="Times New Roman"/>
        </w:rPr>
        <w:t xml:space="preserve"> </w:t>
      </w:r>
    </w:p>
  </w:footnote>
  <w:footnote w:id="26">
    <w:p w:rsidR="00FE0774" w:rsidRPr="0065453F" w:rsidRDefault="00FE0774"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In tal senso, milita anche la giurisprudenza amministrativa (Tribunale Amministrativo Regionale per la Lombardia, sezione distaccata di Brescia, 7 gennaio 2015, n. 2) italiana secondo cui non può ricadere nella definizione di segreto commerciale «</w:t>
      </w:r>
      <w:r w:rsidRPr="0065453F">
        <w:rPr>
          <w:rFonts w:ascii="Times New Roman" w:hAnsi="Times New Roman" w:cs="Times New Roman"/>
          <w:i/>
        </w:rPr>
        <w:t>qualsiasi elemento di originalità dello schema tecnico del servizio offerto, perché è del tutto fisiologico che ogni imprenditore abbia una specifica organizzazione, propri contatti commerciali, e idee differenti da applicare alle esigenze della clientela. Schermare dall’accesso ognuna di queste componenti equivarrebbe alla secretazione di tutte le offerte tecniche. La qualifica di segreto tecnico o commerciale deve invece essere riservata a elaborazioni e studi ulteriori, di carattere specialistico, che trovano applicazione in una serie indeterminata di appalti, e sono in grado di differenziare il valore del servizio offerto solo a condizione che i concorrenti non ne vengano mai a conoscenza».</w:t>
      </w:r>
      <w:r w:rsidRPr="0065453F">
        <w:rPr>
          <w:rFonts w:ascii="Times New Roman" w:hAnsi="Times New Roman" w:cs="Times New Roman"/>
        </w:rPr>
        <w:t xml:space="preserve"> Pertanto, «</w:t>
      </w:r>
      <w:r w:rsidRPr="0065453F">
        <w:rPr>
          <w:rFonts w:ascii="Times New Roman" w:hAnsi="Times New Roman" w:cs="Times New Roman"/>
          <w:i/>
        </w:rPr>
        <w:t>qualora la dimostrazione dell’esistenza di un vero e proprio segreto non sia fornita in modo puntuale, torna a prevalere il principio di accessibilità dell’offerta, a tutela del diritto di difesa dei concorrenti</w:t>
      </w:r>
      <w:r w:rsidRPr="0065453F">
        <w:rPr>
          <w:rFonts w:ascii="Times New Roman" w:hAnsi="Times New Roman" w:cs="Times New Roman"/>
        </w:rPr>
        <w:t>» (Tribunale Amministrativo Regionale per la Lombardia, Milano, Sez. III 15 gennaio 2013 n. 116).</w:t>
      </w:r>
    </w:p>
  </w:footnote>
  <w:footnote w:id="27">
    <w:p w:rsidR="00FE0774" w:rsidRPr="0065453F" w:rsidRDefault="00FE0774" w:rsidP="0065453F">
      <w:pPr>
        <w:pStyle w:val="Testonotaapidipagina"/>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Tribunale Amministrativo Regionale per la Lombardia, sezione distaccata di Brescia, 7 gennaio 2015, n. 2</w:t>
      </w:r>
    </w:p>
  </w:footnote>
  <w:footnote w:id="28">
    <w:p w:rsidR="00FE0774" w:rsidRPr="0065453F" w:rsidRDefault="00FE0774"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Parere del 23 maggio 2019 [9124946] del Garante per la protezione dei dati personali, </w:t>
      </w:r>
      <w:r w:rsidR="00AD24BA" w:rsidRPr="0065453F">
        <w:rPr>
          <w:rFonts w:ascii="Times New Roman" w:hAnsi="Times New Roman" w:cs="Times New Roman"/>
        </w:rPr>
        <w:t xml:space="preserve">cit. </w:t>
      </w:r>
    </w:p>
  </w:footnote>
  <w:footnote w:id="29">
    <w:p w:rsidR="00FE0774" w:rsidRPr="0065453F" w:rsidRDefault="00FE0774" w:rsidP="0065453F">
      <w:pPr>
        <w:pStyle w:val="Testonotaapidipagina"/>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Cfr. Delibera A.N.A.C. n. 1309 del 28 dicembre 2016, cit.</w:t>
      </w:r>
    </w:p>
  </w:footnote>
  <w:footnote w:id="30">
    <w:p w:rsidR="007A17B9" w:rsidRPr="0065453F" w:rsidRDefault="00FE447E" w:rsidP="0065453F">
      <w:pPr>
        <w:pStyle w:val="Testonotaapidipagina"/>
        <w:jc w:val="both"/>
        <w:rPr>
          <w:rFonts w:ascii="Times New Roman" w:hAnsi="Times New Roman" w:cs="Times New Roman"/>
          <w:i/>
          <w:color w:val="000000" w:themeColor="text1"/>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7A17B9" w:rsidRPr="0065453F">
        <w:rPr>
          <w:rFonts w:ascii="Times New Roman" w:hAnsi="Times New Roman" w:cs="Times New Roman"/>
        </w:rPr>
        <w:t>Quest’orientamento rigoroso sull’accesso parziale è stato criticato da A. BERTI</w:t>
      </w:r>
      <w:r w:rsidRPr="0065453F">
        <w:rPr>
          <w:rFonts w:ascii="Times New Roman" w:hAnsi="Times New Roman" w:cs="Times New Roman"/>
        </w:rPr>
        <w:t xml:space="preserve">, in </w:t>
      </w:r>
      <w:r w:rsidRPr="0065453F">
        <w:rPr>
          <w:rFonts w:ascii="Times New Roman" w:hAnsi="Times New Roman" w:cs="Times New Roman"/>
          <w:i/>
        </w:rPr>
        <w:t>Note critiche sulla “funzionalizzazione” dell’accesso civico generalizzato</w:t>
      </w:r>
      <w:r w:rsidR="003A7A94" w:rsidRPr="0065453F">
        <w:rPr>
          <w:rFonts w:ascii="Times New Roman" w:hAnsi="Times New Roman" w:cs="Times New Roman"/>
        </w:rPr>
        <w:t>, 11 maggio 2018, reperibile sul sito</w:t>
      </w:r>
      <w:r w:rsidRPr="0065453F">
        <w:rPr>
          <w:rFonts w:ascii="Times New Roman" w:hAnsi="Times New Roman" w:cs="Times New Roman"/>
        </w:rPr>
        <w:t xml:space="preserve"> </w:t>
      </w:r>
      <w:hyperlink r:id="rId7" w:history="1">
        <w:r w:rsidRPr="0065453F">
          <w:rPr>
            <w:rStyle w:val="Collegamentoipertestuale"/>
            <w:rFonts w:ascii="Times New Roman" w:hAnsi="Times New Roman" w:cs="Times New Roman"/>
          </w:rPr>
          <w:t>www.giustiziamministrativa.it</w:t>
        </w:r>
      </w:hyperlink>
      <w:r w:rsidRPr="0065453F">
        <w:rPr>
          <w:rFonts w:ascii="Times New Roman" w:hAnsi="Times New Roman" w:cs="Times New Roman"/>
        </w:rPr>
        <w:t>, il quale ha rilevato che l’esclusione dell’accesso parziale in base al criterio della re-identificazione dei soggetti in base alle ulteriori informazioni del documento detronizza l’operatività della norma non potendo quasi mai escludersi in modo assoluto la possibilità di una “re-identificazione” dei soggetti menzionati in documento amministrativo attraverso le informazioni ivi contenute.</w:t>
      </w:r>
      <w:r w:rsidR="007A17B9" w:rsidRPr="0065453F">
        <w:rPr>
          <w:rFonts w:ascii="Times New Roman" w:hAnsi="Times New Roman" w:cs="Times New Roman"/>
        </w:rPr>
        <w:t xml:space="preserve"> L’Autore osserva che «</w:t>
      </w:r>
      <w:r w:rsidR="007A17B9" w:rsidRPr="0065453F">
        <w:rPr>
          <w:rFonts w:ascii="Times New Roman" w:hAnsi="Times New Roman" w:cs="Times New Roman"/>
          <w:i/>
        </w:rPr>
        <w:t xml:space="preserve">questo non </w:t>
      </w:r>
      <w:r w:rsidR="007A17B9" w:rsidRPr="0065453F">
        <w:rPr>
          <w:rFonts w:ascii="Times New Roman" w:hAnsi="Times New Roman" w:cs="Times New Roman"/>
          <w:i/>
          <w:color w:val="000000" w:themeColor="text1"/>
        </w:rPr>
        <w:t xml:space="preserve">essere sufficiente ad escludere l’accesso parziale mediante la tecnica degli omissis, dovendo piuttosto verificarsi, caso per caso, se sia non solo “possibile, ma “altamente probabile” la re-identificazione dei soggetti, perché solo in tal caso potrà dirsi che il pregiudizio derivante dalla ostensione è “altamente probabile”. Con l’ulteriore precisazione che neppure l’alta probabilità della “re-identificazione” è di per sé sufficiente a escludere l’accesso parziale dovendo verificarsi se, nonostante detta re-identificazione dei soggetti questi ricevano effettivamente un “concreto pregiudizio». </w:t>
      </w:r>
    </w:p>
    <w:p w:rsidR="007A17B9" w:rsidRPr="0065453F" w:rsidRDefault="007A17B9" w:rsidP="0065453F">
      <w:pPr>
        <w:pStyle w:val="Testonotaapidipagina"/>
        <w:jc w:val="both"/>
        <w:rPr>
          <w:rFonts w:ascii="Times New Roman" w:hAnsi="Times New Roman" w:cs="Times New Roman"/>
          <w:i/>
          <w:color w:val="000000" w:themeColor="text1"/>
        </w:rPr>
      </w:pPr>
      <w:r w:rsidRPr="0065453F">
        <w:rPr>
          <w:rFonts w:ascii="Times New Roman" w:hAnsi="Times New Roman" w:cs="Times New Roman"/>
          <w:color w:val="000000" w:themeColor="text1"/>
        </w:rPr>
        <w:t xml:space="preserve">Va dato atto, </w:t>
      </w:r>
      <w:r w:rsidR="006A7BEE" w:rsidRPr="0065453F">
        <w:rPr>
          <w:rFonts w:ascii="Times New Roman" w:hAnsi="Times New Roman" w:cs="Times New Roman"/>
          <w:color w:val="000000" w:themeColor="text1"/>
        </w:rPr>
        <w:t>per completezza</w:t>
      </w:r>
      <w:r w:rsidRPr="0065453F">
        <w:rPr>
          <w:rFonts w:ascii="Times New Roman" w:hAnsi="Times New Roman" w:cs="Times New Roman"/>
          <w:color w:val="000000" w:themeColor="text1"/>
        </w:rPr>
        <w:t xml:space="preserve">, che </w:t>
      </w:r>
      <w:r w:rsidR="006A7BEE" w:rsidRPr="0065453F">
        <w:rPr>
          <w:rFonts w:ascii="Times New Roman" w:hAnsi="Times New Roman" w:cs="Times New Roman"/>
          <w:color w:val="000000" w:themeColor="text1"/>
        </w:rPr>
        <w:t xml:space="preserve">il Garante privacy, </w:t>
      </w:r>
      <w:r w:rsidRPr="0065453F">
        <w:rPr>
          <w:rFonts w:ascii="Times New Roman" w:hAnsi="Times New Roman" w:cs="Times New Roman"/>
          <w:color w:val="000000" w:themeColor="text1"/>
        </w:rPr>
        <w:t>nel parere n. 363 del 28 agosto 2017</w:t>
      </w:r>
      <w:r w:rsidR="006A7BEE" w:rsidRPr="0065453F">
        <w:rPr>
          <w:rFonts w:ascii="Times New Roman" w:hAnsi="Times New Roman" w:cs="Times New Roman"/>
          <w:color w:val="000000" w:themeColor="text1"/>
        </w:rPr>
        <w:t xml:space="preserve">, reperibile in </w:t>
      </w:r>
      <w:hyperlink r:id="rId8" w:history="1">
        <w:r w:rsidR="006A7BEE" w:rsidRPr="0065453F">
          <w:rPr>
            <w:rStyle w:val="Collegamentoipertestuale"/>
            <w:rFonts w:ascii="Times New Roman" w:hAnsi="Times New Roman" w:cs="Times New Roman"/>
          </w:rPr>
          <w:t>https://www.garanteprivacy.it/</w:t>
        </w:r>
      </w:hyperlink>
      <w:r w:rsidR="003325A3" w:rsidRPr="0065453F">
        <w:rPr>
          <w:rFonts w:ascii="Times New Roman" w:hAnsi="Times New Roman" w:cs="Times New Roman"/>
          <w:color w:val="000000" w:themeColor="text1"/>
        </w:rPr>
        <w:t xml:space="preserve"> </w:t>
      </w:r>
      <w:r w:rsidR="006A7BEE" w:rsidRPr="0065453F">
        <w:rPr>
          <w:rFonts w:ascii="Times New Roman" w:hAnsi="Times New Roman" w:cs="Times New Roman"/>
          <w:color w:val="000000" w:themeColor="text1"/>
        </w:rPr>
        <w:t xml:space="preserve">ha invitato l’amministrazione a valutare un accesso parziale cioè </w:t>
      </w:r>
      <w:r w:rsidR="003325A3" w:rsidRPr="0065453F">
        <w:rPr>
          <w:rFonts w:ascii="Times New Roman" w:hAnsi="Times New Roman" w:cs="Times New Roman"/>
          <w:color w:val="000000" w:themeColor="text1"/>
        </w:rPr>
        <w:t>l’ostensione della dichiarazione sulla insussistenza di incompatibilità ai fini dell’assunzione dell’incarico di commissario straordinario</w:t>
      </w:r>
      <w:r w:rsidR="006A7BEE" w:rsidRPr="0065453F">
        <w:rPr>
          <w:rFonts w:ascii="Times New Roman" w:hAnsi="Times New Roman" w:cs="Times New Roman"/>
          <w:color w:val="000000" w:themeColor="text1"/>
        </w:rPr>
        <w:t>,</w:t>
      </w:r>
      <w:r w:rsidR="003325A3" w:rsidRPr="0065453F">
        <w:rPr>
          <w:rFonts w:ascii="Times New Roman" w:hAnsi="Times New Roman" w:cs="Times New Roman"/>
          <w:color w:val="000000" w:themeColor="text1"/>
        </w:rPr>
        <w:t xml:space="preserve"> in una procedura di amministrazione straordinaria</w:t>
      </w:r>
      <w:r w:rsidR="006A7BEE" w:rsidRPr="0065453F">
        <w:rPr>
          <w:rFonts w:ascii="Times New Roman" w:hAnsi="Times New Roman" w:cs="Times New Roman"/>
          <w:color w:val="000000" w:themeColor="text1"/>
        </w:rPr>
        <w:t>, con</w:t>
      </w:r>
      <w:r w:rsidR="003325A3" w:rsidRPr="0065453F">
        <w:rPr>
          <w:rFonts w:ascii="Times New Roman" w:hAnsi="Times New Roman" w:cs="Times New Roman"/>
          <w:color w:val="000000" w:themeColor="text1"/>
        </w:rPr>
        <w:t xml:space="preserve"> l’oscuramento dei dati personali.</w:t>
      </w:r>
    </w:p>
  </w:footnote>
  <w:footnote w:id="31">
    <w:p w:rsidR="00C75D3E" w:rsidRPr="0065453F" w:rsidRDefault="00C75D3E"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Il Consiglio di Giustizia Amministrativa per la Regione Sicilia, con la sentenza 3 settembre 2014, n. 508 ha affermato che «</w:t>
      </w:r>
      <w:r w:rsidRPr="0065453F">
        <w:rPr>
          <w:rFonts w:ascii="Times New Roman" w:hAnsi="Times New Roman" w:cs="Times New Roman"/>
          <w:i/>
        </w:rPr>
        <w:t xml:space="preserve">i contrasti giurisprudenziali che possono giustificare la rimessione di cui all’art. 99, comma 1, </w:t>
      </w:r>
      <w:proofErr w:type="spellStart"/>
      <w:r w:rsidRPr="0065453F">
        <w:rPr>
          <w:rFonts w:ascii="Times New Roman" w:hAnsi="Times New Roman" w:cs="Times New Roman"/>
          <w:i/>
        </w:rPr>
        <w:t>c.p.a</w:t>
      </w:r>
      <w:proofErr w:type="spellEnd"/>
      <w:r w:rsidRPr="0065453F">
        <w:rPr>
          <w:rFonts w:ascii="Times New Roman" w:hAnsi="Times New Roman" w:cs="Times New Roman"/>
          <w:i/>
        </w:rPr>
        <w:t xml:space="preserve">. – in assenza di difformi indicazioni ricavabili dalla citata previsione processuale e secondo una lettura estesa della previsione volta a valorizzare massimamente la funzione nomofilattica della Plenaria – possono essere anche quelli relativi all’interpretazione fornita dai giudici di primo grado, qualora quest’ultima si presenti disallineata rispetto a quella espressa dal giudice di appello, non imponendo la norma che il conflitto esegetico rilevante sia unicamente quello tra sezioni di tale secondo giudice». </w:t>
      </w:r>
    </w:p>
  </w:footnote>
  <w:footnote w:id="32">
    <w:p w:rsidR="009E1059" w:rsidRPr="0065453F" w:rsidRDefault="009E1059"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C75D3E" w:rsidRPr="0065453F">
        <w:rPr>
          <w:rFonts w:ascii="Times New Roman" w:hAnsi="Times New Roman" w:cs="Times New Roman"/>
        </w:rPr>
        <w:t>Riguardo al rapporto tra accesso civico e accesso civico generalizzato, il Consiglio di Stato (Cons. Stato, sez. cons. per gli atti normativi, adunanza di sezione del 18 febbraio 2016, n. 515, cit.) ha affermato che «</w:t>
      </w:r>
      <w:r w:rsidR="00C75D3E" w:rsidRPr="0065453F">
        <w:rPr>
          <w:rFonts w:ascii="Times New Roman" w:hAnsi="Times New Roman" w:cs="Times New Roman"/>
          <w:i/>
        </w:rPr>
        <w:t xml:space="preserve">il passaggio dal bisogno di conoscere al diritto di conoscere </w:t>
      </w:r>
      <w:r w:rsidR="00C75D3E" w:rsidRPr="0065453F">
        <w:rPr>
          <w:rFonts w:ascii="Times New Roman" w:eastAsia="Times New Roman" w:hAnsi="Times New Roman" w:cs="Times New Roman"/>
          <w:i/>
          <w:lang w:eastAsia="it-IT"/>
        </w:rPr>
        <w:t>(</w:t>
      </w:r>
      <w:r w:rsidR="00C75D3E" w:rsidRPr="0065453F">
        <w:rPr>
          <w:rFonts w:ascii="Times New Roman" w:eastAsia="Times New Roman" w:hAnsi="Times New Roman" w:cs="Times New Roman"/>
          <w:i/>
          <w:iCs/>
          <w:lang w:eastAsia="it-IT"/>
        </w:rPr>
        <w:t xml:space="preserve">from </w:t>
      </w:r>
      <w:proofErr w:type="spellStart"/>
      <w:r w:rsidR="00C75D3E" w:rsidRPr="0065453F">
        <w:rPr>
          <w:rFonts w:ascii="Times New Roman" w:eastAsia="Times New Roman" w:hAnsi="Times New Roman" w:cs="Times New Roman"/>
          <w:i/>
          <w:iCs/>
          <w:lang w:eastAsia="it-IT"/>
        </w:rPr>
        <w:t>need</w:t>
      </w:r>
      <w:proofErr w:type="spellEnd"/>
      <w:r w:rsidR="00C75D3E" w:rsidRPr="0065453F">
        <w:rPr>
          <w:rFonts w:ascii="Times New Roman" w:eastAsia="Times New Roman" w:hAnsi="Times New Roman" w:cs="Times New Roman"/>
          <w:i/>
          <w:iCs/>
          <w:lang w:eastAsia="it-IT"/>
        </w:rPr>
        <w:t xml:space="preserve"> to right to </w:t>
      </w:r>
      <w:proofErr w:type="spellStart"/>
      <w:r w:rsidR="00C75D3E" w:rsidRPr="0065453F">
        <w:rPr>
          <w:rFonts w:ascii="Times New Roman" w:eastAsia="Times New Roman" w:hAnsi="Times New Roman" w:cs="Times New Roman"/>
          <w:i/>
          <w:iCs/>
          <w:lang w:eastAsia="it-IT"/>
        </w:rPr>
        <w:t>know</w:t>
      </w:r>
      <w:proofErr w:type="spellEnd"/>
      <w:r w:rsidR="00C75D3E" w:rsidRPr="0065453F">
        <w:rPr>
          <w:rFonts w:ascii="Times New Roman" w:eastAsia="Times New Roman" w:hAnsi="Times New Roman" w:cs="Times New Roman"/>
          <w:i/>
          <w:lang w:eastAsia="it-IT"/>
        </w:rPr>
        <w:t xml:space="preserve">, nella definizione inglese </w:t>
      </w:r>
      <w:r w:rsidR="00C75D3E" w:rsidRPr="0065453F">
        <w:rPr>
          <w:rFonts w:ascii="Times New Roman" w:eastAsia="Times New Roman" w:hAnsi="Times New Roman" w:cs="Times New Roman"/>
          <w:i/>
          <w:iCs/>
          <w:lang w:eastAsia="it-IT"/>
        </w:rPr>
        <w:t>F.O.I.A</w:t>
      </w:r>
      <w:r w:rsidR="00C75D3E" w:rsidRPr="0065453F">
        <w:rPr>
          <w:rFonts w:ascii="Times New Roman" w:eastAsia="Times New Roman" w:hAnsi="Times New Roman" w:cs="Times New Roman"/>
          <w:i/>
          <w:lang w:eastAsia="it-IT"/>
        </w:rPr>
        <w:t>)</w:t>
      </w:r>
      <w:r w:rsidR="00C75D3E" w:rsidRPr="0065453F">
        <w:rPr>
          <w:rFonts w:ascii="Times New Roman" w:hAnsi="Times New Roman" w:cs="Times New Roman"/>
          <w:i/>
        </w:rPr>
        <w:t xml:space="preserve"> rappresenta (…) una forte implementazione della versione vigente dell’accesso civico </w:t>
      </w:r>
      <w:r w:rsidR="00C75D3E" w:rsidRPr="0065453F">
        <w:rPr>
          <w:rFonts w:ascii="Times New Roman" w:eastAsia="Times New Roman" w:hAnsi="Times New Roman" w:cs="Times New Roman"/>
          <w:i/>
          <w:szCs w:val="24"/>
          <w:lang w:eastAsia="it-IT"/>
        </w:rPr>
        <w:t xml:space="preserve">fino ad ora limitato a mero contraltare dell’obbligo di pubblicazione di documenti, dati e informazioni (…) tanto che il comma 1 del nuovo articolo 5, che si limita a consentire l’accesso civico sui documenti da pubblicare, appare del tutto assorbito dal più ampio accesso di cui al comma 2 e può essere espunto». </w:t>
      </w:r>
    </w:p>
  </w:footnote>
  <w:footnote w:id="33">
    <w:p w:rsidR="009E1059" w:rsidRPr="0000601E" w:rsidRDefault="009E1059" w:rsidP="0065453F">
      <w:pPr>
        <w:pStyle w:val="Testonotaapidipagina"/>
        <w:jc w:val="both"/>
        <w:rPr>
          <w:rFonts w:ascii="Times New Roman" w:hAnsi="Times New Roman" w:cs="Times New Roman"/>
        </w:rPr>
      </w:pPr>
      <w:r w:rsidRPr="0065453F">
        <w:rPr>
          <w:rStyle w:val="Rimandonotaapidipagina"/>
          <w:rFonts w:ascii="Times New Roman" w:hAnsi="Times New Roman" w:cs="Times New Roman"/>
        </w:rPr>
        <w:footnoteRef/>
      </w:r>
      <w:r w:rsidRPr="0065453F">
        <w:rPr>
          <w:rFonts w:ascii="Times New Roman" w:hAnsi="Times New Roman" w:cs="Times New Roman"/>
        </w:rPr>
        <w:t xml:space="preserve"> </w:t>
      </w:r>
      <w:r w:rsidR="0000601E" w:rsidRPr="0065453F">
        <w:rPr>
          <w:rFonts w:ascii="Times New Roman" w:hAnsi="Times New Roman" w:cs="Times New Roman"/>
        </w:rPr>
        <w:t xml:space="preserve">Si tratta della posizione di C. DEODATO, in </w:t>
      </w:r>
      <w:r w:rsidR="00407F48" w:rsidRPr="0065453F">
        <w:rPr>
          <w:rFonts w:ascii="Times New Roman" w:hAnsi="Times New Roman" w:cs="Times New Roman"/>
          <w:i/>
        </w:rPr>
        <w:t xml:space="preserve">La difficile convivenza dell’accesso civico generalizzato (FOIA) con la tutela della privacy: un conflitto </w:t>
      </w:r>
      <w:proofErr w:type="gramStart"/>
      <w:r w:rsidR="00407F48" w:rsidRPr="0065453F">
        <w:rPr>
          <w:rFonts w:ascii="Times New Roman" w:hAnsi="Times New Roman" w:cs="Times New Roman"/>
          <w:i/>
        </w:rPr>
        <w:t>insanabile?</w:t>
      </w:r>
      <w:r w:rsidR="0000601E" w:rsidRPr="0065453F">
        <w:rPr>
          <w:rFonts w:ascii="Times New Roman" w:hAnsi="Times New Roman" w:cs="Times New Roman"/>
          <w:i/>
        </w:rPr>
        <w:t>,</w:t>
      </w:r>
      <w:proofErr w:type="gramEnd"/>
      <w:r w:rsidR="0000601E" w:rsidRPr="0065453F">
        <w:rPr>
          <w:rFonts w:ascii="Times New Roman" w:hAnsi="Times New Roman" w:cs="Times New Roman"/>
          <w:i/>
        </w:rPr>
        <w:t xml:space="preserve"> </w:t>
      </w:r>
      <w:r w:rsidR="0000601E" w:rsidRPr="0065453F">
        <w:rPr>
          <w:rFonts w:ascii="Times New Roman" w:hAnsi="Times New Roman" w:cs="Times New Roman"/>
        </w:rPr>
        <w:t>pubblicato il 20 dicembre 2017</w:t>
      </w:r>
      <w:r w:rsidR="00407F48" w:rsidRPr="0065453F">
        <w:rPr>
          <w:rFonts w:ascii="Times New Roman" w:hAnsi="Times New Roman" w:cs="Times New Roman"/>
        </w:rPr>
        <w:t xml:space="preserve"> </w:t>
      </w:r>
      <w:r w:rsidR="0000601E" w:rsidRPr="0065453F">
        <w:rPr>
          <w:rFonts w:ascii="Times New Roman" w:hAnsi="Times New Roman" w:cs="Times New Roman"/>
        </w:rPr>
        <w:t xml:space="preserve">e reperibile sul sito </w:t>
      </w:r>
      <w:hyperlink r:id="rId9" w:history="1">
        <w:r w:rsidR="0000601E" w:rsidRPr="0065453F">
          <w:rPr>
            <w:rStyle w:val="Collegamentoipertestuale"/>
            <w:rFonts w:ascii="Times New Roman" w:hAnsi="Times New Roman" w:cs="Times New Roman"/>
          </w:rPr>
          <w:t>www.giustiziamministrativa.it</w:t>
        </w:r>
      </w:hyperlink>
      <w:r w:rsidR="0000601E" w:rsidRPr="0065453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3D3"/>
    <w:multiLevelType w:val="hybridMultilevel"/>
    <w:tmpl w:val="9EC6AF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AE7112"/>
    <w:multiLevelType w:val="hybridMultilevel"/>
    <w:tmpl w:val="D0862B8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E752162"/>
    <w:multiLevelType w:val="hybridMultilevel"/>
    <w:tmpl w:val="E488C69C"/>
    <w:lvl w:ilvl="0" w:tplc="D6D2AF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9F65E1"/>
    <w:multiLevelType w:val="hybridMultilevel"/>
    <w:tmpl w:val="773CD61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15254BA"/>
    <w:multiLevelType w:val="hybridMultilevel"/>
    <w:tmpl w:val="53E6FE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B40499"/>
    <w:multiLevelType w:val="hybridMultilevel"/>
    <w:tmpl w:val="0858664C"/>
    <w:lvl w:ilvl="0" w:tplc="303E1EAA">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F6B2B7C"/>
    <w:multiLevelType w:val="hybridMultilevel"/>
    <w:tmpl w:val="A1D860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7661E3"/>
    <w:multiLevelType w:val="hybridMultilevel"/>
    <w:tmpl w:val="3D5200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2F46FE"/>
    <w:multiLevelType w:val="multilevel"/>
    <w:tmpl w:val="9028C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D93896"/>
    <w:multiLevelType w:val="hybridMultilevel"/>
    <w:tmpl w:val="23A28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0B2766"/>
    <w:multiLevelType w:val="hybridMultilevel"/>
    <w:tmpl w:val="74F6A3D8"/>
    <w:lvl w:ilvl="0" w:tplc="303E1EAA">
      <w:start w:val="1"/>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0B3658"/>
    <w:multiLevelType w:val="hybridMultilevel"/>
    <w:tmpl w:val="FF421C5E"/>
    <w:lvl w:ilvl="0" w:tplc="303E1E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640F14"/>
    <w:multiLevelType w:val="hybridMultilevel"/>
    <w:tmpl w:val="564064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837472"/>
    <w:multiLevelType w:val="hybridMultilevel"/>
    <w:tmpl w:val="0A8E68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2D5525"/>
    <w:multiLevelType w:val="hybridMultilevel"/>
    <w:tmpl w:val="BDC6EEB8"/>
    <w:lvl w:ilvl="0" w:tplc="303E1EA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7"/>
  </w:num>
  <w:num w:numId="5">
    <w:abstractNumId w:val="1"/>
  </w:num>
  <w:num w:numId="6">
    <w:abstractNumId w:val="14"/>
  </w:num>
  <w:num w:numId="7">
    <w:abstractNumId w:val="10"/>
  </w:num>
  <w:num w:numId="8">
    <w:abstractNumId w:val="5"/>
  </w:num>
  <w:num w:numId="9">
    <w:abstractNumId w:val="11"/>
  </w:num>
  <w:num w:numId="10">
    <w:abstractNumId w:val="9"/>
  </w:num>
  <w:num w:numId="11">
    <w:abstractNumId w:val="12"/>
  </w:num>
  <w:num w:numId="12">
    <w:abstractNumId w:val="4"/>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64"/>
    <w:rsid w:val="0000601E"/>
    <w:rsid w:val="000069F1"/>
    <w:rsid w:val="000117E7"/>
    <w:rsid w:val="00015D81"/>
    <w:rsid w:val="000201B3"/>
    <w:rsid w:val="00032DC7"/>
    <w:rsid w:val="00035478"/>
    <w:rsid w:val="0003788E"/>
    <w:rsid w:val="00050D0E"/>
    <w:rsid w:val="0007590C"/>
    <w:rsid w:val="0009427C"/>
    <w:rsid w:val="000B3936"/>
    <w:rsid w:val="000C17C8"/>
    <w:rsid w:val="000C5450"/>
    <w:rsid w:val="000C580B"/>
    <w:rsid w:val="000D136F"/>
    <w:rsid w:val="000D13EE"/>
    <w:rsid w:val="000E21D6"/>
    <w:rsid w:val="000E2CBE"/>
    <w:rsid w:val="000E2F8B"/>
    <w:rsid w:val="000E5ECA"/>
    <w:rsid w:val="000F16A0"/>
    <w:rsid w:val="000F26EE"/>
    <w:rsid w:val="000F55E7"/>
    <w:rsid w:val="00107703"/>
    <w:rsid w:val="001114E3"/>
    <w:rsid w:val="001225C7"/>
    <w:rsid w:val="00123BDA"/>
    <w:rsid w:val="00125389"/>
    <w:rsid w:val="00125DB7"/>
    <w:rsid w:val="00130489"/>
    <w:rsid w:val="0014381D"/>
    <w:rsid w:val="0014593F"/>
    <w:rsid w:val="0015190B"/>
    <w:rsid w:val="0015226C"/>
    <w:rsid w:val="001526F8"/>
    <w:rsid w:val="00161B82"/>
    <w:rsid w:val="001622BC"/>
    <w:rsid w:val="001634CB"/>
    <w:rsid w:val="00167602"/>
    <w:rsid w:val="00182D72"/>
    <w:rsid w:val="00194247"/>
    <w:rsid w:val="00194B57"/>
    <w:rsid w:val="00195517"/>
    <w:rsid w:val="001958FD"/>
    <w:rsid w:val="001967DB"/>
    <w:rsid w:val="00197440"/>
    <w:rsid w:val="001A3229"/>
    <w:rsid w:val="001B2261"/>
    <w:rsid w:val="001C2EEF"/>
    <w:rsid w:val="001C3D81"/>
    <w:rsid w:val="001D1F98"/>
    <w:rsid w:val="001D42CA"/>
    <w:rsid w:val="001D77FA"/>
    <w:rsid w:val="001E18BC"/>
    <w:rsid w:val="001E1DE7"/>
    <w:rsid w:val="001E3C65"/>
    <w:rsid w:val="001E3CA1"/>
    <w:rsid w:val="001F3322"/>
    <w:rsid w:val="00221809"/>
    <w:rsid w:val="0022578D"/>
    <w:rsid w:val="002316EF"/>
    <w:rsid w:val="0023195D"/>
    <w:rsid w:val="00234A0B"/>
    <w:rsid w:val="00241DF4"/>
    <w:rsid w:val="00251C3A"/>
    <w:rsid w:val="0025341A"/>
    <w:rsid w:val="00253E1A"/>
    <w:rsid w:val="002546BA"/>
    <w:rsid w:val="002624D7"/>
    <w:rsid w:val="00270609"/>
    <w:rsid w:val="00270EA5"/>
    <w:rsid w:val="0028062D"/>
    <w:rsid w:val="00283C35"/>
    <w:rsid w:val="0028714C"/>
    <w:rsid w:val="002A081F"/>
    <w:rsid w:val="002A1C3F"/>
    <w:rsid w:val="002A3C0C"/>
    <w:rsid w:val="002A6E73"/>
    <w:rsid w:val="002C673E"/>
    <w:rsid w:val="002D0475"/>
    <w:rsid w:val="002E647D"/>
    <w:rsid w:val="002F16B9"/>
    <w:rsid w:val="002F3527"/>
    <w:rsid w:val="00305B0F"/>
    <w:rsid w:val="00305DD2"/>
    <w:rsid w:val="00315C07"/>
    <w:rsid w:val="00320C64"/>
    <w:rsid w:val="00323118"/>
    <w:rsid w:val="00324AFE"/>
    <w:rsid w:val="003325A3"/>
    <w:rsid w:val="00336D78"/>
    <w:rsid w:val="00340281"/>
    <w:rsid w:val="00342C79"/>
    <w:rsid w:val="0034475E"/>
    <w:rsid w:val="00360237"/>
    <w:rsid w:val="0036063F"/>
    <w:rsid w:val="00372ED1"/>
    <w:rsid w:val="003761EA"/>
    <w:rsid w:val="00390E35"/>
    <w:rsid w:val="00395112"/>
    <w:rsid w:val="00396FE9"/>
    <w:rsid w:val="003A1C75"/>
    <w:rsid w:val="003A23A8"/>
    <w:rsid w:val="003A7A94"/>
    <w:rsid w:val="003B3D54"/>
    <w:rsid w:val="003C21D0"/>
    <w:rsid w:val="003C2A0D"/>
    <w:rsid w:val="003C2A17"/>
    <w:rsid w:val="003C5862"/>
    <w:rsid w:val="003D2BC8"/>
    <w:rsid w:val="003D523B"/>
    <w:rsid w:val="003E3B94"/>
    <w:rsid w:val="00405BA6"/>
    <w:rsid w:val="00407F48"/>
    <w:rsid w:val="00410FC9"/>
    <w:rsid w:val="004178B9"/>
    <w:rsid w:val="00424943"/>
    <w:rsid w:val="00430602"/>
    <w:rsid w:val="00430F66"/>
    <w:rsid w:val="00432FA9"/>
    <w:rsid w:val="004339FC"/>
    <w:rsid w:val="00436132"/>
    <w:rsid w:val="00440575"/>
    <w:rsid w:val="00442CA4"/>
    <w:rsid w:val="00446700"/>
    <w:rsid w:val="00446EC3"/>
    <w:rsid w:val="00457EEE"/>
    <w:rsid w:val="00462FCB"/>
    <w:rsid w:val="00472999"/>
    <w:rsid w:val="004911A8"/>
    <w:rsid w:val="004A0AB0"/>
    <w:rsid w:val="004A535C"/>
    <w:rsid w:val="004A5B24"/>
    <w:rsid w:val="004B3BE4"/>
    <w:rsid w:val="004C3845"/>
    <w:rsid w:val="004C64A4"/>
    <w:rsid w:val="004C76FD"/>
    <w:rsid w:val="004D0B9F"/>
    <w:rsid w:val="004D4F87"/>
    <w:rsid w:val="004E2921"/>
    <w:rsid w:val="004E5FED"/>
    <w:rsid w:val="004E67BE"/>
    <w:rsid w:val="004F344D"/>
    <w:rsid w:val="004F3FD2"/>
    <w:rsid w:val="0050326A"/>
    <w:rsid w:val="00514B9F"/>
    <w:rsid w:val="005525E9"/>
    <w:rsid w:val="005529FD"/>
    <w:rsid w:val="0055477B"/>
    <w:rsid w:val="00555B39"/>
    <w:rsid w:val="00564376"/>
    <w:rsid w:val="00571184"/>
    <w:rsid w:val="0057312A"/>
    <w:rsid w:val="0058304B"/>
    <w:rsid w:val="005927B4"/>
    <w:rsid w:val="005948AB"/>
    <w:rsid w:val="0059794F"/>
    <w:rsid w:val="005A33F0"/>
    <w:rsid w:val="005B2FD3"/>
    <w:rsid w:val="005B5C50"/>
    <w:rsid w:val="005C3A05"/>
    <w:rsid w:val="005C71F7"/>
    <w:rsid w:val="005D0F80"/>
    <w:rsid w:val="005D2002"/>
    <w:rsid w:val="005D51E6"/>
    <w:rsid w:val="005E0189"/>
    <w:rsid w:val="005E1582"/>
    <w:rsid w:val="005E5041"/>
    <w:rsid w:val="005F69D3"/>
    <w:rsid w:val="00605675"/>
    <w:rsid w:val="006221BD"/>
    <w:rsid w:val="00622AEA"/>
    <w:rsid w:val="00626CAB"/>
    <w:rsid w:val="006308A2"/>
    <w:rsid w:val="00635476"/>
    <w:rsid w:val="006360BE"/>
    <w:rsid w:val="0065453F"/>
    <w:rsid w:val="006649F5"/>
    <w:rsid w:val="00671DEC"/>
    <w:rsid w:val="00671E2F"/>
    <w:rsid w:val="0067250F"/>
    <w:rsid w:val="00697ED1"/>
    <w:rsid w:val="006A7BEE"/>
    <w:rsid w:val="006C15F8"/>
    <w:rsid w:val="006C2015"/>
    <w:rsid w:val="006D39D0"/>
    <w:rsid w:val="006D6AE0"/>
    <w:rsid w:val="006E1889"/>
    <w:rsid w:val="006E1E20"/>
    <w:rsid w:val="006F057C"/>
    <w:rsid w:val="006F450D"/>
    <w:rsid w:val="007064FC"/>
    <w:rsid w:val="007104F9"/>
    <w:rsid w:val="007122A3"/>
    <w:rsid w:val="00726FD5"/>
    <w:rsid w:val="00737596"/>
    <w:rsid w:val="007404CC"/>
    <w:rsid w:val="00751AAA"/>
    <w:rsid w:val="00754E6F"/>
    <w:rsid w:val="0075568A"/>
    <w:rsid w:val="00765E1A"/>
    <w:rsid w:val="0077124E"/>
    <w:rsid w:val="00774D52"/>
    <w:rsid w:val="00776F8C"/>
    <w:rsid w:val="00781317"/>
    <w:rsid w:val="0079467C"/>
    <w:rsid w:val="00795B1A"/>
    <w:rsid w:val="007A17B9"/>
    <w:rsid w:val="007A3B0C"/>
    <w:rsid w:val="007B23FA"/>
    <w:rsid w:val="007B4A60"/>
    <w:rsid w:val="007B7213"/>
    <w:rsid w:val="007E0FC6"/>
    <w:rsid w:val="007E37FE"/>
    <w:rsid w:val="007E635D"/>
    <w:rsid w:val="007F486D"/>
    <w:rsid w:val="00802D36"/>
    <w:rsid w:val="008065BB"/>
    <w:rsid w:val="00812892"/>
    <w:rsid w:val="00845327"/>
    <w:rsid w:val="00854E90"/>
    <w:rsid w:val="00865C2E"/>
    <w:rsid w:val="00870249"/>
    <w:rsid w:val="008738C9"/>
    <w:rsid w:val="00882A8F"/>
    <w:rsid w:val="008845E9"/>
    <w:rsid w:val="00894828"/>
    <w:rsid w:val="008C292E"/>
    <w:rsid w:val="008C2B42"/>
    <w:rsid w:val="008D24C3"/>
    <w:rsid w:val="008E763D"/>
    <w:rsid w:val="008F2135"/>
    <w:rsid w:val="00901499"/>
    <w:rsid w:val="009119BE"/>
    <w:rsid w:val="009120CB"/>
    <w:rsid w:val="00912641"/>
    <w:rsid w:val="00913F84"/>
    <w:rsid w:val="0092443F"/>
    <w:rsid w:val="00927A3E"/>
    <w:rsid w:val="00942184"/>
    <w:rsid w:val="00943BD8"/>
    <w:rsid w:val="00955964"/>
    <w:rsid w:val="0096675D"/>
    <w:rsid w:val="00975A2F"/>
    <w:rsid w:val="00995FDA"/>
    <w:rsid w:val="009A7C91"/>
    <w:rsid w:val="009B42B3"/>
    <w:rsid w:val="009B6A03"/>
    <w:rsid w:val="009C6C54"/>
    <w:rsid w:val="009D2028"/>
    <w:rsid w:val="009D607E"/>
    <w:rsid w:val="009E1059"/>
    <w:rsid w:val="00A00E0F"/>
    <w:rsid w:val="00A02589"/>
    <w:rsid w:val="00A15A23"/>
    <w:rsid w:val="00A306F1"/>
    <w:rsid w:val="00A32A29"/>
    <w:rsid w:val="00A33039"/>
    <w:rsid w:val="00A42365"/>
    <w:rsid w:val="00A4278B"/>
    <w:rsid w:val="00A44CBC"/>
    <w:rsid w:val="00A552DB"/>
    <w:rsid w:val="00A60F11"/>
    <w:rsid w:val="00A64F34"/>
    <w:rsid w:val="00A85DFA"/>
    <w:rsid w:val="00A869D5"/>
    <w:rsid w:val="00A914DD"/>
    <w:rsid w:val="00A93FC9"/>
    <w:rsid w:val="00A9430A"/>
    <w:rsid w:val="00A94BB7"/>
    <w:rsid w:val="00AA05C3"/>
    <w:rsid w:val="00AA270B"/>
    <w:rsid w:val="00AA5B2F"/>
    <w:rsid w:val="00AB29FE"/>
    <w:rsid w:val="00AC1B87"/>
    <w:rsid w:val="00AC23EA"/>
    <w:rsid w:val="00AC2E18"/>
    <w:rsid w:val="00AD0850"/>
    <w:rsid w:val="00AD24BA"/>
    <w:rsid w:val="00AE687D"/>
    <w:rsid w:val="00AF2FB8"/>
    <w:rsid w:val="00AF6D98"/>
    <w:rsid w:val="00AF6F1D"/>
    <w:rsid w:val="00B06833"/>
    <w:rsid w:val="00B1046D"/>
    <w:rsid w:val="00B11F1D"/>
    <w:rsid w:val="00B144A3"/>
    <w:rsid w:val="00B2380D"/>
    <w:rsid w:val="00B342B8"/>
    <w:rsid w:val="00B35A56"/>
    <w:rsid w:val="00B51403"/>
    <w:rsid w:val="00B53F42"/>
    <w:rsid w:val="00B61C91"/>
    <w:rsid w:val="00B655F5"/>
    <w:rsid w:val="00B66FEE"/>
    <w:rsid w:val="00B74097"/>
    <w:rsid w:val="00BA0712"/>
    <w:rsid w:val="00BA4D6B"/>
    <w:rsid w:val="00BC472D"/>
    <w:rsid w:val="00BD4D8C"/>
    <w:rsid w:val="00BD66EF"/>
    <w:rsid w:val="00BE11D6"/>
    <w:rsid w:val="00BF08B9"/>
    <w:rsid w:val="00C02574"/>
    <w:rsid w:val="00C25DE0"/>
    <w:rsid w:val="00C263E7"/>
    <w:rsid w:val="00C30549"/>
    <w:rsid w:val="00C42174"/>
    <w:rsid w:val="00C426B2"/>
    <w:rsid w:val="00C65A98"/>
    <w:rsid w:val="00C7255C"/>
    <w:rsid w:val="00C733C5"/>
    <w:rsid w:val="00C75D3E"/>
    <w:rsid w:val="00C8637C"/>
    <w:rsid w:val="00CA6501"/>
    <w:rsid w:val="00CA7DD9"/>
    <w:rsid w:val="00CB2565"/>
    <w:rsid w:val="00CB2685"/>
    <w:rsid w:val="00CB3442"/>
    <w:rsid w:val="00CB4BED"/>
    <w:rsid w:val="00CB5E41"/>
    <w:rsid w:val="00CB676B"/>
    <w:rsid w:val="00CC3AA3"/>
    <w:rsid w:val="00CC548D"/>
    <w:rsid w:val="00CC628B"/>
    <w:rsid w:val="00CC6764"/>
    <w:rsid w:val="00CD04B1"/>
    <w:rsid w:val="00CD3594"/>
    <w:rsid w:val="00CE5428"/>
    <w:rsid w:val="00CF1187"/>
    <w:rsid w:val="00CF4701"/>
    <w:rsid w:val="00D01FCD"/>
    <w:rsid w:val="00D02435"/>
    <w:rsid w:val="00D0625B"/>
    <w:rsid w:val="00D159C7"/>
    <w:rsid w:val="00D22EDC"/>
    <w:rsid w:val="00D34A14"/>
    <w:rsid w:val="00D40506"/>
    <w:rsid w:val="00D54C12"/>
    <w:rsid w:val="00D662D0"/>
    <w:rsid w:val="00D66CA0"/>
    <w:rsid w:val="00D80C61"/>
    <w:rsid w:val="00D83783"/>
    <w:rsid w:val="00D85332"/>
    <w:rsid w:val="00D96B85"/>
    <w:rsid w:val="00DA6B75"/>
    <w:rsid w:val="00DB068B"/>
    <w:rsid w:val="00DB5AD2"/>
    <w:rsid w:val="00DC1447"/>
    <w:rsid w:val="00DC4A68"/>
    <w:rsid w:val="00DE3790"/>
    <w:rsid w:val="00DE7638"/>
    <w:rsid w:val="00DF59C8"/>
    <w:rsid w:val="00DF60B9"/>
    <w:rsid w:val="00E0204D"/>
    <w:rsid w:val="00E0444C"/>
    <w:rsid w:val="00E0591E"/>
    <w:rsid w:val="00E16D24"/>
    <w:rsid w:val="00E20EE0"/>
    <w:rsid w:val="00E320FC"/>
    <w:rsid w:val="00E3390F"/>
    <w:rsid w:val="00E44719"/>
    <w:rsid w:val="00E53318"/>
    <w:rsid w:val="00E75331"/>
    <w:rsid w:val="00E75613"/>
    <w:rsid w:val="00E8041D"/>
    <w:rsid w:val="00EB00F8"/>
    <w:rsid w:val="00EB2564"/>
    <w:rsid w:val="00EB5BA6"/>
    <w:rsid w:val="00EB5E7E"/>
    <w:rsid w:val="00EB6361"/>
    <w:rsid w:val="00EC6C51"/>
    <w:rsid w:val="00ED25B9"/>
    <w:rsid w:val="00ED3133"/>
    <w:rsid w:val="00ED576D"/>
    <w:rsid w:val="00ED67EC"/>
    <w:rsid w:val="00EF0D1F"/>
    <w:rsid w:val="00F116B4"/>
    <w:rsid w:val="00F15B1B"/>
    <w:rsid w:val="00F17EA1"/>
    <w:rsid w:val="00F25A02"/>
    <w:rsid w:val="00F30068"/>
    <w:rsid w:val="00F318E1"/>
    <w:rsid w:val="00F52039"/>
    <w:rsid w:val="00F521A6"/>
    <w:rsid w:val="00F64FE0"/>
    <w:rsid w:val="00F665D5"/>
    <w:rsid w:val="00F86543"/>
    <w:rsid w:val="00F932E9"/>
    <w:rsid w:val="00FA441A"/>
    <w:rsid w:val="00FA7EC2"/>
    <w:rsid w:val="00FC4697"/>
    <w:rsid w:val="00FE0774"/>
    <w:rsid w:val="00FE0B17"/>
    <w:rsid w:val="00FE1195"/>
    <w:rsid w:val="00FE447E"/>
    <w:rsid w:val="00FE4D02"/>
    <w:rsid w:val="00FE6C37"/>
    <w:rsid w:val="00FE6DAE"/>
    <w:rsid w:val="00FE7056"/>
    <w:rsid w:val="00FF3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E251B-062D-4445-93D2-CCC5DBA4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3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B2564"/>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EB2564"/>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EB2564"/>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EB2564"/>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EB2564"/>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EB2564"/>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EB2564"/>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EB2564"/>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EB25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2564"/>
    <w:rPr>
      <w:rFonts w:ascii="Segoe UI" w:hAnsi="Segoe UI" w:cs="Segoe UI"/>
      <w:sz w:val="18"/>
      <w:szCs w:val="18"/>
    </w:rPr>
  </w:style>
  <w:style w:type="paragraph" w:styleId="Paragrafoelenco">
    <w:name w:val="List Paragraph"/>
    <w:basedOn w:val="Normale"/>
    <w:uiPriority w:val="34"/>
    <w:qFormat/>
    <w:rsid w:val="0050326A"/>
    <w:pPr>
      <w:ind w:left="720"/>
      <w:contextualSpacing/>
    </w:pPr>
  </w:style>
  <w:style w:type="paragraph" w:styleId="Testonotaapidipagina">
    <w:name w:val="footnote text"/>
    <w:basedOn w:val="Normale"/>
    <w:link w:val="TestonotaapidipaginaCarattere"/>
    <w:uiPriority w:val="99"/>
    <w:unhideWhenUsed/>
    <w:rsid w:val="00CC54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C548D"/>
    <w:rPr>
      <w:sz w:val="20"/>
      <w:szCs w:val="20"/>
    </w:rPr>
  </w:style>
  <w:style w:type="character" w:styleId="Rimandonotaapidipagina">
    <w:name w:val="footnote reference"/>
    <w:basedOn w:val="Carpredefinitoparagrafo"/>
    <w:uiPriority w:val="99"/>
    <w:semiHidden/>
    <w:unhideWhenUsed/>
    <w:rsid w:val="00CC548D"/>
    <w:rPr>
      <w:vertAlign w:val="superscript"/>
    </w:rPr>
  </w:style>
  <w:style w:type="paragraph" w:styleId="Intestazione">
    <w:name w:val="header"/>
    <w:basedOn w:val="Normale"/>
    <w:link w:val="IntestazioneCarattere"/>
    <w:uiPriority w:val="99"/>
    <w:unhideWhenUsed/>
    <w:rsid w:val="006725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50F"/>
  </w:style>
  <w:style w:type="paragraph" w:styleId="Pidipagina">
    <w:name w:val="footer"/>
    <w:basedOn w:val="Normale"/>
    <w:link w:val="PidipaginaCarattere"/>
    <w:uiPriority w:val="99"/>
    <w:unhideWhenUsed/>
    <w:rsid w:val="006725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50F"/>
  </w:style>
  <w:style w:type="character" w:customStyle="1" w:styleId="normal10">
    <w:name w:val="normal10"/>
    <w:basedOn w:val="Carpredefinitoparagrafo"/>
    <w:rsid w:val="0028714C"/>
  </w:style>
  <w:style w:type="character" w:styleId="Collegamentoipertestuale">
    <w:name w:val="Hyperlink"/>
    <w:basedOn w:val="Carpredefinitoparagrafo"/>
    <w:uiPriority w:val="99"/>
    <w:unhideWhenUsed/>
    <w:rsid w:val="009119BE"/>
    <w:rPr>
      <w:color w:val="0563C1" w:themeColor="hyperlink"/>
      <w:u w:val="single"/>
    </w:rPr>
  </w:style>
  <w:style w:type="paragraph" w:styleId="NormaleWeb">
    <w:name w:val="Normal (Web)"/>
    <w:basedOn w:val="Normale"/>
    <w:uiPriority w:val="99"/>
    <w:unhideWhenUsed/>
    <w:rsid w:val="00BE11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E11D6"/>
    <w:rPr>
      <w:i/>
      <w:iCs/>
    </w:rPr>
  </w:style>
  <w:style w:type="table" w:styleId="Grigliatabella">
    <w:name w:val="Table Grid"/>
    <w:basedOn w:val="Tabellanormale"/>
    <w:uiPriority w:val="39"/>
    <w:rsid w:val="00D0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99340">
      <w:bodyDiv w:val="1"/>
      <w:marLeft w:val="0"/>
      <w:marRight w:val="0"/>
      <w:marTop w:val="0"/>
      <w:marBottom w:val="0"/>
      <w:divBdr>
        <w:top w:val="none" w:sz="0" w:space="0" w:color="auto"/>
        <w:left w:val="none" w:sz="0" w:space="0" w:color="auto"/>
        <w:bottom w:val="none" w:sz="0" w:space="0" w:color="auto"/>
        <w:right w:val="none" w:sz="0" w:space="0" w:color="auto"/>
      </w:divBdr>
      <w:divsChild>
        <w:div w:id="1985621624">
          <w:marLeft w:val="0"/>
          <w:marRight w:val="0"/>
          <w:marTop w:val="0"/>
          <w:marBottom w:val="0"/>
          <w:divBdr>
            <w:top w:val="none" w:sz="0" w:space="0" w:color="auto"/>
            <w:left w:val="none" w:sz="0" w:space="0" w:color="auto"/>
            <w:bottom w:val="none" w:sz="0" w:space="0" w:color="auto"/>
            <w:right w:val="none" w:sz="0" w:space="0" w:color="auto"/>
          </w:divBdr>
          <w:divsChild>
            <w:div w:id="12463674">
              <w:marLeft w:val="0"/>
              <w:marRight w:val="0"/>
              <w:marTop w:val="0"/>
              <w:marBottom w:val="0"/>
              <w:divBdr>
                <w:top w:val="none" w:sz="0" w:space="0" w:color="auto"/>
                <w:left w:val="none" w:sz="0" w:space="0" w:color="auto"/>
                <w:bottom w:val="none" w:sz="0" w:space="0" w:color="auto"/>
                <w:right w:val="none" w:sz="0" w:space="0" w:color="auto"/>
              </w:divBdr>
              <w:divsChild>
                <w:div w:id="2025399035">
                  <w:marLeft w:val="0"/>
                  <w:marRight w:val="0"/>
                  <w:marTop w:val="0"/>
                  <w:marBottom w:val="0"/>
                  <w:divBdr>
                    <w:top w:val="none" w:sz="0" w:space="0" w:color="auto"/>
                    <w:left w:val="none" w:sz="0" w:space="0" w:color="auto"/>
                    <w:bottom w:val="none" w:sz="0" w:space="0" w:color="auto"/>
                    <w:right w:val="none" w:sz="0" w:space="0" w:color="auto"/>
                  </w:divBdr>
                  <w:divsChild>
                    <w:div w:id="1670134791">
                      <w:marLeft w:val="0"/>
                      <w:marRight w:val="0"/>
                      <w:marTop w:val="0"/>
                      <w:marBottom w:val="0"/>
                      <w:divBdr>
                        <w:top w:val="none" w:sz="0" w:space="0" w:color="auto"/>
                        <w:left w:val="none" w:sz="0" w:space="0" w:color="auto"/>
                        <w:bottom w:val="none" w:sz="0" w:space="0" w:color="auto"/>
                        <w:right w:val="none" w:sz="0" w:space="0" w:color="auto"/>
                      </w:divBdr>
                      <w:divsChild>
                        <w:div w:id="437915848">
                          <w:marLeft w:val="0"/>
                          <w:marRight w:val="0"/>
                          <w:marTop w:val="15"/>
                          <w:marBottom w:val="0"/>
                          <w:divBdr>
                            <w:top w:val="none" w:sz="0" w:space="0" w:color="auto"/>
                            <w:left w:val="none" w:sz="0" w:space="0" w:color="auto"/>
                            <w:bottom w:val="none" w:sz="0" w:space="0" w:color="auto"/>
                            <w:right w:val="none" w:sz="0" w:space="0" w:color="auto"/>
                          </w:divBdr>
                          <w:divsChild>
                            <w:div w:id="1565487436">
                              <w:marLeft w:val="0"/>
                              <w:marRight w:val="0"/>
                              <w:marTop w:val="0"/>
                              <w:marBottom w:val="0"/>
                              <w:divBdr>
                                <w:top w:val="none" w:sz="0" w:space="0" w:color="auto"/>
                                <w:left w:val="none" w:sz="0" w:space="0" w:color="auto"/>
                                <w:bottom w:val="none" w:sz="0" w:space="0" w:color="auto"/>
                                <w:right w:val="none" w:sz="0" w:space="0" w:color="auto"/>
                              </w:divBdr>
                              <w:divsChild>
                                <w:div w:id="621889604">
                                  <w:marLeft w:val="0"/>
                                  <w:marRight w:val="0"/>
                                  <w:marTop w:val="0"/>
                                  <w:marBottom w:val="0"/>
                                  <w:divBdr>
                                    <w:top w:val="none" w:sz="0" w:space="0" w:color="auto"/>
                                    <w:left w:val="none" w:sz="0" w:space="0" w:color="auto"/>
                                    <w:bottom w:val="none" w:sz="0" w:space="0" w:color="auto"/>
                                    <w:right w:val="none" w:sz="0" w:space="0" w:color="auto"/>
                                  </w:divBdr>
                                </w:div>
                                <w:div w:id="1731074871">
                                  <w:marLeft w:val="0"/>
                                  <w:marRight w:val="0"/>
                                  <w:marTop w:val="0"/>
                                  <w:marBottom w:val="0"/>
                                  <w:divBdr>
                                    <w:top w:val="none" w:sz="0" w:space="0" w:color="auto"/>
                                    <w:left w:val="none" w:sz="0" w:space="0" w:color="auto"/>
                                    <w:bottom w:val="none" w:sz="0" w:space="0" w:color="auto"/>
                                    <w:right w:val="none" w:sz="0" w:space="0" w:color="auto"/>
                                  </w:divBdr>
                                </w:div>
                                <w:div w:id="614869009">
                                  <w:marLeft w:val="0"/>
                                  <w:marRight w:val="0"/>
                                  <w:marTop w:val="0"/>
                                  <w:marBottom w:val="0"/>
                                  <w:divBdr>
                                    <w:top w:val="none" w:sz="0" w:space="0" w:color="auto"/>
                                    <w:left w:val="none" w:sz="0" w:space="0" w:color="auto"/>
                                    <w:bottom w:val="none" w:sz="0" w:space="0" w:color="auto"/>
                                    <w:right w:val="none" w:sz="0" w:space="0" w:color="auto"/>
                                  </w:divBdr>
                                </w:div>
                                <w:div w:id="446778113">
                                  <w:marLeft w:val="0"/>
                                  <w:marRight w:val="0"/>
                                  <w:marTop w:val="0"/>
                                  <w:marBottom w:val="0"/>
                                  <w:divBdr>
                                    <w:top w:val="none" w:sz="0" w:space="0" w:color="auto"/>
                                    <w:left w:val="none" w:sz="0" w:space="0" w:color="auto"/>
                                    <w:bottom w:val="none" w:sz="0" w:space="0" w:color="auto"/>
                                    <w:right w:val="none" w:sz="0" w:space="0" w:color="auto"/>
                                  </w:divBdr>
                                </w:div>
                                <w:div w:id="303312463">
                                  <w:marLeft w:val="0"/>
                                  <w:marRight w:val="0"/>
                                  <w:marTop w:val="0"/>
                                  <w:marBottom w:val="0"/>
                                  <w:divBdr>
                                    <w:top w:val="none" w:sz="0" w:space="0" w:color="auto"/>
                                    <w:left w:val="none" w:sz="0" w:space="0" w:color="auto"/>
                                    <w:bottom w:val="none" w:sz="0" w:space="0" w:color="auto"/>
                                    <w:right w:val="none" w:sz="0" w:space="0" w:color="auto"/>
                                  </w:divBdr>
                                </w:div>
                                <w:div w:id="642737266">
                                  <w:marLeft w:val="0"/>
                                  <w:marRight w:val="0"/>
                                  <w:marTop w:val="0"/>
                                  <w:marBottom w:val="0"/>
                                  <w:divBdr>
                                    <w:top w:val="none" w:sz="0" w:space="0" w:color="auto"/>
                                    <w:left w:val="none" w:sz="0" w:space="0" w:color="auto"/>
                                    <w:bottom w:val="none" w:sz="0" w:space="0" w:color="auto"/>
                                    <w:right w:val="none" w:sz="0" w:space="0" w:color="auto"/>
                                  </w:divBdr>
                                </w:div>
                                <w:div w:id="302783650">
                                  <w:marLeft w:val="0"/>
                                  <w:marRight w:val="0"/>
                                  <w:marTop w:val="0"/>
                                  <w:marBottom w:val="0"/>
                                  <w:divBdr>
                                    <w:top w:val="none" w:sz="0" w:space="0" w:color="auto"/>
                                    <w:left w:val="none" w:sz="0" w:space="0" w:color="auto"/>
                                    <w:bottom w:val="none" w:sz="0" w:space="0" w:color="auto"/>
                                    <w:right w:val="none" w:sz="0" w:space="0" w:color="auto"/>
                                  </w:divBdr>
                                </w:div>
                                <w:div w:id="2144158369">
                                  <w:marLeft w:val="0"/>
                                  <w:marRight w:val="0"/>
                                  <w:marTop w:val="0"/>
                                  <w:marBottom w:val="0"/>
                                  <w:divBdr>
                                    <w:top w:val="none" w:sz="0" w:space="0" w:color="auto"/>
                                    <w:left w:val="none" w:sz="0" w:space="0" w:color="auto"/>
                                    <w:bottom w:val="none" w:sz="0" w:space="0" w:color="auto"/>
                                    <w:right w:val="none" w:sz="0" w:space="0" w:color="auto"/>
                                  </w:divBdr>
                                </w:div>
                                <w:div w:id="918751628">
                                  <w:marLeft w:val="0"/>
                                  <w:marRight w:val="0"/>
                                  <w:marTop w:val="0"/>
                                  <w:marBottom w:val="0"/>
                                  <w:divBdr>
                                    <w:top w:val="none" w:sz="0" w:space="0" w:color="auto"/>
                                    <w:left w:val="none" w:sz="0" w:space="0" w:color="auto"/>
                                    <w:bottom w:val="none" w:sz="0" w:space="0" w:color="auto"/>
                                    <w:right w:val="none" w:sz="0" w:space="0" w:color="auto"/>
                                  </w:divBdr>
                                </w:div>
                                <w:div w:id="14041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77142">
      <w:bodyDiv w:val="1"/>
      <w:marLeft w:val="0"/>
      <w:marRight w:val="0"/>
      <w:marTop w:val="0"/>
      <w:marBottom w:val="0"/>
      <w:divBdr>
        <w:top w:val="none" w:sz="0" w:space="0" w:color="auto"/>
        <w:left w:val="none" w:sz="0" w:space="0" w:color="auto"/>
        <w:bottom w:val="none" w:sz="0" w:space="0" w:color="auto"/>
        <w:right w:val="none" w:sz="0" w:space="0" w:color="auto"/>
      </w:divBdr>
    </w:div>
    <w:div w:id="1340814204">
      <w:bodyDiv w:val="1"/>
      <w:marLeft w:val="0"/>
      <w:marRight w:val="0"/>
      <w:marTop w:val="0"/>
      <w:marBottom w:val="0"/>
      <w:divBdr>
        <w:top w:val="none" w:sz="0" w:space="0" w:color="auto"/>
        <w:left w:val="none" w:sz="0" w:space="0" w:color="auto"/>
        <w:bottom w:val="none" w:sz="0" w:space="0" w:color="auto"/>
        <w:right w:val="none" w:sz="0" w:space="0" w:color="auto"/>
      </w:divBdr>
      <w:divsChild>
        <w:div w:id="1572428214">
          <w:marLeft w:val="0"/>
          <w:marRight w:val="0"/>
          <w:marTop w:val="0"/>
          <w:marBottom w:val="0"/>
          <w:divBdr>
            <w:top w:val="none" w:sz="0" w:space="0" w:color="auto"/>
            <w:left w:val="none" w:sz="0" w:space="0" w:color="auto"/>
            <w:bottom w:val="none" w:sz="0" w:space="0" w:color="auto"/>
            <w:right w:val="none" w:sz="0" w:space="0" w:color="auto"/>
          </w:divBdr>
          <w:divsChild>
            <w:div w:id="311642630">
              <w:marLeft w:val="0"/>
              <w:marRight w:val="0"/>
              <w:marTop w:val="0"/>
              <w:marBottom w:val="0"/>
              <w:divBdr>
                <w:top w:val="none" w:sz="0" w:space="0" w:color="auto"/>
                <w:left w:val="none" w:sz="0" w:space="0" w:color="auto"/>
                <w:bottom w:val="none" w:sz="0" w:space="0" w:color="auto"/>
                <w:right w:val="none" w:sz="0" w:space="0" w:color="auto"/>
              </w:divBdr>
              <w:divsChild>
                <w:div w:id="1156452073">
                  <w:marLeft w:val="0"/>
                  <w:marRight w:val="0"/>
                  <w:marTop w:val="0"/>
                  <w:marBottom w:val="0"/>
                  <w:divBdr>
                    <w:top w:val="none" w:sz="0" w:space="0" w:color="auto"/>
                    <w:left w:val="none" w:sz="0" w:space="0" w:color="auto"/>
                    <w:bottom w:val="none" w:sz="0" w:space="0" w:color="auto"/>
                    <w:right w:val="none" w:sz="0" w:space="0" w:color="auto"/>
                  </w:divBdr>
                  <w:divsChild>
                    <w:div w:id="292374048">
                      <w:marLeft w:val="0"/>
                      <w:marRight w:val="0"/>
                      <w:marTop w:val="0"/>
                      <w:marBottom w:val="0"/>
                      <w:divBdr>
                        <w:top w:val="none" w:sz="0" w:space="0" w:color="auto"/>
                        <w:left w:val="none" w:sz="0" w:space="0" w:color="auto"/>
                        <w:bottom w:val="none" w:sz="0" w:space="0" w:color="auto"/>
                        <w:right w:val="none" w:sz="0" w:space="0" w:color="auto"/>
                      </w:divBdr>
                      <w:divsChild>
                        <w:div w:id="1699548565">
                          <w:marLeft w:val="0"/>
                          <w:marRight w:val="0"/>
                          <w:marTop w:val="15"/>
                          <w:marBottom w:val="0"/>
                          <w:divBdr>
                            <w:top w:val="none" w:sz="0" w:space="0" w:color="auto"/>
                            <w:left w:val="none" w:sz="0" w:space="0" w:color="auto"/>
                            <w:bottom w:val="none" w:sz="0" w:space="0" w:color="auto"/>
                            <w:right w:val="none" w:sz="0" w:space="0" w:color="auto"/>
                          </w:divBdr>
                          <w:divsChild>
                            <w:div w:id="938097544">
                              <w:marLeft w:val="0"/>
                              <w:marRight w:val="0"/>
                              <w:marTop w:val="0"/>
                              <w:marBottom w:val="0"/>
                              <w:divBdr>
                                <w:top w:val="none" w:sz="0" w:space="0" w:color="auto"/>
                                <w:left w:val="none" w:sz="0" w:space="0" w:color="auto"/>
                                <w:bottom w:val="none" w:sz="0" w:space="0" w:color="auto"/>
                                <w:right w:val="none" w:sz="0" w:space="0" w:color="auto"/>
                              </w:divBdr>
                              <w:divsChild>
                                <w:div w:id="1681858184">
                                  <w:marLeft w:val="0"/>
                                  <w:marRight w:val="0"/>
                                  <w:marTop w:val="0"/>
                                  <w:marBottom w:val="0"/>
                                  <w:divBdr>
                                    <w:top w:val="none" w:sz="0" w:space="0" w:color="auto"/>
                                    <w:left w:val="none" w:sz="0" w:space="0" w:color="auto"/>
                                    <w:bottom w:val="none" w:sz="0" w:space="0" w:color="auto"/>
                                    <w:right w:val="none" w:sz="0" w:space="0" w:color="auto"/>
                                  </w:divBdr>
                                </w:div>
                                <w:div w:id="1317883170">
                                  <w:marLeft w:val="0"/>
                                  <w:marRight w:val="0"/>
                                  <w:marTop w:val="0"/>
                                  <w:marBottom w:val="0"/>
                                  <w:divBdr>
                                    <w:top w:val="none" w:sz="0" w:space="0" w:color="auto"/>
                                    <w:left w:val="none" w:sz="0" w:space="0" w:color="auto"/>
                                    <w:bottom w:val="none" w:sz="0" w:space="0" w:color="auto"/>
                                    <w:right w:val="none" w:sz="0" w:space="0" w:color="auto"/>
                                  </w:divBdr>
                                </w:div>
                                <w:div w:id="8329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502687">
      <w:bodyDiv w:val="1"/>
      <w:marLeft w:val="0"/>
      <w:marRight w:val="0"/>
      <w:marTop w:val="0"/>
      <w:marBottom w:val="0"/>
      <w:divBdr>
        <w:top w:val="none" w:sz="0" w:space="0" w:color="auto"/>
        <w:left w:val="none" w:sz="0" w:space="0" w:color="auto"/>
        <w:bottom w:val="none" w:sz="0" w:space="0" w:color="auto"/>
        <w:right w:val="none" w:sz="0" w:space="0" w:color="auto"/>
      </w:divBdr>
      <w:divsChild>
        <w:div w:id="1115297516">
          <w:marLeft w:val="0"/>
          <w:marRight w:val="0"/>
          <w:marTop w:val="0"/>
          <w:marBottom w:val="0"/>
          <w:divBdr>
            <w:top w:val="none" w:sz="0" w:space="0" w:color="auto"/>
            <w:left w:val="none" w:sz="0" w:space="0" w:color="auto"/>
            <w:bottom w:val="none" w:sz="0" w:space="0" w:color="auto"/>
            <w:right w:val="none" w:sz="0" w:space="0" w:color="auto"/>
          </w:divBdr>
          <w:divsChild>
            <w:div w:id="211307734">
              <w:marLeft w:val="0"/>
              <w:marRight w:val="0"/>
              <w:marTop w:val="0"/>
              <w:marBottom w:val="0"/>
              <w:divBdr>
                <w:top w:val="none" w:sz="0" w:space="0" w:color="auto"/>
                <w:left w:val="none" w:sz="0" w:space="0" w:color="auto"/>
                <w:bottom w:val="none" w:sz="0" w:space="0" w:color="auto"/>
                <w:right w:val="none" w:sz="0" w:space="0" w:color="auto"/>
              </w:divBdr>
              <w:divsChild>
                <w:div w:id="1381827354">
                  <w:marLeft w:val="0"/>
                  <w:marRight w:val="0"/>
                  <w:marTop w:val="0"/>
                  <w:marBottom w:val="0"/>
                  <w:divBdr>
                    <w:top w:val="none" w:sz="0" w:space="0" w:color="auto"/>
                    <w:left w:val="none" w:sz="0" w:space="0" w:color="auto"/>
                    <w:bottom w:val="none" w:sz="0" w:space="0" w:color="auto"/>
                    <w:right w:val="none" w:sz="0" w:space="0" w:color="auto"/>
                  </w:divBdr>
                  <w:divsChild>
                    <w:div w:id="1751122743">
                      <w:marLeft w:val="0"/>
                      <w:marRight w:val="0"/>
                      <w:marTop w:val="0"/>
                      <w:marBottom w:val="0"/>
                      <w:divBdr>
                        <w:top w:val="none" w:sz="0" w:space="0" w:color="auto"/>
                        <w:left w:val="none" w:sz="0" w:space="0" w:color="auto"/>
                        <w:bottom w:val="none" w:sz="0" w:space="0" w:color="auto"/>
                        <w:right w:val="none" w:sz="0" w:space="0" w:color="auto"/>
                      </w:divBdr>
                      <w:divsChild>
                        <w:div w:id="1839424478">
                          <w:marLeft w:val="0"/>
                          <w:marRight w:val="0"/>
                          <w:marTop w:val="15"/>
                          <w:marBottom w:val="0"/>
                          <w:divBdr>
                            <w:top w:val="none" w:sz="0" w:space="0" w:color="auto"/>
                            <w:left w:val="none" w:sz="0" w:space="0" w:color="auto"/>
                            <w:bottom w:val="none" w:sz="0" w:space="0" w:color="auto"/>
                            <w:right w:val="none" w:sz="0" w:space="0" w:color="auto"/>
                          </w:divBdr>
                          <w:divsChild>
                            <w:div w:id="1148549168">
                              <w:marLeft w:val="0"/>
                              <w:marRight w:val="0"/>
                              <w:marTop w:val="0"/>
                              <w:marBottom w:val="0"/>
                              <w:divBdr>
                                <w:top w:val="none" w:sz="0" w:space="0" w:color="auto"/>
                                <w:left w:val="none" w:sz="0" w:space="0" w:color="auto"/>
                                <w:bottom w:val="none" w:sz="0" w:space="0" w:color="auto"/>
                                <w:right w:val="none" w:sz="0" w:space="0" w:color="auto"/>
                              </w:divBdr>
                              <w:divsChild>
                                <w:div w:id="1101872668">
                                  <w:marLeft w:val="0"/>
                                  <w:marRight w:val="0"/>
                                  <w:marTop w:val="0"/>
                                  <w:marBottom w:val="0"/>
                                  <w:divBdr>
                                    <w:top w:val="none" w:sz="0" w:space="0" w:color="auto"/>
                                    <w:left w:val="none" w:sz="0" w:space="0" w:color="auto"/>
                                    <w:bottom w:val="none" w:sz="0" w:space="0" w:color="auto"/>
                                    <w:right w:val="none" w:sz="0" w:space="0" w:color="auto"/>
                                  </w:divBdr>
                                </w:div>
                                <w:div w:id="1514684740">
                                  <w:marLeft w:val="0"/>
                                  <w:marRight w:val="0"/>
                                  <w:marTop w:val="0"/>
                                  <w:marBottom w:val="0"/>
                                  <w:divBdr>
                                    <w:top w:val="none" w:sz="0" w:space="0" w:color="auto"/>
                                    <w:left w:val="none" w:sz="0" w:space="0" w:color="auto"/>
                                    <w:bottom w:val="none" w:sz="0" w:space="0" w:color="auto"/>
                                    <w:right w:val="none" w:sz="0" w:space="0" w:color="auto"/>
                                  </w:divBdr>
                                </w:div>
                                <w:div w:id="1980764813">
                                  <w:marLeft w:val="0"/>
                                  <w:marRight w:val="0"/>
                                  <w:marTop w:val="0"/>
                                  <w:marBottom w:val="0"/>
                                  <w:divBdr>
                                    <w:top w:val="none" w:sz="0" w:space="0" w:color="auto"/>
                                    <w:left w:val="none" w:sz="0" w:space="0" w:color="auto"/>
                                    <w:bottom w:val="none" w:sz="0" w:space="0" w:color="auto"/>
                                    <w:right w:val="none" w:sz="0" w:space="0" w:color="auto"/>
                                  </w:divBdr>
                                </w:div>
                                <w:div w:id="1224872688">
                                  <w:marLeft w:val="0"/>
                                  <w:marRight w:val="0"/>
                                  <w:marTop w:val="0"/>
                                  <w:marBottom w:val="0"/>
                                  <w:divBdr>
                                    <w:top w:val="none" w:sz="0" w:space="0" w:color="auto"/>
                                    <w:left w:val="none" w:sz="0" w:space="0" w:color="auto"/>
                                    <w:bottom w:val="none" w:sz="0" w:space="0" w:color="auto"/>
                                    <w:right w:val="none" w:sz="0" w:space="0" w:color="auto"/>
                                  </w:divBdr>
                                </w:div>
                                <w:div w:id="280262643">
                                  <w:marLeft w:val="0"/>
                                  <w:marRight w:val="0"/>
                                  <w:marTop w:val="0"/>
                                  <w:marBottom w:val="0"/>
                                  <w:divBdr>
                                    <w:top w:val="none" w:sz="0" w:space="0" w:color="auto"/>
                                    <w:left w:val="none" w:sz="0" w:space="0" w:color="auto"/>
                                    <w:bottom w:val="none" w:sz="0" w:space="0" w:color="auto"/>
                                    <w:right w:val="none" w:sz="0" w:space="0" w:color="auto"/>
                                  </w:divBdr>
                                </w:div>
                                <w:div w:id="1304039666">
                                  <w:marLeft w:val="0"/>
                                  <w:marRight w:val="0"/>
                                  <w:marTop w:val="0"/>
                                  <w:marBottom w:val="0"/>
                                  <w:divBdr>
                                    <w:top w:val="none" w:sz="0" w:space="0" w:color="auto"/>
                                    <w:left w:val="none" w:sz="0" w:space="0" w:color="auto"/>
                                    <w:bottom w:val="none" w:sz="0" w:space="0" w:color="auto"/>
                                    <w:right w:val="none" w:sz="0" w:space="0" w:color="auto"/>
                                  </w:divBdr>
                                </w:div>
                                <w:div w:id="549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832828">
      <w:bodyDiv w:val="1"/>
      <w:marLeft w:val="0"/>
      <w:marRight w:val="0"/>
      <w:marTop w:val="0"/>
      <w:marBottom w:val="0"/>
      <w:divBdr>
        <w:top w:val="none" w:sz="0" w:space="0" w:color="auto"/>
        <w:left w:val="none" w:sz="0" w:space="0" w:color="auto"/>
        <w:bottom w:val="none" w:sz="0" w:space="0" w:color="auto"/>
        <w:right w:val="none" w:sz="0" w:space="0" w:color="auto"/>
      </w:divBdr>
      <w:divsChild>
        <w:div w:id="404911769">
          <w:marLeft w:val="0"/>
          <w:marRight w:val="0"/>
          <w:marTop w:val="0"/>
          <w:marBottom w:val="0"/>
          <w:divBdr>
            <w:top w:val="none" w:sz="0" w:space="0" w:color="auto"/>
            <w:left w:val="none" w:sz="0" w:space="0" w:color="auto"/>
            <w:bottom w:val="none" w:sz="0" w:space="0" w:color="auto"/>
            <w:right w:val="none" w:sz="0" w:space="0" w:color="auto"/>
          </w:divBdr>
          <w:divsChild>
            <w:div w:id="2031181728">
              <w:marLeft w:val="0"/>
              <w:marRight w:val="0"/>
              <w:marTop w:val="0"/>
              <w:marBottom w:val="0"/>
              <w:divBdr>
                <w:top w:val="none" w:sz="0" w:space="0" w:color="auto"/>
                <w:left w:val="none" w:sz="0" w:space="0" w:color="auto"/>
                <w:bottom w:val="none" w:sz="0" w:space="0" w:color="auto"/>
                <w:right w:val="none" w:sz="0" w:space="0" w:color="auto"/>
              </w:divBdr>
              <w:divsChild>
                <w:div w:id="547061578">
                  <w:marLeft w:val="0"/>
                  <w:marRight w:val="0"/>
                  <w:marTop w:val="0"/>
                  <w:marBottom w:val="0"/>
                  <w:divBdr>
                    <w:top w:val="none" w:sz="0" w:space="0" w:color="auto"/>
                    <w:left w:val="none" w:sz="0" w:space="0" w:color="auto"/>
                    <w:bottom w:val="none" w:sz="0" w:space="0" w:color="auto"/>
                    <w:right w:val="none" w:sz="0" w:space="0" w:color="auto"/>
                  </w:divBdr>
                  <w:divsChild>
                    <w:div w:id="1336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hyperlink" Target="http://www.giustizia-amministrativa.it" TargetMode="External"/><Relationship Id="rId7" Type="http://schemas.openxmlformats.org/officeDocument/2006/relationships/hyperlink" Target="http://www.giustizi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 Id="rId6" Type="http://schemas.openxmlformats.org/officeDocument/2006/relationships/hyperlink" Target="https://www.garanteprivacy.it/" TargetMode="External"/><Relationship Id="rId5" Type="http://schemas.openxmlformats.org/officeDocument/2006/relationships/hyperlink" Target="http://www.funzionepubblica.gov.it" TargetMode="External"/><Relationship Id="rId4" Type="http://schemas.openxmlformats.org/officeDocument/2006/relationships/hyperlink" Target="http://www.cortecostituzionale.it" TargetMode="External"/><Relationship Id="rId9" Type="http://schemas.openxmlformats.org/officeDocument/2006/relationships/hyperlink" Target="http://www.giustizi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00C0-0D2C-4708-940B-3F7F3295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7071</Words>
  <Characters>40311</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FERRARI Giulia</cp:lastModifiedBy>
  <cp:revision>3</cp:revision>
  <cp:lastPrinted>2019-07-09T12:36:00Z</cp:lastPrinted>
  <dcterms:created xsi:type="dcterms:W3CDTF">2019-08-15T21:32:00Z</dcterms:created>
  <dcterms:modified xsi:type="dcterms:W3CDTF">2019-08-15T21:33:00Z</dcterms:modified>
</cp:coreProperties>
</file>